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90921" w14:textId="77777777" w:rsidR="000B1B79" w:rsidRDefault="000B1B79" w:rsidP="00E8612D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6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14:paraId="47D00357" w14:textId="77777777" w:rsidR="000B1B79" w:rsidRDefault="000B1B79" w:rsidP="000B1B79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121CFDF8" w14:textId="77777777" w:rsidR="00EE436B" w:rsidRPr="000B1B79" w:rsidRDefault="000B1B79" w:rsidP="000B1B79">
      <w:pPr>
        <w:pStyle w:val="ClinEditionNumber"/>
        <w:rPr>
          <w:lang w:val="pl-PL"/>
        </w:rPr>
      </w:pPr>
      <w:r>
        <w:rPr>
          <w:lang w:val="pl-PL"/>
        </w:rPr>
        <w:t xml:space="preserve">Nota informacyjna nt. orzecznictwa Trybunału nr </w:t>
      </w:r>
      <w:r w:rsidR="00EA61C5" w:rsidRPr="000B1B79">
        <w:rPr>
          <w:lang w:val="pl-PL"/>
        </w:rPr>
        <w:t>241</w:t>
      </w:r>
    </w:p>
    <w:p w14:paraId="7D47D301" w14:textId="77777777" w:rsidR="00EE436B" w:rsidRPr="00EE788D" w:rsidRDefault="00EE788D">
      <w:pPr>
        <w:pStyle w:val="ClinEditionMonth"/>
        <w:rPr>
          <w:lang w:val="pl-PL"/>
        </w:rPr>
      </w:pPr>
      <w:r w:rsidRPr="00EE788D">
        <w:rPr>
          <w:lang w:val="pl-PL"/>
        </w:rPr>
        <w:t>Czerwiec</w:t>
      </w:r>
      <w:r w:rsidR="00EA61C5" w:rsidRPr="00EE788D">
        <w:rPr>
          <w:lang w:val="pl-PL"/>
        </w:rPr>
        <w:t xml:space="preserve"> 2020</w:t>
      </w:r>
      <w:r w:rsidRPr="00EE788D">
        <w:rPr>
          <w:lang w:val="pl-PL"/>
        </w:rPr>
        <w:t xml:space="preserve"> r.</w:t>
      </w:r>
    </w:p>
    <w:p w14:paraId="4776CB3E" w14:textId="77777777" w:rsidR="00EE436B" w:rsidRPr="00EE788D" w:rsidRDefault="00EA61C5">
      <w:pPr>
        <w:rPr>
          <w:lang w:val="pl-PL"/>
        </w:rPr>
      </w:pPr>
      <w:r w:rsidRPr="00EE788D">
        <w:rPr>
          <w:rStyle w:val="ClinCaseTitle"/>
          <w:lang w:val="pl-PL"/>
        </w:rPr>
        <w:t xml:space="preserve">Molla Sali </w:t>
      </w:r>
      <w:r w:rsidR="00EE788D" w:rsidRPr="00EE788D">
        <w:rPr>
          <w:rStyle w:val="ClinCaseTitle"/>
          <w:lang w:val="pl-PL"/>
        </w:rPr>
        <w:t>p</w:t>
      </w:r>
      <w:r w:rsidRPr="00EE788D">
        <w:rPr>
          <w:rStyle w:val="ClinCaseTitle"/>
          <w:lang w:val="pl-PL"/>
        </w:rPr>
        <w:t>. Gre</w:t>
      </w:r>
      <w:r w:rsidR="00EE788D" w:rsidRPr="00EE788D">
        <w:rPr>
          <w:rStyle w:val="ClinCaseTitle"/>
          <w:lang w:val="pl-PL"/>
        </w:rPr>
        <w:t>cji</w:t>
      </w:r>
      <w:r w:rsidRPr="00EE788D">
        <w:rPr>
          <w:rStyle w:val="ClinCaseTitle"/>
          <w:lang w:val="pl-PL"/>
        </w:rPr>
        <w:t xml:space="preserve"> (</w:t>
      </w:r>
      <w:r w:rsidR="00EE788D" w:rsidRPr="00EE788D">
        <w:rPr>
          <w:rStyle w:val="ClinCaseTitle"/>
          <w:lang w:val="pl-PL"/>
        </w:rPr>
        <w:t>słuszne zadośćuczynienie</w:t>
      </w:r>
      <w:r w:rsidRPr="00EE788D">
        <w:rPr>
          <w:rStyle w:val="ClinCaseTitle"/>
          <w:lang w:val="pl-PL"/>
        </w:rPr>
        <w:t>) [</w:t>
      </w:r>
      <w:r w:rsidR="00EE788D" w:rsidRPr="00EE788D">
        <w:rPr>
          <w:rStyle w:val="ClinCaseTitle"/>
          <w:lang w:val="pl-PL"/>
        </w:rPr>
        <w:t>W</w:t>
      </w:r>
      <w:r w:rsidR="00402E05">
        <w:rPr>
          <w:rStyle w:val="ClinCaseTitle"/>
          <w:lang w:val="pl-PL"/>
        </w:rPr>
        <w:t xml:space="preserve">ielka </w:t>
      </w:r>
      <w:r w:rsidR="00EE788D" w:rsidRPr="00EE788D">
        <w:rPr>
          <w:rStyle w:val="ClinCaseTitle"/>
          <w:lang w:val="pl-PL"/>
        </w:rPr>
        <w:t>I</w:t>
      </w:r>
      <w:r w:rsidR="00402E05">
        <w:rPr>
          <w:rStyle w:val="ClinCaseTitle"/>
          <w:lang w:val="pl-PL"/>
        </w:rPr>
        <w:t>zba</w:t>
      </w:r>
      <w:r w:rsidRPr="00EE788D">
        <w:rPr>
          <w:rStyle w:val="ClinCaseTitle"/>
          <w:lang w:val="pl-PL"/>
        </w:rPr>
        <w:t>]</w:t>
      </w:r>
      <w:r w:rsidRPr="00EE788D">
        <w:rPr>
          <w:rStyle w:val="ClinApplicationNumber"/>
          <w:lang w:val="pl-PL"/>
        </w:rPr>
        <w:t xml:space="preserve"> </w:t>
      </w:r>
      <w:r w:rsidR="00EE788D" w:rsidRPr="00EE788D">
        <w:rPr>
          <w:rStyle w:val="ClinApplicationNumber"/>
          <w:lang w:val="pl-PL"/>
        </w:rPr>
        <w:t>–</w:t>
      </w:r>
      <w:r w:rsidRPr="00EE788D">
        <w:rPr>
          <w:rStyle w:val="ClinApplicationNumber"/>
          <w:lang w:val="pl-PL"/>
        </w:rPr>
        <w:t xml:space="preserve"> </w:t>
      </w:r>
      <w:r w:rsidR="00EE788D" w:rsidRPr="00EE788D">
        <w:rPr>
          <w:rStyle w:val="ClinApplicationNumber"/>
          <w:lang w:val="pl-PL"/>
        </w:rPr>
        <w:t xml:space="preserve">skarga nr </w:t>
      </w:r>
      <w:r w:rsidRPr="00EE788D">
        <w:rPr>
          <w:rStyle w:val="ClinApplicationNumber"/>
          <w:lang w:val="pl-PL"/>
        </w:rPr>
        <w:t>20452/14</w:t>
      </w:r>
    </w:p>
    <w:p w14:paraId="335FE95C" w14:textId="77777777" w:rsidR="00EE436B" w:rsidRPr="00EE788D" w:rsidRDefault="00EE788D">
      <w:pPr>
        <w:rPr>
          <w:lang w:val="pl-PL"/>
        </w:rPr>
      </w:pPr>
      <w:r>
        <w:rPr>
          <w:rStyle w:val="ClinHudocDocumentTitle"/>
          <w:lang w:val="pl-PL"/>
        </w:rPr>
        <w:t xml:space="preserve">Wyrok z </w:t>
      </w:r>
      <w:r w:rsidR="00EA61C5" w:rsidRPr="00EE788D">
        <w:rPr>
          <w:rStyle w:val="ClinHudocDocumentTitle"/>
          <w:lang w:val="pl-PL"/>
        </w:rPr>
        <w:t>18.</w:t>
      </w:r>
      <w:r w:rsidRPr="00EE788D">
        <w:rPr>
          <w:rStyle w:val="ClinHudocDocumentTitle"/>
          <w:lang w:val="pl-PL"/>
        </w:rPr>
        <w:t>0</w:t>
      </w:r>
      <w:r w:rsidR="00EA61C5" w:rsidRPr="00EE788D">
        <w:rPr>
          <w:rStyle w:val="ClinHudocDocumentTitle"/>
          <w:lang w:val="pl-PL"/>
        </w:rPr>
        <w:t>6.2020</w:t>
      </w:r>
      <w:r w:rsidR="00EA61C5" w:rsidRPr="00EE788D">
        <w:rPr>
          <w:rStyle w:val="ClinSectionName"/>
          <w:lang w:val="pl-PL"/>
        </w:rPr>
        <w:t xml:space="preserve"> </w:t>
      </w:r>
      <w:r w:rsidRPr="00EE788D">
        <w:rPr>
          <w:rStyle w:val="ClinSectionName"/>
          <w:lang w:val="pl-PL"/>
        </w:rPr>
        <w:t xml:space="preserve">r. </w:t>
      </w:r>
      <w:r w:rsidR="00EA61C5" w:rsidRPr="00EE788D">
        <w:rPr>
          <w:rStyle w:val="ClinSectionName"/>
          <w:lang w:val="pl-PL"/>
        </w:rPr>
        <w:t>[</w:t>
      </w:r>
      <w:r w:rsidR="00402E05">
        <w:rPr>
          <w:rStyle w:val="ClinSectionName"/>
          <w:lang w:val="pl-PL"/>
        </w:rPr>
        <w:t>Wielka Izba</w:t>
      </w:r>
      <w:r w:rsidR="00EA61C5" w:rsidRPr="00EE788D">
        <w:rPr>
          <w:rStyle w:val="ClinSectionName"/>
          <w:lang w:val="pl-PL"/>
        </w:rPr>
        <w:t>]</w:t>
      </w:r>
    </w:p>
    <w:p w14:paraId="01882E1D" w14:textId="77777777" w:rsidR="00EE436B" w:rsidRPr="00EE788D" w:rsidRDefault="00EA61C5">
      <w:pPr>
        <w:pStyle w:val="ClinMainKeywordCode"/>
        <w:rPr>
          <w:lang w:val="pl-PL"/>
        </w:rPr>
      </w:pPr>
      <w:r w:rsidRPr="00EE788D">
        <w:rPr>
          <w:lang w:val="pl-PL"/>
        </w:rPr>
        <w:t>Art</w:t>
      </w:r>
      <w:r w:rsidR="00EE788D" w:rsidRPr="00EE788D">
        <w:rPr>
          <w:lang w:val="pl-PL"/>
        </w:rPr>
        <w:t>.</w:t>
      </w:r>
      <w:r w:rsidRPr="00EE788D">
        <w:rPr>
          <w:lang w:val="pl-PL"/>
        </w:rPr>
        <w:t xml:space="preserve"> 41</w:t>
      </w:r>
    </w:p>
    <w:p w14:paraId="605DD125" w14:textId="77777777" w:rsidR="00EE436B" w:rsidRPr="002B38B1" w:rsidRDefault="00EE788D">
      <w:pPr>
        <w:pStyle w:val="ClinKeyword"/>
        <w:rPr>
          <w:lang w:val="pl-PL"/>
        </w:rPr>
      </w:pPr>
      <w:r w:rsidRPr="002B38B1">
        <w:rPr>
          <w:lang w:val="pl-PL"/>
        </w:rPr>
        <w:t>Słuszne zadośćuczynienie</w:t>
      </w:r>
    </w:p>
    <w:p w14:paraId="0A2D64A5" w14:textId="4DE8237A" w:rsidR="00D74D41" w:rsidRPr="00D74D41" w:rsidRDefault="00CE67A1" w:rsidP="00402E05">
      <w:pPr>
        <w:jc w:val="both"/>
        <w:rPr>
          <w:lang w:val="pl-PL"/>
        </w:rPr>
      </w:pPr>
      <w:r>
        <w:rPr>
          <w:rStyle w:val="ClinHeadNote"/>
          <w:lang w:val="pl-PL"/>
        </w:rPr>
        <w:t>Wezwanie</w:t>
      </w:r>
      <w:r w:rsidR="00D74D41" w:rsidRPr="00D74D41">
        <w:rPr>
          <w:rStyle w:val="ClinHeadNote"/>
          <w:lang w:val="pl-PL"/>
        </w:rPr>
        <w:t xml:space="preserve"> pozwanego państwa do zagwarantowania skarżącej własności </w:t>
      </w:r>
      <w:r w:rsidR="00402E05">
        <w:rPr>
          <w:rStyle w:val="ClinHeadNote"/>
          <w:lang w:val="pl-PL"/>
        </w:rPr>
        <w:t xml:space="preserve">mienia </w:t>
      </w:r>
      <w:r w:rsidR="008C6F73">
        <w:rPr>
          <w:rStyle w:val="ClinHeadNote"/>
          <w:lang w:val="pl-PL"/>
        </w:rPr>
        <w:t xml:space="preserve">w Grecji </w:t>
      </w:r>
      <w:r w:rsidR="00E0663A">
        <w:rPr>
          <w:rStyle w:val="ClinHeadNote"/>
          <w:lang w:val="pl-PL"/>
        </w:rPr>
        <w:t>zapisanego</w:t>
      </w:r>
      <w:r w:rsidR="00D74D41">
        <w:rPr>
          <w:rStyle w:val="ClinHeadNote"/>
          <w:lang w:val="pl-PL"/>
        </w:rPr>
        <w:t xml:space="preserve"> na jej rzecz w testamencie lub </w:t>
      </w:r>
      <w:r w:rsidR="008C2017">
        <w:rPr>
          <w:rStyle w:val="ClinHeadNote"/>
          <w:lang w:val="pl-PL"/>
        </w:rPr>
        <w:t>zrekompensowanie wartości</w:t>
      </w:r>
      <w:r w:rsidR="00E0663A">
        <w:rPr>
          <w:rStyle w:val="ClinHeadNote"/>
          <w:lang w:val="pl-PL"/>
        </w:rPr>
        <w:t xml:space="preserve"> </w:t>
      </w:r>
      <w:r w:rsidR="00402E05">
        <w:rPr>
          <w:rStyle w:val="ClinHeadNote"/>
          <w:lang w:val="pl-PL"/>
        </w:rPr>
        <w:t>udziału w tym mieniu</w:t>
      </w:r>
      <w:r w:rsidR="008C2017">
        <w:rPr>
          <w:rStyle w:val="ClinHeadNote"/>
          <w:lang w:val="pl-PL"/>
        </w:rPr>
        <w:t xml:space="preserve">, </w:t>
      </w:r>
      <w:r w:rsidR="00224A33">
        <w:rPr>
          <w:rStyle w:val="ClinHeadNote"/>
          <w:lang w:val="pl-PL"/>
        </w:rPr>
        <w:t>którego</w:t>
      </w:r>
      <w:r w:rsidR="008C2017">
        <w:rPr>
          <w:rStyle w:val="ClinHeadNote"/>
          <w:lang w:val="pl-PL"/>
        </w:rPr>
        <w:t xml:space="preserve"> została pozbawiona</w:t>
      </w:r>
    </w:p>
    <w:p w14:paraId="0A7AB19C" w14:textId="77777777" w:rsidR="00EE436B" w:rsidRPr="00D74D41" w:rsidRDefault="00EE436B" w:rsidP="00402E05">
      <w:pPr>
        <w:jc w:val="both"/>
        <w:rPr>
          <w:lang w:val="pl-PL"/>
        </w:rPr>
      </w:pPr>
    </w:p>
    <w:p w14:paraId="1FFC72D5" w14:textId="5DA5DF14" w:rsidR="008C2017" w:rsidRPr="008C2017" w:rsidRDefault="008C2017" w:rsidP="00402E05">
      <w:pPr>
        <w:jc w:val="both"/>
        <w:rPr>
          <w:lang w:val="pl-PL"/>
        </w:rPr>
      </w:pPr>
      <w:r w:rsidRPr="008C2017">
        <w:rPr>
          <w:rStyle w:val="ClinHeadNote"/>
          <w:lang w:val="pl-PL"/>
        </w:rPr>
        <w:t>Trybunał nie ma jurysdykcji do rozstrzygnięcia roszczeń skarżącej dotyczących</w:t>
      </w:r>
      <w:r w:rsidR="00402E05">
        <w:rPr>
          <w:rStyle w:val="ClinHeadNote"/>
          <w:lang w:val="pl-PL"/>
        </w:rPr>
        <w:t xml:space="preserve"> mienia położonego</w:t>
      </w:r>
      <w:r w:rsidR="00E0663A">
        <w:rPr>
          <w:rStyle w:val="ClinHeadNote"/>
          <w:lang w:val="pl-PL"/>
        </w:rPr>
        <w:t xml:space="preserve"> </w:t>
      </w:r>
      <w:r w:rsidRPr="008C2017">
        <w:rPr>
          <w:rStyle w:val="ClinHeadNote"/>
          <w:lang w:val="pl-PL"/>
        </w:rPr>
        <w:t xml:space="preserve">w Turcji </w:t>
      </w:r>
    </w:p>
    <w:p w14:paraId="32CE21F5" w14:textId="79BF84FF" w:rsidR="008C2017" w:rsidRPr="008C2017" w:rsidRDefault="008C2017" w:rsidP="004826DA">
      <w:pPr>
        <w:pStyle w:val="ClinContent"/>
        <w:rPr>
          <w:lang w:val="pl-PL"/>
        </w:rPr>
      </w:pPr>
      <w:r w:rsidRPr="008C2017">
        <w:rPr>
          <w:i/>
          <w:lang w:val="pl-PL"/>
        </w:rPr>
        <w:t xml:space="preserve">Fakty </w:t>
      </w:r>
      <w:r w:rsidRPr="008C2017">
        <w:rPr>
          <w:lang w:val="pl-PL"/>
        </w:rPr>
        <w:t xml:space="preserve">– Po śmierci męża skarżąca odziedziczyła cały jego majątek </w:t>
      </w:r>
      <w:r w:rsidR="004826DA">
        <w:rPr>
          <w:lang w:val="pl-PL"/>
        </w:rPr>
        <w:t>n</w:t>
      </w:r>
      <w:r w:rsidR="004826DA" w:rsidRPr="004826DA">
        <w:rPr>
          <w:lang w:val="pl-PL"/>
        </w:rPr>
        <w:t xml:space="preserve">a podstawie </w:t>
      </w:r>
      <w:r w:rsidR="008C6F73" w:rsidRPr="004826DA">
        <w:rPr>
          <w:lang w:val="pl-PL"/>
        </w:rPr>
        <w:t xml:space="preserve">publicznego </w:t>
      </w:r>
      <w:r w:rsidR="004826DA" w:rsidRPr="004826DA">
        <w:rPr>
          <w:lang w:val="pl-PL"/>
        </w:rPr>
        <w:t>testamentu</w:t>
      </w:r>
      <w:r w:rsidR="008C6F73" w:rsidRPr="008C6F73">
        <w:rPr>
          <w:lang w:val="pl-PL"/>
        </w:rPr>
        <w:t xml:space="preserve"> </w:t>
      </w:r>
      <w:r w:rsidR="008C6F73" w:rsidRPr="004826DA">
        <w:rPr>
          <w:lang w:val="pl-PL"/>
        </w:rPr>
        <w:t>notarialnego</w:t>
      </w:r>
      <w:r w:rsidR="004826DA">
        <w:rPr>
          <w:lang w:val="pl-PL"/>
        </w:rPr>
        <w:t xml:space="preserve">. </w:t>
      </w:r>
      <w:r w:rsidR="00403074">
        <w:rPr>
          <w:lang w:val="pl-PL"/>
        </w:rPr>
        <w:t xml:space="preserve">Dwie siostry zmarłego zakwestionowały testament </w:t>
      </w:r>
      <w:r w:rsidR="00245B54">
        <w:rPr>
          <w:lang w:val="pl-PL"/>
        </w:rPr>
        <w:t xml:space="preserve">na tej podstawie, że </w:t>
      </w:r>
      <w:r w:rsidR="00403074">
        <w:rPr>
          <w:lang w:val="pl-PL"/>
        </w:rPr>
        <w:t xml:space="preserve">ich brat należał do społeczności muzułmańskiej, a zatem wszystkie sprawy dotyczące jego majątku nie podlegały </w:t>
      </w:r>
      <w:r w:rsidR="00AE7161">
        <w:rPr>
          <w:lang w:val="pl-PL"/>
        </w:rPr>
        <w:t>przepisom</w:t>
      </w:r>
      <w:r w:rsidR="00403074">
        <w:rPr>
          <w:lang w:val="pl-PL"/>
        </w:rPr>
        <w:t xml:space="preserve"> greckiego Kodeksu cywilnego, a</w:t>
      </w:r>
      <w:r w:rsidR="00756F0F">
        <w:rPr>
          <w:lang w:val="pl-PL"/>
        </w:rPr>
        <w:t> </w:t>
      </w:r>
      <w:r w:rsidR="00403074">
        <w:rPr>
          <w:lang w:val="pl-PL"/>
        </w:rPr>
        <w:t xml:space="preserve">prawu szariatu i jurysdykcji muftiego. </w:t>
      </w:r>
      <w:r w:rsidR="000F6FAC">
        <w:rPr>
          <w:lang w:val="pl-PL"/>
        </w:rPr>
        <w:t xml:space="preserve">Po przekazaniu sprawy </w:t>
      </w:r>
      <w:r w:rsidR="00B07295">
        <w:rPr>
          <w:lang w:val="pl-PL"/>
        </w:rPr>
        <w:t xml:space="preserve">do ponownego rozpoznania </w:t>
      </w:r>
      <w:r w:rsidR="000F6FAC">
        <w:rPr>
          <w:lang w:val="pl-PL"/>
        </w:rPr>
        <w:t>przez Sąd Kasacyjny</w:t>
      </w:r>
      <w:r w:rsidR="00AE7161">
        <w:rPr>
          <w:lang w:val="pl-PL"/>
        </w:rPr>
        <w:t>,</w:t>
      </w:r>
      <w:r w:rsidR="000F6FAC">
        <w:rPr>
          <w:lang w:val="pl-PL"/>
        </w:rPr>
        <w:t xml:space="preserve"> sąd</w:t>
      </w:r>
      <w:r w:rsidR="004E63CD">
        <w:rPr>
          <w:lang w:val="pl-PL"/>
        </w:rPr>
        <w:t> </w:t>
      </w:r>
      <w:r w:rsidR="000F6FAC">
        <w:rPr>
          <w:lang w:val="pl-PL"/>
        </w:rPr>
        <w:t xml:space="preserve">apelacyjny orzekł, że prawem mającym zastosowanie do spadku po zmarłym jest prawo szariatu, a przedmiotowy </w:t>
      </w:r>
      <w:r w:rsidR="00AE7161">
        <w:rPr>
          <w:lang w:val="pl-PL"/>
        </w:rPr>
        <w:t xml:space="preserve">publiczny </w:t>
      </w:r>
      <w:r w:rsidR="000F6FAC">
        <w:rPr>
          <w:lang w:val="pl-PL"/>
        </w:rPr>
        <w:t xml:space="preserve">testament jest nieważny. Wyrokiem z </w:t>
      </w:r>
      <w:r w:rsidR="00402E05">
        <w:rPr>
          <w:lang w:val="pl-PL"/>
        </w:rPr>
        <w:t xml:space="preserve">dnia </w:t>
      </w:r>
      <w:r w:rsidR="000F6FAC">
        <w:rPr>
          <w:lang w:val="pl-PL"/>
        </w:rPr>
        <w:t>6</w:t>
      </w:r>
      <w:r w:rsidR="004E63CD">
        <w:rPr>
          <w:lang w:val="pl-PL"/>
        </w:rPr>
        <w:t> </w:t>
      </w:r>
      <w:r w:rsidR="000F6FAC">
        <w:rPr>
          <w:lang w:val="pl-PL"/>
        </w:rPr>
        <w:t xml:space="preserve">kwietnia 2017 r. Sąd Kasacyjny oddalił kasację skarżącej. Została </w:t>
      </w:r>
      <w:r w:rsidR="006B407B">
        <w:rPr>
          <w:lang w:val="pl-PL"/>
        </w:rPr>
        <w:t>tym samym</w:t>
      </w:r>
      <w:r w:rsidR="000F6FAC">
        <w:rPr>
          <w:lang w:val="pl-PL"/>
        </w:rPr>
        <w:t xml:space="preserve"> pozbawiona trzech czwartych spadku. </w:t>
      </w:r>
    </w:p>
    <w:p w14:paraId="28F97FE8" w14:textId="0480792D" w:rsidR="001D5892" w:rsidRPr="001D5892" w:rsidRDefault="001D5892">
      <w:pPr>
        <w:pStyle w:val="ClinContent"/>
        <w:rPr>
          <w:lang w:val="pl-PL"/>
        </w:rPr>
      </w:pPr>
      <w:r w:rsidRPr="001D5892">
        <w:rPr>
          <w:lang w:val="pl-PL"/>
        </w:rPr>
        <w:t xml:space="preserve">Na mocy wyroku </w:t>
      </w:r>
      <w:r w:rsidR="00156B03">
        <w:rPr>
          <w:lang w:val="pl-PL"/>
        </w:rPr>
        <w:t xml:space="preserve">głównego </w:t>
      </w:r>
      <w:r w:rsidRPr="001D5892">
        <w:rPr>
          <w:lang w:val="pl-PL"/>
        </w:rPr>
        <w:t xml:space="preserve">z </w:t>
      </w:r>
      <w:r w:rsidR="00814A3F">
        <w:rPr>
          <w:lang w:val="pl-PL"/>
        </w:rPr>
        <w:t xml:space="preserve">dnia </w:t>
      </w:r>
      <w:r w:rsidRPr="001D5892">
        <w:rPr>
          <w:lang w:val="pl-PL"/>
        </w:rPr>
        <w:t xml:space="preserve">19 grudnia 2018 r. </w:t>
      </w:r>
      <w:r>
        <w:rPr>
          <w:lang w:val="pl-PL"/>
        </w:rPr>
        <w:t xml:space="preserve">(zobacz </w:t>
      </w:r>
      <w:hyperlink r:id="rId7" w:history="1">
        <w:r>
          <w:rPr>
            <w:rStyle w:val="Hipercze"/>
            <w:lang w:val="pl-PL"/>
          </w:rPr>
          <w:t>Nota informacyjna nr</w:t>
        </w:r>
        <w:r w:rsidRPr="001D5892">
          <w:rPr>
            <w:rStyle w:val="Hipercze"/>
            <w:lang w:val="pl-PL"/>
          </w:rPr>
          <w:t xml:space="preserve"> 224</w:t>
        </w:r>
      </w:hyperlink>
      <w:r w:rsidRPr="001D5892">
        <w:rPr>
          <w:lang w:val="pl-PL"/>
        </w:rPr>
        <w:t>)</w:t>
      </w:r>
      <w:r>
        <w:rPr>
          <w:lang w:val="pl-PL"/>
        </w:rPr>
        <w:t xml:space="preserve"> </w:t>
      </w:r>
      <w:r w:rsidR="008C6F73">
        <w:rPr>
          <w:lang w:val="pl-PL"/>
        </w:rPr>
        <w:t xml:space="preserve">dotyczącego przedmiotu skargi </w:t>
      </w:r>
      <w:r>
        <w:rPr>
          <w:lang w:val="pl-PL"/>
        </w:rPr>
        <w:t>Wielka Izba stwierdziła naruszenie art. 14 Konwencji w</w:t>
      </w:r>
      <w:r w:rsidR="00756F0F">
        <w:rPr>
          <w:lang w:val="pl-PL"/>
        </w:rPr>
        <w:t> </w:t>
      </w:r>
      <w:r>
        <w:rPr>
          <w:lang w:val="pl-PL"/>
        </w:rPr>
        <w:t>związku z art. 1 Protokołu nr 1. Trybunał orzekł w szczegól</w:t>
      </w:r>
      <w:r w:rsidR="00ED6AD4">
        <w:rPr>
          <w:lang w:val="pl-PL"/>
        </w:rPr>
        <w:t>ności, że różnica w</w:t>
      </w:r>
      <w:r w:rsidR="00756F0F">
        <w:rPr>
          <w:lang w:val="pl-PL"/>
        </w:rPr>
        <w:t> </w:t>
      </w:r>
      <w:r w:rsidR="00ED6AD4">
        <w:rPr>
          <w:lang w:val="pl-PL"/>
        </w:rPr>
        <w:t xml:space="preserve">traktowaniu, z powodu której </w:t>
      </w:r>
      <w:r w:rsidR="00BA3FA6">
        <w:rPr>
          <w:lang w:val="pl-PL"/>
        </w:rPr>
        <w:t xml:space="preserve">ucierpiała </w:t>
      </w:r>
      <w:r w:rsidR="00C42694">
        <w:rPr>
          <w:lang w:val="pl-PL"/>
        </w:rPr>
        <w:t xml:space="preserve">skarżąca </w:t>
      </w:r>
      <w:r w:rsidR="00ED6AD4">
        <w:rPr>
          <w:lang w:val="pl-PL"/>
        </w:rPr>
        <w:t>jako</w:t>
      </w:r>
      <w:r w:rsidR="000F6207">
        <w:rPr>
          <w:lang w:val="pl-PL"/>
        </w:rPr>
        <w:t xml:space="preserve"> beneficjent</w:t>
      </w:r>
      <w:r w:rsidR="00C42694">
        <w:rPr>
          <w:lang w:val="pl-PL"/>
        </w:rPr>
        <w:t>ka</w:t>
      </w:r>
      <w:r w:rsidR="000F6207">
        <w:rPr>
          <w:lang w:val="pl-PL"/>
        </w:rPr>
        <w:t xml:space="preserve"> </w:t>
      </w:r>
      <w:r w:rsidR="00ED6AD4">
        <w:rPr>
          <w:lang w:val="pl-PL"/>
        </w:rPr>
        <w:t>testament</w:t>
      </w:r>
      <w:r w:rsidR="000F6207">
        <w:rPr>
          <w:lang w:val="pl-PL"/>
        </w:rPr>
        <w:t>u</w:t>
      </w:r>
      <w:r w:rsidR="00ED6AD4">
        <w:rPr>
          <w:lang w:val="pl-PL"/>
        </w:rPr>
        <w:t xml:space="preserve"> </w:t>
      </w:r>
      <w:r w:rsidR="000F6207">
        <w:rPr>
          <w:lang w:val="pl-PL"/>
        </w:rPr>
        <w:t>sporządzonego</w:t>
      </w:r>
      <w:r w:rsidR="00ED6AD4">
        <w:rPr>
          <w:lang w:val="pl-PL"/>
        </w:rPr>
        <w:t xml:space="preserve"> </w:t>
      </w:r>
      <w:r w:rsidR="00FF1D80">
        <w:rPr>
          <w:lang w:val="pl-PL"/>
        </w:rPr>
        <w:t xml:space="preserve">zgodnie z Kodeksem cywilnym </w:t>
      </w:r>
      <w:r w:rsidR="000F6207">
        <w:rPr>
          <w:lang w:val="pl-PL"/>
        </w:rPr>
        <w:t>przez spadkodawcę</w:t>
      </w:r>
      <w:r w:rsidR="00ED6AD4">
        <w:rPr>
          <w:lang w:val="pl-PL"/>
        </w:rPr>
        <w:t xml:space="preserve"> </w:t>
      </w:r>
      <w:r w:rsidR="000F6207">
        <w:rPr>
          <w:lang w:val="pl-PL"/>
        </w:rPr>
        <w:t>wyznającego</w:t>
      </w:r>
      <w:r w:rsidR="00FF1D80">
        <w:rPr>
          <w:lang w:val="pl-PL"/>
        </w:rPr>
        <w:t xml:space="preserve"> wiarę muzułmańską, w porównaniu do </w:t>
      </w:r>
      <w:r w:rsidR="00C42694">
        <w:rPr>
          <w:lang w:val="pl-PL"/>
        </w:rPr>
        <w:t>beneficjentów</w:t>
      </w:r>
      <w:r w:rsidR="000F6207">
        <w:rPr>
          <w:lang w:val="pl-PL"/>
        </w:rPr>
        <w:t xml:space="preserve"> </w:t>
      </w:r>
      <w:r w:rsidR="00FF1D80">
        <w:rPr>
          <w:lang w:val="pl-PL"/>
        </w:rPr>
        <w:t>testament</w:t>
      </w:r>
      <w:r w:rsidR="00C42694">
        <w:rPr>
          <w:lang w:val="pl-PL"/>
        </w:rPr>
        <w:t>ów</w:t>
      </w:r>
      <w:r w:rsidR="00FF1D80">
        <w:rPr>
          <w:lang w:val="pl-PL"/>
        </w:rPr>
        <w:t xml:space="preserve"> </w:t>
      </w:r>
      <w:r w:rsidR="00C42694">
        <w:rPr>
          <w:lang w:val="pl-PL"/>
        </w:rPr>
        <w:t>sporządzonych</w:t>
      </w:r>
      <w:r w:rsidR="00FF1D80">
        <w:rPr>
          <w:lang w:val="pl-PL"/>
        </w:rPr>
        <w:t xml:space="preserve"> zgodnie z</w:t>
      </w:r>
      <w:r w:rsidR="00756F0F">
        <w:rPr>
          <w:lang w:val="pl-PL"/>
        </w:rPr>
        <w:t> </w:t>
      </w:r>
      <w:r w:rsidR="00FF1D80">
        <w:rPr>
          <w:lang w:val="pl-PL"/>
        </w:rPr>
        <w:t xml:space="preserve">Kodeksem cywilnym </w:t>
      </w:r>
      <w:r w:rsidR="00C42694">
        <w:rPr>
          <w:lang w:val="pl-PL"/>
        </w:rPr>
        <w:t>przez spadkodawców</w:t>
      </w:r>
      <w:r w:rsidR="00FF1D80">
        <w:rPr>
          <w:lang w:val="pl-PL"/>
        </w:rPr>
        <w:t xml:space="preserve"> nie</w:t>
      </w:r>
      <w:r w:rsidR="00C42694">
        <w:rPr>
          <w:lang w:val="pl-PL"/>
        </w:rPr>
        <w:t>będących muzułmanami</w:t>
      </w:r>
      <w:r w:rsidR="00FF1D80">
        <w:rPr>
          <w:lang w:val="pl-PL"/>
        </w:rPr>
        <w:t xml:space="preserve"> nie miała obiektywnego i rozsądnego uzasadnienia. Trybunał zastrzegł kwestię słusznego zadośćuczynienia do dalszej procedury.</w:t>
      </w:r>
    </w:p>
    <w:p w14:paraId="06ACC133" w14:textId="77777777" w:rsidR="00FC4F3B" w:rsidRPr="00FC4F3B" w:rsidRDefault="00FC4F3B">
      <w:pPr>
        <w:pStyle w:val="ClinContent"/>
        <w:rPr>
          <w:lang w:val="pl-PL"/>
        </w:rPr>
      </w:pPr>
      <w:r>
        <w:rPr>
          <w:i/>
          <w:lang w:val="pl-PL"/>
        </w:rPr>
        <w:t xml:space="preserve">Prawo – </w:t>
      </w:r>
      <w:r>
        <w:rPr>
          <w:lang w:val="pl-PL"/>
        </w:rPr>
        <w:t>Art. 41</w:t>
      </w:r>
    </w:p>
    <w:p w14:paraId="2C7C73CE" w14:textId="77777777" w:rsidR="00FC4F3B" w:rsidRPr="001E0D0C" w:rsidRDefault="00FC4F3B">
      <w:pPr>
        <w:pStyle w:val="ClinContent"/>
        <w:rPr>
          <w:lang w:val="pl-PL"/>
        </w:rPr>
      </w:pPr>
      <w:r w:rsidRPr="001E0D0C">
        <w:rPr>
          <w:lang w:val="pl-PL"/>
        </w:rPr>
        <w:t>a)</w:t>
      </w:r>
      <w:r w:rsidRPr="001E0D0C">
        <w:rPr>
          <w:i/>
          <w:lang w:val="pl-PL"/>
        </w:rPr>
        <w:t xml:space="preserve"> Szkoda majątkowa</w:t>
      </w:r>
    </w:p>
    <w:p w14:paraId="3D737B1B" w14:textId="7540FE06" w:rsidR="00FE14F3" w:rsidRPr="00D83A65" w:rsidRDefault="00FE14F3">
      <w:pPr>
        <w:pStyle w:val="ClinContent"/>
        <w:rPr>
          <w:lang w:val="pl-PL"/>
        </w:rPr>
      </w:pPr>
      <w:r w:rsidRPr="00FE14F3">
        <w:rPr>
          <w:lang w:val="pl-PL"/>
        </w:rPr>
        <w:t xml:space="preserve">a) </w:t>
      </w:r>
      <w:r w:rsidR="00D233AE" w:rsidRPr="00D233AE">
        <w:rPr>
          <w:i/>
          <w:lang w:val="pl-PL"/>
        </w:rPr>
        <w:t>M</w:t>
      </w:r>
      <w:r w:rsidR="00C42694">
        <w:rPr>
          <w:i/>
          <w:lang w:val="pl-PL"/>
        </w:rPr>
        <w:t>ienie położone</w:t>
      </w:r>
      <w:r w:rsidRPr="00FE14F3">
        <w:rPr>
          <w:i/>
          <w:lang w:val="pl-PL"/>
        </w:rPr>
        <w:t xml:space="preserve"> w Grecji </w:t>
      </w:r>
      <w:r>
        <w:rPr>
          <w:i/>
          <w:lang w:val="pl-PL"/>
        </w:rPr>
        <w:t>–</w:t>
      </w:r>
      <w:r w:rsidRPr="00FE14F3">
        <w:rPr>
          <w:i/>
          <w:lang w:val="pl-PL"/>
        </w:rPr>
        <w:t xml:space="preserve"> </w:t>
      </w:r>
      <w:r>
        <w:rPr>
          <w:lang w:val="pl-PL"/>
        </w:rPr>
        <w:t>Po wyroku Sądu Kasacyjnego z 6 kwietnia 2017 r. siostry zmarłego męża wystąpiły, w dniu 19 kwietnia 2017 r., do sądu pierwszej instancji</w:t>
      </w:r>
      <w:r w:rsidR="00BA3FA6">
        <w:rPr>
          <w:lang w:val="pl-PL"/>
        </w:rPr>
        <w:t xml:space="preserve"> z</w:t>
      </w:r>
      <w:r w:rsidR="00756F0F">
        <w:rPr>
          <w:lang w:val="pl-PL"/>
        </w:rPr>
        <w:t> </w:t>
      </w:r>
      <w:r w:rsidR="00BA3FA6">
        <w:rPr>
          <w:lang w:val="pl-PL"/>
        </w:rPr>
        <w:t>wnioskiem</w:t>
      </w:r>
      <w:r>
        <w:rPr>
          <w:lang w:val="pl-PL"/>
        </w:rPr>
        <w:t xml:space="preserve"> o </w:t>
      </w:r>
      <w:r w:rsidR="000A4FC7">
        <w:rPr>
          <w:lang w:val="pl-PL"/>
        </w:rPr>
        <w:t xml:space="preserve">sprostowanie zapisu w </w:t>
      </w:r>
      <w:r w:rsidR="00D83A65">
        <w:rPr>
          <w:lang w:val="pl-PL"/>
        </w:rPr>
        <w:t xml:space="preserve">rejestrze </w:t>
      </w:r>
      <w:r>
        <w:rPr>
          <w:lang w:val="pl-PL"/>
        </w:rPr>
        <w:t>nieruchomości</w:t>
      </w:r>
      <w:r w:rsidR="00866A12">
        <w:rPr>
          <w:lang w:val="pl-PL"/>
        </w:rPr>
        <w:t xml:space="preserve"> w wydziale ksiąg wieczystych</w:t>
      </w:r>
      <w:r>
        <w:rPr>
          <w:lang w:val="pl-PL"/>
        </w:rPr>
        <w:t xml:space="preserve"> w </w:t>
      </w:r>
      <w:r w:rsidR="000A4FC7">
        <w:rPr>
          <w:lang w:val="pl-PL"/>
        </w:rPr>
        <w:t xml:space="preserve">celu uznania ich za współwłaścicielki </w:t>
      </w:r>
      <w:r w:rsidR="00F05F3F">
        <w:rPr>
          <w:lang w:val="pl-PL"/>
        </w:rPr>
        <w:t>majątku</w:t>
      </w:r>
      <w:r w:rsidR="00D83A65">
        <w:rPr>
          <w:lang w:val="pl-PL"/>
        </w:rPr>
        <w:t xml:space="preserve"> spadkodawcy. </w:t>
      </w:r>
      <w:r w:rsidR="00D83A65" w:rsidRPr="00D83A65">
        <w:rPr>
          <w:lang w:val="pl-PL"/>
        </w:rPr>
        <w:t xml:space="preserve">W dniu </w:t>
      </w:r>
      <w:r w:rsidR="00D83A65" w:rsidRPr="00D83A65">
        <w:rPr>
          <w:lang w:val="pl-PL"/>
        </w:rPr>
        <w:lastRenderedPageBreak/>
        <w:t>20</w:t>
      </w:r>
      <w:r w:rsidR="00756F0F">
        <w:rPr>
          <w:lang w:val="pl-PL"/>
        </w:rPr>
        <w:t> </w:t>
      </w:r>
      <w:r w:rsidR="00D83A65" w:rsidRPr="00D83A65">
        <w:rPr>
          <w:lang w:val="pl-PL"/>
        </w:rPr>
        <w:t>listopada 2018 r. sąd pierwszej instancji uznał obie s</w:t>
      </w:r>
      <w:r w:rsidR="00C42694">
        <w:rPr>
          <w:lang w:val="pl-PL"/>
        </w:rPr>
        <w:t>ios</w:t>
      </w:r>
      <w:r w:rsidR="00D83A65" w:rsidRPr="00D83A65">
        <w:rPr>
          <w:lang w:val="pl-PL"/>
        </w:rPr>
        <w:t xml:space="preserve">try za współwłaścicielki i nakazał </w:t>
      </w:r>
      <w:r w:rsidR="00D83A65">
        <w:rPr>
          <w:lang w:val="pl-PL"/>
        </w:rPr>
        <w:t xml:space="preserve">wprowadzenie stosownej </w:t>
      </w:r>
      <w:r w:rsidR="00EE3A13">
        <w:rPr>
          <w:lang w:val="pl-PL"/>
        </w:rPr>
        <w:t>zmiany</w:t>
      </w:r>
      <w:r w:rsidR="00D83A65">
        <w:rPr>
          <w:lang w:val="pl-PL"/>
        </w:rPr>
        <w:t xml:space="preserve"> w rejestrze nieruchomości. Wreszcie sąd orzekł, że</w:t>
      </w:r>
      <w:r w:rsidR="00756F0F">
        <w:rPr>
          <w:lang w:val="pl-PL"/>
        </w:rPr>
        <w:t> </w:t>
      </w:r>
      <w:r w:rsidR="00D83A65">
        <w:rPr>
          <w:lang w:val="pl-PL"/>
        </w:rPr>
        <w:t xml:space="preserve">skarżąca pozostaje współwłaścicielką jednej czwartej </w:t>
      </w:r>
      <w:r w:rsidR="00F05F3F">
        <w:rPr>
          <w:lang w:val="pl-PL"/>
        </w:rPr>
        <w:t>majątku</w:t>
      </w:r>
      <w:r w:rsidR="008C6F73">
        <w:rPr>
          <w:lang w:val="pl-PL"/>
        </w:rPr>
        <w:t>, ale</w:t>
      </w:r>
      <w:r w:rsidR="00121BD6">
        <w:rPr>
          <w:lang w:val="pl-PL"/>
        </w:rPr>
        <w:t xml:space="preserve"> w odniesieniu do tej części musi również wystąpić o ponowne zarejestrowanie. W dniu 23 października 2019 r. sąd apelacyjny utrzymał wyrok w mocy. W dniu 20 grudnia 2019 r. skarżąca wniosła kasację. Choć postępowanie to wciąż się toczy</w:t>
      </w:r>
      <w:r w:rsidR="001807A1">
        <w:rPr>
          <w:lang w:val="pl-PL"/>
        </w:rPr>
        <w:t>ło</w:t>
      </w:r>
      <w:r w:rsidR="00121BD6">
        <w:rPr>
          <w:lang w:val="pl-PL"/>
        </w:rPr>
        <w:t>, Trybunał nie miał</w:t>
      </w:r>
      <w:r w:rsidR="001807A1">
        <w:rPr>
          <w:lang w:val="pl-PL"/>
        </w:rPr>
        <w:t xml:space="preserve"> obowiązku zawieszenia </w:t>
      </w:r>
      <w:r w:rsidR="00F42360">
        <w:rPr>
          <w:lang w:val="pl-PL"/>
        </w:rPr>
        <w:t xml:space="preserve">swojego </w:t>
      </w:r>
      <w:r w:rsidR="001807A1">
        <w:rPr>
          <w:lang w:val="pl-PL"/>
        </w:rPr>
        <w:t xml:space="preserve">rozstrzygnięcia do czasu zakończenia tamtego postępowania. </w:t>
      </w:r>
    </w:p>
    <w:p w14:paraId="12468969" w14:textId="435E2C7D" w:rsidR="003C18EC" w:rsidRPr="003C18EC" w:rsidRDefault="003C18EC">
      <w:pPr>
        <w:pStyle w:val="ClinContent"/>
        <w:rPr>
          <w:lang w:val="pl-PL"/>
        </w:rPr>
      </w:pPr>
      <w:r w:rsidRPr="003C18EC">
        <w:rPr>
          <w:lang w:val="pl-PL"/>
        </w:rPr>
        <w:t xml:space="preserve">Rejestr nieruchomości nie został jeszcze sprostowany w odniesieniu do sióstr zmarłego. </w:t>
      </w:r>
      <w:r>
        <w:rPr>
          <w:lang w:val="pl-PL"/>
        </w:rPr>
        <w:t>Takie sprostowanie jest możliwe jedynie</w:t>
      </w:r>
      <w:r w:rsidR="00B07295">
        <w:rPr>
          <w:lang w:val="pl-PL"/>
        </w:rPr>
        <w:t>,</w:t>
      </w:r>
      <w:r>
        <w:rPr>
          <w:lang w:val="pl-PL"/>
        </w:rPr>
        <w:t xml:space="preserve"> </w:t>
      </w:r>
      <w:r w:rsidR="00071C34">
        <w:rPr>
          <w:lang w:val="pl-PL"/>
        </w:rPr>
        <w:t>jeśli</w:t>
      </w:r>
      <w:r>
        <w:rPr>
          <w:lang w:val="pl-PL"/>
        </w:rPr>
        <w:t xml:space="preserve"> istnieje nieodwołalny wyrok na ich korzyść. Tylko w takim przypadku mogą zostać uznane za współwłaścicielki majątku </w:t>
      </w:r>
      <w:r w:rsidR="002423F7">
        <w:rPr>
          <w:lang w:val="pl-PL"/>
        </w:rPr>
        <w:t>spadkodawcy</w:t>
      </w:r>
      <w:r>
        <w:rPr>
          <w:lang w:val="pl-PL"/>
        </w:rPr>
        <w:t xml:space="preserve">. </w:t>
      </w:r>
    </w:p>
    <w:p w14:paraId="37124960" w14:textId="434E71BA" w:rsidR="003C18EC" w:rsidRPr="003C18EC" w:rsidRDefault="00071C34">
      <w:pPr>
        <w:pStyle w:val="ClinContent"/>
        <w:rPr>
          <w:lang w:val="pl-PL"/>
        </w:rPr>
      </w:pPr>
      <w:r>
        <w:rPr>
          <w:lang w:val="pl-PL"/>
        </w:rPr>
        <w:t>A zatem, p</w:t>
      </w:r>
      <w:r w:rsidR="003C18EC" w:rsidRPr="003C18EC">
        <w:rPr>
          <w:lang w:val="pl-PL"/>
        </w:rPr>
        <w:t>o pierwsze</w:t>
      </w:r>
      <w:r>
        <w:rPr>
          <w:lang w:val="pl-PL"/>
        </w:rPr>
        <w:t>,</w:t>
      </w:r>
      <w:r w:rsidR="003C18EC" w:rsidRPr="003C18EC">
        <w:rPr>
          <w:lang w:val="pl-PL"/>
        </w:rPr>
        <w:t xml:space="preserve"> skutek naruszenia </w:t>
      </w:r>
      <w:r w:rsidR="002C7F50" w:rsidRPr="003C18EC">
        <w:rPr>
          <w:lang w:val="pl-PL"/>
        </w:rPr>
        <w:t>stwierdzon</w:t>
      </w:r>
      <w:r w:rsidR="002C7F50">
        <w:rPr>
          <w:lang w:val="pl-PL"/>
        </w:rPr>
        <w:t>ego</w:t>
      </w:r>
      <w:r w:rsidR="002C7F50" w:rsidRPr="003C18EC">
        <w:rPr>
          <w:lang w:val="pl-PL"/>
        </w:rPr>
        <w:t xml:space="preserve"> </w:t>
      </w:r>
      <w:r w:rsidR="003C18EC" w:rsidRPr="003C18EC">
        <w:rPr>
          <w:lang w:val="pl-PL"/>
        </w:rPr>
        <w:t>w wyroku głównym jeszcze</w:t>
      </w:r>
      <w:r w:rsidR="008D3AAD">
        <w:rPr>
          <w:lang w:val="pl-PL"/>
        </w:rPr>
        <w:t xml:space="preserve"> się nie urzeczywistnił</w:t>
      </w:r>
      <w:r w:rsidR="003C18EC" w:rsidRPr="003C18EC">
        <w:rPr>
          <w:lang w:val="pl-PL"/>
        </w:rPr>
        <w:t xml:space="preserve">. </w:t>
      </w:r>
      <w:r w:rsidR="003C18EC">
        <w:rPr>
          <w:lang w:val="pl-PL"/>
        </w:rPr>
        <w:t xml:space="preserve">Po drugie, nie </w:t>
      </w:r>
      <w:r w:rsidR="00975B16">
        <w:rPr>
          <w:lang w:val="pl-PL"/>
        </w:rPr>
        <w:t xml:space="preserve">jest </w:t>
      </w:r>
      <w:r w:rsidR="00B07295">
        <w:rPr>
          <w:lang w:val="pl-PL"/>
        </w:rPr>
        <w:t xml:space="preserve">co do zasady </w:t>
      </w:r>
      <w:r w:rsidR="00975B16">
        <w:rPr>
          <w:lang w:val="pl-PL"/>
        </w:rPr>
        <w:t xml:space="preserve">zadaniem </w:t>
      </w:r>
      <w:r w:rsidR="008D3AAD">
        <w:rPr>
          <w:lang w:val="pl-PL"/>
        </w:rPr>
        <w:t xml:space="preserve">Trybunału </w:t>
      </w:r>
      <w:r w:rsidR="003C18EC">
        <w:rPr>
          <w:lang w:val="pl-PL"/>
        </w:rPr>
        <w:t xml:space="preserve">wyraźne określanie, w jaki sposób </w:t>
      </w:r>
      <w:r w:rsidR="008C6F73">
        <w:rPr>
          <w:lang w:val="pl-PL"/>
        </w:rPr>
        <w:t>p</w:t>
      </w:r>
      <w:r w:rsidR="003C18EC">
        <w:rPr>
          <w:lang w:val="pl-PL"/>
        </w:rPr>
        <w:t xml:space="preserve">aństwo powinno </w:t>
      </w:r>
      <w:r w:rsidR="00AA303E">
        <w:rPr>
          <w:lang w:val="pl-PL"/>
        </w:rPr>
        <w:t>położyć kres</w:t>
      </w:r>
      <w:r w:rsidR="003C18EC">
        <w:rPr>
          <w:lang w:val="pl-PL"/>
        </w:rPr>
        <w:t xml:space="preserve"> </w:t>
      </w:r>
      <w:r w:rsidR="00F50F3C">
        <w:rPr>
          <w:lang w:val="pl-PL"/>
        </w:rPr>
        <w:t xml:space="preserve">naruszeniu </w:t>
      </w:r>
      <w:r w:rsidR="003C18EC">
        <w:rPr>
          <w:lang w:val="pl-PL"/>
        </w:rPr>
        <w:t xml:space="preserve">Konwencji i naprawić jego skutki. </w:t>
      </w:r>
    </w:p>
    <w:p w14:paraId="5395C59C" w14:textId="24D6D77C" w:rsidR="003C18EC" w:rsidRPr="004A1CAC" w:rsidRDefault="004A1CAC">
      <w:pPr>
        <w:pStyle w:val="ClinContent"/>
        <w:rPr>
          <w:lang w:val="pl-PL"/>
        </w:rPr>
      </w:pPr>
      <w:r w:rsidRPr="004A1CAC">
        <w:rPr>
          <w:lang w:val="pl-PL"/>
        </w:rPr>
        <w:t xml:space="preserve">Niemniej jednak jest jasne, że </w:t>
      </w:r>
      <w:r w:rsidRPr="001E0D0C">
        <w:rPr>
          <w:lang w:val="pl-PL"/>
        </w:rPr>
        <w:t>przywrócenie „sytuacji, która najprawdopodobniej istniałaby, jeśli nie zostałoby popełnione [naruszenie]”</w:t>
      </w:r>
      <w:r w:rsidR="001E0D0C" w:rsidRPr="001E0D0C">
        <w:rPr>
          <w:lang w:val="pl-PL"/>
        </w:rPr>
        <w:t>,</w:t>
      </w:r>
      <w:r w:rsidRPr="001E0D0C">
        <w:rPr>
          <w:lang w:val="pl-PL"/>
        </w:rPr>
        <w:t xml:space="preserve"> </w:t>
      </w:r>
      <w:r w:rsidR="00DB603E" w:rsidRPr="001E0D0C">
        <w:rPr>
          <w:lang w:val="pl-PL"/>
        </w:rPr>
        <w:t>polega</w:t>
      </w:r>
      <w:r w:rsidR="00195CBA">
        <w:rPr>
          <w:lang w:val="pl-PL"/>
        </w:rPr>
        <w:t>ć powinno</w:t>
      </w:r>
      <w:r w:rsidR="00DB603E" w:rsidRPr="001E0D0C">
        <w:rPr>
          <w:lang w:val="pl-PL"/>
        </w:rPr>
        <w:t xml:space="preserve"> na podjęciu środków w celu zapewnienia, by skarżąca </w:t>
      </w:r>
      <w:r w:rsidR="00BC4EB3">
        <w:rPr>
          <w:lang w:val="pl-PL"/>
        </w:rPr>
        <w:t>zachowała</w:t>
      </w:r>
      <w:r w:rsidR="00DB603E" w:rsidRPr="001E0D0C">
        <w:rPr>
          <w:lang w:val="pl-PL"/>
        </w:rPr>
        <w:t xml:space="preserve"> własność </w:t>
      </w:r>
      <w:r w:rsidR="00F05F3F" w:rsidRPr="001E0D0C">
        <w:rPr>
          <w:lang w:val="pl-PL"/>
        </w:rPr>
        <w:t>zapisanego</w:t>
      </w:r>
      <w:r w:rsidR="00AD1749" w:rsidRPr="001E0D0C">
        <w:rPr>
          <w:lang w:val="pl-PL"/>
        </w:rPr>
        <w:t xml:space="preserve"> jej przez męża </w:t>
      </w:r>
      <w:r w:rsidR="00F05F3F" w:rsidRPr="001E0D0C">
        <w:rPr>
          <w:lang w:val="pl-PL"/>
        </w:rPr>
        <w:t>majątku</w:t>
      </w:r>
      <w:r w:rsidR="00DB603E" w:rsidRPr="001E0D0C">
        <w:rPr>
          <w:lang w:val="pl-PL"/>
        </w:rPr>
        <w:t xml:space="preserve"> w Grecji lub – w razie </w:t>
      </w:r>
      <w:r w:rsidR="00BC4EB3">
        <w:rPr>
          <w:lang w:val="pl-PL"/>
        </w:rPr>
        <w:t>sprostowania</w:t>
      </w:r>
      <w:r w:rsidR="00DB603E" w:rsidRPr="001E0D0C">
        <w:rPr>
          <w:lang w:val="pl-PL"/>
        </w:rPr>
        <w:t xml:space="preserve"> w rejestrze nieruchomości – by </w:t>
      </w:r>
      <w:r w:rsidR="00B615E4" w:rsidRPr="001E0D0C">
        <w:rPr>
          <w:lang w:val="pl-PL"/>
        </w:rPr>
        <w:t xml:space="preserve">jej prawa własności zostały przywrócone. Jeśli pozwane </w:t>
      </w:r>
      <w:r w:rsidR="008C6F73">
        <w:rPr>
          <w:lang w:val="pl-PL"/>
        </w:rPr>
        <w:t>p</w:t>
      </w:r>
      <w:r w:rsidR="00AD1749" w:rsidRPr="001E0D0C">
        <w:rPr>
          <w:lang w:val="pl-PL"/>
        </w:rPr>
        <w:t xml:space="preserve">aństwo </w:t>
      </w:r>
      <w:r w:rsidR="00B615E4" w:rsidRPr="001E0D0C">
        <w:rPr>
          <w:lang w:val="pl-PL"/>
        </w:rPr>
        <w:t xml:space="preserve">nie podejmie wskazanych wyżej środków w ciągu roku od wydania </w:t>
      </w:r>
      <w:r w:rsidR="001E0D0C" w:rsidRPr="001E0D0C">
        <w:rPr>
          <w:lang w:val="pl-PL"/>
        </w:rPr>
        <w:t>niniejszego</w:t>
      </w:r>
      <w:r w:rsidR="00B615E4" w:rsidRPr="001E0D0C">
        <w:rPr>
          <w:lang w:val="pl-PL"/>
        </w:rPr>
        <w:t xml:space="preserve"> wyroku, musi zapłacić skarżącej kwotę odszkodowania uwzględnia</w:t>
      </w:r>
      <w:r w:rsidR="00A5575F" w:rsidRPr="001E0D0C">
        <w:rPr>
          <w:lang w:val="pl-PL"/>
        </w:rPr>
        <w:t>jącą</w:t>
      </w:r>
      <w:r w:rsidR="00B615E4" w:rsidRPr="001E0D0C">
        <w:rPr>
          <w:lang w:val="pl-PL"/>
        </w:rPr>
        <w:t xml:space="preserve"> </w:t>
      </w:r>
      <w:r w:rsidR="00A5575F" w:rsidRPr="001E0D0C">
        <w:rPr>
          <w:lang w:val="pl-PL"/>
        </w:rPr>
        <w:t>wartoś</w:t>
      </w:r>
      <w:r w:rsidR="002B38B1">
        <w:rPr>
          <w:lang w:val="pl-PL"/>
        </w:rPr>
        <w:t>ć</w:t>
      </w:r>
      <w:r w:rsidR="00B615E4" w:rsidRPr="001E0D0C">
        <w:rPr>
          <w:lang w:val="pl-PL"/>
        </w:rPr>
        <w:t xml:space="preserve"> </w:t>
      </w:r>
      <w:r w:rsidR="00195CBA">
        <w:rPr>
          <w:lang w:val="pl-PL"/>
        </w:rPr>
        <w:t xml:space="preserve">udziału w </w:t>
      </w:r>
      <w:r w:rsidR="00D233AE" w:rsidRPr="001E0D0C">
        <w:rPr>
          <w:lang w:val="pl-PL"/>
        </w:rPr>
        <w:t>zapisan</w:t>
      </w:r>
      <w:r w:rsidR="00195CBA">
        <w:rPr>
          <w:lang w:val="pl-PL"/>
        </w:rPr>
        <w:t>ym</w:t>
      </w:r>
      <w:r w:rsidR="00B615E4" w:rsidRPr="001E0D0C">
        <w:rPr>
          <w:lang w:val="pl-PL"/>
        </w:rPr>
        <w:t xml:space="preserve"> jej</w:t>
      </w:r>
      <w:r w:rsidR="00D233AE" w:rsidRPr="001E0D0C">
        <w:rPr>
          <w:lang w:val="pl-PL"/>
        </w:rPr>
        <w:t xml:space="preserve"> majątku</w:t>
      </w:r>
      <w:r w:rsidR="00A5575F" w:rsidRPr="001E0D0C">
        <w:rPr>
          <w:lang w:val="pl-PL"/>
        </w:rPr>
        <w:t xml:space="preserve">, którego została pozbawiona na podstawie </w:t>
      </w:r>
      <w:r w:rsidR="001A7663">
        <w:rPr>
          <w:lang w:val="pl-PL"/>
        </w:rPr>
        <w:t>przepisów</w:t>
      </w:r>
      <w:r w:rsidR="00A5575F" w:rsidRPr="001E0D0C">
        <w:rPr>
          <w:lang w:val="pl-PL"/>
        </w:rPr>
        <w:t xml:space="preserve"> prawa szariatu, czyli 75%. </w:t>
      </w:r>
      <w:r w:rsidR="00D44601" w:rsidRPr="001E0D0C">
        <w:rPr>
          <w:lang w:val="pl-PL"/>
        </w:rPr>
        <w:t xml:space="preserve">Jeśli jednak wynik toczącego się obecnie w Grecji postępowania </w:t>
      </w:r>
      <w:r w:rsidR="00397FC5" w:rsidRPr="001E0D0C">
        <w:rPr>
          <w:lang w:val="pl-PL"/>
        </w:rPr>
        <w:t xml:space="preserve">będzie zgodny </w:t>
      </w:r>
      <w:r w:rsidR="00D44601" w:rsidRPr="001E0D0C">
        <w:rPr>
          <w:lang w:val="pl-PL"/>
        </w:rPr>
        <w:t xml:space="preserve">z wyrokiem </w:t>
      </w:r>
      <w:r w:rsidR="00B07295" w:rsidRPr="001E0D0C">
        <w:rPr>
          <w:lang w:val="pl-PL"/>
        </w:rPr>
        <w:t>głównym</w:t>
      </w:r>
      <w:r w:rsidR="00B07295" w:rsidRPr="001E0D0C">
        <w:rPr>
          <w:lang w:val="pl-PL"/>
        </w:rPr>
        <w:t xml:space="preserve"> </w:t>
      </w:r>
      <w:r w:rsidR="00D44601" w:rsidRPr="001E0D0C">
        <w:rPr>
          <w:lang w:val="pl-PL"/>
        </w:rPr>
        <w:t xml:space="preserve">[Trybunału], </w:t>
      </w:r>
      <w:r w:rsidR="00397FC5" w:rsidRPr="001E0D0C">
        <w:rPr>
          <w:lang w:val="pl-PL"/>
        </w:rPr>
        <w:t xml:space="preserve">będzie </w:t>
      </w:r>
      <w:r w:rsidR="00D44601" w:rsidRPr="001E0D0C">
        <w:rPr>
          <w:lang w:val="pl-PL"/>
        </w:rPr>
        <w:t xml:space="preserve">musiała </w:t>
      </w:r>
      <w:r w:rsidR="00397FC5" w:rsidRPr="001E0D0C">
        <w:rPr>
          <w:lang w:val="pl-PL"/>
        </w:rPr>
        <w:t xml:space="preserve">ona </w:t>
      </w:r>
      <w:r w:rsidR="00D44601" w:rsidRPr="001E0D0C">
        <w:rPr>
          <w:lang w:val="pl-PL"/>
        </w:rPr>
        <w:t xml:space="preserve">zwrócić pozwanemu </w:t>
      </w:r>
      <w:r w:rsidR="008C6F73">
        <w:rPr>
          <w:lang w:val="pl-PL"/>
        </w:rPr>
        <w:t>p</w:t>
      </w:r>
      <w:r w:rsidR="00D44601" w:rsidRPr="001E0D0C">
        <w:rPr>
          <w:lang w:val="pl-PL"/>
        </w:rPr>
        <w:t>aństwu kwotę zapłaconą</w:t>
      </w:r>
      <w:r w:rsidR="00D44601">
        <w:rPr>
          <w:lang w:val="pl-PL"/>
        </w:rPr>
        <w:t xml:space="preserve"> jej w</w:t>
      </w:r>
      <w:r w:rsidR="00756F0F" w:rsidRPr="00756F0F">
        <w:rPr>
          <w:lang w:val="pl-PL"/>
        </w:rPr>
        <w:t> </w:t>
      </w:r>
      <w:r w:rsidR="00D44601">
        <w:rPr>
          <w:lang w:val="pl-PL"/>
        </w:rPr>
        <w:t xml:space="preserve">międzyczasie. </w:t>
      </w:r>
    </w:p>
    <w:p w14:paraId="33CAD46E" w14:textId="0D725387" w:rsidR="00EC00DB" w:rsidRPr="00F248FA" w:rsidRDefault="00EC00DB">
      <w:pPr>
        <w:pStyle w:val="ClinContent"/>
        <w:rPr>
          <w:lang w:val="pl-PL"/>
        </w:rPr>
      </w:pPr>
      <w:r w:rsidRPr="00F248FA">
        <w:rPr>
          <w:lang w:val="pl-PL"/>
        </w:rPr>
        <w:t xml:space="preserve">b) </w:t>
      </w:r>
      <w:r w:rsidR="00D233AE" w:rsidRPr="00D233AE">
        <w:rPr>
          <w:i/>
          <w:lang w:val="pl-PL"/>
        </w:rPr>
        <w:t>M</w:t>
      </w:r>
      <w:r w:rsidR="00195CBA">
        <w:rPr>
          <w:i/>
          <w:lang w:val="pl-PL"/>
        </w:rPr>
        <w:t>ienie położone</w:t>
      </w:r>
      <w:r w:rsidRPr="00F248FA">
        <w:rPr>
          <w:i/>
          <w:lang w:val="pl-PL"/>
        </w:rPr>
        <w:t xml:space="preserve"> w Turcji</w:t>
      </w:r>
      <w:r w:rsidRPr="00F248FA">
        <w:rPr>
          <w:lang w:val="pl-PL"/>
        </w:rPr>
        <w:t xml:space="preserve"> </w:t>
      </w:r>
      <w:r w:rsidR="00F248FA">
        <w:rPr>
          <w:lang w:val="pl-PL"/>
        </w:rPr>
        <w:t>–</w:t>
      </w:r>
      <w:r w:rsidR="00F248FA" w:rsidRPr="00F248FA">
        <w:rPr>
          <w:lang w:val="pl-PL"/>
        </w:rPr>
        <w:t xml:space="preserve"> </w:t>
      </w:r>
      <w:r w:rsidR="00F248FA">
        <w:rPr>
          <w:lang w:val="pl-PL"/>
        </w:rPr>
        <w:t>Skarga, która była podstawą wyroku</w:t>
      </w:r>
      <w:r w:rsidR="005E479F" w:rsidRPr="005E479F">
        <w:rPr>
          <w:lang w:val="pl-PL"/>
        </w:rPr>
        <w:t xml:space="preserve"> </w:t>
      </w:r>
      <w:r w:rsidR="005E479F">
        <w:rPr>
          <w:lang w:val="pl-PL"/>
        </w:rPr>
        <w:t>głównego</w:t>
      </w:r>
      <w:r w:rsidR="00F248FA">
        <w:rPr>
          <w:lang w:val="pl-PL"/>
        </w:rPr>
        <w:t xml:space="preserve">, została wniesiona jedynie przeciwko Grecji. </w:t>
      </w:r>
      <w:r w:rsidR="00703708">
        <w:rPr>
          <w:lang w:val="pl-PL"/>
        </w:rPr>
        <w:t xml:space="preserve">Kwestia skutków </w:t>
      </w:r>
      <w:r w:rsidR="00397FC5">
        <w:rPr>
          <w:lang w:val="pl-PL"/>
        </w:rPr>
        <w:t>testamentu</w:t>
      </w:r>
      <w:r w:rsidR="00703708">
        <w:rPr>
          <w:lang w:val="pl-PL"/>
        </w:rPr>
        <w:t xml:space="preserve"> zmarłego w odniesieniu do </w:t>
      </w:r>
      <w:r w:rsidR="00D233AE">
        <w:rPr>
          <w:lang w:val="pl-PL"/>
        </w:rPr>
        <w:t>majątku</w:t>
      </w:r>
      <w:r w:rsidR="00703708">
        <w:rPr>
          <w:lang w:val="pl-PL"/>
        </w:rPr>
        <w:t xml:space="preserve"> w Turcji jest przedmiotem wciąż </w:t>
      </w:r>
      <w:r w:rsidR="00975B16">
        <w:rPr>
          <w:lang w:val="pl-PL"/>
        </w:rPr>
        <w:t>toczącego się</w:t>
      </w:r>
      <w:r w:rsidR="00703708">
        <w:rPr>
          <w:lang w:val="pl-PL"/>
        </w:rPr>
        <w:t xml:space="preserve"> postępowania przed sądami tureckimi. W dniu 18 stycznia 2018 r. Sąd Pierwszej Instancji orzekł</w:t>
      </w:r>
      <w:r w:rsidR="00A7153E">
        <w:rPr>
          <w:lang w:val="pl-PL"/>
        </w:rPr>
        <w:t>, że</w:t>
      </w:r>
      <w:r w:rsidR="00703708">
        <w:rPr>
          <w:lang w:val="pl-PL"/>
        </w:rPr>
        <w:t xml:space="preserve"> sądy tureckie nie</w:t>
      </w:r>
      <w:r w:rsidR="00B07295">
        <w:rPr>
          <w:lang w:val="pl-PL"/>
        </w:rPr>
        <w:t> </w:t>
      </w:r>
      <w:r w:rsidR="00703708">
        <w:rPr>
          <w:lang w:val="pl-PL"/>
        </w:rPr>
        <w:t>mają obowiązku ponownego</w:t>
      </w:r>
      <w:r w:rsidR="00A7153E">
        <w:rPr>
          <w:lang w:val="pl-PL"/>
        </w:rPr>
        <w:t xml:space="preserve"> rozpoznania</w:t>
      </w:r>
      <w:r w:rsidR="00703708">
        <w:rPr>
          <w:lang w:val="pl-PL"/>
        </w:rPr>
        <w:t xml:space="preserve"> sprawy</w:t>
      </w:r>
      <w:r w:rsidR="00195CBA">
        <w:rPr>
          <w:lang w:val="pl-PL"/>
        </w:rPr>
        <w:t xml:space="preserve"> po wyrokach wydanych przez sądy greckie</w:t>
      </w:r>
      <w:r w:rsidR="00703708">
        <w:rPr>
          <w:lang w:val="pl-PL"/>
        </w:rPr>
        <w:t xml:space="preserve">. Apelacje </w:t>
      </w:r>
      <w:r w:rsidR="002F0132">
        <w:rPr>
          <w:lang w:val="pl-PL"/>
        </w:rPr>
        <w:t xml:space="preserve">od tego wyroku, </w:t>
      </w:r>
      <w:r w:rsidR="00703708">
        <w:rPr>
          <w:lang w:val="pl-PL"/>
        </w:rPr>
        <w:t>złożone zarówno przez skarżącą</w:t>
      </w:r>
      <w:r w:rsidR="005E479F">
        <w:rPr>
          <w:lang w:val="pl-PL"/>
        </w:rPr>
        <w:t>,</w:t>
      </w:r>
      <w:r w:rsidR="00703708">
        <w:rPr>
          <w:lang w:val="pl-PL"/>
        </w:rPr>
        <w:t xml:space="preserve"> jak i siostry spadkodawc</w:t>
      </w:r>
      <w:r w:rsidR="00A7153E">
        <w:rPr>
          <w:lang w:val="pl-PL"/>
        </w:rPr>
        <w:t>y</w:t>
      </w:r>
      <w:r w:rsidR="002F0132">
        <w:rPr>
          <w:lang w:val="pl-PL"/>
        </w:rPr>
        <w:t>,</w:t>
      </w:r>
      <w:r w:rsidR="00703708">
        <w:rPr>
          <w:lang w:val="pl-PL"/>
        </w:rPr>
        <w:t xml:space="preserve"> są wciąż zawisłe przed tureckim sądem apelacyjnym. </w:t>
      </w:r>
    </w:p>
    <w:p w14:paraId="074442E0" w14:textId="78D224BE" w:rsidR="00606DB9" w:rsidRPr="00D74EE6" w:rsidRDefault="00606DB9">
      <w:pPr>
        <w:pStyle w:val="ClinContent"/>
        <w:rPr>
          <w:lang w:val="pl-PL"/>
        </w:rPr>
      </w:pPr>
      <w:r w:rsidRPr="00D74EE6">
        <w:rPr>
          <w:lang w:val="pl-PL"/>
        </w:rPr>
        <w:t xml:space="preserve">W tej sytuacji Trybunał nie </w:t>
      </w:r>
      <w:r w:rsidR="00D74EE6" w:rsidRPr="00D74EE6">
        <w:rPr>
          <w:lang w:val="pl-PL"/>
        </w:rPr>
        <w:t>dostrzega</w:t>
      </w:r>
      <w:r w:rsidRPr="00D74EE6">
        <w:rPr>
          <w:lang w:val="pl-PL"/>
        </w:rPr>
        <w:t xml:space="preserve"> żadnych szczególnych okoliczności, które mogłyby </w:t>
      </w:r>
      <w:r w:rsidR="00E707D4">
        <w:rPr>
          <w:lang w:val="pl-PL"/>
        </w:rPr>
        <w:t>być rozumiane</w:t>
      </w:r>
      <w:r w:rsidRPr="00D74EE6">
        <w:rPr>
          <w:lang w:val="pl-PL"/>
        </w:rPr>
        <w:t xml:space="preserve"> jako wykonywanie przez Grecję jurysdykcji w odniesieniu do postępowania </w:t>
      </w:r>
      <w:r w:rsidR="003D6A0F">
        <w:rPr>
          <w:lang w:val="pl-PL"/>
        </w:rPr>
        <w:t>toczącego się</w:t>
      </w:r>
      <w:r w:rsidRPr="00D74EE6">
        <w:rPr>
          <w:lang w:val="pl-PL"/>
        </w:rPr>
        <w:t xml:space="preserve"> w Turcji.</w:t>
      </w:r>
    </w:p>
    <w:p w14:paraId="60C646B7" w14:textId="22FD2989" w:rsidR="00DC3378" w:rsidRPr="00DC3378" w:rsidRDefault="00DC3378">
      <w:pPr>
        <w:pStyle w:val="ClinContent"/>
        <w:rPr>
          <w:lang w:val="pl-PL"/>
        </w:rPr>
      </w:pPr>
      <w:r w:rsidRPr="00DC3378">
        <w:rPr>
          <w:lang w:val="pl-PL"/>
        </w:rPr>
        <w:t>Należy również zauważyć, że chociaż zmarły mąż skarżącej sporządził swój testament w</w:t>
      </w:r>
      <w:r w:rsidR="00756F0F">
        <w:rPr>
          <w:lang w:val="pl-PL"/>
        </w:rPr>
        <w:t> </w:t>
      </w:r>
      <w:r w:rsidRPr="00DC3378">
        <w:rPr>
          <w:lang w:val="pl-PL"/>
        </w:rPr>
        <w:t>sposób ogólny, nie dokonując szczegółowego rozróżnienia na nieruchomości położone w</w:t>
      </w:r>
      <w:r w:rsidR="00756F0F">
        <w:rPr>
          <w:lang w:val="pl-PL"/>
        </w:rPr>
        <w:t> </w:t>
      </w:r>
      <w:r w:rsidRPr="00DC3378">
        <w:rPr>
          <w:lang w:val="pl-PL"/>
        </w:rPr>
        <w:t xml:space="preserve">Turcji i Grecji, </w:t>
      </w:r>
      <w:r>
        <w:rPr>
          <w:lang w:val="pl-PL"/>
        </w:rPr>
        <w:t xml:space="preserve">akt notarialny skarżącej akceptujący testament </w:t>
      </w:r>
      <w:r w:rsidR="00195CBA">
        <w:rPr>
          <w:lang w:val="pl-PL"/>
        </w:rPr>
        <w:t xml:space="preserve">opisuje i </w:t>
      </w:r>
      <w:r>
        <w:rPr>
          <w:lang w:val="pl-PL"/>
        </w:rPr>
        <w:t xml:space="preserve">odnosi się </w:t>
      </w:r>
      <w:r w:rsidR="00195CBA">
        <w:rPr>
          <w:lang w:val="pl-PL"/>
        </w:rPr>
        <w:t xml:space="preserve">jedynie </w:t>
      </w:r>
      <w:r>
        <w:rPr>
          <w:lang w:val="pl-PL"/>
        </w:rPr>
        <w:t xml:space="preserve">do </w:t>
      </w:r>
      <w:r w:rsidR="00195CBA">
        <w:rPr>
          <w:lang w:val="pl-PL"/>
        </w:rPr>
        <w:t>majątku</w:t>
      </w:r>
      <w:r w:rsidR="009D19A4">
        <w:rPr>
          <w:lang w:val="pl-PL"/>
        </w:rPr>
        <w:t xml:space="preserve"> zmarłego w Grecji.</w:t>
      </w:r>
    </w:p>
    <w:p w14:paraId="3193D54A" w14:textId="48C68E61" w:rsidR="00BB4641" w:rsidRPr="00BB4641" w:rsidRDefault="00BB4641">
      <w:pPr>
        <w:pStyle w:val="ClinContent"/>
        <w:rPr>
          <w:lang w:val="pl-PL"/>
        </w:rPr>
      </w:pPr>
      <w:r w:rsidRPr="00BB4641">
        <w:rPr>
          <w:lang w:val="pl-PL"/>
        </w:rPr>
        <w:t>W każdym razie</w:t>
      </w:r>
      <w:r w:rsidR="00975B16">
        <w:rPr>
          <w:lang w:val="pl-PL"/>
        </w:rPr>
        <w:t>,</w:t>
      </w:r>
      <w:r w:rsidRPr="00BB4641">
        <w:rPr>
          <w:lang w:val="pl-PL"/>
        </w:rPr>
        <w:t xml:space="preserve"> </w:t>
      </w:r>
      <w:r w:rsidR="008C6F73">
        <w:rPr>
          <w:lang w:val="pl-PL"/>
        </w:rPr>
        <w:t xml:space="preserve">orzekając </w:t>
      </w:r>
      <w:r w:rsidRPr="00BB4641">
        <w:rPr>
          <w:lang w:val="pl-PL"/>
        </w:rPr>
        <w:t xml:space="preserve">o zastosowalności art. </w:t>
      </w:r>
      <w:r>
        <w:rPr>
          <w:lang w:val="pl-PL"/>
        </w:rPr>
        <w:t>1 Protokołu nr 1</w:t>
      </w:r>
      <w:r w:rsidRPr="00BB4641">
        <w:rPr>
          <w:lang w:val="pl-PL"/>
        </w:rPr>
        <w:t xml:space="preserve"> w wyroku</w:t>
      </w:r>
      <w:r w:rsidR="000E1E85">
        <w:rPr>
          <w:lang w:val="pl-PL"/>
        </w:rPr>
        <w:t xml:space="preserve"> </w:t>
      </w:r>
      <w:r w:rsidR="005E479F">
        <w:rPr>
          <w:lang w:val="pl-PL"/>
        </w:rPr>
        <w:t>głównym</w:t>
      </w:r>
      <w:r w:rsidR="005E479F">
        <w:rPr>
          <w:lang w:val="pl-PL"/>
        </w:rPr>
        <w:t xml:space="preserve"> </w:t>
      </w:r>
      <w:r w:rsidR="000E1E85">
        <w:rPr>
          <w:lang w:val="pl-PL"/>
        </w:rPr>
        <w:t>w</w:t>
      </w:r>
      <w:r w:rsidR="00756F0F">
        <w:rPr>
          <w:lang w:val="pl-PL"/>
        </w:rPr>
        <w:t> </w:t>
      </w:r>
      <w:r w:rsidR="000E1E85">
        <w:rPr>
          <w:lang w:val="pl-PL"/>
        </w:rPr>
        <w:t>sprawie przedmiotu skargi</w:t>
      </w:r>
      <w:r>
        <w:rPr>
          <w:lang w:val="pl-PL"/>
        </w:rPr>
        <w:t>, Trybunał odnosił się wyłącznie do</w:t>
      </w:r>
      <w:r w:rsidR="00D71374">
        <w:rPr>
          <w:lang w:val="pl-PL"/>
        </w:rPr>
        <w:t xml:space="preserve"> majątku położonego</w:t>
      </w:r>
      <w:r>
        <w:rPr>
          <w:lang w:val="pl-PL"/>
        </w:rPr>
        <w:t xml:space="preserve"> w</w:t>
      </w:r>
      <w:r w:rsidR="00756F0F">
        <w:rPr>
          <w:lang w:val="pl-PL"/>
        </w:rPr>
        <w:t> </w:t>
      </w:r>
      <w:r>
        <w:rPr>
          <w:lang w:val="pl-PL"/>
        </w:rPr>
        <w:t xml:space="preserve">Grecji. </w:t>
      </w:r>
      <w:r w:rsidR="002C6184">
        <w:rPr>
          <w:lang w:val="pl-PL"/>
        </w:rPr>
        <w:t xml:space="preserve">Była to jedyna podstawa, </w:t>
      </w:r>
      <w:r w:rsidR="005E479F">
        <w:rPr>
          <w:lang w:val="pl-PL"/>
        </w:rPr>
        <w:t xml:space="preserve">w oparciu o którą </w:t>
      </w:r>
      <w:r w:rsidR="002C6184">
        <w:rPr>
          <w:lang w:val="pl-PL"/>
        </w:rPr>
        <w:t xml:space="preserve">Trybunał </w:t>
      </w:r>
      <w:r w:rsidR="009709A0">
        <w:rPr>
          <w:lang w:val="pl-PL"/>
        </w:rPr>
        <w:t>następnie ustalał</w:t>
      </w:r>
      <w:r w:rsidR="002C6184">
        <w:rPr>
          <w:lang w:val="pl-PL"/>
        </w:rPr>
        <w:t xml:space="preserve">, czy doszło do naruszenia art. 14 </w:t>
      </w:r>
      <w:r w:rsidR="00C87890">
        <w:rPr>
          <w:lang w:val="pl-PL"/>
        </w:rPr>
        <w:t xml:space="preserve">Konwencji </w:t>
      </w:r>
      <w:r w:rsidR="002C6184">
        <w:rPr>
          <w:lang w:val="pl-PL"/>
        </w:rPr>
        <w:t xml:space="preserve">w związku z art. 1 Protokołu nr 1. Nie można też pominąć, że w tym wyroku Trybunał nie wypowiedział się na temat praw dochodzonych przez skarżącą na podstawie art. 1 Protokołu nr 1 w odniesieniu do </w:t>
      </w:r>
      <w:r w:rsidR="00D71374">
        <w:rPr>
          <w:lang w:val="pl-PL"/>
        </w:rPr>
        <w:t>majątku położonego</w:t>
      </w:r>
      <w:r w:rsidR="002C6184">
        <w:rPr>
          <w:lang w:val="pl-PL"/>
        </w:rPr>
        <w:t xml:space="preserve"> w Turcji. W</w:t>
      </w:r>
      <w:r w:rsidR="000E1E85">
        <w:rPr>
          <w:lang w:val="pl-PL"/>
        </w:rPr>
        <w:t xml:space="preserve"> konsekwencji </w:t>
      </w:r>
      <w:r w:rsidR="002C6184">
        <w:rPr>
          <w:lang w:val="pl-PL"/>
        </w:rPr>
        <w:t>mienie to nie może stanowić podstawy</w:t>
      </w:r>
      <w:r w:rsidR="009D2885">
        <w:rPr>
          <w:lang w:val="pl-PL"/>
        </w:rPr>
        <w:t xml:space="preserve"> dla</w:t>
      </w:r>
      <w:r w:rsidR="002C6184">
        <w:rPr>
          <w:lang w:val="pl-PL"/>
        </w:rPr>
        <w:t xml:space="preserve"> żadnego roszczenia o słuszne zadośćuczynienie wobec pozwanego </w:t>
      </w:r>
      <w:r w:rsidR="000E1E85">
        <w:rPr>
          <w:lang w:val="pl-PL"/>
        </w:rPr>
        <w:t>p</w:t>
      </w:r>
      <w:r w:rsidR="002C6184">
        <w:rPr>
          <w:lang w:val="pl-PL"/>
        </w:rPr>
        <w:t>aństwa w ramach obecnego postępowania dotyczącego zastrzeżonej kwestii</w:t>
      </w:r>
      <w:r w:rsidR="005E479F">
        <w:rPr>
          <w:lang w:val="pl-PL"/>
        </w:rPr>
        <w:t xml:space="preserve"> odnoszącej się do </w:t>
      </w:r>
      <w:r w:rsidR="002C6184">
        <w:rPr>
          <w:lang w:val="pl-PL"/>
        </w:rPr>
        <w:t xml:space="preserve">zastosowania art. 41. </w:t>
      </w:r>
    </w:p>
    <w:p w14:paraId="0F6A4690" w14:textId="59F85FE2" w:rsidR="008F4B85" w:rsidRPr="008F4B85" w:rsidRDefault="008F4B85">
      <w:pPr>
        <w:pStyle w:val="ClinContent"/>
        <w:rPr>
          <w:lang w:val="pl-PL"/>
        </w:rPr>
      </w:pPr>
      <w:r w:rsidRPr="008F4B85">
        <w:rPr>
          <w:lang w:val="pl-PL"/>
        </w:rPr>
        <w:lastRenderedPageBreak/>
        <w:t>Ponadto zgodnie z art. 46 Konwencji wyroki T</w:t>
      </w:r>
      <w:r>
        <w:rPr>
          <w:lang w:val="pl-PL"/>
        </w:rPr>
        <w:t>r</w:t>
      </w:r>
      <w:r w:rsidRPr="008F4B85">
        <w:rPr>
          <w:lang w:val="pl-PL"/>
        </w:rPr>
        <w:t xml:space="preserve">ybunału wiążą jedynie </w:t>
      </w:r>
      <w:r w:rsidR="000E1E85" w:rsidRPr="008F4B85">
        <w:rPr>
          <w:lang w:val="pl-PL"/>
        </w:rPr>
        <w:t xml:space="preserve">państwa strony </w:t>
      </w:r>
      <w:r w:rsidR="009D19A4">
        <w:rPr>
          <w:lang w:val="pl-PL"/>
        </w:rPr>
        <w:t>postępowania, w którym</w:t>
      </w:r>
      <w:r w:rsidRPr="008F4B85">
        <w:rPr>
          <w:lang w:val="pl-PL"/>
        </w:rPr>
        <w:t xml:space="preserve"> zostały one wydane, </w:t>
      </w:r>
      <w:r>
        <w:rPr>
          <w:lang w:val="pl-PL"/>
        </w:rPr>
        <w:t xml:space="preserve">co nie </w:t>
      </w:r>
      <w:r w:rsidR="00B35A03">
        <w:rPr>
          <w:lang w:val="pl-PL"/>
        </w:rPr>
        <w:t xml:space="preserve">dotyczy </w:t>
      </w:r>
      <w:r>
        <w:rPr>
          <w:lang w:val="pl-PL"/>
        </w:rPr>
        <w:t>Tur</w:t>
      </w:r>
      <w:r w:rsidR="008D01DF">
        <w:rPr>
          <w:lang w:val="pl-PL"/>
        </w:rPr>
        <w:t xml:space="preserve">cji </w:t>
      </w:r>
      <w:r w:rsidR="008B2413">
        <w:rPr>
          <w:lang w:val="pl-PL"/>
        </w:rPr>
        <w:t>w odniesieniu do</w:t>
      </w:r>
      <w:r w:rsidR="00756F0F">
        <w:rPr>
          <w:lang w:val="pl-PL"/>
        </w:rPr>
        <w:t> </w:t>
      </w:r>
      <w:r w:rsidR="00F50F3C">
        <w:rPr>
          <w:lang w:val="pl-PL"/>
        </w:rPr>
        <w:t xml:space="preserve">wyroku </w:t>
      </w:r>
      <w:r w:rsidR="009F108A">
        <w:rPr>
          <w:lang w:val="pl-PL"/>
        </w:rPr>
        <w:t>głównego</w:t>
      </w:r>
      <w:r w:rsidR="009F108A" w:rsidDel="00F50F3C">
        <w:rPr>
          <w:lang w:val="pl-PL"/>
        </w:rPr>
        <w:t xml:space="preserve"> </w:t>
      </w:r>
      <w:r w:rsidR="00F50F3C">
        <w:rPr>
          <w:lang w:val="pl-PL"/>
        </w:rPr>
        <w:t xml:space="preserve">wydanego </w:t>
      </w:r>
      <w:r w:rsidR="008D01DF">
        <w:rPr>
          <w:lang w:val="pl-PL"/>
        </w:rPr>
        <w:t xml:space="preserve">w niniejszej sprawie. </w:t>
      </w:r>
      <w:r w:rsidR="00AF69F4">
        <w:rPr>
          <w:lang w:val="pl-PL"/>
        </w:rPr>
        <w:t xml:space="preserve">Niemniej jednak </w:t>
      </w:r>
      <w:r w:rsidR="00B35A03">
        <w:rPr>
          <w:lang w:val="pl-PL"/>
        </w:rPr>
        <w:t>nic nie stoi na</w:t>
      </w:r>
      <w:r w:rsidR="00756F0F">
        <w:rPr>
          <w:lang w:val="pl-PL"/>
        </w:rPr>
        <w:t> </w:t>
      </w:r>
      <w:r w:rsidR="00B35A03">
        <w:rPr>
          <w:lang w:val="pl-PL"/>
        </w:rPr>
        <w:t>przeszkodzie</w:t>
      </w:r>
      <w:r w:rsidR="00AF69F4">
        <w:rPr>
          <w:lang w:val="pl-PL"/>
        </w:rPr>
        <w:t xml:space="preserve">, </w:t>
      </w:r>
      <w:r w:rsidR="008D01DF">
        <w:rPr>
          <w:lang w:val="pl-PL"/>
        </w:rPr>
        <w:t>by sądy tureckie wydały wyrok uwzględniający</w:t>
      </w:r>
      <w:r w:rsidR="00AF69F4">
        <w:rPr>
          <w:lang w:val="pl-PL"/>
        </w:rPr>
        <w:t xml:space="preserve"> wyrok </w:t>
      </w:r>
      <w:r w:rsidR="009F108A">
        <w:rPr>
          <w:lang w:val="pl-PL"/>
        </w:rPr>
        <w:t>główny</w:t>
      </w:r>
      <w:r w:rsidR="009F108A">
        <w:rPr>
          <w:lang w:val="pl-PL"/>
        </w:rPr>
        <w:t xml:space="preserve"> </w:t>
      </w:r>
      <w:r w:rsidR="00AF69F4">
        <w:rPr>
          <w:lang w:val="pl-PL"/>
        </w:rPr>
        <w:t>[Trybunału].</w:t>
      </w:r>
    </w:p>
    <w:p w14:paraId="7B21AB25" w14:textId="322CC96C" w:rsidR="00AF69F4" w:rsidRPr="00AF69F4" w:rsidRDefault="00AF69F4">
      <w:pPr>
        <w:pStyle w:val="ClinContent"/>
        <w:rPr>
          <w:lang w:val="pl-PL"/>
        </w:rPr>
      </w:pPr>
      <w:r w:rsidRPr="00AF69F4">
        <w:rPr>
          <w:lang w:val="pl-PL"/>
        </w:rPr>
        <w:t xml:space="preserve">Ponadto w razie potrzeby </w:t>
      </w:r>
      <w:r w:rsidR="000E1E85" w:rsidRPr="00AF69F4">
        <w:rPr>
          <w:lang w:val="pl-PL"/>
        </w:rPr>
        <w:t xml:space="preserve">skarżąca może </w:t>
      </w:r>
      <w:r w:rsidRPr="00AF69F4">
        <w:rPr>
          <w:lang w:val="pl-PL"/>
        </w:rPr>
        <w:t>złożyć skargę przeciwko Turcji w</w:t>
      </w:r>
      <w:r w:rsidR="00922686">
        <w:rPr>
          <w:lang w:val="pl-PL"/>
        </w:rPr>
        <w:t> sprawie</w:t>
      </w:r>
      <w:r w:rsidR="00756F0F">
        <w:rPr>
          <w:lang w:val="pl-PL"/>
        </w:rPr>
        <w:t> </w:t>
      </w:r>
      <w:r w:rsidRPr="00AF69F4">
        <w:rPr>
          <w:lang w:val="pl-PL"/>
        </w:rPr>
        <w:t>ostatecznego rozstrzygnięcia wydanego przez sądy tureckie w sprawie skutków testament</w:t>
      </w:r>
      <w:r w:rsidR="00263474">
        <w:rPr>
          <w:lang w:val="pl-PL"/>
        </w:rPr>
        <w:t>u</w:t>
      </w:r>
      <w:r w:rsidRPr="00AF69F4">
        <w:rPr>
          <w:lang w:val="pl-PL"/>
        </w:rPr>
        <w:t xml:space="preserve"> </w:t>
      </w:r>
      <w:r>
        <w:rPr>
          <w:lang w:val="pl-PL"/>
        </w:rPr>
        <w:t xml:space="preserve">jej męża </w:t>
      </w:r>
      <w:r w:rsidR="00B35A03">
        <w:rPr>
          <w:lang w:val="pl-PL"/>
        </w:rPr>
        <w:t xml:space="preserve">odnośnie </w:t>
      </w:r>
      <w:r w:rsidR="000E1E85">
        <w:rPr>
          <w:lang w:val="pl-PL"/>
        </w:rPr>
        <w:t xml:space="preserve">do </w:t>
      </w:r>
      <w:r w:rsidR="00753772">
        <w:rPr>
          <w:lang w:val="pl-PL"/>
        </w:rPr>
        <w:t xml:space="preserve">majątku </w:t>
      </w:r>
      <w:r>
        <w:rPr>
          <w:lang w:val="pl-PL"/>
        </w:rPr>
        <w:t>położone</w:t>
      </w:r>
      <w:r w:rsidR="009709A0">
        <w:rPr>
          <w:lang w:val="pl-PL"/>
        </w:rPr>
        <w:t>go</w:t>
      </w:r>
      <w:r>
        <w:rPr>
          <w:lang w:val="pl-PL"/>
        </w:rPr>
        <w:t xml:space="preserve"> w Turcji, jeśli ich rozstrzygnięcie nie uwzględni </w:t>
      </w:r>
      <w:r w:rsidR="00B35A03">
        <w:rPr>
          <w:lang w:val="pl-PL"/>
        </w:rPr>
        <w:t xml:space="preserve">naruszenia art. 14 Konwencji w związku z art. 1 Protokołu nr 1 </w:t>
      </w:r>
      <w:r>
        <w:rPr>
          <w:lang w:val="pl-PL"/>
        </w:rPr>
        <w:t>stwierdz</w:t>
      </w:r>
      <w:r w:rsidR="00B35A03">
        <w:rPr>
          <w:lang w:val="pl-PL"/>
        </w:rPr>
        <w:t xml:space="preserve">onego </w:t>
      </w:r>
      <w:r w:rsidR="009709A0">
        <w:rPr>
          <w:lang w:val="pl-PL"/>
        </w:rPr>
        <w:t>przez Trybunał</w:t>
      </w:r>
      <w:r>
        <w:rPr>
          <w:lang w:val="pl-PL"/>
        </w:rPr>
        <w:t xml:space="preserve"> w wyroku </w:t>
      </w:r>
      <w:r w:rsidR="009F108A">
        <w:rPr>
          <w:lang w:val="pl-PL"/>
        </w:rPr>
        <w:t>głównym</w:t>
      </w:r>
      <w:r w:rsidR="009F108A">
        <w:rPr>
          <w:lang w:val="pl-PL"/>
        </w:rPr>
        <w:t xml:space="preserve"> </w:t>
      </w:r>
      <w:r w:rsidR="00B35A03">
        <w:rPr>
          <w:lang w:val="pl-PL"/>
        </w:rPr>
        <w:t>wobec Grecji</w:t>
      </w:r>
      <w:r>
        <w:rPr>
          <w:lang w:val="pl-PL"/>
        </w:rPr>
        <w:t xml:space="preserve"> </w:t>
      </w:r>
      <w:r w:rsidR="00CD4B50">
        <w:rPr>
          <w:lang w:val="pl-PL"/>
        </w:rPr>
        <w:t xml:space="preserve">i nie wyciągnie </w:t>
      </w:r>
      <w:r w:rsidR="000E1E85">
        <w:rPr>
          <w:lang w:val="pl-PL"/>
        </w:rPr>
        <w:t xml:space="preserve">z niego </w:t>
      </w:r>
      <w:r w:rsidR="008B2413">
        <w:rPr>
          <w:lang w:val="pl-PL"/>
        </w:rPr>
        <w:t>odpowiednich</w:t>
      </w:r>
      <w:r w:rsidR="00CD4B50">
        <w:rPr>
          <w:lang w:val="pl-PL"/>
        </w:rPr>
        <w:t xml:space="preserve"> wniosków, mając na uwadze status Turcji jako Układającego się Państwa.</w:t>
      </w:r>
    </w:p>
    <w:p w14:paraId="55AFAA6B" w14:textId="77777777" w:rsidR="00CD4B50" w:rsidRPr="00CD4B50" w:rsidRDefault="00CD4B50">
      <w:pPr>
        <w:pStyle w:val="ClinContent"/>
        <w:rPr>
          <w:lang w:val="pl-PL"/>
        </w:rPr>
      </w:pPr>
      <w:r w:rsidRPr="00CD4B50">
        <w:rPr>
          <w:lang w:val="pl-PL"/>
        </w:rPr>
        <w:t xml:space="preserve">W związku z powyższym w okolicznościach niniejszej sprawy Trybunał nie ma </w:t>
      </w:r>
      <w:r>
        <w:rPr>
          <w:lang w:val="pl-PL"/>
        </w:rPr>
        <w:t xml:space="preserve">kompetencji do rozpoznania roszczeń skarżącej dotyczących </w:t>
      </w:r>
      <w:r w:rsidR="00753772">
        <w:rPr>
          <w:lang w:val="pl-PL"/>
        </w:rPr>
        <w:t>majątku jej męża położonego</w:t>
      </w:r>
      <w:r>
        <w:rPr>
          <w:lang w:val="pl-PL"/>
        </w:rPr>
        <w:t xml:space="preserve"> w Turcji. </w:t>
      </w:r>
    </w:p>
    <w:p w14:paraId="4F29AE00" w14:textId="77777777" w:rsidR="00CD4B50" w:rsidRPr="00CD4B50" w:rsidRDefault="00CD4B50">
      <w:pPr>
        <w:pStyle w:val="ClinContent"/>
        <w:rPr>
          <w:lang w:val="pl-PL"/>
        </w:rPr>
      </w:pPr>
      <w:r w:rsidRPr="00CD4B50">
        <w:rPr>
          <w:lang w:val="pl-PL"/>
        </w:rPr>
        <w:t xml:space="preserve">b) </w:t>
      </w:r>
      <w:r w:rsidRPr="00CD4B50">
        <w:rPr>
          <w:i/>
          <w:lang w:val="pl-PL"/>
        </w:rPr>
        <w:t xml:space="preserve">Szkoda niemajątkowa – </w:t>
      </w:r>
      <w:r w:rsidRPr="00CD4B50">
        <w:rPr>
          <w:lang w:val="pl-PL"/>
        </w:rPr>
        <w:t xml:space="preserve">Trybunał zasądził </w:t>
      </w:r>
      <w:r>
        <w:rPr>
          <w:lang w:val="pl-PL"/>
        </w:rPr>
        <w:t xml:space="preserve">na rzecz skarżącej 10 000 EUR z tego tytułu. </w:t>
      </w:r>
    </w:p>
    <w:p w14:paraId="0D051BC2" w14:textId="17823CF7" w:rsidR="00EE436B" w:rsidRPr="00CD4B50" w:rsidRDefault="00EA61C5">
      <w:pPr>
        <w:pStyle w:val="ClinContent"/>
        <w:rPr>
          <w:lang w:val="pl-PL"/>
        </w:rPr>
      </w:pPr>
      <w:r w:rsidRPr="00CD4B50">
        <w:rPr>
          <w:lang w:val="pl-PL"/>
        </w:rPr>
        <w:t>(</w:t>
      </w:r>
      <w:r w:rsidR="00CD4B50" w:rsidRPr="00CD4B50">
        <w:rPr>
          <w:lang w:val="pl-PL"/>
        </w:rPr>
        <w:t xml:space="preserve">Zobacz również </w:t>
      </w:r>
      <w:r w:rsidRPr="00CD4B50">
        <w:rPr>
          <w:i/>
          <w:lang w:val="pl-PL"/>
        </w:rPr>
        <w:t xml:space="preserve">De Wilde, Ooms </w:t>
      </w:r>
      <w:r w:rsidR="00CD4B50" w:rsidRPr="00CD4B50">
        <w:rPr>
          <w:i/>
          <w:lang w:val="pl-PL"/>
        </w:rPr>
        <w:t>i Versyp p</w:t>
      </w:r>
      <w:r w:rsidRPr="00CD4B50">
        <w:rPr>
          <w:i/>
          <w:lang w:val="pl-PL"/>
        </w:rPr>
        <w:t>. Belgi</w:t>
      </w:r>
      <w:r w:rsidR="00CD4B50">
        <w:rPr>
          <w:i/>
          <w:lang w:val="pl-PL"/>
        </w:rPr>
        <w:t>i</w:t>
      </w:r>
      <w:r w:rsidRPr="00CD4B50">
        <w:rPr>
          <w:lang w:val="pl-PL"/>
        </w:rPr>
        <w:t xml:space="preserve"> (</w:t>
      </w:r>
      <w:r w:rsidR="00922686">
        <w:rPr>
          <w:lang w:val="pl-PL"/>
        </w:rPr>
        <w:t>a</w:t>
      </w:r>
      <w:r w:rsidRPr="00CD4B50">
        <w:rPr>
          <w:lang w:val="pl-PL"/>
        </w:rPr>
        <w:t>rt</w:t>
      </w:r>
      <w:r w:rsidR="00CD4B50">
        <w:rPr>
          <w:lang w:val="pl-PL"/>
        </w:rPr>
        <w:t>.</w:t>
      </w:r>
      <w:r w:rsidR="00CD4B50" w:rsidRPr="00CD4B50">
        <w:rPr>
          <w:lang w:val="pl-PL"/>
        </w:rPr>
        <w:t xml:space="preserve"> </w:t>
      </w:r>
      <w:r w:rsidRPr="00CD4B50">
        <w:rPr>
          <w:lang w:val="pl-PL"/>
        </w:rPr>
        <w:t xml:space="preserve">50), </w:t>
      </w:r>
      <w:r w:rsidR="00CD4B50">
        <w:rPr>
          <w:lang w:val="pl-PL"/>
        </w:rPr>
        <w:t xml:space="preserve">nr </w:t>
      </w:r>
      <w:hyperlink r:id="rId8" w:history="1">
        <w:r w:rsidRPr="00CD4B50">
          <w:rPr>
            <w:rStyle w:val="Hipercze"/>
            <w:lang w:val="pl-PL"/>
          </w:rPr>
          <w:t>2832/66 et al.</w:t>
        </w:r>
      </w:hyperlink>
      <w:r w:rsidRPr="00CD4B50">
        <w:rPr>
          <w:lang w:val="pl-PL"/>
        </w:rPr>
        <w:t>, 10 </w:t>
      </w:r>
      <w:r w:rsidR="00CD4B50">
        <w:rPr>
          <w:lang w:val="pl-PL"/>
        </w:rPr>
        <w:t>marca</w:t>
      </w:r>
      <w:r w:rsidRPr="00CD4B50">
        <w:rPr>
          <w:lang w:val="pl-PL"/>
        </w:rPr>
        <w:t xml:space="preserve"> 1972</w:t>
      </w:r>
      <w:r w:rsidR="00CD4B50">
        <w:rPr>
          <w:lang w:val="pl-PL"/>
        </w:rPr>
        <w:t xml:space="preserve"> r.</w:t>
      </w:r>
      <w:r w:rsidRPr="00CD4B50">
        <w:rPr>
          <w:lang w:val="pl-PL"/>
        </w:rPr>
        <w:t xml:space="preserve">; </w:t>
      </w:r>
      <w:r w:rsidRPr="00CD4B50">
        <w:rPr>
          <w:i/>
          <w:lang w:val="pl-PL"/>
        </w:rPr>
        <w:t xml:space="preserve">Barberà, Messegué </w:t>
      </w:r>
      <w:r w:rsidR="00CD4B50">
        <w:rPr>
          <w:i/>
          <w:lang w:val="pl-PL"/>
        </w:rPr>
        <w:t xml:space="preserve">i </w:t>
      </w:r>
      <w:r w:rsidRPr="00CD4B50">
        <w:rPr>
          <w:i/>
          <w:lang w:val="pl-PL"/>
        </w:rPr>
        <w:t xml:space="preserve">Jabardo </w:t>
      </w:r>
      <w:r w:rsidR="00CD4B50">
        <w:rPr>
          <w:i/>
          <w:lang w:val="pl-PL"/>
        </w:rPr>
        <w:t>p</w:t>
      </w:r>
      <w:r w:rsidRPr="00CD4B50">
        <w:rPr>
          <w:i/>
          <w:lang w:val="pl-PL"/>
        </w:rPr>
        <w:t>. </w:t>
      </w:r>
      <w:r w:rsidR="00CD4B50">
        <w:rPr>
          <w:i/>
          <w:lang w:val="pl-PL"/>
        </w:rPr>
        <w:t>Hiszpanii</w:t>
      </w:r>
      <w:r w:rsidRPr="00CD4B50">
        <w:rPr>
          <w:lang w:val="pl-PL"/>
        </w:rPr>
        <w:t xml:space="preserve"> (</w:t>
      </w:r>
      <w:r w:rsidR="00922686">
        <w:rPr>
          <w:lang w:val="pl-PL"/>
        </w:rPr>
        <w:t>a</w:t>
      </w:r>
      <w:r w:rsidRPr="00CD4B50">
        <w:rPr>
          <w:lang w:val="pl-PL"/>
        </w:rPr>
        <w:t>rt</w:t>
      </w:r>
      <w:r w:rsidR="00CD4B50">
        <w:rPr>
          <w:lang w:val="pl-PL"/>
        </w:rPr>
        <w:t>.</w:t>
      </w:r>
      <w:r w:rsidR="00CD4B50" w:rsidRPr="00CD4B50">
        <w:rPr>
          <w:lang w:val="pl-PL"/>
        </w:rPr>
        <w:t xml:space="preserve"> </w:t>
      </w:r>
      <w:r w:rsidRPr="00CD4B50">
        <w:rPr>
          <w:lang w:val="pl-PL"/>
        </w:rPr>
        <w:t xml:space="preserve">50), </w:t>
      </w:r>
      <w:r w:rsidR="00CD4B50">
        <w:rPr>
          <w:lang w:val="pl-PL"/>
        </w:rPr>
        <w:t xml:space="preserve">nr </w:t>
      </w:r>
      <w:hyperlink r:id="rId9" w:history="1">
        <w:r w:rsidRPr="00CD4B50">
          <w:rPr>
            <w:rStyle w:val="Hipercze"/>
            <w:lang w:val="pl-PL"/>
          </w:rPr>
          <w:t>10588/83 et al.</w:t>
        </w:r>
      </w:hyperlink>
      <w:r w:rsidRPr="00CD4B50">
        <w:rPr>
          <w:lang w:val="pl-PL"/>
        </w:rPr>
        <w:t>, 13 </w:t>
      </w:r>
      <w:r w:rsidR="00CD4B50">
        <w:rPr>
          <w:lang w:val="pl-PL"/>
        </w:rPr>
        <w:t xml:space="preserve">czerwca </w:t>
      </w:r>
      <w:r w:rsidRPr="00CD4B50">
        <w:rPr>
          <w:lang w:val="pl-PL"/>
        </w:rPr>
        <w:t>1994</w:t>
      </w:r>
      <w:r w:rsidR="00CD4B50">
        <w:rPr>
          <w:lang w:val="pl-PL"/>
        </w:rPr>
        <w:t xml:space="preserve"> r.</w:t>
      </w:r>
      <w:r w:rsidRPr="00CD4B50">
        <w:rPr>
          <w:lang w:val="pl-PL"/>
        </w:rPr>
        <w:t xml:space="preserve">; </w:t>
      </w:r>
      <w:r w:rsidRPr="00CD4B50">
        <w:rPr>
          <w:i/>
          <w:lang w:val="pl-PL"/>
        </w:rPr>
        <w:t xml:space="preserve">Papamichalopoulos </w:t>
      </w:r>
      <w:r w:rsidR="00CD4B50">
        <w:rPr>
          <w:i/>
          <w:lang w:val="pl-PL"/>
        </w:rPr>
        <w:t>i Inni p</w:t>
      </w:r>
      <w:r w:rsidRPr="00CD4B50">
        <w:rPr>
          <w:i/>
          <w:lang w:val="pl-PL"/>
        </w:rPr>
        <w:t>. Gre</w:t>
      </w:r>
      <w:r w:rsidR="00CD4B50">
        <w:rPr>
          <w:i/>
          <w:lang w:val="pl-PL"/>
        </w:rPr>
        <w:t>cji</w:t>
      </w:r>
      <w:r w:rsidRPr="00CD4B50">
        <w:rPr>
          <w:lang w:val="pl-PL"/>
        </w:rPr>
        <w:t xml:space="preserve"> (</w:t>
      </w:r>
      <w:r w:rsidR="00922686">
        <w:rPr>
          <w:lang w:val="pl-PL"/>
        </w:rPr>
        <w:t>a</w:t>
      </w:r>
      <w:r w:rsidRPr="00CD4B50">
        <w:rPr>
          <w:lang w:val="pl-PL"/>
        </w:rPr>
        <w:t>rt</w:t>
      </w:r>
      <w:r w:rsidR="00CD4B50">
        <w:rPr>
          <w:lang w:val="pl-PL"/>
        </w:rPr>
        <w:t xml:space="preserve">. </w:t>
      </w:r>
      <w:r w:rsidRPr="00CD4B50">
        <w:rPr>
          <w:lang w:val="pl-PL"/>
        </w:rPr>
        <w:t xml:space="preserve">50), </w:t>
      </w:r>
      <w:r w:rsidR="00CD4B50">
        <w:rPr>
          <w:lang w:val="pl-PL"/>
        </w:rPr>
        <w:t xml:space="preserve">nr </w:t>
      </w:r>
      <w:hyperlink r:id="rId10" w:history="1">
        <w:r w:rsidRPr="00CD4B50">
          <w:rPr>
            <w:rStyle w:val="Hipercze"/>
            <w:lang w:val="pl-PL"/>
          </w:rPr>
          <w:t>14556/89</w:t>
        </w:r>
      </w:hyperlink>
      <w:r w:rsidRPr="00CD4B50">
        <w:rPr>
          <w:lang w:val="pl-PL"/>
        </w:rPr>
        <w:t>, 31 </w:t>
      </w:r>
      <w:r w:rsidR="00CD4B50">
        <w:rPr>
          <w:lang w:val="pl-PL"/>
        </w:rPr>
        <w:t>października</w:t>
      </w:r>
      <w:r w:rsidRPr="00CD4B50">
        <w:rPr>
          <w:lang w:val="pl-PL"/>
        </w:rPr>
        <w:t xml:space="preserve"> 1995</w:t>
      </w:r>
      <w:r w:rsidR="00003F16">
        <w:rPr>
          <w:lang w:val="pl-PL"/>
        </w:rPr>
        <w:t> </w:t>
      </w:r>
      <w:r w:rsidR="00CD4B50">
        <w:rPr>
          <w:lang w:val="pl-PL"/>
        </w:rPr>
        <w:t>r.</w:t>
      </w:r>
      <w:r w:rsidRPr="00CD4B50">
        <w:rPr>
          <w:lang w:val="pl-PL"/>
        </w:rPr>
        <w:t xml:space="preserve">; </w:t>
      </w:r>
      <w:r w:rsidRPr="00CD4B50">
        <w:rPr>
          <w:i/>
          <w:lang w:val="pl-PL"/>
        </w:rPr>
        <w:t xml:space="preserve">Vistiņš </w:t>
      </w:r>
      <w:r w:rsidR="00CD4B50">
        <w:rPr>
          <w:i/>
          <w:lang w:val="pl-PL"/>
        </w:rPr>
        <w:t>i Perepjolkins p</w:t>
      </w:r>
      <w:r w:rsidRPr="00CD4B50">
        <w:rPr>
          <w:i/>
          <w:lang w:val="pl-PL"/>
        </w:rPr>
        <w:t>. </w:t>
      </w:r>
      <w:r w:rsidR="00CD4B50">
        <w:rPr>
          <w:i/>
          <w:lang w:val="pl-PL"/>
        </w:rPr>
        <w:t>Łotwie</w:t>
      </w:r>
      <w:r w:rsidRPr="00CD4B50">
        <w:rPr>
          <w:i/>
          <w:lang w:val="pl-PL"/>
        </w:rPr>
        <w:t xml:space="preserve"> </w:t>
      </w:r>
      <w:r w:rsidR="00CD4B50" w:rsidRPr="00CD4B50">
        <w:rPr>
          <w:lang w:val="pl-PL"/>
        </w:rPr>
        <w:t>(</w:t>
      </w:r>
      <w:r w:rsidR="00CD4B50">
        <w:rPr>
          <w:lang w:val="pl-PL"/>
        </w:rPr>
        <w:t>słuszne zadośćuczynienie</w:t>
      </w:r>
      <w:r w:rsidRPr="00CD4B50">
        <w:rPr>
          <w:lang w:val="pl-PL"/>
        </w:rPr>
        <w:t xml:space="preserve">), </w:t>
      </w:r>
      <w:r w:rsidR="00CD4B50">
        <w:rPr>
          <w:lang w:val="pl-PL"/>
        </w:rPr>
        <w:t xml:space="preserve">nr </w:t>
      </w:r>
      <w:r w:rsidRPr="00CD4B50">
        <w:rPr>
          <w:lang w:val="pl-PL"/>
        </w:rPr>
        <w:t>71243/01, 25 </w:t>
      </w:r>
      <w:r w:rsidR="00CD4B50">
        <w:rPr>
          <w:lang w:val="pl-PL"/>
        </w:rPr>
        <w:t>marca</w:t>
      </w:r>
      <w:r w:rsidRPr="00CD4B50">
        <w:rPr>
          <w:lang w:val="pl-PL"/>
        </w:rPr>
        <w:t xml:space="preserve"> 2014</w:t>
      </w:r>
      <w:r w:rsidR="00CD4B50">
        <w:rPr>
          <w:lang w:val="pl-PL"/>
        </w:rPr>
        <w:t xml:space="preserve"> r.</w:t>
      </w:r>
      <w:r w:rsidRPr="00CD4B50">
        <w:rPr>
          <w:lang w:val="pl-PL"/>
        </w:rPr>
        <w:t xml:space="preserve">, </w:t>
      </w:r>
      <w:hyperlink r:id="rId11" w:history="1">
        <w:r w:rsidRPr="00CD4B50">
          <w:rPr>
            <w:rStyle w:val="Hipercze"/>
            <w:lang w:val="pl-PL"/>
          </w:rPr>
          <w:t>Not</w:t>
        </w:r>
        <w:r w:rsidR="00CD4B50">
          <w:rPr>
            <w:rStyle w:val="Hipercze"/>
            <w:lang w:val="pl-PL"/>
          </w:rPr>
          <w:t>a informacyjna nr</w:t>
        </w:r>
        <w:r w:rsidRPr="00CD4B50">
          <w:rPr>
            <w:rStyle w:val="Hipercze"/>
            <w:lang w:val="pl-PL"/>
          </w:rPr>
          <w:t xml:space="preserve"> 172</w:t>
        </w:r>
      </w:hyperlink>
      <w:r w:rsidRPr="00CD4B50">
        <w:rPr>
          <w:lang w:val="pl-PL"/>
        </w:rPr>
        <w:t xml:space="preserve">; </w:t>
      </w:r>
      <w:r w:rsidRPr="00CD4B50">
        <w:rPr>
          <w:i/>
          <w:lang w:val="pl-PL"/>
        </w:rPr>
        <w:t xml:space="preserve">Chiragov </w:t>
      </w:r>
      <w:r w:rsidR="00CD4B50">
        <w:rPr>
          <w:i/>
          <w:lang w:val="pl-PL"/>
        </w:rPr>
        <w:t>i Inni p</w:t>
      </w:r>
      <w:r w:rsidRPr="00CD4B50">
        <w:rPr>
          <w:i/>
          <w:lang w:val="pl-PL"/>
        </w:rPr>
        <w:t>. Armeni</w:t>
      </w:r>
      <w:r w:rsidR="00CD4B50">
        <w:rPr>
          <w:i/>
          <w:lang w:val="pl-PL"/>
        </w:rPr>
        <w:t>i</w:t>
      </w:r>
      <w:r w:rsidRPr="00CD4B50">
        <w:rPr>
          <w:lang w:val="pl-PL"/>
        </w:rPr>
        <w:t xml:space="preserve"> (</w:t>
      </w:r>
      <w:r w:rsidR="00CD4B50">
        <w:rPr>
          <w:lang w:val="pl-PL"/>
        </w:rPr>
        <w:t>słuszne zadośćuczynienie</w:t>
      </w:r>
      <w:r w:rsidRPr="00CD4B50">
        <w:rPr>
          <w:lang w:val="pl-PL"/>
        </w:rPr>
        <w:t>) [</w:t>
      </w:r>
      <w:r w:rsidR="00CD4B50">
        <w:rPr>
          <w:lang w:val="pl-PL"/>
        </w:rPr>
        <w:t>WI</w:t>
      </w:r>
      <w:r w:rsidRPr="00CD4B50">
        <w:rPr>
          <w:lang w:val="pl-PL"/>
        </w:rPr>
        <w:t xml:space="preserve">], </w:t>
      </w:r>
      <w:r w:rsidR="00CD4B50">
        <w:rPr>
          <w:lang w:val="pl-PL"/>
        </w:rPr>
        <w:t xml:space="preserve">nr </w:t>
      </w:r>
      <w:r w:rsidRPr="00CD4B50">
        <w:rPr>
          <w:lang w:val="pl-PL"/>
        </w:rPr>
        <w:t>13216/05, 12 </w:t>
      </w:r>
      <w:r w:rsidR="00CD4B50">
        <w:rPr>
          <w:lang w:val="pl-PL"/>
        </w:rPr>
        <w:t xml:space="preserve">grudnia </w:t>
      </w:r>
      <w:r w:rsidRPr="00CD4B50">
        <w:rPr>
          <w:lang w:val="pl-PL"/>
        </w:rPr>
        <w:t>2017</w:t>
      </w:r>
      <w:r w:rsidR="00CD4B50">
        <w:rPr>
          <w:lang w:val="pl-PL"/>
        </w:rPr>
        <w:t xml:space="preserve"> r.</w:t>
      </w:r>
      <w:r w:rsidRPr="00CD4B50">
        <w:rPr>
          <w:lang w:val="pl-PL"/>
        </w:rPr>
        <w:t xml:space="preserve">, </w:t>
      </w:r>
      <w:hyperlink r:id="rId12" w:history="1">
        <w:r w:rsidRPr="00CD4B50">
          <w:rPr>
            <w:rStyle w:val="Hipercze"/>
            <w:lang w:val="pl-PL"/>
          </w:rPr>
          <w:t>Not</w:t>
        </w:r>
        <w:r w:rsidR="00CD4B50">
          <w:rPr>
            <w:rStyle w:val="Hipercze"/>
            <w:lang w:val="pl-PL"/>
          </w:rPr>
          <w:t>a informacyjna nr</w:t>
        </w:r>
        <w:r w:rsidRPr="00CD4B50">
          <w:rPr>
            <w:rStyle w:val="Hipercze"/>
            <w:lang w:val="pl-PL"/>
          </w:rPr>
          <w:t> 213</w:t>
        </w:r>
      </w:hyperlink>
      <w:r w:rsidRPr="00CD4B50">
        <w:rPr>
          <w:lang w:val="pl-PL"/>
        </w:rPr>
        <w:t>)</w:t>
      </w:r>
    </w:p>
    <w:p w14:paraId="18068838" w14:textId="77777777" w:rsidR="00EE436B" w:rsidRPr="00CD4B50" w:rsidRDefault="00EE436B">
      <w:pPr>
        <w:pBdr>
          <w:bottom w:val="single" w:sz="8" w:space="1" w:color="auto"/>
        </w:pBdr>
        <w:rPr>
          <w:lang w:val="pl-PL"/>
        </w:rPr>
      </w:pPr>
    </w:p>
    <w:p w14:paraId="4DA47C4C" w14:textId="77777777" w:rsidR="0079072E" w:rsidRDefault="0079072E" w:rsidP="0079072E">
      <w:pPr>
        <w:pStyle w:val="ClinFooter"/>
        <w:rPr>
          <w:lang w:val="pl-PL"/>
        </w:rPr>
      </w:pPr>
      <w:r>
        <w:rPr>
          <w:lang w:val="pl-PL"/>
        </w:rPr>
        <w:t>© Council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14:paraId="3A41530A" w14:textId="77777777" w:rsidR="00EE436B" w:rsidRDefault="0079072E" w:rsidP="0079072E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13" w:history="1">
        <w:r>
          <w:rPr>
            <w:rStyle w:val="Hipercze"/>
            <w:lang w:val="pl-PL"/>
          </w:rPr>
          <w:t>Not informacyjnych nt. orzecznictwa</w:t>
        </w:r>
      </w:hyperlink>
    </w:p>
    <w:p w14:paraId="771B81E4" w14:textId="77777777" w:rsidR="00E205C1" w:rsidRDefault="00E205C1" w:rsidP="0079072E">
      <w:pPr>
        <w:pStyle w:val="ClinFooter"/>
        <w:rPr>
          <w:rStyle w:val="Hipercze"/>
          <w:lang w:val="pl-PL"/>
        </w:rPr>
      </w:pPr>
    </w:p>
    <w:p w14:paraId="7553112B" w14:textId="616E0429" w:rsidR="00E205C1" w:rsidRPr="00EE788D" w:rsidRDefault="00E205C1" w:rsidP="00E205C1">
      <w:pPr>
        <w:pStyle w:val="ClinFooter"/>
        <w:jc w:val="both"/>
        <w:rPr>
          <w:lang w:val="pl-PL"/>
        </w:rPr>
      </w:pPr>
    </w:p>
    <w:sectPr w:rsidR="00E205C1" w:rsidRPr="00EE788D" w:rsidSect="004A5B52">
      <w:headerReference w:type="default" r:id="rId14"/>
      <w:headerReference w:type="first" r:id="rId15"/>
      <w:footerReference w:type="first" r:id="rId16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ED32C" w14:textId="77777777" w:rsidR="00314481" w:rsidRDefault="00314481" w:rsidP="00C63262">
      <w:r>
        <w:separator/>
      </w:r>
    </w:p>
  </w:endnote>
  <w:endnote w:type="continuationSeparator" w:id="0">
    <w:p w14:paraId="2737A90D" w14:textId="77777777" w:rsidR="00314481" w:rsidRDefault="00314481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31FAE" w14:textId="77777777" w:rsidR="0071773F" w:rsidRPr="0071773F" w:rsidRDefault="0071773F" w:rsidP="0071773F"/>
  <w:p w14:paraId="0D8343C2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77CC3BF3" wp14:editId="7124D85A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16A07" w14:textId="77777777" w:rsidR="00314481" w:rsidRDefault="00314481" w:rsidP="00C63262">
      <w:r>
        <w:separator/>
      </w:r>
    </w:p>
  </w:footnote>
  <w:footnote w:type="continuationSeparator" w:id="0">
    <w:p w14:paraId="69E737BD" w14:textId="77777777" w:rsidR="00314481" w:rsidRDefault="00314481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9312215"/>
      <w:docPartObj>
        <w:docPartGallery w:val="Page Numbers (Top of Page)"/>
        <w:docPartUnique/>
      </w:docPartObj>
    </w:sdtPr>
    <w:sdtContent>
      <w:p w14:paraId="7D5F6126" w14:textId="622EE07F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4B71AA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2466C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0DF18D1E" wp14:editId="06BF6682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EF0"/>
    <w:rsid w:val="00003F16"/>
    <w:rsid w:val="00037CCC"/>
    <w:rsid w:val="000568A2"/>
    <w:rsid w:val="00071C34"/>
    <w:rsid w:val="00097888"/>
    <w:rsid w:val="000A4FC7"/>
    <w:rsid w:val="000B1B79"/>
    <w:rsid w:val="000C1F13"/>
    <w:rsid w:val="000E1E85"/>
    <w:rsid w:val="000F13B5"/>
    <w:rsid w:val="000F6207"/>
    <w:rsid w:val="000F6FAC"/>
    <w:rsid w:val="00107377"/>
    <w:rsid w:val="00121BD6"/>
    <w:rsid w:val="00143602"/>
    <w:rsid w:val="00156B03"/>
    <w:rsid w:val="00173274"/>
    <w:rsid w:val="001769E4"/>
    <w:rsid w:val="001807A1"/>
    <w:rsid w:val="00186560"/>
    <w:rsid w:val="00195CBA"/>
    <w:rsid w:val="001A7663"/>
    <w:rsid w:val="001D30E2"/>
    <w:rsid w:val="001D5892"/>
    <w:rsid w:val="001E0D0C"/>
    <w:rsid w:val="00212E83"/>
    <w:rsid w:val="00224A33"/>
    <w:rsid w:val="002253CB"/>
    <w:rsid w:val="002423F7"/>
    <w:rsid w:val="00245B54"/>
    <w:rsid w:val="00263474"/>
    <w:rsid w:val="0027449E"/>
    <w:rsid w:val="002966E7"/>
    <w:rsid w:val="002B38B1"/>
    <w:rsid w:val="002C6184"/>
    <w:rsid w:val="002C7F50"/>
    <w:rsid w:val="002E088D"/>
    <w:rsid w:val="002F0132"/>
    <w:rsid w:val="0030264F"/>
    <w:rsid w:val="00314481"/>
    <w:rsid w:val="003450B3"/>
    <w:rsid w:val="00386958"/>
    <w:rsid w:val="00397FC5"/>
    <w:rsid w:val="003A64A6"/>
    <w:rsid w:val="003C18EC"/>
    <w:rsid w:val="003D27E3"/>
    <w:rsid w:val="003D6A0F"/>
    <w:rsid w:val="003D7BB3"/>
    <w:rsid w:val="00402E05"/>
    <w:rsid w:val="00403074"/>
    <w:rsid w:val="0046453F"/>
    <w:rsid w:val="004826DA"/>
    <w:rsid w:val="004A1CAC"/>
    <w:rsid w:val="004A5B52"/>
    <w:rsid w:val="004B3721"/>
    <w:rsid w:val="004B71AA"/>
    <w:rsid w:val="004D568D"/>
    <w:rsid w:val="004E1037"/>
    <w:rsid w:val="004E63CD"/>
    <w:rsid w:val="0052092D"/>
    <w:rsid w:val="00540D75"/>
    <w:rsid w:val="005514E5"/>
    <w:rsid w:val="005A3602"/>
    <w:rsid w:val="005E479F"/>
    <w:rsid w:val="006028A1"/>
    <w:rsid w:val="00606DB9"/>
    <w:rsid w:val="00631A28"/>
    <w:rsid w:val="006A36AD"/>
    <w:rsid w:val="006B407B"/>
    <w:rsid w:val="006C1D96"/>
    <w:rsid w:val="00703708"/>
    <w:rsid w:val="0071773F"/>
    <w:rsid w:val="007251AA"/>
    <w:rsid w:val="00753772"/>
    <w:rsid w:val="00756F0F"/>
    <w:rsid w:val="00774515"/>
    <w:rsid w:val="0079072E"/>
    <w:rsid w:val="007A6032"/>
    <w:rsid w:val="007F19BA"/>
    <w:rsid w:val="00814A3F"/>
    <w:rsid w:val="008253F4"/>
    <w:rsid w:val="00866A12"/>
    <w:rsid w:val="00895EF3"/>
    <w:rsid w:val="008B2413"/>
    <w:rsid w:val="008C2017"/>
    <w:rsid w:val="008C64D5"/>
    <w:rsid w:val="008C6F73"/>
    <w:rsid w:val="008D01DF"/>
    <w:rsid w:val="008D3AAD"/>
    <w:rsid w:val="008F4B85"/>
    <w:rsid w:val="00903D38"/>
    <w:rsid w:val="00907793"/>
    <w:rsid w:val="00917B95"/>
    <w:rsid w:val="00922686"/>
    <w:rsid w:val="0092651E"/>
    <w:rsid w:val="009709A0"/>
    <w:rsid w:val="00975B16"/>
    <w:rsid w:val="009B3B2C"/>
    <w:rsid w:val="009D19A4"/>
    <w:rsid w:val="009D2885"/>
    <w:rsid w:val="009E3EF0"/>
    <w:rsid w:val="009F108A"/>
    <w:rsid w:val="00A01052"/>
    <w:rsid w:val="00A04D9C"/>
    <w:rsid w:val="00A258BB"/>
    <w:rsid w:val="00A33541"/>
    <w:rsid w:val="00A45616"/>
    <w:rsid w:val="00A5575F"/>
    <w:rsid w:val="00A605C6"/>
    <w:rsid w:val="00A7153E"/>
    <w:rsid w:val="00AA303E"/>
    <w:rsid w:val="00AB0E02"/>
    <w:rsid w:val="00AC7726"/>
    <w:rsid w:val="00AD1749"/>
    <w:rsid w:val="00AD3991"/>
    <w:rsid w:val="00AE7161"/>
    <w:rsid w:val="00AF69F4"/>
    <w:rsid w:val="00B07295"/>
    <w:rsid w:val="00B35A03"/>
    <w:rsid w:val="00B615E4"/>
    <w:rsid w:val="00B80CA0"/>
    <w:rsid w:val="00B81366"/>
    <w:rsid w:val="00B83E33"/>
    <w:rsid w:val="00B85770"/>
    <w:rsid w:val="00BA1851"/>
    <w:rsid w:val="00BA3FA6"/>
    <w:rsid w:val="00BB4641"/>
    <w:rsid w:val="00BC4EB3"/>
    <w:rsid w:val="00BF1CD9"/>
    <w:rsid w:val="00C01FC6"/>
    <w:rsid w:val="00C37433"/>
    <w:rsid w:val="00C42694"/>
    <w:rsid w:val="00C63262"/>
    <w:rsid w:val="00C72355"/>
    <w:rsid w:val="00C8201D"/>
    <w:rsid w:val="00C87890"/>
    <w:rsid w:val="00C93CFB"/>
    <w:rsid w:val="00CA09F3"/>
    <w:rsid w:val="00CD4B50"/>
    <w:rsid w:val="00CE67A1"/>
    <w:rsid w:val="00CF7BA6"/>
    <w:rsid w:val="00D233AE"/>
    <w:rsid w:val="00D42086"/>
    <w:rsid w:val="00D425B3"/>
    <w:rsid w:val="00D44601"/>
    <w:rsid w:val="00D71374"/>
    <w:rsid w:val="00D74D41"/>
    <w:rsid w:val="00D74EE6"/>
    <w:rsid w:val="00D83A65"/>
    <w:rsid w:val="00DB603E"/>
    <w:rsid w:val="00DB78B3"/>
    <w:rsid w:val="00DC3378"/>
    <w:rsid w:val="00E007D5"/>
    <w:rsid w:val="00E0663A"/>
    <w:rsid w:val="00E205C1"/>
    <w:rsid w:val="00E217EE"/>
    <w:rsid w:val="00E50F02"/>
    <w:rsid w:val="00E55491"/>
    <w:rsid w:val="00E707D4"/>
    <w:rsid w:val="00E83DB6"/>
    <w:rsid w:val="00E8612D"/>
    <w:rsid w:val="00E87B20"/>
    <w:rsid w:val="00EA53E7"/>
    <w:rsid w:val="00EA61C5"/>
    <w:rsid w:val="00EC00DB"/>
    <w:rsid w:val="00ED6AD4"/>
    <w:rsid w:val="00EE3A13"/>
    <w:rsid w:val="00EE436B"/>
    <w:rsid w:val="00EE788D"/>
    <w:rsid w:val="00F00953"/>
    <w:rsid w:val="00F05F3F"/>
    <w:rsid w:val="00F248FA"/>
    <w:rsid w:val="00F42360"/>
    <w:rsid w:val="00F508C9"/>
    <w:rsid w:val="00F50CCD"/>
    <w:rsid w:val="00F50F3C"/>
    <w:rsid w:val="00F5247C"/>
    <w:rsid w:val="00FA29ED"/>
    <w:rsid w:val="00FC4F3B"/>
    <w:rsid w:val="00FE14F3"/>
    <w:rsid w:val="00FF1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70CA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0B1B79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0B1B79"/>
  </w:style>
  <w:style w:type="character" w:styleId="Odwoaniedokomentarza">
    <w:name w:val="annotation reference"/>
    <w:basedOn w:val="Domylnaczcionkaakapitu"/>
    <w:semiHidden/>
    <w:unhideWhenUsed/>
    <w:rsid w:val="007251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7251AA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251AA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7251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251AA"/>
    <w:rPr>
      <w:rFonts w:ascii="Verdana" w:hAnsi="Verdana"/>
      <w:b/>
      <w:bCs/>
    </w:rPr>
  </w:style>
  <w:style w:type="paragraph" w:styleId="Poprawka">
    <w:name w:val="Revision"/>
    <w:hidden/>
    <w:uiPriority w:val="99"/>
    <w:semiHidden/>
    <w:rsid w:val="00245B54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226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1-57607" TargetMode="External"/><Relationship Id="rId13" Type="http://schemas.openxmlformats.org/officeDocument/2006/relationships/hyperlink" Target="http://www.echr.coe.int/NoteInformation/en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hudoc.echr.coe.int/eng?i=002-12267" TargetMode="External"/><Relationship Id="rId12" Type="http://schemas.openxmlformats.org/officeDocument/2006/relationships/hyperlink" Target="http://hudoc.echr.coe.int/eng?i=002-11776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www.gov.pl/web/dyplomacja" TargetMode="External"/><Relationship Id="rId11" Type="http://schemas.openxmlformats.org/officeDocument/2006/relationships/hyperlink" Target="http://hudoc.echr.coe.int/eng?i=002-9313" TargetMode="External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hyperlink" Target="http://hudoc.echr.coe.int/eng?i=002-10368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hudoc.echr.coe.int/eng?i=001-57876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1192</Words>
  <Characters>7158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2022-03-16T14:11:00Z</dcterms:created>
  <dcterms:modified xsi:type="dcterms:W3CDTF">2025-11-03T13:11:00Z</dcterms:modified>
</cp:coreProperties>
</file>