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0F1A3" w14:textId="77777777" w:rsidR="00A34E39" w:rsidRDefault="00A34E39" w:rsidP="00A34E39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1112EB49" w14:textId="77777777" w:rsidR="00A34E39" w:rsidRDefault="00A34E39" w:rsidP="00A34E39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1DD906AB" w14:textId="77777777" w:rsidR="009E248A" w:rsidRPr="00A34E39" w:rsidRDefault="00A34E39" w:rsidP="00A34E39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0D121A" w:rsidRPr="00A34E39">
        <w:rPr>
          <w:lang w:val="pl-PL"/>
        </w:rPr>
        <w:t>236</w:t>
      </w:r>
    </w:p>
    <w:p w14:paraId="29E19BF9" w14:textId="77777777" w:rsidR="009E248A" w:rsidRPr="00A34E39" w:rsidRDefault="008520E5">
      <w:pPr>
        <w:pStyle w:val="ClinEditionMonth"/>
        <w:rPr>
          <w:lang w:val="pl-PL"/>
        </w:rPr>
      </w:pPr>
      <w:r>
        <w:rPr>
          <w:lang w:val="pl-PL"/>
        </w:rPr>
        <w:t>Styczeń</w:t>
      </w:r>
      <w:r w:rsidR="000D121A" w:rsidRPr="00A34E39">
        <w:rPr>
          <w:lang w:val="pl-PL"/>
        </w:rPr>
        <w:t xml:space="preserve"> 2020</w:t>
      </w:r>
      <w:r>
        <w:rPr>
          <w:lang w:val="pl-PL"/>
        </w:rPr>
        <w:t xml:space="preserve"> r.</w:t>
      </w:r>
    </w:p>
    <w:p w14:paraId="4F296EBB" w14:textId="77777777" w:rsidR="009E248A" w:rsidRPr="00A34E39" w:rsidRDefault="000D121A">
      <w:pPr>
        <w:rPr>
          <w:lang w:val="pl-PL"/>
        </w:rPr>
      </w:pPr>
      <w:r w:rsidRPr="00A34E39">
        <w:rPr>
          <w:rStyle w:val="ClinCaseTitle"/>
          <w:lang w:val="pl-PL"/>
        </w:rPr>
        <w:t xml:space="preserve">Magyar Kétfarkú Kutya Párt </w:t>
      </w:r>
      <w:r w:rsidR="008520E5">
        <w:rPr>
          <w:rStyle w:val="ClinCaseTitle"/>
          <w:lang w:val="pl-PL"/>
        </w:rPr>
        <w:t>p</w:t>
      </w:r>
      <w:r w:rsidRPr="00A34E39">
        <w:rPr>
          <w:rStyle w:val="ClinCaseTitle"/>
          <w:lang w:val="pl-PL"/>
        </w:rPr>
        <w:t xml:space="preserve">. </w:t>
      </w:r>
      <w:r w:rsidR="008520E5">
        <w:rPr>
          <w:rStyle w:val="ClinCaseTitle"/>
          <w:lang w:val="pl-PL"/>
        </w:rPr>
        <w:t>Węgrom</w:t>
      </w:r>
      <w:r w:rsidRPr="00A34E39">
        <w:rPr>
          <w:rStyle w:val="ClinCaseTitle"/>
          <w:lang w:val="pl-PL"/>
        </w:rPr>
        <w:t xml:space="preserve"> [</w:t>
      </w:r>
      <w:r w:rsidR="008520E5">
        <w:rPr>
          <w:rStyle w:val="ClinCaseTitle"/>
          <w:lang w:val="pl-PL"/>
        </w:rPr>
        <w:t>WI</w:t>
      </w:r>
      <w:r w:rsidRPr="00A34E39">
        <w:rPr>
          <w:rStyle w:val="ClinCaseTitle"/>
          <w:lang w:val="pl-PL"/>
        </w:rPr>
        <w:t>]</w:t>
      </w:r>
      <w:r w:rsidRPr="00A34E39">
        <w:rPr>
          <w:rStyle w:val="ClinApplicationNumber"/>
          <w:lang w:val="pl-PL"/>
        </w:rPr>
        <w:t xml:space="preserve"> </w:t>
      </w:r>
      <w:r w:rsidR="008520E5">
        <w:rPr>
          <w:rStyle w:val="ClinApplicationNumber"/>
          <w:lang w:val="pl-PL"/>
        </w:rPr>
        <w:t>–</w:t>
      </w:r>
      <w:r w:rsidRPr="00A34E39">
        <w:rPr>
          <w:rStyle w:val="ClinApplicationNumber"/>
          <w:lang w:val="pl-PL"/>
        </w:rPr>
        <w:t xml:space="preserve"> </w:t>
      </w:r>
      <w:r w:rsidR="008520E5">
        <w:rPr>
          <w:rStyle w:val="ClinApplicationNumber"/>
          <w:lang w:val="pl-PL"/>
        </w:rPr>
        <w:t xml:space="preserve">skarga nr </w:t>
      </w:r>
      <w:r w:rsidRPr="00A34E39">
        <w:rPr>
          <w:rStyle w:val="ClinApplicationNumber"/>
          <w:lang w:val="pl-PL"/>
        </w:rPr>
        <w:t>201/17</w:t>
      </w:r>
    </w:p>
    <w:p w14:paraId="0389DC85" w14:textId="08043701" w:rsidR="009E248A" w:rsidRPr="008520E5" w:rsidRDefault="008520E5">
      <w:pPr>
        <w:rPr>
          <w:lang w:val="pl-PL"/>
        </w:rPr>
      </w:pPr>
      <w:r w:rsidRPr="008520E5">
        <w:rPr>
          <w:rStyle w:val="ClinHudocDocumentTitle"/>
          <w:lang w:val="pl-PL"/>
        </w:rPr>
        <w:t xml:space="preserve">Wyrok z </w:t>
      </w:r>
      <w:r w:rsidR="000D121A" w:rsidRPr="008520E5">
        <w:rPr>
          <w:rStyle w:val="ClinHudocDocumentTitle"/>
          <w:lang w:val="pl-PL"/>
        </w:rPr>
        <w:t>20.</w:t>
      </w:r>
      <w:r w:rsidRPr="008520E5">
        <w:rPr>
          <w:rStyle w:val="ClinHudocDocumentTitle"/>
          <w:lang w:val="pl-PL"/>
        </w:rPr>
        <w:t>0</w:t>
      </w:r>
      <w:r w:rsidR="000D121A" w:rsidRPr="008520E5">
        <w:rPr>
          <w:rStyle w:val="ClinHudocDocumentTitle"/>
          <w:lang w:val="pl-PL"/>
        </w:rPr>
        <w:t>1.2020</w:t>
      </w:r>
      <w:r w:rsidR="000D121A" w:rsidRPr="008520E5">
        <w:rPr>
          <w:rStyle w:val="ClinSectionName"/>
          <w:lang w:val="pl-PL"/>
        </w:rPr>
        <w:t xml:space="preserve"> </w:t>
      </w:r>
      <w:r w:rsidRPr="008520E5">
        <w:rPr>
          <w:rStyle w:val="ClinSectionName"/>
          <w:lang w:val="pl-PL"/>
        </w:rPr>
        <w:t xml:space="preserve">r. </w:t>
      </w:r>
      <w:r w:rsidR="000D121A" w:rsidRPr="008520E5">
        <w:rPr>
          <w:rStyle w:val="ClinSectionName"/>
          <w:lang w:val="pl-PL"/>
        </w:rPr>
        <w:t>[</w:t>
      </w:r>
      <w:r w:rsidRPr="008520E5">
        <w:rPr>
          <w:rStyle w:val="ClinSectionName"/>
          <w:lang w:val="pl-PL"/>
        </w:rPr>
        <w:t>W</w:t>
      </w:r>
      <w:r w:rsidR="00F42871">
        <w:rPr>
          <w:rStyle w:val="ClinSectionName"/>
          <w:lang w:val="pl-PL"/>
        </w:rPr>
        <w:t>ielka Izba</w:t>
      </w:r>
      <w:r w:rsidR="000D121A" w:rsidRPr="008520E5">
        <w:rPr>
          <w:rStyle w:val="ClinSectionName"/>
          <w:lang w:val="pl-PL"/>
        </w:rPr>
        <w:t>]</w:t>
      </w:r>
    </w:p>
    <w:p w14:paraId="5ADD92F6" w14:textId="77777777" w:rsidR="009E248A" w:rsidRPr="008520E5" w:rsidRDefault="000D121A">
      <w:pPr>
        <w:pStyle w:val="ClinMainKeywordCode"/>
        <w:rPr>
          <w:lang w:val="pl-PL"/>
        </w:rPr>
      </w:pPr>
      <w:r w:rsidRPr="008520E5">
        <w:rPr>
          <w:lang w:val="pl-PL"/>
        </w:rPr>
        <w:t>Art</w:t>
      </w:r>
      <w:r w:rsidR="008520E5" w:rsidRPr="008520E5">
        <w:rPr>
          <w:lang w:val="pl-PL"/>
        </w:rPr>
        <w:t>.</w:t>
      </w:r>
      <w:r w:rsidRPr="008520E5">
        <w:rPr>
          <w:lang w:val="pl-PL"/>
        </w:rPr>
        <w:t xml:space="preserve"> 10</w:t>
      </w:r>
    </w:p>
    <w:p w14:paraId="015BCD80" w14:textId="77777777" w:rsidR="009E248A" w:rsidRPr="003D32AC" w:rsidRDefault="000D121A">
      <w:pPr>
        <w:pStyle w:val="ClinChildKeywordCode"/>
        <w:rPr>
          <w:lang w:val="pl-PL"/>
        </w:rPr>
      </w:pPr>
      <w:r w:rsidRPr="003D32AC">
        <w:rPr>
          <w:lang w:val="pl-PL"/>
        </w:rPr>
        <w:t>Art</w:t>
      </w:r>
      <w:r w:rsidR="008520E5" w:rsidRPr="003D32AC">
        <w:rPr>
          <w:lang w:val="pl-PL"/>
        </w:rPr>
        <w:t xml:space="preserve">. </w:t>
      </w:r>
      <w:r w:rsidRPr="003D32AC">
        <w:rPr>
          <w:lang w:val="pl-PL"/>
        </w:rPr>
        <w:t>10</w:t>
      </w:r>
      <w:r w:rsidR="008520E5" w:rsidRPr="003D32AC">
        <w:rPr>
          <w:lang w:val="pl-PL"/>
        </w:rPr>
        <w:t xml:space="preserve"> ust. </w:t>
      </w:r>
      <w:r w:rsidRPr="003D32AC">
        <w:rPr>
          <w:lang w:val="pl-PL"/>
        </w:rPr>
        <w:t>1</w:t>
      </w:r>
    </w:p>
    <w:p w14:paraId="39E74AB8" w14:textId="4CA74238" w:rsidR="009E248A" w:rsidRPr="003D32AC" w:rsidRDefault="008520E5">
      <w:pPr>
        <w:pStyle w:val="ClinKeyword"/>
        <w:rPr>
          <w:lang w:val="pl-PL"/>
        </w:rPr>
      </w:pPr>
      <w:r w:rsidRPr="003D32AC">
        <w:rPr>
          <w:lang w:val="pl-PL"/>
        </w:rPr>
        <w:t>Wolność wyrażania opinii</w:t>
      </w:r>
      <w:r w:rsidRPr="003D32AC">
        <w:rPr>
          <w:lang w:val="pl-PL"/>
        </w:rPr>
        <w:tab/>
      </w:r>
    </w:p>
    <w:p w14:paraId="792A368E" w14:textId="77777777" w:rsidR="009E248A" w:rsidRPr="00FE58A2" w:rsidRDefault="008520E5">
      <w:pPr>
        <w:pStyle w:val="ClinKeyword"/>
        <w:rPr>
          <w:lang w:val="pl-PL"/>
        </w:rPr>
      </w:pPr>
      <w:r w:rsidRPr="00FE58A2">
        <w:rPr>
          <w:lang w:val="pl-PL"/>
        </w:rPr>
        <w:t>Wolność przekazywania informacji</w:t>
      </w:r>
    </w:p>
    <w:p w14:paraId="637BD65A" w14:textId="77777777" w:rsidR="00CF3FF7" w:rsidRPr="0085009E" w:rsidRDefault="00CF3FF7" w:rsidP="00177D87">
      <w:pPr>
        <w:jc w:val="both"/>
        <w:rPr>
          <w:i/>
          <w:lang w:val="pl-PL"/>
        </w:rPr>
      </w:pPr>
      <w:r w:rsidRPr="00CF3FF7">
        <w:rPr>
          <w:rStyle w:val="ClinConclusions"/>
          <w:i w:val="0"/>
          <w:lang w:val="pl-PL"/>
        </w:rPr>
        <w:t xml:space="preserve">Niewystarczająco przewidywalna podstawa prawna do nałożenia grzywny na partię polityczną za udostępnienie aplikacji mobilnej umożliwiającej wyborcom </w:t>
      </w:r>
      <w:r w:rsidR="0085009E">
        <w:rPr>
          <w:rStyle w:val="ClinConclusions"/>
          <w:i w:val="0"/>
          <w:lang w:val="pl-PL"/>
        </w:rPr>
        <w:t xml:space="preserve">dzielenie się anonimowymi zdjęciami ich kart do głosowania: </w:t>
      </w:r>
      <w:r w:rsidR="0085009E">
        <w:rPr>
          <w:rStyle w:val="ClinConclusions"/>
          <w:lang w:val="pl-PL"/>
        </w:rPr>
        <w:t>naruszenie</w:t>
      </w:r>
    </w:p>
    <w:p w14:paraId="20DB22C6" w14:textId="7F550A4E" w:rsidR="0085009E" w:rsidRPr="00E614DB" w:rsidRDefault="0085009E">
      <w:pPr>
        <w:pStyle w:val="ClinContent"/>
        <w:rPr>
          <w:lang w:val="pl-PL"/>
        </w:rPr>
      </w:pPr>
      <w:r w:rsidRPr="0085009E">
        <w:rPr>
          <w:i/>
          <w:lang w:val="pl-PL"/>
        </w:rPr>
        <w:t>Fakty</w:t>
      </w:r>
      <w:r w:rsidRPr="0085009E">
        <w:rPr>
          <w:lang w:val="pl-PL"/>
        </w:rPr>
        <w:t xml:space="preserve"> – W 2016 r. odbyło się na Węgrzech referendum </w:t>
      </w:r>
      <w:r w:rsidR="00177D87">
        <w:rPr>
          <w:lang w:val="pl-PL"/>
        </w:rPr>
        <w:t xml:space="preserve">w sprawie </w:t>
      </w:r>
      <w:r w:rsidRPr="0085009E">
        <w:rPr>
          <w:lang w:val="pl-PL"/>
        </w:rPr>
        <w:t xml:space="preserve">planu </w:t>
      </w:r>
      <w:r>
        <w:rPr>
          <w:lang w:val="pl-PL"/>
        </w:rPr>
        <w:t xml:space="preserve">Unii Europejskiej </w:t>
      </w:r>
      <w:r w:rsidR="00177D87">
        <w:rPr>
          <w:lang w:val="pl-PL"/>
        </w:rPr>
        <w:t>dotyczącego</w:t>
      </w:r>
      <w:r>
        <w:rPr>
          <w:lang w:val="pl-PL"/>
        </w:rPr>
        <w:t xml:space="preserve"> relokacji migrantów.</w:t>
      </w:r>
      <w:r w:rsidR="00E614DB">
        <w:rPr>
          <w:lang w:val="pl-PL"/>
        </w:rPr>
        <w:t xml:space="preserve"> Krótko przed referendum </w:t>
      </w:r>
      <w:r w:rsidR="00647425">
        <w:rPr>
          <w:lang w:val="pl-PL"/>
        </w:rPr>
        <w:t>skarżąc</w:t>
      </w:r>
      <w:r w:rsidR="006D5578">
        <w:rPr>
          <w:lang w:val="pl-PL"/>
        </w:rPr>
        <w:t xml:space="preserve">a </w:t>
      </w:r>
      <w:r w:rsidR="00E614DB">
        <w:rPr>
          <w:lang w:val="pl-PL"/>
        </w:rPr>
        <w:t xml:space="preserve">partia polityczna </w:t>
      </w:r>
      <w:r w:rsidR="00E614DB" w:rsidRPr="00E614DB">
        <w:rPr>
          <w:lang w:val="pl-PL"/>
        </w:rPr>
        <w:t>Magyar Kétfarkú Kutya Párt (</w:t>
      </w:r>
      <w:r w:rsidR="00FE58A2">
        <w:rPr>
          <w:lang w:val="pl-PL"/>
        </w:rPr>
        <w:t>„</w:t>
      </w:r>
      <w:r w:rsidR="00E614DB">
        <w:rPr>
          <w:lang w:val="pl-PL"/>
        </w:rPr>
        <w:t xml:space="preserve">MKKP”) udostępniła wyborcom aplikację mobilną, którą mogli wykorzystywać do anonimowego zamieszczania i dzielenia </w:t>
      </w:r>
      <w:r w:rsidR="00617C5F">
        <w:rPr>
          <w:lang w:val="pl-PL"/>
        </w:rPr>
        <w:t xml:space="preserve">się </w:t>
      </w:r>
      <w:r w:rsidR="00CB5144">
        <w:rPr>
          <w:lang w:val="pl-PL"/>
        </w:rPr>
        <w:t xml:space="preserve">publicznie zdjęciami ich kart do głosowania. </w:t>
      </w:r>
      <w:r w:rsidR="00C7190A">
        <w:rPr>
          <w:lang w:val="pl-PL"/>
        </w:rPr>
        <w:t>Na skutek skarg</w:t>
      </w:r>
      <w:r w:rsidR="00CB5144">
        <w:rPr>
          <w:lang w:val="pl-PL"/>
        </w:rPr>
        <w:t xml:space="preserve"> złożonych </w:t>
      </w:r>
      <w:r w:rsidR="006A006F">
        <w:rPr>
          <w:lang w:val="pl-PL"/>
        </w:rPr>
        <w:t xml:space="preserve">do Państwowej Komisji Wyborczej (PKW) </w:t>
      </w:r>
      <w:r w:rsidR="00CB5144">
        <w:rPr>
          <w:lang w:val="pl-PL"/>
        </w:rPr>
        <w:t xml:space="preserve">przez osobę prywatną skarżąca partia została ukarana grzywną za naruszenie zasad rzetelności i tajności wyborów oraz </w:t>
      </w:r>
      <w:r w:rsidR="006C7CC6">
        <w:rPr>
          <w:lang w:val="pl-PL"/>
        </w:rPr>
        <w:t>zasady</w:t>
      </w:r>
      <w:r w:rsidR="00CB20E9">
        <w:rPr>
          <w:lang w:val="pl-PL"/>
        </w:rPr>
        <w:t xml:space="preserve"> korzystania</w:t>
      </w:r>
      <w:r w:rsidR="006C7CC6">
        <w:rPr>
          <w:lang w:val="pl-PL"/>
        </w:rPr>
        <w:t xml:space="preserve"> </w:t>
      </w:r>
      <w:r w:rsidR="00177D87">
        <w:rPr>
          <w:lang w:val="pl-PL"/>
        </w:rPr>
        <w:t xml:space="preserve">z </w:t>
      </w:r>
      <w:r w:rsidR="006C7CC6">
        <w:rPr>
          <w:lang w:val="pl-PL"/>
        </w:rPr>
        <w:t xml:space="preserve">praw zgodnie z ich celem. Sąd Najwyższy </w:t>
      </w:r>
      <w:r w:rsidR="00CB20E9">
        <w:rPr>
          <w:lang w:val="pl-PL"/>
        </w:rPr>
        <w:t>(</w:t>
      </w:r>
      <w:r w:rsidR="00CB20E9" w:rsidRPr="008D7CB9">
        <w:rPr>
          <w:i/>
          <w:lang w:val="pl-PL"/>
        </w:rPr>
        <w:t>Kúria</w:t>
      </w:r>
      <w:r w:rsidR="00CB20E9">
        <w:rPr>
          <w:lang w:val="pl-PL"/>
        </w:rPr>
        <w:t xml:space="preserve">) </w:t>
      </w:r>
      <w:r w:rsidR="006C7CC6">
        <w:rPr>
          <w:lang w:val="pl-PL"/>
        </w:rPr>
        <w:t xml:space="preserve">utrzymał w mocy stwierdzenie PKW dotyczące naruszenia zasady </w:t>
      </w:r>
      <w:r w:rsidR="00CB20E9" w:rsidDel="00CB20E9">
        <w:rPr>
          <w:lang w:val="pl-PL"/>
        </w:rPr>
        <w:t xml:space="preserve"> </w:t>
      </w:r>
      <w:r w:rsidR="00FF1501">
        <w:rPr>
          <w:lang w:val="pl-PL"/>
        </w:rPr>
        <w:t>korzystania z praw</w:t>
      </w:r>
      <w:r w:rsidR="006C7CC6">
        <w:rPr>
          <w:lang w:val="pl-PL"/>
        </w:rPr>
        <w:t xml:space="preserve"> zgodnie z ich celem, ale oddalił jej </w:t>
      </w:r>
      <w:r w:rsidR="00617C5F">
        <w:rPr>
          <w:lang w:val="pl-PL"/>
        </w:rPr>
        <w:t xml:space="preserve">ustalenia </w:t>
      </w:r>
      <w:r w:rsidR="006C7CC6">
        <w:rPr>
          <w:lang w:val="pl-PL"/>
        </w:rPr>
        <w:t xml:space="preserve">dotyczące </w:t>
      </w:r>
      <w:r w:rsidR="00E10DA1">
        <w:rPr>
          <w:lang w:val="pl-PL"/>
        </w:rPr>
        <w:t xml:space="preserve">tajności głosowania i rzetelności referendum. Skarga konstytucyjna wniesiona przez skarżącą partię została uznana za niedopuszczalną. </w:t>
      </w:r>
    </w:p>
    <w:p w14:paraId="11D1C4DF" w14:textId="527933CF" w:rsidR="00AF1079" w:rsidRPr="00AF1079" w:rsidRDefault="00AF1079">
      <w:pPr>
        <w:pStyle w:val="ClinContent"/>
        <w:rPr>
          <w:lang w:val="pl-PL"/>
        </w:rPr>
      </w:pPr>
      <w:r w:rsidRPr="00AF1079">
        <w:rPr>
          <w:lang w:val="pl-PL"/>
        </w:rPr>
        <w:t xml:space="preserve">Wyrokiem z dnia 23 stycznia 2018 r. </w:t>
      </w:r>
      <w:r>
        <w:rPr>
          <w:lang w:val="pl-PL"/>
        </w:rPr>
        <w:t>(zob</w:t>
      </w:r>
      <w:r w:rsidR="00E16671">
        <w:rPr>
          <w:lang w:val="pl-PL"/>
        </w:rPr>
        <w:t>.</w:t>
      </w:r>
      <w:r>
        <w:rPr>
          <w:lang w:val="pl-PL"/>
        </w:rPr>
        <w:t xml:space="preserve"> </w:t>
      </w:r>
      <w:hyperlink r:id="rId8" w:history="1">
        <w:r w:rsidRPr="00AF1079">
          <w:rPr>
            <w:rStyle w:val="Hipercze"/>
            <w:lang w:val="pl-PL"/>
          </w:rPr>
          <w:t>Not</w:t>
        </w:r>
        <w:r>
          <w:rPr>
            <w:rStyle w:val="Hipercze"/>
            <w:lang w:val="pl-PL"/>
          </w:rPr>
          <w:t>a informacyjna nr</w:t>
        </w:r>
        <w:r w:rsidRPr="00AF1079">
          <w:rPr>
            <w:rStyle w:val="Hipercze"/>
            <w:lang w:val="pl-PL"/>
          </w:rPr>
          <w:t xml:space="preserve"> 214</w:t>
        </w:r>
      </w:hyperlink>
      <w:r>
        <w:rPr>
          <w:lang w:val="pl-PL"/>
        </w:rPr>
        <w:t>) Izba Trybunału jednogłośnie orzekła, że doszło do naruszenia art. 10 Konwencji</w:t>
      </w:r>
      <w:r w:rsidR="00CE1626">
        <w:rPr>
          <w:lang w:val="pl-PL"/>
        </w:rPr>
        <w:t xml:space="preserve"> [o ochronie praw człowieka i podstawowych wolności]</w:t>
      </w:r>
      <w:r>
        <w:rPr>
          <w:lang w:val="pl-PL"/>
        </w:rPr>
        <w:t xml:space="preserve">. W opinii Trybunału zachowanie skarżącej partii nie </w:t>
      </w:r>
      <w:r w:rsidR="00C7190A">
        <w:rPr>
          <w:lang w:val="pl-PL"/>
        </w:rPr>
        <w:t>powodowało</w:t>
      </w:r>
      <w:r w:rsidR="002E5908">
        <w:rPr>
          <w:lang w:val="pl-PL"/>
        </w:rPr>
        <w:t xml:space="preserve"> </w:t>
      </w:r>
      <w:r w:rsidR="00FE58A2">
        <w:rPr>
          <w:lang w:val="pl-PL"/>
        </w:rPr>
        <w:t>jakiegokolwiek uszczerbku</w:t>
      </w:r>
      <w:r>
        <w:rPr>
          <w:lang w:val="pl-PL"/>
        </w:rPr>
        <w:t xml:space="preserve"> </w:t>
      </w:r>
      <w:r w:rsidR="002E5908">
        <w:rPr>
          <w:lang w:val="pl-PL"/>
        </w:rPr>
        <w:t xml:space="preserve">dla </w:t>
      </w:r>
      <w:r>
        <w:rPr>
          <w:lang w:val="pl-PL"/>
        </w:rPr>
        <w:t>tajności i rzetelności referendum. Nałożona na skarżącą partię sankcja nie realizowała ż</w:t>
      </w:r>
      <w:r w:rsidR="00ED4E08">
        <w:rPr>
          <w:lang w:val="pl-PL"/>
        </w:rPr>
        <w:t>a</w:t>
      </w:r>
      <w:r>
        <w:rPr>
          <w:lang w:val="pl-PL"/>
        </w:rPr>
        <w:t xml:space="preserve">dnego z uprawnionych celów wymienionych w art. 10 ust. 2. </w:t>
      </w:r>
    </w:p>
    <w:p w14:paraId="377A68AB" w14:textId="77777777" w:rsidR="002E5908" w:rsidRPr="002E5908" w:rsidRDefault="002E5908">
      <w:pPr>
        <w:pStyle w:val="ClinContent"/>
        <w:rPr>
          <w:lang w:val="pl-PL"/>
        </w:rPr>
      </w:pPr>
      <w:r w:rsidRPr="002E5908">
        <w:rPr>
          <w:lang w:val="pl-PL"/>
        </w:rPr>
        <w:t xml:space="preserve">W dniu 28 maja 2018 r. sprawa została przekazana do </w:t>
      </w:r>
      <w:r>
        <w:rPr>
          <w:lang w:val="pl-PL"/>
        </w:rPr>
        <w:t xml:space="preserve">Wielkiej Izby na wniosek </w:t>
      </w:r>
      <w:r w:rsidR="003E308B">
        <w:rPr>
          <w:lang w:val="pl-PL"/>
        </w:rPr>
        <w:t>r</w:t>
      </w:r>
      <w:r>
        <w:rPr>
          <w:lang w:val="pl-PL"/>
        </w:rPr>
        <w:t>ządu.</w:t>
      </w:r>
    </w:p>
    <w:p w14:paraId="6E0E30CD" w14:textId="77777777" w:rsidR="009E248A" w:rsidRPr="00C7190A" w:rsidRDefault="00BB1A8C">
      <w:pPr>
        <w:pStyle w:val="ClinContent"/>
        <w:rPr>
          <w:lang w:val="pl-PL"/>
        </w:rPr>
      </w:pPr>
      <w:r w:rsidRPr="00C7190A">
        <w:rPr>
          <w:i/>
          <w:lang w:val="pl-PL"/>
        </w:rPr>
        <w:t>Prawo</w:t>
      </w:r>
      <w:r w:rsidRPr="00C7190A">
        <w:rPr>
          <w:lang w:val="pl-PL"/>
        </w:rPr>
        <w:t xml:space="preserve"> – Art.</w:t>
      </w:r>
      <w:r w:rsidR="000D121A" w:rsidRPr="00C7190A">
        <w:rPr>
          <w:lang w:val="pl-PL"/>
        </w:rPr>
        <w:t xml:space="preserve"> 10</w:t>
      </w:r>
    </w:p>
    <w:p w14:paraId="317309A8" w14:textId="2AA32B88" w:rsidR="00BB1A8C" w:rsidRPr="00BB1A8C" w:rsidRDefault="00BB1A8C">
      <w:pPr>
        <w:pStyle w:val="ClinContent"/>
        <w:rPr>
          <w:lang w:val="pl-PL"/>
        </w:rPr>
      </w:pPr>
      <w:r w:rsidRPr="00BB1A8C">
        <w:rPr>
          <w:lang w:val="pl-PL"/>
        </w:rPr>
        <w:t xml:space="preserve">a) </w:t>
      </w:r>
      <w:r w:rsidRPr="00BB1A8C">
        <w:rPr>
          <w:i/>
          <w:lang w:val="pl-PL"/>
        </w:rPr>
        <w:t>Istnienie ingerencji</w:t>
      </w:r>
      <w:r w:rsidRPr="00BB1A8C">
        <w:rPr>
          <w:lang w:val="pl-PL"/>
        </w:rPr>
        <w:t xml:space="preserve"> – Decyzje władz krajowych ingerowały w wolność wyrażania opinii MKKP. </w:t>
      </w:r>
      <w:r>
        <w:rPr>
          <w:lang w:val="pl-PL"/>
        </w:rPr>
        <w:t>W opinii Trybunału zamieszczanie zdjęć kart do głosowania stanowi formę p</w:t>
      </w:r>
      <w:r w:rsidR="00FE58A2">
        <w:rPr>
          <w:lang w:val="pl-PL"/>
        </w:rPr>
        <w:t>ostępowania, która kwalifikuje</w:t>
      </w:r>
      <w:r>
        <w:rPr>
          <w:lang w:val="pl-PL"/>
        </w:rPr>
        <w:t xml:space="preserve"> się jako </w:t>
      </w:r>
      <w:r w:rsidR="0023250D">
        <w:rPr>
          <w:lang w:val="pl-PL"/>
        </w:rPr>
        <w:t>korzystanie z</w:t>
      </w:r>
      <w:r>
        <w:rPr>
          <w:lang w:val="pl-PL"/>
        </w:rPr>
        <w:t xml:space="preserve"> wolności wyrażania opinii. </w:t>
      </w:r>
    </w:p>
    <w:p w14:paraId="25463C23" w14:textId="3FD393F9" w:rsidR="00F46513" w:rsidRPr="00F46513" w:rsidRDefault="00F46513">
      <w:pPr>
        <w:pStyle w:val="ClinContent"/>
        <w:rPr>
          <w:lang w:val="pl-PL"/>
        </w:rPr>
      </w:pPr>
      <w:r w:rsidRPr="00F46513">
        <w:rPr>
          <w:lang w:val="pl-PL"/>
        </w:rPr>
        <w:t xml:space="preserve">MKKP nie była autorem przedmiotowych fotografii, uczestniczyła raczej w ich </w:t>
      </w:r>
      <w:r w:rsidR="00FE684D" w:rsidRPr="00F46513">
        <w:rPr>
          <w:lang w:val="pl-PL"/>
        </w:rPr>
        <w:t>rozpowszechnianiu</w:t>
      </w:r>
      <w:r w:rsidRPr="00F46513">
        <w:rPr>
          <w:lang w:val="pl-PL"/>
        </w:rPr>
        <w:t xml:space="preserve"> poprzez </w:t>
      </w:r>
      <w:r w:rsidR="007E7286">
        <w:rPr>
          <w:lang w:val="pl-PL"/>
        </w:rPr>
        <w:t xml:space="preserve">udostępnienie </w:t>
      </w:r>
      <w:r w:rsidRPr="00F46513">
        <w:rPr>
          <w:lang w:val="pl-PL"/>
        </w:rPr>
        <w:t xml:space="preserve">aplikacji mobilnej służącej do ich publikowania. </w:t>
      </w:r>
      <w:r>
        <w:rPr>
          <w:lang w:val="pl-PL"/>
        </w:rPr>
        <w:lastRenderedPageBreak/>
        <w:t xml:space="preserve">W </w:t>
      </w:r>
      <w:r w:rsidR="00ED05F2">
        <w:rPr>
          <w:lang w:val="pl-PL"/>
        </w:rPr>
        <w:t xml:space="preserve">swoim </w:t>
      </w:r>
      <w:r>
        <w:rPr>
          <w:lang w:val="pl-PL"/>
        </w:rPr>
        <w:t xml:space="preserve">orzecznictwie Trybunał stwierdził, że art. 10 stosuje się nie tylko do treści informacji, ale także do środków jej rozpowszechniania, gdyż wszelkie </w:t>
      </w:r>
      <w:r w:rsidR="00ED05F2">
        <w:rPr>
          <w:lang w:val="pl-PL"/>
        </w:rPr>
        <w:t xml:space="preserve">ograniczenia </w:t>
      </w:r>
      <w:r>
        <w:rPr>
          <w:lang w:val="pl-PL"/>
        </w:rPr>
        <w:t xml:space="preserve">nakładane na te środki z konieczności ingerują w prawo do otrzymywania i przekazywania informacji. </w:t>
      </w:r>
      <w:r w:rsidR="00FE684D">
        <w:rPr>
          <w:lang w:val="pl-PL"/>
        </w:rPr>
        <w:t xml:space="preserve">Aplikacja mobilna była środkiem udostępnionym przez MKKP </w:t>
      </w:r>
      <w:r w:rsidR="002068F9">
        <w:rPr>
          <w:lang w:val="pl-PL"/>
        </w:rPr>
        <w:t>wyborcom</w:t>
      </w:r>
      <w:r w:rsidR="00F37CAE">
        <w:rPr>
          <w:lang w:val="pl-PL"/>
        </w:rPr>
        <w:t xml:space="preserve"> </w:t>
      </w:r>
      <w:r w:rsidR="00DE6C62">
        <w:rPr>
          <w:lang w:val="pl-PL"/>
        </w:rPr>
        <w:t xml:space="preserve">do przekazywania ich opinii politycznych, umożliwiając im </w:t>
      </w:r>
      <w:r w:rsidR="003E308B">
        <w:rPr>
          <w:lang w:val="pl-PL"/>
        </w:rPr>
        <w:t xml:space="preserve">korzystanie z </w:t>
      </w:r>
      <w:r w:rsidR="00DE6C62">
        <w:rPr>
          <w:lang w:val="pl-PL"/>
        </w:rPr>
        <w:t xml:space="preserve">ich prawa do wolności wyrażania opinii. </w:t>
      </w:r>
    </w:p>
    <w:p w14:paraId="127DD6D8" w14:textId="710DBA08" w:rsidR="00DE6C62" w:rsidRPr="0098351B" w:rsidRDefault="00DE6C62">
      <w:pPr>
        <w:pStyle w:val="ClinContent"/>
        <w:rPr>
          <w:lang w:val="pl-PL"/>
        </w:rPr>
      </w:pPr>
      <w:r w:rsidRPr="00DE6C62">
        <w:rPr>
          <w:lang w:val="pl-PL"/>
        </w:rPr>
        <w:t xml:space="preserve">Zgodnie z </w:t>
      </w:r>
      <w:r>
        <w:rPr>
          <w:lang w:val="pl-PL"/>
        </w:rPr>
        <w:t>interpretacją</w:t>
      </w:r>
      <w:r w:rsidRPr="00DE6C62">
        <w:rPr>
          <w:lang w:val="pl-PL"/>
        </w:rPr>
        <w:t xml:space="preserve"> </w:t>
      </w:r>
      <w:r>
        <w:rPr>
          <w:lang w:val="pl-PL"/>
        </w:rPr>
        <w:t>postępowania MKKP dokonaną</w:t>
      </w:r>
      <w:r w:rsidRPr="00DE6C62">
        <w:rPr>
          <w:lang w:val="pl-PL"/>
        </w:rPr>
        <w:t xml:space="preserve"> przez organy krajowe Trybunał uzna</w:t>
      </w:r>
      <w:r>
        <w:rPr>
          <w:lang w:val="pl-PL"/>
        </w:rPr>
        <w:t xml:space="preserve">ł, że MKKP nie tylko chciała udostępnić </w:t>
      </w:r>
      <w:r w:rsidR="00C7190A">
        <w:rPr>
          <w:lang w:val="pl-PL"/>
        </w:rPr>
        <w:t>wyborcom</w:t>
      </w:r>
      <w:r w:rsidR="00F37CAE">
        <w:rPr>
          <w:lang w:val="pl-PL"/>
        </w:rPr>
        <w:t xml:space="preserve"> forum, na którym mogli wyrażać swoje opinie, ale także </w:t>
      </w:r>
      <w:r w:rsidR="003E308B">
        <w:rPr>
          <w:lang w:val="pl-PL"/>
        </w:rPr>
        <w:t xml:space="preserve">sama </w:t>
      </w:r>
      <w:r w:rsidR="00B013D4">
        <w:rPr>
          <w:lang w:val="pl-PL"/>
        </w:rPr>
        <w:t xml:space="preserve">dążyła </w:t>
      </w:r>
      <w:r w:rsidR="00F37CAE">
        <w:rPr>
          <w:lang w:val="pl-PL"/>
        </w:rPr>
        <w:t xml:space="preserve">do przekazania przesłania politycznego. Zważywszy na kontekst – czas referendum krajowego – oraz nazwę aplikacji – „Oddaj nieważny głos” </w:t>
      </w:r>
      <w:r w:rsidR="00E748EA">
        <w:rPr>
          <w:lang w:val="pl-PL"/>
        </w:rPr>
        <w:t>– działanie tej aplikacji mobilnej należ</w:t>
      </w:r>
      <w:r w:rsidR="00080757">
        <w:rPr>
          <w:lang w:val="pl-PL"/>
        </w:rPr>
        <w:t>y</w:t>
      </w:r>
      <w:r w:rsidR="00E748EA">
        <w:rPr>
          <w:lang w:val="pl-PL"/>
        </w:rPr>
        <w:t xml:space="preserve"> uznać za wyrażenie przez MKKP opinii politycznej </w:t>
      </w:r>
      <w:r w:rsidR="00D07D42">
        <w:rPr>
          <w:lang w:val="pl-PL"/>
        </w:rPr>
        <w:t xml:space="preserve">na temat </w:t>
      </w:r>
      <w:r w:rsidR="00E748EA" w:rsidRPr="0098351B">
        <w:rPr>
          <w:lang w:val="pl-PL"/>
        </w:rPr>
        <w:t xml:space="preserve">przedmiotowego referendum. </w:t>
      </w:r>
    </w:p>
    <w:p w14:paraId="00A7E4EE" w14:textId="36A6B3BA" w:rsidR="00D84792" w:rsidRPr="00C7190A" w:rsidRDefault="00D84792">
      <w:pPr>
        <w:pStyle w:val="ClinContent"/>
        <w:rPr>
          <w:lang w:val="pl-PL"/>
        </w:rPr>
      </w:pPr>
      <w:r w:rsidRPr="0098351B">
        <w:rPr>
          <w:lang w:val="pl-PL"/>
        </w:rPr>
        <w:t xml:space="preserve">MKKP twierdziła, że została ukarana nie za prowadzenie kampanii jako takiej, ale za </w:t>
      </w:r>
      <w:r w:rsidR="00B013D4">
        <w:rPr>
          <w:lang w:val="pl-PL"/>
        </w:rPr>
        <w:t>prowadzenie jej</w:t>
      </w:r>
      <w:r w:rsidRPr="0098351B">
        <w:rPr>
          <w:lang w:val="pl-PL"/>
        </w:rPr>
        <w:t xml:space="preserve"> poprzez </w:t>
      </w:r>
      <w:r w:rsidR="00D9326A" w:rsidRPr="0098351B">
        <w:rPr>
          <w:lang w:val="pl-PL"/>
        </w:rPr>
        <w:t xml:space="preserve">przedmiotową </w:t>
      </w:r>
      <w:r w:rsidRPr="0098351B">
        <w:rPr>
          <w:lang w:val="pl-PL"/>
        </w:rPr>
        <w:t>aplikację mobilną. Ochrona z art. 10 rozciąga się nie tylko na</w:t>
      </w:r>
      <w:r>
        <w:rPr>
          <w:lang w:val="pl-PL"/>
        </w:rPr>
        <w:t xml:space="preserve"> treść wyrażanych idei i informacji, ale także na formę, w której są przekazywane. </w:t>
      </w:r>
      <w:r w:rsidRPr="00C7190A">
        <w:rPr>
          <w:lang w:val="pl-PL"/>
        </w:rPr>
        <w:t xml:space="preserve">Postępowanie MKKP </w:t>
      </w:r>
      <w:r w:rsidR="00F5567A" w:rsidRPr="00C7190A">
        <w:rPr>
          <w:lang w:val="pl-PL"/>
        </w:rPr>
        <w:t xml:space="preserve">należało do tej kategorii. </w:t>
      </w:r>
    </w:p>
    <w:p w14:paraId="44062460" w14:textId="6D7D3500" w:rsidR="00F5567A" w:rsidRPr="00F5567A" w:rsidRDefault="00F5567A">
      <w:pPr>
        <w:pStyle w:val="ClinContent"/>
        <w:rPr>
          <w:lang w:val="pl-PL"/>
        </w:rPr>
      </w:pPr>
      <w:r w:rsidRPr="00F5567A">
        <w:rPr>
          <w:lang w:val="pl-PL"/>
        </w:rPr>
        <w:t xml:space="preserve">W okolicznościach sprawy oba aspekty – zapewnienie forum dla treści osób trzecich oraz </w:t>
      </w:r>
      <w:r w:rsidR="00B013D4">
        <w:rPr>
          <w:lang w:val="pl-PL"/>
        </w:rPr>
        <w:t xml:space="preserve">samo </w:t>
      </w:r>
      <w:r w:rsidRPr="00F5567A">
        <w:rPr>
          <w:lang w:val="pl-PL"/>
        </w:rPr>
        <w:t>przekazywanie informacji i idei – były ze sobą nieroz</w:t>
      </w:r>
      <w:r>
        <w:rPr>
          <w:lang w:val="pl-PL"/>
        </w:rPr>
        <w:t xml:space="preserve">erwalnie </w:t>
      </w:r>
      <w:r w:rsidR="00FB772D">
        <w:rPr>
          <w:lang w:val="pl-PL"/>
        </w:rPr>
        <w:t>związane</w:t>
      </w:r>
      <w:r>
        <w:rPr>
          <w:lang w:val="pl-PL"/>
        </w:rPr>
        <w:t xml:space="preserve">. </w:t>
      </w:r>
      <w:r w:rsidR="00D07D42">
        <w:rPr>
          <w:lang w:val="pl-PL"/>
        </w:rPr>
        <w:t>U</w:t>
      </w:r>
      <w:r w:rsidR="00FB772D">
        <w:rPr>
          <w:lang w:val="pl-PL"/>
        </w:rPr>
        <w:t>dostępnienie</w:t>
      </w:r>
      <w:r w:rsidR="002C5CB1">
        <w:rPr>
          <w:lang w:val="pl-PL"/>
        </w:rPr>
        <w:t xml:space="preserve"> wyborcom aplikacji mobilnej i wezwanie ich do </w:t>
      </w:r>
      <w:r w:rsidR="00DD1755">
        <w:rPr>
          <w:lang w:val="pl-PL"/>
        </w:rPr>
        <w:t xml:space="preserve">zamieszczania i publikowania </w:t>
      </w:r>
      <w:r w:rsidR="00E176F9">
        <w:rPr>
          <w:lang w:val="pl-PL"/>
        </w:rPr>
        <w:t xml:space="preserve">zdjęć </w:t>
      </w:r>
      <w:r w:rsidR="00DD1755">
        <w:rPr>
          <w:lang w:val="pl-PL"/>
        </w:rPr>
        <w:t>kart do głosowania oraz zachęcanie ich do oddania nieważnego</w:t>
      </w:r>
      <w:r w:rsidR="00E176F9">
        <w:rPr>
          <w:lang w:val="pl-PL"/>
        </w:rPr>
        <w:t xml:space="preserve"> głosu</w:t>
      </w:r>
      <w:r w:rsidR="00DD1755">
        <w:rPr>
          <w:lang w:val="pl-PL"/>
        </w:rPr>
        <w:t xml:space="preserve"> obejmowało </w:t>
      </w:r>
      <w:r w:rsidR="00B71232">
        <w:rPr>
          <w:lang w:val="pl-PL"/>
        </w:rPr>
        <w:t xml:space="preserve">więc </w:t>
      </w:r>
      <w:r w:rsidR="00FB772D">
        <w:rPr>
          <w:lang w:val="pl-PL"/>
        </w:rPr>
        <w:t>korzystanie</w:t>
      </w:r>
      <w:r w:rsidR="00DD1755">
        <w:rPr>
          <w:lang w:val="pl-PL"/>
        </w:rPr>
        <w:t xml:space="preserve"> przez MKKP </w:t>
      </w:r>
      <w:r w:rsidR="00FB772D">
        <w:rPr>
          <w:lang w:val="pl-PL"/>
        </w:rPr>
        <w:t xml:space="preserve">z </w:t>
      </w:r>
      <w:r w:rsidR="00DD1755">
        <w:rPr>
          <w:lang w:val="pl-PL"/>
        </w:rPr>
        <w:t xml:space="preserve">prawa do wolności wyrażania opinii w odniesieniu do obu tych aspektów. </w:t>
      </w:r>
    </w:p>
    <w:p w14:paraId="3AAE4D45" w14:textId="4B5206D9" w:rsidR="002C5CB1" w:rsidRPr="00E176F9" w:rsidRDefault="00E176F9">
      <w:pPr>
        <w:pStyle w:val="ClinContent"/>
        <w:rPr>
          <w:lang w:val="pl-PL"/>
        </w:rPr>
      </w:pPr>
      <w:r w:rsidRPr="00E176F9">
        <w:rPr>
          <w:lang w:val="pl-PL"/>
        </w:rPr>
        <w:t xml:space="preserve">Reakcja władz na </w:t>
      </w:r>
      <w:r w:rsidR="00FB772D">
        <w:rPr>
          <w:lang w:val="pl-PL"/>
        </w:rPr>
        <w:t>korzystanie</w:t>
      </w:r>
      <w:r w:rsidRPr="00E176F9">
        <w:rPr>
          <w:lang w:val="pl-PL"/>
        </w:rPr>
        <w:t xml:space="preserve"> przez MKKP </w:t>
      </w:r>
      <w:r w:rsidR="00FB772D">
        <w:rPr>
          <w:lang w:val="pl-PL"/>
        </w:rPr>
        <w:t xml:space="preserve">z </w:t>
      </w:r>
      <w:r w:rsidRPr="00E176F9">
        <w:rPr>
          <w:lang w:val="pl-PL"/>
        </w:rPr>
        <w:t xml:space="preserve">praw </w:t>
      </w:r>
      <w:r w:rsidR="00976F32">
        <w:rPr>
          <w:lang w:val="pl-PL"/>
        </w:rPr>
        <w:t xml:space="preserve">przewidzianych </w:t>
      </w:r>
      <w:r w:rsidRPr="00E176F9">
        <w:rPr>
          <w:lang w:val="pl-PL"/>
        </w:rPr>
        <w:t xml:space="preserve">na podstawie art. </w:t>
      </w:r>
      <w:r>
        <w:rPr>
          <w:lang w:val="pl-PL"/>
        </w:rPr>
        <w:t xml:space="preserve">10 Konwencji stanowiła ingerencję w te prawa. </w:t>
      </w:r>
    </w:p>
    <w:p w14:paraId="4BD71F91" w14:textId="32F5E4AB" w:rsidR="00E176F9" w:rsidRPr="00E176F9" w:rsidRDefault="00E176F9">
      <w:pPr>
        <w:pStyle w:val="ClinContent"/>
        <w:rPr>
          <w:lang w:val="pl-PL"/>
        </w:rPr>
      </w:pPr>
      <w:r w:rsidRPr="00E176F9">
        <w:rPr>
          <w:lang w:val="pl-PL"/>
        </w:rPr>
        <w:t xml:space="preserve">b) </w:t>
      </w:r>
      <w:r w:rsidRPr="00E176F9">
        <w:rPr>
          <w:i/>
          <w:lang w:val="pl-PL"/>
        </w:rPr>
        <w:t>Czy ingerencja była przewidziana przez ustawę</w:t>
      </w:r>
      <w:r w:rsidRPr="00E176F9">
        <w:rPr>
          <w:lang w:val="pl-PL"/>
        </w:rPr>
        <w:t xml:space="preserve"> </w:t>
      </w:r>
      <w:r>
        <w:rPr>
          <w:lang w:val="pl-PL"/>
        </w:rPr>
        <w:t>–</w:t>
      </w:r>
      <w:r w:rsidRPr="00E176F9">
        <w:rPr>
          <w:lang w:val="pl-PL"/>
        </w:rPr>
        <w:t xml:space="preserve"> </w:t>
      </w:r>
      <w:r>
        <w:rPr>
          <w:lang w:val="pl-PL"/>
        </w:rPr>
        <w:t xml:space="preserve">Zakres pojęcia przewidywalności zależy w znacznym stopniu od treści danego instrumentu, obszaru, który ma objąć, oraz liczby i statusu tych, do których </w:t>
      </w:r>
      <w:r w:rsidR="009B3F5E">
        <w:rPr>
          <w:lang w:val="pl-PL"/>
        </w:rPr>
        <w:t>jest adresowany. Kontekst wyborczy nabi</w:t>
      </w:r>
      <w:r w:rsidR="00153DF0">
        <w:rPr>
          <w:lang w:val="pl-PL"/>
        </w:rPr>
        <w:t>era w tym względzie szczególnej wagi</w:t>
      </w:r>
      <w:r w:rsidR="009B3F5E">
        <w:rPr>
          <w:lang w:val="pl-PL"/>
        </w:rPr>
        <w:t xml:space="preserve">, zważywszy na </w:t>
      </w:r>
      <w:r w:rsidR="00153DF0">
        <w:rPr>
          <w:lang w:val="pl-PL"/>
        </w:rPr>
        <w:t xml:space="preserve">znaczenie </w:t>
      </w:r>
      <w:r w:rsidR="009B3F5E">
        <w:rPr>
          <w:lang w:val="pl-PL"/>
        </w:rPr>
        <w:t xml:space="preserve">integralności procesu głosowania dla </w:t>
      </w:r>
      <w:r w:rsidR="00F30068">
        <w:rPr>
          <w:lang w:val="pl-PL"/>
        </w:rPr>
        <w:t>utrzymania</w:t>
      </w:r>
      <w:r w:rsidR="009B3F5E">
        <w:rPr>
          <w:lang w:val="pl-PL"/>
        </w:rPr>
        <w:t xml:space="preserve"> zaufania elektoratu do instytucji demokratycznych. </w:t>
      </w:r>
    </w:p>
    <w:p w14:paraId="16E2CCCE" w14:textId="1E524ABE" w:rsidR="009F5D69" w:rsidRPr="009F5D69" w:rsidRDefault="009F5D69">
      <w:pPr>
        <w:pStyle w:val="ClinContent"/>
        <w:rPr>
          <w:lang w:val="pl-PL"/>
        </w:rPr>
      </w:pPr>
      <w:r w:rsidRPr="009F5D69">
        <w:rPr>
          <w:lang w:val="pl-PL"/>
        </w:rPr>
        <w:t xml:space="preserve">Gdy uregulowania prawne dotyczące wyborów są </w:t>
      </w:r>
      <w:r w:rsidR="00236E5F" w:rsidRPr="009F5D69">
        <w:rPr>
          <w:lang w:val="pl-PL"/>
        </w:rPr>
        <w:t>podstaw</w:t>
      </w:r>
      <w:r w:rsidR="00236E5F">
        <w:rPr>
          <w:lang w:val="pl-PL"/>
        </w:rPr>
        <w:t>ą</w:t>
      </w:r>
      <w:r w:rsidR="00236E5F" w:rsidRPr="009F5D69">
        <w:rPr>
          <w:lang w:val="pl-PL"/>
        </w:rPr>
        <w:t xml:space="preserve"> </w:t>
      </w:r>
      <w:r w:rsidRPr="009F5D69">
        <w:rPr>
          <w:lang w:val="pl-PL"/>
        </w:rPr>
        <w:t>do ograniczania</w:t>
      </w:r>
      <w:r>
        <w:rPr>
          <w:lang w:val="pl-PL"/>
        </w:rPr>
        <w:t xml:space="preserve"> wolności wyrażania opinii, stanowi to dodatkowy element, który należy wziąć pod uwagę przy </w:t>
      </w:r>
      <w:r w:rsidR="00153DF0">
        <w:rPr>
          <w:lang w:val="pl-PL"/>
        </w:rPr>
        <w:t>roz</w:t>
      </w:r>
      <w:r>
        <w:rPr>
          <w:lang w:val="pl-PL"/>
        </w:rPr>
        <w:t xml:space="preserve">ważaniu wymogu przewidywalności, który </w:t>
      </w:r>
      <w:r w:rsidR="00153DF0">
        <w:rPr>
          <w:lang w:val="pl-PL"/>
        </w:rPr>
        <w:t xml:space="preserve">prawo </w:t>
      </w:r>
      <w:r>
        <w:rPr>
          <w:lang w:val="pl-PL"/>
        </w:rPr>
        <w:t>musi spełniać. W tym kontekście swoboda wypowiedzi jest kluczowa d</w:t>
      </w:r>
      <w:r w:rsidR="007B6D1E">
        <w:rPr>
          <w:lang w:val="pl-PL"/>
        </w:rPr>
        <w:t>la</w:t>
      </w:r>
      <w:r>
        <w:rPr>
          <w:lang w:val="pl-PL"/>
        </w:rPr>
        <w:t xml:space="preserve"> zapewnienia </w:t>
      </w:r>
      <w:r w:rsidR="00415791">
        <w:rPr>
          <w:lang w:val="pl-PL"/>
        </w:rPr>
        <w:t xml:space="preserve">„swobody wyrażania opinii ludności w wyborze ciała ustawodawczego”. Z tego powodu szczególnie istotne jest, by w okresie poprzedzającym wybory opinie i informacje wszelkiego rodzaju mogły krążyć swobodnie. </w:t>
      </w:r>
      <w:r w:rsidR="0018213E">
        <w:rPr>
          <w:lang w:val="pl-PL"/>
        </w:rPr>
        <w:t xml:space="preserve">Dotyczy to szczególnie sytuacji, gdy w grę wchodzi wolność wyrażania opinii partii politycznej. Jak Trybunał wielokrotnie powtarzał, partie polityczne odgrywają </w:t>
      </w:r>
      <w:r w:rsidR="002E118A">
        <w:rPr>
          <w:lang w:val="pl-PL"/>
        </w:rPr>
        <w:t>zasadniczą</w:t>
      </w:r>
      <w:r w:rsidR="0018213E">
        <w:rPr>
          <w:lang w:val="pl-PL"/>
        </w:rPr>
        <w:t xml:space="preserve"> rolę w zapewnianiu pluralizmu i odpowiedniego funkcjonowania demokracji. Ograniczenia </w:t>
      </w:r>
      <w:r w:rsidR="002E118A">
        <w:rPr>
          <w:lang w:val="pl-PL"/>
        </w:rPr>
        <w:t>ich wolności</w:t>
      </w:r>
      <w:r w:rsidR="0018213E">
        <w:rPr>
          <w:lang w:val="pl-PL"/>
        </w:rPr>
        <w:t xml:space="preserve"> wyrażania opinii mus</w:t>
      </w:r>
      <w:r w:rsidR="0088462A">
        <w:rPr>
          <w:lang w:val="pl-PL"/>
        </w:rPr>
        <w:t>zą</w:t>
      </w:r>
      <w:r w:rsidR="0018213E">
        <w:rPr>
          <w:lang w:val="pl-PL"/>
        </w:rPr>
        <w:t xml:space="preserve"> zatem podlegać rygorystycznej kontroli. To samo dotyczy, </w:t>
      </w:r>
      <w:r w:rsidR="0018213E" w:rsidRPr="0018213E">
        <w:rPr>
          <w:i/>
          <w:lang w:val="pl-PL"/>
        </w:rPr>
        <w:t>mutatis mutandis</w:t>
      </w:r>
      <w:r w:rsidR="0018213E">
        <w:rPr>
          <w:lang w:val="pl-PL"/>
        </w:rPr>
        <w:t xml:space="preserve">, kontekstu referendum mającego na celu ustalenie woli elektoratu w sprawach </w:t>
      </w:r>
      <w:r w:rsidR="00B76D4C">
        <w:rPr>
          <w:lang w:val="pl-PL"/>
        </w:rPr>
        <w:t>o znaczeniu publicznym</w:t>
      </w:r>
      <w:r w:rsidR="0018213E">
        <w:rPr>
          <w:lang w:val="pl-PL"/>
        </w:rPr>
        <w:t xml:space="preserve">. </w:t>
      </w:r>
    </w:p>
    <w:p w14:paraId="15D7A71F" w14:textId="3E80C2D4" w:rsidR="00B76D4C" w:rsidRPr="00B76D4C" w:rsidRDefault="00B76D4C">
      <w:pPr>
        <w:pStyle w:val="ClinContent"/>
        <w:rPr>
          <w:lang w:val="pl-PL"/>
        </w:rPr>
      </w:pPr>
      <w:r w:rsidRPr="00B76D4C">
        <w:rPr>
          <w:lang w:val="pl-PL"/>
        </w:rPr>
        <w:t xml:space="preserve">W opinii Trybunału </w:t>
      </w:r>
      <w:r w:rsidR="007B6D1E">
        <w:rPr>
          <w:lang w:val="pl-PL"/>
        </w:rPr>
        <w:t>tego rodzaju</w:t>
      </w:r>
      <w:r w:rsidRPr="00B76D4C">
        <w:rPr>
          <w:lang w:val="pl-PL"/>
        </w:rPr>
        <w:t xml:space="preserve"> </w:t>
      </w:r>
      <w:r w:rsidR="00285680">
        <w:rPr>
          <w:lang w:val="pl-PL"/>
        </w:rPr>
        <w:t>kontrola</w:t>
      </w:r>
      <w:r w:rsidR="00285680" w:rsidRPr="00B76D4C">
        <w:rPr>
          <w:lang w:val="pl-PL"/>
        </w:rPr>
        <w:t xml:space="preserve"> </w:t>
      </w:r>
      <w:r w:rsidRPr="00B76D4C">
        <w:rPr>
          <w:lang w:val="pl-PL"/>
        </w:rPr>
        <w:t xml:space="preserve">w sposób naturalny </w:t>
      </w:r>
      <w:r w:rsidR="0088462A">
        <w:rPr>
          <w:lang w:val="pl-PL"/>
        </w:rPr>
        <w:t xml:space="preserve">rozciąga się na </w:t>
      </w:r>
      <w:r>
        <w:rPr>
          <w:lang w:val="pl-PL"/>
        </w:rPr>
        <w:t>ocen</w:t>
      </w:r>
      <w:r w:rsidR="0088462A">
        <w:rPr>
          <w:lang w:val="pl-PL"/>
        </w:rPr>
        <w:t>ę</w:t>
      </w:r>
      <w:r w:rsidRPr="00B76D4C">
        <w:rPr>
          <w:lang w:val="pl-PL"/>
        </w:rPr>
        <w:t xml:space="preserve">, czy </w:t>
      </w:r>
      <w:r>
        <w:rPr>
          <w:lang w:val="pl-PL"/>
        </w:rPr>
        <w:t>podstawa prawna</w:t>
      </w:r>
      <w:r w:rsidR="007B6D1E">
        <w:rPr>
          <w:lang w:val="pl-PL"/>
        </w:rPr>
        <w:t xml:space="preserve"> służąca do ograniczenia</w:t>
      </w:r>
      <w:r>
        <w:rPr>
          <w:lang w:val="pl-PL"/>
        </w:rPr>
        <w:t xml:space="preserve"> </w:t>
      </w:r>
      <w:r w:rsidR="007B6D1E">
        <w:rPr>
          <w:lang w:val="pl-PL"/>
        </w:rPr>
        <w:t xml:space="preserve">przez władze </w:t>
      </w:r>
      <w:r>
        <w:rPr>
          <w:lang w:val="pl-PL"/>
        </w:rPr>
        <w:t xml:space="preserve">wolności wyrażania opinii </w:t>
      </w:r>
      <w:r w:rsidR="007B6D1E">
        <w:rPr>
          <w:lang w:val="pl-PL"/>
        </w:rPr>
        <w:t>partii politycznej</w:t>
      </w:r>
      <w:r>
        <w:rPr>
          <w:lang w:val="pl-PL"/>
        </w:rPr>
        <w:t xml:space="preserve"> </w:t>
      </w:r>
      <w:r w:rsidR="00D51050">
        <w:rPr>
          <w:lang w:val="pl-PL"/>
        </w:rPr>
        <w:t xml:space="preserve">była przewidywalna co do </w:t>
      </w:r>
      <w:r w:rsidR="00207C86">
        <w:rPr>
          <w:lang w:val="pl-PL"/>
        </w:rPr>
        <w:t xml:space="preserve">swoich </w:t>
      </w:r>
      <w:r w:rsidR="00D51050">
        <w:rPr>
          <w:lang w:val="pl-PL"/>
        </w:rPr>
        <w:t xml:space="preserve">skutków w stopniu wykluczającym wszelką arbitralność przy jej stosowaniu. Rygorystyczna kontrola służy </w:t>
      </w:r>
      <w:r w:rsidR="00285680">
        <w:rPr>
          <w:lang w:val="pl-PL"/>
        </w:rPr>
        <w:t>w tym przypadku</w:t>
      </w:r>
      <w:r w:rsidR="00D51050">
        <w:rPr>
          <w:lang w:val="pl-PL"/>
        </w:rPr>
        <w:t xml:space="preserve"> nie tylko ochronie demokratycznych partii politycznych przed arbitralną ingerencją władz, ale chroni </w:t>
      </w:r>
      <w:r w:rsidR="0088462A">
        <w:rPr>
          <w:lang w:val="pl-PL"/>
        </w:rPr>
        <w:t xml:space="preserve">także </w:t>
      </w:r>
      <w:r w:rsidR="00D51050">
        <w:rPr>
          <w:lang w:val="pl-PL"/>
        </w:rPr>
        <w:t xml:space="preserve">samą demokrację, gdyż </w:t>
      </w:r>
      <w:r w:rsidR="00586929">
        <w:rPr>
          <w:lang w:val="pl-PL"/>
        </w:rPr>
        <w:t xml:space="preserve">w tym kontekście </w:t>
      </w:r>
      <w:r w:rsidR="00D51050">
        <w:rPr>
          <w:lang w:val="pl-PL"/>
        </w:rPr>
        <w:t>wszelkie ogranicz</w:t>
      </w:r>
      <w:r w:rsidR="00C44E2C">
        <w:rPr>
          <w:lang w:val="pl-PL"/>
        </w:rPr>
        <w:t>a</w:t>
      </w:r>
      <w:r w:rsidR="00D51050">
        <w:rPr>
          <w:lang w:val="pl-PL"/>
        </w:rPr>
        <w:t xml:space="preserve">nie wolności wyrażania opinii bez wystarczająco przewidywalnych uregulowań może </w:t>
      </w:r>
      <w:r w:rsidR="00D4621A">
        <w:rPr>
          <w:lang w:val="pl-PL"/>
        </w:rPr>
        <w:t>być szkodliwe dla otwartej debaty</w:t>
      </w:r>
      <w:r w:rsidR="00D51050">
        <w:rPr>
          <w:lang w:val="pl-PL"/>
        </w:rPr>
        <w:t xml:space="preserve"> politycznej, legitymacji procesu głosowania i jego </w:t>
      </w:r>
      <w:r w:rsidR="005206C1">
        <w:rPr>
          <w:lang w:val="pl-PL"/>
        </w:rPr>
        <w:t>wynikó</w:t>
      </w:r>
      <w:r w:rsidR="00D4621A">
        <w:rPr>
          <w:lang w:val="pl-PL"/>
        </w:rPr>
        <w:t xml:space="preserve">w, a ostatecznie </w:t>
      </w:r>
      <w:r w:rsidR="007B6D1E">
        <w:rPr>
          <w:lang w:val="pl-PL"/>
        </w:rPr>
        <w:t xml:space="preserve">dla </w:t>
      </w:r>
      <w:r w:rsidR="00D4621A">
        <w:rPr>
          <w:lang w:val="pl-PL"/>
        </w:rPr>
        <w:lastRenderedPageBreak/>
        <w:t>zaufania</w:t>
      </w:r>
      <w:r w:rsidR="00D51050">
        <w:rPr>
          <w:lang w:val="pl-PL"/>
        </w:rPr>
        <w:t xml:space="preserve"> obywateli </w:t>
      </w:r>
      <w:r w:rsidR="00207C86">
        <w:rPr>
          <w:lang w:val="pl-PL"/>
        </w:rPr>
        <w:t xml:space="preserve">do integralności </w:t>
      </w:r>
      <w:r w:rsidR="00D51050">
        <w:rPr>
          <w:lang w:val="pl-PL"/>
        </w:rPr>
        <w:t xml:space="preserve">instytucji demokratycznych i ich </w:t>
      </w:r>
      <w:r w:rsidR="00207C86">
        <w:rPr>
          <w:lang w:val="pl-PL"/>
        </w:rPr>
        <w:t xml:space="preserve">przywiązania </w:t>
      </w:r>
      <w:r w:rsidR="00D51050">
        <w:rPr>
          <w:lang w:val="pl-PL"/>
        </w:rPr>
        <w:t xml:space="preserve">do zasady rządów prawa. </w:t>
      </w:r>
    </w:p>
    <w:p w14:paraId="0D331127" w14:textId="43490F9A" w:rsidR="005206C1" w:rsidRPr="005206C1" w:rsidRDefault="005206C1">
      <w:pPr>
        <w:pStyle w:val="ClinContent"/>
        <w:rPr>
          <w:lang w:val="pl-PL"/>
        </w:rPr>
      </w:pPr>
      <w:r w:rsidRPr="005206C1">
        <w:rPr>
          <w:lang w:val="pl-PL"/>
        </w:rPr>
        <w:t>Istotną kwestią w niniejszej sprawie było to, czy</w:t>
      </w:r>
      <w:r w:rsidR="00AA63A9">
        <w:rPr>
          <w:lang w:val="pl-PL"/>
        </w:rPr>
        <w:t xml:space="preserve"> </w:t>
      </w:r>
      <w:r w:rsidR="00586929">
        <w:rPr>
          <w:lang w:val="pl-PL"/>
        </w:rPr>
        <w:t xml:space="preserve">– </w:t>
      </w:r>
      <w:r w:rsidR="007B6D1E">
        <w:rPr>
          <w:lang w:val="pl-PL"/>
        </w:rPr>
        <w:t>przy</w:t>
      </w:r>
      <w:r w:rsidRPr="005206C1">
        <w:rPr>
          <w:lang w:val="pl-PL"/>
        </w:rPr>
        <w:t xml:space="preserve"> braku wiążącego przepisu prawa krajowego wyraźnie regulującego kwestię fotografowania kart do głosowania i zamieszczania takich fotografii w sposób zanonimizowany w aplikacji mobilnej w celu rozpowszechnienia ich w </w:t>
      </w:r>
      <w:r>
        <w:rPr>
          <w:lang w:val="pl-PL"/>
        </w:rPr>
        <w:t>czasie</w:t>
      </w:r>
      <w:r w:rsidR="00E45C47">
        <w:rPr>
          <w:lang w:val="pl-PL"/>
        </w:rPr>
        <w:t xml:space="preserve"> trwania głosowania</w:t>
      </w:r>
      <w:r>
        <w:rPr>
          <w:lang w:val="pl-PL"/>
        </w:rPr>
        <w:t xml:space="preserve"> – </w:t>
      </w:r>
      <w:r w:rsidR="00AA63A9">
        <w:rPr>
          <w:lang w:val="pl-PL"/>
        </w:rPr>
        <w:t xml:space="preserve">MKKP </w:t>
      </w:r>
      <w:r>
        <w:rPr>
          <w:lang w:val="pl-PL"/>
        </w:rPr>
        <w:t xml:space="preserve">wiedziała lub powinna była wiedzieć (w razie potrzeby po zasięgnięciu odpowiedniej porady prawnej), że jej postępowanie naruszy istniejące prawo dotyczące procedury wyborczej. </w:t>
      </w:r>
    </w:p>
    <w:p w14:paraId="7B25C42E" w14:textId="567A70A5" w:rsidR="0073658F" w:rsidRPr="0075559E" w:rsidRDefault="0073658F">
      <w:pPr>
        <w:pStyle w:val="ClinContent"/>
        <w:rPr>
          <w:lang w:val="pl-PL"/>
        </w:rPr>
      </w:pPr>
      <w:r w:rsidRPr="0075559E">
        <w:rPr>
          <w:lang w:val="pl-PL"/>
        </w:rPr>
        <w:t xml:space="preserve">Niejasność zasady </w:t>
      </w:r>
      <w:r w:rsidR="00AA63A9">
        <w:rPr>
          <w:lang w:val="pl-PL"/>
        </w:rPr>
        <w:t>„</w:t>
      </w:r>
      <w:r w:rsidR="00F67A60">
        <w:rPr>
          <w:lang w:val="pl-PL"/>
        </w:rPr>
        <w:t>korzystania z</w:t>
      </w:r>
      <w:r w:rsidRPr="0075559E">
        <w:rPr>
          <w:lang w:val="pl-PL"/>
        </w:rPr>
        <w:t xml:space="preserve"> praw zgodnie z ich celem”</w:t>
      </w:r>
      <w:r w:rsidR="0075559E" w:rsidRPr="0075559E">
        <w:rPr>
          <w:lang w:val="pl-PL"/>
        </w:rPr>
        <w:t>, wyrażonej w art.</w:t>
      </w:r>
      <w:r w:rsidR="0075559E">
        <w:rPr>
          <w:lang w:val="pl-PL"/>
        </w:rPr>
        <w:t xml:space="preserve"> 2 ust. 1 lit. e ustawy o procedurze wyborczej (UPW), została </w:t>
      </w:r>
      <w:r w:rsidR="00F67A60">
        <w:rPr>
          <w:lang w:val="pl-PL"/>
        </w:rPr>
        <w:t>stwierdzona</w:t>
      </w:r>
      <w:r w:rsidR="0075559E">
        <w:rPr>
          <w:lang w:val="pl-PL"/>
        </w:rPr>
        <w:t xml:space="preserve"> przez Trybunał Konstytucyjny w jego postanowieniu. UPW </w:t>
      </w:r>
      <w:r w:rsidR="00973006">
        <w:rPr>
          <w:lang w:val="pl-PL"/>
        </w:rPr>
        <w:t>nie zdefiniowała, co stanowi</w:t>
      </w:r>
      <w:r w:rsidR="00976781">
        <w:rPr>
          <w:lang w:val="pl-PL"/>
        </w:rPr>
        <w:t xml:space="preserve"> naruszenie tej zasady</w:t>
      </w:r>
      <w:r w:rsidR="00CD390E">
        <w:rPr>
          <w:lang w:val="pl-PL"/>
        </w:rPr>
        <w:t>,</w:t>
      </w:r>
      <w:r w:rsidR="00976781">
        <w:rPr>
          <w:lang w:val="pl-PL"/>
        </w:rPr>
        <w:t xml:space="preserve"> i nie ustal</w:t>
      </w:r>
      <w:r w:rsidR="00973006">
        <w:rPr>
          <w:lang w:val="pl-PL"/>
        </w:rPr>
        <w:t>i</w:t>
      </w:r>
      <w:r w:rsidR="00976781">
        <w:rPr>
          <w:lang w:val="pl-PL"/>
        </w:rPr>
        <w:t xml:space="preserve">ła kryteriów określania, </w:t>
      </w:r>
      <w:r w:rsidR="00C44E2C">
        <w:rPr>
          <w:lang w:val="pl-PL"/>
        </w:rPr>
        <w:t xml:space="preserve">jaka </w:t>
      </w:r>
      <w:r w:rsidR="00976781">
        <w:rPr>
          <w:lang w:val="pl-PL"/>
        </w:rPr>
        <w:t xml:space="preserve">sytuacja stanowi naruszenie wymogu </w:t>
      </w:r>
      <w:r w:rsidR="00F67A60">
        <w:rPr>
          <w:lang w:val="pl-PL"/>
        </w:rPr>
        <w:t>korzystania z</w:t>
      </w:r>
      <w:r w:rsidR="00976781">
        <w:rPr>
          <w:lang w:val="pl-PL"/>
        </w:rPr>
        <w:t xml:space="preserve"> praw zgodnie z ich celem, ani nawet nie </w:t>
      </w:r>
      <w:r w:rsidR="00973006">
        <w:rPr>
          <w:lang w:val="pl-PL"/>
        </w:rPr>
        <w:t xml:space="preserve">wskazała </w:t>
      </w:r>
      <w:r w:rsidR="00CE1963">
        <w:rPr>
          <w:lang w:val="pl-PL"/>
        </w:rPr>
        <w:t xml:space="preserve">żadnych </w:t>
      </w:r>
      <w:r w:rsidR="00976781">
        <w:rPr>
          <w:lang w:val="pl-PL"/>
        </w:rPr>
        <w:t>przykładów.</w:t>
      </w:r>
      <w:r w:rsidR="003323D6">
        <w:rPr>
          <w:lang w:val="pl-PL"/>
        </w:rPr>
        <w:t xml:space="preserve"> W</w:t>
      </w:r>
      <w:r w:rsidR="00A6617A">
        <w:rPr>
          <w:lang w:val="pl-PL"/>
        </w:rPr>
        <w:t xml:space="preserve"> rozumieniu Trybunału Konstytucyjnego nie było </w:t>
      </w:r>
      <w:r w:rsidR="003323D6">
        <w:rPr>
          <w:lang w:val="pl-PL"/>
        </w:rPr>
        <w:t xml:space="preserve">też </w:t>
      </w:r>
      <w:r w:rsidR="00A6617A">
        <w:rPr>
          <w:lang w:val="pl-PL"/>
        </w:rPr>
        <w:t xml:space="preserve">możliwe ustalenie </w:t>
      </w:r>
      <w:r w:rsidR="001121CB">
        <w:rPr>
          <w:lang w:val="pl-PL"/>
        </w:rPr>
        <w:t xml:space="preserve">ogólnie </w:t>
      </w:r>
      <w:r w:rsidR="00CE1963">
        <w:rPr>
          <w:lang w:val="pl-PL"/>
        </w:rPr>
        <w:t>stos</w:t>
      </w:r>
      <w:r w:rsidR="00431FB2">
        <w:rPr>
          <w:lang w:val="pl-PL"/>
        </w:rPr>
        <w:t>ujących się</w:t>
      </w:r>
      <w:r w:rsidR="00CE1963">
        <w:rPr>
          <w:lang w:val="pl-PL"/>
        </w:rPr>
        <w:t xml:space="preserve"> </w:t>
      </w:r>
      <w:r w:rsidR="00A6617A">
        <w:rPr>
          <w:lang w:val="pl-PL"/>
        </w:rPr>
        <w:t>kryteriów d</w:t>
      </w:r>
      <w:r w:rsidR="00AA63A9">
        <w:rPr>
          <w:lang w:val="pl-PL"/>
        </w:rPr>
        <w:t>o</w:t>
      </w:r>
      <w:r w:rsidR="00A6617A">
        <w:rPr>
          <w:lang w:val="pl-PL"/>
        </w:rPr>
        <w:t xml:space="preserve"> </w:t>
      </w:r>
      <w:r w:rsidR="00F67A60">
        <w:rPr>
          <w:lang w:val="pl-PL"/>
        </w:rPr>
        <w:t>korzystania z</w:t>
      </w:r>
      <w:r w:rsidR="00A6617A">
        <w:rPr>
          <w:lang w:val="pl-PL"/>
        </w:rPr>
        <w:t xml:space="preserve"> praw </w:t>
      </w:r>
      <w:r w:rsidR="00A6617A" w:rsidRPr="003C48B1">
        <w:rPr>
          <w:lang w:val="pl-PL"/>
        </w:rPr>
        <w:t>nie</w:t>
      </w:r>
      <w:r w:rsidR="00586929" w:rsidRPr="003C48B1">
        <w:rPr>
          <w:lang w:val="pl-PL"/>
        </w:rPr>
        <w:t>zgodnie</w:t>
      </w:r>
      <w:r w:rsidR="00A6617A">
        <w:rPr>
          <w:lang w:val="pl-PL"/>
        </w:rPr>
        <w:t xml:space="preserve"> z ich celem</w:t>
      </w:r>
      <w:r w:rsidR="007D4D50">
        <w:rPr>
          <w:lang w:val="pl-PL"/>
        </w:rPr>
        <w:t>;</w:t>
      </w:r>
      <w:r w:rsidR="00A6617A">
        <w:rPr>
          <w:lang w:val="pl-PL"/>
        </w:rPr>
        <w:t xml:space="preserve"> </w:t>
      </w:r>
      <w:r w:rsidR="007D4D50">
        <w:rPr>
          <w:lang w:val="pl-PL"/>
        </w:rPr>
        <w:t xml:space="preserve">to </w:t>
      </w:r>
      <w:r w:rsidR="00C15E74">
        <w:rPr>
          <w:lang w:val="pl-PL"/>
        </w:rPr>
        <w:t xml:space="preserve">do Państwowej Komisji Wyborczej (PKW) i ostatecznie sądów krajowych należało rozstrzyganie, w oparciu o zbadanie wszystkich okoliczności danej sprawy, czy </w:t>
      </w:r>
      <w:r w:rsidR="007D4D50">
        <w:rPr>
          <w:lang w:val="pl-PL"/>
        </w:rPr>
        <w:t xml:space="preserve">określone </w:t>
      </w:r>
      <w:r w:rsidR="00C15E74">
        <w:rPr>
          <w:lang w:val="pl-PL"/>
        </w:rPr>
        <w:t xml:space="preserve">postępowanie naruszało tę zasadę. </w:t>
      </w:r>
    </w:p>
    <w:p w14:paraId="72E40FB2" w14:textId="7896DB41" w:rsidR="00427465" w:rsidRPr="00427465" w:rsidRDefault="00427465">
      <w:pPr>
        <w:pStyle w:val="ClinContent"/>
        <w:rPr>
          <w:lang w:val="pl-PL"/>
        </w:rPr>
      </w:pPr>
      <w:r w:rsidRPr="00427465">
        <w:rPr>
          <w:lang w:val="pl-PL"/>
        </w:rPr>
        <w:t>Trybunał u</w:t>
      </w:r>
      <w:r w:rsidR="00A51D0A">
        <w:rPr>
          <w:lang w:val="pl-PL"/>
        </w:rPr>
        <w:t>znał</w:t>
      </w:r>
      <w:r w:rsidRPr="00427465">
        <w:rPr>
          <w:lang w:val="pl-PL"/>
        </w:rPr>
        <w:t xml:space="preserve">, że sytuacja </w:t>
      </w:r>
      <w:r w:rsidR="00A51D0A">
        <w:rPr>
          <w:lang w:val="pl-PL"/>
        </w:rPr>
        <w:t xml:space="preserve">zakładająca </w:t>
      </w:r>
      <w:r w:rsidR="007B6D1E">
        <w:rPr>
          <w:lang w:val="pl-PL"/>
        </w:rPr>
        <w:t xml:space="preserve">potrzebę </w:t>
      </w:r>
      <w:r w:rsidR="00586929">
        <w:rPr>
          <w:lang w:val="pl-PL"/>
        </w:rPr>
        <w:t>sądowej</w:t>
      </w:r>
      <w:r w:rsidR="00586929" w:rsidRPr="00427465">
        <w:rPr>
          <w:lang w:val="pl-PL"/>
        </w:rPr>
        <w:t xml:space="preserve"> </w:t>
      </w:r>
      <w:r w:rsidRPr="00427465">
        <w:rPr>
          <w:lang w:val="pl-PL"/>
        </w:rPr>
        <w:t>wykładni</w:t>
      </w:r>
      <w:r w:rsidR="007B6D1E">
        <w:rPr>
          <w:lang w:val="pl-PL"/>
        </w:rPr>
        <w:t xml:space="preserve"> </w:t>
      </w:r>
      <w:r w:rsidRPr="00427465">
        <w:rPr>
          <w:lang w:val="pl-PL"/>
        </w:rPr>
        <w:t xml:space="preserve">zasad </w:t>
      </w:r>
      <w:r>
        <w:rPr>
          <w:lang w:val="pl-PL"/>
        </w:rPr>
        <w:t>u</w:t>
      </w:r>
      <w:r w:rsidR="00EB2205">
        <w:rPr>
          <w:lang w:val="pl-PL"/>
        </w:rPr>
        <w:t xml:space="preserve">stanowionych </w:t>
      </w:r>
      <w:r>
        <w:rPr>
          <w:lang w:val="pl-PL"/>
        </w:rPr>
        <w:t xml:space="preserve">w prawie sama w sobie nie narusza wymogu, by prawo było formułowane </w:t>
      </w:r>
      <w:r w:rsidR="00066E28">
        <w:rPr>
          <w:lang w:val="pl-PL"/>
        </w:rPr>
        <w:t xml:space="preserve">w </w:t>
      </w:r>
      <w:r w:rsidR="00A51D0A">
        <w:rPr>
          <w:lang w:val="pl-PL"/>
        </w:rPr>
        <w:t xml:space="preserve">sposób </w:t>
      </w:r>
      <w:r w:rsidR="00066E28">
        <w:rPr>
          <w:lang w:val="pl-PL"/>
        </w:rPr>
        <w:t xml:space="preserve">wystarczająco precyzyjny. </w:t>
      </w:r>
      <w:r w:rsidR="00E16478">
        <w:rPr>
          <w:lang w:val="pl-PL"/>
        </w:rPr>
        <w:t>Nie zmienia to faktu</w:t>
      </w:r>
      <w:r w:rsidR="001E4E29">
        <w:rPr>
          <w:lang w:val="pl-PL"/>
        </w:rPr>
        <w:t xml:space="preserve">, że krajowe ramy </w:t>
      </w:r>
      <w:r w:rsidR="00CE1963">
        <w:rPr>
          <w:lang w:val="pl-PL"/>
        </w:rPr>
        <w:t xml:space="preserve">prawne </w:t>
      </w:r>
      <w:r w:rsidR="001E4E29">
        <w:rPr>
          <w:lang w:val="pl-PL"/>
        </w:rPr>
        <w:t xml:space="preserve">zastosowane w </w:t>
      </w:r>
      <w:r w:rsidR="00764363">
        <w:rPr>
          <w:lang w:val="pl-PL"/>
        </w:rPr>
        <w:t xml:space="preserve">niniejszej </w:t>
      </w:r>
      <w:r w:rsidR="001E4E29">
        <w:rPr>
          <w:lang w:val="pl-PL"/>
        </w:rPr>
        <w:t xml:space="preserve">sprawie przewidywały możliwość ograniczenia </w:t>
      </w:r>
      <w:r w:rsidR="00B85342">
        <w:rPr>
          <w:lang w:val="pl-PL"/>
        </w:rPr>
        <w:t>ekspresyjnych zachowań związanych</w:t>
      </w:r>
      <w:r w:rsidR="001E4E29">
        <w:rPr>
          <w:lang w:val="pl-PL"/>
        </w:rPr>
        <w:t xml:space="preserve"> z głosowaniem</w:t>
      </w:r>
      <w:r w:rsidR="00FB2CFC">
        <w:rPr>
          <w:lang w:val="pl-PL"/>
        </w:rPr>
        <w:t xml:space="preserve"> indywidualnie dla każdego przypadku</w:t>
      </w:r>
      <w:r w:rsidR="00442CA1">
        <w:rPr>
          <w:lang w:val="pl-PL"/>
        </w:rPr>
        <w:t>, a zatem przyzna</w:t>
      </w:r>
      <w:r w:rsidR="00B85342">
        <w:rPr>
          <w:lang w:val="pl-PL"/>
        </w:rPr>
        <w:t>wa</w:t>
      </w:r>
      <w:r w:rsidR="00442CA1">
        <w:rPr>
          <w:lang w:val="pl-PL"/>
        </w:rPr>
        <w:t xml:space="preserve">ły </w:t>
      </w:r>
      <w:r w:rsidR="00271E39">
        <w:rPr>
          <w:lang w:val="pl-PL"/>
        </w:rPr>
        <w:t xml:space="preserve">bardzo </w:t>
      </w:r>
      <w:r w:rsidR="00442CA1">
        <w:rPr>
          <w:lang w:val="pl-PL"/>
        </w:rPr>
        <w:t xml:space="preserve">szeroki zakres uznania organom wyborczym i sądom krajowym, które </w:t>
      </w:r>
      <w:r w:rsidR="00C4498E">
        <w:rPr>
          <w:lang w:val="pl-PL"/>
        </w:rPr>
        <w:t>miały je interpretować i stosowa</w:t>
      </w:r>
      <w:r w:rsidR="00271E39">
        <w:rPr>
          <w:lang w:val="pl-PL"/>
        </w:rPr>
        <w:t>ć</w:t>
      </w:r>
      <w:r w:rsidR="00C4498E">
        <w:rPr>
          <w:lang w:val="pl-PL"/>
        </w:rPr>
        <w:t xml:space="preserve">. </w:t>
      </w:r>
      <w:r w:rsidR="00271E39">
        <w:rPr>
          <w:lang w:val="pl-PL"/>
        </w:rPr>
        <w:t xml:space="preserve">W konsekwencji </w:t>
      </w:r>
      <w:r w:rsidR="00586929">
        <w:rPr>
          <w:lang w:val="pl-PL"/>
        </w:rPr>
        <w:t>niejasność</w:t>
      </w:r>
      <w:r w:rsidR="00271E39">
        <w:rPr>
          <w:lang w:val="pl-PL"/>
        </w:rPr>
        <w:t xml:space="preserve"> art. 2 ust. 1 lit. e UPW oraz </w:t>
      </w:r>
      <w:r w:rsidR="00586929">
        <w:rPr>
          <w:lang w:val="pl-PL"/>
        </w:rPr>
        <w:t xml:space="preserve">nieodłącznie związane z jego wykładnią </w:t>
      </w:r>
      <w:r w:rsidR="00271E39">
        <w:rPr>
          <w:lang w:val="pl-PL"/>
        </w:rPr>
        <w:t xml:space="preserve">możliwe ryzyko </w:t>
      </w:r>
      <w:r w:rsidR="00907A0E">
        <w:rPr>
          <w:lang w:val="pl-PL"/>
        </w:rPr>
        <w:t xml:space="preserve">dla korzystania z praw </w:t>
      </w:r>
      <w:r w:rsidR="009957DC">
        <w:rPr>
          <w:lang w:val="pl-PL"/>
        </w:rPr>
        <w:t>dotyczących głosowania</w:t>
      </w:r>
      <w:r w:rsidR="00907A0E">
        <w:rPr>
          <w:lang w:val="pl-PL"/>
        </w:rPr>
        <w:t>, w tym swobodnej dyskusji o sprawach publicznych, wymaga</w:t>
      </w:r>
      <w:r w:rsidR="006D1AAD">
        <w:rPr>
          <w:lang w:val="pl-PL"/>
        </w:rPr>
        <w:t>ły</w:t>
      </w:r>
      <w:r w:rsidR="00907A0E">
        <w:rPr>
          <w:lang w:val="pl-PL"/>
        </w:rPr>
        <w:t xml:space="preserve"> szczególnej ostrożności ze strony władz krajowych. </w:t>
      </w:r>
    </w:p>
    <w:p w14:paraId="1E11FE20" w14:textId="50C5B07B" w:rsidR="00166453" w:rsidRPr="00166453" w:rsidRDefault="009957DC">
      <w:pPr>
        <w:pStyle w:val="ClinContent"/>
        <w:rPr>
          <w:lang w:val="pl-PL"/>
        </w:rPr>
      </w:pPr>
      <w:r w:rsidRPr="009957DC">
        <w:rPr>
          <w:lang w:val="pl-PL"/>
        </w:rPr>
        <w:t xml:space="preserve">W odniesieniu do wykładni art. </w:t>
      </w:r>
      <w:r>
        <w:rPr>
          <w:lang w:val="pl-PL"/>
        </w:rPr>
        <w:t>2 ust. 1 lit. e UPW Trybunał Konstytucyjny ograniczył za</w:t>
      </w:r>
      <w:r w:rsidR="007B6D1E">
        <w:rPr>
          <w:lang w:val="pl-PL"/>
        </w:rPr>
        <w:t>kres zastosowania</w:t>
      </w:r>
      <w:r>
        <w:rPr>
          <w:lang w:val="pl-PL"/>
        </w:rPr>
        <w:t xml:space="preserve"> tego postanowienia do zachowań związanych z głosowaniem pociągają</w:t>
      </w:r>
      <w:r w:rsidR="003323D6">
        <w:rPr>
          <w:lang w:val="pl-PL"/>
        </w:rPr>
        <w:t>cych</w:t>
      </w:r>
      <w:r>
        <w:rPr>
          <w:lang w:val="pl-PL"/>
        </w:rPr>
        <w:t xml:space="preserve"> za sobą „negatywne skutki”, w tym naruszenie praw innych osób. </w:t>
      </w:r>
      <w:r w:rsidR="00CB7344">
        <w:rPr>
          <w:lang w:val="pl-PL"/>
        </w:rPr>
        <w:t xml:space="preserve">Podobne podejście wynikało z orzecznictwa Sądu Najwyższego. Sąd Najwyższy uznał jednak, że nie została naruszona tajność </w:t>
      </w:r>
      <w:r w:rsidR="00A1660B">
        <w:rPr>
          <w:lang w:val="pl-PL"/>
        </w:rPr>
        <w:t>głosowania</w:t>
      </w:r>
      <w:r w:rsidR="00CB7344">
        <w:rPr>
          <w:lang w:val="pl-PL"/>
        </w:rPr>
        <w:t xml:space="preserve">, gdyż aplikacja mobilna nie zezwalała na dostęp do danych osobowych użytkowników, a więc nie była w stanie powiązać oddanego głosu z wyborcą. </w:t>
      </w:r>
      <w:r w:rsidR="001547A4">
        <w:rPr>
          <w:lang w:val="pl-PL"/>
        </w:rPr>
        <w:t xml:space="preserve">Ponadto </w:t>
      </w:r>
      <w:r w:rsidR="00A1660B">
        <w:rPr>
          <w:lang w:val="pl-PL"/>
        </w:rPr>
        <w:t xml:space="preserve">Sąd Najwyższy </w:t>
      </w:r>
      <w:r w:rsidR="001547A4">
        <w:rPr>
          <w:lang w:val="pl-PL"/>
        </w:rPr>
        <w:t xml:space="preserve">stwierdził, że postępowanie MKKP nie miało istotnego wpływu na rzetelność referendum krajowego i nie było w stanie zachwiać zaufaniem społeczeństwa do pracy organów wyborczych. </w:t>
      </w:r>
      <w:r w:rsidR="001121CB">
        <w:rPr>
          <w:lang w:val="pl-PL"/>
        </w:rPr>
        <w:t>Nie</w:t>
      </w:r>
      <w:r w:rsidR="00A1660B">
        <w:rPr>
          <w:lang w:val="pl-PL"/>
        </w:rPr>
        <w:t xml:space="preserve"> ustalono</w:t>
      </w:r>
      <w:r w:rsidR="001121CB">
        <w:rPr>
          <w:lang w:val="pl-PL"/>
        </w:rPr>
        <w:t xml:space="preserve"> więc</w:t>
      </w:r>
      <w:r w:rsidR="0017016F">
        <w:rPr>
          <w:lang w:val="pl-PL"/>
        </w:rPr>
        <w:t xml:space="preserve">, w jaki sposób sporne ograniczenie, oparte na zasadzie </w:t>
      </w:r>
      <w:r w:rsidR="00351385">
        <w:rPr>
          <w:lang w:val="pl-PL"/>
        </w:rPr>
        <w:t>korzystania z</w:t>
      </w:r>
      <w:r w:rsidR="0017016F">
        <w:rPr>
          <w:lang w:val="pl-PL"/>
        </w:rPr>
        <w:t xml:space="preserve"> praw zgodnie z ich celem, było związane</w:t>
      </w:r>
      <w:r w:rsidR="00E234C7">
        <w:rPr>
          <w:lang w:val="pl-PL"/>
        </w:rPr>
        <w:t xml:space="preserve"> z </w:t>
      </w:r>
      <w:r w:rsidR="0017016F">
        <w:rPr>
          <w:lang w:val="pl-PL"/>
        </w:rPr>
        <w:t xml:space="preserve"> </w:t>
      </w:r>
      <w:r w:rsidR="00E234C7">
        <w:rPr>
          <w:lang w:val="pl-PL"/>
        </w:rPr>
        <w:t xml:space="preserve">konkretnym „negatywnym skutkiem”, czy to potencjalnym, czy rzeczywistym, </w:t>
      </w:r>
      <w:r w:rsidR="0017016F">
        <w:rPr>
          <w:lang w:val="pl-PL"/>
        </w:rPr>
        <w:t xml:space="preserve">i </w:t>
      </w:r>
      <w:r w:rsidR="001D5108">
        <w:rPr>
          <w:lang w:val="pl-PL"/>
        </w:rPr>
        <w:t xml:space="preserve">w jaki sposób </w:t>
      </w:r>
      <w:r w:rsidR="0017016F">
        <w:rPr>
          <w:lang w:val="pl-PL"/>
        </w:rPr>
        <w:t>odnosiło się do</w:t>
      </w:r>
      <w:r w:rsidR="00E234C7">
        <w:rPr>
          <w:lang w:val="pl-PL"/>
        </w:rPr>
        <w:t xml:space="preserve"> niego. </w:t>
      </w:r>
      <w:r w:rsidR="00166453" w:rsidRPr="00166453">
        <w:rPr>
          <w:lang w:val="pl-PL"/>
        </w:rPr>
        <w:t xml:space="preserve">Wydaje się, że niniejsza sprawa stanowiła </w:t>
      </w:r>
      <w:r w:rsidR="00166453">
        <w:rPr>
          <w:lang w:val="pl-PL"/>
        </w:rPr>
        <w:t xml:space="preserve">pierwszy przypadek, w którym władze </w:t>
      </w:r>
      <w:r w:rsidR="00F6715A">
        <w:rPr>
          <w:lang w:val="pl-PL"/>
        </w:rPr>
        <w:t xml:space="preserve">krajowe </w:t>
      </w:r>
      <w:r w:rsidR="00166453">
        <w:rPr>
          <w:lang w:val="pl-PL"/>
        </w:rPr>
        <w:t xml:space="preserve">zastosowały zasadę korzystania z praw zgodnie z ich celem </w:t>
      </w:r>
      <w:r w:rsidR="00A1660B">
        <w:rPr>
          <w:lang w:val="pl-PL"/>
        </w:rPr>
        <w:t>w odniesieniu do</w:t>
      </w:r>
      <w:r w:rsidR="003815D5">
        <w:rPr>
          <w:lang w:val="pl-PL"/>
        </w:rPr>
        <w:t xml:space="preserve"> </w:t>
      </w:r>
      <w:r w:rsidR="00166453">
        <w:rPr>
          <w:lang w:val="pl-PL"/>
        </w:rPr>
        <w:t xml:space="preserve">użycia aplikacji mobilnej </w:t>
      </w:r>
      <w:r w:rsidR="00B379C5">
        <w:rPr>
          <w:lang w:val="pl-PL"/>
        </w:rPr>
        <w:t xml:space="preserve">służącej do </w:t>
      </w:r>
      <w:r w:rsidR="00166453">
        <w:rPr>
          <w:lang w:val="pl-PL"/>
        </w:rPr>
        <w:t xml:space="preserve">zanonimizowanego zamieszczania zdjęć kart do głosowania. </w:t>
      </w:r>
      <w:r w:rsidR="00D42567">
        <w:rPr>
          <w:lang w:val="pl-PL"/>
        </w:rPr>
        <w:t xml:space="preserve">Samo to nie </w:t>
      </w:r>
      <w:r w:rsidR="00B379C5">
        <w:rPr>
          <w:lang w:val="pl-PL"/>
        </w:rPr>
        <w:t>sprawiło</w:t>
      </w:r>
      <w:r w:rsidR="00D42567">
        <w:rPr>
          <w:lang w:val="pl-PL"/>
        </w:rPr>
        <w:t xml:space="preserve">, że wykładnia prawa była nieprzewidywalna. Mając jednak na uwadze szczególne znaczenie przewidywalności prawa w przypadku ograniczania wolności wyrażania opinii partii politycznej w kontekście wyborów lub referendum, Trybunał uznał, że </w:t>
      </w:r>
      <w:r w:rsidR="00F6715A">
        <w:rPr>
          <w:lang w:val="pl-PL"/>
        </w:rPr>
        <w:t>znaczna</w:t>
      </w:r>
      <w:r w:rsidR="00D42567">
        <w:rPr>
          <w:lang w:val="pl-PL"/>
        </w:rPr>
        <w:t xml:space="preserve"> niepewność co do potencjalnych skutków zaskarżonych przepisów prawnych, zastosowanych przez władze krajowe, przekraczała poziom, który moż</w:t>
      </w:r>
      <w:r w:rsidR="00DD6867">
        <w:rPr>
          <w:lang w:val="pl-PL"/>
        </w:rPr>
        <w:t>na</w:t>
      </w:r>
      <w:r w:rsidR="00D42567">
        <w:rPr>
          <w:lang w:val="pl-PL"/>
        </w:rPr>
        <w:t xml:space="preserve"> </w:t>
      </w:r>
      <w:r w:rsidR="00DD6867">
        <w:rPr>
          <w:lang w:val="pl-PL"/>
        </w:rPr>
        <w:t>zaakceptować</w:t>
      </w:r>
      <w:r w:rsidR="00D42567">
        <w:rPr>
          <w:lang w:val="pl-PL"/>
        </w:rPr>
        <w:t xml:space="preserve"> na podstawie art. 10 ust. 2 Konwencji. </w:t>
      </w:r>
    </w:p>
    <w:p w14:paraId="334EDF1A" w14:textId="77777777" w:rsidR="00806D6E" w:rsidRPr="00806D6E" w:rsidRDefault="00806D6E">
      <w:pPr>
        <w:pStyle w:val="ClinContent"/>
        <w:rPr>
          <w:lang w:val="pl-PL"/>
        </w:rPr>
      </w:pPr>
      <w:r w:rsidRPr="00806D6E">
        <w:rPr>
          <w:i/>
          <w:lang w:val="pl-PL"/>
        </w:rPr>
        <w:t>Rozstrzygnięcie</w:t>
      </w:r>
      <w:r w:rsidRPr="00806D6E">
        <w:rPr>
          <w:lang w:val="pl-PL"/>
        </w:rPr>
        <w:t>: naruszenie (szesnastoma głosami do jednego).</w:t>
      </w:r>
    </w:p>
    <w:p w14:paraId="73D1BB3D" w14:textId="77777777" w:rsidR="009E248A" w:rsidRPr="00806D6E" w:rsidRDefault="000D121A">
      <w:pPr>
        <w:pStyle w:val="ClinContent"/>
        <w:rPr>
          <w:lang w:val="pl-PL"/>
        </w:rPr>
      </w:pPr>
      <w:r w:rsidRPr="00806D6E">
        <w:rPr>
          <w:lang w:val="pl-PL"/>
        </w:rPr>
        <w:t>Art</w:t>
      </w:r>
      <w:r w:rsidR="00806D6E" w:rsidRPr="00806D6E">
        <w:rPr>
          <w:lang w:val="pl-PL"/>
        </w:rPr>
        <w:t>.</w:t>
      </w:r>
      <w:r w:rsidRPr="00806D6E">
        <w:rPr>
          <w:lang w:val="pl-PL"/>
        </w:rPr>
        <w:t xml:space="preserve"> 41: </w:t>
      </w:r>
      <w:r w:rsidR="00806D6E" w:rsidRPr="00806D6E">
        <w:rPr>
          <w:lang w:val="pl-PL"/>
        </w:rPr>
        <w:t xml:space="preserve">330 </w:t>
      </w:r>
      <w:r w:rsidRPr="00806D6E">
        <w:rPr>
          <w:lang w:val="pl-PL"/>
        </w:rPr>
        <w:t xml:space="preserve">EUR </w:t>
      </w:r>
      <w:r w:rsidR="00806D6E" w:rsidRPr="00806D6E">
        <w:rPr>
          <w:lang w:val="pl-PL"/>
        </w:rPr>
        <w:t>tytułem szkody majątkowej</w:t>
      </w:r>
      <w:r w:rsidRPr="00806D6E">
        <w:rPr>
          <w:lang w:val="pl-PL"/>
        </w:rPr>
        <w:t>.</w:t>
      </w:r>
    </w:p>
    <w:p w14:paraId="50090859" w14:textId="77777777" w:rsidR="009E248A" w:rsidRPr="00806D6E" w:rsidRDefault="009E248A">
      <w:pPr>
        <w:pBdr>
          <w:bottom w:val="single" w:sz="8" w:space="1" w:color="auto"/>
        </w:pBdr>
        <w:rPr>
          <w:lang w:val="pl-PL"/>
        </w:rPr>
      </w:pPr>
    </w:p>
    <w:p w14:paraId="05921B79" w14:textId="77777777" w:rsidR="00EA3A12" w:rsidRDefault="00EA3A12" w:rsidP="00EA3A12">
      <w:pPr>
        <w:pStyle w:val="ClinFooter"/>
        <w:rPr>
          <w:lang w:val="pl-PL"/>
        </w:rPr>
      </w:pPr>
      <w:r>
        <w:rPr>
          <w:lang w:val="pl-PL"/>
        </w:rPr>
        <w:lastRenderedPageBreak/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51349BF7" w14:textId="77777777" w:rsidR="009E248A" w:rsidRDefault="00EA3A12" w:rsidP="00EA3A12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9" w:history="1">
        <w:r>
          <w:rPr>
            <w:rStyle w:val="Hipercze"/>
            <w:lang w:val="pl-PL"/>
          </w:rPr>
          <w:t>Not informacyjnych nt. orzecznictwa</w:t>
        </w:r>
      </w:hyperlink>
    </w:p>
    <w:p w14:paraId="6A50369C" w14:textId="124463CE" w:rsidR="00F327D9" w:rsidRPr="008520E5" w:rsidRDefault="00F327D9" w:rsidP="00F327D9">
      <w:pPr>
        <w:pStyle w:val="ClinFooter"/>
        <w:jc w:val="left"/>
        <w:rPr>
          <w:lang w:val="pl-PL"/>
        </w:rPr>
      </w:pPr>
    </w:p>
    <w:sectPr w:rsidR="00F327D9" w:rsidRPr="008520E5" w:rsidSect="004A5B52">
      <w:headerReference w:type="default" r:id="rId10"/>
      <w:headerReference w:type="first" r:id="rId11"/>
      <w:footerReference w:type="first" r:id="rId12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AF5BC" w14:textId="77777777" w:rsidR="00112CBA" w:rsidRDefault="00112CBA" w:rsidP="00C63262">
      <w:r>
        <w:separator/>
      </w:r>
    </w:p>
  </w:endnote>
  <w:endnote w:type="continuationSeparator" w:id="0">
    <w:p w14:paraId="407911C4" w14:textId="77777777" w:rsidR="00112CBA" w:rsidRDefault="00112CBA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08E8" w14:textId="77777777" w:rsidR="0071773F" w:rsidRPr="0071773F" w:rsidRDefault="0071773F" w:rsidP="0071773F"/>
  <w:p w14:paraId="55069913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093D6D0" wp14:editId="52A4D8D5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C1C48" w14:textId="77777777" w:rsidR="00112CBA" w:rsidRDefault="00112CBA" w:rsidP="00C63262">
      <w:r>
        <w:separator/>
      </w:r>
    </w:p>
  </w:footnote>
  <w:footnote w:type="continuationSeparator" w:id="0">
    <w:p w14:paraId="0B1C82C2" w14:textId="77777777" w:rsidR="00112CBA" w:rsidRDefault="00112CBA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5A0C1EB7" w14:textId="108D16AF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353A6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88348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A0E55A7" wp14:editId="72F8DF1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10F30"/>
    <w:rsid w:val="000275E9"/>
    <w:rsid w:val="00037CCC"/>
    <w:rsid w:val="00066E28"/>
    <w:rsid w:val="00077C5F"/>
    <w:rsid w:val="00080757"/>
    <w:rsid w:val="000835C0"/>
    <w:rsid w:val="00097888"/>
    <w:rsid w:val="000C1C0D"/>
    <w:rsid w:val="000D121A"/>
    <w:rsid w:val="000F13B5"/>
    <w:rsid w:val="00107377"/>
    <w:rsid w:val="001121CB"/>
    <w:rsid w:val="00112CBA"/>
    <w:rsid w:val="00143602"/>
    <w:rsid w:val="00153DF0"/>
    <w:rsid w:val="001547A4"/>
    <w:rsid w:val="00166453"/>
    <w:rsid w:val="0017016F"/>
    <w:rsid w:val="001769E4"/>
    <w:rsid w:val="00177D87"/>
    <w:rsid w:val="0018213E"/>
    <w:rsid w:val="00186560"/>
    <w:rsid w:val="001D5108"/>
    <w:rsid w:val="001E4E29"/>
    <w:rsid w:val="002041B3"/>
    <w:rsid w:val="002068F9"/>
    <w:rsid w:val="00207C86"/>
    <w:rsid w:val="00212E83"/>
    <w:rsid w:val="0023250D"/>
    <w:rsid w:val="00236E5F"/>
    <w:rsid w:val="00271E39"/>
    <w:rsid w:val="00285680"/>
    <w:rsid w:val="002966E7"/>
    <w:rsid w:val="002C5CB1"/>
    <w:rsid w:val="002E088D"/>
    <w:rsid w:val="002E118A"/>
    <w:rsid w:val="002E5908"/>
    <w:rsid w:val="0030264F"/>
    <w:rsid w:val="00314116"/>
    <w:rsid w:val="003323D6"/>
    <w:rsid w:val="003450B3"/>
    <w:rsid w:val="00351385"/>
    <w:rsid w:val="003815D5"/>
    <w:rsid w:val="00384E81"/>
    <w:rsid w:val="00386958"/>
    <w:rsid w:val="003A64A6"/>
    <w:rsid w:val="003C48B1"/>
    <w:rsid w:val="003D32AC"/>
    <w:rsid w:val="003D7BB3"/>
    <w:rsid w:val="003E308B"/>
    <w:rsid w:val="003F2EE2"/>
    <w:rsid w:val="00415791"/>
    <w:rsid w:val="00427465"/>
    <w:rsid w:val="00431FB2"/>
    <w:rsid w:val="004360A0"/>
    <w:rsid w:val="00442CA1"/>
    <w:rsid w:val="00445ECB"/>
    <w:rsid w:val="00447F1F"/>
    <w:rsid w:val="0046453F"/>
    <w:rsid w:val="004A5B52"/>
    <w:rsid w:val="004D568D"/>
    <w:rsid w:val="004E1037"/>
    <w:rsid w:val="005206C1"/>
    <w:rsid w:val="0052092D"/>
    <w:rsid w:val="00540D75"/>
    <w:rsid w:val="00550E30"/>
    <w:rsid w:val="005514E5"/>
    <w:rsid w:val="00586929"/>
    <w:rsid w:val="0059183F"/>
    <w:rsid w:val="006028A1"/>
    <w:rsid w:val="00617C5F"/>
    <w:rsid w:val="00631A28"/>
    <w:rsid w:val="00647425"/>
    <w:rsid w:val="00655D4E"/>
    <w:rsid w:val="00683DB6"/>
    <w:rsid w:val="006A006F"/>
    <w:rsid w:val="006A36AD"/>
    <w:rsid w:val="006C1D96"/>
    <w:rsid w:val="006C7CC6"/>
    <w:rsid w:val="006D1AAD"/>
    <w:rsid w:val="006D5578"/>
    <w:rsid w:val="0071773F"/>
    <w:rsid w:val="0073658F"/>
    <w:rsid w:val="0075559E"/>
    <w:rsid w:val="00764363"/>
    <w:rsid w:val="00774515"/>
    <w:rsid w:val="00784B6E"/>
    <w:rsid w:val="007B6D1E"/>
    <w:rsid w:val="007D4D50"/>
    <w:rsid w:val="007E7286"/>
    <w:rsid w:val="00806D6E"/>
    <w:rsid w:val="0082183A"/>
    <w:rsid w:val="0085009E"/>
    <w:rsid w:val="008520E5"/>
    <w:rsid w:val="00857EA4"/>
    <w:rsid w:val="0088462A"/>
    <w:rsid w:val="008919B0"/>
    <w:rsid w:val="00895EF3"/>
    <w:rsid w:val="008A6561"/>
    <w:rsid w:val="008C0FC7"/>
    <w:rsid w:val="008C64D5"/>
    <w:rsid w:val="008D7CB9"/>
    <w:rsid w:val="00903D38"/>
    <w:rsid w:val="00907A0E"/>
    <w:rsid w:val="00973006"/>
    <w:rsid w:val="00976781"/>
    <w:rsid w:val="00976F32"/>
    <w:rsid w:val="0098351B"/>
    <w:rsid w:val="009957DC"/>
    <w:rsid w:val="009B3B2C"/>
    <w:rsid w:val="009B3F5E"/>
    <w:rsid w:val="009C2023"/>
    <w:rsid w:val="009C5085"/>
    <w:rsid w:val="009E248A"/>
    <w:rsid w:val="009E3EF0"/>
    <w:rsid w:val="009F5D69"/>
    <w:rsid w:val="00A01052"/>
    <w:rsid w:val="00A04D9C"/>
    <w:rsid w:val="00A1660B"/>
    <w:rsid w:val="00A258BB"/>
    <w:rsid w:val="00A33541"/>
    <w:rsid w:val="00A34BA0"/>
    <w:rsid w:val="00A34E39"/>
    <w:rsid w:val="00A353A6"/>
    <w:rsid w:val="00A45616"/>
    <w:rsid w:val="00A51D0A"/>
    <w:rsid w:val="00A64938"/>
    <w:rsid w:val="00A6617A"/>
    <w:rsid w:val="00A77C19"/>
    <w:rsid w:val="00AA63A9"/>
    <w:rsid w:val="00AC7726"/>
    <w:rsid w:val="00AE46FC"/>
    <w:rsid w:val="00AF1079"/>
    <w:rsid w:val="00B013D4"/>
    <w:rsid w:val="00B16548"/>
    <w:rsid w:val="00B249FD"/>
    <w:rsid w:val="00B379C5"/>
    <w:rsid w:val="00B71232"/>
    <w:rsid w:val="00B76D4C"/>
    <w:rsid w:val="00B80CA0"/>
    <w:rsid w:val="00B85342"/>
    <w:rsid w:val="00B85770"/>
    <w:rsid w:val="00BB1A8C"/>
    <w:rsid w:val="00BF0F7B"/>
    <w:rsid w:val="00BF1CD9"/>
    <w:rsid w:val="00C15E74"/>
    <w:rsid w:val="00C37433"/>
    <w:rsid w:val="00C40C20"/>
    <w:rsid w:val="00C4498E"/>
    <w:rsid w:val="00C44E2C"/>
    <w:rsid w:val="00C63262"/>
    <w:rsid w:val="00C7190A"/>
    <w:rsid w:val="00C72355"/>
    <w:rsid w:val="00C93CFB"/>
    <w:rsid w:val="00CB20E9"/>
    <w:rsid w:val="00CB5144"/>
    <w:rsid w:val="00CB7344"/>
    <w:rsid w:val="00CD390E"/>
    <w:rsid w:val="00CE1626"/>
    <w:rsid w:val="00CE1963"/>
    <w:rsid w:val="00CF3FF7"/>
    <w:rsid w:val="00CF7BA6"/>
    <w:rsid w:val="00D07D42"/>
    <w:rsid w:val="00D2397C"/>
    <w:rsid w:val="00D25763"/>
    <w:rsid w:val="00D42086"/>
    <w:rsid w:val="00D42567"/>
    <w:rsid w:val="00D425B3"/>
    <w:rsid w:val="00D4621A"/>
    <w:rsid w:val="00D51050"/>
    <w:rsid w:val="00D84792"/>
    <w:rsid w:val="00D9326A"/>
    <w:rsid w:val="00DA4580"/>
    <w:rsid w:val="00DD1755"/>
    <w:rsid w:val="00DD6867"/>
    <w:rsid w:val="00DE6C62"/>
    <w:rsid w:val="00E05DBB"/>
    <w:rsid w:val="00E070F0"/>
    <w:rsid w:val="00E10DA1"/>
    <w:rsid w:val="00E16478"/>
    <w:rsid w:val="00E16671"/>
    <w:rsid w:val="00E176F9"/>
    <w:rsid w:val="00E234C7"/>
    <w:rsid w:val="00E45C47"/>
    <w:rsid w:val="00E46BF7"/>
    <w:rsid w:val="00E55491"/>
    <w:rsid w:val="00E614DB"/>
    <w:rsid w:val="00E748EA"/>
    <w:rsid w:val="00E83DB6"/>
    <w:rsid w:val="00EA3A12"/>
    <w:rsid w:val="00EA53E7"/>
    <w:rsid w:val="00EB2205"/>
    <w:rsid w:val="00EB7715"/>
    <w:rsid w:val="00ED05F2"/>
    <w:rsid w:val="00ED4E08"/>
    <w:rsid w:val="00F30068"/>
    <w:rsid w:val="00F327D9"/>
    <w:rsid w:val="00F37CAE"/>
    <w:rsid w:val="00F42871"/>
    <w:rsid w:val="00F46513"/>
    <w:rsid w:val="00F508C9"/>
    <w:rsid w:val="00F50CCD"/>
    <w:rsid w:val="00F5247C"/>
    <w:rsid w:val="00F5567A"/>
    <w:rsid w:val="00F6715A"/>
    <w:rsid w:val="00F67A60"/>
    <w:rsid w:val="00FA29ED"/>
    <w:rsid w:val="00FB2CFC"/>
    <w:rsid w:val="00FB772D"/>
    <w:rsid w:val="00FD24C0"/>
    <w:rsid w:val="00FE02E3"/>
    <w:rsid w:val="00FE58A2"/>
    <w:rsid w:val="00FE684D"/>
    <w:rsid w:val="00FF1501"/>
    <w:rsid w:val="00FF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F850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34E3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34E39"/>
  </w:style>
  <w:style w:type="character" w:styleId="Odwoaniedokomentarza">
    <w:name w:val="annotation reference"/>
    <w:basedOn w:val="Domylnaczcionkaakapitu"/>
    <w:semiHidden/>
    <w:unhideWhenUsed/>
    <w:rsid w:val="0023250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3250D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3250D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325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3250D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CB20E9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6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181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5C11A-4E0B-49BA-AC4A-18815DDFA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1500</Words>
  <Characters>9005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2022-03-07T14:57:00Z</dcterms:created>
  <dcterms:modified xsi:type="dcterms:W3CDTF">2025-11-04T14:21:00Z</dcterms:modified>
</cp:coreProperties>
</file>