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26C73E" w14:textId="77777777" w:rsidR="00555483" w:rsidRDefault="00555483" w:rsidP="00555483">
      <w:pPr>
        <w:jc w:val="center"/>
        <w:rPr>
          <w:rStyle w:val="s4f807e54"/>
          <w:rFonts w:ascii="Arial" w:hAnsi="Arial" w:cs="Arial"/>
          <w:sz w:val="20"/>
          <w:szCs w:val="20"/>
          <w:lang w:eastAsia="pl-PL"/>
        </w:rPr>
      </w:pPr>
      <w:r w:rsidRPr="00A95002">
        <w:rPr>
          <w:rStyle w:val="s4f807e54"/>
          <w:rFonts w:ascii="Arial" w:hAnsi="Arial" w:cs="Arial"/>
          <w:sz w:val="20"/>
          <w:szCs w:val="20"/>
          <w:lang w:eastAsia="pl-PL"/>
        </w:rPr>
        <w:t xml:space="preserve">© Copyright for the Polish translation by Naczelny Sąd Administracyjny, </w:t>
      </w:r>
      <w:r w:rsidRPr="00A95002">
        <w:rPr>
          <w:rStyle w:val="s4f807e54"/>
          <w:rFonts w:ascii="Arial" w:hAnsi="Arial" w:cs="Arial"/>
          <w:sz w:val="20"/>
          <w:szCs w:val="20"/>
          <w:lang w:eastAsia="pl-PL"/>
        </w:rPr>
        <w:br/>
      </w:r>
    </w:p>
    <w:p w14:paraId="12181189" w14:textId="5ACA8A41" w:rsidR="00555483" w:rsidRPr="00A95002" w:rsidRDefault="00555483" w:rsidP="00555483">
      <w:pPr>
        <w:jc w:val="center"/>
        <w:rPr>
          <w:sz w:val="20"/>
          <w:szCs w:val="20"/>
        </w:rPr>
      </w:pPr>
      <w:r w:rsidRPr="00A95002">
        <w:rPr>
          <w:rStyle w:val="s4f807e54"/>
          <w:rFonts w:ascii="Arial" w:hAnsi="Arial" w:cs="Arial"/>
          <w:sz w:val="20"/>
          <w:szCs w:val="20"/>
          <w:lang w:eastAsia="pl-PL"/>
        </w:rPr>
        <w:t xml:space="preserve">Warszawa </w:t>
      </w:r>
      <w:r>
        <w:rPr>
          <w:rStyle w:val="s4f807e54"/>
          <w:rFonts w:ascii="Arial" w:hAnsi="Arial" w:cs="Arial"/>
          <w:sz w:val="20"/>
          <w:szCs w:val="20"/>
          <w:lang w:eastAsia="pl-PL"/>
        </w:rPr>
        <w:t>2022</w:t>
      </w:r>
    </w:p>
    <w:p w14:paraId="03BD280B" w14:textId="65B335F5" w:rsidR="00DE43AB" w:rsidRPr="00776964" w:rsidRDefault="00DE43AB" w:rsidP="00776964">
      <w:pPr>
        <w:pStyle w:val="s85226119"/>
        <w:spacing w:before="0" w:beforeAutospacing="0" w:after="0" w:afterAutospacing="0"/>
        <w:jc w:val="both"/>
        <w:rPr>
          <w:rFonts w:asciiTheme="minorHAnsi" w:hAnsiTheme="minorHAnsi" w:cstheme="minorHAnsi"/>
          <w:color w:val="000000"/>
          <w:sz w:val="20"/>
          <w:szCs w:val="20"/>
        </w:rPr>
      </w:pPr>
    </w:p>
    <w:p w14:paraId="0AB5F37F" w14:textId="77777777" w:rsidR="00357B24" w:rsidRPr="00776964" w:rsidRDefault="00357B24" w:rsidP="00776964"/>
    <w:p w14:paraId="014B0188" w14:textId="77777777" w:rsidR="00357B24" w:rsidRPr="00776964" w:rsidRDefault="00000000" w:rsidP="00776964">
      <w:pPr>
        <w:pStyle w:val="DecHTitle"/>
      </w:pPr>
      <w:r w:rsidRPr="00776964">
        <w:t>DECYZJA</w:t>
      </w:r>
    </w:p>
    <w:p w14:paraId="35866495" w14:textId="77777777" w:rsidR="00357B24" w:rsidRPr="00776964" w:rsidRDefault="00000000" w:rsidP="00776964">
      <w:pPr>
        <w:pStyle w:val="DecHTitle"/>
      </w:pPr>
      <w:r w:rsidRPr="00776964">
        <w:t>WIELKIEJ IZBY</w:t>
      </w:r>
    </w:p>
    <w:p w14:paraId="7FCD83BA" w14:textId="77777777" w:rsidR="000C5061" w:rsidRPr="00776964" w:rsidRDefault="00000000" w:rsidP="00776964">
      <w:pPr>
        <w:pStyle w:val="DecHCase"/>
      </w:pPr>
      <w:r w:rsidRPr="00776964">
        <w:t>Skarga nr 3599/18</w:t>
      </w:r>
      <w:r w:rsidRPr="00776964">
        <w:br/>
        <w:t>M.N. i Inni</w:t>
      </w:r>
      <w:r w:rsidRPr="00776964">
        <w:br/>
        <w:t>przeciwko Belgii</w:t>
      </w:r>
    </w:p>
    <w:p w14:paraId="0A43713B" w14:textId="77777777" w:rsidR="00C85DD2" w:rsidRPr="00776964" w:rsidRDefault="00000000" w:rsidP="00776964">
      <w:pPr>
        <w:pStyle w:val="DecHCase"/>
        <w:spacing w:after="120"/>
      </w:pPr>
      <w:r w:rsidRPr="00776964">
        <w:t>[wyciąg]</w:t>
      </w:r>
    </w:p>
    <w:p w14:paraId="585BA53F" w14:textId="77777777" w:rsidR="00C85DD2" w:rsidRPr="00776964" w:rsidRDefault="00C85DD2" w:rsidP="00776964">
      <w:pPr>
        <w:pStyle w:val="JuPara"/>
      </w:pPr>
    </w:p>
    <w:p w14:paraId="4EDF404C" w14:textId="77777777" w:rsidR="00357B24" w:rsidRPr="00776964" w:rsidRDefault="00000000" w:rsidP="00776964">
      <w:pPr>
        <w:pStyle w:val="JuPara"/>
      </w:pPr>
      <w:r w:rsidRPr="00776964">
        <w:t>Europejski Trybunał Praw Człowieka, w dniu 5 marca 2020 r., zasiadając jako Wielka Izba w składzie:</w:t>
      </w:r>
    </w:p>
    <w:p w14:paraId="65B2785A" w14:textId="77777777" w:rsidR="00357B24" w:rsidRPr="00776964" w:rsidRDefault="00000000" w:rsidP="00776964">
      <w:pPr>
        <w:pStyle w:val="JuJudges"/>
      </w:pPr>
      <w:r w:rsidRPr="00776964">
        <w:tab/>
        <w:t>Linos-Alexandre Sicilianos,</w:t>
      </w:r>
      <w:r w:rsidRPr="00776964">
        <w:rPr>
          <w:i/>
        </w:rPr>
        <w:t xml:space="preserve"> Przewodniczący,</w:t>
      </w:r>
      <w:r w:rsidRPr="00776964">
        <w:rPr>
          <w:i/>
        </w:rPr>
        <w:br/>
      </w:r>
      <w:r w:rsidRPr="00776964">
        <w:tab/>
        <w:t>Robert Spano,</w:t>
      </w:r>
      <w:r w:rsidRPr="00776964">
        <w:rPr>
          <w:i/>
        </w:rPr>
        <w:br/>
      </w:r>
      <w:r w:rsidRPr="00776964">
        <w:tab/>
        <w:t>Jon Fridrik Kjølbro,</w:t>
      </w:r>
      <w:r w:rsidRPr="00776964">
        <w:rPr>
          <w:i/>
        </w:rPr>
        <w:br/>
      </w:r>
      <w:r w:rsidRPr="00776964">
        <w:tab/>
        <w:t>Angelika Nußberger,</w:t>
      </w:r>
      <w:r w:rsidRPr="00776964">
        <w:rPr>
          <w:i/>
        </w:rPr>
        <w:br/>
      </w:r>
      <w:r w:rsidRPr="00776964">
        <w:tab/>
        <w:t>Paul Lemmens,</w:t>
      </w:r>
      <w:r w:rsidRPr="00776964">
        <w:rPr>
          <w:i/>
        </w:rPr>
        <w:br/>
      </w:r>
      <w:r w:rsidRPr="00776964">
        <w:tab/>
        <w:t>Helen Keller,</w:t>
      </w:r>
      <w:r w:rsidRPr="00776964">
        <w:rPr>
          <w:i/>
        </w:rPr>
        <w:br/>
      </w:r>
      <w:r w:rsidRPr="00776964">
        <w:tab/>
        <w:t>André Potocki,</w:t>
      </w:r>
      <w:r w:rsidRPr="00776964">
        <w:rPr>
          <w:i/>
        </w:rPr>
        <w:br/>
      </w:r>
      <w:r w:rsidRPr="00776964">
        <w:tab/>
        <w:t>Krzysztof Wojtyczek,</w:t>
      </w:r>
      <w:r w:rsidRPr="00776964">
        <w:rPr>
          <w:i/>
        </w:rPr>
        <w:br/>
      </w:r>
      <w:r w:rsidRPr="00776964">
        <w:tab/>
        <w:t>Iulia Antoanella Motoc,</w:t>
      </w:r>
      <w:r w:rsidRPr="00776964">
        <w:rPr>
          <w:i/>
        </w:rPr>
        <w:br/>
      </w:r>
      <w:r w:rsidRPr="00776964">
        <w:tab/>
        <w:t>Mārtiņš Mits,</w:t>
      </w:r>
      <w:r w:rsidRPr="00776964">
        <w:rPr>
          <w:i/>
        </w:rPr>
        <w:br/>
      </w:r>
      <w:r w:rsidRPr="00776964">
        <w:tab/>
        <w:t>Stéphanie Mourou-Vikström,</w:t>
      </w:r>
      <w:r w:rsidRPr="00776964">
        <w:rPr>
          <w:i/>
        </w:rPr>
        <w:br/>
      </w:r>
      <w:r w:rsidRPr="00776964">
        <w:tab/>
        <w:t>Pauliine Koskelo,</w:t>
      </w:r>
      <w:r w:rsidRPr="00776964">
        <w:rPr>
          <w:i/>
        </w:rPr>
        <w:br/>
      </w:r>
      <w:r w:rsidRPr="00776964">
        <w:tab/>
        <w:t>Georgios A. Serghides,</w:t>
      </w:r>
      <w:r w:rsidRPr="00776964">
        <w:rPr>
          <w:i/>
        </w:rPr>
        <w:br/>
      </w:r>
      <w:r w:rsidRPr="00776964">
        <w:tab/>
        <w:t>Marko Bošnjak,</w:t>
      </w:r>
      <w:r w:rsidRPr="00776964">
        <w:rPr>
          <w:i/>
        </w:rPr>
        <w:br/>
      </w:r>
      <w:r w:rsidRPr="00776964">
        <w:tab/>
        <w:t>Jovan Ilievski,</w:t>
      </w:r>
      <w:r w:rsidRPr="00776964">
        <w:rPr>
          <w:i/>
        </w:rPr>
        <w:br/>
      </w:r>
      <w:r w:rsidRPr="00776964">
        <w:tab/>
        <w:t>Ivana Jelić,</w:t>
      </w:r>
      <w:r w:rsidRPr="00776964">
        <w:rPr>
          <w:i/>
        </w:rPr>
        <w:br/>
      </w:r>
      <w:r w:rsidRPr="00776964">
        <w:tab/>
        <w:t>Darian Pavli,</w:t>
      </w:r>
      <w:r w:rsidRPr="00776964">
        <w:rPr>
          <w:i/>
        </w:rPr>
        <w:t xml:space="preserve"> Sędziowie,</w:t>
      </w:r>
      <w:r w:rsidRPr="00776964">
        <w:rPr>
          <w:i/>
        </w:rPr>
        <w:br/>
      </w:r>
      <w:r w:rsidRPr="00776964">
        <w:t xml:space="preserve">oraz Johan Callewaert, </w:t>
      </w:r>
      <w:r w:rsidRPr="00776964">
        <w:rPr>
          <w:i/>
        </w:rPr>
        <w:t>Zastępca Kanclerza Wielkiej Izby</w:t>
      </w:r>
      <w:r w:rsidRPr="00776964">
        <w:t>,</w:t>
      </w:r>
    </w:p>
    <w:p w14:paraId="0ABFFF3F" w14:textId="77777777" w:rsidR="00357B24" w:rsidRPr="00776964" w:rsidRDefault="00000000" w:rsidP="00776964">
      <w:pPr>
        <w:pStyle w:val="JuPara"/>
      </w:pPr>
      <w:r w:rsidRPr="00776964">
        <w:t>obradując w dniach 24 kwietnia 2019 r. i 5 marca 2020 r., wydaje następującą decyzję:</w:t>
      </w:r>
    </w:p>
    <w:p w14:paraId="02AFD29B" w14:textId="77777777" w:rsidR="00357B24" w:rsidRPr="00776964" w:rsidRDefault="00000000" w:rsidP="00776964">
      <w:pPr>
        <w:pStyle w:val="JuHHead"/>
      </w:pPr>
      <w:r w:rsidRPr="00776964">
        <w:lastRenderedPageBreak/>
        <w:t>POSTĘPOWANIE</w:t>
      </w:r>
    </w:p>
    <w:p w14:paraId="2E2F390F" w14:textId="5EDF56DE" w:rsidR="006F49C8" w:rsidRPr="00776964" w:rsidRDefault="00776964" w:rsidP="00776964">
      <w:pPr>
        <w:pStyle w:val="JuPara"/>
      </w:pPr>
      <w:r w:rsidRPr="00776964">
        <w:fldChar w:fldCharType="begin"/>
      </w:r>
      <w:r>
        <w:instrText xml:space="preserve"> SEQ level0 \*arabic </w:instrText>
      </w:r>
      <w:r w:rsidRPr="00776964">
        <w:fldChar w:fldCharType="separate"/>
      </w:r>
      <w:r w:rsidRPr="00776964">
        <w:rPr>
          <w:noProof/>
        </w:rPr>
        <w:t>1</w:t>
      </w:r>
      <w:r w:rsidRPr="00776964">
        <w:rPr>
          <w:noProof/>
        </w:rPr>
        <w:fldChar w:fldCharType="end"/>
      </w:r>
      <w:r w:rsidRPr="00776964">
        <w:t>.</w:t>
      </w:r>
      <w:r w:rsidR="006C3249">
        <w:t xml:space="preserve"> </w:t>
      </w:r>
      <w:r w:rsidRPr="00776964">
        <w:t>Sprawa ma swoje źródło w skardze (nr 3599/18) przeciwko Belgii złożonej do Trybunału na podstawie art. 34 Konwencji o ochronie praw człowieka i podstawowych wolności („Konwencja”) w dniu 10 stycznia 2018</w:t>
      </w:r>
      <w:r w:rsidR="00B5245F">
        <w:t> </w:t>
      </w:r>
      <w:r w:rsidRPr="00776964">
        <w:t>r. przez małżeństwo i ich dwoje małoletnich dzieci, z których wszyscy byli obywatelami Syrii („skarżący”).</w:t>
      </w:r>
    </w:p>
    <w:p w14:paraId="64ACC97E" w14:textId="5E43CC89" w:rsidR="006F49C8" w:rsidRPr="00776964" w:rsidRDefault="00776964" w:rsidP="00776964">
      <w:pPr>
        <w:pStyle w:val="JuPara"/>
      </w:pPr>
      <w:r w:rsidRPr="00776964">
        <w:fldChar w:fldCharType="begin"/>
      </w:r>
      <w:r>
        <w:instrText xml:space="preserve"> SEQ level0 \*arabic </w:instrText>
      </w:r>
      <w:r w:rsidRPr="00776964">
        <w:fldChar w:fldCharType="separate"/>
      </w:r>
      <w:r w:rsidRPr="00776964">
        <w:rPr>
          <w:noProof/>
        </w:rPr>
        <w:t>2</w:t>
      </w:r>
      <w:r w:rsidRPr="00776964">
        <w:rPr>
          <w:noProof/>
        </w:rPr>
        <w:fldChar w:fldCharType="end"/>
      </w:r>
      <w:r w:rsidRPr="00776964">
        <w:t>.</w:t>
      </w:r>
      <w:r w:rsidR="006C3249">
        <w:t xml:space="preserve"> </w:t>
      </w:r>
      <w:r w:rsidRPr="00776964">
        <w:t>Skarżący byli reprezentowani przez O. Steina i L. Lambert, adwokatów praktykujących w Brukseli. Rząd belgijski („pozwany rząd”) był reprezentowany przez swoj</w:t>
      </w:r>
      <w:r w:rsidR="007A7A45">
        <w:t>ą</w:t>
      </w:r>
      <w:r w:rsidRPr="00776964">
        <w:t xml:space="preserve"> pełnomocnik, I. Niedlispacher, z Federalnego Departamentu Sprawiedliwości.</w:t>
      </w:r>
    </w:p>
    <w:p w14:paraId="53BADDD5" w14:textId="31D6BAA7" w:rsidR="006F49C8" w:rsidRPr="00776964" w:rsidRDefault="00776964" w:rsidP="00776964">
      <w:pPr>
        <w:pStyle w:val="JuPara"/>
      </w:pPr>
      <w:r w:rsidRPr="00776964">
        <w:fldChar w:fldCharType="begin"/>
      </w:r>
      <w:r>
        <w:instrText xml:space="preserve"> SEQ level0 \*arabic </w:instrText>
      </w:r>
      <w:r w:rsidRPr="00776964">
        <w:fldChar w:fldCharType="separate"/>
      </w:r>
      <w:r w:rsidRPr="00776964">
        <w:rPr>
          <w:noProof/>
        </w:rPr>
        <w:t>3</w:t>
      </w:r>
      <w:r w:rsidRPr="00776964">
        <w:rPr>
          <w:noProof/>
        </w:rPr>
        <w:fldChar w:fldCharType="end"/>
      </w:r>
      <w:r w:rsidRPr="00776964">
        <w:t>.</w:t>
      </w:r>
      <w:r w:rsidR="006C3249">
        <w:t xml:space="preserve"> </w:t>
      </w:r>
      <w:r w:rsidRPr="00776964">
        <w:t>Skargę przydzielono Sekcji Drugiej Trybunału (Reguła 52 § 1 Regulaminu Trybunału). W dniu 26 kwietnia 2018 r. Izba tej Sekcji za</w:t>
      </w:r>
      <w:r w:rsidR="002B56E8">
        <w:t>komunikowała</w:t>
      </w:r>
      <w:r w:rsidRPr="00776964">
        <w:t xml:space="preserve"> Rząd</w:t>
      </w:r>
      <w:r w:rsidR="002B56E8">
        <w:t>owi</w:t>
      </w:r>
      <w:r w:rsidRPr="00776964">
        <w:t xml:space="preserve"> skarg</w:t>
      </w:r>
      <w:r w:rsidR="002B56E8">
        <w:t>i</w:t>
      </w:r>
      <w:r w:rsidRPr="00776964">
        <w:t xml:space="preserve"> z art. 3, 6 </w:t>
      </w:r>
      <w:r w:rsidR="007F2F56">
        <w:t>ust.</w:t>
      </w:r>
      <w:r w:rsidRPr="00776964">
        <w:t xml:space="preserve"> 1 (aspekt egzekucyjny) i 13. Pozostała część skargi została uznana za niedopuszczalną zgodnie z Regułą 54 § 3. W dniu 20 listopada 2018 r</w:t>
      </w:r>
      <w:r w:rsidR="008577FB">
        <w:t>.</w:t>
      </w:r>
      <w:r w:rsidRPr="00776964">
        <w:t xml:space="preserve"> Izba zrzekła się jurysdykcji na rzecz Wielkiej Izby, przy czym żadna ze stron nie zgłosiła sprzeciwu wobec zrzeczenia się (art. 30 Konwencji).</w:t>
      </w:r>
    </w:p>
    <w:p w14:paraId="42DD2645" w14:textId="0599BC13" w:rsidR="007761A7" w:rsidRPr="00776964" w:rsidRDefault="00776964" w:rsidP="00776964">
      <w:pPr>
        <w:pStyle w:val="JuPara"/>
      </w:pPr>
      <w:r w:rsidRPr="00776964">
        <w:fldChar w:fldCharType="begin"/>
      </w:r>
      <w:r>
        <w:instrText xml:space="preserve"> SEQ level0 \*arabic </w:instrText>
      </w:r>
      <w:r w:rsidRPr="00776964">
        <w:fldChar w:fldCharType="separate"/>
      </w:r>
      <w:r w:rsidRPr="00776964">
        <w:rPr>
          <w:noProof/>
        </w:rPr>
        <w:t>4</w:t>
      </w:r>
      <w:r w:rsidRPr="00776964">
        <w:rPr>
          <w:noProof/>
        </w:rPr>
        <w:fldChar w:fldCharType="end"/>
      </w:r>
      <w:r w:rsidR="006F49C8" w:rsidRPr="00776964">
        <w:t>.</w:t>
      </w:r>
      <w:r w:rsidR="006C3249">
        <w:t xml:space="preserve"> </w:t>
      </w:r>
      <w:r w:rsidR="006F49C8" w:rsidRPr="00776964">
        <w:t>Przewodniczący Sekcji, do której przydzielono sprawę, przychylił się do wniosku skarżących o nieujawnianie ich nazwisk (</w:t>
      </w:r>
      <w:r w:rsidR="007F2F56">
        <w:t>Reguła</w:t>
      </w:r>
      <w:r w:rsidR="006F49C8" w:rsidRPr="00776964">
        <w:t xml:space="preserve"> 47 § 4 Regulaminu).</w:t>
      </w:r>
    </w:p>
    <w:p w14:paraId="39120281" w14:textId="11C5FB1A" w:rsidR="006F49C8" w:rsidRPr="00776964" w:rsidRDefault="00776964" w:rsidP="00776964">
      <w:pPr>
        <w:pStyle w:val="JuPara"/>
      </w:pPr>
      <w:r w:rsidRPr="00776964">
        <w:fldChar w:fldCharType="begin"/>
      </w:r>
      <w:r>
        <w:instrText xml:space="preserve"> SEQ level0 \*arabic </w:instrText>
      </w:r>
      <w:r w:rsidRPr="00776964">
        <w:fldChar w:fldCharType="separate"/>
      </w:r>
      <w:r w:rsidRPr="00776964">
        <w:rPr>
          <w:noProof/>
        </w:rPr>
        <w:t>5</w:t>
      </w:r>
      <w:r w:rsidRPr="00776964">
        <w:rPr>
          <w:noProof/>
        </w:rPr>
        <w:fldChar w:fldCharType="end"/>
      </w:r>
      <w:r w:rsidRPr="00776964">
        <w:t>.</w:t>
      </w:r>
      <w:r w:rsidR="006C3249">
        <w:t xml:space="preserve"> </w:t>
      </w:r>
      <w:r w:rsidRPr="00776964">
        <w:t>Zarówno skarżący jak i Rząd złożyli uwagi dotyczące dopuszczalności i przedmiotu skargi. Ponadto uwagi stron trzecich otrzymano od rządów Chorwacji, Czech, Danii, Francji, Niemiec, Węgier, Łotwy, Niderlandów, Norwegii, Słowacji i Zjednoczonego Królestwa oraz od Ligi Praw Człowieka („LDH”), Międzynarodowej Federacji Praw Człowieka („FIDH”), Centrum Doradztwa na rzecz Praw Jednostki w Europie („Centrum AIRE”), holenderskiej Rady ds. Uchodźców, Europejskiej Rady ds. Uchodźców i</w:t>
      </w:r>
      <w:r w:rsidR="00B5245F">
        <w:t> </w:t>
      </w:r>
      <w:r w:rsidRPr="00776964">
        <w:t>Wypędzonych („ECRE”), Międzynarodowej Komisji Prawników oraz Rady Adwokackiej Prawników Francusko i Niemieckojęzycznych („OBFG”), którym udzielono zgody na interwencję w trybie pisemnym (art.</w:t>
      </w:r>
      <w:r w:rsidR="00B5245F">
        <w:t> </w:t>
      </w:r>
      <w:r w:rsidRPr="00776964">
        <w:t xml:space="preserve">36 </w:t>
      </w:r>
      <w:r w:rsidR="007F2F56">
        <w:t>ust.</w:t>
      </w:r>
      <w:r w:rsidRPr="00776964">
        <w:t xml:space="preserve"> 2 i 3 Konwencji).</w:t>
      </w:r>
    </w:p>
    <w:p w14:paraId="02F6D5C0" w14:textId="4BDBAB25" w:rsidR="006F49C8" w:rsidRPr="00776964" w:rsidRDefault="00776964" w:rsidP="00776964">
      <w:pPr>
        <w:pStyle w:val="JuPara"/>
      </w:pPr>
      <w:r w:rsidRPr="00776964">
        <w:fldChar w:fldCharType="begin"/>
      </w:r>
      <w:r>
        <w:instrText xml:space="preserve"> SEQ level0 \*arabic </w:instrText>
      </w:r>
      <w:r w:rsidRPr="00776964">
        <w:fldChar w:fldCharType="separate"/>
      </w:r>
      <w:r w:rsidRPr="00776964">
        <w:rPr>
          <w:noProof/>
        </w:rPr>
        <w:t>6</w:t>
      </w:r>
      <w:r w:rsidRPr="00776964">
        <w:rPr>
          <w:noProof/>
        </w:rPr>
        <w:fldChar w:fldCharType="end"/>
      </w:r>
      <w:r w:rsidRPr="00776964">
        <w:t>.</w:t>
      </w:r>
      <w:r w:rsidR="006C3249">
        <w:t xml:space="preserve"> </w:t>
      </w:r>
      <w:r w:rsidRPr="00776964">
        <w:t>Rozprawa miała charakter jawny i odbyła się w Budynku Trybunału Praw Człowieka, w Strasburgu, w dniu 24 kwietnia 2019 r</w:t>
      </w:r>
      <w:r w:rsidR="008577FB">
        <w:t>.</w:t>
      </w:r>
      <w:r w:rsidRPr="00776964">
        <w:t xml:space="preserve"> (</w:t>
      </w:r>
      <w:r w:rsidR="007F2F56">
        <w:t>Reguła</w:t>
      </w:r>
      <w:r w:rsidRPr="00776964">
        <w:t xml:space="preserve"> 59 § 3 Regulaminu).</w:t>
      </w:r>
    </w:p>
    <w:p w14:paraId="5272D3C8" w14:textId="77777777" w:rsidR="006F49C8" w:rsidRPr="00776964" w:rsidRDefault="00000000" w:rsidP="00776964">
      <w:pPr>
        <w:pStyle w:val="JuPara"/>
      </w:pPr>
      <w:r w:rsidRPr="00776964">
        <w:t>Przed Trybunałem stawili się:</w:t>
      </w:r>
    </w:p>
    <w:p w14:paraId="1A337FDF" w14:textId="77777777" w:rsidR="006F49C8" w:rsidRPr="00776964" w:rsidRDefault="006F49C8" w:rsidP="00776964">
      <w:pPr>
        <w:pStyle w:val="JuPara"/>
      </w:pPr>
    </w:p>
    <w:p w14:paraId="44BD3AD2" w14:textId="77777777" w:rsidR="006F49C8" w:rsidRPr="00776964" w:rsidRDefault="00000000" w:rsidP="00776964">
      <w:pPr>
        <w:pStyle w:val="JuPara"/>
      </w:pPr>
      <w:r w:rsidRPr="00776964">
        <w:t xml:space="preserve">- </w:t>
      </w:r>
      <w:r w:rsidRPr="00776964">
        <w:rPr>
          <w:i/>
        </w:rPr>
        <w:t>z ramienia pozwanego Rządu</w:t>
      </w:r>
    </w:p>
    <w:p w14:paraId="2A865598" w14:textId="77777777" w:rsidR="006F49C8" w:rsidRPr="00776964" w:rsidRDefault="006F49C8" w:rsidP="00776964">
      <w:pPr>
        <w:pStyle w:val="JuPara"/>
      </w:pPr>
    </w:p>
    <w:p w14:paraId="7E8E70BF" w14:textId="77777777" w:rsidR="006F49C8" w:rsidRPr="00776964" w:rsidRDefault="00000000" w:rsidP="00776964">
      <w:pPr>
        <w:pStyle w:val="JuPara"/>
        <w:tabs>
          <w:tab w:val="right" w:pos="7371"/>
        </w:tabs>
      </w:pPr>
      <w:r w:rsidRPr="00776964">
        <w:t xml:space="preserve">Pani I. Niedlispacher, </w:t>
      </w:r>
      <w:r w:rsidRPr="00776964">
        <w:tab/>
        <w:t>Pełnomocnik,</w:t>
      </w:r>
    </w:p>
    <w:p w14:paraId="398848FF" w14:textId="77777777" w:rsidR="006F49C8" w:rsidRPr="00776964" w:rsidRDefault="00000000" w:rsidP="00776964">
      <w:pPr>
        <w:pStyle w:val="JuPara"/>
        <w:tabs>
          <w:tab w:val="right" w:pos="7371"/>
        </w:tabs>
      </w:pPr>
      <w:r w:rsidRPr="00776964">
        <w:t xml:space="preserve">Pani E. Derriks, </w:t>
      </w:r>
      <w:r w:rsidRPr="00776964">
        <w:tab/>
        <w:t>Adwokat,</w:t>
      </w:r>
    </w:p>
    <w:p w14:paraId="3C6530FC" w14:textId="77777777" w:rsidR="007761A7" w:rsidRPr="00776964" w:rsidRDefault="00000000" w:rsidP="00776964">
      <w:pPr>
        <w:pStyle w:val="JuPara"/>
      </w:pPr>
      <w:r w:rsidRPr="00776964">
        <w:t>Pani M. De Sousa,</w:t>
      </w:r>
    </w:p>
    <w:p w14:paraId="1114FEEE" w14:textId="77777777" w:rsidR="007761A7" w:rsidRPr="00776964" w:rsidRDefault="00000000" w:rsidP="00776964">
      <w:pPr>
        <w:pStyle w:val="JuPara"/>
      </w:pPr>
      <w:r w:rsidRPr="00776964">
        <w:t>Pan G. Vanwitzenburg,</w:t>
      </w:r>
    </w:p>
    <w:p w14:paraId="6D849998" w14:textId="77777777" w:rsidR="006F49C8" w:rsidRPr="00776964" w:rsidRDefault="00000000" w:rsidP="00776964">
      <w:pPr>
        <w:pStyle w:val="JuPara"/>
        <w:tabs>
          <w:tab w:val="right" w:pos="7371"/>
        </w:tabs>
      </w:pPr>
      <w:r w:rsidRPr="00776964">
        <w:t xml:space="preserve">Pan A. Paul, </w:t>
      </w:r>
      <w:r w:rsidR="007420CA" w:rsidRPr="00776964">
        <w:tab/>
      </w:r>
      <w:r w:rsidRPr="00776964">
        <w:t>Radcy;</w:t>
      </w:r>
    </w:p>
    <w:p w14:paraId="130551B6" w14:textId="77777777" w:rsidR="006F49C8" w:rsidRPr="00776964" w:rsidRDefault="006F49C8" w:rsidP="00776964">
      <w:pPr>
        <w:pStyle w:val="JuPara"/>
      </w:pPr>
    </w:p>
    <w:p w14:paraId="4E1C5F66" w14:textId="77777777" w:rsidR="006F49C8" w:rsidRPr="00776964" w:rsidRDefault="00000000" w:rsidP="00776964">
      <w:pPr>
        <w:pStyle w:val="JuPara"/>
      </w:pPr>
      <w:r w:rsidRPr="00776964">
        <w:t xml:space="preserve">- </w:t>
      </w:r>
      <w:r w:rsidRPr="00776964">
        <w:rPr>
          <w:i/>
        </w:rPr>
        <w:t>z ramienia skarżących</w:t>
      </w:r>
    </w:p>
    <w:p w14:paraId="3184B34F" w14:textId="77777777" w:rsidR="006F49C8" w:rsidRPr="00776964" w:rsidRDefault="006F49C8" w:rsidP="00776964">
      <w:pPr>
        <w:pStyle w:val="JuPara"/>
      </w:pPr>
    </w:p>
    <w:p w14:paraId="4ADF9CB7" w14:textId="77777777" w:rsidR="007761A7" w:rsidRPr="00776964" w:rsidRDefault="00000000" w:rsidP="00776964">
      <w:pPr>
        <w:pStyle w:val="JuPara"/>
      </w:pPr>
      <w:r w:rsidRPr="00776964">
        <w:t>Pan O. Stein,</w:t>
      </w:r>
    </w:p>
    <w:p w14:paraId="7F8BE91A" w14:textId="77777777" w:rsidR="006F49C8" w:rsidRPr="00776964" w:rsidRDefault="00000000" w:rsidP="00776964">
      <w:pPr>
        <w:pStyle w:val="JuPara"/>
        <w:tabs>
          <w:tab w:val="right" w:pos="7371"/>
        </w:tabs>
        <w:rPr>
          <w:lang w:val="da-DK"/>
        </w:rPr>
      </w:pPr>
      <w:r w:rsidRPr="00776964">
        <w:rPr>
          <w:lang w:val="da-DK"/>
        </w:rPr>
        <w:t xml:space="preserve">Pani L. Lambert, </w:t>
      </w:r>
      <w:r w:rsidRPr="00776964">
        <w:rPr>
          <w:lang w:val="da-DK"/>
        </w:rPr>
        <w:tab/>
        <w:t>Adwokat,</w:t>
      </w:r>
    </w:p>
    <w:p w14:paraId="357A755E" w14:textId="77777777" w:rsidR="007761A7" w:rsidRPr="00776964" w:rsidRDefault="00000000" w:rsidP="00776964">
      <w:pPr>
        <w:pStyle w:val="JuPara"/>
        <w:rPr>
          <w:lang w:val="da-DK"/>
        </w:rPr>
      </w:pPr>
      <w:r w:rsidRPr="00776964">
        <w:rPr>
          <w:lang w:val="da-DK"/>
        </w:rPr>
        <w:t>Pan J. Englebert,</w:t>
      </w:r>
    </w:p>
    <w:p w14:paraId="35F578C8" w14:textId="77777777" w:rsidR="006F49C8" w:rsidRPr="005E04D8" w:rsidRDefault="00000000" w:rsidP="00776964">
      <w:pPr>
        <w:pStyle w:val="JuPara"/>
        <w:tabs>
          <w:tab w:val="right" w:pos="7371"/>
        </w:tabs>
        <w:rPr>
          <w:lang w:val="en-US"/>
        </w:rPr>
      </w:pPr>
      <w:r w:rsidRPr="005E04D8">
        <w:rPr>
          <w:lang w:val="en-US"/>
        </w:rPr>
        <w:t xml:space="preserve">Pan J. Callewaert, </w:t>
      </w:r>
      <w:r w:rsidRPr="005E04D8">
        <w:rPr>
          <w:lang w:val="en-US"/>
        </w:rPr>
        <w:tab/>
        <w:t>Radcy;</w:t>
      </w:r>
    </w:p>
    <w:p w14:paraId="25275E22" w14:textId="77777777" w:rsidR="006F49C8" w:rsidRPr="005E04D8" w:rsidRDefault="006F49C8" w:rsidP="00776964">
      <w:pPr>
        <w:pStyle w:val="JuPara"/>
        <w:rPr>
          <w:lang w:val="en-US"/>
        </w:rPr>
      </w:pPr>
    </w:p>
    <w:p w14:paraId="72531125" w14:textId="77777777" w:rsidR="006F49C8" w:rsidRPr="00776964" w:rsidRDefault="00000000" w:rsidP="00776964">
      <w:pPr>
        <w:pStyle w:val="JuPara"/>
      </w:pPr>
      <w:r w:rsidRPr="00776964">
        <w:rPr>
          <w:i/>
        </w:rPr>
        <w:t>- z ramienia Rządu francuskiego (strona trzecia)</w:t>
      </w:r>
    </w:p>
    <w:p w14:paraId="77C5ADA0" w14:textId="77777777" w:rsidR="006F49C8" w:rsidRPr="00776964" w:rsidRDefault="006F49C8" w:rsidP="00776964">
      <w:pPr>
        <w:pStyle w:val="JuPara"/>
      </w:pPr>
    </w:p>
    <w:p w14:paraId="75A2D69F" w14:textId="45419045" w:rsidR="006F49C8" w:rsidRPr="00776964" w:rsidRDefault="00000000" w:rsidP="00776964">
      <w:pPr>
        <w:pStyle w:val="JuPara"/>
        <w:tabs>
          <w:tab w:val="right" w:pos="7371"/>
        </w:tabs>
      </w:pPr>
      <w:r w:rsidRPr="00776964">
        <w:t xml:space="preserve">Pani F. Merloz, </w:t>
      </w:r>
      <w:r w:rsidR="009F6C9C" w:rsidRPr="00776964">
        <w:tab/>
      </w:r>
      <w:r w:rsidR="00E670F1">
        <w:t xml:space="preserve">Zastępca </w:t>
      </w:r>
      <w:r w:rsidRPr="00776964">
        <w:t>Pełnomocnik</w:t>
      </w:r>
      <w:r w:rsidR="00E670F1">
        <w:t>a</w:t>
      </w:r>
      <w:r w:rsidRPr="00776964">
        <w:t>,</w:t>
      </w:r>
    </w:p>
    <w:p w14:paraId="03108993" w14:textId="77777777" w:rsidR="006F49C8" w:rsidRPr="00776964" w:rsidRDefault="00000000" w:rsidP="00776964">
      <w:pPr>
        <w:pStyle w:val="JuPara"/>
        <w:tabs>
          <w:tab w:val="right" w:pos="7371"/>
        </w:tabs>
      </w:pPr>
      <w:r w:rsidRPr="00776964">
        <w:t xml:space="preserve">Pani E. Leblond, </w:t>
      </w:r>
      <w:r w:rsidRPr="00776964">
        <w:tab/>
        <w:t>Radca</w:t>
      </w:r>
      <w:r w:rsidR="0049029E" w:rsidRPr="00776964">
        <w:t>,</w:t>
      </w:r>
    </w:p>
    <w:p w14:paraId="2C7A90F7" w14:textId="77777777" w:rsidR="006F49C8" w:rsidRPr="00776964" w:rsidRDefault="006F49C8" w:rsidP="00776964">
      <w:pPr>
        <w:pStyle w:val="JuPara"/>
      </w:pPr>
    </w:p>
    <w:p w14:paraId="75180EEC" w14:textId="77777777" w:rsidR="006F49C8" w:rsidRPr="00776964" w:rsidRDefault="00000000" w:rsidP="00776964">
      <w:pPr>
        <w:pStyle w:val="JuPara"/>
        <w:rPr>
          <w:i/>
        </w:rPr>
      </w:pPr>
      <w:r w:rsidRPr="00776964">
        <w:rPr>
          <w:i/>
        </w:rPr>
        <w:t>- z ramienia Rządu litewskiego (strona trzecia)</w:t>
      </w:r>
    </w:p>
    <w:p w14:paraId="3701779C" w14:textId="77777777" w:rsidR="006F49C8" w:rsidRPr="00776964" w:rsidRDefault="006F49C8" w:rsidP="00776964">
      <w:pPr>
        <w:pStyle w:val="JuPara"/>
        <w:rPr>
          <w:i/>
        </w:rPr>
      </w:pPr>
    </w:p>
    <w:p w14:paraId="4E566986" w14:textId="77777777" w:rsidR="006F49C8" w:rsidRPr="00776964" w:rsidRDefault="00000000" w:rsidP="00776964">
      <w:pPr>
        <w:pStyle w:val="JuPara"/>
        <w:tabs>
          <w:tab w:val="right" w:pos="7371"/>
        </w:tabs>
      </w:pPr>
      <w:r w:rsidRPr="00776964">
        <w:t xml:space="preserve">Pani K. Līce, </w:t>
      </w:r>
      <w:r w:rsidRPr="00776964">
        <w:tab/>
        <w:t>Pełnomocnik,</w:t>
      </w:r>
    </w:p>
    <w:p w14:paraId="641B08F4" w14:textId="77777777" w:rsidR="006F49C8" w:rsidRPr="00776964" w:rsidRDefault="00000000" w:rsidP="00776964">
      <w:pPr>
        <w:pStyle w:val="JuPara"/>
        <w:tabs>
          <w:tab w:val="right" w:pos="7371"/>
        </w:tabs>
      </w:pPr>
      <w:r w:rsidRPr="00776964">
        <w:t>Pani</w:t>
      </w:r>
      <w:r w:rsidRPr="00776964">
        <w:rPr>
          <w:vertAlign w:val="superscript"/>
        </w:rPr>
        <w:t xml:space="preserve"> </w:t>
      </w:r>
      <w:r w:rsidRPr="00776964">
        <w:t xml:space="preserve">E. L. Vītola, </w:t>
      </w:r>
      <w:r w:rsidRPr="00776964">
        <w:tab/>
        <w:t>Radca;</w:t>
      </w:r>
    </w:p>
    <w:p w14:paraId="7C335938" w14:textId="77777777" w:rsidR="006F49C8" w:rsidRPr="00776964" w:rsidRDefault="006F49C8" w:rsidP="00776964">
      <w:pPr>
        <w:pStyle w:val="JuPara"/>
      </w:pPr>
    </w:p>
    <w:p w14:paraId="58F2BEB7" w14:textId="77777777" w:rsidR="006F49C8" w:rsidRPr="00776964" w:rsidRDefault="00000000" w:rsidP="00776964">
      <w:pPr>
        <w:pStyle w:val="JuPara"/>
      </w:pPr>
      <w:r w:rsidRPr="00776964">
        <w:t xml:space="preserve">- z ramienia </w:t>
      </w:r>
      <w:r w:rsidRPr="00776964">
        <w:rPr>
          <w:i/>
          <w:iCs/>
        </w:rPr>
        <w:t>Rządu norweskiego</w:t>
      </w:r>
      <w:r w:rsidRPr="00776964">
        <w:t xml:space="preserve"> </w:t>
      </w:r>
      <w:r w:rsidRPr="00776964">
        <w:rPr>
          <w:i/>
        </w:rPr>
        <w:t>(strona trzecia)</w:t>
      </w:r>
    </w:p>
    <w:p w14:paraId="738B589B" w14:textId="77777777" w:rsidR="006F49C8" w:rsidRPr="00776964" w:rsidRDefault="006F49C8" w:rsidP="00776964">
      <w:pPr>
        <w:pStyle w:val="JuPara"/>
      </w:pPr>
    </w:p>
    <w:p w14:paraId="43D32240" w14:textId="77777777" w:rsidR="006F49C8" w:rsidRPr="00776964" w:rsidRDefault="00000000" w:rsidP="00776964">
      <w:pPr>
        <w:pStyle w:val="JuPara"/>
        <w:tabs>
          <w:tab w:val="right" w:pos="7371"/>
        </w:tabs>
      </w:pPr>
      <w:r w:rsidRPr="00776964">
        <w:t xml:space="preserve">Pan Marius Emberland, </w:t>
      </w:r>
      <w:r w:rsidRPr="00776964">
        <w:tab/>
        <w:t>Pełnomocnik;</w:t>
      </w:r>
    </w:p>
    <w:p w14:paraId="15D5D97A" w14:textId="77777777" w:rsidR="006F49C8" w:rsidRPr="00776964" w:rsidRDefault="006F49C8" w:rsidP="00776964">
      <w:pPr>
        <w:pStyle w:val="JuPara"/>
      </w:pPr>
    </w:p>
    <w:p w14:paraId="4804EA32" w14:textId="77777777" w:rsidR="006F49C8" w:rsidRPr="00776964" w:rsidRDefault="00000000" w:rsidP="00776964">
      <w:pPr>
        <w:pStyle w:val="JuPara"/>
      </w:pPr>
      <w:r w:rsidRPr="00776964">
        <w:rPr>
          <w:i/>
        </w:rPr>
        <w:t>- z ramienia Rządu Zjednoczonego Królestwa (strona trzecia)</w:t>
      </w:r>
    </w:p>
    <w:p w14:paraId="7F9967F0" w14:textId="77777777" w:rsidR="006F49C8" w:rsidRPr="00776964" w:rsidRDefault="006F49C8" w:rsidP="00776964">
      <w:pPr>
        <w:pStyle w:val="JuPara"/>
      </w:pPr>
    </w:p>
    <w:p w14:paraId="3B3551FB" w14:textId="77777777" w:rsidR="006F49C8" w:rsidRPr="00776964" w:rsidRDefault="00000000" w:rsidP="00776964">
      <w:pPr>
        <w:pStyle w:val="JuPara"/>
        <w:ind w:right="-13"/>
      </w:pPr>
      <w:r w:rsidRPr="00776964">
        <w:t xml:space="preserve">Pan G. Cox QC, </w:t>
      </w:r>
      <w:r w:rsidRPr="00776964">
        <w:tab/>
      </w:r>
      <w:r w:rsidR="007420CA" w:rsidRPr="00776964">
        <w:tab/>
      </w:r>
      <w:r w:rsidR="007420CA" w:rsidRPr="00776964">
        <w:tab/>
      </w:r>
      <w:r w:rsidR="007420CA" w:rsidRPr="00776964">
        <w:tab/>
      </w:r>
      <w:r w:rsidR="007420CA" w:rsidRPr="00776964">
        <w:tab/>
      </w:r>
      <w:r w:rsidRPr="00776964">
        <w:t>Prokurator Generalny,</w:t>
      </w:r>
    </w:p>
    <w:p w14:paraId="0796E453" w14:textId="77777777" w:rsidR="007761A7" w:rsidRPr="00776964" w:rsidRDefault="00000000" w:rsidP="00776964">
      <w:pPr>
        <w:pStyle w:val="JuPara"/>
        <w:rPr>
          <w:lang w:val="sv-SE"/>
        </w:rPr>
      </w:pPr>
      <w:r w:rsidRPr="00776964">
        <w:rPr>
          <w:lang w:val="sv-SE"/>
        </w:rPr>
        <w:t>Sir J. Eadie,</w:t>
      </w:r>
    </w:p>
    <w:p w14:paraId="42C20B56" w14:textId="77777777" w:rsidR="007761A7" w:rsidRPr="00776964" w:rsidRDefault="00000000" w:rsidP="00776964">
      <w:pPr>
        <w:pStyle w:val="JuPara"/>
        <w:rPr>
          <w:lang w:val="sv-SE"/>
        </w:rPr>
      </w:pPr>
      <w:r w:rsidRPr="00776964">
        <w:rPr>
          <w:lang w:val="sv-SE"/>
        </w:rPr>
        <w:t>Pan D. Blundell,</w:t>
      </w:r>
    </w:p>
    <w:p w14:paraId="2939AB26" w14:textId="77777777" w:rsidR="007761A7" w:rsidRPr="00776964" w:rsidRDefault="00000000" w:rsidP="00776964">
      <w:pPr>
        <w:pStyle w:val="JuPara"/>
      </w:pPr>
      <w:r w:rsidRPr="00776964">
        <w:t>Pan C. Murphy,</w:t>
      </w:r>
    </w:p>
    <w:p w14:paraId="2467A088" w14:textId="77777777" w:rsidR="006F49C8" w:rsidRPr="00776964" w:rsidRDefault="00000000" w:rsidP="00776964">
      <w:pPr>
        <w:pStyle w:val="JuPara"/>
        <w:tabs>
          <w:tab w:val="right" w:pos="7371"/>
        </w:tabs>
      </w:pPr>
      <w:r w:rsidRPr="00776964">
        <w:t>Pani</w:t>
      </w:r>
      <w:r w:rsidRPr="00776964">
        <w:rPr>
          <w:vertAlign w:val="superscript"/>
        </w:rPr>
        <w:t> </w:t>
      </w:r>
      <w:r w:rsidRPr="00776964">
        <w:t xml:space="preserve">A. Sornarajah, </w:t>
      </w:r>
      <w:r w:rsidRPr="00776964">
        <w:tab/>
        <w:t>Radcy,</w:t>
      </w:r>
    </w:p>
    <w:p w14:paraId="36863F13" w14:textId="77777777" w:rsidR="006F49C8" w:rsidRPr="00776964" w:rsidRDefault="00000000" w:rsidP="00776964">
      <w:pPr>
        <w:pStyle w:val="JuPara"/>
        <w:tabs>
          <w:tab w:val="right" w:pos="7371"/>
        </w:tabs>
      </w:pPr>
      <w:r w:rsidRPr="00776964">
        <w:t xml:space="preserve">Pan C. Wickremasinghe, </w:t>
      </w:r>
      <w:r w:rsidRPr="00776964">
        <w:tab/>
        <w:t>Pełnomocnik;</w:t>
      </w:r>
    </w:p>
    <w:p w14:paraId="572E822F" w14:textId="77777777" w:rsidR="006F49C8" w:rsidRPr="00776964" w:rsidRDefault="006F49C8" w:rsidP="00776964">
      <w:pPr>
        <w:pStyle w:val="JuPara"/>
      </w:pPr>
    </w:p>
    <w:p w14:paraId="2E452D73" w14:textId="77777777" w:rsidR="006F49C8" w:rsidRPr="00776964" w:rsidRDefault="00000000" w:rsidP="00776964">
      <w:pPr>
        <w:pStyle w:val="JuPara"/>
        <w:rPr>
          <w:i/>
        </w:rPr>
      </w:pPr>
      <w:r w:rsidRPr="00776964">
        <w:rPr>
          <w:i/>
        </w:rPr>
        <w:t>- z ramienia OBFG</w:t>
      </w:r>
    </w:p>
    <w:p w14:paraId="2EED6F98" w14:textId="77777777" w:rsidR="006F49C8" w:rsidRPr="00776964" w:rsidRDefault="006F49C8" w:rsidP="00776964">
      <w:pPr>
        <w:pStyle w:val="JuPara"/>
      </w:pPr>
    </w:p>
    <w:p w14:paraId="65DED363" w14:textId="77777777" w:rsidR="006F49C8" w:rsidRPr="00776964" w:rsidRDefault="00000000" w:rsidP="00776964">
      <w:pPr>
        <w:pStyle w:val="JuPara"/>
        <w:tabs>
          <w:tab w:val="right" w:pos="7371"/>
        </w:tabs>
      </w:pPr>
      <w:r w:rsidRPr="00776964">
        <w:t xml:space="preserve">Pan F. Krenc, </w:t>
      </w:r>
      <w:r w:rsidRPr="00776964">
        <w:tab/>
        <w:t>Radca.</w:t>
      </w:r>
    </w:p>
    <w:p w14:paraId="30606D82" w14:textId="77777777" w:rsidR="006F49C8" w:rsidRPr="00776964" w:rsidRDefault="006F49C8" w:rsidP="00776964">
      <w:pPr>
        <w:pStyle w:val="JuPara"/>
      </w:pPr>
    </w:p>
    <w:p w14:paraId="7E55E752" w14:textId="35E370B3" w:rsidR="006F49C8" w:rsidRPr="00776964" w:rsidRDefault="00000000" w:rsidP="00776964">
      <w:pPr>
        <w:pStyle w:val="JuPara"/>
      </w:pPr>
      <w:r w:rsidRPr="00776964">
        <w:rPr>
          <w:rFonts w:ascii="Times New Roman" w:eastAsia="PMingLiU" w:hAnsi="Times New Roman" w:cs="Times New Roman"/>
        </w:rPr>
        <w:fldChar w:fldCharType="begin"/>
      </w:r>
      <w:r w:rsidRPr="00776964">
        <w:rPr>
          <w:rFonts w:ascii="Times New Roman" w:eastAsia="PMingLiU" w:hAnsi="Times New Roman" w:cs="Times New Roman"/>
        </w:rPr>
        <w:instrText xml:space="preserve"> SEQ level0 \*arabic </w:instrText>
      </w:r>
      <w:r w:rsidRPr="00776964">
        <w:rPr>
          <w:rFonts w:ascii="Times New Roman" w:eastAsia="PMingLiU" w:hAnsi="Times New Roman" w:cs="Times New Roman"/>
        </w:rPr>
        <w:fldChar w:fldCharType="separate"/>
      </w:r>
      <w:r w:rsidR="00776964" w:rsidRPr="00776964">
        <w:rPr>
          <w:rFonts w:ascii="Times New Roman" w:eastAsia="PMingLiU" w:hAnsi="Times New Roman" w:cs="Times New Roman"/>
          <w:noProof/>
        </w:rPr>
        <w:t>7</w:t>
      </w:r>
      <w:r w:rsidRPr="00776964">
        <w:rPr>
          <w:rFonts w:ascii="Times New Roman" w:eastAsia="PMingLiU" w:hAnsi="Times New Roman" w:cs="Times New Roman"/>
        </w:rPr>
        <w:fldChar w:fldCharType="end"/>
      </w:r>
      <w:r w:rsidRPr="00776964">
        <w:rPr>
          <w:rFonts w:ascii="Times New Roman" w:hAnsi="Times New Roman"/>
        </w:rPr>
        <w:t>.</w:t>
      </w:r>
      <w:r w:rsidR="006C3249">
        <w:rPr>
          <w:rFonts w:ascii="Times New Roman" w:hAnsi="Times New Roman"/>
        </w:rPr>
        <w:t xml:space="preserve"> </w:t>
      </w:r>
      <w:r w:rsidRPr="00776964">
        <w:rPr>
          <w:rFonts w:ascii="Times New Roman" w:hAnsi="Times New Roman"/>
        </w:rPr>
        <w:t xml:space="preserve">Trybunał wysłuchał </w:t>
      </w:r>
      <w:r w:rsidR="00B5245F">
        <w:rPr>
          <w:rFonts w:ascii="Times New Roman" w:hAnsi="Times New Roman"/>
        </w:rPr>
        <w:t>panią</w:t>
      </w:r>
      <w:r w:rsidRPr="00776964">
        <w:rPr>
          <w:rFonts w:ascii="Times New Roman" w:hAnsi="Times New Roman"/>
        </w:rPr>
        <w:t xml:space="preserve"> Niedlispacher,</w:t>
      </w:r>
      <w:r w:rsidR="00B5245F">
        <w:rPr>
          <w:rFonts w:ascii="Times New Roman" w:hAnsi="Times New Roman"/>
        </w:rPr>
        <w:t xml:space="preserve"> panią</w:t>
      </w:r>
      <w:r w:rsidRPr="00776964">
        <w:rPr>
          <w:rFonts w:ascii="Times New Roman" w:hAnsi="Times New Roman"/>
        </w:rPr>
        <w:t xml:space="preserve"> Derriks, </w:t>
      </w:r>
      <w:r w:rsidR="00B5245F">
        <w:rPr>
          <w:rFonts w:ascii="Times New Roman" w:hAnsi="Times New Roman"/>
        </w:rPr>
        <w:t xml:space="preserve">pana </w:t>
      </w:r>
      <w:r w:rsidRPr="00776964">
        <w:rPr>
          <w:rFonts w:ascii="Times New Roman" w:hAnsi="Times New Roman"/>
        </w:rPr>
        <w:t>Stein</w:t>
      </w:r>
      <w:r w:rsidR="00B32EA6">
        <w:rPr>
          <w:rFonts w:ascii="Times New Roman" w:hAnsi="Times New Roman"/>
        </w:rPr>
        <w:t>a</w:t>
      </w:r>
      <w:r w:rsidRPr="00776964">
        <w:rPr>
          <w:rFonts w:ascii="Times New Roman" w:hAnsi="Times New Roman"/>
        </w:rPr>
        <w:t xml:space="preserve"> i</w:t>
      </w:r>
      <w:r w:rsidR="00E670F1">
        <w:rPr>
          <w:rFonts w:ascii="Times New Roman" w:hAnsi="Times New Roman"/>
        </w:rPr>
        <w:t> </w:t>
      </w:r>
      <w:r w:rsidR="00B5245F">
        <w:rPr>
          <w:rFonts w:ascii="Times New Roman" w:hAnsi="Times New Roman"/>
        </w:rPr>
        <w:t xml:space="preserve">panią </w:t>
      </w:r>
      <w:r w:rsidRPr="00776964">
        <w:rPr>
          <w:rFonts w:ascii="Times New Roman" w:hAnsi="Times New Roman"/>
        </w:rPr>
        <w:t xml:space="preserve">Lambert; </w:t>
      </w:r>
      <w:r w:rsidR="00B5245F">
        <w:rPr>
          <w:rFonts w:ascii="Times New Roman" w:hAnsi="Times New Roman"/>
        </w:rPr>
        <w:t xml:space="preserve">pana </w:t>
      </w:r>
      <w:r w:rsidRPr="00776964">
        <w:rPr>
          <w:rFonts w:ascii="Times New Roman" w:hAnsi="Times New Roman"/>
        </w:rPr>
        <w:t>Geoffrey</w:t>
      </w:r>
      <w:r w:rsidR="00B5245F">
        <w:rPr>
          <w:rFonts w:ascii="Times New Roman" w:hAnsi="Times New Roman"/>
        </w:rPr>
        <w:t>’a</w:t>
      </w:r>
      <w:r w:rsidRPr="00776964">
        <w:rPr>
          <w:rFonts w:ascii="Times New Roman" w:hAnsi="Times New Roman"/>
        </w:rPr>
        <w:t xml:space="preserve"> Cox</w:t>
      </w:r>
      <w:r w:rsidR="00B5245F">
        <w:rPr>
          <w:rFonts w:ascii="Times New Roman" w:hAnsi="Times New Roman"/>
        </w:rPr>
        <w:t>a</w:t>
      </w:r>
      <w:r w:rsidRPr="00776964">
        <w:rPr>
          <w:rFonts w:ascii="Times New Roman" w:hAnsi="Times New Roman"/>
        </w:rPr>
        <w:t xml:space="preserve"> QC i </w:t>
      </w:r>
      <w:r w:rsidR="00B5245F">
        <w:rPr>
          <w:rFonts w:ascii="Times New Roman" w:hAnsi="Times New Roman"/>
        </w:rPr>
        <w:t>panią</w:t>
      </w:r>
      <w:r w:rsidRPr="00776964">
        <w:rPr>
          <w:rFonts w:ascii="Times New Roman" w:hAnsi="Times New Roman"/>
        </w:rPr>
        <w:t xml:space="preserve"> Merloz </w:t>
      </w:r>
      <w:r w:rsidR="00A920BF" w:rsidRPr="00776964">
        <w:rPr>
          <w:rFonts w:ascii="Times New Roman" w:hAnsi="Times New Roman"/>
        </w:rPr>
        <w:t xml:space="preserve">przemawiających </w:t>
      </w:r>
      <w:r w:rsidRPr="00776964">
        <w:rPr>
          <w:rFonts w:ascii="Times New Roman" w:hAnsi="Times New Roman"/>
        </w:rPr>
        <w:t xml:space="preserve">w imieniu </w:t>
      </w:r>
      <w:r w:rsidR="00E0210F" w:rsidRPr="00776964">
        <w:rPr>
          <w:rFonts w:ascii="Times New Roman" w:hAnsi="Times New Roman"/>
        </w:rPr>
        <w:t xml:space="preserve">Rządów </w:t>
      </w:r>
      <w:r w:rsidRPr="00776964">
        <w:rPr>
          <w:rFonts w:ascii="Times New Roman" w:hAnsi="Times New Roman"/>
        </w:rPr>
        <w:t>Zjednoczonego Królestwa, Francji, Łotwy i Norwegii, po</w:t>
      </w:r>
      <w:r w:rsidR="00E670F1">
        <w:rPr>
          <w:rFonts w:ascii="Times New Roman" w:hAnsi="Times New Roman"/>
        </w:rPr>
        <w:t> </w:t>
      </w:r>
      <w:r w:rsidRPr="00776964">
        <w:rPr>
          <w:rFonts w:ascii="Times New Roman" w:hAnsi="Times New Roman"/>
        </w:rPr>
        <w:t xml:space="preserve">czym </w:t>
      </w:r>
      <w:r w:rsidR="00B5245F">
        <w:rPr>
          <w:rFonts w:ascii="Times New Roman" w:hAnsi="Times New Roman"/>
        </w:rPr>
        <w:t>pan</w:t>
      </w:r>
      <w:r w:rsidRPr="00776964">
        <w:rPr>
          <w:rFonts w:ascii="Times New Roman" w:hAnsi="Times New Roman"/>
        </w:rPr>
        <w:t xml:space="preserve"> Krenc, </w:t>
      </w:r>
      <w:r w:rsidR="00B5245F">
        <w:rPr>
          <w:rFonts w:ascii="Times New Roman" w:hAnsi="Times New Roman"/>
        </w:rPr>
        <w:t>pani</w:t>
      </w:r>
      <w:r w:rsidRPr="00776964">
        <w:rPr>
          <w:rFonts w:ascii="Times New Roman" w:hAnsi="Times New Roman"/>
        </w:rPr>
        <w:t xml:space="preserve"> Derriks, </w:t>
      </w:r>
      <w:r w:rsidR="00B5245F">
        <w:rPr>
          <w:rFonts w:ascii="Times New Roman" w:hAnsi="Times New Roman"/>
        </w:rPr>
        <w:t xml:space="preserve">pani </w:t>
      </w:r>
      <w:r w:rsidRPr="00776964">
        <w:rPr>
          <w:rFonts w:ascii="Times New Roman" w:hAnsi="Times New Roman"/>
        </w:rPr>
        <w:t xml:space="preserve">Niedlispacher, </w:t>
      </w:r>
      <w:r w:rsidR="00B5245F">
        <w:rPr>
          <w:rFonts w:ascii="Times New Roman" w:hAnsi="Times New Roman"/>
        </w:rPr>
        <w:t xml:space="preserve">pan </w:t>
      </w:r>
      <w:r w:rsidRPr="00776964">
        <w:rPr>
          <w:rFonts w:ascii="Times New Roman" w:hAnsi="Times New Roman"/>
        </w:rPr>
        <w:t xml:space="preserve">J. Englebert, </w:t>
      </w:r>
      <w:r w:rsidR="00B5245F">
        <w:rPr>
          <w:rFonts w:ascii="Times New Roman" w:hAnsi="Times New Roman"/>
        </w:rPr>
        <w:t xml:space="preserve">pani </w:t>
      </w:r>
      <w:r w:rsidRPr="00776964">
        <w:rPr>
          <w:rFonts w:ascii="Times New Roman" w:hAnsi="Times New Roman"/>
        </w:rPr>
        <w:t xml:space="preserve">Lambert, </w:t>
      </w:r>
      <w:r w:rsidR="00B5245F">
        <w:rPr>
          <w:rFonts w:ascii="Times New Roman" w:hAnsi="Times New Roman"/>
        </w:rPr>
        <w:t xml:space="preserve">pan </w:t>
      </w:r>
      <w:r w:rsidRPr="00776964">
        <w:rPr>
          <w:rFonts w:ascii="Times New Roman" w:hAnsi="Times New Roman"/>
        </w:rPr>
        <w:t xml:space="preserve">J. Callewaert i </w:t>
      </w:r>
      <w:r w:rsidR="00B5245F">
        <w:rPr>
          <w:rFonts w:ascii="Times New Roman" w:hAnsi="Times New Roman"/>
        </w:rPr>
        <w:t xml:space="preserve">pan </w:t>
      </w:r>
      <w:r w:rsidRPr="00776964">
        <w:rPr>
          <w:rFonts w:ascii="Times New Roman" w:hAnsi="Times New Roman"/>
        </w:rPr>
        <w:t>J. Stein odpowiedzieli na pytania sędziów.</w:t>
      </w:r>
    </w:p>
    <w:p w14:paraId="40981F7D" w14:textId="77777777" w:rsidR="00396120" w:rsidRPr="00776964" w:rsidRDefault="00396120" w:rsidP="00776964">
      <w:pPr>
        <w:pStyle w:val="JuPara"/>
        <w:ind w:firstLine="0"/>
        <w:rPr>
          <w:rFonts w:eastAsiaTheme="minorEastAsia"/>
        </w:rPr>
      </w:pPr>
    </w:p>
    <w:p w14:paraId="26FCCB10" w14:textId="77777777" w:rsidR="00396120" w:rsidRPr="00776964" w:rsidRDefault="00000000" w:rsidP="00776964">
      <w:pPr>
        <w:pStyle w:val="JuPara"/>
        <w:ind w:firstLine="0"/>
        <w:rPr>
          <w:rFonts w:eastAsiaTheme="minorEastAsia"/>
        </w:rPr>
      </w:pPr>
      <w:r w:rsidRPr="00776964">
        <w:t>FAKTY</w:t>
      </w:r>
    </w:p>
    <w:p w14:paraId="4B06F7AF" w14:textId="77777777" w:rsidR="00396120" w:rsidRPr="00776964" w:rsidRDefault="00396120" w:rsidP="00776964">
      <w:pPr>
        <w:pStyle w:val="JuPara"/>
        <w:ind w:firstLine="0"/>
        <w:rPr>
          <w:rFonts w:eastAsiaTheme="minorEastAsia"/>
        </w:rPr>
      </w:pPr>
    </w:p>
    <w:p w14:paraId="6558CA5D" w14:textId="71674FAD" w:rsidR="00776964" w:rsidRPr="00776964" w:rsidRDefault="00000000" w:rsidP="00776964">
      <w:pPr>
        <w:pStyle w:val="JuPara"/>
        <w:ind w:firstLine="0"/>
        <w:rPr>
          <w:i/>
        </w:rPr>
      </w:pPr>
      <w:r w:rsidRPr="00776964">
        <w:rPr>
          <w:i/>
        </w:rPr>
        <w:lastRenderedPageBreak/>
        <w:t>[Paragrafy 8 – 75 wyroku pominięto i zastąpiono tłumaczeniem poniższego streszczenia przygotowanego przez Kancelarię Europejskiego Trybunału Praw Człowieka</w:t>
      </w:r>
    </w:p>
    <w:p w14:paraId="1A58512A" w14:textId="77777777" w:rsidR="00396120" w:rsidRPr="00776964" w:rsidRDefault="00396120" w:rsidP="00776964">
      <w:pPr>
        <w:pStyle w:val="JuPara"/>
        <w:ind w:firstLine="0"/>
        <w:rPr>
          <w:i/>
          <w:iCs/>
        </w:rPr>
      </w:pPr>
    </w:p>
    <w:p w14:paraId="492E8A01" w14:textId="77777777" w:rsidR="00396120" w:rsidRPr="00776964" w:rsidRDefault="00000000" w:rsidP="00776964">
      <w:pPr>
        <w:pStyle w:val="JuPara"/>
        <w:ind w:firstLine="0"/>
        <w:rPr>
          <w:i/>
          <w:iCs/>
        </w:rPr>
      </w:pPr>
      <w:r w:rsidRPr="00776964">
        <w:rPr>
          <w:i/>
          <w:u w:val="single"/>
        </w:rPr>
        <w:t>Streszczenie stanu faktycznego</w:t>
      </w:r>
      <w:r>
        <w:rPr>
          <w:rStyle w:val="Odwoanieprzypisudolnego"/>
          <w:u w:val="single"/>
        </w:rPr>
        <w:footnoteReference w:id="1"/>
      </w:r>
    </w:p>
    <w:p w14:paraId="197128B9" w14:textId="30A42D53" w:rsidR="00396120" w:rsidRPr="00776964" w:rsidRDefault="00000000" w:rsidP="00776964">
      <w:pPr>
        <w:pStyle w:val="s6c429373"/>
        <w:spacing w:before="240" w:beforeAutospacing="0" w:after="0" w:afterAutospacing="0"/>
        <w:jc w:val="both"/>
        <w:rPr>
          <w:rFonts w:asciiTheme="minorHAnsi" w:hAnsiTheme="minorHAnsi" w:cstheme="minorHAnsi"/>
          <w:color w:val="000000"/>
        </w:rPr>
      </w:pPr>
      <w:r w:rsidRPr="00776964">
        <w:rPr>
          <w:rStyle w:val="sfbbfee58"/>
          <w:rFonts w:asciiTheme="minorHAnsi" w:hAnsiTheme="minorHAnsi"/>
          <w:color w:val="000000"/>
        </w:rPr>
        <w:t>Skarżący,</w:t>
      </w:r>
      <w:r w:rsidR="00BA5488" w:rsidRPr="00776964">
        <w:rPr>
          <w:rStyle w:val="sfbbfee58"/>
          <w:rFonts w:asciiTheme="minorHAnsi" w:hAnsiTheme="minorHAnsi"/>
          <w:color w:val="000000"/>
        </w:rPr>
        <w:t xml:space="preserve"> </w:t>
      </w:r>
      <w:r w:rsidRPr="00776964">
        <w:rPr>
          <w:rStyle w:val="sfbbfee58"/>
          <w:rFonts w:asciiTheme="minorHAnsi" w:hAnsiTheme="minorHAnsi"/>
          <w:color w:val="000000"/>
        </w:rPr>
        <w:t>obywatele Syrii, którzy mieszkali w Aleppo, mieście objętym wówczas wyniszczającym konfliktem zbrojnym, udali się do Libanu, skąd w</w:t>
      </w:r>
      <w:r w:rsidR="00E670F1">
        <w:rPr>
          <w:rStyle w:val="sfbbfee58"/>
          <w:rFonts w:asciiTheme="minorHAnsi" w:hAnsiTheme="minorHAnsi"/>
          <w:color w:val="000000"/>
        </w:rPr>
        <w:t> </w:t>
      </w:r>
      <w:r w:rsidRPr="00776964">
        <w:rPr>
          <w:rStyle w:val="sfbbfee58"/>
          <w:rFonts w:asciiTheme="minorHAnsi" w:hAnsiTheme="minorHAnsi"/>
          <w:color w:val="000000"/>
        </w:rPr>
        <w:t>sierpniu 2016 r. złożyli w Ambasadzie Belgii w Bejrucie wnioski o</w:t>
      </w:r>
      <w:r w:rsidR="00E670F1">
        <w:rPr>
          <w:rStyle w:val="sfbbfee58"/>
          <w:rFonts w:asciiTheme="minorHAnsi" w:hAnsiTheme="minorHAnsi"/>
          <w:color w:val="000000"/>
        </w:rPr>
        <w:t> </w:t>
      </w:r>
      <w:r w:rsidRPr="00776964">
        <w:rPr>
          <w:rStyle w:val="sfbbfee58"/>
          <w:rFonts w:asciiTheme="minorHAnsi" w:hAnsiTheme="minorHAnsi"/>
          <w:color w:val="000000"/>
        </w:rPr>
        <w:t>wydanie krótkoterminowych wiz tzw. „humanitarnych” (art. 25 Wspólnotowego kodeksu wizowego), wskazując, że zamierzają ubiegać się o azyl po przybyciu do Belgii. Wniosek został przekazany do Urzędu ds.</w:t>
      </w:r>
      <w:r w:rsidR="00E670F1">
        <w:rPr>
          <w:rStyle w:val="sfbbfee58"/>
          <w:rFonts w:asciiTheme="minorHAnsi" w:hAnsiTheme="minorHAnsi"/>
          <w:color w:val="000000"/>
        </w:rPr>
        <w:t> </w:t>
      </w:r>
      <w:r w:rsidRPr="00776964">
        <w:rPr>
          <w:rStyle w:val="sfbbfee58"/>
          <w:rFonts w:asciiTheme="minorHAnsi" w:hAnsiTheme="minorHAnsi"/>
          <w:color w:val="000000"/>
        </w:rPr>
        <w:t>Cudzoziemców („OE”), który uznał, że zamiar ten stawia ich wniosek poza zakresem zastosowania powołanego przepisu.</w:t>
      </w:r>
    </w:p>
    <w:p w14:paraId="25340B50" w14:textId="755DE217" w:rsidR="00396120" w:rsidRPr="00776964" w:rsidRDefault="00000000" w:rsidP="00776964">
      <w:pPr>
        <w:pStyle w:val="s6c429373"/>
        <w:spacing w:before="240" w:beforeAutospacing="0" w:after="0" w:afterAutospacing="0"/>
        <w:jc w:val="both"/>
        <w:rPr>
          <w:rFonts w:asciiTheme="minorHAnsi" w:hAnsiTheme="minorHAnsi" w:cstheme="minorHAnsi"/>
          <w:color w:val="000000"/>
        </w:rPr>
      </w:pPr>
      <w:r w:rsidRPr="00776964">
        <w:rPr>
          <w:rStyle w:val="sfbbfee58"/>
          <w:rFonts w:asciiTheme="minorHAnsi" w:hAnsiTheme="minorHAnsi"/>
          <w:color w:val="000000"/>
        </w:rPr>
        <w:t>Następnie miał miejsce szereg wyjątkowo pilnych postępowań przed belgijskimi sądami administracyjnymi, w których skarżący zarzucali, że</w:t>
      </w:r>
      <w:r w:rsidR="00E670F1">
        <w:rPr>
          <w:rStyle w:val="sfbbfee58"/>
          <w:rFonts w:asciiTheme="minorHAnsi" w:hAnsiTheme="minorHAnsi"/>
          <w:color w:val="000000"/>
        </w:rPr>
        <w:t> </w:t>
      </w:r>
      <w:r w:rsidRPr="00776964">
        <w:rPr>
          <w:rStyle w:val="sfbbfee58"/>
          <w:rFonts w:asciiTheme="minorHAnsi" w:hAnsiTheme="minorHAnsi"/>
          <w:color w:val="000000"/>
        </w:rPr>
        <w:t>ta</w:t>
      </w:r>
      <w:r w:rsidR="00E670F1">
        <w:rPr>
          <w:rStyle w:val="sfbbfee58"/>
          <w:rFonts w:asciiTheme="minorHAnsi" w:hAnsiTheme="minorHAnsi"/>
          <w:color w:val="000000"/>
        </w:rPr>
        <w:t> </w:t>
      </w:r>
      <w:r w:rsidRPr="00776964">
        <w:rPr>
          <w:rStyle w:val="sfbbfee58"/>
          <w:rFonts w:asciiTheme="minorHAnsi" w:hAnsiTheme="minorHAnsi"/>
          <w:color w:val="000000"/>
        </w:rPr>
        <w:t>odmowa naraziła ich na zagrożenie sprzeczne z art. 3 Konwencji. W</w:t>
      </w:r>
      <w:r w:rsidR="00E670F1">
        <w:rPr>
          <w:rStyle w:val="sfbbfee58"/>
          <w:rFonts w:asciiTheme="minorHAnsi" w:hAnsiTheme="minorHAnsi"/>
          <w:color w:val="000000"/>
        </w:rPr>
        <w:t> </w:t>
      </w:r>
      <w:r w:rsidRPr="00776964">
        <w:rPr>
          <w:rStyle w:val="sfbbfee58"/>
          <w:rFonts w:asciiTheme="minorHAnsi" w:hAnsiTheme="minorHAnsi"/>
          <w:color w:val="000000"/>
        </w:rPr>
        <w:t>tym</w:t>
      </w:r>
      <w:r w:rsidR="00E670F1">
        <w:rPr>
          <w:rStyle w:val="sfbbfee58"/>
          <w:rFonts w:asciiTheme="minorHAnsi" w:hAnsiTheme="minorHAnsi"/>
          <w:color w:val="000000"/>
        </w:rPr>
        <w:t> </w:t>
      </w:r>
      <w:r w:rsidRPr="00776964">
        <w:rPr>
          <w:rStyle w:val="sfbbfee58"/>
          <w:rFonts w:asciiTheme="minorHAnsi" w:hAnsiTheme="minorHAnsi"/>
          <w:color w:val="000000"/>
        </w:rPr>
        <w:t>kontekście OE odmówił wydania wiz przy dwóch kolejnych okazjach. W dniu 20 października 2016 r. Komisja Odwoławcza ds.</w:t>
      </w:r>
      <w:r w:rsidR="00E670F1">
        <w:rPr>
          <w:rStyle w:val="sfbbfee58"/>
          <w:rFonts w:asciiTheme="minorHAnsi" w:hAnsiTheme="minorHAnsi"/>
          <w:color w:val="000000"/>
        </w:rPr>
        <w:t> </w:t>
      </w:r>
      <w:r w:rsidRPr="00776964">
        <w:rPr>
          <w:rStyle w:val="sfbbfee58"/>
          <w:rFonts w:asciiTheme="minorHAnsi" w:hAnsiTheme="minorHAnsi"/>
          <w:color w:val="000000"/>
        </w:rPr>
        <w:t>Cudzoziemców (CCE) poleciła władzom belgijskim wydanie im żądanych wiz w ciągu 48 godzin.</w:t>
      </w:r>
    </w:p>
    <w:p w14:paraId="58A2C830" w14:textId="2DB788D0" w:rsidR="00396120" w:rsidRPr="00776964" w:rsidRDefault="00000000" w:rsidP="00776964">
      <w:pPr>
        <w:pStyle w:val="s6c429373"/>
        <w:spacing w:before="240" w:beforeAutospacing="0" w:after="0" w:afterAutospacing="0"/>
        <w:jc w:val="both"/>
        <w:rPr>
          <w:rFonts w:asciiTheme="minorHAnsi" w:hAnsiTheme="minorHAnsi" w:cstheme="minorHAnsi"/>
          <w:color w:val="000000"/>
        </w:rPr>
      </w:pPr>
      <w:r w:rsidRPr="00776964">
        <w:rPr>
          <w:rStyle w:val="sfbbfee58"/>
          <w:rFonts w:asciiTheme="minorHAnsi" w:hAnsiTheme="minorHAnsi"/>
          <w:color w:val="000000"/>
        </w:rPr>
        <w:t>Ponieważ władze odmówiły ponownego rozważenia swojej odmowy, skarżący zwrócili się, z powodzeniem, do sądów cywilnych: w dniu 7 grudnia 2016 r., uznając uporczywą odmowę wydania wiz za „działanie bezprawne”, Sąd Apelacyjny w Brukseli nakazał natychmiastowe wykonanie decyzji CCE, w przeciwnym razie za każdy dzień zwłoki należało zapłacić 1000 euro. Państwo złożyło odwołanie od tej decyzji co do kwestii prawnych, a</w:t>
      </w:r>
      <w:r w:rsidR="00E670F1">
        <w:rPr>
          <w:rStyle w:val="sfbbfee58"/>
          <w:rFonts w:asciiTheme="minorHAnsi" w:hAnsiTheme="minorHAnsi"/>
          <w:color w:val="000000"/>
        </w:rPr>
        <w:t> </w:t>
      </w:r>
      <w:r w:rsidRPr="00776964">
        <w:rPr>
          <w:rStyle w:val="sfbbfee58"/>
          <w:rFonts w:asciiTheme="minorHAnsi" w:hAnsiTheme="minorHAnsi"/>
          <w:color w:val="000000"/>
        </w:rPr>
        <w:t>postępowanie to było nadal w toku.</w:t>
      </w:r>
    </w:p>
    <w:p w14:paraId="77E6C841" w14:textId="5DAAAD7D" w:rsidR="00396120" w:rsidRPr="00776964" w:rsidRDefault="00000000" w:rsidP="00776964">
      <w:pPr>
        <w:pStyle w:val="s6c429373"/>
        <w:spacing w:before="240" w:beforeAutospacing="0" w:after="0" w:afterAutospacing="0"/>
        <w:jc w:val="both"/>
        <w:rPr>
          <w:rFonts w:asciiTheme="minorHAnsi" w:hAnsiTheme="minorHAnsi" w:cstheme="minorHAnsi"/>
          <w:color w:val="000000"/>
        </w:rPr>
      </w:pPr>
      <w:r w:rsidRPr="00776964">
        <w:rPr>
          <w:rStyle w:val="sfbbfee58"/>
          <w:rFonts w:asciiTheme="minorHAnsi" w:hAnsiTheme="minorHAnsi"/>
          <w:color w:val="000000"/>
        </w:rPr>
        <w:t>W międzyczasie CCE skierowała do Trybunału Sprawiedliwości Unii Europejskiej (TSUE) wniosek o wydanie orzeczenia w trybie prejudycjalnym w podobnej sprawie: TSUE uznał, że powołany przepis prawa unijnego nie</w:t>
      </w:r>
      <w:r w:rsidR="00E670F1">
        <w:rPr>
          <w:rStyle w:val="sfbbfee58"/>
          <w:rFonts w:asciiTheme="minorHAnsi" w:hAnsiTheme="minorHAnsi"/>
          <w:color w:val="000000"/>
        </w:rPr>
        <w:t> </w:t>
      </w:r>
      <w:r w:rsidRPr="00776964">
        <w:rPr>
          <w:rStyle w:val="sfbbfee58"/>
          <w:rFonts w:asciiTheme="minorHAnsi" w:hAnsiTheme="minorHAnsi"/>
          <w:color w:val="000000"/>
        </w:rPr>
        <w:t>miał mieć zastosowania do przedmiotowej sytuacji; w konsekwencji sprawa wchodziła wyłącznie w zakres prawa krajowego (zob. wyrok TSUE w</w:t>
      </w:r>
      <w:r w:rsidR="00E670F1">
        <w:rPr>
          <w:rStyle w:val="sfbbfee58"/>
          <w:rFonts w:asciiTheme="minorHAnsi" w:hAnsiTheme="minorHAnsi"/>
          <w:color w:val="000000"/>
        </w:rPr>
        <w:t> </w:t>
      </w:r>
      <w:r w:rsidRPr="00776964">
        <w:rPr>
          <w:rStyle w:val="sfbbfee58"/>
          <w:rFonts w:asciiTheme="minorHAnsi" w:hAnsiTheme="minorHAnsi"/>
          <w:color w:val="000000"/>
        </w:rPr>
        <w:t>sprawie </w:t>
      </w:r>
      <w:r w:rsidRPr="00776964">
        <w:rPr>
          <w:rStyle w:val="s1a844bc0"/>
          <w:rFonts w:asciiTheme="minorHAnsi" w:hAnsiTheme="minorHAnsi"/>
          <w:i/>
          <w:color w:val="000000"/>
        </w:rPr>
        <w:t xml:space="preserve">X i X przeciwko </w:t>
      </w:r>
      <w:r w:rsidR="002F6274" w:rsidRPr="00776964">
        <w:rPr>
          <w:rStyle w:val="s1a844bc0"/>
          <w:rFonts w:asciiTheme="minorHAnsi" w:hAnsiTheme="minorHAnsi"/>
          <w:i/>
          <w:color w:val="000000"/>
        </w:rPr>
        <w:t>państwu belgijskiemu</w:t>
      </w:r>
      <w:r w:rsidRPr="00776964">
        <w:rPr>
          <w:rStyle w:val="sfbbfee58"/>
          <w:rFonts w:asciiTheme="minorHAnsi" w:hAnsiTheme="minorHAnsi"/>
          <w:color w:val="000000"/>
        </w:rPr>
        <w:t>, C-638/16 PPU, 7 marca 2017 r., streszczony w </w:t>
      </w:r>
      <w:hyperlink r:id="rId8" w:tgtFrame="_blank" w:history="1">
        <w:r w:rsidR="00396120" w:rsidRPr="00776964">
          <w:rPr>
            <w:rStyle w:val="s3ca6e50f"/>
            <w:rFonts w:asciiTheme="minorHAnsi" w:hAnsiTheme="minorHAnsi"/>
            <w:color w:val="0069D6"/>
            <w:u w:val="single"/>
          </w:rPr>
          <w:t>Nocie informacyjnej nr 205</w:t>
        </w:r>
      </w:hyperlink>
      <w:r w:rsidRPr="00776964">
        <w:rPr>
          <w:rStyle w:val="sfbbfee58"/>
          <w:rFonts w:asciiTheme="minorHAnsi" w:hAnsiTheme="minorHAnsi"/>
          <w:color w:val="000000"/>
        </w:rPr>
        <w:t>).</w:t>
      </w:r>
    </w:p>
    <w:p w14:paraId="1CC0AC95" w14:textId="77CE7224" w:rsidR="00482674" w:rsidRPr="00776964" w:rsidRDefault="00000000" w:rsidP="00E670F1">
      <w:pPr>
        <w:pStyle w:val="s6c429373"/>
        <w:spacing w:before="240" w:beforeAutospacing="0" w:after="0" w:afterAutospacing="0"/>
        <w:jc w:val="both"/>
      </w:pPr>
      <w:r w:rsidRPr="00776964">
        <w:rPr>
          <w:rStyle w:val="sfbbfee58"/>
          <w:rFonts w:asciiTheme="minorHAnsi" w:hAnsiTheme="minorHAnsi"/>
          <w:color w:val="000000"/>
        </w:rPr>
        <w:lastRenderedPageBreak/>
        <w:t>W czerwcu 2017 r. Sąd Apelacyjny w Brukseli zauważył, że wspomniane wyroki z 20 października i 7 grudnia 2016 r. straciły ważność, ponieważ wobec braku wniosku o kontrolę sądową pierwotna odmowa wydania wiz przez OE uprawomocniła się przed zasądzeniem kary pieniężnej od państwa belgijskiego]</w:t>
      </w:r>
      <w:r w:rsidR="005361CF">
        <w:rPr>
          <w:rStyle w:val="sfbbfee58"/>
          <w:rFonts w:asciiTheme="minorHAnsi" w:hAnsiTheme="minorHAnsi"/>
          <w:color w:val="000000"/>
        </w:rPr>
        <w:t>.</w:t>
      </w:r>
    </w:p>
    <w:p w14:paraId="26A97FA3" w14:textId="77777777" w:rsidR="00482674" w:rsidRPr="00776964" w:rsidRDefault="00000000" w:rsidP="00776964">
      <w:pPr>
        <w:pStyle w:val="JuHHead"/>
      </w:pPr>
      <w:r w:rsidRPr="00776964">
        <w:t>PRAWO</w:t>
      </w:r>
    </w:p>
    <w:p w14:paraId="4F9249D6" w14:textId="77777777" w:rsidR="00482674" w:rsidRPr="00776964" w:rsidRDefault="00000000" w:rsidP="00776964">
      <w:pPr>
        <w:pStyle w:val="JuHA"/>
      </w:pPr>
      <w:r w:rsidRPr="00776964">
        <w:t>Artykuły 3 i 13 Konwencji</w:t>
      </w:r>
    </w:p>
    <w:p w14:paraId="3A27645E" w14:textId="45FDD832" w:rsidR="00482674" w:rsidRPr="00776964" w:rsidRDefault="005E04D8" w:rsidP="00776964">
      <w:pPr>
        <w:pStyle w:val="JuPara"/>
        <w:keepNext/>
        <w:keepLines/>
        <w:rPr>
          <w:rFonts w:eastAsiaTheme="minorEastAsia"/>
        </w:rPr>
      </w:pPr>
      <w:r>
        <w:rPr>
          <w:rFonts w:eastAsiaTheme="minorEastAsia"/>
        </w:rPr>
        <w:t>76</w:t>
      </w:r>
      <w:r w:rsidRPr="00776964">
        <w:t>.</w:t>
      </w:r>
      <w:r w:rsidR="006C3249">
        <w:t xml:space="preserve"> </w:t>
      </w:r>
      <w:r w:rsidRPr="00776964">
        <w:t>Art. 3 Konwencji stanowi:</w:t>
      </w:r>
    </w:p>
    <w:p w14:paraId="14424AE2" w14:textId="365BDF97" w:rsidR="00482674" w:rsidRPr="00776964" w:rsidRDefault="00000000" w:rsidP="00776964">
      <w:pPr>
        <w:pStyle w:val="JuQuot"/>
        <w:keepNext/>
        <w:keepLines/>
        <w:rPr>
          <w:rFonts w:eastAsiaTheme="minorEastAsia"/>
        </w:rPr>
      </w:pPr>
      <w:r w:rsidRPr="00776964">
        <w:t>„Nikt nie może być poddany torturom ani nieludzkiemu lub poniżającemu traktowaniu albo karaniu</w:t>
      </w:r>
      <w:r w:rsidR="00203514">
        <w:t>”.</w:t>
      </w:r>
    </w:p>
    <w:p w14:paraId="4E3F86AF" w14:textId="7D9D6D22" w:rsidR="00482674" w:rsidRPr="00776964" w:rsidRDefault="005E04D8" w:rsidP="00776964">
      <w:pPr>
        <w:pStyle w:val="JuPara"/>
        <w:rPr>
          <w:rFonts w:eastAsiaTheme="minorEastAsia"/>
        </w:rPr>
      </w:pPr>
      <w:r>
        <w:rPr>
          <w:rFonts w:eastAsiaTheme="minorEastAsia"/>
        </w:rPr>
        <w:t>77</w:t>
      </w:r>
      <w:r w:rsidRPr="00776964">
        <w:t>.</w:t>
      </w:r>
      <w:r w:rsidR="006C3249">
        <w:t xml:space="preserve"> </w:t>
      </w:r>
      <w:r w:rsidRPr="00776964">
        <w:t>Art. 13 Konwencji stanowi:</w:t>
      </w:r>
    </w:p>
    <w:p w14:paraId="761EC575" w14:textId="4B4D3DDF" w:rsidR="00482674" w:rsidRPr="00776964" w:rsidRDefault="00000000" w:rsidP="00776964">
      <w:pPr>
        <w:pStyle w:val="JuQuot"/>
        <w:rPr>
          <w:rFonts w:eastAsiaTheme="minorEastAsia"/>
        </w:rPr>
      </w:pPr>
      <w:r w:rsidRPr="00776964">
        <w:t>„</w:t>
      </w:r>
      <w:r w:rsidR="007A7A45" w:rsidRPr="007A7A45">
        <w:t xml:space="preserve">Każdy, czyje prawa i wolności zawarte w niniejszej </w:t>
      </w:r>
      <w:r w:rsidRPr="00776964">
        <w:t>K</w:t>
      </w:r>
      <w:r w:rsidR="007A7A45" w:rsidRPr="007A7A45">
        <w:t>onwencji zostały naruszone, ma prawo do skutecznego środka odwoławczego do właściwego organu państwowego także wówczas, gdy naruszenia dokonały osoby wykonujące swoje funkcje urzędowe</w:t>
      </w:r>
      <w:r w:rsidR="00203514">
        <w:t>”.</w:t>
      </w:r>
    </w:p>
    <w:p w14:paraId="158A0A33" w14:textId="0027085D" w:rsidR="00482674" w:rsidRPr="00776964" w:rsidRDefault="005E04D8" w:rsidP="00776964">
      <w:pPr>
        <w:pStyle w:val="JuPara"/>
        <w:rPr>
          <w:rFonts w:eastAsiaTheme="minorEastAsia"/>
        </w:rPr>
      </w:pPr>
      <w:r>
        <w:rPr>
          <w:rFonts w:eastAsiaTheme="minorEastAsia"/>
        </w:rPr>
        <w:t>78</w:t>
      </w:r>
      <w:r w:rsidRPr="00776964">
        <w:t>.</w:t>
      </w:r>
      <w:r w:rsidR="006C3249">
        <w:t xml:space="preserve"> </w:t>
      </w:r>
      <w:r w:rsidRPr="00776964">
        <w:t xml:space="preserve">Pozwany Rząd podniósł, że skargi zarzucające naruszenie art. 3 i 13 były niedopuszczalne </w:t>
      </w:r>
      <w:r w:rsidRPr="00776964">
        <w:rPr>
          <w:i/>
        </w:rPr>
        <w:t>ratione loci</w:t>
      </w:r>
      <w:r w:rsidRPr="00776964">
        <w:t>, ze względu na to, że skarżący nie</w:t>
      </w:r>
      <w:r w:rsidR="00E670F1">
        <w:t> </w:t>
      </w:r>
      <w:r w:rsidRPr="00776964">
        <w:t>podlegali ich jurysdykcji w rozumieniu art. 1 Konwencji, który brzmi następująco:</w:t>
      </w:r>
    </w:p>
    <w:p w14:paraId="6BB60132" w14:textId="747898BF" w:rsidR="00482674" w:rsidRPr="00776964" w:rsidRDefault="00000000" w:rsidP="00776964">
      <w:pPr>
        <w:pStyle w:val="JuQuot"/>
        <w:rPr>
          <w:rFonts w:eastAsiaTheme="minorEastAsia"/>
        </w:rPr>
      </w:pPr>
      <w:r w:rsidRPr="00776964">
        <w:t>„Wysokie Układające się Strony zapewniają każdemu człowiekowi, podlegającemu ich jurysdykcji, prawa i wolności określone w Rozdziale I niniejszej Konwencji</w:t>
      </w:r>
      <w:r w:rsidR="00203514">
        <w:t>”.</w:t>
      </w:r>
    </w:p>
    <w:p w14:paraId="4058BD9F" w14:textId="77777777" w:rsidR="00482674" w:rsidRPr="00776964" w:rsidRDefault="00000000" w:rsidP="00776964">
      <w:pPr>
        <w:pStyle w:val="JuH1"/>
      </w:pPr>
      <w:r w:rsidRPr="00776964">
        <w:t>Stanowiska stron dotyczące jurysdykcji</w:t>
      </w:r>
    </w:p>
    <w:p w14:paraId="276F4A50" w14:textId="77777777" w:rsidR="00482674" w:rsidRPr="00776964" w:rsidRDefault="00000000" w:rsidP="00776964">
      <w:pPr>
        <w:pStyle w:val="JuHa0"/>
      </w:pPr>
      <w:r w:rsidRPr="00776964">
        <w:t>Pozwany Rząd</w:t>
      </w:r>
    </w:p>
    <w:p w14:paraId="7382B8D3" w14:textId="668CCED2" w:rsidR="00482674" w:rsidRPr="00776964" w:rsidRDefault="005E04D8" w:rsidP="00776964">
      <w:pPr>
        <w:pStyle w:val="JuPara"/>
      </w:pPr>
      <w:r>
        <w:t>79</w:t>
      </w:r>
      <w:r w:rsidRPr="00776964">
        <w:t>.</w:t>
      </w:r>
      <w:r w:rsidR="006C3249">
        <w:t xml:space="preserve"> </w:t>
      </w:r>
      <w:r w:rsidRPr="00776964">
        <w:t>Rząd belgijski wskazał, że z utrwalonego orzecznictwa wynika, iż</w:t>
      </w:r>
      <w:r w:rsidR="00E670F1">
        <w:t> </w:t>
      </w:r>
      <w:r w:rsidRPr="00776964">
        <w:t>art.</w:t>
      </w:r>
      <w:r w:rsidR="00E670F1">
        <w:t> </w:t>
      </w:r>
      <w:r w:rsidRPr="00776964">
        <w:t>1 Konwencji odzwierciedla zwykłe i zasadniczo terytorialne rozumienie jurysdykcji państw, stąd inne podstawy jurysdykcji mają charakter wyjątkowy i wymagają szczególnego uzasadnienia dla konkretnych okoliczności każdej sprawy oraz odpowiednich norm prawa międzynarodowego, pamiętając przy tym o kontekście ogólnym. W niniejszej sprawie skarżący nie podlegali terytorialnie jurysdykcji państwa belgijskiego, z uwagi na to, że nie znajdowali się na terytorium tego kraju, oraz że zgodnie z Konwencją wiedeńską z dnia 18 kwietnia 1961 r. o</w:t>
      </w:r>
      <w:r w:rsidR="00E670F1">
        <w:t> </w:t>
      </w:r>
      <w:r w:rsidRPr="00776964">
        <w:t xml:space="preserve">stosunkach dyplomatycznych ambasada nie była uważana za część terytorium kraju, który reprezentowała. Przedmiotowa sprawa nie wchodziła również w zakres wyjątkowych scenariuszy eksterytorialnego wykonywania jurysdykcji Belgii określonych przez Trybunał w sprawie </w:t>
      </w:r>
      <w:r w:rsidRPr="00776964">
        <w:rPr>
          <w:i/>
        </w:rPr>
        <w:t>Banković i Inni przeciwko Belgii i Innym</w:t>
      </w:r>
      <w:r w:rsidRPr="00776964">
        <w:t xml:space="preserve"> (dec.) [WI], nr. 52207/99, ECHR 2001</w:t>
      </w:r>
      <w:r w:rsidRPr="00776964">
        <w:noBreakHyphen/>
        <w:t>XII).</w:t>
      </w:r>
    </w:p>
    <w:p w14:paraId="78F967B7" w14:textId="75C2457E" w:rsidR="00482674" w:rsidRPr="00776964" w:rsidRDefault="005E04D8" w:rsidP="00776964">
      <w:pPr>
        <w:pStyle w:val="JuPara"/>
      </w:pPr>
      <w:r>
        <w:t>80</w:t>
      </w:r>
      <w:r w:rsidRPr="00776964">
        <w:t>.</w:t>
      </w:r>
      <w:r w:rsidR="006C3249">
        <w:t xml:space="preserve"> </w:t>
      </w:r>
      <w:r w:rsidRPr="00776964">
        <w:t xml:space="preserve">Według Rządu, nie było w szczególności mowy o czynnościach, które wywołały skutki poza terytorium, ponieważ jedynym skutkiem decyzji </w:t>
      </w:r>
      <w:r w:rsidRPr="00776964">
        <w:lastRenderedPageBreak/>
        <w:t>o</w:t>
      </w:r>
      <w:r w:rsidR="00E670F1">
        <w:t> </w:t>
      </w:r>
      <w:r w:rsidRPr="00776964">
        <w:t>niewydaniu skarżącym wiz krótkoterminowych było uniemożliwienie im</w:t>
      </w:r>
      <w:r w:rsidR="00E670F1">
        <w:t> </w:t>
      </w:r>
      <w:r w:rsidRPr="00776964">
        <w:t>wjazdu na terytorium Belgii na krótki pobyt, bez wpływu na ich sytuację w Libanie lub Syrii. Nie można było również przyjąć scenariusza czynności wykonywanych za granicą przez przedstawicieli dyplomatycznych lub</w:t>
      </w:r>
      <w:r w:rsidR="00E670F1">
        <w:t> </w:t>
      </w:r>
      <w:r w:rsidRPr="00776964">
        <w:t>konsularnych. W przeciwieństwie do innych spraw dotyczących takich czynności, które Trybunał już zbadał, w niniejszej sprawie przedstawiciele dyplomatyczni nie sprawowali żadnej formy władzy ani kontroli nad</w:t>
      </w:r>
      <w:r w:rsidR="00E670F1">
        <w:t> </w:t>
      </w:r>
      <w:r w:rsidRPr="00776964">
        <w:t>pierwszym skarżącym, który mógł się swobodnie przemieszczać, i</w:t>
      </w:r>
      <w:r w:rsidR="00E670F1">
        <w:t> </w:t>
      </w:r>
      <w:r w:rsidRPr="00776964">
        <w:t>nie</w:t>
      </w:r>
      <w:r w:rsidR="00E670F1">
        <w:t> </w:t>
      </w:r>
      <w:r w:rsidRPr="00776964">
        <w:t>dokonali żadnej czynności dotyczącej jego osoby.</w:t>
      </w:r>
    </w:p>
    <w:p w14:paraId="130CDB6F" w14:textId="0EFC6EB1" w:rsidR="00482674" w:rsidRPr="00776964" w:rsidRDefault="005E04D8" w:rsidP="00776964">
      <w:pPr>
        <w:pStyle w:val="JuPara"/>
      </w:pPr>
      <w:r>
        <w:t>81</w:t>
      </w:r>
      <w:r w:rsidRPr="00776964">
        <w:t>.</w:t>
      </w:r>
      <w:r w:rsidR="006C3249">
        <w:t xml:space="preserve"> </w:t>
      </w:r>
      <w:r w:rsidRPr="00776964">
        <w:rPr>
          <w:i/>
        </w:rPr>
        <w:t>Wreszcie</w:t>
      </w:r>
      <w:r w:rsidRPr="00776964">
        <w:t xml:space="preserve">, powołując się na sprawy </w:t>
      </w:r>
      <w:r w:rsidRPr="00776964">
        <w:rPr>
          <w:i/>
        </w:rPr>
        <w:t>Abdul Wahab Khan przeciwko Zjednoczonemu Królestwu</w:t>
      </w:r>
      <w:r w:rsidRPr="00776964">
        <w:t xml:space="preserve"> ((dec.), nr 11987/11, 28 stycznia 2014 r.) oraz </w:t>
      </w:r>
      <w:r w:rsidRPr="00776964">
        <w:rPr>
          <w:i/>
        </w:rPr>
        <w:t xml:space="preserve">Markovic i Inni przeciwko Włochom ( </w:t>
      </w:r>
      <w:r w:rsidRPr="00776964">
        <w:t>[WI], nr 1398/03, ECHR 2006-XIV), Rząd argumentował, że fakt, iż skarżący mieli dostęp do belgijskich postępowań administracyjnych i sądowych w celu zbadania ich wniosków wizowych i zakwestionowania podjętych decyzji, nie miał wpływu na</w:t>
      </w:r>
      <w:r w:rsidR="00E670F1">
        <w:t> </w:t>
      </w:r>
      <w:r w:rsidRPr="00776964">
        <w:t>jurysdykcję Belgii wobec nich. Inny wniosek oznaczałby praktycznie uniwersalne zastosowanie Konwencji, ponieważ Państwa Strony miały ambasady na całym świecie i każdy cudzoziemiec mógł się do nich zwrócić o wizę.</w:t>
      </w:r>
    </w:p>
    <w:p w14:paraId="6F4ADFDA" w14:textId="77777777" w:rsidR="00581339" w:rsidRPr="00776964" w:rsidRDefault="00000000" w:rsidP="00776964">
      <w:pPr>
        <w:pStyle w:val="JuHa0"/>
        <w:rPr>
          <w:rFonts w:eastAsia="Times New Roman"/>
        </w:rPr>
      </w:pPr>
      <w:r w:rsidRPr="00776964">
        <w:t>Skarżący</w:t>
      </w:r>
    </w:p>
    <w:p w14:paraId="267AA6AF" w14:textId="2532D013" w:rsidR="00EC546A" w:rsidRPr="00776964" w:rsidRDefault="005E04D8" w:rsidP="00776964">
      <w:pPr>
        <w:pStyle w:val="JuPara"/>
      </w:pPr>
      <w:r>
        <w:t>82</w:t>
      </w:r>
      <w:r w:rsidRPr="00776964">
        <w:t>.</w:t>
      </w:r>
      <w:r w:rsidR="006C3249">
        <w:t xml:space="preserve"> </w:t>
      </w:r>
      <w:r w:rsidRPr="00776964">
        <w:t>Skarżący argumentowali, że sądy belgijskie przy różnych okazjach stwierdzały, że chociaż skarżący przebywali poza terytorium Belgii, to</w:t>
      </w:r>
      <w:r w:rsidR="00E670F1">
        <w:t> </w:t>
      </w:r>
      <w:r w:rsidRPr="00776964">
        <w:t>podlegali jurysdykcji belgijskiej, przy czym odpowiednio stosowały art. 3 Konwencji. Orzecznictwo Trybunału wyraźnie bowiem wskazywało, że</w:t>
      </w:r>
      <w:r w:rsidR="00E670F1">
        <w:t> </w:t>
      </w:r>
      <w:r w:rsidRPr="00776964">
        <w:t>odpowiedzialność państw może wynikać z działań ich władz, które wywołały skutki poza terytorium kraju.</w:t>
      </w:r>
    </w:p>
    <w:p w14:paraId="4A593E0C" w14:textId="760BBEE9" w:rsidR="00EC546A" w:rsidRPr="00776964" w:rsidRDefault="005E04D8" w:rsidP="00776964">
      <w:pPr>
        <w:pStyle w:val="JuPara"/>
      </w:pPr>
      <w:r>
        <w:t>83</w:t>
      </w:r>
      <w:r w:rsidRPr="00776964">
        <w:t>.</w:t>
      </w:r>
      <w:r w:rsidR="006C3249">
        <w:t xml:space="preserve"> </w:t>
      </w:r>
      <w:r w:rsidRPr="00776964">
        <w:t>W przedmiotowej sprawie belgijskie organy państwowe, które rozpatrywały wnioski wizowe skarżących, podjęły decyzje jako przedstawiciele Urzędu ds. Cudzoziemców lub jako przedstawiciele dyplomatyczni, pod nadzorem władz belgijskich. Podejmując swoje decyzje, przedstawiciele ci wykonywali państwową funkcję kontroli granicznej. Gdy</w:t>
      </w:r>
      <w:r w:rsidR="00E670F1">
        <w:t> </w:t>
      </w:r>
      <w:r w:rsidRPr="00776964">
        <w:t>Państwo określało warunki wjazdu na swoje terytorium oraz warunki pobytu i osiedlania się na nim, podobnie jak gdy wykonywało swoje uprawnienia w tym zakresie i podejmowało decyzje w sprawie wniosków wizowych, działało na mocy uprawnień krajowych, uznanych w prawie międzynarodowym. Był to z konieczności przejaw jego jurysdykcji, która miała znaczenie niezależnie od tego, gdzie była wykonywana, niezależnie od</w:t>
      </w:r>
      <w:r w:rsidR="00E670F1">
        <w:t> </w:t>
      </w:r>
      <w:r w:rsidRPr="00776964">
        <w:t>tego, które organy, terytorialne czy konsularne, ją wykonywały i</w:t>
      </w:r>
      <w:r w:rsidR="00E670F1">
        <w:t> </w:t>
      </w:r>
      <w:r w:rsidRPr="00776964">
        <w:t>niezależnie od tego, czy dane organy sprawowały faktyczną czy fizyczną kontrolę nad zainteresowanymi osobami.</w:t>
      </w:r>
    </w:p>
    <w:p w14:paraId="5CAE2E38" w14:textId="487B2907" w:rsidR="00EC546A" w:rsidRPr="00776964" w:rsidRDefault="005E04D8" w:rsidP="00776964">
      <w:pPr>
        <w:pStyle w:val="JuPara"/>
      </w:pPr>
      <w:r>
        <w:t>84</w:t>
      </w:r>
      <w:r w:rsidRPr="00776964">
        <w:t>.</w:t>
      </w:r>
      <w:r w:rsidR="006C3249">
        <w:t xml:space="preserve"> </w:t>
      </w:r>
      <w:r w:rsidRPr="00776964">
        <w:t xml:space="preserve">Skarżący zwrócili następnie uwagę na orzecznictwo dotyczące wydalenia, ustanowione wydaniem wyroku w sprawie </w:t>
      </w:r>
      <w:r w:rsidRPr="00776964">
        <w:rPr>
          <w:i/>
        </w:rPr>
        <w:t>Soering przeciwko Zjednoczonemu Królestwu</w:t>
      </w:r>
      <w:r w:rsidRPr="00776964">
        <w:t xml:space="preserve"> (7 lipca 1989 r., Seria A nr 161), w którym </w:t>
      </w:r>
      <w:r w:rsidRPr="00776964">
        <w:lastRenderedPageBreak/>
        <w:t>stwierdzono, że Państwo Strona Konwencji może zostać pociągnięte do</w:t>
      </w:r>
      <w:r w:rsidR="00E670F1">
        <w:t> </w:t>
      </w:r>
      <w:r w:rsidRPr="00776964">
        <w:t>odpowiedzialności za eksterytorialne konsekwencje decyzji podjętych przez nie w przypadku ryzyka tortur lub złego traktowania, lub</w:t>
      </w:r>
      <w:r w:rsidR="00E670F1">
        <w:t> </w:t>
      </w:r>
      <w:r w:rsidRPr="00776964">
        <w:t>przypisywanego mu braku podjęcia środków w celu uniknięcia lub</w:t>
      </w:r>
      <w:r w:rsidR="00E670F1">
        <w:t> </w:t>
      </w:r>
      <w:r w:rsidRPr="00776964">
        <w:t>zapobieżenia narażeniu na takie ryzyko.</w:t>
      </w:r>
    </w:p>
    <w:p w14:paraId="21300EB6" w14:textId="0BA7FFF2" w:rsidR="00EC546A" w:rsidRPr="00776964" w:rsidRDefault="005E04D8" w:rsidP="00776964">
      <w:pPr>
        <w:pStyle w:val="JuPara"/>
      </w:pPr>
      <w:r>
        <w:t>85</w:t>
      </w:r>
      <w:r w:rsidRPr="00776964">
        <w:t>.</w:t>
      </w:r>
      <w:r w:rsidR="006C3249">
        <w:t xml:space="preserve"> </w:t>
      </w:r>
      <w:r w:rsidRPr="00776964">
        <w:rPr>
          <w:i/>
        </w:rPr>
        <w:t>Wreszcie</w:t>
      </w:r>
      <w:r w:rsidRPr="00776964">
        <w:t xml:space="preserve"> skarżący uznali, że cytowana wyżej sprawa </w:t>
      </w:r>
      <w:r w:rsidRPr="00776964">
        <w:rPr>
          <w:i/>
        </w:rPr>
        <w:t>Abdul Wahab Khan</w:t>
      </w:r>
      <w:r w:rsidRPr="00776964">
        <w:t xml:space="preserve"> nie ma zastosowania do obecnej sytuacji. Skarżący w tej sprawie starał się wykazać związek jurysdykcyjny swojej skargi z art. 3 wyłącznie na</w:t>
      </w:r>
      <w:r w:rsidR="00E670F1">
        <w:t> </w:t>
      </w:r>
      <w:r w:rsidRPr="00776964">
        <w:t>podstawie postępowania krajowego przed Specjalną Komisją Odwoławczą ds. Imigracyjnych (ang. Special Immigration Appeals Commission, „SIAC”), chociaż, po pierwsze, to postępowanie odwoławcze miało inny cel, ponieważ dotyczyło cofnięcia pozwolenia na pobyt, o którym zadecydowano na podstawie stwierdzenia, że stanowi on zagrożenie dla</w:t>
      </w:r>
      <w:r w:rsidR="00E670F1">
        <w:t> </w:t>
      </w:r>
      <w:r w:rsidRPr="00776964">
        <w:t>bezpieczeństwa narodowego, a po drugie, wyłącznie eksterytorialny wpływ zaskarżonej decyzji nie został przypisany Zjednoczonemu Królestwu, lecz skarżącemu, ze względu na jego działalność i decyzję o powrocie do</w:t>
      </w:r>
      <w:r w:rsidR="00E670F1">
        <w:t> </w:t>
      </w:r>
      <w:r w:rsidRPr="00776964">
        <w:t xml:space="preserve">Pakistanu. W przeciwieństwie do sprawy </w:t>
      </w:r>
      <w:r w:rsidRPr="00776964">
        <w:rPr>
          <w:i/>
        </w:rPr>
        <w:t>Abdul Wahab Khan</w:t>
      </w:r>
      <w:r w:rsidRPr="00776964">
        <w:t>, związek jurysdykcyjny między Belgią a skarżącymi w niniejszej sprawie wynikał nie</w:t>
      </w:r>
      <w:r w:rsidR="00E670F1">
        <w:t> </w:t>
      </w:r>
      <w:r w:rsidRPr="00776964">
        <w:t>tylko z eksterytorialnych skutków decyzji podjętych przez Belgię, ale</w:t>
      </w:r>
      <w:r w:rsidR="00E670F1">
        <w:t> </w:t>
      </w:r>
      <w:r w:rsidRPr="00776964">
        <w:t>również i przede wszystkim z faktu, że decyzje te dotyczyły ich wjazdu na terytorium Belgii i wykonywania praw pokrewnych, czyli dziedziny, w</w:t>
      </w:r>
      <w:r w:rsidR="00E670F1">
        <w:t> </w:t>
      </w:r>
      <w:r w:rsidRPr="00776964">
        <w:t>której Belgia miała pełną, wyłączną i nieprzerwaną władzę.</w:t>
      </w:r>
    </w:p>
    <w:p w14:paraId="4BB112F7" w14:textId="4712A4E1" w:rsidR="00EC546A" w:rsidRPr="00776964" w:rsidRDefault="00000000" w:rsidP="00776964">
      <w:pPr>
        <w:pStyle w:val="JuH1"/>
      </w:pPr>
      <w:r w:rsidRPr="00776964">
        <w:t>Uwagi</w:t>
      </w:r>
      <w:r w:rsidR="00337BF1">
        <w:t xml:space="preserve"> interweniujących</w:t>
      </w:r>
      <w:r w:rsidRPr="00776964">
        <w:t xml:space="preserve"> </w:t>
      </w:r>
      <w:r w:rsidR="007A7A45">
        <w:t>stron trzecich</w:t>
      </w:r>
      <w:r w:rsidRPr="00776964">
        <w:t xml:space="preserve"> dotyczące jurysdykcji</w:t>
      </w:r>
    </w:p>
    <w:p w14:paraId="63316612" w14:textId="314C2DE5" w:rsidR="00EC546A" w:rsidRPr="00776964" w:rsidRDefault="00000000" w:rsidP="00776964">
      <w:pPr>
        <w:pStyle w:val="JuHa0"/>
      </w:pPr>
      <w:r w:rsidRPr="00776964">
        <w:t xml:space="preserve">Czechy, Chorwacja, Dania, Francja, Niemcy, Węgry, Łotwa, Holandia, Norwegia, Słowacja i </w:t>
      </w:r>
      <w:r w:rsidR="002B56E8">
        <w:t>Zjednoczone Królestwo</w:t>
      </w:r>
    </w:p>
    <w:p w14:paraId="7925A04B" w14:textId="23635405" w:rsidR="005A5504" w:rsidRPr="00776964" w:rsidRDefault="005E04D8" w:rsidP="00776964">
      <w:pPr>
        <w:pStyle w:val="JuPara"/>
      </w:pPr>
      <w:r>
        <w:t>86</w:t>
      </w:r>
      <w:r w:rsidRPr="00776964">
        <w:t>.</w:t>
      </w:r>
      <w:r w:rsidR="006C3249">
        <w:t xml:space="preserve"> </w:t>
      </w:r>
      <w:r w:rsidRPr="00776964">
        <w:t xml:space="preserve">Interweniujące </w:t>
      </w:r>
      <w:r w:rsidR="00337BF1" w:rsidRPr="00776964">
        <w:t xml:space="preserve">państwa </w:t>
      </w:r>
      <w:r w:rsidRPr="00776964">
        <w:t>trzecie nie zgodziły się, że Belgia wykonała swoją jurysdykcję. Ich zdaniem należało wyjść od zasad ustanowionych w</w:t>
      </w:r>
      <w:r w:rsidR="00E670F1">
        <w:t> </w:t>
      </w:r>
      <w:r w:rsidRPr="00776964">
        <w:t xml:space="preserve">cytowanej powyżej decyzji w sprawie </w:t>
      </w:r>
      <w:r w:rsidRPr="00776964">
        <w:rPr>
          <w:i/>
        </w:rPr>
        <w:t xml:space="preserve">Banković i Inni </w:t>
      </w:r>
      <w:r w:rsidRPr="00776964">
        <w:t>w odniesieniu do</w:t>
      </w:r>
      <w:r w:rsidR="00E670F1">
        <w:t> </w:t>
      </w:r>
      <w:r w:rsidRPr="00776964">
        <w:t>art.</w:t>
      </w:r>
      <w:r w:rsidR="00E670F1">
        <w:t> </w:t>
      </w:r>
      <w:r w:rsidRPr="00776964">
        <w:t>1 Konwencji: Konwencja była instrumentem regionalnym, pojęcie jurysdykcji było przede wszystkim terytorialne i nie można było rozważać pojęcia jurysdykcji „</w:t>
      </w:r>
      <w:r w:rsidR="001F67AC" w:rsidRPr="00776964">
        <w:t>przyczynowo skutkowej</w:t>
      </w:r>
      <w:r w:rsidRPr="00776964">
        <w:t>”. Podniesiono również, że</w:t>
      </w:r>
      <w:r w:rsidR="00E670F1">
        <w:t> </w:t>
      </w:r>
      <w:r w:rsidRPr="00776964">
        <w:t>wyjątkowe okoliczności kontroli lub władzy uznane przez orzecznictwo Trybunału jako dające podstawy do jurysdykcji eksterytorialnej w</w:t>
      </w:r>
      <w:r w:rsidR="00E670F1">
        <w:t> </w:t>
      </w:r>
      <w:r w:rsidRPr="00776964">
        <w:t>rozumieniu art. 1 Konwencji, określone w wyroku</w:t>
      </w:r>
      <w:r w:rsidRPr="00776964">
        <w:rPr>
          <w:i/>
        </w:rPr>
        <w:t xml:space="preserve"> Al-Skeini i Inni przeciwko Zjednoczonemu Królestwu</w:t>
      </w:r>
      <w:r w:rsidRPr="00776964">
        <w:t xml:space="preserve"> ([WI], nr 55721/07, ECHR 2011-IV), nie zostały spełnione w tej sprawie.</w:t>
      </w:r>
    </w:p>
    <w:p w14:paraId="338362B2" w14:textId="445FF642" w:rsidR="005A5504" w:rsidRPr="00776964" w:rsidRDefault="005E04D8" w:rsidP="00776964">
      <w:pPr>
        <w:pStyle w:val="JuPara"/>
      </w:pPr>
      <w:r>
        <w:t>87</w:t>
      </w:r>
      <w:r w:rsidRPr="00776964">
        <w:t>.</w:t>
      </w:r>
      <w:r w:rsidR="006C3249">
        <w:t xml:space="preserve"> </w:t>
      </w:r>
      <w:r w:rsidRPr="00776964">
        <w:t>W szczególności interweniujące Rządy trzecie stwierdziły, że żaden z</w:t>
      </w:r>
      <w:r w:rsidR="00E670F1">
        <w:t> </w:t>
      </w:r>
      <w:r w:rsidRPr="00776964">
        <w:t xml:space="preserve">wcześniejszych wyroków Trybunału uznających wykonywanie jurysdykcji eksterytorialnej na podstawie działań i zaniechań przedstawicieli dyplomatycznych nie nadaje się do transpozycji, ponieważ niniejsza sprawa nie zawiera powiązań, które charakteryzowały te wcześniejsze sprawy. </w:t>
      </w:r>
      <w:r w:rsidRPr="00776964">
        <w:lastRenderedPageBreak/>
        <w:t>W</w:t>
      </w:r>
      <w:r w:rsidR="00E670F1">
        <w:t> </w:t>
      </w:r>
      <w:r w:rsidRPr="00776964">
        <w:t>każdym razie tego wyjątku nie można było rozszerzyć na scenariusz badania kwestii związanych z azylem lub imigracją, z kilku powodów.</w:t>
      </w:r>
    </w:p>
    <w:p w14:paraId="526E0D78" w14:textId="37774C2F" w:rsidR="005A5504" w:rsidRPr="00776964" w:rsidRDefault="005E04D8" w:rsidP="00776964">
      <w:pPr>
        <w:pStyle w:val="JuPara"/>
      </w:pPr>
      <w:r>
        <w:t>88</w:t>
      </w:r>
      <w:r w:rsidRPr="00776964">
        <w:t>.</w:t>
      </w:r>
      <w:r w:rsidR="006C3249">
        <w:t xml:space="preserve"> </w:t>
      </w:r>
      <w:r w:rsidRPr="00776964">
        <w:t xml:space="preserve">Po pierwsze, skarżący nie przebywali na terytorium </w:t>
      </w:r>
      <w:r w:rsidR="00E0210F" w:rsidRPr="00776964">
        <w:t>państwa strony</w:t>
      </w:r>
      <w:r w:rsidRPr="00776964">
        <w:t>. Nie znajdowali się oni również pod kontrolą czy władzą ambasady, ponieważ mogli się swobodnie przemieszczać, a decyzja o wydaniu lub odmowie wydania wizy nie oznacza żadnej formy fizycznej kontroli czy władzy nad</w:t>
      </w:r>
      <w:r w:rsidR="00E670F1">
        <w:t> </w:t>
      </w:r>
      <w:r w:rsidRPr="00776964">
        <w:t>osobą, niezależnie od miejsca złożenia odpowiedniego wniosku. Ponadto, przychylenie się do argumentu skarżących oznaczałoby zaakceptowanie, że powiązanie jurysdykcyjne może samodzielnie wytworzyć osoba składająca wniosek dotyczący imigracji, niezależnie od</w:t>
      </w:r>
      <w:r w:rsidR="00E670F1">
        <w:t> </w:t>
      </w:r>
      <w:r w:rsidRPr="00776964">
        <w:t>tego, gdzie się znajduje, bez jakiegokolwiek działania władzy lub</w:t>
      </w:r>
      <w:r w:rsidR="00E670F1">
        <w:t> </w:t>
      </w:r>
      <w:r w:rsidRPr="00776964">
        <w:t>wykonywania jurysdykcji przez państwo w celu utworzenia takiego powiązania.</w:t>
      </w:r>
      <w:r w:rsidRPr="00776964">
        <w:noBreakHyphen/>
        <w:t xml:space="preserve"> Nie można też racjonalnie przyjąć, że samo złożenie wniosku lub sama decyzja w zakresie imigracji wystarczyły, aby dana osoba znalazła się pod jurysdykcją danego państwa. Co za tym idzie, tak jak wniosek o wizę złożony online lub drogą pocztową nie powodował powstania jurysdykcji, tak wniosek lub nawet decyzja dotycząca statusu imigranta podjęta w obcej ambasadzie lub konsulacie nie mogła stworzyć powiązania jurysdykcyjnego.</w:t>
      </w:r>
    </w:p>
    <w:p w14:paraId="6307A762" w14:textId="6819CD4B" w:rsidR="005A5504" w:rsidRPr="00776964" w:rsidRDefault="005E04D8" w:rsidP="00776964">
      <w:pPr>
        <w:pStyle w:val="JuPara"/>
      </w:pPr>
      <w:r>
        <w:t>89</w:t>
      </w:r>
      <w:r w:rsidRPr="00776964">
        <w:t>.</w:t>
      </w:r>
      <w:r w:rsidR="006C3249">
        <w:t xml:space="preserve"> </w:t>
      </w:r>
      <w:r w:rsidRPr="00776964">
        <w:t>Należy również zauważyć, że żadna ze spraw dotyczących personelu dyplomatycznego lub konsularnego nie była porównywalna z niniejszą; nie</w:t>
      </w:r>
      <w:r w:rsidR="00E670F1">
        <w:t> </w:t>
      </w:r>
      <w:r w:rsidRPr="00776964">
        <w:t xml:space="preserve">pozwalała również rozszerzyć zakresu art. 1 Konwencji. Pomijając fakt, że sprawy te poprzedzały o wiele lat sprawy </w:t>
      </w:r>
      <w:r w:rsidRPr="00776964">
        <w:rPr>
          <w:i/>
        </w:rPr>
        <w:t>Banković i Inni</w:t>
      </w:r>
      <w:r w:rsidRPr="00776964">
        <w:t xml:space="preserve"> oraz </w:t>
      </w:r>
      <w:r w:rsidRPr="00776964">
        <w:rPr>
          <w:i/>
        </w:rPr>
        <w:t>Al</w:t>
      </w:r>
      <w:r w:rsidRPr="00776964">
        <w:rPr>
          <w:i/>
        </w:rPr>
        <w:noBreakHyphen/>
        <w:t>Skeini i</w:t>
      </w:r>
      <w:r w:rsidR="00E670F1">
        <w:rPr>
          <w:i/>
        </w:rPr>
        <w:t> </w:t>
      </w:r>
      <w:r w:rsidRPr="00776964">
        <w:rPr>
          <w:i/>
        </w:rPr>
        <w:t>Inni</w:t>
      </w:r>
      <w:r w:rsidRPr="00776964">
        <w:t xml:space="preserve">, jurysdykcję tych państw ustalono na podstawie szczególnych faktów każdej sprawy. Ponadto Trybunał zawsze utrzymywał, że kontrola imigracji należy do suwerennej jurysdykcji </w:t>
      </w:r>
      <w:r w:rsidR="00E0210F" w:rsidRPr="00776964">
        <w:t>państw stron</w:t>
      </w:r>
      <w:r w:rsidRPr="00776964">
        <w:t xml:space="preserve">. Gdyby jednak przyjąć argumenty skarżących, ugruntowana zasada prawa międzynarodowego, zgodnie z którą </w:t>
      </w:r>
      <w:r w:rsidR="00E0210F" w:rsidRPr="00776964">
        <w:t xml:space="preserve">państwo </w:t>
      </w:r>
      <w:r w:rsidRPr="00776964">
        <w:t xml:space="preserve">nie ma ogólnego obowiązku wpuszczania cudzoziemców na swoje terytorium, straciłaby znaczenie i ustąpiłaby miejsca nieograniczonemu obowiązkowi </w:t>
      </w:r>
      <w:r w:rsidR="00E0210F" w:rsidRPr="00776964">
        <w:t xml:space="preserve">państw stron </w:t>
      </w:r>
      <w:r w:rsidRPr="00776964">
        <w:t xml:space="preserve">do udzielania zgody na wjazd na ich terytorium osobom, którym groziło traktowanie z naruszeniem art. 3 w dowolnym miejscu na świecie. Trybunał wyraźnie sprzeciwił się takiemu rozszerzeniu, co stwierdził w sprawie </w:t>
      </w:r>
      <w:r w:rsidRPr="00776964">
        <w:rPr>
          <w:i/>
        </w:rPr>
        <w:t>Abdul Wahab Khan</w:t>
      </w:r>
      <w:r w:rsidRPr="00776964">
        <w:t>.</w:t>
      </w:r>
    </w:p>
    <w:p w14:paraId="37AD3EEE" w14:textId="7E993197" w:rsidR="00EC546A" w:rsidRPr="00776964" w:rsidRDefault="005E04D8" w:rsidP="00776964">
      <w:pPr>
        <w:pStyle w:val="JuPara"/>
      </w:pPr>
      <w:r>
        <w:t>90</w:t>
      </w:r>
      <w:r w:rsidR="005A5504" w:rsidRPr="00776964">
        <w:t>. </w:t>
      </w:r>
      <w:r w:rsidR="009E7BC6">
        <w:t>Interweniujące</w:t>
      </w:r>
      <w:r w:rsidR="005A5504" w:rsidRPr="00776964">
        <w:t> </w:t>
      </w:r>
      <w:r w:rsidR="009E7BC6">
        <w:t>s</w:t>
      </w:r>
      <w:r w:rsidR="00337BF1">
        <w:t xml:space="preserve">trony trzecie </w:t>
      </w:r>
      <w:r w:rsidR="005A5504" w:rsidRPr="00776964">
        <w:t>podni</w:t>
      </w:r>
      <w:r w:rsidR="00337BF1">
        <w:t>osły</w:t>
      </w:r>
      <w:r w:rsidR="005A5504" w:rsidRPr="00776964">
        <w:t xml:space="preserve"> jeszcze jedną ważną kwestię, która ich zdaniem była kluczowa: złożone czynniki dotyczące azylu i</w:t>
      </w:r>
      <w:r w:rsidR="00E670F1">
        <w:t> </w:t>
      </w:r>
      <w:r w:rsidR="005A5504" w:rsidRPr="00776964">
        <w:t>imigracji wymagają międzynarodowej współpracy i kontroli. Kontrola ta</w:t>
      </w:r>
      <w:r w:rsidR="00E670F1">
        <w:t> </w:t>
      </w:r>
      <w:r w:rsidR="005A5504" w:rsidRPr="00776964">
        <w:t>była niezbędna, aby umożliwić skuteczne działanie systemów ochrony w</w:t>
      </w:r>
      <w:r w:rsidR="00E670F1">
        <w:t> </w:t>
      </w:r>
      <w:r w:rsidR="005A5504" w:rsidRPr="00776964">
        <w:t>interesie osób wymagających ochrony międzynarodowej. Było jasne, że</w:t>
      </w:r>
      <w:r w:rsidR="00E670F1">
        <w:t> </w:t>
      </w:r>
      <w:r w:rsidR="005A5504" w:rsidRPr="00776964">
        <w:t>sytuacja w Syrii wywołuje głębokie współczucie i sprawia, że sprawne funkcjonowanie tego systemu staje się jeszcze ważniejsze. Jednakże ważne było również, aby chronić tych, którzy mogą potrzebować schronienia przed prześladowaniami i nie zakłócać systemu poprzez wprowadzenie czynników nieporządku i niestabilności, które nieuchronnie wynikałyby z decyzji Trybunału o uwzględnieniu roszczeń skarżących.</w:t>
      </w:r>
    </w:p>
    <w:p w14:paraId="0C54129F" w14:textId="56106930" w:rsidR="005A5504" w:rsidRPr="00776964" w:rsidRDefault="00000000" w:rsidP="00776964">
      <w:pPr>
        <w:pStyle w:val="JuHa0"/>
      </w:pPr>
      <w:r w:rsidRPr="00776964">
        <w:lastRenderedPageBreak/>
        <w:t>Centrum AIRE, Holenderska Rada ds. Uchodźców, ECRE i</w:t>
      </w:r>
      <w:r w:rsidR="00E670F1">
        <w:t> </w:t>
      </w:r>
      <w:r w:rsidRPr="00776964">
        <w:t>Międzynarodowa Komisja Prawników</w:t>
      </w:r>
    </w:p>
    <w:p w14:paraId="105B0F4B" w14:textId="26C761E9" w:rsidR="005A5504" w:rsidRPr="00776964" w:rsidRDefault="005E04D8" w:rsidP="00776964">
      <w:pPr>
        <w:pStyle w:val="JuPara"/>
      </w:pPr>
      <w:r>
        <w:t>91</w:t>
      </w:r>
      <w:r w:rsidRPr="00776964">
        <w:t>.</w:t>
      </w:r>
      <w:r w:rsidR="006C3249">
        <w:t xml:space="preserve"> </w:t>
      </w:r>
      <w:r w:rsidRPr="00776964">
        <w:t>Organizacje będące</w:t>
      </w:r>
      <w:r w:rsidR="009E7BC6">
        <w:t xml:space="preserve"> interweniującymi</w:t>
      </w:r>
      <w:r w:rsidRPr="00776964">
        <w:t xml:space="preserve"> </w:t>
      </w:r>
      <w:r w:rsidR="00337BF1">
        <w:t xml:space="preserve">stronami trzecimi </w:t>
      </w:r>
      <w:r w:rsidRPr="00776964">
        <w:t xml:space="preserve">zwróciły uwagę, że jurysdykcja eksterytorialna </w:t>
      </w:r>
      <w:r w:rsidR="00E0210F" w:rsidRPr="00776964">
        <w:t xml:space="preserve">państw stron </w:t>
      </w:r>
      <w:r w:rsidRPr="00776964">
        <w:t>była od dawna uznana przez organy Konwencji i można ją stosować w szczególności w wyniku działań lub zaniechań przedstawicieli lub organów państwa działających poza jego terytorium i mających wpływ na osoby podlegające ich władzy lub</w:t>
      </w:r>
      <w:r w:rsidR="00E670F1">
        <w:t> </w:t>
      </w:r>
      <w:r w:rsidRPr="00776964">
        <w:t xml:space="preserve">kontroli. W cytowanej powyżej sprawie </w:t>
      </w:r>
      <w:r w:rsidRPr="00776964">
        <w:rPr>
          <w:i/>
        </w:rPr>
        <w:t>Banković i Inni</w:t>
      </w:r>
      <w:r w:rsidRPr="00776964">
        <w:t xml:space="preserve">, Trybunał uznał, że inne przypadki eksterytorialnego wykonywania jurysdykcji przez </w:t>
      </w:r>
      <w:r w:rsidR="00E0210F" w:rsidRPr="00776964">
        <w:t xml:space="preserve">państwo </w:t>
      </w:r>
      <w:r w:rsidRPr="00776964">
        <w:t xml:space="preserve">mogą mieć miejsce w sprawach dotyczących działań lub zaniechań </w:t>
      </w:r>
      <w:r w:rsidR="00E0210F" w:rsidRPr="00776964">
        <w:t xml:space="preserve">przedstawicieli </w:t>
      </w:r>
      <w:r w:rsidRPr="00776964">
        <w:t>dyplomatycznych lub konsularnych, gdy pełnią oni funkcję rządową. Zgodnie z Konwencją Wiedeńską funkcje konsularne polegały w</w:t>
      </w:r>
      <w:r w:rsidR="00E670F1">
        <w:t> </w:t>
      </w:r>
      <w:r w:rsidRPr="00776964">
        <w:t xml:space="preserve">szczególności na wydawaniu wiz i odpowiednich dokumentów osobom zamierzającym udać się do </w:t>
      </w:r>
      <w:r w:rsidR="00E0210F" w:rsidRPr="00776964">
        <w:t xml:space="preserve">państwa </w:t>
      </w:r>
      <w:r w:rsidRPr="00776964">
        <w:t>wysyłającego. Odpowiadało to</w:t>
      </w:r>
      <w:r w:rsidR="00E670F1">
        <w:t> </w:t>
      </w:r>
      <w:r w:rsidRPr="00776964">
        <w:t xml:space="preserve">prerogatywie władzy państwowej w dziedzinie kontroli imigracyjnej podlegającej jurysdykcji państwa wysyłającego i musiała być wykonywana, w przypadku </w:t>
      </w:r>
      <w:r w:rsidR="00E0210F" w:rsidRPr="00776964">
        <w:t xml:space="preserve">państw stron </w:t>
      </w:r>
      <w:r w:rsidR="001B54D5" w:rsidRPr="00776964">
        <w:t>Konwencji</w:t>
      </w:r>
      <w:r w:rsidRPr="00776964">
        <w:t xml:space="preserve">, zgodnie z prawami i wolnościami przez nią uznanymi, co wynikało już z bogatego orzecznictwa poprzedniej Komisji. Takie orzecznictwo było zgodne z prawem innych organów międzynarodowych (Międzynarodowy Trybunał Sprawiedliwości, Komitet Praw Człowieka ONZ, Międzyamerykański Trybunał Praw Człowieka). Ponadto Trybunał uznał w cytowanym wyżej wyroku w sprawie </w:t>
      </w:r>
      <w:r w:rsidRPr="00776964">
        <w:rPr>
          <w:i/>
        </w:rPr>
        <w:t>Soering</w:t>
      </w:r>
      <w:r w:rsidRPr="00776964">
        <w:t>, że</w:t>
      </w:r>
      <w:r w:rsidR="00E670F1">
        <w:t> </w:t>
      </w:r>
      <w:r w:rsidRPr="00776964">
        <w:t xml:space="preserve">nawet w przypadku braku skutecznej kontroli nad częścią swojego terytorium lub na obcym terytorium, </w:t>
      </w:r>
      <w:r w:rsidR="00E0210F" w:rsidRPr="00776964">
        <w:t xml:space="preserve">państwa strony </w:t>
      </w:r>
      <w:r w:rsidRPr="00776964">
        <w:t>Konwencji mogą mieć obowiązek działania na podstawie art. 1 Konwencji w zakresie podjęcia środków w ramach swoich możliwości w celu zapewnienia poszanowania praw gwarantowanych przez Konwencję.</w:t>
      </w:r>
    </w:p>
    <w:p w14:paraId="10666633" w14:textId="77777777" w:rsidR="007761A7" w:rsidRPr="00776964" w:rsidRDefault="00000000" w:rsidP="00776964">
      <w:pPr>
        <w:pStyle w:val="JuHa0"/>
      </w:pPr>
      <w:r w:rsidRPr="00776964">
        <w:t>Liga Praw Człowieka i Międzynarodowa Federacja Praw Człowieka</w:t>
      </w:r>
    </w:p>
    <w:p w14:paraId="436B5D9C" w14:textId="6BE89A4C" w:rsidR="005A5504" w:rsidRPr="00776964" w:rsidRDefault="005E04D8" w:rsidP="00776964">
      <w:pPr>
        <w:pStyle w:val="JuPara"/>
      </w:pPr>
      <w:r>
        <w:t>92</w:t>
      </w:r>
      <w:r w:rsidRPr="00776964">
        <w:t>.</w:t>
      </w:r>
      <w:r w:rsidR="006C3249">
        <w:t xml:space="preserve"> </w:t>
      </w:r>
      <w:r w:rsidRPr="00776964">
        <w:t>LDH i FIDH podkreśliły, że Trybunał zaakceptował w ramach „innych podstaw jurysdykcji” sytuację, w której państwo wykonywało element władzy publicznej, niezależnie od tego, czy odbywało się to w</w:t>
      </w:r>
      <w:r w:rsidR="00E670F1">
        <w:t> </w:t>
      </w:r>
      <w:r w:rsidRPr="00776964">
        <w:t xml:space="preserve">ramach wykonywania kompetencji jurysdykcyjnych uznanych przez prawo międzynarodowe, czy była to jurysdykcja przyznana przez państwo trzecie na jego własnym terytorium, czy też wynikała ona z okoliczności faktycznych (powołały się na sprawę </w:t>
      </w:r>
      <w:r w:rsidRPr="00776964">
        <w:rPr>
          <w:i/>
        </w:rPr>
        <w:t>Banković i Inni</w:t>
      </w:r>
      <w:r w:rsidRPr="00776964">
        <w:t xml:space="preserve">, cyt. powyżej, §§ 70-71, oraz </w:t>
      </w:r>
      <w:r w:rsidRPr="00776964">
        <w:rPr>
          <w:i/>
        </w:rPr>
        <w:t>Al</w:t>
      </w:r>
      <w:r w:rsidRPr="00776964">
        <w:rPr>
          <w:i/>
        </w:rPr>
        <w:noBreakHyphen/>
        <w:t>Skeini i Inni przeciwko Zjednoczonemu Królestwu</w:t>
      </w:r>
      <w:r w:rsidRPr="00776964">
        <w:t xml:space="preserve"> [WI], cyt.</w:t>
      </w:r>
      <w:r w:rsidR="00243852">
        <w:t> </w:t>
      </w:r>
      <w:r w:rsidRPr="00776964">
        <w:t xml:space="preserve">powyżej, § 135). Tak więc, gdy </w:t>
      </w:r>
      <w:r w:rsidR="00E0210F" w:rsidRPr="00776964">
        <w:t>państw</w:t>
      </w:r>
      <w:r w:rsidRPr="00776964">
        <w:t>o orzekało o przyznaniu wizy lub</w:t>
      </w:r>
      <w:r w:rsidR="00243852">
        <w:t> </w:t>
      </w:r>
      <w:r w:rsidRPr="00776964">
        <w:t>o wjeździe, pobycie lub osiedleniu się osób na swoim terytorium, wykonywało element władzy publicznej nawet wtedy, gdy zajmowało się tymi sprawami w odniesieniu do cudzoziemców, którzy nie przebywali na</w:t>
      </w:r>
      <w:r w:rsidR="00243852">
        <w:t> </w:t>
      </w:r>
      <w:r w:rsidRPr="00776964">
        <w:t xml:space="preserve">jego terytorium, a decyzja wywoływała skutki za granicą, czy to na mocy umowy międzynarodowej (powołali się na sprawę </w:t>
      </w:r>
      <w:r w:rsidRPr="00776964">
        <w:rPr>
          <w:i/>
        </w:rPr>
        <w:t>X i Y przeciwko Szwajcarii</w:t>
      </w:r>
      <w:r w:rsidRPr="00776964">
        <w:t xml:space="preserve">, nr. 7289/75 i 7349/76, decyzja Komisji z 14 lipca 1977 r., D.R. 9, </w:t>
      </w:r>
      <w:r w:rsidRPr="00776964">
        <w:lastRenderedPageBreak/>
        <w:t xml:space="preserve">s. 76) lub okoliczności faktycznych (powołali się na sprawę </w:t>
      </w:r>
      <w:r w:rsidRPr="00776964">
        <w:rPr>
          <w:i/>
        </w:rPr>
        <w:t>Nada przeciwko Szwajcarii</w:t>
      </w:r>
      <w:r w:rsidRPr="00776964">
        <w:t xml:space="preserve"> [WI], nr 10593/08, ECHR 2012).</w:t>
      </w:r>
    </w:p>
    <w:p w14:paraId="08F31486" w14:textId="0880F68A" w:rsidR="005A5504" w:rsidRPr="00D03FD5" w:rsidRDefault="005E04D8" w:rsidP="00776964">
      <w:pPr>
        <w:pStyle w:val="JuPara"/>
      </w:pPr>
      <w:r>
        <w:t>93</w:t>
      </w:r>
      <w:r w:rsidRPr="00776964">
        <w:t>.</w:t>
      </w:r>
      <w:r w:rsidR="006C3249">
        <w:t xml:space="preserve"> </w:t>
      </w:r>
      <w:r w:rsidRPr="00776964">
        <w:t xml:space="preserve">Ponadto, z orzecznictwa Trybunału, a w szczególności z cytowanego wyżej wyroku w sprawie </w:t>
      </w:r>
      <w:r w:rsidRPr="00776964">
        <w:rPr>
          <w:i/>
        </w:rPr>
        <w:t>Al-Skeini</w:t>
      </w:r>
      <w:r w:rsidRPr="00776964">
        <w:t xml:space="preserve"> (§§ 134-35) wynikało, że fakt, iż państwo działało w całości lub w części poprzez swoich przedstawicieli dyplomatycznych lub konsularnych za granicą, nie wykluczał jurysdykcji </w:t>
      </w:r>
      <w:r w:rsidR="00E0210F" w:rsidRPr="00776964">
        <w:t>państw stron</w:t>
      </w:r>
      <w:r w:rsidRPr="00776964">
        <w:t>, pod warunkiem, że tacy przedstawiciele sprawowali władzę i</w:t>
      </w:r>
      <w:r w:rsidR="00243852">
        <w:t> </w:t>
      </w:r>
      <w:r w:rsidRPr="00776964">
        <w:t>kontrolę nad innymi osobami oraz że w ramach wykonywania swoich funkcji na podstawie normy prawa zwyczajowego, konwencjonalnego lub</w:t>
      </w:r>
      <w:r w:rsidR="00243852">
        <w:t> </w:t>
      </w:r>
      <w:r w:rsidRPr="00776964">
        <w:t xml:space="preserve">innego prawa międzynarodowego, fakty będące przedmiotem sporu można było przypisać im, a nie </w:t>
      </w:r>
      <w:r w:rsidR="00E0210F" w:rsidRPr="00776964">
        <w:t xml:space="preserve">państwu </w:t>
      </w:r>
      <w:r w:rsidRPr="00776964">
        <w:t>terytorialnemu. „Funkcja” pełniona przez przedstawicieli dyplomatycznych lub konsularnych w ramach wykonywania czynności należących do kompetencji ambasad i konsulatów za granicą, takich jak wydawanie paszportów swoim obywatelom, uznano za</w:t>
      </w:r>
      <w:r w:rsidR="00243852">
        <w:t> </w:t>
      </w:r>
      <w:r w:rsidRPr="00776964">
        <w:t>stanowiącą podstawę do wykonywania jurysdykcji (</w:t>
      </w:r>
      <w:r w:rsidR="00337BF1">
        <w:t xml:space="preserve">interweniujące strony trzecie </w:t>
      </w:r>
      <w:r w:rsidRPr="00776964">
        <w:t>powoła</w:t>
      </w:r>
      <w:r w:rsidR="00337BF1">
        <w:t>ły</w:t>
      </w:r>
      <w:r w:rsidRPr="00776964">
        <w:t xml:space="preserve"> się na sprawę </w:t>
      </w:r>
      <w:r w:rsidRPr="00776964">
        <w:rPr>
          <w:i/>
        </w:rPr>
        <w:t>X przeciwko Niemcom</w:t>
      </w:r>
      <w:r w:rsidRPr="00776964">
        <w:t xml:space="preserve">, nr 1611/62, decyzja Komisji z 25 września 1965 r., Rocznik 8, s. 158 i 169). </w:t>
      </w:r>
      <w:r w:rsidR="00337BF1">
        <w:t>Interweniujące o</w:t>
      </w:r>
      <w:r w:rsidRPr="00776964">
        <w:t>rganizacje stwierdziły, że ten sam wniosek powinien mieć zastosowanie w</w:t>
      </w:r>
      <w:r w:rsidR="00243852">
        <w:t> </w:t>
      </w:r>
      <w:r w:rsidRPr="00776964">
        <w:t xml:space="preserve">odniesieniu do zezwoleń na wjazd lub pobyt wydawanych cudzoziemcom, ponieważ uprawnienie to należy do wyłącznej kompetencji </w:t>
      </w:r>
      <w:r w:rsidR="00840AD0" w:rsidRPr="00776964">
        <w:t>państwa</w:t>
      </w:r>
      <w:r w:rsidRPr="00776964">
        <w:t>, w</w:t>
      </w:r>
      <w:r w:rsidR="00243852">
        <w:t> </w:t>
      </w:r>
      <w:r w:rsidRPr="00776964">
        <w:t xml:space="preserve">odniesieniu do którego strona wzywająca ubiega się o dokument pobytowy. W związku z tym TSUE uznał, że tego typu wnioski nie podlegają prawu UE i wchodzą „wyłącznie” w zakres prawa krajowego </w:t>
      </w:r>
      <w:r w:rsidR="00840AD0" w:rsidRPr="00776964">
        <w:t>państwa</w:t>
      </w:r>
      <w:r w:rsidRPr="00776964">
        <w:t>, do</w:t>
      </w:r>
      <w:r w:rsidR="00243852">
        <w:t> </w:t>
      </w:r>
      <w:r w:rsidRPr="00776964">
        <w:t xml:space="preserve">którego skierowano wniosek za pośrednictwem ambasady zagranicznej (zob. paragrafy </w:t>
      </w:r>
      <w:r w:rsidR="00D03FD5">
        <w:t>71-73</w:t>
      </w:r>
      <w:r w:rsidRPr="00D03FD5">
        <w:t xml:space="preserve"> powyżej).</w:t>
      </w:r>
    </w:p>
    <w:p w14:paraId="70670CE7" w14:textId="5821EE7D" w:rsidR="005A5504" w:rsidRPr="00776964" w:rsidRDefault="005E04D8" w:rsidP="00776964">
      <w:pPr>
        <w:pStyle w:val="JuPara"/>
      </w:pPr>
      <w:r>
        <w:t>94</w:t>
      </w:r>
      <w:r w:rsidRPr="00776964">
        <w:t>.</w:t>
      </w:r>
      <w:r w:rsidR="006C3249">
        <w:t xml:space="preserve"> </w:t>
      </w:r>
      <w:r w:rsidRPr="00776964">
        <w:t xml:space="preserve">Po ustanowieniu jurysdykcji </w:t>
      </w:r>
      <w:r w:rsidR="00840AD0" w:rsidRPr="00776964">
        <w:t xml:space="preserve">państwo </w:t>
      </w:r>
      <w:r w:rsidRPr="00776964">
        <w:t xml:space="preserve">powinno, wykonując ją, zapewnić osobom, które weszły w zakres jego jurysdykcji, prawa i wolności wynikające z Konwencji, i może być pociągnięte do odpowiedzialności, zgodnie z orzecznictwem Trybunału od czasu wyżej cytowanej sprawy </w:t>
      </w:r>
      <w:r w:rsidRPr="00776964">
        <w:rPr>
          <w:i/>
        </w:rPr>
        <w:t>Soering</w:t>
      </w:r>
      <w:r w:rsidRPr="00776964">
        <w:t>, za eksterytorialne konsekwencje działań lub zaniechań, które można mu przypisać, a które mogły narazić zainteresowane osoby na traktowanie sprzeczne z art. 3.</w:t>
      </w:r>
    </w:p>
    <w:p w14:paraId="3C66EAE9" w14:textId="77777777" w:rsidR="005A5504" w:rsidRPr="00776964" w:rsidRDefault="00000000" w:rsidP="00776964">
      <w:pPr>
        <w:pStyle w:val="JuHa0"/>
      </w:pPr>
      <w:r w:rsidRPr="00776964">
        <w:t>Rada Adwokacka Prawników Francusko i Niemieckojęzycznych</w:t>
      </w:r>
    </w:p>
    <w:p w14:paraId="534EC330" w14:textId="402AE2DC" w:rsidR="005A5504" w:rsidRPr="00776964" w:rsidRDefault="005E04D8" w:rsidP="00776964">
      <w:pPr>
        <w:pStyle w:val="JuPara"/>
      </w:pPr>
      <w:r>
        <w:t>95</w:t>
      </w:r>
      <w:r w:rsidRPr="00776964">
        <w:t>.</w:t>
      </w:r>
      <w:r w:rsidR="006C3249">
        <w:t xml:space="preserve"> </w:t>
      </w:r>
      <w:r w:rsidRPr="00776964">
        <w:t>OBFG podkreśliła, że z orzecznictwa Trybunału, w szczególności ze</w:t>
      </w:r>
      <w:r w:rsidR="00243852">
        <w:t> </w:t>
      </w:r>
      <w:r w:rsidRPr="00776964">
        <w:t xml:space="preserve">sprawy </w:t>
      </w:r>
      <w:r w:rsidRPr="00776964">
        <w:rPr>
          <w:i/>
        </w:rPr>
        <w:t>Hirsi Jamaa i Inni przeciwko Włochom</w:t>
      </w:r>
      <w:r w:rsidRPr="00776964">
        <w:t xml:space="preserve"> ([WI], nr 27765/09, §§ 74 i 75, ECHR 2012), a jeszcze wcześniej z orzecznictwa Komisji</w:t>
      </w:r>
      <w:r w:rsidRPr="00776964">
        <w:noBreakHyphen/>
        <w:t xml:space="preserve"> </w:t>
      </w:r>
      <w:r w:rsidRPr="00776964">
        <w:rPr>
          <w:i/>
        </w:rPr>
        <w:t>(M.</w:t>
      </w:r>
      <w:r w:rsidR="00243852">
        <w:rPr>
          <w:i/>
        </w:rPr>
        <w:t> </w:t>
      </w:r>
      <w:r w:rsidRPr="00776964">
        <w:rPr>
          <w:i/>
        </w:rPr>
        <w:t>przeciwko Danii</w:t>
      </w:r>
      <w:r w:rsidRPr="00776964">
        <w:t>, decyzja, nr 17392/90, 14 października 1992</w:t>
      </w:r>
      <w:r w:rsidR="00243852">
        <w:t> </w:t>
      </w:r>
      <w:r w:rsidRPr="00776964">
        <w:t xml:space="preserve">r., Decyzje i Raporty </w:t>
      </w:r>
      <w:r w:rsidRPr="00776964">
        <w:rPr>
          <w:i/>
        </w:rPr>
        <w:t>(</w:t>
      </w:r>
      <w:r w:rsidRPr="00776964">
        <w:t xml:space="preserve">DR) 73, s. 199), że </w:t>
      </w:r>
      <w:r w:rsidR="00840AD0" w:rsidRPr="00776964">
        <w:t xml:space="preserve">państwo strona </w:t>
      </w:r>
      <w:r w:rsidRPr="00776964">
        <w:t>konwencji wykonywało swoją jurysdykcję w rozumieniu art. 1 Konwencji za</w:t>
      </w:r>
      <w:r w:rsidR="00243852">
        <w:t> </w:t>
      </w:r>
      <w:r w:rsidRPr="00776964">
        <w:t xml:space="preserve">pośrednictwem przedstawicieli konsularnych lub dyplomatycznych delegowanych poza terytorium tego państwa, gdzie ci ostatni wykonywali swoje uprawnienia w odniesieniu do innych osób. Każde inne rozwiązanie </w:t>
      </w:r>
      <w:r w:rsidRPr="00776964">
        <w:lastRenderedPageBreak/>
        <w:t>skutkowałoby zwolnieniem organów i urzędników państwowych z</w:t>
      </w:r>
      <w:r w:rsidR="00243852">
        <w:t> </w:t>
      </w:r>
      <w:r w:rsidRPr="00776964">
        <w:t>obowiązku zapewnienia przestrzegania praw wynikających z Konwencji.</w:t>
      </w:r>
    </w:p>
    <w:p w14:paraId="0FA2DA6A" w14:textId="77777777" w:rsidR="005A5504" w:rsidRPr="00776964" w:rsidRDefault="00000000" w:rsidP="00776964">
      <w:pPr>
        <w:pStyle w:val="JuH1"/>
      </w:pPr>
      <w:r w:rsidRPr="00776964">
        <w:t>Ocena Trybunału w zakresie jurysdykcji</w:t>
      </w:r>
    </w:p>
    <w:p w14:paraId="75A1BD0B" w14:textId="77777777" w:rsidR="007761A7" w:rsidRPr="00776964" w:rsidRDefault="00000000" w:rsidP="00776964">
      <w:pPr>
        <w:pStyle w:val="JuHa0"/>
      </w:pPr>
      <w:r w:rsidRPr="00776964">
        <w:t>Podsumowanie właściwego orzecznictwa</w:t>
      </w:r>
    </w:p>
    <w:p w14:paraId="58DE3319" w14:textId="67615206" w:rsidR="005A5504" w:rsidRPr="00776964" w:rsidRDefault="005E04D8" w:rsidP="00776964">
      <w:pPr>
        <w:pStyle w:val="JuPara"/>
      </w:pPr>
      <w:r>
        <w:t>96</w:t>
      </w:r>
      <w:r w:rsidRPr="00776964">
        <w:t>.</w:t>
      </w:r>
      <w:r w:rsidR="006C3249">
        <w:t xml:space="preserve"> </w:t>
      </w:r>
      <w:r w:rsidRPr="00776964">
        <w:t>Trybunał powtarza, że art. 1 Konwencji ogranicza jej zakres do</w:t>
      </w:r>
      <w:r w:rsidR="00243852">
        <w:t> </w:t>
      </w:r>
      <w:r w:rsidRPr="00776964">
        <w:t xml:space="preserve">„osób” podlegających „jurysdykcji” </w:t>
      </w:r>
      <w:r w:rsidR="00840AD0" w:rsidRPr="00776964">
        <w:t xml:space="preserve">państw stron </w:t>
      </w:r>
      <w:r w:rsidRPr="00776964">
        <w:t>Konwencji.</w:t>
      </w:r>
    </w:p>
    <w:p w14:paraId="5F5B39B2" w14:textId="34565B8B" w:rsidR="007761A7" w:rsidRPr="00776964" w:rsidRDefault="005E04D8" w:rsidP="00776964">
      <w:pPr>
        <w:pStyle w:val="JuPara"/>
      </w:pPr>
      <w:r>
        <w:t>97</w:t>
      </w:r>
      <w:r w:rsidRPr="00776964">
        <w:t>.</w:t>
      </w:r>
      <w:r w:rsidR="006C3249">
        <w:t xml:space="preserve"> </w:t>
      </w:r>
      <w:r w:rsidRPr="00776964">
        <w:t xml:space="preserve">Wykonywanie jurysdykcji przez pozwane </w:t>
      </w:r>
      <w:r w:rsidR="00840AD0" w:rsidRPr="00776964">
        <w:t xml:space="preserve">państwo </w:t>
      </w:r>
      <w:r w:rsidRPr="00776964">
        <w:t xml:space="preserve">jest warunkiem </w:t>
      </w:r>
      <w:r w:rsidRPr="00776964">
        <w:rPr>
          <w:i/>
        </w:rPr>
        <w:t>sine qua non</w:t>
      </w:r>
      <w:r w:rsidRPr="00776964">
        <w:t xml:space="preserve">, aby </w:t>
      </w:r>
      <w:r w:rsidR="00840AD0" w:rsidRPr="00776964">
        <w:t xml:space="preserve">państwo </w:t>
      </w:r>
      <w:r w:rsidRPr="00776964">
        <w:t xml:space="preserve">to mogło zostać pociągnięte do odpowiedzialności za przypisywane mu działania lub zaniechania, które stanowią podstawę zarzutu naruszenia praw i wolności określonych w Konwencji (zob. </w:t>
      </w:r>
      <w:r w:rsidRPr="00776964">
        <w:rPr>
          <w:i/>
        </w:rPr>
        <w:t>Al</w:t>
      </w:r>
      <w:r w:rsidRPr="00776964">
        <w:rPr>
          <w:i/>
        </w:rPr>
        <w:noBreakHyphen/>
        <w:t>Skeini i Inni</w:t>
      </w:r>
      <w:r w:rsidRPr="00776964">
        <w:t xml:space="preserve">, cyt. powyżej, § 130, oraz </w:t>
      </w:r>
      <w:r w:rsidRPr="00776964">
        <w:rPr>
          <w:i/>
        </w:rPr>
        <w:t xml:space="preserve">Güzelyurtlu i Inni przeciwko Cyprowi i Turcji </w:t>
      </w:r>
      <w:r w:rsidRPr="00776964">
        <w:t>[WI], nr. 36925/07, § 178, 29 stycznia 2019 r</w:t>
      </w:r>
      <w:r w:rsidR="002F6274">
        <w:t>.</w:t>
      </w:r>
      <w:r w:rsidRPr="00776964">
        <w:t xml:space="preserve">). Kwestia, czy </w:t>
      </w:r>
      <w:r w:rsidR="00840AD0" w:rsidRPr="00776964">
        <w:t xml:space="preserve">państwo </w:t>
      </w:r>
      <w:r w:rsidRPr="00776964">
        <w:t>to</w:t>
      </w:r>
      <w:r w:rsidR="00243852">
        <w:t> </w:t>
      </w:r>
      <w:r w:rsidRPr="00776964">
        <w:t xml:space="preserve">skutecznie ponosi odpowiedzialność za działania lub zaniechania będące źródłem skarg skarżących na podstawie Konwencji, jest odrębnym zagadnieniem, które należy do przedmiotu skargi (zob. </w:t>
      </w:r>
      <w:r w:rsidRPr="00776964">
        <w:rPr>
          <w:i/>
        </w:rPr>
        <w:t>Loizidou przeciwko Turcji</w:t>
      </w:r>
      <w:r w:rsidRPr="00776964">
        <w:t xml:space="preserve"> (zastrzeżenia wstępne), 23 marca 1995 r., §§ 61 i 64, Seria A nr 310, oraz </w:t>
      </w:r>
      <w:r w:rsidRPr="00776964">
        <w:rPr>
          <w:i/>
        </w:rPr>
        <w:t>Güzelyurtlu i Inni</w:t>
      </w:r>
      <w:r w:rsidRPr="00776964">
        <w:t>, cyt. powyżej, § 197).</w:t>
      </w:r>
    </w:p>
    <w:p w14:paraId="49C145EB" w14:textId="7E3D12E2" w:rsidR="005A5504" w:rsidRPr="00776964" w:rsidRDefault="005E04D8" w:rsidP="00776964">
      <w:pPr>
        <w:pStyle w:val="JuPara"/>
      </w:pPr>
      <w:r>
        <w:t>98</w:t>
      </w:r>
      <w:r w:rsidRPr="00776964">
        <w:t>.</w:t>
      </w:r>
      <w:r w:rsidR="006C3249">
        <w:t xml:space="preserve"> </w:t>
      </w:r>
      <w:r w:rsidRPr="00776964">
        <w:t xml:space="preserve">Co do znaczenia, jakie należy nadać pojęciu „jurysdykcja” dla celów art. 1 Konwencji, Trybunał podkreślił, że z punktu widzenia prawa międzynarodowego publicznego kompetencje jurysdykcyjne państwa mają przede wszystkim naturę terytorialną (zob. </w:t>
      </w:r>
      <w:r w:rsidRPr="00776964">
        <w:rPr>
          <w:i/>
        </w:rPr>
        <w:t>Güzelyurtlu i Inni</w:t>
      </w:r>
      <w:r w:rsidRPr="00776964">
        <w:t xml:space="preserve">, cyt. powyżej, § 178; zob. także </w:t>
      </w:r>
      <w:r w:rsidRPr="00776964">
        <w:rPr>
          <w:i/>
        </w:rPr>
        <w:t>Banković i Inni</w:t>
      </w:r>
      <w:r w:rsidRPr="00776964">
        <w:t>, cyt. powyżej, §§ 59-61). Zakłada się, że</w:t>
      </w:r>
      <w:r w:rsidR="00243852">
        <w:t> </w:t>
      </w:r>
      <w:r w:rsidRPr="00776964">
        <w:t xml:space="preserve">jest ona wykonywana normalnie na całym terytorium danego </w:t>
      </w:r>
      <w:r w:rsidR="00840AD0" w:rsidRPr="00776964">
        <w:t xml:space="preserve">państwa </w:t>
      </w:r>
      <w:r w:rsidRPr="00776964">
        <w:t>(zob.</w:t>
      </w:r>
      <w:r w:rsidR="00243852">
        <w:t> </w:t>
      </w:r>
      <w:r w:rsidRPr="00776964">
        <w:rPr>
          <w:i/>
        </w:rPr>
        <w:t>Assanidze przeciwko Gruzji</w:t>
      </w:r>
      <w:r w:rsidRPr="00776964">
        <w:t xml:space="preserve"> [WI], nr 71503/01, § 139, ECHR 2004-II).</w:t>
      </w:r>
    </w:p>
    <w:p w14:paraId="16A42390" w14:textId="02C31BD0" w:rsidR="005A5504" w:rsidRPr="00776964" w:rsidRDefault="005E04D8" w:rsidP="00776964">
      <w:pPr>
        <w:pStyle w:val="JuPara"/>
      </w:pPr>
      <w:r>
        <w:t>99</w:t>
      </w:r>
      <w:r w:rsidRPr="00776964">
        <w:t>.</w:t>
      </w:r>
      <w:r w:rsidR="006C3249">
        <w:t xml:space="preserve"> </w:t>
      </w:r>
      <w:r w:rsidRPr="00776964">
        <w:t>Zgodnie z art. 31 § 1 Konwencji wiedeńskiej o prawie traktatów z</w:t>
      </w:r>
      <w:r w:rsidR="00243852">
        <w:t> </w:t>
      </w:r>
      <w:r w:rsidRPr="00776964">
        <w:t xml:space="preserve">1969 r. Trybunał dokonał interpretacji słów „podlegającemu ich jurysdykcji” poprzez ustalenie zwykłego znaczenia, jakie należy nadać temu zwrotowi w jego kontekście oraz w świetle przedmiotu i celu Konwencji. Jednakże, podczas gdy prawo międzynarodowe nie wyklucza eksterytorialnego wykonywania jurysdykcji przez </w:t>
      </w:r>
      <w:r w:rsidR="00840AD0" w:rsidRPr="00776964">
        <w:t>państwo</w:t>
      </w:r>
      <w:r w:rsidRPr="00776964">
        <w:t xml:space="preserve">, sugerowane podstawy takiej jurysdykcji (w tym obywatelstwo i flaga) są, co do zasady, określone i ograniczone przez suwerenne prawa terytorialne innych właściwych </w:t>
      </w:r>
      <w:r w:rsidR="00840AD0" w:rsidRPr="00776964">
        <w:t xml:space="preserve">państw </w:t>
      </w:r>
      <w:r w:rsidRPr="00776964">
        <w:t xml:space="preserve">(zob. </w:t>
      </w:r>
      <w:r w:rsidRPr="00776964">
        <w:rPr>
          <w:i/>
        </w:rPr>
        <w:t>Banković i Inni</w:t>
      </w:r>
      <w:r w:rsidRPr="00776964">
        <w:t>, cyt. powyżej, §§ 56 i 59).</w:t>
      </w:r>
    </w:p>
    <w:p w14:paraId="31F500F6" w14:textId="4DC81264" w:rsidR="005A5504" w:rsidRPr="00776964" w:rsidRDefault="005E04D8" w:rsidP="00776964">
      <w:pPr>
        <w:pStyle w:val="JuPara"/>
      </w:pPr>
      <w:r>
        <w:t>100</w:t>
      </w:r>
      <w:r w:rsidRPr="00776964">
        <w:t>.</w:t>
      </w:r>
      <w:r w:rsidR="006C3249">
        <w:t xml:space="preserve"> </w:t>
      </w:r>
      <w:r w:rsidRPr="00776964">
        <w:t xml:space="preserve">To terytorialne pojęcie jurysdykcji </w:t>
      </w:r>
      <w:r w:rsidR="00840AD0" w:rsidRPr="00776964">
        <w:t xml:space="preserve">państw stron </w:t>
      </w:r>
      <w:r w:rsidRPr="00776964">
        <w:t xml:space="preserve">jest wspierane przez </w:t>
      </w:r>
      <w:r w:rsidRPr="00776964">
        <w:rPr>
          <w:i/>
        </w:rPr>
        <w:t>travaux préparatoires</w:t>
      </w:r>
      <w:r w:rsidRPr="00776964">
        <w:t xml:space="preserve"> Konwencji (tamże, §§ 19-21 i 63). Tekst przygotowany przez Komitet ds. Prawnych i Administracyjnych Zgromadzenia Konsultacyjnego Rady Europy początkowo przewidywał, w</w:t>
      </w:r>
      <w:r w:rsidR="00243852">
        <w:t> </w:t>
      </w:r>
      <w:r w:rsidRPr="00776964">
        <w:t>tym co potem przekształcono w art. 1 Konwencji, że „państwa członkowskie zobowiązują się do zapewnienia wszystkim osobom zamieszkującym na ich terytorium praw ..</w:t>
      </w:r>
      <w:r w:rsidR="00203514">
        <w:t>”.</w:t>
      </w:r>
      <w:r w:rsidRPr="00776964">
        <w:t>. Jednakże odniesienie do</w:t>
      </w:r>
      <w:r w:rsidR="00243852">
        <w:t> </w:t>
      </w:r>
      <w:r w:rsidRPr="00776964">
        <w:t xml:space="preserve">„wszystkich osób zamieszkujących na ich terytorium” zostało zastąpione odniesieniem do każdego człowieka „podlegającemu ich jurysdykcji”, </w:t>
      </w:r>
      <w:r w:rsidRPr="00776964">
        <w:lastRenderedPageBreak/>
        <w:t>ponieważ pojęcie zamieszkiwania uznano za zbyt restrykcyjne i otwarte na</w:t>
      </w:r>
      <w:r w:rsidR="00243852">
        <w:t> </w:t>
      </w:r>
      <w:r w:rsidRPr="00776964">
        <w:t>różne interpretacje w zależności od danego ustawodawstwa krajowego.</w:t>
      </w:r>
    </w:p>
    <w:p w14:paraId="1F32B94E" w14:textId="5FD6FAF8" w:rsidR="005A5504" w:rsidRPr="00776964" w:rsidRDefault="005E04D8" w:rsidP="00776964">
      <w:pPr>
        <w:pStyle w:val="JuPara"/>
      </w:pPr>
      <w:r>
        <w:t>101</w:t>
      </w:r>
      <w:r w:rsidRPr="00776964">
        <w:t>.</w:t>
      </w:r>
      <w:r w:rsidR="006C3249">
        <w:t xml:space="preserve"> </w:t>
      </w:r>
      <w:r w:rsidRPr="00776964">
        <w:t xml:space="preserve">Trybunał uznał, że w ramach wyjątku od zasady terytorialności działania </w:t>
      </w:r>
      <w:r w:rsidR="00840AD0" w:rsidRPr="00776964">
        <w:t xml:space="preserve">państw stron </w:t>
      </w:r>
      <w:r w:rsidRPr="00776964">
        <w:t xml:space="preserve">wykonywane lub wywołujące skutki poza ich terytoriami mogą stanowić wykonywanie jurysdykcji w rozumieniu art. 1 Konwencji. Jest to ugruntowane orzecznictwo (zob. m.in., </w:t>
      </w:r>
      <w:r w:rsidRPr="00776964">
        <w:rPr>
          <w:i/>
        </w:rPr>
        <w:t>Ilaşcu i Inni przeciwko Mołdawii i Rosji</w:t>
      </w:r>
      <w:r w:rsidRPr="00776964">
        <w:t xml:space="preserve"> [WI], nr. 48787/99, § 314, ECHR 2004-VII; </w:t>
      </w:r>
      <w:r w:rsidRPr="00776964">
        <w:rPr>
          <w:i/>
        </w:rPr>
        <w:t>Medvedyev i Inni przeciwko Francji</w:t>
      </w:r>
      <w:r w:rsidRPr="00776964">
        <w:t xml:space="preserve"> [WI], nr 3394/03, § 64, ECHR 2010; </w:t>
      </w:r>
      <w:r w:rsidRPr="00776964">
        <w:rPr>
          <w:i/>
        </w:rPr>
        <w:t>Al-Skeini i Inni</w:t>
      </w:r>
      <w:r w:rsidRPr="00776964">
        <w:t xml:space="preserve">, cyt. powyżej, § 131; oraz </w:t>
      </w:r>
      <w:r w:rsidRPr="00776964">
        <w:rPr>
          <w:i/>
        </w:rPr>
        <w:t>Güzelyurtlu i In</w:t>
      </w:r>
      <w:r w:rsidRPr="00776964">
        <w:rPr>
          <w:i/>
          <w:iCs/>
        </w:rPr>
        <w:t>ni</w:t>
      </w:r>
      <w:r w:rsidRPr="00776964">
        <w:t>, cyt. powyżej, §</w:t>
      </w:r>
      <w:r w:rsidR="00243852">
        <w:t> </w:t>
      </w:r>
      <w:r w:rsidRPr="00776964">
        <w:t>178).</w:t>
      </w:r>
    </w:p>
    <w:p w14:paraId="77FBBA4D" w14:textId="584BF621" w:rsidR="005A5504" w:rsidRPr="00776964" w:rsidRDefault="005E04D8" w:rsidP="00776964">
      <w:pPr>
        <w:pStyle w:val="JuPara"/>
      </w:pPr>
      <w:r>
        <w:t>102</w:t>
      </w:r>
      <w:r w:rsidRPr="00776964">
        <w:t>.</w:t>
      </w:r>
      <w:r w:rsidR="006C3249">
        <w:t xml:space="preserve"> </w:t>
      </w:r>
      <w:r w:rsidRPr="00776964">
        <w:t xml:space="preserve">W każdym przypadku to w odniesieniu do konkretnych faktów Trybunał oceniał, czy istniały wyjątkowe okoliczności uzasadniające stwierdzenie przez niego, że dane </w:t>
      </w:r>
      <w:r w:rsidR="00840AD0" w:rsidRPr="00776964">
        <w:t xml:space="preserve">państwo </w:t>
      </w:r>
      <w:r w:rsidRPr="00776964">
        <w:t xml:space="preserve">wykonywało jurysdykcję eksterytorialnie (zob. </w:t>
      </w:r>
      <w:r w:rsidRPr="00776964">
        <w:rPr>
          <w:i/>
        </w:rPr>
        <w:t>Banković i Inni</w:t>
      </w:r>
      <w:r w:rsidRPr="00776964">
        <w:t xml:space="preserve">, cyt. powyżej, § 61; </w:t>
      </w:r>
      <w:r w:rsidRPr="00776964">
        <w:rPr>
          <w:i/>
        </w:rPr>
        <w:t xml:space="preserve">Al-Skeini i </w:t>
      </w:r>
      <w:r w:rsidRPr="00776964">
        <w:rPr>
          <w:i/>
          <w:iCs/>
        </w:rPr>
        <w:t>Inni</w:t>
      </w:r>
      <w:r w:rsidRPr="00776964">
        <w:t xml:space="preserve">, cyt. powyżej, § 132; </w:t>
      </w:r>
      <w:r w:rsidRPr="00776964">
        <w:rPr>
          <w:i/>
        </w:rPr>
        <w:t xml:space="preserve">Hirsi Jamaa </w:t>
      </w:r>
      <w:r w:rsidRPr="00776964">
        <w:rPr>
          <w:i/>
          <w:iCs/>
        </w:rPr>
        <w:t>i Inni</w:t>
      </w:r>
      <w:r w:rsidRPr="00776964">
        <w:t xml:space="preserve">, cyt. powyżej, § 172; oraz </w:t>
      </w:r>
      <w:r w:rsidRPr="00776964">
        <w:rPr>
          <w:i/>
        </w:rPr>
        <w:t>Catan i</w:t>
      </w:r>
      <w:r w:rsidR="00243852">
        <w:rPr>
          <w:i/>
        </w:rPr>
        <w:t> </w:t>
      </w:r>
      <w:r w:rsidRPr="00776964">
        <w:rPr>
          <w:i/>
        </w:rPr>
        <w:t>Inni przeciwko Republice Mołdawii i Rosji</w:t>
      </w:r>
      <w:r w:rsidRPr="00776964">
        <w:t xml:space="preserve"> [WI], nr. 43370/04 i 2 inne, § 103, ECHR 2012 (fragmenty)).</w:t>
      </w:r>
    </w:p>
    <w:p w14:paraId="0F271B6E" w14:textId="07D5F0E3" w:rsidR="005A5504" w:rsidRPr="00776964" w:rsidRDefault="005E04D8" w:rsidP="00776964">
      <w:pPr>
        <w:pStyle w:val="JuPara"/>
      </w:pPr>
      <w:r>
        <w:t>103</w:t>
      </w:r>
      <w:r w:rsidRPr="00776964">
        <w:t>.</w:t>
      </w:r>
      <w:r w:rsidR="006C3249">
        <w:t xml:space="preserve"> </w:t>
      </w:r>
      <w:r w:rsidRPr="00776964">
        <w:t xml:space="preserve">Wyjątek od zasady stanowiącej, że jurysdykcja na podstawie art. 1 jest ograniczona do własnego terytorium </w:t>
      </w:r>
      <w:r w:rsidR="00840AD0" w:rsidRPr="00776964">
        <w:t>państwa strony</w:t>
      </w:r>
      <w:r w:rsidRPr="00776964">
        <w:t>, występuje w</w:t>
      </w:r>
      <w:r w:rsidR="00243852">
        <w:t> </w:t>
      </w:r>
      <w:r w:rsidRPr="00776964">
        <w:t xml:space="preserve">przypadku, gdy </w:t>
      </w:r>
      <w:r w:rsidR="00840AD0" w:rsidRPr="00776964">
        <w:t xml:space="preserve">państwo </w:t>
      </w:r>
      <w:r w:rsidRPr="00776964">
        <w:t>to sprawuje skuteczną kontrolę nad obszarem znajdującym się poza jego terytorium. Obowiązek zabezpieczenia praw i</w:t>
      </w:r>
      <w:r w:rsidR="00243852">
        <w:t> </w:t>
      </w:r>
      <w:r w:rsidRPr="00776964">
        <w:t>wolności określonych w Konwencji na takim obszarze wynika z faktu takiej kontroli, niezależnie od tego, czy jest ona sprawowana bezpośrednio, za</w:t>
      </w:r>
      <w:r w:rsidR="00243852">
        <w:t> </w:t>
      </w:r>
      <w:r w:rsidRPr="00776964">
        <w:t xml:space="preserve">pośrednictwem własnych sił zbrojnych </w:t>
      </w:r>
      <w:r w:rsidR="00840AD0" w:rsidRPr="00776964">
        <w:t>układającego się państwa</w:t>
      </w:r>
      <w:r w:rsidRPr="00776964">
        <w:t>, czy też za pośrednictwem podległej administracji lokalnej (w celu zapoznania się z</w:t>
      </w:r>
      <w:r w:rsidR="00243852">
        <w:t> </w:t>
      </w:r>
      <w:r w:rsidR="001F67AC" w:rsidRPr="00776964">
        <w:t>podsumowaniem</w:t>
      </w:r>
      <w:r w:rsidRPr="00776964">
        <w:t xml:space="preserve"> orzecznictwa dotyczącego tych sytuacji, zob. </w:t>
      </w:r>
      <w:r w:rsidRPr="00776964">
        <w:rPr>
          <w:i/>
        </w:rPr>
        <w:t>Al</w:t>
      </w:r>
      <w:r w:rsidRPr="00776964">
        <w:rPr>
          <w:i/>
        </w:rPr>
        <w:noBreakHyphen/>
        <w:t>Skeini i</w:t>
      </w:r>
      <w:r w:rsidR="00243852">
        <w:rPr>
          <w:i/>
        </w:rPr>
        <w:t> </w:t>
      </w:r>
      <w:r w:rsidRPr="00776964">
        <w:rPr>
          <w:i/>
        </w:rPr>
        <w:t>Inni</w:t>
      </w:r>
      <w:r w:rsidRPr="00776964">
        <w:t>, cyt. powyżej, §§ 138</w:t>
      </w:r>
      <w:r w:rsidRPr="00776964">
        <w:noBreakHyphen/>
        <w:t xml:space="preserve">40 i 142; w celu zapoznania się z nowszymi zastosowaniami tego orzecznictwa, zob. </w:t>
      </w:r>
      <w:r w:rsidRPr="00776964">
        <w:rPr>
          <w:i/>
        </w:rPr>
        <w:t>Catan</w:t>
      </w:r>
      <w:r w:rsidRPr="00776964">
        <w:rPr>
          <w:i/>
          <w:iCs/>
        </w:rPr>
        <w:t xml:space="preserve"> i Inni</w:t>
      </w:r>
      <w:r w:rsidRPr="00776964">
        <w:t>, cyt. powyżej, §§</w:t>
      </w:r>
      <w:r w:rsidR="00243852">
        <w:t> </w:t>
      </w:r>
      <w:r w:rsidRPr="00776964">
        <w:t>121</w:t>
      </w:r>
      <w:r w:rsidRPr="00776964">
        <w:noBreakHyphen/>
        <w:t xml:space="preserve">22; </w:t>
      </w:r>
      <w:r w:rsidRPr="00776964">
        <w:rPr>
          <w:i/>
        </w:rPr>
        <w:t>Chiragov i Inni przeciwko Armenii </w:t>
      </w:r>
      <w:r w:rsidRPr="00776964">
        <w:t xml:space="preserve">[WI], nr 13216/05, § 186, ECHR 2015; </w:t>
      </w:r>
      <w:r w:rsidRPr="00776964">
        <w:rPr>
          <w:i/>
        </w:rPr>
        <w:t>Mozer przeciwko Republice Mołdawii i Rosji</w:t>
      </w:r>
      <w:r w:rsidRPr="00776964">
        <w:t xml:space="preserve"> [WI], nr 11138/10, §§ 110</w:t>
      </w:r>
      <w:r w:rsidRPr="00776964">
        <w:noBreakHyphen/>
        <w:t xml:space="preserve">11, 23 lutego 2016; oraz </w:t>
      </w:r>
      <w:r w:rsidRPr="00776964">
        <w:rPr>
          <w:i/>
        </w:rPr>
        <w:t>Sandu i Inni przeciwko Republice Mołdawii i Rosji</w:t>
      </w:r>
      <w:r w:rsidRPr="00776964">
        <w:t>, nr. 21034/05 i 7 innych, §§ 36</w:t>
      </w:r>
      <w:r w:rsidRPr="00776964">
        <w:noBreakHyphen/>
        <w:t>38, 17 lipca 2018 r.).</w:t>
      </w:r>
    </w:p>
    <w:p w14:paraId="6A53FD63" w14:textId="798CBF49" w:rsidR="005A5504" w:rsidRPr="00776964" w:rsidRDefault="005E04D8" w:rsidP="00776964">
      <w:pPr>
        <w:pStyle w:val="JuPara"/>
      </w:pPr>
      <w:r>
        <w:t>104</w:t>
      </w:r>
      <w:r w:rsidRPr="00776964">
        <w:t>.</w:t>
      </w:r>
      <w:r w:rsidR="006C3249">
        <w:t xml:space="preserve"> </w:t>
      </w:r>
      <w:r w:rsidRPr="00776964">
        <w:t xml:space="preserve">Stąd Komisja, a następnie Trybunał uznały, że </w:t>
      </w:r>
      <w:r w:rsidR="00840AD0" w:rsidRPr="00776964">
        <w:t xml:space="preserve">państwo </w:t>
      </w:r>
      <w:r w:rsidRPr="00776964">
        <w:t>wykonywało swoją jurysdykcję eksterytorialnie, gdy na obszarze poza swoim terytorium krajowym realizowało uprawnienia publiczne, takie jak władza i</w:t>
      </w:r>
      <w:r w:rsidR="00243852">
        <w:t> </w:t>
      </w:r>
      <w:r w:rsidRPr="00776964">
        <w:t xml:space="preserve">odpowiedzialność w zakresie utrzymania bezpieczeństwa (zob. </w:t>
      </w:r>
      <w:r w:rsidRPr="00776964">
        <w:rPr>
          <w:i/>
        </w:rPr>
        <w:t>X i Y przeciwko Szwajcarii</w:t>
      </w:r>
      <w:r w:rsidRPr="00776964">
        <w:t xml:space="preserve">, cyt. powyżej; </w:t>
      </w:r>
      <w:r w:rsidRPr="00776964">
        <w:rPr>
          <w:i/>
        </w:rPr>
        <w:t>Drozd</w:t>
      </w:r>
      <w:r w:rsidRPr="00776964">
        <w:t xml:space="preserve"> </w:t>
      </w:r>
      <w:r w:rsidRPr="00776964">
        <w:rPr>
          <w:i/>
        </w:rPr>
        <w:t>i</w:t>
      </w:r>
      <w:r w:rsidRPr="00776964">
        <w:t xml:space="preserve"> </w:t>
      </w:r>
      <w:r w:rsidRPr="00776964">
        <w:rPr>
          <w:i/>
        </w:rPr>
        <w:t>Janousek przeciwko Francji i</w:t>
      </w:r>
      <w:r w:rsidR="00243852">
        <w:rPr>
          <w:i/>
        </w:rPr>
        <w:t> </w:t>
      </w:r>
      <w:r w:rsidRPr="00776964">
        <w:rPr>
          <w:i/>
        </w:rPr>
        <w:t>Hiszpanii</w:t>
      </w:r>
      <w:r w:rsidRPr="00776964">
        <w:t>,</w:t>
      </w:r>
      <w:r w:rsidRPr="00776964">
        <w:rPr>
          <w:i/>
        </w:rPr>
        <w:t xml:space="preserve"> </w:t>
      </w:r>
      <w:r w:rsidRPr="00776964">
        <w:t>26 czerwca 1992 r., §§ 91</w:t>
      </w:r>
      <w:r w:rsidRPr="00776964">
        <w:noBreakHyphen/>
        <w:t xml:space="preserve">98, Seria A nr 240; </w:t>
      </w:r>
      <w:r w:rsidRPr="00776964">
        <w:rPr>
          <w:i/>
        </w:rPr>
        <w:t>Gentilhomme, Schaff-Benhadji i Zerouki przeciwko Francji</w:t>
      </w:r>
      <w:r w:rsidRPr="00776964">
        <w:t>, nr. 48205/99 i 2 inne, § 20, 14</w:t>
      </w:r>
      <w:r w:rsidR="00243852">
        <w:t> </w:t>
      </w:r>
      <w:r w:rsidRPr="00776964">
        <w:t>maja 2002 r</w:t>
      </w:r>
      <w:r w:rsidR="002F6274">
        <w:t>.</w:t>
      </w:r>
      <w:r w:rsidRPr="00776964">
        <w:t xml:space="preserve">; </w:t>
      </w:r>
      <w:r w:rsidRPr="00776964">
        <w:rPr>
          <w:i/>
        </w:rPr>
        <w:t>Al</w:t>
      </w:r>
      <w:r w:rsidRPr="00776964">
        <w:rPr>
          <w:i/>
        </w:rPr>
        <w:noBreakHyphen/>
        <w:t>Skeini</w:t>
      </w:r>
      <w:r w:rsidRPr="00776964">
        <w:rPr>
          <w:i/>
          <w:iCs/>
        </w:rPr>
        <w:t xml:space="preserve"> i Inni</w:t>
      </w:r>
      <w:r w:rsidRPr="00776964">
        <w:t xml:space="preserve">, cyt. powyżej, §§ 143-50; oraz </w:t>
      </w:r>
      <w:r w:rsidRPr="00776964">
        <w:rPr>
          <w:i/>
        </w:rPr>
        <w:t>Al-Jedda przeciwko Zjednoczonemu Królestwu</w:t>
      </w:r>
      <w:r w:rsidRPr="00776964">
        <w:t xml:space="preserve"> [WI], nr 27021/08, §§ 75</w:t>
      </w:r>
      <w:r w:rsidRPr="00776964">
        <w:noBreakHyphen/>
        <w:t>96, ECHR 2011).</w:t>
      </w:r>
    </w:p>
    <w:p w14:paraId="332CA22C" w14:textId="24B44B15" w:rsidR="005A5504" w:rsidRPr="00776964" w:rsidRDefault="005E04D8" w:rsidP="00776964">
      <w:pPr>
        <w:pStyle w:val="JuPara"/>
      </w:pPr>
      <w:r>
        <w:t>105</w:t>
      </w:r>
      <w:r w:rsidRPr="00776964">
        <w:t>.</w:t>
      </w:r>
      <w:r w:rsidR="006C3249">
        <w:t xml:space="preserve"> </w:t>
      </w:r>
      <w:r w:rsidRPr="00776964">
        <w:t xml:space="preserve">Ponadto użycie siły przez przedstawicieli </w:t>
      </w:r>
      <w:r w:rsidR="00840AD0" w:rsidRPr="00776964">
        <w:t xml:space="preserve">państwa </w:t>
      </w:r>
      <w:r w:rsidRPr="00776964">
        <w:t>działających poza jego terytorium może w pewnych okolicznościach spraw</w:t>
      </w:r>
      <w:r w:rsidR="001B54D5">
        <w:t>ić</w:t>
      </w:r>
      <w:r w:rsidRPr="00776964">
        <w:t xml:space="preserve">, że osoby, które </w:t>
      </w:r>
      <w:r w:rsidRPr="00776964">
        <w:lastRenderedPageBreak/>
        <w:t xml:space="preserve">w ten sposób znajdą się pod kontrolą władz państwa, będą podlegały jurysdykcji </w:t>
      </w:r>
      <w:r w:rsidR="00840AD0" w:rsidRPr="00776964">
        <w:t xml:space="preserve">państwa </w:t>
      </w:r>
      <w:r w:rsidRPr="00776964">
        <w:t xml:space="preserve">według art. 1 (w celu zapoznania się z podsumowaniem orzecznictwa dotyczącego tych sytuacji, zob. </w:t>
      </w:r>
      <w:r w:rsidRPr="00776964">
        <w:rPr>
          <w:i/>
        </w:rPr>
        <w:t>Al</w:t>
      </w:r>
      <w:r w:rsidRPr="00776964">
        <w:rPr>
          <w:i/>
        </w:rPr>
        <w:noBreakHyphen/>
        <w:t>Skeini i Inni</w:t>
      </w:r>
      <w:r w:rsidRPr="00776964">
        <w:t xml:space="preserve">, cyt. powyżej, § 136). Taki sam wniosek wyciągnięto w przypadku, gdy osoba znalazła się pod opieką przedstawicieli Państwa za granicą </w:t>
      </w:r>
      <w:bookmarkStart w:id="0" w:name="File2"/>
      <w:r w:rsidRPr="00776964">
        <w:t xml:space="preserve">(zob. </w:t>
      </w:r>
      <w:r w:rsidRPr="00776964">
        <w:rPr>
          <w:i/>
        </w:rPr>
        <w:t>Öcalan</w:t>
      </w:r>
      <w:bookmarkEnd w:id="0"/>
      <w:r w:rsidRPr="00776964">
        <w:rPr>
          <w:i/>
        </w:rPr>
        <w:t xml:space="preserve">przeciwko Turcji </w:t>
      </w:r>
      <w:r w:rsidRPr="00776964">
        <w:t>[WI], nr 46221/99, § 91, ECHR 2005</w:t>
      </w:r>
      <w:r w:rsidRPr="00776964">
        <w:noBreakHyphen/>
        <w:t xml:space="preserve">IV). Podobnie, jurysdykcję eksterytorialną uznano w wyniku sytuacji, w których urzędnicy </w:t>
      </w:r>
      <w:r w:rsidR="00840AD0" w:rsidRPr="00776964">
        <w:t xml:space="preserve">państwa </w:t>
      </w:r>
      <w:r w:rsidRPr="00776964">
        <w:t xml:space="preserve">działający poza jego terytorium, poprzez kontrolę nad budynkami, samolotami lub statkami, w których przetrzymywano osoby, sprawowali władzę i fizyczną kontrolę nad tymi osobami (zob. </w:t>
      </w:r>
      <w:r w:rsidRPr="00776964">
        <w:rPr>
          <w:i/>
        </w:rPr>
        <w:t>Issa i Inni przeciwko Turcji</w:t>
      </w:r>
      <w:r w:rsidRPr="00776964">
        <w:t>,</w:t>
      </w:r>
      <w:r w:rsidRPr="00776964">
        <w:rPr>
          <w:i/>
        </w:rPr>
        <w:t xml:space="preserve"> </w:t>
      </w:r>
      <w:r w:rsidRPr="00776964">
        <w:t>nr 31821/96, §§ 72</w:t>
      </w:r>
      <w:r w:rsidRPr="00776964">
        <w:noBreakHyphen/>
        <w:t xml:space="preserve">82, 16 listopada 2004; </w:t>
      </w:r>
      <w:r w:rsidRPr="00776964">
        <w:rPr>
          <w:i/>
        </w:rPr>
        <w:t>Al-Saadoon i Mufdhi przeciwko Zjednoczonemu Królestwu</w:t>
      </w:r>
      <w:r w:rsidRPr="00776964">
        <w:t xml:space="preserve"> (dec.), nr 61498/08, §§ 86-89, 30</w:t>
      </w:r>
      <w:r w:rsidR="00243852">
        <w:t> </w:t>
      </w:r>
      <w:r w:rsidRPr="00776964">
        <w:t xml:space="preserve">czerwca 2009; </w:t>
      </w:r>
      <w:r w:rsidRPr="00776964">
        <w:rPr>
          <w:i/>
        </w:rPr>
        <w:t xml:space="preserve">Medvedyev i </w:t>
      </w:r>
      <w:r w:rsidRPr="00776964">
        <w:rPr>
          <w:i/>
          <w:iCs/>
        </w:rPr>
        <w:t>Inni</w:t>
      </w:r>
      <w:r w:rsidRPr="00776964">
        <w:t>, cyt. powyżej, §§ 62</w:t>
      </w:r>
      <w:r w:rsidRPr="00776964">
        <w:noBreakHyphen/>
        <w:t xml:space="preserve">67; </w:t>
      </w:r>
      <w:r w:rsidRPr="00776964">
        <w:rPr>
          <w:i/>
        </w:rPr>
        <w:t>Hirsi Jamaa i</w:t>
      </w:r>
      <w:r w:rsidR="00243852">
        <w:rPr>
          <w:i/>
        </w:rPr>
        <w:t> </w:t>
      </w:r>
      <w:r w:rsidRPr="00776964">
        <w:rPr>
          <w:i/>
        </w:rPr>
        <w:t>I</w:t>
      </w:r>
      <w:r w:rsidRPr="00776964">
        <w:rPr>
          <w:i/>
          <w:iCs/>
        </w:rPr>
        <w:t>nni</w:t>
      </w:r>
      <w:r w:rsidRPr="00776964">
        <w:t xml:space="preserve">, cyt. powyżej, §§ 76-82; oraz </w:t>
      </w:r>
      <w:r w:rsidRPr="00776964">
        <w:rPr>
          <w:i/>
        </w:rPr>
        <w:t>Hassan przeciwko Zjednoczonemu Królestwu</w:t>
      </w:r>
      <w:r w:rsidRPr="00776964">
        <w:t xml:space="preserve"> [WI], nr 29750/09, §§ 75-80, ECHR 2014).</w:t>
      </w:r>
    </w:p>
    <w:p w14:paraId="52563857" w14:textId="64EAE6A7" w:rsidR="005A5504" w:rsidRPr="00776964" w:rsidRDefault="005E04D8" w:rsidP="00776964">
      <w:pPr>
        <w:pStyle w:val="JuPara"/>
        <w:rPr>
          <w:i/>
        </w:rPr>
      </w:pPr>
      <w:r>
        <w:t>106</w:t>
      </w:r>
      <w:r w:rsidRPr="00776964">
        <w:t>.</w:t>
      </w:r>
      <w:r w:rsidR="006C3249">
        <w:t xml:space="preserve"> </w:t>
      </w:r>
      <w:r w:rsidRPr="00776964">
        <w:t xml:space="preserve">Jak Trybunał powtórzył w wyroku w sprawie </w:t>
      </w:r>
      <w:r w:rsidRPr="00776964">
        <w:rPr>
          <w:i/>
          <w:iCs/>
        </w:rPr>
        <w:t>Al-Skeini i Inni</w:t>
      </w:r>
      <w:r w:rsidRPr="00776964">
        <w:t xml:space="preserve"> (cyt.</w:t>
      </w:r>
      <w:r w:rsidR="00243852">
        <w:t> </w:t>
      </w:r>
      <w:r w:rsidRPr="00776964">
        <w:t xml:space="preserve">powyżej, § 134), jurysdykcja </w:t>
      </w:r>
      <w:r w:rsidR="00840AD0" w:rsidRPr="00776964">
        <w:t xml:space="preserve">państwa </w:t>
      </w:r>
      <w:r w:rsidRPr="00776964">
        <w:t>Strony może wynikać z działań lub zaniechań jego urzędników dyplomatycznych lub konsularnych, kiedy za</w:t>
      </w:r>
      <w:r w:rsidR="00243852">
        <w:t> </w:t>
      </w:r>
      <w:r w:rsidRPr="00776964">
        <w:t>granicą wykonują oni swoje uprawnienia państwowe w odniesieniu do</w:t>
      </w:r>
      <w:r w:rsidR="00243852">
        <w:t> </w:t>
      </w:r>
      <w:r w:rsidRPr="00776964">
        <w:t xml:space="preserve">obywateli tego </w:t>
      </w:r>
      <w:r w:rsidR="00840AD0" w:rsidRPr="00776964">
        <w:t xml:space="preserve">państwa </w:t>
      </w:r>
      <w:r w:rsidRPr="00776964">
        <w:t xml:space="preserve">lub ich mienia (zob. </w:t>
      </w:r>
      <w:r w:rsidRPr="00776964">
        <w:rPr>
          <w:i/>
          <w:iCs/>
        </w:rPr>
        <w:t>X przeciwko Niemcom</w:t>
      </w:r>
      <w:r w:rsidRPr="00776964">
        <w:t>, cyt.</w:t>
      </w:r>
      <w:r w:rsidR="00243852">
        <w:t> </w:t>
      </w:r>
      <w:r w:rsidRPr="00776964">
        <w:t xml:space="preserve">powyżej; </w:t>
      </w:r>
      <w:r w:rsidRPr="00776964">
        <w:rPr>
          <w:i/>
          <w:iCs/>
        </w:rPr>
        <w:t>X przeciwko Zjednoczonemu Królestwu</w:t>
      </w:r>
      <w:r w:rsidRPr="00776964">
        <w:t xml:space="preserve">, nr 7547/76, decyzja Komisji z 15 grudnia 1977, DR 12, str. 73; oraz </w:t>
      </w:r>
      <w:r w:rsidRPr="00776964">
        <w:rPr>
          <w:i/>
          <w:iCs/>
        </w:rPr>
        <w:t>S. przeciwko Niemcom</w:t>
      </w:r>
      <w:r w:rsidRPr="00776964">
        <w:t>, nr</w:t>
      </w:r>
      <w:r w:rsidR="00243852">
        <w:t> </w:t>
      </w:r>
      <w:r w:rsidRPr="00776964">
        <w:t>10686/83, decyzja Komisji z 5 października 1984, DR 40, str. 191), lub</w:t>
      </w:r>
      <w:r w:rsidR="00243852">
        <w:t> </w:t>
      </w:r>
      <w:r w:rsidRPr="00776964">
        <w:t xml:space="preserve">gdy sprawują fizyczną władzę i kontrolę nad określonymi osobami (patrz </w:t>
      </w:r>
      <w:r w:rsidRPr="00776964">
        <w:rPr>
          <w:i/>
          <w:iCs/>
        </w:rPr>
        <w:t>M. przeciwko Danii</w:t>
      </w:r>
      <w:r w:rsidRPr="00776964">
        <w:t>, cyt. powyżej, str. 193).</w:t>
      </w:r>
    </w:p>
    <w:p w14:paraId="50BC50F3" w14:textId="0BCB1EAD" w:rsidR="005A5504" w:rsidRPr="00776964" w:rsidRDefault="005E04D8" w:rsidP="00776964">
      <w:pPr>
        <w:pStyle w:val="JuPara"/>
      </w:pPr>
      <w:r>
        <w:t>107</w:t>
      </w:r>
      <w:r w:rsidRPr="00776964">
        <w:t>.</w:t>
      </w:r>
      <w:r w:rsidR="006C3249">
        <w:t xml:space="preserve"> </w:t>
      </w:r>
      <w:r w:rsidRPr="00776964">
        <w:t>Wreszcie szczególne okoliczności o charakterze proceduralnym wykorzystano do uzasadnienia zastosowania Konwencji w odniesieniu do</w:t>
      </w:r>
      <w:r w:rsidR="00243852">
        <w:t> </w:t>
      </w:r>
      <w:r w:rsidRPr="00776964">
        <w:t xml:space="preserve">zdarzeń, które miały miejsce poza terytorium pozwanego </w:t>
      </w:r>
      <w:r w:rsidR="00840AD0" w:rsidRPr="00776964">
        <w:t>państwa</w:t>
      </w:r>
      <w:r w:rsidRPr="00776964">
        <w:t>. I tak, w odniesieniu do postępowania cywilnego o odszkodowanie wszczętego przez sądy włoskie na wniosek skarżących na podstawie prawa krajowego w</w:t>
      </w:r>
      <w:r w:rsidR="00243852">
        <w:t> </w:t>
      </w:r>
      <w:r w:rsidRPr="00776964">
        <w:t>związku ze śmiercią ich krewnych w wyniku ataków z powietrza przeprowadzonych przez sojusz NATO przeciwko Federalnej Republice Jugosławii, Trybunał orzekł, pomimo eksterytorialnego charakteru wydarzeń będących źródłem powództwa, że postępowanie to mieści się w zakresie jurysdykcji Włoch, które były odpowiednio zobowiązane do zapewnienia w</w:t>
      </w:r>
      <w:r w:rsidR="00243852">
        <w:t> </w:t>
      </w:r>
      <w:r w:rsidRPr="00776964">
        <w:t xml:space="preserve">tym postępowaniu poszanowania praw chronionych przez art. 6 Konwencji (zob. </w:t>
      </w:r>
      <w:r w:rsidRPr="00776964">
        <w:rPr>
          <w:i/>
        </w:rPr>
        <w:t>Markovic i Inni przeciwko Włochom</w:t>
      </w:r>
      <w:r w:rsidRPr="00776964">
        <w:t xml:space="preserve"> (dec.), nr 1398/03, 12 czerwca 2003 r</w:t>
      </w:r>
      <w:r w:rsidR="002F6274">
        <w:t>.</w:t>
      </w:r>
      <w:r w:rsidRPr="00776964">
        <w:t xml:space="preserve">, oraz </w:t>
      </w:r>
      <w:r w:rsidRPr="00776964">
        <w:rPr>
          <w:i/>
        </w:rPr>
        <w:t>Markovic</w:t>
      </w:r>
      <w:r w:rsidRPr="00776964">
        <w:rPr>
          <w:i/>
          <w:iCs/>
        </w:rPr>
        <w:t xml:space="preserve"> i Inni</w:t>
      </w:r>
      <w:r w:rsidRPr="00776964">
        <w:t xml:space="preserve"> [WI], cyt. powyżej, §§ 49</w:t>
      </w:r>
      <w:r w:rsidRPr="00776964">
        <w:noBreakHyphen/>
        <w:t>55). Ostatnio, w</w:t>
      </w:r>
      <w:r w:rsidR="00243852">
        <w:t> </w:t>
      </w:r>
      <w:r w:rsidRPr="00776964">
        <w:t xml:space="preserve">odniesieniu do zgonów, które miały miejsce poza terytorium pozwanego </w:t>
      </w:r>
      <w:r w:rsidR="00840AD0" w:rsidRPr="00776964">
        <w:t>państwa</w:t>
      </w:r>
      <w:r w:rsidRPr="00776964">
        <w:t xml:space="preserve">, Trybunał stwierdził, że fakt, iż dane </w:t>
      </w:r>
      <w:r w:rsidR="00840AD0" w:rsidRPr="00776964">
        <w:t xml:space="preserve">państwo </w:t>
      </w:r>
      <w:r w:rsidRPr="00776964">
        <w:t>rozpoczęło dochodzenie w sprawie tych wydarzeń, ustanowił związek jurysdykcyjny dla</w:t>
      </w:r>
      <w:r w:rsidR="00243852">
        <w:t> </w:t>
      </w:r>
      <w:r w:rsidRPr="00776964">
        <w:t xml:space="preserve">celów art. 1 pomiędzy tym </w:t>
      </w:r>
      <w:r w:rsidR="00840AD0" w:rsidRPr="00776964">
        <w:t xml:space="preserve">państwem </w:t>
      </w:r>
      <w:r w:rsidRPr="00776964">
        <w:t>a krewnymi ofiary, pociągając za</w:t>
      </w:r>
      <w:r w:rsidR="00243852">
        <w:t> </w:t>
      </w:r>
      <w:r w:rsidRPr="00776964">
        <w:t xml:space="preserve">sobą obowiązek spełnienia przez </w:t>
      </w:r>
      <w:r w:rsidR="00840AD0" w:rsidRPr="00776964">
        <w:t xml:space="preserve">państwo </w:t>
      </w:r>
      <w:r w:rsidRPr="00776964">
        <w:t>wymogów proceduralnych art.</w:t>
      </w:r>
      <w:r w:rsidR="00243852">
        <w:t> </w:t>
      </w:r>
      <w:r w:rsidRPr="00776964">
        <w:t xml:space="preserve">2 (zob. </w:t>
      </w:r>
      <w:r w:rsidRPr="00776964">
        <w:rPr>
          <w:i/>
        </w:rPr>
        <w:t>Güzelyurtlu i Inni</w:t>
      </w:r>
      <w:r w:rsidRPr="00776964">
        <w:t>, cyt. powyżej, § 188).</w:t>
      </w:r>
    </w:p>
    <w:p w14:paraId="637A50F8" w14:textId="161A8CAF" w:rsidR="005A5504" w:rsidRPr="00776964" w:rsidRDefault="005E04D8" w:rsidP="00776964">
      <w:pPr>
        <w:pStyle w:val="JuPara"/>
      </w:pPr>
      <w:r>
        <w:lastRenderedPageBreak/>
        <w:t>108</w:t>
      </w:r>
      <w:r w:rsidRPr="00776964">
        <w:t>.</w:t>
      </w:r>
      <w:r w:rsidR="006C3249">
        <w:t xml:space="preserve"> </w:t>
      </w:r>
      <w:r w:rsidRPr="00776964">
        <w:t xml:space="preserve">Natomiast w cytowanej wyżej sprawie </w:t>
      </w:r>
      <w:r w:rsidRPr="00776964">
        <w:rPr>
          <w:i/>
        </w:rPr>
        <w:t>Abdul Wahab Khan</w:t>
      </w:r>
      <w:r w:rsidRPr="00776964">
        <w:t xml:space="preserve"> Trybunał odrzucił argument oparty na postępowaniu wszczętym na wniosek skarżącego, obywatela pakistańskiego zamieszkałego w Pakistanie, przed SIAC w przedmiocie zakwestionowania decyzji o cofnięciu pozwolenia na</w:t>
      </w:r>
      <w:r w:rsidR="00243852">
        <w:t> </w:t>
      </w:r>
      <w:r w:rsidRPr="00776964">
        <w:t>pobyt w Zjednoczonym Królestwie. Trybunał uznał, że w świetle braku innych kryteriów powiązania, fakt, że skarżący wytoczył to postępowanie nie</w:t>
      </w:r>
      <w:r w:rsidR="00243852">
        <w:t> </w:t>
      </w:r>
      <w:r w:rsidRPr="00776964">
        <w:t>był wystarczający do ustalenia jurysdykcji Zjednoczonego Królestwa w</w:t>
      </w:r>
      <w:r w:rsidR="00243852">
        <w:t> </w:t>
      </w:r>
      <w:r w:rsidRPr="00776964">
        <w:t>odniesieniu do podnoszonego przez skarżącego ryzyka, że zostanie on</w:t>
      </w:r>
      <w:r w:rsidR="00243852">
        <w:t> </w:t>
      </w:r>
      <w:r w:rsidRPr="00776964">
        <w:t>poddany w Pakistanie traktowaniu sprzecznemu z art. 3 Konwencji (zob.</w:t>
      </w:r>
      <w:r w:rsidR="00243852">
        <w:t> </w:t>
      </w:r>
      <w:r w:rsidRPr="00776964">
        <w:rPr>
          <w:i/>
        </w:rPr>
        <w:t>Abdul Wahab Khan</w:t>
      </w:r>
      <w:r w:rsidRPr="00776964">
        <w:t>, cyt. powyżej, § 28).</w:t>
      </w:r>
    </w:p>
    <w:p w14:paraId="66811A00" w14:textId="14776DBE" w:rsidR="005A5504" w:rsidRPr="00776964" w:rsidRDefault="005E04D8" w:rsidP="00776964">
      <w:pPr>
        <w:pStyle w:val="JuPara"/>
      </w:pPr>
      <w:r>
        <w:t>109</w:t>
      </w:r>
      <w:r w:rsidRPr="00776964">
        <w:t>.</w:t>
      </w:r>
      <w:r w:rsidR="006C3249">
        <w:t xml:space="preserve"> </w:t>
      </w:r>
      <w:r w:rsidRPr="00776964">
        <w:t>W drodze porównania Trybunał podkreśla, że wyżej cytowane sprawy należy odróżnić od tych, w których fakty zawierały element międzynarodowy, ale które nie wiązały się z eksterytorialnością w</w:t>
      </w:r>
      <w:r w:rsidR="00243852">
        <w:t> </w:t>
      </w:r>
      <w:r w:rsidRPr="00776964">
        <w:t>rozumieniu art. 1 Konwencji. Taka sytuacja miała miejsce w odniesieniu do spraw na podstawie art. 8 dotyczących decyzji podjętych w stosunku do</w:t>
      </w:r>
      <w:r w:rsidR="00243852">
        <w:t> </w:t>
      </w:r>
      <w:r w:rsidRPr="00776964">
        <w:t xml:space="preserve">osób, niezależnie od tego, czy były one obywatelami przebywającymi poza terytorium pozwanego </w:t>
      </w:r>
      <w:r w:rsidR="00840AD0" w:rsidRPr="00776964">
        <w:t>państwa</w:t>
      </w:r>
      <w:r w:rsidRPr="00776964">
        <w:t xml:space="preserve">, ale w których nie powstała kwestia jurysdykcji tego </w:t>
      </w:r>
      <w:r w:rsidR="00840AD0" w:rsidRPr="00776964">
        <w:t>państwa</w:t>
      </w:r>
      <w:r w:rsidRPr="00776964">
        <w:t xml:space="preserve">, biorąc pod uwagę fakt, że związek jurysdykcyjny wynikał z wcześniej istniejącego życia rodzinnego lub prywatnego, które </w:t>
      </w:r>
      <w:r w:rsidR="00840AD0" w:rsidRPr="00776964">
        <w:t xml:space="preserve">państwo </w:t>
      </w:r>
      <w:r w:rsidRPr="00776964">
        <w:t xml:space="preserve">to miało obowiązek chronić (zob. </w:t>
      </w:r>
      <w:r w:rsidRPr="00776964">
        <w:rPr>
          <w:i/>
        </w:rPr>
        <w:t>Nessa i Inni przeciwko Finlandii</w:t>
      </w:r>
      <w:r w:rsidRPr="00776964">
        <w:t xml:space="preserve"> (dec.), nr 31862/02, 6 maja 2003 r</w:t>
      </w:r>
      <w:r w:rsidR="002F6274">
        <w:t>.</w:t>
      </w:r>
      <w:r w:rsidRPr="00776964">
        <w:t xml:space="preserve">; </w:t>
      </w:r>
      <w:r w:rsidRPr="00776964">
        <w:rPr>
          <w:i/>
        </w:rPr>
        <w:t>Orlandi i Inni przeciwko Włochom</w:t>
      </w:r>
      <w:r w:rsidRPr="00776964">
        <w:t>, nr</w:t>
      </w:r>
      <w:r w:rsidR="00243852">
        <w:t> </w:t>
      </w:r>
      <w:r w:rsidRPr="00776964">
        <w:t>26431/12, 14 grudnia 2017 r</w:t>
      </w:r>
      <w:r w:rsidR="002F6274">
        <w:t>.</w:t>
      </w:r>
      <w:r w:rsidRPr="00776964">
        <w:t xml:space="preserve">; oraz </w:t>
      </w:r>
      <w:r w:rsidRPr="00776964">
        <w:rPr>
          <w:i/>
        </w:rPr>
        <w:t>Schembri przeciwko Malcie</w:t>
      </w:r>
      <w:r w:rsidRPr="00776964">
        <w:t xml:space="preserve"> (dec.), nr</w:t>
      </w:r>
      <w:r w:rsidR="00243852">
        <w:t> </w:t>
      </w:r>
      <w:r w:rsidRPr="00776964">
        <w:t>66297/13, 19 września 2017 r</w:t>
      </w:r>
      <w:r w:rsidR="002F6274">
        <w:t>.</w:t>
      </w:r>
      <w:r w:rsidRPr="00776964">
        <w:t>).</w:t>
      </w:r>
    </w:p>
    <w:p w14:paraId="01CF5F06" w14:textId="77777777" w:rsidR="005A5504" w:rsidRPr="00776964" w:rsidRDefault="00000000" w:rsidP="00776964">
      <w:pPr>
        <w:pStyle w:val="JuHa0"/>
      </w:pPr>
      <w:r w:rsidRPr="00776964">
        <w:t>Zastosowanie w niniejszej sprawie</w:t>
      </w:r>
    </w:p>
    <w:p w14:paraId="0B7D27AC" w14:textId="0B3D9DA1" w:rsidR="005A5504" w:rsidRPr="00776964" w:rsidRDefault="005E04D8" w:rsidP="00776964">
      <w:pPr>
        <w:pStyle w:val="JuPara"/>
      </w:pPr>
      <w:r>
        <w:t>110</w:t>
      </w:r>
      <w:r w:rsidRPr="00776964">
        <w:t>.</w:t>
      </w:r>
      <w:r w:rsidR="006C3249">
        <w:t xml:space="preserve"> </w:t>
      </w:r>
      <w:r w:rsidRPr="00776964">
        <w:t>Trybunał zauważa po pierwsze, że zaskarżone decyzje zostały wydane przez władze belgijskie w Belgii. Wydano je w odpowiedzi na</w:t>
      </w:r>
      <w:r w:rsidR="00243852">
        <w:t> </w:t>
      </w:r>
      <w:r w:rsidRPr="00776964">
        <w:t>wnioski wizowe złożone przez skarżących w służbach konsularnych ambasady belgijskiej w Bejrucie, w celu uzyskania zezwolenia na wjazd do</w:t>
      </w:r>
      <w:r w:rsidR="00243852">
        <w:t> </w:t>
      </w:r>
      <w:r w:rsidRPr="00776964">
        <w:t>Belgii, aby mogli oni wystąpić o azyl w tym kraju i uniknąć traktowania z naruszeniem art. 3 Konwencji, na które, jak twierdzili, byli narażeni w</w:t>
      </w:r>
      <w:r w:rsidR="00243852">
        <w:t> </w:t>
      </w:r>
      <w:r w:rsidRPr="00776964">
        <w:t>Aleppo. Decyzje o odmowie przyznania wnioskowanych wiz zostały następnie przekazane służbom konsularnym ambasady, które powiadomiły wnioskodawców.</w:t>
      </w:r>
    </w:p>
    <w:p w14:paraId="5B67B7B1" w14:textId="4755EF18" w:rsidR="005A5504" w:rsidRPr="00776964" w:rsidRDefault="005E04D8" w:rsidP="00776964">
      <w:pPr>
        <w:pStyle w:val="JuPara"/>
      </w:pPr>
      <w:r>
        <w:t>111</w:t>
      </w:r>
      <w:r w:rsidRPr="00776964">
        <w:t>.</w:t>
      </w:r>
      <w:r w:rsidR="006C3249">
        <w:t xml:space="preserve"> </w:t>
      </w:r>
      <w:r w:rsidRPr="00776964">
        <w:t>Skarżący podnieśli, że w niniejszej sprawie kwestia „jurysdykcji” w</w:t>
      </w:r>
      <w:r w:rsidR="00243852">
        <w:t> </w:t>
      </w:r>
      <w:r w:rsidRPr="00776964">
        <w:t>rozumieniu art. 1 Konwencji nie pojawia się wyłącznie w kontekście eksterytorialnego zakresu zaskarżonych decyzji. Ich zdaniem, przy</w:t>
      </w:r>
      <w:r w:rsidR="00243852">
        <w:t> </w:t>
      </w:r>
      <w:r w:rsidRPr="00776964">
        <w:t>rozpatrywaniu przedmiotowych wniosków wizowych, władze belgijskie rozstrzygnęły kwestię warunków wjazdu na terytorium kraju. W ten sposób władze te podjęły decyzje krajowe w stosunku do skarżących, poddając ich jurysdykcji Belgii.</w:t>
      </w:r>
    </w:p>
    <w:p w14:paraId="34FEF9B4" w14:textId="23F68784" w:rsidR="005A5504" w:rsidRPr="00776964" w:rsidRDefault="005E04D8" w:rsidP="00776964">
      <w:pPr>
        <w:pStyle w:val="JuPara"/>
      </w:pPr>
      <w:r>
        <w:t>112</w:t>
      </w:r>
      <w:r w:rsidRPr="00776964">
        <w:t>.</w:t>
      </w:r>
      <w:r w:rsidR="006C3249">
        <w:t xml:space="preserve"> </w:t>
      </w:r>
      <w:r w:rsidRPr="00776964">
        <w:t xml:space="preserve">Trybunał przyznał, że orzekając w sprawie wniosków wizowych skarżących, władze belgijskie podejmowały decyzje dotyczące warunków wjazdu na „terytorium” Belgii, wykonując w ten sposób władzę publiczną. </w:t>
      </w:r>
      <w:r w:rsidRPr="00776964">
        <w:lastRenderedPageBreak/>
        <w:t xml:space="preserve">Samo w sobie stwierdzenie to nie jest jednak wystarczające, aby poddać skarżących „terytorialnej” jurysdykcji Belgii w rozumieniu art. 1 Konwencji. Sam fakt, że decyzje podjęte na szczeblu krajowym miały wpływ na sytuację osób zamieszkałych za granicą również nie ustanawia jurysdykcji danego państwa nad tymi osobami poza jego terytorium (zob. </w:t>
      </w:r>
      <w:r w:rsidRPr="00776964">
        <w:rPr>
          <w:i/>
        </w:rPr>
        <w:t>Banković i Inni</w:t>
      </w:r>
      <w:r w:rsidRPr="00776964">
        <w:t>, cyt.</w:t>
      </w:r>
      <w:r w:rsidR="00243852">
        <w:t> </w:t>
      </w:r>
      <w:r w:rsidRPr="00776964">
        <w:t>powyżej, § 75).</w:t>
      </w:r>
    </w:p>
    <w:p w14:paraId="34BE34F9" w14:textId="11C91BF4" w:rsidR="005A5504" w:rsidRPr="00776964" w:rsidRDefault="005E04D8" w:rsidP="00776964">
      <w:pPr>
        <w:pStyle w:val="JuPara"/>
      </w:pPr>
      <w:r>
        <w:t>113</w:t>
      </w:r>
      <w:r w:rsidRPr="00776964">
        <w:t>.</w:t>
      </w:r>
      <w:r w:rsidR="006C3249">
        <w:t xml:space="preserve"> </w:t>
      </w:r>
      <w:r w:rsidRPr="00776964">
        <w:t>W celu ustalenia, czy Konwencja ma zastosowanie do niniejszej sprawy, Trybunał musi zbadać, czy istniały wyjątkowe okoliczności, które mogłyby prowadzić do wniosku, że Belgia wykonywała jurysdykcję eksterytorialną w stosunku do skarżących. Jak wskazywał wcześniej (zob.</w:t>
      </w:r>
      <w:r w:rsidR="00243852">
        <w:t> </w:t>
      </w:r>
      <w:r w:rsidRPr="00776964">
        <w:t>paragraf </w:t>
      </w:r>
      <w:r w:rsidR="00D87C28">
        <w:t>102</w:t>
      </w:r>
      <w:r w:rsidRPr="00776964">
        <w:t xml:space="preserve"> powyżej), jest to przede wszystkim kwestia faktów, która wymaga od niego zbadania charakteru związku między skarżącymi a</w:t>
      </w:r>
      <w:r w:rsidR="00243852">
        <w:t> </w:t>
      </w:r>
      <w:r w:rsidRPr="00776964">
        <w:t xml:space="preserve">pozwanym </w:t>
      </w:r>
      <w:r w:rsidR="00840AD0" w:rsidRPr="00776964">
        <w:t xml:space="preserve">państwem </w:t>
      </w:r>
      <w:r w:rsidRPr="00776964">
        <w:t>oraz upewnienia się, czy to ostatnie faktycznie sprawowało nad nimi władzę lub kontrolę.</w:t>
      </w:r>
    </w:p>
    <w:p w14:paraId="00031259" w14:textId="640073BF" w:rsidR="005A5504" w:rsidRPr="00776964" w:rsidRDefault="005E04D8" w:rsidP="00776964">
      <w:pPr>
        <w:pStyle w:val="JuPara"/>
      </w:pPr>
      <w:r>
        <w:t>114</w:t>
      </w:r>
      <w:r w:rsidRPr="00776964">
        <w:t>.</w:t>
      </w:r>
      <w:r w:rsidR="006C3249">
        <w:t xml:space="preserve"> </w:t>
      </w:r>
      <w:r w:rsidRPr="00776964">
        <w:t>W związku z tym nie ma znaczenia, że przedstawiciele dyplomatyczni pełnili, jak w niniejszym przypadku, jedynie rolę „skrzynki pocztowej”, ani też nie można ustalić, kto był odpowiedzialny za</w:t>
      </w:r>
      <w:r w:rsidR="00243852">
        <w:t> </w:t>
      </w:r>
      <w:r w:rsidRPr="00776964">
        <w:t>podejmowanie decyzji, czy władze belgijskie na terytorium kraju, czy też przedstawiciele dyplomatyczni oddelegowani za granicę.</w:t>
      </w:r>
    </w:p>
    <w:p w14:paraId="10E3844D" w14:textId="48B6B339" w:rsidR="005A5504" w:rsidRPr="00776964" w:rsidRDefault="005E04D8" w:rsidP="00776964">
      <w:pPr>
        <w:pStyle w:val="JuPara"/>
      </w:pPr>
      <w:r>
        <w:t>115</w:t>
      </w:r>
      <w:r w:rsidRPr="00776964">
        <w:t>.</w:t>
      </w:r>
      <w:r w:rsidR="006C3249">
        <w:t xml:space="preserve"> </w:t>
      </w:r>
      <w:r w:rsidRPr="00776964">
        <w:t>Trybunał zauważa na wstępie, że skarżący nigdy nie przebywali na</w:t>
      </w:r>
      <w:r w:rsidR="00243852">
        <w:t> </w:t>
      </w:r>
      <w:r w:rsidRPr="00776964">
        <w:t>terytorium Belgii i nie twierdzą, że łączą ich z tym państwem jakiekolwiek istniejące wcześniej więzi rodzinne lub prywatne.</w:t>
      </w:r>
    </w:p>
    <w:p w14:paraId="035738A6" w14:textId="24066F4C" w:rsidR="005A5504" w:rsidRPr="00776964" w:rsidRDefault="005E04D8" w:rsidP="00776964">
      <w:pPr>
        <w:pStyle w:val="JuPara"/>
      </w:pPr>
      <w:r>
        <w:t>116</w:t>
      </w:r>
      <w:r w:rsidRPr="00776964">
        <w:t>.</w:t>
      </w:r>
      <w:r w:rsidR="006C3249">
        <w:t xml:space="preserve"> </w:t>
      </w:r>
      <w:r w:rsidRPr="00776964">
        <w:t>Ponadto przed Trybunałem nie twierdzono, że związek jurysdykcyjny wynikał z jakiejkolwiek kontroli sprawowanej przez władze belgijskie na terytorium syryjskim lub libańskim.</w:t>
      </w:r>
    </w:p>
    <w:p w14:paraId="4424DBDC" w14:textId="1C6DCA7C" w:rsidR="005A5504" w:rsidRPr="00776964" w:rsidRDefault="005E04D8" w:rsidP="00776964">
      <w:pPr>
        <w:pStyle w:val="JuPara"/>
      </w:pPr>
      <w:r>
        <w:t>117</w:t>
      </w:r>
      <w:r w:rsidRPr="00776964">
        <w:t>.</w:t>
      </w:r>
      <w:r w:rsidR="006C3249">
        <w:t xml:space="preserve"> </w:t>
      </w:r>
      <w:r w:rsidRPr="00776964">
        <w:t>Trybunał zauważa również, że skarżący kwestionują wynik procedur rozpatrywania ich wniosków wizowych, a nie działania lub zaniechania ze</w:t>
      </w:r>
      <w:r w:rsidR="00243852">
        <w:t> </w:t>
      </w:r>
      <w:r w:rsidRPr="00776964">
        <w:t>strony pracowników dyplomatycznych ambasady belgijskiej w Bejrucie. Niemniej jednak funkcje konsularne polegające na przyjmowaniu i</w:t>
      </w:r>
      <w:r w:rsidR="00243852">
        <w:t> </w:t>
      </w:r>
      <w:r w:rsidRPr="00776964">
        <w:t>wydawaniu wiz postrzegają jako formę kontroli lub władzy, wykonywanej wobec nich w ramach prerogatywy władzy publicznej i na tej podstawie próbują znaleźć oparcie w orzecznictwie Komisji, która uznała wykonywanie jurysdykcji eksterytorialnej w wyniku działań i zaniechań przedstawicieli dyplomatycznych.</w:t>
      </w:r>
    </w:p>
    <w:p w14:paraId="551354CF" w14:textId="300AEDC9" w:rsidR="005A5504" w:rsidRPr="00776964" w:rsidRDefault="005E04D8" w:rsidP="00776964">
      <w:pPr>
        <w:pStyle w:val="JuPara"/>
      </w:pPr>
      <w:r>
        <w:t>118</w:t>
      </w:r>
      <w:r w:rsidRPr="00776964">
        <w:t>.</w:t>
      </w:r>
      <w:r w:rsidR="006C3249">
        <w:t xml:space="preserve"> </w:t>
      </w:r>
      <w:r w:rsidRPr="00776964">
        <w:t>W związku z tym Trybunał przyjmuje argument pozwanego Rządu, poparty przez interweniujące Rządy państw trzecich, że żaden z precedensów orzeczniczych przytoczonych w paragrafie </w:t>
      </w:r>
      <w:r w:rsidR="00D87C28">
        <w:t xml:space="preserve">106 </w:t>
      </w:r>
      <w:r w:rsidRPr="00776964">
        <w:t>powyżej nie ma zastosowania do niniejszej sprawy, ponieważ nie zawiera ona żadnego z powiązań, które charakteryzowały wyżej wymienione sprawy. Po pierwsze, skarżący nie są obywatelami belgijskimi, którzy chcą skorzystać z ochrony swojej ambasady. Po drugie, w żadnym momencie przedstawiciele dyplomatyczni nie</w:t>
      </w:r>
      <w:r w:rsidR="00243852">
        <w:t> </w:t>
      </w:r>
      <w:r w:rsidRPr="00776964">
        <w:t xml:space="preserve">sprawowali faktycznej kontroli nad skarżącymi. Ci ostatni dobrowolnie stawili się w ambasadzie belgijskiej w Bejrucie i złożyli tam swoje wnioski </w:t>
      </w:r>
      <w:r w:rsidRPr="00776964">
        <w:lastRenderedPageBreak/>
        <w:t>wizowe - tak jak mogli to zrobić w każdej innej ambasadzie; następnie mogli swobodnie opuścić teren ambasady belgijskiej bez żadnych przeszkód.</w:t>
      </w:r>
    </w:p>
    <w:p w14:paraId="61A96F1A" w14:textId="2E50FEAE" w:rsidR="005A5504" w:rsidRPr="00776964" w:rsidRDefault="005E04D8" w:rsidP="00776964">
      <w:pPr>
        <w:pStyle w:val="JuPara"/>
      </w:pPr>
      <w:r>
        <w:t>119</w:t>
      </w:r>
      <w:r w:rsidRPr="00776964">
        <w:t>.</w:t>
      </w:r>
      <w:r w:rsidR="006C3249">
        <w:t xml:space="preserve"> </w:t>
      </w:r>
      <w:r w:rsidRPr="00776964">
        <w:t>Nawet zakładając, że argumentem mogłaby być kontrola administracyjna sprawowana przez państwo belgijskie nad pomieszczeniami jego ambasad, powyższe orzecznictwo (zob. paragraf </w:t>
      </w:r>
      <w:r w:rsidR="00D87C28">
        <w:t>105</w:t>
      </w:r>
      <w:r w:rsidRPr="00776964">
        <w:t xml:space="preserve"> powyżej) wskazuje, że kryterium to nie jest wystarczające, aby każda osoba, która wchodzi do tych pomieszczeń, podlegała jurysdykcji Belgii.</w:t>
      </w:r>
    </w:p>
    <w:p w14:paraId="3C18137C" w14:textId="0C5BF6E8" w:rsidR="005A5504" w:rsidRPr="00776964" w:rsidRDefault="005E04D8" w:rsidP="00776964">
      <w:pPr>
        <w:pStyle w:val="JuPara"/>
        <w:rPr>
          <w:i/>
        </w:rPr>
      </w:pPr>
      <w:r>
        <w:t>120</w:t>
      </w:r>
      <w:r w:rsidRPr="00776964">
        <w:t>.</w:t>
      </w:r>
      <w:r w:rsidR="006C3249">
        <w:t xml:space="preserve"> </w:t>
      </w:r>
      <w:r w:rsidRPr="00776964">
        <w:t xml:space="preserve">Ponadto, Trybunał powtarza, w odpowiedzi na porównanie dokonane przez skarżących z wyżej cytowanym wyrokiem w sprawie </w:t>
      </w:r>
      <w:r w:rsidRPr="00776964">
        <w:rPr>
          <w:i/>
        </w:rPr>
        <w:t>Soering</w:t>
      </w:r>
      <w:r w:rsidRPr="00776964">
        <w:t xml:space="preserve">, że niniejsza sprawa różni się zasadniczo od licznych spraw dotyczących wydaleń, które rozpatrywał od czasu tego wyroku i w których przyjął, że odpowiedzialność </w:t>
      </w:r>
      <w:r w:rsidR="00840AD0" w:rsidRPr="00776964">
        <w:t xml:space="preserve">państwa strony </w:t>
      </w:r>
      <w:r w:rsidRPr="00776964">
        <w:t>może mieć zastosowanie na</w:t>
      </w:r>
      <w:r w:rsidR="00243852">
        <w:t> </w:t>
      </w:r>
      <w:r w:rsidRPr="00776964">
        <w:t xml:space="preserve">podstawie art. 3 Konwencji, gdy decyzja </w:t>
      </w:r>
      <w:r w:rsidR="00840AD0" w:rsidRPr="00776964">
        <w:t xml:space="preserve">państwa </w:t>
      </w:r>
      <w:r w:rsidRPr="00776964">
        <w:t>o wydaleniu jednostki narażała ją na rzeczywiste ryzyko poddania jej traktowaniu z naruszeniem art. 3 w kraju przeznaczenia. W przeciwieństwie do skarżących, osoby w</w:t>
      </w:r>
      <w:r w:rsidR="00243852">
        <w:t> </w:t>
      </w:r>
      <w:r w:rsidRPr="00776964">
        <w:t xml:space="preserve">sprawach dotyczących usunięcia z terytorium </w:t>
      </w:r>
      <w:r w:rsidR="00840AD0" w:rsidRPr="00776964">
        <w:t xml:space="preserve">państwa </w:t>
      </w:r>
      <w:r w:rsidRPr="00776964">
        <w:t>przebywały na</w:t>
      </w:r>
      <w:r w:rsidR="00243852">
        <w:t> </w:t>
      </w:r>
      <w:r w:rsidRPr="00776964">
        <w:t xml:space="preserve">terytorium danego </w:t>
      </w:r>
      <w:r w:rsidR="00840AD0" w:rsidRPr="00776964">
        <w:t xml:space="preserve">państwa </w:t>
      </w:r>
      <w:r w:rsidR="006023DA">
        <w:t>–</w:t>
      </w:r>
      <w:r w:rsidRPr="00776964">
        <w:t xml:space="preserve"> lub na jego granicy (zob. </w:t>
      </w:r>
      <w:r w:rsidRPr="00776964">
        <w:rPr>
          <w:i/>
        </w:rPr>
        <w:t>M.A. i Inni przeciwko Litwie</w:t>
      </w:r>
      <w:r w:rsidRPr="00776964">
        <w:t>, nr 59793/17, § 70, 11 grudnia 2018 r</w:t>
      </w:r>
      <w:r w:rsidR="002F6274">
        <w:t>.</w:t>
      </w:r>
      <w:r w:rsidRPr="00776964">
        <w:t xml:space="preserve">, oraz, odpowiednio, </w:t>
      </w:r>
      <w:r w:rsidRPr="00776964">
        <w:rPr>
          <w:i/>
        </w:rPr>
        <w:t xml:space="preserve">N.D. i N.T. przeciwko Hiszpanii </w:t>
      </w:r>
      <w:r w:rsidRPr="00776964">
        <w:t>[WI], nr 8675/15 i 8697/15, §§ 104-11, 13</w:t>
      </w:r>
      <w:r w:rsidR="00243852">
        <w:t> </w:t>
      </w:r>
      <w:r w:rsidRPr="00776964">
        <w:t xml:space="preserve">lutego 2020 r.) </w:t>
      </w:r>
      <w:r w:rsidR="002F6274">
        <w:t>–</w:t>
      </w:r>
      <w:r w:rsidRPr="00776964">
        <w:t xml:space="preserve"> a tym samym wyraźnie podlegały jego jurysdykcji</w:t>
      </w:r>
      <w:r w:rsidRPr="00776964">
        <w:rPr>
          <w:i/>
        </w:rPr>
        <w:t xml:space="preserve"> </w:t>
      </w:r>
      <w:r w:rsidRPr="00776964">
        <w:t>(zob.</w:t>
      </w:r>
      <w:r w:rsidR="00243852">
        <w:t> </w:t>
      </w:r>
      <w:r w:rsidRPr="00776964">
        <w:rPr>
          <w:i/>
        </w:rPr>
        <w:t>Banković i Inni</w:t>
      </w:r>
      <w:r w:rsidRPr="00776964">
        <w:t>, cyt. powyżej, §§ 68 i 77).</w:t>
      </w:r>
    </w:p>
    <w:p w14:paraId="02B04A20" w14:textId="29714A53" w:rsidR="005A5504" w:rsidRPr="00776964" w:rsidRDefault="005E04D8" w:rsidP="00776964">
      <w:pPr>
        <w:pStyle w:val="JuPara"/>
      </w:pPr>
      <w:r>
        <w:t>121</w:t>
      </w:r>
      <w:r w:rsidRPr="00776964">
        <w:t>.</w:t>
      </w:r>
      <w:r w:rsidR="006C3249">
        <w:t xml:space="preserve"> </w:t>
      </w:r>
      <w:r w:rsidRPr="00776964">
        <w:t xml:space="preserve">Wreszcie skarżący twierdzą, że poddali się „jurysdykcji” państwa belgijskiego poprzez wszczęcie postępowania na szczeblu krajowym w celu zapewnienia im wjazdu do Belgii oraz że w trakcie tego postępowania właściwe organy krajowe wykonywały swoje pełne i całkowite uprawnienia (zob. paragraf </w:t>
      </w:r>
      <w:r w:rsidR="00D87C28">
        <w:t>82</w:t>
      </w:r>
      <w:r w:rsidRPr="00776964">
        <w:t xml:space="preserve"> powyżej). Trybunał odrzucił już ten argument w zakresie, w jakim zmierza on do ustalenia właściwości terytorialnej Belgii wobec skarżących (zob. paragraf </w:t>
      </w:r>
      <w:r w:rsidR="00D87C28">
        <w:t>112</w:t>
      </w:r>
      <w:r w:rsidRPr="00776964">
        <w:t xml:space="preserve"> powyżej). Musi jednak jeszcze sprawdzić, czy fakt wszczęcia postępowania na szczeblu krajowym mógł stworzyć wyjątkową okoliczność, która była wystarczająca, aby jednostronnie uruchomić eksterytorialny związek jurysdykcyjny między skarżącymi a</w:t>
      </w:r>
      <w:r w:rsidR="00243852">
        <w:t> </w:t>
      </w:r>
      <w:r w:rsidRPr="00776964">
        <w:t>Belgią w rozumieniu art. 1 Konwencji.</w:t>
      </w:r>
    </w:p>
    <w:p w14:paraId="40186B71" w14:textId="62E82111" w:rsidR="005A5504" w:rsidRPr="00776964" w:rsidRDefault="005E04D8" w:rsidP="00776964">
      <w:pPr>
        <w:pStyle w:val="JuPara"/>
      </w:pPr>
      <w:r>
        <w:t>122</w:t>
      </w:r>
      <w:r w:rsidRPr="00776964">
        <w:t>.</w:t>
      </w:r>
      <w:r w:rsidR="006C3249">
        <w:t xml:space="preserve"> </w:t>
      </w:r>
      <w:r w:rsidRPr="00776964">
        <w:t>W ocenie Trybunału takie podejście nie znajduje oparcia w</w:t>
      </w:r>
      <w:r w:rsidR="00243852">
        <w:t> </w:t>
      </w:r>
      <w:r w:rsidRPr="00776964">
        <w:t>orzecznictwie. W związku z tym wskazuje, że w cytowanej powyżej sprawie</w:t>
      </w:r>
      <w:r w:rsidRPr="00776964">
        <w:rPr>
          <w:i/>
        </w:rPr>
        <w:t xml:space="preserve"> Marković</w:t>
      </w:r>
      <w:r w:rsidRPr="00776964">
        <w:t xml:space="preserve"> </w:t>
      </w:r>
      <w:r w:rsidRPr="00776964">
        <w:rPr>
          <w:i/>
        </w:rPr>
        <w:t xml:space="preserve">i Inni </w:t>
      </w:r>
      <w:r w:rsidRPr="00776964">
        <w:t>(zob. paragraf </w:t>
      </w:r>
      <w:r w:rsidR="00D87C28">
        <w:t>107</w:t>
      </w:r>
      <w:r w:rsidRPr="00776964">
        <w:t xml:space="preserve"> powyżej) uznał za</w:t>
      </w:r>
      <w:r w:rsidR="00243852">
        <w:t> </w:t>
      </w:r>
      <w:r w:rsidRPr="00776964">
        <w:t>niedopuszczalne, z powodu braku jurysdykcji, skargi merytoryczne skarżących na podstawie postanowień Konwencji innych niż art. 6 (zob.</w:t>
      </w:r>
      <w:r w:rsidR="00243852">
        <w:t> </w:t>
      </w:r>
      <w:r w:rsidRPr="00776964">
        <w:rPr>
          <w:i/>
        </w:rPr>
        <w:t xml:space="preserve">Marković i </w:t>
      </w:r>
      <w:r w:rsidRPr="00776964">
        <w:rPr>
          <w:i/>
          <w:iCs/>
        </w:rPr>
        <w:t>Inni</w:t>
      </w:r>
      <w:r w:rsidRPr="00776964">
        <w:t xml:space="preserve"> (dec.), cyt. powyżej, oraz </w:t>
      </w:r>
      <w:r w:rsidRPr="00776964">
        <w:rPr>
          <w:i/>
        </w:rPr>
        <w:t xml:space="preserve">Marković </w:t>
      </w:r>
      <w:r w:rsidRPr="00776964">
        <w:t xml:space="preserve">i </w:t>
      </w:r>
      <w:r w:rsidRPr="00776964">
        <w:rPr>
          <w:i/>
          <w:iCs/>
        </w:rPr>
        <w:t>Inni</w:t>
      </w:r>
      <w:r w:rsidRPr="00776964">
        <w:t xml:space="preserve"> [WI], cyt.</w:t>
      </w:r>
      <w:r w:rsidR="00243852">
        <w:t> </w:t>
      </w:r>
      <w:r w:rsidRPr="00776964">
        <w:t>powyżej, §§ 4 i 49-50; zob. także, odpowiednio,</w:t>
      </w:r>
      <w:r w:rsidRPr="00776964">
        <w:rPr>
          <w:i/>
        </w:rPr>
        <w:t xml:space="preserve"> Banković i Inni</w:t>
      </w:r>
      <w:r w:rsidRPr="00776964">
        <w:t>, cyt.</w:t>
      </w:r>
      <w:r w:rsidR="00243852">
        <w:t> </w:t>
      </w:r>
      <w:r w:rsidRPr="00776964">
        <w:t xml:space="preserve">powyżej, §§ 83-84). Nie można również porównać postępowania dającego podstawę do jurysdykcji Turcji w cytowanej powyżej sprawie </w:t>
      </w:r>
      <w:r w:rsidRPr="00776964">
        <w:rPr>
          <w:i/>
        </w:rPr>
        <w:t xml:space="preserve">Güzelyurtlu i Inni </w:t>
      </w:r>
      <w:r w:rsidRPr="00776964">
        <w:t>(zob. paragraf </w:t>
      </w:r>
      <w:r w:rsidR="00D87C28">
        <w:t>107</w:t>
      </w:r>
      <w:r w:rsidRPr="00776964">
        <w:t xml:space="preserve"> powyżej) do postępowania administracyjnego wszczętego na wniosek skarżących w niniejszej sprawie. Właściwe postępowanie w sprawie </w:t>
      </w:r>
      <w:r w:rsidRPr="00776964">
        <w:rPr>
          <w:i/>
        </w:rPr>
        <w:t>Güzelyurtlu i Innych</w:t>
      </w:r>
      <w:r w:rsidRPr="00776964">
        <w:t xml:space="preserve"> - które stworzyło </w:t>
      </w:r>
      <w:r w:rsidRPr="00776964">
        <w:lastRenderedPageBreak/>
        <w:t>związek jurysdykcyjny z Turcją - było postępowaniem karnym wszczętym z</w:t>
      </w:r>
      <w:r w:rsidR="00243852">
        <w:t> </w:t>
      </w:r>
      <w:r w:rsidRPr="00776964">
        <w:t xml:space="preserve">inicjatywy władz tureckich (sprawujących kontrolę nad „Turecką Republiką Cypru Północnego”). Odpowiadało one zatem działaniom Układającego się </w:t>
      </w:r>
      <w:r w:rsidR="00840AD0" w:rsidRPr="00776964">
        <w:t xml:space="preserve">państwa </w:t>
      </w:r>
      <w:r w:rsidRPr="00776964">
        <w:t xml:space="preserve">w ramach jego obowiązków proceduralnych wynikających z art. 2. Różni się to znacznie od postępowań administracyjnych wszczętych z inicjatywy osób prywatnych, które nie mają żadnego związku z danym </w:t>
      </w:r>
      <w:r w:rsidR="00840AD0" w:rsidRPr="00776964">
        <w:t>państwem</w:t>
      </w:r>
      <w:r w:rsidRPr="00776964">
        <w:t xml:space="preserve">, z wyjątkiem postępowań, które same dobrowolnie wszczęły, a decyzja tego </w:t>
      </w:r>
      <w:r w:rsidR="00840AD0" w:rsidRPr="00776964">
        <w:t>państwa</w:t>
      </w:r>
      <w:r w:rsidRPr="00776964">
        <w:t>, w tym przypadku</w:t>
      </w:r>
      <w:r w:rsidR="00776964" w:rsidRPr="00776964">
        <w:t xml:space="preserve"> </w:t>
      </w:r>
      <w:r w:rsidRPr="00776964">
        <w:t>Belgii, nie jest narzucona przez żadne zobowiązanie traktatowe.</w:t>
      </w:r>
    </w:p>
    <w:p w14:paraId="03DEA247" w14:textId="4516AB49" w:rsidR="005A5504" w:rsidRPr="00776964" w:rsidRDefault="005E04D8" w:rsidP="00776964">
      <w:pPr>
        <w:pStyle w:val="JuPara"/>
      </w:pPr>
      <w:r>
        <w:t>123</w:t>
      </w:r>
      <w:r w:rsidRPr="00776964">
        <w:t>.</w:t>
      </w:r>
      <w:r w:rsidR="006C3249">
        <w:t xml:space="preserve"> </w:t>
      </w:r>
      <w:r w:rsidRPr="00776964">
        <w:t xml:space="preserve">Natomiast twierdzenia pozwanego Rządu i interweniujących Rządów są poparte decyzją wydaną w sprawie </w:t>
      </w:r>
      <w:r w:rsidRPr="00776964">
        <w:rPr>
          <w:i/>
        </w:rPr>
        <w:t>Abdul Wahab Khan</w:t>
      </w:r>
      <w:r w:rsidRPr="00776964">
        <w:t xml:space="preserve">. Trybunał wyjaśnił w tej decyzji, że sam fakt, iż skarżący wnosi wniosek o wszczęcie postępowania w </w:t>
      </w:r>
      <w:r w:rsidR="00840AD0" w:rsidRPr="00776964">
        <w:t>państwie stronie</w:t>
      </w:r>
      <w:r w:rsidRPr="00776964">
        <w:t>, z którym nie łączy go żaden związek, nie</w:t>
      </w:r>
      <w:r w:rsidR="00243852">
        <w:t> </w:t>
      </w:r>
      <w:r w:rsidRPr="00776964">
        <w:t xml:space="preserve">wystarcza do ustalenia jurysdykcji tego </w:t>
      </w:r>
      <w:r w:rsidR="00840AD0" w:rsidRPr="00776964">
        <w:t xml:space="preserve">państwa </w:t>
      </w:r>
      <w:r w:rsidRPr="00776964">
        <w:t xml:space="preserve">nad tą osobą (zob. </w:t>
      </w:r>
      <w:r w:rsidRPr="00776964">
        <w:rPr>
          <w:i/>
        </w:rPr>
        <w:t>Abdul Wahab Khan</w:t>
      </w:r>
      <w:r w:rsidRPr="00776964">
        <w:t>, cyt. powyżej, § 28). Trybunał uważa, że inna decyzja równałaby się niemal uniwersalnemu stosowaniu Konwencji na podstawie jednostronnych wyborów każdej osoby, niezależnie od miejsca na świecie, w</w:t>
      </w:r>
      <w:r w:rsidR="00243852">
        <w:t> </w:t>
      </w:r>
      <w:r w:rsidRPr="00776964">
        <w:t xml:space="preserve">którym taka osoba się znajduje, a zatem stworzeniu nieograniczonego obowiązku Układających się </w:t>
      </w:r>
      <w:r w:rsidR="00840AD0" w:rsidRPr="00776964">
        <w:t xml:space="preserve">państw </w:t>
      </w:r>
      <w:r w:rsidRPr="00776964">
        <w:t xml:space="preserve">do umożliwienia wjazdu osobie, która może być narażona na złe traktowanie sprzeczne z Konwencją, poza ich jurysdykcją (tamże, § 27). Gdyby to, że </w:t>
      </w:r>
      <w:r w:rsidR="00840AD0" w:rsidRPr="00776964">
        <w:t xml:space="preserve">państwo strona </w:t>
      </w:r>
      <w:r w:rsidRPr="00776964">
        <w:t>rozpatruje wniosek imigracyjny</w:t>
      </w:r>
      <w:r w:rsidR="006023DA">
        <w:t>,</w:t>
      </w:r>
      <w:r w:rsidRPr="00776964">
        <w:t xml:space="preserve"> wystarczało, aby osoba składająca wniosek znalazła się pod jego jurysdykcją, powstałoby właśnie takie zobowiązanie. Dana osoba mogłaby stworzyć powiązanie jurysdykcyjne poprzez złożenie wniosku i w ten sposób spowodować, w pewnych okolicznościach, powstanie zobowiązania na mocy art. 3, które w przeciwnym razie nie powstałoby.</w:t>
      </w:r>
    </w:p>
    <w:p w14:paraId="0F042835" w14:textId="604DEC58" w:rsidR="005A5504" w:rsidRPr="00D87C28" w:rsidRDefault="005E04D8" w:rsidP="00776964">
      <w:pPr>
        <w:pStyle w:val="JuPara"/>
      </w:pPr>
      <w:r>
        <w:t>124</w:t>
      </w:r>
      <w:r w:rsidRPr="00776964">
        <w:t>.</w:t>
      </w:r>
      <w:r w:rsidR="006C3249">
        <w:t xml:space="preserve"> </w:t>
      </w:r>
      <w:r w:rsidRPr="00776964">
        <w:t xml:space="preserve">Takie rozszerzenie zakresu zastosowania Konwencji skutkowałoby również zanegowaniem ugruntowanej zasady prawa międzynarodowego publicznego, uznanej przez Trybunał, zgodnie z którą </w:t>
      </w:r>
      <w:r w:rsidR="00840AD0" w:rsidRPr="00776964">
        <w:t>państwa strony</w:t>
      </w:r>
      <w:r w:rsidRPr="00776964">
        <w:t>, z</w:t>
      </w:r>
      <w:r w:rsidR="00243852">
        <w:t> </w:t>
      </w:r>
      <w:r w:rsidRPr="00776964">
        <w:t xml:space="preserve">zastrzeżeniem swoich zobowiązań traktatowych, w tym Konwencji, mają prawo kontrolować wjazd, pobyt i wydalenie cudzoziemców (zob. oprócz wielu innych przykładów, </w:t>
      </w:r>
      <w:r w:rsidRPr="00776964">
        <w:rPr>
          <w:i/>
        </w:rPr>
        <w:t>N. przeciwko Zjednoczonemu Królestwu</w:t>
      </w:r>
      <w:r w:rsidRPr="00776964">
        <w:t xml:space="preserve"> [WI], nr</w:t>
      </w:r>
      <w:r w:rsidR="00243852">
        <w:t> </w:t>
      </w:r>
      <w:r w:rsidRPr="00776964">
        <w:t xml:space="preserve">26565/05, § 30, ECHR 2008, oraz </w:t>
      </w:r>
      <w:r w:rsidRPr="00776964">
        <w:rPr>
          <w:i/>
        </w:rPr>
        <w:t xml:space="preserve">Ilias i Ahmed przeciwko Węgrom </w:t>
      </w:r>
      <w:r w:rsidRPr="00776964">
        <w:t>[WI], nr 47287/15, § 125, 21 listopada 2019 r</w:t>
      </w:r>
      <w:r w:rsidR="002F6274">
        <w:t>.</w:t>
      </w:r>
      <w:r w:rsidRPr="00776964">
        <w:t>). W tym kontekście Trybunał zauważył, że TSUE w sprawie podobnej do niniejszej orzekł, że w obecnym stanie prawa UE wydawanie wiz długoterminowych należy wyłącznie do</w:t>
      </w:r>
      <w:r w:rsidR="00243852">
        <w:t> </w:t>
      </w:r>
      <w:r w:rsidRPr="00776964">
        <w:t>zakresu prawa krajowego państw członkowskich (zob. paragraf</w:t>
      </w:r>
      <w:r w:rsidR="00D87C28">
        <w:t>y</w:t>
      </w:r>
      <w:r w:rsidRPr="00776964">
        <w:t> </w:t>
      </w:r>
      <w:r w:rsidR="00D87C28">
        <w:t xml:space="preserve">71-73 </w:t>
      </w:r>
      <w:r w:rsidRPr="00D87C28">
        <w:t>powyżej).</w:t>
      </w:r>
    </w:p>
    <w:p w14:paraId="2D872563" w14:textId="0C30078B" w:rsidR="005A5504" w:rsidRPr="00776964" w:rsidRDefault="005E04D8" w:rsidP="00776964">
      <w:pPr>
        <w:pStyle w:val="JuPara"/>
      </w:pPr>
      <w:r>
        <w:t>125</w:t>
      </w:r>
      <w:r w:rsidRPr="00776964">
        <w:t>.</w:t>
      </w:r>
      <w:r w:rsidR="006C3249">
        <w:t xml:space="preserve"> </w:t>
      </w:r>
      <w:r w:rsidRPr="00776964">
        <w:t>Podsumowując, Trybunał uznał, że skarżący nie podlegali jurysdykcji Belgii w odniesieniu do okoliczności, na które składają skargę na</w:t>
      </w:r>
      <w:r w:rsidR="00243852">
        <w:t> </w:t>
      </w:r>
      <w:r w:rsidRPr="00776964">
        <w:t>podstawie art. 3 Konwencji. Uwzględniając ten wniosek, to samo tyczy się skargi z art. 13.</w:t>
      </w:r>
    </w:p>
    <w:p w14:paraId="34B22048" w14:textId="310E2356" w:rsidR="005A5504" w:rsidRPr="00776964" w:rsidRDefault="005E04D8" w:rsidP="00776964">
      <w:pPr>
        <w:pStyle w:val="JuPara"/>
      </w:pPr>
      <w:r>
        <w:t>126</w:t>
      </w:r>
      <w:r w:rsidRPr="00776964">
        <w:t>.</w:t>
      </w:r>
      <w:r w:rsidR="006C3249">
        <w:t xml:space="preserve"> </w:t>
      </w:r>
      <w:r w:rsidRPr="00776964">
        <w:t xml:space="preserve">Wreszcie Trybunał zauważa, że wniosek ten nie narusza wysiłków podejmowanych przez </w:t>
      </w:r>
      <w:r w:rsidR="00840AD0" w:rsidRPr="00776964">
        <w:t xml:space="preserve">państwa strony </w:t>
      </w:r>
      <w:r w:rsidRPr="00776964">
        <w:t xml:space="preserve">w celu ułatwienia dostępu do procedur </w:t>
      </w:r>
      <w:r w:rsidRPr="00776964">
        <w:lastRenderedPageBreak/>
        <w:t xml:space="preserve">azylowych za pośrednictwem ich ambasad i/lub przedstawicielstw konsularnych (zob. </w:t>
      </w:r>
      <w:r w:rsidRPr="00776964">
        <w:rPr>
          <w:i/>
        </w:rPr>
        <w:t>N.D. i N.T. przeciwko Hiszpanii</w:t>
      </w:r>
      <w:r w:rsidRPr="00776964">
        <w:t>, cyt. powyżej, § 222).</w:t>
      </w:r>
    </w:p>
    <w:p w14:paraId="308D316A" w14:textId="77777777" w:rsidR="005A5504" w:rsidRPr="00776964" w:rsidRDefault="00000000" w:rsidP="00776964">
      <w:pPr>
        <w:pStyle w:val="JuHA"/>
      </w:pPr>
      <w:r w:rsidRPr="00776964">
        <w:t>Artykuły 6 i 13 Konwencji</w:t>
      </w:r>
    </w:p>
    <w:p w14:paraId="33AD7F62" w14:textId="596C819A" w:rsidR="005A5504" w:rsidRPr="00776964" w:rsidRDefault="005E04D8" w:rsidP="00776964">
      <w:pPr>
        <w:pStyle w:val="JuPara"/>
        <w:rPr>
          <w:rFonts w:eastAsiaTheme="minorEastAsia"/>
        </w:rPr>
      </w:pPr>
      <w:r>
        <w:rPr>
          <w:rFonts w:eastAsiaTheme="minorEastAsia"/>
        </w:rPr>
        <w:t>127</w:t>
      </w:r>
      <w:r w:rsidRPr="00776964">
        <w:t>.</w:t>
      </w:r>
      <w:r w:rsidR="006C3249">
        <w:t xml:space="preserve"> </w:t>
      </w:r>
      <w:r w:rsidRPr="00776964">
        <w:t xml:space="preserve">Skarżący zarzucili naruszenie art. 6 </w:t>
      </w:r>
      <w:r w:rsidR="007F2F56">
        <w:t>ust.</w:t>
      </w:r>
      <w:r w:rsidRPr="00776964">
        <w:t xml:space="preserve"> 1 Konwencji poprzez brak możliwości dochodzenia przez nich wykonania wyroku Sądu Apelacyjnego w Brukseli z dnia 7 grudnia 2016 r</w:t>
      </w:r>
      <w:r w:rsidR="002F6274">
        <w:t>.</w:t>
      </w:r>
      <w:r w:rsidRPr="00776964">
        <w:t>, nakazującego państwu belgijskiemu wykonanie wyroku Komisji Odwoławczej ds. Cudzoziemców z dnia 20</w:t>
      </w:r>
      <w:r w:rsidR="00243852">
        <w:t> </w:t>
      </w:r>
      <w:r w:rsidRPr="00776964">
        <w:t>października 2016 r</w:t>
      </w:r>
      <w:r w:rsidR="002F6274">
        <w:t>.</w:t>
      </w:r>
      <w:r w:rsidRPr="00776964">
        <w:t>, w którym polecono władzom belgijskim wydanie wiz, o które wnioskowali na podstawie art. 3 Konwencji. Uznali, że stanowiło to również naruszenie prawa do skutecznego środka odwoławczego w</w:t>
      </w:r>
      <w:r w:rsidR="00243852">
        <w:t> </w:t>
      </w:r>
      <w:r w:rsidRPr="00776964">
        <w:t>rozumieniu cytowanego wyżej art. 13.</w:t>
      </w:r>
    </w:p>
    <w:p w14:paraId="21FC9E35" w14:textId="5E66C096" w:rsidR="005A5504" w:rsidRPr="00776964" w:rsidRDefault="005E04D8" w:rsidP="00776964">
      <w:pPr>
        <w:pStyle w:val="JuPara"/>
        <w:rPr>
          <w:rFonts w:eastAsiaTheme="minorEastAsia"/>
        </w:rPr>
      </w:pPr>
      <w:r>
        <w:rPr>
          <w:rFonts w:eastAsiaTheme="minorEastAsia"/>
        </w:rPr>
        <w:t>128</w:t>
      </w:r>
      <w:r w:rsidRPr="00776964">
        <w:t>.</w:t>
      </w:r>
      <w:r w:rsidR="006C3249">
        <w:t xml:space="preserve"> </w:t>
      </w:r>
      <w:r w:rsidRPr="00776964">
        <w:t xml:space="preserve">Właściwe fragmenty art. 6 </w:t>
      </w:r>
      <w:r w:rsidR="007F2F56">
        <w:t>ust.</w:t>
      </w:r>
      <w:r w:rsidRPr="00776964">
        <w:t xml:space="preserve"> 1 Konwencji stanowią:</w:t>
      </w:r>
    </w:p>
    <w:p w14:paraId="734E154B" w14:textId="6F8915E9" w:rsidR="005A5504" w:rsidRPr="00776964" w:rsidRDefault="00000000" w:rsidP="00776964">
      <w:pPr>
        <w:pStyle w:val="JuQuot"/>
        <w:rPr>
          <w:rFonts w:eastAsiaTheme="minorEastAsia"/>
        </w:rPr>
      </w:pPr>
      <w:r w:rsidRPr="00776964">
        <w:t xml:space="preserve">„Każdy ma prawo do sprawiedliwego </w:t>
      </w:r>
      <w:r w:rsidR="007A7A45">
        <w:t>…</w:t>
      </w:r>
      <w:r w:rsidRPr="00776964">
        <w:t xml:space="preserve"> rozpatrzenia jego sprawy ... przez ... sąd ... przy rozstrzyganiu o jego prawach i obowiązkach o charakterze cywilnym</w:t>
      </w:r>
      <w:r w:rsidR="007A7A45">
        <w:t xml:space="preserve"> .</w:t>
      </w:r>
      <w:r w:rsidRPr="00776964">
        <w:t>..</w:t>
      </w:r>
      <w:r w:rsidR="00203514">
        <w:t>”.</w:t>
      </w:r>
    </w:p>
    <w:p w14:paraId="1593C760" w14:textId="78194A9F" w:rsidR="00562ED9" w:rsidRPr="00776964" w:rsidRDefault="005E04D8" w:rsidP="00776964">
      <w:pPr>
        <w:pStyle w:val="JuPara"/>
      </w:pPr>
      <w:r>
        <w:t>129</w:t>
      </w:r>
      <w:r w:rsidRPr="00776964">
        <w:t>.</w:t>
      </w:r>
      <w:r w:rsidR="006C3249">
        <w:t xml:space="preserve"> </w:t>
      </w:r>
      <w:r w:rsidRPr="00776964">
        <w:t>Trybunał uważa, że skargę skarżących należy analizować jako skargę dotyczącą prawa do wykonania orzeczenia sądowego dla celów art. 6 Konwencji. W związku z tym powtarza, że wymogi art. 6 są surowsze niż</w:t>
      </w:r>
      <w:r w:rsidR="00243852">
        <w:t> </w:t>
      </w:r>
      <w:r w:rsidRPr="00776964">
        <w:t>te</w:t>
      </w:r>
      <w:r w:rsidR="00243852">
        <w:t> </w:t>
      </w:r>
      <w:r w:rsidRPr="00776964">
        <w:t>z</w:t>
      </w:r>
      <w:r w:rsidR="00243852">
        <w:t> </w:t>
      </w:r>
      <w:r w:rsidRPr="00776964">
        <w:t xml:space="preserve">art. 13 i absorbują je (zob. </w:t>
      </w:r>
      <w:r w:rsidRPr="00776964">
        <w:rPr>
          <w:i/>
        </w:rPr>
        <w:t xml:space="preserve">Kudła przeciwko Polsce </w:t>
      </w:r>
      <w:r w:rsidRPr="00776964">
        <w:t>[WI], nr 30210/96, §</w:t>
      </w:r>
      <w:r w:rsidR="00243852">
        <w:t> </w:t>
      </w:r>
      <w:r w:rsidRPr="00776964">
        <w:t>146, ECHR 2000</w:t>
      </w:r>
      <w:r w:rsidRPr="00776964">
        <w:noBreakHyphen/>
        <w:t>XI).</w:t>
      </w:r>
    </w:p>
    <w:p w14:paraId="61545B5B" w14:textId="1ABB096A" w:rsidR="00562ED9" w:rsidRPr="00776964" w:rsidRDefault="005E04D8" w:rsidP="00776964">
      <w:pPr>
        <w:pStyle w:val="JuPara"/>
      </w:pPr>
      <w:r>
        <w:t>130</w:t>
      </w:r>
      <w:r w:rsidRPr="00776964">
        <w:t>.</w:t>
      </w:r>
      <w:r w:rsidR="006C3249">
        <w:t xml:space="preserve"> </w:t>
      </w:r>
      <w:r w:rsidRPr="00776964">
        <w:t xml:space="preserve">Na wstępie pozwany Rząd podniósł szereg zastrzeżeń co do dopuszczalności tej części skargi, ze względu na niezgodność </w:t>
      </w:r>
      <w:r w:rsidRPr="00776964">
        <w:rPr>
          <w:i/>
        </w:rPr>
        <w:t>ratione materiae</w:t>
      </w:r>
      <w:r w:rsidRPr="00776964">
        <w:t xml:space="preserve"> skarg z art. 6 </w:t>
      </w:r>
      <w:r w:rsidR="00722AE5">
        <w:t>ust.</w:t>
      </w:r>
      <w:r w:rsidRPr="00776964">
        <w:t xml:space="preserve"> 1 oraz niewyczerpanie krajowych środków odwoławczych.</w:t>
      </w:r>
    </w:p>
    <w:p w14:paraId="7C4195B6" w14:textId="00AF937E" w:rsidR="00562ED9" w:rsidRPr="00776964" w:rsidRDefault="005E04D8" w:rsidP="00776964">
      <w:pPr>
        <w:pStyle w:val="JuPara"/>
      </w:pPr>
      <w:r>
        <w:t>131</w:t>
      </w:r>
      <w:r w:rsidRPr="00776964">
        <w:t>.</w:t>
      </w:r>
      <w:r w:rsidR="006C3249">
        <w:t xml:space="preserve"> </w:t>
      </w:r>
      <w:r w:rsidRPr="00776964">
        <w:t xml:space="preserve">Powstaje pytanie, czy Belgia wykonywała jurysdykcję nad skarżącymi w rozumieniu art. 1 Konwencji w odniesieniu do postępowania wszczętego na jej terytorium krajowym. Trybunał uważa jednak, że nie jest zobowiązany do orzekania w tej kwestii, biorąc pod uwagę swoje ustalenia co do możliwości zastosowania art. 6 </w:t>
      </w:r>
      <w:r w:rsidR="00722AE5">
        <w:t>ust.</w:t>
      </w:r>
      <w:r w:rsidRPr="00776964">
        <w:t xml:space="preserve"> 1 (zob. paragraf </w:t>
      </w:r>
      <w:r w:rsidR="005E6D82">
        <w:t>141</w:t>
      </w:r>
      <w:r w:rsidRPr="00776964">
        <w:t xml:space="preserve"> poniżej).</w:t>
      </w:r>
    </w:p>
    <w:p w14:paraId="7B195748" w14:textId="6906B1E8" w:rsidR="00562ED9" w:rsidRPr="00776964" w:rsidRDefault="005E04D8" w:rsidP="00776964">
      <w:pPr>
        <w:pStyle w:val="JuPara"/>
      </w:pPr>
      <w:r>
        <w:t>132</w:t>
      </w:r>
      <w:r w:rsidRPr="00776964">
        <w:t>.</w:t>
      </w:r>
      <w:r w:rsidR="006C3249">
        <w:t xml:space="preserve"> </w:t>
      </w:r>
      <w:r w:rsidRPr="00776964">
        <w:t>W związku z tym pozwany Rząd podniósł, że skarga skarżących, która formalnie dotyczyła niewykonania wyroku z dnia 7 grudnia 2016 r. nakazującego państwu belgijskiemu wykonanie, pod groźbą kar dziennych, wyroku Komisji Odwoławczej ds. Cudzoziemców z dnia 20 października 2016 r., w rzeczywistości dotyczyła decyzji o przyznaniu wiz, a</w:t>
      </w:r>
      <w:r w:rsidR="00C4354A">
        <w:t> </w:t>
      </w:r>
      <w:r w:rsidRPr="00776964">
        <w:t>w</w:t>
      </w:r>
      <w:r w:rsidR="00C4354A">
        <w:t> </w:t>
      </w:r>
      <w:r w:rsidRPr="00776964">
        <w:t xml:space="preserve">konsekwencji prawa politycznego, do którego art. 6 </w:t>
      </w:r>
      <w:r w:rsidR="00722AE5">
        <w:t>ust.</w:t>
      </w:r>
      <w:r w:rsidRPr="00776964">
        <w:t xml:space="preserve"> 1 Konwencji nie</w:t>
      </w:r>
      <w:r w:rsidR="00C4354A">
        <w:t> </w:t>
      </w:r>
      <w:r w:rsidRPr="00776964">
        <w:t>miał zastosowania.</w:t>
      </w:r>
    </w:p>
    <w:p w14:paraId="16366237" w14:textId="4268D5EA" w:rsidR="00562ED9" w:rsidRPr="00776964" w:rsidRDefault="005E04D8" w:rsidP="00776964">
      <w:pPr>
        <w:pStyle w:val="JuPara"/>
      </w:pPr>
      <w:r>
        <w:t>133</w:t>
      </w:r>
      <w:r w:rsidRPr="00776964">
        <w:t>.</w:t>
      </w:r>
      <w:r w:rsidR="006C3249">
        <w:t xml:space="preserve"> </w:t>
      </w:r>
      <w:r w:rsidRPr="00776964">
        <w:t>Skarżący podnieśli, że ich skarga dotyczyła podmiotowego prawa o</w:t>
      </w:r>
      <w:r w:rsidR="00C4354A">
        <w:t> </w:t>
      </w:r>
      <w:r w:rsidRPr="00776964">
        <w:t xml:space="preserve">charakterze cywilnym, uznanego w wyroku Sądu Apelacyjnego w Brukseli z dnia 7 grudnia 2016 r., a mianowicie prawa do zabezpieczenia wykonania prawomocnego i wykonalnego orzeczenia oraz do naprawienia szkody wynikłej z jego niewykonania. Uznali, że postanowienie sądu apelacyjnego - i towarzyszące mu kary za niezastosowanie się do niego - dotyczyły wyłącznie „nielegalnego działania”, którego dopuściło się </w:t>
      </w:r>
      <w:r w:rsidR="00840AD0" w:rsidRPr="00776964">
        <w:t>państwo</w:t>
      </w:r>
      <w:r w:rsidRPr="00776964">
        <w:t xml:space="preserve">, </w:t>
      </w:r>
      <w:r w:rsidRPr="00776964">
        <w:lastRenderedPageBreak/>
        <w:t>nie</w:t>
      </w:r>
      <w:r w:rsidR="00C4354A">
        <w:t> </w:t>
      </w:r>
      <w:r w:rsidRPr="00776964">
        <w:t xml:space="preserve">wykonując wiążącej decyzji wydanej przez sąd administracyjny. Ponieważ to „działanie sprzeczne z prawem” stanowiło winę w rozumieniu belgijskiego Kodeksu cywilnego, dyspozycja sądu apelacyjnego dotyczyła cywilnego obowiązku naprawienia szkody w naturze z winy </w:t>
      </w:r>
      <w:r w:rsidR="00840AD0" w:rsidRPr="00776964">
        <w:t>państwa</w:t>
      </w:r>
      <w:r w:rsidRPr="00776964">
        <w:t>.</w:t>
      </w:r>
    </w:p>
    <w:p w14:paraId="3F62919A" w14:textId="4AE3524A" w:rsidR="00562ED9" w:rsidRPr="00776964" w:rsidRDefault="005E04D8" w:rsidP="00776964">
      <w:pPr>
        <w:pStyle w:val="JuPara"/>
      </w:pPr>
      <w:r>
        <w:t>134</w:t>
      </w:r>
      <w:r w:rsidRPr="00776964">
        <w:t>.</w:t>
      </w:r>
      <w:r w:rsidR="006C3249">
        <w:t xml:space="preserve"> </w:t>
      </w:r>
      <w:r w:rsidRPr="00776964">
        <w:t>Ponieważ można zgodzić się, że doszło do „sporu”</w:t>
      </w:r>
      <w:r w:rsidRPr="00776964">
        <w:rPr>
          <w:i/>
        </w:rPr>
        <w:t>(kontestacji</w:t>
      </w:r>
      <w:r w:rsidRPr="00776964">
        <w:t>), zadanie Sądu ogranicza się do ustalenia, czy był to spór o „prawa i obowiązki o charakterze cywilnym”.</w:t>
      </w:r>
    </w:p>
    <w:p w14:paraId="43788E92" w14:textId="07C17499" w:rsidR="00562ED9" w:rsidRPr="00776964" w:rsidRDefault="005E04D8" w:rsidP="00776964">
      <w:pPr>
        <w:pStyle w:val="JuPara"/>
      </w:pPr>
      <w:r>
        <w:t>135</w:t>
      </w:r>
      <w:r w:rsidRPr="00776964">
        <w:t>.</w:t>
      </w:r>
      <w:r w:rsidR="006C3249">
        <w:t xml:space="preserve"> </w:t>
      </w:r>
      <w:r w:rsidRPr="00776964">
        <w:t>Jak podkreślił w tej sprawie Sąd Apelacyjny w Brukseli w wyroku z</w:t>
      </w:r>
      <w:r w:rsidR="00C4354A">
        <w:t> </w:t>
      </w:r>
      <w:r w:rsidRPr="00776964">
        <w:t>dnia 7 grudnia 2016 r</w:t>
      </w:r>
      <w:r w:rsidR="008577FB">
        <w:t>.</w:t>
      </w:r>
      <w:r w:rsidRPr="00776964">
        <w:t xml:space="preserve"> (zob. paragraf</w:t>
      </w:r>
      <w:r w:rsidR="005E6D82">
        <w:t xml:space="preserve"> 32</w:t>
      </w:r>
      <w:r w:rsidRPr="00776964">
        <w:t xml:space="preserve"> powyżej) i uwzględniając stan prawa belgijskiego, władze belgijskie </w:t>
      </w:r>
      <w:r w:rsidR="005E6D82">
        <w:t>–</w:t>
      </w:r>
      <w:r w:rsidRPr="00776964">
        <w:t xml:space="preserve"> konkretnie w tym przypadku Wiceminister ds. Azylu i Migracji oraz Urząd ds. Cudzoziemców </w:t>
      </w:r>
      <w:r w:rsidR="00B621F8">
        <w:t>–</w:t>
      </w:r>
      <w:r w:rsidRPr="00776964">
        <w:t xml:space="preserve"> miały, na</w:t>
      </w:r>
      <w:r w:rsidR="00C4354A">
        <w:t> </w:t>
      </w:r>
      <w:r w:rsidRPr="00776964">
        <w:t xml:space="preserve">mocy art. 25 Wspólnotowego </w:t>
      </w:r>
      <w:r w:rsidR="007A7A45" w:rsidRPr="00776964">
        <w:t>kodeksu wizowego</w:t>
      </w:r>
      <w:r w:rsidRPr="00776964">
        <w:t>, swobodę oceny przy podejmowaniu decyzji o wydaniu lub niewydaniu wiz krótkoterminowych. Mimo to skarżący mogli wystąpić do sądu, a mianowicie do Komisji Odwoławczej ds. Cudzoziemców, która wyrokiem z dnia 20 października 2016 r. wstrzymała wykonanie decyzji organów i była uprawniona do ich uchylenia.</w:t>
      </w:r>
    </w:p>
    <w:p w14:paraId="030257C7" w14:textId="27F4485F" w:rsidR="007761A7" w:rsidRPr="00776964" w:rsidRDefault="005E04D8" w:rsidP="00776964">
      <w:pPr>
        <w:pStyle w:val="JuPara"/>
      </w:pPr>
      <w:r>
        <w:t>136</w:t>
      </w:r>
      <w:r w:rsidR="00562ED9" w:rsidRPr="00776964">
        <w:t>.</w:t>
      </w:r>
      <w:r w:rsidR="006C3249">
        <w:t xml:space="preserve"> </w:t>
      </w:r>
      <w:r w:rsidR="00562ED9" w:rsidRPr="00776964">
        <w:t xml:space="preserve">W takiej sytuacji, chociaż art. 6 </w:t>
      </w:r>
      <w:r w:rsidR="00722AE5">
        <w:t>ust.</w:t>
      </w:r>
      <w:r w:rsidR="00562ED9" w:rsidRPr="00776964">
        <w:t xml:space="preserve"> 1 Konwencji może mieć zastosowanie, to pod warunkiem, że korzyść lub przywilej, raz przyznany, rodzi prawo o charakterze cywilnym (zob. </w:t>
      </w:r>
      <w:r w:rsidR="00562ED9" w:rsidRPr="00776964">
        <w:rPr>
          <w:i/>
        </w:rPr>
        <w:t xml:space="preserve">Regner przeciwko Republice Czeskiej </w:t>
      </w:r>
      <w:r w:rsidR="00562ED9" w:rsidRPr="00776964">
        <w:t>[WI], nr 35289/11, § 105, 19 września 2017 r</w:t>
      </w:r>
      <w:r w:rsidR="002F6274">
        <w:t>.</w:t>
      </w:r>
      <w:r w:rsidR="00562ED9" w:rsidRPr="00776964">
        <w:t>).</w:t>
      </w:r>
    </w:p>
    <w:p w14:paraId="0BEE0D84" w14:textId="104D4CEA" w:rsidR="00562ED9" w:rsidRPr="00776964" w:rsidRDefault="005E04D8" w:rsidP="00776964">
      <w:pPr>
        <w:pStyle w:val="JuPara"/>
      </w:pPr>
      <w:r>
        <w:t>137</w:t>
      </w:r>
      <w:r w:rsidRPr="00776964">
        <w:t>.</w:t>
      </w:r>
      <w:r w:rsidR="006C3249">
        <w:t xml:space="preserve"> </w:t>
      </w:r>
      <w:r w:rsidRPr="00776964">
        <w:t>Jeśli chodzi o charakter przedmiotowego prawa w niniejszej sprawie, Trybunał, podobnie jak Rząd belgijski, uważa, że wjazd na</w:t>
      </w:r>
      <w:r w:rsidR="00C4354A">
        <w:t> </w:t>
      </w:r>
      <w:r w:rsidRPr="00776964">
        <w:t>terytorium belgijskie, który byłby wynikiem wydania wiz, nie wiąże się z</w:t>
      </w:r>
      <w:r w:rsidR="00C4354A">
        <w:t> </w:t>
      </w:r>
      <w:r w:rsidRPr="00776964">
        <w:t xml:space="preserve">prawem o charakterze cywilnym w rozumieniu art. 6 </w:t>
      </w:r>
      <w:r w:rsidR="00722AE5">
        <w:t>ust.</w:t>
      </w:r>
      <w:r w:rsidRPr="00776964">
        <w:t xml:space="preserve"> 1 Konwencji, podobnie jak w przypadku każdej innej decyzji dotyczącej imigracji oraz</w:t>
      </w:r>
      <w:r w:rsidR="00C4354A">
        <w:t> </w:t>
      </w:r>
      <w:r w:rsidRPr="00776964">
        <w:t>wjazdu, pobytu i wydalenia cudzoziemców. Zgodnie z utrwalonym orzecznictwem obszary te znajdują się poza zakresem art. 6 Konwencji (zob.</w:t>
      </w:r>
      <w:r w:rsidR="00C4354A">
        <w:t> </w:t>
      </w:r>
      <w:r w:rsidRPr="00776964">
        <w:t xml:space="preserve">m.in., </w:t>
      </w:r>
      <w:r w:rsidRPr="00776964">
        <w:rPr>
          <w:i/>
        </w:rPr>
        <w:t>Maaouia przeciwko Francji</w:t>
      </w:r>
      <w:r w:rsidRPr="00776964">
        <w:t xml:space="preserve"> [WI], nr 39652/98, § 40, 5</w:t>
      </w:r>
      <w:r w:rsidR="00C4354A">
        <w:t> </w:t>
      </w:r>
      <w:r w:rsidRPr="00776964">
        <w:t xml:space="preserve">października 2000 r., oraz </w:t>
      </w:r>
      <w:r w:rsidRPr="00776964">
        <w:rPr>
          <w:i/>
        </w:rPr>
        <w:t>Mamatkulov i Askarov przeciwko Turcji</w:t>
      </w:r>
      <w:r w:rsidRPr="00776964">
        <w:t xml:space="preserve"> [WI], nr 46827/99 i 46951/99, §§ 82</w:t>
      </w:r>
      <w:r w:rsidRPr="00776964">
        <w:noBreakHyphen/>
        <w:t>83, 4 lutego 2005 r.).</w:t>
      </w:r>
    </w:p>
    <w:p w14:paraId="4689387A" w14:textId="43C6F051" w:rsidR="00562ED9" w:rsidRPr="00776964" w:rsidRDefault="005E04D8" w:rsidP="00776964">
      <w:pPr>
        <w:pStyle w:val="JuPara"/>
      </w:pPr>
      <w:r>
        <w:t>138</w:t>
      </w:r>
      <w:r w:rsidRPr="00776964">
        <w:t>.</w:t>
      </w:r>
      <w:r w:rsidR="006C3249">
        <w:t xml:space="preserve"> </w:t>
      </w:r>
      <w:r w:rsidRPr="00776964">
        <w:t xml:space="preserve">Wprawdzie postępowanie prowadzone następnie na wniosek skarżących przed sądami powszechnymi </w:t>
      </w:r>
      <w:r w:rsidR="006023DA">
        <w:t>–</w:t>
      </w:r>
      <w:r w:rsidRPr="00776964">
        <w:t xml:space="preserve"> w</w:t>
      </w:r>
      <w:r w:rsidR="006023DA">
        <w:t xml:space="preserve"> </w:t>
      </w:r>
      <w:r w:rsidRPr="00776964">
        <w:t xml:space="preserve">tym przypadku przed Sądem Apelacyjnym w Brukseli </w:t>
      </w:r>
      <w:r w:rsidR="006023DA">
        <w:t>–</w:t>
      </w:r>
      <w:r w:rsidRPr="00776964">
        <w:t xml:space="preserve"> w</w:t>
      </w:r>
      <w:r w:rsidR="006023DA">
        <w:t xml:space="preserve"> </w:t>
      </w:r>
      <w:r w:rsidRPr="00776964">
        <w:t xml:space="preserve">celu zapewnienia wykonania wyroku Komisji Odwoławczej ds. Cudzoziemców z dnia 20 października 2016 r. dotyczyło odmowy wykonania przez </w:t>
      </w:r>
      <w:r w:rsidR="00840AD0" w:rsidRPr="00776964">
        <w:t xml:space="preserve">państwo </w:t>
      </w:r>
      <w:r w:rsidRPr="00776964">
        <w:t>decyzji wydanej przez sąd administracyjny, a Sąd Apelacyjny, ustalając swoją jurysdykcję na gruncie prawa wewnętrznego, uznał, że zawisły przed nim spór dotyczył prawa o</w:t>
      </w:r>
      <w:r w:rsidR="00C4354A">
        <w:t> </w:t>
      </w:r>
      <w:r w:rsidRPr="00776964">
        <w:t>charakterze cywilnym. W związku z tym Trybunał uznał, że przedmiotem tego</w:t>
      </w:r>
      <w:r w:rsidR="00C4354A">
        <w:t xml:space="preserve"> </w:t>
      </w:r>
      <w:r w:rsidRPr="00776964">
        <w:t>postępowania była wyłącznie kontynuacja postępowania kwestionującego zasadność decyzji władz o odmowie wydania wiz.</w:t>
      </w:r>
    </w:p>
    <w:p w14:paraId="194881A5" w14:textId="41FE2FA0" w:rsidR="00562ED9" w:rsidRPr="00776964" w:rsidRDefault="005E04D8" w:rsidP="00776964">
      <w:pPr>
        <w:pStyle w:val="JuPara"/>
      </w:pPr>
      <w:r>
        <w:t>139</w:t>
      </w:r>
      <w:r w:rsidRPr="00776964">
        <w:t>.</w:t>
      </w:r>
      <w:r w:rsidR="006C3249">
        <w:t xml:space="preserve"> </w:t>
      </w:r>
      <w:r w:rsidRPr="00776964">
        <w:t xml:space="preserve">W każdym razie Trybunał uważa, że postępowanie leżące u jego podstaw nie staje się „cywilne” tylko dlatego, że jego wykonanie jest przedmiotem postępowania sądowego i że stanowi ono podstawę orzeczenia </w:t>
      </w:r>
      <w:r w:rsidRPr="00776964">
        <w:lastRenderedPageBreak/>
        <w:t xml:space="preserve">sądowego. Tak samo postępowanie zabezpieczające wykonanie wyroku Sądu Apelacyjnego w Brukseli z dnia 7 grudnia 2016 r. miało ten sam charakter, co postępowanie w sprawie przyznania wiz, o które wnioskowali skarżący (zob. </w:t>
      </w:r>
      <w:r w:rsidRPr="00776964">
        <w:rPr>
          <w:i/>
        </w:rPr>
        <w:t>odpowiednio</w:t>
      </w:r>
      <w:r w:rsidRPr="00776964">
        <w:t xml:space="preserve">, </w:t>
      </w:r>
      <w:r w:rsidRPr="00776964">
        <w:rPr>
          <w:i/>
        </w:rPr>
        <w:t>Pierre-Bloch przeciwko Francji</w:t>
      </w:r>
      <w:r w:rsidRPr="00776964">
        <w:t xml:space="preserve">, 21 października 1997 r., § 51, </w:t>
      </w:r>
      <w:r w:rsidRPr="00776964">
        <w:rPr>
          <w:i/>
        </w:rPr>
        <w:t>Zbiór Wyroków i Decyzji</w:t>
      </w:r>
      <w:r w:rsidRPr="00776964">
        <w:t xml:space="preserve"> 1997-VI, oraz </w:t>
      </w:r>
      <w:r w:rsidRPr="00776964">
        <w:rPr>
          <w:i/>
        </w:rPr>
        <w:t>Panjeheighalehei przeciwko Danii</w:t>
      </w:r>
      <w:r w:rsidRPr="00776964">
        <w:t xml:space="preserve"> (dec.), nr 11230/07, 13 października 2009 r.).</w:t>
      </w:r>
    </w:p>
    <w:p w14:paraId="0DA25FA0" w14:textId="7C8E4DFC" w:rsidR="00562ED9" w:rsidRPr="00776964" w:rsidRDefault="005E04D8" w:rsidP="00776964">
      <w:pPr>
        <w:pStyle w:val="JuPara"/>
      </w:pPr>
      <w:r>
        <w:t>140</w:t>
      </w:r>
      <w:r w:rsidRPr="00776964">
        <w:t>.</w:t>
      </w:r>
      <w:r w:rsidR="006C3249">
        <w:t xml:space="preserve"> </w:t>
      </w:r>
      <w:r w:rsidRPr="00776964">
        <w:t xml:space="preserve">W związku z tym art. 6 </w:t>
      </w:r>
      <w:r w:rsidR="00722AE5">
        <w:t>ust.</w:t>
      </w:r>
      <w:r w:rsidRPr="00776964">
        <w:t xml:space="preserve"> 1 Konwencji nie ma zastosowania w</w:t>
      </w:r>
      <w:r w:rsidR="00C4354A">
        <w:t> </w:t>
      </w:r>
      <w:r w:rsidRPr="00776964">
        <w:t>niniejszej sprawie. Wniosku tego nie zmienia fakt, że sądy belgijskie nie</w:t>
      </w:r>
      <w:r w:rsidR="00C4354A">
        <w:t> </w:t>
      </w:r>
      <w:r w:rsidRPr="00776964">
        <w:t xml:space="preserve">zakwestionowały możliwości zastosowania art. 6 do przedmiotowego postępowania. Konwencja nie zabrania </w:t>
      </w:r>
      <w:r w:rsidR="00840AD0" w:rsidRPr="00776964">
        <w:t xml:space="preserve">państwom stronom </w:t>
      </w:r>
      <w:r w:rsidRPr="00776964">
        <w:t>przyznania szerszej ochrony sądowej w zakresie zagwarantowanych w niej praw i</w:t>
      </w:r>
      <w:r w:rsidR="00C4354A">
        <w:t> </w:t>
      </w:r>
      <w:r w:rsidRPr="00776964">
        <w:t>wolności niż ta, która została przez nią wprowadzona (art. 53).</w:t>
      </w:r>
    </w:p>
    <w:p w14:paraId="293B37F2" w14:textId="60014CF2" w:rsidR="00562ED9" w:rsidRPr="00776964" w:rsidRDefault="005E04D8" w:rsidP="00776964">
      <w:pPr>
        <w:pStyle w:val="JuPara"/>
      </w:pPr>
      <w:r>
        <w:t>141</w:t>
      </w:r>
      <w:r w:rsidRPr="00776964">
        <w:t>.</w:t>
      </w:r>
      <w:r w:rsidR="006C3249">
        <w:t xml:space="preserve"> </w:t>
      </w:r>
      <w:r w:rsidRPr="00776964">
        <w:t xml:space="preserve">Tę część skargi należy zatem uznać za niezgodną </w:t>
      </w:r>
      <w:r w:rsidRPr="00776964">
        <w:rPr>
          <w:i/>
        </w:rPr>
        <w:t>ratione materiae</w:t>
      </w:r>
      <w:r w:rsidRPr="00776964">
        <w:t xml:space="preserve"> z</w:t>
      </w:r>
      <w:r w:rsidR="00C4354A">
        <w:t> </w:t>
      </w:r>
      <w:r w:rsidRPr="00776964">
        <w:t xml:space="preserve">postanowieniami Konwencji i jako taką niedopuszczalną zgodnie z art. 35 </w:t>
      </w:r>
      <w:r w:rsidR="00722AE5">
        <w:t>ust.</w:t>
      </w:r>
      <w:r w:rsidRPr="00776964">
        <w:t xml:space="preserve"> 3 i 4 Konwencji.</w:t>
      </w:r>
    </w:p>
    <w:p w14:paraId="5FDE08F1" w14:textId="57EC225F" w:rsidR="005A5504" w:rsidRPr="00776964" w:rsidRDefault="005E04D8" w:rsidP="00776964">
      <w:pPr>
        <w:pStyle w:val="JuPara"/>
      </w:pPr>
      <w:r>
        <w:t>142</w:t>
      </w:r>
      <w:r w:rsidR="00562ED9" w:rsidRPr="00776964">
        <w:t>.</w:t>
      </w:r>
      <w:r w:rsidR="006C3249">
        <w:t xml:space="preserve"> </w:t>
      </w:r>
      <w:r w:rsidR="00562ED9" w:rsidRPr="00776964">
        <w:t>W każdym ustalenie, że art. 6 nie ma zastosowania, sprawia, że</w:t>
      </w:r>
      <w:r w:rsidR="00C4354A">
        <w:t> </w:t>
      </w:r>
      <w:r w:rsidR="00562ED9" w:rsidRPr="00776964">
        <w:t>nie</w:t>
      </w:r>
      <w:r w:rsidR="00C4354A">
        <w:t> </w:t>
      </w:r>
      <w:r w:rsidR="00562ED9" w:rsidRPr="00776964">
        <w:t>ma potrzeby przeprowadzania żadnego wstępnego badania w</w:t>
      </w:r>
      <w:r w:rsidR="00C4354A">
        <w:t> </w:t>
      </w:r>
      <w:r w:rsidR="00562ED9" w:rsidRPr="00776964">
        <w:t>przedmiocie istnienia jurysdykcji w rozumieniu art. 1 w połączeniu z art.</w:t>
      </w:r>
      <w:r w:rsidR="00C4354A">
        <w:t> </w:t>
      </w:r>
      <w:r w:rsidR="00562ED9" w:rsidRPr="00776964">
        <w:t>6 Konwencji.</w:t>
      </w:r>
    </w:p>
    <w:p w14:paraId="6409F112" w14:textId="77777777" w:rsidR="00562ED9" w:rsidRPr="00776964" w:rsidRDefault="00000000" w:rsidP="00776964">
      <w:pPr>
        <w:pStyle w:val="JuParaLast"/>
      </w:pPr>
      <w:r w:rsidRPr="00776964">
        <w:t>Z tych względów Trybunał, większością głosów,</w:t>
      </w:r>
    </w:p>
    <w:p w14:paraId="6C72327A" w14:textId="77777777" w:rsidR="00562ED9" w:rsidRPr="00776964" w:rsidRDefault="00000000" w:rsidP="00776964">
      <w:pPr>
        <w:pStyle w:val="JuParaLast"/>
      </w:pPr>
      <w:r w:rsidRPr="00776964">
        <w:rPr>
          <w:i/>
          <w:iCs/>
        </w:rPr>
        <w:t>uznaje skargę za niedopuszczalną.</w:t>
      </w:r>
    </w:p>
    <w:p w14:paraId="74076495" w14:textId="77777777" w:rsidR="00562ED9" w:rsidRPr="00776964" w:rsidRDefault="00000000" w:rsidP="00776964">
      <w:pPr>
        <w:pStyle w:val="JuParaLast"/>
      </w:pPr>
      <w:r w:rsidRPr="00776964">
        <w:t>Sporządzono w języku angielskim i francuskim oraz obwieszczono pisemnie w dniu 5 maja 2020 r.</w:t>
      </w:r>
    </w:p>
    <w:p w14:paraId="5AAAA87B" w14:textId="0DEFC0D0" w:rsidR="00357B24" w:rsidRPr="00776964" w:rsidRDefault="00000000" w:rsidP="00776964">
      <w:pPr>
        <w:pStyle w:val="JuSigned"/>
        <w:tabs>
          <w:tab w:val="clear" w:pos="6407"/>
          <w:tab w:val="left" w:pos="4111"/>
          <w:tab w:val="center" w:pos="4678"/>
        </w:tabs>
      </w:pPr>
      <w:r w:rsidRPr="00776964">
        <w:tab/>
        <w:t xml:space="preserve">Johan Callewaert </w:t>
      </w:r>
      <w:r w:rsidR="003C0D38" w:rsidRPr="00776964">
        <w:tab/>
      </w:r>
      <w:r w:rsidR="003C0D38" w:rsidRPr="00776964">
        <w:tab/>
      </w:r>
      <w:r w:rsidRPr="00776964">
        <w:t>Linos-Alexandre Sicilianos</w:t>
      </w:r>
      <w:r w:rsidR="00776964" w:rsidRPr="00776964">
        <w:br/>
      </w:r>
      <w:r w:rsidRPr="00776964">
        <w:t xml:space="preserve">Zastępca Kanclerza </w:t>
      </w:r>
      <w:r w:rsidR="003C0D38" w:rsidRPr="00776964">
        <w:tab/>
      </w:r>
      <w:r w:rsidR="00793308">
        <w:tab/>
      </w:r>
      <w:r w:rsidR="00AB6543" w:rsidRPr="00776964">
        <w:t>Przewodniczący</w:t>
      </w:r>
    </w:p>
    <w:p w14:paraId="600E565E" w14:textId="77777777" w:rsidR="00357B24" w:rsidRPr="00776964" w:rsidRDefault="00357B24" w:rsidP="00776964">
      <w:pPr>
        <w:pStyle w:val="JuPara"/>
        <w:ind w:firstLine="0"/>
      </w:pPr>
    </w:p>
    <w:sectPr w:rsidR="00357B24" w:rsidRPr="00776964" w:rsidSect="000C5061">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2274" w:right="2274" w:bottom="2274" w:left="2274" w:header="1701"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2AFA8D" w14:textId="77777777" w:rsidR="00A231E1" w:rsidRDefault="00A231E1">
      <w:r>
        <w:separator/>
      </w:r>
    </w:p>
  </w:endnote>
  <w:endnote w:type="continuationSeparator" w:id="0">
    <w:p w14:paraId="003EAD62" w14:textId="77777777" w:rsidR="00A231E1" w:rsidRDefault="00A23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Tahoma">
    <w:panose1 w:val="020B0604030504040204"/>
    <w:charset w:val="EE"/>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95BAB" w14:textId="77777777" w:rsidR="00732D9D" w:rsidRPr="00286597" w:rsidRDefault="00000000" w:rsidP="000C5061">
    <w:pPr>
      <w:pStyle w:val="JuHeader"/>
    </w:pPr>
    <w:r>
      <w:rPr>
        <w:rStyle w:val="Numerstrony"/>
      </w:rPr>
      <w:fldChar w:fldCharType="begin"/>
    </w:r>
    <w:r>
      <w:rPr>
        <w:rStyle w:val="Numerstrony"/>
      </w:rPr>
      <w:instrText xml:space="preserve"> PAGE </w:instrText>
    </w:r>
    <w:r>
      <w:rPr>
        <w:rStyle w:val="Numerstrony"/>
      </w:rPr>
      <w:fldChar w:fldCharType="separate"/>
    </w:r>
    <w:r w:rsidR="00A03632">
      <w:rPr>
        <w:rStyle w:val="Numerstrony"/>
        <w:noProof/>
      </w:rPr>
      <w:t>6</w:t>
    </w:r>
    <w:r>
      <w:rPr>
        <w:rStyle w:val="Numerstrony"/>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5912E" w14:textId="77777777" w:rsidR="00732D9D" w:rsidRPr="00286597" w:rsidRDefault="00000000" w:rsidP="007F5A23">
    <w:pPr>
      <w:pStyle w:val="JuHeader"/>
    </w:pPr>
    <w:r>
      <w:rPr>
        <w:rStyle w:val="Numerstrony"/>
      </w:rPr>
      <w:fldChar w:fldCharType="begin"/>
    </w:r>
    <w:r>
      <w:rPr>
        <w:rStyle w:val="Numerstrony"/>
      </w:rPr>
      <w:instrText xml:space="preserve"> PAGE </w:instrText>
    </w:r>
    <w:r>
      <w:rPr>
        <w:rStyle w:val="Numerstrony"/>
      </w:rPr>
      <w:fldChar w:fldCharType="separate"/>
    </w:r>
    <w:r w:rsidR="00A03632">
      <w:rPr>
        <w:rStyle w:val="Numerstrony"/>
        <w:noProof/>
      </w:rPr>
      <w:t>5</w:t>
    </w:r>
    <w:r>
      <w:rPr>
        <w:rStyle w:val="Numerstrony"/>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B8681" w14:textId="77777777" w:rsidR="00732D9D" w:rsidRPr="00150BFA" w:rsidRDefault="00000000" w:rsidP="00357B24">
    <w:pPr>
      <w:jc w:val="center"/>
    </w:pPr>
    <w:r>
      <w:rPr>
        <w:noProof/>
        <w:lang w:eastAsia="pl-PL"/>
      </w:rPr>
      <w:drawing>
        <wp:inline distT="0" distB="0" distL="0" distR="0" wp14:anchorId="77C788AC" wp14:editId="3CD33701">
          <wp:extent cx="771525" cy="619125"/>
          <wp:effectExtent l="0" t="0" r="9525" b="9525"/>
          <wp:docPr id="8" name="Picture 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3B83EB64" w14:textId="77777777" w:rsidR="00732D9D" w:rsidRPr="00286597" w:rsidRDefault="00732D9D" w:rsidP="00357B24">
    <w:pPr>
      <w:pStyle w:val="Stopka"/>
      <w:jc w:val="cen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8A2897" w14:textId="77777777" w:rsidR="00A231E1" w:rsidRPr="00286597" w:rsidRDefault="00A231E1">
      <w:r w:rsidRPr="00286597">
        <w:separator/>
      </w:r>
    </w:p>
  </w:footnote>
  <w:footnote w:type="continuationSeparator" w:id="0">
    <w:p w14:paraId="075C2186" w14:textId="77777777" w:rsidR="00A231E1" w:rsidRPr="00286597" w:rsidRDefault="00A231E1">
      <w:r w:rsidRPr="00286597">
        <w:continuationSeparator/>
      </w:r>
    </w:p>
  </w:footnote>
  <w:footnote w:id="1">
    <w:p w14:paraId="0DF1F968" w14:textId="77777777" w:rsidR="00396120" w:rsidRPr="009F6C9C" w:rsidRDefault="00000000" w:rsidP="00396120">
      <w:pPr>
        <w:pStyle w:val="s50c0b1c7"/>
        <w:jc w:val="both"/>
        <w:rPr>
          <w:lang w:val="en-US"/>
        </w:rPr>
      </w:pPr>
      <w:r w:rsidRPr="00B37550">
        <w:rPr>
          <w:rStyle w:val="Odwoanieprzypisudolnego"/>
          <w:rFonts w:eastAsia="MS Gothic"/>
          <w:sz w:val="20"/>
          <w:szCs w:val="20"/>
        </w:rPr>
        <w:footnoteRef/>
      </w:r>
      <w:r w:rsidRPr="00B37550">
        <w:rPr>
          <w:sz w:val="20"/>
        </w:rPr>
        <w:t xml:space="preserve"> Źródło: Nota informacyjna na temat orzecznictwa Trybunału nr 240, maj 2020 r. (</w:t>
      </w:r>
      <w:r w:rsidRPr="00B37550">
        <w:rPr>
          <w:rStyle w:val="s3aeeab2"/>
          <w:i/>
          <w:sz w:val="20"/>
        </w:rPr>
        <w:t xml:space="preserve">Information Note. </w:t>
      </w:r>
      <w:r w:rsidRPr="00B37550">
        <w:rPr>
          <w:rStyle w:val="s3aeeab2"/>
          <w:i/>
          <w:sz w:val="20"/>
          <w:lang w:val="en-US"/>
        </w:rPr>
        <w:t xml:space="preserve">Case-law of the European Court of Human Rights No. 240, May 2020 / </w:t>
      </w:r>
      <w:r w:rsidRPr="00B37550">
        <w:rPr>
          <w:rStyle w:val="sfbbfee58"/>
          <w:i/>
          <w:sz w:val="20"/>
          <w:lang w:val="en-US"/>
        </w:rPr>
        <w:t xml:space="preserve">Note d’information sur la jurisprudence de la Cour 240 / </w:t>
      </w:r>
      <w:r w:rsidRPr="00B37550">
        <w:rPr>
          <w:i/>
          <w:sz w:val="20"/>
          <w:lang w:val="en-US"/>
        </w:rPr>
        <w:t>Mai</w:t>
      </w:r>
      <w:r w:rsidRPr="00B37550">
        <w:rPr>
          <w:rStyle w:val="sfbbfee58"/>
          <w:i/>
          <w:sz w:val="20"/>
          <w:lang w:val="en-US"/>
        </w:rPr>
        <w:t xml:space="preserve"> 2020</w:t>
      </w:r>
      <w:r w:rsidRPr="00B37550">
        <w:rPr>
          <w:rStyle w:val="s3aeeab2"/>
          <w:sz w:val="20"/>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6A246" w14:textId="77777777" w:rsidR="00732D9D" w:rsidRPr="00286597" w:rsidRDefault="00000000" w:rsidP="000C5061">
    <w:pPr>
      <w:pStyle w:val="JuHeader"/>
    </w:pPr>
    <w:r>
      <w:t>DECYZJA W SPRAWIE M.N. I INNI przeciwko BELGII</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1619E" w14:textId="77777777" w:rsidR="00732D9D" w:rsidRPr="00286597" w:rsidRDefault="00000000" w:rsidP="007F5A23">
    <w:pPr>
      <w:pStyle w:val="JuHeader"/>
    </w:pPr>
    <w:r>
      <w:t>DECYZJA W SPRAWIE M.N. I INNI przeciwko BELGII</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1BB15" w14:textId="77777777" w:rsidR="00732D9D" w:rsidRPr="00A45145" w:rsidRDefault="00000000" w:rsidP="00357B24">
    <w:pPr>
      <w:jc w:val="center"/>
    </w:pPr>
    <w:r>
      <w:rPr>
        <w:noProof/>
        <w:lang w:eastAsia="pl-PL"/>
      </w:rPr>
      <w:drawing>
        <wp:inline distT="0" distB="0" distL="0" distR="0" wp14:anchorId="513CFCBF" wp14:editId="2BB91E2E">
          <wp:extent cx="2962275" cy="1219200"/>
          <wp:effectExtent l="0" t="0" r="9525" b="0"/>
          <wp:docPr id="7" name="Picture 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02A2B96C" w14:textId="77777777" w:rsidR="00732D9D" w:rsidRPr="00286597" w:rsidRDefault="00732D9D">
    <w:pPr>
      <w:pStyle w:val="Nagwek"/>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B788660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15:restartNumberingAfterBreak="0">
    <w:nsid w:val="67FD1241"/>
    <w:multiLevelType w:val="hybridMultilevel"/>
    <w:tmpl w:val="F6D86CC2"/>
    <w:lvl w:ilvl="0" w:tplc="F348BB18">
      <w:start w:val="1"/>
      <w:numFmt w:val="bullet"/>
      <w:pStyle w:val="Listapunktowana"/>
      <w:lvlText w:val=""/>
      <w:lvlJc w:val="left"/>
      <w:pPr>
        <w:tabs>
          <w:tab w:val="num" w:pos="851"/>
        </w:tabs>
        <w:ind w:left="568" w:firstLine="0"/>
      </w:pPr>
      <w:rPr>
        <w:rFonts w:ascii="Wingdings" w:hAnsi="Wingdings" w:hint="default"/>
        <w:color w:val="808080"/>
        <w:sz w:val="16"/>
      </w:rPr>
    </w:lvl>
    <w:lvl w:ilvl="1" w:tplc="29867B30" w:tentative="1">
      <w:start w:val="1"/>
      <w:numFmt w:val="bullet"/>
      <w:lvlText w:val="o"/>
      <w:lvlJc w:val="left"/>
      <w:pPr>
        <w:tabs>
          <w:tab w:val="num" w:pos="1724"/>
        </w:tabs>
        <w:ind w:left="1724" w:hanging="360"/>
      </w:pPr>
      <w:rPr>
        <w:rFonts w:ascii="Courier New" w:hAnsi="Courier New" w:cs="Courier New" w:hint="default"/>
      </w:rPr>
    </w:lvl>
    <w:lvl w:ilvl="2" w:tplc="7DBAAD72" w:tentative="1">
      <w:start w:val="1"/>
      <w:numFmt w:val="bullet"/>
      <w:lvlText w:val=""/>
      <w:lvlJc w:val="left"/>
      <w:pPr>
        <w:tabs>
          <w:tab w:val="num" w:pos="2444"/>
        </w:tabs>
        <w:ind w:left="2444" w:hanging="360"/>
      </w:pPr>
      <w:rPr>
        <w:rFonts w:ascii="Wingdings" w:hAnsi="Wingdings" w:hint="default"/>
      </w:rPr>
    </w:lvl>
    <w:lvl w:ilvl="3" w:tplc="8D30F4DC" w:tentative="1">
      <w:start w:val="1"/>
      <w:numFmt w:val="bullet"/>
      <w:lvlText w:val=""/>
      <w:lvlJc w:val="left"/>
      <w:pPr>
        <w:tabs>
          <w:tab w:val="num" w:pos="3164"/>
        </w:tabs>
        <w:ind w:left="3164" w:hanging="360"/>
      </w:pPr>
      <w:rPr>
        <w:rFonts w:ascii="Symbol" w:hAnsi="Symbol" w:hint="default"/>
      </w:rPr>
    </w:lvl>
    <w:lvl w:ilvl="4" w:tplc="381CFBA2" w:tentative="1">
      <w:start w:val="1"/>
      <w:numFmt w:val="bullet"/>
      <w:lvlText w:val="o"/>
      <w:lvlJc w:val="left"/>
      <w:pPr>
        <w:tabs>
          <w:tab w:val="num" w:pos="3884"/>
        </w:tabs>
        <w:ind w:left="3884" w:hanging="360"/>
      </w:pPr>
      <w:rPr>
        <w:rFonts w:ascii="Courier New" w:hAnsi="Courier New" w:cs="Courier New" w:hint="default"/>
      </w:rPr>
    </w:lvl>
    <w:lvl w:ilvl="5" w:tplc="4150147A" w:tentative="1">
      <w:start w:val="1"/>
      <w:numFmt w:val="bullet"/>
      <w:lvlText w:val=""/>
      <w:lvlJc w:val="left"/>
      <w:pPr>
        <w:tabs>
          <w:tab w:val="num" w:pos="4604"/>
        </w:tabs>
        <w:ind w:left="4604" w:hanging="360"/>
      </w:pPr>
      <w:rPr>
        <w:rFonts w:ascii="Wingdings" w:hAnsi="Wingdings" w:hint="default"/>
      </w:rPr>
    </w:lvl>
    <w:lvl w:ilvl="6" w:tplc="055E43E6" w:tentative="1">
      <w:start w:val="1"/>
      <w:numFmt w:val="bullet"/>
      <w:lvlText w:val=""/>
      <w:lvlJc w:val="left"/>
      <w:pPr>
        <w:tabs>
          <w:tab w:val="num" w:pos="5324"/>
        </w:tabs>
        <w:ind w:left="5324" w:hanging="360"/>
      </w:pPr>
      <w:rPr>
        <w:rFonts w:ascii="Symbol" w:hAnsi="Symbol" w:hint="default"/>
      </w:rPr>
    </w:lvl>
    <w:lvl w:ilvl="7" w:tplc="43243BB4" w:tentative="1">
      <w:start w:val="1"/>
      <w:numFmt w:val="bullet"/>
      <w:lvlText w:val="o"/>
      <w:lvlJc w:val="left"/>
      <w:pPr>
        <w:tabs>
          <w:tab w:val="num" w:pos="6044"/>
        </w:tabs>
        <w:ind w:left="6044" w:hanging="360"/>
      </w:pPr>
      <w:rPr>
        <w:rFonts w:ascii="Courier New" w:hAnsi="Courier New" w:cs="Courier New" w:hint="default"/>
      </w:rPr>
    </w:lvl>
    <w:lvl w:ilvl="8" w:tplc="BE30C848" w:tentative="1">
      <w:start w:val="1"/>
      <w:numFmt w:val="bullet"/>
      <w:lvlText w:val=""/>
      <w:lvlJc w:val="left"/>
      <w:pPr>
        <w:tabs>
          <w:tab w:val="num" w:pos="6764"/>
        </w:tabs>
        <w:ind w:left="6764" w:hanging="360"/>
      </w:pPr>
      <w:rPr>
        <w:rFonts w:ascii="Wingdings" w:hAnsi="Wingdings" w:hint="default"/>
      </w:rPr>
    </w:lvl>
  </w:abstractNum>
  <w:num w:numId="1" w16cid:durableId="39283550">
    <w:abstractNumId w:val="16"/>
  </w:num>
  <w:num w:numId="2" w16cid:durableId="104540120">
    <w:abstractNumId w:val="12"/>
  </w:num>
  <w:num w:numId="3" w16cid:durableId="26687989">
    <w:abstractNumId w:val="13"/>
  </w:num>
  <w:num w:numId="4" w16cid:durableId="301547679">
    <w:abstractNumId w:val="10"/>
  </w:num>
  <w:num w:numId="5" w16cid:durableId="1178496344">
    <w:abstractNumId w:val="9"/>
  </w:num>
  <w:num w:numId="6" w16cid:durableId="1163470411">
    <w:abstractNumId w:val="14"/>
  </w:num>
  <w:num w:numId="7" w16cid:durableId="610406367">
    <w:abstractNumId w:val="11"/>
  </w:num>
  <w:num w:numId="8" w16cid:durableId="108162885">
    <w:abstractNumId w:val="15"/>
  </w:num>
  <w:num w:numId="9" w16cid:durableId="1726099900">
    <w:abstractNumId w:val="17"/>
  </w:num>
  <w:num w:numId="10" w16cid:durableId="1858932473">
    <w:abstractNumId w:val="7"/>
  </w:num>
  <w:num w:numId="11" w16cid:durableId="1866752121">
    <w:abstractNumId w:val="6"/>
  </w:num>
  <w:num w:numId="12" w16cid:durableId="509376980">
    <w:abstractNumId w:val="5"/>
  </w:num>
  <w:num w:numId="13" w16cid:durableId="47268292">
    <w:abstractNumId w:val="4"/>
  </w:num>
  <w:num w:numId="14" w16cid:durableId="399600936">
    <w:abstractNumId w:val="8"/>
  </w:num>
  <w:num w:numId="15" w16cid:durableId="1787692352">
    <w:abstractNumId w:val="3"/>
  </w:num>
  <w:num w:numId="16" w16cid:durableId="964504500">
    <w:abstractNumId w:val="2"/>
  </w:num>
  <w:num w:numId="17" w16cid:durableId="653145706">
    <w:abstractNumId w:val="1"/>
  </w:num>
  <w:num w:numId="18" w16cid:durableId="14276540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MM" w:val="0"/>
    <w:docVar w:name="NBEMMDOC" w:val="0"/>
  </w:docVars>
  <w:rsids>
    <w:rsidRoot w:val="006C3A3D"/>
    <w:rsid w:val="0001542B"/>
    <w:rsid w:val="00022FBD"/>
    <w:rsid w:val="0002745B"/>
    <w:rsid w:val="00044CC1"/>
    <w:rsid w:val="00060857"/>
    <w:rsid w:val="0006425E"/>
    <w:rsid w:val="00093EF1"/>
    <w:rsid w:val="000A5736"/>
    <w:rsid w:val="000C5061"/>
    <w:rsid w:val="00124D7E"/>
    <w:rsid w:val="00150BFA"/>
    <w:rsid w:val="001610D1"/>
    <w:rsid w:val="00195E1B"/>
    <w:rsid w:val="00197965"/>
    <w:rsid w:val="001B5097"/>
    <w:rsid w:val="001B54D5"/>
    <w:rsid w:val="001C35AD"/>
    <w:rsid w:val="001E2C9B"/>
    <w:rsid w:val="001F67AC"/>
    <w:rsid w:val="00203514"/>
    <w:rsid w:val="00225E0A"/>
    <w:rsid w:val="00243852"/>
    <w:rsid w:val="00251DC1"/>
    <w:rsid w:val="00283C74"/>
    <w:rsid w:val="00286597"/>
    <w:rsid w:val="00295882"/>
    <w:rsid w:val="002A6B0E"/>
    <w:rsid w:val="002B0AEF"/>
    <w:rsid w:val="002B3BCF"/>
    <w:rsid w:val="002B56E8"/>
    <w:rsid w:val="002D1C53"/>
    <w:rsid w:val="002F6274"/>
    <w:rsid w:val="003249E4"/>
    <w:rsid w:val="00330194"/>
    <w:rsid w:val="00337BF1"/>
    <w:rsid w:val="003407B1"/>
    <w:rsid w:val="003523E5"/>
    <w:rsid w:val="00357B24"/>
    <w:rsid w:val="00365972"/>
    <w:rsid w:val="00370DAB"/>
    <w:rsid w:val="00396120"/>
    <w:rsid w:val="003C0D38"/>
    <w:rsid w:val="003D289A"/>
    <w:rsid w:val="003E7D73"/>
    <w:rsid w:val="00423B4E"/>
    <w:rsid w:val="004422A2"/>
    <w:rsid w:val="004579D7"/>
    <w:rsid w:val="00482674"/>
    <w:rsid w:val="00487D03"/>
    <w:rsid w:val="0049029E"/>
    <w:rsid w:val="00494620"/>
    <w:rsid w:val="004B78DA"/>
    <w:rsid w:val="004F1285"/>
    <w:rsid w:val="005361CF"/>
    <w:rsid w:val="00555483"/>
    <w:rsid w:val="00561900"/>
    <w:rsid w:val="00562ED9"/>
    <w:rsid w:val="00581339"/>
    <w:rsid w:val="00581C61"/>
    <w:rsid w:val="0059723B"/>
    <w:rsid w:val="005A5504"/>
    <w:rsid w:val="005B574F"/>
    <w:rsid w:val="005D0F2B"/>
    <w:rsid w:val="005D36CA"/>
    <w:rsid w:val="005E04D8"/>
    <w:rsid w:val="005E6D82"/>
    <w:rsid w:val="006023DA"/>
    <w:rsid w:val="00611173"/>
    <w:rsid w:val="00620560"/>
    <w:rsid w:val="006317D8"/>
    <w:rsid w:val="006735E5"/>
    <w:rsid w:val="006C3249"/>
    <w:rsid w:val="006C3A3D"/>
    <w:rsid w:val="006D26F1"/>
    <w:rsid w:val="006E6710"/>
    <w:rsid w:val="006F21A3"/>
    <w:rsid w:val="006F49C8"/>
    <w:rsid w:val="00707AF2"/>
    <w:rsid w:val="0071083B"/>
    <w:rsid w:val="00715B3C"/>
    <w:rsid w:val="00722AE5"/>
    <w:rsid w:val="00732D9D"/>
    <w:rsid w:val="007420CA"/>
    <w:rsid w:val="00751EB6"/>
    <w:rsid w:val="007761A7"/>
    <w:rsid w:val="00776964"/>
    <w:rsid w:val="00793308"/>
    <w:rsid w:val="007936D8"/>
    <w:rsid w:val="0079682A"/>
    <w:rsid w:val="007A6C8F"/>
    <w:rsid w:val="007A7A45"/>
    <w:rsid w:val="007B6C45"/>
    <w:rsid w:val="007B6C48"/>
    <w:rsid w:val="007F2F56"/>
    <w:rsid w:val="007F5A23"/>
    <w:rsid w:val="00802F08"/>
    <w:rsid w:val="00811BF7"/>
    <w:rsid w:val="00821331"/>
    <w:rsid w:val="00831B21"/>
    <w:rsid w:val="00840AD0"/>
    <w:rsid w:val="00857688"/>
    <w:rsid w:val="008577FB"/>
    <w:rsid w:val="00880329"/>
    <w:rsid w:val="00882381"/>
    <w:rsid w:val="008B7DF4"/>
    <w:rsid w:val="008E369C"/>
    <w:rsid w:val="008E4D41"/>
    <w:rsid w:val="00900D8B"/>
    <w:rsid w:val="00942744"/>
    <w:rsid w:val="00954EE6"/>
    <w:rsid w:val="00962F5E"/>
    <w:rsid w:val="009B36F6"/>
    <w:rsid w:val="009D5EFF"/>
    <w:rsid w:val="009E7BC6"/>
    <w:rsid w:val="009F6C9C"/>
    <w:rsid w:val="00A00385"/>
    <w:rsid w:val="00A02AC4"/>
    <w:rsid w:val="00A03632"/>
    <w:rsid w:val="00A12090"/>
    <w:rsid w:val="00A231E1"/>
    <w:rsid w:val="00A25E00"/>
    <w:rsid w:val="00A31985"/>
    <w:rsid w:val="00A45145"/>
    <w:rsid w:val="00A7259F"/>
    <w:rsid w:val="00A80D09"/>
    <w:rsid w:val="00A824EA"/>
    <w:rsid w:val="00A920BF"/>
    <w:rsid w:val="00AB6543"/>
    <w:rsid w:val="00AD6274"/>
    <w:rsid w:val="00B07883"/>
    <w:rsid w:val="00B129A1"/>
    <w:rsid w:val="00B16F93"/>
    <w:rsid w:val="00B32EA6"/>
    <w:rsid w:val="00B37550"/>
    <w:rsid w:val="00B5245F"/>
    <w:rsid w:val="00B621F8"/>
    <w:rsid w:val="00B74FF5"/>
    <w:rsid w:val="00B95CEF"/>
    <w:rsid w:val="00BA3B16"/>
    <w:rsid w:val="00BA5488"/>
    <w:rsid w:val="00BB2C22"/>
    <w:rsid w:val="00BC0AEF"/>
    <w:rsid w:val="00BF48F8"/>
    <w:rsid w:val="00C06ED8"/>
    <w:rsid w:val="00C1429E"/>
    <w:rsid w:val="00C22D4A"/>
    <w:rsid w:val="00C4354A"/>
    <w:rsid w:val="00C45F5A"/>
    <w:rsid w:val="00C74F90"/>
    <w:rsid w:val="00C810DF"/>
    <w:rsid w:val="00C85DD2"/>
    <w:rsid w:val="00C86E78"/>
    <w:rsid w:val="00CD0346"/>
    <w:rsid w:val="00D03FD5"/>
    <w:rsid w:val="00D15C8D"/>
    <w:rsid w:val="00D41BDE"/>
    <w:rsid w:val="00D43344"/>
    <w:rsid w:val="00D76BE3"/>
    <w:rsid w:val="00D87C28"/>
    <w:rsid w:val="00D97160"/>
    <w:rsid w:val="00DA09D7"/>
    <w:rsid w:val="00DC63F4"/>
    <w:rsid w:val="00DE43AB"/>
    <w:rsid w:val="00DF64B1"/>
    <w:rsid w:val="00E0210F"/>
    <w:rsid w:val="00E03E93"/>
    <w:rsid w:val="00E670F1"/>
    <w:rsid w:val="00E91C1D"/>
    <w:rsid w:val="00EC546A"/>
    <w:rsid w:val="00ED66E9"/>
    <w:rsid w:val="00F07ABE"/>
    <w:rsid w:val="00F423C9"/>
    <w:rsid w:val="00F469D1"/>
    <w:rsid w:val="00FC09BC"/>
    <w:rsid w:val="00FD1B27"/>
    <w:rsid w:val="00FD7231"/>
    <w:rsid w:val="00FE20FB"/>
    <w:rsid w:val="00FF1617"/>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4DC3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ny">
    <w:name w:val="Normal"/>
    <w:semiHidden/>
    <w:rsid w:val="007F5A23"/>
    <w:rPr>
      <w:sz w:val="24"/>
      <w:szCs w:val="24"/>
    </w:rPr>
  </w:style>
  <w:style w:type="paragraph" w:styleId="Nagwek1">
    <w:name w:val="heading 1"/>
    <w:basedOn w:val="Normalny"/>
    <w:next w:val="Normalny"/>
    <w:link w:val="Nagwek1Znak"/>
    <w:uiPriority w:val="99"/>
    <w:semiHidden/>
    <w:rsid w:val="00102C90"/>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102C90"/>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102C90"/>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102C90"/>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102C90"/>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102C90"/>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102C90"/>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102C90"/>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102C90"/>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102C90"/>
    <w:rPr>
      <w:rFonts w:ascii="Tahoma" w:hAnsi="Tahoma" w:cs="Tahoma"/>
      <w:sz w:val="16"/>
      <w:szCs w:val="16"/>
    </w:rPr>
  </w:style>
  <w:style w:type="character" w:customStyle="1" w:styleId="TekstdymkaZnak">
    <w:name w:val="Tekst dymka Znak"/>
    <w:basedOn w:val="Domylnaczcionkaakapitu"/>
    <w:link w:val="Tekstdymka"/>
    <w:uiPriority w:val="99"/>
    <w:semiHidden/>
    <w:rsid w:val="00102C90"/>
    <w:rPr>
      <w:rFonts w:ascii="Tahoma" w:eastAsiaTheme="minorEastAsia" w:hAnsi="Tahoma" w:cs="Tahoma"/>
      <w:sz w:val="16"/>
      <w:szCs w:val="16"/>
      <w:lang w:val="pl-PL"/>
    </w:rPr>
  </w:style>
  <w:style w:type="character" w:styleId="Tytuksiki">
    <w:name w:val="Book Title"/>
    <w:uiPriority w:val="99"/>
    <w:semiHidden/>
    <w:qFormat/>
    <w:rsid w:val="00102C90"/>
    <w:rPr>
      <w:i/>
      <w:iCs/>
      <w:smallCaps/>
      <w:spacing w:val="5"/>
    </w:rPr>
  </w:style>
  <w:style w:type="paragraph" w:customStyle="1" w:styleId="JuHeader">
    <w:name w:val="Ju_Header"/>
    <w:aliases w:val="_Header"/>
    <w:basedOn w:val="Nagwek"/>
    <w:uiPriority w:val="29"/>
    <w:qFormat/>
    <w:rsid w:val="007F5A23"/>
    <w:pPr>
      <w:tabs>
        <w:tab w:val="clear" w:pos="4536"/>
        <w:tab w:val="clear" w:pos="9072"/>
      </w:tabs>
      <w:jc w:val="center"/>
    </w:pPr>
    <w:rPr>
      <w:sz w:val="18"/>
    </w:rPr>
  </w:style>
  <w:style w:type="paragraph" w:customStyle="1" w:styleId="ECHRFooter">
    <w:name w:val="ECHR_Footer"/>
    <w:aliases w:val="Footer_ECHR"/>
    <w:basedOn w:val="Stopka"/>
    <w:uiPriority w:val="57"/>
    <w:semiHidden/>
    <w:rsid w:val="00B43184"/>
    <w:rPr>
      <w:sz w:val="8"/>
    </w:rPr>
  </w:style>
  <w:style w:type="character" w:styleId="Pogrubienie">
    <w:name w:val="Strong"/>
    <w:uiPriority w:val="99"/>
    <w:semiHidden/>
    <w:qFormat/>
    <w:rsid w:val="00102C90"/>
    <w:rPr>
      <w:b/>
      <w:bCs/>
    </w:rPr>
  </w:style>
  <w:style w:type="paragraph" w:styleId="Bezodstpw">
    <w:name w:val="No Spacing"/>
    <w:basedOn w:val="Normalny"/>
    <w:link w:val="BezodstpwZnak"/>
    <w:semiHidden/>
    <w:qFormat/>
    <w:rsid w:val="00102C90"/>
  </w:style>
  <w:style w:type="character" w:customStyle="1" w:styleId="BezodstpwZnak">
    <w:name w:val="Bez odstępów Znak"/>
    <w:basedOn w:val="Domylnaczcionkaakapitu"/>
    <w:link w:val="Bezodstpw"/>
    <w:semiHidden/>
    <w:rsid w:val="00102C90"/>
    <w:rPr>
      <w:rFonts w:eastAsiaTheme="minorEastAsia"/>
      <w:sz w:val="24"/>
      <w:lang w:val="pl-PL"/>
    </w:rPr>
  </w:style>
  <w:style w:type="paragraph" w:customStyle="1" w:styleId="FooterLine">
    <w:name w:val="_Footer_Line"/>
    <w:aliases w:val="Footer_Line"/>
    <w:basedOn w:val="Normalny"/>
    <w:next w:val="Footer"/>
    <w:uiPriority w:val="57"/>
    <w:semiHidden/>
    <w:rsid w:val="00102C90"/>
    <w:pPr>
      <w:pBdr>
        <w:top w:val="single" w:sz="6" w:space="1" w:color="5F5F5F"/>
      </w:pBdr>
      <w:tabs>
        <w:tab w:val="center" w:pos="4536"/>
        <w:tab w:val="right" w:pos="9696"/>
      </w:tabs>
      <w:ind w:left="-680" w:right="-680"/>
    </w:pPr>
    <w:rPr>
      <w:color w:val="5F5F5F"/>
    </w:rPr>
  </w:style>
  <w:style w:type="paragraph" w:customStyle="1" w:styleId="JuQuot">
    <w:name w:val="Ju_Quot"/>
    <w:aliases w:val="_Quote"/>
    <w:basedOn w:val="NormalJustified"/>
    <w:uiPriority w:val="21"/>
    <w:qFormat/>
    <w:rsid w:val="00102C90"/>
    <w:pPr>
      <w:spacing w:before="120" w:after="120"/>
      <w:ind w:left="425" w:firstLine="142"/>
    </w:pPr>
    <w:rPr>
      <w:sz w:val="20"/>
    </w:rPr>
  </w:style>
  <w:style w:type="paragraph" w:customStyle="1" w:styleId="DecList">
    <w:name w:val="Dec_List"/>
    <w:aliases w:val="_List"/>
    <w:basedOn w:val="JuList"/>
    <w:uiPriority w:val="22"/>
    <w:rsid w:val="006D26F1"/>
    <w:pPr>
      <w:numPr>
        <w:numId w:val="0"/>
      </w:numPr>
      <w:ind w:left="284"/>
    </w:pPr>
  </w:style>
  <w:style w:type="paragraph" w:customStyle="1" w:styleId="JuList">
    <w:name w:val="Ju_List"/>
    <w:aliases w:val="_List_1"/>
    <w:basedOn w:val="NormalJustified"/>
    <w:uiPriority w:val="23"/>
    <w:qFormat/>
    <w:rsid w:val="00102C90"/>
    <w:pPr>
      <w:numPr>
        <w:numId w:val="2"/>
      </w:numPr>
      <w:spacing w:before="280" w:after="60"/>
    </w:pPr>
  </w:style>
  <w:style w:type="paragraph" w:customStyle="1" w:styleId="JuLista">
    <w:name w:val="Ju_List_a"/>
    <w:aliases w:val="_List_2"/>
    <w:basedOn w:val="NormalJustified"/>
    <w:uiPriority w:val="23"/>
    <w:rsid w:val="00102C90"/>
    <w:pPr>
      <w:numPr>
        <w:ilvl w:val="1"/>
        <w:numId w:val="2"/>
      </w:numPr>
    </w:pPr>
  </w:style>
  <w:style w:type="paragraph" w:customStyle="1" w:styleId="JuListi">
    <w:name w:val="Ju_List_i"/>
    <w:aliases w:val="_List_3"/>
    <w:basedOn w:val="NormalJustified"/>
    <w:uiPriority w:val="23"/>
    <w:rsid w:val="00102C90"/>
    <w:pPr>
      <w:numPr>
        <w:ilvl w:val="2"/>
        <w:numId w:val="2"/>
      </w:numPr>
    </w:pPr>
  </w:style>
  <w:style w:type="paragraph" w:customStyle="1" w:styleId="JuHArticle">
    <w:name w:val="Ju_H_Article"/>
    <w:aliases w:val="_Title_Quote"/>
    <w:basedOn w:val="Normalny"/>
    <w:next w:val="JuQuot"/>
    <w:uiPriority w:val="20"/>
    <w:qFormat/>
    <w:rsid w:val="00102C90"/>
    <w:pPr>
      <w:keepNext/>
      <w:spacing w:before="100" w:beforeAutospacing="1" w:after="120"/>
      <w:contextualSpacing/>
      <w:jc w:val="center"/>
    </w:pPr>
    <w:rPr>
      <w:b/>
      <w:sz w:val="20"/>
    </w:rPr>
  </w:style>
  <w:style w:type="paragraph" w:customStyle="1" w:styleId="JuTitle">
    <w:name w:val="Ju_Title"/>
    <w:aliases w:val="_Title_2"/>
    <w:basedOn w:val="Normalny"/>
    <w:next w:val="JuPara"/>
    <w:uiPriority w:val="35"/>
    <w:qFormat/>
    <w:rsid w:val="00102C90"/>
    <w:pPr>
      <w:keepNext/>
      <w:keepLines/>
      <w:spacing w:before="1320" w:after="280"/>
      <w:contextualSpacing/>
      <w:jc w:val="center"/>
    </w:pPr>
    <w:rPr>
      <w:b/>
    </w:rPr>
  </w:style>
  <w:style w:type="paragraph" w:customStyle="1" w:styleId="Title4">
    <w:name w:val="_Title_4"/>
    <w:basedOn w:val="JuPara"/>
    <w:next w:val="JuPara"/>
    <w:uiPriority w:val="35"/>
    <w:qFormat/>
    <w:rsid w:val="00102C90"/>
    <w:pPr>
      <w:keepNext/>
      <w:keepLines/>
      <w:tabs>
        <w:tab w:val="right" w:pos="7938"/>
      </w:tabs>
      <w:ind w:firstLine="0"/>
      <w:jc w:val="center"/>
    </w:pPr>
    <w:rPr>
      <w:i/>
    </w:rPr>
  </w:style>
  <w:style w:type="numbering" w:customStyle="1" w:styleId="ECHRA1StyleBulletedSquare">
    <w:name w:val="ECHR_A1_Style_Bulleted_Square"/>
    <w:basedOn w:val="Bezlisty"/>
    <w:rsid w:val="00102C90"/>
    <w:pPr>
      <w:numPr>
        <w:numId w:val="6"/>
      </w:numPr>
    </w:pPr>
  </w:style>
  <w:style w:type="numbering" w:customStyle="1" w:styleId="ECHRA1StyleList">
    <w:name w:val="ECHR_A1_Style_List"/>
    <w:basedOn w:val="Bezlisty"/>
    <w:uiPriority w:val="99"/>
    <w:rsid w:val="00102C90"/>
    <w:pPr>
      <w:numPr>
        <w:numId w:val="7"/>
      </w:numPr>
    </w:pPr>
  </w:style>
  <w:style w:type="paragraph" w:styleId="Tytu">
    <w:name w:val="Title"/>
    <w:basedOn w:val="Normalny"/>
    <w:next w:val="Normalny"/>
    <w:link w:val="TytuZnak"/>
    <w:uiPriority w:val="99"/>
    <w:semiHidden/>
    <w:qFormat/>
    <w:rsid w:val="00102C90"/>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102C90"/>
    <w:rPr>
      <w:rFonts w:asciiTheme="majorHAnsi" w:eastAsiaTheme="majorEastAsia" w:hAnsiTheme="majorHAnsi" w:cstheme="majorBidi"/>
      <w:spacing w:val="5"/>
      <w:sz w:val="52"/>
      <w:szCs w:val="52"/>
      <w:lang w:val="pl-PL" w:bidi="en-US"/>
    </w:rPr>
  </w:style>
  <w:style w:type="paragraph" w:customStyle="1" w:styleId="JuSigned">
    <w:name w:val="Ju_Signed"/>
    <w:aliases w:val="_Signature"/>
    <w:basedOn w:val="Normalny"/>
    <w:next w:val="JuPara"/>
    <w:uiPriority w:val="32"/>
    <w:qFormat/>
    <w:rsid w:val="00102C90"/>
    <w:pPr>
      <w:tabs>
        <w:tab w:val="center" w:pos="851"/>
        <w:tab w:val="center" w:pos="6407"/>
      </w:tabs>
      <w:spacing w:before="720"/>
    </w:pPr>
  </w:style>
  <w:style w:type="numbering" w:customStyle="1" w:styleId="ECHRA1StyleNumberedList">
    <w:name w:val="ECHR_A1_Style_Numbered_List"/>
    <w:basedOn w:val="Bezlisty"/>
    <w:rsid w:val="00102C90"/>
    <w:pPr>
      <w:numPr>
        <w:numId w:val="8"/>
      </w:numPr>
    </w:pPr>
  </w:style>
  <w:style w:type="table" w:customStyle="1" w:styleId="ECHRTable2019">
    <w:name w:val="ECHR_Table_2019"/>
    <w:basedOn w:val="Standardowy"/>
    <w:uiPriority w:val="99"/>
    <w:rsid w:val="00102C90"/>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Footer">
    <w:name w:val="_Footer"/>
    <w:aliases w:val="Footer_"/>
    <w:basedOn w:val="Stopka"/>
    <w:uiPriority w:val="57"/>
    <w:semiHidden/>
    <w:rsid w:val="00102C90"/>
    <w:rPr>
      <w:sz w:val="8"/>
    </w:rPr>
  </w:style>
  <w:style w:type="paragraph" w:customStyle="1" w:styleId="JuCase">
    <w:name w:val="Ju_Case"/>
    <w:basedOn w:val="Normalny"/>
    <w:next w:val="JuPara"/>
    <w:uiPriority w:val="31"/>
    <w:rsid w:val="00102C90"/>
    <w:pPr>
      <w:ind w:firstLine="284"/>
    </w:pPr>
    <w:rPr>
      <w:b/>
    </w:rPr>
  </w:style>
  <w:style w:type="paragraph" w:customStyle="1" w:styleId="JuCourt">
    <w:name w:val="Ju_Court"/>
    <w:basedOn w:val="Normalny"/>
    <w:next w:val="Normalny"/>
    <w:uiPriority w:val="31"/>
    <w:qFormat/>
    <w:rsid w:val="00102C90"/>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ny"/>
    <w:next w:val="JuPara"/>
    <w:uiPriority w:val="19"/>
    <w:qFormat/>
    <w:rsid w:val="00102C90"/>
    <w:pPr>
      <w:keepNext/>
      <w:keepLines/>
      <w:numPr>
        <w:ilvl w:val="1"/>
        <w:numId w:val="1"/>
      </w:numPr>
      <w:spacing w:before="100" w:beforeAutospacing="1" w:after="240"/>
      <w:jc w:val="both"/>
      <w:outlineLvl w:val="1"/>
    </w:pPr>
    <w:rPr>
      <w:caps/>
    </w:rPr>
  </w:style>
  <w:style w:type="paragraph" w:customStyle="1" w:styleId="JuHA">
    <w:name w:val="Ju_H_A"/>
    <w:aliases w:val="_Head_3"/>
    <w:basedOn w:val="Normalny"/>
    <w:next w:val="JuPara"/>
    <w:uiPriority w:val="19"/>
    <w:qFormat/>
    <w:rsid w:val="00102C90"/>
    <w:pPr>
      <w:keepNext/>
      <w:keepLines/>
      <w:numPr>
        <w:ilvl w:val="2"/>
        <w:numId w:val="1"/>
      </w:numPr>
      <w:spacing w:before="100" w:beforeAutospacing="1" w:after="240"/>
      <w:jc w:val="both"/>
      <w:outlineLvl w:val="2"/>
    </w:pPr>
    <w:rPr>
      <w:b/>
    </w:rPr>
  </w:style>
  <w:style w:type="paragraph" w:styleId="Nagwek">
    <w:name w:val="header"/>
    <w:basedOn w:val="Normalny"/>
    <w:link w:val="NagwekZnak"/>
    <w:uiPriority w:val="57"/>
    <w:semiHidden/>
    <w:rsid w:val="00102C90"/>
    <w:pPr>
      <w:tabs>
        <w:tab w:val="center" w:pos="4536"/>
        <w:tab w:val="right" w:pos="9072"/>
      </w:tabs>
    </w:pPr>
  </w:style>
  <w:style w:type="character" w:customStyle="1" w:styleId="NagwekZnak">
    <w:name w:val="Nagłówek Znak"/>
    <w:basedOn w:val="Domylnaczcionkaakapitu"/>
    <w:link w:val="Nagwek"/>
    <w:uiPriority w:val="57"/>
    <w:semiHidden/>
    <w:rsid w:val="00102C90"/>
    <w:rPr>
      <w:sz w:val="24"/>
      <w:lang w:val="pl-PL"/>
    </w:rPr>
  </w:style>
  <w:style w:type="character" w:customStyle="1" w:styleId="Nagwek1Znak">
    <w:name w:val="Nagłówek 1 Znak"/>
    <w:basedOn w:val="Domylnaczcionkaakapitu"/>
    <w:link w:val="Nagwek1"/>
    <w:uiPriority w:val="99"/>
    <w:semiHidden/>
    <w:rsid w:val="00102C90"/>
    <w:rPr>
      <w:rFonts w:asciiTheme="majorHAnsi" w:eastAsiaTheme="majorEastAsia" w:hAnsiTheme="majorHAnsi" w:cstheme="majorBidi"/>
      <w:b/>
      <w:bCs/>
      <w:color w:val="333333"/>
      <w:sz w:val="28"/>
      <w:szCs w:val="28"/>
      <w:lang w:val="pl-PL"/>
    </w:rPr>
  </w:style>
  <w:style w:type="paragraph" w:customStyle="1" w:styleId="JuH1">
    <w:name w:val="Ju_H_1."/>
    <w:aliases w:val="_Head_4"/>
    <w:basedOn w:val="Normalny"/>
    <w:next w:val="JuPara"/>
    <w:uiPriority w:val="19"/>
    <w:rsid w:val="00102C90"/>
    <w:pPr>
      <w:keepNext/>
      <w:keepLines/>
      <w:numPr>
        <w:ilvl w:val="3"/>
        <w:numId w:val="1"/>
      </w:numPr>
      <w:spacing w:before="100" w:beforeAutospacing="1" w:after="120"/>
      <w:jc w:val="both"/>
      <w:outlineLvl w:val="3"/>
    </w:pPr>
    <w:rPr>
      <w:i/>
    </w:rPr>
  </w:style>
  <w:style w:type="paragraph" w:customStyle="1" w:styleId="JuHa0">
    <w:name w:val="Ju_H_a"/>
    <w:aliases w:val="_Head_5"/>
    <w:basedOn w:val="Normalny"/>
    <w:next w:val="JuPara"/>
    <w:uiPriority w:val="19"/>
    <w:rsid w:val="00102C90"/>
    <w:pPr>
      <w:keepNext/>
      <w:keepLines/>
      <w:numPr>
        <w:ilvl w:val="4"/>
        <w:numId w:val="1"/>
      </w:numPr>
      <w:spacing w:before="100" w:beforeAutospacing="1" w:after="120"/>
      <w:jc w:val="both"/>
      <w:outlineLvl w:val="4"/>
    </w:pPr>
    <w:rPr>
      <w:b/>
      <w:sz w:val="20"/>
    </w:rPr>
  </w:style>
  <w:style w:type="character" w:customStyle="1" w:styleId="Nagwek2Znak">
    <w:name w:val="Nagłówek 2 Znak"/>
    <w:basedOn w:val="Domylnaczcionkaakapitu"/>
    <w:link w:val="Nagwek2"/>
    <w:uiPriority w:val="99"/>
    <w:semiHidden/>
    <w:rsid w:val="00102C90"/>
    <w:rPr>
      <w:rFonts w:asciiTheme="majorHAnsi" w:eastAsiaTheme="majorEastAsia" w:hAnsiTheme="majorHAnsi" w:cstheme="majorBidi"/>
      <w:b/>
      <w:bCs/>
      <w:color w:val="4D4D4D"/>
      <w:sz w:val="26"/>
      <w:szCs w:val="26"/>
      <w:lang w:val="pl-PL"/>
    </w:rPr>
  </w:style>
  <w:style w:type="paragraph" w:customStyle="1" w:styleId="JuHi">
    <w:name w:val="Ju_H_i"/>
    <w:aliases w:val="_Head_6"/>
    <w:basedOn w:val="Normalny"/>
    <w:next w:val="JuPara"/>
    <w:uiPriority w:val="19"/>
    <w:rsid w:val="00102C90"/>
    <w:pPr>
      <w:keepNext/>
      <w:keepLines/>
      <w:numPr>
        <w:ilvl w:val="5"/>
        <w:numId w:val="1"/>
      </w:numPr>
      <w:spacing w:before="100" w:beforeAutospacing="1" w:after="120"/>
      <w:jc w:val="both"/>
      <w:outlineLvl w:val="5"/>
    </w:pPr>
    <w:rPr>
      <w:i/>
      <w:sz w:val="20"/>
    </w:rPr>
  </w:style>
  <w:style w:type="paragraph" w:customStyle="1" w:styleId="JuHalpha">
    <w:name w:val="Ju_H_alpha"/>
    <w:aliases w:val="_Head_7"/>
    <w:basedOn w:val="Normalny"/>
    <w:next w:val="JuPara"/>
    <w:uiPriority w:val="19"/>
    <w:rsid w:val="00102C90"/>
    <w:pPr>
      <w:keepNext/>
      <w:keepLines/>
      <w:numPr>
        <w:ilvl w:val="6"/>
        <w:numId w:val="1"/>
      </w:numPr>
      <w:spacing w:before="100" w:beforeAutospacing="1" w:after="120"/>
      <w:jc w:val="both"/>
      <w:outlineLvl w:val="6"/>
    </w:pPr>
    <w:rPr>
      <w:sz w:val="20"/>
    </w:rPr>
  </w:style>
  <w:style w:type="character" w:customStyle="1" w:styleId="Nagwek3Znak">
    <w:name w:val="Nagłówek 3 Znak"/>
    <w:basedOn w:val="Domylnaczcionkaakapitu"/>
    <w:link w:val="Nagwek3"/>
    <w:uiPriority w:val="99"/>
    <w:semiHidden/>
    <w:rsid w:val="00102C90"/>
    <w:rPr>
      <w:rFonts w:asciiTheme="majorHAnsi" w:eastAsiaTheme="majorEastAsia" w:hAnsiTheme="majorHAnsi" w:cstheme="majorBidi"/>
      <w:b/>
      <w:bCs/>
      <w:color w:val="5F5F5F"/>
      <w:sz w:val="24"/>
      <w:lang w:val="pl-PL"/>
    </w:rPr>
  </w:style>
  <w:style w:type="paragraph" w:customStyle="1" w:styleId="JuH">
    <w:name w:val="Ju_H_–"/>
    <w:aliases w:val="_Head_8"/>
    <w:basedOn w:val="Normalny"/>
    <w:next w:val="JuPara"/>
    <w:uiPriority w:val="19"/>
    <w:rsid w:val="00102C90"/>
    <w:pPr>
      <w:keepNext/>
      <w:keepLines/>
      <w:numPr>
        <w:ilvl w:val="7"/>
        <w:numId w:val="1"/>
      </w:numPr>
      <w:spacing w:before="100" w:beforeAutospacing="1" w:after="120"/>
      <w:jc w:val="both"/>
      <w:outlineLvl w:val="7"/>
    </w:pPr>
    <w:rPr>
      <w:i/>
      <w:sz w:val="20"/>
    </w:rPr>
  </w:style>
  <w:style w:type="paragraph" w:customStyle="1" w:styleId="JuParaLast">
    <w:name w:val="Ju_Para_Last"/>
    <w:aliases w:val="_Para_Spaced"/>
    <w:basedOn w:val="NormalJustified"/>
    <w:uiPriority w:val="9"/>
    <w:qFormat/>
    <w:rsid w:val="00102C90"/>
    <w:pPr>
      <w:keepNext/>
      <w:keepLines/>
      <w:spacing w:before="240" w:after="240"/>
      <w:ind w:firstLine="284"/>
    </w:pPr>
  </w:style>
  <w:style w:type="character" w:customStyle="1" w:styleId="Nagwek4Znak">
    <w:name w:val="Nagłówek 4 Znak"/>
    <w:basedOn w:val="Domylnaczcionkaakapitu"/>
    <w:link w:val="Nagwek4"/>
    <w:uiPriority w:val="99"/>
    <w:semiHidden/>
    <w:rsid w:val="00102C90"/>
    <w:rPr>
      <w:rFonts w:asciiTheme="majorHAnsi" w:eastAsiaTheme="majorEastAsia" w:hAnsiTheme="majorHAnsi" w:cstheme="majorBidi"/>
      <w:b/>
      <w:bCs/>
      <w:i/>
      <w:iCs/>
      <w:color w:val="777777"/>
      <w:sz w:val="24"/>
      <w:lang w:val="pl-PL"/>
    </w:rPr>
  </w:style>
  <w:style w:type="paragraph" w:customStyle="1" w:styleId="JuInitialled">
    <w:name w:val="Ju_Initialled"/>
    <w:aliases w:val="_Right"/>
    <w:basedOn w:val="Normalny"/>
    <w:uiPriority w:val="30"/>
    <w:qFormat/>
    <w:rsid w:val="00102C90"/>
    <w:pPr>
      <w:tabs>
        <w:tab w:val="center" w:pos="6407"/>
      </w:tabs>
      <w:spacing w:before="720"/>
      <w:jc w:val="right"/>
    </w:pPr>
  </w:style>
  <w:style w:type="character" w:customStyle="1" w:styleId="Nagwek5Znak">
    <w:name w:val="Nagłówek 5 Znak"/>
    <w:basedOn w:val="Domylnaczcionkaakapitu"/>
    <w:link w:val="Nagwek5"/>
    <w:uiPriority w:val="99"/>
    <w:semiHidden/>
    <w:rsid w:val="00102C90"/>
    <w:rPr>
      <w:rFonts w:asciiTheme="majorHAnsi" w:eastAsiaTheme="majorEastAsia" w:hAnsiTheme="majorHAnsi" w:cstheme="majorBidi"/>
      <w:b/>
      <w:bCs/>
      <w:color w:val="808080"/>
      <w:sz w:val="24"/>
      <w:lang w:val="pl-PL"/>
    </w:rPr>
  </w:style>
  <w:style w:type="character" w:customStyle="1" w:styleId="JuITMark">
    <w:name w:val="Ju_ITMark"/>
    <w:basedOn w:val="Domylnaczcionkaakapitu"/>
    <w:uiPriority w:val="38"/>
    <w:semiHidden/>
    <w:qFormat/>
    <w:rsid w:val="00102C90"/>
    <w:rPr>
      <w:vanish w:val="0"/>
      <w:color w:val="auto"/>
      <w:sz w:val="14"/>
      <w:bdr w:val="none" w:sz="0" w:space="0" w:color="auto"/>
      <w:shd w:val="clear" w:color="auto" w:fill="BEE5FF" w:themeFill="background1" w:themeFillTint="33"/>
    </w:rPr>
  </w:style>
  <w:style w:type="character" w:customStyle="1" w:styleId="JUNAMES">
    <w:name w:val="JU_NAMES"/>
    <w:uiPriority w:val="34"/>
    <w:qFormat/>
    <w:rsid w:val="00102C90"/>
    <w:rPr>
      <w:caps w:val="0"/>
      <w:smallCaps/>
    </w:rPr>
  </w:style>
  <w:style w:type="character" w:styleId="Wyrnieniedelikatne">
    <w:name w:val="Subtle Emphasis"/>
    <w:uiPriority w:val="99"/>
    <w:semiHidden/>
    <w:qFormat/>
    <w:rsid w:val="00102C90"/>
    <w:rPr>
      <w:i/>
      <w:iCs/>
    </w:rPr>
  </w:style>
  <w:style w:type="paragraph" w:customStyle="1" w:styleId="NormalJustified">
    <w:name w:val="Normal_Justified"/>
    <w:basedOn w:val="Normalny"/>
    <w:semiHidden/>
    <w:rsid w:val="00102C90"/>
    <w:pPr>
      <w:jc w:val="both"/>
    </w:p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102C90"/>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HHead">
    <w:name w:val="Ju_H_Head"/>
    <w:aliases w:val="_Head_1"/>
    <w:basedOn w:val="Normalny"/>
    <w:next w:val="JuPara"/>
    <w:uiPriority w:val="19"/>
    <w:qFormat/>
    <w:rsid w:val="00102C90"/>
    <w:pPr>
      <w:keepNext/>
      <w:keepLines/>
      <w:numPr>
        <w:numId w:val="1"/>
      </w:numPr>
      <w:spacing w:before="100" w:beforeAutospacing="1" w:after="240"/>
      <w:jc w:val="both"/>
      <w:outlineLvl w:val="0"/>
    </w:pPr>
    <w:rPr>
      <w:caps/>
      <w:sz w:val="28"/>
    </w:rPr>
  </w:style>
  <w:style w:type="paragraph" w:customStyle="1" w:styleId="DecHCase">
    <w:name w:val="Dec_H_Case"/>
    <w:aliases w:val="_Title_3"/>
    <w:basedOn w:val="JuPara"/>
    <w:next w:val="JuPara"/>
    <w:uiPriority w:val="38"/>
    <w:qFormat/>
    <w:rsid w:val="00102C90"/>
    <w:pPr>
      <w:keepNext/>
      <w:keepLines/>
      <w:spacing w:after="280"/>
      <w:ind w:firstLine="0"/>
      <w:jc w:val="center"/>
    </w:pPr>
    <w:rPr>
      <w:rFonts w:asciiTheme="majorHAnsi" w:hAnsiTheme="majorHAnsi"/>
    </w:rPr>
  </w:style>
  <w:style w:type="character" w:styleId="Uwydatnienie">
    <w:name w:val="Emphasis"/>
    <w:uiPriority w:val="99"/>
    <w:semiHidden/>
    <w:qFormat/>
    <w:rsid w:val="00102C90"/>
    <w:rPr>
      <w:b/>
      <w:bCs/>
      <w:i/>
      <w:iCs/>
      <w:spacing w:val="10"/>
      <w:bdr w:val="none" w:sz="0" w:space="0" w:color="auto"/>
      <w:shd w:val="clear" w:color="auto" w:fill="auto"/>
    </w:rPr>
  </w:style>
  <w:style w:type="paragraph" w:styleId="Stopka">
    <w:name w:val="footer"/>
    <w:basedOn w:val="Normalny"/>
    <w:link w:val="StopkaZnak"/>
    <w:uiPriority w:val="57"/>
    <w:semiHidden/>
    <w:rsid w:val="00102C90"/>
    <w:pPr>
      <w:tabs>
        <w:tab w:val="center" w:pos="4536"/>
        <w:tab w:val="right" w:pos="9696"/>
      </w:tabs>
      <w:ind w:left="-680" w:right="-680"/>
    </w:pPr>
  </w:style>
  <w:style w:type="character" w:customStyle="1" w:styleId="StopkaZnak">
    <w:name w:val="Stopka Znak"/>
    <w:basedOn w:val="Domylnaczcionkaakapitu"/>
    <w:link w:val="Stopka"/>
    <w:uiPriority w:val="57"/>
    <w:semiHidden/>
    <w:rsid w:val="00102C90"/>
    <w:rPr>
      <w:sz w:val="24"/>
      <w:lang w:val="pl-PL"/>
    </w:rPr>
  </w:style>
  <w:style w:type="character" w:styleId="Odwoanieprzypisudolnego">
    <w:name w:val="footnote reference"/>
    <w:basedOn w:val="Domylnaczcionkaakapitu"/>
    <w:uiPriority w:val="99"/>
    <w:semiHidden/>
    <w:rsid w:val="00102C90"/>
    <w:rPr>
      <w:vertAlign w:val="superscript"/>
    </w:rPr>
  </w:style>
  <w:style w:type="paragraph" w:styleId="Tekstprzypisudolnego">
    <w:name w:val="footnote text"/>
    <w:basedOn w:val="Normalny"/>
    <w:link w:val="TekstprzypisudolnegoZnak"/>
    <w:uiPriority w:val="99"/>
    <w:semiHidden/>
    <w:rsid w:val="00102C90"/>
    <w:rPr>
      <w:sz w:val="20"/>
      <w:szCs w:val="20"/>
    </w:rPr>
  </w:style>
  <w:style w:type="character" w:customStyle="1" w:styleId="TekstprzypisudolnegoZnak">
    <w:name w:val="Tekst przypisu dolnego Znak"/>
    <w:basedOn w:val="Domylnaczcionkaakapitu"/>
    <w:link w:val="Tekstprzypisudolnego"/>
    <w:uiPriority w:val="99"/>
    <w:semiHidden/>
    <w:rsid w:val="00102C90"/>
    <w:rPr>
      <w:rFonts w:eastAsiaTheme="minorEastAsia"/>
      <w:sz w:val="20"/>
      <w:szCs w:val="20"/>
      <w:lang w:val="pl-PL"/>
    </w:rPr>
  </w:style>
  <w:style w:type="character" w:customStyle="1" w:styleId="Nagwek6Znak">
    <w:name w:val="Nagłówek 6 Znak"/>
    <w:basedOn w:val="Domylnaczcionkaakapitu"/>
    <w:link w:val="Nagwek6"/>
    <w:uiPriority w:val="99"/>
    <w:semiHidden/>
    <w:rsid w:val="00102C90"/>
    <w:rPr>
      <w:rFonts w:asciiTheme="majorHAnsi" w:eastAsiaTheme="majorEastAsia" w:hAnsiTheme="majorHAnsi" w:cstheme="majorBidi"/>
      <w:b/>
      <w:bCs/>
      <w:i/>
      <w:iCs/>
      <w:color w:val="7F7F7F" w:themeColor="text1" w:themeTint="80"/>
      <w:sz w:val="24"/>
      <w:lang w:val="pl-PL" w:bidi="en-US"/>
    </w:rPr>
  </w:style>
  <w:style w:type="character" w:customStyle="1" w:styleId="Nagwek7Znak">
    <w:name w:val="Nagłówek 7 Znak"/>
    <w:basedOn w:val="Domylnaczcionkaakapitu"/>
    <w:link w:val="Nagwek7"/>
    <w:uiPriority w:val="99"/>
    <w:semiHidden/>
    <w:rsid w:val="00102C90"/>
    <w:rPr>
      <w:rFonts w:asciiTheme="majorHAnsi" w:eastAsiaTheme="majorEastAsia" w:hAnsiTheme="majorHAnsi" w:cstheme="majorBidi"/>
      <w:i/>
      <w:iCs/>
      <w:sz w:val="24"/>
      <w:lang w:val="pl-PL" w:bidi="en-US"/>
    </w:rPr>
  </w:style>
  <w:style w:type="character" w:customStyle="1" w:styleId="Nagwek8Znak">
    <w:name w:val="Nagłówek 8 Znak"/>
    <w:basedOn w:val="Domylnaczcionkaakapitu"/>
    <w:link w:val="Nagwek8"/>
    <w:uiPriority w:val="99"/>
    <w:semiHidden/>
    <w:rsid w:val="00102C90"/>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9"/>
    <w:semiHidden/>
    <w:rsid w:val="00102C90"/>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9"/>
    <w:semiHidden/>
    <w:rsid w:val="00102C90"/>
    <w:rPr>
      <w:color w:val="0072BC" w:themeColor="hyperlink"/>
      <w:u w:val="single"/>
    </w:rPr>
  </w:style>
  <w:style w:type="character" w:styleId="Wyrnienieintensywne">
    <w:name w:val="Intense Emphasis"/>
    <w:uiPriority w:val="99"/>
    <w:semiHidden/>
    <w:qFormat/>
    <w:rsid w:val="00102C90"/>
    <w:rPr>
      <w:b/>
      <w:bCs/>
    </w:rPr>
  </w:style>
  <w:style w:type="paragraph" w:styleId="Cytatintensywny">
    <w:name w:val="Intense Quote"/>
    <w:basedOn w:val="Normalny"/>
    <w:next w:val="Normalny"/>
    <w:link w:val="CytatintensywnyZnak"/>
    <w:uiPriority w:val="99"/>
    <w:semiHidden/>
    <w:qFormat/>
    <w:rsid w:val="00102C90"/>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102C90"/>
    <w:rPr>
      <w:rFonts w:eastAsiaTheme="minorEastAsia"/>
      <w:b/>
      <w:bCs/>
      <w:i/>
      <w:iCs/>
      <w:sz w:val="24"/>
      <w:lang w:val="pl-PL" w:bidi="en-US"/>
    </w:rPr>
  </w:style>
  <w:style w:type="character" w:styleId="Odwoanieintensywne">
    <w:name w:val="Intense Reference"/>
    <w:uiPriority w:val="99"/>
    <w:semiHidden/>
    <w:qFormat/>
    <w:rsid w:val="00102C90"/>
    <w:rPr>
      <w:smallCaps/>
      <w:spacing w:val="5"/>
      <w:u w:val="single"/>
    </w:rPr>
  </w:style>
  <w:style w:type="paragraph" w:styleId="Akapitzlist">
    <w:name w:val="List Paragraph"/>
    <w:basedOn w:val="Normalny"/>
    <w:uiPriority w:val="99"/>
    <w:semiHidden/>
    <w:qFormat/>
    <w:rsid w:val="00102C90"/>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102C90"/>
    <w:pPr>
      <w:spacing w:before="200"/>
      <w:ind w:left="360" w:right="360"/>
    </w:pPr>
    <w:rPr>
      <w:i/>
      <w:iCs/>
      <w:lang w:bidi="en-US"/>
    </w:rPr>
  </w:style>
  <w:style w:type="character" w:customStyle="1" w:styleId="CytatZnak">
    <w:name w:val="Cytat Znak"/>
    <w:basedOn w:val="Domylnaczcionkaakapitu"/>
    <w:link w:val="Cytat"/>
    <w:uiPriority w:val="99"/>
    <w:semiHidden/>
    <w:rsid w:val="00102C90"/>
    <w:rPr>
      <w:rFonts w:eastAsiaTheme="minorEastAsia"/>
      <w:i/>
      <w:iCs/>
      <w:sz w:val="24"/>
      <w:lang w:val="pl-PL" w:bidi="en-US"/>
    </w:rPr>
  </w:style>
  <w:style w:type="character" w:styleId="Odwoaniedelikatne">
    <w:name w:val="Subtle Reference"/>
    <w:uiPriority w:val="99"/>
    <w:semiHidden/>
    <w:qFormat/>
    <w:rsid w:val="00102C90"/>
    <w:rPr>
      <w:smallCaps/>
    </w:rPr>
  </w:style>
  <w:style w:type="table" w:styleId="Tabela-Siatka">
    <w:name w:val="Table Grid"/>
    <w:basedOn w:val="Standardowy"/>
    <w:uiPriority w:val="59"/>
    <w:semiHidden/>
    <w:rsid w:val="00102C90"/>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102C90"/>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102C90"/>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102C90"/>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102C90"/>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102C90"/>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102C90"/>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102C90"/>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102C90"/>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102C90"/>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102C90"/>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customStyle="1" w:styleId="JuPara">
    <w:name w:val="Ju_Para"/>
    <w:aliases w:val="10 pt,27 cm,ECHR_Para,First line:  0 cm,Ju_Para + Interligne : Double,Left,Left:  1,Line spacing:  1.5 l...,N_Para,Normal + TimesNewRomanPSMT,Para,_Para"/>
    <w:basedOn w:val="NormalJustified"/>
    <w:link w:val="ECHRParaChar"/>
    <w:uiPriority w:val="99"/>
    <w:qFormat/>
    <w:rsid w:val="00102C90"/>
    <w:pPr>
      <w:ind w:firstLine="284"/>
    </w:pPr>
  </w:style>
  <w:style w:type="paragraph" w:styleId="Podtytu">
    <w:name w:val="Subtitle"/>
    <w:basedOn w:val="Normalny"/>
    <w:next w:val="Normalny"/>
    <w:link w:val="PodtytuZnak"/>
    <w:uiPriority w:val="99"/>
    <w:semiHidden/>
    <w:qFormat/>
    <w:rsid w:val="00102C90"/>
    <w:pPr>
      <w:spacing w:after="600"/>
    </w:pPr>
    <w:rPr>
      <w:rFonts w:asciiTheme="majorHAnsi" w:eastAsiaTheme="majorEastAsia" w:hAnsiTheme="majorHAnsi" w:cstheme="majorBidi"/>
      <w:i/>
      <w:iCs/>
      <w:spacing w:val="13"/>
      <w:lang w:bidi="en-US"/>
    </w:rPr>
  </w:style>
  <w:style w:type="table" w:customStyle="1" w:styleId="ECHRTableSimpleBox">
    <w:name w:val="ECHR_Table_Simple_Box"/>
    <w:basedOn w:val="Standardowy"/>
    <w:uiPriority w:val="99"/>
    <w:rsid w:val="00102C90"/>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102C90"/>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character" w:customStyle="1" w:styleId="PodtytuZnak">
    <w:name w:val="Podtytuł Znak"/>
    <w:basedOn w:val="Domylnaczcionkaakapitu"/>
    <w:link w:val="Podtytu"/>
    <w:uiPriority w:val="99"/>
    <w:semiHidden/>
    <w:rsid w:val="00102C90"/>
    <w:rPr>
      <w:rFonts w:asciiTheme="majorHAnsi" w:eastAsiaTheme="majorEastAsia" w:hAnsiTheme="majorHAnsi" w:cstheme="majorBidi"/>
      <w:i/>
      <w:iCs/>
      <w:spacing w:val="13"/>
      <w:sz w:val="24"/>
      <w:szCs w:val="24"/>
      <w:lang w:val="pl-PL" w:bidi="en-US"/>
    </w:rPr>
  </w:style>
  <w:style w:type="table" w:customStyle="1" w:styleId="ECHRTableForInternalUse">
    <w:name w:val="ECHR_Table_For_Internal_Use"/>
    <w:basedOn w:val="Standardowy"/>
    <w:uiPriority w:val="99"/>
    <w:rsid w:val="00102C90"/>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B43184"/>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numbering" w:styleId="111111">
    <w:name w:val="Outline List 2"/>
    <w:basedOn w:val="Bezlisty"/>
    <w:uiPriority w:val="99"/>
    <w:semiHidden/>
    <w:unhideWhenUsed/>
    <w:rsid w:val="00102C90"/>
    <w:pPr>
      <w:numPr>
        <w:numId w:val="3"/>
      </w:numPr>
    </w:pPr>
  </w:style>
  <w:style w:type="numbering" w:styleId="1ai">
    <w:name w:val="Outline List 1"/>
    <w:basedOn w:val="Bezlisty"/>
    <w:uiPriority w:val="99"/>
    <w:semiHidden/>
    <w:unhideWhenUsed/>
    <w:rsid w:val="00102C90"/>
    <w:pPr>
      <w:numPr>
        <w:numId w:val="4"/>
      </w:numPr>
    </w:pPr>
  </w:style>
  <w:style w:type="table" w:customStyle="1" w:styleId="ECHRHeaderTable">
    <w:name w:val="ECHR_Header_Table"/>
    <w:basedOn w:val="Standardowy"/>
    <w:uiPriority w:val="99"/>
    <w:rsid w:val="00102C90"/>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numbering" w:styleId="Artykusekcja">
    <w:name w:val="Outline List 3"/>
    <w:basedOn w:val="Bezlisty"/>
    <w:uiPriority w:val="99"/>
    <w:semiHidden/>
    <w:unhideWhenUsed/>
    <w:rsid w:val="00102C90"/>
    <w:pPr>
      <w:numPr>
        <w:numId w:val="5"/>
      </w:numPr>
    </w:pPr>
  </w:style>
  <w:style w:type="paragraph" w:styleId="Bibliografia">
    <w:name w:val="Bibliography"/>
    <w:basedOn w:val="Normalny"/>
    <w:next w:val="Normalny"/>
    <w:uiPriority w:val="99"/>
    <w:semiHidden/>
    <w:rsid w:val="00102C90"/>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basedOn w:val="Normalny"/>
    <w:uiPriority w:val="31"/>
    <w:qFormat/>
    <w:rsid w:val="00102C90"/>
    <w:pPr>
      <w:tabs>
        <w:tab w:val="left" w:pos="567"/>
        <w:tab w:val="left" w:pos="1134"/>
      </w:tabs>
    </w:pPr>
  </w:style>
  <w:style w:type="table" w:customStyle="1" w:styleId="ECHRHeaderTableReduced">
    <w:name w:val="ECHR_Header_Table_Reduced"/>
    <w:basedOn w:val="Standardowy"/>
    <w:uiPriority w:val="99"/>
    <w:rsid w:val="00102C9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styleId="Numerstrony">
    <w:name w:val="page number"/>
    <w:uiPriority w:val="99"/>
    <w:semiHidden/>
    <w:rsid w:val="00102C90"/>
    <w:rPr>
      <w:sz w:val="18"/>
    </w:rPr>
  </w:style>
  <w:style w:type="character" w:styleId="Odwoaniedokomentarza">
    <w:name w:val="annotation reference"/>
    <w:basedOn w:val="Domylnaczcionkaakapitu"/>
    <w:uiPriority w:val="99"/>
    <w:semiHidden/>
    <w:rsid w:val="00102C90"/>
    <w:rPr>
      <w:sz w:val="16"/>
      <w:szCs w:val="16"/>
    </w:rPr>
  </w:style>
  <w:style w:type="paragraph" w:styleId="Tekstkomentarza">
    <w:name w:val="annotation text"/>
    <w:basedOn w:val="Normalny"/>
    <w:link w:val="TekstkomentarzaZnak"/>
    <w:semiHidden/>
    <w:rsid w:val="00102C90"/>
    <w:rPr>
      <w:sz w:val="20"/>
      <w:szCs w:val="20"/>
    </w:rPr>
  </w:style>
  <w:style w:type="character" w:customStyle="1" w:styleId="TekstkomentarzaZnak">
    <w:name w:val="Tekst komentarza Znak"/>
    <w:basedOn w:val="Domylnaczcionkaakapitu"/>
    <w:link w:val="Tekstkomentarza"/>
    <w:semiHidden/>
    <w:rsid w:val="00102C90"/>
    <w:rPr>
      <w:rFonts w:eastAsiaTheme="minorEastAsia"/>
      <w:sz w:val="20"/>
      <w:szCs w:val="20"/>
      <w:lang w:val="pl-PL"/>
    </w:rPr>
  </w:style>
  <w:style w:type="paragraph" w:customStyle="1" w:styleId="DecHTitle">
    <w:name w:val="Dec_H_Title"/>
    <w:aliases w:val="_Title_1"/>
    <w:basedOn w:val="JuPara"/>
    <w:next w:val="JuPara"/>
    <w:uiPriority w:val="35"/>
    <w:qFormat/>
    <w:rsid w:val="00102C90"/>
    <w:pPr>
      <w:keepNext/>
      <w:keepLines/>
      <w:spacing w:after="240"/>
      <w:ind w:firstLine="0"/>
      <w:jc w:val="center"/>
      <w:outlineLvl w:val="0"/>
    </w:pPr>
    <w:rPr>
      <w:rFonts w:asciiTheme="majorHAnsi" w:hAnsiTheme="majorHAnsi"/>
      <w:sz w:val="28"/>
    </w:rPr>
  </w:style>
  <w:style w:type="paragraph" w:styleId="Tekstblokowy">
    <w:name w:val="Block Text"/>
    <w:basedOn w:val="Normalny"/>
    <w:uiPriority w:val="99"/>
    <w:semiHidden/>
    <w:rsid w:val="00102C90"/>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Listapunktowana5">
    <w:name w:val="List Bullet 5"/>
    <w:basedOn w:val="Normalny"/>
    <w:uiPriority w:val="99"/>
    <w:semiHidden/>
    <w:rsid w:val="00102C90"/>
    <w:pPr>
      <w:numPr>
        <w:numId w:val="13"/>
      </w:numPr>
      <w:contextualSpacing/>
    </w:pPr>
  </w:style>
  <w:style w:type="paragraph" w:styleId="Listanumerowana">
    <w:name w:val="List Number"/>
    <w:basedOn w:val="Normalny"/>
    <w:uiPriority w:val="99"/>
    <w:semiHidden/>
    <w:rsid w:val="00102C90"/>
    <w:pPr>
      <w:numPr>
        <w:numId w:val="14"/>
      </w:numPr>
      <w:contextualSpacing/>
    </w:pPr>
  </w:style>
  <w:style w:type="paragraph" w:styleId="Listanumerowana2">
    <w:name w:val="List Number 2"/>
    <w:basedOn w:val="Normalny"/>
    <w:uiPriority w:val="99"/>
    <w:semiHidden/>
    <w:rsid w:val="00102C90"/>
    <w:pPr>
      <w:numPr>
        <w:numId w:val="15"/>
      </w:numPr>
      <w:contextualSpacing/>
    </w:pPr>
  </w:style>
  <w:style w:type="paragraph" w:styleId="Tekstpodstawowy">
    <w:name w:val="Body Text"/>
    <w:basedOn w:val="Normalny"/>
    <w:link w:val="TekstpodstawowyZnak"/>
    <w:uiPriority w:val="99"/>
    <w:semiHidden/>
    <w:rsid w:val="00102C90"/>
    <w:pPr>
      <w:spacing w:after="120"/>
    </w:pPr>
  </w:style>
  <w:style w:type="character" w:customStyle="1" w:styleId="TekstpodstawowyZnak">
    <w:name w:val="Tekst podstawowy Znak"/>
    <w:basedOn w:val="Domylnaczcionkaakapitu"/>
    <w:link w:val="Tekstpodstawowy"/>
    <w:uiPriority w:val="99"/>
    <w:semiHidden/>
    <w:rsid w:val="00102C90"/>
    <w:rPr>
      <w:rFonts w:eastAsiaTheme="minorEastAsia"/>
      <w:sz w:val="24"/>
      <w:lang w:val="pl-PL"/>
    </w:rPr>
  </w:style>
  <w:style w:type="paragraph" w:styleId="Tekstpodstawowy2">
    <w:name w:val="Body Text 2"/>
    <w:basedOn w:val="Normalny"/>
    <w:link w:val="Tekstpodstawowy2Znak"/>
    <w:uiPriority w:val="99"/>
    <w:semiHidden/>
    <w:rsid w:val="00102C90"/>
    <w:pPr>
      <w:spacing w:after="120" w:line="480" w:lineRule="auto"/>
    </w:pPr>
  </w:style>
  <w:style w:type="character" w:customStyle="1" w:styleId="Tekstpodstawowy2Znak">
    <w:name w:val="Tekst podstawowy 2 Znak"/>
    <w:basedOn w:val="Domylnaczcionkaakapitu"/>
    <w:link w:val="Tekstpodstawowy2"/>
    <w:uiPriority w:val="99"/>
    <w:semiHidden/>
    <w:rsid w:val="00102C90"/>
    <w:rPr>
      <w:rFonts w:eastAsiaTheme="minorEastAsia"/>
      <w:sz w:val="24"/>
      <w:lang w:val="pl-PL"/>
    </w:rPr>
  </w:style>
  <w:style w:type="paragraph" w:styleId="Tekstpodstawowy3">
    <w:name w:val="Body Text 3"/>
    <w:basedOn w:val="Normalny"/>
    <w:link w:val="Tekstpodstawowy3Znak"/>
    <w:uiPriority w:val="99"/>
    <w:semiHidden/>
    <w:rsid w:val="00102C90"/>
    <w:pPr>
      <w:spacing w:after="120"/>
    </w:pPr>
    <w:rPr>
      <w:sz w:val="16"/>
      <w:szCs w:val="16"/>
    </w:rPr>
  </w:style>
  <w:style w:type="character" w:customStyle="1" w:styleId="Tekstpodstawowy3Znak">
    <w:name w:val="Tekst podstawowy 3 Znak"/>
    <w:basedOn w:val="Domylnaczcionkaakapitu"/>
    <w:link w:val="Tekstpodstawowy3"/>
    <w:uiPriority w:val="99"/>
    <w:semiHidden/>
    <w:rsid w:val="00102C90"/>
    <w:rPr>
      <w:rFonts w:eastAsiaTheme="minorEastAsia"/>
      <w:sz w:val="16"/>
      <w:szCs w:val="16"/>
      <w:lang w:val="pl-PL"/>
    </w:rPr>
  </w:style>
  <w:style w:type="paragraph" w:styleId="Tekstpodstawowyzwciciem">
    <w:name w:val="Body Text First Indent"/>
    <w:basedOn w:val="Tekstpodstawowy"/>
    <w:link w:val="TekstpodstawowyzwciciemZnak"/>
    <w:uiPriority w:val="99"/>
    <w:semiHidden/>
    <w:rsid w:val="00102C90"/>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102C90"/>
    <w:rPr>
      <w:rFonts w:eastAsiaTheme="minorEastAsia"/>
      <w:sz w:val="24"/>
      <w:lang w:val="pl-PL"/>
    </w:rPr>
  </w:style>
  <w:style w:type="paragraph" w:styleId="Tekstpodstawowywcity">
    <w:name w:val="Body Text Indent"/>
    <w:basedOn w:val="Normalny"/>
    <w:link w:val="TekstpodstawowywcityZnak"/>
    <w:uiPriority w:val="99"/>
    <w:semiHidden/>
    <w:rsid w:val="00102C90"/>
    <w:pPr>
      <w:spacing w:after="120"/>
      <w:ind w:left="283"/>
    </w:pPr>
  </w:style>
  <w:style w:type="character" w:customStyle="1" w:styleId="TekstpodstawowywcityZnak">
    <w:name w:val="Tekst podstawowy wcięty Znak"/>
    <w:basedOn w:val="Domylnaczcionkaakapitu"/>
    <w:link w:val="Tekstpodstawowywcity"/>
    <w:uiPriority w:val="99"/>
    <w:semiHidden/>
    <w:rsid w:val="00102C90"/>
    <w:rPr>
      <w:rFonts w:eastAsiaTheme="minorEastAsia"/>
      <w:sz w:val="24"/>
      <w:lang w:val="pl-PL"/>
    </w:rPr>
  </w:style>
  <w:style w:type="paragraph" w:styleId="Tekstpodstawowyzwciciem2">
    <w:name w:val="Body Text First Indent 2"/>
    <w:basedOn w:val="Tekstpodstawowywcity"/>
    <w:link w:val="Tekstpodstawowyzwciciem2Znak"/>
    <w:uiPriority w:val="99"/>
    <w:semiHidden/>
    <w:rsid w:val="00102C90"/>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102C90"/>
    <w:rPr>
      <w:rFonts w:eastAsiaTheme="minorEastAsia"/>
      <w:sz w:val="24"/>
      <w:lang w:val="pl-PL"/>
    </w:rPr>
  </w:style>
  <w:style w:type="paragraph" w:styleId="Tekstpodstawowywcity2">
    <w:name w:val="Body Text Indent 2"/>
    <w:basedOn w:val="Normalny"/>
    <w:link w:val="Tekstpodstawowywcity2Znak"/>
    <w:uiPriority w:val="99"/>
    <w:semiHidden/>
    <w:rsid w:val="00102C90"/>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102C90"/>
    <w:rPr>
      <w:rFonts w:eastAsiaTheme="minorEastAsia"/>
      <w:sz w:val="24"/>
      <w:lang w:val="pl-PL"/>
    </w:rPr>
  </w:style>
  <w:style w:type="paragraph" w:styleId="Tekstpodstawowywcity3">
    <w:name w:val="Body Text Indent 3"/>
    <w:basedOn w:val="Normalny"/>
    <w:link w:val="Tekstpodstawowywcity3Znak"/>
    <w:uiPriority w:val="99"/>
    <w:semiHidden/>
    <w:rsid w:val="00102C90"/>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102C90"/>
    <w:rPr>
      <w:rFonts w:eastAsiaTheme="minorEastAsia"/>
      <w:sz w:val="16"/>
      <w:szCs w:val="16"/>
      <w:lang w:val="pl-PL"/>
    </w:rPr>
  </w:style>
  <w:style w:type="paragraph" w:styleId="Legenda">
    <w:name w:val="caption"/>
    <w:basedOn w:val="Normalny"/>
    <w:next w:val="Normalny"/>
    <w:uiPriority w:val="99"/>
    <w:semiHidden/>
    <w:qFormat/>
    <w:rsid w:val="00102C90"/>
    <w:pPr>
      <w:spacing w:after="200"/>
    </w:pPr>
    <w:rPr>
      <w:b/>
      <w:bCs/>
      <w:color w:val="0072BC" w:themeColor="accent1"/>
      <w:sz w:val="18"/>
      <w:szCs w:val="18"/>
    </w:rPr>
  </w:style>
  <w:style w:type="paragraph" w:styleId="Zwrotpoegnalny">
    <w:name w:val="Closing"/>
    <w:basedOn w:val="Normalny"/>
    <w:link w:val="ZwrotpoegnalnyZnak"/>
    <w:uiPriority w:val="99"/>
    <w:semiHidden/>
    <w:rsid w:val="00102C90"/>
    <w:pPr>
      <w:ind w:left="4252"/>
    </w:pPr>
  </w:style>
  <w:style w:type="character" w:customStyle="1" w:styleId="ZwrotpoegnalnyZnak">
    <w:name w:val="Zwrot pożegnalny Znak"/>
    <w:basedOn w:val="Domylnaczcionkaakapitu"/>
    <w:link w:val="Zwrotpoegnalny"/>
    <w:uiPriority w:val="99"/>
    <w:semiHidden/>
    <w:rsid w:val="00102C90"/>
    <w:rPr>
      <w:rFonts w:eastAsiaTheme="minorEastAsia"/>
      <w:sz w:val="24"/>
      <w:lang w:val="pl-PL"/>
    </w:rPr>
  </w:style>
  <w:style w:type="table" w:styleId="Kolorowasiatka">
    <w:name w:val="Colorful Grid"/>
    <w:basedOn w:val="Standardowy"/>
    <w:uiPriority w:val="73"/>
    <w:semiHidden/>
    <w:rsid w:val="00102C90"/>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102C90"/>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102C90"/>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102C90"/>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102C90"/>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102C90"/>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102C90"/>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102C90"/>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102C90"/>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102C90"/>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102C90"/>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102C90"/>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102C90"/>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102C90"/>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102C90"/>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102C90"/>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102C90"/>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102C90"/>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102C90"/>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102C90"/>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102C90"/>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Tematkomentarza">
    <w:name w:val="annotation subject"/>
    <w:basedOn w:val="Tekstkomentarza"/>
    <w:next w:val="Tekstkomentarza"/>
    <w:link w:val="TematkomentarzaZnak"/>
    <w:uiPriority w:val="99"/>
    <w:semiHidden/>
    <w:rsid w:val="00102C90"/>
    <w:rPr>
      <w:b/>
      <w:bCs/>
    </w:rPr>
  </w:style>
  <w:style w:type="character" w:customStyle="1" w:styleId="TematkomentarzaZnak">
    <w:name w:val="Temat komentarza Znak"/>
    <w:basedOn w:val="TekstkomentarzaZnak"/>
    <w:link w:val="Tematkomentarza"/>
    <w:uiPriority w:val="99"/>
    <w:semiHidden/>
    <w:rsid w:val="00102C90"/>
    <w:rPr>
      <w:rFonts w:eastAsiaTheme="minorEastAsia"/>
      <w:b/>
      <w:bCs/>
      <w:sz w:val="20"/>
      <w:szCs w:val="20"/>
      <w:lang w:val="pl-PL"/>
    </w:rPr>
  </w:style>
  <w:style w:type="table" w:styleId="Ciemnalista">
    <w:name w:val="Dark List"/>
    <w:basedOn w:val="Standardowy"/>
    <w:uiPriority w:val="70"/>
    <w:semiHidden/>
    <w:rsid w:val="00102C90"/>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102C90"/>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102C90"/>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102C90"/>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102C90"/>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102C90"/>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102C90"/>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102C90"/>
  </w:style>
  <w:style w:type="character" w:customStyle="1" w:styleId="DataZnak">
    <w:name w:val="Data Znak"/>
    <w:basedOn w:val="Domylnaczcionkaakapitu"/>
    <w:link w:val="Data"/>
    <w:uiPriority w:val="99"/>
    <w:semiHidden/>
    <w:rsid w:val="00102C90"/>
    <w:rPr>
      <w:rFonts w:eastAsiaTheme="minorEastAsia"/>
      <w:sz w:val="24"/>
      <w:lang w:val="pl-PL"/>
    </w:rPr>
  </w:style>
  <w:style w:type="paragraph" w:styleId="Mapadokumentu">
    <w:name w:val="Document Map"/>
    <w:basedOn w:val="Normalny"/>
    <w:link w:val="MapadokumentuZnak"/>
    <w:uiPriority w:val="99"/>
    <w:semiHidden/>
    <w:rsid w:val="00102C90"/>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102C90"/>
    <w:rPr>
      <w:rFonts w:ascii="Tahoma" w:eastAsiaTheme="minorEastAsia" w:hAnsi="Tahoma" w:cs="Tahoma"/>
      <w:sz w:val="16"/>
      <w:szCs w:val="16"/>
      <w:lang w:val="pl-PL"/>
    </w:rPr>
  </w:style>
  <w:style w:type="paragraph" w:styleId="Podpise-mail">
    <w:name w:val="E-mail Signature"/>
    <w:basedOn w:val="Normalny"/>
    <w:link w:val="Podpise-mailZnak"/>
    <w:uiPriority w:val="99"/>
    <w:semiHidden/>
    <w:rsid w:val="00102C90"/>
  </w:style>
  <w:style w:type="character" w:customStyle="1" w:styleId="Podpise-mailZnak">
    <w:name w:val="Podpis e-mail Znak"/>
    <w:basedOn w:val="Domylnaczcionkaakapitu"/>
    <w:link w:val="Podpise-mail"/>
    <w:uiPriority w:val="99"/>
    <w:semiHidden/>
    <w:rsid w:val="00102C90"/>
    <w:rPr>
      <w:rFonts w:eastAsiaTheme="minorEastAsia"/>
      <w:sz w:val="24"/>
      <w:lang w:val="pl-PL"/>
    </w:rPr>
  </w:style>
  <w:style w:type="character" w:styleId="Odwoanieprzypisukocowego">
    <w:name w:val="endnote reference"/>
    <w:basedOn w:val="Domylnaczcionkaakapitu"/>
    <w:uiPriority w:val="99"/>
    <w:semiHidden/>
    <w:rsid w:val="00102C90"/>
    <w:rPr>
      <w:vertAlign w:val="superscript"/>
    </w:rPr>
  </w:style>
  <w:style w:type="paragraph" w:styleId="Tekstprzypisukocowego">
    <w:name w:val="endnote text"/>
    <w:basedOn w:val="Normalny"/>
    <w:link w:val="TekstprzypisukocowegoZnak"/>
    <w:uiPriority w:val="99"/>
    <w:semiHidden/>
    <w:rsid w:val="00102C90"/>
    <w:rPr>
      <w:sz w:val="20"/>
      <w:szCs w:val="20"/>
    </w:rPr>
  </w:style>
  <w:style w:type="character" w:customStyle="1" w:styleId="TekstprzypisukocowegoZnak">
    <w:name w:val="Tekst przypisu końcowego Znak"/>
    <w:basedOn w:val="Domylnaczcionkaakapitu"/>
    <w:link w:val="Tekstprzypisukocowego"/>
    <w:uiPriority w:val="99"/>
    <w:semiHidden/>
    <w:rsid w:val="00102C90"/>
    <w:rPr>
      <w:rFonts w:eastAsiaTheme="minorEastAsia"/>
      <w:sz w:val="20"/>
      <w:szCs w:val="20"/>
      <w:lang w:val="pl-PL"/>
    </w:rPr>
  </w:style>
  <w:style w:type="paragraph" w:styleId="Adresnakopercie">
    <w:name w:val="envelope address"/>
    <w:basedOn w:val="Normalny"/>
    <w:uiPriority w:val="99"/>
    <w:semiHidden/>
    <w:rsid w:val="00102C90"/>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9"/>
    <w:semiHidden/>
    <w:rsid w:val="00102C90"/>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102C90"/>
    <w:rPr>
      <w:color w:val="7030A0" w:themeColor="followedHyperlink"/>
      <w:u w:val="single"/>
    </w:rPr>
  </w:style>
  <w:style w:type="character" w:styleId="HTML-akronim">
    <w:name w:val="HTML Acronym"/>
    <w:basedOn w:val="Domylnaczcionkaakapitu"/>
    <w:uiPriority w:val="99"/>
    <w:semiHidden/>
    <w:rsid w:val="00102C90"/>
  </w:style>
  <w:style w:type="paragraph" w:styleId="HTML-adres">
    <w:name w:val="HTML Address"/>
    <w:basedOn w:val="Normalny"/>
    <w:link w:val="HTML-adresZnak"/>
    <w:uiPriority w:val="99"/>
    <w:semiHidden/>
    <w:rsid w:val="00102C90"/>
    <w:rPr>
      <w:i/>
      <w:iCs/>
    </w:rPr>
  </w:style>
  <w:style w:type="character" w:customStyle="1" w:styleId="HTML-adresZnak">
    <w:name w:val="HTML - adres Znak"/>
    <w:basedOn w:val="Domylnaczcionkaakapitu"/>
    <w:link w:val="HTML-adres"/>
    <w:uiPriority w:val="99"/>
    <w:semiHidden/>
    <w:rsid w:val="00102C90"/>
    <w:rPr>
      <w:rFonts w:eastAsiaTheme="minorEastAsia"/>
      <w:i/>
      <w:iCs/>
      <w:sz w:val="24"/>
      <w:lang w:val="pl-PL"/>
    </w:rPr>
  </w:style>
  <w:style w:type="character" w:styleId="HTML-cytat">
    <w:name w:val="HTML Cite"/>
    <w:basedOn w:val="Domylnaczcionkaakapitu"/>
    <w:uiPriority w:val="99"/>
    <w:semiHidden/>
    <w:rsid w:val="00102C90"/>
    <w:rPr>
      <w:i/>
      <w:iCs/>
    </w:rPr>
  </w:style>
  <w:style w:type="character" w:styleId="HTML-kod">
    <w:name w:val="HTML Code"/>
    <w:basedOn w:val="Domylnaczcionkaakapitu"/>
    <w:uiPriority w:val="99"/>
    <w:semiHidden/>
    <w:rsid w:val="00102C90"/>
    <w:rPr>
      <w:rFonts w:ascii="Consolas" w:hAnsi="Consolas" w:cs="Consolas"/>
      <w:sz w:val="20"/>
      <w:szCs w:val="20"/>
    </w:rPr>
  </w:style>
  <w:style w:type="character" w:styleId="HTML-definicja">
    <w:name w:val="HTML Definition"/>
    <w:basedOn w:val="Domylnaczcionkaakapitu"/>
    <w:uiPriority w:val="99"/>
    <w:semiHidden/>
    <w:rsid w:val="00102C90"/>
    <w:rPr>
      <w:i/>
      <w:iCs/>
    </w:rPr>
  </w:style>
  <w:style w:type="character" w:styleId="HTML-klawiatura">
    <w:name w:val="HTML Keyboard"/>
    <w:basedOn w:val="Domylnaczcionkaakapitu"/>
    <w:uiPriority w:val="99"/>
    <w:semiHidden/>
    <w:rsid w:val="00102C90"/>
    <w:rPr>
      <w:rFonts w:ascii="Consolas" w:hAnsi="Consolas" w:cs="Consolas"/>
      <w:sz w:val="20"/>
      <w:szCs w:val="20"/>
    </w:rPr>
  </w:style>
  <w:style w:type="paragraph" w:styleId="HTML-wstpniesformatowany">
    <w:name w:val="HTML Preformatted"/>
    <w:basedOn w:val="Normalny"/>
    <w:link w:val="HTML-wstpniesformatowanyZnak"/>
    <w:uiPriority w:val="99"/>
    <w:semiHidden/>
    <w:rsid w:val="00102C90"/>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102C90"/>
    <w:rPr>
      <w:rFonts w:ascii="Consolas" w:eastAsiaTheme="minorEastAsia" w:hAnsi="Consolas" w:cs="Consolas"/>
      <w:sz w:val="20"/>
      <w:szCs w:val="20"/>
      <w:lang w:val="pl-PL"/>
    </w:rPr>
  </w:style>
  <w:style w:type="character" w:styleId="HTML-przykad">
    <w:name w:val="HTML Sample"/>
    <w:basedOn w:val="Domylnaczcionkaakapitu"/>
    <w:uiPriority w:val="99"/>
    <w:semiHidden/>
    <w:rsid w:val="00102C90"/>
    <w:rPr>
      <w:rFonts w:ascii="Consolas" w:hAnsi="Consolas" w:cs="Consolas"/>
      <w:sz w:val="24"/>
      <w:szCs w:val="24"/>
    </w:rPr>
  </w:style>
  <w:style w:type="character" w:styleId="HTML-staaszeroko">
    <w:name w:val="HTML Typewriter"/>
    <w:basedOn w:val="Domylnaczcionkaakapitu"/>
    <w:uiPriority w:val="99"/>
    <w:semiHidden/>
    <w:rsid w:val="00102C90"/>
    <w:rPr>
      <w:rFonts w:ascii="Consolas" w:hAnsi="Consolas" w:cs="Consolas"/>
      <w:sz w:val="20"/>
      <w:szCs w:val="20"/>
    </w:rPr>
  </w:style>
  <w:style w:type="character" w:styleId="HTML-zmienna">
    <w:name w:val="HTML Variable"/>
    <w:basedOn w:val="Domylnaczcionkaakapitu"/>
    <w:uiPriority w:val="99"/>
    <w:semiHidden/>
    <w:rsid w:val="00102C90"/>
    <w:rPr>
      <w:i/>
      <w:iCs/>
    </w:rPr>
  </w:style>
  <w:style w:type="paragraph" w:styleId="Indeks1">
    <w:name w:val="index 1"/>
    <w:basedOn w:val="Normalny"/>
    <w:next w:val="Normalny"/>
    <w:autoRedefine/>
    <w:uiPriority w:val="99"/>
    <w:semiHidden/>
    <w:rsid w:val="00102C90"/>
    <w:pPr>
      <w:ind w:left="240" w:hanging="240"/>
    </w:pPr>
  </w:style>
  <w:style w:type="paragraph" w:styleId="Indeks2">
    <w:name w:val="index 2"/>
    <w:basedOn w:val="Normalny"/>
    <w:next w:val="Normalny"/>
    <w:autoRedefine/>
    <w:uiPriority w:val="99"/>
    <w:semiHidden/>
    <w:rsid w:val="00102C90"/>
    <w:pPr>
      <w:ind w:left="480" w:hanging="240"/>
    </w:pPr>
  </w:style>
  <w:style w:type="paragraph" w:styleId="Indeks3">
    <w:name w:val="index 3"/>
    <w:basedOn w:val="Normalny"/>
    <w:next w:val="Normalny"/>
    <w:autoRedefine/>
    <w:uiPriority w:val="99"/>
    <w:semiHidden/>
    <w:rsid w:val="00102C90"/>
    <w:pPr>
      <w:ind w:left="720" w:hanging="240"/>
    </w:pPr>
  </w:style>
  <w:style w:type="paragraph" w:styleId="Indeks4">
    <w:name w:val="index 4"/>
    <w:basedOn w:val="Normalny"/>
    <w:next w:val="Normalny"/>
    <w:autoRedefine/>
    <w:uiPriority w:val="99"/>
    <w:semiHidden/>
    <w:rsid w:val="00102C90"/>
    <w:pPr>
      <w:ind w:left="960" w:hanging="240"/>
    </w:pPr>
  </w:style>
  <w:style w:type="paragraph" w:styleId="Indeks5">
    <w:name w:val="index 5"/>
    <w:basedOn w:val="Normalny"/>
    <w:next w:val="Normalny"/>
    <w:autoRedefine/>
    <w:uiPriority w:val="99"/>
    <w:semiHidden/>
    <w:rsid w:val="00102C90"/>
    <w:pPr>
      <w:ind w:left="1200" w:hanging="240"/>
    </w:pPr>
  </w:style>
  <w:style w:type="paragraph" w:styleId="Indeks6">
    <w:name w:val="index 6"/>
    <w:basedOn w:val="Normalny"/>
    <w:next w:val="Normalny"/>
    <w:autoRedefine/>
    <w:uiPriority w:val="99"/>
    <w:semiHidden/>
    <w:rsid w:val="00102C90"/>
    <w:pPr>
      <w:ind w:left="1440" w:hanging="240"/>
    </w:pPr>
  </w:style>
  <w:style w:type="paragraph" w:styleId="Indeks7">
    <w:name w:val="index 7"/>
    <w:basedOn w:val="Normalny"/>
    <w:next w:val="Normalny"/>
    <w:autoRedefine/>
    <w:uiPriority w:val="99"/>
    <w:semiHidden/>
    <w:rsid w:val="00102C90"/>
    <w:pPr>
      <w:ind w:left="1680" w:hanging="240"/>
    </w:pPr>
  </w:style>
  <w:style w:type="paragraph" w:styleId="Indeks8">
    <w:name w:val="index 8"/>
    <w:basedOn w:val="Normalny"/>
    <w:next w:val="Normalny"/>
    <w:autoRedefine/>
    <w:uiPriority w:val="99"/>
    <w:semiHidden/>
    <w:rsid w:val="00102C90"/>
    <w:pPr>
      <w:ind w:left="1920" w:hanging="240"/>
    </w:pPr>
  </w:style>
  <w:style w:type="paragraph" w:styleId="Indeks9">
    <w:name w:val="index 9"/>
    <w:basedOn w:val="Normalny"/>
    <w:next w:val="Normalny"/>
    <w:autoRedefine/>
    <w:uiPriority w:val="99"/>
    <w:semiHidden/>
    <w:rsid w:val="00102C90"/>
    <w:pPr>
      <w:ind w:left="2160" w:hanging="240"/>
    </w:pPr>
  </w:style>
  <w:style w:type="paragraph" w:styleId="Nagwekindeksu">
    <w:name w:val="index heading"/>
    <w:basedOn w:val="Normalny"/>
    <w:next w:val="Indeks1"/>
    <w:uiPriority w:val="99"/>
    <w:semiHidden/>
    <w:rsid w:val="00102C90"/>
    <w:rPr>
      <w:rFonts w:asciiTheme="majorHAnsi" w:eastAsiaTheme="majorEastAsia" w:hAnsiTheme="majorHAnsi" w:cstheme="majorBidi"/>
      <w:b/>
      <w:bCs/>
    </w:rPr>
  </w:style>
  <w:style w:type="table" w:styleId="Jasnasiatka">
    <w:name w:val="Light Grid"/>
    <w:basedOn w:val="Standardowy"/>
    <w:uiPriority w:val="62"/>
    <w:semiHidden/>
    <w:rsid w:val="00102C90"/>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102C90"/>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102C90"/>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102C90"/>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102C90"/>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102C90"/>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102C90"/>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102C90"/>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102C90"/>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102C90"/>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102C90"/>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102C90"/>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102C90"/>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102C90"/>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102C90"/>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102C90"/>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102C90"/>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102C90"/>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102C90"/>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102C90"/>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102C90"/>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102C90"/>
  </w:style>
  <w:style w:type="paragraph" w:styleId="Lista">
    <w:name w:val="List"/>
    <w:basedOn w:val="Normalny"/>
    <w:uiPriority w:val="99"/>
    <w:semiHidden/>
    <w:rsid w:val="00102C90"/>
    <w:pPr>
      <w:ind w:left="283" w:hanging="283"/>
      <w:contextualSpacing/>
    </w:pPr>
  </w:style>
  <w:style w:type="paragraph" w:styleId="Lista2">
    <w:name w:val="List 2"/>
    <w:basedOn w:val="Normalny"/>
    <w:uiPriority w:val="99"/>
    <w:semiHidden/>
    <w:rsid w:val="00102C90"/>
    <w:pPr>
      <w:ind w:left="566" w:hanging="283"/>
      <w:contextualSpacing/>
    </w:pPr>
  </w:style>
  <w:style w:type="paragraph" w:styleId="Lista3">
    <w:name w:val="List 3"/>
    <w:basedOn w:val="Normalny"/>
    <w:uiPriority w:val="99"/>
    <w:semiHidden/>
    <w:rsid w:val="00102C90"/>
    <w:pPr>
      <w:ind w:left="849" w:hanging="283"/>
      <w:contextualSpacing/>
    </w:pPr>
  </w:style>
  <w:style w:type="paragraph" w:styleId="Lista4">
    <w:name w:val="List 4"/>
    <w:basedOn w:val="Normalny"/>
    <w:uiPriority w:val="99"/>
    <w:semiHidden/>
    <w:rsid w:val="00102C90"/>
    <w:pPr>
      <w:ind w:left="1132" w:hanging="283"/>
      <w:contextualSpacing/>
    </w:pPr>
  </w:style>
  <w:style w:type="paragraph" w:styleId="Lista5">
    <w:name w:val="List 5"/>
    <w:basedOn w:val="Normalny"/>
    <w:uiPriority w:val="99"/>
    <w:semiHidden/>
    <w:rsid w:val="00102C90"/>
    <w:pPr>
      <w:ind w:left="1415" w:hanging="283"/>
      <w:contextualSpacing/>
    </w:pPr>
  </w:style>
  <w:style w:type="paragraph" w:styleId="Listapunktowana">
    <w:name w:val="List Bullet"/>
    <w:basedOn w:val="Normalny"/>
    <w:uiPriority w:val="99"/>
    <w:semiHidden/>
    <w:rsid w:val="00102C90"/>
    <w:pPr>
      <w:numPr>
        <w:numId w:val="9"/>
      </w:numPr>
    </w:pPr>
  </w:style>
  <w:style w:type="paragraph" w:styleId="Listapunktowana2">
    <w:name w:val="List Bullet 2"/>
    <w:basedOn w:val="Normalny"/>
    <w:uiPriority w:val="99"/>
    <w:semiHidden/>
    <w:rsid w:val="00102C90"/>
    <w:pPr>
      <w:numPr>
        <w:numId w:val="10"/>
      </w:numPr>
      <w:contextualSpacing/>
    </w:pPr>
  </w:style>
  <w:style w:type="paragraph" w:styleId="Listapunktowana3">
    <w:name w:val="List Bullet 3"/>
    <w:basedOn w:val="Normalny"/>
    <w:uiPriority w:val="99"/>
    <w:semiHidden/>
    <w:rsid w:val="00102C90"/>
    <w:pPr>
      <w:numPr>
        <w:numId w:val="11"/>
      </w:numPr>
      <w:contextualSpacing/>
    </w:pPr>
  </w:style>
  <w:style w:type="paragraph" w:styleId="Listapunktowana4">
    <w:name w:val="List Bullet 4"/>
    <w:basedOn w:val="Normalny"/>
    <w:uiPriority w:val="99"/>
    <w:semiHidden/>
    <w:rsid w:val="00102C90"/>
    <w:pPr>
      <w:numPr>
        <w:numId w:val="12"/>
      </w:numPr>
      <w:contextualSpacing/>
    </w:pPr>
  </w:style>
  <w:style w:type="paragraph" w:styleId="Lista-kontynuacja">
    <w:name w:val="List Continue"/>
    <w:basedOn w:val="Normalny"/>
    <w:uiPriority w:val="99"/>
    <w:semiHidden/>
    <w:rsid w:val="00102C90"/>
    <w:pPr>
      <w:spacing w:after="120"/>
      <w:ind w:left="283"/>
      <w:contextualSpacing/>
    </w:pPr>
  </w:style>
  <w:style w:type="paragraph" w:styleId="Lista-kontynuacja2">
    <w:name w:val="List Continue 2"/>
    <w:basedOn w:val="Normalny"/>
    <w:uiPriority w:val="99"/>
    <w:semiHidden/>
    <w:rsid w:val="00102C90"/>
    <w:pPr>
      <w:spacing w:after="120"/>
      <w:ind w:left="566"/>
      <w:contextualSpacing/>
    </w:pPr>
  </w:style>
  <w:style w:type="paragraph" w:styleId="Lista-kontynuacja3">
    <w:name w:val="List Continue 3"/>
    <w:basedOn w:val="Normalny"/>
    <w:uiPriority w:val="99"/>
    <w:semiHidden/>
    <w:rsid w:val="00102C90"/>
    <w:pPr>
      <w:spacing w:after="120"/>
      <w:ind w:left="849"/>
      <w:contextualSpacing/>
    </w:pPr>
  </w:style>
  <w:style w:type="paragraph" w:styleId="Lista-kontynuacja4">
    <w:name w:val="List Continue 4"/>
    <w:basedOn w:val="Normalny"/>
    <w:uiPriority w:val="99"/>
    <w:semiHidden/>
    <w:rsid w:val="00102C90"/>
    <w:pPr>
      <w:spacing w:after="120"/>
      <w:ind w:left="1132"/>
      <w:contextualSpacing/>
    </w:pPr>
  </w:style>
  <w:style w:type="paragraph" w:styleId="Lista-kontynuacja5">
    <w:name w:val="List Continue 5"/>
    <w:basedOn w:val="Normalny"/>
    <w:uiPriority w:val="99"/>
    <w:semiHidden/>
    <w:rsid w:val="00102C90"/>
    <w:pPr>
      <w:spacing w:after="120"/>
      <w:ind w:left="1415"/>
      <w:contextualSpacing/>
    </w:pPr>
  </w:style>
  <w:style w:type="paragraph" w:styleId="Listanumerowana3">
    <w:name w:val="List Number 3"/>
    <w:basedOn w:val="Normalny"/>
    <w:uiPriority w:val="99"/>
    <w:semiHidden/>
    <w:rsid w:val="00102C90"/>
    <w:pPr>
      <w:numPr>
        <w:numId w:val="16"/>
      </w:numPr>
      <w:contextualSpacing/>
    </w:pPr>
  </w:style>
  <w:style w:type="paragraph" w:styleId="Listanumerowana4">
    <w:name w:val="List Number 4"/>
    <w:basedOn w:val="Normalny"/>
    <w:uiPriority w:val="99"/>
    <w:semiHidden/>
    <w:rsid w:val="00102C90"/>
    <w:pPr>
      <w:numPr>
        <w:numId w:val="17"/>
      </w:numPr>
      <w:contextualSpacing/>
    </w:pPr>
  </w:style>
  <w:style w:type="paragraph" w:styleId="Listanumerowana5">
    <w:name w:val="List Number 5"/>
    <w:basedOn w:val="Normalny"/>
    <w:uiPriority w:val="99"/>
    <w:semiHidden/>
    <w:rsid w:val="00102C90"/>
    <w:pPr>
      <w:numPr>
        <w:numId w:val="18"/>
      </w:numPr>
      <w:contextualSpacing/>
    </w:pPr>
  </w:style>
  <w:style w:type="paragraph" w:styleId="Tekstmakra">
    <w:name w:val="macro"/>
    <w:link w:val="TekstmakraZnak"/>
    <w:uiPriority w:val="99"/>
    <w:semiHidden/>
    <w:rsid w:val="00102C90"/>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102C90"/>
    <w:rPr>
      <w:rFonts w:ascii="Consolas" w:eastAsiaTheme="minorEastAsia" w:hAnsi="Consolas" w:cs="Consolas"/>
      <w:sz w:val="20"/>
      <w:szCs w:val="20"/>
    </w:rPr>
  </w:style>
  <w:style w:type="table" w:styleId="redniasiatka1">
    <w:name w:val="Medium Grid 1"/>
    <w:basedOn w:val="Standardowy"/>
    <w:uiPriority w:val="67"/>
    <w:semiHidden/>
    <w:rsid w:val="00102C90"/>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102C90"/>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102C90"/>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102C90"/>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102C90"/>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102C90"/>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102C90"/>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102C90"/>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102C90"/>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102C90"/>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102C90"/>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102C90"/>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102C90"/>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102C90"/>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102C90"/>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102C90"/>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102C90"/>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102C90"/>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102C90"/>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102C90"/>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102C90"/>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102C90"/>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102C90"/>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102C90"/>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102C90"/>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102C90"/>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102C90"/>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102C90"/>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102C90"/>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102C90"/>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102C90"/>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102C90"/>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102C90"/>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102C90"/>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102C90"/>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102C90"/>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102C90"/>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102C90"/>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102C90"/>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102C90"/>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102C90"/>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102C90"/>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102C9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102C9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102C9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102C9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102C9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102C9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102C9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102C9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9"/>
    <w:semiHidden/>
    <w:rsid w:val="00102C90"/>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9"/>
    <w:semiHidden/>
    <w:rsid w:val="00102C90"/>
    <w:rPr>
      <w:rFonts w:ascii="Times New Roman" w:hAnsi="Times New Roman" w:cs="Times New Roman"/>
    </w:rPr>
  </w:style>
  <w:style w:type="paragraph" w:styleId="Wcicienormalne">
    <w:name w:val="Normal Indent"/>
    <w:basedOn w:val="Normalny"/>
    <w:uiPriority w:val="99"/>
    <w:semiHidden/>
    <w:rsid w:val="00102C90"/>
    <w:pPr>
      <w:ind w:left="720"/>
    </w:pPr>
  </w:style>
  <w:style w:type="paragraph" w:styleId="Nagweknotatki">
    <w:name w:val="Note Heading"/>
    <w:basedOn w:val="Normalny"/>
    <w:next w:val="Normalny"/>
    <w:link w:val="NagweknotatkiZnak"/>
    <w:uiPriority w:val="99"/>
    <w:semiHidden/>
    <w:unhideWhenUsed/>
    <w:rsid w:val="00CD0346"/>
  </w:style>
  <w:style w:type="character" w:customStyle="1" w:styleId="NagweknotatkiZnak">
    <w:name w:val="Nagłówek notatki Znak"/>
    <w:basedOn w:val="Domylnaczcionkaakapitu"/>
    <w:link w:val="Nagweknotatki"/>
    <w:uiPriority w:val="99"/>
    <w:semiHidden/>
    <w:rsid w:val="00CD0346"/>
    <w:rPr>
      <w:sz w:val="24"/>
      <w:szCs w:val="24"/>
      <w:lang w:val="pl-PL"/>
    </w:rPr>
  </w:style>
  <w:style w:type="character" w:styleId="Tekstzastpczy">
    <w:name w:val="Placeholder Text"/>
    <w:basedOn w:val="Domylnaczcionkaakapitu"/>
    <w:uiPriority w:val="99"/>
    <w:semiHidden/>
    <w:rsid w:val="00102C90"/>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102C90"/>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102C90"/>
    <w:rPr>
      <w:rFonts w:ascii="Consolas" w:eastAsiaTheme="minorEastAsia" w:hAnsi="Consolas" w:cs="Consolas"/>
      <w:sz w:val="21"/>
      <w:szCs w:val="21"/>
      <w:lang w:val="pl-PL"/>
    </w:rPr>
  </w:style>
  <w:style w:type="paragraph" w:styleId="Zwrotgrzecznociowy">
    <w:name w:val="Salutation"/>
    <w:basedOn w:val="Normalny"/>
    <w:next w:val="Normalny"/>
    <w:link w:val="ZwrotgrzecznociowyZnak"/>
    <w:uiPriority w:val="99"/>
    <w:semiHidden/>
    <w:rsid w:val="00102C90"/>
  </w:style>
  <w:style w:type="character" w:customStyle="1" w:styleId="ZwrotgrzecznociowyZnak">
    <w:name w:val="Zwrot grzecznościowy Znak"/>
    <w:basedOn w:val="Domylnaczcionkaakapitu"/>
    <w:link w:val="Zwrotgrzecznociowy"/>
    <w:uiPriority w:val="99"/>
    <w:semiHidden/>
    <w:rsid w:val="00102C90"/>
    <w:rPr>
      <w:rFonts w:eastAsiaTheme="minorEastAsia"/>
      <w:sz w:val="24"/>
      <w:lang w:val="pl-PL"/>
    </w:rPr>
  </w:style>
  <w:style w:type="paragraph" w:styleId="Podpis">
    <w:name w:val="Signature"/>
    <w:basedOn w:val="Normalny"/>
    <w:link w:val="PodpisZnak"/>
    <w:uiPriority w:val="99"/>
    <w:semiHidden/>
    <w:rsid w:val="00102C90"/>
    <w:pPr>
      <w:ind w:left="4252"/>
    </w:pPr>
  </w:style>
  <w:style w:type="character" w:customStyle="1" w:styleId="PodpisZnak">
    <w:name w:val="Podpis Znak"/>
    <w:basedOn w:val="Domylnaczcionkaakapitu"/>
    <w:link w:val="Podpis"/>
    <w:uiPriority w:val="99"/>
    <w:semiHidden/>
    <w:rsid w:val="00102C90"/>
    <w:rPr>
      <w:rFonts w:eastAsiaTheme="minorEastAsia"/>
      <w:sz w:val="24"/>
      <w:lang w:val="pl-PL"/>
    </w:rPr>
  </w:style>
  <w:style w:type="table" w:styleId="Tabela-Efekty3D1">
    <w:name w:val="Table 3D effects 1"/>
    <w:basedOn w:val="Standardowy"/>
    <w:uiPriority w:val="99"/>
    <w:semiHidden/>
    <w:unhideWhenUsed/>
    <w:rsid w:val="00102C90"/>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102C90"/>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102C90"/>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102C90"/>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102C90"/>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102C90"/>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102C90"/>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102C90"/>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102C90"/>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102C90"/>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102C90"/>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102C90"/>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102C90"/>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102C90"/>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102C90"/>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102C90"/>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102C90"/>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102C90"/>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102C90"/>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102C90"/>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102C90"/>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102C90"/>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102C90"/>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102C90"/>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102C90"/>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102C90"/>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102C90"/>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102C90"/>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102C90"/>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102C90"/>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102C90"/>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102C90"/>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102C90"/>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102C90"/>
    <w:pPr>
      <w:ind w:left="240" w:hanging="240"/>
    </w:pPr>
  </w:style>
  <w:style w:type="paragraph" w:styleId="Spisilustracji">
    <w:name w:val="table of figures"/>
    <w:basedOn w:val="Normalny"/>
    <w:next w:val="Normalny"/>
    <w:uiPriority w:val="99"/>
    <w:semiHidden/>
    <w:rsid w:val="00102C90"/>
  </w:style>
  <w:style w:type="table" w:styleId="Tabela-Profesjonalny">
    <w:name w:val="Table Professional"/>
    <w:basedOn w:val="Standardowy"/>
    <w:uiPriority w:val="99"/>
    <w:semiHidden/>
    <w:unhideWhenUsed/>
    <w:rsid w:val="00102C90"/>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102C90"/>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102C90"/>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102C90"/>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102C90"/>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102C90"/>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102C9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102C90"/>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102C90"/>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102C90"/>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102C90"/>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102C90"/>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102C90"/>
    <w:pPr>
      <w:spacing w:after="100"/>
      <w:ind w:left="1680"/>
    </w:pPr>
  </w:style>
  <w:style w:type="paragraph" w:styleId="Spistreci9">
    <w:name w:val="toc 9"/>
    <w:basedOn w:val="Normalny"/>
    <w:next w:val="Normalny"/>
    <w:autoRedefine/>
    <w:uiPriority w:val="99"/>
    <w:semiHidden/>
    <w:rsid w:val="00102C90"/>
    <w:pPr>
      <w:spacing w:after="100"/>
      <w:ind w:left="1920"/>
    </w:pPr>
  </w:style>
  <w:style w:type="character" w:customStyle="1" w:styleId="ECHRParaChar">
    <w:name w:val="ECHR_Para Char"/>
    <w:aliases w:val="Ju_Para Char,_Para Char"/>
    <w:link w:val="JuPara"/>
    <w:uiPriority w:val="99"/>
    <w:rsid w:val="00396120"/>
    <w:rPr>
      <w:sz w:val="24"/>
      <w:szCs w:val="24"/>
      <w:lang w:val="pl-PL"/>
    </w:rPr>
  </w:style>
  <w:style w:type="paragraph" w:customStyle="1" w:styleId="s50c0b1c7">
    <w:name w:val="s50c0b1c7"/>
    <w:basedOn w:val="Normalny"/>
    <w:uiPriority w:val="99"/>
    <w:rsid w:val="00396120"/>
    <w:pPr>
      <w:spacing w:before="100" w:beforeAutospacing="1" w:after="100" w:afterAutospacing="1"/>
    </w:pPr>
    <w:rPr>
      <w:rFonts w:ascii="Times New Roman" w:eastAsia="Times New Roman" w:hAnsi="Times New Roman" w:cs="Times New Roman"/>
      <w:lang w:eastAsia="en-GB"/>
    </w:rPr>
  </w:style>
  <w:style w:type="character" w:customStyle="1" w:styleId="s3aeeab2">
    <w:name w:val="s3aeeab2"/>
    <w:basedOn w:val="Domylnaczcionkaakapitu"/>
    <w:uiPriority w:val="99"/>
    <w:rsid w:val="00396120"/>
  </w:style>
  <w:style w:type="character" w:customStyle="1" w:styleId="sfbbfee58">
    <w:name w:val="sfbbfee58"/>
    <w:basedOn w:val="Domylnaczcionkaakapitu"/>
    <w:rsid w:val="00396120"/>
  </w:style>
  <w:style w:type="paragraph" w:customStyle="1" w:styleId="s6c429373">
    <w:name w:val="s6c429373"/>
    <w:basedOn w:val="Normalny"/>
    <w:rsid w:val="00396120"/>
    <w:pPr>
      <w:spacing w:before="100" w:beforeAutospacing="1" w:after="100" w:afterAutospacing="1"/>
    </w:pPr>
    <w:rPr>
      <w:rFonts w:ascii="Times New Roman" w:eastAsia="Times New Roman" w:hAnsi="Times New Roman" w:cs="Times New Roman"/>
      <w:lang w:eastAsia="pl-PL"/>
    </w:rPr>
  </w:style>
  <w:style w:type="character" w:customStyle="1" w:styleId="s1a844bc0">
    <w:name w:val="s1a844bc0"/>
    <w:basedOn w:val="Domylnaczcionkaakapitu"/>
    <w:rsid w:val="00396120"/>
  </w:style>
  <w:style w:type="character" w:customStyle="1" w:styleId="s3ca6e50f">
    <w:name w:val="s3ca6e50f"/>
    <w:basedOn w:val="Domylnaczcionkaakapitu"/>
    <w:rsid w:val="00396120"/>
  </w:style>
  <w:style w:type="character" w:customStyle="1" w:styleId="s4f807e54">
    <w:name w:val="s4f807e54"/>
    <w:uiPriority w:val="99"/>
    <w:rsid w:val="003523E5"/>
  </w:style>
  <w:style w:type="paragraph" w:customStyle="1" w:styleId="s85226119">
    <w:name w:val="s85226119"/>
    <w:basedOn w:val="Normalny"/>
    <w:rsid w:val="00DE43AB"/>
    <w:pPr>
      <w:spacing w:before="100" w:beforeAutospacing="1" w:after="100" w:afterAutospacing="1"/>
    </w:pPr>
    <w:rPr>
      <w:rFonts w:ascii="Times New Roman" w:eastAsia="Times New Roman" w:hAnsi="Times New Roman" w:cs="Times New Roman"/>
      <w:lang w:eastAsia="pl-PL"/>
    </w:rPr>
  </w:style>
  <w:style w:type="character" w:customStyle="1" w:styleId="sbb9ee52a">
    <w:name w:val="sbb9ee52a"/>
    <w:basedOn w:val="Domylnaczcionkaakapitu"/>
    <w:rsid w:val="00DE43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chr.coe.int/Documents/CLIN_2017_03_205_ENG.pdf"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B5FF5D-655B-4612-9EA8-79D23364F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7118</Words>
  <Characters>42712</Characters>
  <Application>Microsoft Office Word</Application>
  <DocSecurity>0</DocSecurity>
  <Lines>355</Lines>
  <Paragraphs>99</Paragraphs>
  <ScaleCrop>false</ScaleCrop>
  <HeadingPairs>
    <vt:vector size="2" baseType="variant">
      <vt:variant>
        <vt:lpstr>Tytuł</vt:lpstr>
      </vt:variant>
      <vt:variant>
        <vt:i4>1</vt:i4>
      </vt:variant>
    </vt:vector>
  </HeadingPairs>
  <TitlesOfParts>
    <vt:vector size="1" baseType="lpstr">
      <vt:lpstr>ECHR</vt:lpstr>
    </vt:vector>
  </TitlesOfParts>
  <Company/>
  <LinksUpToDate>false</LinksUpToDate>
  <CharactersWithSpaces>49731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creator/>
  <cp:lastModifiedBy/>
  <cp:revision>1</cp:revision>
  <dcterms:created xsi:type="dcterms:W3CDTF">2025-10-17T13:05:00Z</dcterms:created>
  <dcterms:modified xsi:type="dcterms:W3CDTF">2025-10-21T15:18:00Z</dcterms:modified>
</cp:coreProperties>
</file>