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73CF" w14:textId="77777777" w:rsidR="00C172D8" w:rsidRDefault="00C172D8" w:rsidP="00C172D8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6BE189CA" w14:textId="77777777" w:rsidR="00C172D8" w:rsidRDefault="00C172D8" w:rsidP="00C172D8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466FF00F" w14:textId="77777777" w:rsidR="00B97942" w:rsidRPr="000F4A03" w:rsidRDefault="00C172D8" w:rsidP="00C172D8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="00BD09EA" w:rsidRPr="000F4A03">
        <w:rPr>
          <w:lang w:val="pl-PL"/>
        </w:rPr>
        <w:t xml:space="preserve"> 209</w:t>
      </w:r>
    </w:p>
    <w:p w14:paraId="4F595C05" w14:textId="77777777" w:rsidR="00B97942" w:rsidRPr="007B095B" w:rsidRDefault="000F4A03">
      <w:pPr>
        <w:pStyle w:val="ClinEditionMonth"/>
        <w:rPr>
          <w:lang w:val="pl-PL"/>
        </w:rPr>
      </w:pPr>
      <w:r w:rsidRPr="007B095B">
        <w:rPr>
          <w:lang w:val="pl-PL"/>
        </w:rPr>
        <w:t xml:space="preserve">Lipiec </w:t>
      </w:r>
      <w:r w:rsidR="00BD09EA" w:rsidRPr="007B095B">
        <w:rPr>
          <w:lang w:val="pl-PL"/>
        </w:rPr>
        <w:t>2017</w:t>
      </w:r>
      <w:r w:rsidRPr="007B095B">
        <w:rPr>
          <w:lang w:val="pl-PL"/>
        </w:rPr>
        <w:t xml:space="preserve"> r.</w:t>
      </w:r>
    </w:p>
    <w:p w14:paraId="24085B26" w14:textId="77777777" w:rsidR="007B095B" w:rsidRPr="007B095B" w:rsidRDefault="00BD09EA">
      <w:pPr>
        <w:rPr>
          <w:rStyle w:val="ClinApplicationNumber"/>
          <w:lang w:val="pl-PL"/>
        </w:rPr>
      </w:pPr>
      <w:r w:rsidRPr="007B095B">
        <w:rPr>
          <w:rStyle w:val="ClinCaseTitle"/>
          <w:lang w:val="pl-PL"/>
        </w:rPr>
        <w:t xml:space="preserve">Carvalho Pinto de Sousa Morais </w:t>
      </w:r>
      <w:r w:rsidR="000F4A03" w:rsidRPr="007B095B">
        <w:rPr>
          <w:rStyle w:val="ClinCaseTitle"/>
          <w:lang w:val="pl-PL"/>
        </w:rPr>
        <w:t>p</w:t>
      </w:r>
      <w:r w:rsidRPr="007B095B">
        <w:rPr>
          <w:rStyle w:val="ClinCaseTitle"/>
          <w:lang w:val="pl-PL"/>
        </w:rPr>
        <w:t>. Portugal</w:t>
      </w:r>
      <w:r w:rsidR="000F4A03" w:rsidRPr="007B095B">
        <w:rPr>
          <w:rStyle w:val="ClinCaseTitle"/>
          <w:lang w:val="pl-PL"/>
        </w:rPr>
        <w:t>ii</w:t>
      </w:r>
      <w:r w:rsidRPr="007B095B">
        <w:rPr>
          <w:rStyle w:val="ClinApplicationNumber"/>
          <w:lang w:val="pl-PL"/>
        </w:rPr>
        <w:t xml:space="preserve"> </w:t>
      </w:r>
    </w:p>
    <w:p w14:paraId="322C0D39" w14:textId="27DEA90F" w:rsidR="00B97942" w:rsidRPr="007B095B" w:rsidRDefault="000F4A03">
      <w:pPr>
        <w:rPr>
          <w:lang w:val="pl-PL"/>
        </w:rPr>
      </w:pPr>
      <w:r w:rsidRPr="007B095B">
        <w:rPr>
          <w:rStyle w:val="ClinApplicationNumber"/>
          <w:lang w:val="pl-PL"/>
        </w:rPr>
        <w:t>–</w:t>
      </w:r>
      <w:r w:rsidR="00BD09EA" w:rsidRPr="007B095B">
        <w:rPr>
          <w:rStyle w:val="ClinApplicationNumber"/>
          <w:lang w:val="pl-PL"/>
        </w:rPr>
        <w:t xml:space="preserve"> </w:t>
      </w:r>
      <w:r w:rsidRPr="007B095B">
        <w:rPr>
          <w:rStyle w:val="ClinApplicationNumber"/>
          <w:lang w:val="pl-PL"/>
        </w:rPr>
        <w:t xml:space="preserve">skarga nr </w:t>
      </w:r>
      <w:r w:rsidR="00BD09EA" w:rsidRPr="007B095B">
        <w:rPr>
          <w:rStyle w:val="ClinApplicationNumber"/>
          <w:lang w:val="pl-PL"/>
        </w:rPr>
        <w:t>17484/15</w:t>
      </w:r>
    </w:p>
    <w:p w14:paraId="5F0422A4" w14:textId="47E68E0D" w:rsidR="00B97942" w:rsidRPr="000F4A03" w:rsidRDefault="000F4A03">
      <w:pPr>
        <w:rPr>
          <w:lang w:val="pl-PL"/>
        </w:rPr>
      </w:pPr>
      <w:r w:rsidRPr="000F4A03">
        <w:rPr>
          <w:rStyle w:val="ClinHudocDocumentTitle"/>
          <w:lang w:val="pl-PL"/>
        </w:rPr>
        <w:t xml:space="preserve">Wyrok z </w:t>
      </w:r>
      <w:r w:rsidR="00BD09EA" w:rsidRPr="000F4A03">
        <w:rPr>
          <w:rStyle w:val="ClinHudocDocumentTitle"/>
          <w:lang w:val="pl-PL"/>
        </w:rPr>
        <w:t>25.</w:t>
      </w:r>
      <w:r w:rsidRPr="000F4A03">
        <w:rPr>
          <w:rStyle w:val="ClinHudocDocumentTitle"/>
          <w:lang w:val="pl-PL"/>
        </w:rPr>
        <w:t>0</w:t>
      </w:r>
      <w:r w:rsidR="00BD09EA" w:rsidRPr="000F4A03">
        <w:rPr>
          <w:rStyle w:val="ClinHudocDocumentTitle"/>
          <w:lang w:val="pl-PL"/>
        </w:rPr>
        <w:t>7.2017</w:t>
      </w:r>
      <w:r w:rsidR="00BD09EA" w:rsidRPr="000F4A03">
        <w:rPr>
          <w:rStyle w:val="ClinSectionName"/>
          <w:lang w:val="pl-PL"/>
        </w:rPr>
        <w:t xml:space="preserve"> </w:t>
      </w:r>
      <w:r w:rsidRPr="000F4A03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BD09EA" w:rsidRPr="000F4A03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Sekcja</w:t>
      </w:r>
      <w:r w:rsidR="001831CC">
        <w:rPr>
          <w:rStyle w:val="ClinSectionName"/>
          <w:lang w:val="pl-PL"/>
        </w:rPr>
        <w:t xml:space="preserve"> </w:t>
      </w:r>
      <w:r w:rsidR="001831CC">
        <w:rPr>
          <w:rStyle w:val="ClinSectionName"/>
          <w:lang w:val="pl-PL"/>
        </w:rPr>
        <w:t>Czwarta</w:t>
      </w:r>
      <w:r w:rsidR="00BD09EA" w:rsidRPr="000F4A03">
        <w:rPr>
          <w:rStyle w:val="ClinSectionName"/>
          <w:lang w:val="pl-PL"/>
        </w:rPr>
        <w:t>]</w:t>
      </w:r>
    </w:p>
    <w:p w14:paraId="3CB1CCBD" w14:textId="77777777" w:rsidR="00B97942" w:rsidRPr="007B095B" w:rsidRDefault="00BD09EA">
      <w:pPr>
        <w:pStyle w:val="ClinMainKeywordCode"/>
        <w:rPr>
          <w:lang w:val="pl-PL"/>
        </w:rPr>
      </w:pPr>
      <w:r w:rsidRPr="007B095B">
        <w:rPr>
          <w:lang w:val="pl-PL"/>
        </w:rPr>
        <w:t>Art</w:t>
      </w:r>
      <w:r w:rsidR="000F4A03" w:rsidRPr="007B095B">
        <w:rPr>
          <w:lang w:val="pl-PL"/>
        </w:rPr>
        <w:t>.</w:t>
      </w:r>
      <w:r w:rsidRPr="007B095B">
        <w:rPr>
          <w:lang w:val="pl-PL"/>
        </w:rPr>
        <w:t xml:space="preserve"> 14</w:t>
      </w:r>
    </w:p>
    <w:p w14:paraId="0C083C5D" w14:textId="77777777" w:rsidR="00B97942" w:rsidRPr="007B095B" w:rsidRDefault="00BD09EA">
      <w:pPr>
        <w:pStyle w:val="ClinKeyword"/>
        <w:rPr>
          <w:lang w:val="pl-PL"/>
        </w:rPr>
      </w:pPr>
      <w:r w:rsidRPr="007B095B">
        <w:rPr>
          <w:lang w:val="pl-PL"/>
        </w:rPr>
        <w:t>D</w:t>
      </w:r>
      <w:r w:rsidR="000F4A03" w:rsidRPr="007B095B">
        <w:rPr>
          <w:lang w:val="pl-PL"/>
        </w:rPr>
        <w:t>yskryminacja</w:t>
      </w:r>
    </w:p>
    <w:p w14:paraId="33007D20" w14:textId="77777777" w:rsidR="000F4A03" w:rsidRPr="000F4A03" w:rsidRDefault="000F4A03" w:rsidP="00570555">
      <w:pPr>
        <w:jc w:val="both"/>
        <w:rPr>
          <w:i/>
          <w:lang w:val="pl-PL"/>
        </w:rPr>
      </w:pPr>
      <w:r w:rsidRPr="000F4A03">
        <w:rPr>
          <w:rStyle w:val="ClinConclusions"/>
          <w:i w:val="0"/>
          <w:lang w:val="pl-PL"/>
        </w:rPr>
        <w:t xml:space="preserve">Obniżenie zasądzonego odszkodowania z uwagi na płeć i wiek osoby dochodzącej roszczenia: </w:t>
      </w:r>
      <w:r w:rsidRPr="000F4A03">
        <w:rPr>
          <w:rStyle w:val="ClinConclusions"/>
          <w:lang w:val="pl-PL"/>
        </w:rPr>
        <w:t>naruszenie</w:t>
      </w:r>
    </w:p>
    <w:p w14:paraId="34CCF716" w14:textId="45AF2F11" w:rsidR="000F4A03" w:rsidRPr="000F4A03" w:rsidRDefault="000F4A03">
      <w:pPr>
        <w:pStyle w:val="ClinContent"/>
        <w:rPr>
          <w:lang w:val="pl-PL"/>
        </w:rPr>
      </w:pPr>
      <w:r w:rsidRPr="000F4A03">
        <w:rPr>
          <w:i/>
          <w:lang w:val="pl-PL"/>
        </w:rPr>
        <w:t>Fakty</w:t>
      </w:r>
      <w:r w:rsidRPr="000F4A03">
        <w:rPr>
          <w:lang w:val="pl-PL"/>
        </w:rPr>
        <w:t xml:space="preserve"> – Skarżąca, u której zdiagnozowano chorobę ginekologiczną, wytoczyła powództwo cywilne przeciwko szpitalowi za </w:t>
      </w:r>
      <w:r w:rsidR="000F1D89">
        <w:rPr>
          <w:lang w:val="pl-PL"/>
        </w:rPr>
        <w:t xml:space="preserve">błąd </w:t>
      </w:r>
      <w:r w:rsidR="000F1D89" w:rsidRPr="000F1D89">
        <w:rPr>
          <w:lang w:val="pl-PL"/>
        </w:rPr>
        <w:t>medyczny</w:t>
      </w:r>
      <w:r w:rsidRPr="000F1D89">
        <w:rPr>
          <w:lang w:val="pl-PL"/>
        </w:rPr>
        <w:t xml:space="preserve"> </w:t>
      </w:r>
      <w:r w:rsidR="000F1D89" w:rsidRPr="000F1D89">
        <w:rPr>
          <w:lang w:val="pl-PL"/>
        </w:rPr>
        <w:t>związany</w:t>
      </w:r>
      <w:r w:rsidR="006945D4" w:rsidRPr="000F1D89">
        <w:rPr>
          <w:lang w:val="pl-PL"/>
        </w:rPr>
        <w:t xml:space="preserve"> z operacją chirurgiczną</w:t>
      </w:r>
      <w:r w:rsidRPr="000F1D89">
        <w:rPr>
          <w:lang w:val="pl-PL"/>
        </w:rPr>
        <w:t xml:space="preserve"> </w:t>
      </w:r>
      <w:r w:rsidR="000E23E6" w:rsidRPr="000F1D89">
        <w:rPr>
          <w:lang w:val="pl-PL"/>
        </w:rPr>
        <w:t>dotyczącą</w:t>
      </w:r>
      <w:r w:rsidRPr="000F1D89">
        <w:rPr>
          <w:lang w:val="pl-PL"/>
        </w:rPr>
        <w:t xml:space="preserve"> jej </w:t>
      </w:r>
      <w:r w:rsidR="007B095B">
        <w:rPr>
          <w:lang w:val="pl-PL"/>
        </w:rPr>
        <w:t>schorzenia</w:t>
      </w:r>
      <w:r w:rsidRPr="000F1D89">
        <w:rPr>
          <w:lang w:val="pl-PL"/>
        </w:rPr>
        <w:t>. Sąd Administ</w:t>
      </w:r>
      <w:r>
        <w:rPr>
          <w:lang w:val="pl-PL"/>
        </w:rPr>
        <w:t xml:space="preserve">racyjny orzekł na jej korzyść i zasądził </w:t>
      </w:r>
      <w:r w:rsidR="00570555">
        <w:rPr>
          <w:lang w:val="pl-PL"/>
        </w:rPr>
        <w:t>jej</w:t>
      </w:r>
      <w:r>
        <w:rPr>
          <w:lang w:val="pl-PL"/>
        </w:rPr>
        <w:t xml:space="preserve"> odszkodowanie. W postępowaniu odwoławczym Na</w:t>
      </w:r>
      <w:r w:rsidR="00FB2FDD">
        <w:rPr>
          <w:lang w:val="pl-PL"/>
        </w:rPr>
        <w:t>jwyższy</w:t>
      </w:r>
      <w:r>
        <w:rPr>
          <w:lang w:val="pl-PL"/>
        </w:rPr>
        <w:t xml:space="preserve"> Sąd Administracyjny utrzymał w mocy wyrok sądu I instancji, ale zmniejszył kwotę odszkodowania. </w:t>
      </w:r>
    </w:p>
    <w:p w14:paraId="362FE541" w14:textId="22EE4B73" w:rsidR="000F4A03" w:rsidRPr="000F4A03" w:rsidRDefault="000F4A03">
      <w:pPr>
        <w:pStyle w:val="ClinContent"/>
        <w:rPr>
          <w:lang w:val="pl-PL"/>
        </w:rPr>
      </w:pPr>
      <w:r w:rsidRPr="000F4A03">
        <w:rPr>
          <w:lang w:val="pl-PL"/>
        </w:rPr>
        <w:t>W postępowaniu prowadzonym na podstawie Konwencji [o ochronie praw człowieka i</w:t>
      </w:r>
      <w:r w:rsidR="009B4BC5">
        <w:rPr>
          <w:lang w:val="pl-PL"/>
        </w:rPr>
        <w:t> </w:t>
      </w:r>
      <w:r w:rsidRPr="000F4A03">
        <w:rPr>
          <w:lang w:val="pl-PL"/>
        </w:rPr>
        <w:t xml:space="preserve">podstawowych </w:t>
      </w:r>
      <w:r w:rsidR="00747098">
        <w:rPr>
          <w:lang w:val="pl-PL"/>
        </w:rPr>
        <w:t>wolności] skarżąca zarzuc</w:t>
      </w:r>
      <w:r w:rsidR="00F6441E">
        <w:rPr>
          <w:lang w:val="pl-PL"/>
        </w:rPr>
        <w:t>i</w:t>
      </w:r>
      <w:r w:rsidR="00747098">
        <w:rPr>
          <w:lang w:val="pl-PL"/>
        </w:rPr>
        <w:t>ła, że wyrok Na</w:t>
      </w:r>
      <w:r w:rsidR="00FB2FDD">
        <w:rPr>
          <w:lang w:val="pl-PL"/>
        </w:rPr>
        <w:t>jwyższego</w:t>
      </w:r>
      <w:r w:rsidR="00747098">
        <w:rPr>
          <w:lang w:val="pl-PL"/>
        </w:rPr>
        <w:t xml:space="preserve"> Sądu Administracyjnego w jej sprawie miał </w:t>
      </w:r>
      <w:r w:rsidR="00570555">
        <w:rPr>
          <w:lang w:val="pl-PL"/>
        </w:rPr>
        <w:t xml:space="preserve">wobec niej </w:t>
      </w:r>
      <w:r w:rsidR="00747098">
        <w:rPr>
          <w:lang w:val="pl-PL"/>
        </w:rPr>
        <w:t>charakter dyskryminac</w:t>
      </w:r>
      <w:r w:rsidR="000E23E6">
        <w:rPr>
          <w:lang w:val="pl-PL"/>
        </w:rPr>
        <w:t>yjny</w:t>
      </w:r>
      <w:r w:rsidR="00747098">
        <w:rPr>
          <w:lang w:val="pl-PL"/>
        </w:rPr>
        <w:t xml:space="preserve"> z uwagi na</w:t>
      </w:r>
      <w:r w:rsidR="009B4BC5">
        <w:rPr>
          <w:lang w:val="pl-PL"/>
        </w:rPr>
        <w:t> </w:t>
      </w:r>
      <w:r w:rsidR="00747098">
        <w:rPr>
          <w:lang w:val="pl-PL"/>
        </w:rPr>
        <w:t xml:space="preserve">jej płeć i wiek. Skarżyła się w szczególności na uzasadnienie </w:t>
      </w:r>
      <w:r w:rsidR="000E23E6">
        <w:rPr>
          <w:lang w:val="pl-PL"/>
        </w:rPr>
        <w:t>powołane</w:t>
      </w:r>
      <w:r w:rsidR="00747098">
        <w:rPr>
          <w:lang w:val="pl-PL"/>
        </w:rPr>
        <w:t xml:space="preserve"> przez sąd dla</w:t>
      </w:r>
      <w:r w:rsidR="009B4BC5">
        <w:rPr>
          <w:lang w:val="pl-PL"/>
        </w:rPr>
        <w:t> </w:t>
      </w:r>
      <w:r w:rsidR="00747098">
        <w:rPr>
          <w:lang w:val="pl-PL"/>
        </w:rPr>
        <w:t>obniżenia kwoty zasądzenia i na fakt, że pominął on znaczenie życia seksualnego dla</w:t>
      </w:r>
      <w:r w:rsidR="00F6441E">
        <w:rPr>
          <w:lang w:val="pl-PL"/>
        </w:rPr>
        <w:t> </w:t>
      </w:r>
      <w:r w:rsidR="00747098">
        <w:rPr>
          <w:lang w:val="pl-PL"/>
        </w:rPr>
        <w:t xml:space="preserve">niej jako kobiety. </w:t>
      </w:r>
    </w:p>
    <w:p w14:paraId="667AB56B" w14:textId="35AEC7DF" w:rsidR="00747098" w:rsidRPr="00747098" w:rsidRDefault="00747098">
      <w:pPr>
        <w:pStyle w:val="ClinContent"/>
        <w:rPr>
          <w:lang w:val="pl-PL"/>
        </w:rPr>
      </w:pPr>
      <w:r w:rsidRPr="000F1D89">
        <w:rPr>
          <w:i/>
          <w:lang w:val="pl-PL"/>
        </w:rPr>
        <w:t xml:space="preserve">Prawo </w:t>
      </w:r>
      <w:r w:rsidRPr="000F1D89">
        <w:rPr>
          <w:lang w:val="pl-PL"/>
        </w:rPr>
        <w:t xml:space="preserve">– </w:t>
      </w:r>
      <w:r w:rsidR="00E9785F">
        <w:rPr>
          <w:lang w:val="pl-PL"/>
        </w:rPr>
        <w:t>A</w:t>
      </w:r>
      <w:r w:rsidRPr="000F1D89">
        <w:rPr>
          <w:lang w:val="pl-PL"/>
        </w:rPr>
        <w:t xml:space="preserve">rt. 14 w związku z art. 8: Postęp w zakresie równości płci jest </w:t>
      </w:r>
      <w:r w:rsidR="000E23E6" w:rsidRPr="000F1D89">
        <w:rPr>
          <w:lang w:val="pl-PL"/>
        </w:rPr>
        <w:t>ważn</w:t>
      </w:r>
      <w:r w:rsidRPr="000F1D89">
        <w:rPr>
          <w:lang w:val="pl-PL"/>
        </w:rPr>
        <w:t xml:space="preserve">ym celem </w:t>
      </w:r>
      <w:r w:rsidR="007B095B" w:rsidRPr="000F1D89">
        <w:rPr>
          <w:lang w:val="pl-PL"/>
        </w:rPr>
        <w:t xml:space="preserve">państw członkowskich </w:t>
      </w:r>
      <w:r w:rsidRPr="000F1D89">
        <w:rPr>
          <w:lang w:val="pl-PL"/>
        </w:rPr>
        <w:t xml:space="preserve">Rady Europy i </w:t>
      </w:r>
      <w:r w:rsidR="007B095B">
        <w:rPr>
          <w:lang w:val="pl-PL"/>
        </w:rPr>
        <w:t>aby uznać</w:t>
      </w:r>
      <w:r w:rsidR="007B095B" w:rsidRPr="000F1D89">
        <w:rPr>
          <w:lang w:val="pl-PL"/>
        </w:rPr>
        <w:t xml:space="preserve"> </w:t>
      </w:r>
      <w:r w:rsidR="007B095B">
        <w:rPr>
          <w:lang w:val="pl-PL"/>
        </w:rPr>
        <w:t>różnicę w traktowaniu za zgodną</w:t>
      </w:r>
      <w:r w:rsidR="007B095B" w:rsidRPr="000F1D89">
        <w:rPr>
          <w:lang w:val="pl-PL"/>
        </w:rPr>
        <w:t xml:space="preserve"> z</w:t>
      </w:r>
      <w:r w:rsidR="00F6441E">
        <w:rPr>
          <w:lang w:val="pl-PL"/>
        </w:rPr>
        <w:t> </w:t>
      </w:r>
      <w:r w:rsidR="007B095B" w:rsidRPr="000F1D89">
        <w:rPr>
          <w:lang w:val="pl-PL"/>
        </w:rPr>
        <w:t>Konwencją</w:t>
      </w:r>
      <w:r w:rsidR="007B095B">
        <w:rPr>
          <w:lang w:val="pl-PL"/>
        </w:rPr>
        <w:t>, muszą zostać wskazane</w:t>
      </w:r>
      <w:r w:rsidR="007B095B" w:rsidRPr="000F1D89">
        <w:rPr>
          <w:lang w:val="pl-PL"/>
        </w:rPr>
        <w:t xml:space="preserve"> </w:t>
      </w:r>
      <w:r w:rsidR="00570555" w:rsidRPr="000F1D89">
        <w:rPr>
          <w:lang w:val="pl-PL"/>
        </w:rPr>
        <w:t>bardzo ważne powody</w:t>
      </w:r>
      <w:r w:rsidR="007B095B">
        <w:rPr>
          <w:lang w:val="pl-PL"/>
        </w:rPr>
        <w:t>.</w:t>
      </w:r>
      <w:r w:rsidRPr="000F1D89">
        <w:rPr>
          <w:lang w:val="pl-PL"/>
        </w:rPr>
        <w:t xml:space="preserve"> W szczególności odwołani</w:t>
      </w:r>
      <w:r w:rsidR="007B095B">
        <w:rPr>
          <w:lang w:val="pl-PL"/>
        </w:rPr>
        <w:t>a</w:t>
      </w:r>
      <w:r w:rsidRPr="000F1D89">
        <w:rPr>
          <w:lang w:val="pl-PL"/>
        </w:rPr>
        <w:t xml:space="preserve"> się do tradycji, generalnych założeń lub przeważają</w:t>
      </w:r>
      <w:r w:rsidR="000E23E6" w:rsidRPr="000F1D89">
        <w:rPr>
          <w:lang w:val="pl-PL"/>
        </w:rPr>
        <w:t>cych postaw społecznych</w:t>
      </w:r>
      <w:r w:rsidRPr="000F1D89">
        <w:rPr>
          <w:lang w:val="pl-PL"/>
        </w:rPr>
        <w:t xml:space="preserve"> w danym państwie nie są wystarczającym uzasadnieniem</w:t>
      </w:r>
      <w:r w:rsidR="00570555">
        <w:rPr>
          <w:lang w:val="pl-PL"/>
        </w:rPr>
        <w:t xml:space="preserve"> dla</w:t>
      </w:r>
      <w:r w:rsidRPr="000F1D89">
        <w:rPr>
          <w:lang w:val="pl-PL"/>
        </w:rPr>
        <w:t xml:space="preserve"> różnego traktowania z uwagi na płeć. </w:t>
      </w:r>
      <w:r w:rsidR="00FB2FDD" w:rsidRPr="000F1D89">
        <w:rPr>
          <w:lang w:val="pl-PL"/>
        </w:rPr>
        <w:t xml:space="preserve">Problem związany ze stereotypowym </w:t>
      </w:r>
      <w:r w:rsidR="000E23E6" w:rsidRPr="000F1D89">
        <w:rPr>
          <w:lang w:val="pl-PL"/>
        </w:rPr>
        <w:t>podejściem do pewnych grup</w:t>
      </w:r>
      <w:r w:rsidR="00FB2FDD" w:rsidRPr="000F1D89">
        <w:rPr>
          <w:lang w:val="pl-PL"/>
        </w:rPr>
        <w:t xml:space="preserve"> w społeczeństwie </w:t>
      </w:r>
      <w:r w:rsidR="000E23E6" w:rsidRPr="000F1D89">
        <w:rPr>
          <w:lang w:val="pl-PL"/>
        </w:rPr>
        <w:t>wiąże się z faktem</w:t>
      </w:r>
      <w:r w:rsidR="00FB2FDD" w:rsidRPr="000F1D89">
        <w:rPr>
          <w:lang w:val="pl-PL"/>
        </w:rPr>
        <w:t xml:space="preserve">, że wyklucza ono </w:t>
      </w:r>
      <w:r w:rsidR="00570555">
        <w:rPr>
          <w:lang w:val="pl-PL"/>
        </w:rPr>
        <w:t>z</w:t>
      </w:r>
      <w:r w:rsidR="00FB2FDD" w:rsidRPr="000F1D89">
        <w:rPr>
          <w:lang w:val="pl-PL"/>
        </w:rPr>
        <w:t>indywidual</w:t>
      </w:r>
      <w:r w:rsidR="00570555">
        <w:rPr>
          <w:lang w:val="pl-PL"/>
        </w:rPr>
        <w:t>izowa</w:t>
      </w:r>
      <w:r w:rsidR="00FB2FDD" w:rsidRPr="000F1D89">
        <w:rPr>
          <w:lang w:val="pl-PL"/>
        </w:rPr>
        <w:t>ną ocenę ich zdolności lub potrzeb.</w:t>
      </w:r>
      <w:r w:rsidR="00FB2FDD">
        <w:rPr>
          <w:lang w:val="pl-PL"/>
        </w:rPr>
        <w:t xml:space="preserve"> </w:t>
      </w:r>
    </w:p>
    <w:p w14:paraId="0C8EBCAA" w14:textId="6BE7C676" w:rsidR="00FB2FDD" w:rsidRPr="00FB2FDD" w:rsidRDefault="00FB2FDD">
      <w:pPr>
        <w:pStyle w:val="ClinContent"/>
        <w:rPr>
          <w:lang w:val="pl-PL"/>
        </w:rPr>
      </w:pPr>
      <w:r w:rsidRPr="00FB2FDD">
        <w:rPr>
          <w:lang w:val="pl-PL"/>
        </w:rPr>
        <w:t>Najwyższy Sąd Administracyjny potwierdził ustalenia sądu I instancji, ale uznał, że</w:t>
      </w:r>
      <w:r w:rsidR="009B4BC5">
        <w:rPr>
          <w:lang w:val="pl-PL"/>
        </w:rPr>
        <w:t> </w:t>
      </w:r>
      <w:r w:rsidR="000E23E6">
        <w:rPr>
          <w:lang w:val="pl-PL"/>
        </w:rPr>
        <w:t>cierpienie fizyczne i psychiczne</w:t>
      </w:r>
      <w:r>
        <w:rPr>
          <w:lang w:val="pl-PL"/>
        </w:rPr>
        <w:t xml:space="preserve"> skarżącej został</w:t>
      </w:r>
      <w:r w:rsidR="000E23E6">
        <w:rPr>
          <w:lang w:val="pl-PL"/>
        </w:rPr>
        <w:t>o</w:t>
      </w:r>
      <w:r>
        <w:rPr>
          <w:lang w:val="pl-PL"/>
        </w:rPr>
        <w:t xml:space="preserve"> </w:t>
      </w:r>
      <w:r w:rsidR="000E23E6">
        <w:rPr>
          <w:lang w:val="pl-PL"/>
        </w:rPr>
        <w:t>spotęgowane</w:t>
      </w:r>
      <w:r>
        <w:rPr>
          <w:lang w:val="pl-PL"/>
        </w:rPr>
        <w:t xml:space="preserve"> operacją, </w:t>
      </w:r>
      <w:r w:rsidR="00821858">
        <w:rPr>
          <w:lang w:val="pl-PL"/>
        </w:rPr>
        <w:t>a</w:t>
      </w:r>
      <w:r w:rsidR="009B4BC5">
        <w:rPr>
          <w:lang w:val="pl-PL"/>
        </w:rPr>
        <w:t> </w:t>
      </w:r>
      <w:r>
        <w:rPr>
          <w:lang w:val="pl-PL"/>
        </w:rPr>
        <w:t>nie</w:t>
      </w:r>
      <w:r w:rsidR="009B4BC5">
        <w:rPr>
          <w:lang w:val="pl-PL"/>
        </w:rPr>
        <w:t> </w:t>
      </w:r>
      <w:r>
        <w:rPr>
          <w:lang w:val="pl-PL"/>
        </w:rPr>
        <w:t>że</w:t>
      </w:r>
      <w:r w:rsidR="009B4BC5">
        <w:rPr>
          <w:lang w:val="pl-PL"/>
        </w:rPr>
        <w:t> </w:t>
      </w:r>
      <w:r>
        <w:rPr>
          <w:lang w:val="pl-PL"/>
        </w:rPr>
        <w:t>wynikał</w:t>
      </w:r>
      <w:r w:rsidR="000E23E6">
        <w:rPr>
          <w:lang w:val="pl-PL"/>
        </w:rPr>
        <w:t>o</w:t>
      </w:r>
      <w:r>
        <w:rPr>
          <w:lang w:val="pl-PL"/>
        </w:rPr>
        <w:t xml:space="preserve"> on</w:t>
      </w:r>
      <w:r w:rsidR="000E23E6">
        <w:rPr>
          <w:lang w:val="pl-PL"/>
        </w:rPr>
        <w:t>o</w:t>
      </w:r>
      <w:r w:rsidR="009250F3">
        <w:rPr>
          <w:lang w:val="pl-PL"/>
        </w:rPr>
        <w:t xml:space="preserve"> wyłącznie z uszkodzenia ciała</w:t>
      </w:r>
      <w:r>
        <w:rPr>
          <w:lang w:val="pl-PL"/>
        </w:rPr>
        <w:t xml:space="preserve"> spowodowanego podczas operacji chirurgicznej. Sąd powołał się na fakt, że </w:t>
      </w:r>
      <w:r w:rsidR="009A0CDF">
        <w:rPr>
          <w:lang w:val="pl-PL"/>
        </w:rPr>
        <w:t>„</w:t>
      </w:r>
      <w:r>
        <w:rPr>
          <w:lang w:val="pl-PL"/>
        </w:rPr>
        <w:t xml:space="preserve">w czasie operacji chirurgicznej skarżąca skończyła już 50 lat i miała dwójkę dzieci, </w:t>
      </w:r>
      <w:r w:rsidR="000E23E6">
        <w:rPr>
          <w:lang w:val="pl-PL"/>
        </w:rPr>
        <w:t>a więc</w:t>
      </w:r>
      <w:r>
        <w:rPr>
          <w:lang w:val="pl-PL"/>
        </w:rPr>
        <w:t xml:space="preserve"> była w wieku, w którym seksualność nie jest już tak ważna jak w młodszym wieku, jej znaczenie zmniejsza się </w:t>
      </w:r>
      <w:r w:rsidR="000E23E6">
        <w:rPr>
          <w:lang w:val="pl-PL"/>
        </w:rPr>
        <w:t xml:space="preserve">bowiem </w:t>
      </w:r>
      <w:r>
        <w:rPr>
          <w:lang w:val="pl-PL"/>
        </w:rPr>
        <w:t>z</w:t>
      </w:r>
      <w:r w:rsidR="009B4BC5">
        <w:rPr>
          <w:lang w:val="pl-PL"/>
        </w:rPr>
        <w:t> </w:t>
      </w:r>
      <w:r>
        <w:rPr>
          <w:lang w:val="pl-PL"/>
        </w:rPr>
        <w:t xml:space="preserve">wiekiem”, </w:t>
      </w:r>
      <w:r w:rsidR="00570555">
        <w:rPr>
          <w:lang w:val="pl-PL"/>
        </w:rPr>
        <w:t xml:space="preserve">powołał się </w:t>
      </w:r>
      <w:r>
        <w:rPr>
          <w:lang w:val="pl-PL"/>
        </w:rPr>
        <w:t>także na fakt, że z uwagi na wiek dzieci „prawdopodobnie potrzebowała już tylko zajmować się swoim mężem”.</w:t>
      </w:r>
    </w:p>
    <w:p w14:paraId="5AE883B9" w14:textId="682C490D" w:rsidR="00FB2FDD" w:rsidRPr="00FB2FDD" w:rsidRDefault="000E23E6">
      <w:pPr>
        <w:pStyle w:val="ClinContent"/>
        <w:rPr>
          <w:lang w:val="pl-PL"/>
        </w:rPr>
      </w:pPr>
      <w:r>
        <w:rPr>
          <w:lang w:val="pl-PL"/>
        </w:rPr>
        <w:t xml:space="preserve">Istotą sporu </w:t>
      </w:r>
      <w:r w:rsidR="00FB2FDD" w:rsidRPr="00FB2FDD">
        <w:rPr>
          <w:lang w:val="pl-PL"/>
        </w:rPr>
        <w:t xml:space="preserve">nie </w:t>
      </w:r>
      <w:r>
        <w:rPr>
          <w:lang w:val="pl-PL"/>
        </w:rPr>
        <w:t xml:space="preserve">są względy </w:t>
      </w:r>
      <w:r w:rsidR="00FB2FDD" w:rsidRPr="00FB2FDD">
        <w:rPr>
          <w:lang w:val="pl-PL"/>
        </w:rPr>
        <w:t>wieku czy płci jako takich, ale raczej przyjęcie założenia, że</w:t>
      </w:r>
      <w:r w:rsidR="009B4BC5">
        <w:rPr>
          <w:lang w:val="pl-PL"/>
        </w:rPr>
        <w:t> </w:t>
      </w:r>
      <w:r w:rsidR="00FB2FDD" w:rsidRPr="00FB2FDD">
        <w:rPr>
          <w:lang w:val="pl-PL"/>
        </w:rPr>
        <w:t xml:space="preserve">seksualność </w:t>
      </w:r>
      <w:r w:rsidR="00FB2FDD">
        <w:rPr>
          <w:lang w:val="pl-PL"/>
        </w:rPr>
        <w:t>50-letniej kobiety i matki dw</w:t>
      </w:r>
      <w:r w:rsidR="00821858">
        <w:rPr>
          <w:lang w:val="pl-PL"/>
        </w:rPr>
        <w:t>ojga</w:t>
      </w:r>
      <w:r w:rsidR="00FB2FDD">
        <w:rPr>
          <w:lang w:val="pl-PL"/>
        </w:rPr>
        <w:t xml:space="preserve"> dzieci </w:t>
      </w:r>
      <w:r w:rsidR="00FB2FDD" w:rsidRPr="00FB2FDD">
        <w:rPr>
          <w:lang w:val="pl-PL"/>
        </w:rPr>
        <w:t xml:space="preserve">nie jest tak </w:t>
      </w:r>
      <w:r w:rsidR="00FB2FDD">
        <w:rPr>
          <w:lang w:val="pl-PL"/>
        </w:rPr>
        <w:t xml:space="preserve">istotna </w:t>
      </w:r>
      <w:r w:rsidR="00821858">
        <w:rPr>
          <w:lang w:val="pl-PL"/>
        </w:rPr>
        <w:lastRenderedPageBreak/>
        <w:t>j</w:t>
      </w:r>
      <w:r w:rsidR="00FB2FDD">
        <w:rPr>
          <w:lang w:val="pl-PL"/>
        </w:rPr>
        <w:t>ak</w:t>
      </w:r>
      <w:r w:rsidR="009B4BC5">
        <w:rPr>
          <w:lang w:val="pl-PL"/>
        </w:rPr>
        <w:t> </w:t>
      </w:r>
      <w:r>
        <w:rPr>
          <w:lang w:val="pl-PL"/>
        </w:rPr>
        <w:t>w</w:t>
      </w:r>
      <w:r w:rsidR="009B4BC5">
        <w:rPr>
          <w:lang w:val="pl-PL"/>
        </w:rPr>
        <w:t> </w:t>
      </w:r>
      <w:r>
        <w:rPr>
          <w:lang w:val="pl-PL"/>
        </w:rPr>
        <w:t xml:space="preserve">przypadku </w:t>
      </w:r>
      <w:r w:rsidR="00FB2FDD">
        <w:rPr>
          <w:lang w:val="pl-PL"/>
        </w:rPr>
        <w:t>kogoś w młodszym wieku. To założenie odzwierciedlało tradycyjne podejście do seksualności kobiety jako zasadniczo powiązanej z</w:t>
      </w:r>
      <w:r w:rsidR="007B0480">
        <w:rPr>
          <w:lang w:val="pl-PL"/>
        </w:rPr>
        <w:t xml:space="preserve"> cel</w:t>
      </w:r>
      <w:r w:rsidR="00F6441E">
        <w:rPr>
          <w:lang w:val="pl-PL"/>
        </w:rPr>
        <w:t>e</w:t>
      </w:r>
      <w:r w:rsidR="007B0480">
        <w:rPr>
          <w:lang w:val="pl-PL"/>
        </w:rPr>
        <w:t>m rodzenia dzieci, ignorując</w:t>
      </w:r>
      <w:r w:rsidR="006841FD">
        <w:rPr>
          <w:lang w:val="pl-PL"/>
        </w:rPr>
        <w:t xml:space="preserve"> w</w:t>
      </w:r>
      <w:r w:rsidR="007B0480">
        <w:rPr>
          <w:lang w:val="pl-PL"/>
        </w:rPr>
        <w:t xml:space="preserve"> ten sposób jej fizyczne i psychologiczne znaczenie dla samospełnienia kobiet jako</w:t>
      </w:r>
      <w:r w:rsidR="00527F51">
        <w:rPr>
          <w:lang w:val="pl-PL"/>
        </w:rPr>
        <w:t xml:space="preserve"> osób</w:t>
      </w:r>
      <w:r w:rsidR="007B0480">
        <w:rPr>
          <w:lang w:val="pl-PL"/>
        </w:rPr>
        <w:t xml:space="preserve">. Oprócz tego, że </w:t>
      </w:r>
      <w:r w:rsidR="00527F51">
        <w:rPr>
          <w:lang w:val="pl-PL"/>
        </w:rPr>
        <w:t xml:space="preserve">założenie to </w:t>
      </w:r>
      <w:r w:rsidR="007B0480">
        <w:rPr>
          <w:lang w:val="pl-PL"/>
        </w:rPr>
        <w:t xml:space="preserve">miało charakter osądu, </w:t>
      </w:r>
      <w:r w:rsidR="006841FD">
        <w:rPr>
          <w:lang w:val="pl-PL"/>
        </w:rPr>
        <w:t>nie brało</w:t>
      </w:r>
      <w:r w:rsidR="007B0480">
        <w:rPr>
          <w:lang w:val="pl-PL"/>
        </w:rPr>
        <w:t xml:space="preserve"> </w:t>
      </w:r>
      <w:r w:rsidR="006841FD">
        <w:rPr>
          <w:lang w:val="pl-PL"/>
        </w:rPr>
        <w:t>pod uwagę innych wymiarów</w:t>
      </w:r>
      <w:r w:rsidR="007B0480">
        <w:rPr>
          <w:lang w:val="pl-PL"/>
        </w:rPr>
        <w:t xml:space="preserve"> kobiecej seksualności w konkretnej sprawie skarżącej. Innymi słowy, Najwyższy Sąd Administracyjny </w:t>
      </w:r>
      <w:r w:rsidR="006841FD">
        <w:rPr>
          <w:lang w:val="pl-PL"/>
        </w:rPr>
        <w:t>przyjął ogólne założenie</w:t>
      </w:r>
      <w:r w:rsidR="007B0480">
        <w:rPr>
          <w:lang w:val="pl-PL"/>
        </w:rPr>
        <w:t xml:space="preserve"> bez próby zweryfikowania, czy</w:t>
      </w:r>
      <w:r w:rsidR="009B4BC5">
        <w:rPr>
          <w:lang w:val="pl-PL"/>
        </w:rPr>
        <w:t> </w:t>
      </w:r>
      <w:r w:rsidR="007B0480">
        <w:rPr>
          <w:lang w:val="pl-PL"/>
        </w:rPr>
        <w:t xml:space="preserve">jest ono uzasadnione w konkretnej sprawie. </w:t>
      </w:r>
    </w:p>
    <w:p w14:paraId="2512325D" w14:textId="5C219FF9" w:rsidR="007B0480" w:rsidRPr="007B0480" w:rsidRDefault="006841FD">
      <w:pPr>
        <w:pStyle w:val="ClinContent"/>
        <w:rPr>
          <w:lang w:val="pl-PL"/>
        </w:rPr>
      </w:pPr>
      <w:r>
        <w:rPr>
          <w:lang w:val="pl-PL"/>
        </w:rPr>
        <w:t xml:space="preserve">Ujęcie </w:t>
      </w:r>
      <w:r w:rsidR="007B0480" w:rsidRPr="007B0480">
        <w:rPr>
          <w:lang w:val="pl-PL"/>
        </w:rPr>
        <w:t>wyroku Najwyższego Sądu Administracyjnego nie może być uznane za</w:t>
      </w:r>
      <w:r w:rsidR="009B4BC5">
        <w:rPr>
          <w:lang w:val="pl-PL"/>
        </w:rPr>
        <w:t> </w:t>
      </w:r>
      <w:r w:rsidR="007B0480">
        <w:rPr>
          <w:lang w:val="pl-PL"/>
        </w:rPr>
        <w:t>niefortunn</w:t>
      </w:r>
      <w:r w:rsidR="00570555">
        <w:rPr>
          <w:lang w:val="pl-PL"/>
        </w:rPr>
        <w:t>i</w:t>
      </w:r>
      <w:r w:rsidR="007B0480">
        <w:rPr>
          <w:lang w:val="pl-PL"/>
        </w:rPr>
        <w:t xml:space="preserve">e </w:t>
      </w:r>
      <w:r w:rsidR="00570555">
        <w:rPr>
          <w:lang w:val="pl-PL"/>
        </w:rPr>
        <w:t>sformułowan</w:t>
      </w:r>
      <w:r>
        <w:rPr>
          <w:lang w:val="pl-PL"/>
        </w:rPr>
        <w:t>e</w:t>
      </w:r>
      <w:r w:rsidR="00570555">
        <w:rPr>
          <w:lang w:val="pl-PL"/>
        </w:rPr>
        <w:t xml:space="preserve"> zdanie</w:t>
      </w:r>
      <w:r w:rsidR="007B0480">
        <w:rPr>
          <w:lang w:val="pl-PL"/>
        </w:rPr>
        <w:t xml:space="preserve">. Wydaje się, że wiek i płeć skarżącej stanowiły decydujący czynnik dla ostatecznego rozstrzygnięcia wprowadzającego różne traktowanie w oparciu o te przesłanki.  </w:t>
      </w:r>
    </w:p>
    <w:p w14:paraId="4622F1AD" w14:textId="0A81049F" w:rsidR="007B0480" w:rsidRPr="007B0480" w:rsidRDefault="007B0480">
      <w:pPr>
        <w:pStyle w:val="ClinContent"/>
        <w:rPr>
          <w:lang w:val="pl-PL"/>
        </w:rPr>
      </w:pPr>
      <w:r w:rsidRPr="007B0480">
        <w:rPr>
          <w:lang w:val="pl-PL"/>
        </w:rPr>
        <w:t>Trybunał odnotow</w:t>
      </w:r>
      <w:r w:rsidR="00E6641C">
        <w:rPr>
          <w:lang w:val="pl-PL"/>
        </w:rPr>
        <w:t>ał</w:t>
      </w:r>
      <w:r w:rsidRPr="007B0480">
        <w:rPr>
          <w:lang w:val="pl-PL"/>
        </w:rPr>
        <w:t xml:space="preserve"> odmienność między sprawą skarżącej a podejściem przyjętym przez</w:t>
      </w:r>
      <w:r w:rsidR="009B4BC5">
        <w:rPr>
          <w:lang w:val="pl-PL"/>
        </w:rPr>
        <w:t> </w:t>
      </w:r>
      <w:r w:rsidR="00570555" w:rsidRPr="007B0480">
        <w:rPr>
          <w:lang w:val="pl-PL"/>
        </w:rPr>
        <w:t xml:space="preserve">Sąd </w:t>
      </w:r>
      <w:r w:rsidRPr="007B0480">
        <w:rPr>
          <w:lang w:val="pl-PL"/>
        </w:rPr>
        <w:t xml:space="preserve">Najwyższy w dwóch wyrokach z 2008 r. </w:t>
      </w:r>
      <w:r>
        <w:rPr>
          <w:lang w:val="pl-PL"/>
        </w:rPr>
        <w:t xml:space="preserve">i 2014 r. w </w:t>
      </w:r>
      <w:r w:rsidR="00E6641C">
        <w:rPr>
          <w:lang w:val="pl-PL"/>
        </w:rPr>
        <w:t xml:space="preserve">sprawach, w </w:t>
      </w:r>
      <w:r>
        <w:rPr>
          <w:lang w:val="pl-PL"/>
        </w:rPr>
        <w:t>który</w:t>
      </w:r>
      <w:r w:rsidR="00E6641C">
        <w:rPr>
          <w:lang w:val="pl-PL"/>
        </w:rPr>
        <w:t>ch</w:t>
      </w:r>
      <w:r>
        <w:rPr>
          <w:lang w:val="pl-PL"/>
        </w:rPr>
        <w:t xml:space="preserve"> dwaj</w:t>
      </w:r>
      <w:r w:rsidR="009B4BC5">
        <w:rPr>
          <w:lang w:val="pl-PL"/>
        </w:rPr>
        <w:t> </w:t>
      </w:r>
      <w:r>
        <w:rPr>
          <w:lang w:val="pl-PL"/>
        </w:rPr>
        <w:t xml:space="preserve">pacjenci – mężczyźni w wieku odpowiednio 55 i 59 lat </w:t>
      </w:r>
      <w:r w:rsidR="009A0CDF" w:rsidRPr="009A0CDF">
        <w:rPr>
          <w:lang w:val="pl-PL"/>
        </w:rPr>
        <w:t>–</w:t>
      </w:r>
      <w:r w:rsidR="009A0CDF">
        <w:rPr>
          <w:lang w:val="pl-PL"/>
        </w:rPr>
        <w:t xml:space="preserve"> </w:t>
      </w:r>
      <w:r>
        <w:rPr>
          <w:lang w:val="pl-PL"/>
        </w:rPr>
        <w:t xml:space="preserve">zarzucali błąd medyczny. W tych wyrokach </w:t>
      </w:r>
      <w:r w:rsidR="00570555" w:rsidRPr="007B0480">
        <w:rPr>
          <w:lang w:val="pl-PL"/>
        </w:rPr>
        <w:t xml:space="preserve">Sąd Najwyższy </w:t>
      </w:r>
      <w:r>
        <w:rPr>
          <w:lang w:val="pl-PL"/>
        </w:rPr>
        <w:t xml:space="preserve">orzekł, że fakt, </w:t>
      </w:r>
      <w:r w:rsidR="00527F51">
        <w:rPr>
          <w:lang w:val="pl-PL"/>
        </w:rPr>
        <w:t xml:space="preserve">iż </w:t>
      </w:r>
      <w:r>
        <w:rPr>
          <w:lang w:val="pl-PL"/>
        </w:rPr>
        <w:t>mężczyźni ci nie mogli już</w:t>
      </w:r>
      <w:r w:rsidR="009B4BC5">
        <w:rPr>
          <w:lang w:val="pl-PL"/>
        </w:rPr>
        <w:t> </w:t>
      </w:r>
      <w:r>
        <w:rPr>
          <w:lang w:val="pl-PL"/>
        </w:rPr>
        <w:t>utrzymywać relacji seksualnych</w:t>
      </w:r>
      <w:r w:rsidR="00E6641C">
        <w:rPr>
          <w:lang w:val="pl-PL"/>
        </w:rPr>
        <w:t>,</w:t>
      </w:r>
      <w:r>
        <w:rPr>
          <w:lang w:val="pl-PL"/>
        </w:rPr>
        <w:t xml:space="preserve"> wpłynął na ich poczucie własnej wartości i skutkował „ogromnym szokiem”</w:t>
      </w:r>
      <w:r w:rsidR="00E6641C">
        <w:rPr>
          <w:lang w:val="pl-PL"/>
        </w:rPr>
        <w:t xml:space="preserve"> oraz</w:t>
      </w:r>
      <w:r>
        <w:rPr>
          <w:lang w:val="pl-PL"/>
        </w:rPr>
        <w:t xml:space="preserve"> „silnym wstrząsem psychicznym”. Oceniając wysokość </w:t>
      </w:r>
      <w:r w:rsidR="00E6641C">
        <w:rPr>
          <w:lang w:val="pl-PL"/>
        </w:rPr>
        <w:t>odszkodowania, wziął on pod uwagę fakt, że mężczyźni ci nie mogli już utrzymywać relacji seksualnych</w:t>
      </w:r>
      <w:r w:rsidR="00527F51">
        <w:rPr>
          <w:lang w:val="pl-PL"/>
        </w:rPr>
        <w:t>,</w:t>
      </w:r>
      <w:r w:rsidR="006841FD">
        <w:rPr>
          <w:lang w:val="pl-PL"/>
        </w:rPr>
        <w:t xml:space="preserve"> oraz</w:t>
      </w:r>
      <w:r w:rsidR="00E6641C">
        <w:rPr>
          <w:lang w:val="pl-PL"/>
        </w:rPr>
        <w:t xml:space="preserve"> skutek, jaki </w:t>
      </w:r>
      <w:r w:rsidR="006841FD">
        <w:rPr>
          <w:lang w:val="pl-PL"/>
        </w:rPr>
        <w:t>fakt ten wywarł</w:t>
      </w:r>
      <w:r w:rsidR="00E6641C">
        <w:rPr>
          <w:lang w:val="pl-PL"/>
        </w:rPr>
        <w:t xml:space="preserve"> na nich niezależnie od ich wieku, kwestii</w:t>
      </w:r>
      <w:r w:rsidR="009A0CDF">
        <w:rPr>
          <w:lang w:val="pl-PL"/>
        </w:rPr>
        <w:t xml:space="preserve"> posiadania przez nich dzieci</w:t>
      </w:r>
      <w:r w:rsidR="00E6641C">
        <w:rPr>
          <w:lang w:val="pl-PL"/>
        </w:rPr>
        <w:t xml:space="preserve"> </w:t>
      </w:r>
      <w:r w:rsidR="009A0CDF">
        <w:rPr>
          <w:lang w:val="pl-PL"/>
        </w:rPr>
        <w:t>oraz</w:t>
      </w:r>
      <w:r w:rsidR="00E6641C">
        <w:rPr>
          <w:lang w:val="pl-PL"/>
        </w:rPr>
        <w:t xml:space="preserve"> jakichkolwiek innych czynników. </w:t>
      </w:r>
    </w:p>
    <w:p w14:paraId="459E5629" w14:textId="5DC59E1B" w:rsidR="00E6641C" w:rsidRPr="00E6641C" w:rsidRDefault="00E6641C">
      <w:pPr>
        <w:pStyle w:val="ClinContent"/>
        <w:rPr>
          <w:lang w:val="pl-PL"/>
        </w:rPr>
      </w:pPr>
      <w:r w:rsidRPr="00E6641C">
        <w:rPr>
          <w:i/>
          <w:lang w:val="pl-PL"/>
        </w:rPr>
        <w:t>Rozstrzygnięcie</w:t>
      </w:r>
      <w:r w:rsidRPr="00E6641C">
        <w:rPr>
          <w:lang w:val="pl-PL"/>
        </w:rPr>
        <w:t>: naruszenie (pięcioma głosami do dwóch)</w:t>
      </w:r>
      <w:r w:rsidR="00570555">
        <w:rPr>
          <w:lang w:val="pl-PL"/>
        </w:rPr>
        <w:t>.</w:t>
      </w:r>
    </w:p>
    <w:p w14:paraId="665C3457" w14:textId="129AFEFD" w:rsidR="00E6641C" w:rsidRPr="00E6641C" w:rsidRDefault="00E6641C">
      <w:pPr>
        <w:pStyle w:val="ClinContent"/>
        <w:rPr>
          <w:lang w:val="pl-PL"/>
        </w:rPr>
      </w:pPr>
      <w:r w:rsidRPr="00E6641C">
        <w:rPr>
          <w:lang w:val="pl-PL"/>
        </w:rPr>
        <w:t>Art. 41: 3250 EUR tytułem szkody niemajątkowej.</w:t>
      </w:r>
    </w:p>
    <w:p w14:paraId="7A50D873" w14:textId="77777777" w:rsidR="00B97942" w:rsidRPr="00E6641C" w:rsidRDefault="00B97942">
      <w:pPr>
        <w:pBdr>
          <w:bottom w:val="single" w:sz="8" w:space="1" w:color="auto"/>
        </w:pBdr>
        <w:rPr>
          <w:lang w:val="pl-PL"/>
        </w:rPr>
      </w:pPr>
    </w:p>
    <w:p w14:paraId="0A8CB4BC" w14:textId="77777777" w:rsidR="00C172D8" w:rsidRDefault="00C172D8" w:rsidP="00C172D8">
      <w:pPr>
        <w:pStyle w:val="ClinFooter"/>
        <w:rPr>
          <w:lang w:val="pl-PL"/>
        </w:rPr>
      </w:pPr>
      <w:r>
        <w:rPr>
          <w:lang w:val="pl-PL"/>
        </w:rPr>
        <w:t>© Council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52FE34A3" w14:textId="77777777" w:rsidR="00C172D8" w:rsidRDefault="00C172D8" w:rsidP="00C172D8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7" w:history="1">
        <w:r>
          <w:rPr>
            <w:rStyle w:val="Hipercze"/>
            <w:lang w:val="pl-PL"/>
          </w:rPr>
          <w:t>Not informacyjnych nt. orzecznictwa</w:t>
        </w:r>
      </w:hyperlink>
    </w:p>
    <w:p w14:paraId="7D362EB9" w14:textId="5B5AC25D" w:rsidR="00B97942" w:rsidRPr="000F4A03" w:rsidRDefault="00F84420" w:rsidP="00F84420">
      <w:pPr>
        <w:pStyle w:val="ClinFooter"/>
        <w:jc w:val="left"/>
        <w:rPr>
          <w:lang w:val="pl-PL"/>
        </w:rPr>
      </w:pPr>
      <w:r>
        <w:rPr>
          <w:lang w:val="pl-PL"/>
        </w:rPr>
        <w:t xml:space="preserve">  </w:t>
      </w:r>
    </w:p>
    <w:sectPr w:rsidR="00B97942" w:rsidRPr="000F4A03" w:rsidSect="004A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7EA53" w14:textId="77777777" w:rsidR="00FC706D" w:rsidRDefault="00FC706D" w:rsidP="00C63262">
      <w:r>
        <w:separator/>
      </w:r>
    </w:p>
  </w:endnote>
  <w:endnote w:type="continuationSeparator" w:id="0">
    <w:p w14:paraId="0F321FDC" w14:textId="77777777" w:rsidR="00FC706D" w:rsidRDefault="00FC706D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6DEBB" w14:textId="77777777" w:rsidR="00FB2739" w:rsidRDefault="00FB27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F4F0" w14:textId="77777777" w:rsidR="00FB2739" w:rsidRDefault="00FB27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C17B3" w14:textId="77777777" w:rsidR="0071773F" w:rsidRPr="0071773F" w:rsidRDefault="0071773F" w:rsidP="0071773F"/>
  <w:p w14:paraId="75B5E206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D1E99FA" wp14:editId="4A05F64B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4EF2D" w14:textId="77777777" w:rsidR="00FC706D" w:rsidRDefault="00FC706D" w:rsidP="00C63262">
      <w:r>
        <w:separator/>
      </w:r>
    </w:p>
  </w:footnote>
  <w:footnote w:type="continuationSeparator" w:id="0">
    <w:p w14:paraId="75F6D39F" w14:textId="77777777" w:rsidR="00FC706D" w:rsidRDefault="00FC706D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2777" w14:textId="77777777" w:rsidR="00FB2739" w:rsidRDefault="00FB2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50E46641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FB2739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DBA15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3B537C69" wp14:editId="0CD89D7E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EF0"/>
    <w:rsid w:val="00037CCC"/>
    <w:rsid w:val="00097888"/>
    <w:rsid w:val="000D1076"/>
    <w:rsid w:val="000E23E6"/>
    <w:rsid w:val="000F13B5"/>
    <w:rsid w:val="000F1D89"/>
    <w:rsid w:val="000F4A03"/>
    <w:rsid w:val="00107377"/>
    <w:rsid w:val="00143602"/>
    <w:rsid w:val="001769E4"/>
    <w:rsid w:val="001831CC"/>
    <w:rsid w:val="00186560"/>
    <w:rsid w:val="00212E83"/>
    <w:rsid w:val="002966E7"/>
    <w:rsid w:val="002E088D"/>
    <w:rsid w:val="0030264F"/>
    <w:rsid w:val="003450B3"/>
    <w:rsid w:val="00386958"/>
    <w:rsid w:val="003A64A6"/>
    <w:rsid w:val="003D7BB3"/>
    <w:rsid w:val="0046453F"/>
    <w:rsid w:val="004A5B52"/>
    <w:rsid w:val="004D568D"/>
    <w:rsid w:val="004E1037"/>
    <w:rsid w:val="0052092D"/>
    <w:rsid w:val="00527F51"/>
    <w:rsid w:val="00540D75"/>
    <w:rsid w:val="005514E5"/>
    <w:rsid w:val="00567985"/>
    <w:rsid w:val="00570555"/>
    <w:rsid w:val="006028A1"/>
    <w:rsid w:val="00631A28"/>
    <w:rsid w:val="006841FD"/>
    <w:rsid w:val="006945D4"/>
    <w:rsid w:val="006A36AD"/>
    <w:rsid w:val="006C1D96"/>
    <w:rsid w:val="0071773F"/>
    <w:rsid w:val="00741745"/>
    <w:rsid w:val="00747098"/>
    <w:rsid w:val="00774515"/>
    <w:rsid w:val="007B0480"/>
    <w:rsid w:val="007B095B"/>
    <w:rsid w:val="00821858"/>
    <w:rsid w:val="00895EF3"/>
    <w:rsid w:val="008C64D5"/>
    <w:rsid w:val="00903D38"/>
    <w:rsid w:val="009250F3"/>
    <w:rsid w:val="009A0CDF"/>
    <w:rsid w:val="009B3B2C"/>
    <w:rsid w:val="009B4BC5"/>
    <w:rsid w:val="009E3EF0"/>
    <w:rsid w:val="00A01052"/>
    <w:rsid w:val="00A04D9C"/>
    <w:rsid w:val="00A258BB"/>
    <w:rsid w:val="00A33541"/>
    <w:rsid w:val="00A45616"/>
    <w:rsid w:val="00A543F5"/>
    <w:rsid w:val="00AC7726"/>
    <w:rsid w:val="00B80CA0"/>
    <w:rsid w:val="00B85770"/>
    <w:rsid w:val="00B97942"/>
    <w:rsid w:val="00BD09EA"/>
    <w:rsid w:val="00BF1CD9"/>
    <w:rsid w:val="00C172D8"/>
    <w:rsid w:val="00C37433"/>
    <w:rsid w:val="00C63262"/>
    <w:rsid w:val="00C72355"/>
    <w:rsid w:val="00C93CFB"/>
    <w:rsid w:val="00CF7BA6"/>
    <w:rsid w:val="00D42086"/>
    <w:rsid w:val="00D425B3"/>
    <w:rsid w:val="00D95226"/>
    <w:rsid w:val="00DC4246"/>
    <w:rsid w:val="00E05DBB"/>
    <w:rsid w:val="00E55491"/>
    <w:rsid w:val="00E6641C"/>
    <w:rsid w:val="00E83DB6"/>
    <w:rsid w:val="00E9785F"/>
    <w:rsid w:val="00EA53E7"/>
    <w:rsid w:val="00F508C9"/>
    <w:rsid w:val="00F50CCD"/>
    <w:rsid w:val="00F5247C"/>
    <w:rsid w:val="00F6441E"/>
    <w:rsid w:val="00F84420"/>
    <w:rsid w:val="00FA29ED"/>
    <w:rsid w:val="00FB2739"/>
    <w:rsid w:val="00FB2FDD"/>
    <w:rsid w:val="00FC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2D57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C172D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172D8"/>
  </w:style>
  <w:style w:type="character" w:customStyle="1" w:styleId="object">
    <w:name w:val="object"/>
    <w:basedOn w:val="Domylnaczcionkaakapitu"/>
    <w:rsid w:val="00C172D8"/>
  </w:style>
  <w:style w:type="character" w:styleId="Odwoaniedokomentarza">
    <w:name w:val="annotation reference"/>
    <w:basedOn w:val="Domylnaczcionkaakapitu"/>
    <w:semiHidden/>
    <w:unhideWhenUsed/>
    <w:rsid w:val="009A0CD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9A0CDF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0CDF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A0C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A0CDF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9A0CDF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sz.gov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2018-09-06T15:28:00Z</dcterms:created>
  <dcterms:modified xsi:type="dcterms:W3CDTF">2025-11-04T14:24:00Z</dcterms:modified>
</cp:coreProperties>
</file>