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77A77" w14:textId="06871A99" w:rsidR="00041C33" w:rsidRPr="00D05AD7" w:rsidRDefault="001B7A33" w:rsidP="001B7A33">
      <w:pPr>
        <w:jc w:val="center"/>
        <w:rPr>
          <w:sz w:val="28"/>
          <w:szCs w:val="28"/>
          <w:lang w:eastAsia="en-US"/>
        </w:rPr>
      </w:pPr>
      <w:r w:rsidRPr="001B7A33">
        <w:rPr>
          <w:sz w:val="28"/>
          <w:szCs w:val="28"/>
          <w:lang w:eastAsia="en-US"/>
        </w:rPr>
        <w:t>EUROPEJSKI TRYBUNAŁ PRAW CZŁOWIEKA</w:t>
      </w:r>
    </w:p>
    <w:p w14:paraId="2AA214DA" w14:textId="77777777" w:rsidR="00041C33" w:rsidRDefault="00041C33">
      <w:pPr>
        <w:jc w:val="center"/>
      </w:pPr>
    </w:p>
    <w:p w14:paraId="2706BF12" w14:textId="4A2B329A" w:rsidR="00041C33" w:rsidRDefault="00171EDE">
      <w:pPr>
        <w:pStyle w:val="DecHTitle"/>
      </w:pPr>
      <w:r>
        <w:t xml:space="preserve">SEKCJA </w:t>
      </w:r>
      <w:r w:rsidR="00FA5750">
        <w:t xml:space="preserve">PIERWSZA </w:t>
      </w:r>
    </w:p>
    <w:p w14:paraId="48DCE124" w14:textId="77777777" w:rsidR="00041C33" w:rsidRDefault="00FA5750">
      <w:pPr>
        <w:pStyle w:val="JuTitle"/>
      </w:pPr>
      <w:r>
        <w:rPr>
          <w:color w:val="000000" w:themeColor="text1"/>
        </w:rPr>
        <w:t xml:space="preserve">SPRAWA </w:t>
      </w:r>
      <w:proofErr w:type="spellStart"/>
      <w:r>
        <w:t>T.T</w:t>
      </w:r>
      <w:proofErr w:type="spellEnd"/>
      <w:r>
        <w:t>. przeciwko POLSCE</w:t>
      </w:r>
    </w:p>
    <w:p w14:paraId="5CB6067B" w14:textId="77777777" w:rsidR="00041C33" w:rsidRDefault="00FA5750">
      <w:pPr>
        <w:pStyle w:val="ECHRCoverTitle4"/>
      </w:pPr>
      <w:r>
        <w:t>(Skarga nr 51505/20)</w:t>
      </w:r>
    </w:p>
    <w:p w14:paraId="4E2385CF" w14:textId="77777777" w:rsidR="00041C33" w:rsidRDefault="00041C33">
      <w:pPr>
        <w:pStyle w:val="DecHCase"/>
      </w:pPr>
    </w:p>
    <w:p w14:paraId="43D129F8" w14:textId="77777777" w:rsidR="00041C33" w:rsidRDefault="00041C33">
      <w:pPr>
        <w:pStyle w:val="DecHCase"/>
      </w:pPr>
    </w:p>
    <w:p w14:paraId="4A43EBC8" w14:textId="77777777" w:rsidR="00041C33" w:rsidRDefault="00041C33">
      <w:pPr>
        <w:pStyle w:val="DecHCase"/>
      </w:pPr>
    </w:p>
    <w:p w14:paraId="2AB92595" w14:textId="77777777" w:rsidR="00041C33" w:rsidRDefault="00041C33">
      <w:pPr>
        <w:pStyle w:val="DecHCase"/>
      </w:pPr>
    </w:p>
    <w:p w14:paraId="1BE39B60" w14:textId="77777777" w:rsidR="00041C33" w:rsidRDefault="00041C33">
      <w:pPr>
        <w:pStyle w:val="DecHCase"/>
      </w:pPr>
    </w:p>
    <w:p w14:paraId="05CC67FA" w14:textId="77777777" w:rsidR="00041C33" w:rsidRDefault="00041C33">
      <w:pPr>
        <w:pStyle w:val="DecHCase"/>
      </w:pPr>
    </w:p>
    <w:p w14:paraId="0DBD9AD8" w14:textId="77777777" w:rsidR="00041C33" w:rsidRDefault="00FA5750">
      <w:pPr>
        <w:pStyle w:val="DecHCase"/>
      </w:pPr>
      <w:r>
        <w:t>WYROK</w:t>
      </w:r>
      <w:r>
        <w:br/>
      </w:r>
    </w:p>
    <w:p w14:paraId="3DEA0CB6" w14:textId="77777777" w:rsidR="00041C33" w:rsidRDefault="00FA5750">
      <w:pPr>
        <w:pStyle w:val="DecHCase"/>
      </w:pPr>
      <w:r>
        <w:t>STRASBURG</w:t>
      </w:r>
    </w:p>
    <w:p w14:paraId="56F67D74" w14:textId="77777777" w:rsidR="00041C33" w:rsidRDefault="00FA5750">
      <w:pPr>
        <w:pStyle w:val="P68B1DB1-DecHCase1"/>
      </w:pPr>
      <w:r>
        <w:t>16 października 2025 r.</w:t>
      </w:r>
    </w:p>
    <w:p w14:paraId="4937B517" w14:textId="77777777" w:rsidR="00041C33" w:rsidRDefault="00041C33">
      <w:pPr>
        <w:pStyle w:val="JuPara"/>
      </w:pPr>
    </w:p>
    <w:p w14:paraId="792B070C" w14:textId="3FF16F09" w:rsidR="00041C33" w:rsidRDefault="00FA5750" w:rsidP="00D929DF">
      <w:pPr>
        <w:pStyle w:val="P68B1DB1-Normalny2"/>
        <w:jc w:val="center"/>
      </w:pPr>
      <w:r>
        <w:t xml:space="preserve">Niniejszy wyrok jest ostateczny, ale może podlegać korekcie </w:t>
      </w:r>
      <w:r w:rsidR="001E5EFB">
        <w:t>wydawniczej</w:t>
      </w:r>
    </w:p>
    <w:p w14:paraId="02BA5372" w14:textId="77777777" w:rsidR="00041C33" w:rsidRDefault="00041C33">
      <w:pPr>
        <w:sectPr w:rsidR="00041C33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411FE819" w14:textId="77777777" w:rsidR="00041C33" w:rsidRDefault="00FA5750">
      <w:pPr>
        <w:pStyle w:val="JuCase"/>
      </w:pPr>
      <w:r>
        <w:lastRenderedPageBreak/>
        <w:t xml:space="preserve">W sprawie </w:t>
      </w:r>
      <w:proofErr w:type="spellStart"/>
      <w:r>
        <w:t>T.T</w:t>
      </w:r>
      <w:proofErr w:type="spellEnd"/>
      <w:r>
        <w:t>. przeciwko Polsce,</w:t>
      </w:r>
    </w:p>
    <w:p w14:paraId="0017DCF5" w14:textId="2C3D7C72" w:rsidR="00041C33" w:rsidRDefault="00FA5750">
      <w:pPr>
        <w:pStyle w:val="JuPara"/>
      </w:pPr>
      <w:r>
        <w:t>Europejski Trybunał Praw Człowieka (</w:t>
      </w:r>
      <w:r w:rsidR="00BF527F">
        <w:t>Sekcja Pierwsza</w:t>
      </w:r>
      <w:r>
        <w:t>), zasiadając jako Komitet w składzie:</w:t>
      </w:r>
    </w:p>
    <w:p w14:paraId="2E844D44" w14:textId="0D8AF11C" w:rsidR="00041C33" w:rsidRDefault="00E04DDE">
      <w:pPr>
        <w:pStyle w:val="JuJudges"/>
      </w:pPr>
      <w:r>
        <w:tab/>
      </w:r>
      <w:proofErr w:type="spellStart"/>
      <w:r w:rsidR="00FA5750">
        <w:t>Davor</w:t>
      </w:r>
      <w:proofErr w:type="spellEnd"/>
      <w:r w:rsidR="00FA5750">
        <w:t xml:space="preserve"> </w:t>
      </w:r>
      <w:proofErr w:type="spellStart"/>
      <w:r w:rsidR="00FA5750">
        <w:t>Derenčinović</w:t>
      </w:r>
      <w:proofErr w:type="spellEnd"/>
      <w:r w:rsidR="00FA5750">
        <w:rPr>
          <w:i/>
        </w:rPr>
        <w:t>, Przewodniczący</w:t>
      </w:r>
      <w:r w:rsidR="00FA5750">
        <w:t>,</w:t>
      </w:r>
      <w:r w:rsidR="00FA5750">
        <w:br/>
      </w:r>
      <w:r w:rsidR="00FA5750">
        <w:tab/>
      </w:r>
      <w:proofErr w:type="spellStart"/>
      <w:r w:rsidR="00FA5750">
        <w:t>Artūrs</w:t>
      </w:r>
      <w:proofErr w:type="spellEnd"/>
      <w:r w:rsidR="00FA5750">
        <w:t xml:space="preserve"> </w:t>
      </w:r>
      <w:proofErr w:type="spellStart"/>
      <w:r w:rsidR="00FA5750">
        <w:t>Kučs</w:t>
      </w:r>
      <w:proofErr w:type="spellEnd"/>
      <w:r w:rsidR="00FA5750">
        <w:t>,</w:t>
      </w:r>
      <w:r w:rsidR="00FA5750">
        <w:br/>
      </w:r>
      <w:r w:rsidR="00FA5750">
        <w:tab/>
        <w:t>Anna Adamska-Gallant</w:t>
      </w:r>
      <w:r w:rsidR="00FA5750">
        <w:rPr>
          <w:i/>
        </w:rPr>
        <w:t>, sędziowie</w:t>
      </w:r>
      <w:r w:rsidR="00FA5750">
        <w:t>,</w:t>
      </w:r>
      <w:r w:rsidR="00FA5750">
        <w:br/>
        <w:t xml:space="preserve"> oraz </w:t>
      </w:r>
      <w:proofErr w:type="spellStart"/>
      <w:r w:rsidR="00FA5750">
        <w:rPr>
          <w:rFonts w:eastAsia="PMingLiU"/>
        </w:rPr>
        <w:t>Liv</w:t>
      </w:r>
      <w:proofErr w:type="spellEnd"/>
      <w:r w:rsidR="00FA5750">
        <w:rPr>
          <w:rFonts w:eastAsia="PMingLiU"/>
        </w:rPr>
        <w:t xml:space="preserve"> </w:t>
      </w:r>
      <w:proofErr w:type="spellStart"/>
      <w:r w:rsidR="00FA5750">
        <w:rPr>
          <w:rFonts w:eastAsia="PMingLiU"/>
        </w:rPr>
        <w:t>Tigerstedt</w:t>
      </w:r>
      <w:proofErr w:type="spellEnd"/>
      <w:r w:rsidR="00FA5750">
        <w:t xml:space="preserve">, </w:t>
      </w:r>
      <w:r w:rsidR="00FA5750">
        <w:rPr>
          <w:i/>
        </w:rPr>
        <w:t>Zastępczyni Kanclerza Sekcji,</w:t>
      </w:r>
    </w:p>
    <w:p w14:paraId="2494EE44" w14:textId="77777777" w:rsidR="00041C33" w:rsidRDefault="00FA5750">
      <w:pPr>
        <w:pStyle w:val="JuPara"/>
      </w:pPr>
      <w:r>
        <w:t>Mając na uwadze:</w:t>
      </w:r>
    </w:p>
    <w:p w14:paraId="00856F8A" w14:textId="11563272" w:rsidR="00041C33" w:rsidRDefault="00FA5750">
      <w:pPr>
        <w:pStyle w:val="JuPara"/>
      </w:pPr>
      <w:r>
        <w:t>skargę (nr 51505/20) przeciwko Rzeczypospolitej Polskiej wniesioną do</w:t>
      </w:r>
      <w:r w:rsidR="00C32B38">
        <w:t> </w:t>
      </w:r>
      <w:r>
        <w:t>Trybunału na podstawie art. 34 Konwencji o ochronie praw człowieka i</w:t>
      </w:r>
      <w:r w:rsidR="00132847">
        <w:t> </w:t>
      </w:r>
      <w:r>
        <w:t xml:space="preserve">podstawowych wolności („Konwencja”) w dniu 17 listopada 2020 r. przez obywatela brytyjskiego, </w:t>
      </w:r>
      <w:proofErr w:type="spellStart"/>
      <w:r>
        <w:t>T.T</w:t>
      </w:r>
      <w:proofErr w:type="spellEnd"/>
      <w:r>
        <w:t xml:space="preserve">. („skarżący”), który urodził się w 1963 r., mieszka w </w:t>
      </w:r>
      <w:proofErr w:type="spellStart"/>
      <w:r>
        <w:t>Essex</w:t>
      </w:r>
      <w:proofErr w:type="spellEnd"/>
      <w:r>
        <w:t xml:space="preserve"> i był reprezentowany przez </w:t>
      </w:r>
      <w:r>
        <w:t>p</w:t>
      </w:r>
      <w:r w:rsidR="00F528FA">
        <w:t>anią</w:t>
      </w:r>
      <w:r>
        <w:t xml:space="preserve"> C. Marin </w:t>
      </w:r>
      <w:proofErr w:type="spellStart"/>
      <w:r>
        <w:t>Pedreño</w:t>
      </w:r>
      <w:proofErr w:type="spellEnd"/>
      <w:r>
        <w:t>, adwokat praktykującą w Londynie;</w:t>
      </w:r>
    </w:p>
    <w:p w14:paraId="1A14A387" w14:textId="70C609C9" w:rsidR="00041C33" w:rsidRDefault="00FA5750">
      <w:pPr>
        <w:pStyle w:val="JuPara"/>
      </w:pPr>
      <w:r>
        <w:t>decyzję o zakomunikowaniu rządowi Rzeczypospolitej Polskiej (dalej: „Rząd”), reprezentowanemu przez pełnomocnika, p</w:t>
      </w:r>
      <w:r w:rsidR="00AF1E6B">
        <w:t>ana</w:t>
      </w:r>
      <w:r w:rsidR="00D05AD7">
        <w:t xml:space="preserve"> </w:t>
      </w:r>
      <w:r>
        <w:t>J. Sobczaka, a</w:t>
      </w:r>
      <w:r w:rsidR="00C32B38">
        <w:t> </w:t>
      </w:r>
      <w:r>
        <w:t>następnie przez p</w:t>
      </w:r>
      <w:r w:rsidR="00AF1E6B">
        <w:t>anią</w:t>
      </w:r>
      <w:r>
        <w:t xml:space="preserve"> A. </w:t>
      </w:r>
      <w:proofErr w:type="spellStart"/>
      <w:r>
        <w:t>Kozińską-Makowską</w:t>
      </w:r>
      <w:proofErr w:type="spellEnd"/>
      <w:r>
        <w:t xml:space="preserve"> z Ministerstwa Spraw Zagranicznych, skargi dotyczącej niewykonania orzeczenia sądowego nakazującego powrót córki skarżącego do Zjednoczonego Królestwa oraz o</w:t>
      </w:r>
      <w:r w:rsidR="00C32B38">
        <w:t> </w:t>
      </w:r>
      <w:r>
        <w:t>uznaniu pozostałej części skargi za niedopuszczalną;</w:t>
      </w:r>
    </w:p>
    <w:p w14:paraId="24D233D5" w14:textId="77777777" w:rsidR="00041C33" w:rsidRDefault="00FA5750">
      <w:pPr>
        <w:pStyle w:val="JuPara"/>
      </w:pPr>
      <w:r>
        <w:t>decyzję o nieujawnianiu nazwiska skarżącego;</w:t>
      </w:r>
    </w:p>
    <w:p w14:paraId="2F1B43CA" w14:textId="7872699D" w:rsidR="00041C33" w:rsidRDefault="00FA5750">
      <w:pPr>
        <w:pStyle w:val="JuPara"/>
      </w:pPr>
      <w:r>
        <w:t>decyzję Rządu Zjednoczonego Królestwa o nieskorzystaniu z prawa do</w:t>
      </w:r>
      <w:r w:rsidR="00C32B38">
        <w:t> </w:t>
      </w:r>
      <w:r>
        <w:t>interwencji w charakterze strony trzeciej w postępowaniu (art. 36 ust. 1 Konwencji);</w:t>
      </w:r>
    </w:p>
    <w:p w14:paraId="44047091" w14:textId="77777777" w:rsidR="00041C33" w:rsidRDefault="00FA5750">
      <w:pPr>
        <w:pStyle w:val="JuPara"/>
      </w:pPr>
      <w:r>
        <w:t>uwagi stron;</w:t>
      </w:r>
    </w:p>
    <w:p w14:paraId="795F3424" w14:textId="19F788F6" w:rsidR="00041C33" w:rsidRDefault="001E5EFB">
      <w:pPr>
        <w:pStyle w:val="JuPara"/>
      </w:pPr>
      <w:r>
        <w:t>obradując</w:t>
      </w:r>
      <w:r w:rsidR="006E4E5F">
        <w:t xml:space="preserve"> </w:t>
      </w:r>
      <w:r w:rsidR="00FA5750">
        <w:t>na posiedzeniu niejawnym w dniu 25 września 2025 r.,</w:t>
      </w:r>
    </w:p>
    <w:p w14:paraId="546039EB" w14:textId="42FAFAB4" w:rsidR="00041C33" w:rsidRDefault="00FA5750">
      <w:pPr>
        <w:pStyle w:val="JuPara"/>
      </w:pPr>
      <w:r>
        <w:t>wydaje następujący wyrok, który został przyjęty w tym</w:t>
      </w:r>
      <w:r w:rsidR="006E4E5F">
        <w:t xml:space="preserve"> </w:t>
      </w:r>
      <w:r>
        <w:t>dniu:</w:t>
      </w:r>
    </w:p>
    <w:p w14:paraId="0A9ADB7E" w14:textId="77777777" w:rsidR="00041C33" w:rsidRDefault="00FA5750">
      <w:pPr>
        <w:pStyle w:val="JuHHead"/>
        <w:numPr>
          <w:ilvl w:val="0"/>
          <w:numId w:val="0"/>
        </w:numPr>
      </w:pPr>
      <w:r>
        <w:t>PRZEDMIOT SPRAWY</w:t>
      </w:r>
    </w:p>
    <w:p w14:paraId="71E3328F" w14:textId="31709113" w:rsidR="00041C33" w:rsidRDefault="00041C33">
      <w:pPr>
        <w:pStyle w:val="JuPara"/>
      </w:pPr>
      <w:r>
        <w:t>1.</w:t>
      </w:r>
      <w:r w:rsidR="009D16E7">
        <w:t xml:space="preserve"> </w:t>
      </w:r>
      <w:r>
        <w:t>Skarga dotyczy niewykonania nakazu powrotu wydanego w ramach postępowania prowadzonego na podstawie Konwencji dotyczącej cywilnych aspektów uprowadzenia dziecka za granicę z dnia 25 października 1980 r. („Konwencja haska”), wszczętego przez skarżącego, obywatela brytyjskiego, w odniesieniu do jego małoletniej córki, co do której stwierdzono, że została bezprawnie zatrzymana w Polsce przez jej polską matkę.</w:t>
      </w:r>
    </w:p>
    <w:p w14:paraId="34178439" w14:textId="77777777" w:rsidR="00041C33" w:rsidRDefault="00FA5750">
      <w:pPr>
        <w:pStyle w:val="JuHIRoman"/>
      </w:pPr>
      <w:r>
        <w:t>KONTEKST</w:t>
      </w:r>
    </w:p>
    <w:p w14:paraId="05384452" w14:textId="467A5CE5" w:rsidR="00041C33" w:rsidRDefault="00FA5750">
      <w:pPr>
        <w:pStyle w:val="JuPara"/>
      </w:pPr>
      <w:bookmarkStart w:id="0" w:name="paragraph00002"/>
      <w:r>
        <w:t>2</w:t>
      </w:r>
      <w:bookmarkEnd w:id="0"/>
      <w:r>
        <w:t>.</w:t>
      </w:r>
      <w:r w:rsidR="009D16E7">
        <w:t xml:space="preserve"> </w:t>
      </w:r>
      <w:r>
        <w:t xml:space="preserve">W dniu 8 lutego 2019 r. Sąd Okręgowy w Łodzi </w:t>
      </w:r>
      <w:r w:rsidRPr="00F528FA">
        <w:t>(„Sąd Okręgowy”)</w:t>
      </w:r>
      <w:r>
        <w:t xml:space="preserve"> orzekł, że matka dziecka skarżącego, </w:t>
      </w:r>
      <w:proofErr w:type="spellStart"/>
      <w:r>
        <w:t>E.S</w:t>
      </w:r>
      <w:proofErr w:type="spellEnd"/>
      <w:r>
        <w:t xml:space="preserve">., nie zwróciła dziecka, </w:t>
      </w:r>
      <w:proofErr w:type="spellStart"/>
      <w:r>
        <w:t>R.T</w:t>
      </w:r>
      <w:proofErr w:type="spellEnd"/>
      <w:r>
        <w:t xml:space="preserve">., urodzonego w 2013 r., do Zjednoczonego Królestwa po wakacjach w sierpniu 2018 r. i w ten sposób bezprawnie zatrzymała dziecko w Polsce. W związku z tym sąd nakazał </w:t>
      </w:r>
      <w:proofErr w:type="spellStart"/>
      <w:r>
        <w:t>E.S</w:t>
      </w:r>
      <w:proofErr w:type="spellEnd"/>
      <w:r>
        <w:t xml:space="preserve">. zapewnienie powrotu </w:t>
      </w:r>
      <w:proofErr w:type="spellStart"/>
      <w:r>
        <w:t>R.T</w:t>
      </w:r>
      <w:proofErr w:type="spellEnd"/>
      <w:r>
        <w:t xml:space="preserve">. do Zjednoczonego </w:t>
      </w:r>
      <w:r>
        <w:lastRenderedPageBreak/>
        <w:t>Królestwa w terminie dwóch tygodni od uprawomocnienia się postanowienia.</w:t>
      </w:r>
    </w:p>
    <w:p w14:paraId="5AA1A773" w14:textId="0E31FEEB" w:rsidR="00041C33" w:rsidRDefault="00FA5750">
      <w:pPr>
        <w:pStyle w:val="JuPara"/>
      </w:pPr>
      <w:bookmarkStart w:id="1" w:name="paragraph00003"/>
      <w:r>
        <w:t>3</w:t>
      </w:r>
      <w:bookmarkEnd w:id="1"/>
      <w:r>
        <w:t>.</w:t>
      </w:r>
      <w:r w:rsidR="009D16E7">
        <w:t xml:space="preserve"> </w:t>
      </w:r>
      <w:r>
        <w:t>W dniu 17 lipca 2019 r.</w:t>
      </w:r>
      <w:r>
        <w:rPr>
          <w:i/>
        </w:rPr>
        <w:t xml:space="preserve"> </w:t>
      </w:r>
      <w:r w:rsidRPr="00F528FA">
        <w:rPr>
          <w:iCs/>
        </w:rPr>
        <w:t>Sąd Apelacyjny</w:t>
      </w:r>
      <w:r>
        <w:t xml:space="preserve"> w Warszawie oddalił apelację </w:t>
      </w:r>
      <w:proofErr w:type="spellStart"/>
      <w:r>
        <w:t>E.S</w:t>
      </w:r>
      <w:proofErr w:type="spellEnd"/>
      <w:r>
        <w:t>. od powyższego orzeczenia, wskutek czego stało się ono prawomocne i</w:t>
      </w:r>
      <w:r w:rsidR="005C53A0">
        <w:t> </w:t>
      </w:r>
      <w:r>
        <w:t>wykonalne.</w:t>
      </w:r>
    </w:p>
    <w:p w14:paraId="06A1C052" w14:textId="1A2744A2" w:rsidR="00041C33" w:rsidRDefault="00FA5750">
      <w:pPr>
        <w:pStyle w:val="JuHIRoman"/>
      </w:pPr>
      <w:r>
        <w:t xml:space="preserve">POSTĘPOWANIE </w:t>
      </w:r>
      <w:r w:rsidR="00132847">
        <w:t>WYKONAWCZE</w:t>
      </w:r>
    </w:p>
    <w:p w14:paraId="065BBF97" w14:textId="55F3FC1A" w:rsidR="00041C33" w:rsidRDefault="00041C33">
      <w:pPr>
        <w:pStyle w:val="JuPara"/>
      </w:pPr>
      <w:bookmarkStart w:id="2" w:name="paragraph00004"/>
      <w:r>
        <w:t>4</w:t>
      </w:r>
      <w:bookmarkEnd w:id="2"/>
      <w:r>
        <w:t>.</w:t>
      </w:r>
      <w:r w:rsidR="009D16E7">
        <w:t xml:space="preserve"> </w:t>
      </w:r>
      <w:r>
        <w:t xml:space="preserve">W dniu 3 września 2019 r., na wniosek skarżącego, Sąd Okręgowy nakazał przymusowe odebranie </w:t>
      </w:r>
      <w:proofErr w:type="spellStart"/>
      <w:r>
        <w:t>R.T</w:t>
      </w:r>
      <w:proofErr w:type="spellEnd"/>
      <w:r>
        <w:t>. spod opieki matki i przekazanie jej</w:t>
      </w:r>
      <w:r w:rsidR="00C32B38">
        <w:t> </w:t>
      </w:r>
      <w:r>
        <w:t>skarżącemu przez kuratora sądowego.</w:t>
      </w:r>
    </w:p>
    <w:p w14:paraId="08D1C75F" w14:textId="0924EFEE" w:rsidR="00041C33" w:rsidRDefault="00FA5750">
      <w:pPr>
        <w:pStyle w:val="JuPara"/>
      </w:pPr>
      <w:bookmarkStart w:id="3" w:name="paragraph00005"/>
      <w:r>
        <w:t>5</w:t>
      </w:r>
      <w:bookmarkEnd w:id="3"/>
      <w:r>
        <w:t>.</w:t>
      </w:r>
      <w:r w:rsidR="009D16E7">
        <w:t xml:space="preserve"> </w:t>
      </w:r>
      <w:r>
        <w:t xml:space="preserve">W dniu 12 września 2019 r. kurator i skarżący udali się pod adres dziadków dziecka ze strony matki, gdzie przypuszczalnie mieszkały </w:t>
      </w:r>
      <w:proofErr w:type="spellStart"/>
      <w:r>
        <w:t>E.S</w:t>
      </w:r>
      <w:proofErr w:type="spellEnd"/>
      <w:r>
        <w:t>. i</w:t>
      </w:r>
      <w:r w:rsidR="00132847">
        <w:t> </w:t>
      </w:r>
      <w:proofErr w:type="spellStart"/>
      <w:r>
        <w:t>R.T</w:t>
      </w:r>
      <w:proofErr w:type="spellEnd"/>
      <w:r>
        <w:t>. Po otrzymaniu informacji od babci dziecka, że dziecko jest w</w:t>
      </w:r>
      <w:r w:rsidR="005C53A0">
        <w:t> </w:t>
      </w:r>
      <w:r>
        <w:t>przedszkolu, kurator udał się tam, aby dowiedzieć się, że dziecko przestało</w:t>
      </w:r>
      <w:r w:rsidR="005C53A0">
        <w:t> </w:t>
      </w:r>
      <w:r>
        <w:t xml:space="preserve">uczęszczać do niego w sierpniu 2019 </w:t>
      </w:r>
      <w:r>
        <w:t>r</w:t>
      </w:r>
      <w:r>
        <w:t>. Tego samego dnia, na</w:t>
      </w:r>
      <w:r w:rsidR="00C32B38">
        <w:t> </w:t>
      </w:r>
      <w:r>
        <w:t>wniosek kuratora, Sąd Okręgowy wydał nakaz przeszukania domu dziadków. W</w:t>
      </w:r>
      <w:r w:rsidR="005C53A0">
        <w:t> </w:t>
      </w:r>
      <w:r>
        <w:t>trakcie przeszukania przeprowadzonego niezwłocznie nie</w:t>
      </w:r>
      <w:r w:rsidR="00C32B38">
        <w:t> </w:t>
      </w:r>
      <w:r>
        <w:t xml:space="preserve">znaleziono ani </w:t>
      </w:r>
      <w:proofErr w:type="spellStart"/>
      <w:r>
        <w:t>R.T</w:t>
      </w:r>
      <w:proofErr w:type="spellEnd"/>
      <w:r>
        <w:t xml:space="preserve">., ani </w:t>
      </w:r>
      <w:proofErr w:type="spellStart"/>
      <w:r>
        <w:t>E.S</w:t>
      </w:r>
      <w:proofErr w:type="spellEnd"/>
      <w:r>
        <w:t>., a przesłuchani domownicy nie udzielili żadnych istotnych informacji.</w:t>
      </w:r>
    </w:p>
    <w:p w14:paraId="72DA2DDF" w14:textId="69153C40" w:rsidR="00041C33" w:rsidRDefault="00FA5750">
      <w:pPr>
        <w:pStyle w:val="JuPara"/>
      </w:pPr>
      <w:bookmarkStart w:id="4" w:name="paragraph00007"/>
      <w:r>
        <w:t>6</w:t>
      </w:r>
      <w:bookmarkEnd w:id="4"/>
      <w:r>
        <w:t>.</w:t>
      </w:r>
      <w:r w:rsidR="009D16E7">
        <w:t xml:space="preserve"> </w:t>
      </w:r>
      <w:r>
        <w:t xml:space="preserve">Pismem z dnia 16 września 2019 r. Sąd Okręgowy polecił policji </w:t>
      </w:r>
      <w:r w:rsidRPr="009D16E7">
        <w:t>(Komendzie Miejskiej Policji)</w:t>
      </w:r>
      <w:r>
        <w:t xml:space="preserve"> ustalenie miejsca pobytu </w:t>
      </w:r>
      <w:proofErr w:type="spellStart"/>
      <w:r>
        <w:t>R.T</w:t>
      </w:r>
      <w:proofErr w:type="spellEnd"/>
      <w:r>
        <w:t>.</w:t>
      </w:r>
    </w:p>
    <w:p w14:paraId="371EC437" w14:textId="0D95F423" w:rsidR="00041C33" w:rsidRDefault="00FA5750">
      <w:pPr>
        <w:pStyle w:val="JuPara"/>
      </w:pPr>
      <w:bookmarkStart w:id="5" w:name="paragraph00008"/>
      <w:r>
        <w:t>7</w:t>
      </w:r>
      <w:bookmarkEnd w:id="5"/>
      <w:r>
        <w:t>.</w:t>
      </w:r>
      <w:r w:rsidR="009D16E7">
        <w:t xml:space="preserve"> </w:t>
      </w:r>
      <w:r>
        <w:t xml:space="preserve">Tego samego dnia kurator podjął kolejną nieudaną próbę odebrania </w:t>
      </w:r>
      <w:proofErr w:type="spellStart"/>
      <w:r>
        <w:t>R.T</w:t>
      </w:r>
      <w:proofErr w:type="spellEnd"/>
      <w:r>
        <w:t>. pod wcześniej odwiedzanym adresem.</w:t>
      </w:r>
    </w:p>
    <w:p w14:paraId="325A43BA" w14:textId="30A92ECA" w:rsidR="00041C33" w:rsidRDefault="00FA5750">
      <w:pPr>
        <w:pStyle w:val="JuPara"/>
      </w:pPr>
      <w:bookmarkStart w:id="6" w:name="paragraph00009"/>
      <w:r>
        <w:t>8</w:t>
      </w:r>
      <w:bookmarkEnd w:id="6"/>
      <w:r>
        <w:t>.</w:t>
      </w:r>
      <w:r w:rsidR="009D16E7">
        <w:t xml:space="preserve"> </w:t>
      </w:r>
      <w:r>
        <w:t xml:space="preserve">W dniu 1 października 2019 r. Sąd Okręgowy nakazał policji poszukiwanie </w:t>
      </w:r>
      <w:proofErr w:type="spellStart"/>
      <w:r>
        <w:t>R.T</w:t>
      </w:r>
      <w:proofErr w:type="spellEnd"/>
      <w:r>
        <w:t>. Policja odpowiedziała, że według dziadka dziecka ze</w:t>
      </w:r>
      <w:r w:rsidR="00C32B38">
        <w:t> </w:t>
      </w:r>
      <w:r>
        <w:t xml:space="preserve">strony matki ona i </w:t>
      </w:r>
      <w:proofErr w:type="spellStart"/>
      <w:r>
        <w:t>E.S</w:t>
      </w:r>
      <w:proofErr w:type="spellEnd"/>
      <w:r>
        <w:t>. przeprowadziły się w nieznane miejsce.</w:t>
      </w:r>
    </w:p>
    <w:p w14:paraId="4BE516ED" w14:textId="6574BD9E" w:rsidR="00041C33" w:rsidRDefault="00041C33">
      <w:pPr>
        <w:pStyle w:val="JuPara"/>
      </w:pPr>
      <w:bookmarkStart w:id="7" w:name="paragraph00010"/>
      <w:r>
        <w:t>9</w:t>
      </w:r>
      <w:bookmarkEnd w:id="7"/>
      <w:r>
        <w:t>.</w:t>
      </w:r>
      <w:r w:rsidR="009D16E7">
        <w:t xml:space="preserve"> </w:t>
      </w:r>
      <w:r>
        <w:t xml:space="preserve">W okresie od 8 do 11 października 2019 r. policja przeprowadziła kolejne przeszukanie domu dziadków. Funkcjonariusze zostali poinformowani przez krewnych </w:t>
      </w:r>
      <w:proofErr w:type="spellStart"/>
      <w:r>
        <w:t>E.S</w:t>
      </w:r>
      <w:proofErr w:type="spellEnd"/>
      <w:r>
        <w:t xml:space="preserve">., że wyprowadziła się ona w nieznane miejsce i że nie mają z nią żadnego kontaktu. Niektórzy sąsiedzi, zapytani przez policję, potwierdzili, że nie widzieli </w:t>
      </w:r>
      <w:proofErr w:type="spellStart"/>
      <w:r>
        <w:t>E.S</w:t>
      </w:r>
      <w:proofErr w:type="spellEnd"/>
      <w:r>
        <w:t xml:space="preserve">. ani </w:t>
      </w:r>
      <w:proofErr w:type="spellStart"/>
      <w:r>
        <w:t>R.T</w:t>
      </w:r>
      <w:proofErr w:type="spellEnd"/>
      <w:r>
        <w:t>. od co najmniej miesiąca.</w:t>
      </w:r>
    </w:p>
    <w:p w14:paraId="2EAD7291" w14:textId="5DEF32F4" w:rsidR="00041C33" w:rsidRDefault="00041C33">
      <w:pPr>
        <w:pStyle w:val="JuPara"/>
      </w:pPr>
      <w:r>
        <w:t>10.</w:t>
      </w:r>
      <w:r w:rsidR="009D16E7">
        <w:t xml:space="preserve"> </w:t>
      </w:r>
      <w:r>
        <w:t xml:space="preserve">W odpowiedzi na zapytanie skierowane przez Sąd Okręgowy w dniu 2 grudnia 2019 r., Ministerstwo Edukacji Narodowej potwierdziło, że </w:t>
      </w:r>
      <w:proofErr w:type="spellStart"/>
      <w:r>
        <w:t>R.T</w:t>
      </w:r>
      <w:proofErr w:type="spellEnd"/>
      <w:r>
        <w:t>. została zapisana do szkoły podstawowej w miejscowości zamieszkania dziadków od dnia 1 września 2019 r. Sąd Okręgowy zwrócił się również do</w:t>
      </w:r>
      <w:r w:rsidR="00C32B38">
        <w:t> </w:t>
      </w:r>
      <w:r>
        <w:t xml:space="preserve">Ministerstwa Rodziny, Pracy i Polityki Społecznej z prośbą o informacje dotyczące miejsca zamieszkania </w:t>
      </w:r>
      <w:proofErr w:type="spellStart"/>
      <w:r>
        <w:t>E.S</w:t>
      </w:r>
      <w:proofErr w:type="spellEnd"/>
      <w:r>
        <w:t>. Nie jest jasne, czy uzyskano jakąkolwiek odpowiedź.</w:t>
      </w:r>
    </w:p>
    <w:p w14:paraId="4F10F0CD" w14:textId="4DE307E0" w:rsidR="00041C33" w:rsidRDefault="00FA5750">
      <w:pPr>
        <w:pStyle w:val="JuPara"/>
      </w:pPr>
      <w:bookmarkStart w:id="8" w:name="paragraph00012"/>
      <w:r>
        <w:t>11</w:t>
      </w:r>
      <w:bookmarkEnd w:id="8"/>
      <w:r>
        <w:t>.</w:t>
      </w:r>
      <w:r w:rsidR="009D16E7">
        <w:t xml:space="preserve"> </w:t>
      </w:r>
      <w:r>
        <w:t>W dniu 13 grudnia 2019 r. Sąd Okręgowy poinformował policję, że</w:t>
      </w:r>
      <w:r w:rsidR="005C53A0">
        <w:t> </w:t>
      </w:r>
      <w:r>
        <w:t xml:space="preserve">istnieją obawy o dobro </w:t>
      </w:r>
      <w:proofErr w:type="spellStart"/>
      <w:r>
        <w:t>R.T</w:t>
      </w:r>
      <w:proofErr w:type="spellEnd"/>
      <w:r>
        <w:t xml:space="preserve">., biorąc pod uwagę, że została ona ukryta przez matkę w nieznanym miejscu. Ponadto zauważono, że </w:t>
      </w:r>
      <w:proofErr w:type="spellStart"/>
      <w:r>
        <w:t>R.T</w:t>
      </w:r>
      <w:proofErr w:type="spellEnd"/>
      <w:r>
        <w:t xml:space="preserve">. prawdopodobnie nie uczęszcza do szkoły (co było obowiązkowe), że jej warunki życia </w:t>
      </w:r>
      <w:r>
        <w:lastRenderedPageBreak/>
        <w:t>są</w:t>
      </w:r>
      <w:r w:rsidR="00C32B38">
        <w:t> </w:t>
      </w:r>
      <w:r>
        <w:t xml:space="preserve">nieznane oraz że nie jest jasne, z czego </w:t>
      </w:r>
      <w:proofErr w:type="spellStart"/>
      <w:r>
        <w:t>E.S</w:t>
      </w:r>
      <w:proofErr w:type="spellEnd"/>
      <w:r>
        <w:t xml:space="preserve">. się utrzymuje. Sąd zwrócił się do policji o kontynuowanie poszukiwań </w:t>
      </w:r>
      <w:proofErr w:type="spellStart"/>
      <w:r>
        <w:t>R.T</w:t>
      </w:r>
      <w:proofErr w:type="spellEnd"/>
      <w:r>
        <w:t>. i składanie sprawozdań co dwa tygodnie o postępach w tej sprawie.</w:t>
      </w:r>
    </w:p>
    <w:p w14:paraId="57F2D74A" w14:textId="19B1EF19" w:rsidR="00041C33" w:rsidRDefault="00041C33">
      <w:pPr>
        <w:pStyle w:val="JuPara"/>
      </w:pPr>
      <w:bookmarkStart w:id="9" w:name="paragraph00013"/>
      <w:r>
        <w:t>12</w:t>
      </w:r>
      <w:bookmarkEnd w:id="9"/>
      <w:r>
        <w:t>.</w:t>
      </w:r>
      <w:r w:rsidR="009D16E7">
        <w:t xml:space="preserve"> </w:t>
      </w:r>
      <w:r>
        <w:t xml:space="preserve">W dniu 24 grudnia 2019 r. Sąd Okręgowy zwrócił się do szkoły podstawowej w miejscowości zamieszkania dziadków o informacje dotyczące uczęszczania </w:t>
      </w:r>
      <w:proofErr w:type="spellStart"/>
      <w:r>
        <w:t>R.T</w:t>
      </w:r>
      <w:proofErr w:type="spellEnd"/>
      <w:r>
        <w:t>. do szkoły. Szkoła odpowiedziała, że dziecko uczęszczało do klas przedszkolnych od dnia 2 września 2019 r. oraz że w</w:t>
      </w:r>
      <w:r w:rsidR="005C53A0">
        <w:t> </w:t>
      </w:r>
      <w:r>
        <w:t xml:space="preserve">dniu 27 listopada 2019 r. </w:t>
      </w:r>
      <w:proofErr w:type="spellStart"/>
      <w:r>
        <w:t>E.S</w:t>
      </w:r>
      <w:proofErr w:type="spellEnd"/>
      <w:r>
        <w:t>. złożyła wniosek o pozwolenie na edukację domową.</w:t>
      </w:r>
    </w:p>
    <w:p w14:paraId="1A3A2487" w14:textId="205B5504" w:rsidR="00041C33" w:rsidRDefault="00FA5750">
      <w:pPr>
        <w:pStyle w:val="JuPara"/>
      </w:pPr>
      <w:bookmarkStart w:id="10" w:name="paragraph00014"/>
      <w:r>
        <w:t>13</w:t>
      </w:r>
      <w:bookmarkEnd w:id="10"/>
      <w:r>
        <w:t>.</w:t>
      </w:r>
      <w:r w:rsidR="009D16E7">
        <w:t xml:space="preserve"> </w:t>
      </w:r>
      <w:r>
        <w:t xml:space="preserve">W dniu 31 grudnia 2019 r. Prokurator Rejonowy w Piotrkowie Trybunalskim („Prokurator Rejonowy”) umorzył śledztwo w sprawie domniemanego uprowadzenia </w:t>
      </w:r>
      <w:proofErr w:type="spellStart"/>
      <w:r>
        <w:t>R.T</w:t>
      </w:r>
      <w:proofErr w:type="spellEnd"/>
      <w:r>
        <w:t>. Zgodnie z prawem polskim rodzic mógł być ścigany za uprowadzenie dziecka jedynie w przypadku pozbawienia go</w:t>
      </w:r>
      <w:r w:rsidR="00C32B38">
        <w:t> </w:t>
      </w:r>
      <w:r>
        <w:t xml:space="preserve">władzy rodzicielskiej przez sąd. Ponieważ w stosunku do </w:t>
      </w:r>
      <w:proofErr w:type="spellStart"/>
      <w:r>
        <w:t>E.S</w:t>
      </w:r>
      <w:proofErr w:type="spellEnd"/>
      <w:r>
        <w:t>. nigdy nie</w:t>
      </w:r>
      <w:r w:rsidR="00C32B38">
        <w:t> </w:t>
      </w:r>
      <w:r>
        <w:t>orzeczono pozbawienia władzy rodzicielskiej, nie mogła ona zostać oskarżona o popełnienie jakiegokolwiek przestępstwa.</w:t>
      </w:r>
    </w:p>
    <w:p w14:paraId="4397FF12" w14:textId="28E93374" w:rsidR="00041C33" w:rsidRDefault="00041C33">
      <w:pPr>
        <w:pStyle w:val="JuPara"/>
      </w:pPr>
      <w:r>
        <w:t>14.</w:t>
      </w:r>
      <w:r w:rsidR="009D16E7">
        <w:t xml:space="preserve"> </w:t>
      </w:r>
      <w:r>
        <w:t xml:space="preserve">W lutym 2020 r. Sąd Rejonowy w Piotrkowie Trybunalskim </w:t>
      </w:r>
      <w:r w:rsidRPr="007D68C7">
        <w:t>(„Sąd</w:t>
      </w:r>
      <w:r w:rsidR="00C32B38">
        <w:t> </w:t>
      </w:r>
      <w:r w:rsidRPr="007D68C7">
        <w:t>Rejonowy”)</w:t>
      </w:r>
      <w:r>
        <w:t xml:space="preserve"> zarządził przeprowadzenie wywiadu środowiskowego w</w:t>
      </w:r>
      <w:r w:rsidR="005C53A0">
        <w:t> </w:t>
      </w:r>
      <w:r>
        <w:t xml:space="preserve">ostatnim znanym miejscu zamieszkania </w:t>
      </w:r>
      <w:proofErr w:type="spellStart"/>
      <w:r>
        <w:t>E.S</w:t>
      </w:r>
      <w:proofErr w:type="spellEnd"/>
      <w:r>
        <w:t>. oraz w szkole podstawowej dziecka. Sprawozdanie z wywiadu, którego treść nie została przedstawiona Trybunałowi, został</w:t>
      </w:r>
      <w:r w:rsidR="00D05AD7">
        <w:t>o</w:t>
      </w:r>
      <w:r>
        <w:t xml:space="preserve"> przedłożon</w:t>
      </w:r>
      <w:r w:rsidR="00D05AD7">
        <w:t>e</w:t>
      </w:r>
      <w:r>
        <w:t xml:space="preserve"> Sądowi Rejonowemu w dniu 27 lutego 2020 r.</w:t>
      </w:r>
    </w:p>
    <w:p w14:paraId="39213FF0" w14:textId="1567B366" w:rsidR="00041C33" w:rsidRDefault="00041C33">
      <w:pPr>
        <w:pStyle w:val="JuPara"/>
      </w:pPr>
      <w:r>
        <w:t>15.</w:t>
      </w:r>
      <w:r w:rsidR="009D16E7">
        <w:t xml:space="preserve"> </w:t>
      </w:r>
      <w:r>
        <w:t>W dniu 22 maja 2020 r. Sąd Okręgowy zwrócił się do szkoły podstawowej oraz do Zakładu Ubezpieczeń Społecznych o podanie wszelkich informacji mogących mieć znaczenie dla sprawy.</w:t>
      </w:r>
    </w:p>
    <w:p w14:paraId="4B9EB154" w14:textId="064EE9B2" w:rsidR="00041C33" w:rsidRDefault="00041C33">
      <w:pPr>
        <w:pStyle w:val="JuPara"/>
      </w:pPr>
      <w:r>
        <w:t>16.</w:t>
      </w:r>
      <w:r w:rsidR="009D16E7">
        <w:t xml:space="preserve"> </w:t>
      </w:r>
      <w:r>
        <w:t xml:space="preserve">W dniu 24 listopada 2020 r. Sąd Okręgowy zwrócił się do szkoły podstawowej w miejscowości zamieszkania dziadków o nowe informacje dotyczące </w:t>
      </w:r>
      <w:proofErr w:type="spellStart"/>
      <w:r>
        <w:t>R.T</w:t>
      </w:r>
      <w:proofErr w:type="spellEnd"/>
      <w:r>
        <w:t xml:space="preserve">. Szkoła odpowiedziała, że </w:t>
      </w:r>
      <w:proofErr w:type="spellStart"/>
      <w:r>
        <w:t>R.T</w:t>
      </w:r>
      <w:proofErr w:type="spellEnd"/>
      <w:r>
        <w:t>. jest zapisana do klasy I w roku szkolnym 2020/2021 oraz że w dniu 4 września 2020 r. podjęto decyzję o</w:t>
      </w:r>
      <w:r w:rsidR="00C32B38">
        <w:t> </w:t>
      </w:r>
      <w:r>
        <w:t>umożliwieniu jej edukacji domowej.</w:t>
      </w:r>
    </w:p>
    <w:p w14:paraId="201B2F54" w14:textId="6F42E0A2" w:rsidR="00EB1573" w:rsidRDefault="00FA5750" w:rsidP="000C3D01">
      <w:pPr>
        <w:pStyle w:val="JuPara"/>
      </w:pPr>
      <w:bookmarkStart w:id="11" w:name="paragraph00019"/>
      <w:r>
        <w:t>17</w:t>
      </w:r>
      <w:bookmarkEnd w:id="11"/>
      <w:r>
        <w:t>.</w:t>
      </w:r>
      <w:r w:rsidR="009D16E7">
        <w:t xml:space="preserve"> </w:t>
      </w:r>
      <w:r>
        <w:t>W piśmie z dnia 10 grudnia 2020 r. policja poinformowała Sąd</w:t>
      </w:r>
      <w:r w:rsidR="00C32B38">
        <w:t> </w:t>
      </w:r>
      <w:r>
        <w:t>Okręgowy, że wobec braku podstawy prawnej do włączenia sprawy do</w:t>
      </w:r>
      <w:r w:rsidR="00C32B38">
        <w:t> </w:t>
      </w:r>
      <w:r>
        <w:t xml:space="preserve">policyjnych baz danych, jej dotychczasowe działania były prowadzone doraźnie. Polegały one na regularnych wizytach pod ostatnim znanym adresem </w:t>
      </w:r>
      <w:proofErr w:type="spellStart"/>
      <w:r>
        <w:t>E.S</w:t>
      </w:r>
      <w:proofErr w:type="spellEnd"/>
      <w:r>
        <w:t xml:space="preserve">. (dom dziadków) oraz na rozmowach z krewnymi i sąsiadami. Stwierdzono, że czynności te nie doprowadziły do ustalenia miejsca pobytu </w:t>
      </w:r>
      <w:proofErr w:type="spellStart"/>
      <w:r>
        <w:t>R.T</w:t>
      </w:r>
      <w:proofErr w:type="spellEnd"/>
      <w:r>
        <w:t>.</w:t>
      </w:r>
    </w:p>
    <w:p w14:paraId="52AB2D4E" w14:textId="0EDE037E" w:rsidR="00041C33" w:rsidRDefault="00FA5750">
      <w:pPr>
        <w:pStyle w:val="JuPara"/>
      </w:pPr>
      <w:bookmarkStart w:id="12" w:name="paragraph00020"/>
      <w:r>
        <w:t>18</w:t>
      </w:r>
      <w:bookmarkEnd w:id="12"/>
      <w:r>
        <w:t>.</w:t>
      </w:r>
      <w:r w:rsidR="009D16E7">
        <w:t xml:space="preserve"> </w:t>
      </w:r>
      <w:r>
        <w:t xml:space="preserve">W piśmie z dnia 23 grudnia 2020 r. Sąd Okręgowy polecił policji przeanalizowanie danych logowania komputera używanego przez </w:t>
      </w:r>
      <w:proofErr w:type="spellStart"/>
      <w:r>
        <w:t>R.T</w:t>
      </w:r>
      <w:proofErr w:type="spellEnd"/>
      <w:r>
        <w:t>. do</w:t>
      </w:r>
      <w:r w:rsidR="00C32B38">
        <w:t> </w:t>
      </w:r>
      <w:r>
        <w:t>uczestnictwa w zajęciach prowadzonych w formie zdalnej. W piśmie z</w:t>
      </w:r>
      <w:r w:rsidR="00C32B38">
        <w:t> </w:t>
      </w:r>
      <w:r>
        <w:t xml:space="preserve">dnia 1 marca 2021 r. policja odpowiedziała, że nie może wykonać polecenia sądu, ponieważ ani </w:t>
      </w:r>
      <w:proofErr w:type="spellStart"/>
      <w:r>
        <w:t>R.T</w:t>
      </w:r>
      <w:proofErr w:type="spellEnd"/>
      <w:r>
        <w:t xml:space="preserve">., ani </w:t>
      </w:r>
      <w:proofErr w:type="spellStart"/>
      <w:r>
        <w:t>E.S</w:t>
      </w:r>
      <w:proofErr w:type="spellEnd"/>
      <w:r>
        <w:t xml:space="preserve">. nie zostały zarejestrowane w bazie osób zaginionych. Ponadto policja zwróciła się o instrukcje dotyczące działań, jakie należy podjąć w przypadku napotkania </w:t>
      </w:r>
      <w:proofErr w:type="spellStart"/>
      <w:r>
        <w:t>E.S</w:t>
      </w:r>
      <w:proofErr w:type="spellEnd"/>
      <w:r>
        <w:t xml:space="preserve">. lub </w:t>
      </w:r>
      <w:proofErr w:type="spellStart"/>
      <w:r>
        <w:t>R.T</w:t>
      </w:r>
      <w:proofErr w:type="spellEnd"/>
      <w:r>
        <w:t>. W dniu 19</w:t>
      </w:r>
      <w:r w:rsidR="005C53A0">
        <w:t> </w:t>
      </w:r>
      <w:r>
        <w:t xml:space="preserve">kwietnia 2021 r. Sąd Okręgowy odpowiedział pismem wymieniającym </w:t>
      </w:r>
      <w:r>
        <w:lastRenderedPageBreak/>
        <w:t xml:space="preserve">przepisy prawne stanowiące podstawę prawną wcześniejszego polecenia. Ponadto poinformował policję, że jeżeli ustali miejsce zamieszkania </w:t>
      </w:r>
      <w:proofErr w:type="spellStart"/>
      <w:r>
        <w:t>R.T</w:t>
      </w:r>
      <w:proofErr w:type="spellEnd"/>
      <w:r>
        <w:t>., powinna niezwłocznie powiadomić o tym sąd oraz „kontynuować obserwację miejsca zamieszkania dziecka”, aby sąd mógł zorganizować kolejną próbę odebrania dziecka.</w:t>
      </w:r>
    </w:p>
    <w:p w14:paraId="0BF5F071" w14:textId="144DCD59" w:rsidR="00041C33" w:rsidRDefault="00FA5750">
      <w:pPr>
        <w:pStyle w:val="JuPara"/>
      </w:pPr>
      <w:bookmarkStart w:id="13" w:name="paragraph00021"/>
      <w:r>
        <w:t>19</w:t>
      </w:r>
      <w:bookmarkEnd w:id="13"/>
      <w:r>
        <w:t>.</w:t>
      </w:r>
      <w:r w:rsidR="009D16E7">
        <w:t xml:space="preserve"> </w:t>
      </w:r>
      <w:r>
        <w:t>W piśmie z dnia 10 lutego 2021 r. Sąd Okręgowy zwrócił się do</w:t>
      </w:r>
      <w:r w:rsidR="00C32B38">
        <w:t> </w:t>
      </w:r>
      <w:r>
        <w:t xml:space="preserve">Komendy Wojewódzkiej Policji w Łodzi o nadzorowanie lub przejęcie poszukiwań </w:t>
      </w:r>
      <w:proofErr w:type="spellStart"/>
      <w:r>
        <w:t>R.T</w:t>
      </w:r>
      <w:proofErr w:type="spellEnd"/>
      <w:r>
        <w:t>.</w:t>
      </w:r>
    </w:p>
    <w:p w14:paraId="7515D020" w14:textId="19758029" w:rsidR="00041C33" w:rsidRDefault="00FA5750">
      <w:pPr>
        <w:pStyle w:val="JuPara"/>
      </w:pPr>
      <w:bookmarkStart w:id="14" w:name="paragraph00022"/>
      <w:r>
        <w:t>20</w:t>
      </w:r>
      <w:bookmarkEnd w:id="14"/>
      <w:r>
        <w:t>.</w:t>
      </w:r>
      <w:r w:rsidR="009D16E7">
        <w:t xml:space="preserve"> </w:t>
      </w:r>
      <w:r>
        <w:t xml:space="preserve">Na wniosek skarżącego, pismami z dnia 19 kwietnia 2021 r. Sąd Okręgowy nakazał </w:t>
      </w:r>
      <w:proofErr w:type="spellStart"/>
      <w:r>
        <w:t>E.S</w:t>
      </w:r>
      <w:proofErr w:type="spellEnd"/>
      <w:r>
        <w:t xml:space="preserve">. oraz różnym instytucjom udzielenie wszelkich istotnych informacji dotyczących </w:t>
      </w:r>
      <w:proofErr w:type="spellStart"/>
      <w:r>
        <w:t>E.S</w:t>
      </w:r>
      <w:proofErr w:type="spellEnd"/>
      <w:r>
        <w:t>. Sąd zwrócił się również do</w:t>
      </w:r>
      <w:r w:rsidR="00C32B38">
        <w:t> </w:t>
      </w:r>
      <w:r>
        <w:t xml:space="preserve">Prokuratury Regionalnej w Łodzi o rozważenie wszczęcia postępowania przygotowawczego w sprawie ciągłego utrudniania wykonania prawomocnego nakazu powrotu przez </w:t>
      </w:r>
      <w:proofErr w:type="spellStart"/>
      <w:r>
        <w:t>E.S</w:t>
      </w:r>
      <w:proofErr w:type="spellEnd"/>
      <w:r>
        <w:t>.</w:t>
      </w:r>
    </w:p>
    <w:p w14:paraId="60DE5ADA" w14:textId="3C3C63B6" w:rsidR="00041C33" w:rsidRDefault="00041C33">
      <w:pPr>
        <w:pStyle w:val="JuPara"/>
      </w:pPr>
      <w:bookmarkStart w:id="15" w:name="paragraph00023"/>
      <w:r>
        <w:t>21</w:t>
      </w:r>
      <w:bookmarkEnd w:id="15"/>
      <w:r>
        <w:t>.</w:t>
      </w:r>
      <w:r w:rsidR="009D16E7">
        <w:t xml:space="preserve"> </w:t>
      </w:r>
      <w:r>
        <w:t xml:space="preserve">Wydaje się, że w dniu 28 kwietnia 2021 r. policja napotkała </w:t>
      </w:r>
      <w:proofErr w:type="spellStart"/>
      <w:r>
        <w:t>E.S</w:t>
      </w:r>
      <w:proofErr w:type="spellEnd"/>
      <w:r>
        <w:t>. i</w:t>
      </w:r>
      <w:r w:rsidR="005C53A0">
        <w:t> </w:t>
      </w:r>
      <w:proofErr w:type="spellStart"/>
      <w:r>
        <w:t>R.T</w:t>
      </w:r>
      <w:proofErr w:type="spellEnd"/>
      <w:r>
        <w:t xml:space="preserve">. w domu dziadków, a </w:t>
      </w:r>
      <w:proofErr w:type="spellStart"/>
      <w:r>
        <w:t>E.S</w:t>
      </w:r>
      <w:proofErr w:type="spellEnd"/>
      <w:r>
        <w:t xml:space="preserve">. podała funkcjonariuszom swój adres. Z akt sprawy nie wynika jasno, czy </w:t>
      </w:r>
      <w:proofErr w:type="spellStart"/>
      <w:r>
        <w:t>E.S</w:t>
      </w:r>
      <w:proofErr w:type="spellEnd"/>
      <w:r>
        <w:t>. podała nowy adres, czy poinformowała władze, że</w:t>
      </w:r>
      <w:r w:rsidR="00C32B38">
        <w:t> </w:t>
      </w:r>
      <w:r>
        <w:t>mieszka w domu swoich rodziców.</w:t>
      </w:r>
    </w:p>
    <w:p w14:paraId="4D504785" w14:textId="73CA1694" w:rsidR="00041C33" w:rsidRDefault="00041C33">
      <w:pPr>
        <w:pStyle w:val="JuPara"/>
      </w:pPr>
      <w:bookmarkStart w:id="16" w:name="paragraph00024"/>
      <w:r>
        <w:t>22</w:t>
      </w:r>
      <w:bookmarkEnd w:id="16"/>
      <w:r>
        <w:t>.</w:t>
      </w:r>
      <w:r w:rsidR="009D16E7">
        <w:t xml:space="preserve"> </w:t>
      </w:r>
      <w:r>
        <w:t xml:space="preserve">W piśmie z dnia 4 maja 2021 r. </w:t>
      </w:r>
      <w:proofErr w:type="spellStart"/>
      <w:r>
        <w:t>E.S</w:t>
      </w:r>
      <w:proofErr w:type="spellEnd"/>
      <w:r>
        <w:t>. poinformowała Sąd Okręgowy, że nie posiada numeru telefonu komórkowego.</w:t>
      </w:r>
    </w:p>
    <w:p w14:paraId="1BD4897E" w14:textId="3F318CCB" w:rsidR="00041C33" w:rsidRDefault="00FA5750">
      <w:pPr>
        <w:pStyle w:val="JuPara"/>
      </w:pPr>
      <w:bookmarkStart w:id="17" w:name="paragraph00025"/>
      <w:r>
        <w:t>23</w:t>
      </w:r>
      <w:bookmarkEnd w:id="17"/>
      <w:r>
        <w:t>.</w:t>
      </w:r>
      <w:r w:rsidR="009D16E7">
        <w:t xml:space="preserve"> </w:t>
      </w:r>
      <w:r>
        <w:t xml:space="preserve">W dniu 26 maja 2021 r. kurator sądowy i skarżący udali się do domu dziadków w celu przymusowego odebrania </w:t>
      </w:r>
      <w:proofErr w:type="spellStart"/>
      <w:r>
        <w:t>R.T</w:t>
      </w:r>
      <w:proofErr w:type="spellEnd"/>
      <w:r>
        <w:t xml:space="preserve">. Napotkali krewnego </w:t>
      </w:r>
      <w:proofErr w:type="spellStart"/>
      <w:r>
        <w:t>E.S</w:t>
      </w:r>
      <w:proofErr w:type="spellEnd"/>
      <w:r>
        <w:t xml:space="preserve">., który poinformował ich, że </w:t>
      </w:r>
      <w:proofErr w:type="spellStart"/>
      <w:r>
        <w:t>E.S</w:t>
      </w:r>
      <w:proofErr w:type="spellEnd"/>
      <w:r>
        <w:t xml:space="preserve">. i </w:t>
      </w:r>
      <w:proofErr w:type="spellStart"/>
      <w:r>
        <w:t>R.T</w:t>
      </w:r>
      <w:proofErr w:type="spellEnd"/>
      <w:r>
        <w:t>. nie mieszkają pod tym adresem oraz że nie zna ich aktualnego miejsca zamieszkania ani numeru telefonu. Kolejna wizyta w domu nie przyniosła żadnych nowych informacji.</w:t>
      </w:r>
    </w:p>
    <w:p w14:paraId="43AB67E3" w14:textId="144812AB" w:rsidR="00041C33" w:rsidRDefault="00FA5750">
      <w:pPr>
        <w:pStyle w:val="JuPara"/>
      </w:pPr>
      <w:bookmarkStart w:id="18" w:name="paragraph00026"/>
      <w:r>
        <w:t>24</w:t>
      </w:r>
      <w:bookmarkEnd w:id="18"/>
      <w:r>
        <w:t>.</w:t>
      </w:r>
      <w:r w:rsidR="009D16E7">
        <w:t xml:space="preserve"> </w:t>
      </w:r>
      <w:r>
        <w:t>W dniu 2 lipca 2021 r. Prokurator Rejonowy wszczął śledztwo w</w:t>
      </w:r>
      <w:r w:rsidR="005C53A0">
        <w:t> </w:t>
      </w:r>
      <w:r>
        <w:t xml:space="preserve">sprawie zarzucanego uprowadzenia </w:t>
      </w:r>
      <w:proofErr w:type="spellStart"/>
      <w:r>
        <w:t>R.T</w:t>
      </w:r>
      <w:proofErr w:type="spellEnd"/>
      <w:r>
        <w:t xml:space="preserve">., w toku którego przesłuchano </w:t>
      </w:r>
      <w:proofErr w:type="spellStart"/>
      <w:r>
        <w:t>E.S</w:t>
      </w:r>
      <w:proofErr w:type="spellEnd"/>
      <w:r>
        <w:t xml:space="preserve">. Śledztwo to zostało następnie umorzone z uwagi na to, że </w:t>
      </w:r>
      <w:proofErr w:type="spellStart"/>
      <w:r>
        <w:t>E.S</w:t>
      </w:r>
      <w:proofErr w:type="spellEnd"/>
      <w:r>
        <w:t>. nie została pozbawiona władzy rodzicielskiej.</w:t>
      </w:r>
    </w:p>
    <w:p w14:paraId="21BD4363" w14:textId="7C8A8A12" w:rsidR="00041C33" w:rsidRDefault="00FA5750">
      <w:pPr>
        <w:pStyle w:val="JuPara"/>
      </w:pPr>
      <w:bookmarkStart w:id="19" w:name="paragraph00027"/>
      <w:r>
        <w:t>25</w:t>
      </w:r>
      <w:bookmarkEnd w:id="19"/>
      <w:r>
        <w:t>.</w:t>
      </w:r>
      <w:r w:rsidR="009D16E7">
        <w:t xml:space="preserve"> </w:t>
      </w:r>
      <w:r>
        <w:t xml:space="preserve">W dniu 23 lipca 2021 r. Sąd Okręgowy zwrócił się do Komendanta Wojewódzkiego Policji o osobiste nadzorowanie działań mających na celu odnalezienie </w:t>
      </w:r>
      <w:proofErr w:type="spellStart"/>
      <w:r>
        <w:t>R.T</w:t>
      </w:r>
      <w:proofErr w:type="spellEnd"/>
      <w:r>
        <w:t>., podkreślając, że nakaz powrotu nie został wykonany od</w:t>
      </w:r>
      <w:r w:rsidR="00C32B38">
        <w:t> </w:t>
      </w:r>
      <w:r>
        <w:t>ponad osiemnastu miesięcy.</w:t>
      </w:r>
    </w:p>
    <w:p w14:paraId="74CEF139" w14:textId="4BEB6398" w:rsidR="00041C33" w:rsidRDefault="00041C33">
      <w:pPr>
        <w:pStyle w:val="JuPara"/>
      </w:pPr>
      <w:r>
        <w:t>26.</w:t>
      </w:r>
      <w:r w:rsidR="009D16E7">
        <w:t xml:space="preserve"> </w:t>
      </w:r>
      <w:r>
        <w:t xml:space="preserve">Tego samego dnia Sąd Okręgowy polecił kuratorowi sądowemu jednoznaczne ustalenie, czy </w:t>
      </w:r>
      <w:proofErr w:type="spellStart"/>
      <w:r>
        <w:t>E.S</w:t>
      </w:r>
      <w:proofErr w:type="spellEnd"/>
      <w:r>
        <w:t xml:space="preserve">. i </w:t>
      </w:r>
      <w:proofErr w:type="spellStart"/>
      <w:r>
        <w:t>R.T</w:t>
      </w:r>
      <w:proofErr w:type="spellEnd"/>
      <w:r>
        <w:t>. mają stałe miejsce zamieszkania w</w:t>
      </w:r>
      <w:r w:rsidR="005C53A0">
        <w:t> </w:t>
      </w:r>
      <w:r>
        <w:t xml:space="preserve">domu dziadków, czy też, jak sugerował krewny </w:t>
      </w:r>
      <w:proofErr w:type="spellStart"/>
      <w:r>
        <w:t>E.S</w:t>
      </w:r>
      <w:proofErr w:type="spellEnd"/>
      <w:r>
        <w:t>. w dniu 26 maja 2021</w:t>
      </w:r>
      <w:r w:rsidR="00C32B38">
        <w:t> </w:t>
      </w:r>
      <w:r>
        <w:t>r. (zob.</w:t>
      </w:r>
      <w:r w:rsidR="004E231A">
        <w:t xml:space="preserve"> </w:t>
      </w:r>
      <w:r w:rsidR="00CB1AAE">
        <w:t>paragraf</w:t>
      </w:r>
      <w:r>
        <w:t> </w:t>
      </w:r>
      <w:r>
        <w:t>23</w:t>
      </w:r>
      <w:r>
        <w:t xml:space="preserve"> powyżej), przebywają tam jedynie okazjonalnie.</w:t>
      </w:r>
    </w:p>
    <w:p w14:paraId="420903C1" w14:textId="20589849" w:rsidR="00041C33" w:rsidRDefault="00FA5750">
      <w:pPr>
        <w:pStyle w:val="JuPara"/>
      </w:pPr>
      <w:bookmarkStart w:id="20" w:name="paragraph00029"/>
      <w:r>
        <w:t>27</w:t>
      </w:r>
      <w:bookmarkEnd w:id="20"/>
      <w:r>
        <w:t>.</w:t>
      </w:r>
      <w:r w:rsidR="009D16E7">
        <w:t xml:space="preserve"> </w:t>
      </w:r>
      <w:r>
        <w:t>Rząd podniósł, że zgodnie z notatką sporządzoną przez funkcjonariusza policji w dniu 15 września 2021 r., dom dziadków został skontrolowany trzydzieści jeden razy. W trzech przypadkach, mianowicie w</w:t>
      </w:r>
      <w:r w:rsidR="00132847">
        <w:t> </w:t>
      </w:r>
      <w:r>
        <w:t xml:space="preserve">dniach 24 lipca 2019 r., 9 września 2019 r. i 28 kwietnia 2021 r., funkcjonariusze napotkali </w:t>
      </w:r>
      <w:proofErr w:type="spellStart"/>
      <w:r>
        <w:t>R.T</w:t>
      </w:r>
      <w:proofErr w:type="spellEnd"/>
      <w:r>
        <w:t xml:space="preserve">. Odnotowano również, że policja asystowała kuratorowi sądowemu w trzech próbach odebrania dziecka, które miały miejsce w dniach 12 września 2019 r. (zob. </w:t>
      </w:r>
      <w:r w:rsidR="00CB1AAE">
        <w:t xml:space="preserve">paragraf </w:t>
      </w:r>
      <w:r>
        <w:t>5</w:t>
      </w:r>
      <w:r>
        <w:t xml:space="preserve"> powyżej), 16 września </w:t>
      </w:r>
      <w:r>
        <w:lastRenderedPageBreak/>
        <w:t xml:space="preserve">2019 r. (zob. </w:t>
      </w:r>
      <w:r w:rsidR="00CB1AAE">
        <w:t xml:space="preserve">paragraf </w:t>
      </w:r>
      <w:r>
        <w:t>7</w:t>
      </w:r>
      <w:r>
        <w:t xml:space="preserve"> powyżej) oraz 26 maja 2021 r. (zob. </w:t>
      </w:r>
      <w:r w:rsidR="00CB1AAE">
        <w:t>paragraf </w:t>
      </w:r>
      <w:r>
        <w:t>23</w:t>
      </w:r>
      <w:r>
        <w:t xml:space="preserve"> powyżej).</w:t>
      </w:r>
    </w:p>
    <w:p w14:paraId="6EE1DA41" w14:textId="1C547CA8" w:rsidR="00041C33" w:rsidRDefault="00041C33">
      <w:pPr>
        <w:pStyle w:val="JuPara"/>
      </w:pPr>
      <w:r>
        <w:t>28.</w:t>
      </w:r>
      <w:r w:rsidR="009D16E7">
        <w:t xml:space="preserve"> </w:t>
      </w:r>
      <w:r>
        <w:t>Skarżący podniósł, że dwie kolejne nieudane próby odebrania dziecka miały miejsce w maju 2022 r.</w:t>
      </w:r>
    </w:p>
    <w:p w14:paraId="697ED2F7" w14:textId="77777777" w:rsidR="00041C33" w:rsidRDefault="00FA5750">
      <w:pPr>
        <w:pStyle w:val="JuHIRoman"/>
      </w:pPr>
      <w:r>
        <w:t>SKARGA KASACYJNA OD NAKAZU POWROTU</w:t>
      </w:r>
    </w:p>
    <w:p w14:paraId="4170488A" w14:textId="22752E0C" w:rsidR="00041C33" w:rsidRDefault="00FA5750">
      <w:pPr>
        <w:pStyle w:val="JuPara"/>
      </w:pPr>
      <w:bookmarkStart w:id="21" w:name="paragraph00031"/>
      <w:r>
        <w:t>29</w:t>
      </w:r>
      <w:bookmarkEnd w:id="21"/>
      <w:r>
        <w:t>.</w:t>
      </w:r>
      <w:r w:rsidR="009D16E7">
        <w:t xml:space="preserve"> </w:t>
      </w:r>
      <w:r>
        <w:t>W dniu 15 listopada 2019 r. Rzecznik Praw Dziecka, działając na</w:t>
      </w:r>
      <w:r w:rsidR="00C32B38">
        <w:t> </w:t>
      </w:r>
      <w:r>
        <w:t xml:space="preserve">wniosek </w:t>
      </w:r>
      <w:proofErr w:type="spellStart"/>
      <w:r>
        <w:t>E.S</w:t>
      </w:r>
      <w:proofErr w:type="spellEnd"/>
      <w:r>
        <w:t>., wniósł skargę kasacyjną od nakazu powrotu.</w:t>
      </w:r>
    </w:p>
    <w:p w14:paraId="0B9BA4D0" w14:textId="04744E91" w:rsidR="00041C33" w:rsidRDefault="00FA5750">
      <w:pPr>
        <w:pStyle w:val="JuPara"/>
      </w:pPr>
      <w:bookmarkStart w:id="22" w:name="paragraph00032"/>
      <w:r>
        <w:t>30</w:t>
      </w:r>
      <w:bookmarkEnd w:id="22"/>
      <w:r>
        <w:t>.</w:t>
      </w:r>
      <w:r w:rsidR="009D16E7">
        <w:t xml:space="preserve"> </w:t>
      </w:r>
      <w:r>
        <w:t>W dniu 17 grudnia 2020 r. Sąd Najwyższy oddalił tę skargę kasacyjną.</w:t>
      </w:r>
    </w:p>
    <w:p w14:paraId="6D0E6865" w14:textId="77777777" w:rsidR="00041C33" w:rsidRDefault="00FA5750">
      <w:pPr>
        <w:pStyle w:val="JuHIRoman"/>
      </w:pPr>
      <w:r>
        <w:t xml:space="preserve">POSTĘPOWANIE NA PODSTAWIE ROZPORZĄDZENIA BRUKSELA II </w:t>
      </w:r>
      <w:r>
        <w:rPr>
          <w:i/>
        </w:rPr>
        <w:t>BIS</w:t>
      </w:r>
    </w:p>
    <w:p w14:paraId="5CC7EAAB" w14:textId="5587E5F2" w:rsidR="00041C33" w:rsidRDefault="00FA5750">
      <w:pPr>
        <w:pStyle w:val="JuPara"/>
      </w:pPr>
      <w:bookmarkStart w:id="23" w:name="paragraph00033"/>
      <w:r>
        <w:t>31</w:t>
      </w:r>
      <w:bookmarkEnd w:id="23"/>
      <w:r>
        <w:t>.</w:t>
      </w:r>
      <w:r w:rsidR="009D16E7">
        <w:t xml:space="preserve"> </w:t>
      </w:r>
      <w:r>
        <w:t>W dniu 11 marca 2020 r. skarżący zwrócił się do polskiego Ministra Sprawiedliwości z wnioskiem o wykonanie orzeczenia Sądu Rodzinnego w</w:t>
      </w:r>
      <w:r w:rsidR="00132847">
        <w:t> </w:t>
      </w:r>
      <w:r>
        <w:t>Peterborough z dnia 31 sierpnia 2018 r. stwierdzające</w:t>
      </w:r>
      <w:r w:rsidR="0035401A">
        <w:t>go</w:t>
      </w:r>
      <w:r>
        <w:t xml:space="preserve">, że </w:t>
      </w:r>
      <w:proofErr w:type="spellStart"/>
      <w:r>
        <w:t>E.S</w:t>
      </w:r>
      <w:proofErr w:type="spellEnd"/>
      <w:r>
        <w:t xml:space="preserve">. bezprawnie zatrzymała </w:t>
      </w:r>
      <w:proofErr w:type="spellStart"/>
      <w:r>
        <w:t>R.T</w:t>
      </w:r>
      <w:proofErr w:type="spellEnd"/>
      <w:r>
        <w:t>. w Polsce i nakazujące</w:t>
      </w:r>
      <w:r w:rsidR="0035401A">
        <w:t>go</w:t>
      </w:r>
      <w:r>
        <w:t xml:space="preserve"> jej niezwłoczny powrót dziecka do Zjednoczonego Królestwa.</w:t>
      </w:r>
    </w:p>
    <w:p w14:paraId="7C82853F" w14:textId="598D6A7A" w:rsidR="00041C33" w:rsidRDefault="00FA5750">
      <w:pPr>
        <w:pStyle w:val="JuPara"/>
      </w:pPr>
      <w:bookmarkStart w:id="24" w:name="paragraph00034"/>
      <w:r>
        <w:t>32</w:t>
      </w:r>
      <w:bookmarkEnd w:id="24"/>
      <w:r>
        <w:t>.</w:t>
      </w:r>
      <w:r w:rsidR="009D16E7">
        <w:t xml:space="preserve"> </w:t>
      </w:r>
      <w:r>
        <w:t>W dniu 6 maja 2020 r. Sąd Rejonowy w Piotrkowie Trybunalskim orzekł, że nie jest właściwy do rozpoznania sprawy</w:t>
      </w:r>
      <w:r w:rsidR="0035401A">
        <w:t>,</w:t>
      </w:r>
      <w:r>
        <w:t xml:space="preserve"> i przekazał sprawę Sądowi Okręgowemu w Łodzi, który w bliżej nieokreślonym terminie przekazał sprawę z powrotem do Sądu Rejonowego.</w:t>
      </w:r>
    </w:p>
    <w:p w14:paraId="363ECE01" w14:textId="77777777" w:rsidR="00041C33" w:rsidRDefault="00FA5750">
      <w:pPr>
        <w:pStyle w:val="JuHHead"/>
      </w:pPr>
      <w:r>
        <w:t>OCENA TRYBUNAŁU</w:t>
      </w:r>
    </w:p>
    <w:p w14:paraId="2271C99E" w14:textId="77777777" w:rsidR="00041C33" w:rsidRDefault="00FA5750">
      <w:pPr>
        <w:pStyle w:val="JuHIRoman"/>
        <w:numPr>
          <w:ilvl w:val="0"/>
          <w:numId w:val="0"/>
        </w:numPr>
      </w:pPr>
      <w:r>
        <w:t>ZARZUCANE NARUSZENIE ART. 8 KONWENCJI</w:t>
      </w:r>
    </w:p>
    <w:p w14:paraId="0250704B" w14:textId="13FD1FCA" w:rsidR="00041C33" w:rsidRDefault="00041C33">
      <w:pPr>
        <w:pStyle w:val="JuPara"/>
      </w:pPr>
      <w:r>
        <w:t>33.</w:t>
      </w:r>
      <w:r w:rsidR="009D16E7">
        <w:t xml:space="preserve"> </w:t>
      </w:r>
      <w:r>
        <w:t>Powołując się na art. 8 Konwencji, skarżący zarzucił niewykonanie prawomocnego nakazu powrotu dotyczącego jego dziecka.</w:t>
      </w:r>
    </w:p>
    <w:p w14:paraId="62F0A212" w14:textId="77777777" w:rsidR="00041C33" w:rsidRDefault="00FA5750">
      <w:pPr>
        <w:pStyle w:val="JuHA"/>
      </w:pPr>
      <w:r>
        <w:t>Dopuszczalność</w:t>
      </w:r>
    </w:p>
    <w:p w14:paraId="4486688E" w14:textId="4D11D256" w:rsidR="00041C33" w:rsidRDefault="00041C33">
      <w:pPr>
        <w:pStyle w:val="JuPara"/>
      </w:pPr>
      <w:r>
        <w:t>34.</w:t>
      </w:r>
      <w:r w:rsidR="009D16E7">
        <w:t xml:space="preserve"> </w:t>
      </w:r>
      <w:r>
        <w:t xml:space="preserve">Rząd podniósł zastrzeżenie wstępne, że skarga jest niezgodna </w:t>
      </w:r>
      <w:r>
        <w:rPr>
          <w:i/>
        </w:rPr>
        <w:t>ratione materiae</w:t>
      </w:r>
      <w:r>
        <w:t xml:space="preserve"> z Konwencją, ponieważ w jego ocenie skarżący skarżył się jedynie na wydatki, które musiał ponieść, próbując zapewnić powrót swojego dziecka, co wykracza poza zakres art. 8. Trybunał zauważa, że skarżący w</w:t>
      </w:r>
      <w:r w:rsidR="00132847">
        <w:t> </w:t>
      </w:r>
      <w:r>
        <w:t xml:space="preserve">istocie skarżył się na </w:t>
      </w:r>
      <w:r w:rsidR="000C3D01">
        <w:t>brak możliwości</w:t>
      </w:r>
      <w:r>
        <w:t xml:space="preserve"> odebrania swojego dziecka z</w:t>
      </w:r>
      <w:r w:rsidR="00C32B38">
        <w:t> </w:t>
      </w:r>
      <w:r>
        <w:t xml:space="preserve">powodu zarzucanego braku skutecznych proceduralnych instrumentów </w:t>
      </w:r>
      <w:r w:rsidR="00132847">
        <w:t>wykonywania</w:t>
      </w:r>
      <w:r>
        <w:t xml:space="preserve"> orzeczeń w transgranicznych sprawach rodzinnych, w</w:t>
      </w:r>
      <w:r w:rsidR="00C32B38">
        <w:t> </w:t>
      </w:r>
      <w:r>
        <w:t xml:space="preserve">szczególności dotyczących </w:t>
      </w:r>
      <w:r w:rsidR="0035401A">
        <w:t xml:space="preserve">rodzicielskiego </w:t>
      </w:r>
      <w:r>
        <w:t xml:space="preserve">uprowadzenia </w:t>
      </w:r>
      <w:r>
        <w:t>dziecka. Ponadto podniósł, że</w:t>
      </w:r>
      <w:r w:rsidR="00132847">
        <w:t> </w:t>
      </w:r>
      <w:r>
        <w:t>w</w:t>
      </w:r>
      <w:r w:rsidR="00132847">
        <w:t> </w:t>
      </w:r>
      <w:r>
        <w:t xml:space="preserve">wyniku sytuacji będącej przedmiotem skargi poniósł bardzo wysokie koszty i doznał wielkiego cierpienia. Zatem, ponieważ pozytywne obowiązki państwa wynikające z art. 8 Konwencji obejmują </w:t>
      </w:r>
      <w:r>
        <w:lastRenderedPageBreak/>
        <w:t>prawo rodzica do podjęcia środków mających na celu ponowne połączenie z</w:t>
      </w:r>
      <w:r w:rsidR="00C32B38">
        <w:t> </w:t>
      </w:r>
      <w:r>
        <w:t xml:space="preserve">jego dzieckiem oraz obowiązek organów krajowych do podjęcia takich środków (zob. </w:t>
      </w:r>
      <w:proofErr w:type="spellStart"/>
      <w:r>
        <w:rPr>
          <w:i/>
        </w:rPr>
        <w:t>Oller</w:t>
      </w:r>
      <w:proofErr w:type="spellEnd"/>
      <w:r>
        <w:rPr>
          <w:i/>
        </w:rPr>
        <w:t xml:space="preserve"> Kamińska przeciwko Polsce</w:t>
      </w:r>
      <w:r>
        <w:t xml:space="preserve">, skarga nr 28481/12, </w:t>
      </w:r>
      <w:r w:rsidR="00D25543">
        <w:t>§</w:t>
      </w:r>
      <w:r w:rsidR="0035401A">
        <w:t xml:space="preserve"> </w:t>
      </w:r>
      <w:r>
        <w:t>83, 18</w:t>
      </w:r>
      <w:r w:rsidR="00132847">
        <w:t> </w:t>
      </w:r>
      <w:r>
        <w:t>stycznia 2018 r.), skarga skarżącego mieści się w zakresie tego przepisu, a</w:t>
      </w:r>
      <w:r w:rsidR="00132847">
        <w:t> </w:t>
      </w:r>
      <w:r>
        <w:t>zastrzeżenie wstępne Rządu musi zostać oddalone.</w:t>
      </w:r>
    </w:p>
    <w:p w14:paraId="7365DC29" w14:textId="5065B197" w:rsidR="00041C33" w:rsidRDefault="00FA5750">
      <w:pPr>
        <w:pStyle w:val="JuPara"/>
      </w:pPr>
      <w:bookmarkStart w:id="25" w:name="paragraph00039"/>
      <w:r>
        <w:t>35</w:t>
      </w:r>
      <w:bookmarkEnd w:id="25"/>
      <w:r>
        <w:t>.</w:t>
      </w:r>
      <w:r w:rsidR="009D16E7">
        <w:t xml:space="preserve"> </w:t>
      </w:r>
      <w:r>
        <w:t xml:space="preserve">Rząd podniósł, że polskie władze podjęły istotne wysiłki w celu wykonania nakazu powrotu i zapewniły skarżącemu wszelką uzasadnioną pomoc. Rząd argumentował zatem, że skarżący nie może twierdzić, że jest ofiarą naruszenia któregokolwiek z praw gwarantowanych przez Konwencję (niezgodność </w:t>
      </w:r>
      <w:r>
        <w:rPr>
          <w:i/>
        </w:rPr>
        <w:t>ratione personae</w:t>
      </w:r>
      <w:r>
        <w:t>)</w:t>
      </w:r>
      <w:r w:rsidR="00EA684D">
        <w:t>,</w:t>
      </w:r>
      <w:r>
        <w:t xml:space="preserve"> lub, alternatywnie, że skarga jest oczywiście bezzasadna.</w:t>
      </w:r>
    </w:p>
    <w:p w14:paraId="25BC032A" w14:textId="64464703" w:rsidR="00041C33" w:rsidRDefault="00041C33">
      <w:pPr>
        <w:pStyle w:val="JuPara"/>
      </w:pPr>
      <w:r>
        <w:t>36.</w:t>
      </w:r>
      <w:r w:rsidR="009D16E7">
        <w:t xml:space="preserve"> </w:t>
      </w:r>
      <w:r>
        <w:t xml:space="preserve">Trybunał zauważa, że zastrzeżenie dotyczące braku statusu </w:t>
      </w:r>
      <w:r w:rsidR="00EA684D">
        <w:t>ofiary</w:t>
      </w:r>
      <w:r w:rsidR="00EA684D">
        <w:t xml:space="preserve"> </w:t>
      </w:r>
      <w:r>
        <w:t xml:space="preserve">jest ściśle związane z </w:t>
      </w:r>
      <w:r w:rsidR="00EA684D">
        <w:t>przedmiotem</w:t>
      </w:r>
      <w:r w:rsidR="00EA684D">
        <w:t xml:space="preserve"> </w:t>
      </w:r>
      <w:r>
        <w:t>skargi skarżącego, ponieważ odnosi się do</w:t>
      </w:r>
      <w:r w:rsidR="00C32B38">
        <w:t> </w:t>
      </w:r>
      <w:r>
        <w:t>kroków podjętych przez polskie władze w celu zapewnienia wykonania nakazu powrotu dziecka. Musi on</w:t>
      </w:r>
      <w:r w:rsidR="00EA684D">
        <w:t>o</w:t>
      </w:r>
      <w:r>
        <w:t xml:space="preserve"> zatem zostać </w:t>
      </w:r>
      <w:r w:rsidR="00EA684D">
        <w:t xml:space="preserve">dołączone do </w:t>
      </w:r>
      <w:r>
        <w:t>ocen</w:t>
      </w:r>
      <w:r w:rsidR="00EA684D">
        <w:t>y</w:t>
      </w:r>
      <w:r>
        <w:t xml:space="preserve"> przedmiotu sprawy (zob., </w:t>
      </w:r>
      <w:r w:rsidR="00EA684D" w:rsidRPr="00EA684D">
        <w:rPr>
          <w:i/>
          <w:iCs/>
        </w:rPr>
        <w:t>mutatis mutandis</w:t>
      </w:r>
      <w:r>
        <w:t xml:space="preserve">, </w:t>
      </w:r>
      <w:bookmarkStart w:id="26" w:name="_cl41376THECOURTSASSESSMENT"/>
      <w:r>
        <w:rPr>
          <w:i/>
        </w:rPr>
        <w:t>Y przeciwko Polsce</w:t>
      </w:r>
      <w:bookmarkEnd w:id="26"/>
      <w:r>
        <w:t>, skarga nr</w:t>
      </w:r>
      <w:r w:rsidR="00C32B38">
        <w:t> </w:t>
      </w:r>
      <w:r>
        <w:t xml:space="preserve">74131/14, </w:t>
      </w:r>
      <w:r w:rsidR="00356B43">
        <w:t>§</w:t>
      </w:r>
      <w:r w:rsidR="00D25543">
        <w:t>§</w:t>
      </w:r>
      <w:r>
        <w:t xml:space="preserve"> 40-41, 17 lutego 2022 r.).</w:t>
      </w:r>
    </w:p>
    <w:p w14:paraId="38D215E2" w14:textId="045AD849" w:rsidR="00041C33" w:rsidRDefault="00041C33">
      <w:pPr>
        <w:pStyle w:val="JuPara"/>
      </w:pPr>
      <w:r>
        <w:t>37.</w:t>
      </w:r>
      <w:r w:rsidR="009D16E7">
        <w:t xml:space="preserve"> </w:t>
      </w:r>
      <w:r>
        <w:t>Trybunał zauważa, że skarga nie jest w sposób oczywisty nieuzasadniona w rozumieniu art. 35 ust. 3 lit. a Konwencji ani nie jest niedopuszczalna na żadnej innej podstawie. Musi ona zatem zostać uznana za dopuszczalną.</w:t>
      </w:r>
    </w:p>
    <w:p w14:paraId="6E9E5EB5" w14:textId="77777777" w:rsidR="00041C33" w:rsidRDefault="00FA5750">
      <w:pPr>
        <w:pStyle w:val="JuHA"/>
      </w:pPr>
      <w:r>
        <w:t>Przedmiot skargi</w:t>
      </w:r>
    </w:p>
    <w:p w14:paraId="4CA43D44" w14:textId="1884E5CC" w:rsidR="00041C33" w:rsidRDefault="00041C33">
      <w:pPr>
        <w:pStyle w:val="JuPara"/>
      </w:pPr>
      <w:r>
        <w:t>38.</w:t>
      </w:r>
      <w:r w:rsidR="009D16E7">
        <w:t xml:space="preserve"> </w:t>
      </w:r>
      <w:r>
        <w:t>Zasady ogólne dotyczące niewykonania nakazów powrotu wydanych w kontekście międzynarodowych sporów rodzicielskich zostały podsumowane w sprawach</w:t>
      </w:r>
      <w:bookmarkStart w:id="27" w:name="_cl33196THECOURTSASSESSMENT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i/>
        </w:rPr>
        <w:t>Oller</w:t>
      </w:r>
      <w:proofErr w:type="spellEnd"/>
      <w:r>
        <w:rPr>
          <w:i/>
        </w:rPr>
        <w:t xml:space="preserve"> Kamińska </w:t>
      </w:r>
      <w:bookmarkEnd w:id="27"/>
      <w:r>
        <w:t>(</w:t>
      </w:r>
      <w:r w:rsidR="00314DF0">
        <w:t>op. cit</w:t>
      </w:r>
      <w:r>
        <w:t xml:space="preserve">., </w:t>
      </w:r>
      <w:r w:rsidR="00FB76A4">
        <w:t>§</w:t>
      </w:r>
      <w:r w:rsidR="00F9115B">
        <w:t>§</w:t>
      </w:r>
      <w:r>
        <w:t xml:space="preserve"> 82-86, z dalszymi odesłaniami) oraz</w:t>
      </w:r>
      <w:bookmarkStart w:id="28" w:name="_cl37100THECOURTSASSESSMENT"/>
      <w:r>
        <w:t xml:space="preserve"> </w:t>
      </w:r>
      <w:r>
        <w:rPr>
          <w:i/>
        </w:rPr>
        <w:t>Stochlak przeciwko Polsce</w:t>
      </w:r>
      <w:bookmarkEnd w:id="28"/>
      <w:r>
        <w:rPr>
          <w:i/>
        </w:rPr>
        <w:t xml:space="preserve"> </w:t>
      </w:r>
      <w:r>
        <w:t xml:space="preserve">(skarga nr 38273/02, </w:t>
      </w:r>
      <w:r w:rsidR="00FB76A4">
        <w:t>§</w:t>
      </w:r>
      <w:r w:rsidR="00F9115B">
        <w:t xml:space="preserve">§ </w:t>
      </w:r>
      <w:r>
        <w:t>57-61, 22 września 2009 r.).</w:t>
      </w:r>
    </w:p>
    <w:p w14:paraId="53CF28C0" w14:textId="3D707756" w:rsidR="00041C33" w:rsidRDefault="00041C33">
      <w:pPr>
        <w:pStyle w:val="JuPara"/>
      </w:pPr>
      <w:r>
        <w:t>39.</w:t>
      </w:r>
      <w:r w:rsidR="009D16E7">
        <w:t xml:space="preserve"> </w:t>
      </w:r>
      <w:r>
        <w:t xml:space="preserve">Trybunał zauważa na wstępie, że jest oczywiste, iż więź między skarżącym a </w:t>
      </w:r>
      <w:proofErr w:type="spellStart"/>
      <w:r>
        <w:t>R.T</w:t>
      </w:r>
      <w:proofErr w:type="spellEnd"/>
      <w:r>
        <w:t>. mieści się w zakresie życia rodzinnego w rozumieniu art. 8 Konwencji.</w:t>
      </w:r>
    </w:p>
    <w:p w14:paraId="4D5B3FCA" w14:textId="5158898E" w:rsidR="00041C33" w:rsidRDefault="00041C33">
      <w:pPr>
        <w:pStyle w:val="JuPara"/>
      </w:pPr>
      <w:r>
        <w:t>40.</w:t>
      </w:r>
      <w:r w:rsidR="009D16E7">
        <w:t xml:space="preserve"> </w:t>
      </w:r>
      <w:r>
        <w:t>Trybunał stwierdza, że istotą skargi jest niewykonanie orzeczeń nakazujących powrót dziecka do Zjednoczonego Królestwa. W świetle zasad ogólnych decydujące w niniejszej sprawie jest ustalenie, czy polskie władze podjęły wszystkie niezbędne i adekwatne kroki w celu ułatwienia wykonania tych orzeczeń.</w:t>
      </w:r>
    </w:p>
    <w:p w14:paraId="40AB13C1" w14:textId="7EE5FE6F" w:rsidR="00041C33" w:rsidRDefault="00041C33">
      <w:pPr>
        <w:pStyle w:val="JuPara"/>
      </w:pPr>
      <w:r>
        <w:t>41.</w:t>
      </w:r>
      <w:r w:rsidR="009D16E7">
        <w:t xml:space="preserve"> </w:t>
      </w:r>
      <w:r>
        <w:t>W tym zakresie Trybunał uważa, że działania władz podjęte w</w:t>
      </w:r>
      <w:r w:rsidR="00132847">
        <w:t> </w:t>
      </w:r>
      <w:r>
        <w:t xml:space="preserve">pierwszych tygodniach postępowania </w:t>
      </w:r>
      <w:r w:rsidR="00132847">
        <w:t xml:space="preserve">wykonawczego </w:t>
      </w:r>
      <w:r>
        <w:t xml:space="preserve">nie były naznaczone nieuzasadnionymi opóźnieniami (zob. </w:t>
      </w:r>
      <w:r w:rsidR="00AA6079">
        <w:t xml:space="preserve">paragrafy </w:t>
      </w:r>
      <w:r>
        <w:t>4-9</w:t>
      </w:r>
      <w:r>
        <w:t xml:space="preserve"> powyżej). Jednakże w</w:t>
      </w:r>
      <w:r w:rsidR="00132847">
        <w:t> </w:t>
      </w:r>
      <w:r>
        <w:t>toku</w:t>
      </w:r>
      <w:r w:rsidR="00132847">
        <w:t> </w:t>
      </w:r>
      <w:r>
        <w:t>dalszego postępowania występowały okresy względnej bezczynności, a</w:t>
      </w:r>
      <w:r w:rsidR="00132847">
        <w:t> </w:t>
      </w:r>
      <w:r>
        <w:t>kolejne działania następowały po przerwach trwających kilka tygodni, a</w:t>
      </w:r>
      <w:r w:rsidR="00132847">
        <w:t> </w:t>
      </w:r>
      <w:r>
        <w:t xml:space="preserve">nawet miesięcy (np. między czerwcem a wrześniem 2020 r.). Występowały również opóźnienia administracyjne w wysyłaniu różnych zarządzeń </w:t>
      </w:r>
      <w:r>
        <w:lastRenderedPageBreak/>
        <w:t>sądowych przez sekretariat sądu. Wysyłka pism Sądu Okręgowego sporządzonych w kwietniu i czerwcu 2021 r. do policji, prokuratora (pismo z</w:t>
      </w:r>
      <w:r w:rsidR="00132847">
        <w:t> </w:t>
      </w:r>
      <w:r>
        <w:t>dnia 19 kwietnia 2021 r.) lub do Komendanta Policji zabierała od pięciu do</w:t>
      </w:r>
      <w:r w:rsidR="00C32B38">
        <w:t> </w:t>
      </w:r>
      <w:r>
        <w:t xml:space="preserve">ośmiu tygodni (zob. </w:t>
      </w:r>
      <w:r w:rsidR="00AA6079">
        <w:t xml:space="preserve">paragrafy </w:t>
      </w:r>
      <w:r>
        <w:t>18, 20</w:t>
      </w:r>
      <w:r>
        <w:t xml:space="preserve"> i </w:t>
      </w:r>
      <w:r>
        <w:t>25</w:t>
      </w:r>
      <w:r>
        <w:t xml:space="preserve"> powyżej).</w:t>
      </w:r>
    </w:p>
    <w:p w14:paraId="7E21B81D" w14:textId="585EF2F1" w:rsidR="00041C33" w:rsidRDefault="00041C33">
      <w:pPr>
        <w:pStyle w:val="JuPara"/>
      </w:pPr>
      <w:r>
        <w:t>42.</w:t>
      </w:r>
      <w:r w:rsidR="009D16E7">
        <w:t xml:space="preserve"> </w:t>
      </w:r>
      <w:r>
        <w:t>Trybunał zauważa również, że kilka aspektów sprawy budzi wątpliwości co do tego, czy władze działały z należytą starannością.</w:t>
      </w:r>
    </w:p>
    <w:p w14:paraId="6EA12B0A" w14:textId="49FF086A" w:rsidR="00041C33" w:rsidRDefault="00041C33">
      <w:pPr>
        <w:pStyle w:val="JuPara"/>
      </w:pPr>
      <w:r>
        <w:t>43.</w:t>
      </w:r>
      <w:r w:rsidR="009D16E7">
        <w:t xml:space="preserve"> </w:t>
      </w:r>
      <w:r>
        <w:t xml:space="preserve">Po pierwsze, kilka prób odebrania dziecka nie było wystarczająco dobrze przygotowanych. W szczególności kurator sądowy odpowiedzialny za pierwszą taką próbę nie zweryfikował wcześniej podstawowych informacji dotyczących kwestii zapisania dziecka do szkoły (por. </w:t>
      </w:r>
      <w:r w:rsidR="00AA6079">
        <w:t xml:space="preserve">paragrafy </w:t>
      </w:r>
      <w:r>
        <w:t>5</w:t>
      </w:r>
      <w:r>
        <w:t xml:space="preserve"> i </w:t>
      </w:r>
      <w:r>
        <w:t>12</w:t>
      </w:r>
      <w:r>
        <w:t xml:space="preserve"> powyżej). Ponadto Sąd Okręgowy nie dokonał niezbędnych ustaleń z</w:t>
      </w:r>
      <w:r w:rsidR="00132847">
        <w:t> </w:t>
      </w:r>
      <w:r>
        <w:t xml:space="preserve">władzami oświatowymi aż do dnia 2 grudnia 2019 r., prawie trzy miesiące po niepowodzeniu pierwszej próby odebrania dziecka. W rezultacie władze opierały się w tym czasie na wprowadzających w błąd informacjach pochodzących od krewnych </w:t>
      </w:r>
      <w:proofErr w:type="spellStart"/>
      <w:r>
        <w:t>E.S</w:t>
      </w:r>
      <w:proofErr w:type="spellEnd"/>
      <w:r>
        <w:t>., którzy mieli oczywisty interes w</w:t>
      </w:r>
      <w:r w:rsidR="00132847">
        <w:t> </w:t>
      </w:r>
      <w:r>
        <w:t xml:space="preserve">utrudnianiu </w:t>
      </w:r>
      <w:r w:rsidR="00132847">
        <w:t>czynności postępowania wykonawczego</w:t>
      </w:r>
      <w:r>
        <w:t>.</w:t>
      </w:r>
    </w:p>
    <w:p w14:paraId="37FD1E3D" w14:textId="57F29E34" w:rsidR="00041C33" w:rsidRDefault="00041C33">
      <w:pPr>
        <w:pStyle w:val="JuPara"/>
      </w:pPr>
      <w:r>
        <w:t>44.</w:t>
      </w:r>
      <w:r w:rsidR="009D16E7">
        <w:t xml:space="preserve"> </w:t>
      </w:r>
      <w:r>
        <w:t>Po drugie, na późniejszym etapie władze krajowe wielokrotnie podejmowały środki, które już wcześniej okazały się nieskuteczne lub które od początku były skazane na niepowodzenie.</w:t>
      </w:r>
    </w:p>
    <w:p w14:paraId="047DCA87" w14:textId="166C0913" w:rsidR="00041C33" w:rsidRDefault="00041C33">
      <w:pPr>
        <w:pStyle w:val="JuPara"/>
      </w:pPr>
      <w:r>
        <w:t>45.</w:t>
      </w:r>
      <w:r w:rsidR="009D16E7">
        <w:t xml:space="preserve"> </w:t>
      </w:r>
      <w:r>
        <w:t xml:space="preserve">W szczególności pomiędzy rozpoczęciem postępowania </w:t>
      </w:r>
      <w:r w:rsidR="00132847">
        <w:t>wykonawczego</w:t>
      </w:r>
      <w:r>
        <w:t xml:space="preserve"> a dniem 15 września 2021 r. policja kontrolowała ostatni znany adres </w:t>
      </w:r>
      <w:proofErr w:type="spellStart"/>
      <w:r>
        <w:t>E.S</w:t>
      </w:r>
      <w:proofErr w:type="spellEnd"/>
      <w:r>
        <w:t>. trzydzieści jeden razy, przy czym funkcjonariusze uzyskiwali te same informacje od osób tam mieszkających i od ich sąsiadów, że dziecko tam nie mieszka (zob. p</w:t>
      </w:r>
      <w:r w:rsidR="00E3726B">
        <w:t>aragraf</w:t>
      </w:r>
      <w:r>
        <w:t xml:space="preserve"> </w:t>
      </w:r>
      <w:r>
        <w:t>27</w:t>
      </w:r>
      <w:r>
        <w:t xml:space="preserve"> powyżej). Gdy funkcjonariusze rzeczywiście napotkali </w:t>
      </w:r>
      <w:proofErr w:type="spellStart"/>
      <w:r>
        <w:t>R.T</w:t>
      </w:r>
      <w:proofErr w:type="spellEnd"/>
      <w:r>
        <w:t xml:space="preserve">., nie podjęli żadnych konkretnych działań mających na celu wykonanie nakazu powrotu, z wyjątkiem przyjęcia oświadczenia </w:t>
      </w:r>
      <w:proofErr w:type="spellStart"/>
      <w:r>
        <w:t>E.S</w:t>
      </w:r>
      <w:proofErr w:type="spellEnd"/>
      <w:r>
        <w:t xml:space="preserve">. dotyczącego jej adresu (zob. </w:t>
      </w:r>
      <w:r w:rsidR="00E3726B">
        <w:t>paragrafy</w:t>
      </w:r>
      <w:r w:rsidR="009D16E7">
        <w:t xml:space="preserve"> </w:t>
      </w:r>
      <w:r>
        <w:t>21</w:t>
      </w:r>
      <w:r>
        <w:t xml:space="preserve"> i</w:t>
      </w:r>
      <w:r w:rsidR="009D16E7">
        <w:t xml:space="preserve"> </w:t>
      </w:r>
      <w:r>
        <w:t>27</w:t>
      </w:r>
      <w:r>
        <w:t xml:space="preserve"> powyżej). Wydaje się zatem, że policja nie miała żadnej konkretnej strategii ani poleceń co do sposobu postępowania w przypadku odnalezienia dziecka. W</w:t>
      </w:r>
      <w:r w:rsidR="00132847">
        <w:t> </w:t>
      </w:r>
      <w:r>
        <w:t>rzeczywistości, w dniu 1 marca 2021 r., prawie osiemnaście miesięcy po</w:t>
      </w:r>
      <w:r w:rsidR="00C32B38">
        <w:t> </w:t>
      </w:r>
      <w:r>
        <w:t xml:space="preserve">rozpoczęciu postępowania </w:t>
      </w:r>
      <w:r w:rsidR="00132847">
        <w:t>wykonawczego</w:t>
      </w:r>
      <w:r>
        <w:t xml:space="preserve">, policja zwróciła się do Sądu Okręgowego o instrukcje. W odpowiedzi Sąd Okręgowy nakazał </w:t>
      </w:r>
      <w:r>
        <w:t xml:space="preserve">policji </w:t>
      </w:r>
      <w:r w:rsidR="000E6F98">
        <w:t xml:space="preserve">jedynie </w:t>
      </w:r>
      <w:r>
        <w:t xml:space="preserve">„kontynuowanie obserwacji” (zob. </w:t>
      </w:r>
      <w:r w:rsidR="00E3726B">
        <w:t xml:space="preserve">paragraf </w:t>
      </w:r>
      <w:r>
        <w:t>18</w:t>
      </w:r>
      <w:r>
        <w:t xml:space="preserve"> powyżej).</w:t>
      </w:r>
    </w:p>
    <w:p w14:paraId="68CF51A4" w14:textId="668EABD6" w:rsidR="00041C33" w:rsidRDefault="00041C33">
      <w:pPr>
        <w:pStyle w:val="JuPara"/>
      </w:pPr>
      <w:r>
        <w:t>46.</w:t>
      </w:r>
      <w:r w:rsidR="009D16E7">
        <w:t xml:space="preserve"> </w:t>
      </w:r>
      <w:r>
        <w:t>W dniu 19 kwietnia 2021 r. Sąd Okręgowy zasugerował, aby</w:t>
      </w:r>
      <w:r w:rsidR="00C32B38">
        <w:t> </w:t>
      </w:r>
      <w:r>
        <w:t xml:space="preserve">prokuratura wszczęła postępowanie przygotowawcze w sprawie zarzucanego długotrwałego utrudniania postępowania </w:t>
      </w:r>
      <w:r w:rsidR="00132847">
        <w:t>wykonawczego</w:t>
      </w:r>
      <w:r>
        <w:t xml:space="preserve"> przez </w:t>
      </w:r>
      <w:proofErr w:type="spellStart"/>
      <w:r>
        <w:t>E.S</w:t>
      </w:r>
      <w:proofErr w:type="spellEnd"/>
      <w:r>
        <w:t xml:space="preserve">. (zob. </w:t>
      </w:r>
      <w:r w:rsidR="00E3726B">
        <w:t>paragraf</w:t>
      </w:r>
      <w:r>
        <w:t> </w:t>
      </w:r>
      <w:r>
        <w:t>20</w:t>
      </w:r>
      <w:r>
        <w:t xml:space="preserve"> powyżej). Sugestia ta została przedstawiona pomimo tego, że rok wcześniej ustalono, iż zgodnie z polskim prawem karnym rodzice nie mogą ponosić odpowiedzialności za uprowadzenie dziecka, chyba że</w:t>
      </w:r>
      <w:r w:rsidR="00C32B38">
        <w:t> </w:t>
      </w:r>
      <w:r>
        <w:t>zostali pozbawieni władzy rodzicielskiej, co nie miało miejsca w</w:t>
      </w:r>
      <w:r w:rsidR="00C32B38">
        <w:t> </w:t>
      </w:r>
      <w:r>
        <w:t xml:space="preserve">przypadku </w:t>
      </w:r>
      <w:proofErr w:type="spellStart"/>
      <w:r>
        <w:t>E.S</w:t>
      </w:r>
      <w:proofErr w:type="spellEnd"/>
      <w:r>
        <w:t xml:space="preserve">. (zob. </w:t>
      </w:r>
      <w:r w:rsidR="00E3726B">
        <w:t>paragraf</w:t>
      </w:r>
      <w:r>
        <w:t xml:space="preserve"> </w:t>
      </w:r>
      <w:r>
        <w:t>13</w:t>
      </w:r>
      <w:r>
        <w:t xml:space="preserve"> powyżej). Drugie śledztwo zostało ostatecznie umorzone na tych samych podstawach co poprzednie (zob.</w:t>
      </w:r>
      <w:r w:rsidR="00C32B38">
        <w:t> </w:t>
      </w:r>
      <w:r w:rsidR="00E3726B">
        <w:t>paragraf</w:t>
      </w:r>
      <w:r>
        <w:t xml:space="preserve"> </w:t>
      </w:r>
      <w:r>
        <w:t>24</w:t>
      </w:r>
      <w:r>
        <w:t xml:space="preserve"> powyżej).</w:t>
      </w:r>
    </w:p>
    <w:p w14:paraId="747BEE0C" w14:textId="15E458EE" w:rsidR="00041C33" w:rsidRDefault="00041C33">
      <w:pPr>
        <w:pStyle w:val="JuPara"/>
      </w:pPr>
      <w:r>
        <w:lastRenderedPageBreak/>
        <w:t>47.</w:t>
      </w:r>
      <w:r w:rsidR="009D16E7">
        <w:t xml:space="preserve"> </w:t>
      </w:r>
      <w:r>
        <w:t>Po trzecie, władze wydawały się nie mieć ustanowionych procedur umożliwiających im skuteczną współpracę. Policja nie wykonała zarządzenia Sądu Okręgowego z dnia 23 grudnia 2020 r. nakazującego poszukiwanie dziecka poprzez śledzenie połączenia internetowego matki, uznając, że</w:t>
      </w:r>
      <w:r w:rsidR="00132847">
        <w:t> </w:t>
      </w:r>
      <w:r>
        <w:t xml:space="preserve">środek ten nie ma podstawy prawnej. Wynikła z tego wymiana korespondencji między Sądem Okręgowym a policją trwała prawie cztery miesiące (zob. </w:t>
      </w:r>
      <w:r w:rsidR="002D4794">
        <w:t>paragraf</w:t>
      </w:r>
      <w:r>
        <w:t xml:space="preserve"> </w:t>
      </w:r>
      <w:r>
        <w:t>18</w:t>
      </w:r>
      <w:r>
        <w:t xml:space="preserve"> powyżej), a w aktach sprawy nie ma niczego, co</w:t>
      </w:r>
      <w:r w:rsidR="00D929DF">
        <w:t> </w:t>
      </w:r>
      <w:r>
        <w:t>sugerowałoby, że zarządzony środek został rzeczywiście wdrożony.</w:t>
      </w:r>
    </w:p>
    <w:p w14:paraId="51682AA9" w14:textId="74346E49" w:rsidR="00041C33" w:rsidRDefault="00041C33">
      <w:pPr>
        <w:pStyle w:val="JuPara"/>
      </w:pPr>
      <w:r>
        <w:t>48.</w:t>
      </w:r>
      <w:r w:rsidR="009D16E7">
        <w:t xml:space="preserve"> </w:t>
      </w:r>
      <w:r>
        <w:t xml:space="preserve">Po czwarte, istniejące mechanizmy nadzoru nie wywarły żadnego znaczącego wpływu na prowadzenie sprawy. W szczególności Sądowi Okręgowemu nie udało się doprowadzić do przejęcia lub nadzorowania wykonania nakazu powrotu dziecka przez Komendę Wojewódzką Policji ani przez Komendanta Wojewódzkiego Policji (zob. </w:t>
      </w:r>
      <w:r w:rsidR="002D4794">
        <w:t xml:space="preserve">paragrafy </w:t>
      </w:r>
      <w:r>
        <w:t>19</w:t>
      </w:r>
      <w:r>
        <w:t xml:space="preserve"> i </w:t>
      </w:r>
      <w:r>
        <w:t>25</w:t>
      </w:r>
      <w:r>
        <w:t xml:space="preserve"> powyżej).</w:t>
      </w:r>
    </w:p>
    <w:p w14:paraId="2439693E" w14:textId="1C19DC74" w:rsidR="00041C33" w:rsidRDefault="00041C33">
      <w:pPr>
        <w:pStyle w:val="JuPara"/>
      </w:pPr>
      <w:r>
        <w:t>49.</w:t>
      </w:r>
      <w:r w:rsidR="009D16E7">
        <w:t xml:space="preserve"> </w:t>
      </w:r>
      <w:r>
        <w:t xml:space="preserve">Trybunał uznaje, że trudności w wykonaniu nakazu powrotu były spowodowane głównie przeszkodami ze strony </w:t>
      </w:r>
      <w:proofErr w:type="spellStart"/>
      <w:r>
        <w:t>E.S</w:t>
      </w:r>
      <w:proofErr w:type="spellEnd"/>
      <w:r>
        <w:t>. Zapewnienie wykonania orzeczeń sądowych wydanych w toku sporów o opiekę nad dzieckiem niekoniecznie jest łatwym zadaniem, zwłaszcza jeśli zachowanie jednego lub</w:t>
      </w:r>
      <w:r w:rsidR="00656A6A">
        <w:t> </w:t>
      </w:r>
      <w:r>
        <w:t>obojga rodziców jest dalekie od konstruktywnego (</w:t>
      </w:r>
      <w:bookmarkStart w:id="29" w:name="_cl33530THECOURTSASSESSMENT"/>
      <w:r>
        <w:t xml:space="preserve">zob. </w:t>
      </w:r>
      <w:proofErr w:type="spellStart"/>
      <w:r>
        <w:rPr>
          <w:i/>
        </w:rPr>
        <w:t>P.K</w:t>
      </w:r>
      <w:proofErr w:type="spellEnd"/>
      <w:r>
        <w:rPr>
          <w:i/>
        </w:rPr>
        <w:t>. przeciwko Polsce</w:t>
      </w:r>
      <w:bookmarkEnd w:id="29"/>
      <w:r>
        <w:t xml:space="preserve">, skarga nr 43123/10, </w:t>
      </w:r>
      <w:r w:rsidR="0012374A">
        <w:t>§</w:t>
      </w:r>
      <w:r w:rsidR="000E6F98">
        <w:t xml:space="preserve"> </w:t>
      </w:r>
      <w:r>
        <w:t>88, 10 czerwca 2014 r.). Nie wyjaśnia to jednak opisanych powyżej niedociągnięć, z</w:t>
      </w:r>
      <w:r w:rsidR="00414F3A">
        <w:t>a</w:t>
      </w:r>
      <w:r>
        <w:t xml:space="preserve"> których większość niezaprzeczalnie </w:t>
      </w:r>
      <w:r w:rsidR="00414F3A">
        <w:t>odpowiedzialne są władze krajowe</w:t>
      </w:r>
      <w:r>
        <w:t xml:space="preserve">. Należy podkreślić, że </w:t>
      </w:r>
      <w:proofErr w:type="spellStart"/>
      <w:r>
        <w:t>E.S</w:t>
      </w:r>
      <w:proofErr w:type="spellEnd"/>
      <w:r>
        <w:t>. nie była poza zasięgiem władz. Co najmniej kilkakrotnie kontaktowali się z nią bezpośrednio urzędnicy państwowi, w tym funkcjonariusze policji (zob.</w:t>
      </w:r>
      <w:r w:rsidR="00656A6A">
        <w:t> </w:t>
      </w:r>
      <w:r w:rsidR="002D4794">
        <w:t>paragraf </w:t>
      </w:r>
      <w:r>
        <w:t>21</w:t>
      </w:r>
      <w:r>
        <w:t xml:space="preserve"> powyżej) i prokuratorzy (zob. </w:t>
      </w:r>
      <w:r w:rsidR="002D4794">
        <w:t xml:space="preserve">paragraf </w:t>
      </w:r>
      <w:r>
        <w:t>24</w:t>
      </w:r>
      <w:r>
        <w:t xml:space="preserve"> powyżej). Pozostawała również w kontakcie z innymi instytucjami, w tym z</w:t>
      </w:r>
      <w:r w:rsidR="00132847">
        <w:t> </w:t>
      </w:r>
      <w:r>
        <w:t xml:space="preserve">Sądem Okręgowym (zob. </w:t>
      </w:r>
      <w:r w:rsidR="002D4794">
        <w:t xml:space="preserve">paragraf </w:t>
      </w:r>
      <w:r>
        <w:t>22</w:t>
      </w:r>
      <w:r>
        <w:t xml:space="preserve"> powyżej) oraz szkołą podstawową, do której uczęszczała </w:t>
      </w:r>
      <w:proofErr w:type="spellStart"/>
      <w:r>
        <w:t>R.T</w:t>
      </w:r>
      <w:proofErr w:type="spellEnd"/>
      <w:r>
        <w:t xml:space="preserve">. (zob. </w:t>
      </w:r>
      <w:r w:rsidR="002D4794">
        <w:t xml:space="preserve">paragraf </w:t>
      </w:r>
      <w:r>
        <w:t>12</w:t>
      </w:r>
      <w:r>
        <w:t xml:space="preserve"> powyżej).</w:t>
      </w:r>
    </w:p>
    <w:p w14:paraId="49872CD1" w14:textId="26BA3F12" w:rsidR="00041C33" w:rsidRDefault="00041C33">
      <w:pPr>
        <w:pStyle w:val="JuPara"/>
      </w:pPr>
      <w:r>
        <w:t>50.</w:t>
      </w:r>
      <w:r w:rsidR="009D16E7">
        <w:t xml:space="preserve"> </w:t>
      </w:r>
      <w:r>
        <w:t xml:space="preserve">Trybunał stwierdza, że pomimo </w:t>
      </w:r>
      <w:r w:rsidR="00805AF4">
        <w:t xml:space="preserve">swych </w:t>
      </w:r>
      <w:r>
        <w:t>wysiłków obejmujących okres prawie trzech lat</w:t>
      </w:r>
      <w:r w:rsidR="00805AF4">
        <w:t xml:space="preserve"> władze krajowe</w:t>
      </w:r>
      <w:r>
        <w:t xml:space="preserve"> nie podjęły wszystkich niezbędnych kroków w celu ułatwienia wykonania nakazu powrotu, jakich można by</w:t>
      </w:r>
      <w:r w:rsidR="00656A6A">
        <w:t> </w:t>
      </w:r>
      <w:r>
        <w:t>rozsądnie wymagać w okolicznościach sprawy (</w:t>
      </w:r>
      <w:bookmarkStart w:id="30" w:name="_cl42090THECOURTSASSESSMENT"/>
      <w:r>
        <w:t xml:space="preserve">zob. </w:t>
      </w:r>
      <w:proofErr w:type="spellStart"/>
      <w:r>
        <w:rPr>
          <w:i/>
        </w:rPr>
        <w:t>Veres</w:t>
      </w:r>
      <w:proofErr w:type="spellEnd"/>
      <w:r>
        <w:rPr>
          <w:i/>
        </w:rPr>
        <w:t xml:space="preserve"> przeciwko Hiszpanii</w:t>
      </w:r>
      <w:bookmarkEnd w:id="30"/>
      <w:r>
        <w:t xml:space="preserve">, skarga nr 57906/18, </w:t>
      </w:r>
      <w:r w:rsidR="0012374A">
        <w:t>§</w:t>
      </w:r>
      <w:r>
        <w:t>78, 8 listopada 2022 r.). To z kolei stanowiło naruszenie prawa skarżącego do poszanowania jego życia rodzinnego.</w:t>
      </w:r>
    </w:p>
    <w:p w14:paraId="61CF17BA" w14:textId="521257A0" w:rsidR="00041C33" w:rsidRDefault="00041C33">
      <w:pPr>
        <w:pStyle w:val="JuPara"/>
      </w:pPr>
      <w:r>
        <w:t>51.</w:t>
      </w:r>
      <w:r w:rsidR="009D16E7">
        <w:t xml:space="preserve"> </w:t>
      </w:r>
      <w:r>
        <w:t xml:space="preserve">Wynika z tego, że zastrzeżenie wstępne Rządu dotyczące zarzucanej niezgodności </w:t>
      </w:r>
      <w:r>
        <w:rPr>
          <w:i/>
        </w:rPr>
        <w:t>ratione personae</w:t>
      </w:r>
      <w:r>
        <w:t xml:space="preserve"> skargi skarżącego z postanowieniami Konwencji (zob. </w:t>
      </w:r>
      <w:r w:rsidR="002D4794">
        <w:t>paragraf</w:t>
      </w:r>
      <w:r>
        <w:t xml:space="preserve"> </w:t>
      </w:r>
      <w:r>
        <w:t>35</w:t>
      </w:r>
      <w:r>
        <w:t xml:space="preserve"> powyżej) musi zostać oddalone.</w:t>
      </w:r>
    </w:p>
    <w:p w14:paraId="60CE378D" w14:textId="24B876E9" w:rsidR="00041C33" w:rsidRDefault="00041C33">
      <w:pPr>
        <w:pStyle w:val="JuPara"/>
      </w:pPr>
      <w:r>
        <w:t>52.</w:t>
      </w:r>
      <w:r w:rsidR="009D16E7">
        <w:t xml:space="preserve"> </w:t>
      </w:r>
      <w:r>
        <w:t>W związku z powyższym doszło do naruszenia art. 8 Konwencji.</w:t>
      </w:r>
    </w:p>
    <w:p w14:paraId="6235F529" w14:textId="77777777" w:rsidR="00041C33" w:rsidRDefault="00FA5750">
      <w:pPr>
        <w:pStyle w:val="JuHHead"/>
      </w:pPr>
      <w:r>
        <w:t>ZASTOSOWANIE ART. 41 KONWENCJI</w:t>
      </w:r>
    </w:p>
    <w:p w14:paraId="4B0B1709" w14:textId="53B67DB1" w:rsidR="00041C33" w:rsidRDefault="00041C33">
      <w:pPr>
        <w:pStyle w:val="JuPara"/>
      </w:pPr>
      <w:r>
        <w:t>53.</w:t>
      </w:r>
      <w:r w:rsidR="009D16E7">
        <w:t xml:space="preserve"> </w:t>
      </w:r>
      <w:r>
        <w:t>Skarżący dochodził, bez określenia kwoty ani przedłożenia jakichkolwiek wyliczeń lub faktur, odszkodowania za szkodę majątkową poniesioną w związku z koniecznością wniesienia sprawy do kilku sądów w</w:t>
      </w:r>
      <w:r w:rsidR="00132847">
        <w:t> </w:t>
      </w:r>
      <w:r>
        <w:t xml:space="preserve">dwóch różnych krajach oraz zadośćuczynienia za szkodę niemajątkową </w:t>
      </w:r>
      <w:r>
        <w:lastRenderedPageBreak/>
        <w:t>wynikającą z krzywdy emocjonalnej i psychicznej spowodowanej przymusową rozłąką z dzieckiem.</w:t>
      </w:r>
    </w:p>
    <w:p w14:paraId="037F98C1" w14:textId="0BA693EC" w:rsidR="00041C33" w:rsidRDefault="00041C33">
      <w:pPr>
        <w:pStyle w:val="JuPara"/>
      </w:pPr>
      <w:r>
        <w:t>54.</w:t>
      </w:r>
      <w:r w:rsidR="009D16E7">
        <w:t xml:space="preserve"> </w:t>
      </w:r>
      <w:r>
        <w:t xml:space="preserve">Rząd twierdził, że skarżący nie określił </w:t>
      </w:r>
      <w:r>
        <w:t xml:space="preserve">ani </w:t>
      </w:r>
      <w:r>
        <w:t>nie udowodnił</w:t>
      </w:r>
      <w:r w:rsidR="00805AF4">
        <w:t xml:space="preserve"> </w:t>
      </w:r>
      <w:r>
        <w:t>żadnej poniesionej szkody ani związku przyczynowego między nią a zarzucanym naruszeniem Konwencji.</w:t>
      </w:r>
    </w:p>
    <w:p w14:paraId="5113C77B" w14:textId="10857478" w:rsidR="00041C33" w:rsidRDefault="00041C33">
      <w:pPr>
        <w:pStyle w:val="JuPara"/>
      </w:pPr>
      <w:r>
        <w:t>55.</w:t>
      </w:r>
      <w:r w:rsidR="009D16E7">
        <w:t xml:space="preserve"> </w:t>
      </w:r>
      <w:r>
        <w:t>W odniesieniu do szkody majątkowej, biorąc pod uwagę, że skarżący nie określił żądanej kwoty i nie przedstawił Trybunałowi zestawienia roszczeń ani dokumentów na ich poparcie, Trybunał nie przyznaje odszkodowania z tego tytułu.</w:t>
      </w:r>
    </w:p>
    <w:p w14:paraId="7ED88954" w14:textId="664D1A97" w:rsidR="00041C33" w:rsidRDefault="00041C33">
      <w:pPr>
        <w:pStyle w:val="JuPara"/>
      </w:pPr>
      <w:r>
        <w:t>56.</w:t>
      </w:r>
      <w:r w:rsidR="009D16E7">
        <w:t xml:space="preserve"> </w:t>
      </w:r>
      <w:r>
        <w:t>Natomiast Trybunał nie jest pozbawiony możliwości rozpatrzenia roszczeń o zadośćuczynienie za szkodę niemajątkową, których skarżący nie</w:t>
      </w:r>
      <w:r w:rsidR="00656A6A">
        <w:t> </w:t>
      </w:r>
      <w:r>
        <w:t>określili kwotowo, pozostawiając wysokość do uznania Trybunału. W</w:t>
      </w:r>
      <w:r w:rsidR="00132847">
        <w:t> </w:t>
      </w:r>
      <w:r>
        <w:t xml:space="preserve">związku z tym Trybunał postanawia, na zasadzie słuszności, przyznać skarżącemu kwotę </w:t>
      </w:r>
      <w:r>
        <w:t>9800</w:t>
      </w:r>
      <w:r>
        <w:t xml:space="preserve"> EUR tytułem </w:t>
      </w:r>
      <w:r w:rsidR="002D4794">
        <w:t xml:space="preserve">słusznego </w:t>
      </w:r>
      <w:r>
        <w:t>zadośćuczynienia za szkodę niemajątkową, powiększoną o wszelkie podatki, jakie mogą zostać od niego naliczone.</w:t>
      </w:r>
    </w:p>
    <w:p w14:paraId="54195EF0" w14:textId="77777777" w:rsidR="00041C33" w:rsidRDefault="00FA5750">
      <w:pPr>
        <w:pStyle w:val="JuHHead"/>
      </w:pPr>
      <w:r>
        <w:t>Z TYCH PRZYCZYN TRYBUNAŁ JEDNOGŁOŚNIE</w:t>
      </w:r>
    </w:p>
    <w:p w14:paraId="6C5C0E1A" w14:textId="038CC50E" w:rsidR="00041C33" w:rsidRDefault="00504605">
      <w:pPr>
        <w:pStyle w:val="JuList"/>
      </w:pPr>
      <w:r>
        <w:rPr>
          <w:i/>
        </w:rPr>
        <w:t xml:space="preserve">Dołącza </w:t>
      </w:r>
      <w:r w:rsidRPr="00504605">
        <w:rPr>
          <w:iCs/>
        </w:rPr>
        <w:t>do</w:t>
      </w:r>
      <w:r w:rsidR="00FA5750">
        <w:t xml:space="preserve"> przedmiot</w:t>
      </w:r>
      <w:r>
        <w:t>u</w:t>
      </w:r>
      <w:r w:rsidR="00FA5750">
        <w:t xml:space="preserve"> sprawy zastrzeżenie wstępne Rządu dotyczące braku statusu </w:t>
      </w:r>
      <w:r>
        <w:t>ofiary</w:t>
      </w:r>
      <w:r>
        <w:t xml:space="preserve"> </w:t>
      </w:r>
      <w:r w:rsidR="00FA5750">
        <w:t xml:space="preserve">i </w:t>
      </w:r>
      <w:r w:rsidR="00FA5750">
        <w:rPr>
          <w:i/>
        </w:rPr>
        <w:t xml:space="preserve">oddala </w:t>
      </w:r>
      <w:r w:rsidRPr="00504605">
        <w:rPr>
          <w:iCs/>
        </w:rPr>
        <w:t>je</w:t>
      </w:r>
      <w:r w:rsidR="00FA5750">
        <w:t>;</w:t>
      </w:r>
    </w:p>
    <w:p w14:paraId="2295F162" w14:textId="29D54917" w:rsidR="00041C33" w:rsidRDefault="002D4794">
      <w:pPr>
        <w:pStyle w:val="JuList"/>
      </w:pPr>
      <w:r>
        <w:rPr>
          <w:i/>
        </w:rPr>
        <w:t>U</w:t>
      </w:r>
      <w:r w:rsidR="00FA5750">
        <w:rPr>
          <w:i/>
        </w:rPr>
        <w:t xml:space="preserve">znaje </w:t>
      </w:r>
      <w:r w:rsidR="00FA5750">
        <w:t>skargę za dopuszczalną;</w:t>
      </w:r>
    </w:p>
    <w:p w14:paraId="6D5A12D7" w14:textId="77777777" w:rsidR="00041C33" w:rsidRDefault="00FA5750">
      <w:pPr>
        <w:pStyle w:val="JuList"/>
      </w:pPr>
      <w:r>
        <w:rPr>
          <w:i/>
        </w:rPr>
        <w:t>Orzeka</w:t>
      </w:r>
      <w:r>
        <w:t>, że doszło do naruszenia art. 8 Konwencji;</w:t>
      </w:r>
    </w:p>
    <w:p w14:paraId="3391C4EE" w14:textId="77777777" w:rsidR="00041C33" w:rsidRDefault="00FA5750">
      <w:pPr>
        <w:pStyle w:val="P68B1DB1-JuList3"/>
      </w:pPr>
      <w:r>
        <w:t>Orzeka</w:t>
      </w:r>
    </w:p>
    <w:p w14:paraId="7A3CBDFE" w14:textId="51A2E76D" w:rsidR="00041C33" w:rsidRDefault="00FA5750">
      <w:pPr>
        <w:pStyle w:val="JuLista"/>
        <w:numPr>
          <w:ilvl w:val="1"/>
          <w:numId w:val="5"/>
        </w:numPr>
      </w:pPr>
      <w:r>
        <w:t xml:space="preserve">że pozwane państwo ma zapłacić skarżącemu, w terminie trzech miesięcy, kwotę </w:t>
      </w:r>
      <w:r>
        <w:t>9800</w:t>
      </w:r>
      <w:r>
        <w:t xml:space="preserve"> EUR (dziewięć tysięcy osiemset</w:t>
      </w:r>
      <w:r>
        <w:rPr>
          <w:rFonts w:ascii="Arial" w:hAnsi="Arial" w:cs="Arial"/>
          <w:color w:val="333333"/>
          <w:sz w:val="30"/>
        </w:rPr>
        <w:t xml:space="preserve"> </w:t>
      </w:r>
      <w:r>
        <w:t xml:space="preserve">euro), powiększoną o wszelkie podatki, jakie mogą zostać naliczone, tytułem </w:t>
      </w:r>
      <w:r w:rsidR="002D4794">
        <w:t xml:space="preserve">słusznego </w:t>
      </w:r>
      <w:r>
        <w:t>zadośćuczynienia za szkodę niemajątkową, przeliczoną na</w:t>
      </w:r>
      <w:r w:rsidR="00656A6A">
        <w:t> </w:t>
      </w:r>
      <w:r>
        <w:rPr>
          <w:color w:val="000000"/>
        </w:rPr>
        <w:t>walutę pozwanego państwa</w:t>
      </w:r>
      <w:r>
        <w:t xml:space="preserve"> według kursu obowiązującego w dniu rozliczenia;</w:t>
      </w:r>
    </w:p>
    <w:p w14:paraId="0751A9D2" w14:textId="01D05918" w:rsidR="00041C33" w:rsidRDefault="00FA5750">
      <w:pPr>
        <w:pStyle w:val="JuLista"/>
        <w:numPr>
          <w:ilvl w:val="1"/>
          <w:numId w:val="5"/>
        </w:numPr>
      </w:pPr>
      <w:r>
        <w:t>że od upływu wyżej wskazanego terminu trzech miesięcy aż</w:t>
      </w:r>
      <w:r w:rsidR="00656A6A">
        <w:t> </w:t>
      </w:r>
      <w:r>
        <w:t>do</w:t>
      </w:r>
      <w:r w:rsidR="00656A6A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62EC8A2B" w14:textId="77777777" w:rsidR="00041C33" w:rsidRDefault="00FA5750">
      <w:pPr>
        <w:pStyle w:val="JuList"/>
      </w:pPr>
      <w:r>
        <w:rPr>
          <w:i/>
        </w:rPr>
        <w:t xml:space="preserve">Oddala </w:t>
      </w:r>
      <w:r>
        <w:t>pozostałą część roszczenia skarżącego o słuszne zadośćuczynienie.</w:t>
      </w:r>
    </w:p>
    <w:p w14:paraId="277D8C42" w14:textId="1F1C79F0" w:rsidR="00041C33" w:rsidRDefault="00FA5750">
      <w:pPr>
        <w:pStyle w:val="JuParaLast"/>
      </w:pPr>
      <w:r>
        <w:lastRenderedPageBreak/>
        <w:t xml:space="preserve">Sporządzono w języku angielskim i obwieszczono pisemnie </w:t>
      </w:r>
      <w:r>
        <w:rPr>
          <w:rFonts w:ascii="Times New Roman" w:hAnsi="Times New Roman" w:cs="Times New Roman"/>
        </w:rPr>
        <w:t>16</w:t>
      </w:r>
      <w:r w:rsidR="00132847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października 2025 r</w:t>
      </w:r>
      <w:r>
        <w:t xml:space="preserve">., zgodnie z </w:t>
      </w:r>
      <w:r w:rsidR="00376AB2">
        <w:t>R</w:t>
      </w:r>
      <w:r>
        <w:t>egułą 77 §§ 2 i 3 Regulaminu Trybunału.</w:t>
      </w:r>
    </w:p>
    <w:p w14:paraId="167A8464" w14:textId="77777777" w:rsidR="00041C33" w:rsidRDefault="00FA5750">
      <w:pPr>
        <w:pStyle w:val="ECHRPlaceholder"/>
      </w:pPr>
      <w:r>
        <w:tab/>
      </w:r>
    </w:p>
    <w:p w14:paraId="75359D95" w14:textId="1DF15C4A" w:rsidR="00041C33" w:rsidRDefault="00132847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ab/>
      </w:r>
      <w:proofErr w:type="spellStart"/>
      <w:r>
        <w:t>Davor</w:t>
      </w:r>
      <w:proofErr w:type="spellEnd"/>
      <w:r>
        <w:t xml:space="preserve"> </w:t>
      </w:r>
      <w:proofErr w:type="spellStart"/>
      <w:r>
        <w:t>Derenčinović</w:t>
      </w:r>
      <w:proofErr w:type="spellEnd"/>
      <w:r>
        <w:br/>
      </w:r>
      <w:r>
        <w:tab/>
        <w:t>Zastępczyni Kanclerza</w:t>
      </w:r>
      <w:r>
        <w:tab/>
        <w:t>Przewodniczący</w:t>
      </w:r>
    </w:p>
    <w:p w14:paraId="24EB523E" w14:textId="77777777" w:rsidR="00041C33" w:rsidRDefault="00041C33">
      <w:pPr>
        <w:pStyle w:val="JuPara"/>
      </w:pPr>
    </w:p>
    <w:p w14:paraId="72BEEAC3" w14:textId="77777777" w:rsidR="00041C33" w:rsidRDefault="00041C33"/>
    <w:p w14:paraId="15EC9882" w14:textId="77777777" w:rsidR="004C6C8F" w:rsidRDefault="004C6C8F"/>
    <w:sectPr w:rsidR="004C6C8F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AEE28" w14:textId="77777777" w:rsidR="00BB44CE" w:rsidRDefault="00BB44CE">
      <w:r>
        <w:separator/>
      </w:r>
    </w:p>
  </w:endnote>
  <w:endnote w:type="continuationSeparator" w:id="0">
    <w:p w14:paraId="113CC38A" w14:textId="77777777" w:rsidR="00BB44CE" w:rsidRDefault="00BB4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C9BBD" w14:textId="77777777" w:rsidR="008103E5" w:rsidRDefault="008103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3A2AF" w14:textId="77777777" w:rsidR="00041C33" w:rsidRDefault="00FA5750">
    <w:pPr>
      <w:jc w:val="center"/>
    </w:pPr>
    <w:r>
      <w:rPr>
        <w:noProof/>
      </w:rPr>
      <w:drawing>
        <wp:inline distT="0" distB="0" distL="0" distR="0" wp14:anchorId="206B44F9" wp14:editId="4E41C079">
          <wp:extent cx="771525" cy="619125"/>
          <wp:effectExtent l="0" t="0" r="9525" b="9525"/>
          <wp:docPr id="1237891234" name="Picture 1237891234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891234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507B7" w14:textId="77777777" w:rsidR="00041C33" w:rsidRDefault="00041C33">
    <w:pPr>
      <w:pStyle w:val="Stopka"/>
      <w:jc w:val="center"/>
      <w:rPr>
        <w:sz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A342A" w14:textId="77777777" w:rsidR="00041C33" w:rsidRDefault="00FA5750">
    <w:pPr>
      <w:jc w:val="center"/>
    </w:pPr>
    <w:r>
      <w:rPr>
        <w:noProof/>
      </w:rPr>
      <w:drawing>
        <wp:inline distT="0" distB="0" distL="0" distR="0" wp14:anchorId="7B214261" wp14:editId="45FC89E2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8037B4" w14:textId="77777777" w:rsidR="00041C33" w:rsidRDefault="00041C33">
    <w:pPr>
      <w:pStyle w:val="Stopka"/>
      <w:jc w:val="center"/>
      <w:rPr>
        <w:sz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F9AD0" w14:textId="77777777" w:rsidR="00041C33" w:rsidRDefault="00FA5750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AF7C" w14:textId="77777777" w:rsidR="00041C33" w:rsidRDefault="00FA5750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7C586" w14:textId="77777777" w:rsidR="00BB44CE" w:rsidRDefault="00BB44CE">
      <w:r>
        <w:separator/>
      </w:r>
    </w:p>
  </w:footnote>
  <w:footnote w:type="continuationSeparator" w:id="0">
    <w:p w14:paraId="2ECAC4EE" w14:textId="77777777" w:rsidR="00BB44CE" w:rsidRDefault="00BB4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9D9" w14:textId="77777777" w:rsidR="008103E5" w:rsidRDefault="00810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57A22" w14:textId="77777777" w:rsidR="00041C33" w:rsidRDefault="00FA5750">
    <w:pPr>
      <w:jc w:val="center"/>
    </w:pPr>
    <w:r>
      <w:rPr>
        <w:noProof/>
      </w:rPr>
      <w:drawing>
        <wp:inline distT="0" distB="0" distL="0" distR="0" wp14:anchorId="159B3B20" wp14:editId="7F37F2D1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B574B" w14:textId="77777777" w:rsidR="00041C33" w:rsidRDefault="00041C33">
    <w:pPr>
      <w:jc w:val="center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B66B8" w14:textId="77777777" w:rsidR="00041C33" w:rsidRDefault="00FA5750">
    <w:pPr>
      <w:jc w:val="center"/>
    </w:pPr>
    <w:r>
      <w:rPr>
        <w:noProof/>
      </w:rPr>
      <w:drawing>
        <wp:inline distT="0" distB="0" distL="0" distR="0" wp14:anchorId="4B81CEC1" wp14:editId="4DE59210">
          <wp:extent cx="2962275" cy="1219200"/>
          <wp:effectExtent l="0" t="0" r="9525" b="0"/>
          <wp:docPr id="2065216970" name="Picture 206521697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21697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40A5D8" w14:textId="77777777" w:rsidR="00041C33" w:rsidRDefault="00041C33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4E5F" w14:textId="77777777" w:rsidR="00041C33" w:rsidRDefault="00FA5750">
    <w:pPr>
      <w:pStyle w:val="JuHeader"/>
    </w:pPr>
    <w:r>
      <w:t xml:space="preserve">WYROK w sprawie </w:t>
    </w:r>
    <w:proofErr w:type="spellStart"/>
    <w:r>
      <w:t>T.T</w:t>
    </w:r>
    <w:proofErr w:type="spellEnd"/>
    <w:r>
      <w:t>.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C62D5" w14:textId="77777777" w:rsidR="00041C33" w:rsidRDefault="00FA5750">
    <w:pPr>
      <w:pStyle w:val="JuHeader"/>
    </w:pPr>
    <w:r>
      <w:t xml:space="preserve">WYROK w sprawie </w:t>
    </w:r>
    <w:proofErr w:type="spellStart"/>
    <w:r>
      <w:t>T.T</w:t>
    </w:r>
    <w:proofErr w:type="spellEnd"/>
    <w:r>
      <w:t>.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078A8B1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C043A6C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C12075B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D9E5C1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934FF08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7F1828A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E3E09ED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2A485E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7376F27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144618733">
    <w:abstractNumId w:val="14"/>
  </w:num>
  <w:num w:numId="2" w16cid:durableId="571476607">
    <w:abstractNumId w:val="12"/>
  </w:num>
  <w:num w:numId="3" w16cid:durableId="1802457316">
    <w:abstractNumId w:val="11"/>
  </w:num>
  <w:num w:numId="4" w16cid:durableId="514270955">
    <w:abstractNumId w:val="15"/>
  </w:num>
  <w:num w:numId="5" w16cid:durableId="276105879">
    <w:abstractNumId w:val="13"/>
  </w:num>
  <w:num w:numId="6" w16cid:durableId="1773284070">
    <w:abstractNumId w:val="16"/>
  </w:num>
  <w:num w:numId="7" w16cid:durableId="519466848">
    <w:abstractNumId w:val="17"/>
  </w:num>
  <w:num w:numId="8" w16cid:durableId="165479928">
    <w:abstractNumId w:val="7"/>
  </w:num>
  <w:num w:numId="9" w16cid:durableId="322896035">
    <w:abstractNumId w:val="6"/>
  </w:num>
  <w:num w:numId="10" w16cid:durableId="205141929">
    <w:abstractNumId w:val="5"/>
  </w:num>
  <w:num w:numId="11" w16cid:durableId="1751998126">
    <w:abstractNumId w:val="4"/>
  </w:num>
  <w:num w:numId="12" w16cid:durableId="1076778564">
    <w:abstractNumId w:val="8"/>
  </w:num>
  <w:num w:numId="13" w16cid:durableId="814177484">
    <w:abstractNumId w:val="3"/>
  </w:num>
  <w:num w:numId="14" w16cid:durableId="755328523">
    <w:abstractNumId w:val="2"/>
  </w:num>
  <w:num w:numId="15" w16cid:durableId="1815903680">
    <w:abstractNumId w:val="1"/>
  </w:num>
  <w:num w:numId="16" w16cid:durableId="646938579">
    <w:abstractNumId w:val="0"/>
  </w:num>
  <w:num w:numId="17" w16cid:durableId="912592895">
    <w:abstractNumId w:val="15"/>
  </w:num>
  <w:num w:numId="18" w16cid:durableId="840900344">
    <w:abstractNumId w:val="16"/>
  </w:num>
  <w:num w:numId="19" w16cid:durableId="99952160">
    <w:abstractNumId w:val="10"/>
  </w:num>
  <w:num w:numId="20" w16cid:durableId="258098817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L4_1AppNatList" w:val="British"/>
    <w:docVar w:name="NBEMMDOC" w:val="0"/>
    <w:docVar w:name="Plural" w:val="0"/>
    <w:docVar w:name="SignForeName" w:val="0"/>
    <w:docVar w:name="SndCaseNumber" w:val="Error!Nodocumentvariablesupplied."/>
  </w:docVars>
  <w:rsids>
    <w:rsidRoot w:val="00143625"/>
    <w:rsid w:val="000041F8"/>
    <w:rsid w:val="000042A8"/>
    <w:rsid w:val="00004308"/>
    <w:rsid w:val="00005BF0"/>
    <w:rsid w:val="00005D1C"/>
    <w:rsid w:val="0000617D"/>
    <w:rsid w:val="00007154"/>
    <w:rsid w:val="000103AE"/>
    <w:rsid w:val="00011D69"/>
    <w:rsid w:val="00012AD3"/>
    <w:rsid w:val="00015C2D"/>
    <w:rsid w:val="00015F00"/>
    <w:rsid w:val="0001768D"/>
    <w:rsid w:val="00022C1D"/>
    <w:rsid w:val="0002592F"/>
    <w:rsid w:val="00031428"/>
    <w:rsid w:val="00034987"/>
    <w:rsid w:val="00041560"/>
    <w:rsid w:val="00041C33"/>
    <w:rsid w:val="00046756"/>
    <w:rsid w:val="000602DF"/>
    <w:rsid w:val="00061B05"/>
    <w:rsid w:val="000632D5"/>
    <w:rsid w:val="000644EE"/>
    <w:rsid w:val="000712E3"/>
    <w:rsid w:val="0007780A"/>
    <w:rsid w:val="0008132D"/>
    <w:rsid w:val="00085457"/>
    <w:rsid w:val="000925AD"/>
    <w:rsid w:val="00096FE1"/>
    <w:rsid w:val="00097A62"/>
    <w:rsid w:val="000A24EB"/>
    <w:rsid w:val="000A4FCD"/>
    <w:rsid w:val="000B686A"/>
    <w:rsid w:val="000B6923"/>
    <w:rsid w:val="000B7195"/>
    <w:rsid w:val="000C3D01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6F98"/>
    <w:rsid w:val="000E7D45"/>
    <w:rsid w:val="000F52F4"/>
    <w:rsid w:val="000F7851"/>
    <w:rsid w:val="00101505"/>
    <w:rsid w:val="00104E23"/>
    <w:rsid w:val="00110DA8"/>
    <w:rsid w:val="00111B0C"/>
    <w:rsid w:val="00120D6C"/>
    <w:rsid w:val="0012374A"/>
    <w:rsid w:val="001257EC"/>
    <w:rsid w:val="00132847"/>
    <w:rsid w:val="00133D33"/>
    <w:rsid w:val="00134B6A"/>
    <w:rsid w:val="00134D64"/>
    <w:rsid w:val="00135A30"/>
    <w:rsid w:val="0013612C"/>
    <w:rsid w:val="00137FF6"/>
    <w:rsid w:val="00141650"/>
    <w:rsid w:val="00143625"/>
    <w:rsid w:val="00150BFA"/>
    <w:rsid w:val="001561B6"/>
    <w:rsid w:val="00156525"/>
    <w:rsid w:val="00162A12"/>
    <w:rsid w:val="00166530"/>
    <w:rsid w:val="00170027"/>
    <w:rsid w:val="00171EDE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B7A33"/>
    <w:rsid w:val="001C055B"/>
    <w:rsid w:val="001C0F98"/>
    <w:rsid w:val="001C2A42"/>
    <w:rsid w:val="001C5335"/>
    <w:rsid w:val="001D63ED"/>
    <w:rsid w:val="001D7348"/>
    <w:rsid w:val="001E035B"/>
    <w:rsid w:val="001E0961"/>
    <w:rsid w:val="001E3EAE"/>
    <w:rsid w:val="001E5C90"/>
    <w:rsid w:val="001E5EFB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0718E"/>
    <w:rsid w:val="00210338"/>
    <w:rsid w:val="002115FC"/>
    <w:rsid w:val="0021423C"/>
    <w:rsid w:val="00226C89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307"/>
    <w:rsid w:val="00254DF2"/>
    <w:rsid w:val="002601D9"/>
    <w:rsid w:val="00260C03"/>
    <w:rsid w:val="0026439A"/>
    <w:rsid w:val="0026540E"/>
    <w:rsid w:val="00275123"/>
    <w:rsid w:val="00281374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94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4DF0"/>
    <w:rsid w:val="003201D8"/>
    <w:rsid w:val="00320F72"/>
    <w:rsid w:val="003236EB"/>
    <w:rsid w:val="0032463E"/>
    <w:rsid w:val="00326224"/>
    <w:rsid w:val="00337EE4"/>
    <w:rsid w:val="00340FFD"/>
    <w:rsid w:val="00345C41"/>
    <w:rsid w:val="003506B1"/>
    <w:rsid w:val="0035401A"/>
    <w:rsid w:val="00355877"/>
    <w:rsid w:val="00356AC7"/>
    <w:rsid w:val="00356B43"/>
    <w:rsid w:val="003609FA"/>
    <w:rsid w:val="003710C8"/>
    <w:rsid w:val="003750BE"/>
    <w:rsid w:val="00376AB2"/>
    <w:rsid w:val="00385A36"/>
    <w:rsid w:val="00385F3D"/>
    <w:rsid w:val="0038740C"/>
    <w:rsid w:val="00387B9D"/>
    <w:rsid w:val="00387C70"/>
    <w:rsid w:val="00390294"/>
    <w:rsid w:val="0039364F"/>
    <w:rsid w:val="003938A7"/>
    <w:rsid w:val="00396686"/>
    <w:rsid w:val="0039778E"/>
    <w:rsid w:val="003A13D2"/>
    <w:rsid w:val="003B4941"/>
    <w:rsid w:val="003C5714"/>
    <w:rsid w:val="003C6B9F"/>
    <w:rsid w:val="003C6E2A"/>
    <w:rsid w:val="003D0299"/>
    <w:rsid w:val="003E6D80"/>
    <w:rsid w:val="003E7BCC"/>
    <w:rsid w:val="003F05FA"/>
    <w:rsid w:val="003F14CC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14F3A"/>
    <w:rsid w:val="00420703"/>
    <w:rsid w:val="00425C67"/>
    <w:rsid w:val="00427E7A"/>
    <w:rsid w:val="004355AC"/>
    <w:rsid w:val="00436C49"/>
    <w:rsid w:val="00443D98"/>
    <w:rsid w:val="00445366"/>
    <w:rsid w:val="00447F5B"/>
    <w:rsid w:val="00452454"/>
    <w:rsid w:val="00461DB0"/>
    <w:rsid w:val="00462FFD"/>
    <w:rsid w:val="00463926"/>
    <w:rsid w:val="00464AB7"/>
    <w:rsid w:val="00464C9A"/>
    <w:rsid w:val="00473573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7044"/>
    <w:rsid w:val="004B013B"/>
    <w:rsid w:val="004B112B"/>
    <w:rsid w:val="004B444E"/>
    <w:rsid w:val="004C01E4"/>
    <w:rsid w:val="004C086C"/>
    <w:rsid w:val="004C0F12"/>
    <w:rsid w:val="004C1F56"/>
    <w:rsid w:val="004C27BC"/>
    <w:rsid w:val="004C6621"/>
    <w:rsid w:val="004C6C8F"/>
    <w:rsid w:val="004D0EC7"/>
    <w:rsid w:val="004D15F3"/>
    <w:rsid w:val="004D3B3D"/>
    <w:rsid w:val="004D4EF1"/>
    <w:rsid w:val="004D5311"/>
    <w:rsid w:val="004D5DCC"/>
    <w:rsid w:val="004D7E45"/>
    <w:rsid w:val="004E05F6"/>
    <w:rsid w:val="004E231A"/>
    <w:rsid w:val="004F10AF"/>
    <w:rsid w:val="004F11A4"/>
    <w:rsid w:val="004F2389"/>
    <w:rsid w:val="004F304D"/>
    <w:rsid w:val="004F4290"/>
    <w:rsid w:val="004F61BE"/>
    <w:rsid w:val="004F66B1"/>
    <w:rsid w:val="00504605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16E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C53A0"/>
    <w:rsid w:val="005D2F2A"/>
    <w:rsid w:val="005D34F9"/>
    <w:rsid w:val="005D4190"/>
    <w:rsid w:val="005D67A3"/>
    <w:rsid w:val="005E2988"/>
    <w:rsid w:val="005E3085"/>
    <w:rsid w:val="005E58BE"/>
    <w:rsid w:val="005F0EB3"/>
    <w:rsid w:val="005F51E1"/>
    <w:rsid w:val="00611C80"/>
    <w:rsid w:val="00620692"/>
    <w:rsid w:val="00623885"/>
    <w:rsid w:val="006242CA"/>
    <w:rsid w:val="00627507"/>
    <w:rsid w:val="00633717"/>
    <w:rsid w:val="006344E1"/>
    <w:rsid w:val="00643524"/>
    <w:rsid w:val="0064393B"/>
    <w:rsid w:val="00645CF2"/>
    <w:rsid w:val="00653BED"/>
    <w:rsid w:val="006545C4"/>
    <w:rsid w:val="00656A6A"/>
    <w:rsid w:val="00661971"/>
    <w:rsid w:val="00661CE8"/>
    <w:rsid w:val="006623D9"/>
    <w:rsid w:val="006642A5"/>
    <w:rsid w:val="0066550C"/>
    <w:rsid w:val="00665BD2"/>
    <w:rsid w:val="006716F2"/>
    <w:rsid w:val="00675AF2"/>
    <w:rsid w:val="00680704"/>
    <w:rsid w:val="00682BF2"/>
    <w:rsid w:val="0068573E"/>
    <w:rsid w:val="006859CE"/>
    <w:rsid w:val="00691270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E2E37"/>
    <w:rsid w:val="006E3CF1"/>
    <w:rsid w:val="006E4E5F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27154"/>
    <w:rsid w:val="0073136C"/>
    <w:rsid w:val="00731F0F"/>
    <w:rsid w:val="00733250"/>
    <w:rsid w:val="00741404"/>
    <w:rsid w:val="007449E5"/>
    <w:rsid w:val="0074750E"/>
    <w:rsid w:val="00747FF0"/>
    <w:rsid w:val="00751066"/>
    <w:rsid w:val="0075566E"/>
    <w:rsid w:val="00763602"/>
    <w:rsid w:val="00764D4E"/>
    <w:rsid w:val="00765A1F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D68C7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8010C3"/>
    <w:rsid w:val="00802C64"/>
    <w:rsid w:val="00805AF4"/>
    <w:rsid w:val="00805E52"/>
    <w:rsid w:val="008061D0"/>
    <w:rsid w:val="008073E4"/>
    <w:rsid w:val="008103E5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B7AEE"/>
    <w:rsid w:val="008C26DE"/>
    <w:rsid w:val="008D1668"/>
    <w:rsid w:val="008D2225"/>
    <w:rsid w:val="008D4752"/>
    <w:rsid w:val="008D5A13"/>
    <w:rsid w:val="008E271C"/>
    <w:rsid w:val="008E3A08"/>
    <w:rsid w:val="008E40E4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1EAF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63133"/>
    <w:rsid w:val="00972B55"/>
    <w:rsid w:val="009743B7"/>
    <w:rsid w:val="0098228B"/>
    <w:rsid w:val="009828DA"/>
    <w:rsid w:val="0098410D"/>
    <w:rsid w:val="00985BAB"/>
    <w:rsid w:val="00986B3C"/>
    <w:rsid w:val="009A115C"/>
    <w:rsid w:val="009A7FC1"/>
    <w:rsid w:val="009B1606"/>
    <w:rsid w:val="009B1B5F"/>
    <w:rsid w:val="009B6673"/>
    <w:rsid w:val="009C191B"/>
    <w:rsid w:val="009C2BD6"/>
    <w:rsid w:val="009D16E7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27AB3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6079"/>
    <w:rsid w:val="00AA754A"/>
    <w:rsid w:val="00AB099E"/>
    <w:rsid w:val="00AB4328"/>
    <w:rsid w:val="00AC38DE"/>
    <w:rsid w:val="00AC4CD4"/>
    <w:rsid w:val="00AC62EC"/>
    <w:rsid w:val="00AE0A2E"/>
    <w:rsid w:val="00AE354C"/>
    <w:rsid w:val="00AF12C5"/>
    <w:rsid w:val="00AF1E6B"/>
    <w:rsid w:val="00AF2B7D"/>
    <w:rsid w:val="00AF4B07"/>
    <w:rsid w:val="00AF6186"/>
    <w:rsid w:val="00AF7A3A"/>
    <w:rsid w:val="00B02587"/>
    <w:rsid w:val="00B049D1"/>
    <w:rsid w:val="00B12C28"/>
    <w:rsid w:val="00B14793"/>
    <w:rsid w:val="00B153A0"/>
    <w:rsid w:val="00B160DB"/>
    <w:rsid w:val="00B1712C"/>
    <w:rsid w:val="00B20836"/>
    <w:rsid w:val="00B235BB"/>
    <w:rsid w:val="00B27A44"/>
    <w:rsid w:val="00B30BBF"/>
    <w:rsid w:val="00B33C03"/>
    <w:rsid w:val="00B37B49"/>
    <w:rsid w:val="00B4421F"/>
    <w:rsid w:val="00B44E56"/>
    <w:rsid w:val="00B45917"/>
    <w:rsid w:val="00B46543"/>
    <w:rsid w:val="00B47D33"/>
    <w:rsid w:val="00B52BE0"/>
    <w:rsid w:val="00B52CB3"/>
    <w:rsid w:val="00B54133"/>
    <w:rsid w:val="00B55A8D"/>
    <w:rsid w:val="00B666F4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3E6B"/>
    <w:rsid w:val="00BA71B1"/>
    <w:rsid w:val="00BB0637"/>
    <w:rsid w:val="00BB345F"/>
    <w:rsid w:val="00BB44CE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118F"/>
    <w:rsid w:val="00BF4109"/>
    <w:rsid w:val="00BF4CC3"/>
    <w:rsid w:val="00BF527F"/>
    <w:rsid w:val="00C054C7"/>
    <w:rsid w:val="00C057B5"/>
    <w:rsid w:val="00C07D0E"/>
    <w:rsid w:val="00C115C3"/>
    <w:rsid w:val="00C1173E"/>
    <w:rsid w:val="00C15547"/>
    <w:rsid w:val="00C1672D"/>
    <w:rsid w:val="00C22687"/>
    <w:rsid w:val="00C251DC"/>
    <w:rsid w:val="00C26A92"/>
    <w:rsid w:val="00C26B1C"/>
    <w:rsid w:val="00C32B38"/>
    <w:rsid w:val="00C32E4D"/>
    <w:rsid w:val="00C333A0"/>
    <w:rsid w:val="00C36A81"/>
    <w:rsid w:val="00C41974"/>
    <w:rsid w:val="00C43203"/>
    <w:rsid w:val="00C44A2C"/>
    <w:rsid w:val="00C44F09"/>
    <w:rsid w:val="00C477F7"/>
    <w:rsid w:val="00C509A6"/>
    <w:rsid w:val="00C53F4A"/>
    <w:rsid w:val="00C54125"/>
    <w:rsid w:val="00C55B54"/>
    <w:rsid w:val="00C55F79"/>
    <w:rsid w:val="00C6098E"/>
    <w:rsid w:val="00C6152C"/>
    <w:rsid w:val="00C71424"/>
    <w:rsid w:val="00C74810"/>
    <w:rsid w:val="00C90D68"/>
    <w:rsid w:val="00C939FE"/>
    <w:rsid w:val="00CA4BDA"/>
    <w:rsid w:val="00CB13E3"/>
    <w:rsid w:val="00CB1AAE"/>
    <w:rsid w:val="00CB1F66"/>
    <w:rsid w:val="00CB232C"/>
    <w:rsid w:val="00CB2951"/>
    <w:rsid w:val="00CB4277"/>
    <w:rsid w:val="00CC055A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5AD7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5543"/>
    <w:rsid w:val="00D2629F"/>
    <w:rsid w:val="00D26E72"/>
    <w:rsid w:val="00D343E2"/>
    <w:rsid w:val="00D361A2"/>
    <w:rsid w:val="00D37272"/>
    <w:rsid w:val="00D44C2E"/>
    <w:rsid w:val="00D45414"/>
    <w:rsid w:val="00D50A0A"/>
    <w:rsid w:val="00D53548"/>
    <w:rsid w:val="00D5576B"/>
    <w:rsid w:val="00D566BD"/>
    <w:rsid w:val="00D57A4D"/>
    <w:rsid w:val="00D60AA7"/>
    <w:rsid w:val="00D6435F"/>
    <w:rsid w:val="00D66471"/>
    <w:rsid w:val="00D669D4"/>
    <w:rsid w:val="00D70641"/>
    <w:rsid w:val="00D74888"/>
    <w:rsid w:val="00D7488B"/>
    <w:rsid w:val="00D75E28"/>
    <w:rsid w:val="00D772C2"/>
    <w:rsid w:val="00D8008E"/>
    <w:rsid w:val="00D82C45"/>
    <w:rsid w:val="00D908A8"/>
    <w:rsid w:val="00D929DF"/>
    <w:rsid w:val="00D977B6"/>
    <w:rsid w:val="00DA1223"/>
    <w:rsid w:val="00DA4A31"/>
    <w:rsid w:val="00DA7B04"/>
    <w:rsid w:val="00DB36C2"/>
    <w:rsid w:val="00DC00A8"/>
    <w:rsid w:val="00DC169B"/>
    <w:rsid w:val="00DC1802"/>
    <w:rsid w:val="00DC2AB9"/>
    <w:rsid w:val="00DC63F0"/>
    <w:rsid w:val="00DC744E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4DDE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3726B"/>
    <w:rsid w:val="00E40404"/>
    <w:rsid w:val="00E4126A"/>
    <w:rsid w:val="00E42A06"/>
    <w:rsid w:val="00E459C6"/>
    <w:rsid w:val="00E47589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38A6"/>
    <w:rsid w:val="00E849F7"/>
    <w:rsid w:val="00E90302"/>
    <w:rsid w:val="00E91D05"/>
    <w:rsid w:val="00E9262D"/>
    <w:rsid w:val="00E94245"/>
    <w:rsid w:val="00E95C1E"/>
    <w:rsid w:val="00E97396"/>
    <w:rsid w:val="00EA185E"/>
    <w:rsid w:val="00EA592A"/>
    <w:rsid w:val="00EA684D"/>
    <w:rsid w:val="00EB14E4"/>
    <w:rsid w:val="00EB1573"/>
    <w:rsid w:val="00EB32A5"/>
    <w:rsid w:val="00EB34ED"/>
    <w:rsid w:val="00EB447C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6B8A"/>
    <w:rsid w:val="00F07C1E"/>
    <w:rsid w:val="00F105DB"/>
    <w:rsid w:val="00F132BC"/>
    <w:rsid w:val="00F13D80"/>
    <w:rsid w:val="00F15B4D"/>
    <w:rsid w:val="00F16A7C"/>
    <w:rsid w:val="00F16AAA"/>
    <w:rsid w:val="00F1709C"/>
    <w:rsid w:val="00F20DBB"/>
    <w:rsid w:val="00F21161"/>
    <w:rsid w:val="00F218EF"/>
    <w:rsid w:val="00F21BC7"/>
    <w:rsid w:val="00F266A2"/>
    <w:rsid w:val="00F32269"/>
    <w:rsid w:val="00F35B7A"/>
    <w:rsid w:val="00F528FA"/>
    <w:rsid w:val="00F56A6F"/>
    <w:rsid w:val="00F5709C"/>
    <w:rsid w:val="00F60B85"/>
    <w:rsid w:val="00F64EF1"/>
    <w:rsid w:val="00F72498"/>
    <w:rsid w:val="00F72B14"/>
    <w:rsid w:val="00F7349B"/>
    <w:rsid w:val="00F8765F"/>
    <w:rsid w:val="00F90767"/>
    <w:rsid w:val="00F9115B"/>
    <w:rsid w:val="00F9263C"/>
    <w:rsid w:val="00FA1637"/>
    <w:rsid w:val="00FA5750"/>
    <w:rsid w:val="00FA685B"/>
    <w:rsid w:val="00FB0C01"/>
    <w:rsid w:val="00FB5934"/>
    <w:rsid w:val="00FB76A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5F8B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81BA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lang w:val="pl-PL" w:eastAsia="pl-PL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Smart Link" w:semiHidden="1" w:unhideWhenUsed="1"/>
  </w:latentStyles>
  <w:style w:type="paragraph" w:default="1" w:styleId="Normalny">
    <w:name w:val="Normal"/>
    <w:semiHidden/>
    <w:rsid w:val="003236EB"/>
    <w:rPr>
      <w:sz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3236E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color w:val="333333"/>
      <w:sz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3236EB"/>
    <w:pPr>
      <w:spacing w:before="200"/>
      <w:outlineLvl w:val="1"/>
    </w:pPr>
    <w:rPr>
      <w:rFonts w:asciiTheme="majorHAnsi" w:eastAsiaTheme="majorEastAsia" w:hAnsiTheme="majorHAnsi" w:cstheme="majorBidi"/>
      <w:b/>
      <w:color w:val="4D4D4D"/>
      <w:sz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3236E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color w:val="5F5F5F"/>
      <w:sz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3236EB"/>
    <w:pPr>
      <w:spacing w:before="200"/>
      <w:outlineLvl w:val="3"/>
    </w:pPr>
    <w:rPr>
      <w:rFonts w:asciiTheme="majorHAnsi" w:eastAsiaTheme="majorEastAsia" w:hAnsiTheme="majorHAnsi" w:cstheme="majorBidi"/>
      <w:b/>
      <w:i/>
      <w:color w:val="777777"/>
      <w:sz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3236EB"/>
    <w:pPr>
      <w:spacing w:before="200"/>
      <w:outlineLvl w:val="4"/>
    </w:pPr>
    <w:rPr>
      <w:rFonts w:asciiTheme="majorHAnsi" w:eastAsiaTheme="majorEastAsia" w:hAnsiTheme="majorHAnsi" w:cstheme="majorBidi"/>
      <w:b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3236EB"/>
    <w:pPr>
      <w:spacing w:line="271" w:lineRule="auto"/>
      <w:outlineLvl w:val="5"/>
    </w:pPr>
    <w:rPr>
      <w:rFonts w:asciiTheme="majorHAnsi" w:eastAsiaTheme="majorEastAsia" w:hAnsiTheme="majorHAnsi" w:cstheme="majorBidi"/>
      <w:b/>
      <w:i/>
      <w:color w:val="7F7F7F" w:themeColor="text1" w:themeTint="80"/>
      <w:sz w:val="22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3236EB"/>
    <w:pPr>
      <w:outlineLvl w:val="6"/>
    </w:pPr>
    <w:rPr>
      <w:rFonts w:asciiTheme="majorHAnsi" w:eastAsiaTheme="majorEastAsia" w:hAnsiTheme="majorHAnsi" w:cstheme="majorBidi"/>
      <w:i/>
      <w:sz w:val="22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3236EB"/>
    <w:pPr>
      <w:outlineLvl w:val="7"/>
    </w:pPr>
    <w:rPr>
      <w:rFonts w:asciiTheme="majorHAnsi" w:eastAsiaTheme="majorEastAsia" w:hAnsiTheme="majorHAnsi" w:cstheme="majorBidi"/>
      <w:sz w:val="20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3236EB"/>
    <w:pPr>
      <w:outlineLvl w:val="8"/>
    </w:pPr>
    <w:rPr>
      <w:rFonts w:asciiTheme="majorHAnsi" w:eastAsiaTheme="majorEastAsia" w:hAnsiTheme="majorHAnsi" w:cstheme="majorBidi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3236EB"/>
    <w:rPr>
      <w:rFonts w:ascii="Tahoma" w:hAnsi="Tahoma" w:cs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3236EB"/>
    <w:rPr>
      <w:rFonts w:ascii="Tahoma" w:hAnsi="Tahoma" w:cs="Tahoma"/>
      <w:sz w:val="16"/>
    </w:rPr>
  </w:style>
  <w:style w:type="character" w:styleId="Tytuksiki">
    <w:name w:val="Book Title"/>
    <w:uiPriority w:val="98"/>
    <w:semiHidden/>
    <w:qFormat/>
    <w:rsid w:val="003236EB"/>
    <w:rPr>
      <w:i/>
      <w:smallCaps/>
    </w:rPr>
  </w:style>
  <w:style w:type="paragraph" w:customStyle="1" w:styleId="JuHeader">
    <w:name w:val="Ju_Header"/>
    <w:aliases w:val="_Header"/>
    <w:basedOn w:val="Nagwek"/>
    <w:uiPriority w:val="29"/>
    <w:qFormat/>
    <w:rsid w:val="003236E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3236EB"/>
    <w:pPr>
      <w:jc w:val="both"/>
    </w:pPr>
  </w:style>
  <w:style w:type="character" w:styleId="Pogrubienie">
    <w:name w:val="Strong"/>
    <w:uiPriority w:val="98"/>
    <w:semiHidden/>
    <w:qFormat/>
    <w:rsid w:val="003236EB"/>
    <w:rPr>
      <w:b/>
    </w:rPr>
  </w:style>
  <w:style w:type="paragraph" w:styleId="Bezodstpw">
    <w:name w:val="No Spacing"/>
    <w:basedOn w:val="Normalny"/>
    <w:link w:val="BezodstpwZnak"/>
    <w:uiPriority w:val="98"/>
    <w:semiHidden/>
    <w:qFormat/>
    <w:rsid w:val="003236EB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3236EB"/>
    <w:rPr>
      <w:sz w:val="24"/>
    </w:rPr>
  </w:style>
  <w:style w:type="paragraph" w:customStyle="1" w:styleId="JuQuot">
    <w:name w:val="Ju_Quot"/>
    <w:aliases w:val="_Quote"/>
    <w:basedOn w:val="NormalJustified"/>
    <w:uiPriority w:val="20"/>
    <w:qFormat/>
    <w:rsid w:val="003236EB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3236EB"/>
    <w:pPr>
      <w:numPr>
        <w:numId w:val="2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3236EB"/>
    <w:pPr>
      <w:numPr>
        <w:ilvl w:val="1"/>
        <w:numId w:val="20"/>
      </w:numPr>
    </w:pPr>
  </w:style>
  <w:style w:type="paragraph" w:customStyle="1" w:styleId="JuListi">
    <w:name w:val="Ju_List_i"/>
    <w:aliases w:val="_List_3"/>
    <w:basedOn w:val="NormalJustified"/>
    <w:uiPriority w:val="23"/>
    <w:rsid w:val="003236EB"/>
    <w:pPr>
      <w:numPr>
        <w:ilvl w:val="2"/>
        <w:numId w:val="2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3236E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3236E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3236E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3236EB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3236EB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3236EB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3236E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z w:val="52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3236EB"/>
    <w:rPr>
      <w:rFonts w:asciiTheme="majorHAnsi" w:eastAsiaTheme="majorEastAsia" w:hAnsiTheme="majorHAnsi" w:cstheme="majorBidi"/>
      <w:sz w:val="52"/>
    </w:rPr>
  </w:style>
  <w:style w:type="numbering" w:customStyle="1" w:styleId="ECHRA1StyleList">
    <w:name w:val="ECHR_A1_Style_List"/>
    <w:basedOn w:val="Bezlisty"/>
    <w:uiPriority w:val="99"/>
    <w:rsid w:val="003236EB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rsid w:val="003236EB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3236EB"/>
    <w:rPr>
      <w:sz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3236EB"/>
    <w:pPr>
      <w:tabs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3236EB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3236EB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3236EB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323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3236EB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3236EB"/>
    <w:rPr>
      <w:rFonts w:asciiTheme="majorHAnsi" w:eastAsiaTheme="majorEastAsia" w:hAnsiTheme="majorHAnsi" w:cstheme="majorBidi"/>
      <w:b/>
      <w:color w:val="333333"/>
      <w:sz w:val="28"/>
    </w:rPr>
  </w:style>
  <w:style w:type="paragraph" w:customStyle="1" w:styleId="JuHa0">
    <w:name w:val="Ju_H_a"/>
    <w:aliases w:val="_Head_5"/>
    <w:basedOn w:val="Nagwek5"/>
    <w:next w:val="JuPara"/>
    <w:uiPriority w:val="17"/>
    <w:rsid w:val="003236EB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3236EB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3236EB"/>
    <w:rPr>
      <w:rFonts w:asciiTheme="majorHAnsi" w:eastAsiaTheme="majorEastAsia" w:hAnsiTheme="majorHAnsi" w:cstheme="majorBidi"/>
      <w:b/>
      <w:color w:val="4D4D4D"/>
      <w:sz w:val="26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3236EB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3236EB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3236EB"/>
    <w:rPr>
      <w:rFonts w:asciiTheme="majorHAnsi" w:eastAsiaTheme="majorEastAsia" w:hAnsiTheme="majorHAnsi" w:cstheme="majorBidi"/>
      <w:b/>
      <w:color w:val="5F5F5F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3236E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3236E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3236EB"/>
    <w:rPr>
      <w:rFonts w:asciiTheme="majorHAnsi" w:eastAsiaTheme="majorEastAsia" w:hAnsiTheme="majorHAnsi" w:cstheme="majorBidi"/>
      <w:b/>
      <w:i/>
      <w:color w:val="777777"/>
    </w:rPr>
  </w:style>
  <w:style w:type="paragraph" w:customStyle="1" w:styleId="JuInitialled">
    <w:name w:val="Ju_Initialled"/>
    <w:aliases w:val="_Right"/>
    <w:basedOn w:val="Normalny"/>
    <w:uiPriority w:val="30"/>
    <w:qFormat/>
    <w:rsid w:val="003236E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3236EB"/>
    <w:rPr>
      <w:rFonts w:asciiTheme="majorHAnsi" w:eastAsiaTheme="majorEastAsia" w:hAnsiTheme="majorHAnsi" w:cstheme="majorBidi"/>
      <w:b/>
      <w:color w:val="808080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3236EB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3236EB"/>
    <w:rPr>
      <w:caps w:val="0"/>
      <w:smallCaps/>
    </w:rPr>
  </w:style>
  <w:style w:type="character" w:styleId="Wyrnieniedelikatne">
    <w:name w:val="Subtle Emphasis"/>
    <w:uiPriority w:val="98"/>
    <w:semiHidden/>
    <w:qFormat/>
    <w:rsid w:val="003236EB"/>
    <w:rPr>
      <w:i/>
    </w:rPr>
  </w:style>
  <w:style w:type="table" w:customStyle="1" w:styleId="ECHRTable">
    <w:name w:val="ECHR_Table"/>
    <w:basedOn w:val="Standardowy"/>
    <w:rsid w:val="003236EB"/>
    <w:rPr>
      <w:rFonts w:eastAsia="Times New Roman" w:cs="Times New Roman"/>
      <w:sz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3236EB"/>
    <w:rPr>
      <w:rFonts w:ascii="Verdana" w:eastAsia="Times New Roman" w:hAnsi="Verdana" w:cs="Times New Roman"/>
      <w:sz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3236EB"/>
    <w:rPr>
      <w:b/>
      <w:i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3236EB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3236EB"/>
    <w:rPr>
      <w:sz w:val="24"/>
    </w:rPr>
  </w:style>
  <w:style w:type="character" w:styleId="Odwoanieprzypisudolnego">
    <w:name w:val="footnote reference"/>
    <w:basedOn w:val="Domylnaczcionkaakapitu"/>
    <w:uiPriority w:val="98"/>
    <w:semiHidden/>
    <w:rsid w:val="003236EB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3236EB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3236EB"/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3236EB"/>
    <w:rPr>
      <w:rFonts w:asciiTheme="majorHAnsi" w:eastAsiaTheme="majorEastAsia" w:hAnsiTheme="majorHAnsi" w:cstheme="majorBidi"/>
      <w:b/>
      <w:i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3236EB"/>
    <w:rPr>
      <w:rFonts w:asciiTheme="majorHAnsi" w:eastAsiaTheme="majorEastAsia" w:hAnsiTheme="majorHAnsi" w:cstheme="majorBidi"/>
      <w:i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3236EB"/>
    <w:rPr>
      <w:rFonts w:asciiTheme="majorHAnsi" w:eastAsiaTheme="majorEastAsia" w:hAnsiTheme="majorHAnsi" w:cstheme="majorBidi"/>
      <w:sz w:val="20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3236EB"/>
    <w:rPr>
      <w:rFonts w:asciiTheme="majorHAnsi" w:eastAsiaTheme="majorEastAsia" w:hAnsiTheme="majorHAnsi" w:cstheme="majorBidi"/>
      <w:i/>
      <w:sz w:val="20"/>
    </w:rPr>
  </w:style>
  <w:style w:type="character" w:styleId="Hipercze">
    <w:name w:val="Hyperlink"/>
    <w:basedOn w:val="Domylnaczcionkaakapitu"/>
    <w:uiPriority w:val="98"/>
    <w:semiHidden/>
    <w:rsid w:val="003236EB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3236EB"/>
    <w:rPr>
      <w:b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3236EB"/>
    <w:pPr>
      <w:pBdr>
        <w:bottom w:val="single" w:sz="4" w:space="1" w:color="auto"/>
      </w:pBdr>
      <w:spacing w:before="200" w:after="280"/>
      <w:ind w:left="1008" w:right="1152"/>
    </w:pPr>
    <w:rPr>
      <w:b/>
      <w:i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3236EB"/>
    <w:rPr>
      <w:b/>
      <w:i/>
      <w:sz w:val="24"/>
    </w:rPr>
  </w:style>
  <w:style w:type="character" w:styleId="Odwoanieintensywne">
    <w:name w:val="Intense Reference"/>
    <w:uiPriority w:val="98"/>
    <w:semiHidden/>
    <w:qFormat/>
    <w:rsid w:val="003236EB"/>
    <w:rPr>
      <w:smallCaps/>
      <w:u w:val="single"/>
    </w:rPr>
  </w:style>
  <w:style w:type="paragraph" w:styleId="Akapitzlist">
    <w:name w:val="List Paragraph"/>
    <w:basedOn w:val="Normalny"/>
    <w:uiPriority w:val="98"/>
    <w:semiHidden/>
    <w:qFormat/>
    <w:rsid w:val="003236E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3236EB"/>
    <w:rPr>
      <w:sz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3236EB"/>
    <w:pPr>
      <w:spacing w:before="200"/>
      <w:ind w:left="360" w:right="360"/>
    </w:pPr>
    <w:rPr>
      <w:i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3236EB"/>
    <w:rPr>
      <w:i/>
      <w:sz w:val="24"/>
    </w:rPr>
  </w:style>
  <w:style w:type="character" w:styleId="Odwoaniedelikatne">
    <w:name w:val="Subtle Reference"/>
    <w:uiPriority w:val="98"/>
    <w:semiHidden/>
    <w:qFormat/>
    <w:rsid w:val="003236EB"/>
    <w:rPr>
      <w:smallCaps/>
    </w:rPr>
  </w:style>
  <w:style w:type="table" w:styleId="Tabela-Siatka">
    <w:name w:val="Table Grid"/>
    <w:basedOn w:val="Standardowy"/>
    <w:uiPriority w:val="59"/>
    <w:semiHidden/>
    <w:rsid w:val="003236EB"/>
    <w:rPr>
      <w:rFonts w:eastAsiaTheme="minorEastAsia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3236E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3236E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3236E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3236EB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3236E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3236E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3236EB"/>
    <w:rPr>
      <w:rFonts w:eastAsiaTheme="minorEastAsia"/>
      <w:sz w:val="20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3236EB"/>
    <w:rPr>
      <w:rFonts w:eastAsiaTheme="minorEastAsia"/>
      <w:sz w:val="24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3236EB"/>
    <w:rPr>
      <w:color w:val="000000" w:themeColor="text1"/>
      <w:sz w:val="18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3236EB"/>
    <w:rPr>
      <w:color w:val="000000" w:themeColor="text1"/>
      <w:sz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3236EB"/>
    <w:rPr>
      <w:sz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3236EB"/>
    <w:rPr>
      <w:sz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3236E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3236EB"/>
    <w:pPr>
      <w:spacing w:after="600"/>
    </w:pPr>
    <w:rPr>
      <w:rFonts w:asciiTheme="majorHAnsi" w:eastAsiaTheme="majorEastAsia" w:hAnsiTheme="majorHAnsi" w:cstheme="majorBidi"/>
      <w:i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3236EB"/>
    <w:rPr>
      <w:rFonts w:asciiTheme="majorHAnsi" w:eastAsiaTheme="majorEastAsia" w:hAnsiTheme="majorHAnsi" w:cstheme="majorBidi"/>
      <w:i/>
      <w:sz w:val="24"/>
    </w:rPr>
  </w:style>
  <w:style w:type="numbering" w:styleId="111111">
    <w:name w:val="Outline List 2"/>
    <w:basedOn w:val="Bezlisty"/>
    <w:uiPriority w:val="99"/>
    <w:semiHidden/>
    <w:unhideWhenUsed/>
    <w:rsid w:val="003236EB"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3236E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3236EB"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sid w:val="003236EB"/>
    <w:rPr>
      <w:sz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3236EB"/>
    <w:rPr>
      <w:sz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3236EB"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sid w:val="003236EB"/>
    <w:rPr>
      <w:color w:val="585858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3236EB"/>
    <w:rPr>
      <w:sz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3236EB"/>
  </w:style>
  <w:style w:type="paragraph" w:styleId="Tekstblokowy">
    <w:name w:val="Block Text"/>
    <w:basedOn w:val="Normalny"/>
    <w:uiPriority w:val="98"/>
    <w:semiHidden/>
    <w:rsid w:val="003236E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3236EB"/>
    <w:rPr>
      <w:sz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3236E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3236EB"/>
    <w:rPr>
      <w:sz w:val="24"/>
    </w:rPr>
  </w:style>
  <w:style w:type="table" w:customStyle="1" w:styleId="ECHRTableOddBanded">
    <w:name w:val="ECHR_Table_Odd_Banded"/>
    <w:basedOn w:val="Standardowy"/>
    <w:uiPriority w:val="99"/>
    <w:rsid w:val="003236EB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3236EB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3236EB"/>
    <w:rPr>
      <w:sz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3236EB"/>
    <w:pPr>
      <w:ind w:firstLine="284"/>
    </w:pPr>
    <w:rPr>
      <w:b/>
    </w:rPr>
  </w:style>
  <w:style w:type="character" w:styleId="Numerstrony">
    <w:name w:val="page number"/>
    <w:uiPriority w:val="98"/>
    <w:semiHidden/>
    <w:rsid w:val="003236EB"/>
    <w:rPr>
      <w:sz w:val="18"/>
    </w:rPr>
  </w:style>
  <w:style w:type="paragraph" w:styleId="Listapunktowana">
    <w:name w:val="List Bullet"/>
    <w:basedOn w:val="Normalny"/>
    <w:uiPriority w:val="98"/>
    <w:semiHidden/>
    <w:rsid w:val="003236EB"/>
    <w:pPr>
      <w:numPr>
        <w:numId w:val="7"/>
      </w:numPr>
    </w:pPr>
  </w:style>
  <w:style w:type="paragraph" w:styleId="Listapunktowana3">
    <w:name w:val="List Bullet 3"/>
    <w:basedOn w:val="Normalny"/>
    <w:uiPriority w:val="98"/>
    <w:semiHidden/>
    <w:rsid w:val="003236EB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3236EB"/>
    <w:rPr>
      <w:sz w:val="24"/>
    </w:rPr>
  </w:style>
  <w:style w:type="paragraph" w:styleId="Tekstpodstawowy3">
    <w:name w:val="Body Text 3"/>
    <w:basedOn w:val="Normalny"/>
    <w:link w:val="Tekstpodstawowy3Znak"/>
    <w:uiPriority w:val="98"/>
    <w:semiHidden/>
    <w:rsid w:val="003236EB"/>
    <w:pPr>
      <w:spacing w:after="120"/>
    </w:pPr>
    <w:rPr>
      <w:sz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3236EB"/>
    <w:rPr>
      <w:sz w:val="16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3236E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3236EB"/>
    <w:rPr>
      <w:sz w:val="24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3236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3236EB"/>
    <w:rPr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3236E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3236EB"/>
    <w:rPr>
      <w:sz w:val="24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3236E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3236EB"/>
    <w:rPr>
      <w:sz w:val="24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3236EB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3236EB"/>
    <w:rPr>
      <w:sz w:val="16"/>
    </w:rPr>
  </w:style>
  <w:style w:type="paragraph" w:styleId="Legenda">
    <w:name w:val="caption"/>
    <w:basedOn w:val="Normalny"/>
    <w:next w:val="Normalny"/>
    <w:uiPriority w:val="98"/>
    <w:semiHidden/>
    <w:qFormat/>
    <w:rsid w:val="003236EB"/>
    <w:pPr>
      <w:spacing w:after="200"/>
    </w:pPr>
    <w:rPr>
      <w:b/>
      <w:color w:val="0072BC" w:themeColor="accent1"/>
      <w:sz w:val="18"/>
    </w:rPr>
  </w:style>
  <w:style w:type="paragraph" w:styleId="Zwrotpoegnalny">
    <w:name w:val="Closing"/>
    <w:basedOn w:val="Normalny"/>
    <w:link w:val="ZwrotpoegnalnyZnak"/>
    <w:uiPriority w:val="98"/>
    <w:semiHidden/>
    <w:rsid w:val="003236E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3236EB"/>
    <w:rPr>
      <w:sz w:val="24"/>
    </w:rPr>
  </w:style>
  <w:style w:type="table" w:styleId="Kolorowasiatka">
    <w:name w:val="Colorful Grid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3236EB"/>
    <w:rPr>
      <w:color w:val="000000" w:themeColor="text1"/>
      <w:sz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3236EB"/>
    <w:rPr>
      <w:sz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3236EB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3236EB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3236EB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3236EB"/>
    <w:rPr>
      <w:b/>
      <w:sz w:val="20"/>
    </w:rPr>
  </w:style>
  <w:style w:type="table" w:styleId="Ciemnalista">
    <w:name w:val="Dark List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3236EB"/>
    <w:rPr>
      <w:color w:val="FFFFFF" w:themeColor="background1"/>
      <w:sz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3236EB"/>
  </w:style>
  <w:style w:type="character" w:customStyle="1" w:styleId="DataZnak">
    <w:name w:val="Data Znak"/>
    <w:basedOn w:val="Domylnaczcionkaakapitu"/>
    <w:link w:val="Data"/>
    <w:uiPriority w:val="98"/>
    <w:semiHidden/>
    <w:rsid w:val="003236EB"/>
    <w:rPr>
      <w:sz w:val="24"/>
    </w:rPr>
  </w:style>
  <w:style w:type="paragraph" w:styleId="Mapadokumentu">
    <w:name w:val="Document Map"/>
    <w:basedOn w:val="Normalny"/>
    <w:link w:val="MapadokumentuZnak"/>
    <w:uiPriority w:val="98"/>
    <w:semiHidden/>
    <w:rsid w:val="003236EB"/>
    <w:rPr>
      <w:rFonts w:ascii="Tahoma" w:hAnsi="Tahoma" w:cs="Tahoma"/>
      <w:sz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3236EB"/>
    <w:rPr>
      <w:rFonts w:ascii="Tahoma" w:hAnsi="Tahoma" w:cs="Tahoma"/>
      <w:sz w:val="16"/>
    </w:rPr>
  </w:style>
  <w:style w:type="paragraph" w:styleId="Podpise-mail">
    <w:name w:val="E-mail Signature"/>
    <w:basedOn w:val="Normalny"/>
    <w:link w:val="Podpise-mailZnak"/>
    <w:uiPriority w:val="98"/>
    <w:semiHidden/>
    <w:rsid w:val="003236EB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3236EB"/>
    <w:rPr>
      <w:sz w:val="24"/>
    </w:rPr>
  </w:style>
  <w:style w:type="character" w:styleId="Odwoanieprzypisukocowego">
    <w:name w:val="endnote reference"/>
    <w:basedOn w:val="Domylnaczcionkaakapitu"/>
    <w:uiPriority w:val="98"/>
    <w:semiHidden/>
    <w:rsid w:val="003236E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3236EB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3236EB"/>
    <w:rPr>
      <w:sz w:val="20"/>
    </w:rPr>
  </w:style>
  <w:style w:type="paragraph" w:styleId="Adresnakopercie">
    <w:name w:val="envelope address"/>
    <w:basedOn w:val="Normalny"/>
    <w:uiPriority w:val="98"/>
    <w:semiHidden/>
    <w:rsid w:val="003236E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3236EB"/>
    <w:rPr>
      <w:rFonts w:asciiTheme="majorHAnsi" w:eastAsiaTheme="majorEastAsia" w:hAnsiTheme="majorHAnsi" w:cstheme="majorBidi"/>
      <w:sz w:val="20"/>
    </w:rPr>
  </w:style>
  <w:style w:type="character" w:styleId="UyteHipercze">
    <w:name w:val="FollowedHyperlink"/>
    <w:basedOn w:val="Domylnaczcionkaakapitu"/>
    <w:uiPriority w:val="98"/>
    <w:semiHidden/>
    <w:rsid w:val="003236EB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3236EB"/>
  </w:style>
  <w:style w:type="paragraph" w:styleId="HTML-adres">
    <w:name w:val="HTML Address"/>
    <w:basedOn w:val="Normalny"/>
    <w:link w:val="HTML-adresZnak"/>
    <w:uiPriority w:val="98"/>
    <w:semiHidden/>
    <w:rsid w:val="003236EB"/>
    <w:rPr>
      <w:i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3236EB"/>
    <w:rPr>
      <w:i/>
      <w:sz w:val="24"/>
    </w:rPr>
  </w:style>
  <w:style w:type="character" w:styleId="HTML-cytat">
    <w:name w:val="HTML Cite"/>
    <w:basedOn w:val="Domylnaczcionkaakapitu"/>
    <w:uiPriority w:val="98"/>
    <w:semiHidden/>
    <w:rsid w:val="003236EB"/>
    <w:rPr>
      <w:i/>
    </w:rPr>
  </w:style>
  <w:style w:type="character" w:styleId="HTML-kod">
    <w:name w:val="HTML Code"/>
    <w:basedOn w:val="Domylnaczcionkaakapitu"/>
    <w:uiPriority w:val="98"/>
    <w:semiHidden/>
    <w:rsid w:val="003236EB"/>
    <w:rPr>
      <w:rFonts w:ascii="Consolas" w:hAnsi="Consolas" w:cs="Consolas"/>
      <w:sz w:val="20"/>
    </w:rPr>
  </w:style>
  <w:style w:type="character" w:styleId="HTML-definicja">
    <w:name w:val="HTML Definition"/>
    <w:basedOn w:val="Domylnaczcionkaakapitu"/>
    <w:uiPriority w:val="98"/>
    <w:semiHidden/>
    <w:rsid w:val="003236EB"/>
    <w:rPr>
      <w:i/>
    </w:rPr>
  </w:style>
  <w:style w:type="character" w:styleId="HTML-klawiatura">
    <w:name w:val="HTML Keyboard"/>
    <w:basedOn w:val="Domylnaczcionkaakapitu"/>
    <w:uiPriority w:val="98"/>
    <w:semiHidden/>
    <w:rsid w:val="003236EB"/>
    <w:rPr>
      <w:rFonts w:ascii="Consolas" w:hAnsi="Consolas" w:cs="Consolas"/>
      <w:sz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3236EB"/>
    <w:rPr>
      <w:rFonts w:ascii="Consolas" w:hAnsi="Consolas" w:cs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3236EB"/>
    <w:rPr>
      <w:rFonts w:ascii="Consolas" w:hAnsi="Consolas" w:cs="Consolas"/>
      <w:sz w:val="20"/>
    </w:rPr>
  </w:style>
  <w:style w:type="character" w:styleId="HTML-przykad">
    <w:name w:val="HTML Sample"/>
    <w:basedOn w:val="Domylnaczcionkaakapitu"/>
    <w:uiPriority w:val="98"/>
    <w:semiHidden/>
    <w:rsid w:val="003236EB"/>
    <w:rPr>
      <w:rFonts w:ascii="Consolas" w:hAnsi="Consolas" w:cs="Consolas"/>
      <w:sz w:val="24"/>
    </w:rPr>
  </w:style>
  <w:style w:type="character" w:styleId="HTML-staaszeroko">
    <w:name w:val="HTML Typewriter"/>
    <w:basedOn w:val="Domylnaczcionkaakapitu"/>
    <w:uiPriority w:val="98"/>
    <w:semiHidden/>
    <w:rsid w:val="003236EB"/>
    <w:rPr>
      <w:rFonts w:ascii="Consolas" w:hAnsi="Consolas" w:cs="Consolas"/>
      <w:sz w:val="20"/>
    </w:rPr>
  </w:style>
  <w:style w:type="character" w:styleId="HTML-zmienna">
    <w:name w:val="HTML Variable"/>
    <w:basedOn w:val="Domylnaczcionkaakapitu"/>
    <w:uiPriority w:val="98"/>
    <w:semiHidden/>
    <w:rsid w:val="003236EB"/>
    <w:rPr>
      <w:i/>
    </w:rPr>
  </w:style>
  <w:style w:type="paragraph" w:styleId="Indeks1">
    <w:name w:val="index 1"/>
    <w:basedOn w:val="Normalny"/>
    <w:next w:val="Normalny"/>
    <w:autoRedefine/>
    <w:uiPriority w:val="98"/>
    <w:semiHidden/>
    <w:rsid w:val="003236E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3236E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3236E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3236E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3236E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3236E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3236E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3236E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3236EB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3236EB"/>
    <w:rPr>
      <w:rFonts w:asciiTheme="majorHAnsi" w:eastAsiaTheme="majorEastAsia" w:hAnsiTheme="majorHAnsi" w:cstheme="majorBidi"/>
      <w:b/>
    </w:rPr>
  </w:style>
  <w:style w:type="table" w:styleId="Jasnasiatka">
    <w:name w:val="Light Grid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3236EB"/>
    <w:rPr>
      <w:color w:val="000000" w:themeColor="text1" w:themeShade="BF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3236EB"/>
    <w:rPr>
      <w:color w:val="00548C" w:themeColor="accent1" w:themeShade="BF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3236EB"/>
    <w:rPr>
      <w:color w:val="8F0000" w:themeColor="accent2" w:themeShade="BF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3236EB"/>
    <w:rPr>
      <w:color w:val="424242" w:themeColor="accent3" w:themeShade="BF"/>
      <w:sz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3236EB"/>
    <w:rPr>
      <w:color w:val="707070" w:themeColor="accent4" w:themeShade="BF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3236EB"/>
    <w:rPr>
      <w:color w:val="474747" w:themeColor="accent5" w:themeShade="BF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3236EB"/>
    <w:rPr>
      <w:color w:val="393939" w:themeColor="accent6" w:themeShade="BF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3236EB"/>
  </w:style>
  <w:style w:type="paragraph" w:styleId="Lista">
    <w:name w:val="List"/>
    <w:basedOn w:val="Normalny"/>
    <w:uiPriority w:val="98"/>
    <w:semiHidden/>
    <w:rsid w:val="003236EB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3236EB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3236EB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3236EB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3236EB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3236EB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8"/>
    <w:semiHidden/>
    <w:rsid w:val="003236EB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8"/>
    <w:semiHidden/>
    <w:rsid w:val="003236EB"/>
    <w:pPr>
      <w:numPr>
        <w:numId w:val="11"/>
      </w:numPr>
      <w:contextualSpacing/>
    </w:pPr>
  </w:style>
  <w:style w:type="paragraph" w:styleId="Lista-kontynuacja">
    <w:name w:val="List Continue"/>
    <w:basedOn w:val="Normalny"/>
    <w:uiPriority w:val="98"/>
    <w:semiHidden/>
    <w:rsid w:val="003236E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3236E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3236E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3236E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3236E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3236EB"/>
    <w:pPr>
      <w:numPr>
        <w:numId w:val="12"/>
      </w:numPr>
      <w:contextualSpacing/>
    </w:pPr>
  </w:style>
  <w:style w:type="paragraph" w:styleId="Listanumerowana2">
    <w:name w:val="List Number 2"/>
    <w:basedOn w:val="Normalny"/>
    <w:uiPriority w:val="98"/>
    <w:semiHidden/>
    <w:rsid w:val="003236EB"/>
    <w:pPr>
      <w:numPr>
        <w:numId w:val="13"/>
      </w:numPr>
      <w:contextualSpacing/>
    </w:pPr>
  </w:style>
  <w:style w:type="paragraph" w:styleId="Listanumerowana3">
    <w:name w:val="List Number 3"/>
    <w:basedOn w:val="Normalny"/>
    <w:uiPriority w:val="98"/>
    <w:semiHidden/>
    <w:rsid w:val="003236EB"/>
    <w:pPr>
      <w:numPr>
        <w:numId w:val="14"/>
      </w:numPr>
      <w:contextualSpacing/>
    </w:pPr>
  </w:style>
  <w:style w:type="paragraph" w:styleId="Listanumerowana4">
    <w:name w:val="List Number 4"/>
    <w:basedOn w:val="Normalny"/>
    <w:uiPriority w:val="98"/>
    <w:semiHidden/>
    <w:rsid w:val="003236EB"/>
    <w:pPr>
      <w:numPr>
        <w:numId w:val="15"/>
      </w:numPr>
      <w:contextualSpacing/>
    </w:pPr>
  </w:style>
  <w:style w:type="paragraph" w:styleId="Listanumerowana5">
    <w:name w:val="List Number 5"/>
    <w:basedOn w:val="Normalny"/>
    <w:uiPriority w:val="98"/>
    <w:semiHidden/>
    <w:rsid w:val="003236EB"/>
    <w:pPr>
      <w:numPr>
        <w:numId w:val="16"/>
      </w:numPr>
      <w:contextualSpacing/>
    </w:pPr>
  </w:style>
  <w:style w:type="paragraph" w:styleId="Tekstmakra">
    <w:name w:val="macro"/>
    <w:link w:val="TekstmakraZnak"/>
    <w:uiPriority w:val="98"/>
    <w:semiHidden/>
    <w:rsid w:val="003236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3236EB"/>
    <w:rPr>
      <w:rFonts w:ascii="Consolas" w:eastAsiaTheme="minorEastAsia" w:hAnsi="Consolas" w:cs="Consolas"/>
      <w:sz w:val="20"/>
    </w:rPr>
  </w:style>
  <w:style w:type="table" w:styleId="redniasiatka1">
    <w:name w:val="Medium Grid 1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3236EB"/>
    <w:rPr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3236EB"/>
    <w:rPr>
      <w:rFonts w:asciiTheme="majorHAnsi" w:eastAsiaTheme="majorEastAsia" w:hAnsiTheme="majorHAnsi" w:cstheme="majorBidi"/>
      <w:color w:val="000000" w:themeColor="text1"/>
      <w:sz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3236EB"/>
    <w:rPr>
      <w:sz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3236EB"/>
    <w:rPr>
      <w:sz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3236E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3236EB"/>
    <w:rPr>
      <w:rFonts w:asciiTheme="majorHAnsi" w:eastAsiaTheme="majorEastAsia" w:hAnsiTheme="majorHAnsi" w:cstheme="majorBidi"/>
      <w:sz w:val="24"/>
      <w:shd w:val="pct20" w:color="auto" w:fill="auto"/>
    </w:rPr>
  </w:style>
  <w:style w:type="paragraph" w:styleId="NormalnyWeb">
    <w:name w:val="Normal (Web)"/>
    <w:basedOn w:val="Normalny"/>
    <w:uiPriority w:val="98"/>
    <w:semiHidden/>
    <w:rsid w:val="003236EB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3236E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3236EB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3236EB"/>
    <w:rPr>
      <w:sz w:val="24"/>
    </w:rPr>
  </w:style>
  <w:style w:type="character" w:styleId="Tekstzastpczy">
    <w:name w:val="Placeholder Text"/>
    <w:basedOn w:val="Domylnaczcionkaakapitu"/>
    <w:uiPriority w:val="98"/>
    <w:semiHidden/>
    <w:rsid w:val="003236E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3236EB"/>
    <w:rPr>
      <w:rFonts w:ascii="Consolas" w:hAnsi="Consolas" w:cs="Consolas"/>
      <w:sz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3236EB"/>
    <w:rPr>
      <w:rFonts w:ascii="Consolas" w:hAnsi="Consolas" w:cs="Consolas"/>
      <w:sz w:val="21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3236EB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3236EB"/>
    <w:rPr>
      <w:sz w:val="24"/>
    </w:rPr>
  </w:style>
  <w:style w:type="paragraph" w:styleId="Podpis">
    <w:name w:val="Signature"/>
    <w:basedOn w:val="Normalny"/>
    <w:link w:val="PodpisZnak"/>
    <w:uiPriority w:val="98"/>
    <w:semiHidden/>
    <w:rsid w:val="003236E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3236EB"/>
    <w:rPr>
      <w:sz w:val="24"/>
    </w:rPr>
  </w:style>
  <w:style w:type="table" w:styleId="Tabela-Efekty3D1">
    <w:name w:val="Table 3D effects 1"/>
    <w:basedOn w:val="Standardowy"/>
    <w:uiPriority w:val="99"/>
    <w:semiHidden/>
    <w:unhideWhenUsed/>
    <w:rsid w:val="003236EB"/>
    <w:pPr>
      <w:jc w:val="both"/>
    </w:pPr>
    <w:rPr>
      <w:sz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3236EB"/>
    <w:pPr>
      <w:jc w:val="both"/>
    </w:pPr>
    <w:rPr>
      <w:color w:val="000080"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3236EB"/>
    <w:pPr>
      <w:jc w:val="both"/>
    </w:pPr>
    <w:rPr>
      <w:color w:val="FFFFFF"/>
      <w:sz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3236EB"/>
    <w:pPr>
      <w:jc w:val="both"/>
    </w:pPr>
    <w:rPr>
      <w:b/>
      <w:sz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3236EB"/>
    <w:pPr>
      <w:jc w:val="both"/>
    </w:pPr>
    <w:rPr>
      <w:b/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3236EB"/>
    <w:pPr>
      <w:jc w:val="both"/>
    </w:pPr>
    <w:rPr>
      <w:b/>
      <w:sz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3236EB"/>
    <w:pPr>
      <w:jc w:val="both"/>
    </w:pPr>
    <w:rPr>
      <w:b/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3236EB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3236EB"/>
  </w:style>
  <w:style w:type="table" w:styleId="Tabela-Profesjonalny">
    <w:name w:val="Table Professional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3236EB"/>
    <w:pPr>
      <w:jc w:val="both"/>
    </w:pPr>
    <w:rPr>
      <w:sz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3236EB"/>
    <w:pPr>
      <w:jc w:val="both"/>
    </w:pPr>
    <w:rPr>
      <w:sz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3236EB"/>
    <w:pPr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3236EB"/>
    <w:pPr>
      <w:jc w:val="both"/>
    </w:pPr>
    <w:rPr>
      <w:sz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3236EB"/>
    <w:pPr>
      <w:jc w:val="both"/>
    </w:pPr>
    <w:rPr>
      <w:sz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3236EB"/>
    <w:pPr>
      <w:jc w:val="both"/>
    </w:pPr>
    <w:rPr>
      <w:sz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3236E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3236E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3236E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3236E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3236EB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3236E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3236E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3236EB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3236EB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3236EB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3236EB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3236EB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3236E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3236EB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3236E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3236EB"/>
    <w:rPr>
      <w:rFonts w:ascii="Arial" w:hAnsi="Arial"/>
      <w:i/>
      <w:color w:val="002856"/>
      <w:sz w:val="3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3236EB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3236E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3236E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3236EB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3236EB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3236EB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3236EB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3236EB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3236EB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3236EB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3236EB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3236EB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3236EB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3236EB"/>
    <w:rPr>
      <w:sz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3236EB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3236E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3236E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3236E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3236E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3236E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3236E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3236EB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3236EB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3236EB"/>
    <w:rPr>
      <w:sz w:val="4"/>
    </w:rPr>
  </w:style>
  <w:style w:type="table" w:customStyle="1" w:styleId="ECHRTableGrey">
    <w:name w:val="ECHR_Table_Grey"/>
    <w:basedOn w:val="Standardowy"/>
    <w:uiPriority w:val="99"/>
    <w:rsid w:val="003236EB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36EB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143625"/>
    <w:rPr>
      <w:sz w:val="24"/>
    </w:rPr>
  </w:style>
  <w:style w:type="table" w:styleId="Tabelasiatki1jasna">
    <w:name w:val="Grid Table 1 Light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1">
    <w:name w:val="Grid Table 1 Light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JuNames0">
    <w:name w:val="Ju_Names"/>
    <w:rsid w:val="00143625"/>
    <w:rPr>
      <w:smallCaps/>
    </w:rPr>
  </w:style>
  <w:style w:type="paragraph" w:customStyle="1" w:styleId="JuList4">
    <w:name w:val="Ju_List_4"/>
    <w:aliases w:val="N_Bul_4"/>
    <w:basedOn w:val="JuListi"/>
    <w:uiPriority w:val="19"/>
    <w:rsid w:val="00143625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</w:rPr>
  </w:style>
  <w:style w:type="table" w:customStyle="1" w:styleId="GridTable1Light-Accent11">
    <w:name w:val="Grid Table 1 Light - Accent 1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Standardowy"/>
    <w:uiPriority w:val="46"/>
    <w:semiHidden/>
    <w:rsid w:val="0014362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2-Accent41">
    <w:name w:val="Grid Table 2 - Accent 4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Standardowy"/>
    <w:uiPriority w:val="47"/>
    <w:semiHidden/>
    <w:rsid w:val="0014362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3-Accent41">
    <w:name w:val="Grid Table 3 - Accent 4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4-Accent41">
    <w:name w:val="Grid Table 4 - Accent 4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GridTable5Dark-Accent41">
    <w:name w:val="Grid Table 5 Dark - Accent 4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Standardowy"/>
    <w:uiPriority w:val="50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Standardowy"/>
    <w:uiPriority w:val="51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Standardowy"/>
    <w:uiPriority w:val="51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Standardowy"/>
    <w:uiPriority w:val="51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Standardowy"/>
    <w:uiPriority w:val="51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6Colorful-Accent41">
    <w:name w:val="Grid Table 6 Colorful - Accent 41"/>
    <w:basedOn w:val="Standardowy"/>
    <w:uiPriority w:val="51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Standardowy"/>
    <w:uiPriority w:val="51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Standardowy"/>
    <w:uiPriority w:val="51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Standardowy"/>
    <w:uiPriority w:val="52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Standardowy"/>
    <w:uiPriority w:val="52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Standardowy"/>
    <w:uiPriority w:val="52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Standardowy"/>
    <w:uiPriority w:val="52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Standardowy"/>
    <w:uiPriority w:val="52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Standardowy"/>
    <w:uiPriority w:val="52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Standardowy"/>
    <w:uiPriority w:val="52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1jasnaakcent2">
    <w:name w:val="Grid Table 1 Light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1">
    <w:name w:val="List Table 1 Light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1Light-Accent41">
    <w:name w:val="List Table 1 Light - Accent 4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Standardowy"/>
    <w:uiPriority w:val="46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2-Accent41">
    <w:name w:val="List Table 2 - Accent 4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Standardowy"/>
    <w:uiPriority w:val="47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Standardowy"/>
    <w:uiPriority w:val="48"/>
    <w:semiHidden/>
    <w:rsid w:val="0014362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4-Accent41">
    <w:name w:val="List Table 4 - Accent 4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Standardowy"/>
    <w:uiPriority w:val="49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Standardowy"/>
    <w:uiPriority w:val="50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Standardowy"/>
    <w:uiPriority w:val="51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Standardowy"/>
    <w:uiPriority w:val="51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Standardowy"/>
    <w:uiPriority w:val="51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Standardowy"/>
    <w:uiPriority w:val="51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6Colorful-Accent41">
    <w:name w:val="List Table 6 Colorful - Accent 41"/>
    <w:basedOn w:val="Standardowy"/>
    <w:uiPriority w:val="51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Standardowy"/>
    <w:uiPriority w:val="51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Standardowy"/>
    <w:uiPriority w:val="51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Standardowy"/>
    <w:uiPriority w:val="52"/>
    <w:semiHidden/>
    <w:rsid w:val="0014362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Standardowy"/>
    <w:uiPriority w:val="52"/>
    <w:semiHidden/>
    <w:rsid w:val="0014362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Standardowy"/>
    <w:uiPriority w:val="52"/>
    <w:semiHidden/>
    <w:rsid w:val="0014362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Standardowy"/>
    <w:uiPriority w:val="52"/>
    <w:semiHidden/>
    <w:rsid w:val="00143625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Standardowy"/>
    <w:uiPriority w:val="52"/>
    <w:semiHidden/>
    <w:rsid w:val="0014362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Standardowy"/>
    <w:uiPriority w:val="52"/>
    <w:semiHidden/>
    <w:rsid w:val="0014362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Standardowy"/>
    <w:uiPriority w:val="52"/>
    <w:semiHidden/>
    <w:rsid w:val="0014362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3">
    <w:name w:val="Grid Table 1 Light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11">
    <w:name w:val="Plain Table 11"/>
    <w:basedOn w:val="Standardowy"/>
    <w:uiPriority w:val="41"/>
    <w:semiHidden/>
    <w:rsid w:val="0014362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Standardowy"/>
    <w:uiPriority w:val="42"/>
    <w:semiHidden/>
    <w:rsid w:val="0014362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Standardowy"/>
    <w:uiPriority w:val="43"/>
    <w:semiHidden/>
    <w:rsid w:val="0014362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Standardowy"/>
    <w:uiPriority w:val="44"/>
    <w:semiHidden/>
    <w:rsid w:val="0014362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Standardowy"/>
    <w:uiPriority w:val="45"/>
    <w:semiHidden/>
    <w:rsid w:val="0014362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4">
    <w:name w:val="Grid Table 1 Light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Light1">
    <w:name w:val="Table Grid Light1"/>
    <w:basedOn w:val="Standardowy"/>
    <w:uiPriority w:val="40"/>
    <w:semiHidden/>
    <w:rsid w:val="0014362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siatki1jasnaakcent6">
    <w:name w:val="Grid Table 1 Light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Poprawka">
    <w:name w:val="Revision"/>
    <w:hidden/>
    <w:uiPriority w:val="99"/>
    <w:semiHidden/>
    <w:rsid w:val="00143625"/>
    <w:rPr>
      <w:sz w:val="24"/>
    </w:rPr>
  </w:style>
  <w:style w:type="table" w:styleId="Tabelasiatki2akcent1">
    <w:name w:val="Grid Table 2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98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98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98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98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98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98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98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98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98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98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98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98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98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98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8"/>
    <w:semiHidden/>
    <w:rsid w:val="00143625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98"/>
    <w:semiHidden/>
    <w:rsid w:val="00143625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98"/>
    <w:semiHidden/>
    <w:rsid w:val="0014362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98"/>
    <w:semiHidden/>
    <w:rsid w:val="0014362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98"/>
    <w:semiHidden/>
    <w:rsid w:val="0014362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98"/>
    <w:semiHidden/>
    <w:rsid w:val="0014362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98"/>
    <w:semiHidden/>
    <w:rsid w:val="0014362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98"/>
    <w:semiHidden/>
    <w:rsid w:val="0014362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98"/>
    <w:semiHidden/>
    <w:rsid w:val="0014362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98"/>
    <w:semiHidden/>
    <w:rsid w:val="0014362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98"/>
    <w:semiHidden/>
    <w:rsid w:val="0014362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98"/>
    <w:semiHidden/>
    <w:rsid w:val="0014362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98"/>
    <w:semiHidden/>
    <w:rsid w:val="00143625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98"/>
    <w:semiHidden/>
    <w:rsid w:val="0014362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98"/>
    <w:semiHidden/>
    <w:rsid w:val="0014362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98"/>
    <w:semiHidden/>
    <w:rsid w:val="0014362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8"/>
    <w:semiHidden/>
    <w:rsid w:val="00143625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98"/>
    <w:semiHidden/>
    <w:rsid w:val="0014362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98"/>
    <w:semiHidden/>
    <w:rsid w:val="0014362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8"/>
    <w:semiHidden/>
    <w:rsid w:val="00143625"/>
    <w:rPr>
      <w:u w:val="dotted"/>
    </w:rPr>
  </w:style>
  <w:style w:type="character" w:styleId="Inteligentnylink">
    <w:name w:val="Smart Link"/>
    <w:basedOn w:val="Domylnaczcionkaakapitu"/>
    <w:uiPriority w:val="98"/>
    <w:semiHidden/>
    <w:rsid w:val="00143625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98"/>
    <w:semiHidden/>
    <w:rsid w:val="0014362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sid w:val="003236EB"/>
    <w:rPr>
      <w:color w:val="00B050"/>
      <w:sz w:val="22"/>
    </w:rPr>
  </w:style>
  <w:style w:type="paragraph" w:customStyle="1" w:styleId="P68B1DB1-DecHCase1">
    <w:name w:val="P68B1DB1-DecHCase1"/>
    <w:basedOn w:val="DecHCase"/>
    <w:rPr>
      <w:rFonts w:ascii="Times New Roman" w:hAnsi="Times New Roman" w:cs="Times New Roman"/>
    </w:rPr>
  </w:style>
  <w:style w:type="paragraph" w:customStyle="1" w:styleId="P68B1DB1-Normalny2">
    <w:name w:val="P68B1DB1-Normalny2"/>
    <w:basedOn w:val="Normalny"/>
    <w:rPr>
      <w:i/>
      <w:sz w:val="22"/>
    </w:rPr>
  </w:style>
  <w:style w:type="paragraph" w:customStyle="1" w:styleId="P68B1DB1-JuList3">
    <w:name w:val="P68B1DB1-JuList3"/>
    <w:basedOn w:val="JuList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140A8-0C55-4D3C-B251-E746EDEF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3249</Words>
  <Characters>19499</Characters>
  <Application>Microsoft Office Word</Application>
  <DocSecurity>0</DocSecurity>
  <Lines>162</Lines>
  <Paragraphs>45</Paragraphs>
  <ScaleCrop>false</ScaleCrop>
  <Company/>
  <LinksUpToDate>false</LinksUpToDate>
  <CharactersWithSpaces>22703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2025-11-28T15:56:00Z</dcterms:created>
  <dcterms:modified xsi:type="dcterms:W3CDTF">2025-11-28T15:56:00Z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1595014</vt:lpwstr>
  </property>
  <property fmtid="{D5CDD505-2E9C-101B-9397-08002B2CF9AE}" pid="3" name="cstLanguage">
    <vt:i4>2057</vt:i4>
  </property>
  <property fmtid="{D5CDD505-2E9C-101B-9397-08002B2CF9AE}" pid="4" name="RegisteredNo">
    <vt:lpwstr>51505/20</vt:lpwstr>
  </property>
  <property fmtid="{D5CDD505-2E9C-101B-9397-08002B2CF9AE}" pid="5" name="GrammarlyDocumentId">
    <vt:lpwstr>3e3188b6-4057-4c20-a7cc-505280f33319</vt:lpwstr>
  </property>
</Properties>
</file>