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E988C" w14:textId="77777777" w:rsidR="00E52C07" w:rsidRPr="00E52C07" w:rsidRDefault="00E52C07" w:rsidP="00E52C07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E52C07">
        <w:rPr>
          <w:rFonts w:ascii="Times New Roman" w:hAnsi="Times New Roman" w:cs="Times New Roman"/>
          <w:sz w:val="20"/>
          <w:szCs w:val="20"/>
          <w:lang w:val="en-US"/>
        </w:rPr>
        <w:t>© Ministerstwo Spraw Wewnętrznych i Administracji</w:t>
      </w:r>
    </w:p>
    <w:p w14:paraId="0E4F2C65" w14:textId="77777777" w:rsidR="00E52C07" w:rsidRPr="0005120F" w:rsidRDefault="00E52C07" w:rsidP="00E52C07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05120F">
        <w:rPr>
          <w:rFonts w:ascii="Times New Roman" w:hAnsi="Times New Roman" w:cs="Times New Roman"/>
          <w:sz w:val="20"/>
          <w:szCs w:val="20"/>
          <w:lang w:val="en-US"/>
        </w:rPr>
        <w:t>© Copyright for the Polish translation by the Polish Ministry of the Interior and Administration</w:t>
      </w:r>
    </w:p>
    <w:p w14:paraId="0E66EA26" w14:textId="77777777" w:rsidR="00E52C07" w:rsidRPr="0005120F" w:rsidRDefault="00E52C07" w:rsidP="00E52C07">
      <w:pPr>
        <w:jc w:val="center"/>
        <w:rPr>
          <w:rFonts w:ascii="Times New Roman" w:hAnsi="Times New Roman" w:cs="Times New Roman"/>
          <w:sz w:val="20"/>
          <w:szCs w:val="20"/>
        </w:rPr>
      </w:pPr>
      <w:r w:rsidRPr="0005120F">
        <w:rPr>
          <w:rFonts w:ascii="Times New Roman" w:hAnsi="Times New Roman" w:cs="Times New Roman"/>
          <w:sz w:val="20"/>
          <w:szCs w:val="20"/>
        </w:rPr>
        <w:t>Warszawa, 202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05120F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7A99BA91" w14:textId="77777777" w:rsidR="00E52C07" w:rsidRDefault="00E52C07" w:rsidP="00AD4DBD">
      <w:pPr>
        <w:pStyle w:val="DecHTitle"/>
      </w:pPr>
    </w:p>
    <w:p w14:paraId="637936EB" w14:textId="54487412" w:rsidR="00A9057B" w:rsidRDefault="00A9057B" w:rsidP="00AD4DBD">
      <w:pPr>
        <w:pStyle w:val="DecHTitle"/>
      </w:pPr>
      <w:r>
        <w:t>EUROPEJSKI TRYBUNAŁ PRAW CZŁOWIEKA</w:t>
      </w:r>
    </w:p>
    <w:p w14:paraId="48654798" w14:textId="6280CCD8" w:rsidR="0098410D" w:rsidRPr="00AD4DBD" w:rsidRDefault="00C232DF" w:rsidP="00AD4DBD">
      <w:pPr>
        <w:pStyle w:val="DecHTitle"/>
      </w:pPr>
      <w:r>
        <w:t xml:space="preserve">SEKCJA </w:t>
      </w:r>
      <w:r w:rsidR="00362627">
        <w:t>PIERWSZA</w:t>
      </w:r>
    </w:p>
    <w:p w14:paraId="70787891" w14:textId="132A5B93" w:rsidR="008E6217" w:rsidRPr="00AD4DBD" w:rsidRDefault="00C232DF" w:rsidP="00E52C07">
      <w:pPr>
        <w:pStyle w:val="JuTitle"/>
        <w:spacing w:before="360"/>
      </w:pPr>
      <w:r>
        <w:t>SPRAWA SIEDLECKA PRZECIWKO POLSCE</w:t>
      </w:r>
    </w:p>
    <w:p w14:paraId="58B65786" w14:textId="77777777" w:rsidR="00D74888" w:rsidRPr="00AD4DBD" w:rsidRDefault="00C232DF" w:rsidP="00A9057B">
      <w:pPr>
        <w:pStyle w:val="ECHRCoverTitle4"/>
        <w:spacing w:after="100" w:afterAutospacing="1"/>
      </w:pPr>
      <w:r>
        <w:t>(Skarga nr 13375/18)</w:t>
      </w:r>
    </w:p>
    <w:p w14:paraId="081B41A1" w14:textId="24F65F39" w:rsidR="0098410D" w:rsidRPr="00AD4DBD" w:rsidRDefault="00C232DF" w:rsidP="00AD4DBD">
      <w:pPr>
        <w:pStyle w:val="DecHCase"/>
      </w:pPr>
      <w:r>
        <w:t>WYROK</w:t>
      </w:r>
    </w:p>
    <w:p w14:paraId="18B17876" w14:textId="7FE3FE78" w:rsidR="00AD4DBD" w:rsidRPr="00AD4DBD" w:rsidRDefault="00C232DF" w:rsidP="00AD4DBD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</w:pPr>
      <w:r>
        <w:t xml:space="preserve">Art. 5 </w:t>
      </w:r>
      <w:r w:rsidR="00143E7C">
        <w:t>ust.</w:t>
      </w:r>
      <w:r>
        <w:t xml:space="preserve"> 1 • Wy</w:t>
      </w:r>
      <w:r w:rsidR="005911E5">
        <w:t>niesienie</w:t>
      </w:r>
      <w:r>
        <w:t xml:space="preserve"> skarżącej przez policję</w:t>
      </w:r>
      <w:r w:rsidR="001463F8">
        <w:t>,</w:t>
      </w:r>
      <w:r>
        <w:t xml:space="preserve"> podczas kontrdemonstracji </w:t>
      </w:r>
      <w:r w:rsidR="001463F8">
        <w:t>wobec</w:t>
      </w:r>
      <w:r>
        <w:t xml:space="preserve"> comiesięcznego wydarzenia upamiętniającego, na dziedziniec, gdzie</w:t>
      </w:r>
      <w:r w:rsidR="004F442E">
        <w:t> </w:t>
      </w:r>
      <w:r>
        <w:t>była przetrzymywana przez około dwie godziny,</w:t>
      </w:r>
      <w:r w:rsidR="00CA0ECE">
        <w:t xml:space="preserve"> co</w:t>
      </w:r>
      <w:r>
        <w:t xml:space="preserve"> stanowiło jej </w:t>
      </w:r>
      <w:r w:rsidR="005911E5">
        <w:t>zatrzymanie</w:t>
      </w:r>
      <w:r w:rsidR="00F35BBD">
        <w:t xml:space="preserve"> </w:t>
      </w:r>
      <w:r>
        <w:t>• Charakter i czas trwania nałożonych ograniczeń stanowiły pozbawienie wolności</w:t>
      </w:r>
      <w:r w:rsidR="00F35BBD">
        <w:t xml:space="preserve"> </w:t>
      </w:r>
      <w:r>
        <w:t>• Art. 5 ma zastosowanie</w:t>
      </w:r>
      <w:r w:rsidR="00F35BBD">
        <w:t xml:space="preserve"> </w:t>
      </w:r>
      <w:r>
        <w:t>• Brak wykazania, że cały zestaw zastosowanych środków przymusu miał wystarczającą podstawę prawną w prawie krajowym</w:t>
      </w:r>
      <w:r w:rsidR="00F35BBD">
        <w:t xml:space="preserve"> </w:t>
      </w:r>
      <w:r>
        <w:t>• Brak wykazania, że cały okres skutecznego zatrzymania był niezbędny do przeprowadzenia kontroli tożsamości skarżącej</w:t>
      </w:r>
      <w:r w:rsidR="00F35BBD">
        <w:t xml:space="preserve"> </w:t>
      </w:r>
      <w:r>
        <w:t>• Brak wyjaśnienia, dlaczego uczestnicy kontrdemonstracji nie</w:t>
      </w:r>
      <w:r w:rsidR="004F442E">
        <w:t> </w:t>
      </w:r>
      <w:r>
        <w:t>zostali zwolnieni po sprawdzeniu ich tożsamości, ale po zakończeniu wydarzenia</w:t>
      </w:r>
      <w:r w:rsidR="00F35BBD">
        <w:t xml:space="preserve"> </w:t>
      </w:r>
      <w:r>
        <w:t xml:space="preserve">• </w:t>
      </w:r>
      <w:r w:rsidR="001463F8">
        <w:t>Zatrzymanie</w:t>
      </w:r>
      <w:r>
        <w:t xml:space="preserve"> skarżącej nie było „przewidziane przez prawo”</w:t>
      </w:r>
    </w:p>
    <w:p w14:paraId="6B66F878" w14:textId="77777777" w:rsidR="00AD4DBD" w:rsidRPr="00AD4DBD" w:rsidRDefault="00AD4DBD" w:rsidP="00AD4DBD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856F6DF" w14:textId="41DD01B4" w:rsidR="00AD4DBD" w:rsidRPr="00AD4DBD" w:rsidRDefault="00773A74" w:rsidP="00AD4DBD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>
        <w:rPr>
          <w:sz w:val="20"/>
        </w:rPr>
        <w:t>Streszczenie p</w:t>
      </w:r>
      <w:r w:rsidR="00C232DF">
        <w:rPr>
          <w:sz w:val="20"/>
        </w:rPr>
        <w:t>rzygotowane przez Kancelarię. Nie jest wiążące dla Trybunału.</w:t>
      </w:r>
    </w:p>
    <w:p w14:paraId="06DBEA20" w14:textId="77777777" w:rsidR="0098410D" w:rsidRPr="00AD4DBD" w:rsidRDefault="00C232DF" w:rsidP="00E52C07">
      <w:pPr>
        <w:pStyle w:val="DecHCase"/>
        <w:spacing w:before="120" w:after="120"/>
      </w:pPr>
      <w:r>
        <w:t>STRASBURG</w:t>
      </w:r>
    </w:p>
    <w:p w14:paraId="3DB17A35" w14:textId="77777777" w:rsidR="0098410D" w:rsidRPr="00AD4DBD" w:rsidRDefault="00C232DF" w:rsidP="00AD4DBD">
      <w:pPr>
        <w:pStyle w:val="DecHCase"/>
      </w:pPr>
      <w:r>
        <w:rPr>
          <w:rFonts w:ascii="Times New Roman" w:hAnsi="Times New Roman"/>
        </w:rPr>
        <w:t>31 lipca 2025 r.</w:t>
      </w:r>
    </w:p>
    <w:p w14:paraId="0BCF35E5" w14:textId="70D2D242" w:rsidR="00A9057B" w:rsidRPr="00A9057B" w:rsidRDefault="00A9057B" w:rsidP="00E52C07">
      <w:pPr>
        <w:pStyle w:val="jucase0"/>
        <w:spacing w:after="12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A9057B">
        <w:rPr>
          <w:color w:val="FF0000"/>
          <w:sz w:val="28"/>
          <w:szCs w:val="28"/>
          <w:u w:val="single"/>
          <w:lang w:val="pl-PL"/>
        </w:rPr>
        <w:t>OSTATECZNY</w:t>
      </w:r>
    </w:p>
    <w:p w14:paraId="410EDE02" w14:textId="77777777" w:rsidR="00A9057B" w:rsidRPr="00A9057B" w:rsidRDefault="00A9057B" w:rsidP="00A9057B">
      <w:pPr>
        <w:pStyle w:val="jucase0"/>
        <w:spacing w:after="12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A9057B">
        <w:rPr>
          <w:b w:val="0"/>
          <w:color w:val="FF0000"/>
          <w:sz w:val="28"/>
          <w:szCs w:val="28"/>
          <w:lang w:val="pl-PL"/>
        </w:rPr>
        <w:t>31/10/2025</w:t>
      </w:r>
    </w:p>
    <w:p w14:paraId="059B0E5A" w14:textId="659958F9" w:rsidR="002422B6" w:rsidRPr="00AD4DBD" w:rsidRDefault="00C232DF" w:rsidP="00A9057B">
      <w:pPr>
        <w:jc w:val="center"/>
        <w:rPr>
          <w:i/>
          <w:sz w:val="22"/>
        </w:rPr>
      </w:pPr>
      <w:r>
        <w:rPr>
          <w:i/>
          <w:sz w:val="22"/>
        </w:rPr>
        <w:t>Niniejszy wyrok sta</w:t>
      </w:r>
      <w:r w:rsidR="00A9057B">
        <w:rPr>
          <w:i/>
          <w:sz w:val="22"/>
        </w:rPr>
        <w:t>ł</w:t>
      </w:r>
      <w:r>
        <w:rPr>
          <w:i/>
          <w:sz w:val="22"/>
        </w:rPr>
        <w:t xml:space="preserve"> się ostateczny na warunkach określonych w art</w:t>
      </w:r>
      <w:r w:rsidR="00A9057B">
        <w:rPr>
          <w:i/>
          <w:sz w:val="22"/>
        </w:rPr>
        <w:t>.</w:t>
      </w:r>
      <w:r>
        <w:rPr>
          <w:i/>
          <w:sz w:val="22"/>
        </w:rPr>
        <w:t xml:space="preserve"> 44 </w:t>
      </w:r>
      <w:r w:rsidR="00A9057B">
        <w:rPr>
          <w:i/>
          <w:sz w:val="22"/>
        </w:rPr>
        <w:t>ust.</w:t>
      </w:r>
      <w:r>
        <w:rPr>
          <w:i/>
          <w:sz w:val="22"/>
        </w:rPr>
        <w:t xml:space="preserve"> 2 Konwencji. Treść wyroku może </w:t>
      </w:r>
      <w:r w:rsidR="00666EA1">
        <w:rPr>
          <w:i/>
          <w:sz w:val="22"/>
        </w:rPr>
        <w:t>podlegać</w:t>
      </w:r>
      <w:r>
        <w:rPr>
          <w:i/>
          <w:sz w:val="22"/>
        </w:rPr>
        <w:t xml:space="preserve"> zmianom redakcyjnym.</w:t>
      </w:r>
    </w:p>
    <w:p w14:paraId="27A2C4FB" w14:textId="77777777" w:rsidR="00AD4DBD" w:rsidRPr="00AD4DBD" w:rsidRDefault="00AD4DBD" w:rsidP="00AD4DBD">
      <w:pPr>
        <w:sectPr w:rsidR="00AD4DBD" w:rsidRPr="00AD4DBD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2A6B86AF" w14:textId="77777777" w:rsidR="0098410D" w:rsidRPr="00AD4DBD" w:rsidRDefault="00C232DF" w:rsidP="00AD4DBD">
      <w:pPr>
        <w:pStyle w:val="JuCase"/>
      </w:pPr>
      <w:r>
        <w:lastRenderedPageBreak/>
        <w:t>W sprawie Siedlecka przeciwko Polsce,</w:t>
      </w:r>
    </w:p>
    <w:p w14:paraId="7A1AB592" w14:textId="46F72A50" w:rsidR="009F4C8F" w:rsidRPr="00AD4DBD" w:rsidRDefault="00C232DF" w:rsidP="00AD4DBD">
      <w:pPr>
        <w:pStyle w:val="JuPara"/>
      </w:pPr>
      <w:r>
        <w:t>Europejski Trybunał Praw Człowieka (Sekcja</w:t>
      </w:r>
      <w:r w:rsidR="00362627" w:rsidRPr="00362627">
        <w:t xml:space="preserve"> </w:t>
      </w:r>
      <w:r w:rsidR="00362627">
        <w:t>Pierwsza</w:t>
      </w:r>
      <w:r>
        <w:t>), orzekając jako Izba w następującym składzie:</w:t>
      </w:r>
    </w:p>
    <w:p w14:paraId="6DB4A59C" w14:textId="131F2172" w:rsidR="00A92625" w:rsidRPr="00AD4DBD" w:rsidRDefault="00C232DF" w:rsidP="00AD4DBD">
      <w:pPr>
        <w:pStyle w:val="JuJudges"/>
      </w:pPr>
      <w:r>
        <w:tab/>
        <w:t>Ivana Jelić</w:t>
      </w:r>
      <w:r>
        <w:rPr>
          <w:i/>
        </w:rPr>
        <w:t>, Przewodnicząca</w:t>
      </w:r>
      <w:r>
        <w:t>,</w:t>
      </w:r>
      <w:r>
        <w:br/>
      </w:r>
      <w:r>
        <w:tab/>
        <w:t>Erik Wennerström,</w:t>
      </w:r>
      <w:r>
        <w:br/>
      </w:r>
      <w:r>
        <w:tab/>
        <w:t>Alena Poláčková,</w:t>
      </w:r>
      <w:r>
        <w:br/>
      </w:r>
      <w:r>
        <w:tab/>
        <w:t>Frédéric Krenc,</w:t>
      </w:r>
      <w:r>
        <w:br/>
      </w:r>
      <w:r>
        <w:tab/>
        <w:t>Alain Chablais,</w:t>
      </w:r>
      <w:r>
        <w:br/>
      </w:r>
      <w:r>
        <w:tab/>
        <w:t>Artūrs Kučs,</w:t>
      </w:r>
      <w:r>
        <w:br/>
      </w:r>
      <w:r>
        <w:tab/>
        <w:t xml:space="preserve">Anna Adamska-Gallant, </w:t>
      </w:r>
      <w:r>
        <w:rPr>
          <w:i/>
        </w:rPr>
        <w:t>sędziowie</w:t>
      </w:r>
      <w:r>
        <w:t>,</w:t>
      </w:r>
      <w:r>
        <w:br/>
        <w:t xml:space="preserve">oraz Ilse Freiwirth, </w:t>
      </w:r>
      <w:r w:rsidR="00C02D64" w:rsidRPr="00C02D64">
        <w:rPr>
          <w:i/>
          <w:iCs/>
        </w:rPr>
        <w:t>Kanclerz</w:t>
      </w:r>
      <w:r>
        <w:rPr>
          <w:i/>
        </w:rPr>
        <w:t xml:space="preserve"> Sekcji,</w:t>
      </w:r>
    </w:p>
    <w:p w14:paraId="46425060" w14:textId="77777777" w:rsidR="0084030C" w:rsidRPr="00AD4DBD" w:rsidRDefault="00C232DF" w:rsidP="00AD4DBD">
      <w:pPr>
        <w:pStyle w:val="JuPara"/>
      </w:pPr>
      <w:r>
        <w:t>Mając na uwadze:</w:t>
      </w:r>
    </w:p>
    <w:p w14:paraId="791252B5" w14:textId="539DE73A" w:rsidR="0084030C" w:rsidRPr="00AD4DBD" w:rsidRDefault="00C232DF" w:rsidP="00AD4DBD">
      <w:pPr>
        <w:pStyle w:val="JuPara"/>
      </w:pPr>
      <w:r>
        <w:t>skargę (nr 13375/18) przeciwko Rzeczypospolitej Polskiej wniesioną do</w:t>
      </w:r>
      <w:r w:rsidR="004F442E">
        <w:t> </w:t>
      </w:r>
      <w:r>
        <w:t>Trybunału na podstawie art. 34 Konwencji o ochronie praw człowieka i</w:t>
      </w:r>
      <w:r w:rsidR="004F442E">
        <w:t> </w:t>
      </w:r>
      <w:r>
        <w:t xml:space="preserve">podstawowych wolności („Konwencja”) przez obywatelkę polską, </w:t>
      </w:r>
      <w:r w:rsidR="006F3C81">
        <w:t xml:space="preserve">Panią </w:t>
      </w:r>
      <w:r>
        <w:t>Ewę Annę Siedlecką („skarżąca"), w dniu 11 marca 2018 r;</w:t>
      </w:r>
    </w:p>
    <w:p w14:paraId="4EFBCFCE" w14:textId="38FB7DA9" w:rsidR="0084030C" w:rsidRPr="00AD4DBD" w:rsidRDefault="00C232DF" w:rsidP="00AD4DBD">
      <w:pPr>
        <w:pStyle w:val="JuPara"/>
      </w:pPr>
      <w:r>
        <w:t xml:space="preserve">decyzję o </w:t>
      </w:r>
      <w:r w:rsidR="007E3137">
        <w:t xml:space="preserve">zakomunikowaniu </w:t>
      </w:r>
      <w:r>
        <w:t>Rząd</w:t>
      </w:r>
      <w:r w:rsidR="007E3137">
        <w:t>owi</w:t>
      </w:r>
      <w:r>
        <w:t xml:space="preserve"> Polskie</w:t>
      </w:r>
      <w:r w:rsidR="007E3137">
        <w:t>mu</w:t>
      </w:r>
      <w:r>
        <w:t xml:space="preserve"> </w:t>
      </w:r>
      <w:r w:rsidRPr="001463F8">
        <w:t xml:space="preserve">(„Rząd”) </w:t>
      </w:r>
      <w:r w:rsidR="007E3137" w:rsidRPr="001463F8">
        <w:t>zarzutów</w:t>
      </w:r>
      <w:r w:rsidR="007E3137">
        <w:t xml:space="preserve"> skarg</w:t>
      </w:r>
      <w:r w:rsidR="001463F8">
        <w:t>i</w:t>
      </w:r>
      <w:r w:rsidR="007E3137">
        <w:t xml:space="preserve"> </w:t>
      </w:r>
      <w:r>
        <w:t>dotyczących art. 5, 10 i 11 Konwencji oraz o uznaniu pozostałej części skargi za niedopuszczalną;</w:t>
      </w:r>
    </w:p>
    <w:p w14:paraId="2D5FFAF6" w14:textId="4BBFABBB" w:rsidR="0084030C" w:rsidRPr="00AD4DBD" w:rsidRDefault="007B2609" w:rsidP="00AD4DBD">
      <w:pPr>
        <w:pStyle w:val="JuPara"/>
      </w:pPr>
      <w:r>
        <w:t>uwagi</w:t>
      </w:r>
      <w:r w:rsidR="00C232DF">
        <w:t xml:space="preserve"> przedstawione przez pozwany Rząd </w:t>
      </w:r>
      <w:r>
        <w:t>oraz uwagi przedstawione w</w:t>
      </w:r>
      <w:r w:rsidR="004F442E">
        <w:t> </w:t>
      </w:r>
      <w:r>
        <w:t xml:space="preserve">odpowiedzi przez </w:t>
      </w:r>
      <w:r w:rsidR="00C232DF">
        <w:t>skarżąc</w:t>
      </w:r>
      <w:r>
        <w:t>ą</w:t>
      </w:r>
      <w:r w:rsidR="00C232DF">
        <w:t>;</w:t>
      </w:r>
    </w:p>
    <w:p w14:paraId="562B8323" w14:textId="132C0392" w:rsidR="0084030C" w:rsidRPr="00AD4DBD" w:rsidRDefault="00C232DF" w:rsidP="00AD4DBD">
      <w:pPr>
        <w:pStyle w:val="JuPara"/>
      </w:pPr>
      <w:r>
        <w:t>uwagi Helsińskiej Fundacji Praw Człowieka oraz Rzecznika Praw Obywatelskich, któr</w:t>
      </w:r>
      <w:r w:rsidR="007B2609">
        <w:t xml:space="preserve">ym </w:t>
      </w:r>
      <w:r>
        <w:t>Przewodnicząc</w:t>
      </w:r>
      <w:r w:rsidR="007B2609">
        <w:t>y</w:t>
      </w:r>
      <w:r>
        <w:t xml:space="preserve"> Sekcji</w:t>
      </w:r>
      <w:r w:rsidR="007B2609">
        <w:t xml:space="preserve"> udzielił prawa do</w:t>
      </w:r>
      <w:r w:rsidR="004F442E">
        <w:t> </w:t>
      </w:r>
      <w:r w:rsidR="007B2609">
        <w:t>interwencji</w:t>
      </w:r>
      <w:r>
        <w:t>;</w:t>
      </w:r>
    </w:p>
    <w:p w14:paraId="5E52B266" w14:textId="1A91BB54" w:rsidR="009F4C8F" w:rsidRPr="00AD4DBD" w:rsidRDefault="00C232DF" w:rsidP="00AD4DBD">
      <w:pPr>
        <w:pStyle w:val="JuPara"/>
      </w:pPr>
      <w:r>
        <w:t>obradując na posiedzeniu</w:t>
      </w:r>
      <w:r w:rsidR="009A78AF">
        <w:t xml:space="preserve"> niejawnym</w:t>
      </w:r>
      <w:r>
        <w:t xml:space="preserve"> w dniu 8 lipca 2025 r.,</w:t>
      </w:r>
    </w:p>
    <w:p w14:paraId="2592E758" w14:textId="77777777" w:rsidR="009F4C8F" w:rsidRPr="00AD4DBD" w:rsidRDefault="00C232DF" w:rsidP="00AD4DBD">
      <w:pPr>
        <w:pStyle w:val="JuPara"/>
      </w:pPr>
      <w:r>
        <w:t>wydaje następujący wyrok, który został przyjęty tego dnia:</w:t>
      </w:r>
    </w:p>
    <w:p w14:paraId="0FC1F137" w14:textId="77777777" w:rsidR="0084030C" w:rsidRPr="00AD4DBD" w:rsidRDefault="00C232DF" w:rsidP="00AD4DBD">
      <w:pPr>
        <w:pStyle w:val="JuHHead"/>
        <w:numPr>
          <w:ilvl w:val="0"/>
          <w:numId w:val="0"/>
        </w:numPr>
      </w:pPr>
      <w:r>
        <w:t>WPROWADZENIE</w:t>
      </w:r>
    </w:p>
    <w:p w14:paraId="1E4F8115" w14:textId="6EB6CFF6" w:rsidR="0084030C" w:rsidRPr="00AD4DBD" w:rsidRDefault="00C232DF" w:rsidP="00AD4DBD">
      <w:pPr>
        <w:pStyle w:val="JuPara"/>
        <w:rPr>
          <w:rFonts w:ascii="Times New Roman" w:hAnsi="Times New Roman" w:cs="Times New Roman"/>
          <w:color w:val="000000"/>
        </w:rPr>
      </w:pPr>
      <w:r w:rsidRPr="006F3C81">
        <w:t>1.</w:t>
      </w:r>
      <w:r w:rsidR="00F35BBD">
        <w:t xml:space="preserve"> </w:t>
      </w:r>
      <w:r>
        <w:t xml:space="preserve">Niniejsza skarga dotyczy zarzutu skarżącej, że została pozbawiona wolności przez policję podczas </w:t>
      </w:r>
      <w:r>
        <w:rPr>
          <w:rFonts w:ascii="Times New Roman" w:hAnsi="Times New Roman"/>
          <w:color w:val="000000"/>
        </w:rPr>
        <w:t xml:space="preserve">kontrdemonstracji podczas comiesięcznej uroczystości upamiętniającej ofiary katastrofy polskiego samolotu rządowego w Smoleńsku w 2010 r. (zwanej dalej „miesięcznicą smoleńską”). Wydarzenie upamiętniające miało formę zgromadzenia cyklicznego i zostało zorganizowane przez rządzącą partię, Prawo i Sprawiedliwość. </w:t>
      </w:r>
      <w:r>
        <w:t xml:space="preserve">W skardze podniesiono kwestie wynikające z </w:t>
      </w:r>
      <w:r w:rsidR="00143E7C">
        <w:t>art.</w:t>
      </w:r>
      <w:r>
        <w:t xml:space="preserve"> 5 </w:t>
      </w:r>
      <w:r w:rsidR="00143E7C">
        <w:t>ust.</w:t>
      </w:r>
      <w:r>
        <w:t xml:space="preserve"> 1 Konwencji.</w:t>
      </w:r>
    </w:p>
    <w:p w14:paraId="6B17BBA6" w14:textId="77777777" w:rsidR="0084030C" w:rsidRPr="00AD4DBD" w:rsidRDefault="00C232DF" w:rsidP="00AD4DBD">
      <w:pPr>
        <w:pStyle w:val="JuHHead"/>
      </w:pPr>
      <w:r>
        <w:t>FAKTY</w:t>
      </w:r>
    </w:p>
    <w:p w14:paraId="0886B1EA" w14:textId="342DD39E" w:rsidR="0084030C" w:rsidRPr="00AD4DBD" w:rsidRDefault="00AD4DBD" w:rsidP="00AD4DBD">
      <w:pPr>
        <w:pStyle w:val="JuPara"/>
      </w:pPr>
      <w:r w:rsidRPr="00AD4DBD">
        <w:t>1</w:t>
      </w:r>
      <w:r>
        <w:t>.</w:t>
      </w:r>
      <w:r w:rsidR="00F35BBD">
        <w:t xml:space="preserve"> </w:t>
      </w:r>
      <w:r>
        <w:t>Skarżąca urodziła się w 1958 r</w:t>
      </w:r>
      <w:r w:rsidR="009D36CE">
        <w:t>.</w:t>
      </w:r>
      <w:r>
        <w:t xml:space="preserve"> i mieszka w Warszawie. Reprezentował ją Pan P. Osik, prawnik praktykujący w Warszawie.</w:t>
      </w:r>
    </w:p>
    <w:p w14:paraId="326412FC" w14:textId="5D1C288B" w:rsidR="0084030C" w:rsidRPr="00AD4DBD" w:rsidRDefault="00AD4DBD" w:rsidP="00AD4DBD">
      <w:pPr>
        <w:pStyle w:val="JuPara"/>
      </w:pPr>
      <w:r w:rsidRPr="00AD4DBD">
        <w:t>2</w:t>
      </w:r>
      <w:r>
        <w:t>.</w:t>
      </w:r>
      <w:r w:rsidR="00F35BBD">
        <w:t xml:space="preserve"> </w:t>
      </w:r>
      <w:r>
        <w:t xml:space="preserve">Rząd był reprezentowany przez swojego pełnomocnika, </w:t>
      </w:r>
      <w:r w:rsidR="006F3C81">
        <w:t xml:space="preserve">Pana </w:t>
      </w:r>
      <w:r>
        <w:t>J.</w:t>
      </w:r>
      <w:r w:rsidR="004F442E">
        <w:t> </w:t>
      </w:r>
      <w:r>
        <w:t>Sobczaka z Ministerstwa Spraw Zagranicznych.</w:t>
      </w:r>
    </w:p>
    <w:p w14:paraId="44391122" w14:textId="1C4C35AA" w:rsidR="0084030C" w:rsidRPr="00AD4DBD" w:rsidRDefault="00AD4DBD" w:rsidP="00AD4DBD">
      <w:pPr>
        <w:pStyle w:val="JuPara"/>
      </w:pPr>
      <w:r w:rsidRPr="00AD4DBD">
        <w:t>3</w:t>
      </w:r>
      <w:r>
        <w:t>.</w:t>
      </w:r>
      <w:r w:rsidR="00F35BBD">
        <w:t xml:space="preserve"> </w:t>
      </w:r>
      <w:r>
        <w:t>Okoliczności faktyczne sprawy można streścić w następujący sposób.</w:t>
      </w:r>
    </w:p>
    <w:p w14:paraId="5C53190C" w14:textId="2978FB62" w:rsidR="0084030C" w:rsidRPr="00AD4DBD" w:rsidRDefault="00AD4DBD" w:rsidP="00AD4DBD">
      <w:pPr>
        <w:pStyle w:val="JuPara"/>
        <w:rPr>
          <w:rFonts w:ascii="Times New Roman" w:hAnsi="Times New Roman" w:cs="Times New Roman"/>
          <w:color w:val="000000"/>
        </w:rPr>
      </w:pPr>
      <w:r w:rsidRPr="00AD4DBD">
        <w:rPr>
          <w:rFonts w:ascii="Times New Roman" w:hAnsi="Times New Roman" w:cs="Times New Roman"/>
          <w:color w:val="000000"/>
        </w:rPr>
        <w:lastRenderedPageBreak/>
        <w:t>4</w:t>
      </w:r>
      <w:r w:rsidR="00C232DF">
        <w:rPr>
          <w:rFonts w:ascii="Times New Roman" w:hAnsi="Times New Roman"/>
          <w:color w:val="000000"/>
        </w:rPr>
        <w:t>.</w:t>
      </w:r>
      <w:r w:rsidR="00F35BBD">
        <w:rPr>
          <w:rFonts w:ascii="Times New Roman" w:hAnsi="Times New Roman"/>
          <w:color w:val="000000"/>
        </w:rPr>
        <w:t xml:space="preserve"> </w:t>
      </w:r>
      <w:r w:rsidR="00C232DF">
        <w:rPr>
          <w:rFonts w:ascii="Times New Roman" w:hAnsi="Times New Roman"/>
          <w:color w:val="000000"/>
        </w:rPr>
        <w:t>Skarżąca jest znaną dziennikarką zajmującą się problematyką prawną i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>prawami człowieka. Otrzymała wiele nagród za swoją pracę dziennikarską.</w:t>
      </w:r>
    </w:p>
    <w:p w14:paraId="7AF4B713" w14:textId="77777777" w:rsidR="0084030C" w:rsidRPr="00AD4DBD" w:rsidRDefault="00C232DF" w:rsidP="00AD4DBD">
      <w:pPr>
        <w:pStyle w:val="JuHIRoman"/>
      </w:pPr>
      <w:r>
        <w:t>WYDARZENIA Z DNIA 10 CZERWCA 2017 R.</w:t>
      </w:r>
    </w:p>
    <w:p w14:paraId="19204C51" w14:textId="40AD1077" w:rsidR="0084030C" w:rsidRPr="00AD4DBD" w:rsidRDefault="00AD4DBD" w:rsidP="00AD4DBD">
      <w:pPr>
        <w:pStyle w:val="JuPara"/>
      </w:pPr>
      <w:r w:rsidRPr="00AD4DBD">
        <w:t>5</w:t>
      </w:r>
      <w:r>
        <w:t>.</w:t>
      </w:r>
      <w:r w:rsidR="00F35BBD">
        <w:t xml:space="preserve"> </w:t>
      </w:r>
      <w:r>
        <w:t>Wieczorem dnia 10 czerwca 2017 r. skarżąca wzięła udział w</w:t>
      </w:r>
      <w:r w:rsidR="004F442E">
        <w:t> </w:t>
      </w:r>
      <w:r>
        <w:t xml:space="preserve">zgromadzeniu na ul. Krakowskie Przedmieście w Warszawie. Zgromadzenie zostało zorganizowane przez fundację Obywatele RP </w:t>
      </w:r>
      <w:r w:rsidR="006F3C81">
        <w:t>j</w:t>
      </w:r>
      <w:r>
        <w:t>ako kontrdemonstracja przeciwko comiesięcznym obchodom rocznicy katastrofy smoleńskiej.</w:t>
      </w:r>
    </w:p>
    <w:p w14:paraId="071C6F02" w14:textId="390FBC8A" w:rsidR="0084030C" w:rsidRPr="00AD4DBD" w:rsidRDefault="00AD4DBD" w:rsidP="00AD4DBD">
      <w:pPr>
        <w:pStyle w:val="JuPara"/>
      </w:pPr>
      <w:r w:rsidRPr="00AD4DBD">
        <w:t>6</w:t>
      </w:r>
      <w:r>
        <w:t>.</w:t>
      </w:r>
      <w:r w:rsidR="00F35BBD">
        <w:t xml:space="preserve"> </w:t>
      </w:r>
      <w:r>
        <w:t>Zdaniem skarżącej, biorąc udział w zgromadzeniu chciała wyrazić swój sprzeciw wobec jej zdaniem niekonstytucyjnej ustawy z dnia 13 grudnia 2016</w:t>
      </w:r>
      <w:r w:rsidR="004F442E">
        <w:t> </w:t>
      </w:r>
      <w:r>
        <w:t xml:space="preserve">r. o zmianie ustawy </w:t>
      </w:r>
      <w:r w:rsidR="006F3C81">
        <w:t>–</w:t>
      </w:r>
      <w:r>
        <w:t xml:space="preserve"> Prawo o zgromadzeniach. Twierdziła, że zmiany do ustawy o zgromadzeniach zostały przyjęte przez większość rządową w</w:t>
      </w:r>
      <w:r w:rsidR="004F442E">
        <w:t> </w:t>
      </w:r>
      <w:r>
        <w:t>celu ochrony własnych comiesięcznych wydarzeń politycznych. Nowelizacja wprowadziła specjalny status tzw. zgromadzeń cyklicznych.</w:t>
      </w:r>
    </w:p>
    <w:p w14:paraId="68DB6050" w14:textId="2BC0D4DF" w:rsidR="0084030C" w:rsidRPr="00AD4DBD" w:rsidRDefault="00AD4DBD" w:rsidP="00AD4DBD">
      <w:pPr>
        <w:pStyle w:val="JuPara"/>
      </w:pPr>
      <w:r w:rsidRPr="00AD4DBD">
        <w:t>7</w:t>
      </w:r>
      <w:r>
        <w:t>.</w:t>
      </w:r>
      <w:r w:rsidR="00F35BBD">
        <w:t xml:space="preserve"> </w:t>
      </w:r>
      <w:r>
        <w:t>Przed i po wydarzeniach będących przedmiotem skargi skarżąca opublikowała w prasie serię artykułów dotyczących konstytucyjności zmian w ustawie o zgromadzeniach, procesu legislacyjnego, reakcji i protestów społecznych, konsekwencji wprowadzenia wspomnianych zmian dotyczących zgromadzeń cyklicznych, a także działań podejmowanych przez policję przeciwko demonstrantom.</w:t>
      </w:r>
    </w:p>
    <w:p w14:paraId="430ACCEE" w14:textId="2B943167" w:rsidR="0084030C" w:rsidRPr="00AD4DBD" w:rsidRDefault="00AD4DBD" w:rsidP="00AD4DBD">
      <w:pPr>
        <w:pStyle w:val="JuPara"/>
      </w:pPr>
      <w:r w:rsidRPr="00AD4DBD">
        <w:t>8</w:t>
      </w:r>
      <w:r>
        <w:t>.</w:t>
      </w:r>
      <w:r w:rsidR="00F35BBD">
        <w:t xml:space="preserve"> </w:t>
      </w:r>
      <w:r>
        <w:t>W dniu 5 czerwca 2017 r. Prezydent Warszawy, na podstawie znowelizowanej ustawy o zgromadzeniach,</w:t>
      </w:r>
      <w:r w:rsidR="00F35BBD">
        <w:t xml:space="preserve"> </w:t>
      </w:r>
      <w:r>
        <w:t>wydał zakaz organizacji kontrmanifestacji zaplanowanej na dzień 10 czerwca 2017 r. W dniu 6</w:t>
      </w:r>
      <w:r w:rsidR="004F442E">
        <w:t> </w:t>
      </w:r>
      <w:r>
        <w:t>czerwca 2017 r. Sąd Okręgowy w Warszawie utrzymał w mocy decyzję Prezydenta Miasta Stołecznego Warszawy, a w dniu 8 czerwca 2017 r. Sąd</w:t>
      </w:r>
      <w:r w:rsidR="004F442E">
        <w:t> </w:t>
      </w:r>
      <w:r>
        <w:t>Apelacyjny w Warszawie również oddalił zażalenie złożone przez organizatorów.</w:t>
      </w:r>
    </w:p>
    <w:p w14:paraId="1064A792" w14:textId="085A3126" w:rsidR="0084030C" w:rsidRPr="00AD4DBD" w:rsidRDefault="00AD4DBD" w:rsidP="00AD4DBD">
      <w:pPr>
        <w:pStyle w:val="JuPara"/>
      </w:pPr>
      <w:r w:rsidRPr="00AD4DBD">
        <w:t>9</w:t>
      </w:r>
      <w:r>
        <w:t>.</w:t>
      </w:r>
      <w:r w:rsidR="00F35BBD">
        <w:t xml:space="preserve"> </w:t>
      </w:r>
      <w:r>
        <w:t xml:space="preserve">Zakaz kontrdemonstracji uzasadniono okolicznością, że miała ona odbyć się w tym samym czasie, co obchody miesięcznicy smoleńskiej. Zgodnie ze nowelizacją ustawy o zgromadzeniach to ostatnie wydarzenie, będące zgromadzeniem cyklicznym, miało pierwszeństwo przed każdym innym zgromadzeniem. Ponadto, zgodnie z </w:t>
      </w:r>
      <w:r w:rsidR="00D34971">
        <w:t>art.</w:t>
      </w:r>
      <w:r>
        <w:t xml:space="preserve"> 12 znowelizowanej ustawy o</w:t>
      </w:r>
      <w:r w:rsidR="004F442E">
        <w:t> </w:t>
      </w:r>
      <w:r>
        <w:t>zgromadzeniach, każde inne zgromadzenie musiało odbywać się w</w:t>
      </w:r>
      <w:r w:rsidR="004F442E">
        <w:t> </w:t>
      </w:r>
      <w:r>
        <w:t>odległości co najmniej 100 metrów od zgromadzenia cyklicznego, co</w:t>
      </w:r>
      <w:r w:rsidR="004F442E">
        <w:t> </w:t>
      </w:r>
      <w:r>
        <w:t>skutecznie uniemożliwiało skorzystanie z prawa do kontrmanifestacji.</w:t>
      </w:r>
    </w:p>
    <w:p w14:paraId="007D4F1B" w14:textId="5C2D4C07" w:rsidR="0084030C" w:rsidRPr="00AD4DBD" w:rsidRDefault="00AD4DBD" w:rsidP="00AD4DBD">
      <w:pPr>
        <w:pStyle w:val="JuPara"/>
      </w:pPr>
      <w:bookmarkStart w:id="0" w:name="paragraph00010"/>
      <w:r w:rsidRPr="00AD4DBD">
        <w:t>10</w:t>
      </w:r>
      <w:bookmarkEnd w:id="0"/>
      <w:r w:rsidR="00C232DF">
        <w:t>.</w:t>
      </w:r>
      <w:r w:rsidR="00F35BBD">
        <w:t xml:space="preserve"> </w:t>
      </w:r>
      <w:r w:rsidR="00C232DF">
        <w:t xml:space="preserve">Skarżąca i kilka innych osób wzięło udział w kontrdemonstracji. Uczestnicy twierdzili, że ich zamiarem było </w:t>
      </w:r>
      <w:r w:rsidR="00C232DF" w:rsidRPr="00222111">
        <w:t>jedynie zwrócenie się do osób uczestniczących w obchodach miesięcznicy sm</w:t>
      </w:r>
      <w:r w:rsidR="00C232DF">
        <w:t>oleńskiej, które miały obejmować marsz. Około godziny 20:00 policja postanowiła otoczyć kordonem osoby biorące udział w kontrdemonstracji. W reakcji na</w:t>
      </w:r>
      <w:r w:rsidR="004F442E">
        <w:t> </w:t>
      </w:r>
      <w:r w:rsidR="00C232DF">
        <w:t>te</w:t>
      </w:r>
      <w:r w:rsidR="004F442E">
        <w:t> </w:t>
      </w:r>
      <w:r w:rsidR="00C232DF">
        <w:t xml:space="preserve">działania skarżąca i inni kontrdemonstranci usiedli na ziemi. Policja wezwała kontrdemonstrantów do rozejścia się, a wkrótce potem zaczęła </w:t>
      </w:r>
      <w:r w:rsidR="00C232DF">
        <w:lastRenderedPageBreak/>
        <w:t>usuwać ich z miejsca zdarzenia. Skarżąca i inni kontrdemonstranci zostali usunięci i umieszczeni na dziedzińcu budynku przy ulicy Miodowej 2. Zostali zablokowani na dziedzińcu przez kordon policji i nie mogli opuścić tego terenu.</w:t>
      </w:r>
    </w:p>
    <w:p w14:paraId="625061B9" w14:textId="0B222C39" w:rsidR="0084030C" w:rsidRPr="00AD4DBD" w:rsidRDefault="00AD4DBD" w:rsidP="00AD4DBD">
      <w:pPr>
        <w:pStyle w:val="JuPara"/>
      </w:pPr>
      <w:bookmarkStart w:id="1" w:name="paragraph00011"/>
      <w:r w:rsidRPr="00AD4DBD">
        <w:t>11</w:t>
      </w:r>
      <w:bookmarkEnd w:id="1"/>
      <w:r w:rsidR="00C232DF">
        <w:t>.</w:t>
      </w:r>
      <w:r w:rsidR="00F35BBD">
        <w:t xml:space="preserve"> </w:t>
      </w:r>
      <w:r w:rsidR="00C232DF">
        <w:t>Jeden z funkcjonariuszy policji poprosił skarżącą o okazanie dokumentu tożsamości. Skarżąca okazała swoją legitymację prasową, która nie została przyjęta, a następnie okazała swój dowód osobisty. Policjant zatrzymał dowód osobisty skarżącej, informując ją, że musi sprawdzić w</w:t>
      </w:r>
      <w:r w:rsidR="004F442E">
        <w:t> </w:t>
      </w:r>
      <w:r w:rsidR="00C232DF">
        <w:t>policyjnej bazie danych, czy znajduje się ona na liście osób poszukiwanych.</w:t>
      </w:r>
    </w:p>
    <w:p w14:paraId="40C1E8C6" w14:textId="069D4A5A" w:rsidR="0084030C" w:rsidRPr="00AD4DBD" w:rsidRDefault="00AD4DBD" w:rsidP="00AD4DBD">
      <w:pPr>
        <w:pStyle w:val="JuPara"/>
      </w:pPr>
      <w:bookmarkStart w:id="2" w:name="paragraph00012"/>
      <w:r w:rsidRPr="00AD4DBD">
        <w:t>12</w:t>
      </w:r>
      <w:bookmarkEnd w:id="2"/>
      <w:r w:rsidR="00C232DF">
        <w:t>.</w:t>
      </w:r>
      <w:r w:rsidR="00F35BBD">
        <w:t xml:space="preserve"> </w:t>
      </w:r>
      <w:r w:rsidR="00C232DF">
        <w:t xml:space="preserve">Skarżąca była przetrzymywana przez policję na dziedzińcu do godziny 22:00 tego samego wieczoru. Została poinformowana przez funkcjonariuszy, że nie została </w:t>
      </w:r>
      <w:r w:rsidR="00D3362F">
        <w:t>zatrzymana</w:t>
      </w:r>
      <w:r w:rsidR="00C232DF">
        <w:t>, ale „pozostaje do dyspozycji policji”. Zgodnie z</w:t>
      </w:r>
      <w:r w:rsidR="004F442E">
        <w:t> </w:t>
      </w:r>
      <w:r w:rsidR="00C232DF">
        <w:t xml:space="preserve">oświadczeniem skarżącej, które nie </w:t>
      </w:r>
      <w:r w:rsidR="002F295A">
        <w:t xml:space="preserve">było </w:t>
      </w:r>
      <w:r w:rsidR="00C232DF">
        <w:t>kwestionowane przez Rząd, uniemożliwiono jej skorzystanie z toalety lub zakup wody. Policja odmówiła jej również możliwości kontaktu z prawnikami wysłanymi przez warszawską adwokaturę, którzy znajdowali się tuż poza kordonem policji.</w:t>
      </w:r>
    </w:p>
    <w:p w14:paraId="6A0BCED1" w14:textId="5BB5CC3A" w:rsidR="0084030C" w:rsidRPr="00AD4DBD" w:rsidRDefault="00AD4DBD" w:rsidP="00AD4DBD">
      <w:pPr>
        <w:pStyle w:val="JuPara"/>
      </w:pPr>
      <w:r w:rsidRPr="00AD4DBD">
        <w:t>13</w:t>
      </w:r>
      <w:r>
        <w:t>.</w:t>
      </w:r>
      <w:r w:rsidR="00F35BBD">
        <w:t xml:space="preserve"> </w:t>
      </w:r>
      <w:r>
        <w:t>Skarżąca twierdziła, że policja uniemożliwiła jej udział w</w:t>
      </w:r>
      <w:r w:rsidR="004F442E">
        <w:t> </w:t>
      </w:r>
      <w:r>
        <w:t>kontrdemonstracji, mimo że nie blokowała ona przemarszu osób biorących udział w obchodach miesięcznicy smoleńskiej. Oświadczyła, że nie miała zamiaru naruszać wolności zgromadzeń tych osób.</w:t>
      </w:r>
    </w:p>
    <w:p w14:paraId="620A0E6D" w14:textId="77777777" w:rsidR="0084030C" w:rsidRPr="00AD4DBD" w:rsidRDefault="00C232DF" w:rsidP="00AD4DBD">
      <w:pPr>
        <w:pStyle w:val="JuHIRoman"/>
      </w:pPr>
      <w:r>
        <w:t>ZAŻALENIE SKARŻĄCEJ</w:t>
      </w:r>
    </w:p>
    <w:p w14:paraId="36D85805" w14:textId="11F84015" w:rsidR="0084030C" w:rsidRPr="00AD4DBD" w:rsidRDefault="00AD4DBD" w:rsidP="00AD4DBD">
      <w:pPr>
        <w:pStyle w:val="JuPara"/>
      </w:pPr>
      <w:bookmarkStart w:id="3" w:name="paragraph00014"/>
      <w:r w:rsidRPr="00AD4DBD">
        <w:t>14</w:t>
      </w:r>
      <w:bookmarkEnd w:id="3"/>
      <w:r w:rsidR="00C232DF">
        <w:t>.</w:t>
      </w:r>
      <w:r w:rsidR="00F35BBD">
        <w:t xml:space="preserve"> </w:t>
      </w:r>
      <w:r w:rsidR="00C232DF">
        <w:t>W dniu 16 czerwca 2017 r. skarżąca wniosła do Sądu Rejonowego dla</w:t>
      </w:r>
      <w:r w:rsidR="004F442E">
        <w:t> </w:t>
      </w:r>
      <w:r w:rsidR="00C232DF">
        <w:t xml:space="preserve">Warszawy-Śródmieścia w Warszawie zażalenie na jej </w:t>
      </w:r>
      <w:r w:rsidR="00D3362F">
        <w:t>zatrzymanie</w:t>
      </w:r>
      <w:r w:rsidR="00C232DF">
        <w:t xml:space="preserve"> w</w:t>
      </w:r>
      <w:r w:rsidR="004F442E">
        <w:t> </w:t>
      </w:r>
      <w:r w:rsidR="00C232DF">
        <w:t>dniu 10 czerwca 2017 r. Twierdziła, że doprowadzenie jej na dziedziniec i</w:t>
      </w:r>
      <w:r w:rsidR="004F442E">
        <w:t> </w:t>
      </w:r>
      <w:r w:rsidR="00C232DF">
        <w:t xml:space="preserve">przetrzymywanie tam przez policję przez ponad dwie godziny stanowiło zatrzymanie i naruszało art. 45 § 1 pkt 1-2 i art. 46 § 1-5 Kodeksu </w:t>
      </w:r>
      <w:r w:rsidR="00297579">
        <w:t xml:space="preserve">postępowania w sprawach o wykroczenia </w:t>
      </w:r>
      <w:r w:rsidR="000B190E">
        <w:t>(</w:t>
      </w:r>
      <w:r w:rsidR="00C232DF">
        <w:t>„KPSW”</w:t>
      </w:r>
      <w:r w:rsidR="000B190E">
        <w:t>)</w:t>
      </w:r>
      <w:r w:rsidR="00C232DF">
        <w:t xml:space="preserve"> </w:t>
      </w:r>
      <w:r w:rsidR="00BB3EE7">
        <w:t>(</w:t>
      </w:r>
      <w:r w:rsidR="00C232DF">
        <w:t xml:space="preserve">zob. paragrafy </w:t>
      </w:r>
      <w:r w:rsidRPr="00AD4DBD">
        <w:t>31</w:t>
      </w:r>
      <w:r w:rsidR="00D51808">
        <w:t>–</w:t>
      </w:r>
      <w:r w:rsidRPr="00AD4DBD">
        <w:t>33</w:t>
      </w:r>
      <w:r w:rsidR="00C232DF">
        <w:t xml:space="preserve"> poniżej) jako nieuzasadnione, niezgodne z prawem i nieprawidłowe. Ponadto argumentowała, że postępowanie to naruszyło art. 41 ust. 1 Konstytucji oraz</w:t>
      </w:r>
      <w:r w:rsidR="004F442E">
        <w:t> </w:t>
      </w:r>
      <w:r w:rsidR="00C232DF">
        <w:t>art. 5 ust. 1 i 2 Konwencji.</w:t>
      </w:r>
    </w:p>
    <w:p w14:paraId="24B58B4A" w14:textId="3C871CD1" w:rsidR="0084030C" w:rsidRPr="00AD4DBD" w:rsidRDefault="00AD4DBD" w:rsidP="00AD4DBD">
      <w:pPr>
        <w:pStyle w:val="JuPara"/>
      </w:pPr>
      <w:r w:rsidRPr="00AD4DBD">
        <w:t>15</w:t>
      </w:r>
      <w:r>
        <w:t>.</w:t>
      </w:r>
      <w:r w:rsidR="00F35BBD">
        <w:t xml:space="preserve"> </w:t>
      </w:r>
      <w:r>
        <w:t>Policja twierdziła, że skarżąca nie został</w:t>
      </w:r>
      <w:r w:rsidR="00D51808">
        <w:t>a</w:t>
      </w:r>
      <w:r>
        <w:t xml:space="preserve"> </w:t>
      </w:r>
      <w:r w:rsidR="00BB3EE7">
        <w:t>zatrzymana</w:t>
      </w:r>
      <w:r>
        <w:t xml:space="preserve">, ale tylko „pozostawała do dyspozycji policji”. Skarżąca twierdziła, że jej </w:t>
      </w:r>
      <w:r w:rsidR="00BB3EE7">
        <w:t xml:space="preserve">zatrzymanie </w:t>
      </w:r>
      <w:r>
        <w:t>było niezgodne z prawem, ponieważ w jej przypadku nie została spełniona żadna z przesłanek określonych w art. 45 § 1 KPSW.</w:t>
      </w:r>
    </w:p>
    <w:p w14:paraId="63AD56B2" w14:textId="2828E968" w:rsidR="0084030C" w:rsidRPr="00AD4DBD" w:rsidRDefault="00AD4DBD" w:rsidP="00AD4DBD">
      <w:pPr>
        <w:pStyle w:val="JuPara"/>
      </w:pPr>
      <w:bookmarkStart w:id="4" w:name="paragraph00016"/>
      <w:r w:rsidRPr="00AD4DBD">
        <w:t>16</w:t>
      </w:r>
      <w:bookmarkEnd w:id="4"/>
      <w:r w:rsidR="00C232DF">
        <w:t>.</w:t>
      </w:r>
      <w:r w:rsidR="00F35BBD">
        <w:t xml:space="preserve"> </w:t>
      </w:r>
      <w:r w:rsidR="00C232DF">
        <w:t>Skarżąca twierdziła również, że jej zatrzymanie nie zostało przeprowadzone prawidłowo. Nie sporządzono protokołu z jej zatrzymania i</w:t>
      </w:r>
      <w:r w:rsidR="004F442E">
        <w:t> </w:t>
      </w:r>
      <w:r w:rsidR="00C232DF">
        <w:t xml:space="preserve">nie poinformowano jej o przyczynach </w:t>
      </w:r>
      <w:r w:rsidR="00BB3EE7">
        <w:t>zatrzym</w:t>
      </w:r>
      <w:r w:rsidR="00C232DF">
        <w:t>ania ani o przysługujących jej prawach. Uniemożliwiono jej także poinformowanie krewnych o miejscu pobytu i rozmowę z prawnikiem. Wreszcie podniosła, że przetrzymywanie jej przez ponad dwie godziny było nieuzasadnione w okolicznościach tej</w:t>
      </w:r>
      <w:r w:rsidR="004F442E">
        <w:t> </w:t>
      </w:r>
      <w:r w:rsidR="00C232DF">
        <w:t>sprawy.</w:t>
      </w:r>
    </w:p>
    <w:p w14:paraId="0BE3C914" w14:textId="6D7A0B4B" w:rsidR="0084030C" w:rsidRPr="00AD4DBD" w:rsidRDefault="00AD4DBD" w:rsidP="00AD4DBD">
      <w:pPr>
        <w:pStyle w:val="JuPara"/>
      </w:pPr>
      <w:r w:rsidRPr="00AD4DBD">
        <w:lastRenderedPageBreak/>
        <w:t>17</w:t>
      </w:r>
      <w:r>
        <w:t>.</w:t>
      </w:r>
      <w:r w:rsidR="00F35BBD">
        <w:t xml:space="preserve"> </w:t>
      </w:r>
      <w:r>
        <w:t xml:space="preserve">W dniu 11 września 2017 r. Sąd Rejonowy dla Warszawy-Śródmieścia oddalił jako bezzasadne zażalenie skarżącej na jej </w:t>
      </w:r>
      <w:r w:rsidR="00BB3EE7">
        <w:t>zatrzymanie</w:t>
      </w:r>
      <w:r>
        <w:t>. Postanowienie sądu opierało się na informacjach o wydarzeniach z dnia 10</w:t>
      </w:r>
      <w:r w:rsidR="004F442E">
        <w:t> </w:t>
      </w:r>
      <w:r>
        <w:t>czerwca 2017 r. przekazanych przez policję.</w:t>
      </w:r>
    </w:p>
    <w:p w14:paraId="3CA5B2A6" w14:textId="18850F12" w:rsidR="0084030C" w:rsidRPr="00AD4DBD" w:rsidRDefault="00AD4DBD" w:rsidP="00AD4DBD">
      <w:pPr>
        <w:pStyle w:val="JuPara"/>
      </w:pPr>
      <w:bookmarkStart w:id="5" w:name="paragraph00018"/>
      <w:r w:rsidRPr="00AD4DBD">
        <w:t>18</w:t>
      </w:r>
      <w:bookmarkEnd w:id="5"/>
      <w:r w:rsidR="00C232DF">
        <w:t>.</w:t>
      </w:r>
      <w:r w:rsidR="00F35BBD">
        <w:t xml:space="preserve"> </w:t>
      </w:r>
      <w:r w:rsidR="00C232DF">
        <w:t>Sąd ustalił, że w dniu 10 czerwca 2017 r. skarżąca wzięła udział w</w:t>
      </w:r>
      <w:r w:rsidR="004F442E">
        <w:t> </w:t>
      </w:r>
      <w:r w:rsidR="00C232DF">
        <w:t>blokadzie, która miała na celu uniemożliwienie planowanego przemarszu zgromadzenia cyklicznego. Skarżąca i inni protestujący nie zastosowali się do poleceń wydanych przez przewodniczącego zgromadzenia cyklicznego i</w:t>
      </w:r>
      <w:r w:rsidR="004F442E">
        <w:t> </w:t>
      </w:r>
      <w:r w:rsidR="00C232DF">
        <w:t>policję. W związku z tym policja podjęła decyzję o usunięciu blokady z</w:t>
      </w:r>
      <w:r w:rsidR="004F442E">
        <w:t> </w:t>
      </w:r>
      <w:r w:rsidR="00C232DF">
        <w:t xml:space="preserve">trasy, którą planowało przemaszerować zgromadzenie cykliczne, ponieważ działania protestujących wydawały się spełniać </w:t>
      </w:r>
      <w:r w:rsidR="000B190E">
        <w:t xml:space="preserve">znamiona </w:t>
      </w:r>
      <w:r w:rsidR="00C232DF">
        <w:t xml:space="preserve">wykroczenia administracyjnego określone w art. 52 § 3 </w:t>
      </w:r>
      <w:r w:rsidR="000B190E">
        <w:t xml:space="preserve">pkt </w:t>
      </w:r>
      <w:r w:rsidR="00C232DF">
        <w:t xml:space="preserve">2 i </w:t>
      </w:r>
      <w:r w:rsidR="000B190E">
        <w:t xml:space="preserve">art. </w:t>
      </w:r>
      <w:r w:rsidR="00C232DF">
        <w:t xml:space="preserve">52 § 2 </w:t>
      </w:r>
      <w:r w:rsidR="000B190E">
        <w:t xml:space="preserve">pkt </w:t>
      </w:r>
      <w:r w:rsidR="00C232DF">
        <w:t>1 Kodeksu wykroczeń</w:t>
      </w:r>
      <w:r w:rsidR="00C232DF">
        <w:rPr>
          <w:i/>
        </w:rPr>
        <w:t xml:space="preserve"> </w:t>
      </w:r>
      <w:r w:rsidR="00C232DF">
        <w:t>(„KW”)</w:t>
      </w:r>
      <w:r w:rsidR="00C232DF">
        <w:rPr>
          <w:i/>
        </w:rPr>
        <w:t xml:space="preserve"> </w:t>
      </w:r>
      <w:r w:rsidR="00C232DF" w:rsidRPr="000B190E">
        <w:rPr>
          <w:iCs/>
        </w:rPr>
        <w:t>(</w:t>
      </w:r>
      <w:r w:rsidR="00C232DF">
        <w:t xml:space="preserve">zob. paragrafy </w:t>
      </w:r>
      <w:r w:rsidRPr="00AD4DBD">
        <w:t>35</w:t>
      </w:r>
      <w:r w:rsidR="00D51808">
        <w:t>–</w:t>
      </w:r>
      <w:r w:rsidRPr="00AD4DBD">
        <w:t>36</w:t>
      </w:r>
      <w:r w:rsidR="00C232DF">
        <w:t xml:space="preserve"> poniżej). Policja przeniosła protestujących w bezpieczne miejsce, gdzie ich tożsamość mogła zostać sprawdzona i wyszukana w policyjnych bazach danych. Proces ten był utrudniany przez zgromadzonych w pobliżu zwolenników protestujących i</w:t>
      </w:r>
      <w:r w:rsidR="004F442E">
        <w:t> </w:t>
      </w:r>
      <w:r w:rsidR="00C232DF">
        <w:t>z</w:t>
      </w:r>
      <w:r w:rsidR="004F442E">
        <w:t> </w:t>
      </w:r>
      <w:r w:rsidR="00C232DF">
        <w:t>tego powodu był czasochłonny.</w:t>
      </w:r>
    </w:p>
    <w:p w14:paraId="3BC34E7D" w14:textId="3FB9BCEC" w:rsidR="0084030C" w:rsidRPr="00AD4DBD" w:rsidRDefault="00AD4DBD" w:rsidP="00AD4DBD">
      <w:pPr>
        <w:pStyle w:val="JuPara"/>
        <w:rPr>
          <w:rFonts w:ascii="Times New Roman" w:hAnsi="Times New Roman" w:cs="Times New Roman"/>
          <w:color w:val="000000"/>
        </w:rPr>
      </w:pPr>
      <w:bookmarkStart w:id="6" w:name="paragraph00019"/>
      <w:r w:rsidRPr="00AD4DBD">
        <w:rPr>
          <w:rFonts w:ascii="Times New Roman" w:hAnsi="Times New Roman" w:cs="Times New Roman"/>
          <w:color w:val="000000"/>
        </w:rPr>
        <w:t>19</w:t>
      </w:r>
      <w:bookmarkEnd w:id="6"/>
      <w:r w:rsidR="00C232DF">
        <w:rPr>
          <w:rFonts w:ascii="Times New Roman" w:hAnsi="Times New Roman"/>
          <w:color w:val="000000"/>
        </w:rPr>
        <w:t>.</w:t>
      </w:r>
      <w:r w:rsidR="00F35BBD">
        <w:rPr>
          <w:rFonts w:ascii="Times New Roman" w:hAnsi="Times New Roman"/>
          <w:color w:val="000000"/>
        </w:rPr>
        <w:t xml:space="preserve"> </w:t>
      </w:r>
      <w:r w:rsidR="00C232DF">
        <w:rPr>
          <w:rFonts w:ascii="Times New Roman" w:hAnsi="Times New Roman"/>
          <w:color w:val="000000"/>
        </w:rPr>
        <w:t>Sąd uznał, że policja przeprowadziła swoje działania we właściwy sposób. Nie zgodził się z argumentem skarżącej, że jej usunięcie było nieuzasadnione. Skarżąca usiadła na ziemi po tym, jak została otoczona kordonem policji. Zdaniem sądu takie zachowanie nie mogło być uznane za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 xml:space="preserve">nic innego niż celowe utrudnianie legalnego zgromadzenia. Zachowanie skarżącej i innych protestujących opóźniło również planowany przemarsz zgromadzenia cyklicznego. Sąd uznał, że zgromadzenie cykliczne zostało zakłócone, a działania policji miały podstawę prawną, m.in. </w:t>
      </w:r>
      <w:r w:rsidR="000B190E">
        <w:rPr>
          <w:rFonts w:ascii="Times New Roman" w:hAnsi="Times New Roman"/>
          <w:color w:val="000000"/>
        </w:rPr>
        <w:t xml:space="preserve">w </w:t>
      </w:r>
      <w:r w:rsidR="00C232DF">
        <w:rPr>
          <w:rFonts w:ascii="Times New Roman" w:hAnsi="Times New Roman"/>
          <w:color w:val="000000"/>
        </w:rPr>
        <w:t>ustaw</w:t>
      </w:r>
      <w:r w:rsidR="000B190E">
        <w:rPr>
          <w:rFonts w:ascii="Times New Roman" w:hAnsi="Times New Roman"/>
          <w:color w:val="000000"/>
        </w:rPr>
        <w:t>ie</w:t>
      </w:r>
      <w:r w:rsidR="00C232DF">
        <w:rPr>
          <w:rFonts w:ascii="Times New Roman" w:hAnsi="Times New Roman"/>
          <w:color w:val="000000"/>
        </w:rPr>
        <w:t xml:space="preserve"> o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 xml:space="preserve">policji </w:t>
      </w:r>
      <w:r w:rsidR="000B190E">
        <w:rPr>
          <w:rFonts w:ascii="Times New Roman" w:hAnsi="Times New Roman"/>
          <w:color w:val="000000"/>
        </w:rPr>
        <w:t>–</w:t>
      </w:r>
      <w:r w:rsidR="00C232DF">
        <w:rPr>
          <w:rFonts w:ascii="Times New Roman" w:hAnsi="Times New Roman"/>
          <w:color w:val="000000"/>
        </w:rPr>
        <w:t xml:space="preserve"> a mianowicie w jej art. 1 ust. 2 pkt 2 oraz art. 14 i 15 (zob. paragraf </w:t>
      </w:r>
      <w:r w:rsidRPr="00AD4DBD">
        <w:rPr>
          <w:rFonts w:ascii="Times New Roman" w:hAnsi="Times New Roman" w:cs="Times New Roman"/>
          <w:color w:val="000000"/>
        </w:rPr>
        <w:t>38</w:t>
      </w:r>
      <w:r w:rsidR="00C232DF">
        <w:rPr>
          <w:rFonts w:ascii="Times New Roman" w:hAnsi="Times New Roman"/>
          <w:color w:val="000000"/>
        </w:rPr>
        <w:t xml:space="preserve"> poniżej) </w:t>
      </w:r>
      <w:r w:rsidR="000B190E">
        <w:rPr>
          <w:rFonts w:ascii="Times New Roman" w:hAnsi="Times New Roman"/>
          <w:color w:val="000000"/>
        </w:rPr>
        <w:t>–</w:t>
      </w:r>
      <w:r w:rsidR="00C232DF">
        <w:rPr>
          <w:rFonts w:ascii="Times New Roman" w:hAnsi="Times New Roman"/>
          <w:color w:val="000000"/>
        </w:rPr>
        <w:t xml:space="preserve"> i w związku z tym nie było podstaw do stwierdzenia, że ich działania były nieuzasadnione, niezgodne z prawem lub nieprawidłowe.</w:t>
      </w:r>
    </w:p>
    <w:p w14:paraId="4EA6F67D" w14:textId="0338E101" w:rsidR="0084030C" w:rsidRPr="00AD4DBD" w:rsidRDefault="00AD4DBD" w:rsidP="00AD4DBD">
      <w:pPr>
        <w:pStyle w:val="JuPara"/>
        <w:rPr>
          <w:rFonts w:ascii="Times New Roman" w:hAnsi="Times New Roman" w:cs="Times New Roman"/>
          <w:color w:val="000000"/>
        </w:rPr>
      </w:pPr>
      <w:bookmarkStart w:id="7" w:name="paragraph00020"/>
      <w:r w:rsidRPr="00AD4DBD">
        <w:rPr>
          <w:rFonts w:ascii="Times New Roman" w:hAnsi="Times New Roman" w:cs="Times New Roman"/>
          <w:color w:val="000000"/>
        </w:rPr>
        <w:t>20</w:t>
      </w:r>
      <w:bookmarkEnd w:id="7"/>
      <w:r w:rsidR="00C232DF">
        <w:rPr>
          <w:rFonts w:ascii="Times New Roman" w:hAnsi="Times New Roman"/>
          <w:color w:val="000000"/>
        </w:rPr>
        <w:t>.</w:t>
      </w:r>
      <w:r w:rsidR="00F35BBD">
        <w:rPr>
          <w:rFonts w:ascii="Times New Roman" w:hAnsi="Times New Roman"/>
          <w:color w:val="000000"/>
        </w:rPr>
        <w:t xml:space="preserve"> </w:t>
      </w:r>
      <w:r w:rsidR="00C232DF">
        <w:rPr>
          <w:rFonts w:ascii="Times New Roman" w:hAnsi="Times New Roman"/>
          <w:color w:val="000000"/>
        </w:rPr>
        <w:t>Sąd uznał ponadto, wbrew twierdzeniom skarżącej, że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>w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 xml:space="preserve">okolicznościach sprawy nie doszło do </w:t>
      </w:r>
      <w:r w:rsidR="000B190E">
        <w:rPr>
          <w:rFonts w:ascii="Times New Roman" w:hAnsi="Times New Roman"/>
          <w:color w:val="000000"/>
        </w:rPr>
        <w:t xml:space="preserve">zatrzymania </w:t>
      </w:r>
      <w:r w:rsidR="00C232DF">
        <w:rPr>
          <w:rFonts w:ascii="Times New Roman" w:hAnsi="Times New Roman"/>
          <w:color w:val="000000"/>
        </w:rPr>
        <w:t>w rozumieniu KPSW. Uznał, że sposób, w jaki uniemożliwiono skarżącej swobodne poruszanie się, był uzasadniony potrzebą ustalenia jej tożsamości, a proces ten został przedłużony z obiektywnych powodów, takich jak potrzeba przeprowadzenia kontroli w odpowiednich policyjnych bazach danych, duża liczba kontroli, które musiały być przeprowadzone w tym samym czasie</w:t>
      </w:r>
      <w:r w:rsidR="0062287A">
        <w:rPr>
          <w:rFonts w:ascii="Times New Roman" w:hAnsi="Times New Roman"/>
          <w:color w:val="000000"/>
        </w:rPr>
        <w:t>,</w:t>
      </w:r>
      <w:r w:rsidR="00C232DF">
        <w:rPr>
          <w:rFonts w:ascii="Times New Roman" w:hAnsi="Times New Roman"/>
          <w:color w:val="000000"/>
        </w:rPr>
        <w:t xml:space="preserve"> oraz</w:t>
      </w:r>
      <w:r w:rsidR="004F442E">
        <w:rPr>
          <w:rFonts w:ascii="Times New Roman" w:hAnsi="Times New Roman"/>
          <w:color w:val="000000"/>
        </w:rPr>
        <w:t> </w:t>
      </w:r>
      <w:r w:rsidR="00C232DF">
        <w:rPr>
          <w:rFonts w:ascii="Times New Roman" w:hAnsi="Times New Roman"/>
          <w:color w:val="000000"/>
        </w:rPr>
        <w:t>utrudnianie procesu przez inne osoby wspierające kontrdemonstrantów.</w:t>
      </w:r>
    </w:p>
    <w:p w14:paraId="764AF485" w14:textId="3A8616C8" w:rsidR="0084030C" w:rsidRPr="00AD4DBD" w:rsidRDefault="00AD4DBD" w:rsidP="00AD4DBD">
      <w:pPr>
        <w:pStyle w:val="JuPara"/>
        <w:rPr>
          <w:rFonts w:ascii="Times New Roman" w:hAnsi="Times New Roman" w:cs="Times New Roman"/>
          <w:color w:val="000000"/>
        </w:rPr>
      </w:pPr>
      <w:r w:rsidRPr="00AD4DBD">
        <w:rPr>
          <w:rFonts w:ascii="Times New Roman" w:hAnsi="Times New Roman" w:cs="Times New Roman"/>
          <w:color w:val="000000"/>
        </w:rPr>
        <w:t>21</w:t>
      </w:r>
      <w:r w:rsidR="00C232DF">
        <w:rPr>
          <w:rFonts w:ascii="Times New Roman" w:hAnsi="Times New Roman"/>
          <w:color w:val="000000"/>
        </w:rPr>
        <w:t>.</w:t>
      </w:r>
      <w:r w:rsidR="00F35BBD">
        <w:rPr>
          <w:rFonts w:ascii="Times New Roman" w:hAnsi="Times New Roman"/>
          <w:color w:val="000000"/>
        </w:rPr>
        <w:t xml:space="preserve"> </w:t>
      </w:r>
      <w:r w:rsidR="00C232DF">
        <w:rPr>
          <w:rFonts w:ascii="Times New Roman" w:hAnsi="Times New Roman"/>
          <w:color w:val="000000"/>
        </w:rPr>
        <w:t>Od te</w:t>
      </w:r>
      <w:r w:rsidR="00222111">
        <w:rPr>
          <w:rFonts w:ascii="Times New Roman" w:hAnsi="Times New Roman"/>
          <w:color w:val="000000"/>
        </w:rPr>
        <w:t>go postanowienia</w:t>
      </w:r>
      <w:r w:rsidR="00C232DF">
        <w:rPr>
          <w:rFonts w:ascii="Times New Roman" w:hAnsi="Times New Roman"/>
          <w:color w:val="000000"/>
        </w:rPr>
        <w:t xml:space="preserve"> nie przysługiwało dalsze odwołanie.</w:t>
      </w:r>
    </w:p>
    <w:p w14:paraId="34938DB9" w14:textId="77777777" w:rsidR="0084030C" w:rsidRPr="00AD4DBD" w:rsidRDefault="00C232DF" w:rsidP="00AD4DBD">
      <w:pPr>
        <w:pStyle w:val="JuHIRoman"/>
      </w:pPr>
      <w:r>
        <w:rPr>
          <w:caps w:val="0"/>
        </w:rPr>
        <w:t>POSTĘPOWANIE PRZECIWKO SKARŻĄCEJ</w:t>
      </w:r>
    </w:p>
    <w:p w14:paraId="1BB0D258" w14:textId="60D45882" w:rsidR="0084030C" w:rsidRPr="00AD4DBD" w:rsidRDefault="00AD4DBD" w:rsidP="00AD4DBD">
      <w:pPr>
        <w:pStyle w:val="JuPara"/>
      </w:pPr>
      <w:r w:rsidRPr="00AD4DBD">
        <w:t>22</w:t>
      </w:r>
      <w:r>
        <w:t>.</w:t>
      </w:r>
      <w:r w:rsidR="00F35BBD">
        <w:t xml:space="preserve"> </w:t>
      </w:r>
      <w:r>
        <w:t xml:space="preserve">W bliżej nieokreślonym dniu skarżącej postawiono zarzut popełnienia wykroczenia administracyjnego na podstawie art. 52 § 3 </w:t>
      </w:r>
      <w:r w:rsidR="0062287A">
        <w:t xml:space="preserve">pkt </w:t>
      </w:r>
      <w:r>
        <w:t xml:space="preserve">2 KW w związku z art. 19 </w:t>
      </w:r>
      <w:r w:rsidR="0062287A">
        <w:t>ust.</w:t>
      </w:r>
      <w:r>
        <w:t xml:space="preserve"> 5 ustawy o zgromadzeniach za odmowę wykonania polecenia przewodniczącego zgromadzenia cyklicznego dotyczącego opuszczenia trasy </w:t>
      </w:r>
      <w:r>
        <w:lastRenderedPageBreak/>
        <w:t>przemarszu. Została ona również oskarżona na podstawie art. 52 § 2</w:t>
      </w:r>
      <w:r w:rsidR="0062287A">
        <w:t xml:space="preserve"> pkt</w:t>
      </w:r>
      <w:r>
        <w:t xml:space="preserve"> 1 KW o utrudnianie przebiegu zgromadzenia cyklicznego poprzez stanie i</w:t>
      </w:r>
      <w:r w:rsidR="004F442E">
        <w:t> </w:t>
      </w:r>
      <w:r>
        <w:t>siadanie na planowanej trasie przemarszu zgromadzenia oraz wznoszenie okrzyków.</w:t>
      </w:r>
    </w:p>
    <w:p w14:paraId="69822F2A" w14:textId="19A9AD7D" w:rsidR="0084030C" w:rsidRPr="00AD4DBD" w:rsidRDefault="00AD4DBD" w:rsidP="00AD4DBD">
      <w:pPr>
        <w:pStyle w:val="JuPara"/>
      </w:pPr>
      <w:r w:rsidRPr="00AD4DBD">
        <w:t>23</w:t>
      </w:r>
      <w:r>
        <w:t>.</w:t>
      </w:r>
      <w:r w:rsidR="00F35BBD">
        <w:t xml:space="preserve"> </w:t>
      </w:r>
      <w:r>
        <w:t>W dniu 26 kwietnia 2018 r. Sąd Rejonowy dla Warszawy-Śródmieścia w Warszawie umorzył postępowanie przeciwko skarżącej, uznając, że</w:t>
      </w:r>
      <w:r w:rsidR="004F442E">
        <w:t> </w:t>
      </w:r>
      <w:r>
        <w:t>nie</w:t>
      </w:r>
      <w:r w:rsidR="004F442E">
        <w:t> </w:t>
      </w:r>
      <w:r>
        <w:t>zostały wykazane znamiona odpowiednich wykroczeń administracyjnych.</w:t>
      </w:r>
    </w:p>
    <w:p w14:paraId="42585D1D" w14:textId="13921BAF" w:rsidR="0084030C" w:rsidRPr="00AD4DBD" w:rsidRDefault="00AD4DBD" w:rsidP="00AD4DBD">
      <w:pPr>
        <w:pStyle w:val="JuPara"/>
      </w:pPr>
      <w:r w:rsidRPr="00AD4DBD">
        <w:t>24</w:t>
      </w:r>
      <w:r>
        <w:t>.</w:t>
      </w:r>
      <w:r w:rsidR="00F35BBD">
        <w:t xml:space="preserve"> </w:t>
      </w:r>
      <w:r>
        <w:t>Sąd ustalił, że przed godziną 20:00 w dniu 10 czerwca 2017 r. na</w:t>
      </w:r>
      <w:r w:rsidR="004F442E">
        <w:t> </w:t>
      </w:r>
      <w:r>
        <w:t>Krakowskim Przedmieściu skarżąca i inne osoby uczestniczyły w</w:t>
      </w:r>
      <w:r w:rsidR="004F442E">
        <w:t> </w:t>
      </w:r>
      <w:r>
        <w:t>kontrmanifestacji przeciwko miesięcznicy smoleńskiej. Członkowie kontrdemonstracji protestowali przeciwko naruszeniu ich konstytucyjnego prawa do wolności zgromadzeń poprzez przyznanie uprzywilejowanego statusu zgromadzeniom cyklicznym w ustawie o zgromadzeniach, zmienionej ustawą z dnia 13 grudnia 2016 r. Protestujący zdecydowali się symbolicznie wyrazić swój sprzeciw, siadając na ulicy i biernie oczekując na</w:t>
      </w:r>
      <w:r w:rsidR="004F442E">
        <w:t> </w:t>
      </w:r>
      <w:r>
        <w:t>usunięcie przez policję. Sąd zauważył, że skarżąca publicznie skorzystała ze swojego prawa do wolności wypowiedzi i że fakt ten został zignorowany przez policję.</w:t>
      </w:r>
    </w:p>
    <w:p w14:paraId="52F8E8DE" w14:textId="54A92DE2" w:rsidR="0084030C" w:rsidRPr="00AD4DBD" w:rsidRDefault="00AD4DBD" w:rsidP="00AD4DBD">
      <w:pPr>
        <w:pStyle w:val="JuPara"/>
      </w:pPr>
      <w:r w:rsidRPr="00AD4DBD">
        <w:t>25</w:t>
      </w:r>
      <w:r>
        <w:t>.</w:t>
      </w:r>
      <w:r w:rsidR="00F35BBD">
        <w:t xml:space="preserve"> </w:t>
      </w:r>
      <w:r>
        <w:t>Sąd zauważył ponadto, że działania protestujących były motywowane dezaprobatą dla uprzywilejowanego statusu zgromadzeń cyklicznych, a</w:t>
      </w:r>
      <w:r w:rsidR="004F442E">
        <w:t> </w:t>
      </w:r>
      <w:r>
        <w:t>nie</w:t>
      </w:r>
      <w:r w:rsidR="004F442E">
        <w:t> </w:t>
      </w:r>
      <w:r>
        <w:t>chęcią udaremnienia przeprowadzenia obchodów miesięcznicy smoleńskiej. Ich działania miały minimalny wpływ na przebieg marszu upamiętniającego, ponieważ opóźniły go tylko o kilka minut, a usunięcie protestujących przez policję w celu umożliwienia kontynuowania marszu upamiętniającego stanowiło wystarczającą reakcję na ich zachowanie. Biorąc jednak pod uwagę okoliczności, w jakich działali protestujący</w:t>
      </w:r>
      <w:r w:rsidR="0062287A">
        <w:t>,</w:t>
      </w:r>
      <w:r>
        <w:t xml:space="preserve"> oraz konsekwencje ich działań, wszczęcie postępowania przeciwko nim nie mogło być uznane za</w:t>
      </w:r>
      <w:r w:rsidR="004F442E">
        <w:t> </w:t>
      </w:r>
      <w:r>
        <w:t>proporcjonalną reakcję władz.</w:t>
      </w:r>
    </w:p>
    <w:p w14:paraId="320A637E" w14:textId="5B32ECCD" w:rsidR="0084030C" w:rsidRPr="00AD4DBD" w:rsidRDefault="00AD4DBD" w:rsidP="00AD4DBD">
      <w:pPr>
        <w:pStyle w:val="JuPara"/>
      </w:pPr>
      <w:r w:rsidRPr="00AD4DBD">
        <w:t>26</w:t>
      </w:r>
      <w:r>
        <w:t>.</w:t>
      </w:r>
      <w:r w:rsidR="00F35BBD">
        <w:t xml:space="preserve"> </w:t>
      </w:r>
      <w:r>
        <w:t xml:space="preserve">W bliżej nieokreślonym dniu </w:t>
      </w:r>
      <w:r w:rsidRPr="00B347F9">
        <w:t>prokurator wniósł zażalenie na</w:t>
      </w:r>
      <w:r w:rsidR="004F442E">
        <w:t> </w:t>
      </w:r>
      <w:r w:rsidRPr="00B347F9">
        <w:t>postanowienie o umorzeniu postępowania.</w:t>
      </w:r>
    </w:p>
    <w:p w14:paraId="5397A041" w14:textId="16132E9A" w:rsidR="0084030C" w:rsidRPr="00AD4DBD" w:rsidRDefault="00AD4DBD" w:rsidP="00AD4DBD">
      <w:pPr>
        <w:pStyle w:val="JuPara"/>
      </w:pPr>
      <w:r w:rsidRPr="00AD4DBD">
        <w:t>27</w:t>
      </w:r>
      <w:r>
        <w:t>.</w:t>
      </w:r>
      <w:r w:rsidR="00F35BBD">
        <w:t xml:space="preserve"> </w:t>
      </w:r>
      <w:r>
        <w:t xml:space="preserve">W dniu 30 sierpnia 2018 r. Sąd Okręgowy w Warszawie uchylił </w:t>
      </w:r>
      <w:r w:rsidR="00B347F9">
        <w:t>postanowienie sądu</w:t>
      </w:r>
      <w:r>
        <w:t xml:space="preserve"> pierwszej instancji i skierował sprawę do ponownego rozpoznania przez Sąd Rejonowy, uznając, że ten ostatni ustalił stan faktyczny sprawy bez wystarczających dowodów.</w:t>
      </w:r>
    </w:p>
    <w:p w14:paraId="7AEBC263" w14:textId="78EF7F24" w:rsidR="0084030C" w:rsidRPr="00AD4DBD" w:rsidRDefault="00AD4DBD" w:rsidP="00AD4DBD">
      <w:pPr>
        <w:pStyle w:val="JuPara"/>
      </w:pPr>
      <w:r w:rsidRPr="00AD4DBD">
        <w:t>28</w:t>
      </w:r>
      <w:r>
        <w:t>.</w:t>
      </w:r>
      <w:r w:rsidR="00F35BBD">
        <w:t xml:space="preserve"> </w:t>
      </w:r>
      <w:r>
        <w:t>W dniu 27 sierpnia 2020 r. Sąd Rejonowy dla Warszawy-Śródmieścia umorzył postępowanie przeciwko skarżącej z uwagi na upływ terminu przedawnienia.</w:t>
      </w:r>
    </w:p>
    <w:p w14:paraId="418D5BEE" w14:textId="315E463B" w:rsidR="0084030C" w:rsidRPr="00AD4DBD" w:rsidRDefault="00AD4DBD" w:rsidP="00AD4DBD">
      <w:pPr>
        <w:pStyle w:val="JuPara"/>
      </w:pPr>
      <w:r w:rsidRPr="00AD4DBD">
        <w:t>29</w:t>
      </w:r>
      <w:r>
        <w:t>.</w:t>
      </w:r>
      <w:r w:rsidR="00F35BBD">
        <w:t xml:space="preserve"> </w:t>
      </w:r>
      <w:r>
        <w:t>Skarżąca odwołała się od te</w:t>
      </w:r>
      <w:r w:rsidR="00B347F9">
        <w:t>go postanowienia</w:t>
      </w:r>
      <w:r>
        <w:t>.</w:t>
      </w:r>
    </w:p>
    <w:p w14:paraId="670C9EFD" w14:textId="5FB822B6" w:rsidR="0084030C" w:rsidRPr="00AD4DBD" w:rsidRDefault="00AD4DBD" w:rsidP="00AD4DBD">
      <w:pPr>
        <w:pStyle w:val="JuPara"/>
      </w:pPr>
      <w:r w:rsidRPr="00AD4DBD">
        <w:t>30</w:t>
      </w:r>
      <w:r>
        <w:t>.</w:t>
      </w:r>
      <w:r w:rsidR="00F35BBD">
        <w:t xml:space="preserve"> </w:t>
      </w:r>
      <w:r>
        <w:t>W dniu 12 listopada 2020 r. Sąd Okręgowy w Warszawie utrzymał w</w:t>
      </w:r>
      <w:r w:rsidR="004F442E">
        <w:t> </w:t>
      </w:r>
      <w:r>
        <w:t xml:space="preserve">mocy </w:t>
      </w:r>
      <w:r w:rsidR="001942F1">
        <w:t>postanowienie</w:t>
      </w:r>
      <w:r>
        <w:t xml:space="preserve"> sądu pierwszej instancji.</w:t>
      </w:r>
    </w:p>
    <w:p w14:paraId="6A3C2E78" w14:textId="77777777" w:rsidR="0084030C" w:rsidRPr="00AD4DBD" w:rsidRDefault="00C232DF" w:rsidP="00AD4DBD">
      <w:pPr>
        <w:pStyle w:val="JuHHead"/>
      </w:pPr>
      <w:r>
        <w:lastRenderedPageBreak/>
        <w:t>WŁAŚCIWE RAMY PRAWNE I PRAKTYKA</w:t>
      </w:r>
    </w:p>
    <w:p w14:paraId="21CF9447" w14:textId="68752AD9" w:rsidR="0084030C" w:rsidRPr="00AD4DBD" w:rsidRDefault="00C232DF" w:rsidP="00AD4DBD">
      <w:pPr>
        <w:pStyle w:val="JuHIRoman"/>
      </w:pPr>
      <w:r>
        <w:t>KODEKS POSTĘPOWANIA W SPRAWACH O WYKROCZENIA Z</w:t>
      </w:r>
      <w:r w:rsidR="004F442E">
        <w:t> </w:t>
      </w:r>
      <w:r>
        <w:t>2001 R</w:t>
      </w:r>
      <w:r w:rsidR="009D36CE">
        <w:t>.</w:t>
      </w:r>
    </w:p>
    <w:p w14:paraId="337823BD" w14:textId="56CC9154" w:rsidR="0084030C" w:rsidRPr="00AD4DBD" w:rsidRDefault="00AD4DBD" w:rsidP="00AD4DBD">
      <w:pPr>
        <w:pStyle w:val="JuPara"/>
      </w:pPr>
      <w:bookmarkStart w:id="8" w:name="paragraph00031"/>
      <w:r w:rsidRPr="00AD4DBD">
        <w:t>31</w:t>
      </w:r>
      <w:bookmarkEnd w:id="8"/>
      <w:r w:rsidR="00C232DF">
        <w:t>.</w:t>
      </w:r>
      <w:r w:rsidR="00F35BBD">
        <w:t xml:space="preserve"> </w:t>
      </w:r>
      <w:r w:rsidR="00C232DF">
        <w:t>Artykuł</w:t>
      </w:r>
      <w:r w:rsidR="00F35BBD">
        <w:t xml:space="preserve"> </w:t>
      </w:r>
      <w:r w:rsidR="00C232DF">
        <w:t xml:space="preserve">45 </w:t>
      </w:r>
      <w:r w:rsidR="00C232DF">
        <w:rPr>
          <w:sz w:val="23"/>
        </w:rPr>
        <w:t>§ 1</w:t>
      </w:r>
      <w:r w:rsidR="00C232DF">
        <w:t xml:space="preserve"> Kodeksu ma następujące brzmienie:</w:t>
      </w:r>
    </w:p>
    <w:p w14:paraId="22FFC920" w14:textId="77777777" w:rsidR="0084030C" w:rsidRPr="00AD4DBD" w:rsidRDefault="00C232DF" w:rsidP="00AD4DBD">
      <w:pPr>
        <w:pStyle w:val="JuQuot"/>
        <w:rPr>
          <w:szCs w:val="20"/>
        </w:rPr>
      </w:pPr>
      <w:r>
        <w:t>„Policja ma prawo zatrzymać osobę ujętą na gorącym uczynku popełnienia wykroczenia lub bezpośrednio potem, jeżeli:</w:t>
      </w:r>
    </w:p>
    <w:p w14:paraId="49D3A4B2" w14:textId="77777777" w:rsidR="0084030C" w:rsidRPr="00AD4DBD" w:rsidRDefault="00C232DF" w:rsidP="00AD4DBD">
      <w:pPr>
        <w:pStyle w:val="JuQuot"/>
        <w:rPr>
          <w:szCs w:val="20"/>
        </w:rPr>
      </w:pPr>
      <w:r>
        <w:t>1) zachodzą podstawy do zastosowania wobec niej postępowania przyspieszonego;</w:t>
      </w:r>
    </w:p>
    <w:p w14:paraId="576212DC" w14:textId="77777777" w:rsidR="0084030C" w:rsidRPr="00AD4DBD" w:rsidRDefault="00C232DF" w:rsidP="00AD4DBD">
      <w:pPr>
        <w:pStyle w:val="JuQuot"/>
        <w:rPr>
          <w:szCs w:val="20"/>
        </w:rPr>
      </w:pPr>
      <w:r>
        <w:t>2) nie można ustalić jej tożsamości”.</w:t>
      </w:r>
    </w:p>
    <w:p w14:paraId="687A65B9" w14:textId="00F02514" w:rsidR="0084030C" w:rsidRPr="00AD4DBD" w:rsidRDefault="00AD4DBD" w:rsidP="00AD4DBD">
      <w:pPr>
        <w:pStyle w:val="JuPara"/>
      </w:pPr>
      <w:bookmarkStart w:id="9" w:name="paragraph00032"/>
      <w:r w:rsidRPr="00AD4DBD">
        <w:t>32</w:t>
      </w:r>
      <w:bookmarkEnd w:id="9"/>
      <w:r w:rsidR="00C232DF">
        <w:t>.</w:t>
      </w:r>
      <w:r w:rsidR="00F35BBD">
        <w:t xml:space="preserve"> </w:t>
      </w:r>
      <w:r w:rsidR="00C232DF">
        <w:t xml:space="preserve">Artykuł 46 </w:t>
      </w:r>
      <w:r w:rsidR="00C232DF">
        <w:rPr>
          <w:sz w:val="23"/>
        </w:rPr>
        <w:t xml:space="preserve">§ </w:t>
      </w:r>
      <w:r w:rsidR="00C232DF">
        <w:t>1 ma następujące brzmienie:</w:t>
      </w:r>
    </w:p>
    <w:p w14:paraId="3A9D6850" w14:textId="1D87503E" w:rsidR="0084030C" w:rsidRPr="00AD4DBD" w:rsidRDefault="00C232DF" w:rsidP="00AD4DBD">
      <w:pPr>
        <w:pStyle w:val="JuQuot"/>
      </w:pPr>
      <w:r>
        <w:t>„Zatrzymanego należy natychmiast poinformować o przyczynach zatrzymania i</w:t>
      </w:r>
      <w:r w:rsidR="004F442E">
        <w:t> </w:t>
      </w:r>
      <w:r>
        <w:t>o</w:t>
      </w:r>
      <w:r w:rsidR="004F442E">
        <w:t> </w:t>
      </w:r>
      <w:r>
        <w:t>przysługujących mu uprawnieniach oraz wysłuchać go</w:t>
      </w:r>
      <w:r w:rsidR="00E42A22">
        <w:t>”.</w:t>
      </w:r>
    </w:p>
    <w:p w14:paraId="43B79370" w14:textId="6B1E1591" w:rsidR="0084030C" w:rsidRPr="00AD4DBD" w:rsidRDefault="00AD4DBD" w:rsidP="00AD4DBD">
      <w:pPr>
        <w:pStyle w:val="JuPara"/>
      </w:pPr>
      <w:bookmarkStart w:id="10" w:name="paragraph00033"/>
      <w:r w:rsidRPr="00AD4DBD">
        <w:t>33</w:t>
      </w:r>
      <w:bookmarkEnd w:id="10"/>
      <w:r w:rsidR="00C232DF">
        <w:t>.</w:t>
      </w:r>
      <w:r w:rsidR="00F35BBD">
        <w:t xml:space="preserve"> </w:t>
      </w:r>
      <w:r w:rsidR="00C232DF">
        <w:t xml:space="preserve">Artykuł 46 </w:t>
      </w:r>
      <w:r w:rsidR="00C232DF">
        <w:rPr>
          <w:sz w:val="23"/>
        </w:rPr>
        <w:t xml:space="preserve">§ </w:t>
      </w:r>
      <w:r w:rsidR="00C232DF">
        <w:t>5 ma następujące brzmienie:</w:t>
      </w:r>
    </w:p>
    <w:p w14:paraId="74A00960" w14:textId="5429A8F5" w:rsidR="0084030C" w:rsidRPr="00AD4DBD" w:rsidRDefault="00C232DF" w:rsidP="00AD4DBD">
      <w:pPr>
        <w:pStyle w:val="JuQuot"/>
      </w:pPr>
      <w:r>
        <w:t>„Zatrzymanego należy natychmiast zwolnić, gdy ustanie przyczyna zatrzymania, a</w:t>
      </w:r>
      <w:r w:rsidR="004F442E">
        <w:t> </w:t>
      </w:r>
      <w:r>
        <w:t>także z upływem czasu zatrzymania</w:t>
      </w:r>
      <w:r w:rsidR="00E42A22">
        <w:t>”.</w:t>
      </w:r>
    </w:p>
    <w:p w14:paraId="3A9491F9" w14:textId="5D4393F9" w:rsidR="0084030C" w:rsidRPr="00AD4DBD" w:rsidRDefault="00C232DF" w:rsidP="00AD4DBD">
      <w:pPr>
        <w:pStyle w:val="JuHIRoman"/>
      </w:pPr>
      <w:r>
        <w:t xml:space="preserve">KODEKS WYKROCZEŃ </w:t>
      </w:r>
    </w:p>
    <w:p w14:paraId="70B0DF16" w14:textId="574AE7AB" w:rsidR="0084030C" w:rsidRPr="008057DD" w:rsidRDefault="00AD4DBD" w:rsidP="00AD4DBD">
      <w:pPr>
        <w:pStyle w:val="JuPara"/>
      </w:pPr>
      <w:bookmarkStart w:id="11" w:name="paragraph00034"/>
      <w:r w:rsidRPr="008057DD">
        <w:t>34</w:t>
      </w:r>
      <w:bookmarkEnd w:id="11"/>
      <w:r w:rsidR="00C232DF" w:rsidRPr="008057DD">
        <w:t>.</w:t>
      </w:r>
      <w:r w:rsidR="00F35BBD" w:rsidRPr="008057DD">
        <w:t xml:space="preserve"> </w:t>
      </w:r>
      <w:r w:rsidR="00C232DF" w:rsidRPr="008057DD">
        <w:t>Artykuł 47 § 1 Kodeksu wykroczeń</w:t>
      </w:r>
      <w:r w:rsidR="008057DD" w:rsidRPr="008057DD">
        <w:rPr>
          <w:rStyle w:val="Odwoanieprzypisudolnego"/>
        </w:rPr>
        <w:footnoteReference w:id="1"/>
      </w:r>
      <w:r w:rsidR="00C232DF" w:rsidRPr="008057DD">
        <w:t xml:space="preserve"> stanowi, w zakresie, w jakim ma</w:t>
      </w:r>
      <w:r w:rsidR="004F442E">
        <w:t> </w:t>
      </w:r>
      <w:r w:rsidR="00C232DF" w:rsidRPr="008057DD">
        <w:t>to zastosowanie, co następuje:</w:t>
      </w:r>
    </w:p>
    <w:p w14:paraId="4C6B42D5" w14:textId="61645608" w:rsidR="0084030C" w:rsidRPr="00AD4DBD" w:rsidRDefault="00C232DF" w:rsidP="00AD4DBD">
      <w:pPr>
        <w:pStyle w:val="JuQuot"/>
      </w:pPr>
      <w:r w:rsidRPr="008057DD">
        <w:t>„Zatrzymanemu przysługuje zażalenie na zatrzymanie do sądu.</w:t>
      </w:r>
      <w:r w:rsidR="00F35BBD" w:rsidRPr="008057DD">
        <w:t xml:space="preserve"> </w:t>
      </w:r>
      <w:r w:rsidRPr="008057DD">
        <w:t>W zażaleniu zatrzymany może domagać się zbadania zasadności, legalności oraz prawidłowości zatrzymania</w:t>
      </w:r>
      <w:r w:rsidR="00E42A22" w:rsidRPr="008057DD">
        <w:t>”.</w:t>
      </w:r>
    </w:p>
    <w:p w14:paraId="49EFB853" w14:textId="3F5987C5" w:rsidR="0084030C" w:rsidRPr="00AD4DBD" w:rsidRDefault="00AD4DBD" w:rsidP="00AD4DBD">
      <w:pPr>
        <w:pStyle w:val="JuPara"/>
      </w:pPr>
      <w:bookmarkStart w:id="12" w:name="paragraph00035"/>
      <w:r w:rsidRPr="00AD4DBD">
        <w:t>35</w:t>
      </w:r>
      <w:bookmarkEnd w:id="12"/>
      <w:r w:rsidR="00C232DF">
        <w:t>.</w:t>
      </w:r>
      <w:r w:rsidR="00F35BBD">
        <w:t xml:space="preserve"> </w:t>
      </w:r>
      <w:r w:rsidR="00C232DF">
        <w:t>Artykuł 52 § 2 Kodeksu stanowi, w zakresie, w jakim ma to</w:t>
      </w:r>
      <w:r w:rsidR="004F442E">
        <w:t> </w:t>
      </w:r>
      <w:r w:rsidR="00C232DF">
        <w:t>zastosowanie, co następuje:</w:t>
      </w:r>
    </w:p>
    <w:p w14:paraId="0C7F24EB" w14:textId="77777777" w:rsidR="0084030C" w:rsidRPr="00AD4DBD" w:rsidRDefault="00C232DF" w:rsidP="00AD4DBD">
      <w:pPr>
        <w:pStyle w:val="JuQuot"/>
      </w:pPr>
      <w:r>
        <w:t>„Kto:</w:t>
      </w:r>
    </w:p>
    <w:p w14:paraId="04B7F9E8" w14:textId="77777777" w:rsidR="0084030C" w:rsidRPr="00AD4DBD" w:rsidRDefault="00C232DF" w:rsidP="00AD4DBD">
      <w:pPr>
        <w:pStyle w:val="JuQuot"/>
      </w:pPr>
      <w:r>
        <w:t>1) przeszkadza lub usiłuje przeszkodzić w organizowaniu lub w przebiegu niezakazanego zgromadzenia,</w:t>
      </w:r>
    </w:p>
    <w:p w14:paraId="20FAE50B" w14:textId="77777777" w:rsidR="0084030C" w:rsidRPr="00AD4DBD" w:rsidRDefault="00C232DF" w:rsidP="00AD4DBD">
      <w:pPr>
        <w:pStyle w:val="JuQuot"/>
      </w:pPr>
      <w:r>
        <w:t>...</w:t>
      </w:r>
    </w:p>
    <w:p w14:paraId="54318D78" w14:textId="68BA6D67" w:rsidR="0084030C" w:rsidRPr="00AD4DBD" w:rsidRDefault="00C232DF" w:rsidP="00AD4DBD">
      <w:pPr>
        <w:pStyle w:val="JuQuot"/>
      </w:pPr>
      <w:r>
        <w:t>- podlega karze ograniczenia wolności albo grzywny</w:t>
      </w:r>
      <w:r w:rsidR="00E42A22">
        <w:t>”.</w:t>
      </w:r>
    </w:p>
    <w:p w14:paraId="0C0D1076" w14:textId="23628896" w:rsidR="0084030C" w:rsidRPr="00AD4DBD" w:rsidRDefault="00AD4DBD" w:rsidP="00AD4DBD">
      <w:pPr>
        <w:pStyle w:val="JuPara"/>
      </w:pPr>
      <w:bookmarkStart w:id="13" w:name="paragraph00036"/>
      <w:r w:rsidRPr="00AD4DBD">
        <w:t>36</w:t>
      </w:r>
      <w:bookmarkEnd w:id="13"/>
      <w:r w:rsidR="00C232DF">
        <w:t>.</w:t>
      </w:r>
      <w:r w:rsidR="00F35BBD">
        <w:t xml:space="preserve"> </w:t>
      </w:r>
      <w:r w:rsidR="00C232DF">
        <w:t>Artykuł 52 § 3 Kodeksu stanowi, w zakresie, w jakim ma to</w:t>
      </w:r>
      <w:r w:rsidR="004F442E">
        <w:t> </w:t>
      </w:r>
      <w:r w:rsidR="00C232DF">
        <w:t>zastosowanie, co następuje:</w:t>
      </w:r>
    </w:p>
    <w:p w14:paraId="6C3D2680" w14:textId="77777777" w:rsidR="0084030C" w:rsidRPr="00AD4DBD" w:rsidRDefault="00C232DF" w:rsidP="00AD4DBD">
      <w:pPr>
        <w:pStyle w:val="JuQuot"/>
      </w:pPr>
      <w:r>
        <w:t>„Kto</w:t>
      </w:r>
    </w:p>
    <w:p w14:paraId="00FB0014" w14:textId="161E96CC" w:rsidR="0084030C" w:rsidRPr="00AD4DBD" w:rsidRDefault="00C232DF" w:rsidP="00AD4DBD">
      <w:pPr>
        <w:pStyle w:val="JuQuot"/>
      </w:pPr>
      <w:r>
        <w:t>2) nie podporządkowuje się żądaniom lub poleceniom przewodniczącego zgromadzenia lub jego organizatora,</w:t>
      </w:r>
      <w:r w:rsidR="00F35BBD">
        <w:t xml:space="preserve"> </w:t>
      </w:r>
      <w:r>
        <w:t>...</w:t>
      </w:r>
    </w:p>
    <w:p w14:paraId="383EB13E" w14:textId="77777777" w:rsidR="0084030C" w:rsidRPr="00AD4DBD" w:rsidRDefault="00C232DF" w:rsidP="00AD4DBD">
      <w:pPr>
        <w:pStyle w:val="JuQuot"/>
      </w:pPr>
      <w:r>
        <w:t>...</w:t>
      </w:r>
    </w:p>
    <w:p w14:paraId="58227748" w14:textId="2E8BBB58" w:rsidR="0084030C" w:rsidRPr="00AD4DBD" w:rsidRDefault="00C232DF" w:rsidP="00AD4DBD">
      <w:pPr>
        <w:pStyle w:val="JuQuot"/>
      </w:pPr>
      <w:r>
        <w:lastRenderedPageBreak/>
        <w:t>- podlega karze grzywny</w:t>
      </w:r>
      <w:r w:rsidR="00E42A22">
        <w:t>”.</w:t>
      </w:r>
    </w:p>
    <w:p w14:paraId="3D46EFB4" w14:textId="099F5BAE" w:rsidR="0084030C" w:rsidRPr="00AD4DBD" w:rsidRDefault="00C232DF" w:rsidP="00AD4DBD">
      <w:pPr>
        <w:pStyle w:val="JuHIRoman"/>
      </w:pPr>
      <w:r>
        <w:t xml:space="preserve">USTAWA Z DNIA 24 LIPCA 2015 R. </w:t>
      </w:r>
      <w:r w:rsidR="003A396D">
        <w:t xml:space="preserve">– Prawo </w:t>
      </w:r>
      <w:r>
        <w:t>O</w:t>
      </w:r>
      <w:r w:rsidR="004F442E">
        <w:t> </w:t>
      </w:r>
      <w:r>
        <w:t>ZGROMADZENIACH ZMIENIONA USTAWĄ Z DNIA 13</w:t>
      </w:r>
      <w:r w:rsidR="004F442E">
        <w:t> </w:t>
      </w:r>
      <w:r>
        <w:t>GRUDNIA 2016 R. WPROWADZAJĄCĄ ZGROMADZENIA CYKLICZNE</w:t>
      </w:r>
    </w:p>
    <w:p w14:paraId="6566B178" w14:textId="418CC73A" w:rsidR="0084030C" w:rsidRPr="00AD4DBD" w:rsidRDefault="00AD4DBD" w:rsidP="00AD4DBD">
      <w:pPr>
        <w:pStyle w:val="JuPara"/>
      </w:pPr>
      <w:r w:rsidRPr="00AD4DBD">
        <w:t>37</w:t>
      </w:r>
      <w:r w:rsidR="00C232DF">
        <w:t>.</w:t>
      </w:r>
      <w:r w:rsidR="00F35BBD">
        <w:t xml:space="preserve"> </w:t>
      </w:r>
      <w:r w:rsidR="00C232DF">
        <w:t>Znowelizowana ustawa o zgromadzeniach stanowi, w odpowiednim zakresie, co następuje.</w:t>
      </w:r>
    </w:p>
    <w:p w14:paraId="2FB323B5" w14:textId="77777777" w:rsidR="0084030C" w:rsidRPr="00AD4DBD" w:rsidRDefault="00C232DF" w:rsidP="00AD4DBD">
      <w:pPr>
        <w:pStyle w:val="JuHArticle"/>
      </w:pPr>
      <w:r>
        <w:t>Artykuł 3</w:t>
      </w:r>
    </w:p>
    <w:p w14:paraId="066DABCD" w14:textId="086670E8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Zgromadzeniem jest zgrupowanie osób na otwartej przestrzeni dostępnej dla</w:t>
      </w:r>
      <w:r w:rsidR="004F442E">
        <w:t> </w:t>
      </w:r>
      <w:r>
        <w:t>nieokreślonych imiennie osób</w:t>
      </w:r>
      <w:r w:rsidR="00F424BF">
        <w:t xml:space="preserve"> </w:t>
      </w:r>
      <w:r>
        <w:t>... w celu odbycia wspólnych obrad lub w celu wspólnego wyrażenia stanowiska w sprawach publicznych.</w:t>
      </w:r>
    </w:p>
    <w:p w14:paraId="3864912B" w14:textId="7D7024E8" w:rsidR="0084030C" w:rsidRPr="00AD4DBD" w:rsidRDefault="00C232DF" w:rsidP="00AD4DBD">
      <w:pPr>
        <w:pStyle w:val="JuQuot"/>
      </w:pPr>
      <w:r w:rsidRPr="003A396D">
        <w:t>2.</w:t>
      </w:r>
      <w:r w:rsidR="00F35BBD">
        <w:t xml:space="preserve"> </w:t>
      </w:r>
      <w:r>
        <w:t>Zgromadzeniem spontanicznym jest zgromadzenie, które odbywa się w związku z</w:t>
      </w:r>
      <w:r w:rsidR="004F442E">
        <w:t> </w:t>
      </w:r>
      <w:r>
        <w:t>zaistniałym nagłym i niemożliwym do wcześniejszego przewidzenia wydarzeniem związanym ze sferą publiczną, którego odbycie w innym terminie byłoby niecelowe lub mało istotne z punktu widzenia debaty publicznej</w:t>
      </w:r>
      <w:r w:rsidR="00E42A22">
        <w:t>”.</w:t>
      </w:r>
    </w:p>
    <w:p w14:paraId="0521F338" w14:textId="77777777" w:rsidR="0084030C" w:rsidRPr="00AD4DBD" w:rsidRDefault="00C232DF" w:rsidP="00AD4DBD">
      <w:pPr>
        <w:pStyle w:val="JuHArticle"/>
      </w:pPr>
      <w:r>
        <w:t>Artykuł 7</w:t>
      </w:r>
    </w:p>
    <w:p w14:paraId="027C6199" w14:textId="74ACDCC5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Organizator zgromadzenia zawiadamia organ gminy o zamiarze zorganizowania zgromadzenia w taki sposób, aby wiadomość dotarła do organu nie wcześniej niż</w:t>
      </w:r>
      <w:r w:rsidR="004F442E">
        <w:t> </w:t>
      </w:r>
      <w:r>
        <w:t>na</w:t>
      </w:r>
      <w:r w:rsidR="004F442E">
        <w:t> </w:t>
      </w:r>
      <w:r>
        <w:t>30</w:t>
      </w:r>
      <w:r w:rsidR="004F442E">
        <w:t> </w:t>
      </w:r>
      <w:r>
        <w:t>dni i nie później niż na 6 dni przed planowaną datą zgromadzenia.</w:t>
      </w:r>
    </w:p>
    <w:p w14:paraId="78B8CB2C" w14:textId="77777777" w:rsidR="0084030C" w:rsidRPr="00AD4DBD" w:rsidRDefault="00C232DF" w:rsidP="00AD4DBD">
      <w:pPr>
        <w:pStyle w:val="JuQuot"/>
      </w:pPr>
      <w:r>
        <w:t>...</w:t>
      </w:r>
    </w:p>
    <w:p w14:paraId="645757B6" w14:textId="236073B4" w:rsidR="0084030C" w:rsidRPr="00AD4DBD" w:rsidRDefault="00C232DF" w:rsidP="00AD4DBD">
      <w:pPr>
        <w:pStyle w:val="JuQuot"/>
      </w:pPr>
      <w:r>
        <w:t>3.</w:t>
      </w:r>
      <w:r w:rsidR="00F35BBD">
        <w:t xml:space="preserve"> </w:t>
      </w:r>
      <w:r>
        <w:t>Organ gminy, po otrzymaniu zawiadomienia o zamiarze zorganizowania zgromadzenia, udostępnia niezwłocznie na stronie podmiotowej w Biuletynie Informacji Publicznej informację o miejscu i terminie organizowanego zgromadzenia</w:t>
      </w:r>
      <w:r w:rsidR="00E42A22">
        <w:t>”.</w:t>
      </w:r>
    </w:p>
    <w:p w14:paraId="05CCD449" w14:textId="77777777" w:rsidR="0084030C" w:rsidRPr="00AD4DBD" w:rsidRDefault="00C232DF" w:rsidP="00AD4DBD">
      <w:pPr>
        <w:pStyle w:val="JuHArticle"/>
      </w:pPr>
      <w:r>
        <w:t>Artykuł 9</w:t>
      </w:r>
    </w:p>
    <w:p w14:paraId="1DF8AEF7" w14:textId="3E1546A8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Organizator zgromadzenia zawiadamia organ gminy o zamiarze zorganizowania zgromadzenia pisemnie, za</w:t>
      </w:r>
      <w:r w:rsidR="00F424BF">
        <w:t xml:space="preserve"> </w:t>
      </w:r>
      <w:r>
        <w:t>pomocą faksu, ustnie do protokołu lub za pomocą środków komunikacji elektronicznej w rozumieniu art. 2 pkt 5 ustawy z dnia 18 lipca 2002 r. o</w:t>
      </w:r>
      <w:r w:rsidR="004F442E">
        <w:t> </w:t>
      </w:r>
      <w:r>
        <w:t>świadczeniu usług drogą elektroniczną (Dz. U. z 20</w:t>
      </w:r>
      <w:r w:rsidR="00260F2F">
        <w:t>19</w:t>
      </w:r>
      <w:r>
        <w:t xml:space="preserve"> r. poz. </w:t>
      </w:r>
      <w:r w:rsidR="00260F2F">
        <w:t>123</w:t>
      </w:r>
      <w:r w:rsidR="009C571D">
        <w:rPr>
          <w:rStyle w:val="Odwoanieprzypisudolnego"/>
        </w:rPr>
        <w:footnoteReference w:id="2"/>
      </w:r>
      <w:r>
        <w:t>), zwanych dalej „środkami komunikacji elektronicznej.</w:t>
      </w:r>
    </w:p>
    <w:p w14:paraId="685D0747" w14:textId="4C720798" w:rsidR="0084030C" w:rsidRPr="00AD4DBD" w:rsidRDefault="00C232DF" w:rsidP="00AD4DBD">
      <w:pPr>
        <w:pStyle w:val="JuQuot"/>
      </w:pPr>
      <w:r w:rsidRPr="009C571D">
        <w:t>2.</w:t>
      </w:r>
      <w:r w:rsidR="00F35BBD" w:rsidRPr="009C571D">
        <w:t xml:space="preserve"> </w:t>
      </w:r>
      <w:r w:rsidRPr="009C571D">
        <w:t>R</w:t>
      </w:r>
      <w:r>
        <w:t>ejestracja wniesienia zawiadomienia o zamiarze zorganizowania zgromadzenia następuje z uwzględnieniem daty, godziny oraz minuty wniesienia zawiadomienia, które decydują o kolejności wniesienia tego zawiadomienia</w:t>
      </w:r>
      <w:r w:rsidR="00E42A22">
        <w:t>”.</w:t>
      </w:r>
    </w:p>
    <w:p w14:paraId="53ED2EEB" w14:textId="77777777" w:rsidR="0084030C" w:rsidRPr="00AD4DBD" w:rsidRDefault="00C232DF" w:rsidP="00AD4DBD">
      <w:pPr>
        <w:pStyle w:val="JuHArticle"/>
      </w:pPr>
      <w:r>
        <w:t>Artykuł 12</w:t>
      </w:r>
    </w:p>
    <w:p w14:paraId="4D2DDE70" w14:textId="0B852E47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Jeżeli wniesiono zawiadomienia o zamiarze zorganizowania dwóch lub większej liczby [odrębnych] zgromadzeń, które</w:t>
      </w:r>
      <w:r w:rsidR="00F35BBD">
        <w:t xml:space="preserve"> </w:t>
      </w:r>
      <w:r>
        <w:t>mają zostać zorganizowane chociażby częściowo w tym samym miejscu i czasie, w szczególności w odległości mniejszej niż</w:t>
      </w:r>
      <w:r w:rsidR="004F442E">
        <w:t> </w:t>
      </w:r>
      <w:r>
        <w:t xml:space="preserve">100 m pomiędzy zgromadzeniami, i nie jest możliwe ich odbycie w taki sposób, aby ich przebieg nie zagrażał życiu lub zdrowiu ludzi albo mieniu ....o pierwszeństwie </w:t>
      </w:r>
      <w:r>
        <w:lastRenderedPageBreak/>
        <w:t>wyboru miejsca i czasu zgromadzenia decyduje</w:t>
      </w:r>
      <w:r w:rsidR="00F424BF">
        <w:t xml:space="preserve"> </w:t>
      </w:r>
      <w:r>
        <w:t>kolejność wniesienia zawiadomień. W</w:t>
      </w:r>
      <w:r w:rsidR="004F442E">
        <w:t> </w:t>
      </w:r>
      <w:r>
        <w:t>przypadku gdy wniesione zawiadomienie nie spełniało wymagań określonych w</w:t>
      </w:r>
      <w:r w:rsidR="004F442E">
        <w:t> </w:t>
      </w:r>
      <w:r>
        <w:t>art.</w:t>
      </w:r>
      <w:r w:rsidR="004F442E">
        <w:t> </w:t>
      </w:r>
      <w:r>
        <w:t>10, o kolejności wniesienia tego zawiadomienia decydują data, godzina i minuta jego ponownego wniesienia, o ile tak wniesione</w:t>
      </w:r>
      <w:r w:rsidR="00F424BF">
        <w:t xml:space="preserve"> </w:t>
      </w:r>
      <w:r>
        <w:t>zawiadomienie spełnia te wymagania.</w:t>
      </w:r>
      <w:r w:rsidR="00F35BBD">
        <w:t xml:space="preserve"> </w:t>
      </w:r>
      <w:r>
        <w:t>Zgromadzeniom, o których mowa w art. 26a, przysługuje pierwszeństwo wyboru miejsca i czasu zorganizowania zgromadzenia.</w:t>
      </w:r>
    </w:p>
    <w:p w14:paraId="73BB4C32" w14:textId="717E54CB" w:rsidR="0084030C" w:rsidRPr="00AD4DBD" w:rsidRDefault="00C232DF" w:rsidP="00AD4DBD">
      <w:pPr>
        <w:pStyle w:val="JuQuot"/>
      </w:pPr>
      <w:r w:rsidRPr="00FA172C">
        <w:t>2.</w:t>
      </w:r>
      <w:r w:rsidR="00F35BBD">
        <w:t xml:space="preserve"> </w:t>
      </w:r>
      <w:r>
        <w:t>W przypadku, o którym mowa w ust. 1, organ gminy niezwłocznie wzywa, telefonicznie i za pomocą środków</w:t>
      </w:r>
      <w:r w:rsidR="00F424BF">
        <w:t xml:space="preserve"> </w:t>
      </w:r>
      <w:r>
        <w:t>komunikacji elektronicznej, do zmiany miejsca lub</w:t>
      </w:r>
      <w:r w:rsidR="004F442E">
        <w:t> </w:t>
      </w:r>
      <w:r>
        <w:t>czasu zgromadzeń organizatorów zgromadzeń, którym nie przysługuje pierwszeństwo wyboru miejsca i czasu, o którym mowa w ust. 1</w:t>
      </w:r>
      <w:r w:rsidR="00E42A22">
        <w:t>”.</w:t>
      </w:r>
    </w:p>
    <w:p w14:paraId="73670E60" w14:textId="77777777" w:rsidR="0084030C" w:rsidRPr="00AD4DBD" w:rsidRDefault="00C232DF" w:rsidP="00AD4DBD">
      <w:pPr>
        <w:pStyle w:val="JuHArticle"/>
      </w:pPr>
      <w:r>
        <w:t>Artykuł 14</w:t>
      </w:r>
    </w:p>
    <w:p w14:paraId="539F6E96" w14:textId="1687F353" w:rsidR="0084030C" w:rsidRPr="00AD4DBD" w:rsidRDefault="00C232DF" w:rsidP="00AD4DBD">
      <w:pPr>
        <w:pStyle w:val="JuQuot"/>
      </w:pPr>
      <w:r>
        <w:t>„Organ gminy wydaje decyzję o zakazie zgromadzenia nie później niż na 96 godzin przed planowaną datą</w:t>
      </w:r>
      <w:r w:rsidR="00F424BF">
        <w:t xml:space="preserve"> </w:t>
      </w:r>
      <w:r>
        <w:t>zgromadzenia, jeżeli:</w:t>
      </w:r>
    </w:p>
    <w:p w14:paraId="2662581F" w14:textId="77777777" w:rsidR="0084030C" w:rsidRPr="00AD4DBD" w:rsidRDefault="00C232DF" w:rsidP="00AD4DBD">
      <w:pPr>
        <w:pStyle w:val="JuQuot"/>
      </w:pPr>
      <w:r>
        <w:t>...</w:t>
      </w:r>
    </w:p>
    <w:p w14:paraId="25DB58C2" w14:textId="788E6920" w:rsidR="0084030C" w:rsidRPr="00AD4DBD" w:rsidRDefault="00C232DF" w:rsidP="00AD4DBD">
      <w:pPr>
        <w:pStyle w:val="JuQuot"/>
      </w:pPr>
      <w:r>
        <w:t>3) zgromadzenie ma się odbyć w miejscu i czasie, w których odbywają się zgromadzenia organizowane cyklicznie, o których mowa w art. 26a</w:t>
      </w:r>
      <w:r w:rsidR="00E42A22">
        <w:t>”.</w:t>
      </w:r>
    </w:p>
    <w:p w14:paraId="6AE8C67E" w14:textId="77777777" w:rsidR="0084030C" w:rsidRPr="00AD4DBD" w:rsidRDefault="00C232DF" w:rsidP="00AD4DBD">
      <w:pPr>
        <w:pStyle w:val="JuHArticle"/>
      </w:pPr>
      <w:r>
        <w:t>Artykuł 19</w:t>
      </w:r>
    </w:p>
    <w:p w14:paraId="3335FCFD" w14:textId="49A5ED9E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Organizator zgromadzenia oraz przewodniczący zgromadzenia są obowiązani do</w:t>
      </w:r>
      <w:r w:rsidR="004F442E">
        <w:t> </w:t>
      </w:r>
      <w:r>
        <w:t>zapewnienia przebiegu</w:t>
      </w:r>
      <w:r w:rsidR="00F424BF">
        <w:t xml:space="preserve"> </w:t>
      </w:r>
      <w:r>
        <w:t>zgromadzenia zgodnie z przepisami prawa oraz do</w:t>
      </w:r>
      <w:r w:rsidR="004F442E">
        <w:t> </w:t>
      </w:r>
      <w:r>
        <w:t>przeprowadzenia zgromadzenia w taki sposób, aby zapobiec powstaniu szkód z</w:t>
      </w:r>
      <w:r w:rsidR="004F442E">
        <w:t> </w:t>
      </w:r>
      <w:r>
        <w:t>winy uczestników zgromadzenia. W tym celu organizator zgromadzenia oraz przewodniczący zgromadzenia podejmują przewidziane w ustawie środki.</w:t>
      </w:r>
    </w:p>
    <w:p w14:paraId="3937488F" w14:textId="77777777" w:rsidR="0084030C" w:rsidRPr="00AD4DBD" w:rsidRDefault="00C232DF" w:rsidP="00AD4DBD">
      <w:pPr>
        <w:pStyle w:val="JuQuot"/>
      </w:pPr>
      <w:r>
        <w:t>...</w:t>
      </w:r>
    </w:p>
    <w:p w14:paraId="18E756D7" w14:textId="09743809" w:rsidR="0084030C" w:rsidRPr="00AD4DBD" w:rsidRDefault="00C232DF" w:rsidP="00AD4DBD">
      <w:pPr>
        <w:pStyle w:val="JuQuot"/>
      </w:pPr>
      <w:r>
        <w:t>4.</w:t>
      </w:r>
      <w:r w:rsidR="00F35BBD">
        <w:t xml:space="preserve"> </w:t>
      </w:r>
      <w:r>
        <w:t>Przewodniczący zgromadzenia w trakcie trwania zgromadzenia jest obowiązany do nieprzerwanego posiadania w widocznym miejscu elementów wyróżniających, w</w:t>
      </w:r>
      <w:r w:rsidR="004F442E">
        <w:t> </w:t>
      </w:r>
      <w:r>
        <w:t>tym identyfikatora, o którym mowa w ust. 3.</w:t>
      </w:r>
    </w:p>
    <w:p w14:paraId="7DFB351E" w14:textId="1139F846" w:rsidR="0084030C" w:rsidRPr="00AD4DBD" w:rsidRDefault="00C232DF" w:rsidP="00AD4DBD">
      <w:pPr>
        <w:pStyle w:val="JuQuot"/>
      </w:pPr>
      <w:r>
        <w:t>5.</w:t>
      </w:r>
      <w:r w:rsidR="00F35BBD">
        <w:t xml:space="preserve"> </w:t>
      </w:r>
      <w:r>
        <w:t>Przewodniczący zgromadzenia żąda opuszczenia zgromadzenia przez osobę, która swoim zachowaniem narusza przepisy ustawy albo uniemożliwia lub usiłuje udaremnić zgromadzenie.</w:t>
      </w:r>
      <w:r w:rsidR="00F35BBD">
        <w:t xml:space="preserve"> </w:t>
      </w:r>
      <w:r>
        <w:t>W przypadku niepodporządkowania się żądaniu</w:t>
      </w:r>
      <w:r w:rsidR="00F424BF">
        <w:t xml:space="preserve"> </w:t>
      </w:r>
      <w:r>
        <w:t>przewodniczący zgromadzenia zwraca się o pomoc do Policji lub straży gminnej (miejskiej)</w:t>
      </w:r>
      <w:r w:rsidR="00E42A22">
        <w:t>”.</w:t>
      </w:r>
    </w:p>
    <w:p w14:paraId="2931B6E3" w14:textId="77777777" w:rsidR="0084030C" w:rsidRPr="00AD4DBD" w:rsidRDefault="00C232DF" w:rsidP="00AD4DBD">
      <w:pPr>
        <w:pStyle w:val="JuHArticle"/>
      </w:pPr>
      <w:r>
        <w:t>Artykuł 26a</w:t>
      </w:r>
    </w:p>
    <w:p w14:paraId="7341E705" w14:textId="080E0F89" w:rsidR="0084030C" w:rsidRPr="00AD4DBD" w:rsidRDefault="00C232DF" w:rsidP="00AD4DBD">
      <w:pPr>
        <w:pStyle w:val="JuQuot"/>
      </w:pPr>
      <w:r>
        <w:t>„1.</w:t>
      </w:r>
      <w:r w:rsidR="00F35BBD">
        <w:t xml:space="preserve"> </w:t>
      </w:r>
      <w:r>
        <w:t>Jeżeli zgromadzenia są organizowane przez tego samego organizatora w</w:t>
      </w:r>
      <w:r w:rsidR="004F442E">
        <w:t> </w:t>
      </w:r>
      <w:r>
        <w:t>tym</w:t>
      </w:r>
      <w:r w:rsidR="004F442E">
        <w:t> </w:t>
      </w:r>
      <w:r>
        <w:t>samym miejscu lub na tej</w:t>
      </w:r>
      <w:r w:rsidR="002F17D9">
        <w:t xml:space="preserve"> </w:t>
      </w:r>
      <w:r>
        <w:t>samej trasie co najmniej 4 razy w roku według opracowanego terminarza lub co najmniej raz w roku w dniach świąt państwowych i</w:t>
      </w:r>
      <w:r w:rsidR="004F442E">
        <w:t> </w:t>
      </w:r>
      <w:r>
        <w:t>narodowych, a tego rodzaju wydarzenia odbywały się w ciągu ostatnich 3 lat, chociażby nie w formie zgromadzeń i miały na celu w szczególności uczczenie doniosłych i istotnych dla historii Rzeczypospolitej Polskiej wydarzeń,</w:t>
      </w:r>
      <w:r w:rsidR="002F17D9">
        <w:t xml:space="preserve"> </w:t>
      </w:r>
      <w:r>
        <w:t>organizator może zwrócić się z wnioskiem do wojewody o wyrażenie zgody na cykliczne organizowanie tych zgromadzeń</w:t>
      </w:r>
      <w:r w:rsidR="00E42A22">
        <w:t>”.</w:t>
      </w:r>
    </w:p>
    <w:p w14:paraId="4248B2BD" w14:textId="77777777" w:rsidR="0084030C" w:rsidRPr="00AD4DBD" w:rsidRDefault="00C232DF" w:rsidP="00AD4DBD">
      <w:pPr>
        <w:pStyle w:val="JuHArticle"/>
      </w:pPr>
      <w:r>
        <w:t>Artykuł 27</w:t>
      </w:r>
    </w:p>
    <w:p w14:paraId="79FDC350" w14:textId="1E76A448" w:rsidR="0084030C" w:rsidRPr="00AD4DBD" w:rsidRDefault="00C232DF" w:rsidP="00AD4DBD">
      <w:pPr>
        <w:pStyle w:val="JuQuot"/>
      </w:pPr>
      <w:r>
        <w:t>„Uczestnicy zgromadzenia spontanicznego nie mogą zakłócać przebiegu zgromadzenia organizowanego w trybie przepisów rozdziału 2, 3 lub 3a [zgromadzenia cykliczne</w:t>
      </w:r>
      <w:r w:rsidR="004C53A4">
        <w:t>]</w:t>
      </w:r>
      <w:r w:rsidR="00E42A22">
        <w:t>”</w:t>
      </w:r>
      <w:r w:rsidR="004C53A4">
        <w:t>.</w:t>
      </w:r>
    </w:p>
    <w:p w14:paraId="173ADF48" w14:textId="77777777" w:rsidR="0084030C" w:rsidRPr="00AD4DBD" w:rsidRDefault="00C232DF" w:rsidP="00AD4DBD">
      <w:pPr>
        <w:pStyle w:val="JuHIRoman"/>
      </w:pPr>
      <w:r>
        <w:lastRenderedPageBreak/>
        <w:t>USTAWA O POLICJI</w:t>
      </w:r>
    </w:p>
    <w:p w14:paraId="48949384" w14:textId="488929C2" w:rsidR="0084030C" w:rsidRPr="00AD4DBD" w:rsidRDefault="00AD4DBD" w:rsidP="00AD4DBD">
      <w:pPr>
        <w:pStyle w:val="JuPara"/>
      </w:pPr>
      <w:bookmarkStart w:id="14" w:name="paragraph00038"/>
      <w:r w:rsidRPr="00AD4DBD">
        <w:t>38</w:t>
      </w:r>
      <w:bookmarkEnd w:id="14"/>
      <w:r w:rsidR="00C232DF">
        <w:t>.</w:t>
      </w:r>
      <w:r w:rsidR="00F35BBD">
        <w:t xml:space="preserve"> </w:t>
      </w:r>
      <w:r w:rsidR="00C232DF">
        <w:t>Ustawa o Policji z dnia 6 kwietnia 1990 r. stanowi, w odpowiednim zakresie, co następuje:</w:t>
      </w:r>
    </w:p>
    <w:p w14:paraId="06EBF7F0" w14:textId="77777777" w:rsidR="0084030C" w:rsidRPr="00AD4DBD" w:rsidRDefault="00C232DF" w:rsidP="00AD4DBD">
      <w:pPr>
        <w:pStyle w:val="JuHArticle"/>
      </w:pPr>
      <w:r>
        <w:t>Artykuł 1</w:t>
      </w:r>
    </w:p>
    <w:p w14:paraId="25936285" w14:textId="602B1796" w:rsidR="0084030C" w:rsidRPr="00AD4DBD" w:rsidRDefault="00C232DF" w:rsidP="00AD4DBD">
      <w:pPr>
        <w:pStyle w:val="JuQuot"/>
        <w:rPr>
          <w:szCs w:val="20"/>
        </w:rPr>
      </w:pPr>
      <w:r>
        <w:t>„2.</w:t>
      </w:r>
      <w:r w:rsidR="00F35BBD">
        <w:t xml:space="preserve"> </w:t>
      </w:r>
      <w:r>
        <w:t>Do podstawowych zadań Policji należą:</w:t>
      </w:r>
    </w:p>
    <w:p w14:paraId="223741DD" w14:textId="77777777" w:rsidR="0084030C" w:rsidRPr="00AD4DBD" w:rsidRDefault="00C232DF" w:rsidP="00AD4DBD">
      <w:pPr>
        <w:pStyle w:val="JuQuot"/>
      </w:pPr>
      <w:r>
        <w:t>...</w:t>
      </w:r>
    </w:p>
    <w:p w14:paraId="3CE681F1" w14:textId="2E4A767E" w:rsidR="0084030C" w:rsidRPr="00AD4DBD" w:rsidRDefault="00C232DF" w:rsidP="00AD4DBD">
      <w:pPr>
        <w:pStyle w:val="JuQuot"/>
      </w:pPr>
      <w:r>
        <w:t>2) ochrona bezpieczeństwa i porządku publicznego, w tym zapewnienie spokoju w</w:t>
      </w:r>
      <w:r w:rsidR="004F442E">
        <w:t> </w:t>
      </w:r>
      <w:r>
        <w:t>miejscach publicznych .</w:t>
      </w:r>
      <w:r w:rsidR="00982EDB">
        <w:t>.</w:t>
      </w:r>
      <w:r>
        <w:t>.</w:t>
      </w:r>
      <w:r w:rsidR="00E42A22">
        <w:t>”.</w:t>
      </w:r>
    </w:p>
    <w:p w14:paraId="7213DF67" w14:textId="77777777" w:rsidR="0084030C" w:rsidRPr="00AD4DBD" w:rsidRDefault="00C232DF" w:rsidP="00AD4DBD">
      <w:pPr>
        <w:pStyle w:val="JuHArticle"/>
      </w:pPr>
      <w:r>
        <w:t>Artykuł 14</w:t>
      </w:r>
    </w:p>
    <w:p w14:paraId="7F6E5EFC" w14:textId="027D56F9" w:rsidR="0084030C" w:rsidRPr="00AD4DBD" w:rsidRDefault="00C232DF" w:rsidP="00AD4DBD">
      <w:pPr>
        <w:pStyle w:val="JuQuot"/>
        <w:rPr>
          <w:szCs w:val="20"/>
        </w:rPr>
      </w:pPr>
      <w:r>
        <w:t>„1.</w:t>
      </w:r>
      <w:r w:rsidR="00F35BBD">
        <w:t xml:space="preserve"> </w:t>
      </w:r>
      <w:r>
        <w:t>W granicach swych zadań Policja wykonuje czynności:</w:t>
      </w:r>
      <w:r w:rsidR="00773A74">
        <w:t xml:space="preserve"> </w:t>
      </w:r>
      <w:r>
        <w:t>operacyjno-rozpoznawcze, dochodzeniowo-śledcze i administracyjno-porządkowe</w:t>
      </w:r>
      <w:r w:rsidR="004C53A4">
        <w:t>”.</w:t>
      </w:r>
    </w:p>
    <w:p w14:paraId="483EF164" w14:textId="77777777" w:rsidR="0084030C" w:rsidRPr="00AD4DBD" w:rsidRDefault="00C232DF" w:rsidP="00AD4DBD">
      <w:pPr>
        <w:pStyle w:val="JuHArticle"/>
      </w:pPr>
      <w:r>
        <w:t>Artykuł 15</w:t>
      </w:r>
    </w:p>
    <w:p w14:paraId="31BF6F4F" w14:textId="1D7E4443" w:rsidR="0084030C" w:rsidRPr="00AD4DBD" w:rsidRDefault="00C232DF" w:rsidP="00AD4DBD">
      <w:pPr>
        <w:pStyle w:val="JuQuot"/>
        <w:rPr>
          <w:szCs w:val="20"/>
        </w:rPr>
      </w:pPr>
      <w:r>
        <w:t>„1.</w:t>
      </w:r>
      <w:r w:rsidR="00F35BBD">
        <w:t xml:space="preserve"> </w:t>
      </w:r>
      <w:r>
        <w:t>Policjanci wykonując czynności, o których mowa w art. 14, mają prawo:</w:t>
      </w:r>
    </w:p>
    <w:p w14:paraId="181DE558" w14:textId="6EEDE16D" w:rsidR="0084030C" w:rsidRPr="00AD4DBD" w:rsidRDefault="00C232DF" w:rsidP="00AD4DBD">
      <w:pPr>
        <w:pStyle w:val="JuQuot"/>
        <w:rPr>
          <w:szCs w:val="20"/>
        </w:rPr>
      </w:pPr>
      <w:r>
        <w:t>1).</w:t>
      </w:r>
      <w:r w:rsidR="00F35BBD">
        <w:t xml:space="preserve"> </w:t>
      </w:r>
      <w:r>
        <w:t>legitymowania osób w celu ustalenia ich tożsamości;</w:t>
      </w:r>
    </w:p>
    <w:p w14:paraId="4DF42AEC" w14:textId="77777777" w:rsidR="0084030C" w:rsidRPr="00AD4DBD" w:rsidRDefault="00C232DF" w:rsidP="00AD4DBD">
      <w:pPr>
        <w:pStyle w:val="JuQuot"/>
      </w:pPr>
      <w:r>
        <w:t>...</w:t>
      </w:r>
    </w:p>
    <w:p w14:paraId="2B1F844A" w14:textId="2C459D17" w:rsidR="0084030C" w:rsidRPr="00AD4DBD" w:rsidRDefault="00C232DF" w:rsidP="00AD4DBD">
      <w:pPr>
        <w:pStyle w:val="JuQuot"/>
      </w:pPr>
      <w:r>
        <w:t>7.</w:t>
      </w:r>
      <w:r w:rsidR="00F35BBD">
        <w:t xml:space="preserve"> </w:t>
      </w:r>
      <w:r>
        <w:t xml:space="preserve">Na sposób prowadzenia czynności </w:t>
      </w:r>
      <w:r w:rsidRPr="004C53A4">
        <w:t xml:space="preserve">i przeszukań prowadzonych przez funkcjonariuszy </w:t>
      </w:r>
      <w:r w:rsidR="00D64129" w:rsidRPr="004C53A4">
        <w:t>Policji</w:t>
      </w:r>
      <w:r w:rsidR="00982EDB">
        <w:rPr>
          <w:rStyle w:val="Odwoanieprzypisudolnego"/>
        </w:rPr>
        <w:footnoteReference w:id="3"/>
      </w:r>
      <w:r w:rsidR="004C63D7">
        <w:t xml:space="preserve"> </w:t>
      </w:r>
      <w:r>
        <w:t xml:space="preserve">przysługuje zażalenie do miejscowo </w:t>
      </w:r>
      <w:r w:rsidR="00982EDB">
        <w:t xml:space="preserve">właściwego </w:t>
      </w:r>
      <w:r>
        <w:t>prokuratora</w:t>
      </w:r>
      <w:r w:rsidR="00E42A22">
        <w:t>”.</w:t>
      </w:r>
    </w:p>
    <w:p w14:paraId="7322DB94" w14:textId="77777777" w:rsidR="0084030C" w:rsidRPr="00AD4DBD" w:rsidRDefault="00C232DF" w:rsidP="00AD4DBD">
      <w:pPr>
        <w:pStyle w:val="JuHIRoman"/>
      </w:pPr>
      <w:r>
        <w:t>WOLNOŚĆ WYRAŻANIA OPINII I WOLNOŚĆ ZGROMADZEŃ</w:t>
      </w:r>
    </w:p>
    <w:p w14:paraId="1B4EAEA9" w14:textId="05A83E7F" w:rsidR="0084030C" w:rsidRPr="00AD4DBD" w:rsidRDefault="00AD4DBD" w:rsidP="00AD4DBD">
      <w:pPr>
        <w:pStyle w:val="JuPara"/>
      </w:pPr>
      <w:r w:rsidRPr="00AD4DBD">
        <w:t>39</w:t>
      </w:r>
      <w:r>
        <w:t>.</w:t>
      </w:r>
      <w:r w:rsidR="00F35BBD">
        <w:t xml:space="preserve"> </w:t>
      </w:r>
      <w:r>
        <w:t>Artykuł 14 Konstytucji stanowi, co następuje:</w:t>
      </w:r>
    </w:p>
    <w:p w14:paraId="348F4078" w14:textId="12DC0644" w:rsidR="0084030C" w:rsidRPr="00AD4DBD" w:rsidRDefault="00575388" w:rsidP="00AD4DBD">
      <w:pPr>
        <w:pStyle w:val="JuQuot"/>
      </w:pPr>
      <w:r>
        <w:t>„</w:t>
      </w:r>
      <w:r w:rsidR="00C232DF">
        <w:t>Rzeczpospolita Polska zapewnia wolność prasy i innych środków społecznego przekazu</w:t>
      </w:r>
      <w:r w:rsidR="00E42A22">
        <w:t>”.</w:t>
      </w:r>
    </w:p>
    <w:p w14:paraId="76A90279" w14:textId="21B65BA5" w:rsidR="0084030C" w:rsidRPr="00AD4DBD" w:rsidRDefault="00AD4DBD" w:rsidP="00AD4DBD">
      <w:pPr>
        <w:pStyle w:val="JuPara"/>
      </w:pPr>
      <w:r w:rsidRPr="00AD4DBD">
        <w:t>40</w:t>
      </w:r>
      <w:r>
        <w:t>.</w:t>
      </w:r>
      <w:r w:rsidR="00F35BBD">
        <w:t xml:space="preserve"> </w:t>
      </w:r>
      <w:r>
        <w:t>Ar</w:t>
      </w:r>
      <w:r w:rsidR="00575388">
        <w:t>tykuł</w:t>
      </w:r>
      <w:r>
        <w:t xml:space="preserve"> 54 </w:t>
      </w:r>
      <w:r w:rsidR="00575388">
        <w:t>ust.</w:t>
      </w:r>
      <w:r>
        <w:t xml:space="preserve"> 1 Konstytucji gwarantuje wolność wyrażania opinii i</w:t>
      </w:r>
      <w:r w:rsidR="004F442E">
        <w:t> </w:t>
      </w:r>
      <w:r>
        <w:t>stanowi, w odpowiedniej części:</w:t>
      </w:r>
    </w:p>
    <w:p w14:paraId="4CD0D5B7" w14:textId="5B388C33" w:rsidR="0084030C" w:rsidRPr="00AD4DBD" w:rsidRDefault="00575388" w:rsidP="00AD4DBD">
      <w:pPr>
        <w:pStyle w:val="JuQuot"/>
      </w:pPr>
      <w:r>
        <w:t>„</w:t>
      </w:r>
      <w:r w:rsidR="00C232DF">
        <w:t>Każdemu zapewnia się wolność wyrażania swoich poglądów oraz pozyskiwania i</w:t>
      </w:r>
      <w:r w:rsidR="004F442E">
        <w:t> </w:t>
      </w:r>
      <w:r w:rsidR="00C232DF">
        <w:t>rozpowszechniania informacji</w:t>
      </w:r>
      <w:r w:rsidR="00E42A22">
        <w:t>”.</w:t>
      </w:r>
    </w:p>
    <w:p w14:paraId="02A3ADC4" w14:textId="236779EA" w:rsidR="0084030C" w:rsidRPr="00AD4DBD" w:rsidRDefault="00AD4DBD" w:rsidP="00AD4DBD">
      <w:pPr>
        <w:pStyle w:val="JuPara"/>
      </w:pPr>
      <w:r w:rsidRPr="00AD4DBD">
        <w:t>41</w:t>
      </w:r>
      <w:r>
        <w:t>.</w:t>
      </w:r>
      <w:r w:rsidR="00F35BBD">
        <w:t xml:space="preserve"> </w:t>
      </w:r>
      <w:r>
        <w:t>Artykuł 57 Konstytucji stanowi, co następuje:</w:t>
      </w:r>
    </w:p>
    <w:p w14:paraId="5C4DFB56" w14:textId="6477ADA3" w:rsidR="0084030C" w:rsidRPr="00AD4DBD" w:rsidRDefault="00575388" w:rsidP="00AD4DBD">
      <w:pPr>
        <w:pStyle w:val="JuQuot"/>
      </w:pPr>
      <w:r>
        <w:t>„</w:t>
      </w:r>
      <w:r w:rsidR="00C232DF">
        <w:t>Każdemu zapewnia się wolność organizowania pokojowych zgromadzeń i</w:t>
      </w:r>
      <w:r w:rsidR="004F442E">
        <w:t> </w:t>
      </w:r>
      <w:r w:rsidR="00C232DF">
        <w:t>uczestni</w:t>
      </w:r>
      <w:r>
        <w:t>czenia</w:t>
      </w:r>
      <w:r w:rsidR="00C232DF">
        <w:t xml:space="preserve"> w nich. Ograniczeni</w:t>
      </w:r>
      <w:r w:rsidR="00504015">
        <w:t>e</w:t>
      </w:r>
      <w:r w:rsidR="00C232DF">
        <w:t xml:space="preserve"> tej wolności może określać ustawa</w:t>
      </w:r>
      <w:r w:rsidR="00E42A22">
        <w:t>”.</w:t>
      </w:r>
    </w:p>
    <w:p w14:paraId="36B008DB" w14:textId="5E4D3C73" w:rsidR="0084030C" w:rsidRPr="00AD4DBD" w:rsidRDefault="00AD4DBD" w:rsidP="00AD4DBD">
      <w:pPr>
        <w:pStyle w:val="JuPara"/>
      </w:pPr>
      <w:r w:rsidRPr="00AD4DBD">
        <w:t>42</w:t>
      </w:r>
      <w:r>
        <w:t>.</w:t>
      </w:r>
      <w:r w:rsidR="00F35BBD">
        <w:t xml:space="preserve"> </w:t>
      </w:r>
      <w:r>
        <w:t>Art</w:t>
      </w:r>
      <w:r w:rsidR="00575388">
        <w:t>ykuł</w:t>
      </w:r>
      <w:r>
        <w:t xml:space="preserve"> 31 ust. 3 Konstytucji, który ustanawia ogólny zakaz nieproporcjonalnych ograniczeń konstytucyjnych praw i wolności (zasada proporcjonalności), stanowi:</w:t>
      </w:r>
    </w:p>
    <w:p w14:paraId="1A5098A5" w14:textId="43BDD26D" w:rsidR="0084030C" w:rsidRPr="00AD4DBD" w:rsidRDefault="00504015" w:rsidP="00AD4DBD">
      <w:pPr>
        <w:pStyle w:val="JuQuot"/>
      </w:pPr>
      <w:r>
        <w:lastRenderedPageBreak/>
        <w:t>„</w:t>
      </w:r>
      <w:r w:rsidR="00C232DF">
        <w:t>Ograniczenia w zakresie korzystania z konstytucyjnych wolności i praw mogą być ustanawiane tylko w ustawie i tylko</w:t>
      </w:r>
      <w:r>
        <w:t xml:space="preserve"> wtedy</w:t>
      </w:r>
      <w:r w:rsidR="00C232DF">
        <w:t>, gdy są konieczne w demokratycznym państwie dla jego bezpieczeństwa lub porządku publicznego, bądź dla ochrony środowiska, zdrowia i moralności publicznej, albo wolności i praw innych osób. Ograniczenia te nie mogą naruszać istoty wolności i praw</w:t>
      </w:r>
      <w:r w:rsidR="00E42A22">
        <w:t>”.</w:t>
      </w:r>
    </w:p>
    <w:p w14:paraId="20FCB8AD" w14:textId="77777777" w:rsidR="0084030C" w:rsidRPr="00AD4DBD" w:rsidRDefault="00C232DF" w:rsidP="00AD4DBD">
      <w:pPr>
        <w:pStyle w:val="JuHIRoman"/>
      </w:pPr>
      <w:r>
        <w:t>ODPOWIEDZIALNOŚĆ DELIKTOWA PAŃSTWA</w:t>
      </w:r>
    </w:p>
    <w:p w14:paraId="1A458A4F" w14:textId="643E88B8" w:rsidR="0084030C" w:rsidRPr="00AD4DBD" w:rsidRDefault="00AD4DBD" w:rsidP="00AD4DBD">
      <w:pPr>
        <w:pStyle w:val="JuPara"/>
      </w:pPr>
      <w:bookmarkStart w:id="15" w:name="paragraph00043"/>
      <w:r w:rsidRPr="00AD4DBD">
        <w:t>43</w:t>
      </w:r>
      <w:bookmarkEnd w:id="15"/>
      <w:r w:rsidR="00C232DF">
        <w:t>.</w:t>
      </w:r>
      <w:r w:rsidR="00F35BBD">
        <w:t xml:space="preserve"> </w:t>
      </w:r>
      <w:r w:rsidR="00C232DF">
        <w:t>Art. 23 Kodeksu cywilnego, który wszedł w życie w 1964 r., zawiera niewyczerpującą listę tzw. dóbr osobistych. Przepis ten stanowi:</w:t>
      </w:r>
    </w:p>
    <w:p w14:paraId="78D7BAC8" w14:textId="12DB25CE" w:rsidR="0084030C" w:rsidRPr="00AD4DBD" w:rsidRDefault="00504015" w:rsidP="00AD4DBD">
      <w:pPr>
        <w:pStyle w:val="JuQuot"/>
      </w:pPr>
      <w:r>
        <w:t>„</w:t>
      </w:r>
      <w:r w:rsidR="00C232DF">
        <w:t>Dobra osobiste człowieka, jak w szczególności zdrowie, wolność, cześć, swoboda sumienia, nazwisko lub pseudonim, wizerunek, tajemnica korespondencji, nietykalność mieszkania, twórczość naukowa lub artystyczna, wynalaz</w:t>
      </w:r>
      <w:r>
        <w:t>cza</w:t>
      </w:r>
      <w:r w:rsidR="00C232DF">
        <w:t xml:space="preserve"> i racjonalizators</w:t>
      </w:r>
      <w:r>
        <w:t>ka</w:t>
      </w:r>
      <w:r w:rsidR="00C232DF">
        <w:t>, pozostają pod ochroną prawa cywilnego niezależnie od ochrony przewidzianej w</w:t>
      </w:r>
      <w:r w:rsidR="00E359E7">
        <w:t> </w:t>
      </w:r>
      <w:r w:rsidR="00C232DF">
        <w:t>innych przepisach</w:t>
      </w:r>
      <w:r w:rsidR="00E42A22">
        <w:t>”.</w:t>
      </w:r>
    </w:p>
    <w:p w14:paraId="072592CE" w14:textId="7C460050" w:rsidR="0084030C" w:rsidRPr="00AD4DBD" w:rsidRDefault="00AD4DBD" w:rsidP="00AD4DBD">
      <w:pPr>
        <w:pStyle w:val="JuPara"/>
      </w:pPr>
      <w:bookmarkStart w:id="16" w:name="paragraph00044"/>
      <w:r w:rsidRPr="00AD4DBD">
        <w:t>44</w:t>
      </w:r>
      <w:bookmarkEnd w:id="16"/>
      <w:r w:rsidR="00C232DF">
        <w:t>.</w:t>
      </w:r>
      <w:r w:rsidR="00F35BBD">
        <w:t xml:space="preserve"> </w:t>
      </w:r>
      <w:r w:rsidR="00C232DF">
        <w:t>Art. 24 § 1 Kodeksu cywilnego stanowi:</w:t>
      </w:r>
    </w:p>
    <w:p w14:paraId="477D9DF6" w14:textId="14BE136A" w:rsidR="0084030C" w:rsidRPr="00AD4DBD" w:rsidRDefault="00504015" w:rsidP="00AD4DBD">
      <w:pPr>
        <w:pStyle w:val="JuQuot"/>
      </w:pPr>
      <w:r>
        <w:t>„</w:t>
      </w:r>
      <w:r w:rsidR="00C232DF">
        <w:t>Ten, czyje dobro osobiste zostaje zagrożone cudzym działaniem, może żądać zaniechania tego działania, chyba że nie jest ono bezprawne. W razie dokonanego naruszenia, może on także żądać, ażeby osoba, która dopuściła się naruszenia, dopełniła czynności potrzebnych do usunięcia jego skutków (...) Na zasadach przewidzianych w</w:t>
      </w:r>
      <w:r w:rsidR="00E359E7">
        <w:t> </w:t>
      </w:r>
      <w:r w:rsidR="00C232DF">
        <w:t>kodeksie może on również żądać zadośćuczynienia pieniężnego lub zapłaty odpowiedniej sumy pieniężnej na wskazany cel społeczny</w:t>
      </w:r>
      <w:r w:rsidR="00E42A22">
        <w:t>”.</w:t>
      </w:r>
    </w:p>
    <w:p w14:paraId="3921B7E4" w14:textId="5AFB8BAB" w:rsidR="0084030C" w:rsidRPr="00AD4DBD" w:rsidRDefault="00AD4DBD" w:rsidP="00AD4DBD">
      <w:pPr>
        <w:pStyle w:val="JuPara"/>
      </w:pPr>
      <w:bookmarkStart w:id="17" w:name="paragraph00045"/>
      <w:r w:rsidRPr="00AD4DBD">
        <w:t>45</w:t>
      </w:r>
      <w:bookmarkEnd w:id="17"/>
      <w:r w:rsidR="00C232DF">
        <w:t>.</w:t>
      </w:r>
      <w:r w:rsidR="00F35BBD">
        <w:t xml:space="preserve"> </w:t>
      </w:r>
      <w:r w:rsidR="00C232DF">
        <w:t>Zgodnie z art. 448 Kodeksu cywilnego, osoba, której dobra osobiste zostały naruszone może żądać zadośćuczynienia. Odpowiednia część tego przepisu brzmi następująco:</w:t>
      </w:r>
    </w:p>
    <w:p w14:paraId="53442928" w14:textId="5B38340F" w:rsidR="00260F2F" w:rsidRPr="00AD4DBD" w:rsidRDefault="001B7798" w:rsidP="00AD4DBD">
      <w:pPr>
        <w:pStyle w:val="JuQuot"/>
      </w:pPr>
      <w:r>
        <w:t>„</w:t>
      </w:r>
      <w:r w:rsidR="00260F2F" w:rsidRPr="001B7798">
        <w:t>W razie naruszenia dobra osobistego sąd może przyznać temu, czyje dobro osobiste zostało naruszone, odpowiednią sumę tytułem zadośćuczynienia pieniężnego za</w:t>
      </w:r>
      <w:r w:rsidR="00E359E7">
        <w:t> </w:t>
      </w:r>
      <w:r w:rsidR="00260F2F" w:rsidRPr="001B7798">
        <w:t>doznaną krzywdę lub na jego żądanie zasądzić odpowiednią sumę pieniężną na</w:t>
      </w:r>
      <w:r w:rsidR="00E359E7">
        <w:t> </w:t>
      </w:r>
      <w:r w:rsidR="00260F2F" w:rsidRPr="001B7798">
        <w:t>wskazany przez niego cel społeczny, niezależnie od innych środków potrzebnych do</w:t>
      </w:r>
      <w:r w:rsidR="00E359E7">
        <w:t> </w:t>
      </w:r>
      <w:r w:rsidR="00260F2F" w:rsidRPr="001B7798">
        <w:t>usunięcia skutków naruszenia</w:t>
      </w:r>
      <w:r>
        <w:t>”.</w:t>
      </w:r>
    </w:p>
    <w:p w14:paraId="3C3EADA0" w14:textId="77777777" w:rsidR="0084030C" w:rsidRPr="00AD4DBD" w:rsidRDefault="00C232DF" w:rsidP="00AD4DBD">
      <w:pPr>
        <w:pStyle w:val="JuHIRoman"/>
      </w:pPr>
      <w:r>
        <w:t>ISTOTNE orzecznictwo Trybunału Konstytucyjnego</w:t>
      </w:r>
    </w:p>
    <w:p w14:paraId="4B979E21" w14:textId="2D3F7C6D" w:rsidR="0084030C" w:rsidRPr="00AD4DBD" w:rsidRDefault="00AD4DBD" w:rsidP="00AD4DBD">
      <w:pPr>
        <w:pStyle w:val="JuPara"/>
      </w:pPr>
      <w:r w:rsidRPr="00AD4DBD">
        <w:t>46</w:t>
      </w:r>
      <w:r w:rsidR="00C232DF">
        <w:t>.</w:t>
      </w:r>
      <w:r w:rsidR="00F35BBD">
        <w:t xml:space="preserve"> </w:t>
      </w:r>
      <w:r w:rsidR="00C232DF">
        <w:t>W wyroku o sygn. Kp 1/17 z dnia 16 marca 2017 r. Trybunał Konstytucyjny orzekł, że art. 1 pkt 4 ustawy z dnia 13 grudnia 2016 r. o</w:t>
      </w:r>
      <w:r w:rsidR="00E359E7">
        <w:t> </w:t>
      </w:r>
      <w:r w:rsidR="00C232DF">
        <w:t xml:space="preserve">zmianie ustawy </w:t>
      </w:r>
      <w:r w:rsidR="001B7798">
        <w:t>–</w:t>
      </w:r>
      <w:r w:rsidR="00C232DF">
        <w:t xml:space="preserve"> Prawo o zgromadzeniach, polegający na dodaniu do</w:t>
      </w:r>
      <w:r w:rsidR="00737F3E">
        <w:t> </w:t>
      </w:r>
      <w:r w:rsidR="00C232DF">
        <w:t>ustawy rozdziału 3a „Postępowanie w sprawach zgromadzeń cyklicznych” (art. 26a</w:t>
      </w:r>
      <w:r w:rsidR="009E59E4">
        <w:t>–</w:t>
      </w:r>
      <w:r w:rsidR="00C232DF">
        <w:t xml:space="preserve">26e w znowelizowanej ustawie), </w:t>
      </w:r>
      <w:r w:rsidR="009E59E4">
        <w:t>jest</w:t>
      </w:r>
      <w:r w:rsidR="00C232DF">
        <w:t xml:space="preserve"> zgodny z art. 32 </w:t>
      </w:r>
      <w:r w:rsidR="009E59E4">
        <w:t>ust.</w:t>
      </w:r>
      <w:r w:rsidR="00D34971">
        <w:t xml:space="preserve"> </w:t>
      </w:r>
      <w:r w:rsidR="00C232DF">
        <w:t>1 (równość wobec prawa) i art. 57 Konstytucji (wolność zgromadzeń). Wyrok został wydany przez skład orzekający Trybunału Konstytucyjnego, w</w:t>
      </w:r>
      <w:r w:rsidR="00737F3E">
        <w:t> </w:t>
      </w:r>
      <w:r w:rsidR="00C232DF">
        <w:t xml:space="preserve">skład którego wchodzili m.in. sędzia M.M. (zob. </w:t>
      </w:r>
      <w:bookmarkStart w:id="18" w:name="_cl40698RELEVANTLEGALFRAMEWORKANDPRACTIC"/>
      <w:r w:rsidR="00C232DF">
        <w:rPr>
          <w:i/>
        </w:rPr>
        <w:t>Xero Flor w Polsce sp.</w:t>
      </w:r>
      <w:r w:rsidR="00737F3E">
        <w:rPr>
          <w:i/>
        </w:rPr>
        <w:t> </w:t>
      </w:r>
      <w:r w:rsidR="00C232DF">
        <w:rPr>
          <w:i/>
        </w:rPr>
        <w:t>z</w:t>
      </w:r>
      <w:r w:rsidR="00737F3E">
        <w:rPr>
          <w:i/>
        </w:rPr>
        <w:t> </w:t>
      </w:r>
      <w:r w:rsidR="00C232DF">
        <w:rPr>
          <w:i/>
        </w:rPr>
        <w:t>o.o. przeciwko Polsce</w:t>
      </w:r>
      <w:bookmarkEnd w:id="18"/>
      <w:r w:rsidR="00C232DF">
        <w:t>, nr 4907/18, §§ 58</w:t>
      </w:r>
      <w:r w:rsidR="00C232DF">
        <w:noBreakHyphen/>
        <w:t>60 i 289-291, 7 maja 2021 r.).</w:t>
      </w:r>
    </w:p>
    <w:p w14:paraId="129A2B03" w14:textId="1222E175" w:rsidR="0084030C" w:rsidRPr="00876F1F" w:rsidRDefault="009E59E4" w:rsidP="00AD4DBD">
      <w:pPr>
        <w:pStyle w:val="JuHHead"/>
      </w:pPr>
      <w:r w:rsidRPr="00876F1F">
        <w:lastRenderedPageBreak/>
        <w:t>PRAWO</w:t>
      </w:r>
    </w:p>
    <w:p w14:paraId="3F70CF75" w14:textId="5F2FF768" w:rsidR="0084030C" w:rsidRPr="00AD4DBD" w:rsidRDefault="00E42A22" w:rsidP="00AD4DBD">
      <w:pPr>
        <w:pStyle w:val="JuHIRoman"/>
      </w:pPr>
      <w:r>
        <w:t>zarzucane</w:t>
      </w:r>
      <w:r w:rsidR="00C232DF">
        <w:t xml:space="preserve"> NARUSZENIE ART. 5 </w:t>
      </w:r>
      <w:r w:rsidR="00143E7C">
        <w:t>UST.</w:t>
      </w:r>
      <w:r w:rsidR="00C232DF">
        <w:t xml:space="preserve"> 1 KONWENCJI</w:t>
      </w:r>
    </w:p>
    <w:p w14:paraId="65D38C46" w14:textId="3CD44C57" w:rsidR="0084030C" w:rsidRPr="00AD4DBD" w:rsidRDefault="00AD4DBD" w:rsidP="00AD4DBD">
      <w:pPr>
        <w:pStyle w:val="JuPara"/>
      </w:pPr>
      <w:r w:rsidRPr="00AD4DBD">
        <w:t>47</w:t>
      </w:r>
      <w:r>
        <w:t>.</w:t>
      </w:r>
      <w:r w:rsidR="00F35BBD">
        <w:t xml:space="preserve"> </w:t>
      </w:r>
      <w:r>
        <w:t xml:space="preserve">Skarżąca zarzuciła, że wyprowadzenie jej na </w:t>
      </w:r>
      <w:r w:rsidR="00297579">
        <w:t>dziedziniec</w:t>
      </w:r>
      <w:r>
        <w:t xml:space="preserve"> i</w:t>
      </w:r>
      <w:r w:rsidR="00E359E7">
        <w:t> </w:t>
      </w:r>
      <w:r>
        <w:t xml:space="preserve">przetrzymywanie tam przez dwie godziny przez policję stanowiło zatrzymanie z naruszeniem art. 5 </w:t>
      </w:r>
      <w:r w:rsidR="00143E7C">
        <w:t>ust.</w:t>
      </w:r>
      <w:r>
        <w:t xml:space="preserve"> 1 Konwencji, który brzmi, w</w:t>
      </w:r>
      <w:r w:rsidR="00E359E7">
        <w:t> </w:t>
      </w:r>
      <w:r>
        <w:t>odpowiednim zakresie, następująco:</w:t>
      </w:r>
    </w:p>
    <w:p w14:paraId="7FB95249" w14:textId="2BA0D9D6" w:rsidR="0084030C" w:rsidRPr="00AD4DBD" w:rsidRDefault="00C232DF" w:rsidP="00AD4DBD">
      <w:pPr>
        <w:pStyle w:val="JuQuot"/>
      </w:pPr>
      <w:r>
        <w:t>„</w:t>
      </w:r>
      <w:r w:rsidR="00E42A22" w:rsidRPr="00E42A22">
        <w:t>Każdy ma prawo do wolności i bezpieczeństwa osobistego. Nikt nie może być pozbawiony wolności, z wyjątkiem następujących przypadków i w trybie ustalonym przez prawo</w:t>
      </w:r>
      <w:r>
        <w:t>:</w:t>
      </w:r>
    </w:p>
    <w:p w14:paraId="0396BA34" w14:textId="77777777" w:rsidR="0084030C" w:rsidRPr="00AD4DBD" w:rsidRDefault="00C232DF" w:rsidP="00AD4DBD">
      <w:pPr>
        <w:pStyle w:val="JuQuot"/>
      </w:pPr>
      <w:r>
        <w:t>(...)</w:t>
      </w:r>
    </w:p>
    <w:p w14:paraId="4871FDC9" w14:textId="37818584" w:rsidR="0084030C" w:rsidRPr="00AD4DBD" w:rsidRDefault="00C232DF" w:rsidP="00AD4DBD">
      <w:pPr>
        <w:pStyle w:val="JuQuot"/>
      </w:pPr>
      <w:r>
        <w:t>(b)</w:t>
      </w:r>
      <w:r w:rsidR="00F35BBD">
        <w:t xml:space="preserve"> </w:t>
      </w:r>
      <w:r>
        <w:t>zgodnego z prawem zatrzymania lub aresztowania (...) w celu zapewnienia wykonania określonego w ustawie obowiązku;</w:t>
      </w:r>
    </w:p>
    <w:p w14:paraId="5821D7E4" w14:textId="77777777" w:rsidR="0084030C" w:rsidRPr="00AD4DBD" w:rsidRDefault="00C232DF" w:rsidP="00AD4DBD">
      <w:pPr>
        <w:pStyle w:val="JuQuot"/>
      </w:pPr>
      <w:r>
        <w:t>(c) zgodnego z prawem zatrzymania lub aresztowania w celu postawienia przed właściwym organem, jeżeli istnieje uzasadnione podejrzenie popełnienia czynu zagrożonego karą, lub, jeśli jest to konieczne, w celu zapobieżenia popełnieniu takiego czynu lub uniemożliwienia ucieczki po jego dokonaniu;</w:t>
      </w:r>
    </w:p>
    <w:p w14:paraId="256437CC" w14:textId="34A1B503" w:rsidR="0084030C" w:rsidRPr="00AD4DBD" w:rsidRDefault="00C232DF" w:rsidP="00AD4DBD">
      <w:pPr>
        <w:pStyle w:val="JuQuot"/>
      </w:pPr>
      <w:r>
        <w:t>..</w:t>
      </w:r>
      <w:r w:rsidR="00E42A22">
        <w:t>”.</w:t>
      </w:r>
    </w:p>
    <w:p w14:paraId="10BD4B27" w14:textId="77777777" w:rsidR="0084030C" w:rsidRPr="00AD4DBD" w:rsidRDefault="00C232DF" w:rsidP="00AD4DBD">
      <w:pPr>
        <w:pStyle w:val="JuHA"/>
      </w:pPr>
      <w:r>
        <w:t>Dopuszczalność</w:t>
      </w:r>
    </w:p>
    <w:p w14:paraId="48F8D9EE" w14:textId="39EE4887" w:rsidR="0084030C" w:rsidRPr="00AD4DBD" w:rsidRDefault="00CA595C" w:rsidP="00AD4DBD">
      <w:pPr>
        <w:pStyle w:val="JuH1"/>
      </w:pPr>
      <w:r>
        <w:t>Możliwość z</w:t>
      </w:r>
      <w:r w:rsidR="00C232DF">
        <w:t>astosowani</w:t>
      </w:r>
      <w:r>
        <w:t>a</w:t>
      </w:r>
      <w:r w:rsidR="00C232DF">
        <w:t xml:space="preserve"> art. 5</w:t>
      </w:r>
    </w:p>
    <w:p w14:paraId="0DCD533C" w14:textId="7B7E1D65" w:rsidR="0084030C" w:rsidRPr="00AD4DBD" w:rsidRDefault="00AD4DBD" w:rsidP="00AD4DBD">
      <w:pPr>
        <w:pStyle w:val="JuPara"/>
      </w:pPr>
      <w:r w:rsidRPr="00AD4DBD">
        <w:t>48</w:t>
      </w:r>
      <w:r>
        <w:t>.</w:t>
      </w:r>
      <w:r w:rsidR="00F35BBD">
        <w:t xml:space="preserve"> </w:t>
      </w:r>
      <w:r>
        <w:t>Trybunał zauważa, że strony spierają się co do tego, czy sytuacja skarżącej stanowiła pozbawienie wolności i czy podlega ona rozpoznaniu na</w:t>
      </w:r>
      <w:r w:rsidR="00E359E7">
        <w:t> </w:t>
      </w:r>
      <w:r>
        <w:t>podstawie art. 5 Konwencji.</w:t>
      </w:r>
    </w:p>
    <w:p w14:paraId="18FEDB1F" w14:textId="303AA8BF" w:rsidR="0084030C" w:rsidRPr="00AD4DBD" w:rsidRDefault="00AD4DBD" w:rsidP="00AD4DBD">
      <w:pPr>
        <w:pStyle w:val="JuPara"/>
      </w:pPr>
      <w:r w:rsidRPr="00AD4DBD">
        <w:t>49</w:t>
      </w:r>
      <w:r>
        <w:t>.</w:t>
      </w:r>
      <w:r w:rsidR="00F35BBD">
        <w:t xml:space="preserve"> </w:t>
      </w:r>
      <w:r>
        <w:t xml:space="preserve">Trybunał musi zatem najpierw ustalić, czy ta część skargi jest zgodna </w:t>
      </w:r>
      <w:r>
        <w:rPr>
          <w:i/>
        </w:rPr>
        <w:t>ratione materiae</w:t>
      </w:r>
      <w:r>
        <w:t xml:space="preserve"> z tym przepisem.</w:t>
      </w:r>
    </w:p>
    <w:p w14:paraId="04290231" w14:textId="77777777" w:rsidR="0084030C" w:rsidRPr="00AD4DBD" w:rsidRDefault="00C232DF" w:rsidP="00AD4DBD">
      <w:pPr>
        <w:pStyle w:val="JuHa0"/>
      </w:pPr>
      <w:r>
        <w:t>Oświadczenia stron</w:t>
      </w:r>
    </w:p>
    <w:p w14:paraId="3445C1AE" w14:textId="6E355DD8" w:rsidR="0084030C" w:rsidRPr="00AD4DBD" w:rsidRDefault="00AD4DBD" w:rsidP="00AD4DBD">
      <w:pPr>
        <w:pStyle w:val="JuPara"/>
      </w:pPr>
      <w:r w:rsidRPr="00AD4DBD">
        <w:t>50</w:t>
      </w:r>
      <w:r>
        <w:t>.</w:t>
      </w:r>
      <w:r w:rsidR="00F35BBD">
        <w:t xml:space="preserve"> </w:t>
      </w:r>
      <w:r>
        <w:t>Rząd twierdził, że nie było podstaw do uznania, że stan, w jakim znajdowała się skarżąca podczas interwencji policji, stanowił zatrzymanie w</w:t>
      </w:r>
      <w:r w:rsidR="00E359E7">
        <w:t> </w:t>
      </w:r>
      <w:r>
        <w:t>rozumieniu art. 45 § 1</w:t>
      </w:r>
      <w:r w:rsidR="00F35BBD">
        <w:t xml:space="preserve"> </w:t>
      </w:r>
      <w:r>
        <w:t xml:space="preserve">KPSW, art. 244 § 1 </w:t>
      </w:r>
      <w:r w:rsidR="0035087F">
        <w:t>K</w:t>
      </w:r>
      <w:r>
        <w:t xml:space="preserve">odeksu postępowania karnego lub art. 15 ust. 1 pkt 3 ustawy o Policji w brzmieniu obowiązującym w dniu przedmiotowych zdarzeń. Uznał, że skarżąca nie została pozbawiona wolności z naruszeniem Konwencji, w szczególności </w:t>
      </w:r>
      <w:r w:rsidR="00143E7C">
        <w:t>art. 5 ust. 1</w:t>
      </w:r>
      <w:r>
        <w:t>.</w:t>
      </w:r>
    </w:p>
    <w:p w14:paraId="73240CAB" w14:textId="66B748E9" w:rsidR="0084030C" w:rsidRPr="00AD4DBD" w:rsidRDefault="00AD4DBD" w:rsidP="00AD4DBD">
      <w:pPr>
        <w:pStyle w:val="JuPara"/>
      </w:pPr>
      <w:r w:rsidRPr="00AD4DBD">
        <w:t>51</w:t>
      </w:r>
      <w:r>
        <w:t>.</w:t>
      </w:r>
      <w:r w:rsidR="00F35BBD">
        <w:t xml:space="preserve"> </w:t>
      </w:r>
      <w:r>
        <w:t>Ponadto Rząd zauważył, że tożsamość skarżącej została zweryfikowana w czasie nie dłuższym niż dwie godziny. Odniósł się do</w:t>
      </w:r>
      <w:r w:rsidR="00E359E7">
        <w:t> </w:t>
      </w:r>
      <w:r>
        <w:t xml:space="preserve">sprawy </w:t>
      </w:r>
      <w:r>
        <w:rPr>
          <w:i/>
        </w:rPr>
        <w:t xml:space="preserve">Austin i inni przeciwko Zjednoczonemu Królestwu </w:t>
      </w:r>
      <w:r>
        <w:t>[</w:t>
      </w:r>
      <w:r w:rsidR="001834E7">
        <w:t>WI</w:t>
      </w:r>
      <w:r>
        <w:t>] (nr</w:t>
      </w:r>
      <w:r w:rsidR="00E359E7">
        <w:t> </w:t>
      </w:r>
      <w:r>
        <w:t xml:space="preserve">39692/09 i 2 innych, </w:t>
      </w:r>
      <w:r w:rsidR="001834E7">
        <w:t>ETPC</w:t>
      </w:r>
      <w:r>
        <w:t xml:space="preserve"> 2012), w któr</w:t>
      </w:r>
      <w:r w:rsidR="0035087F">
        <w:t>ej</w:t>
      </w:r>
      <w:r>
        <w:t xml:space="preserve"> Trybunał uznał, że</w:t>
      </w:r>
      <w:r w:rsidR="00E359E7">
        <w:t> </w:t>
      </w:r>
      <w:r>
        <w:t>siedmiogodzinne zamknięcie skarżących w kordonie policyjnym w</w:t>
      </w:r>
      <w:r w:rsidR="00E359E7">
        <w:t> </w:t>
      </w:r>
      <w:r>
        <w:t xml:space="preserve">kontekście zapewnienia porządku publicznego w obliczu bezprawnych działań demonstrantów nie stanowiło pozbawienia wolności. Rząd odniósł </w:t>
      </w:r>
      <w:r>
        <w:lastRenderedPageBreak/>
        <w:t xml:space="preserve">się również do sprawy </w:t>
      </w:r>
      <w:r>
        <w:rPr>
          <w:i/>
        </w:rPr>
        <w:t>S., V. i A. przeciwko Danii</w:t>
      </w:r>
      <w:r>
        <w:t xml:space="preserve"> [</w:t>
      </w:r>
      <w:r w:rsidR="001834E7">
        <w:t>WI</w:t>
      </w:r>
      <w:r>
        <w:t>] (</w:t>
      </w:r>
      <w:r w:rsidR="0035087F">
        <w:t>nr</w:t>
      </w:r>
      <w:r w:rsidR="00D34971">
        <w:t xml:space="preserve"> </w:t>
      </w:r>
      <w:r>
        <w:t>35553/12 i 2 inne, 22 października 2018 r.)</w:t>
      </w:r>
      <w:r>
        <w:rPr>
          <w:i/>
        </w:rPr>
        <w:t xml:space="preserve">. </w:t>
      </w:r>
      <w:r>
        <w:t xml:space="preserve">W szczególności dwugodzinny czas trwania działań podjętych przez policję w odniesieniu do skarżącej w niniejszej sprawie był znacznie krótszy niż działania policji podjęte w dwóch wyżej wymienionych sprawach i nie wykraczał poza to, co było absolutnie konieczne. W niniejszej sprawie, podobnie jak w sprawie </w:t>
      </w:r>
      <w:r w:rsidRPr="0035087F">
        <w:rPr>
          <w:i/>
          <w:iCs/>
        </w:rPr>
        <w:t>S., V. i A. przeciwko Danii</w:t>
      </w:r>
      <w:r>
        <w:t>, środki zostały podjęte przez policję dopiero po tym, jak demonstranci zaangażowali się w</w:t>
      </w:r>
      <w:r w:rsidR="00E359E7">
        <w:t> </w:t>
      </w:r>
      <w:r>
        <w:t>bezprawne działania</w:t>
      </w:r>
      <w:r w:rsidR="0035087F">
        <w:t>,</w:t>
      </w:r>
      <w:r>
        <w:t xml:space="preserve"> i były ograniczone do tego, co było absolutnie konieczne do zabezpieczenia trwającego wydarzenia (zgromadzenia cyklicznego w sprawie skarżącej i meczu w sprawie </w:t>
      </w:r>
      <w:r w:rsidRPr="0035087F">
        <w:rPr>
          <w:i/>
          <w:iCs/>
        </w:rPr>
        <w:t>S., V. i A. przeciwko Danii</w:t>
      </w:r>
      <w:r>
        <w:t xml:space="preserve">, </w:t>
      </w:r>
      <w:r w:rsidR="009D36CE">
        <w:t>op. cit.</w:t>
      </w:r>
      <w:r>
        <w:t>) i zakończenia procedur identyfikacji.</w:t>
      </w:r>
    </w:p>
    <w:p w14:paraId="490701DE" w14:textId="78F80097" w:rsidR="0084030C" w:rsidRPr="00AD4DBD" w:rsidRDefault="00AD4DBD" w:rsidP="00AD4DBD">
      <w:pPr>
        <w:pStyle w:val="JuPara"/>
      </w:pPr>
      <w:bookmarkStart w:id="19" w:name="paragraph00052"/>
      <w:r w:rsidRPr="00AD4DBD">
        <w:t>52</w:t>
      </w:r>
      <w:bookmarkEnd w:id="19"/>
      <w:r w:rsidR="00C232DF">
        <w:t>.</w:t>
      </w:r>
      <w:r w:rsidR="00F35BBD">
        <w:t xml:space="preserve"> </w:t>
      </w:r>
      <w:r w:rsidR="00C232DF">
        <w:t xml:space="preserve">Skarżąca twierdziła, że </w:t>
      </w:r>
      <w:r w:rsidR="00143E7C">
        <w:t>art. 5 ust. 1</w:t>
      </w:r>
      <w:r w:rsidR="00C232DF">
        <w:t xml:space="preserve"> Konwencji miał zastosowanie do</w:t>
      </w:r>
      <w:r w:rsidR="00E359E7">
        <w:t> </w:t>
      </w:r>
      <w:r w:rsidR="00C232DF">
        <w:t xml:space="preserve">jej sytuacji, ponieważ została </w:t>
      </w:r>
      <w:r w:rsidR="00C232DF">
        <w:rPr>
          <w:i/>
        </w:rPr>
        <w:t>de facto</w:t>
      </w:r>
      <w:r w:rsidR="00C232DF">
        <w:t xml:space="preserve"> </w:t>
      </w:r>
      <w:r w:rsidR="004F6F4B">
        <w:t>zatrzymana</w:t>
      </w:r>
      <w:r w:rsidR="00C232DF">
        <w:t xml:space="preserve"> i pozbawiona wolności na około dwie godziny na dziedzińcu, na który została zabrana przez policję. Nie pozwolono jej kupić wody ani skorzystać z toalety. Uniemożliwiono jej również kontakt z prawnikiem.</w:t>
      </w:r>
    </w:p>
    <w:p w14:paraId="2CDF8455" w14:textId="5479045E" w:rsidR="0084030C" w:rsidRPr="00AD4DBD" w:rsidRDefault="004F6F4B" w:rsidP="00AD4DBD">
      <w:pPr>
        <w:pStyle w:val="JuHa0"/>
      </w:pPr>
      <w:r>
        <w:t xml:space="preserve">Składające interwencję strony trzecie </w:t>
      </w:r>
    </w:p>
    <w:p w14:paraId="15E46CD3" w14:textId="483C1531" w:rsidR="0084030C" w:rsidRPr="00AD4DBD" w:rsidRDefault="00AD4DBD" w:rsidP="00AD4DBD">
      <w:pPr>
        <w:pStyle w:val="JuPara"/>
      </w:pPr>
      <w:r w:rsidRPr="00AD4DBD">
        <w:t>53</w:t>
      </w:r>
      <w:r>
        <w:t>.</w:t>
      </w:r>
      <w:r w:rsidR="00F35BBD">
        <w:t xml:space="preserve"> </w:t>
      </w:r>
      <w:r>
        <w:t>Helsińska Fundacja Praw Człowieka</w:t>
      </w:r>
      <w:r>
        <w:rPr>
          <w:i/>
        </w:rPr>
        <w:t xml:space="preserve"> </w:t>
      </w:r>
      <w:r>
        <w:t>wskazała, że zagrożeniem dla</w:t>
      </w:r>
      <w:r w:rsidR="00E359E7">
        <w:t> </w:t>
      </w:r>
      <w:r>
        <w:t>wolności zgromadzeń w Polsce jest stosowana przez policję praktyka nadmiernego stosowania krótkoterminowych zatrzymań w celu legitymowania uczestników zgromadzeń oraz taktyka polegająca na</w:t>
      </w:r>
      <w:r w:rsidR="00E359E7">
        <w:t> </w:t>
      </w:r>
      <w:r>
        <w:t>otaczaniu uczestników kordonami. Fundacja przedstawiła kilka przypadków, w których sądy krajowe uznały, że w takich przypadkach osoby, o których mowa, zostały faktycznie</w:t>
      </w:r>
      <w:r w:rsidR="004F6F4B">
        <w:t xml:space="preserve"> zatrzymane</w:t>
      </w:r>
      <w:r>
        <w:t>.</w:t>
      </w:r>
    </w:p>
    <w:p w14:paraId="772F9A1D" w14:textId="63A4F1DE" w:rsidR="0084030C" w:rsidRPr="00AD4DBD" w:rsidRDefault="00AD4DBD" w:rsidP="00AD4DBD">
      <w:pPr>
        <w:pStyle w:val="JuPara"/>
      </w:pPr>
      <w:r w:rsidRPr="00AD4DBD">
        <w:t>54</w:t>
      </w:r>
      <w:r>
        <w:t>.</w:t>
      </w:r>
      <w:r w:rsidR="00F35BBD">
        <w:t xml:space="preserve"> </w:t>
      </w:r>
      <w:r>
        <w:t xml:space="preserve">Rzecznik Praw </w:t>
      </w:r>
      <w:r w:rsidR="007D1E89">
        <w:t xml:space="preserve">Obywatelskich </w:t>
      </w:r>
      <w:r>
        <w:t xml:space="preserve">uznał, że praktyka krótkotrwałego zatrzymywania demonstrantów w celu sprawdzenia ich tożsamości oraz tymczasowego przetrzymywania demonstrantów w kordonach policji stanowi </w:t>
      </w:r>
      <w:r>
        <w:rPr>
          <w:i/>
        </w:rPr>
        <w:t>de facto</w:t>
      </w:r>
      <w:r>
        <w:t xml:space="preserve"> pozbawienie wolności i powinna być oceniana jako</w:t>
      </w:r>
      <w:r w:rsidR="007D1E89">
        <w:t xml:space="preserve"> zatrzymanie </w:t>
      </w:r>
      <w:r>
        <w:t xml:space="preserve">w rozumieniu art. 5 Konwencji. </w:t>
      </w:r>
      <w:r w:rsidR="007D1E89">
        <w:t xml:space="preserve">Rzecznik </w:t>
      </w:r>
      <w:r>
        <w:t>stwierdził, że</w:t>
      </w:r>
      <w:r w:rsidR="00E359E7">
        <w:t> </w:t>
      </w:r>
      <w:r>
        <w:t xml:space="preserve">okoliczności niniejszej sprawy należy postrzegać jako ingerencję w prawo skarżącej do wolności </w:t>
      </w:r>
      <w:r w:rsidR="007D1E89">
        <w:t xml:space="preserve">wyrażania opinii </w:t>
      </w:r>
      <w:r>
        <w:t>i wolności zgromadzeń.</w:t>
      </w:r>
    </w:p>
    <w:p w14:paraId="783844F7" w14:textId="77777777" w:rsidR="0084030C" w:rsidRPr="00AD4DBD" w:rsidRDefault="00C232DF" w:rsidP="00AD4DBD">
      <w:pPr>
        <w:pStyle w:val="JuHa0"/>
      </w:pPr>
      <w:r>
        <w:t>Ocena Trybunału</w:t>
      </w:r>
    </w:p>
    <w:p w14:paraId="21BAB071" w14:textId="77777777" w:rsidR="0084030C" w:rsidRPr="00AD4DBD" w:rsidRDefault="00C232DF" w:rsidP="00AD4DBD">
      <w:pPr>
        <w:pStyle w:val="JuHi"/>
      </w:pPr>
      <w:r>
        <w:t>Zasady ogólne</w:t>
      </w:r>
    </w:p>
    <w:p w14:paraId="120FAA82" w14:textId="3D8DA33F" w:rsidR="0084030C" w:rsidRPr="00AD4DBD" w:rsidRDefault="00AD4DBD" w:rsidP="00AD4DBD">
      <w:pPr>
        <w:pStyle w:val="JuPara"/>
      </w:pPr>
      <w:bookmarkStart w:id="20" w:name="paragraph00055"/>
      <w:r w:rsidRPr="00AD4DBD">
        <w:t>55</w:t>
      </w:r>
      <w:bookmarkEnd w:id="20"/>
      <w:r w:rsidR="00C232DF">
        <w:t>.</w:t>
      </w:r>
      <w:r w:rsidR="00F35BBD">
        <w:t xml:space="preserve"> </w:t>
      </w:r>
      <w:r w:rsidR="00C232DF">
        <w:t>Trybunał powtarza, że art. 5 ust. 1 chroni wolność fizyczną osoby. Nie</w:t>
      </w:r>
      <w:r w:rsidR="00E359E7">
        <w:t> </w:t>
      </w:r>
      <w:r w:rsidR="00C232DF">
        <w:t xml:space="preserve">chodzi tu o zwykłe ograniczenia swobody poruszania się, o których mowa w art. 2 Protokołu nr 4 do Konwencji. Różnica między pozbawieniem a ograniczeniem wolności jest różnicą w zakresie stopnia lub intensywności, a nie natury lub istoty (zob. </w:t>
      </w:r>
      <w:r w:rsidR="00C232DF">
        <w:rPr>
          <w:i/>
          <w:iCs/>
        </w:rPr>
        <w:t>Austin i Inni</w:t>
      </w:r>
      <w:r w:rsidR="00C232DF">
        <w:t xml:space="preserve">, </w:t>
      </w:r>
      <w:r w:rsidR="009D36CE">
        <w:t>op. cit.</w:t>
      </w:r>
      <w:r w:rsidR="00C232DF">
        <w:t xml:space="preserve">, § 57; </w:t>
      </w:r>
      <w:r w:rsidR="00C232DF">
        <w:rPr>
          <w:i/>
          <w:iCs/>
        </w:rPr>
        <w:t>Khlaifia i Inni przeciwko Włochom</w:t>
      </w:r>
      <w:r w:rsidR="00C232DF">
        <w:t xml:space="preserve"> [</w:t>
      </w:r>
      <w:r w:rsidR="001834E7">
        <w:t>WI</w:t>
      </w:r>
      <w:r w:rsidR="00C232DF">
        <w:t xml:space="preserve">], nr 16483/12, § 64, 15 grudnia 2016 r.; oraz </w:t>
      </w:r>
      <w:r w:rsidR="00C232DF">
        <w:rPr>
          <w:i/>
          <w:iCs/>
        </w:rPr>
        <w:t>De</w:t>
      </w:r>
      <w:r w:rsidR="00E359E7">
        <w:rPr>
          <w:i/>
          <w:iCs/>
        </w:rPr>
        <w:t> </w:t>
      </w:r>
      <w:r w:rsidR="00C232DF">
        <w:rPr>
          <w:i/>
          <w:iCs/>
        </w:rPr>
        <w:t>Tommaso przeciwko Włochom</w:t>
      </w:r>
      <w:r w:rsidR="00C232DF">
        <w:t xml:space="preserve"> [</w:t>
      </w:r>
      <w:r w:rsidR="001834E7">
        <w:t>WI</w:t>
      </w:r>
      <w:r w:rsidR="00C232DF">
        <w:t>], nr 43395/09, § 80, 23 lutego 2017 r.</w:t>
      </w:r>
      <w:r w:rsidR="00B345A2">
        <w:t>,</w:t>
      </w:r>
      <w:r w:rsidR="00C232DF">
        <w:t xml:space="preserve"> i sprawy tam cytowane). </w:t>
      </w:r>
    </w:p>
    <w:p w14:paraId="7E0CED54" w14:textId="585A6C2E" w:rsidR="0084030C" w:rsidRPr="00AD4DBD" w:rsidRDefault="00AD4DBD" w:rsidP="00AD4DBD">
      <w:pPr>
        <w:pStyle w:val="JuPara"/>
      </w:pPr>
      <w:bookmarkStart w:id="21" w:name="paragraph00056"/>
      <w:r w:rsidRPr="00AD4DBD">
        <w:lastRenderedPageBreak/>
        <w:t>56</w:t>
      </w:r>
      <w:bookmarkEnd w:id="21"/>
      <w:r w:rsidR="00C232DF">
        <w:t>.</w:t>
      </w:r>
      <w:r w:rsidR="00F35BBD">
        <w:t xml:space="preserve"> </w:t>
      </w:r>
      <w:r w:rsidR="00C232DF">
        <w:t xml:space="preserve">Trybunał powtarza również, że pozbawienie wolności może przybierać różne formy (zob. </w:t>
      </w:r>
      <w:r w:rsidR="00C232DF">
        <w:rPr>
          <w:i/>
        </w:rPr>
        <w:t>Guzzardi przeciwko Włochom</w:t>
      </w:r>
      <w:r w:rsidR="00C232DF">
        <w:t>, 6 listopada 1980</w:t>
      </w:r>
      <w:r w:rsidR="00E359E7">
        <w:t> </w:t>
      </w:r>
      <w:r w:rsidR="00C232DF">
        <w:t xml:space="preserve">r., § 95, Seria A nr 39). Trybunał nie uznaje się za związany wnioskami prawnymi władz krajowych dotyczącymi tego, czy doszło do pozbawienia wolności, i dokonuje niezależnej oceny sytuacji (zob. </w:t>
      </w:r>
      <w:r w:rsidR="00C232DF">
        <w:rPr>
          <w:i/>
        </w:rPr>
        <w:t>Khlaifia i Inni</w:t>
      </w:r>
      <w:r w:rsidR="00C232DF">
        <w:t xml:space="preserve">, op. cit., § 71; </w:t>
      </w:r>
      <w:r w:rsidR="00C232DF">
        <w:rPr>
          <w:i/>
        </w:rPr>
        <w:t>Creangă</w:t>
      </w:r>
      <w:r w:rsidR="00F35BBD">
        <w:rPr>
          <w:i/>
        </w:rPr>
        <w:t xml:space="preserve"> </w:t>
      </w:r>
      <w:r w:rsidR="00C232DF">
        <w:rPr>
          <w:i/>
        </w:rPr>
        <w:t>przeciwko Rumunii</w:t>
      </w:r>
      <w:r w:rsidR="00C232DF">
        <w:t xml:space="preserve"> [</w:t>
      </w:r>
      <w:r w:rsidR="001834E7">
        <w:t>WI</w:t>
      </w:r>
      <w:r w:rsidR="00C232DF">
        <w:t>], nr 29226/03, § 92, 23 lutego 2012</w:t>
      </w:r>
      <w:r w:rsidR="00E359E7">
        <w:t> </w:t>
      </w:r>
      <w:r w:rsidR="00C232DF">
        <w:t xml:space="preserve">r.; </w:t>
      </w:r>
      <w:r w:rsidR="00C232DF">
        <w:rPr>
          <w:i/>
        </w:rPr>
        <w:t>Valerian Dragomir przeciwko Rumunii</w:t>
      </w:r>
      <w:r w:rsidR="00C232DF">
        <w:t>, nr</w:t>
      </w:r>
      <w:r w:rsidR="00F35BBD">
        <w:t xml:space="preserve"> </w:t>
      </w:r>
      <w:r w:rsidR="00C232DF">
        <w:t xml:space="preserve">51012/11, § 67, 16 września 2014 r.; </w:t>
      </w:r>
      <w:bookmarkStart w:id="22" w:name="_cl22971THELAW"/>
      <w:bookmarkEnd w:id="22"/>
      <w:r w:rsidR="00C232DF">
        <w:rPr>
          <w:i/>
          <w:iCs/>
        </w:rPr>
        <w:t>Čamans i Timofejeva przeciwko Łotwie</w:t>
      </w:r>
      <w:r w:rsidR="00C232DF">
        <w:t>, nr 42906/12, § 108, 28 kwietnia 2016 r.; oraz</w:t>
      </w:r>
      <w:r w:rsidR="00C232DF">
        <w:rPr>
          <w:i/>
          <w:iCs/>
        </w:rPr>
        <w:t xml:space="preserve"> Bryan i inni przeciwko Rosji,</w:t>
      </w:r>
      <w:r w:rsidR="00C232DF">
        <w:t xml:space="preserve"> nr 22515/14, § 62, 27 czerwca 2023 r.; </w:t>
      </w:r>
      <w:bookmarkStart w:id="23" w:name="_cl44220THELAW"/>
      <w:bookmarkEnd w:id="23"/>
      <w:r w:rsidR="00C232DF">
        <w:rPr>
          <w:i/>
          <w:iCs/>
        </w:rPr>
        <w:t>Friedrich i inni przeciwko Polsce</w:t>
      </w:r>
      <w:r w:rsidR="00C232DF">
        <w:t>, nr</w:t>
      </w:r>
      <w:r w:rsidR="00F35BBD">
        <w:t xml:space="preserve"> </w:t>
      </w:r>
      <w:r w:rsidR="00C232DF">
        <w:t>25344/20 i 17 inne, §</w:t>
      </w:r>
      <w:r w:rsidR="00D34971">
        <w:t xml:space="preserve"> </w:t>
      </w:r>
      <w:r w:rsidR="00C232DF">
        <w:t>150, 20</w:t>
      </w:r>
      <w:r w:rsidR="00E359E7">
        <w:t> </w:t>
      </w:r>
      <w:r w:rsidR="00C232DF">
        <w:t>czerwca 2024 r.).</w:t>
      </w:r>
    </w:p>
    <w:p w14:paraId="50F9A0E2" w14:textId="141B4F63" w:rsidR="0084030C" w:rsidRPr="00AD4DBD" w:rsidRDefault="00AD4DBD" w:rsidP="00AD4DBD">
      <w:pPr>
        <w:pStyle w:val="JuPara"/>
      </w:pPr>
      <w:bookmarkStart w:id="24" w:name="paragraph00057"/>
      <w:r w:rsidRPr="00AD4DBD">
        <w:t>57</w:t>
      </w:r>
      <w:bookmarkEnd w:id="24"/>
      <w:r w:rsidR="00C232DF">
        <w:t>.</w:t>
      </w:r>
      <w:r w:rsidR="00F35BBD">
        <w:t xml:space="preserve"> </w:t>
      </w:r>
      <w:r w:rsidR="00C232DF">
        <w:t xml:space="preserve">W celu ustalenia, czy dana osoba została pozbawiona wolności, punktem wyjścia musi być jej konkretna sytuacja i należy wziąć pod uwagę cały szereg kryteriów, takich jak rodzaj, czas trwania i skutki danego środka oraz sposób, w jaki został on zastosowany (zob. </w:t>
      </w:r>
      <w:r w:rsidR="00C232DF">
        <w:rPr>
          <w:i/>
        </w:rPr>
        <w:t>Engel i Inni</w:t>
      </w:r>
      <w:r w:rsidR="00B345A2">
        <w:rPr>
          <w:i/>
        </w:rPr>
        <w:t xml:space="preserve"> p</w:t>
      </w:r>
      <w:r w:rsidR="00EA60B9">
        <w:rPr>
          <w:i/>
        </w:rPr>
        <w:t>rzeciwko</w:t>
      </w:r>
      <w:r w:rsidR="00B345A2">
        <w:rPr>
          <w:i/>
        </w:rPr>
        <w:t xml:space="preserve"> Holandii</w:t>
      </w:r>
      <w:r w:rsidR="00C232DF">
        <w:t>,</w:t>
      </w:r>
      <w:r w:rsidR="00B345A2">
        <w:t xml:space="preserve"> 8</w:t>
      </w:r>
      <w:r w:rsidR="00E359E7">
        <w:t> </w:t>
      </w:r>
      <w:r w:rsidR="00B345A2">
        <w:t xml:space="preserve">czerwca 1976 r., </w:t>
      </w:r>
      <w:r w:rsidR="00C232DF">
        <w:t>§§ 58</w:t>
      </w:r>
      <w:r w:rsidR="00C232DF">
        <w:noBreakHyphen/>
      </w:r>
      <w:r w:rsidR="00B345A2">
        <w:t>59</w:t>
      </w:r>
      <w:r w:rsidR="00C232DF">
        <w:t>,</w:t>
      </w:r>
      <w:r w:rsidR="00B345A2">
        <w:t xml:space="preserve"> Seria A nr 22,</w:t>
      </w:r>
      <w:r w:rsidR="00C232DF">
        <w:t xml:space="preserve"> oraz </w:t>
      </w:r>
      <w:bookmarkStart w:id="25" w:name="_cl25208THELAW"/>
      <w:r w:rsidR="00C232DF">
        <w:rPr>
          <w:i/>
          <w:iCs/>
        </w:rPr>
        <w:t>Khlaifia i Inni</w:t>
      </w:r>
      <w:bookmarkEnd w:id="25"/>
      <w:r w:rsidR="00C232DF">
        <w:t>, op.</w:t>
      </w:r>
      <w:r w:rsidR="00737F3E">
        <w:t> </w:t>
      </w:r>
      <w:r w:rsidR="00C232DF">
        <w:t>cit., § 64). Trybunał przywiązuje wagę do takich czynników, jak</w:t>
      </w:r>
      <w:r w:rsidR="00737F3E">
        <w:t> </w:t>
      </w:r>
      <w:r w:rsidR="00C232DF">
        <w:t>możliwość opuszczenia obszaru objętego ograniczeniami, stopień nadzoru i</w:t>
      </w:r>
      <w:r w:rsidR="00737F3E">
        <w:t> </w:t>
      </w:r>
      <w:r w:rsidR="00C232DF">
        <w:t>kontroli nad</w:t>
      </w:r>
      <w:r w:rsidR="00E359E7">
        <w:t> </w:t>
      </w:r>
      <w:r w:rsidR="00C232DF">
        <w:t xml:space="preserve">ruchami danej osoby, zakres izolacji tej osoby oraz możliwość kontaktu ze światem zewnętrznym (zob. </w:t>
      </w:r>
      <w:r w:rsidR="00C232DF">
        <w:rPr>
          <w:i/>
        </w:rPr>
        <w:t>Guzzardi</w:t>
      </w:r>
      <w:r w:rsidR="00C232DF">
        <w:t xml:space="preserve">, op. cit., § 95, oraz </w:t>
      </w:r>
      <w:r w:rsidR="00C232DF">
        <w:rPr>
          <w:i/>
        </w:rPr>
        <w:t>H.M. przeciwko Szwajcarii</w:t>
      </w:r>
      <w:r w:rsidR="00C232DF">
        <w:t xml:space="preserve">, nr 39187/98, § 45, </w:t>
      </w:r>
      <w:r w:rsidR="001834E7">
        <w:t>ETPC</w:t>
      </w:r>
      <w:r w:rsidR="00C232DF">
        <w:t xml:space="preserve"> 2002</w:t>
      </w:r>
      <w:r w:rsidR="00C232DF">
        <w:noBreakHyphen/>
        <w:t>II</w:t>
      </w:r>
      <w:r w:rsidR="00EA60B9">
        <w:t>,</w:t>
      </w:r>
      <w:r w:rsidR="00C232DF">
        <w:t xml:space="preserve"> oraz ostatni przykład, </w:t>
      </w:r>
      <w:r w:rsidR="00C232DF">
        <w:rPr>
          <w:i/>
          <w:iCs/>
        </w:rPr>
        <w:t>Friedrich i inni</w:t>
      </w:r>
      <w:r w:rsidR="00C232DF">
        <w:t>, op. cit., § 151).</w:t>
      </w:r>
    </w:p>
    <w:p w14:paraId="139DD133" w14:textId="5CDAEE3A" w:rsidR="0084030C" w:rsidRPr="00AD4DBD" w:rsidRDefault="00AD4DBD" w:rsidP="00AD4DBD">
      <w:pPr>
        <w:pStyle w:val="JuPara"/>
      </w:pPr>
      <w:bookmarkStart w:id="26" w:name="paragraph00058"/>
      <w:r w:rsidRPr="00AD4DBD">
        <w:t>58</w:t>
      </w:r>
      <w:bookmarkEnd w:id="26"/>
      <w:r w:rsidR="00C232DF">
        <w:t>.</w:t>
      </w:r>
      <w:r w:rsidR="00F35BBD">
        <w:t xml:space="preserve"> </w:t>
      </w:r>
      <w:r w:rsidR="00C232DF">
        <w:t>W przypadku gdy okoliczności wskazują na pozbawienie wolności w</w:t>
      </w:r>
      <w:r w:rsidR="00E359E7">
        <w:t> </w:t>
      </w:r>
      <w:r w:rsidR="00C232DF">
        <w:t xml:space="preserve">rozumieniu </w:t>
      </w:r>
      <w:r w:rsidR="00143E7C">
        <w:t>art. 5 ust. 1</w:t>
      </w:r>
      <w:r w:rsidR="00C232DF">
        <w:t xml:space="preserve">, czas trwania środka, nawet jeśli jest stosunkowo krótki, nie ma wpływu na ten wniosek (zob. </w:t>
      </w:r>
      <w:r w:rsidR="00C232DF">
        <w:rPr>
          <w:i/>
          <w:iCs/>
        </w:rPr>
        <w:t>Friedrich i inni</w:t>
      </w:r>
      <w:r w:rsidR="00C232DF">
        <w:t xml:space="preserve">, op. cit., § 152, z odniesieniem do sprawy </w:t>
      </w:r>
      <w:r w:rsidR="00C232DF" w:rsidRPr="00FC6B17">
        <w:rPr>
          <w:i/>
          <w:iCs/>
        </w:rPr>
        <w:t>Shimovolos przeciwko Rosji</w:t>
      </w:r>
      <w:r w:rsidR="00C232DF">
        <w:t>, nr 30194/09, §§ 44 i</w:t>
      </w:r>
      <w:r w:rsidR="00E359E7">
        <w:t> </w:t>
      </w:r>
      <w:r w:rsidR="00C232DF">
        <w:t>50, 21 czerwca 2011 r., w której skarżący spędził czterdzieści pięć minut na</w:t>
      </w:r>
      <w:r w:rsidR="00E359E7">
        <w:t> </w:t>
      </w:r>
      <w:r w:rsidR="00C232DF">
        <w:t xml:space="preserve">posterunku policji; </w:t>
      </w:r>
      <w:r w:rsidR="00C232DF">
        <w:rPr>
          <w:i/>
          <w:iCs/>
        </w:rPr>
        <w:t>Gillan i Quinton przeciwko Zjednoczonemu Królestwu</w:t>
      </w:r>
      <w:r w:rsidR="00C232DF">
        <w:t xml:space="preserve">, nr 4158/05, § 57, ECHR 2010 (fragmenty), w której skarżący zostali zatrzymani i poddani trzydziestominutowej kontroli osobistej; </w:t>
      </w:r>
      <w:r w:rsidR="00C232DF">
        <w:rPr>
          <w:i/>
          <w:iCs/>
        </w:rPr>
        <w:t>Novotka przeciwko Słowacji</w:t>
      </w:r>
      <w:r w:rsidR="00C232DF">
        <w:t xml:space="preserve"> (</w:t>
      </w:r>
      <w:r w:rsidR="00FC6B17">
        <w:t>dec.</w:t>
      </w:r>
      <w:r w:rsidR="00C232DF">
        <w:t xml:space="preserve">), nr 47244/99, 4 listopada 2003 r., w której transport na posterunek policji, przeszukanie skarżącego i jego przetrzymanie w celi nie przekroczyły jednej godziny; </w:t>
      </w:r>
      <w:r w:rsidR="00C232DF">
        <w:rPr>
          <w:i/>
          <w:iCs/>
        </w:rPr>
        <w:t>Zelčs przeciwko Łotwie</w:t>
      </w:r>
      <w:r w:rsidR="00C232DF">
        <w:t>, nr 65367/16, §§ 36 i 40</w:t>
      </w:r>
      <w:r w:rsidR="00FC6B17">
        <w:t>–</w:t>
      </w:r>
      <w:r w:rsidR="00C232DF">
        <w:t>41, z dnia 20 lutego 2020 r., w której skarżący spędził mniej niż dwie godziny w „areszcie administracyjnym” podczas sporządzania protokołu o</w:t>
      </w:r>
      <w:r w:rsidR="00E359E7">
        <w:t> </w:t>
      </w:r>
      <w:r w:rsidR="00C232DF">
        <w:t xml:space="preserve">popełnieniu wykroczenia administracyjnego; oraz </w:t>
      </w:r>
      <w:r w:rsidR="00C232DF">
        <w:rPr>
          <w:i/>
          <w:iCs/>
        </w:rPr>
        <w:t>Rantsev przeciwko Cyprowi i Rosji</w:t>
      </w:r>
      <w:r w:rsidR="00C232DF">
        <w:t>, nr 25965/04, §§ 317</w:t>
      </w:r>
      <w:r w:rsidR="00FC6B17">
        <w:t>–</w:t>
      </w:r>
      <w:r w:rsidR="00C232DF">
        <w:t xml:space="preserve">18, ECHR 2010 (fragmenty), w której </w:t>
      </w:r>
      <w:r w:rsidR="00FC6B17">
        <w:t>zarzuca</w:t>
      </w:r>
      <w:r w:rsidR="00C232DF">
        <w:t>ne zatrzymanie córki skarżącego trwało około dwóch godzin).</w:t>
      </w:r>
    </w:p>
    <w:p w14:paraId="286F55DD" w14:textId="6AE7C9DF" w:rsidR="0084030C" w:rsidRPr="00AD4DBD" w:rsidRDefault="00AD4DBD" w:rsidP="00AD4DBD">
      <w:pPr>
        <w:pStyle w:val="JuPara"/>
      </w:pPr>
      <w:bookmarkStart w:id="27" w:name="paragraph00059"/>
      <w:r w:rsidRPr="00AD4DBD">
        <w:t>59</w:t>
      </w:r>
      <w:bookmarkEnd w:id="27"/>
      <w:r w:rsidR="00C232DF">
        <w:t>.</w:t>
      </w:r>
      <w:r w:rsidR="00F35BBD">
        <w:t xml:space="preserve"> </w:t>
      </w:r>
      <w:r w:rsidR="00C232DF">
        <w:t>Cel podjęcia przez władze środków zmierzających do pozbawienia osoby wolności przestaje być decydujący dla oceny, czy faktycznie doszło do</w:t>
      </w:r>
      <w:r w:rsidR="00E359E7">
        <w:t> </w:t>
      </w:r>
      <w:r w:rsidR="00C232DF">
        <w:t>pozbawienia wolności. Trybunał bierze ten cel pod uwagę dopiero na</w:t>
      </w:r>
      <w:r w:rsidR="00E359E7">
        <w:t> </w:t>
      </w:r>
      <w:r w:rsidR="00C232DF">
        <w:t xml:space="preserve">późniejszym etapie swojej analizy, badając zgodność środków z art. 5 </w:t>
      </w:r>
      <w:r w:rsidR="00FC6B17">
        <w:t>ust.</w:t>
      </w:r>
      <w:r w:rsidR="00E359E7">
        <w:t> </w:t>
      </w:r>
      <w:r w:rsidR="00C232DF">
        <w:t xml:space="preserve">1 (zob. </w:t>
      </w:r>
      <w:r w:rsidR="00C232DF">
        <w:rPr>
          <w:i/>
        </w:rPr>
        <w:t>Khlaifia i Inni</w:t>
      </w:r>
      <w:r w:rsidR="00C232DF">
        <w:t xml:space="preserve">, op. cit., § 71; </w:t>
      </w:r>
      <w:r w:rsidR="00C232DF">
        <w:rPr>
          <w:i/>
        </w:rPr>
        <w:t>Creangă</w:t>
      </w:r>
      <w:r w:rsidR="00C232DF">
        <w:t xml:space="preserve">, op. cit., § 93; oraz </w:t>
      </w:r>
      <w:r w:rsidR="00C232DF">
        <w:rPr>
          <w:i/>
        </w:rPr>
        <w:t>Rozhkov przeciwko Rosji</w:t>
      </w:r>
      <w:r w:rsidR="00C232DF">
        <w:t xml:space="preserve"> (nr 2), nr 38898/04, § 74, 31 stycznia 2017 r.;</w:t>
      </w:r>
      <w:r w:rsidR="00FC6B17">
        <w:t xml:space="preserve"> porównaj </w:t>
      </w:r>
      <w:r w:rsidR="00C232DF">
        <w:t xml:space="preserve"> </w:t>
      </w:r>
      <w:r w:rsidR="00FC6B17">
        <w:lastRenderedPageBreak/>
        <w:t>też</w:t>
      </w:r>
      <w:r w:rsidR="00E359E7">
        <w:t> </w:t>
      </w:r>
      <w:r w:rsidR="00C232DF">
        <w:rPr>
          <w:i/>
        </w:rPr>
        <w:t>Ilias i Ahmed przeciwko Węgrom</w:t>
      </w:r>
      <w:r w:rsidR="00C232DF">
        <w:t xml:space="preserve"> [</w:t>
      </w:r>
      <w:r w:rsidR="001834E7">
        <w:t>WI</w:t>
      </w:r>
      <w:r w:rsidR="00C232DF">
        <w:t>], nr 47287/15, §§ 224</w:t>
      </w:r>
      <w:r w:rsidR="00FC6B17">
        <w:t>–2</w:t>
      </w:r>
      <w:r w:rsidR="00C232DF">
        <w:t>30, 21</w:t>
      </w:r>
      <w:r w:rsidR="00E359E7">
        <w:t> </w:t>
      </w:r>
      <w:r w:rsidR="00C232DF">
        <w:t>listopada 2019 r.).</w:t>
      </w:r>
    </w:p>
    <w:p w14:paraId="523DCBF0" w14:textId="53266F5E" w:rsidR="0084030C" w:rsidRPr="00AD4DBD" w:rsidRDefault="00AD4DBD" w:rsidP="00AD4DBD">
      <w:pPr>
        <w:pStyle w:val="JuPara"/>
      </w:pPr>
      <w:r w:rsidRPr="00AD4DBD">
        <w:t>60</w:t>
      </w:r>
      <w:r>
        <w:t>.</w:t>
      </w:r>
      <w:r w:rsidR="00F35BBD">
        <w:t xml:space="preserve"> </w:t>
      </w:r>
      <w:r>
        <w:t>W tych i innych sprawach, w których podniesiono kwestię możliwości zastosowania art. 5 Konwencji, Trybunał uznał, że tym, co wskazuje na</w:t>
      </w:r>
      <w:r w:rsidR="00E359E7">
        <w:t> </w:t>
      </w:r>
      <w:r>
        <w:t xml:space="preserve">pozbawienie wolności, jest element przymusu w wykonywaniu uprawnień policji w postaci uniemożliwienia skarżącej oddalenia się (zob. np. </w:t>
      </w:r>
      <w:r>
        <w:rPr>
          <w:i/>
        </w:rPr>
        <w:t>Camans i</w:t>
      </w:r>
      <w:r w:rsidR="00E359E7">
        <w:rPr>
          <w:i/>
        </w:rPr>
        <w:t> </w:t>
      </w:r>
      <w:r>
        <w:rPr>
          <w:i/>
        </w:rPr>
        <w:t>Timofejeva,</w:t>
      </w:r>
      <w:r>
        <w:t xml:space="preserve"> op. cit., § 112; </w:t>
      </w:r>
      <w:r>
        <w:rPr>
          <w:i/>
        </w:rPr>
        <w:t>Gillan i Quinton</w:t>
      </w:r>
      <w:r>
        <w:t xml:space="preserve">, op. cit., § 57; oraz </w:t>
      </w:r>
      <w:r>
        <w:rPr>
          <w:i/>
        </w:rPr>
        <w:t>Khalikova przeciwko Azerbejdżanowi</w:t>
      </w:r>
      <w:r>
        <w:t>, nr 42883/11, § 102, 22 października 2015 r.</w:t>
      </w:r>
      <w:r w:rsidR="00EA75E5">
        <w:t>,</w:t>
      </w:r>
      <w:r>
        <w:t xml:space="preserve"> oraz</w:t>
      </w:r>
      <w:r w:rsidR="00E359E7">
        <w:t> </w:t>
      </w:r>
      <w:r>
        <w:rPr>
          <w:i/>
          <w:iCs/>
        </w:rPr>
        <w:t>Friedrich i inni</w:t>
      </w:r>
      <w:r>
        <w:t>, op. cit., § 155). Uwzględniono również wpływ</w:t>
      </w:r>
      <w:r w:rsidR="00EA75E5">
        <w:t>,</w:t>
      </w:r>
      <w:r>
        <w:t xml:space="preserve"> jaki</w:t>
      </w:r>
      <w:r w:rsidR="00E359E7">
        <w:t> </w:t>
      </w:r>
      <w:r>
        <w:t>środek miał na skarżąc</w:t>
      </w:r>
      <w:r w:rsidR="00EA75E5">
        <w:t>ego</w:t>
      </w:r>
      <w:r>
        <w:t xml:space="preserve"> pod względem dyskomfortu fizycznego i</w:t>
      </w:r>
      <w:r w:rsidR="00E359E7">
        <w:t> </w:t>
      </w:r>
      <w:r>
        <w:t>niemożności oddalenia się (</w:t>
      </w:r>
      <w:r w:rsidR="00EA75E5">
        <w:t>por</w:t>
      </w:r>
      <w:r>
        <w:t xml:space="preserve">. </w:t>
      </w:r>
      <w:r>
        <w:rPr>
          <w:i/>
        </w:rPr>
        <w:t>Austin i inni</w:t>
      </w:r>
      <w:r>
        <w:t>, op. cit., § 64). W odniesieniu do elementu przymusu Trybunał orzekł, że brak skucia kajdankami lub</w:t>
      </w:r>
      <w:r w:rsidR="00E359E7">
        <w:t> </w:t>
      </w:r>
      <w:r>
        <w:t>zastosowania innych środków przymusu fizycznego nie stanowi decydującego czynnika w ustaleniu zaistnienia pozbawienia wolności (zob.</w:t>
      </w:r>
      <w:r w:rsidR="00E359E7">
        <w:t> </w:t>
      </w:r>
      <w:r>
        <w:rPr>
          <w:i/>
        </w:rPr>
        <w:t>M.A. przeciwko Cyprowi</w:t>
      </w:r>
      <w:r>
        <w:t xml:space="preserve">, nr 41872/10, § 193 </w:t>
      </w:r>
      <w:r>
        <w:rPr>
          <w:i/>
        </w:rPr>
        <w:t>in fine</w:t>
      </w:r>
      <w:r>
        <w:t xml:space="preserve">, </w:t>
      </w:r>
      <w:r w:rsidR="001834E7">
        <w:t>ETPC</w:t>
      </w:r>
      <w:r>
        <w:t xml:space="preserve"> 2013 (fragmenty)</w:t>
      </w:r>
      <w:r w:rsidR="00EA75E5">
        <w:t>,</w:t>
      </w:r>
      <w:r>
        <w:t xml:space="preserve"> i sprawy tam cytowane; por. też </w:t>
      </w:r>
      <w:r>
        <w:rPr>
          <w:i/>
        </w:rPr>
        <w:t>Camans i Timofejeva,</w:t>
      </w:r>
      <w:r>
        <w:t xml:space="preserve"> op. cit., § 113).</w:t>
      </w:r>
    </w:p>
    <w:p w14:paraId="27C5890F" w14:textId="77777777" w:rsidR="0084030C" w:rsidRPr="00AD4DBD" w:rsidRDefault="00C232DF" w:rsidP="00AD4DBD">
      <w:pPr>
        <w:pStyle w:val="JuHi"/>
      </w:pPr>
      <w:r>
        <w:t>Zastosowanie wymienionych zasad do niniejszej sprawy</w:t>
      </w:r>
    </w:p>
    <w:p w14:paraId="6027DA3E" w14:textId="3C718AF0" w:rsidR="0084030C" w:rsidRPr="00AD4DBD" w:rsidRDefault="00AD4DBD" w:rsidP="00AD4DBD">
      <w:pPr>
        <w:pStyle w:val="JuPara"/>
        <w:rPr>
          <w:rFonts w:ascii="Times New Roman" w:hAnsi="Times New Roman" w:cs="Times New Roman"/>
          <w:color w:val="000000"/>
        </w:rPr>
      </w:pPr>
      <w:r w:rsidRPr="00AD4DBD">
        <w:t>61</w:t>
      </w:r>
      <w:r>
        <w:t>.</w:t>
      </w:r>
      <w:r w:rsidR="00F35BBD">
        <w:t xml:space="preserve"> </w:t>
      </w:r>
      <w:r>
        <w:t xml:space="preserve">Trybunał zauważa, że Sąd </w:t>
      </w:r>
      <w:r w:rsidR="00C7313C">
        <w:t>Rejonowy</w:t>
      </w:r>
      <w:r>
        <w:t xml:space="preserve"> w swoim postanowieniu z dnia 11 września 2017 r. oddalił zażalenie skarżącej na jej zatrzymanie (zob.</w:t>
      </w:r>
      <w:r w:rsidR="00E359E7">
        <w:t> </w:t>
      </w:r>
      <w:r>
        <w:t>paragrafy</w:t>
      </w:r>
      <w:r w:rsidR="00D34971">
        <w:t xml:space="preserve"> </w:t>
      </w:r>
      <w:r w:rsidRPr="00AD4DBD">
        <w:t>16</w:t>
      </w:r>
      <w:r w:rsidR="00EA75E5">
        <w:t>–</w:t>
      </w:r>
      <w:r w:rsidRPr="00AD4DBD">
        <w:t>20</w:t>
      </w:r>
      <w:r>
        <w:t xml:space="preserve"> powyżej). Uznał, że w okolicznościach sprawy nie doszło do zatrzymania w rozumieniu KPSW, ale skarżąc</w:t>
      </w:r>
      <w:r w:rsidR="001A0623">
        <w:t>a</w:t>
      </w:r>
      <w:r>
        <w:t xml:space="preserve"> i inni uczestnicy kontrdemonstracji zostali przeniesieni w bezpieczne miejsce w celu sprawdzenia ich tożsamości i wyszukania w policyjnych bazach danych. Jednakże, mając na uwadze swoje orzecznictwo w tej sprawie, Trybunał nie</w:t>
      </w:r>
      <w:r w:rsidR="00E359E7">
        <w:t> </w:t>
      </w:r>
      <w:r>
        <w:t>jest związany tymi wnioskami prawnymi i dokona własnej oceny, czy</w:t>
      </w:r>
      <w:r w:rsidR="00E359E7">
        <w:t> </w:t>
      </w:r>
      <w:r>
        <w:t>sytuacja skarżącej stanowiła pozbawienie wolności (zob. paragraf</w:t>
      </w:r>
      <w:r w:rsidR="00D34971">
        <w:t xml:space="preserve"> </w:t>
      </w:r>
      <w:r w:rsidRPr="00AD4DBD">
        <w:t>56</w:t>
      </w:r>
      <w:r>
        <w:t xml:space="preserve"> powyżej). Przechodząc do okoliczności niniejszej sprawy, Trybunał zauważa, że skarżąca uczestniczyła w kontrdemonstracji</w:t>
      </w:r>
      <w:r>
        <w:rPr>
          <w:rFonts w:ascii="Times New Roman" w:hAnsi="Times New Roman"/>
          <w:color w:val="000000"/>
        </w:rPr>
        <w:t xml:space="preserve"> w dniu 10 czerwca 2017 r. i była w grupie osób, które zostały otoczone kordonem policji około godziny 20:00. W reakcji na to skarżąca i inni demonstranci usiedli na ziemi. Policja wezwała ich do rozejścia się i wkrótce potem zaczęła usuwać ich z</w:t>
      </w:r>
      <w:r w:rsidR="00E359E7">
        <w:rPr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>miejsca zdarzenia. Skarżąca i inni protestujący zostali usunięci i</w:t>
      </w:r>
      <w:r w:rsidR="00E359E7">
        <w:rPr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 xml:space="preserve">umieszczeni na dziedzińcu budynku znajdującego się w pobliżu. Następnie zostali zablokowani na dziedzińcu przez kordon policji i nie mogli opuścić tego obszaru do około godziny 22:00 tego samego wieczoru (zob. paragraf </w:t>
      </w:r>
      <w:r w:rsidRPr="00AD4DBD"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/>
          <w:color w:val="000000"/>
        </w:rPr>
        <w:t xml:space="preserve"> powyżej). W odniesieniu do argumentu Rządu, że tożsamość skarżącej została sprawdzona stosunkowo szybko, Trybunał zauważa, że </w:t>
      </w:r>
      <w:r>
        <w:t xml:space="preserve">czas trwania przedmiotowego środka jest tylko jednym z wielu elementów, które należy wziąć pod uwagę (zob. paragrafy </w:t>
      </w:r>
      <w:r w:rsidRPr="00AD4DBD">
        <w:t>57</w:t>
      </w:r>
      <w:r>
        <w:t xml:space="preserve"> i </w:t>
      </w:r>
      <w:r w:rsidRPr="00AD4DBD">
        <w:t>58</w:t>
      </w:r>
      <w:r>
        <w:t xml:space="preserve"> powyżej).</w:t>
      </w:r>
      <w:r>
        <w:rPr>
          <w:rFonts w:ascii="Times New Roman" w:hAnsi="Times New Roman"/>
          <w:color w:val="000000"/>
        </w:rPr>
        <w:t xml:space="preserve"> Skarżącej uniemożliwiono skorzystanie z toalety i zakup wody. Policja odmówiła jej również kontaktu z prawnikami wysłanymi przez adwokaturę warszawską, którzy znajdowali się tuż poza kordonem policji (zob. paragraf </w:t>
      </w:r>
      <w:r w:rsidRPr="00AD4DBD"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/>
          <w:color w:val="000000"/>
        </w:rPr>
        <w:t xml:space="preserve"> powyżej). </w:t>
      </w:r>
      <w:r>
        <w:rPr>
          <w:rFonts w:ascii="Times New Roman" w:hAnsi="Times New Roman"/>
          <w:color w:val="000000"/>
        </w:rPr>
        <w:lastRenderedPageBreak/>
        <w:t>Dowód osobisty skarżącej został zatrzymany przez policję podczas sprawdzania w policyjnej bazie danych, czy znajduje się ona na liście osób poszukiwanych. Z powyższego wynika, że skarżąca nie mogła swobodnie opuścić tego miejsca przez około dwie godziny. Przez cały ten czas jej dowód tożsamości był zatrzymany, a jej kontakt ze światem zewnętrznym był ograniczony.</w:t>
      </w:r>
    </w:p>
    <w:p w14:paraId="73EC5589" w14:textId="77777777" w:rsidR="0084030C" w:rsidRPr="00AD4DBD" w:rsidRDefault="00C232DF" w:rsidP="00AD4DBD">
      <w:pPr>
        <w:pStyle w:val="JuHi"/>
      </w:pPr>
      <w:r>
        <w:t>Konkluzja Trybunału dotycząca możliwości zastosowania art. 5</w:t>
      </w:r>
    </w:p>
    <w:p w14:paraId="4C9A60E1" w14:textId="2D6022CD" w:rsidR="0084030C" w:rsidRPr="00AD4DBD" w:rsidRDefault="00AD4DBD" w:rsidP="00AD4DBD">
      <w:pPr>
        <w:pStyle w:val="JuPara"/>
      </w:pPr>
      <w:bookmarkStart w:id="28" w:name="paragraph00062"/>
      <w:r w:rsidRPr="00AD4DBD">
        <w:t>62</w:t>
      </w:r>
      <w:bookmarkEnd w:id="28"/>
      <w:r w:rsidR="00C232DF">
        <w:t>.</w:t>
      </w:r>
      <w:r w:rsidR="00F35BBD">
        <w:t xml:space="preserve"> </w:t>
      </w:r>
      <w:r w:rsidR="00C232DF">
        <w:t>Uwzględniając charakter i czas trwania ograniczeń nałożonych na</w:t>
      </w:r>
      <w:r w:rsidR="00E359E7">
        <w:t> </w:t>
      </w:r>
      <w:r w:rsidR="00C232DF">
        <w:t>skarżącą przez władze, Trybunał stwierdza, że została ona pozbawiona wolności w rozumieniu art. 5 Konwencji w dniu 10 czerwca 2017 r. między godziną 20:00 a 22:00. A zatem postanowienie to ma zastosowanie.</w:t>
      </w:r>
    </w:p>
    <w:p w14:paraId="5983782B" w14:textId="7A3858A4" w:rsidR="0084030C" w:rsidRPr="00AD4DBD" w:rsidRDefault="00AD4DBD" w:rsidP="00AD4DBD">
      <w:pPr>
        <w:pStyle w:val="JuPara"/>
      </w:pPr>
      <w:r w:rsidRPr="00AD4DBD">
        <w:t>63</w:t>
      </w:r>
      <w:r>
        <w:t>.</w:t>
      </w:r>
      <w:r w:rsidR="00F35BBD">
        <w:t xml:space="preserve"> </w:t>
      </w:r>
      <w:r>
        <w:t xml:space="preserve">Wynika z tego, że Trybunał jest właściwy </w:t>
      </w:r>
      <w:r>
        <w:rPr>
          <w:i/>
        </w:rPr>
        <w:t>ratione materiae</w:t>
      </w:r>
      <w:r>
        <w:t xml:space="preserve"> do</w:t>
      </w:r>
      <w:r w:rsidR="00E359E7">
        <w:t> </w:t>
      </w:r>
      <w:r>
        <w:t xml:space="preserve">rozpoznania </w:t>
      </w:r>
      <w:r w:rsidR="001A0623">
        <w:t xml:space="preserve">zarzutów </w:t>
      </w:r>
      <w:r>
        <w:t>skarżąc</w:t>
      </w:r>
      <w:r w:rsidR="00B82EB1">
        <w:t>ej</w:t>
      </w:r>
      <w:r w:rsidR="00B82EB1">
        <w:rPr>
          <w:rStyle w:val="Odwoanieprzypisudolnego"/>
        </w:rPr>
        <w:footnoteReference w:id="4"/>
      </w:r>
      <w:r>
        <w:t xml:space="preserve"> na mocy art. 5</w:t>
      </w:r>
      <w:r w:rsidR="0017164A">
        <w:t xml:space="preserve"> Konwencji</w:t>
      </w:r>
      <w:r>
        <w:t>.</w:t>
      </w:r>
    </w:p>
    <w:p w14:paraId="23A6010F" w14:textId="77777777" w:rsidR="0084030C" w:rsidRPr="00AD4DBD" w:rsidRDefault="00C232DF" w:rsidP="00AD4DBD">
      <w:pPr>
        <w:pStyle w:val="JuH1"/>
      </w:pPr>
      <w:r>
        <w:t>Niewyczerpanie krajowych środków odwoławczych</w:t>
      </w:r>
    </w:p>
    <w:p w14:paraId="32836475" w14:textId="77777777" w:rsidR="0084030C" w:rsidRPr="00AD4DBD" w:rsidRDefault="00C232DF" w:rsidP="00AD4DBD">
      <w:pPr>
        <w:pStyle w:val="JuHa0"/>
      </w:pPr>
      <w:r>
        <w:t>Oświadczenia stron</w:t>
      </w:r>
    </w:p>
    <w:p w14:paraId="75B1A555" w14:textId="77777777" w:rsidR="0084030C" w:rsidRPr="00AD4DBD" w:rsidRDefault="00C232DF" w:rsidP="00AD4DBD">
      <w:pPr>
        <w:pStyle w:val="JuHi"/>
      </w:pPr>
      <w:r>
        <w:t>Rząd</w:t>
      </w:r>
    </w:p>
    <w:p w14:paraId="3B209D00" w14:textId="6389E46E" w:rsidR="0084030C" w:rsidRPr="00AD4DBD" w:rsidRDefault="00AD4DBD" w:rsidP="00AD4DBD">
      <w:pPr>
        <w:pStyle w:val="JuPara"/>
      </w:pPr>
      <w:r w:rsidRPr="00AD4DBD">
        <w:t>64</w:t>
      </w:r>
      <w:r>
        <w:t>.</w:t>
      </w:r>
      <w:r w:rsidR="00F35BBD">
        <w:t xml:space="preserve"> </w:t>
      </w:r>
      <w:r>
        <w:t xml:space="preserve">Rząd podniósł </w:t>
      </w:r>
      <w:r w:rsidR="0017164A">
        <w:t xml:space="preserve">zastrzeżenie wstępne dotyczące </w:t>
      </w:r>
      <w:r>
        <w:t>braku wyczerpania krajowych środków odwoławczych.</w:t>
      </w:r>
    </w:p>
    <w:p w14:paraId="6D33CADC" w14:textId="6A7029CE" w:rsidR="0084030C" w:rsidRPr="00AD4DBD" w:rsidRDefault="00AD4DBD" w:rsidP="00AD4DBD">
      <w:pPr>
        <w:pStyle w:val="JuPara"/>
      </w:pPr>
      <w:r w:rsidRPr="00AD4DBD">
        <w:t>65</w:t>
      </w:r>
      <w:r>
        <w:t>.</w:t>
      </w:r>
      <w:r w:rsidR="00F35BBD">
        <w:t xml:space="preserve"> </w:t>
      </w:r>
      <w:r>
        <w:t>Po pierwsze, uzna</w:t>
      </w:r>
      <w:r w:rsidR="0017164A">
        <w:t>ł</w:t>
      </w:r>
      <w:r>
        <w:t xml:space="preserve">, że skarżąca nie odwołała się do właściwego miejscowo prokuratora w odniesieniu do działań policji z dnia 10 czerwca 2017 r. związanych z ustaleniem jej tożsamości, zgodnie z art. 15 ust. 7 ustawy o </w:t>
      </w:r>
      <w:r w:rsidR="0017164A">
        <w:t>Policji</w:t>
      </w:r>
      <w:r>
        <w:t>, a mianowicie w odniesieniu do długości procesu identyfikacji.</w:t>
      </w:r>
    </w:p>
    <w:p w14:paraId="76FA4D29" w14:textId="2CE161A0" w:rsidR="0084030C" w:rsidRPr="00AD4DBD" w:rsidRDefault="00AD4DBD" w:rsidP="00AD4DBD">
      <w:pPr>
        <w:pStyle w:val="JuPara"/>
      </w:pPr>
      <w:r w:rsidRPr="00AD4DBD">
        <w:t>66</w:t>
      </w:r>
      <w:r>
        <w:t>.</w:t>
      </w:r>
      <w:r w:rsidR="00F35BBD">
        <w:t xml:space="preserve"> </w:t>
      </w:r>
      <w:r>
        <w:t xml:space="preserve">Po drugie, </w:t>
      </w:r>
      <w:r w:rsidR="009D36CE">
        <w:t xml:space="preserve">Rząd </w:t>
      </w:r>
      <w:r>
        <w:t>twierdził, że skarżąca nie domagała się odszkodowania na podstawie art. 114 § 2 KPSW, który stanowi, że</w:t>
      </w:r>
      <w:r w:rsidR="00E359E7">
        <w:t> </w:t>
      </w:r>
      <w:r>
        <w:t xml:space="preserve">odszkodowanie i zadośćuczynienie powinno zostać przyznane każdemu, kto został poddany niewątpliwie niesłusznemu </w:t>
      </w:r>
      <w:r w:rsidR="0017164A">
        <w:t>zatrzymaniu</w:t>
      </w:r>
      <w:r w:rsidR="00876F1F">
        <w:t>,</w:t>
      </w:r>
      <w:r w:rsidR="0017164A">
        <w:t xml:space="preserve"> </w:t>
      </w:r>
      <w:r>
        <w:t xml:space="preserve">oraz każdemu, kto został pozbawiony wolności na podstawie art. 82 § 5 </w:t>
      </w:r>
      <w:r w:rsidR="0017164A">
        <w:t xml:space="preserve">pkt </w:t>
      </w:r>
      <w:r>
        <w:t>2 lub 3, ale kto został następnie prawomocnie uniewinniony lub wobec kogo postępowanie zostało prawomocnie umorzone. Zgodnie z orzecznictwem sądów krajowych roszczenia takie mogą być dochodzone niezależnie od tego, czy osoby, których one dotyczą, zaskarżyły zatrzymanie i uzyskały stwierdzenie, że było ono niesłuszne lub bezprawne (zob. wyrok Sądu Apelacyjnego w</w:t>
      </w:r>
      <w:r w:rsidR="00E359E7">
        <w:t> </w:t>
      </w:r>
      <w:r>
        <w:t>Katowicach, sygn. akt. II Aka 162/10, OSA 2011, wyd. 12, poz. 47).</w:t>
      </w:r>
    </w:p>
    <w:p w14:paraId="7B6F05D1" w14:textId="25E187C4" w:rsidR="0084030C" w:rsidRPr="00AD4DBD" w:rsidRDefault="00AD4DBD" w:rsidP="00AD4DBD">
      <w:pPr>
        <w:pStyle w:val="JuPara"/>
      </w:pPr>
      <w:r w:rsidRPr="00AD4DBD">
        <w:t>67</w:t>
      </w:r>
      <w:r>
        <w:t>.</w:t>
      </w:r>
      <w:r w:rsidR="00F35BBD">
        <w:t xml:space="preserve"> </w:t>
      </w:r>
      <w:r>
        <w:t xml:space="preserve">Po trzecie, </w:t>
      </w:r>
      <w:r w:rsidR="00876F1F">
        <w:t xml:space="preserve">Rząd </w:t>
      </w:r>
      <w:r>
        <w:t>uzna</w:t>
      </w:r>
      <w:r w:rsidR="00876F1F">
        <w:t>ł</w:t>
      </w:r>
      <w:r>
        <w:t xml:space="preserve">, że skarżąca nie skorzystała z prawa do żądania odszkodowania od Skarbu Państwa na podstawie art. 417 i 448 Kodeksu cywilnego w związku z </w:t>
      </w:r>
      <w:r w:rsidR="00876F1F">
        <w:t>zarzucaną</w:t>
      </w:r>
      <w:r>
        <w:t xml:space="preserve"> szkodą związaną z rzekomym ograniczeniem praw gwarantowanych przez Konwencję (zob. wyrok Sądu Apelacyjnego w Katowicach z dnia 5 lipca 2012 r., sygn. akt. II Aka 242/12).</w:t>
      </w:r>
    </w:p>
    <w:p w14:paraId="6D3F20BA" w14:textId="77777777" w:rsidR="0084030C" w:rsidRPr="00AD4DBD" w:rsidRDefault="00C232DF" w:rsidP="00AD4DBD">
      <w:pPr>
        <w:pStyle w:val="JuHi"/>
      </w:pPr>
      <w:r>
        <w:lastRenderedPageBreak/>
        <w:t>Skarżąca</w:t>
      </w:r>
    </w:p>
    <w:p w14:paraId="29D77EE0" w14:textId="3DFBC67D" w:rsidR="0084030C" w:rsidRPr="00AD4DBD" w:rsidRDefault="00AD4DBD" w:rsidP="00AD4DBD">
      <w:pPr>
        <w:pStyle w:val="JuPara"/>
      </w:pPr>
      <w:r w:rsidRPr="00AD4DBD">
        <w:t>68</w:t>
      </w:r>
      <w:r>
        <w:t>.</w:t>
      </w:r>
      <w:r w:rsidR="00F35BBD">
        <w:t xml:space="preserve"> </w:t>
      </w:r>
      <w:r>
        <w:t xml:space="preserve">Skarżąca twierdziła, że odwołanie do właściwego miejscowo prokuratora od działań policji związanych z jej identyfikacją, na podstawie art. 15 ust. 7 ustawy o </w:t>
      </w:r>
      <w:r w:rsidR="00572E3C">
        <w:t>Policji</w:t>
      </w:r>
      <w:r>
        <w:t>, nie byłoby skutecznym środkiem odwoławczym w jej sprawie, ponieważ właściwy prokurator nie był uprawniony do badania zasadności, legalności lub prawidłowości pozbawienia wolności. Tylko sąd może rozpatrywać odwołania w sprawie</w:t>
      </w:r>
      <w:r w:rsidR="00F35BBD">
        <w:t xml:space="preserve"> </w:t>
      </w:r>
      <w:r>
        <w:t>pozbawienia wolności, a takie odwołanie zostało złożone przez skarżącą.</w:t>
      </w:r>
    </w:p>
    <w:p w14:paraId="4B2B223A" w14:textId="32E0ABF6" w:rsidR="0084030C" w:rsidRPr="00AD4DBD" w:rsidRDefault="00AD4DBD" w:rsidP="00AD4DBD">
      <w:pPr>
        <w:pStyle w:val="JuPara"/>
      </w:pPr>
      <w:r w:rsidRPr="00AD4DBD">
        <w:t>69</w:t>
      </w:r>
      <w:r>
        <w:t>.</w:t>
      </w:r>
      <w:r w:rsidR="00F35BBD">
        <w:t xml:space="preserve"> </w:t>
      </w:r>
      <w:r>
        <w:t xml:space="preserve">Jeśli chodzi o roszczenie o odszkodowanie na podstawie KPSW, skarżąca twierdziła, że środek ten byłby nieskuteczny w świetle ustalenia sądu krajowego, że nie została </w:t>
      </w:r>
      <w:r w:rsidR="00572E3C">
        <w:t>zatrzymana</w:t>
      </w:r>
      <w:r>
        <w:t xml:space="preserve">. Ponadto roszczenie odszkodowawcze na podstawie </w:t>
      </w:r>
      <w:r w:rsidR="00297579">
        <w:t xml:space="preserve">Kodeksu </w:t>
      </w:r>
      <w:r>
        <w:t>cywilnego nie miałoby szans powodzenia, ponieważ zgodnie z odpowiednimi przepisami krajowymi zarzucane czyny musiałyby być bezprawne.</w:t>
      </w:r>
    </w:p>
    <w:p w14:paraId="50CCF684" w14:textId="77777777" w:rsidR="0084030C" w:rsidRPr="00AD4DBD" w:rsidRDefault="00C232DF" w:rsidP="00AD4DBD">
      <w:pPr>
        <w:pStyle w:val="JuHa0"/>
      </w:pPr>
      <w:r>
        <w:t>Ocena Trybunału</w:t>
      </w:r>
    </w:p>
    <w:p w14:paraId="621A11EC" w14:textId="73530266" w:rsidR="0084030C" w:rsidRPr="00AD4DBD" w:rsidRDefault="00AD4DBD" w:rsidP="00AD4DBD">
      <w:pPr>
        <w:pStyle w:val="JuPara"/>
      </w:pPr>
      <w:r w:rsidRPr="00AD4DBD">
        <w:t>70</w:t>
      </w:r>
      <w:r>
        <w:t>.</w:t>
      </w:r>
      <w:r w:rsidR="00F35BBD">
        <w:t xml:space="preserve"> </w:t>
      </w:r>
      <w:r>
        <w:t xml:space="preserve">Trybunał powtarza, że obowiązek wyczerpania krajowych środków odwoławczych, o których mowa w art. 35 </w:t>
      </w:r>
      <w:r w:rsidR="0052240B">
        <w:t>ust. 1 Konwencji</w:t>
      </w:r>
      <w:r>
        <w:t>, wymaga od</w:t>
      </w:r>
      <w:r w:rsidR="00E359E7">
        <w:t> </w:t>
      </w:r>
      <w:r>
        <w:t xml:space="preserve">skarżącej zwykłego skorzystania ze środków odwoławczych, które są dostępne i wystarczające w odniesieniu do jej skarg na mocy Konwencji. </w:t>
      </w:r>
      <w:r>
        <w:rPr>
          <w:color w:val="000000"/>
        </w:rPr>
        <w:t>Istnienie tych środków odwoławczych musi być wystarczająco pewne nie tylko w teorii, ale także w praktyce, w przeciwnym razie nie będą one miały wymaganej dostępności i skuteczności</w:t>
      </w:r>
      <w:r>
        <w:t>. Aby środek odwoławczy był skuteczny, musi być w stanie bezpośrednio naprawić kwestionowany stan rzeczy i musi oferować rozsądne perspektywy powodzenia (zob.</w:t>
      </w:r>
      <w:bookmarkStart w:id="29" w:name="_cl43907THELAW"/>
      <w:r w:rsidR="00E359E7">
        <w:t> </w:t>
      </w:r>
      <w:r>
        <w:rPr>
          <w:i/>
        </w:rPr>
        <w:t>Communauté genevoise d'action syndicale (CGAS) przeciwko Szwajcarii</w:t>
      </w:r>
      <w:bookmarkEnd w:id="29"/>
      <w:r>
        <w:t xml:space="preserve"> [</w:t>
      </w:r>
      <w:r w:rsidR="001834E7">
        <w:t>WI</w:t>
      </w:r>
      <w:r>
        <w:t>], nr 21881/20, § 139, 27 listopada 2023 r.</w:t>
      </w:r>
      <w:r w:rsidR="00572E3C">
        <w:t>,</w:t>
      </w:r>
      <w:r>
        <w:t xml:space="preserve"> z dalszymi odniesieniami).</w:t>
      </w:r>
    </w:p>
    <w:p w14:paraId="1D2E8120" w14:textId="22D55225" w:rsidR="0084030C" w:rsidRPr="00AD4DBD" w:rsidRDefault="00AD4DBD" w:rsidP="00AD4DBD">
      <w:pPr>
        <w:pStyle w:val="JuPara"/>
      </w:pPr>
      <w:bookmarkStart w:id="30" w:name="paragraph00071"/>
      <w:r w:rsidRPr="00AD4DBD">
        <w:t>71</w:t>
      </w:r>
      <w:bookmarkEnd w:id="30"/>
      <w:r w:rsidR="00C232DF">
        <w:t>.</w:t>
      </w:r>
      <w:r w:rsidR="00F35BBD">
        <w:t xml:space="preserve"> </w:t>
      </w:r>
      <w:r w:rsidR="00C232DF">
        <w:t>Stwierdziwszy, że skarżąca została pozbawiona wolności w</w:t>
      </w:r>
      <w:r w:rsidR="00E359E7">
        <w:t> </w:t>
      </w:r>
      <w:r w:rsidR="00C232DF">
        <w:t xml:space="preserve">rozumieniu art. 5 Konwencji (zob. paragraf </w:t>
      </w:r>
      <w:r w:rsidRPr="00AD4DBD">
        <w:t>62</w:t>
      </w:r>
      <w:r w:rsidR="00C232DF">
        <w:t xml:space="preserve"> powyżej), Trybunał uznaje, że </w:t>
      </w:r>
      <w:r w:rsidR="00C232DF" w:rsidRPr="00E77992">
        <w:t xml:space="preserve">składając </w:t>
      </w:r>
      <w:r w:rsidR="00572E3C" w:rsidRPr="00E77992">
        <w:t>zażalenie</w:t>
      </w:r>
      <w:r w:rsidR="00C232DF">
        <w:t xml:space="preserve"> w dniu 16 czerwca 2017 r.</w:t>
      </w:r>
      <w:r w:rsidR="00572E3C">
        <w:t>,</w:t>
      </w:r>
      <w:r w:rsidR="00C232DF">
        <w:t xml:space="preserve"> skorzystała ona ze</w:t>
      </w:r>
      <w:r w:rsidR="00E359E7">
        <w:t> </w:t>
      </w:r>
      <w:r w:rsidR="00C232DF">
        <w:t>szczególnego środka odwoławczego przewidzianego w art. 47 Kodeksu wykroczeń</w:t>
      </w:r>
      <w:r w:rsidR="00FB7DC4">
        <w:rPr>
          <w:rStyle w:val="Odwoanieprzypisudolnego"/>
        </w:rPr>
        <w:footnoteReference w:id="5"/>
      </w:r>
      <w:r w:rsidR="00C232DF">
        <w:t xml:space="preserve"> (zob. paragraf </w:t>
      </w:r>
      <w:r w:rsidRPr="00AD4DBD">
        <w:t>34</w:t>
      </w:r>
      <w:r w:rsidR="00C232DF">
        <w:t xml:space="preserve"> powyżej). Zarzuciła w nim, że pozbawienie jej</w:t>
      </w:r>
      <w:r w:rsidR="00E359E7">
        <w:t> </w:t>
      </w:r>
      <w:r w:rsidR="00C232DF">
        <w:t>wolności było nieuzasadnione, niezgodne z prawem i nieprawidłowe</w:t>
      </w:r>
      <w:r w:rsidR="00FB7DC4">
        <w:t>,</w:t>
      </w:r>
      <w:r w:rsidR="00C232DF">
        <w:t xml:space="preserve"> oraz</w:t>
      </w:r>
      <w:r w:rsidR="00E359E7">
        <w:t> </w:t>
      </w:r>
      <w:r w:rsidR="00C232DF">
        <w:t>zażądała rozpoznania tych okoliczności przez sąd (zob. paragraf</w:t>
      </w:r>
      <w:r w:rsidR="00D34971">
        <w:t xml:space="preserve"> </w:t>
      </w:r>
      <w:r w:rsidRPr="00AD4DBD">
        <w:t>14</w:t>
      </w:r>
      <w:r w:rsidR="00C232DF">
        <w:t xml:space="preserve"> powyżej).</w:t>
      </w:r>
    </w:p>
    <w:p w14:paraId="1C1C5BCE" w14:textId="7D5B404A" w:rsidR="0084030C" w:rsidRPr="00AD4DBD" w:rsidRDefault="00AD4DBD" w:rsidP="00AD4DBD">
      <w:pPr>
        <w:pStyle w:val="JuPara"/>
      </w:pPr>
      <w:r w:rsidRPr="00AD4DBD">
        <w:t>72</w:t>
      </w:r>
      <w:r>
        <w:t>.</w:t>
      </w:r>
      <w:r w:rsidR="00F35BBD">
        <w:t xml:space="preserve"> </w:t>
      </w:r>
      <w:r>
        <w:t>W odniesieniu do sytuacji, w których dostępne są różne środki odwoławcze, Trybunał powtarza, że od skarżącego, który skorzystał ze</w:t>
      </w:r>
      <w:r w:rsidR="00E359E7">
        <w:t> </w:t>
      </w:r>
      <w:r>
        <w:t xml:space="preserve">środka odwoławczego, który jest najwyraźniej skuteczny i wystarczający, nie można wymagać, aby wypróbował </w:t>
      </w:r>
      <w:r w:rsidR="00FB7DC4">
        <w:t xml:space="preserve">również </w:t>
      </w:r>
      <w:r>
        <w:t xml:space="preserve">inne środki, które były dostępne, ale prawdopodobnie nie miały większego prawdopodobieństwa powodzenia (zob. </w:t>
      </w:r>
      <w:r>
        <w:rPr>
          <w:i/>
        </w:rPr>
        <w:t>Aquilina przeciwko Malcie</w:t>
      </w:r>
      <w:r>
        <w:t xml:space="preserve"> [</w:t>
      </w:r>
      <w:r w:rsidR="001834E7">
        <w:t>WI</w:t>
      </w:r>
      <w:r>
        <w:t xml:space="preserve">], nr 25642/94, § 39, </w:t>
      </w:r>
      <w:r w:rsidR="001834E7">
        <w:t>ETPC</w:t>
      </w:r>
      <w:r>
        <w:t xml:space="preserve"> </w:t>
      </w:r>
      <w:r>
        <w:lastRenderedPageBreak/>
        <w:t xml:space="preserve">1999-III) oraz </w:t>
      </w:r>
      <w:bookmarkStart w:id="31" w:name="_cl32838THELAW"/>
      <w:r>
        <w:rPr>
          <w:i/>
        </w:rPr>
        <w:t>Nicolae Virgiliu Tănase przeciwko Rumunii</w:t>
      </w:r>
      <w:bookmarkEnd w:id="31"/>
      <w:r>
        <w:t xml:space="preserve"> [</w:t>
      </w:r>
      <w:r w:rsidR="001834E7">
        <w:t>WI</w:t>
      </w:r>
      <w:r>
        <w:t>], nr</w:t>
      </w:r>
      <w:r w:rsidR="00E359E7">
        <w:t> </w:t>
      </w:r>
      <w:r>
        <w:t>41720/13, § 177, 25 czerwca 2019 r.).</w:t>
      </w:r>
    </w:p>
    <w:p w14:paraId="06FAA3A3" w14:textId="76231546" w:rsidR="0084030C" w:rsidRPr="00AD4DBD" w:rsidRDefault="00AD4DBD" w:rsidP="00AD4DBD">
      <w:pPr>
        <w:pStyle w:val="JuPara"/>
      </w:pPr>
      <w:bookmarkStart w:id="32" w:name="paragraph00073"/>
      <w:r w:rsidRPr="00AD4DBD">
        <w:t>73</w:t>
      </w:r>
      <w:bookmarkEnd w:id="32"/>
      <w:r w:rsidR="00C232DF">
        <w:t>.</w:t>
      </w:r>
      <w:r w:rsidR="00F35BBD">
        <w:t xml:space="preserve"> </w:t>
      </w:r>
      <w:r w:rsidR="00C232DF">
        <w:t>Trybunał od</w:t>
      </w:r>
      <w:r w:rsidR="00FB7DC4">
        <w:t>dala</w:t>
      </w:r>
      <w:r w:rsidR="00C232DF">
        <w:t xml:space="preserve"> zatem za</w:t>
      </w:r>
      <w:r w:rsidR="00FB7DC4">
        <w:t>strzeżenie</w:t>
      </w:r>
      <w:r w:rsidR="00C232DF">
        <w:t xml:space="preserve"> Rządu dotycząc</w:t>
      </w:r>
      <w:r w:rsidR="00FB7DC4">
        <w:t>e</w:t>
      </w:r>
      <w:r w:rsidR="00C232DF">
        <w:t xml:space="preserve"> niewyczerpania krajowych środków odwoławczych w odniesieniu do </w:t>
      </w:r>
      <w:r w:rsidR="00FB7DC4">
        <w:t xml:space="preserve">zarzutu </w:t>
      </w:r>
      <w:r w:rsidR="00C232DF">
        <w:t>skargi skarżącej na podstawie art. 5 Konwencji.</w:t>
      </w:r>
    </w:p>
    <w:p w14:paraId="586467B9" w14:textId="40EC2E52" w:rsidR="0084030C" w:rsidRPr="00AD4DBD" w:rsidRDefault="00C232DF" w:rsidP="00AD4DBD">
      <w:pPr>
        <w:pStyle w:val="JuH1"/>
      </w:pPr>
      <w:r>
        <w:t>Konkluzj</w:t>
      </w:r>
      <w:r w:rsidR="00FB7DC4">
        <w:t>a</w:t>
      </w:r>
      <w:r>
        <w:t xml:space="preserve"> dotycząc</w:t>
      </w:r>
      <w:r w:rsidR="00FB7DC4">
        <w:t>a</w:t>
      </w:r>
      <w:r>
        <w:t xml:space="preserve"> dopuszczalności </w:t>
      </w:r>
      <w:r w:rsidR="00FB7DC4">
        <w:t xml:space="preserve">zarzutu </w:t>
      </w:r>
      <w:r>
        <w:t>skargi skarżącej na</w:t>
      </w:r>
      <w:r w:rsidR="00E359E7">
        <w:t> </w:t>
      </w:r>
      <w:r>
        <w:t>podstawie art. 5</w:t>
      </w:r>
    </w:p>
    <w:p w14:paraId="1EEC174D" w14:textId="442B734F" w:rsidR="0084030C" w:rsidRPr="00AD4DBD" w:rsidRDefault="00AD4DBD" w:rsidP="00AD4DBD">
      <w:pPr>
        <w:pStyle w:val="JuPara"/>
      </w:pPr>
      <w:r w:rsidRPr="00AD4DBD">
        <w:t>74</w:t>
      </w:r>
      <w:r>
        <w:t>.</w:t>
      </w:r>
      <w:r w:rsidR="00F35BBD">
        <w:t xml:space="preserve"> </w:t>
      </w:r>
      <w:r>
        <w:t xml:space="preserve">Trybunał zauważa, że </w:t>
      </w:r>
      <w:r w:rsidR="00F9728E">
        <w:t xml:space="preserve">zarzut </w:t>
      </w:r>
      <w:r>
        <w:t>skarg</w:t>
      </w:r>
      <w:r w:rsidR="00F9728E">
        <w:t>i</w:t>
      </w:r>
      <w:r>
        <w:t xml:space="preserve"> skarżącej na podstawie art. 5 Konwencji nie jest w sposób</w:t>
      </w:r>
      <w:r w:rsidR="00F9728E">
        <w:t xml:space="preserve"> </w:t>
      </w:r>
      <w:r w:rsidR="00A939D6">
        <w:t xml:space="preserve">oczywisty </w:t>
      </w:r>
      <w:r w:rsidR="00F9728E">
        <w:t>nieuzasadniony</w:t>
      </w:r>
      <w:r>
        <w:t xml:space="preserve"> ani niedopuszczaln</w:t>
      </w:r>
      <w:r w:rsidR="00F9728E">
        <w:t>y</w:t>
      </w:r>
      <w:r>
        <w:t xml:space="preserve"> z jakichkolwiek innych powodów wymienionych w art. 35 Konwencji. Tym</w:t>
      </w:r>
      <w:r w:rsidR="00E359E7">
        <w:t> </w:t>
      </w:r>
      <w:r>
        <w:t xml:space="preserve">samym należy uznać </w:t>
      </w:r>
      <w:r w:rsidR="00F9728E">
        <w:t>go</w:t>
      </w:r>
      <w:r>
        <w:t xml:space="preserve"> za dopuszczaln</w:t>
      </w:r>
      <w:r w:rsidR="00F9728E">
        <w:t>y</w:t>
      </w:r>
      <w:r>
        <w:t>.</w:t>
      </w:r>
    </w:p>
    <w:p w14:paraId="62469872" w14:textId="57DF1E56" w:rsidR="0084030C" w:rsidRPr="00AD4DBD" w:rsidRDefault="005C6F3A" w:rsidP="00AD4DBD">
      <w:pPr>
        <w:pStyle w:val="JuHA"/>
      </w:pPr>
      <w:r>
        <w:t>Przedmiot skargi</w:t>
      </w:r>
    </w:p>
    <w:p w14:paraId="49534573" w14:textId="77777777" w:rsidR="0084030C" w:rsidRPr="00AD4DBD" w:rsidRDefault="00C232DF" w:rsidP="00AD4DBD">
      <w:pPr>
        <w:pStyle w:val="JuH1"/>
      </w:pPr>
      <w:r>
        <w:t>Oświadczenia stron</w:t>
      </w:r>
    </w:p>
    <w:p w14:paraId="1A9C262B" w14:textId="77777777" w:rsidR="0084030C" w:rsidRPr="00AD4DBD" w:rsidRDefault="00C232DF" w:rsidP="00AD4DBD">
      <w:pPr>
        <w:pStyle w:val="JuHa0"/>
      </w:pPr>
      <w:r>
        <w:t>Skarżąca</w:t>
      </w:r>
    </w:p>
    <w:p w14:paraId="73710DD8" w14:textId="6D8179AB" w:rsidR="0084030C" w:rsidRPr="00AD4DBD" w:rsidRDefault="00AD4DBD" w:rsidP="00AD4DBD">
      <w:pPr>
        <w:pStyle w:val="JuPara"/>
      </w:pPr>
      <w:bookmarkStart w:id="33" w:name="paragraph00075"/>
      <w:r w:rsidRPr="00AD4DBD">
        <w:t>75</w:t>
      </w:r>
      <w:bookmarkEnd w:id="33"/>
      <w:r w:rsidR="00C232DF">
        <w:t>.</w:t>
      </w:r>
      <w:r w:rsidR="00F35BBD">
        <w:t xml:space="preserve"> </w:t>
      </w:r>
      <w:r w:rsidR="00C232DF">
        <w:t>Skarżąca twierdziła, że była faktycznie pozbawiona wolności przez około dwie godziny. Utrzymywała, że nie była w stanie opuścić dziedzińca, na który została zabrana przez policję (zob. paragraf</w:t>
      </w:r>
      <w:r w:rsidR="00D34971">
        <w:t xml:space="preserve"> </w:t>
      </w:r>
      <w:r w:rsidRPr="00AD4DBD">
        <w:t>52</w:t>
      </w:r>
      <w:r w:rsidR="00C232DF">
        <w:t xml:space="preserve"> powyżej). Ponadto nie została zwolniona po sprawdzeniu jej tożsamości; w rzeczywistości wszyscy uczestnicy kontrdemonstracji, którzy zostali sprowadzeni na</w:t>
      </w:r>
      <w:r w:rsidR="00E359E7">
        <w:t> </w:t>
      </w:r>
      <w:r w:rsidR="00C232DF">
        <w:t>dziedziniec wraz ze skarżącą</w:t>
      </w:r>
      <w:r w:rsidR="00D14785">
        <w:t>,</w:t>
      </w:r>
      <w:r w:rsidR="00C232DF">
        <w:t xml:space="preserve"> byli tam przetrzymywani do końca zgromadzenia, a</w:t>
      </w:r>
      <w:r w:rsidR="00D14785">
        <w:t xml:space="preserve"> nie zwalniano </w:t>
      </w:r>
      <w:r w:rsidR="00C232DF">
        <w:t>każd</w:t>
      </w:r>
      <w:r w:rsidR="00D14785">
        <w:t>ej</w:t>
      </w:r>
      <w:r w:rsidR="00C232DF">
        <w:t xml:space="preserve"> osob</w:t>
      </w:r>
      <w:r w:rsidR="00D14785">
        <w:t>y</w:t>
      </w:r>
      <w:r w:rsidR="00C232DF">
        <w:t xml:space="preserve"> po sprawdzeniu jej tożsamości.</w:t>
      </w:r>
    </w:p>
    <w:p w14:paraId="532D0995" w14:textId="09D33A71" w:rsidR="0084030C" w:rsidRPr="00AD4DBD" w:rsidRDefault="00AD4DBD" w:rsidP="00AD4DBD">
      <w:pPr>
        <w:pStyle w:val="JuPara"/>
      </w:pPr>
      <w:r w:rsidRPr="00AD4DBD">
        <w:t>76</w:t>
      </w:r>
      <w:r>
        <w:t>.</w:t>
      </w:r>
      <w:r w:rsidR="00F35BBD">
        <w:t xml:space="preserve"> </w:t>
      </w:r>
      <w:r>
        <w:t>Skarżąca uznała ponadto, że pozbawienie jej wolności nie było konieczne w okolicznościach sprawy, w szczególności biorąc pod uwagę, że</w:t>
      </w:r>
      <w:r w:rsidR="00E359E7">
        <w:t> </w:t>
      </w:r>
      <w:r>
        <w:t>nie istniało podejrzenie popełnienia przez nią jakiegokolwiek przestępstwa.</w:t>
      </w:r>
    </w:p>
    <w:p w14:paraId="01D58B8C" w14:textId="77777777" w:rsidR="0084030C" w:rsidRPr="00AD4DBD" w:rsidRDefault="00C232DF" w:rsidP="00AD4DBD">
      <w:pPr>
        <w:pStyle w:val="JuHa0"/>
      </w:pPr>
      <w:r>
        <w:t>Rząd</w:t>
      </w:r>
    </w:p>
    <w:p w14:paraId="78573B58" w14:textId="0026EDB3" w:rsidR="0084030C" w:rsidRPr="00AD4DBD" w:rsidRDefault="00AD4DBD" w:rsidP="00AD4DBD">
      <w:pPr>
        <w:pStyle w:val="JuPara"/>
      </w:pPr>
      <w:r w:rsidRPr="00AD4DBD">
        <w:t>77</w:t>
      </w:r>
      <w:r>
        <w:t>.</w:t>
      </w:r>
      <w:r w:rsidR="00F35BBD">
        <w:t xml:space="preserve"> </w:t>
      </w:r>
      <w:r>
        <w:t>Rząd twierdził, że działania policji miały podstawę prawną, m.in.</w:t>
      </w:r>
      <w:r w:rsidR="004974AF">
        <w:t> </w:t>
      </w:r>
      <w:r>
        <w:t>w</w:t>
      </w:r>
      <w:r w:rsidR="00E359E7">
        <w:t> </w:t>
      </w:r>
      <w:r>
        <w:t xml:space="preserve">ustawie o </w:t>
      </w:r>
      <w:r w:rsidR="00D14785">
        <w:t>Policji</w:t>
      </w:r>
      <w:r>
        <w:t xml:space="preserve">, a zatem nie było podstaw do stwierdzenia, że </w:t>
      </w:r>
      <w:r w:rsidR="00D14785">
        <w:t xml:space="preserve">jej </w:t>
      </w:r>
      <w:r>
        <w:t>działania były nieuzasadnione, niezgodne z prawem lub nieprawidłowe. Działania funkcjonariuszy policji opierały się w szczególności na art. 1 ust. 2 pkt 2 i</w:t>
      </w:r>
      <w:r w:rsidR="00E359E7">
        <w:t> </w:t>
      </w:r>
      <w:r>
        <w:t>art.</w:t>
      </w:r>
      <w:r w:rsidR="00E359E7">
        <w:t> </w:t>
      </w:r>
      <w:r>
        <w:t xml:space="preserve">14 ust. 1 w związku z art. 15 ust. 1 pkt 1 ustawy o </w:t>
      </w:r>
      <w:r w:rsidR="00D14785">
        <w:t>Policji</w:t>
      </w:r>
      <w:r>
        <w:t xml:space="preserve">. </w:t>
      </w:r>
      <w:r w:rsidR="00D14785">
        <w:t>Rząd u</w:t>
      </w:r>
      <w:r>
        <w:t>trzymywa</w:t>
      </w:r>
      <w:r w:rsidR="00D14785">
        <w:t>ł</w:t>
      </w:r>
      <w:r>
        <w:t xml:space="preserve">, że </w:t>
      </w:r>
      <w:r w:rsidR="00D14785">
        <w:t xml:space="preserve">jego </w:t>
      </w:r>
      <w:r>
        <w:t>zdaniem skarżąca nie została</w:t>
      </w:r>
      <w:r w:rsidR="00D14785">
        <w:t xml:space="preserve"> zatrzymana</w:t>
      </w:r>
      <w:r>
        <w:t>.</w:t>
      </w:r>
    </w:p>
    <w:p w14:paraId="458C95BB" w14:textId="6989F416" w:rsidR="0084030C" w:rsidRPr="00AD4DBD" w:rsidRDefault="00AD4DBD" w:rsidP="00AD4DBD">
      <w:pPr>
        <w:pStyle w:val="JuPara"/>
      </w:pPr>
      <w:bookmarkStart w:id="34" w:name="paragraph00078"/>
      <w:r w:rsidRPr="00AD4DBD">
        <w:t>78</w:t>
      </w:r>
      <w:bookmarkEnd w:id="34"/>
      <w:r w:rsidR="00C232DF">
        <w:t>.</w:t>
      </w:r>
      <w:r w:rsidR="00F35BBD">
        <w:t xml:space="preserve"> </w:t>
      </w:r>
      <w:r w:rsidR="002E03D2">
        <w:t>Rząd p</w:t>
      </w:r>
      <w:r w:rsidR="00C232DF">
        <w:t>odni</w:t>
      </w:r>
      <w:r w:rsidR="002E03D2">
        <w:t xml:space="preserve">ósł </w:t>
      </w:r>
      <w:r w:rsidR="00C232DF">
        <w:t xml:space="preserve">jednak, że </w:t>
      </w:r>
      <w:r w:rsidR="002E03D2">
        <w:t xml:space="preserve">w razie </w:t>
      </w:r>
      <w:r w:rsidR="00C232DF">
        <w:t>gdyby Trybunał uznał, że stan, w</w:t>
      </w:r>
      <w:r w:rsidR="00E359E7">
        <w:t> </w:t>
      </w:r>
      <w:r w:rsidR="00C232DF">
        <w:t xml:space="preserve">jakim znajdowała się skarżąca podczas interwencji policji, stanowił pozbawienie wolności w rozumieniu </w:t>
      </w:r>
      <w:r w:rsidR="00143E7C">
        <w:t>art. 5 ust. 1</w:t>
      </w:r>
      <w:r w:rsidR="00C232DF">
        <w:t xml:space="preserve"> Konwencji, to zgodnie z</w:t>
      </w:r>
      <w:r w:rsidR="00E359E7">
        <w:t> </w:t>
      </w:r>
      <w:r w:rsidR="00143E7C">
        <w:t>art.</w:t>
      </w:r>
      <w:r w:rsidR="00E359E7">
        <w:t> </w:t>
      </w:r>
      <w:r w:rsidR="00143E7C">
        <w:t>5 ust. 1</w:t>
      </w:r>
      <w:r w:rsidR="00C232DF">
        <w:t xml:space="preserve"> </w:t>
      </w:r>
      <w:r w:rsidR="001834E7">
        <w:t>lit. b</w:t>
      </w:r>
      <w:r w:rsidR="00C232DF">
        <w:t xml:space="preserve"> Konwencji dopuszczalne jest zgodne z prawem </w:t>
      </w:r>
      <w:r w:rsidR="00DF16B9">
        <w:t xml:space="preserve">zatrzymanie </w:t>
      </w:r>
      <w:r w:rsidR="00C232DF">
        <w:t xml:space="preserve">lub </w:t>
      </w:r>
      <w:r w:rsidR="00DF16B9">
        <w:t xml:space="preserve">aresztowanie </w:t>
      </w:r>
      <w:r w:rsidR="00C232DF">
        <w:t>osoby z powodu niezastosowania się do</w:t>
      </w:r>
      <w:r w:rsidR="00E359E7">
        <w:t> </w:t>
      </w:r>
      <w:r w:rsidR="00C232DF">
        <w:t xml:space="preserve">zgodnego z prawem </w:t>
      </w:r>
      <w:r w:rsidR="00DF16B9">
        <w:t>orzeczenia</w:t>
      </w:r>
      <w:r w:rsidR="00C232DF">
        <w:t xml:space="preserve"> sądu lub w celu </w:t>
      </w:r>
      <w:r w:rsidR="00DF16B9">
        <w:t>zapewnienia</w:t>
      </w:r>
      <w:r w:rsidR="00C232DF">
        <w:t xml:space="preserve"> wykonania jakiegokolwiek obowiązku </w:t>
      </w:r>
      <w:r w:rsidR="00DF16B9">
        <w:t xml:space="preserve">określonego w ustawie, a także </w:t>
      </w:r>
      <w:r w:rsidR="00C232DF">
        <w:t xml:space="preserve">zgodnie z </w:t>
      </w:r>
      <w:r w:rsidR="00143E7C">
        <w:t xml:space="preserve">art. 5 </w:t>
      </w:r>
      <w:r w:rsidR="00143E7C">
        <w:lastRenderedPageBreak/>
        <w:t>ust. 1</w:t>
      </w:r>
      <w:r w:rsidR="00C232DF">
        <w:t xml:space="preserve"> </w:t>
      </w:r>
      <w:r w:rsidR="001834E7">
        <w:t>lit. c</w:t>
      </w:r>
      <w:r w:rsidR="00C232DF">
        <w:t xml:space="preserve"> Konwencji, gdy jest to </w:t>
      </w:r>
      <w:r w:rsidR="00DF16B9">
        <w:t xml:space="preserve">rozsądnie </w:t>
      </w:r>
      <w:r w:rsidR="00C232DF">
        <w:t>uznane za konieczne w celu zapobieżenia popełnieniu przez nią przestępstwa.</w:t>
      </w:r>
    </w:p>
    <w:p w14:paraId="3D5913F4" w14:textId="336D4EE6" w:rsidR="0084030C" w:rsidRPr="00AD4DBD" w:rsidRDefault="00AD4DBD" w:rsidP="00AD4DBD">
      <w:pPr>
        <w:pStyle w:val="JuPara"/>
      </w:pPr>
      <w:r w:rsidRPr="00AD4DBD">
        <w:t>79</w:t>
      </w:r>
      <w:r>
        <w:t>.</w:t>
      </w:r>
      <w:r w:rsidR="00F35BBD">
        <w:t xml:space="preserve"> </w:t>
      </w:r>
      <w:r>
        <w:t>Skarżąca, wraz z kilkoma innymi uczestnikami kontrdemonstracji, usiadła na ziemi po tym, jak została otoczona kordonem policji. Rząd podzielił pogląd sądu krajowego, że takiego zachowania nie można uznać za</w:t>
      </w:r>
      <w:r w:rsidR="00E359E7">
        <w:t> </w:t>
      </w:r>
      <w:r>
        <w:t xml:space="preserve">nic innego, jak celowe utrudnianie legalnego zgromadzenia, które odbywało się w pobliżu. Zachowanie skarżącej i innych kontrdemonstrantów opóźniło i utrudniło planowany przemarsz zgromadzenia cyklicznego. Skarżąca nie zastosowała się do poleceń policji. Ze względu na brak reakcji ze strony osób blokujących planowaną trasę legalnego zgromadzenia podjęto kroki w celu jej odblokowania. Działania te polegały na przeniesieniu osób blokujących zgromadzenie </w:t>
      </w:r>
      <w:r w:rsidR="00B44D64">
        <w:t xml:space="preserve">cykliczne </w:t>
      </w:r>
      <w:r>
        <w:t>w bezpieczne miejsce w celu identyfikacji. Środki policyjne zostały podjęte zgodnie z art. 1 ust. 2 pkt 2 i</w:t>
      </w:r>
      <w:r w:rsidR="00A13522">
        <w:t> </w:t>
      </w:r>
      <w:r>
        <w:t xml:space="preserve">art. 14 ust. 1 w związku z art. 15 ust. 1 pkt 1 ustawy o </w:t>
      </w:r>
      <w:r w:rsidR="00B44D64">
        <w:t xml:space="preserve">Policji </w:t>
      </w:r>
      <w:r>
        <w:t>i były stosowane stopniowo. Policja, zdając sobie sprawę, że celem członków nielegalnego zgromadzenia było zakłócenie zgromadzenia cyklicznego, postanowiła ich przenieść w inne miejsce. Przeniesienie nie miało charakteru karnego, ale miało na celu zapobieganie zakłóceniom porządku poprzez zabezpieczenie praw wszystkich uczestników zgromadzeń (zarówno zgromadzenia cyklicznego, jak i kontrmanifestacji).</w:t>
      </w:r>
    </w:p>
    <w:p w14:paraId="1D5F5C7F" w14:textId="44F473CC" w:rsidR="0084030C" w:rsidRPr="00AD4DBD" w:rsidRDefault="00AD4DBD" w:rsidP="00AD4DBD">
      <w:pPr>
        <w:pStyle w:val="JuPara"/>
      </w:pPr>
      <w:r w:rsidRPr="00AD4DBD">
        <w:t>80</w:t>
      </w:r>
      <w:r>
        <w:t>.</w:t>
      </w:r>
      <w:r w:rsidR="00F35BBD">
        <w:t xml:space="preserve"> </w:t>
      </w:r>
      <w:r>
        <w:t>Działania policji sprawiły, że zgromadzenie</w:t>
      </w:r>
      <w:r w:rsidR="00B44D64">
        <w:t xml:space="preserve"> cykliczne</w:t>
      </w:r>
      <w:r>
        <w:t xml:space="preserve"> mogło się odbyć, ale jednocześnie kontrdemonstranci nie zostali pozbawieni prawa do</w:t>
      </w:r>
      <w:r w:rsidR="00A13522">
        <w:t> </w:t>
      </w:r>
      <w:r>
        <w:t>pokojowego gromadzenia się i wyrażania swoich poglądów. Mieli oni prawo do zorganizowania pokojowej demonstracji w dowolnym miejscu poza trasą, którą planowało przemaszerować zgromadzenie cykliczne.</w:t>
      </w:r>
    </w:p>
    <w:p w14:paraId="6E6C3A58" w14:textId="14F30F56" w:rsidR="0084030C" w:rsidRPr="00AD4DBD" w:rsidRDefault="00AD4DBD" w:rsidP="00AD4DBD">
      <w:pPr>
        <w:pStyle w:val="JuPara"/>
      </w:pPr>
      <w:bookmarkStart w:id="35" w:name="paragraph00081"/>
      <w:r w:rsidRPr="00AD4DBD">
        <w:t>81</w:t>
      </w:r>
      <w:bookmarkEnd w:id="35"/>
      <w:r w:rsidR="00C232DF">
        <w:t>.</w:t>
      </w:r>
      <w:r w:rsidR="00F35BBD">
        <w:t xml:space="preserve"> </w:t>
      </w:r>
      <w:r w:rsidR="00C232DF">
        <w:t>W odniesieniu do tymczasowej sytuacji, w której skarżącej uniemożliwiono swobodne poruszanie się, zdaniem Rządu było to</w:t>
      </w:r>
      <w:r w:rsidR="00A13522">
        <w:t> </w:t>
      </w:r>
      <w:r w:rsidR="00C232DF">
        <w:t>uzasadnione potrzebą ustalenia jej tożsamości</w:t>
      </w:r>
      <w:r w:rsidR="00B515E2">
        <w:t>,</w:t>
      </w:r>
      <w:r w:rsidR="00C232DF">
        <w:t xml:space="preserve"> i opierało się na </w:t>
      </w:r>
      <w:r w:rsidR="00B515E2">
        <w:t xml:space="preserve">art. </w:t>
      </w:r>
      <w:r w:rsidR="00C232DF">
        <w:t>15 ust.</w:t>
      </w:r>
      <w:r w:rsidR="00A13522">
        <w:t> </w:t>
      </w:r>
      <w:r w:rsidR="00C232DF">
        <w:t xml:space="preserve">1 pkt 1 ustawy o </w:t>
      </w:r>
      <w:r w:rsidR="00B515E2">
        <w:t>Policji</w:t>
      </w:r>
      <w:r w:rsidR="00C232DF">
        <w:t>. Czynności zakończyły się z chwilą wypełnienia odpowiedniego zobowiązania. Czas trwania tej sytuacji został przedłużony z</w:t>
      </w:r>
      <w:r w:rsidR="00A13522">
        <w:t> </w:t>
      </w:r>
      <w:r w:rsidR="00C232DF">
        <w:t>przyczyn obiektywnych, takich jak konieczność przeprowadzenia kontroli w odpowiednich policyjnych bazach danych, duża liczba takich kontroli, które miały być przeprowadzone w tym samym czasie</w:t>
      </w:r>
      <w:r w:rsidR="00B515E2">
        <w:t>,</w:t>
      </w:r>
      <w:r w:rsidR="00C232DF">
        <w:t xml:space="preserve"> oraz utrudnianie tego procesu przez inne osoby wspierające protestujących. Władze zaczęły wówczas stosować nową ustawę o zgromadzeniach publicznych, która weszła w życie w kwietniu 2017 r., a liczba uczestników kontrdemonstracji (którzy nie zastosowali się do polecenia policji i usiedli na ulicy zamiast opuścić trasę legalnego zgromadzenia) była znaczna. Wszystkie te czynniki miały wpływ na długość procesu ustalania tożsamości.</w:t>
      </w:r>
    </w:p>
    <w:p w14:paraId="49072360" w14:textId="5B45E967" w:rsidR="0084030C" w:rsidRPr="00AD4DBD" w:rsidRDefault="00AD4DBD" w:rsidP="00AD4DBD">
      <w:pPr>
        <w:pStyle w:val="JuPara"/>
      </w:pPr>
      <w:r w:rsidRPr="00AD4DBD">
        <w:t>82</w:t>
      </w:r>
      <w:r>
        <w:t>.</w:t>
      </w:r>
      <w:r w:rsidR="00F35BBD">
        <w:t xml:space="preserve"> </w:t>
      </w:r>
      <w:r>
        <w:t xml:space="preserve">Rząd twierdził, że nawet jeśli Trybunał uzna, że skarżąca została pozbawiona wolności w rozumieniu </w:t>
      </w:r>
      <w:r w:rsidR="00143E7C">
        <w:t>art. 5 ust. 1</w:t>
      </w:r>
      <w:r>
        <w:t xml:space="preserve"> Konwencji, pozbawienie wolności było proporcjonalne i zachowano należytą równowagę między znaczeniem w społeczeństwie demokratycznym za</w:t>
      </w:r>
      <w:r w:rsidR="00B515E2">
        <w:t>pewnienia</w:t>
      </w:r>
      <w:r>
        <w:t xml:space="preserve"> natychmiastowego wypełnienia obowiązku </w:t>
      </w:r>
      <w:r w:rsidR="00B515E2">
        <w:t xml:space="preserve">określonego w ustawie </w:t>
      </w:r>
      <w:r>
        <w:t xml:space="preserve">a prawem </w:t>
      </w:r>
      <w:r>
        <w:lastRenderedPageBreak/>
        <w:t xml:space="preserve">skarżącej do wolności. W tym kontekście </w:t>
      </w:r>
      <w:r w:rsidR="00B515E2">
        <w:t>R</w:t>
      </w:r>
      <w:r>
        <w:t xml:space="preserve">ząd </w:t>
      </w:r>
      <w:r w:rsidR="00C626B3">
        <w:t xml:space="preserve">odniósł się do sprawy </w:t>
      </w:r>
      <w:r>
        <w:rPr>
          <w:i/>
        </w:rPr>
        <w:t xml:space="preserve">Ostendorf przeciwko Niemcom </w:t>
      </w:r>
      <w:r>
        <w:t>(nr 15598/08, 7 marca 2013 r.).</w:t>
      </w:r>
    </w:p>
    <w:p w14:paraId="31E4F8CF" w14:textId="178962CD" w:rsidR="0084030C" w:rsidRPr="00AD4DBD" w:rsidRDefault="00AD4DBD" w:rsidP="00AD4DBD">
      <w:pPr>
        <w:pStyle w:val="JuPara"/>
      </w:pPr>
      <w:bookmarkStart w:id="36" w:name="paragraph00083"/>
      <w:r w:rsidRPr="00AD4DBD">
        <w:t>83</w:t>
      </w:r>
      <w:bookmarkEnd w:id="36"/>
      <w:r w:rsidR="00C232DF">
        <w:t>.</w:t>
      </w:r>
      <w:r w:rsidR="00F35BBD">
        <w:t xml:space="preserve"> </w:t>
      </w:r>
      <w:r w:rsidR="00C232DF">
        <w:t xml:space="preserve">Wreszcie Rząd utrzymywał, że wszystkie działania podjęte przez policję w stosunku do skarżącej były uzasadnione na podstawie drugiego członu </w:t>
      </w:r>
      <w:r w:rsidR="00143E7C">
        <w:t>art.</w:t>
      </w:r>
      <w:r w:rsidR="00C232DF">
        <w:t xml:space="preserve"> 5 </w:t>
      </w:r>
      <w:r w:rsidR="00143E7C">
        <w:t>ust.</w:t>
      </w:r>
      <w:r w:rsidR="00C232DF">
        <w:t xml:space="preserve"> 1 </w:t>
      </w:r>
      <w:r w:rsidR="00143E7C">
        <w:t xml:space="preserve">lit. </w:t>
      </w:r>
      <w:r w:rsidR="00C232DF">
        <w:t xml:space="preserve">b Konwencji i zwrócił się do Trybunału o stwierdzenie, że w niniejszej sprawie nie doszło do naruszenia </w:t>
      </w:r>
      <w:r w:rsidR="00143E7C">
        <w:t>art.</w:t>
      </w:r>
      <w:r w:rsidR="00C232DF">
        <w:t xml:space="preserve"> 5 </w:t>
      </w:r>
      <w:r w:rsidR="00143E7C">
        <w:t>ust.</w:t>
      </w:r>
      <w:r w:rsidR="00C232DF">
        <w:t xml:space="preserve"> 1 Konwencji.</w:t>
      </w:r>
    </w:p>
    <w:p w14:paraId="3829FC5C" w14:textId="75DCA13C" w:rsidR="0084030C" w:rsidRPr="00AD4DBD" w:rsidRDefault="000C0E98" w:rsidP="00AD4DBD">
      <w:pPr>
        <w:pStyle w:val="JuH1"/>
      </w:pPr>
      <w:r>
        <w:t>Składające interwencję strony trzecie</w:t>
      </w:r>
    </w:p>
    <w:p w14:paraId="3DC3231F" w14:textId="2C226EB6" w:rsidR="0084030C" w:rsidRPr="00AD4DBD" w:rsidRDefault="00AD4DBD" w:rsidP="00AD4DBD">
      <w:pPr>
        <w:pStyle w:val="JuPara"/>
      </w:pPr>
      <w:r w:rsidRPr="00AD4DBD">
        <w:t>84</w:t>
      </w:r>
      <w:r>
        <w:t>.</w:t>
      </w:r>
      <w:r w:rsidR="00F35BBD">
        <w:t xml:space="preserve"> </w:t>
      </w:r>
      <w:r>
        <w:t xml:space="preserve">Helsińska Fundacja Praw Człowieka </w:t>
      </w:r>
      <w:r w:rsidR="000C0E98">
        <w:t>przedło</w:t>
      </w:r>
      <w:r>
        <w:t>żyła następujące</w:t>
      </w:r>
      <w:r w:rsidR="000C0E98">
        <w:t xml:space="preserve"> oświadczenia</w:t>
      </w:r>
      <w:r>
        <w:t>.</w:t>
      </w:r>
    </w:p>
    <w:p w14:paraId="022743F7" w14:textId="5554AB3C" w:rsidR="0084030C" w:rsidRPr="00AD4DBD" w:rsidRDefault="00AD4DBD" w:rsidP="00AD4DBD">
      <w:pPr>
        <w:pStyle w:val="JuPara"/>
      </w:pPr>
      <w:r w:rsidRPr="00AD4DBD">
        <w:t>85</w:t>
      </w:r>
      <w:r>
        <w:t>.</w:t>
      </w:r>
      <w:r w:rsidR="00F35BBD">
        <w:t xml:space="preserve"> </w:t>
      </w:r>
      <w:r>
        <w:t>Nowelizacja ustawy o zgromadzeniach z 2016 r. umożliwiła niektórym zgromadzeniom odbywającym się okresowo ubieganie się o zezwolenie na</w:t>
      </w:r>
      <w:r w:rsidR="00A13522">
        <w:t> </w:t>
      </w:r>
      <w:r>
        <w:t>organizację zgromadzeń cyklicznych. Główną korzyścią z posiadania takiej zgody było uzyskanie pierwszeństwa przed innymi zgromadzeniami, które nie mogły być organizowane w tym samym miejscu i czasie co</w:t>
      </w:r>
      <w:r w:rsidR="00A13522">
        <w:t> </w:t>
      </w:r>
      <w:r>
        <w:t>zgromadzenia cykliczne. Dotyczyło to nawet zwykłych zgromadzeń, które zostały zaplanowane przed zgromadzeniem cyklicznym.</w:t>
      </w:r>
    </w:p>
    <w:p w14:paraId="37671D31" w14:textId="4AB9CEB8" w:rsidR="0084030C" w:rsidRPr="00AD4DBD" w:rsidRDefault="00AD4DBD" w:rsidP="00AD4DBD">
      <w:pPr>
        <w:pStyle w:val="JuPara"/>
      </w:pPr>
      <w:r w:rsidRPr="00AD4DBD">
        <w:t>86</w:t>
      </w:r>
      <w:r>
        <w:t>.</w:t>
      </w:r>
      <w:r w:rsidR="00F35BBD">
        <w:t xml:space="preserve"> </w:t>
      </w:r>
      <w:r>
        <w:t>Koncepcja zgromadzeń cyklicznych była kontrowersyjna wśród niektórych ekspertów i części społeczeństwa obywatelskiego, którzy postrzegali ją jako nieuzasadnione preferencyjne traktowanie niektórych rodzajów zgromadzeń i nieproporcjonalne ograniczenie prawa do</w:t>
      </w:r>
      <w:r w:rsidR="00A13522">
        <w:t> </w:t>
      </w:r>
      <w:r>
        <w:t>organizowania kontrdemonstracji.</w:t>
      </w:r>
    </w:p>
    <w:p w14:paraId="09D7BF11" w14:textId="5BDF6F10" w:rsidR="0084030C" w:rsidRPr="00AD4DBD" w:rsidRDefault="00AD4DBD" w:rsidP="00AD4DBD">
      <w:pPr>
        <w:pStyle w:val="JuPara"/>
      </w:pPr>
      <w:bookmarkStart w:id="37" w:name="paragraph00087"/>
      <w:r w:rsidRPr="00AD4DBD">
        <w:t>87</w:t>
      </w:r>
      <w:bookmarkEnd w:id="37"/>
      <w:r w:rsidR="00C232DF">
        <w:t>.</w:t>
      </w:r>
      <w:r w:rsidR="00F35BBD">
        <w:t xml:space="preserve"> </w:t>
      </w:r>
      <w:r w:rsidR="00C232DF">
        <w:t>Polski Rzecznik Praw Obywatelskich twierdził, że przepisy dotyczące zgromadzeń cyklicznych doprowadziły do nieu</w:t>
      </w:r>
      <w:r w:rsidR="007E3137">
        <w:t>prawnionego</w:t>
      </w:r>
      <w:r w:rsidR="00C232DF">
        <w:t xml:space="preserve"> rozróżnienia między jednostkami </w:t>
      </w:r>
      <w:r w:rsidR="000C0E98">
        <w:t>i</w:t>
      </w:r>
      <w:r w:rsidR="00C232DF">
        <w:t xml:space="preserve"> niektórymi grupami osób w odniesieniu do prawa do</w:t>
      </w:r>
      <w:r w:rsidR="00A13522">
        <w:t> </w:t>
      </w:r>
      <w:r w:rsidR="00C232DF">
        <w:t>wolności zgromadzeń. Nowe prawo wskazywało, że władze krajowe chciały dać pierwszeństwo zgromadzeniom, które same zorganizowały lub</w:t>
      </w:r>
      <w:r w:rsidR="004974AF">
        <w:t> </w:t>
      </w:r>
      <w:r w:rsidR="00C232DF">
        <w:t>które zostały zorganizowane przez grupy osób wspieranych przez władze.</w:t>
      </w:r>
    </w:p>
    <w:p w14:paraId="34C9A6A0" w14:textId="77777777" w:rsidR="0084030C" w:rsidRPr="00AD4DBD" w:rsidRDefault="00C232DF" w:rsidP="00AD4DBD">
      <w:pPr>
        <w:pStyle w:val="JuH1"/>
      </w:pPr>
      <w:r>
        <w:t>Ocena Trybunału</w:t>
      </w:r>
    </w:p>
    <w:p w14:paraId="370A0B7D" w14:textId="77777777" w:rsidR="0084030C" w:rsidRPr="00AD4DBD" w:rsidRDefault="00C232DF" w:rsidP="00AD4DBD">
      <w:pPr>
        <w:pStyle w:val="JuHa0"/>
      </w:pPr>
      <w:r>
        <w:t>Zasady ogólne</w:t>
      </w:r>
    </w:p>
    <w:p w14:paraId="17677934" w14:textId="42C5603E" w:rsidR="0084030C" w:rsidRPr="00AD4DBD" w:rsidRDefault="00AD4DBD" w:rsidP="00AD4DBD">
      <w:pPr>
        <w:pStyle w:val="JuPara"/>
        <w:rPr>
          <w:rFonts w:ascii="Times New Roman" w:hAnsi="Times New Roman" w:cs="Times New Roman"/>
        </w:rPr>
      </w:pPr>
      <w:r w:rsidRPr="00AD4DBD">
        <w:rPr>
          <w:rFonts w:ascii="Times New Roman" w:hAnsi="Times New Roman" w:cs="Times New Roman"/>
        </w:rPr>
        <w:t>88</w:t>
      </w:r>
      <w:r w:rsidR="00C232DF">
        <w:rPr>
          <w:rFonts w:ascii="Times New Roman" w:hAnsi="Times New Roman"/>
        </w:rPr>
        <w:t>.</w:t>
      </w:r>
      <w:r w:rsidR="00F35BBD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 xml:space="preserve">Trybunał powtarza, że </w:t>
      </w:r>
      <w:r w:rsidR="00143E7C">
        <w:rPr>
          <w:rFonts w:ascii="Times New Roman" w:hAnsi="Times New Roman"/>
        </w:rPr>
        <w:t>art.</w:t>
      </w:r>
      <w:r w:rsidR="00C232DF">
        <w:rPr>
          <w:rFonts w:ascii="Times New Roman" w:hAnsi="Times New Roman"/>
        </w:rPr>
        <w:t xml:space="preserve"> 5 Konwencji gwarantuje prawo o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podstawowym znaczeniu w „społeczeństwie demokratycznym” w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rozumieniu Konwencji, a mianowicie podstawowe prawo do wolności i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bezpieczeństwa osobistego. Art</w:t>
      </w:r>
      <w:r w:rsidR="00143E7C">
        <w:rPr>
          <w:rFonts w:ascii="Times New Roman" w:hAnsi="Times New Roman"/>
        </w:rPr>
        <w:t>.</w:t>
      </w:r>
      <w:r w:rsidR="00C232DF">
        <w:rPr>
          <w:rFonts w:ascii="Times New Roman" w:hAnsi="Times New Roman"/>
        </w:rPr>
        <w:t xml:space="preserve"> 5 Konwencji, wraz z artykułami 2, 3 i 4, znajduje się na pierwszym miejscu wśród praw podstawowych, które chronią bezpieczeństwo fizyczne jednostki</w:t>
      </w:r>
      <w:r w:rsidR="000C0E98">
        <w:rPr>
          <w:rFonts w:ascii="Times New Roman" w:hAnsi="Times New Roman"/>
        </w:rPr>
        <w:t>,</w:t>
      </w:r>
      <w:r w:rsidR="00C232DF">
        <w:rPr>
          <w:rFonts w:ascii="Times New Roman" w:hAnsi="Times New Roman"/>
        </w:rPr>
        <w:t xml:space="preserve"> i jako taki ma pierwszorzędne znaczenie. Jego kluczowym celem jest zapobieganie arbitralnemu lub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 xml:space="preserve">nieuzasadnionemu pozbawieniu wolności (zob. </w:t>
      </w:r>
      <w:r w:rsidR="00C232DF">
        <w:rPr>
          <w:rFonts w:ascii="Times New Roman" w:hAnsi="Times New Roman"/>
          <w:i/>
        </w:rPr>
        <w:t>Selahattin Demirtaş przeciwko</w:t>
      </w:r>
      <w:r w:rsidR="00D34971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  <w:i/>
        </w:rPr>
        <w:t>Turcji (nr</w:t>
      </w:r>
      <w:r w:rsidR="00C232DF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  <w:i/>
        </w:rPr>
        <w:t>2)</w:t>
      </w:r>
      <w:r w:rsidR="00C232DF">
        <w:rPr>
          <w:rFonts w:ascii="Times New Roman" w:hAnsi="Times New Roman"/>
        </w:rPr>
        <w:t xml:space="preserve"> [</w:t>
      </w:r>
      <w:r w:rsidR="001834E7">
        <w:rPr>
          <w:rFonts w:ascii="Times New Roman" w:hAnsi="Times New Roman"/>
        </w:rPr>
        <w:t>WI</w:t>
      </w:r>
      <w:r w:rsidR="00C232DF">
        <w:rPr>
          <w:rFonts w:ascii="Times New Roman" w:hAnsi="Times New Roman"/>
        </w:rPr>
        <w:t>], nr 14305/17, § 311, 22 grudnia 2020 r., oraz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  <w:i/>
        </w:rPr>
        <w:t xml:space="preserve">Denis i Irvine przeciwko Belgii </w:t>
      </w:r>
      <w:r w:rsidR="00C232DF">
        <w:rPr>
          <w:rFonts w:ascii="Times New Roman" w:hAnsi="Times New Roman"/>
        </w:rPr>
        <w:t>[</w:t>
      </w:r>
      <w:r w:rsidR="001834E7">
        <w:rPr>
          <w:rFonts w:ascii="Times New Roman" w:hAnsi="Times New Roman"/>
        </w:rPr>
        <w:t>WI</w:t>
      </w:r>
      <w:r w:rsidR="00C232DF">
        <w:rPr>
          <w:rFonts w:ascii="Times New Roman" w:hAnsi="Times New Roman"/>
        </w:rPr>
        <w:t>], nr</w:t>
      </w:r>
      <w:r w:rsidR="00F35BBD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>62819/17 i 63921/17, § 123, 1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czerwca 2021 r.).</w:t>
      </w:r>
    </w:p>
    <w:p w14:paraId="77A17B9B" w14:textId="5373A2D0" w:rsidR="0084030C" w:rsidRPr="00AD4DBD" w:rsidRDefault="00AD4DBD" w:rsidP="00AD4DBD">
      <w:pPr>
        <w:pStyle w:val="JuPara"/>
        <w:rPr>
          <w:rFonts w:ascii="Times New Roman" w:hAnsi="Times New Roman" w:cs="Times New Roman"/>
        </w:rPr>
      </w:pPr>
      <w:r w:rsidRPr="00AD4DBD">
        <w:rPr>
          <w:rFonts w:ascii="Times New Roman" w:hAnsi="Times New Roman" w:cs="Times New Roman"/>
        </w:rPr>
        <w:lastRenderedPageBreak/>
        <w:t>89</w:t>
      </w:r>
      <w:r w:rsidR="00C232DF">
        <w:rPr>
          <w:rFonts w:ascii="Times New Roman" w:hAnsi="Times New Roman"/>
        </w:rPr>
        <w:t>.</w:t>
      </w:r>
      <w:r w:rsidR="00F35BBD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>Wszystkie osoby są uprawnione do ochrony tego prawa, to znaczy do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 xml:space="preserve">tego, aby nie być pozbawionym lub nie być nadal pozbawianym wolności, z wyjątkiem przypadków określonych w art. 5 </w:t>
      </w:r>
      <w:r w:rsidR="00D21160">
        <w:rPr>
          <w:rFonts w:ascii="Times New Roman" w:hAnsi="Times New Roman"/>
        </w:rPr>
        <w:t xml:space="preserve">ust. 1 </w:t>
      </w:r>
      <w:r w:rsidR="00C232DF">
        <w:rPr>
          <w:rFonts w:ascii="Times New Roman" w:hAnsi="Times New Roman"/>
        </w:rPr>
        <w:t>Konwencji. W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orzecznictwie Trybunału można zidentyfikować w szczególności trzy wątki rozumowania: wyczerpujący charakter wyjątków, które muszą być interpretowane ściśle i które nie pozwalają na szeroki zakres uzasadnień na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podstawie innych przepisów (w szczególności art. 8</w:t>
      </w:r>
      <w:r w:rsidR="00F011A6">
        <w:rPr>
          <w:rFonts w:ascii="Times New Roman" w:hAnsi="Times New Roman"/>
        </w:rPr>
        <w:t>–</w:t>
      </w:r>
      <w:r w:rsidR="00C232DF">
        <w:rPr>
          <w:rFonts w:ascii="Times New Roman" w:hAnsi="Times New Roman"/>
        </w:rPr>
        <w:t xml:space="preserve">11 Konwencji); powtarzający się nacisk na zgodność z prawem </w:t>
      </w:r>
      <w:r w:rsidR="00D21160">
        <w:rPr>
          <w:rFonts w:ascii="Times New Roman" w:hAnsi="Times New Roman"/>
        </w:rPr>
        <w:t>pozbawienia wolności</w:t>
      </w:r>
      <w:r w:rsidR="00C232DF">
        <w:rPr>
          <w:rFonts w:ascii="Times New Roman" w:hAnsi="Times New Roman"/>
        </w:rPr>
        <w:t>, zarówno proceduralną, jak i materialną, wymagającą skrupulatnego przestrzegania rządów prawa; oraz znaczenie szybkości lub szybkości wymaganych kontroli sądowych (ibid., § 312).</w:t>
      </w:r>
    </w:p>
    <w:p w14:paraId="090FE099" w14:textId="71D2AD17" w:rsidR="0084030C" w:rsidRPr="00AD4DBD" w:rsidRDefault="00AD4DBD" w:rsidP="00AD4DBD">
      <w:pPr>
        <w:pStyle w:val="JuPara"/>
        <w:rPr>
          <w:rFonts w:ascii="Times New Roman" w:hAnsi="Times New Roman" w:cs="Times New Roman"/>
        </w:rPr>
      </w:pPr>
      <w:bookmarkStart w:id="38" w:name="paragraph00090"/>
      <w:r w:rsidRPr="00AD4DBD">
        <w:rPr>
          <w:rFonts w:ascii="Times New Roman" w:hAnsi="Times New Roman" w:cs="Times New Roman"/>
        </w:rPr>
        <w:t>90</w:t>
      </w:r>
      <w:bookmarkEnd w:id="38"/>
      <w:r w:rsidR="00C232DF">
        <w:rPr>
          <w:rFonts w:ascii="Times New Roman" w:hAnsi="Times New Roman"/>
        </w:rPr>
        <w:t>.</w:t>
      </w:r>
      <w:r w:rsidR="00F35BBD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 xml:space="preserve">Każde pozbawienie wolności musi, oprócz tego, że wchodzi w zakres jednego z wyjątków określonych w </w:t>
      </w:r>
      <w:r w:rsidR="00143E7C">
        <w:rPr>
          <w:rFonts w:ascii="Times New Roman" w:hAnsi="Times New Roman"/>
        </w:rPr>
        <w:t>art. 5 ust. 1</w:t>
      </w:r>
      <w:r w:rsidR="00C232DF">
        <w:rPr>
          <w:rFonts w:ascii="Times New Roman" w:hAnsi="Times New Roman"/>
        </w:rPr>
        <w:t xml:space="preserve"> lit. a</w:t>
      </w:r>
      <w:r w:rsidR="00D90889">
        <w:rPr>
          <w:rFonts w:ascii="Times New Roman" w:hAnsi="Times New Roman"/>
        </w:rPr>
        <w:t>–</w:t>
      </w:r>
      <w:r w:rsidR="00C232DF">
        <w:rPr>
          <w:rFonts w:ascii="Times New Roman" w:hAnsi="Times New Roman"/>
        </w:rPr>
        <w:t>f, być „zgodne z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 xml:space="preserve">prawem”. W każdym przypadku, gdzie chodzi o „zgodność z prawem” </w:t>
      </w:r>
      <w:r w:rsidR="00D21160">
        <w:rPr>
          <w:rFonts w:ascii="Times New Roman" w:hAnsi="Times New Roman"/>
        </w:rPr>
        <w:t>pozbawienia wolności</w:t>
      </w:r>
      <w:r w:rsidR="00C232DF">
        <w:rPr>
          <w:rFonts w:ascii="Times New Roman" w:hAnsi="Times New Roman"/>
        </w:rPr>
        <w:t>, w tym o to, czy zastosowano „</w:t>
      </w:r>
      <w:r w:rsidR="00D21160">
        <w:rPr>
          <w:rFonts w:ascii="Times New Roman" w:hAnsi="Times New Roman"/>
        </w:rPr>
        <w:t>tryb ustalony</w:t>
      </w:r>
      <w:r w:rsidR="00C232DF">
        <w:rPr>
          <w:rFonts w:ascii="Times New Roman" w:hAnsi="Times New Roman"/>
        </w:rPr>
        <w:t xml:space="preserve"> przez prawo”, Konwencja odnosi się zasadniczo do prawa krajowego i ustanawia obowiązek przestrzegania materialnych i proceduralnych zasad tego prawa (zob. </w:t>
      </w:r>
      <w:r w:rsidR="00C232DF">
        <w:rPr>
          <w:rFonts w:ascii="Times New Roman" w:hAnsi="Times New Roman"/>
          <w:i/>
        </w:rPr>
        <w:t>Denis i Irvine</w:t>
      </w:r>
      <w:r w:rsidR="00C232DF">
        <w:rPr>
          <w:rFonts w:ascii="Times New Roman" w:hAnsi="Times New Roman"/>
        </w:rPr>
        <w:t>, cyt. powyżej, § 125).</w:t>
      </w:r>
    </w:p>
    <w:p w14:paraId="412807A7" w14:textId="0E335B00" w:rsidR="0084030C" w:rsidRPr="00AD4DBD" w:rsidRDefault="00AD4DBD" w:rsidP="00AD4DBD">
      <w:pPr>
        <w:pStyle w:val="JuPara"/>
      </w:pPr>
      <w:r w:rsidRPr="00AD4DBD">
        <w:rPr>
          <w:rFonts w:ascii="Times New Roman" w:hAnsi="Times New Roman" w:cs="Times New Roman"/>
        </w:rPr>
        <w:t>91</w:t>
      </w:r>
      <w:r w:rsidR="00C232DF">
        <w:rPr>
          <w:rFonts w:ascii="Times New Roman" w:hAnsi="Times New Roman"/>
        </w:rPr>
        <w:t>.</w:t>
      </w:r>
      <w:r w:rsidR="00F35BBD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>Stanowiąc, że każde pozbawienie wolności musi być przeprowadzone „</w:t>
      </w:r>
      <w:r w:rsidR="00AA769F">
        <w:rPr>
          <w:rFonts w:ascii="Times New Roman" w:hAnsi="Times New Roman"/>
        </w:rPr>
        <w:t>w trybie ustalonym przez prawo</w:t>
      </w:r>
      <w:r w:rsidR="00C232DF">
        <w:rPr>
          <w:rFonts w:ascii="Times New Roman" w:hAnsi="Times New Roman"/>
        </w:rPr>
        <w:t xml:space="preserve">”, </w:t>
      </w:r>
      <w:r w:rsidR="00143E7C">
        <w:rPr>
          <w:rFonts w:ascii="Times New Roman" w:hAnsi="Times New Roman"/>
        </w:rPr>
        <w:t>art. 5 ust. 1</w:t>
      </w:r>
      <w:r w:rsidR="00C232DF">
        <w:rPr>
          <w:rFonts w:ascii="Times New Roman" w:hAnsi="Times New Roman"/>
        </w:rPr>
        <w:t xml:space="preserve"> wymaga przede wszystkim, aby każde zatrzymanie lub aresztowanie miało podstawę prawną w prawie krajowym. Słowa te nie odnoszą się jednak wyłącznie do prawa krajowego. Odnoszą się one również do jakości prawa, wymagając, aby było ono zgodne z zasadą rządów prawa, koncepcją nieodłącznie związaną ze wszystkimi artykułami Konwencji. W tej ostatniej kwestii Trybunał podkreśl</w:t>
      </w:r>
      <w:r w:rsidR="00AA769F">
        <w:rPr>
          <w:rFonts w:ascii="Times New Roman" w:hAnsi="Times New Roman"/>
        </w:rPr>
        <w:t>a</w:t>
      </w:r>
      <w:r w:rsidR="00C232DF">
        <w:rPr>
          <w:rFonts w:ascii="Times New Roman" w:hAnsi="Times New Roman"/>
        </w:rPr>
        <w:t>, że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w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przypadku pozbawienia wolności szczególnie ważne jest spełnienie ogólnej zasady pewności prawa. W związku z tym istotne jest, aby warunki pozbawienia wolności na mocy prawa krajowego były jasno określone, a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samo prawo było przewidywalne w jego stosowaniu, tak aby spełniało standard „zgodności z prawem” określony w Konwencji, który wymaga, aby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 xml:space="preserve">całe prawo było wystarczająco precyzyjne, w celu umożliwienia danej osobie </w:t>
      </w:r>
      <w:r w:rsidR="00AA769F">
        <w:rPr>
          <w:rFonts w:ascii="Times New Roman" w:hAnsi="Times New Roman"/>
        </w:rPr>
        <w:t>–</w:t>
      </w:r>
      <w:r w:rsidR="00C232DF">
        <w:rPr>
          <w:rFonts w:ascii="Times New Roman" w:hAnsi="Times New Roman"/>
        </w:rPr>
        <w:t xml:space="preserve"> w razie potrzeby z odpowiednim doradztwem </w:t>
      </w:r>
      <w:r w:rsidR="00AA769F">
        <w:rPr>
          <w:rFonts w:ascii="Times New Roman" w:hAnsi="Times New Roman"/>
        </w:rPr>
        <w:t>–</w:t>
      </w:r>
      <w:r w:rsidR="00C232DF">
        <w:rPr>
          <w:rFonts w:ascii="Times New Roman" w:hAnsi="Times New Roman"/>
        </w:rPr>
        <w:t xml:space="preserve"> przewidzenia konsekwencji, jakie dane działanie może za sobą pociągnąć (zob. </w:t>
      </w:r>
      <w:r w:rsidR="00C232DF">
        <w:rPr>
          <w:rFonts w:ascii="Times New Roman" w:hAnsi="Times New Roman"/>
          <w:i/>
          <w:iCs/>
        </w:rPr>
        <w:t>Khlaifia i</w:t>
      </w:r>
      <w:r w:rsidR="00A13522">
        <w:rPr>
          <w:rFonts w:ascii="Times New Roman" w:hAnsi="Times New Roman"/>
          <w:i/>
          <w:iCs/>
        </w:rPr>
        <w:t> </w:t>
      </w:r>
      <w:r w:rsidR="00C232DF">
        <w:rPr>
          <w:rFonts w:ascii="Times New Roman" w:hAnsi="Times New Roman"/>
          <w:i/>
          <w:iCs/>
        </w:rPr>
        <w:t>Inni</w:t>
      </w:r>
      <w:r w:rsidR="00C232DF">
        <w:rPr>
          <w:rFonts w:ascii="Times New Roman" w:hAnsi="Times New Roman"/>
        </w:rPr>
        <w:t>, op. cit., §§ 91</w:t>
      </w:r>
      <w:r w:rsidR="00F011A6">
        <w:rPr>
          <w:rFonts w:ascii="Times New Roman" w:hAnsi="Times New Roman"/>
        </w:rPr>
        <w:t>–</w:t>
      </w:r>
      <w:r w:rsidR="00C232DF">
        <w:rPr>
          <w:rFonts w:ascii="Times New Roman" w:hAnsi="Times New Roman"/>
        </w:rPr>
        <w:t xml:space="preserve">92; </w:t>
      </w:r>
      <w:r w:rsidR="00C232DF">
        <w:rPr>
          <w:rFonts w:ascii="Times New Roman" w:hAnsi="Times New Roman"/>
          <w:i/>
          <w:iCs/>
        </w:rPr>
        <w:t>Del Río Prada przeciwko Hiszpanii</w:t>
      </w:r>
      <w:r w:rsidR="00C232DF">
        <w:rPr>
          <w:rFonts w:ascii="Times New Roman" w:hAnsi="Times New Roman"/>
        </w:rPr>
        <w:t xml:space="preserve"> [</w:t>
      </w:r>
      <w:r w:rsidR="001834E7">
        <w:rPr>
          <w:rFonts w:ascii="Times New Roman" w:hAnsi="Times New Roman"/>
        </w:rPr>
        <w:t>WI</w:t>
      </w:r>
      <w:r w:rsidR="00C232DF">
        <w:rPr>
          <w:rFonts w:ascii="Times New Roman" w:hAnsi="Times New Roman"/>
        </w:rPr>
        <w:t>], nr</w:t>
      </w:r>
      <w:r w:rsidR="00A13522">
        <w:rPr>
          <w:rFonts w:ascii="Times New Roman" w:hAnsi="Times New Roman"/>
        </w:rPr>
        <w:t> </w:t>
      </w:r>
      <w:r w:rsidR="00C232DF">
        <w:rPr>
          <w:rFonts w:ascii="Times New Roman" w:hAnsi="Times New Roman"/>
        </w:rPr>
        <w:t>42750/09, §</w:t>
      </w:r>
      <w:r w:rsidR="00D34971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 xml:space="preserve">125, </w:t>
      </w:r>
      <w:r w:rsidR="001834E7">
        <w:rPr>
          <w:rFonts w:ascii="Times New Roman" w:hAnsi="Times New Roman"/>
        </w:rPr>
        <w:t>ETPC</w:t>
      </w:r>
      <w:r w:rsidR="00C232DF">
        <w:rPr>
          <w:rFonts w:ascii="Times New Roman" w:hAnsi="Times New Roman"/>
        </w:rPr>
        <w:t xml:space="preserve"> 2013; oraz </w:t>
      </w:r>
      <w:r w:rsidR="00C232DF">
        <w:rPr>
          <w:rFonts w:ascii="Times New Roman" w:hAnsi="Times New Roman"/>
          <w:i/>
        </w:rPr>
        <w:t>Denis i Irvine</w:t>
      </w:r>
      <w:r w:rsidR="00C232DF">
        <w:rPr>
          <w:rFonts w:ascii="Times New Roman" w:hAnsi="Times New Roman"/>
        </w:rPr>
        <w:t>, op. cit., §</w:t>
      </w:r>
      <w:r w:rsidR="00D34971">
        <w:rPr>
          <w:rFonts w:ascii="Times New Roman" w:hAnsi="Times New Roman"/>
        </w:rPr>
        <w:t xml:space="preserve"> </w:t>
      </w:r>
      <w:r w:rsidR="00C232DF">
        <w:rPr>
          <w:rFonts w:ascii="Times New Roman" w:hAnsi="Times New Roman"/>
        </w:rPr>
        <w:t>128).</w:t>
      </w:r>
    </w:p>
    <w:p w14:paraId="37BA62BE" w14:textId="169F3A04" w:rsidR="0084030C" w:rsidRPr="00AD4DBD" w:rsidRDefault="00AD4DBD" w:rsidP="00AD4DBD">
      <w:pPr>
        <w:pStyle w:val="JuPara"/>
      </w:pPr>
      <w:r w:rsidRPr="00AD4DBD">
        <w:t>92</w:t>
      </w:r>
      <w:r>
        <w:t>.</w:t>
      </w:r>
      <w:r w:rsidR="00F35BBD">
        <w:t xml:space="preserve"> </w:t>
      </w:r>
      <w:r>
        <w:t xml:space="preserve">Oprócz zgodności z prawem krajowym </w:t>
      </w:r>
      <w:r w:rsidR="00143E7C">
        <w:t>art. 5 ust. 1</w:t>
      </w:r>
      <w:r>
        <w:t xml:space="preserve"> wymaga, aby każde pozbawienie wolności było zgodne z celem ochrony jednostki przed arbitralnością (zob. między innymi, </w:t>
      </w:r>
      <w:bookmarkStart w:id="39" w:name="_cl35193THELAW"/>
      <w:r>
        <w:rPr>
          <w:i/>
        </w:rPr>
        <w:t>Rooman przeciwko Belgii</w:t>
      </w:r>
      <w:bookmarkEnd w:id="39"/>
      <w:r>
        <w:t xml:space="preserve"> [</w:t>
      </w:r>
      <w:r w:rsidR="001834E7">
        <w:t>WI</w:t>
      </w:r>
      <w:r>
        <w:t>], nr</w:t>
      </w:r>
      <w:r w:rsidR="00A13522">
        <w:t> </w:t>
      </w:r>
      <w:r>
        <w:t>18052/11, § 190, 31 stycznia 2019 r.</w:t>
      </w:r>
      <w:r w:rsidR="00F011A6">
        <w:t>,</w:t>
      </w:r>
      <w:r>
        <w:t xml:space="preserve"> oraz </w:t>
      </w:r>
      <w:r>
        <w:rPr>
          <w:i/>
        </w:rPr>
        <w:t>Denis i Irvine</w:t>
      </w:r>
      <w:r>
        <w:t>, op. cit., § 129).</w:t>
      </w:r>
    </w:p>
    <w:p w14:paraId="046ADB09" w14:textId="6AF7DEBA" w:rsidR="0084030C" w:rsidRPr="00AD4DBD" w:rsidRDefault="00AD4DBD" w:rsidP="00AD4DBD">
      <w:pPr>
        <w:pStyle w:val="JuPara"/>
      </w:pPr>
      <w:r w:rsidRPr="00AD4DBD">
        <w:t>93</w:t>
      </w:r>
      <w:r>
        <w:t>.</w:t>
      </w:r>
      <w:r w:rsidR="00F35BBD">
        <w:t xml:space="preserve"> </w:t>
      </w:r>
      <w:r>
        <w:t xml:space="preserve">Odpowiednie zasady dotyczące </w:t>
      </w:r>
      <w:r w:rsidR="001834E7">
        <w:t xml:space="preserve">art. </w:t>
      </w:r>
      <w:r>
        <w:t xml:space="preserve">5 </w:t>
      </w:r>
      <w:r w:rsidR="001834E7">
        <w:t>ust.</w:t>
      </w:r>
      <w:r>
        <w:t xml:space="preserve"> 1 lit. b i c Konwencji można znaleźć w wyroku </w:t>
      </w:r>
      <w:r>
        <w:rPr>
          <w:i/>
        </w:rPr>
        <w:t>S., V. i A. przeciwko Danii</w:t>
      </w:r>
      <w:r>
        <w:t xml:space="preserve"> (op. cit., §§ 79</w:t>
      </w:r>
      <w:r w:rsidR="00F011A6">
        <w:t>–</w:t>
      </w:r>
      <w:r>
        <w:t>83 i 89</w:t>
      </w:r>
      <w:r w:rsidR="00F011A6">
        <w:t>–</w:t>
      </w:r>
      <w:r>
        <w:t>92).</w:t>
      </w:r>
    </w:p>
    <w:p w14:paraId="12618ABD" w14:textId="77777777" w:rsidR="0084030C" w:rsidRPr="00AD4DBD" w:rsidRDefault="00C232DF" w:rsidP="00AD4DBD">
      <w:pPr>
        <w:pStyle w:val="JuHa0"/>
      </w:pPr>
      <w:r>
        <w:lastRenderedPageBreak/>
        <w:t>Zastosowanie wymienionych zasad do niniejszej sprawy</w:t>
      </w:r>
    </w:p>
    <w:p w14:paraId="43143D6A" w14:textId="25CEC1E1" w:rsidR="0084030C" w:rsidRPr="00AD4DBD" w:rsidRDefault="00AD4DBD" w:rsidP="00AD4DBD">
      <w:pPr>
        <w:pStyle w:val="JuPara"/>
      </w:pPr>
      <w:r w:rsidRPr="00AD4DBD">
        <w:t>94</w:t>
      </w:r>
      <w:r>
        <w:t>.</w:t>
      </w:r>
      <w:r w:rsidR="00F35BBD">
        <w:t xml:space="preserve"> </w:t>
      </w:r>
      <w:r>
        <w:t xml:space="preserve">Rząd twierdził, że skarżąca nie zastosowała się do żądań przewodniczącego zgromadzenia cyklicznego i poleceń policji, a zatem okoliczności sprawy wchodziły w zakres </w:t>
      </w:r>
      <w:r w:rsidR="001834E7">
        <w:t xml:space="preserve">art. </w:t>
      </w:r>
      <w:r>
        <w:t xml:space="preserve">5 </w:t>
      </w:r>
      <w:r w:rsidR="001834E7">
        <w:t xml:space="preserve">ust. </w:t>
      </w:r>
      <w:r>
        <w:t xml:space="preserve">1 lit. b Konwencji. Odniósł się również do </w:t>
      </w:r>
      <w:r w:rsidR="00143E7C">
        <w:t>art. 5 ust. 1</w:t>
      </w:r>
      <w:r>
        <w:t xml:space="preserve"> </w:t>
      </w:r>
      <w:r w:rsidR="001834E7">
        <w:t>lit. c</w:t>
      </w:r>
      <w:r>
        <w:t xml:space="preserve"> (zob. paragrafy</w:t>
      </w:r>
      <w:r w:rsidR="00D34971">
        <w:t xml:space="preserve"> </w:t>
      </w:r>
      <w:r w:rsidRPr="00AD4DBD">
        <w:t>78</w:t>
      </w:r>
      <w:r>
        <w:t xml:space="preserve"> i </w:t>
      </w:r>
      <w:r w:rsidRPr="00AD4DBD">
        <w:t>83</w:t>
      </w:r>
      <w:r>
        <w:t xml:space="preserve"> powyżej). Zanim jednak </w:t>
      </w:r>
      <w:r w:rsidR="00F011A6">
        <w:t xml:space="preserve">rozważona zostanie </w:t>
      </w:r>
      <w:r>
        <w:t>kwesti</w:t>
      </w:r>
      <w:r w:rsidR="00F011A6">
        <w:t>a</w:t>
      </w:r>
      <w:r>
        <w:t xml:space="preserve">, czy pozbawienie skarżącej wolności było objęte którymkolwiek z tych wyjątków, Trybunał najpierw zbada, czy było ono zgodne z prawem w rozumieniu </w:t>
      </w:r>
      <w:r w:rsidR="00143E7C">
        <w:t>art. 5 ust. 1</w:t>
      </w:r>
      <w:r>
        <w:t xml:space="preserve"> Konwencji.</w:t>
      </w:r>
    </w:p>
    <w:p w14:paraId="7A84F3A8" w14:textId="224A5B76" w:rsidR="0084030C" w:rsidRPr="00AD4DBD" w:rsidRDefault="00AD4DBD" w:rsidP="00AD4DBD">
      <w:pPr>
        <w:pStyle w:val="JuPara"/>
      </w:pPr>
      <w:r w:rsidRPr="00AD4DBD">
        <w:t>95</w:t>
      </w:r>
      <w:r>
        <w:t>.</w:t>
      </w:r>
      <w:r w:rsidR="00F35BBD">
        <w:t xml:space="preserve"> </w:t>
      </w:r>
      <w:r>
        <w:t>Trybunał zauważa, że Rząd, podobnie jak Sąd Rejonowy w swo</w:t>
      </w:r>
      <w:r w:rsidR="00F011A6">
        <w:t xml:space="preserve">im postanowieniu </w:t>
      </w:r>
      <w:r>
        <w:t xml:space="preserve">z dnia 11 września 2017 r. (zob. paragraf </w:t>
      </w:r>
      <w:r w:rsidRPr="00AD4DBD">
        <w:t>19</w:t>
      </w:r>
      <w:r>
        <w:t xml:space="preserve"> powyżej)</w:t>
      </w:r>
      <w:r w:rsidR="00D90889">
        <w:t>,</w:t>
      </w:r>
      <w:r>
        <w:t xml:space="preserve"> twierdził, że działania policji miały wystarczającą podstawę w prawie krajowym. Powoła</w:t>
      </w:r>
      <w:r w:rsidR="00F011A6">
        <w:t>ł</w:t>
      </w:r>
      <w:r>
        <w:t xml:space="preserve"> się na odpowiednie przepisy ustawy o </w:t>
      </w:r>
      <w:r w:rsidR="00F011A6">
        <w:t xml:space="preserve">Policji, </w:t>
      </w:r>
      <w:r>
        <w:t>a</w:t>
      </w:r>
      <w:r w:rsidR="00A13522">
        <w:t> </w:t>
      </w:r>
      <w:r>
        <w:t>mianowicie art. 1 ust. 2 pkt 2 i art. 14 ust. 1 w związku z art. 15 ust. 1 pkt</w:t>
      </w:r>
      <w:r w:rsidR="00A13522">
        <w:t> </w:t>
      </w:r>
      <w:r>
        <w:t>1. Przepisy te odnoszą się do ogólnych działań policji i pozwalają policji na</w:t>
      </w:r>
      <w:r w:rsidR="00A13522">
        <w:t> </w:t>
      </w:r>
      <w:r>
        <w:t>sprawdzenie dokumentów danej osoby w celu zweryfikowania jej tożsamości (zob. paragraf</w:t>
      </w:r>
      <w:r w:rsidR="00D34971">
        <w:t xml:space="preserve"> </w:t>
      </w:r>
      <w:r w:rsidRPr="00AD4DBD">
        <w:t>38</w:t>
      </w:r>
      <w:r>
        <w:t xml:space="preserve"> powyżej), ale nie stanowią podstawy do</w:t>
      </w:r>
      <w:r w:rsidR="00A13522">
        <w:t> </w:t>
      </w:r>
      <w:r w:rsidR="002673A9">
        <w:t>zatrzymania</w:t>
      </w:r>
      <w:r>
        <w:t>. Trybunał zauważa ponadto, że przepis zezwalający na</w:t>
      </w:r>
      <w:r w:rsidR="00A13522">
        <w:t> </w:t>
      </w:r>
      <w:r w:rsidR="002673A9">
        <w:t xml:space="preserve">zatrzymanie </w:t>
      </w:r>
      <w:r>
        <w:t>osoby jest zawarty w art. 45 KPSW, który przewiduje</w:t>
      </w:r>
      <w:r w:rsidR="002673A9">
        <w:t xml:space="preserve"> zatrzymanie</w:t>
      </w:r>
      <w:r>
        <w:t xml:space="preserve">, jeżeli spełnione są następujące warunki </w:t>
      </w:r>
      <w:r w:rsidR="002673A9">
        <w:t>–</w:t>
      </w:r>
      <w:r>
        <w:t xml:space="preserve"> po pierwsze, gdy dana osoba zostanie ujęta na gorącym uczynku lub bezpośrednio po popełnieniu wykroczenia, a po drugie, jeżeli (1) istnieją podstawy do zastosowania wobec tej osoby postępowania w trybie przyspieszonym lub (2) nie można ustalić tożsamości tej osoby (zob. paragraf</w:t>
      </w:r>
      <w:r w:rsidR="00D34971">
        <w:t xml:space="preserve"> </w:t>
      </w:r>
      <w:r w:rsidRPr="00AD4DBD">
        <w:t>31</w:t>
      </w:r>
      <w:r>
        <w:t xml:space="preserve"> powyżej). Sąd </w:t>
      </w:r>
      <w:r w:rsidR="002673A9">
        <w:t>Rejonowy</w:t>
      </w:r>
      <w:r>
        <w:t xml:space="preserve"> w swoim postanowieniu z dnia 11 września 2017 r. uznał, że nie doszło do </w:t>
      </w:r>
      <w:r w:rsidR="002673A9">
        <w:t>zatrzymania</w:t>
      </w:r>
      <w:r>
        <w:t xml:space="preserve"> w rozumieniu KPSW (zob. paragrafy</w:t>
      </w:r>
      <w:r w:rsidR="00D34971">
        <w:t xml:space="preserve"> </w:t>
      </w:r>
      <w:r w:rsidRPr="00AD4DBD">
        <w:t>16</w:t>
      </w:r>
      <w:r w:rsidR="002673A9">
        <w:t>–</w:t>
      </w:r>
      <w:r w:rsidRPr="00AD4DBD">
        <w:t>20</w:t>
      </w:r>
      <w:r>
        <w:t xml:space="preserve"> powyżej). Rząd w swoich uwagach nie stwierdził, że którakolwiek z okoliczności, o których mowa w</w:t>
      </w:r>
      <w:r w:rsidR="00A13522">
        <w:t> </w:t>
      </w:r>
      <w:r>
        <w:t xml:space="preserve">art. 45 KPSW, odnosiła się do sprawy skarżącej. Wynika z tego, że Rząd nie wykazał, że cały zestaw środków przymusu zastosowanych wobec skarżącej i prowadzących, jak stwierdzono w paragrafie </w:t>
      </w:r>
      <w:r w:rsidRPr="00AD4DBD">
        <w:t>62</w:t>
      </w:r>
      <w:r>
        <w:t xml:space="preserve"> powyżej, do</w:t>
      </w:r>
      <w:r w:rsidR="00A13522">
        <w:t> </w:t>
      </w:r>
      <w:r>
        <w:t>pozbawienia jej wolności, miał wystarczającą podstawę prawną w prawie krajowym.</w:t>
      </w:r>
    </w:p>
    <w:p w14:paraId="5984604D" w14:textId="47C10CC9" w:rsidR="0084030C" w:rsidRPr="00AD4DBD" w:rsidRDefault="00AD4DBD" w:rsidP="00AD4DBD">
      <w:pPr>
        <w:pStyle w:val="JuPara"/>
      </w:pPr>
      <w:r w:rsidRPr="00AD4DBD">
        <w:t>96</w:t>
      </w:r>
      <w:r>
        <w:t>.</w:t>
      </w:r>
      <w:r w:rsidR="00F35BBD">
        <w:t xml:space="preserve"> </w:t>
      </w:r>
      <w:r>
        <w:t xml:space="preserve">Trybunał zauważa ponadto, że Rząd nie wykazał, że cały okres rzeczywistego pozbawienia wolności był niezbędny do przeprowadzenia ustalenia tożsamości. W szczególności, chociaż </w:t>
      </w:r>
      <w:r w:rsidR="00B15F2D">
        <w:t xml:space="preserve">Rząd </w:t>
      </w:r>
      <w:r>
        <w:t xml:space="preserve">powołał się na znaczną liczbę uczestników kontrdemonstracji w celu uzasadnienia czasu trwania środka (paragraf </w:t>
      </w:r>
      <w:r w:rsidRPr="00AD4DBD">
        <w:t>81</w:t>
      </w:r>
      <w:r>
        <w:t xml:space="preserve"> powyżej), nie wskazał nawet ich przybliżonej liczby. Z</w:t>
      </w:r>
      <w:r w:rsidR="00A13522">
        <w:t> </w:t>
      </w:r>
      <w:r>
        <w:t xml:space="preserve">opisu zdarzeń przedstawionego przez skarżącą oraz z </w:t>
      </w:r>
      <w:r w:rsidR="00B15F2D">
        <w:t>postanowienia</w:t>
      </w:r>
      <w:r>
        <w:t xml:space="preserve"> Sądu </w:t>
      </w:r>
      <w:r w:rsidR="00B15F2D">
        <w:t xml:space="preserve">Rejonowego </w:t>
      </w:r>
      <w:r>
        <w:t>(</w:t>
      </w:r>
      <w:r w:rsidR="00B15F2D">
        <w:t>paragrafy</w:t>
      </w:r>
      <w:r w:rsidR="00D34971">
        <w:t xml:space="preserve"> </w:t>
      </w:r>
      <w:r w:rsidRPr="00AD4DBD">
        <w:t>11</w:t>
      </w:r>
      <w:r>
        <w:t xml:space="preserve"> i</w:t>
      </w:r>
      <w:r w:rsidR="00D34971">
        <w:t xml:space="preserve"> </w:t>
      </w:r>
      <w:r w:rsidRPr="00AD4DBD">
        <w:t>18</w:t>
      </w:r>
      <w:r>
        <w:t xml:space="preserve"> powyżej) wynikałoby również, że oprócz kontroli tożsamości przeprowadzono dalsze kontrole w policyjnych bazach danych. Wreszcie Rząd nie wyjaśnił, dlaczego, jak podniosła skarżąca (zob.</w:t>
      </w:r>
      <w:r w:rsidR="00A13522">
        <w:t> </w:t>
      </w:r>
      <w:r>
        <w:t xml:space="preserve">paragraf </w:t>
      </w:r>
      <w:r w:rsidRPr="00AD4DBD">
        <w:t>75</w:t>
      </w:r>
      <w:r>
        <w:t xml:space="preserve"> powyżej), wszyscy uczestnicy kontrdemonstracji nie zostali zwolnieni po sprawdzeniu ich tożsamości, ale zamiast tego byli przetrzymywani razem do końca zgromadzenia cyklicznego.</w:t>
      </w:r>
    </w:p>
    <w:p w14:paraId="466F55F2" w14:textId="4C78899C" w:rsidR="0084030C" w:rsidRPr="00AD4DBD" w:rsidRDefault="00AD4DBD" w:rsidP="00AD4DBD">
      <w:pPr>
        <w:pStyle w:val="JuPara"/>
      </w:pPr>
      <w:r w:rsidRPr="00AD4DBD">
        <w:lastRenderedPageBreak/>
        <w:t>97</w:t>
      </w:r>
      <w:r>
        <w:t>.</w:t>
      </w:r>
      <w:r w:rsidR="00F35BBD">
        <w:t xml:space="preserve"> </w:t>
      </w:r>
      <w:r>
        <w:t>Powyższe rozważania są wystarczające dla Trybunału, aby stwierdzić, że</w:t>
      </w:r>
      <w:r w:rsidR="00B15F2D">
        <w:t xml:space="preserve"> zatrzymanie</w:t>
      </w:r>
      <w:r>
        <w:t xml:space="preserve"> skarżącej, które rozpoczęło się w dniu 10 czerwca 2017 r. około godziny 20:00 i trwało około dwóch godzin, nie było „przewidziane przez prawo” dla celów </w:t>
      </w:r>
      <w:r w:rsidR="00143E7C">
        <w:t>art. 5 ust. 1</w:t>
      </w:r>
      <w:r>
        <w:t xml:space="preserve"> Konwencji. Wymóg, aby każde pozbawienie wolności było „zgodne z prawem”</w:t>
      </w:r>
      <w:r w:rsidR="00143780">
        <w:t>,</w:t>
      </w:r>
      <w:r>
        <w:t xml:space="preserve"> jest wspólny dla wszystkich wyjątków określonych w </w:t>
      </w:r>
      <w:r w:rsidR="001834E7">
        <w:t xml:space="preserve">literach </w:t>
      </w:r>
      <w:r>
        <w:t xml:space="preserve">a do f </w:t>
      </w:r>
      <w:r w:rsidR="001834E7">
        <w:t>a</w:t>
      </w:r>
      <w:r>
        <w:t xml:space="preserve">rtykułu 5 </w:t>
      </w:r>
      <w:r w:rsidR="001834E7">
        <w:t>ust.</w:t>
      </w:r>
      <w:r>
        <w:t xml:space="preserve"> 1 Konwencji (zob.</w:t>
      </w:r>
      <w:r w:rsidR="00A13522">
        <w:t> </w:t>
      </w:r>
      <w:r>
        <w:t>paragraf</w:t>
      </w:r>
      <w:r w:rsidR="00D34971">
        <w:t xml:space="preserve"> </w:t>
      </w:r>
      <w:r w:rsidRPr="00AD4DBD">
        <w:t>90</w:t>
      </w:r>
      <w:r>
        <w:t xml:space="preserve"> powyżej). W świetle powyższego ustalenia, Trybunał nie</w:t>
      </w:r>
      <w:r w:rsidR="00A13522">
        <w:t> </w:t>
      </w:r>
      <w:r w:rsidR="00143780">
        <w:t>stwierdza</w:t>
      </w:r>
      <w:r>
        <w:t xml:space="preserve"> konieczności dalszego analizowania, czy zatrzymanie skarżącej było zgodne ze szczegółowymi wymogami określonymi w </w:t>
      </w:r>
      <w:r w:rsidR="00297579">
        <w:t xml:space="preserve">literach </w:t>
      </w:r>
      <w:r>
        <w:t xml:space="preserve">b lub c </w:t>
      </w:r>
      <w:r w:rsidR="00297579">
        <w:t>art.</w:t>
      </w:r>
      <w:r>
        <w:t xml:space="preserve"> 5 </w:t>
      </w:r>
      <w:r w:rsidR="00297579">
        <w:t xml:space="preserve">ust. </w:t>
      </w:r>
      <w:r>
        <w:t>1.</w:t>
      </w:r>
    </w:p>
    <w:p w14:paraId="3840F4F0" w14:textId="2CEE52C4" w:rsidR="0084030C" w:rsidRPr="00AD4DBD" w:rsidRDefault="00AD4DBD" w:rsidP="00AD4DBD">
      <w:pPr>
        <w:pStyle w:val="JuPara"/>
      </w:pPr>
      <w:r w:rsidRPr="00AD4DBD">
        <w:t>98</w:t>
      </w:r>
      <w:r>
        <w:t>.</w:t>
      </w:r>
      <w:r w:rsidR="00F35BBD">
        <w:t xml:space="preserve"> </w:t>
      </w:r>
      <w:r>
        <w:t xml:space="preserve">W związku z tym doszło do naruszenia </w:t>
      </w:r>
      <w:r w:rsidR="001834E7">
        <w:t xml:space="preserve">art. </w:t>
      </w:r>
      <w:r>
        <w:t xml:space="preserve">5 </w:t>
      </w:r>
      <w:r w:rsidR="001834E7">
        <w:t xml:space="preserve">ust. </w:t>
      </w:r>
      <w:r>
        <w:t>1 Konwencji.</w:t>
      </w:r>
    </w:p>
    <w:p w14:paraId="2F0174BA" w14:textId="20A126ED" w:rsidR="0084030C" w:rsidRPr="00AD4DBD" w:rsidRDefault="00C232DF" w:rsidP="00AD4DBD">
      <w:pPr>
        <w:pStyle w:val="JuHIRoman"/>
      </w:pPr>
      <w:r>
        <w:t>ZARZU</w:t>
      </w:r>
      <w:r w:rsidR="00FF22A0">
        <w:t>CANE</w:t>
      </w:r>
      <w:r>
        <w:t xml:space="preserve"> NARUSZENIA ART</w:t>
      </w:r>
      <w:r w:rsidR="001834E7">
        <w:t>.</w:t>
      </w:r>
      <w:r>
        <w:t xml:space="preserve"> 10 I 11 KONWENCJI</w:t>
      </w:r>
    </w:p>
    <w:p w14:paraId="65E7DFBB" w14:textId="2FF329E3" w:rsidR="0084030C" w:rsidRPr="00AD4DBD" w:rsidRDefault="00AD4DBD" w:rsidP="00AD4DBD">
      <w:pPr>
        <w:pStyle w:val="JuPara"/>
      </w:pPr>
      <w:r w:rsidRPr="00AD4DBD">
        <w:t>99</w:t>
      </w:r>
      <w:r>
        <w:t>.</w:t>
      </w:r>
      <w:r w:rsidR="00F35BBD">
        <w:t xml:space="preserve"> </w:t>
      </w:r>
      <w:r>
        <w:t>Skarżąca zarzuciła również na podstawie art. 10 i 11 Konwencji, że</w:t>
      </w:r>
      <w:r w:rsidR="00A13522">
        <w:t> </w:t>
      </w:r>
      <w:r>
        <w:t>interwencja policji stanowiła nieproporcjonalne ograniczenie jej prawa do</w:t>
      </w:r>
      <w:r w:rsidR="00A13522">
        <w:t> </w:t>
      </w:r>
      <w:r>
        <w:t xml:space="preserve">wolności </w:t>
      </w:r>
      <w:r w:rsidR="00143780">
        <w:t xml:space="preserve">wyrażania opinii </w:t>
      </w:r>
      <w:r>
        <w:t>i wolności zgromadzeń.</w:t>
      </w:r>
    </w:p>
    <w:p w14:paraId="0B7EF2D0" w14:textId="1E9AC122" w:rsidR="0084030C" w:rsidRPr="00AD4DBD" w:rsidRDefault="00AD4DBD" w:rsidP="00AD4DBD">
      <w:pPr>
        <w:pStyle w:val="JuPara"/>
      </w:pPr>
      <w:r w:rsidRPr="00AD4DBD">
        <w:t>100</w:t>
      </w:r>
      <w:r>
        <w:t>.</w:t>
      </w:r>
      <w:r w:rsidR="00F35BBD">
        <w:t xml:space="preserve"> </w:t>
      </w:r>
      <w:r>
        <w:t>Postanowienia, o których mowa, brzmią, w odpowiednim zakresie, następująco:</w:t>
      </w:r>
    </w:p>
    <w:p w14:paraId="2035BBEE" w14:textId="77777777" w:rsidR="0084030C" w:rsidRPr="00AD4DBD" w:rsidRDefault="00C232DF" w:rsidP="00AD4DBD">
      <w:pPr>
        <w:pStyle w:val="JuHArticle"/>
      </w:pPr>
      <w:r>
        <w:t>Artykuł 10</w:t>
      </w:r>
    </w:p>
    <w:p w14:paraId="48774CF0" w14:textId="5EC07C49" w:rsidR="0084030C" w:rsidRPr="00AD4DBD" w:rsidRDefault="00E42A22" w:rsidP="00AD4DBD">
      <w:pPr>
        <w:pStyle w:val="JuQuot"/>
      </w:pPr>
      <w:r>
        <w:t>„</w:t>
      </w:r>
      <w:r w:rsidR="00C232DF">
        <w:t>1.</w:t>
      </w:r>
      <w:r w:rsidR="00F35BBD">
        <w:t xml:space="preserve"> </w:t>
      </w:r>
      <w:r w:rsidRPr="00E42A22">
        <w:t>Każdy ma prawo do wolności wyrażania opinii. Prawo to obejmuje wolność posiadania poglądów oraz otrzymywania i przekazywania informacji i idei bez ingerencji władz publicznych i bez względu na granice państwowe</w:t>
      </w:r>
      <w:r w:rsidR="00C232DF">
        <w:t>. ...</w:t>
      </w:r>
    </w:p>
    <w:p w14:paraId="23CF64DD" w14:textId="15CBB664" w:rsidR="0084030C" w:rsidRPr="00AD4DBD" w:rsidRDefault="00C232DF" w:rsidP="00AD4DBD">
      <w:pPr>
        <w:pStyle w:val="JuQuot"/>
      </w:pPr>
      <w:r>
        <w:t>2.</w:t>
      </w:r>
      <w:r w:rsidR="00F35BBD">
        <w:t xml:space="preserve"> </w:t>
      </w:r>
      <w:r w:rsidR="00E42A22" w:rsidRPr="00E42A22">
        <w:t>Korzystanie z tych wolności pociągających za sobą obowiązki i odpowiedzialność może podlegać takim wymogom formalnym, warunkom, ograniczeniom i sankcjom, jakie są przewidziane przez ustawę i niezbędne w społeczeństwie demokratycznym w</w:t>
      </w:r>
      <w:r w:rsidR="00A13522">
        <w:t> </w:t>
      </w:r>
      <w:r w:rsidR="00E42A22" w:rsidRPr="00E42A22">
        <w:t>interesie bezpieczeństwa państwowego, integralności terytorialnej lub</w:t>
      </w:r>
      <w:r w:rsidR="00A13522">
        <w:t> </w:t>
      </w:r>
      <w:r w:rsidR="00E42A22" w:rsidRPr="00E42A22">
        <w:t>bezpieczeństwa publicznego ze względu na konieczność zapobieżenia zakłóceniu porządku lub przestępstwu, z uwagi na ochronę zdrowia i moralności, ochronę dobrego imienia i praw innych osób oraz ze względu na zapobieżenie ujawnieniu informacji poufnych lub na zagwarantowanie powagi i bezstronności władzy sądowej</w:t>
      </w:r>
      <w:r w:rsidR="00E42A22">
        <w:t>”.</w:t>
      </w:r>
    </w:p>
    <w:p w14:paraId="665D254F" w14:textId="77777777" w:rsidR="0084030C" w:rsidRPr="00AD4DBD" w:rsidRDefault="00C232DF" w:rsidP="00AD4DBD">
      <w:pPr>
        <w:pStyle w:val="JuHArticle"/>
      </w:pPr>
      <w:r>
        <w:t>Artykuł 11</w:t>
      </w:r>
    </w:p>
    <w:p w14:paraId="1E6D3C4A" w14:textId="6F0AD468" w:rsidR="0084030C" w:rsidRPr="00AD4DBD" w:rsidRDefault="00297579" w:rsidP="00AD4DBD">
      <w:pPr>
        <w:pStyle w:val="JuQuot"/>
      </w:pPr>
      <w:r>
        <w:t>„</w:t>
      </w:r>
      <w:r w:rsidR="00C232DF">
        <w:t>1.</w:t>
      </w:r>
      <w:r w:rsidR="00F35BBD">
        <w:t xml:space="preserve"> </w:t>
      </w:r>
      <w:r w:rsidR="00E42A22" w:rsidRPr="00E42A22">
        <w:t>Każdy ma prawo do swobodnego, pokojowego zgromadzania się oraz do</w:t>
      </w:r>
      <w:r w:rsidR="00A13522">
        <w:t> </w:t>
      </w:r>
      <w:r w:rsidR="00E42A22" w:rsidRPr="00E42A22">
        <w:t>swobodnego stowarzyszania się</w:t>
      </w:r>
      <w:r w:rsidR="00E42A22">
        <w:t xml:space="preserve"> …</w:t>
      </w:r>
    </w:p>
    <w:p w14:paraId="5FAEAEA2" w14:textId="1545E982" w:rsidR="0084030C" w:rsidRPr="00AD4DBD" w:rsidRDefault="00C232DF" w:rsidP="00AD4DBD">
      <w:pPr>
        <w:pStyle w:val="JuQuot"/>
      </w:pPr>
      <w:r w:rsidRPr="00E42A22">
        <w:t>2.</w:t>
      </w:r>
      <w:r w:rsidR="00F35BBD">
        <w:t xml:space="preserve"> </w:t>
      </w:r>
      <w:r w:rsidR="00E42A22" w:rsidRPr="00E42A22">
        <w:t>Wykonywanie tych praw nie może podlegać innym ograniczeniom niż te, które określa ustawa i które są konieczne w społeczeństwie demokratycznym z uwagi na</w:t>
      </w:r>
      <w:r w:rsidR="00A13522">
        <w:t> </w:t>
      </w:r>
      <w:r w:rsidR="00E42A22" w:rsidRPr="00E42A22">
        <w:t>interesy bezpieczeństwa państwowego lub publicznego, ochronę porządku i</w:t>
      </w:r>
      <w:r w:rsidR="00A13522">
        <w:t> </w:t>
      </w:r>
      <w:r w:rsidR="00E42A22" w:rsidRPr="00E42A22">
        <w:t>zapobieganie przestępstwu, ochronę zdrowia i moralności lub ochronę praw i</w:t>
      </w:r>
      <w:r w:rsidR="00A13522">
        <w:t> </w:t>
      </w:r>
      <w:r w:rsidR="00E42A22" w:rsidRPr="00E42A22">
        <w:t>wolności innych osób. Niniejszy przepis nie stanowi przeszkody w nakładaniu zgodnych z prawem ograniczeń w korzystaniu z tych praw przez członków sił zbrojnych, policji lub administracji państwowej</w:t>
      </w:r>
      <w:r w:rsidR="00E42A22">
        <w:t>”.</w:t>
      </w:r>
    </w:p>
    <w:p w14:paraId="4B6E6F31" w14:textId="77777777" w:rsidR="0084030C" w:rsidRPr="00AD4DBD" w:rsidRDefault="00C232DF" w:rsidP="00AD4DBD">
      <w:pPr>
        <w:pStyle w:val="JuHA"/>
        <w:numPr>
          <w:ilvl w:val="0"/>
          <w:numId w:val="0"/>
        </w:numPr>
        <w:ind w:left="510"/>
      </w:pPr>
      <w:r>
        <w:lastRenderedPageBreak/>
        <w:t>Dopuszczalność</w:t>
      </w:r>
    </w:p>
    <w:p w14:paraId="66AC8BAE" w14:textId="361BD401" w:rsidR="0084030C" w:rsidRPr="00AD4DBD" w:rsidRDefault="00143780" w:rsidP="00AD4DBD">
      <w:pPr>
        <w:pStyle w:val="JuH1"/>
      </w:pPr>
      <w:r>
        <w:t xml:space="preserve">Zastrzeżenia wstępne </w:t>
      </w:r>
      <w:r w:rsidR="00C232DF">
        <w:t>Rządu</w:t>
      </w:r>
    </w:p>
    <w:p w14:paraId="04778D19" w14:textId="6963F570" w:rsidR="0084030C" w:rsidRPr="00AD4DBD" w:rsidRDefault="00AD4DBD" w:rsidP="00AD4DBD">
      <w:pPr>
        <w:pStyle w:val="JuPara"/>
      </w:pPr>
      <w:r w:rsidRPr="00AD4DBD">
        <w:t>101</w:t>
      </w:r>
      <w:r>
        <w:t>.</w:t>
      </w:r>
      <w:r w:rsidR="00F35BBD">
        <w:t xml:space="preserve"> </w:t>
      </w:r>
      <w:r>
        <w:t>Rząd podniósł za</w:t>
      </w:r>
      <w:r w:rsidR="00143780">
        <w:t>strzeżenie wstępne</w:t>
      </w:r>
      <w:r>
        <w:t xml:space="preserve">, że skarżąca nie miała statusu ofiary w odniesieniu do </w:t>
      </w:r>
      <w:r w:rsidR="00143780">
        <w:t xml:space="preserve">zarzucanego </w:t>
      </w:r>
      <w:r>
        <w:t xml:space="preserve">naruszenia jej praw na podstawie art. 11 Konwencji i że </w:t>
      </w:r>
      <w:r w:rsidR="00143780">
        <w:t xml:space="preserve">ten zarzut </w:t>
      </w:r>
      <w:r>
        <w:t>skarg</w:t>
      </w:r>
      <w:r w:rsidR="00143780">
        <w:t>i</w:t>
      </w:r>
      <w:r>
        <w:t xml:space="preserve"> powin</w:t>
      </w:r>
      <w:r w:rsidR="00143780">
        <w:t>ien</w:t>
      </w:r>
      <w:r>
        <w:t xml:space="preserve"> zostać uznan</w:t>
      </w:r>
      <w:r w:rsidR="00143780">
        <w:t>y</w:t>
      </w:r>
      <w:r>
        <w:t xml:space="preserve"> za niezgodn</w:t>
      </w:r>
      <w:r w:rsidR="00143780">
        <w:t>y</w:t>
      </w:r>
      <w:r>
        <w:t xml:space="preserve"> </w:t>
      </w:r>
      <w:r>
        <w:rPr>
          <w:i/>
        </w:rPr>
        <w:t xml:space="preserve">ratione personae </w:t>
      </w:r>
      <w:r>
        <w:t>z Konwencją.</w:t>
      </w:r>
    </w:p>
    <w:p w14:paraId="796CA75C" w14:textId="55C0E11C" w:rsidR="0084030C" w:rsidRPr="00AD4DBD" w:rsidRDefault="00AD4DBD" w:rsidP="00AD4DBD">
      <w:pPr>
        <w:pStyle w:val="JuPara"/>
      </w:pPr>
      <w:r w:rsidRPr="00AD4DBD">
        <w:t>102</w:t>
      </w:r>
      <w:r>
        <w:t>.</w:t>
      </w:r>
      <w:r w:rsidR="00F35BBD">
        <w:t xml:space="preserve"> </w:t>
      </w:r>
      <w:r>
        <w:t xml:space="preserve">Rząd twierdził ponadto, że skarżąca nie podniosła na żadnym etapie postępowania krajowego żadnych zarzutów dotyczących </w:t>
      </w:r>
      <w:r w:rsidR="00143780">
        <w:t xml:space="preserve">zarzucanego </w:t>
      </w:r>
      <w:r>
        <w:t>naruszenia jej prawa do przekazywania informacji lub idei na podstawie art.</w:t>
      </w:r>
      <w:r w:rsidR="00A13522">
        <w:t> </w:t>
      </w:r>
      <w:r>
        <w:t>10 Konwencji. Odni</w:t>
      </w:r>
      <w:r w:rsidR="00D441E0">
        <w:t>ósł</w:t>
      </w:r>
      <w:r>
        <w:t xml:space="preserve"> się w szczególności do możliwości wniesienia roszczenia cywilnego o odszkodowanie na podstawie art. 417 Kodeksu cywilnego za szkody związane z </w:t>
      </w:r>
      <w:r w:rsidR="00D441E0">
        <w:t>zarzucanym</w:t>
      </w:r>
      <w:r>
        <w:t xml:space="preserve"> ograniczeniem jej praw gwarantowanych przez Konwencję.</w:t>
      </w:r>
    </w:p>
    <w:p w14:paraId="585D65DD" w14:textId="77777777" w:rsidR="0084030C" w:rsidRPr="00AD4DBD" w:rsidRDefault="00C232DF" w:rsidP="00AD4DBD">
      <w:pPr>
        <w:pStyle w:val="JuH1"/>
      </w:pPr>
      <w:r>
        <w:t>Oświadczenia skarżącej</w:t>
      </w:r>
    </w:p>
    <w:p w14:paraId="1219A96D" w14:textId="1174AB30" w:rsidR="0084030C" w:rsidRPr="00AD4DBD" w:rsidRDefault="00AD4DBD" w:rsidP="00AD4DBD">
      <w:pPr>
        <w:pStyle w:val="JuPara"/>
      </w:pPr>
      <w:r w:rsidRPr="00AD4DBD">
        <w:t>103</w:t>
      </w:r>
      <w:r>
        <w:t>.</w:t>
      </w:r>
      <w:r w:rsidR="00F35BBD">
        <w:t xml:space="preserve"> </w:t>
      </w:r>
      <w:r>
        <w:t>Skarżąca twierdziła, że jej prawo do wolności pokojowych zgromadzeń zostało bezpośrednio naruszone przez działania policji, które doprowadziły do pozbawienia jej wolności. Uniemożliwiono jej wyrażenie sprzeciwu wobec niekonstytucyjnych przepisów ustawy o zgromadzeniach dotyczących zgromadzeń cyklicznych.</w:t>
      </w:r>
    </w:p>
    <w:p w14:paraId="7D8581C7" w14:textId="77860B76" w:rsidR="0084030C" w:rsidRPr="00AD4DBD" w:rsidRDefault="00AD4DBD" w:rsidP="00AD4DBD">
      <w:pPr>
        <w:pStyle w:val="JuPara"/>
      </w:pPr>
      <w:bookmarkStart w:id="40" w:name="paragraph00104"/>
      <w:r w:rsidRPr="00AD4DBD">
        <w:t>104</w:t>
      </w:r>
      <w:bookmarkEnd w:id="40"/>
      <w:r w:rsidR="00C232DF">
        <w:t>.</w:t>
      </w:r>
      <w:r w:rsidR="00F35BBD">
        <w:t xml:space="preserve"> </w:t>
      </w:r>
      <w:r w:rsidR="00C232DF">
        <w:t>W odniesieniu do</w:t>
      </w:r>
      <w:r w:rsidR="00D441E0">
        <w:t xml:space="preserve"> zastrzeżenia</w:t>
      </w:r>
      <w:r w:rsidR="00C232DF">
        <w:t xml:space="preserve">, że nie podniosła swoich </w:t>
      </w:r>
      <w:r w:rsidR="00D441E0">
        <w:t xml:space="preserve">zarzutów </w:t>
      </w:r>
      <w:r w:rsidR="00C232DF">
        <w:t>na</w:t>
      </w:r>
      <w:r w:rsidR="00A13522">
        <w:t> </w:t>
      </w:r>
      <w:r w:rsidR="00C232DF">
        <w:t>podstawie art. 10 przed władzami krajowymi, skarżąca twierdziła, że</w:t>
      </w:r>
      <w:r w:rsidR="00A13522">
        <w:t> </w:t>
      </w:r>
      <w:r w:rsidR="00C232DF">
        <w:t>„dokładna analiza odwołania skarżącej od</w:t>
      </w:r>
      <w:r w:rsidR="00D441E0">
        <w:t xml:space="preserve"> zatrzymania</w:t>
      </w:r>
      <w:r w:rsidR="00C232DF">
        <w:t xml:space="preserve">, jak również pisemne uzasadnienie </w:t>
      </w:r>
      <w:r w:rsidR="00D441E0">
        <w:t xml:space="preserve">postanowienia </w:t>
      </w:r>
      <w:r w:rsidR="00C232DF">
        <w:t>sądu (...) po jego rozpatrzeniu, wskazywały ponad wszelką wątpliwość, że kwestie dotyczące naruszenia praw przewidzianych w art. 10, jak również w art. 11 Konwencji zostały podniesione i przeanalizowane przez sąd krajowy</w:t>
      </w:r>
      <w:r w:rsidR="00E42A22">
        <w:t>”.</w:t>
      </w:r>
    </w:p>
    <w:p w14:paraId="05D09E91" w14:textId="77777777" w:rsidR="0084030C" w:rsidRPr="00AD4DBD" w:rsidRDefault="00C232DF" w:rsidP="00AD4DBD">
      <w:pPr>
        <w:pStyle w:val="JuH1"/>
      </w:pPr>
      <w:r>
        <w:t>Ocena Trybunału</w:t>
      </w:r>
    </w:p>
    <w:p w14:paraId="2F5FCA1D" w14:textId="77777777" w:rsidR="0084030C" w:rsidRPr="00AD4DBD" w:rsidRDefault="00C232DF" w:rsidP="00AD4DBD">
      <w:pPr>
        <w:pStyle w:val="JuHa0"/>
      </w:pPr>
      <w:r>
        <w:t xml:space="preserve">Niezgodność </w:t>
      </w:r>
      <w:r>
        <w:rPr>
          <w:i/>
        </w:rPr>
        <w:t>ratione personae</w:t>
      </w:r>
    </w:p>
    <w:p w14:paraId="08D97F2C" w14:textId="0516F09A" w:rsidR="0084030C" w:rsidRPr="00AD4DBD" w:rsidRDefault="00AD4DBD" w:rsidP="00AD4DBD">
      <w:pPr>
        <w:pStyle w:val="JuPara"/>
      </w:pPr>
      <w:r w:rsidRPr="00AD4DBD">
        <w:t>105</w:t>
      </w:r>
      <w:r>
        <w:t>.</w:t>
      </w:r>
      <w:r w:rsidR="00F35BBD">
        <w:t xml:space="preserve"> </w:t>
      </w:r>
      <w:r>
        <w:t>W odniesieniu do za</w:t>
      </w:r>
      <w:r w:rsidR="00D441E0">
        <w:t>strzeżenia</w:t>
      </w:r>
      <w:r>
        <w:t xml:space="preserve"> Rządu dotyczącego rzekomego braku statusu ofiary skarżącej Trybunał zauważa, że jak stwierdzono powyżej (zob.</w:t>
      </w:r>
      <w:r w:rsidR="00A13522">
        <w:t> </w:t>
      </w:r>
      <w:r>
        <w:t>paragraf</w:t>
      </w:r>
      <w:r w:rsidR="00D34971">
        <w:t xml:space="preserve"> </w:t>
      </w:r>
      <w:r w:rsidRPr="00AD4DBD">
        <w:t>62</w:t>
      </w:r>
      <w:r>
        <w:t>), skarżąca została pozbawiona wolności w trakcie zgromadzenia wyrażającego jej sprzeciw wobec zmian w ustawie o</w:t>
      </w:r>
      <w:r w:rsidR="00A13522">
        <w:t> </w:t>
      </w:r>
      <w:r>
        <w:t>zgromadzeniach dotyczących uprzywilejowanej pozycji zgromadzeń cyklicznych. Stanowiło to wyraźną ingerencję w jej prawa wynikające zarówno z art. 10, jak i z art. 11 Konwencji. Trybunał stwierdza jednak, że</w:t>
      </w:r>
      <w:r w:rsidR="00A13522">
        <w:t> </w:t>
      </w:r>
      <w:r>
        <w:t>nie</w:t>
      </w:r>
      <w:r w:rsidR="00A13522">
        <w:t> </w:t>
      </w:r>
      <w:r>
        <w:t>jest konieczne szczegółowe badanie tej kwestii, ponieważ uważa, że</w:t>
      </w:r>
      <w:r w:rsidR="00A13522">
        <w:t> </w:t>
      </w:r>
      <w:r w:rsidR="00D441E0">
        <w:t xml:space="preserve">zarzuty </w:t>
      </w:r>
      <w:r>
        <w:t>skargi skarżącej na podstawie art. 10 i 11 Konwencji są niedopuszczalne z innych powodów.</w:t>
      </w:r>
    </w:p>
    <w:p w14:paraId="1AF07D26" w14:textId="77777777" w:rsidR="0084030C" w:rsidRPr="00AD4DBD" w:rsidRDefault="00C232DF" w:rsidP="00AD4DBD">
      <w:pPr>
        <w:pStyle w:val="JuHa0"/>
      </w:pPr>
      <w:r>
        <w:lastRenderedPageBreak/>
        <w:t>Wyczerpanie krajowych środków odwoławczych</w:t>
      </w:r>
    </w:p>
    <w:p w14:paraId="16FDDD32" w14:textId="77777777" w:rsidR="0084030C" w:rsidRPr="00AD4DBD" w:rsidRDefault="00C232DF" w:rsidP="00AD4DBD">
      <w:pPr>
        <w:pStyle w:val="JuHi"/>
      </w:pPr>
      <w:r>
        <w:t>Zasady ogólne</w:t>
      </w:r>
    </w:p>
    <w:p w14:paraId="241B7818" w14:textId="6A1AF3FA" w:rsidR="0084030C" w:rsidRPr="00AD4DBD" w:rsidRDefault="00AD4DBD" w:rsidP="00AD4DBD">
      <w:pPr>
        <w:pStyle w:val="JuPara"/>
        <w:rPr>
          <w:rStyle w:val="JuParaChar"/>
        </w:rPr>
      </w:pPr>
      <w:r w:rsidRPr="00AD4DBD">
        <w:t>106</w:t>
      </w:r>
      <w:r>
        <w:rPr>
          <w:rStyle w:val="JuParaChar"/>
        </w:rPr>
        <w:t>.</w:t>
      </w:r>
      <w:r w:rsidR="00F35BBD">
        <w:rPr>
          <w:rStyle w:val="JuParaChar"/>
        </w:rPr>
        <w:t xml:space="preserve"> </w:t>
      </w:r>
      <w:r>
        <w:rPr>
          <w:rStyle w:val="JuParaChar"/>
        </w:rPr>
        <w:t>Trybunał orzekł w poprzednich sprawach, że zasada wyczerpania krajowych środków odwoławczych musi być stosowana z pewną dozą elastyczności i bez nadmiernego formalizmu: nie wymaga ona po prostu składania wniosków do odpowiednich sądów krajowych i korzystania ze</w:t>
      </w:r>
      <w:r w:rsidR="00A13522">
        <w:rPr>
          <w:rStyle w:val="JuParaChar"/>
        </w:rPr>
        <w:t> </w:t>
      </w:r>
      <w:r>
        <w:rPr>
          <w:rStyle w:val="JuParaChar"/>
        </w:rPr>
        <w:t>środków odwoławczych mających na celu zakwestionowanie podważanych decyzji, które rzekomo naruszają prawo wynikające z</w:t>
      </w:r>
      <w:r w:rsidR="00A13522">
        <w:rPr>
          <w:rStyle w:val="JuParaChar"/>
        </w:rPr>
        <w:t> </w:t>
      </w:r>
      <w:r>
        <w:rPr>
          <w:rStyle w:val="JuParaChar"/>
        </w:rPr>
        <w:t xml:space="preserve">Konwencji. </w:t>
      </w:r>
      <w:r>
        <w:t>Zwykle wymaga się również, aby wszelkie skargi, które mają zostać następnie wniesione na szczeblu międzynarodowym, zostały rozpatrzone przez te same sądy, przynajmniej co do istoty i zgodnie z</w:t>
      </w:r>
      <w:r w:rsidR="00A13522">
        <w:t> </w:t>
      </w:r>
      <w:r>
        <w:t>wymogami formalnymi i terminami określonymi w prawie krajowym (zob.</w:t>
      </w:r>
      <w:r w:rsidR="00A13522">
        <w:t> </w:t>
      </w:r>
      <w:r>
        <w:t xml:space="preserve">między innymi </w:t>
      </w:r>
      <w:r>
        <w:rPr>
          <w:rStyle w:val="JuParaChar"/>
          <w:i/>
        </w:rPr>
        <w:t xml:space="preserve">Azinas przeciwko Cyprowi </w:t>
      </w:r>
      <w:r>
        <w:rPr>
          <w:rStyle w:val="JuParaChar"/>
        </w:rPr>
        <w:t>[</w:t>
      </w:r>
      <w:r w:rsidR="001834E7">
        <w:rPr>
          <w:rStyle w:val="JuParaChar"/>
        </w:rPr>
        <w:t>WI</w:t>
      </w:r>
      <w:r>
        <w:rPr>
          <w:rStyle w:val="JuParaChar"/>
        </w:rPr>
        <w:t>], nr</w:t>
      </w:r>
      <w:r w:rsidR="00D34971">
        <w:rPr>
          <w:rStyle w:val="JuParaChar"/>
        </w:rPr>
        <w:t xml:space="preserve"> </w:t>
      </w:r>
      <w:r>
        <w:rPr>
          <w:rStyle w:val="JuParaChar"/>
        </w:rPr>
        <w:t>56679/00, §</w:t>
      </w:r>
      <w:r w:rsidR="00D34971">
        <w:rPr>
          <w:rStyle w:val="JuParaChar"/>
        </w:rPr>
        <w:t xml:space="preserve"> </w:t>
      </w:r>
      <w:r>
        <w:rPr>
          <w:rStyle w:val="JuParaChar"/>
        </w:rPr>
        <w:t xml:space="preserve">38, </w:t>
      </w:r>
      <w:r w:rsidR="001834E7">
        <w:rPr>
          <w:rStyle w:val="JuParaChar"/>
        </w:rPr>
        <w:t>ETPC</w:t>
      </w:r>
      <w:r>
        <w:rPr>
          <w:rStyle w:val="JuParaChar"/>
        </w:rPr>
        <w:t xml:space="preserve"> 2004</w:t>
      </w:r>
      <w:r>
        <w:rPr>
          <w:rStyle w:val="JuParaChar"/>
        </w:rPr>
        <w:noBreakHyphen/>
        <w:t xml:space="preserve">III, oraz </w:t>
      </w:r>
      <w:bookmarkStart w:id="41" w:name="_cl39121THELAW"/>
      <w:r>
        <w:rPr>
          <w:i/>
        </w:rPr>
        <w:t>Vučković i Inni przeciwko Serbii</w:t>
      </w:r>
      <w:bookmarkEnd w:id="41"/>
      <w:r>
        <w:t xml:space="preserve"> (</w:t>
      </w:r>
      <w:r w:rsidR="00B213B7">
        <w:t>zastrzeżenie wstępne</w:t>
      </w:r>
      <w:r>
        <w:t>) [</w:t>
      </w:r>
      <w:r w:rsidR="001834E7">
        <w:t>WI</w:t>
      </w:r>
      <w:r>
        <w:t>], nr 17153/11 i 29 inn</w:t>
      </w:r>
      <w:r w:rsidR="00B213B7">
        <w:t>ych skarg</w:t>
      </w:r>
      <w:r>
        <w:t>, § 72, 25 marca 2014 r.).</w:t>
      </w:r>
    </w:p>
    <w:p w14:paraId="4CDAFBA6" w14:textId="78EE061E" w:rsidR="0084030C" w:rsidRPr="00AD4DBD" w:rsidRDefault="00AD4DBD" w:rsidP="00AD4DBD">
      <w:pPr>
        <w:pStyle w:val="JuPara"/>
      </w:pPr>
      <w:r w:rsidRPr="00AD4DBD">
        <w:t>107</w:t>
      </w:r>
      <w:r>
        <w:t>.</w:t>
      </w:r>
      <w:r w:rsidR="00F35BBD">
        <w:t xml:space="preserve"> </w:t>
      </w:r>
      <w:r>
        <w:t>Celem zasady wyczerpania krajowych środków odwoławczych jest umożliwienie władzom krajowym (przede wszystkim organom sądowym) odniesienia się do zarzutów naruszenia prawa wynikającego z Konwencji oraz, w stosownych przypadkach, przyznania zadośćuczynienia, zanim taki zarzut zostanie przedłożony Trybunałowi (zob</w:t>
      </w:r>
      <w:r>
        <w:rPr>
          <w:i/>
        </w:rPr>
        <w:t>. Kudła przeciwko Polsce</w:t>
      </w:r>
      <w:r w:rsidR="00F35BBD">
        <w:rPr>
          <w:i/>
        </w:rPr>
        <w:t xml:space="preserve"> </w:t>
      </w:r>
      <w:r>
        <w:t>[</w:t>
      </w:r>
      <w:r w:rsidR="001834E7">
        <w:t>WI</w:t>
      </w:r>
      <w:r>
        <w:t>] nr 30210/96, § 152, ECHR 2000-XI). Jeżeli skarga przedstawiona przed Trybunałem nie została przedstawiona, w sposób wyraźny lub co do istoty, sądom krajowym, gdy mogła zostać podniesiona w ramach korzystania ze</w:t>
      </w:r>
      <w:r w:rsidR="00A13522">
        <w:t> </w:t>
      </w:r>
      <w:r>
        <w:t xml:space="preserve">środka odwoławczego dostępnego skarżącemu, krajowy porządek prawny został pozbawiony możliwości zajęcia się kwestią konwencyjną. Byłoby sprzeczne z subsydiarnym charakterem mechanizmów Konwencji, gdyby skarżący, ignorując ewentualny argument </w:t>
      </w:r>
      <w:r w:rsidR="00B213B7">
        <w:t xml:space="preserve">na podstawie </w:t>
      </w:r>
      <w:r>
        <w:t>Konwencji, mógł powołać się na inną podstawę przed władzami krajowymi w celu zakwestionowania zaskarżonego środka, a następnie złożyć wniosek do</w:t>
      </w:r>
      <w:r w:rsidR="00A13522">
        <w:t> </w:t>
      </w:r>
      <w:r>
        <w:t xml:space="preserve">Trybunału na podstawie argumentu </w:t>
      </w:r>
      <w:r w:rsidR="00C214E6">
        <w:t xml:space="preserve">opartego na </w:t>
      </w:r>
      <w:r>
        <w:t>Konwencji (zob.</w:t>
      </w:r>
      <w:r w:rsidR="00A13522">
        <w:t> </w:t>
      </w:r>
      <w:r>
        <w:t xml:space="preserve">cytowany powyżej </w:t>
      </w:r>
      <w:r>
        <w:rPr>
          <w:i/>
        </w:rPr>
        <w:t>Azinas</w:t>
      </w:r>
      <w:r>
        <w:t xml:space="preserve">, § 38 oraz cytowany powyżej </w:t>
      </w:r>
      <w:r>
        <w:rPr>
          <w:i/>
        </w:rPr>
        <w:t>Vučković i inni</w:t>
      </w:r>
      <w:r>
        <w:t>, §</w:t>
      </w:r>
      <w:r w:rsidR="00A13522">
        <w:t> </w:t>
      </w:r>
      <w:r>
        <w:t>75).</w:t>
      </w:r>
    </w:p>
    <w:p w14:paraId="07F4DB5C" w14:textId="40F6A99C" w:rsidR="0084030C" w:rsidRPr="00AD4DBD" w:rsidRDefault="00AD4DBD" w:rsidP="00AD4DBD">
      <w:pPr>
        <w:pStyle w:val="JuPara"/>
      </w:pPr>
      <w:r w:rsidRPr="00AD4DBD">
        <w:t>108</w:t>
      </w:r>
      <w:r>
        <w:t>.</w:t>
      </w:r>
      <w:r w:rsidR="00F35BBD">
        <w:t xml:space="preserve"> </w:t>
      </w:r>
      <w:r>
        <w:t>Nawet w tych jurysdykcjach, w których sądy krajowe w</w:t>
      </w:r>
      <w:r w:rsidR="00A13522">
        <w:t> </w:t>
      </w:r>
      <w:r>
        <w:t>postępowaniu cywilnym są w stanie, a nawet są zobowiązane, do</w:t>
      </w:r>
      <w:r w:rsidR="00A13522">
        <w:t> </w:t>
      </w:r>
      <w:r>
        <w:t xml:space="preserve">rozpatrzenia sprawy z urzędu (tj. do stosowania zasady </w:t>
      </w:r>
      <w:r>
        <w:rPr>
          <w:i/>
        </w:rPr>
        <w:t>jura novit curia</w:t>
      </w:r>
      <w:r>
        <w:t xml:space="preserve">), skarżący nie są zwolnieni z podnoszenia przed nimi skargi, którą mogą zamierzać następnie złożyć do Trybunału (zob. m.in. </w:t>
      </w:r>
      <w:r>
        <w:rPr>
          <w:i/>
        </w:rPr>
        <w:t>Kandarakis przeciwko Grecji</w:t>
      </w:r>
      <w:r>
        <w:t>, nr</w:t>
      </w:r>
      <w:r w:rsidR="00F35BBD">
        <w:t xml:space="preserve"> </w:t>
      </w:r>
      <w:r>
        <w:t>48345/12 i 2 inne, § 77, 11 czerwca 2020 r.), co oznacza, że</w:t>
      </w:r>
      <w:r w:rsidR="00A13522">
        <w:t> </w:t>
      </w:r>
      <w:r>
        <w:t>do</w:t>
      </w:r>
      <w:r w:rsidR="00A13522">
        <w:t> </w:t>
      </w:r>
      <w:r>
        <w:t xml:space="preserve">celów wyczerpania krajowych środków odwoławczych Trybunał musi wziąć pod uwagę nie tylko fakty, ale także argumenty prawne przedstawione w kraju </w:t>
      </w:r>
      <w:bookmarkStart w:id="42" w:name="_cl42547THELAW"/>
      <w:r>
        <w:t xml:space="preserve">(zob. </w:t>
      </w:r>
      <w:r>
        <w:rPr>
          <w:i/>
        </w:rPr>
        <w:t>Fu Quan, s.r.o. przeciwko Republice Czeskiej</w:t>
      </w:r>
      <w:bookmarkEnd w:id="42"/>
      <w:r>
        <w:t xml:space="preserve"> [</w:t>
      </w:r>
      <w:r w:rsidR="001834E7">
        <w:t>WI</w:t>
      </w:r>
      <w:r>
        <w:t>], nr</w:t>
      </w:r>
      <w:r w:rsidR="00A13522">
        <w:t> </w:t>
      </w:r>
      <w:r>
        <w:t>24827/14, § 171, 1 czerwca 2023 r.).</w:t>
      </w:r>
    </w:p>
    <w:p w14:paraId="579019E8" w14:textId="143C440F" w:rsidR="0084030C" w:rsidRPr="00AD4DBD" w:rsidRDefault="00AD4DBD" w:rsidP="00AD4DBD">
      <w:pPr>
        <w:pStyle w:val="JuPara"/>
      </w:pPr>
      <w:r w:rsidRPr="00AD4DBD">
        <w:lastRenderedPageBreak/>
        <w:t>109</w:t>
      </w:r>
      <w:r>
        <w:t>.</w:t>
      </w:r>
      <w:r w:rsidR="00F35BBD">
        <w:t xml:space="preserve"> </w:t>
      </w:r>
      <w:r>
        <w:t>Podobnie nie jest wystarczające, że naruszenie Konwencji jest „oczywiste” w świetle faktów sprawy lub oświadczeń skarżącego. Skarżący musi faktycznie złożyć skargę (wyraźnie lub co do istoty) na takie naruszenie w sposób, który nie pozostawia wątpliwości, że ta sama skarga, która została następnie przedłożona Trybunałowi, została rzeczywiście wniesiona na</w:t>
      </w:r>
      <w:r w:rsidR="00A13522">
        <w:t> </w:t>
      </w:r>
      <w:r>
        <w:t xml:space="preserve">szczeblu krajowym (zob. </w:t>
      </w:r>
      <w:r>
        <w:rPr>
          <w:i/>
        </w:rPr>
        <w:t>Fu Quan, s.r.o.</w:t>
      </w:r>
      <w:r>
        <w:t>, op. cit., § 172).</w:t>
      </w:r>
    </w:p>
    <w:p w14:paraId="4E3ED00B" w14:textId="77777777" w:rsidR="0084030C" w:rsidRPr="00AD4DBD" w:rsidRDefault="00C232DF" w:rsidP="00AD4DBD">
      <w:pPr>
        <w:pStyle w:val="JuHi"/>
      </w:pPr>
      <w:r>
        <w:t>Zastosowanie wymienionych zasad do niniejszej sprawy</w:t>
      </w:r>
    </w:p>
    <w:p w14:paraId="5AC00C03" w14:textId="58B6B655" w:rsidR="0084030C" w:rsidRPr="00AD4DBD" w:rsidRDefault="00AD4DBD" w:rsidP="00AD4DBD">
      <w:pPr>
        <w:pStyle w:val="JuPara"/>
      </w:pPr>
      <w:r w:rsidRPr="00AD4DBD">
        <w:t>110</w:t>
      </w:r>
      <w:r>
        <w:t>.</w:t>
      </w:r>
      <w:r w:rsidR="00F35BBD">
        <w:t xml:space="preserve"> </w:t>
      </w:r>
      <w:r>
        <w:t>Trybunał zauważa, że w dniu 16 czerwca 2017 r. skarżąca wniosła zażalenie w sprawie swojego aresztowania do Sądu Rejonowego dla</w:t>
      </w:r>
      <w:r w:rsidR="00A13522">
        <w:t> </w:t>
      </w:r>
      <w:r>
        <w:rPr>
          <w:rFonts w:ascii="Times New Roman" w:hAnsi="Times New Roman"/>
          <w:color w:val="000000"/>
        </w:rPr>
        <w:t>Warszawy-Śródmieścia</w:t>
      </w:r>
      <w:r>
        <w:t xml:space="preserve"> (zob. paragraf</w:t>
      </w:r>
      <w:r w:rsidR="00D34971">
        <w:t xml:space="preserve"> </w:t>
      </w:r>
      <w:r w:rsidRPr="00AD4DBD">
        <w:t>14</w:t>
      </w:r>
      <w:r>
        <w:t xml:space="preserve"> powyżej) oraz że Trybunał uznał już, że </w:t>
      </w:r>
      <w:r w:rsidR="000E1BA0">
        <w:t xml:space="preserve">na potrzeby </w:t>
      </w:r>
      <w:r w:rsidR="00C214E6">
        <w:t xml:space="preserve">zarzutu </w:t>
      </w:r>
      <w:r>
        <w:t xml:space="preserve">jej skargi na podstawie </w:t>
      </w:r>
      <w:r w:rsidR="000E1BA0">
        <w:t>a</w:t>
      </w:r>
      <w:r>
        <w:t>rt. 5 Konwencji skarżąca nie była zobowiązana do wyczerpania dalszych krajowych środków odwoławczych (zob. paragrafy</w:t>
      </w:r>
      <w:r w:rsidR="00D34971">
        <w:t xml:space="preserve"> </w:t>
      </w:r>
      <w:r w:rsidRPr="00AD4DBD">
        <w:t>71</w:t>
      </w:r>
      <w:r w:rsidR="00C214E6">
        <w:t>–</w:t>
      </w:r>
      <w:r w:rsidRPr="00AD4DBD">
        <w:t>73</w:t>
      </w:r>
      <w:r>
        <w:t xml:space="preserve"> powyżej).</w:t>
      </w:r>
    </w:p>
    <w:p w14:paraId="1499BD03" w14:textId="35949938" w:rsidR="0084030C" w:rsidRPr="00AD4DBD" w:rsidRDefault="00AD4DBD" w:rsidP="00AD4DBD">
      <w:pPr>
        <w:pStyle w:val="JuPara"/>
        <w:rPr>
          <w:rStyle w:val="JuParaChar"/>
        </w:rPr>
      </w:pPr>
      <w:r w:rsidRPr="00AD4DBD">
        <w:t>111</w:t>
      </w:r>
      <w:r>
        <w:t>.</w:t>
      </w:r>
      <w:r w:rsidR="00F35BBD">
        <w:t xml:space="preserve"> </w:t>
      </w:r>
      <w:r>
        <w:t xml:space="preserve">W odpowiedzi na argument skarżącej (zob. paragraf </w:t>
      </w:r>
      <w:r w:rsidRPr="00AD4DBD">
        <w:t>104</w:t>
      </w:r>
      <w:r>
        <w:t xml:space="preserve"> powyżej) Trybunał, po dokładnym zbadaniu jej </w:t>
      </w:r>
      <w:r w:rsidR="000E1BA0" w:rsidRPr="00313F6A">
        <w:t>zażalenia</w:t>
      </w:r>
      <w:r w:rsidRPr="00313F6A">
        <w:t xml:space="preserve"> z</w:t>
      </w:r>
      <w:r>
        <w:t xml:space="preserve"> dnia 16 czerwca 2017 r., stwierdza, że w tym środku odwoławczym nie podniosła ona, nawet co</w:t>
      </w:r>
      <w:r w:rsidR="00A13522">
        <w:t> </w:t>
      </w:r>
      <w:r>
        <w:t>do</w:t>
      </w:r>
      <w:r w:rsidR="00A13522">
        <w:t> </w:t>
      </w:r>
      <w:r>
        <w:t>istoty, żadnych zarzutów dotyczących jej praw do wolności wy</w:t>
      </w:r>
      <w:r w:rsidR="000E1BA0">
        <w:t xml:space="preserve">rażania opinii </w:t>
      </w:r>
      <w:r>
        <w:t>lub wolności zgromadzeń.</w:t>
      </w:r>
      <w:r>
        <w:rPr>
          <w:rStyle w:val="JuParaChar"/>
        </w:rPr>
        <w:t xml:space="preserve"> Wydaje się, że w postępowaniu przed sądami krajowymi skarżąca zdecydowała się na obronę przy użyciu argumentów innych niż te, które następnie podniosła w skardze do</w:t>
      </w:r>
      <w:r w:rsidR="00A13522">
        <w:rPr>
          <w:rStyle w:val="JuParaChar"/>
        </w:rPr>
        <w:t> </w:t>
      </w:r>
      <w:r>
        <w:rPr>
          <w:rStyle w:val="JuParaChar"/>
        </w:rPr>
        <w:t>Trybunału.</w:t>
      </w:r>
    </w:p>
    <w:p w14:paraId="68F4E179" w14:textId="69FA91D6" w:rsidR="0084030C" w:rsidRPr="00AD4DBD" w:rsidRDefault="00AD4DBD" w:rsidP="00AD4DBD">
      <w:pPr>
        <w:pStyle w:val="JuPara"/>
      </w:pPr>
      <w:r w:rsidRPr="00AD4DBD">
        <w:rPr>
          <w:rStyle w:val="JuParaChar"/>
        </w:rPr>
        <w:t>112</w:t>
      </w:r>
      <w:r w:rsidR="00C232DF">
        <w:rPr>
          <w:rStyle w:val="JuParaChar"/>
        </w:rPr>
        <w:t>.</w:t>
      </w:r>
      <w:r w:rsidR="00F35BBD">
        <w:rPr>
          <w:rStyle w:val="JuParaChar"/>
        </w:rPr>
        <w:t xml:space="preserve"> </w:t>
      </w:r>
      <w:r w:rsidR="00C232DF">
        <w:t xml:space="preserve">Podsumowując, skarżąca nie zapewniła władzom polskim możliwości, która co do zasady powinna być przyznana </w:t>
      </w:r>
      <w:r w:rsidR="009D36CE">
        <w:t>układającemu się państwu</w:t>
      </w:r>
      <w:r w:rsidR="00C232DF">
        <w:t xml:space="preserve"> na mocy art. 35 Konwencji, a mianowicie możliwości zajęcia się konkretnym naruszeniem Konwencji zarzucanym</w:t>
      </w:r>
      <w:r w:rsidR="000E1BA0">
        <w:t xml:space="preserve"> państwu</w:t>
      </w:r>
      <w:r w:rsidR="00C232DF">
        <w:t>, a tym samym zapobieżenia mu lub usunięcia jego skutków (zob. m.in. wyroki,</w:t>
      </w:r>
      <w:bookmarkStart w:id="43" w:name="_cl36084THELAW"/>
      <w:r w:rsidR="00C232DF">
        <w:t xml:space="preserve"> </w:t>
      </w:r>
      <w:r w:rsidR="00C232DF">
        <w:rPr>
          <w:i/>
        </w:rPr>
        <w:t>Sejdovic przeciwko Włochom</w:t>
      </w:r>
      <w:bookmarkEnd w:id="43"/>
      <w:r w:rsidR="00C232DF">
        <w:t xml:space="preserve"> [</w:t>
      </w:r>
      <w:r w:rsidR="001834E7">
        <w:t>WI</w:t>
      </w:r>
      <w:r w:rsidR="00C232DF">
        <w:t xml:space="preserve">], nr 56581/00, § 43, </w:t>
      </w:r>
      <w:r w:rsidR="001834E7">
        <w:t>ETPC</w:t>
      </w:r>
      <w:r w:rsidR="00C232DF">
        <w:t xml:space="preserve"> 2006-II, oraz </w:t>
      </w:r>
      <w:r w:rsidR="00C232DF">
        <w:rPr>
          <w:i/>
        </w:rPr>
        <w:t>Irzyk przeciwko Polsce</w:t>
      </w:r>
      <w:r w:rsidR="00C232DF">
        <w:t xml:space="preserve"> (dec.), nr 58113/09, § 40, 28 lutego 2017 r.). Za</w:t>
      </w:r>
      <w:r w:rsidR="000E1BA0">
        <w:t>strzeżenie</w:t>
      </w:r>
      <w:r w:rsidR="00C232DF">
        <w:t xml:space="preserve">, że </w:t>
      </w:r>
      <w:r w:rsidR="000E1BA0">
        <w:t xml:space="preserve">nie został wykorzystany przez skarżącą </w:t>
      </w:r>
      <w:r w:rsidR="00C232DF">
        <w:t xml:space="preserve">odpowiedni „skuteczny” krajowy środek odwoławczy w odniesieniu do </w:t>
      </w:r>
      <w:r w:rsidR="000E1BA0">
        <w:t xml:space="preserve">zarzutów </w:t>
      </w:r>
      <w:r w:rsidR="00C232DF">
        <w:t>jej skarg</w:t>
      </w:r>
      <w:r w:rsidR="000E1BA0">
        <w:t>i</w:t>
      </w:r>
      <w:r w:rsidR="00C232DF">
        <w:t xml:space="preserve"> na podstawie art.</w:t>
      </w:r>
      <w:r w:rsidR="00A13522">
        <w:t> </w:t>
      </w:r>
      <w:r w:rsidR="00C232DF">
        <w:t>10 i 11 Konwencji</w:t>
      </w:r>
      <w:r w:rsidR="000E1BA0">
        <w:t>,</w:t>
      </w:r>
      <w:r w:rsidR="00C232DF">
        <w:t xml:space="preserve"> jest zatem dobrze uzasadnion</w:t>
      </w:r>
      <w:r w:rsidR="000E1BA0">
        <w:t>e</w:t>
      </w:r>
      <w:r w:rsidR="00C232DF">
        <w:t>.</w:t>
      </w:r>
    </w:p>
    <w:p w14:paraId="157AC071" w14:textId="5DF521D9" w:rsidR="0084030C" w:rsidRPr="00AD4DBD" w:rsidRDefault="00AD4DBD" w:rsidP="00AD4DBD">
      <w:pPr>
        <w:pStyle w:val="JuPara"/>
      </w:pPr>
      <w:r w:rsidRPr="00AD4DBD">
        <w:t>113</w:t>
      </w:r>
      <w:r>
        <w:t>.</w:t>
      </w:r>
      <w:r w:rsidR="00F35BBD">
        <w:t xml:space="preserve"> </w:t>
      </w:r>
      <w:r>
        <w:t xml:space="preserve">W konsekwencji </w:t>
      </w:r>
      <w:r w:rsidR="008B51E1">
        <w:t xml:space="preserve">te zarzuty </w:t>
      </w:r>
      <w:r>
        <w:t xml:space="preserve">skargi muszą zostać odrzucone jako niedopuszczalne, zgodnie z art. 35 </w:t>
      </w:r>
      <w:r w:rsidR="001834E7">
        <w:t>ust.</w:t>
      </w:r>
      <w:r>
        <w:t xml:space="preserve"> 1 i 4</w:t>
      </w:r>
      <w:r w:rsidR="00D34971">
        <w:t xml:space="preserve"> </w:t>
      </w:r>
      <w:r>
        <w:rPr>
          <w:i/>
        </w:rPr>
        <w:t>in fine</w:t>
      </w:r>
      <w:r w:rsidR="00D34971">
        <w:t xml:space="preserve"> </w:t>
      </w:r>
      <w:r>
        <w:t>Konwencji.</w:t>
      </w:r>
    </w:p>
    <w:p w14:paraId="21356E98" w14:textId="202067E3" w:rsidR="0084030C" w:rsidRPr="00AD4DBD" w:rsidRDefault="00C232DF" w:rsidP="00AD4DBD">
      <w:pPr>
        <w:pStyle w:val="JuHIRoman"/>
      </w:pPr>
      <w:r>
        <w:t>ZASTOSOWANIE ART</w:t>
      </w:r>
      <w:r w:rsidR="00297579">
        <w:t>.</w:t>
      </w:r>
      <w:r>
        <w:t xml:space="preserve"> 41 KONWENCJI</w:t>
      </w:r>
    </w:p>
    <w:p w14:paraId="19E071E5" w14:textId="163E3214" w:rsidR="0084030C" w:rsidRPr="00AD4DBD" w:rsidRDefault="00AD4DBD" w:rsidP="00AD4DBD">
      <w:pPr>
        <w:pStyle w:val="JuPara"/>
      </w:pPr>
      <w:r w:rsidRPr="00AD4DBD">
        <w:t>114</w:t>
      </w:r>
      <w:r>
        <w:t>.</w:t>
      </w:r>
      <w:r w:rsidR="00F35BBD">
        <w:t xml:space="preserve"> </w:t>
      </w:r>
      <w:r>
        <w:t>Art</w:t>
      </w:r>
      <w:r w:rsidR="00297579">
        <w:t>ykuł</w:t>
      </w:r>
      <w:r>
        <w:t xml:space="preserve"> 41 Konwencji stanowi:</w:t>
      </w:r>
    </w:p>
    <w:p w14:paraId="527E2C44" w14:textId="72AA9CEF" w:rsidR="0084030C" w:rsidRPr="00AD4DBD" w:rsidRDefault="00C232DF" w:rsidP="00AD4DBD">
      <w:pPr>
        <w:pStyle w:val="JuQuot"/>
      </w:pPr>
      <w:r>
        <w:t>„</w:t>
      </w:r>
      <w:r w:rsidR="00E42A22" w:rsidRPr="00E42A22">
        <w:t>Jeśli Trybunał stwierdzi, że nastąpiło naruszenie Konwencji lub jej protokołów, oraz</w:t>
      </w:r>
      <w:r w:rsidR="00A13522">
        <w:t> </w:t>
      </w:r>
      <w:r w:rsidR="00E42A22" w:rsidRPr="00E42A22">
        <w:t>jeśli prawo wewnętrzne zainteresowanej Wysokiej Układającej się Strony pozwala tylko na częściowe usunięcie konsekwencji tego naruszenia, Trybunał orzeka, gdy</w:t>
      </w:r>
      <w:r w:rsidR="00A13522">
        <w:t> </w:t>
      </w:r>
      <w:r w:rsidR="00E42A22" w:rsidRPr="00E42A22">
        <w:t>zachodzi potrzeba, słuszne zadośćuczynienie pokrzywdzonej stronie</w:t>
      </w:r>
      <w:r w:rsidR="00E42A22">
        <w:t>”.</w:t>
      </w:r>
    </w:p>
    <w:p w14:paraId="4D7510E2" w14:textId="77777777" w:rsidR="0084030C" w:rsidRPr="00AD4DBD" w:rsidRDefault="00C232DF" w:rsidP="00AD4DBD">
      <w:pPr>
        <w:pStyle w:val="JuHA"/>
      </w:pPr>
      <w:r>
        <w:lastRenderedPageBreak/>
        <w:t>Szkoda</w:t>
      </w:r>
    </w:p>
    <w:p w14:paraId="1F158253" w14:textId="601CE9FE" w:rsidR="0084030C" w:rsidRPr="00AD4DBD" w:rsidRDefault="00AD4DBD" w:rsidP="00AD4DBD">
      <w:pPr>
        <w:pStyle w:val="JuPara"/>
      </w:pPr>
      <w:r w:rsidRPr="00AD4DBD">
        <w:t>115</w:t>
      </w:r>
      <w:r>
        <w:t>.</w:t>
      </w:r>
      <w:r w:rsidR="00F35BBD">
        <w:t xml:space="preserve"> </w:t>
      </w:r>
      <w:r>
        <w:t xml:space="preserve">Skarżąca domagała się kwoty 3000 euro (EUR) z tytułu szkody niemajątkowej poniesionej w wyniku </w:t>
      </w:r>
      <w:r w:rsidR="00F24E9F">
        <w:t xml:space="preserve">zarzucanego </w:t>
      </w:r>
      <w:r>
        <w:t xml:space="preserve">naruszenia jej praw wynikających z </w:t>
      </w:r>
      <w:r w:rsidR="00143E7C">
        <w:t>art. 5 ust. 1</w:t>
      </w:r>
      <w:r>
        <w:t xml:space="preserve"> Konwencji, 1000 euro z tytułu szkody niemajątkowej wynikającej z </w:t>
      </w:r>
      <w:r w:rsidR="00F24E9F">
        <w:t xml:space="preserve">zarzucanego </w:t>
      </w:r>
      <w:r>
        <w:t xml:space="preserve">naruszenia art. 10 oraz 2000 euro z tytułu szkody niemajątkowej wynikającej z </w:t>
      </w:r>
      <w:r w:rsidR="00F24E9F">
        <w:t xml:space="preserve">zarzucanego </w:t>
      </w:r>
      <w:r>
        <w:t xml:space="preserve">naruszenia art. 11. </w:t>
      </w:r>
    </w:p>
    <w:p w14:paraId="173563ED" w14:textId="18C71F2E" w:rsidR="0084030C" w:rsidRPr="00AD4DBD" w:rsidRDefault="00AD4DBD" w:rsidP="00AD4DBD">
      <w:pPr>
        <w:pStyle w:val="JuPara"/>
      </w:pPr>
      <w:r w:rsidRPr="00AD4DBD">
        <w:t>116</w:t>
      </w:r>
      <w:r>
        <w:t>.</w:t>
      </w:r>
      <w:r w:rsidR="00F35BBD">
        <w:t xml:space="preserve"> </w:t>
      </w:r>
      <w:r>
        <w:t xml:space="preserve">Rząd twierdził, że roszczenia skarżącej są bezpodstawne i niepoparte żadnymi dokumentami. </w:t>
      </w:r>
      <w:r w:rsidR="00F24E9F">
        <w:t>W</w:t>
      </w:r>
      <w:r>
        <w:t>niósł o oddalenie roszczeń.</w:t>
      </w:r>
    </w:p>
    <w:p w14:paraId="7647304B" w14:textId="21A327A2" w:rsidR="0084030C" w:rsidRPr="00AD4DBD" w:rsidRDefault="00AD4DBD" w:rsidP="00AD4DBD">
      <w:pPr>
        <w:pStyle w:val="JuPara"/>
      </w:pPr>
      <w:r w:rsidRPr="00AD4DBD">
        <w:t>117</w:t>
      </w:r>
      <w:r>
        <w:t>.</w:t>
      </w:r>
      <w:r w:rsidR="00F35BBD">
        <w:t xml:space="preserve"> </w:t>
      </w:r>
      <w:r>
        <w:t xml:space="preserve">Po stwierdzeniu naruszenia praw skarżącej wynikających z </w:t>
      </w:r>
      <w:r w:rsidR="00143E7C">
        <w:t>art. 5 ust.</w:t>
      </w:r>
      <w:r w:rsidR="00A13522">
        <w:t> </w:t>
      </w:r>
      <w:r w:rsidR="00143E7C">
        <w:t>1</w:t>
      </w:r>
      <w:r>
        <w:t xml:space="preserve"> Konwencji i uznaniu pozostałych skarg za niedopuszczalne, Trybunał przyznaje skarżącej kwotę 3000 euro z tytułu szkody niemajątkowej wy</w:t>
      </w:r>
      <w:r w:rsidR="00F24E9F">
        <w:t xml:space="preserve">rządzonej </w:t>
      </w:r>
      <w:r>
        <w:t>naruszeni</w:t>
      </w:r>
      <w:r w:rsidR="00F24E9F">
        <w:t>em</w:t>
      </w:r>
      <w:r>
        <w:t xml:space="preserve"> jej praw wynikających z </w:t>
      </w:r>
      <w:r w:rsidR="00143E7C">
        <w:t>art. 5 ust. 1</w:t>
      </w:r>
      <w:r>
        <w:t xml:space="preserve">, powiększoną o wszelkie podatki, </w:t>
      </w:r>
      <w:r w:rsidR="00F24E9F">
        <w:t xml:space="preserve">jakie </w:t>
      </w:r>
      <w:r>
        <w:t>mogą być naliczone.</w:t>
      </w:r>
    </w:p>
    <w:p w14:paraId="2414AC1A" w14:textId="77777777" w:rsidR="0084030C" w:rsidRPr="00AD4DBD" w:rsidRDefault="00C232DF" w:rsidP="00AD4DBD">
      <w:pPr>
        <w:pStyle w:val="JuHA"/>
      </w:pPr>
      <w:r>
        <w:t>Koszty i wydatki</w:t>
      </w:r>
    </w:p>
    <w:p w14:paraId="481B28DA" w14:textId="6CC1FF94" w:rsidR="0084030C" w:rsidRPr="00AD4DBD" w:rsidRDefault="00AD4DBD" w:rsidP="00AD4DBD">
      <w:pPr>
        <w:pStyle w:val="JuPara"/>
      </w:pPr>
      <w:r w:rsidRPr="00AD4DBD">
        <w:t>118</w:t>
      </w:r>
      <w:r>
        <w:t>.</w:t>
      </w:r>
      <w:r w:rsidR="00F35BBD">
        <w:t xml:space="preserve"> </w:t>
      </w:r>
      <w:r>
        <w:t xml:space="preserve">Skarżąca nie wniosła żadnego roszczenia w odniesieniu do kosztów i wydatków, ponieważ była reprezentowana na zasadzie </w:t>
      </w:r>
      <w:r>
        <w:rPr>
          <w:i/>
        </w:rPr>
        <w:t>pro bono</w:t>
      </w:r>
      <w:r>
        <w:t>.</w:t>
      </w:r>
    </w:p>
    <w:p w14:paraId="54FB1101" w14:textId="77777777" w:rsidR="0084030C" w:rsidRPr="00AD4DBD" w:rsidRDefault="00C232DF" w:rsidP="00AD4DBD">
      <w:pPr>
        <w:pStyle w:val="JuHHead"/>
      </w:pPr>
      <w:r>
        <w:t>Z POWYŻSZYCH POWODÓW TRYBUNAŁ JEDNOGŁOŚNIE</w:t>
      </w:r>
    </w:p>
    <w:p w14:paraId="3EC83D16" w14:textId="15D50736" w:rsidR="0084030C" w:rsidRPr="00AD4DBD" w:rsidRDefault="00C232DF" w:rsidP="00AD4DBD">
      <w:pPr>
        <w:pStyle w:val="JuList"/>
      </w:pPr>
      <w:r>
        <w:rPr>
          <w:i/>
        </w:rPr>
        <w:t>Uznaje</w:t>
      </w:r>
      <w:r>
        <w:t xml:space="preserve"> </w:t>
      </w:r>
      <w:r w:rsidR="00F24E9F">
        <w:t xml:space="preserve">zarzut </w:t>
      </w:r>
      <w:r>
        <w:t>skarg</w:t>
      </w:r>
      <w:r w:rsidR="00F24E9F">
        <w:t>i</w:t>
      </w:r>
      <w:r>
        <w:t xml:space="preserve"> dotycząc</w:t>
      </w:r>
      <w:r w:rsidR="00F24E9F">
        <w:t>y</w:t>
      </w:r>
      <w:r>
        <w:t xml:space="preserve"> </w:t>
      </w:r>
      <w:r w:rsidR="00143E7C">
        <w:t>art. 5 ust. 1</w:t>
      </w:r>
      <w:r>
        <w:t xml:space="preserve"> za dopuszczaln</w:t>
      </w:r>
      <w:r w:rsidR="00F24E9F">
        <w:t>y</w:t>
      </w:r>
      <w:r>
        <w:t>, a pozostałą część skargi za niedopuszczalną;</w:t>
      </w:r>
    </w:p>
    <w:p w14:paraId="22DC5A26" w14:textId="2C3BDC3C" w:rsidR="0084030C" w:rsidRPr="00AD4DBD" w:rsidRDefault="00C232DF" w:rsidP="00AD4DBD">
      <w:pPr>
        <w:pStyle w:val="JuList"/>
      </w:pPr>
      <w:r>
        <w:rPr>
          <w:i/>
        </w:rPr>
        <w:t>Stwierdza</w:t>
      </w:r>
      <w:r>
        <w:t xml:space="preserve">, że doszło do naruszenia </w:t>
      </w:r>
      <w:r w:rsidR="00F24E9F">
        <w:t xml:space="preserve">art. </w:t>
      </w:r>
      <w:r>
        <w:t xml:space="preserve">5 </w:t>
      </w:r>
      <w:r w:rsidR="0052240B">
        <w:t>ust. 1 Konwencji</w:t>
      </w:r>
      <w:r>
        <w:t>;</w:t>
      </w:r>
    </w:p>
    <w:p w14:paraId="7A7B1F85" w14:textId="77777777" w:rsidR="0084030C" w:rsidRPr="00AD4DBD" w:rsidRDefault="00C232DF" w:rsidP="00AD4DBD">
      <w:pPr>
        <w:pStyle w:val="JuList"/>
      </w:pPr>
      <w:r>
        <w:rPr>
          <w:i/>
        </w:rPr>
        <w:t>Orzeka</w:t>
      </w:r>
    </w:p>
    <w:p w14:paraId="6075289A" w14:textId="209DB316" w:rsidR="0084030C" w:rsidRPr="00AD4DBD" w:rsidRDefault="00C232DF" w:rsidP="00AD4DBD">
      <w:pPr>
        <w:pStyle w:val="JuLista"/>
      </w:pPr>
      <w:r>
        <w:t xml:space="preserve">że pozwane </w:t>
      </w:r>
      <w:r w:rsidR="009D36CE">
        <w:t xml:space="preserve">państwo </w:t>
      </w:r>
      <w:r>
        <w:t>zapłaci skarżącej, w terminie trzech miesięcy od</w:t>
      </w:r>
      <w:r w:rsidR="00A13522">
        <w:t> </w:t>
      </w:r>
      <w:r>
        <w:t>dnia, w którym wyrok stanie się</w:t>
      </w:r>
      <w:r w:rsidR="005C6F3A">
        <w:t xml:space="preserve"> ostateczny</w:t>
      </w:r>
      <w:r>
        <w:t xml:space="preserve"> zgodnie z art. 44 </w:t>
      </w:r>
      <w:r w:rsidR="005C6F3A">
        <w:t>ust.</w:t>
      </w:r>
      <w:r>
        <w:t xml:space="preserve"> 2 Konwencji, kwotę 3000 EUR (trzy tysiące euro)</w:t>
      </w:r>
      <w:r>
        <w:rPr>
          <w:b/>
        </w:rPr>
        <w:t xml:space="preserve"> </w:t>
      </w:r>
      <w:r w:rsidR="00737F3E">
        <w:t xml:space="preserve">tytułem szkody niemajątkowej, </w:t>
      </w:r>
      <w:r>
        <w:t>powiększoną o</w:t>
      </w:r>
      <w:r w:rsidR="00A13522">
        <w:t> </w:t>
      </w:r>
      <w:r>
        <w:t xml:space="preserve">wszelkie podatki, </w:t>
      </w:r>
      <w:r w:rsidR="00F24E9F">
        <w:t xml:space="preserve">jakie </w:t>
      </w:r>
      <w:r>
        <w:t>mogą być naliczone, , która</w:t>
      </w:r>
      <w:r w:rsidR="0085103A">
        <w:t xml:space="preserve"> </w:t>
      </w:r>
      <w:r>
        <w:t xml:space="preserve">zostanie przeliczona na </w:t>
      </w:r>
      <w:r>
        <w:rPr>
          <w:color w:val="000000"/>
        </w:rPr>
        <w:t xml:space="preserve">walutę pozwanego </w:t>
      </w:r>
      <w:r w:rsidR="009D36CE">
        <w:rPr>
          <w:color w:val="000000"/>
        </w:rPr>
        <w:t>państwa</w:t>
      </w:r>
      <w:r w:rsidR="009D36CE">
        <w:t xml:space="preserve"> </w:t>
      </w:r>
      <w:r>
        <w:t>po kursie obowiązującym w dniu rozliczenia:</w:t>
      </w:r>
    </w:p>
    <w:p w14:paraId="09A37C62" w14:textId="3F0FC959" w:rsidR="0084030C" w:rsidRPr="00AD4DBD" w:rsidRDefault="00C232DF" w:rsidP="00AD4DBD">
      <w:pPr>
        <w:pStyle w:val="JuLista"/>
      </w:pPr>
      <w:r>
        <w:t xml:space="preserve">że od upływu wskazanego </w:t>
      </w:r>
      <w:r w:rsidR="0085103A">
        <w:t xml:space="preserve">wyżej </w:t>
      </w:r>
      <w:r>
        <w:t>terminu trzech miesięcy aż do momentu uregulowania należności płatne będą odsetki zwykłe od</w:t>
      </w:r>
      <w:r w:rsidR="00A13522">
        <w:t> </w:t>
      </w:r>
      <w:r>
        <w:t>określon</w:t>
      </w:r>
      <w:r w:rsidR="0085103A">
        <w:t>ej</w:t>
      </w:r>
      <w:r>
        <w:t xml:space="preserve"> powyżej kwot</w:t>
      </w:r>
      <w:r w:rsidR="0085103A">
        <w:t>y</w:t>
      </w:r>
      <w:r>
        <w:t>, naliczone według stopy równej marginalnej stopie procentowej Europejskiego Banku Centralnego obowiązującej w tym okresie, powiększonej o trzy punkty procentowe;</w:t>
      </w:r>
    </w:p>
    <w:p w14:paraId="5FE7664F" w14:textId="77777777" w:rsidR="004D0EC7" w:rsidRPr="00AD4DBD" w:rsidRDefault="00C232DF" w:rsidP="00AD4DBD">
      <w:pPr>
        <w:pStyle w:val="JuList"/>
      </w:pPr>
      <w:r>
        <w:rPr>
          <w:i/>
        </w:rPr>
        <w:t>Oddala</w:t>
      </w:r>
      <w:r>
        <w:t xml:space="preserve"> pozostałą część roszczeń skarżącej dotyczących słusznego zadośćuczynienia.</w:t>
      </w:r>
    </w:p>
    <w:p w14:paraId="4B4CD311" w14:textId="77777777" w:rsidR="008E3A08" w:rsidRPr="00AD4DBD" w:rsidRDefault="00C232DF" w:rsidP="00AD4DBD">
      <w:pPr>
        <w:pStyle w:val="JuParaLast"/>
      </w:pPr>
      <w:r>
        <w:lastRenderedPageBreak/>
        <w:t>Sporządzono w języku angielskim i ogłoszono pisemnie w dniu 31 lipca 2025 r. zgodnie z Regułą 77 §§ 2 i 3 Regulaminu Trybunału.</w:t>
      </w:r>
    </w:p>
    <w:p w14:paraId="5A377567" w14:textId="77777777" w:rsidR="00AE0FBC" w:rsidRPr="00AD4DBD" w:rsidRDefault="00C232DF" w:rsidP="00AD4DBD">
      <w:pPr>
        <w:pStyle w:val="ECHRPlaceholder"/>
        <w:rPr>
          <w:szCs w:val="22"/>
        </w:rPr>
      </w:pPr>
      <w: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4"/>
        <w:gridCol w:w="3674"/>
      </w:tblGrid>
      <w:tr w:rsidR="00AE0FBC" w:rsidRPr="00AE0FBC" w14:paraId="3EC3F858" w14:textId="77777777" w:rsidTr="00AE0FBC">
        <w:tc>
          <w:tcPr>
            <w:tcW w:w="3674" w:type="dxa"/>
          </w:tcPr>
          <w:p w14:paraId="4C7344E6" w14:textId="77777777" w:rsidR="00AE0FBC" w:rsidRPr="00AE0FBC" w:rsidRDefault="00AE0FBC" w:rsidP="00AE0FBC">
            <w:pPr>
              <w:pStyle w:val="ECHRPlaceholder"/>
              <w:spacing w:before="100" w:beforeAutospacing="1"/>
              <w:jc w:val="center"/>
              <w:rPr>
                <w:color w:val="auto"/>
              </w:rPr>
            </w:pPr>
            <w:r w:rsidRPr="00AE0FBC">
              <w:rPr>
                <w:color w:val="auto"/>
              </w:rPr>
              <w:t>Ilse Freiwirth</w:t>
            </w:r>
          </w:p>
          <w:p w14:paraId="04C0E182" w14:textId="7D26FBB9" w:rsidR="00AE0FBC" w:rsidRPr="00AE0FBC" w:rsidRDefault="00AE0FBC" w:rsidP="00AE0FBC">
            <w:pPr>
              <w:pStyle w:val="ECHRPlaceholder"/>
              <w:spacing w:before="0"/>
              <w:jc w:val="center"/>
              <w:rPr>
                <w:color w:val="auto"/>
                <w:szCs w:val="22"/>
              </w:rPr>
            </w:pPr>
            <w:r w:rsidRPr="00AE0FBC">
              <w:rPr>
                <w:color w:val="auto"/>
              </w:rPr>
              <w:t>Kanclerz</w:t>
            </w:r>
          </w:p>
        </w:tc>
        <w:tc>
          <w:tcPr>
            <w:tcW w:w="3674" w:type="dxa"/>
          </w:tcPr>
          <w:p w14:paraId="7697F5F7" w14:textId="34D407FB" w:rsidR="00AE0FBC" w:rsidRPr="00AE0FBC" w:rsidRDefault="00AE0FBC" w:rsidP="00AE0FBC">
            <w:pPr>
              <w:pStyle w:val="ECHRPlaceholder"/>
              <w:spacing w:before="100" w:beforeAutospacing="1"/>
              <w:jc w:val="center"/>
              <w:rPr>
                <w:color w:val="auto"/>
                <w:szCs w:val="22"/>
              </w:rPr>
            </w:pPr>
            <w:r w:rsidRPr="00AE0FBC">
              <w:rPr>
                <w:color w:val="auto"/>
              </w:rPr>
              <w:t>Ivana Jelić</w:t>
            </w:r>
            <w:r w:rsidRPr="00AE0FBC">
              <w:rPr>
                <w:color w:val="auto"/>
              </w:rPr>
              <w:br/>
              <w:t>Przewodnicząc</w:t>
            </w:r>
            <w:r>
              <w:rPr>
                <w:color w:val="auto"/>
              </w:rPr>
              <w:t>a</w:t>
            </w:r>
          </w:p>
        </w:tc>
      </w:tr>
    </w:tbl>
    <w:p w14:paraId="00155F45" w14:textId="48F4B449" w:rsidR="007E79A4" w:rsidRPr="00AD4DBD" w:rsidRDefault="00C232DF" w:rsidP="00AD4DBD">
      <w:pPr>
        <w:pStyle w:val="JuSigned"/>
      </w:pPr>
      <w:r>
        <w:tab/>
      </w:r>
    </w:p>
    <w:p w14:paraId="4EF49BDA" w14:textId="77777777" w:rsidR="00675AF2" w:rsidRPr="00AD4DBD" w:rsidRDefault="00675AF2" w:rsidP="00AD4DBD">
      <w:pPr>
        <w:pStyle w:val="JuPara"/>
        <w:rPr>
          <w:lang w:val="sv-SE"/>
        </w:rPr>
      </w:pPr>
    </w:p>
    <w:p w14:paraId="190BE679" w14:textId="77777777" w:rsidR="00182EBA" w:rsidRPr="00AD4DBD" w:rsidRDefault="00182EBA" w:rsidP="00AD4DBD">
      <w:pPr>
        <w:rPr>
          <w:lang w:val="sv-SE"/>
        </w:rPr>
      </w:pPr>
    </w:p>
    <w:sectPr w:rsidR="00182EBA" w:rsidRPr="00AD4DBD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FE0B6" w14:textId="77777777" w:rsidR="00050CC2" w:rsidRDefault="00050CC2">
      <w:r>
        <w:separator/>
      </w:r>
    </w:p>
  </w:endnote>
  <w:endnote w:type="continuationSeparator" w:id="0">
    <w:p w14:paraId="165394CE" w14:textId="77777777" w:rsidR="00050CC2" w:rsidRDefault="0005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70866" w14:textId="77777777" w:rsidR="0084030C" w:rsidRPr="00150BFA" w:rsidRDefault="00C232DF" w:rsidP="0020718E">
    <w:pPr>
      <w:jc w:val="center"/>
    </w:pPr>
    <w:r>
      <w:rPr>
        <w:noProof/>
        <w:lang w:eastAsia="pl-PL"/>
      </w:rPr>
      <w:drawing>
        <wp:inline distT="0" distB="0" distL="0" distR="0" wp14:anchorId="504B0482" wp14:editId="68F8DC78">
          <wp:extent cx="771525" cy="619125"/>
          <wp:effectExtent l="0" t="0" r="9525" b="9525"/>
          <wp:docPr id="1805798857" name="Picture 180579885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5798857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E9F8D7" w14:textId="77777777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93AB5" w14:textId="77777777" w:rsidR="0084030C" w:rsidRPr="00150BFA" w:rsidRDefault="00C232DF" w:rsidP="0020718E">
    <w:pPr>
      <w:jc w:val="center"/>
    </w:pPr>
    <w:r>
      <w:rPr>
        <w:noProof/>
        <w:lang w:eastAsia="pl-PL"/>
      </w:rPr>
      <w:drawing>
        <wp:inline distT="0" distB="0" distL="0" distR="0" wp14:anchorId="1B569574" wp14:editId="63B03125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FE0334" w14:textId="77777777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478BC" w14:textId="77777777" w:rsidR="00182EBA" w:rsidRDefault="00C232DF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F64E0A">
      <w:rPr>
        <w:noProof/>
      </w:rPr>
      <w:t>20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7FC0" w14:textId="77777777" w:rsidR="00182EBA" w:rsidRPr="000B7195" w:rsidRDefault="00C232DF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F64E0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86E10" w14:textId="77777777" w:rsidR="00050CC2" w:rsidRDefault="00050CC2">
      <w:r>
        <w:separator/>
      </w:r>
    </w:p>
  </w:footnote>
  <w:footnote w:type="continuationSeparator" w:id="0">
    <w:p w14:paraId="665CD5DD" w14:textId="77777777" w:rsidR="00050CC2" w:rsidRDefault="00050CC2">
      <w:r>
        <w:continuationSeparator/>
      </w:r>
    </w:p>
  </w:footnote>
  <w:footnote w:id="1">
    <w:p w14:paraId="40B7A595" w14:textId="351A97DA" w:rsidR="008057DD" w:rsidRDefault="008057DD">
      <w:pPr>
        <w:pStyle w:val="Tekstprzypisudolnego"/>
      </w:pPr>
      <w:r>
        <w:rPr>
          <w:rStyle w:val="Odwoanieprzypisudolnego"/>
        </w:rPr>
        <w:footnoteRef/>
      </w:r>
      <w:r>
        <w:t xml:space="preserve"> W istocie przedmiotowy przepis znajduje się w Kodeksie postępowania w sprawach o</w:t>
      </w:r>
      <w:r w:rsidR="004F442E">
        <w:t> </w:t>
      </w:r>
      <w:r>
        <w:t>wykroczenia</w:t>
      </w:r>
      <w:r w:rsidR="00D51808">
        <w:t xml:space="preserve"> [przyp. tłum.].</w:t>
      </w:r>
    </w:p>
  </w:footnote>
  <w:footnote w:id="2">
    <w:p w14:paraId="1A1D8ADE" w14:textId="2D44C4CA" w:rsidR="009C571D" w:rsidRDefault="009C571D">
      <w:pPr>
        <w:pStyle w:val="Tekstprzypisudolnego"/>
      </w:pPr>
      <w:r>
        <w:rPr>
          <w:rStyle w:val="Odwoanieprzypisudolnego"/>
        </w:rPr>
        <w:footnoteRef/>
      </w:r>
      <w:r>
        <w:t xml:space="preserve"> Dz.U. z 2013 r. poz. 1422 – według stanu na dzień 10 czerwca 2017 r. [przyp. tłum.]</w:t>
      </w:r>
      <w:r w:rsidR="00E77992">
        <w:t>.</w:t>
      </w:r>
    </w:p>
  </w:footnote>
  <w:footnote w:id="3">
    <w:p w14:paraId="3DFA45AA" w14:textId="5FE26023" w:rsidR="00982EDB" w:rsidRDefault="00982E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D64129">
        <w:t>W świetle brzmienia art. 15 ust. 7 w wersji obowiązującej w dniu 10 czerwca 2017 r. zamiast słów „i przeszukań prowadzonych przez funkcjonariuszy Policji” znajdowały się słowa „o których mowa w ust. 1” [przyp. tłum.]</w:t>
      </w:r>
    </w:p>
  </w:footnote>
  <w:footnote w:id="4">
    <w:p w14:paraId="49072A22" w14:textId="4D616BC9" w:rsidR="00B82EB1" w:rsidRDefault="00B82EB1">
      <w:pPr>
        <w:pStyle w:val="Tekstprzypisudolnego"/>
      </w:pPr>
      <w:r>
        <w:rPr>
          <w:rStyle w:val="Odwoanieprzypisudolnego"/>
        </w:rPr>
        <w:footnoteRef/>
      </w:r>
      <w:r>
        <w:t xml:space="preserve"> W oryginale: skarżących [przyp. tłum.].</w:t>
      </w:r>
    </w:p>
  </w:footnote>
  <w:footnote w:id="5">
    <w:p w14:paraId="6BE311F8" w14:textId="64D8391C" w:rsidR="00FB7DC4" w:rsidRDefault="00FB7DC4">
      <w:pPr>
        <w:pStyle w:val="Tekstprzypisudolnego"/>
      </w:pPr>
      <w:r>
        <w:rPr>
          <w:rStyle w:val="Odwoanieprzypisudolnego"/>
        </w:rPr>
        <w:footnoteRef/>
      </w:r>
      <w:r>
        <w:t xml:space="preserve"> W istocie chodzi o art. 47 Kodeksu </w:t>
      </w:r>
      <w:r w:rsidRPr="00FB7DC4">
        <w:t>postępowania w sprawach o wykroczenia</w:t>
      </w:r>
      <w:r>
        <w:t xml:space="preserve"> [przyp. tłum.].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4607D" w14:textId="77777777" w:rsidR="0084030C" w:rsidRPr="00A45145" w:rsidRDefault="00C232DF" w:rsidP="00A45145">
    <w:pPr>
      <w:jc w:val="center"/>
    </w:pPr>
    <w:r>
      <w:rPr>
        <w:noProof/>
        <w:lang w:eastAsia="pl-PL"/>
      </w:rPr>
      <w:drawing>
        <wp:inline distT="0" distB="0" distL="0" distR="0" wp14:anchorId="7A90B7D8" wp14:editId="1CE9CC30">
          <wp:extent cx="2962275" cy="1219200"/>
          <wp:effectExtent l="0" t="0" r="9525" b="0"/>
          <wp:docPr id="1269911775" name="Picture 126991177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11775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B6649D" w14:textId="77777777" w:rsidR="0098410D" w:rsidRPr="00E67565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7C07" w14:textId="77777777" w:rsidR="0084030C" w:rsidRPr="00A45145" w:rsidRDefault="00C232DF" w:rsidP="00A45145">
    <w:pPr>
      <w:jc w:val="center"/>
    </w:pPr>
    <w:r>
      <w:rPr>
        <w:noProof/>
        <w:lang w:eastAsia="pl-PL"/>
      </w:rPr>
      <w:drawing>
        <wp:inline distT="0" distB="0" distL="0" distR="0" wp14:anchorId="2E2EE15B" wp14:editId="578819E7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29D934" w14:textId="77777777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8B77" w14:textId="791903CC" w:rsidR="00182EBA" w:rsidRPr="004D0EC7" w:rsidRDefault="00C232DF" w:rsidP="004D0EC7">
    <w:pPr>
      <w:pStyle w:val="JuHeader"/>
    </w:pPr>
    <w:r>
      <w:t>WYROK</w:t>
    </w:r>
    <w:r w:rsidR="002F295A">
      <w:t xml:space="preserve"> W SPRAWIE</w:t>
    </w:r>
    <w:r w:rsidR="002F295A" w:rsidRPr="002F295A">
      <w:t xml:space="preserve"> </w:t>
    </w:r>
    <w:r w:rsidR="002F295A">
      <w:t>SIEDLECKA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6C9FC" w14:textId="4FB3B4A0" w:rsidR="00C92F48" w:rsidRPr="004D0EC7" w:rsidRDefault="00C92F48" w:rsidP="00C92F48">
    <w:pPr>
      <w:pStyle w:val="JuHeader"/>
    </w:pPr>
    <w:r>
      <w:t>WYROK W SPRAWIE</w:t>
    </w:r>
    <w:r w:rsidRPr="002F295A">
      <w:t xml:space="preserve"> </w:t>
    </w:r>
    <w:r>
      <w:t>SIEDLECKA PRZECIWKO POLSCE</w:t>
    </w:r>
  </w:p>
  <w:p w14:paraId="7107B476" w14:textId="7EB4ED0B" w:rsidR="00182EBA" w:rsidRPr="00C92F48" w:rsidRDefault="00182EBA" w:rsidP="00C92F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4DEA937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2C5059D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D44E52F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714296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EC63A78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6BEEEA4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A7EA7A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73BA0E8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2262C1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460564498">
    <w:abstractNumId w:val="14"/>
  </w:num>
  <w:num w:numId="2" w16cid:durableId="1225407945">
    <w:abstractNumId w:val="12"/>
  </w:num>
  <w:num w:numId="3" w16cid:durableId="1951084949">
    <w:abstractNumId w:val="11"/>
  </w:num>
  <w:num w:numId="4" w16cid:durableId="507329749">
    <w:abstractNumId w:val="17"/>
  </w:num>
  <w:num w:numId="5" w16cid:durableId="1083406007">
    <w:abstractNumId w:val="7"/>
  </w:num>
  <w:num w:numId="6" w16cid:durableId="547491129">
    <w:abstractNumId w:val="6"/>
  </w:num>
  <w:num w:numId="7" w16cid:durableId="1732264752">
    <w:abstractNumId w:val="5"/>
  </w:num>
  <w:num w:numId="8" w16cid:durableId="472412281">
    <w:abstractNumId w:val="4"/>
  </w:num>
  <w:num w:numId="9" w16cid:durableId="1670017892">
    <w:abstractNumId w:val="8"/>
  </w:num>
  <w:num w:numId="10" w16cid:durableId="2130734115">
    <w:abstractNumId w:val="3"/>
  </w:num>
  <w:num w:numId="11" w16cid:durableId="628707323">
    <w:abstractNumId w:val="2"/>
  </w:num>
  <w:num w:numId="12" w16cid:durableId="461732835">
    <w:abstractNumId w:val="1"/>
  </w:num>
  <w:num w:numId="13" w16cid:durableId="2100519437">
    <w:abstractNumId w:val="0"/>
  </w:num>
  <w:num w:numId="14" w16cid:durableId="1408380110">
    <w:abstractNumId w:val="15"/>
  </w:num>
  <w:num w:numId="15" w16cid:durableId="1318420370">
    <w:abstractNumId w:val="13"/>
  </w:num>
  <w:num w:numId="16" w16cid:durableId="1449619321">
    <w:abstractNumId w:val="16"/>
  </w:num>
  <w:num w:numId="17" w16cid:durableId="1640040312">
    <w:abstractNumId w:val="15"/>
  </w:num>
  <w:num w:numId="18" w16cid:durableId="1988245790">
    <w:abstractNumId w:val="16"/>
  </w:num>
  <w:num w:numId="19" w16cid:durableId="372317603">
    <w:abstractNumId w:val="10"/>
  </w:num>
  <w:num w:numId="20" w16cid:durableId="2046640151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1"/>
    <w:docVar w:name="EMM" w:val="0"/>
    <w:docVar w:name="NBEMMDOC" w:val="0"/>
    <w:docVar w:name="Plural" w:val="0"/>
  </w:docVars>
  <w:rsids>
    <w:rsidRoot w:val="0084030C"/>
    <w:rsid w:val="000040E0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1768D"/>
    <w:rsid w:val="00022C1D"/>
    <w:rsid w:val="0002592F"/>
    <w:rsid w:val="00031428"/>
    <w:rsid w:val="00034987"/>
    <w:rsid w:val="00041560"/>
    <w:rsid w:val="00050CC2"/>
    <w:rsid w:val="000602DF"/>
    <w:rsid w:val="00061B05"/>
    <w:rsid w:val="0006238C"/>
    <w:rsid w:val="000632D5"/>
    <w:rsid w:val="000644EE"/>
    <w:rsid w:val="000712E3"/>
    <w:rsid w:val="0007780A"/>
    <w:rsid w:val="000851CC"/>
    <w:rsid w:val="00085457"/>
    <w:rsid w:val="000925AD"/>
    <w:rsid w:val="00096FE1"/>
    <w:rsid w:val="00097A62"/>
    <w:rsid w:val="000A24EB"/>
    <w:rsid w:val="000B190E"/>
    <w:rsid w:val="000B686A"/>
    <w:rsid w:val="000B6923"/>
    <w:rsid w:val="000B7195"/>
    <w:rsid w:val="000C0E98"/>
    <w:rsid w:val="000C5F3C"/>
    <w:rsid w:val="000C6DCC"/>
    <w:rsid w:val="000D47AA"/>
    <w:rsid w:val="000D721F"/>
    <w:rsid w:val="000E069B"/>
    <w:rsid w:val="000E0E82"/>
    <w:rsid w:val="000E1BA0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43780"/>
    <w:rsid w:val="00143E7C"/>
    <w:rsid w:val="001463F8"/>
    <w:rsid w:val="00150BFA"/>
    <w:rsid w:val="001561B6"/>
    <w:rsid w:val="00162A12"/>
    <w:rsid w:val="00166530"/>
    <w:rsid w:val="00170027"/>
    <w:rsid w:val="0017164A"/>
    <w:rsid w:val="00182EBA"/>
    <w:rsid w:val="001832BD"/>
    <w:rsid w:val="001834E7"/>
    <w:rsid w:val="001942F1"/>
    <w:rsid w:val="001943B5"/>
    <w:rsid w:val="00195134"/>
    <w:rsid w:val="001A020C"/>
    <w:rsid w:val="001A0623"/>
    <w:rsid w:val="001A145B"/>
    <w:rsid w:val="001A3E09"/>
    <w:rsid w:val="001A674C"/>
    <w:rsid w:val="001A7207"/>
    <w:rsid w:val="001B02A8"/>
    <w:rsid w:val="001B3B24"/>
    <w:rsid w:val="001B7798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069E7"/>
    <w:rsid w:val="0020718E"/>
    <w:rsid w:val="00210338"/>
    <w:rsid w:val="002115FC"/>
    <w:rsid w:val="0021423C"/>
    <w:rsid w:val="002213BD"/>
    <w:rsid w:val="00222111"/>
    <w:rsid w:val="00226C8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0F2F"/>
    <w:rsid w:val="0026439A"/>
    <w:rsid w:val="0026540E"/>
    <w:rsid w:val="002673A9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97579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6ED"/>
    <w:rsid w:val="002D2FA7"/>
    <w:rsid w:val="002D47BA"/>
    <w:rsid w:val="002D77B9"/>
    <w:rsid w:val="002E03D2"/>
    <w:rsid w:val="002E46DA"/>
    <w:rsid w:val="002E7764"/>
    <w:rsid w:val="002F17D9"/>
    <w:rsid w:val="002F295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3F6A"/>
    <w:rsid w:val="003201D8"/>
    <w:rsid w:val="00320F72"/>
    <w:rsid w:val="00322FF6"/>
    <w:rsid w:val="0032463E"/>
    <w:rsid w:val="00326224"/>
    <w:rsid w:val="00337EE4"/>
    <w:rsid w:val="00340FFD"/>
    <w:rsid w:val="00342902"/>
    <w:rsid w:val="00345C41"/>
    <w:rsid w:val="003506B1"/>
    <w:rsid w:val="0035087F"/>
    <w:rsid w:val="00355877"/>
    <w:rsid w:val="00356AC7"/>
    <w:rsid w:val="003609FA"/>
    <w:rsid w:val="00362627"/>
    <w:rsid w:val="003710C8"/>
    <w:rsid w:val="003750BE"/>
    <w:rsid w:val="003765C3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A396D"/>
    <w:rsid w:val="003B4941"/>
    <w:rsid w:val="003C5714"/>
    <w:rsid w:val="003C6B9F"/>
    <w:rsid w:val="003C6E2A"/>
    <w:rsid w:val="003D0299"/>
    <w:rsid w:val="003E6D80"/>
    <w:rsid w:val="003E7BCC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2A95"/>
    <w:rsid w:val="0049310E"/>
    <w:rsid w:val="004950E2"/>
    <w:rsid w:val="00496BFB"/>
    <w:rsid w:val="004974AF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53A4"/>
    <w:rsid w:val="004C63D7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442E"/>
    <w:rsid w:val="004F61BE"/>
    <w:rsid w:val="004F66B1"/>
    <w:rsid w:val="004F6F4B"/>
    <w:rsid w:val="00504015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240B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78CE"/>
    <w:rsid w:val="00562781"/>
    <w:rsid w:val="00562B6C"/>
    <w:rsid w:val="0057271C"/>
    <w:rsid w:val="00572845"/>
    <w:rsid w:val="00572E3C"/>
    <w:rsid w:val="00575388"/>
    <w:rsid w:val="005879A2"/>
    <w:rsid w:val="005911E5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C6F3A"/>
    <w:rsid w:val="005D2F2A"/>
    <w:rsid w:val="005D34F9"/>
    <w:rsid w:val="005D4190"/>
    <w:rsid w:val="005D5AB0"/>
    <w:rsid w:val="005D67A3"/>
    <w:rsid w:val="005E2988"/>
    <w:rsid w:val="005E3085"/>
    <w:rsid w:val="005F0EB3"/>
    <w:rsid w:val="005F51E1"/>
    <w:rsid w:val="00611C80"/>
    <w:rsid w:val="00620692"/>
    <w:rsid w:val="0062287A"/>
    <w:rsid w:val="00623885"/>
    <w:rsid w:val="006242CA"/>
    <w:rsid w:val="00627507"/>
    <w:rsid w:val="00633717"/>
    <w:rsid w:val="006344E1"/>
    <w:rsid w:val="00640E96"/>
    <w:rsid w:val="00643524"/>
    <w:rsid w:val="0064393B"/>
    <w:rsid w:val="00645CF2"/>
    <w:rsid w:val="00653BED"/>
    <w:rsid w:val="006545C4"/>
    <w:rsid w:val="00661971"/>
    <w:rsid w:val="00661CE8"/>
    <w:rsid w:val="006623D9"/>
    <w:rsid w:val="006642A5"/>
    <w:rsid w:val="0066550C"/>
    <w:rsid w:val="00665BD2"/>
    <w:rsid w:val="00666EA1"/>
    <w:rsid w:val="006716F2"/>
    <w:rsid w:val="00675AF2"/>
    <w:rsid w:val="00682BF2"/>
    <w:rsid w:val="00684B03"/>
    <w:rsid w:val="00684CB7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D34E7"/>
    <w:rsid w:val="006E2E37"/>
    <w:rsid w:val="006E3CF1"/>
    <w:rsid w:val="006E68A3"/>
    <w:rsid w:val="006E7E80"/>
    <w:rsid w:val="006F1C2D"/>
    <w:rsid w:val="006F3C81"/>
    <w:rsid w:val="006F48CA"/>
    <w:rsid w:val="006F64DD"/>
    <w:rsid w:val="006F712D"/>
    <w:rsid w:val="0070039E"/>
    <w:rsid w:val="00715127"/>
    <w:rsid w:val="00715E8E"/>
    <w:rsid w:val="00723580"/>
    <w:rsid w:val="00723755"/>
    <w:rsid w:val="0073136C"/>
    <w:rsid w:val="00731F0F"/>
    <w:rsid w:val="00733250"/>
    <w:rsid w:val="00737F3E"/>
    <w:rsid w:val="00741404"/>
    <w:rsid w:val="007449E5"/>
    <w:rsid w:val="0074750E"/>
    <w:rsid w:val="00747FF0"/>
    <w:rsid w:val="00751066"/>
    <w:rsid w:val="0075566E"/>
    <w:rsid w:val="00763602"/>
    <w:rsid w:val="00764D4E"/>
    <w:rsid w:val="00765A1F"/>
    <w:rsid w:val="00773A74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609"/>
    <w:rsid w:val="007B270A"/>
    <w:rsid w:val="007B4182"/>
    <w:rsid w:val="007C0695"/>
    <w:rsid w:val="007C419A"/>
    <w:rsid w:val="007C4CC8"/>
    <w:rsid w:val="007C5426"/>
    <w:rsid w:val="007C5798"/>
    <w:rsid w:val="007D1E89"/>
    <w:rsid w:val="007D1ECD"/>
    <w:rsid w:val="007D3701"/>
    <w:rsid w:val="007D4832"/>
    <w:rsid w:val="007E21B2"/>
    <w:rsid w:val="007E2C4E"/>
    <w:rsid w:val="007E2C8C"/>
    <w:rsid w:val="007E3137"/>
    <w:rsid w:val="007E51BA"/>
    <w:rsid w:val="007E73D7"/>
    <w:rsid w:val="007E79A4"/>
    <w:rsid w:val="007F1905"/>
    <w:rsid w:val="007F27E4"/>
    <w:rsid w:val="007F3437"/>
    <w:rsid w:val="00802C64"/>
    <w:rsid w:val="008057DD"/>
    <w:rsid w:val="00805E52"/>
    <w:rsid w:val="008061D0"/>
    <w:rsid w:val="00810B38"/>
    <w:rsid w:val="00812464"/>
    <w:rsid w:val="008204C7"/>
    <w:rsid w:val="00820992"/>
    <w:rsid w:val="00823602"/>
    <w:rsid w:val="008255F5"/>
    <w:rsid w:val="00826890"/>
    <w:rsid w:val="0083014E"/>
    <w:rsid w:val="0083214A"/>
    <w:rsid w:val="00834220"/>
    <w:rsid w:val="0084030C"/>
    <w:rsid w:val="00845723"/>
    <w:rsid w:val="0085020B"/>
    <w:rsid w:val="0085103A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76F1F"/>
    <w:rsid w:val="0088060C"/>
    <w:rsid w:val="00882CD5"/>
    <w:rsid w:val="00883151"/>
    <w:rsid w:val="00893576"/>
    <w:rsid w:val="00893E73"/>
    <w:rsid w:val="008B02DC"/>
    <w:rsid w:val="008B092C"/>
    <w:rsid w:val="008B51E1"/>
    <w:rsid w:val="008B57CE"/>
    <w:rsid w:val="008C26DE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2EDB"/>
    <w:rsid w:val="0098410D"/>
    <w:rsid w:val="00985BAB"/>
    <w:rsid w:val="00986B3C"/>
    <w:rsid w:val="009A115C"/>
    <w:rsid w:val="009A78AF"/>
    <w:rsid w:val="009A7FC1"/>
    <w:rsid w:val="009B1606"/>
    <w:rsid w:val="009B1B5F"/>
    <w:rsid w:val="009B62E8"/>
    <w:rsid w:val="009B6673"/>
    <w:rsid w:val="009C191B"/>
    <w:rsid w:val="009C2B01"/>
    <w:rsid w:val="009C2BD6"/>
    <w:rsid w:val="009C571D"/>
    <w:rsid w:val="009D36CE"/>
    <w:rsid w:val="009D57AA"/>
    <w:rsid w:val="009E1F32"/>
    <w:rsid w:val="009E2CC2"/>
    <w:rsid w:val="009E47A2"/>
    <w:rsid w:val="009E59E4"/>
    <w:rsid w:val="009E776C"/>
    <w:rsid w:val="009E7A6F"/>
    <w:rsid w:val="009F4C8F"/>
    <w:rsid w:val="00A02972"/>
    <w:rsid w:val="00A05588"/>
    <w:rsid w:val="00A13522"/>
    <w:rsid w:val="00A14A66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57B"/>
    <w:rsid w:val="00A90BCD"/>
    <w:rsid w:val="00A92625"/>
    <w:rsid w:val="00A939D6"/>
    <w:rsid w:val="00A94C20"/>
    <w:rsid w:val="00A95D81"/>
    <w:rsid w:val="00AA1B09"/>
    <w:rsid w:val="00AA227F"/>
    <w:rsid w:val="00AA3BC7"/>
    <w:rsid w:val="00AA754A"/>
    <w:rsid w:val="00AA769F"/>
    <w:rsid w:val="00AB099E"/>
    <w:rsid w:val="00AB4328"/>
    <w:rsid w:val="00AC38DE"/>
    <w:rsid w:val="00AC4CD4"/>
    <w:rsid w:val="00AD4DBD"/>
    <w:rsid w:val="00AE0A2E"/>
    <w:rsid w:val="00AE0FBC"/>
    <w:rsid w:val="00AE354C"/>
    <w:rsid w:val="00AF12C5"/>
    <w:rsid w:val="00AF4B07"/>
    <w:rsid w:val="00AF6186"/>
    <w:rsid w:val="00AF7A3A"/>
    <w:rsid w:val="00B02587"/>
    <w:rsid w:val="00B049D1"/>
    <w:rsid w:val="00B14793"/>
    <w:rsid w:val="00B153A0"/>
    <w:rsid w:val="00B15F2D"/>
    <w:rsid w:val="00B160DB"/>
    <w:rsid w:val="00B20836"/>
    <w:rsid w:val="00B213B7"/>
    <w:rsid w:val="00B235BB"/>
    <w:rsid w:val="00B27A44"/>
    <w:rsid w:val="00B30BBF"/>
    <w:rsid w:val="00B30BFA"/>
    <w:rsid w:val="00B33C03"/>
    <w:rsid w:val="00B345A2"/>
    <w:rsid w:val="00B347F9"/>
    <w:rsid w:val="00B4421F"/>
    <w:rsid w:val="00B44D64"/>
    <w:rsid w:val="00B44E56"/>
    <w:rsid w:val="00B45917"/>
    <w:rsid w:val="00B46543"/>
    <w:rsid w:val="00B47D33"/>
    <w:rsid w:val="00B515E2"/>
    <w:rsid w:val="00B52BE0"/>
    <w:rsid w:val="00B54133"/>
    <w:rsid w:val="00B55A8D"/>
    <w:rsid w:val="00B639BD"/>
    <w:rsid w:val="00B701ED"/>
    <w:rsid w:val="00B748F7"/>
    <w:rsid w:val="00B8086C"/>
    <w:rsid w:val="00B81C58"/>
    <w:rsid w:val="00B82EB1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3EE7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118F"/>
    <w:rsid w:val="00BF4109"/>
    <w:rsid w:val="00BF4CC3"/>
    <w:rsid w:val="00C02D64"/>
    <w:rsid w:val="00C054C7"/>
    <w:rsid w:val="00C057B5"/>
    <w:rsid w:val="00C07D0E"/>
    <w:rsid w:val="00C115C3"/>
    <w:rsid w:val="00C15547"/>
    <w:rsid w:val="00C1672D"/>
    <w:rsid w:val="00C214E6"/>
    <w:rsid w:val="00C22687"/>
    <w:rsid w:val="00C232DF"/>
    <w:rsid w:val="00C264B0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5734F"/>
    <w:rsid w:val="00C6098E"/>
    <w:rsid w:val="00C6152C"/>
    <w:rsid w:val="00C626B3"/>
    <w:rsid w:val="00C71424"/>
    <w:rsid w:val="00C7313C"/>
    <w:rsid w:val="00C74810"/>
    <w:rsid w:val="00C90D68"/>
    <w:rsid w:val="00C92F48"/>
    <w:rsid w:val="00C939FE"/>
    <w:rsid w:val="00C96AFC"/>
    <w:rsid w:val="00CA0ECE"/>
    <w:rsid w:val="00CA4BDA"/>
    <w:rsid w:val="00CA595C"/>
    <w:rsid w:val="00CB13E3"/>
    <w:rsid w:val="00CB1F66"/>
    <w:rsid w:val="00CB232C"/>
    <w:rsid w:val="00CB2951"/>
    <w:rsid w:val="00CB4277"/>
    <w:rsid w:val="00CC5067"/>
    <w:rsid w:val="00CC53ED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6A63"/>
    <w:rsid w:val="00D07E0E"/>
    <w:rsid w:val="00D10CD6"/>
    <w:rsid w:val="00D11478"/>
    <w:rsid w:val="00D14785"/>
    <w:rsid w:val="00D15ED0"/>
    <w:rsid w:val="00D164BF"/>
    <w:rsid w:val="00D21160"/>
    <w:rsid w:val="00D21B3E"/>
    <w:rsid w:val="00D21FED"/>
    <w:rsid w:val="00D23048"/>
    <w:rsid w:val="00D24251"/>
    <w:rsid w:val="00D26E72"/>
    <w:rsid w:val="00D3362F"/>
    <w:rsid w:val="00D343E2"/>
    <w:rsid w:val="00D34971"/>
    <w:rsid w:val="00D361A2"/>
    <w:rsid w:val="00D37272"/>
    <w:rsid w:val="00D441E0"/>
    <w:rsid w:val="00D44C2E"/>
    <w:rsid w:val="00D45414"/>
    <w:rsid w:val="00D50A0A"/>
    <w:rsid w:val="00D51808"/>
    <w:rsid w:val="00D53548"/>
    <w:rsid w:val="00D5576B"/>
    <w:rsid w:val="00D566BD"/>
    <w:rsid w:val="00D57A4D"/>
    <w:rsid w:val="00D60AA7"/>
    <w:rsid w:val="00D64129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90889"/>
    <w:rsid w:val="00D908A8"/>
    <w:rsid w:val="00D977B6"/>
    <w:rsid w:val="00DA1223"/>
    <w:rsid w:val="00DA4A31"/>
    <w:rsid w:val="00DA6A7A"/>
    <w:rsid w:val="00DA7B04"/>
    <w:rsid w:val="00DB36C2"/>
    <w:rsid w:val="00DC00A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16B9"/>
    <w:rsid w:val="00DF210C"/>
    <w:rsid w:val="00DF4B6A"/>
    <w:rsid w:val="00DF6635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59E7"/>
    <w:rsid w:val="00E36C71"/>
    <w:rsid w:val="00E40404"/>
    <w:rsid w:val="00E4126A"/>
    <w:rsid w:val="00E4280B"/>
    <w:rsid w:val="00E42A06"/>
    <w:rsid w:val="00E42A22"/>
    <w:rsid w:val="00E459C6"/>
    <w:rsid w:val="00E47589"/>
    <w:rsid w:val="00E52C07"/>
    <w:rsid w:val="00E557AA"/>
    <w:rsid w:val="00E63EC7"/>
    <w:rsid w:val="00E64915"/>
    <w:rsid w:val="00E64D3A"/>
    <w:rsid w:val="00E661D4"/>
    <w:rsid w:val="00E67565"/>
    <w:rsid w:val="00E70091"/>
    <w:rsid w:val="00E7017C"/>
    <w:rsid w:val="00E70D2E"/>
    <w:rsid w:val="00E720F5"/>
    <w:rsid w:val="00E744E0"/>
    <w:rsid w:val="00E76D47"/>
    <w:rsid w:val="00E77992"/>
    <w:rsid w:val="00E827BC"/>
    <w:rsid w:val="00E838A6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A60B9"/>
    <w:rsid w:val="00EA75E5"/>
    <w:rsid w:val="00EB14E4"/>
    <w:rsid w:val="00EB32A5"/>
    <w:rsid w:val="00EB34ED"/>
    <w:rsid w:val="00EB447C"/>
    <w:rsid w:val="00EB7B76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11A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4E9F"/>
    <w:rsid w:val="00F266A2"/>
    <w:rsid w:val="00F32269"/>
    <w:rsid w:val="00F338AF"/>
    <w:rsid w:val="00F35B7A"/>
    <w:rsid w:val="00F35BBD"/>
    <w:rsid w:val="00F374DD"/>
    <w:rsid w:val="00F424BF"/>
    <w:rsid w:val="00F517A1"/>
    <w:rsid w:val="00F56A6F"/>
    <w:rsid w:val="00F5709C"/>
    <w:rsid w:val="00F575BB"/>
    <w:rsid w:val="00F60B85"/>
    <w:rsid w:val="00F64E0A"/>
    <w:rsid w:val="00F64EF1"/>
    <w:rsid w:val="00F72498"/>
    <w:rsid w:val="00F72B14"/>
    <w:rsid w:val="00F7349B"/>
    <w:rsid w:val="00F8566F"/>
    <w:rsid w:val="00F8765F"/>
    <w:rsid w:val="00F90767"/>
    <w:rsid w:val="00F9263C"/>
    <w:rsid w:val="00F9728E"/>
    <w:rsid w:val="00FA1637"/>
    <w:rsid w:val="00FA172C"/>
    <w:rsid w:val="00FA685B"/>
    <w:rsid w:val="00FA6C21"/>
    <w:rsid w:val="00FB0C01"/>
    <w:rsid w:val="00FB5934"/>
    <w:rsid w:val="00FB7DC4"/>
    <w:rsid w:val="00FC18F2"/>
    <w:rsid w:val="00FC2A17"/>
    <w:rsid w:val="00FC38CF"/>
    <w:rsid w:val="00FC39E5"/>
    <w:rsid w:val="00FC3A78"/>
    <w:rsid w:val="00FC6B17"/>
    <w:rsid w:val="00FD1005"/>
    <w:rsid w:val="00FD1F7F"/>
    <w:rsid w:val="00FD6C75"/>
    <w:rsid w:val="00FD7972"/>
    <w:rsid w:val="00FE0401"/>
    <w:rsid w:val="00FE71B3"/>
    <w:rsid w:val="00FF22A0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FE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E428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E4280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E4280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E4280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E4280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E4280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E4280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E4280B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E4280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E4280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E42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E4280B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E4280B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E4280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E4280B"/>
    <w:pPr>
      <w:jc w:val="both"/>
    </w:pPr>
  </w:style>
  <w:style w:type="character" w:styleId="Pogrubienie">
    <w:name w:val="Strong"/>
    <w:uiPriority w:val="98"/>
    <w:semiHidden/>
    <w:qFormat/>
    <w:rsid w:val="00E4280B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E4280B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E4280B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E4280B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E4280B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E4280B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E4280B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E4280B"/>
    <w:pPr>
      <w:numPr>
        <w:ilvl w:val="2"/>
        <w:numId w:val="2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E4280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E4280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E4280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E4280B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E4280B"/>
    <w:pPr>
      <w:numPr>
        <w:numId w:val="1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E4280B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E4280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E4280B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E4280B"/>
    <w:pPr>
      <w:numPr>
        <w:numId w:val="15"/>
      </w:numPr>
    </w:pPr>
  </w:style>
  <w:style w:type="numbering" w:customStyle="1" w:styleId="ECHRA1StyleNumberedList">
    <w:name w:val="ECHR_A1_Style_Numbered_List"/>
    <w:basedOn w:val="Bezlisty"/>
    <w:rsid w:val="00E4280B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E4280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E4280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E4280B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E4280B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E4280B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E42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E4280B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E4280B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E4280B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E4280B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E4280B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E4280B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E4280B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E4280B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E4280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E4280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E4280B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E4280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E4280B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E4280B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E4280B"/>
    <w:rPr>
      <w:caps w:val="0"/>
      <w:smallCaps/>
    </w:rPr>
  </w:style>
  <w:style w:type="character" w:styleId="Wyrnieniedelikatne">
    <w:name w:val="Subtle Emphasis"/>
    <w:uiPriority w:val="98"/>
    <w:semiHidden/>
    <w:qFormat/>
    <w:rsid w:val="00E4280B"/>
    <w:rPr>
      <w:i/>
      <w:iCs/>
    </w:rPr>
  </w:style>
  <w:style w:type="table" w:customStyle="1" w:styleId="ECHRTable">
    <w:name w:val="ECHR_Table"/>
    <w:basedOn w:val="Standardowy"/>
    <w:rsid w:val="00E4280B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E4280B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E4280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E4280B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E4280B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E4280B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E428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E4280B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E4280B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E4280B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E4280B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E4280B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E4280B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E4280B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E4280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E4280B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E4280B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E4280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E4280B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E4280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E4280B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E4280B"/>
    <w:rPr>
      <w:smallCaps/>
    </w:rPr>
  </w:style>
  <w:style w:type="table" w:styleId="Tabela-Siatka">
    <w:name w:val="Table Grid"/>
    <w:basedOn w:val="Standardowy"/>
    <w:uiPriority w:val="59"/>
    <w:semiHidden/>
    <w:rsid w:val="00E4280B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E4280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E4280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E4280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E4280B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E4280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E4280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E4280B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E4280B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E4280B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E4280B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E4280B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E4280B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E4280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E4280B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E4280B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E4280B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E4280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E4280B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E4280B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E4280B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E4280B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E4280B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4280B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E4280B"/>
  </w:style>
  <w:style w:type="paragraph" w:styleId="Tekstblokowy">
    <w:name w:val="Block Text"/>
    <w:basedOn w:val="Normalny"/>
    <w:uiPriority w:val="98"/>
    <w:semiHidden/>
    <w:rsid w:val="00E4280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E4280B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E428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E4280B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E4280B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E4280B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E4280B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E4280B"/>
    <w:pPr>
      <w:ind w:firstLine="284"/>
    </w:pPr>
    <w:rPr>
      <w:b/>
    </w:rPr>
  </w:style>
  <w:style w:type="character" w:styleId="Numerstrony">
    <w:name w:val="page number"/>
    <w:uiPriority w:val="98"/>
    <w:semiHidden/>
    <w:rsid w:val="00E4280B"/>
    <w:rPr>
      <w:sz w:val="18"/>
    </w:rPr>
  </w:style>
  <w:style w:type="paragraph" w:styleId="Listapunktowana">
    <w:name w:val="List Bullet"/>
    <w:basedOn w:val="Normalny"/>
    <w:uiPriority w:val="98"/>
    <w:semiHidden/>
    <w:rsid w:val="00E4280B"/>
    <w:pPr>
      <w:numPr>
        <w:numId w:val="4"/>
      </w:numPr>
    </w:pPr>
  </w:style>
  <w:style w:type="paragraph" w:styleId="Listapunktowana3">
    <w:name w:val="List Bullet 3"/>
    <w:basedOn w:val="Normalny"/>
    <w:uiPriority w:val="98"/>
    <w:semiHidden/>
    <w:rsid w:val="00E4280B"/>
    <w:pPr>
      <w:numPr>
        <w:numId w:val="6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E4280B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E4280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E4280B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E4280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E4280B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E4280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E4280B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E4280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E4280B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E428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E4280B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E4280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E4280B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E4280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E4280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E4280B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E42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E4280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E4280B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E428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E4280B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E4280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E4280B"/>
  </w:style>
  <w:style w:type="character" w:customStyle="1" w:styleId="DataZnak">
    <w:name w:val="Data Znak"/>
    <w:basedOn w:val="Domylnaczcionkaakapitu"/>
    <w:link w:val="Data"/>
    <w:uiPriority w:val="98"/>
    <w:semiHidden/>
    <w:rsid w:val="00E4280B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E4280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E4280B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E4280B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E4280B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E4280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E4280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E4280B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E4280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E4280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E4280B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E4280B"/>
  </w:style>
  <w:style w:type="paragraph" w:styleId="HTML-adres">
    <w:name w:val="HTML Address"/>
    <w:basedOn w:val="Normalny"/>
    <w:link w:val="HTML-adresZnak"/>
    <w:uiPriority w:val="98"/>
    <w:semiHidden/>
    <w:rsid w:val="00E4280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E4280B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E4280B"/>
    <w:rPr>
      <w:i/>
      <w:iCs/>
    </w:rPr>
  </w:style>
  <w:style w:type="character" w:styleId="HTML-kod">
    <w:name w:val="HTML Code"/>
    <w:basedOn w:val="Domylnaczcionkaakapitu"/>
    <w:uiPriority w:val="98"/>
    <w:semiHidden/>
    <w:rsid w:val="00E4280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E4280B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E4280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E4280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E4280B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E4280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E4280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E4280B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E4280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E4280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E4280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E4280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E4280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E4280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E4280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E4280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E4280B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E4280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E4280B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E4280B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E4280B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E4280B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E4280B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E4280B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E4280B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E4280B"/>
  </w:style>
  <w:style w:type="paragraph" w:styleId="Lista">
    <w:name w:val="List"/>
    <w:basedOn w:val="Normalny"/>
    <w:uiPriority w:val="98"/>
    <w:semiHidden/>
    <w:rsid w:val="00E4280B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E4280B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E4280B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E4280B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E4280B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E4280B"/>
    <w:pPr>
      <w:numPr>
        <w:numId w:val="5"/>
      </w:numPr>
      <w:contextualSpacing/>
    </w:pPr>
  </w:style>
  <w:style w:type="paragraph" w:styleId="Listapunktowana4">
    <w:name w:val="List Bullet 4"/>
    <w:basedOn w:val="Normalny"/>
    <w:uiPriority w:val="98"/>
    <w:semiHidden/>
    <w:rsid w:val="00E4280B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E4280B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E4280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E4280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E4280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E4280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E4280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E4280B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E4280B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E4280B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E4280B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E4280B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E4280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E4280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E4280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E4280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E4280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E4280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E4280B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E4280B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E4280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E4280B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E4280B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E4280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E4280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E4280B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E4280B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E4280B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E4280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E4280B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4280B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4280B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4280B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4280B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4280B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4280B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E4280B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E4280B"/>
  </w:style>
  <w:style w:type="table" w:styleId="Tabela-Profesjonalny">
    <w:name w:val="Table Professional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4280B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E4280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E4280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E4280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E4280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E4280B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E4280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E4280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rsid w:val="00E4280B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E4280B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E4280B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E4280B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E4280B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E4280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E4280B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E4280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E4280B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E4280B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E4280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E4280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E4280B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E4280B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E4280B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E4280B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E4280B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E4280B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E4280B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E4280B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E4280B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E4280B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E4280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E4280B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E4280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E4280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E4280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E4280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E4280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E4280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E4280B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E4280B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E4280B"/>
    <w:rPr>
      <w:sz w:val="4"/>
    </w:rPr>
  </w:style>
  <w:style w:type="table" w:customStyle="1" w:styleId="ECHRTableGrey">
    <w:name w:val="ECHR_Table_Grey"/>
    <w:basedOn w:val="Standardowy"/>
    <w:uiPriority w:val="99"/>
    <w:rsid w:val="00E4280B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4280B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84030C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4">
    <w:name w:val="Ju_List_4"/>
    <w:aliases w:val="N_Bul_4"/>
    <w:basedOn w:val="JuListi"/>
    <w:uiPriority w:val="19"/>
    <w:rsid w:val="0084030C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styleId="Tabelasiatki1jasnaakcent1">
    <w:name w:val="Grid Table 1 Light Accent 1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84030C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84030C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84030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84030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84030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84030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84030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84030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84030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84030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84030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84030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84030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84030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84030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84030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84030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84030C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8403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84030C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84030C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84030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84030C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84030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84030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84030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84030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84030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84030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84030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84030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84030C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84030C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84030C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84030C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84030C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84030C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84030C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84030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84030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84030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84030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84030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84030C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84030C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84030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ECHRA1StyleNumberedList1">
    <w:name w:val="ECHR_A1_Style_Numbered_List1"/>
    <w:basedOn w:val="Bezlisty"/>
    <w:rsid w:val="0084030C"/>
  </w:style>
  <w:style w:type="numbering" w:customStyle="1" w:styleId="ECHRA1StyleNumberedList2">
    <w:name w:val="ECHR_A1_Style_Numbered_List2"/>
    <w:basedOn w:val="Bezlisty"/>
    <w:rsid w:val="0084030C"/>
  </w:style>
  <w:style w:type="paragraph" w:styleId="Poprawka">
    <w:name w:val="Revision"/>
    <w:hidden/>
    <w:uiPriority w:val="99"/>
    <w:semiHidden/>
    <w:rsid w:val="0084030C"/>
    <w:rPr>
      <w:sz w:val="24"/>
      <w:szCs w:val="24"/>
    </w:rPr>
  </w:style>
  <w:style w:type="paragraph" w:customStyle="1" w:styleId="jucase0">
    <w:name w:val="jucase"/>
    <w:basedOn w:val="Normalny"/>
    <w:rsid w:val="00A9057B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8A36C-26B4-440A-96E5-4D0E2A335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9339</Words>
  <Characters>56037</Characters>
  <Application>Microsoft Office Word</Application>
  <DocSecurity>0</DocSecurity>
  <Lines>466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2025-12-01T13:40:00Z</dcterms:created>
  <dcterms:modified xsi:type="dcterms:W3CDTF">2025-12-10T11:03:00Z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1371411</vt:lpwstr>
  </property>
  <property fmtid="{D5CDD505-2E9C-101B-9397-08002B2CF9AE}" pid="3" name="cstLanguage">
    <vt:i4>2057</vt:i4>
  </property>
  <property fmtid="{D5CDD505-2E9C-101B-9397-08002B2CF9AE}" pid="4" name="eDOCS AutoSave">
    <vt:lpwstr>20250729181922206</vt:lpwstr>
  </property>
  <property fmtid="{D5CDD505-2E9C-101B-9397-08002B2CF9AE}" pid="5" name="RegisteredNo">
    <vt:lpwstr>13375/18</vt:lpwstr>
  </property>
</Properties>
</file>