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99DE53" w14:textId="77777777" w:rsidR="00F70B31" w:rsidRDefault="00F70B31" w:rsidP="00F70B31">
      <w:pPr>
        <w:jc w:val="center"/>
      </w:pPr>
      <w:r>
        <w:rPr>
          <w:rStyle w:val="s4f807e54"/>
          <w:rFonts w:ascii="Arial" w:hAnsi="Arial" w:cs="Arial"/>
          <w:sz w:val="18"/>
          <w:szCs w:val="18"/>
        </w:rPr>
        <w:t xml:space="preserve">© Copyright for the </w:t>
      </w:r>
      <w:proofErr w:type="spellStart"/>
      <w:r>
        <w:rPr>
          <w:rStyle w:val="s4f807e54"/>
          <w:rFonts w:ascii="Arial" w:hAnsi="Arial" w:cs="Arial"/>
          <w:sz w:val="18"/>
          <w:szCs w:val="18"/>
        </w:rPr>
        <w:t>Polish</w:t>
      </w:r>
      <w:proofErr w:type="spellEnd"/>
      <w:r>
        <w:rPr>
          <w:rStyle w:val="s4f807e54"/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Style w:val="s4f807e54"/>
          <w:rFonts w:ascii="Arial" w:hAnsi="Arial" w:cs="Arial"/>
          <w:sz w:val="18"/>
          <w:szCs w:val="18"/>
        </w:rPr>
        <w:t>translation</w:t>
      </w:r>
      <w:proofErr w:type="spellEnd"/>
      <w:r>
        <w:rPr>
          <w:rStyle w:val="s4f807e54"/>
          <w:rFonts w:ascii="Arial" w:hAnsi="Arial" w:cs="Arial"/>
          <w:sz w:val="18"/>
          <w:szCs w:val="18"/>
        </w:rPr>
        <w:t xml:space="preserve"> by Naczelny Sąd Administracyjny, Warszawa 2022</w:t>
      </w:r>
    </w:p>
    <w:p w14:paraId="0B2D6947" w14:textId="77777777" w:rsidR="0098410D" w:rsidRPr="00B7697C" w:rsidRDefault="0098410D" w:rsidP="00B7697C">
      <w:pPr>
        <w:jc w:val="center"/>
      </w:pPr>
    </w:p>
    <w:p w14:paraId="71F34523" w14:textId="6A34D32D" w:rsidR="00BF5D29" w:rsidRDefault="00BF5D29" w:rsidP="00B7697C">
      <w:pPr>
        <w:pStyle w:val="DecHCase"/>
      </w:pPr>
      <w:r>
        <w:t>EUROPEJSKI TRYBUNAŁ PRAW CZŁOWIEKA</w:t>
      </w:r>
    </w:p>
    <w:p w14:paraId="682C785F" w14:textId="76D8B060" w:rsidR="0098410D" w:rsidRPr="00B7697C" w:rsidRDefault="00DC7D07" w:rsidP="00B7697C">
      <w:pPr>
        <w:pStyle w:val="DecHCase"/>
      </w:pPr>
      <w:r>
        <w:t>DRUGA SEKCJA</w:t>
      </w:r>
    </w:p>
    <w:p w14:paraId="0D12BB77" w14:textId="77777777" w:rsidR="008E6217" w:rsidRPr="00B7697C" w:rsidRDefault="008E6217" w:rsidP="002E31B6">
      <w:pPr>
        <w:pStyle w:val="JuTitle"/>
        <w:spacing w:before="1080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P.T. przeciwko REPUBLICE MOŁDAWII</w:t>
      </w:r>
    </w:p>
    <w:p w14:paraId="22AE8DBD" w14:textId="77777777" w:rsidR="00D74888" w:rsidRPr="00B7697C" w:rsidRDefault="008E6217" w:rsidP="00B7697C">
      <w:pPr>
        <w:pStyle w:val="ECHRCoverTitle4"/>
      </w:pPr>
      <w:r>
        <w:t>(Skarga nr 1122/12)</w:t>
      </w:r>
    </w:p>
    <w:p w14:paraId="1D804668" w14:textId="77777777" w:rsidR="0098410D" w:rsidRPr="00B7697C" w:rsidRDefault="0098410D" w:rsidP="00B7697C">
      <w:pPr>
        <w:pStyle w:val="DecHCase"/>
      </w:pPr>
    </w:p>
    <w:p w14:paraId="5D19C6D7" w14:textId="77777777" w:rsidR="00AC4CD4" w:rsidRPr="00B7697C" w:rsidRDefault="00AC4CD4" w:rsidP="00B7697C">
      <w:pPr>
        <w:pStyle w:val="DecHCase"/>
      </w:pPr>
    </w:p>
    <w:p w14:paraId="34617C01" w14:textId="7AC0435A" w:rsidR="00884EB6" w:rsidRDefault="0098410D" w:rsidP="00A82E00">
      <w:pPr>
        <w:pStyle w:val="DecHCase"/>
        <w:spacing w:after="0"/>
      </w:pPr>
      <w:r>
        <w:t>WYROK</w:t>
      </w:r>
    </w:p>
    <w:p w14:paraId="3CE4C477" w14:textId="27E08009" w:rsidR="00A82E00" w:rsidRPr="00A82E00" w:rsidRDefault="00A82E00" w:rsidP="00A82E00">
      <w:pPr>
        <w:pStyle w:val="DecHCase"/>
      </w:pPr>
      <w:r>
        <w:t>[wyciąg]</w:t>
      </w:r>
    </w:p>
    <w:p w14:paraId="08C532F5" w14:textId="77777777" w:rsidR="00B7697C" w:rsidRPr="00B7697C" w:rsidRDefault="00B7697C" w:rsidP="00B7697C">
      <w:pPr>
        <w:pStyle w:val="Ju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</w:pPr>
      <w:bookmarkStart w:id="1" w:name="_GoBack"/>
      <w:bookmarkEnd w:id="1"/>
      <w:r>
        <w:t>Artykuł 8 • Poszanowanie życia prywatnego • Niekonieczne ujawnienie wrażliwych danych medycznych w zaświadczeniu, które należy przedstawić w różnych sytuacjach • Nieproporcjonalna ingerencja nierealizująca uprawnionego celu</w:t>
      </w:r>
    </w:p>
    <w:p w14:paraId="10408A11" w14:textId="77777777" w:rsidR="00B7697C" w:rsidRPr="00B7697C" w:rsidRDefault="00B7697C" w:rsidP="00B7697C">
      <w:pPr>
        <w:pStyle w:val="JuPara"/>
      </w:pPr>
    </w:p>
    <w:p w14:paraId="16FD7656" w14:textId="77777777" w:rsidR="00B7697C" w:rsidRPr="00B7697C" w:rsidRDefault="00B7697C" w:rsidP="00B7697C">
      <w:pPr>
        <w:pStyle w:val="JuPara"/>
      </w:pPr>
    </w:p>
    <w:p w14:paraId="14B171A6" w14:textId="77777777" w:rsidR="0098410D" w:rsidRPr="00B7697C" w:rsidRDefault="0098410D" w:rsidP="00B7697C">
      <w:pPr>
        <w:pStyle w:val="DecHCase"/>
      </w:pPr>
      <w:r>
        <w:t>STRASBURG</w:t>
      </w:r>
    </w:p>
    <w:p w14:paraId="7661ADD1" w14:textId="77777777" w:rsidR="0098410D" w:rsidRPr="00B7697C" w:rsidRDefault="00DC7D07" w:rsidP="00B7697C">
      <w:pPr>
        <w:pStyle w:val="DecHCase"/>
      </w:pPr>
      <w:r>
        <w:rPr>
          <w:rFonts w:ascii="Times New Roman" w:hAnsi="Times New Roman"/>
        </w:rPr>
        <w:t>26 maja 2020 r.</w:t>
      </w:r>
    </w:p>
    <w:p w14:paraId="1C5613D4" w14:textId="77777777" w:rsidR="00AC4CD4" w:rsidRPr="00B7697C" w:rsidRDefault="00AC4CD4" w:rsidP="00B7697C">
      <w:pPr>
        <w:pStyle w:val="JuPara"/>
      </w:pPr>
    </w:p>
    <w:p w14:paraId="2D436AE2" w14:textId="77777777" w:rsidR="0022251C" w:rsidRPr="00B7697C" w:rsidRDefault="0022251C" w:rsidP="00B7697C">
      <w:pPr>
        <w:pStyle w:val="JuPara"/>
      </w:pPr>
    </w:p>
    <w:p w14:paraId="0E6822CB" w14:textId="77777777" w:rsidR="002E31B6" w:rsidRDefault="002E31B6" w:rsidP="002E31B6">
      <w:pPr>
        <w:pStyle w:val="jucase0"/>
        <w:ind w:firstLine="0"/>
        <w:jc w:val="center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  <w:u w:val="single"/>
        </w:rPr>
        <w:t>OSTATECZNY</w:t>
      </w:r>
    </w:p>
    <w:p w14:paraId="4C0B6C2F" w14:textId="77777777" w:rsidR="007B612D" w:rsidRDefault="007B612D" w:rsidP="002E31B6">
      <w:pPr>
        <w:pStyle w:val="jucase0"/>
        <w:ind w:firstLine="0"/>
        <w:jc w:val="center"/>
        <w:rPr>
          <w:color w:val="FF0000"/>
          <w:sz w:val="28"/>
          <w:szCs w:val="28"/>
          <w:u w:val="single"/>
        </w:rPr>
      </w:pPr>
    </w:p>
    <w:p w14:paraId="6D4227E1" w14:textId="77777777" w:rsidR="007B612D" w:rsidRPr="007B612D" w:rsidRDefault="007B612D" w:rsidP="002E31B6">
      <w:pPr>
        <w:pStyle w:val="jucase0"/>
        <w:ind w:firstLine="0"/>
        <w:jc w:val="center"/>
        <w:rPr>
          <w:b w:val="0"/>
          <w:color w:val="FF0000"/>
          <w:sz w:val="28"/>
          <w:szCs w:val="28"/>
        </w:rPr>
      </w:pPr>
      <w:r>
        <w:rPr>
          <w:b w:val="0"/>
          <w:color w:val="FF0000"/>
          <w:sz w:val="28"/>
          <w:szCs w:val="28"/>
        </w:rPr>
        <w:t>26.08.2020 r.</w:t>
      </w:r>
    </w:p>
    <w:p w14:paraId="1E00D6A8" w14:textId="77777777" w:rsidR="002E31B6" w:rsidRDefault="002E31B6" w:rsidP="002E31B6">
      <w:pPr>
        <w:pStyle w:val="jupara0"/>
        <w:ind w:firstLine="0"/>
        <w:jc w:val="center"/>
      </w:pPr>
    </w:p>
    <w:p w14:paraId="6DC8B2E5" w14:textId="68CEAA88" w:rsidR="002E31B6" w:rsidRPr="00261F46" w:rsidRDefault="002E31B6" w:rsidP="002E31B6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Wyrok ten stał się ostateczny zgodnie z art. 44</w:t>
      </w:r>
      <w:r w:rsidR="00FC3239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ust. 2 Konwencji. Może on podlegać korekcie edycyjnej.</w:t>
      </w:r>
    </w:p>
    <w:p w14:paraId="2D3EE437" w14:textId="005D3EF8" w:rsidR="0022251C" w:rsidRPr="00B7697C" w:rsidRDefault="0022251C" w:rsidP="00B7697C">
      <w:pPr>
        <w:sectPr w:rsidR="0022251C" w:rsidRPr="00B7697C" w:rsidSect="00D6647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60C5E4B3" w14:textId="77777777" w:rsidR="0098410D" w:rsidRPr="00B7697C" w:rsidRDefault="0098410D" w:rsidP="00B7697C">
      <w:pPr>
        <w:pStyle w:val="JuCase"/>
      </w:pPr>
      <w:r>
        <w:lastRenderedPageBreak/>
        <w:t>W sprawie P.T. przeciwko Republice Mołdawii,</w:t>
      </w:r>
    </w:p>
    <w:p w14:paraId="22E39540" w14:textId="760DFEB5" w:rsidR="009F4C8F" w:rsidRPr="00B7697C" w:rsidRDefault="009F4C8F" w:rsidP="00B7697C">
      <w:pPr>
        <w:pStyle w:val="JuPara"/>
      </w:pPr>
      <w:r>
        <w:t>Europejski Trybunał Praw Człowieka (</w:t>
      </w:r>
      <w:r w:rsidR="00FC3239">
        <w:t>Druga Sekcja</w:t>
      </w:r>
      <w:r>
        <w:t>), zasiadając jako Izba w składzie:</w:t>
      </w:r>
    </w:p>
    <w:p w14:paraId="7654C18E" w14:textId="77777777" w:rsidR="00884EB6" w:rsidRDefault="00D364FC" w:rsidP="00B7697C">
      <w:pPr>
        <w:pStyle w:val="JuJudges"/>
        <w:rPr>
          <w:i/>
        </w:rPr>
      </w:pPr>
      <w:r>
        <w:tab/>
        <w:t>Robert Spano,</w:t>
      </w:r>
      <w:r>
        <w:rPr>
          <w:i/>
        </w:rPr>
        <w:t xml:space="preserve"> Przewodniczący,</w:t>
      </w:r>
    </w:p>
    <w:p w14:paraId="076DC858" w14:textId="77777777" w:rsidR="00884EB6" w:rsidRDefault="00D364FC" w:rsidP="00B7697C">
      <w:pPr>
        <w:pStyle w:val="JuJudges"/>
        <w:rPr>
          <w:i/>
        </w:rPr>
      </w:pPr>
      <w:r>
        <w:tab/>
        <w:t xml:space="preserve">Marko </w:t>
      </w:r>
      <w:proofErr w:type="spellStart"/>
      <w:r>
        <w:t>Bošnjak</w:t>
      </w:r>
      <w:proofErr w:type="spellEnd"/>
      <w:r>
        <w:t>,</w:t>
      </w:r>
    </w:p>
    <w:p w14:paraId="638797CD" w14:textId="77777777" w:rsidR="00884EB6" w:rsidRPr="00BF5D29" w:rsidRDefault="00D364FC" w:rsidP="00B7697C">
      <w:pPr>
        <w:pStyle w:val="JuJudges"/>
        <w:rPr>
          <w:i/>
        </w:rPr>
      </w:pPr>
      <w:r>
        <w:tab/>
      </w:r>
      <w:r w:rsidRPr="00BF5D29">
        <w:t xml:space="preserve">Valeriu </w:t>
      </w:r>
      <w:proofErr w:type="spellStart"/>
      <w:r w:rsidRPr="00BF5D29">
        <w:t>Griţco</w:t>
      </w:r>
      <w:proofErr w:type="spellEnd"/>
      <w:r w:rsidRPr="00BF5D29">
        <w:t>,</w:t>
      </w:r>
    </w:p>
    <w:p w14:paraId="5E97190C" w14:textId="77777777" w:rsidR="00884EB6" w:rsidRPr="00BF5D29" w:rsidRDefault="00D364FC" w:rsidP="00B7697C">
      <w:pPr>
        <w:pStyle w:val="JuJudges"/>
        <w:rPr>
          <w:i/>
        </w:rPr>
      </w:pPr>
      <w:r w:rsidRPr="00BF5D29">
        <w:tab/>
      </w:r>
      <w:proofErr w:type="spellStart"/>
      <w:r w:rsidRPr="00BF5D29">
        <w:t>Egidijus</w:t>
      </w:r>
      <w:proofErr w:type="spellEnd"/>
      <w:r w:rsidRPr="00BF5D29">
        <w:t xml:space="preserve"> </w:t>
      </w:r>
      <w:proofErr w:type="spellStart"/>
      <w:r w:rsidRPr="00BF5D29">
        <w:t>Kūris</w:t>
      </w:r>
      <w:proofErr w:type="spellEnd"/>
      <w:r w:rsidRPr="00BF5D29">
        <w:t>,</w:t>
      </w:r>
    </w:p>
    <w:p w14:paraId="1655F75D" w14:textId="77777777" w:rsidR="00884EB6" w:rsidRPr="00BF5D29" w:rsidRDefault="00D364FC" w:rsidP="00B7697C">
      <w:pPr>
        <w:pStyle w:val="JuJudges"/>
        <w:rPr>
          <w:i/>
        </w:rPr>
      </w:pPr>
      <w:r w:rsidRPr="00BF5D29">
        <w:tab/>
      </w:r>
      <w:proofErr w:type="spellStart"/>
      <w:r w:rsidRPr="00BF5D29">
        <w:t>Arnfinn</w:t>
      </w:r>
      <w:proofErr w:type="spellEnd"/>
      <w:r w:rsidRPr="00BF5D29">
        <w:t xml:space="preserve"> </w:t>
      </w:r>
      <w:proofErr w:type="spellStart"/>
      <w:r w:rsidRPr="00BF5D29">
        <w:t>Bårdsen</w:t>
      </w:r>
      <w:proofErr w:type="spellEnd"/>
      <w:r w:rsidRPr="00BF5D29">
        <w:t>,</w:t>
      </w:r>
    </w:p>
    <w:p w14:paraId="34A7414B" w14:textId="77777777" w:rsidR="00884EB6" w:rsidRDefault="00D364FC" w:rsidP="00B7697C">
      <w:pPr>
        <w:pStyle w:val="JuJudges"/>
        <w:rPr>
          <w:i/>
        </w:rPr>
      </w:pPr>
      <w:r w:rsidRPr="00BF5D29">
        <w:tab/>
      </w:r>
      <w:proofErr w:type="spellStart"/>
      <w:r>
        <w:t>Darian</w:t>
      </w:r>
      <w:proofErr w:type="spellEnd"/>
      <w:r>
        <w:t xml:space="preserve"> </w:t>
      </w:r>
      <w:proofErr w:type="spellStart"/>
      <w:r>
        <w:t>Pavli</w:t>
      </w:r>
      <w:proofErr w:type="spellEnd"/>
      <w:r>
        <w:t>,</w:t>
      </w:r>
    </w:p>
    <w:p w14:paraId="5F28749B" w14:textId="7AFF7137" w:rsidR="00884EB6" w:rsidRDefault="00D364FC" w:rsidP="00B7697C">
      <w:pPr>
        <w:pStyle w:val="JuJudges"/>
      </w:pPr>
      <w:r>
        <w:tab/>
      </w:r>
      <w:proofErr w:type="spellStart"/>
      <w:r>
        <w:t>Peeter</w:t>
      </w:r>
      <w:proofErr w:type="spellEnd"/>
      <w:r>
        <w:t xml:space="preserve"> </w:t>
      </w:r>
      <w:proofErr w:type="spellStart"/>
      <w:r>
        <w:t>Roosma</w:t>
      </w:r>
      <w:proofErr w:type="spellEnd"/>
      <w:r>
        <w:t>,</w:t>
      </w:r>
      <w:r>
        <w:rPr>
          <w:i/>
        </w:rPr>
        <w:t xml:space="preserve"> sędziowie,</w:t>
      </w:r>
    </w:p>
    <w:p w14:paraId="0FE17326" w14:textId="74A7A9C2" w:rsidR="009F4C8F" w:rsidRPr="00B7697C" w:rsidRDefault="009F4C8F" w:rsidP="00B7697C">
      <w:pPr>
        <w:pStyle w:val="JuJudges"/>
      </w:pPr>
      <w:r>
        <w:t xml:space="preserve">oraz Stanley </w:t>
      </w:r>
      <w:proofErr w:type="spellStart"/>
      <w:r>
        <w:t>Naismith</w:t>
      </w:r>
      <w:proofErr w:type="spellEnd"/>
      <w:r>
        <w:t xml:space="preserve">, </w:t>
      </w:r>
      <w:r>
        <w:rPr>
          <w:i/>
        </w:rPr>
        <w:t xml:space="preserve">Kanclerz </w:t>
      </w:r>
      <w:r>
        <w:rPr>
          <w:i/>
          <w:iCs/>
        </w:rPr>
        <w:t>Sekcji</w:t>
      </w:r>
      <w:r>
        <w:rPr>
          <w:i/>
        </w:rPr>
        <w:t>,</w:t>
      </w:r>
    </w:p>
    <w:p w14:paraId="570B2370" w14:textId="77777777" w:rsidR="00DC7D07" w:rsidRPr="00B7697C" w:rsidRDefault="00DC7D07" w:rsidP="00B7697C">
      <w:pPr>
        <w:pStyle w:val="JuPara"/>
      </w:pPr>
      <w:bookmarkStart w:id="2" w:name="ITMARKHavingStart"/>
      <w:bookmarkEnd w:id="2"/>
      <w:r>
        <w:t>Mając na uwadze:</w:t>
      </w:r>
    </w:p>
    <w:p w14:paraId="615B6716" w14:textId="711B6534" w:rsidR="00DC7D07" w:rsidRPr="00B7697C" w:rsidRDefault="00DC7D07" w:rsidP="00B7697C">
      <w:pPr>
        <w:pStyle w:val="JuPara"/>
      </w:pPr>
      <w:r>
        <w:t>skargę przeciwko Republice Mołdawii wniesioną do Trybunału na</w:t>
      </w:r>
      <w:r w:rsidR="0002207C">
        <w:t> </w:t>
      </w:r>
      <w:r>
        <w:t>podstawie art.</w:t>
      </w:r>
      <w:r w:rsidR="00FC3239">
        <w:t xml:space="preserve"> </w:t>
      </w:r>
      <w:r>
        <w:t>34 Konwencji o ochronie praw człowieka i podstawowych wolności („Konwencja”) przez obywatela Mołdawii, pana P.T. („skarżący”), w dniu 2 grudnia 2004 r.;</w:t>
      </w:r>
    </w:p>
    <w:p w14:paraId="0A8EAA4F" w14:textId="6697C74B" w:rsidR="00DC7D07" w:rsidRPr="00B7697C" w:rsidRDefault="00BF5D29" w:rsidP="00B7697C">
      <w:pPr>
        <w:pStyle w:val="JuPara"/>
      </w:pPr>
      <w:r>
        <w:t>decyzję o zakomunikowaniu rządowi</w:t>
      </w:r>
      <w:r w:rsidR="00DC7D07">
        <w:t xml:space="preserve"> Mołdawii („Rząd”) skar</w:t>
      </w:r>
      <w:r>
        <w:t>gi</w:t>
      </w:r>
      <w:r w:rsidR="00DC7D07">
        <w:t xml:space="preserve"> dotyczącej ujawnienia poufnych informacji medycznych;</w:t>
      </w:r>
    </w:p>
    <w:p w14:paraId="1E286115" w14:textId="77777777" w:rsidR="00DC7D07" w:rsidRPr="00B7697C" w:rsidRDefault="00DC7D07" w:rsidP="00B7697C">
      <w:pPr>
        <w:pStyle w:val="JuPara"/>
      </w:pPr>
      <w:r>
        <w:t>decyzję o nieujawnianiu nazwiska skarżącego (Reguły 33 i 47 § 4 Regulaminu Trybunału);</w:t>
      </w:r>
    </w:p>
    <w:p w14:paraId="0E2127F1" w14:textId="77777777" w:rsidR="00DC7D07" w:rsidRPr="00B7697C" w:rsidRDefault="00DC7D07" w:rsidP="00B7697C">
      <w:pPr>
        <w:pStyle w:val="JuPara"/>
      </w:pPr>
      <w:r>
        <w:t>uwagi stron;</w:t>
      </w:r>
    </w:p>
    <w:p w14:paraId="2905FCB4" w14:textId="77777777" w:rsidR="009F4C8F" w:rsidRPr="00B7697C" w:rsidRDefault="009F4C8F" w:rsidP="00B7697C">
      <w:pPr>
        <w:pStyle w:val="JuPara"/>
      </w:pPr>
      <w:r>
        <w:t>obradując na posiedzeniu niejawnym w dniu 28 kwietnia 2020 r.,</w:t>
      </w:r>
    </w:p>
    <w:p w14:paraId="65BC490D" w14:textId="77777777" w:rsidR="009F4C8F" w:rsidRPr="00B7697C" w:rsidRDefault="009F4C8F" w:rsidP="00B7697C">
      <w:pPr>
        <w:pStyle w:val="JuPara"/>
      </w:pPr>
      <w:r>
        <w:t>wydaje następujący wyrok, który został przyjęty w tym dniu:</w:t>
      </w:r>
    </w:p>
    <w:p w14:paraId="034B5264" w14:textId="77777777" w:rsidR="00DC7D07" w:rsidRPr="00B7697C" w:rsidRDefault="00DC7D07" w:rsidP="00B7697C">
      <w:pPr>
        <w:pStyle w:val="JuHHead"/>
        <w:numPr>
          <w:ilvl w:val="0"/>
          <w:numId w:val="0"/>
        </w:numPr>
      </w:pPr>
      <w:r>
        <w:t>WPROWADZENIE</w:t>
      </w:r>
    </w:p>
    <w:p w14:paraId="7BA4718F" w14:textId="0748BC97" w:rsidR="00DC7D07" w:rsidRPr="00B7697C" w:rsidRDefault="00B7697C" w:rsidP="00B7697C">
      <w:pPr>
        <w:pStyle w:val="JuPara"/>
      </w:pPr>
      <w:r w:rsidRPr="00B7697C">
        <w:t>1</w:t>
      </w:r>
      <w:r w:rsidR="00DC7D07">
        <w:t>.</w:t>
      </w:r>
      <w:r w:rsidR="00FC3239">
        <w:t xml:space="preserve"> </w:t>
      </w:r>
      <w:r w:rsidR="00DC7D07">
        <w:t>Niniejsza sprawa dotyczy ujawnienia poufnych informacji medycznych dotyczących skarżącego poprzez umieszczenie takich informacji w</w:t>
      </w:r>
      <w:r w:rsidR="0002207C">
        <w:t> </w:t>
      </w:r>
      <w:r w:rsidR="00DC7D07">
        <w:t>zaświadczeniu, które skarżący musi przedstawi</w:t>
      </w:r>
      <w:r w:rsidR="00FC3239">
        <w:t>a</w:t>
      </w:r>
      <w:r w:rsidR="00DC7D07">
        <w:t>ć w różnych sytuacjach.</w:t>
      </w:r>
    </w:p>
    <w:p w14:paraId="6EA573BC" w14:textId="77777777" w:rsidR="00DD7B04" w:rsidRPr="00884EB6" w:rsidRDefault="00DD7B04" w:rsidP="00DD7B04">
      <w:pPr>
        <w:pStyle w:val="JuPara"/>
        <w:ind w:firstLine="0"/>
      </w:pPr>
    </w:p>
    <w:p w14:paraId="5C55DCB8" w14:textId="77777777" w:rsidR="00DD7B04" w:rsidRDefault="00DC7D07" w:rsidP="00885D49">
      <w:pPr>
        <w:pStyle w:val="JuHHead"/>
      </w:pPr>
      <w:r>
        <w:t xml:space="preserve">FAKTY </w:t>
      </w:r>
    </w:p>
    <w:p w14:paraId="65016E8F" w14:textId="77777777" w:rsidR="00DD7B04" w:rsidRDefault="00DD7B04" w:rsidP="00DD7B04">
      <w:pPr>
        <w:pStyle w:val="JuPara"/>
        <w:ind w:firstLine="0"/>
      </w:pPr>
    </w:p>
    <w:p w14:paraId="02FB5D7D" w14:textId="0C779E3D" w:rsidR="00DD7B04" w:rsidRPr="00210E59" w:rsidRDefault="00DD7B04" w:rsidP="00DD7B04">
      <w:pPr>
        <w:pStyle w:val="JuPara"/>
        <w:ind w:firstLine="0"/>
        <w:rPr>
          <w:i/>
          <w:iCs/>
        </w:rPr>
      </w:pPr>
      <w:r>
        <w:rPr>
          <w:i/>
          <w:iCs/>
        </w:rPr>
        <w:t>[Paragrafy 2 – 13 wyroku pominięto i zastąpiono tłumaczeniem poniższego streszczenia przygotowanego przez Kancelarię Europejskiego Trybunału Praw Człowieka</w:t>
      </w:r>
    </w:p>
    <w:p w14:paraId="003E295B" w14:textId="77777777" w:rsidR="00DD7B04" w:rsidRPr="00884EB6" w:rsidRDefault="00DD7B04" w:rsidP="00DD7B04">
      <w:pPr>
        <w:pStyle w:val="JuPara"/>
        <w:ind w:firstLine="0"/>
        <w:rPr>
          <w:i/>
          <w:iCs/>
          <w:u w:val="single"/>
        </w:rPr>
      </w:pPr>
    </w:p>
    <w:p w14:paraId="6BC52A3A" w14:textId="77777777" w:rsidR="00DD7B04" w:rsidRPr="00BF5D29" w:rsidRDefault="00DD7B04" w:rsidP="00DD7B04">
      <w:pPr>
        <w:pStyle w:val="JuPara"/>
        <w:ind w:firstLine="0"/>
        <w:rPr>
          <w:iCs/>
          <w:u w:val="single"/>
        </w:rPr>
      </w:pPr>
      <w:r w:rsidRPr="00BF5D29">
        <w:rPr>
          <w:i/>
          <w:iCs/>
          <w:u w:val="single"/>
        </w:rPr>
        <w:t>Streszczenie stanu faktycznego</w:t>
      </w:r>
      <w:r w:rsidRPr="00210E59">
        <w:rPr>
          <w:rStyle w:val="Odwoanieprzypisudolnego"/>
          <w:u w:val="single"/>
        </w:rPr>
        <w:footnoteReference w:id="2"/>
      </w:r>
      <w:r w:rsidRPr="00BF5D29">
        <w:rPr>
          <w:iCs/>
          <w:u w:val="single"/>
        </w:rPr>
        <w:t>:</w:t>
      </w:r>
    </w:p>
    <w:p w14:paraId="05F1DD51" w14:textId="77777777" w:rsidR="00DD7B04" w:rsidRPr="00BF5D29" w:rsidRDefault="00DD7B04" w:rsidP="00DD7B04">
      <w:pPr>
        <w:pStyle w:val="JuPara"/>
        <w:ind w:firstLine="0"/>
        <w:rPr>
          <w:iCs/>
          <w:highlight w:val="yellow"/>
          <w:u w:val="single"/>
        </w:rPr>
      </w:pPr>
    </w:p>
    <w:p w14:paraId="2AC42573" w14:textId="629C27DE" w:rsidR="00DD7B04" w:rsidRPr="004F09D0" w:rsidRDefault="00F52E98" w:rsidP="00DD7B04">
      <w:pPr>
        <w:pStyle w:val="JuPara"/>
        <w:ind w:firstLine="0"/>
        <w:rPr>
          <w:i/>
          <w:iCs/>
        </w:rPr>
      </w:pPr>
      <w:r w:rsidRPr="004F09D0">
        <w:rPr>
          <w:rStyle w:val="sfbbfee58"/>
        </w:rPr>
        <w:t>Skarżący potrzebował książeczki wojskowej albo zaświadczenia o</w:t>
      </w:r>
      <w:r w:rsidR="0002207C">
        <w:rPr>
          <w:rStyle w:val="sfbbfee58"/>
        </w:rPr>
        <w:t> </w:t>
      </w:r>
      <w:r w:rsidRPr="004F09D0">
        <w:rPr>
          <w:rStyle w:val="sfbbfee58"/>
        </w:rPr>
        <w:t>zwolnieniu z obowiązku odbycia służby wojskowej do wielu celów administracyjnych, w tym do uzyskania prawa jazdy i ubiegania się o pracę. Uzyskał zaświadczenie o zwolnieniu z przyczyn medycznych, które</w:t>
      </w:r>
      <w:r w:rsidR="00885D49">
        <w:rPr>
          <w:rStyle w:val="sfbbfee58"/>
        </w:rPr>
        <w:t xml:space="preserve"> –</w:t>
      </w:r>
      <w:r w:rsidRPr="004F09D0">
        <w:rPr>
          <w:rStyle w:val="sfbbfee58"/>
        </w:rPr>
        <w:t xml:space="preserve"> poprzez odwołanie się do innych opublikowanych </w:t>
      </w:r>
      <w:r w:rsidR="001D7ADB">
        <w:rPr>
          <w:rStyle w:val="sfbbfee58"/>
        </w:rPr>
        <w:t>standardów</w:t>
      </w:r>
      <w:r w:rsidRPr="004F09D0">
        <w:rPr>
          <w:rStyle w:val="sfbbfee58"/>
        </w:rPr>
        <w:t xml:space="preserve"> </w:t>
      </w:r>
      <w:r w:rsidR="00885D49">
        <w:rPr>
          <w:rStyle w:val="sfbbfee58"/>
        </w:rPr>
        <w:t xml:space="preserve">– </w:t>
      </w:r>
      <w:r w:rsidRPr="004F09D0">
        <w:rPr>
          <w:rStyle w:val="sfbbfee58"/>
        </w:rPr>
        <w:t>pozw</w:t>
      </w:r>
      <w:r w:rsidR="00885D49">
        <w:rPr>
          <w:rStyle w:val="sfbbfee58"/>
        </w:rPr>
        <w:t>a</w:t>
      </w:r>
      <w:r w:rsidRPr="004F09D0">
        <w:rPr>
          <w:rStyle w:val="sfbbfee58"/>
        </w:rPr>
        <w:t>l</w:t>
      </w:r>
      <w:r w:rsidR="00885D49">
        <w:rPr>
          <w:rStyle w:val="sfbbfee58"/>
        </w:rPr>
        <w:t>a</w:t>
      </w:r>
      <w:r w:rsidRPr="004F09D0">
        <w:rPr>
          <w:rStyle w:val="sfbbfee58"/>
        </w:rPr>
        <w:t>ło na określenie rodzaju choroby, na którą cierpiał (HIV).]</w:t>
      </w:r>
    </w:p>
    <w:p w14:paraId="41DD6905" w14:textId="77777777" w:rsidR="00DD7B04" w:rsidRPr="004F09D0" w:rsidRDefault="00DD7B04" w:rsidP="00DD7B04">
      <w:pPr>
        <w:pStyle w:val="JuPara"/>
        <w:ind w:firstLine="0"/>
        <w:rPr>
          <w:i/>
          <w:iCs/>
        </w:rPr>
      </w:pPr>
    </w:p>
    <w:p w14:paraId="76268C97" w14:textId="77777777" w:rsidR="00DC7D07" w:rsidRPr="00B7697C" w:rsidRDefault="00DC7D07" w:rsidP="00B7697C">
      <w:pPr>
        <w:pStyle w:val="JuHHead"/>
      </w:pPr>
      <w:r>
        <w:t>PRAWO</w:t>
      </w:r>
    </w:p>
    <w:p w14:paraId="3FEC7903" w14:textId="77777777" w:rsidR="00DC7D07" w:rsidRPr="00B7697C" w:rsidRDefault="00DC7D07" w:rsidP="00B7697C">
      <w:pPr>
        <w:pStyle w:val="JuHIRoman"/>
      </w:pPr>
      <w:r>
        <w:t>ZARZUT NARUSZENIA ART. 8 KONWENCJI</w:t>
      </w:r>
    </w:p>
    <w:p w14:paraId="6DEB412D" w14:textId="3EF6A612" w:rsidR="00DC7D07" w:rsidRPr="00B7697C" w:rsidRDefault="00B7697C" w:rsidP="00B7697C">
      <w:pPr>
        <w:pStyle w:val="JuPara"/>
      </w:pPr>
      <w:r w:rsidRPr="00B7697C">
        <w:t>14</w:t>
      </w:r>
      <w:r w:rsidR="00DC7D07">
        <w:t>.</w:t>
      </w:r>
      <w:r w:rsidR="00FC3239">
        <w:t xml:space="preserve"> </w:t>
      </w:r>
      <w:r w:rsidR="00DC7D07">
        <w:t>Skarżący zarzucił ujawnienie jego osobowych danych medycznych w</w:t>
      </w:r>
      <w:r w:rsidR="0002207C">
        <w:t> </w:t>
      </w:r>
      <w:r w:rsidR="00DC7D07">
        <w:t>oficjalnym dokumencie, który musiał przedstawi</w:t>
      </w:r>
      <w:r w:rsidR="00885D49">
        <w:t>a</w:t>
      </w:r>
      <w:r w:rsidR="00DC7D07">
        <w:t>ć różnym władzom. Powołał się na art. 8 Konwencji, który brzmi następująco:</w:t>
      </w:r>
    </w:p>
    <w:p w14:paraId="75305A6C" w14:textId="174DE279" w:rsidR="00DC7D07" w:rsidRPr="00B7697C" w:rsidRDefault="00DC7D07" w:rsidP="00B7697C">
      <w:pPr>
        <w:pStyle w:val="JuQuot"/>
      </w:pPr>
      <w:r>
        <w:t>„1.</w:t>
      </w:r>
      <w:r w:rsidR="00FC3239">
        <w:t xml:space="preserve"> </w:t>
      </w:r>
      <w:r>
        <w:t>Każdy ma prawo do poszanowania swojego życia prywatnego i rodzinnego, swojego mieszkania i swojej korespondencji.</w:t>
      </w:r>
    </w:p>
    <w:p w14:paraId="5B09E3D5" w14:textId="61023C66" w:rsidR="00DC7D07" w:rsidRPr="00B7697C" w:rsidRDefault="00DC7D07" w:rsidP="00B7697C">
      <w:pPr>
        <w:pStyle w:val="JuQuot"/>
      </w:pPr>
      <w:r>
        <w:t>2.</w:t>
      </w:r>
      <w:r w:rsidR="00FC3239">
        <w:t xml:space="preserve"> </w:t>
      </w:r>
      <w:r w:rsidR="00885D49" w:rsidRPr="00885D49">
        <w:t>Niedopuszczalna jest ingerencja władzy publicznej w korzystanie z tego prawa, z</w:t>
      </w:r>
      <w:r w:rsidR="0002207C">
        <w:t> </w:t>
      </w:r>
      <w:r w:rsidR="00885D49" w:rsidRPr="00885D49">
        <w:t>wyjątkiem przypadków przewidzianych przez ustawę i koniecznych w</w:t>
      </w:r>
      <w:r w:rsidR="0002207C">
        <w:t> </w:t>
      </w:r>
      <w:r w:rsidR="00885D49" w:rsidRPr="00885D49">
        <w:t>demokratycznym społeczeństwie z uwagi na bezpieczeństwo państwowe, bezpieczeństwo publiczne lub dobrobyt gospodarczy kraju, ochronę porządku i</w:t>
      </w:r>
      <w:r w:rsidR="0002207C">
        <w:t> </w:t>
      </w:r>
      <w:r w:rsidR="00885D49" w:rsidRPr="00885D49">
        <w:t>zapobieganie przestępstwom, ochronę zdrowia i moralności lub ochronę praw i</w:t>
      </w:r>
      <w:r w:rsidR="0002207C">
        <w:t> </w:t>
      </w:r>
      <w:r w:rsidR="00885D49" w:rsidRPr="00885D49">
        <w:t>wolności innych osób</w:t>
      </w:r>
      <w:r>
        <w:t>”</w:t>
      </w:r>
      <w:r w:rsidR="003479CE">
        <w:t>.</w:t>
      </w:r>
    </w:p>
    <w:p w14:paraId="2576534C" w14:textId="77777777" w:rsidR="00DC7D07" w:rsidRPr="00B7697C" w:rsidRDefault="00DC7D07" w:rsidP="00B7697C">
      <w:pPr>
        <w:pStyle w:val="JuHA"/>
      </w:pPr>
      <w:r>
        <w:t>Oświadczenia stron</w:t>
      </w:r>
    </w:p>
    <w:p w14:paraId="47665A2F" w14:textId="5C1D7C49" w:rsidR="00DC7D07" w:rsidRPr="00B7697C" w:rsidRDefault="00B7697C" w:rsidP="00B7697C">
      <w:pPr>
        <w:pStyle w:val="JuPara"/>
        <w:rPr>
          <w:rFonts w:ascii="Times New Roman" w:hAnsi="Times New Roman" w:cs="Times New Roman"/>
        </w:rPr>
      </w:pPr>
      <w:r w:rsidRPr="00B7697C">
        <w:t>15</w:t>
      </w:r>
      <w:r w:rsidR="00DC7D07">
        <w:t>.</w:t>
      </w:r>
      <w:r w:rsidR="00FC3239">
        <w:t xml:space="preserve"> </w:t>
      </w:r>
      <w:r w:rsidR="00DC7D07">
        <w:rPr>
          <w:rFonts w:ascii="Times New Roman" w:hAnsi="Times New Roman"/>
        </w:rPr>
        <w:t>Rząd dowodził, że skarżący nie wyczerpał dostępnych krajowych środków odwoławczych, ponieważ nie wszczął żadnego postępowania w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sądach krajowych. Powołał się na sprawę </w:t>
      </w:r>
      <w:proofErr w:type="spellStart"/>
      <w:r w:rsidR="00DC7D07">
        <w:rPr>
          <w:rFonts w:ascii="Times New Roman" w:hAnsi="Times New Roman"/>
          <w:i/>
          <w:iCs/>
        </w:rPr>
        <w:t>Saghinadze</w:t>
      </w:r>
      <w:proofErr w:type="spellEnd"/>
      <w:r w:rsidR="00DC7D07">
        <w:rPr>
          <w:rFonts w:ascii="Times New Roman" w:hAnsi="Times New Roman"/>
          <w:i/>
          <w:iCs/>
        </w:rPr>
        <w:t xml:space="preserve"> i Inni przeciwko Gruzji</w:t>
      </w:r>
      <w:r w:rsidR="00DC7D07">
        <w:rPr>
          <w:rFonts w:ascii="Times New Roman" w:hAnsi="Times New Roman"/>
        </w:rPr>
        <w:t xml:space="preserve"> (nr 18768/05, §§ 80-84, 27 maja 2010 r.), w której tylko pierwszy z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>sześciu skarżących, członków tej samej rodziny, wyczerpał krajowe środki odwoławcze i w której Trybunał uznał skargi złożone przez pięciu pozostałych skarżących za niedopuszczalne z tego powodu.</w:t>
      </w:r>
    </w:p>
    <w:p w14:paraId="3C9E932B" w14:textId="6B007E79" w:rsidR="00DC7D07" w:rsidRPr="00B7697C" w:rsidRDefault="00B7697C" w:rsidP="00B7697C">
      <w:pPr>
        <w:pStyle w:val="JuPara"/>
      </w:pPr>
      <w:r w:rsidRPr="00B7697C">
        <w:rPr>
          <w:rFonts w:ascii="Times New Roman" w:hAnsi="Times New Roman" w:cs="Times New Roman"/>
        </w:rPr>
        <w:t>16</w:t>
      </w:r>
      <w:r w:rsidR="00DC7D07">
        <w:rPr>
          <w:rFonts w:ascii="Times New Roman" w:hAnsi="Times New Roman"/>
        </w:rPr>
        <w:t>.</w:t>
      </w:r>
      <w:r w:rsidR="00FC3239">
        <w:rPr>
          <w:rFonts w:ascii="Times New Roman" w:hAnsi="Times New Roman"/>
        </w:rPr>
        <w:t xml:space="preserve"> </w:t>
      </w:r>
      <w:r w:rsidR="00DC7D07">
        <w:rPr>
          <w:rFonts w:ascii="Times New Roman" w:hAnsi="Times New Roman"/>
        </w:rPr>
        <w:t xml:space="preserve">Rząd argumentował, że podobnie jak w sprawie </w:t>
      </w:r>
      <w:proofErr w:type="spellStart"/>
      <w:r w:rsidR="00DC7D07">
        <w:rPr>
          <w:rFonts w:ascii="Times New Roman" w:hAnsi="Times New Roman"/>
          <w:i/>
          <w:iCs/>
        </w:rPr>
        <w:t>Saghinadze</w:t>
      </w:r>
      <w:proofErr w:type="spellEnd"/>
      <w:r w:rsidR="00DC7D07">
        <w:rPr>
          <w:rFonts w:ascii="Times New Roman" w:hAnsi="Times New Roman"/>
        </w:rPr>
        <w:t xml:space="preserve">, sytuacja skarżącego nie była identyczna z sytuacją w sprawie B. (zob. paragraf </w:t>
      </w:r>
      <w:r w:rsidRPr="00B7697C">
        <w:t>12</w:t>
      </w:r>
      <w:r w:rsidR="00DC7D07">
        <w:rPr>
          <w:rFonts w:ascii="Times New Roman" w:hAnsi="Times New Roman"/>
        </w:rPr>
        <w:t xml:space="preserve"> powyżej), tak aby zwolnić go z obowiązku wyczerpania krajowych środków odwoławczych. W szczególności, w przeciwieństwie do sprawy B., w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>niniejszej sprawie nie doszło do ujawnienia informacji poufnych. Wynik pojedynczej sprawy, na którą powoływał się skarżący, był niewystarczający do stwierdzenia nieskuteczności środka odwoławczego, biorąc pod uwagę, że</w:t>
      </w:r>
      <w:r w:rsidR="003C0D1B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>nikt nie mógł wiedzieć, jaki byłby wynik sprawy, gdyby skarżący wniósł swoje skargi do sądów krajowych.</w:t>
      </w:r>
    </w:p>
    <w:p w14:paraId="2A80A726" w14:textId="2BCAC92D" w:rsidR="00DC7D07" w:rsidRPr="00B7697C" w:rsidRDefault="00B7697C" w:rsidP="00B7697C">
      <w:pPr>
        <w:pStyle w:val="JuPara"/>
      </w:pPr>
      <w:bookmarkStart w:id="3" w:name="p_17_TA_OBS"/>
      <w:r w:rsidRPr="00B7697C">
        <w:t>17</w:t>
      </w:r>
      <w:bookmarkEnd w:id="3"/>
      <w:r w:rsidR="00DC7D07">
        <w:t>.</w:t>
      </w:r>
      <w:r w:rsidR="00FC3239">
        <w:t xml:space="preserve"> </w:t>
      </w:r>
      <w:r w:rsidR="00DC7D07">
        <w:rPr>
          <w:rFonts w:ascii="Times New Roman" w:hAnsi="Times New Roman"/>
        </w:rPr>
        <w:t xml:space="preserve">Skarżący twierdził, że chociaż jego odniesienie do sprawy B. zostało odrzucone przez Rząd jako </w:t>
      </w:r>
      <w:r w:rsidR="003479CE">
        <w:rPr>
          <w:rFonts w:ascii="Times New Roman" w:hAnsi="Times New Roman"/>
        </w:rPr>
        <w:t>odosobniony</w:t>
      </w:r>
      <w:r w:rsidR="00DC7D07">
        <w:rPr>
          <w:rFonts w:ascii="Times New Roman" w:hAnsi="Times New Roman"/>
        </w:rPr>
        <w:t xml:space="preserve"> przykład, Rząd nie przedstawił </w:t>
      </w:r>
      <w:r w:rsidR="00DC7D07">
        <w:rPr>
          <w:rFonts w:ascii="Times New Roman" w:hAnsi="Times New Roman"/>
        </w:rPr>
        <w:lastRenderedPageBreak/>
        <w:t>żadnego przykładu sprawy, w której sądy podjęły inną decyzję niż w tej sprawie w podobnej sytuacji. Nie było żadnej istotnej różnicy między jego sytuacją a sytuacją B.; w szczególności, w obecnej sprawie doszło do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ujawnienia informacji poufnych osobom trzecim, kiedy jego zaświadczenie o zwolnieniu </w:t>
      </w:r>
      <w:r w:rsidR="003479CE">
        <w:rPr>
          <w:rFonts w:ascii="Times New Roman" w:hAnsi="Times New Roman"/>
        </w:rPr>
        <w:t xml:space="preserve">[ze służby wojskowej] </w:t>
      </w:r>
      <w:r w:rsidR="00DC7D07">
        <w:rPr>
          <w:rFonts w:ascii="Times New Roman" w:hAnsi="Times New Roman"/>
        </w:rPr>
        <w:t>musiało zostać przedłożone władzom w celu odnowienia jego krajowego dowodu tożsamości. Co ważniejsze, wszelkie różnice między tymi dw</w:t>
      </w:r>
      <w:r w:rsidR="003479CE">
        <w:rPr>
          <w:rFonts w:ascii="Times New Roman" w:hAnsi="Times New Roman"/>
        </w:rPr>
        <w:t>ie</w:t>
      </w:r>
      <w:r w:rsidR="00DC7D07">
        <w:rPr>
          <w:rFonts w:ascii="Times New Roman" w:hAnsi="Times New Roman"/>
        </w:rPr>
        <w:t>ma sprawami nie były istotne, biorąc pod uwagę tok rozumowania Sądu Najwyższego w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wyroku w sprawie B. Wreszcie </w:t>
      </w:r>
      <w:r w:rsidR="003479CE">
        <w:rPr>
          <w:rFonts w:ascii="Times New Roman" w:hAnsi="Times New Roman"/>
        </w:rPr>
        <w:t xml:space="preserve">skarżący </w:t>
      </w:r>
      <w:r w:rsidR="00DC7D07">
        <w:rPr>
          <w:rFonts w:ascii="Times New Roman" w:hAnsi="Times New Roman"/>
        </w:rPr>
        <w:t>dowodził, że skoro imię i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>nazwisko B. zostało wymienione w wyroku Sądu Najwyższego pomimo wniosku o przyznanie mu anonimowości, skarżący był narażony na takie samo dalsze ujawnienie bardzo wrażliwych informacji medycznych. Zniechęcono go zatem do wniesienia pozwu do sądu, ponieważ mogłoby to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>spowodować taki sam rodzaj rozgłosu, jakiego starał się uniknąć, wnioskując o zmianę swojego zaświadczenia o zwolnieniu.</w:t>
      </w:r>
    </w:p>
    <w:p w14:paraId="24991E12" w14:textId="77777777" w:rsidR="00DC7D07" w:rsidRPr="00B7697C" w:rsidRDefault="00DC7D07" w:rsidP="00B7697C">
      <w:pPr>
        <w:pStyle w:val="JuHA"/>
      </w:pPr>
      <w:r>
        <w:t>Dopuszczalność</w:t>
      </w:r>
    </w:p>
    <w:p w14:paraId="21235409" w14:textId="7C9DC14D" w:rsidR="00DC7D07" w:rsidRPr="00B7697C" w:rsidRDefault="00B7697C" w:rsidP="00B7697C">
      <w:pPr>
        <w:pStyle w:val="JuPara"/>
      </w:pPr>
      <w:r w:rsidRPr="00B7697C">
        <w:t>18</w:t>
      </w:r>
      <w:r w:rsidR="00DC7D07">
        <w:t>.</w:t>
      </w:r>
      <w:r w:rsidR="00FC3239">
        <w:t xml:space="preserve"> </w:t>
      </w:r>
      <w:r w:rsidR="00DC7D07">
        <w:t>Trybunał przypomina, że zgodnie z art. 35 ust. 1 Konwencji Trybunał może rozpatrywać skargę dopiero po wyczerpaniu krajowych środków odwoławczych, które dotyczą podnoszonych naruszeń, a także są dostępne i</w:t>
      </w:r>
      <w:r w:rsidR="0002207C">
        <w:t> </w:t>
      </w:r>
      <w:r w:rsidR="00DC7D07">
        <w:t xml:space="preserve">wystarczające. Trybunał również przypomina, że to na Rządzie powołującym się na niewyczerpanie środków spoczywa obowiązek przekonania Trybunału, że środek był w danym czasie skuteczny i dostępny w teorii i w praktyce, to znaczy, że był on dostępny, mógł zapewnić zadośćuczynienie w odniesieniu do skarg skarżącego i dawał racjonalne szanse wygrania sprawy (zob. w szczególności </w:t>
      </w:r>
      <w:proofErr w:type="spellStart"/>
      <w:r w:rsidR="00DC7D07">
        <w:rPr>
          <w:i/>
          <w:iCs/>
        </w:rPr>
        <w:t>Selmouni</w:t>
      </w:r>
      <w:proofErr w:type="spellEnd"/>
      <w:r w:rsidR="00DC7D07">
        <w:rPr>
          <w:i/>
          <w:iCs/>
        </w:rPr>
        <w:t xml:space="preserve"> przeciwko Francji</w:t>
      </w:r>
      <w:r w:rsidR="00DC7D07">
        <w:t xml:space="preserve"> [</w:t>
      </w:r>
      <w:proofErr w:type="spellStart"/>
      <w:r w:rsidR="00DC7D07">
        <w:t>WI</w:t>
      </w:r>
      <w:proofErr w:type="spellEnd"/>
      <w:r w:rsidR="00DC7D07">
        <w:t>], nr 25803/94, § 76, ETPC 1999</w:t>
      </w:r>
      <w:r w:rsidR="00DC7D07">
        <w:noBreakHyphen/>
        <w:t xml:space="preserve">V; </w:t>
      </w:r>
      <w:proofErr w:type="spellStart"/>
      <w:r w:rsidR="00DC7D07">
        <w:rPr>
          <w:i/>
          <w:iCs/>
        </w:rPr>
        <w:t>Sejdovic</w:t>
      </w:r>
      <w:proofErr w:type="spellEnd"/>
      <w:r w:rsidR="00DC7D07">
        <w:rPr>
          <w:i/>
          <w:iCs/>
        </w:rPr>
        <w:t xml:space="preserve"> przeciwko Włochom</w:t>
      </w:r>
      <w:r w:rsidR="00DC7D07">
        <w:t xml:space="preserve"> [</w:t>
      </w:r>
      <w:proofErr w:type="spellStart"/>
      <w:r w:rsidR="00DC7D07">
        <w:t>WI</w:t>
      </w:r>
      <w:proofErr w:type="spellEnd"/>
      <w:r w:rsidR="00DC7D07">
        <w:t xml:space="preserve">], nr 56581/00, § 46, ETPC 2006-II; oraz </w:t>
      </w:r>
      <w:proofErr w:type="spellStart"/>
      <w:r w:rsidR="00DC7D07">
        <w:rPr>
          <w:i/>
          <w:iCs/>
        </w:rPr>
        <w:t>Gherghina</w:t>
      </w:r>
      <w:proofErr w:type="spellEnd"/>
      <w:r w:rsidR="00DC7D07">
        <w:rPr>
          <w:i/>
          <w:iCs/>
        </w:rPr>
        <w:t xml:space="preserve"> przeciwko Rumunii</w:t>
      </w:r>
      <w:r w:rsidR="00DC7D07">
        <w:t xml:space="preserve"> [</w:t>
      </w:r>
      <w:proofErr w:type="spellStart"/>
      <w:r w:rsidR="00DC7D07">
        <w:t>WI</w:t>
      </w:r>
      <w:proofErr w:type="spellEnd"/>
      <w:r w:rsidR="00DC7D07">
        <w:t>] (</w:t>
      </w:r>
      <w:proofErr w:type="spellStart"/>
      <w:r w:rsidR="00DC7D07">
        <w:t>dec</w:t>
      </w:r>
      <w:proofErr w:type="spellEnd"/>
      <w:r w:rsidR="00DC7D07">
        <w:t>.), nr 42219/07, § 85, 9 lipca 2015 r.). Po wypełnieniu tego obowiązku przeprowadzenia dowodu, na skarżącym spoczywa obowiązek wykazania, że</w:t>
      </w:r>
      <w:r w:rsidR="0002207C">
        <w:t> </w:t>
      </w:r>
      <w:r w:rsidR="00DC7D07">
        <w:t>środek odwoławczy przedstawiony przez Rząd został w rzeczywistości wykorzystany lub był z jakiegoś powodu nieodpowiedni i nieskuteczny w</w:t>
      </w:r>
      <w:r w:rsidR="0002207C">
        <w:t> </w:t>
      </w:r>
      <w:r w:rsidR="00DC7D07">
        <w:t xml:space="preserve">szczególnych okolicznościach sprawy, lub że istniały szczególne okoliczności zwalniające go z tego wymogu (zob. </w:t>
      </w:r>
      <w:proofErr w:type="spellStart"/>
      <w:r w:rsidR="00DC7D07">
        <w:rPr>
          <w:i/>
          <w:iCs/>
        </w:rPr>
        <w:t>Akdivar</w:t>
      </w:r>
      <w:proofErr w:type="spellEnd"/>
      <w:r w:rsidR="00DC7D07">
        <w:rPr>
          <w:i/>
          <w:iCs/>
        </w:rPr>
        <w:t xml:space="preserve"> i Inni przeciwko Turcji</w:t>
      </w:r>
      <w:r w:rsidR="00DC7D07">
        <w:t xml:space="preserve">, 16 września 1996 r., § 68, </w:t>
      </w:r>
      <w:proofErr w:type="spellStart"/>
      <w:r w:rsidR="00DC7D07">
        <w:rPr>
          <w:i/>
          <w:iCs/>
        </w:rPr>
        <w:t>Reports</w:t>
      </w:r>
      <w:proofErr w:type="spellEnd"/>
      <w:r w:rsidR="00DC7D07">
        <w:rPr>
          <w:i/>
          <w:iCs/>
        </w:rPr>
        <w:t xml:space="preserve"> of </w:t>
      </w:r>
      <w:proofErr w:type="spellStart"/>
      <w:r w:rsidR="00DC7D07">
        <w:rPr>
          <w:i/>
          <w:iCs/>
        </w:rPr>
        <w:t>Judgments</w:t>
      </w:r>
      <w:proofErr w:type="spellEnd"/>
      <w:r w:rsidR="00DC7D07">
        <w:rPr>
          <w:i/>
          <w:iCs/>
        </w:rPr>
        <w:t xml:space="preserve"> and </w:t>
      </w:r>
      <w:proofErr w:type="spellStart"/>
      <w:r w:rsidR="00DC7D07">
        <w:rPr>
          <w:i/>
          <w:iCs/>
        </w:rPr>
        <w:t>Decisions</w:t>
      </w:r>
      <w:proofErr w:type="spellEnd"/>
      <w:r w:rsidR="00DC7D07">
        <w:t xml:space="preserve"> 1996</w:t>
      </w:r>
      <w:r w:rsidR="00DC7D07">
        <w:noBreakHyphen/>
        <w:t xml:space="preserve">IV; </w:t>
      </w:r>
      <w:proofErr w:type="spellStart"/>
      <w:r w:rsidR="00DC7D07">
        <w:rPr>
          <w:i/>
          <w:iCs/>
        </w:rPr>
        <w:t>Prencipe</w:t>
      </w:r>
      <w:proofErr w:type="spellEnd"/>
      <w:r w:rsidR="00DC7D07">
        <w:rPr>
          <w:i/>
          <w:iCs/>
        </w:rPr>
        <w:t xml:space="preserve"> przeciwko Monako</w:t>
      </w:r>
      <w:r w:rsidR="00DC7D07">
        <w:t xml:space="preserve">, nr 43376/06, § 93, 16 lipca 2009 r.; oraz </w:t>
      </w:r>
      <w:proofErr w:type="spellStart"/>
      <w:r w:rsidR="00DC7D07">
        <w:rPr>
          <w:i/>
          <w:iCs/>
        </w:rPr>
        <w:t>Molla</w:t>
      </w:r>
      <w:proofErr w:type="spellEnd"/>
      <w:r w:rsidR="00DC7D07">
        <w:rPr>
          <w:i/>
          <w:iCs/>
        </w:rPr>
        <w:t xml:space="preserve"> </w:t>
      </w:r>
      <w:proofErr w:type="spellStart"/>
      <w:r w:rsidR="00DC7D07">
        <w:rPr>
          <w:i/>
          <w:iCs/>
        </w:rPr>
        <w:t>Salli</w:t>
      </w:r>
      <w:proofErr w:type="spellEnd"/>
      <w:r w:rsidR="00DC7D07">
        <w:rPr>
          <w:i/>
          <w:iCs/>
        </w:rPr>
        <w:t xml:space="preserve"> przeciwko Grecji</w:t>
      </w:r>
      <w:r w:rsidR="00DC7D07">
        <w:t xml:space="preserve"> [</w:t>
      </w:r>
      <w:proofErr w:type="spellStart"/>
      <w:r w:rsidR="00DC7D07">
        <w:t>WI</w:t>
      </w:r>
      <w:proofErr w:type="spellEnd"/>
      <w:r w:rsidR="00DC7D07">
        <w:t>], nr 20452/14, § 89, 19 grudnia 2018</w:t>
      </w:r>
      <w:r w:rsidR="0002207C">
        <w:t> </w:t>
      </w:r>
      <w:r w:rsidR="00DC7D07">
        <w:t>r.).</w:t>
      </w:r>
    </w:p>
    <w:p w14:paraId="635B9949" w14:textId="08CC4BA8" w:rsidR="00DC7D07" w:rsidRPr="00B7697C" w:rsidRDefault="00B7697C" w:rsidP="00B7697C">
      <w:pPr>
        <w:pStyle w:val="JuPara"/>
      </w:pPr>
      <w:r w:rsidRPr="00B7697C">
        <w:t>19</w:t>
      </w:r>
      <w:r w:rsidR="00DC7D07">
        <w:t>.</w:t>
      </w:r>
      <w:r w:rsidR="00FC3239">
        <w:t xml:space="preserve"> </w:t>
      </w:r>
      <w:r w:rsidR="00DC7D07">
        <w:t>W niniejszej sprawie Trybunał zauważył, że skarżącemu najwyraźniej przysługiwała możliwość złożenia skargi na treść zaświadczenia o</w:t>
      </w:r>
      <w:r w:rsidR="0002207C">
        <w:t> </w:t>
      </w:r>
      <w:r w:rsidR="00DC7D07">
        <w:t xml:space="preserve">zwolnieniu. W sprawie B., na którą powołuje się skarżący (zob. paragraf </w:t>
      </w:r>
      <w:r w:rsidRPr="00B7697C">
        <w:t>12</w:t>
      </w:r>
      <w:r w:rsidR="00DC7D07">
        <w:t xml:space="preserve"> powyżej), sądy krajowe przyjęły do rozpatrzenia skargę, która była bardzo podobna do skargi skarżącego. Wynika z tego, że w krajowym systemie </w:t>
      </w:r>
      <w:r w:rsidR="00DC7D07">
        <w:lastRenderedPageBreak/>
        <w:t>prawnym istniał środek odwoławczy, który był dostępny w teorii i</w:t>
      </w:r>
      <w:r w:rsidR="0002207C">
        <w:t> </w:t>
      </w:r>
      <w:r w:rsidR="00DC7D07">
        <w:t>w</w:t>
      </w:r>
      <w:r w:rsidR="0002207C">
        <w:t> </w:t>
      </w:r>
      <w:r w:rsidR="00DC7D07">
        <w:t>praktyce.</w:t>
      </w:r>
    </w:p>
    <w:p w14:paraId="4C147251" w14:textId="62E2A398" w:rsidR="00DC7D07" w:rsidRPr="00B7697C" w:rsidRDefault="00B7697C" w:rsidP="00B7697C">
      <w:pPr>
        <w:pStyle w:val="JuPara"/>
      </w:pPr>
      <w:r w:rsidRPr="00B7697C">
        <w:t>20</w:t>
      </w:r>
      <w:r w:rsidR="00DC7D07">
        <w:t>.</w:t>
      </w:r>
      <w:r w:rsidR="00FC3239">
        <w:t xml:space="preserve"> </w:t>
      </w:r>
      <w:r w:rsidR="00DC7D07">
        <w:t>Trybunał musi następnie zbadać, czy ten środek odwoławczy był również skuteczny w sprawie skarżącego. Skarżący twierdził, że środek odwoławczy był nieskuteczny w tym sensie, że nie było podstaw, aby sądzić, że Sąd Najwyższy doszedłby do innego wniosku niż ten przyjęty w sprawie B.. W tym względzie strony nie były zgodne w kwestii, czy niniejsza sprawa różni się wystarczająco od sprawy B., aby ją wyodrębnić, w szczególności czy w przypadku skarżącego doszło do ujawnienia poufnych informacji medycznych. Trybunał uważa, że nie było istotnej różnicy w tym względzie między niniejszą sprawą a sprawą B.: ujawnienie poufnych informacji miało miejsce również w przypadku skarżącego w sierpniu 2011 r</w:t>
      </w:r>
      <w:r w:rsidR="00BF5D29">
        <w:t>.</w:t>
      </w:r>
      <w:r w:rsidR="00DC7D07">
        <w:t>, kiedy musiał on przedłożyć swoje zaświadczenie o zwolnieniu władzom niemedycznym w</w:t>
      </w:r>
      <w:r w:rsidR="0002207C">
        <w:t> </w:t>
      </w:r>
      <w:r w:rsidR="00DC7D07">
        <w:t xml:space="preserve">celu odnowienia dowodu tożsamości (zob. paragraf </w:t>
      </w:r>
      <w:r w:rsidRPr="00B7697C">
        <w:t>6</w:t>
      </w:r>
      <w:r w:rsidR="00DC7D07">
        <w:t xml:space="preserve"> powyżej).</w:t>
      </w:r>
    </w:p>
    <w:p w14:paraId="47725D60" w14:textId="4363F374" w:rsidR="00DC7D07" w:rsidRPr="00B7697C" w:rsidRDefault="00B7697C" w:rsidP="00B7697C">
      <w:pPr>
        <w:pStyle w:val="JuPara"/>
      </w:pPr>
      <w:r w:rsidRPr="00B7697C">
        <w:t>21</w:t>
      </w:r>
      <w:r w:rsidR="00DC7D07">
        <w:t>.</w:t>
      </w:r>
      <w:r w:rsidR="00FC3239">
        <w:t xml:space="preserve"> </w:t>
      </w:r>
      <w:r w:rsidR="00DC7D07">
        <w:t>W niniejszej sprawie ważniejsze jest to, że treść zaświadczeń o</w:t>
      </w:r>
      <w:r w:rsidR="0002207C">
        <w:t> </w:t>
      </w:r>
      <w:r w:rsidR="00DC7D07">
        <w:t xml:space="preserve">zwolnieniu nie została pozostawiona do uznania Ośrodków Wojskowych, ale została wyraźnie określona w decyzji Rządu nr 864 z dnia 17 sierpnia 2005 r. (zob. paragraf </w:t>
      </w:r>
      <w:r w:rsidRPr="00B7697C">
        <w:t>11</w:t>
      </w:r>
      <w:r w:rsidR="00DC7D07">
        <w:t xml:space="preserve"> powyżej). Jednocześnie, zgodnie z ustawą o</w:t>
      </w:r>
      <w:r w:rsidR="0002207C">
        <w:t> </w:t>
      </w:r>
      <w:r w:rsidR="00DC7D07">
        <w:t xml:space="preserve">postępowaniu administracyjnym, obowiązującą w czasie tych wydarzeń, decyzje Rządu o charakterze normatywnym były wyłączone spod nadzoru sądowego (zob. paragraf </w:t>
      </w:r>
      <w:r w:rsidRPr="00B7697C">
        <w:t>11</w:t>
      </w:r>
      <w:r w:rsidR="00DC7D07">
        <w:t xml:space="preserve"> powyżej). Wynika z tego, że sądy nie mogły sprawdzić, czy decyzja Rządu nr 864, określająca treść zaświadczeń o</w:t>
      </w:r>
      <w:r w:rsidR="0002207C">
        <w:t> </w:t>
      </w:r>
      <w:r w:rsidR="00DC7D07">
        <w:t>zwolnieniu, sama w sobie nie naruszała praw skarżącego.</w:t>
      </w:r>
    </w:p>
    <w:p w14:paraId="0974FE73" w14:textId="7D303CD3" w:rsidR="00DC7D07" w:rsidRPr="00B7697C" w:rsidRDefault="00B7697C" w:rsidP="00B7697C">
      <w:pPr>
        <w:pStyle w:val="JuPara"/>
      </w:pPr>
      <w:r w:rsidRPr="00B7697C">
        <w:t>22</w:t>
      </w:r>
      <w:r w:rsidR="00DC7D07">
        <w:t>.</w:t>
      </w:r>
      <w:r w:rsidR="00FC3239">
        <w:t xml:space="preserve"> </w:t>
      </w:r>
      <w:r w:rsidR="00DC7D07">
        <w:t>Trybunał zauważa, że skarżący chciał zmiany treści swojego zaświadczenia o zwolnieniu. Jednak treść ta została wyraźnie podyktowana decyzją Rządu nr 864, która obowiązywała przez cały odnośny okres i której sądy nie mogły poddać kontroli, lecz musiały ją stosować. W związku z tym, żadne postępowanie sądowe mające na celu zmianę treści zaświadczenia o</w:t>
      </w:r>
      <w:r w:rsidR="0002207C">
        <w:t> </w:t>
      </w:r>
      <w:r w:rsidR="00DC7D07">
        <w:t>zwolnieniu nie miało szans powodzenia, biorąc pod uwagę obowiązkowy charakter odnośnej decyzji Rządu. Wyżej wymienione dwa postępowania sądowe wszczęte przez B. tylko to potwierdzają. W tych okolicznościach Trybunał stwierdza, że środek odwoławczy, na który powołuje się Rząd, nie</w:t>
      </w:r>
      <w:r w:rsidR="0002207C">
        <w:t> </w:t>
      </w:r>
      <w:r w:rsidR="00DC7D07">
        <w:t xml:space="preserve">był skuteczny w praktyce (zob. </w:t>
      </w:r>
      <w:r w:rsidR="00DC7D07">
        <w:rPr>
          <w:i/>
          <w:iCs/>
        </w:rPr>
        <w:t xml:space="preserve">mutatis mutandis, </w:t>
      </w:r>
      <w:proofErr w:type="spellStart"/>
      <w:r w:rsidR="00DC7D07">
        <w:rPr>
          <w:i/>
          <w:iCs/>
        </w:rPr>
        <w:t>Ciubuc</w:t>
      </w:r>
      <w:proofErr w:type="spellEnd"/>
      <w:r w:rsidR="00DC7D07">
        <w:rPr>
          <w:i/>
          <w:iCs/>
        </w:rPr>
        <w:t xml:space="preserve"> i Inni przeciwko Mołdawii</w:t>
      </w:r>
      <w:r w:rsidR="00DC7D07">
        <w:t xml:space="preserve"> (</w:t>
      </w:r>
      <w:proofErr w:type="spellStart"/>
      <w:r w:rsidR="00DC7D07">
        <w:t>dec</w:t>
      </w:r>
      <w:proofErr w:type="spellEnd"/>
      <w:r w:rsidR="00DC7D07">
        <w:t xml:space="preserve">.), nr 32816/07, § 26, 10 stycznia 2012 r. oraz </w:t>
      </w:r>
      <w:proofErr w:type="spellStart"/>
      <w:r w:rsidR="00DC7D07">
        <w:rPr>
          <w:i/>
          <w:iCs/>
        </w:rPr>
        <w:t>Nikolyan</w:t>
      </w:r>
      <w:proofErr w:type="spellEnd"/>
      <w:r w:rsidR="00DC7D07">
        <w:rPr>
          <w:i/>
          <w:iCs/>
        </w:rPr>
        <w:t xml:space="preserve"> przeciwko Armenii</w:t>
      </w:r>
      <w:r w:rsidR="00DC7D07">
        <w:t>, nr 74438/14, § 126, 3 października 2019 r.). Zarzut Rządu musi zatem zostać odrzucony.</w:t>
      </w:r>
    </w:p>
    <w:p w14:paraId="68523BB2" w14:textId="74FD8A59" w:rsidR="00DC7D07" w:rsidRPr="00B7697C" w:rsidRDefault="00B7697C" w:rsidP="00B7697C">
      <w:pPr>
        <w:pStyle w:val="JuPara"/>
      </w:pPr>
      <w:r w:rsidRPr="00B7697C">
        <w:t>23</w:t>
      </w:r>
      <w:r w:rsidR="00DC7D07">
        <w:t>.</w:t>
      </w:r>
      <w:r w:rsidR="00FC3239">
        <w:t xml:space="preserve"> </w:t>
      </w:r>
      <w:r w:rsidR="00DC7D07">
        <w:t>Trybunał zauważa, że niniejsza skarga nie jest w sposób oczywisty nieuzasadniona, ani nie jest niedopuszczalna z jakichkolwiek innych powodów wymienionych w art. 35 Konwencji. Należy ją zatem uznać za</w:t>
      </w:r>
      <w:r w:rsidR="0002207C">
        <w:t> </w:t>
      </w:r>
      <w:r w:rsidR="00DC7D07">
        <w:t>dopuszczalną.</w:t>
      </w:r>
      <w:r w:rsidR="00702ABC">
        <w:t xml:space="preserve"> </w:t>
      </w:r>
    </w:p>
    <w:p w14:paraId="35C9052A" w14:textId="3DB17BFB" w:rsidR="00DC7D07" w:rsidRPr="00B7697C" w:rsidRDefault="00BF5D29" w:rsidP="00B7697C">
      <w:pPr>
        <w:pStyle w:val="JuHA"/>
      </w:pPr>
      <w:r>
        <w:lastRenderedPageBreak/>
        <w:t>Przedmiot</w:t>
      </w:r>
      <w:r w:rsidR="00DC7D07">
        <w:t xml:space="preserve"> skargi</w:t>
      </w:r>
    </w:p>
    <w:p w14:paraId="7BD7EC81" w14:textId="4789D8B9" w:rsidR="00DC7D07" w:rsidRPr="00B7697C" w:rsidRDefault="00B7697C" w:rsidP="00B7697C">
      <w:pPr>
        <w:pStyle w:val="JuPara"/>
        <w:rPr>
          <w:rFonts w:ascii="Times New Roman" w:hAnsi="Times New Roman" w:cs="Times New Roman"/>
        </w:rPr>
      </w:pPr>
      <w:r w:rsidRPr="00B7697C">
        <w:t>24</w:t>
      </w:r>
      <w:r w:rsidR="00DC7D07">
        <w:t>.</w:t>
      </w:r>
      <w:r w:rsidR="00FC3239">
        <w:t xml:space="preserve"> </w:t>
      </w:r>
      <w:r w:rsidR="00DC7D07">
        <w:rPr>
          <w:rFonts w:ascii="Times New Roman" w:hAnsi="Times New Roman"/>
        </w:rPr>
        <w:t>Trybunał zauważa, że Rząd nie przedstawił żadnych oświadczeń w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odniesieniu do </w:t>
      </w:r>
      <w:r w:rsidR="00BF5D29">
        <w:rPr>
          <w:rFonts w:ascii="Times New Roman" w:hAnsi="Times New Roman"/>
        </w:rPr>
        <w:t xml:space="preserve">przedmiotu </w:t>
      </w:r>
      <w:r w:rsidR="00DC7D07">
        <w:rPr>
          <w:rFonts w:ascii="Times New Roman" w:hAnsi="Times New Roman"/>
        </w:rPr>
        <w:t>sprawy.</w:t>
      </w:r>
    </w:p>
    <w:p w14:paraId="2598FF4F" w14:textId="60121699" w:rsidR="00DC7D07" w:rsidRPr="00B7697C" w:rsidRDefault="00B7697C" w:rsidP="00B7697C">
      <w:pPr>
        <w:pStyle w:val="JuPara"/>
        <w:rPr>
          <w:rFonts w:ascii="Times New Roman" w:hAnsi="Times New Roman" w:cs="Times New Roman"/>
        </w:rPr>
      </w:pPr>
      <w:r w:rsidRPr="00B7697C">
        <w:rPr>
          <w:rFonts w:ascii="Times New Roman" w:hAnsi="Times New Roman" w:cs="Times New Roman"/>
        </w:rPr>
        <w:t>25</w:t>
      </w:r>
      <w:r w:rsidR="00DC7D07">
        <w:rPr>
          <w:rFonts w:ascii="Times New Roman" w:hAnsi="Times New Roman"/>
        </w:rPr>
        <w:t>.</w:t>
      </w:r>
      <w:r w:rsidR="00FC3239">
        <w:rPr>
          <w:rFonts w:ascii="Times New Roman" w:hAnsi="Times New Roman"/>
        </w:rPr>
        <w:t xml:space="preserve"> </w:t>
      </w:r>
      <w:r w:rsidR="00DC7D07">
        <w:rPr>
          <w:rFonts w:ascii="Times New Roman" w:hAnsi="Times New Roman"/>
        </w:rPr>
        <w:t>Zauważa, że w 2012 r. mołdawski Trybunał Konstytucyjny uznał za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>niekonstytucyjną część decyzji Rządu przewidującą odniesienie do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konkretnej sekcji Standardów Medycznych, która posłużyła jako podstawa do wydania zaświadczenia o zwolnieniu (zob. paragraf </w:t>
      </w:r>
      <w:r w:rsidRPr="00B7697C">
        <w:t>13</w:t>
      </w:r>
      <w:r w:rsidR="001D7ADB">
        <w:t xml:space="preserve"> </w:t>
      </w:r>
      <w:r w:rsidR="00DC7D07">
        <w:rPr>
          <w:rFonts w:ascii="Times New Roman" w:hAnsi="Times New Roman"/>
        </w:rPr>
        <w:t xml:space="preserve">powyżej). Czyniąc to, Trybunał </w:t>
      </w:r>
      <w:r w:rsidR="001D7ADB">
        <w:rPr>
          <w:rFonts w:ascii="Times New Roman" w:hAnsi="Times New Roman"/>
        </w:rPr>
        <w:t xml:space="preserve">Konstytucyjny </w:t>
      </w:r>
      <w:r w:rsidR="00DC7D07">
        <w:rPr>
          <w:rFonts w:ascii="Times New Roman" w:hAnsi="Times New Roman"/>
        </w:rPr>
        <w:t xml:space="preserve">stwierdził, że sposób, w jaki zaświadczenie o zwolnieniu zostało sformułowane, w powiązaniu z innymi publicznie dostępnymi informacjami (odnośna decyzja Rządu i Standardy Medyczne), pozwalał osobom trzecim, w tym potencjalnym pracodawcom, takim jak prywatne firmy, na ustalenie </w:t>
      </w:r>
      <w:r w:rsidR="001D7ADB">
        <w:rPr>
          <w:rFonts w:ascii="Times New Roman" w:hAnsi="Times New Roman"/>
        </w:rPr>
        <w:t xml:space="preserve">konkretnego </w:t>
      </w:r>
      <w:r w:rsidR="00DC7D07">
        <w:rPr>
          <w:rFonts w:ascii="Times New Roman" w:hAnsi="Times New Roman"/>
        </w:rPr>
        <w:t>rodzaju choroby danej osoby. Trybunał Konstytucyjny uznał również, że wynikające z tego ujawnienie poufnych informacji medycznych stanowiło nieproporcjonalną ingerencję w prawo do ochrony życia prywatnego.</w:t>
      </w:r>
    </w:p>
    <w:p w14:paraId="798749A5" w14:textId="53FA9098" w:rsidR="00DC7D07" w:rsidRPr="00B7697C" w:rsidRDefault="00B7697C" w:rsidP="00B7697C">
      <w:pPr>
        <w:pStyle w:val="JuPara"/>
        <w:rPr>
          <w:rFonts w:ascii="Times New Roman" w:hAnsi="Times New Roman" w:cs="Times New Roman"/>
        </w:rPr>
      </w:pPr>
      <w:r w:rsidRPr="00B7697C">
        <w:rPr>
          <w:rFonts w:ascii="Times New Roman" w:hAnsi="Times New Roman" w:cs="Times New Roman"/>
        </w:rPr>
        <w:t>26</w:t>
      </w:r>
      <w:r w:rsidR="00DC7D07">
        <w:rPr>
          <w:rFonts w:ascii="Times New Roman" w:hAnsi="Times New Roman"/>
        </w:rPr>
        <w:t>.</w:t>
      </w:r>
      <w:r w:rsidR="00FC3239">
        <w:rPr>
          <w:rFonts w:ascii="Times New Roman" w:hAnsi="Times New Roman"/>
        </w:rPr>
        <w:t xml:space="preserve"> </w:t>
      </w:r>
      <w:r w:rsidR="00DC7D07">
        <w:rPr>
          <w:rFonts w:ascii="Times New Roman" w:hAnsi="Times New Roman"/>
        </w:rPr>
        <w:t>Trybunał przypomina, że systematyczne przechowywanie i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wykorzystywanie w inny sposób przez władze publiczne informacji dotyczących życia prywatnego jednostki pociąga za sobą ważne implikacje dla interesów chronionych przez art. 8 Konwencji i tym samym stanowi ingerencję w odpowiednie prawa (zob. w szczególności </w:t>
      </w:r>
      <w:proofErr w:type="spellStart"/>
      <w:r w:rsidR="00DC7D07">
        <w:rPr>
          <w:rFonts w:ascii="Times New Roman" w:hAnsi="Times New Roman"/>
          <w:i/>
          <w:iCs/>
        </w:rPr>
        <w:t>Rotaru</w:t>
      </w:r>
      <w:proofErr w:type="spellEnd"/>
      <w:r w:rsidR="00DC7D07">
        <w:rPr>
          <w:rFonts w:ascii="Times New Roman" w:hAnsi="Times New Roman"/>
          <w:i/>
          <w:iCs/>
        </w:rPr>
        <w:t xml:space="preserve"> przeciwko Rumunii</w:t>
      </w:r>
      <w:r w:rsidR="00DC7D07">
        <w:rPr>
          <w:rFonts w:ascii="Times New Roman" w:hAnsi="Times New Roman"/>
        </w:rPr>
        <w:t xml:space="preserve"> [</w:t>
      </w:r>
      <w:proofErr w:type="spellStart"/>
      <w:r w:rsidR="00DC7D07">
        <w:rPr>
          <w:rFonts w:ascii="Times New Roman" w:hAnsi="Times New Roman"/>
        </w:rPr>
        <w:t>WI</w:t>
      </w:r>
      <w:proofErr w:type="spellEnd"/>
      <w:r w:rsidR="00DC7D07">
        <w:rPr>
          <w:rFonts w:ascii="Times New Roman" w:hAnsi="Times New Roman"/>
        </w:rPr>
        <w:t>], nr 28341/95, § 46, ETPC 2000</w:t>
      </w:r>
      <w:r w:rsidR="00DC7D07">
        <w:rPr>
          <w:rFonts w:ascii="Times New Roman" w:hAnsi="Times New Roman"/>
        </w:rPr>
        <w:noBreakHyphen/>
        <w:t xml:space="preserve">V; oraz </w:t>
      </w:r>
      <w:r w:rsidR="00DC7D07">
        <w:rPr>
          <w:rFonts w:ascii="Times New Roman" w:hAnsi="Times New Roman"/>
          <w:i/>
          <w:iCs/>
        </w:rPr>
        <w:t xml:space="preserve">S. i </w:t>
      </w:r>
      <w:proofErr w:type="spellStart"/>
      <w:r w:rsidR="00DC7D07">
        <w:rPr>
          <w:rFonts w:ascii="Times New Roman" w:hAnsi="Times New Roman"/>
          <w:i/>
          <w:iCs/>
        </w:rPr>
        <w:t>Marper</w:t>
      </w:r>
      <w:proofErr w:type="spellEnd"/>
      <w:r w:rsidR="00DC7D07">
        <w:rPr>
          <w:rFonts w:ascii="Times New Roman" w:hAnsi="Times New Roman"/>
          <w:i/>
          <w:iCs/>
        </w:rPr>
        <w:t xml:space="preserve"> przeciwko Zjednoczonemu Królestwu</w:t>
      </w:r>
      <w:r w:rsidR="00DC7D07">
        <w:rPr>
          <w:rFonts w:ascii="Times New Roman" w:hAnsi="Times New Roman"/>
        </w:rPr>
        <w:t xml:space="preserve"> [</w:t>
      </w:r>
      <w:proofErr w:type="spellStart"/>
      <w:r w:rsidR="00DC7D07">
        <w:rPr>
          <w:rFonts w:ascii="Times New Roman" w:hAnsi="Times New Roman"/>
        </w:rPr>
        <w:t>WI</w:t>
      </w:r>
      <w:proofErr w:type="spellEnd"/>
      <w:r w:rsidR="00DC7D07">
        <w:rPr>
          <w:rFonts w:ascii="Times New Roman" w:hAnsi="Times New Roman"/>
        </w:rPr>
        <w:t xml:space="preserve">], nr 30562/04 i 30566/04, § 67, ETPC 2008). Ma to tym większe znaczenie, gdy przetwarzanie dotyczy wysoce intymnych i wrażliwych kategorii informacji, zwłaszcza informacji dotyczących zdrowia fizycznego lub psychicznego możliwej do zidentyfikowania jednostki (zob. w szczególności </w:t>
      </w:r>
      <w:r w:rsidR="00DC7D07">
        <w:rPr>
          <w:rFonts w:ascii="Times New Roman" w:hAnsi="Times New Roman"/>
          <w:i/>
          <w:iCs/>
        </w:rPr>
        <w:t>Z. przeciwko Finlandii</w:t>
      </w:r>
      <w:r w:rsidR="00DC7D07">
        <w:rPr>
          <w:rFonts w:ascii="Times New Roman" w:hAnsi="Times New Roman"/>
        </w:rPr>
        <w:t>, 25 lutego 1997 r., §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95, </w:t>
      </w:r>
      <w:proofErr w:type="spellStart"/>
      <w:r w:rsidR="00DC7D07">
        <w:rPr>
          <w:rFonts w:ascii="Times New Roman" w:hAnsi="Times New Roman"/>
        </w:rPr>
        <w:t>Reports</w:t>
      </w:r>
      <w:proofErr w:type="spellEnd"/>
      <w:r w:rsidR="00DC7D07">
        <w:rPr>
          <w:rFonts w:ascii="Times New Roman" w:hAnsi="Times New Roman"/>
        </w:rPr>
        <w:t xml:space="preserve"> of </w:t>
      </w:r>
      <w:proofErr w:type="spellStart"/>
      <w:r w:rsidR="00DC7D07">
        <w:rPr>
          <w:rFonts w:ascii="Times New Roman" w:hAnsi="Times New Roman"/>
        </w:rPr>
        <w:t>Judgments</w:t>
      </w:r>
      <w:proofErr w:type="spellEnd"/>
      <w:r w:rsidR="00DC7D07">
        <w:rPr>
          <w:rFonts w:ascii="Times New Roman" w:hAnsi="Times New Roman"/>
        </w:rPr>
        <w:t xml:space="preserve"> and </w:t>
      </w:r>
      <w:proofErr w:type="spellStart"/>
      <w:r w:rsidR="00DC7D07">
        <w:rPr>
          <w:rFonts w:ascii="Times New Roman" w:hAnsi="Times New Roman"/>
        </w:rPr>
        <w:t>Decisions</w:t>
      </w:r>
      <w:proofErr w:type="spellEnd"/>
      <w:r w:rsidR="00DC7D07">
        <w:rPr>
          <w:rFonts w:ascii="Times New Roman" w:hAnsi="Times New Roman"/>
        </w:rPr>
        <w:t xml:space="preserve"> 1997</w:t>
      </w:r>
      <w:r w:rsidR="00DC7D07">
        <w:rPr>
          <w:rFonts w:ascii="Times New Roman" w:hAnsi="Times New Roman"/>
        </w:rPr>
        <w:noBreakHyphen/>
        <w:t xml:space="preserve">I; </w:t>
      </w:r>
      <w:proofErr w:type="spellStart"/>
      <w:r w:rsidR="00DC7D07">
        <w:rPr>
          <w:rFonts w:ascii="Times New Roman" w:hAnsi="Times New Roman"/>
          <w:i/>
          <w:iCs/>
        </w:rPr>
        <w:t>Y.Y</w:t>
      </w:r>
      <w:proofErr w:type="spellEnd"/>
      <w:r w:rsidR="00DC7D07">
        <w:rPr>
          <w:rFonts w:ascii="Times New Roman" w:hAnsi="Times New Roman"/>
          <w:i/>
          <w:iCs/>
        </w:rPr>
        <w:t>. przeciwko Rosji</w:t>
      </w:r>
      <w:r w:rsidR="00DC7D07">
        <w:rPr>
          <w:rFonts w:ascii="Times New Roman" w:hAnsi="Times New Roman"/>
        </w:rPr>
        <w:t>, nr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40378/06, § 38, 23 lutego 2016 r. oraz </w:t>
      </w:r>
      <w:proofErr w:type="spellStart"/>
      <w:r w:rsidR="00DC7D07">
        <w:rPr>
          <w:rFonts w:ascii="Times New Roman" w:hAnsi="Times New Roman"/>
          <w:i/>
          <w:iCs/>
        </w:rPr>
        <w:t>Surikov</w:t>
      </w:r>
      <w:proofErr w:type="spellEnd"/>
      <w:r w:rsidR="00DC7D07">
        <w:rPr>
          <w:rFonts w:ascii="Times New Roman" w:hAnsi="Times New Roman"/>
          <w:i/>
          <w:iCs/>
        </w:rPr>
        <w:t xml:space="preserve"> przeciwko Ukrainie</w:t>
      </w:r>
      <w:r w:rsidR="00DC7D07">
        <w:rPr>
          <w:rFonts w:ascii="Times New Roman" w:hAnsi="Times New Roman"/>
        </w:rPr>
        <w:t>, nr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>42788/06, § 70, 26 stycznia 2017 r.).</w:t>
      </w:r>
    </w:p>
    <w:p w14:paraId="562137E0" w14:textId="5CF00612" w:rsidR="00DC7D07" w:rsidRPr="00B7697C" w:rsidRDefault="00B7697C" w:rsidP="00B7697C">
      <w:pPr>
        <w:pStyle w:val="JuPara"/>
      </w:pPr>
      <w:r w:rsidRPr="00B7697C">
        <w:rPr>
          <w:rFonts w:ascii="Times New Roman" w:hAnsi="Times New Roman" w:cs="Times New Roman"/>
        </w:rPr>
        <w:t>27</w:t>
      </w:r>
      <w:r w:rsidR="00DC7D07">
        <w:rPr>
          <w:rFonts w:ascii="Times New Roman" w:hAnsi="Times New Roman"/>
        </w:rPr>
        <w:t>.</w:t>
      </w:r>
      <w:r w:rsidR="00FC3239">
        <w:rPr>
          <w:rFonts w:ascii="Times New Roman" w:hAnsi="Times New Roman"/>
        </w:rPr>
        <w:t xml:space="preserve"> </w:t>
      </w:r>
      <w:r w:rsidR="00DC7D07">
        <w:rPr>
          <w:rFonts w:ascii="Times New Roman" w:hAnsi="Times New Roman"/>
        </w:rPr>
        <w:t>Oprócz zgodności z prawem, ingerencja w prawo do ochrony danych osobowych musi również realizować uprawniony cel i być „konieczna w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demokratycznym społeczeństwie”. Ustalając, czy kwestionowane środki były „konieczne w demokratycznym społeczeństwie”, Trybunał rozważy, czy w świetle całej sprawy powody przedstawione dla ich uzasadnienia były istotne i wystarczające, a środki były proporcjonalne do realizowanych uprawnionych celów (zob. na przykład </w:t>
      </w:r>
      <w:r w:rsidR="00DC7D07">
        <w:rPr>
          <w:rFonts w:ascii="Times New Roman" w:hAnsi="Times New Roman"/>
          <w:i/>
          <w:iCs/>
        </w:rPr>
        <w:t>Peck przeciwko Zjednoczonemu Królestwu</w:t>
      </w:r>
      <w:r w:rsidR="00DC7D07">
        <w:rPr>
          <w:rFonts w:ascii="Times New Roman" w:hAnsi="Times New Roman"/>
        </w:rPr>
        <w:t>, nr 44647/98, § 76, ETPC 2003</w:t>
      </w:r>
      <w:r w:rsidR="00DC7D07">
        <w:rPr>
          <w:rFonts w:ascii="Times New Roman" w:hAnsi="Times New Roman"/>
        </w:rPr>
        <w:noBreakHyphen/>
        <w:t>I). W tym ostatnim względzie Trybunał zauważył, że uwzględniając fundamentalne znaczenie ochrony danych dla skutecznego korzystania z prawa do poszanowania życia prywatnego, margines oceny przyznany państwom członkowskim w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projektowaniu ich odpowiednich ram legislacyjnych i administracyjnych w tej sferze jest raczej ograniczony (zob. w szczególności </w:t>
      </w:r>
      <w:r w:rsidR="00DC7D07">
        <w:rPr>
          <w:rFonts w:ascii="Times New Roman" w:hAnsi="Times New Roman"/>
          <w:i/>
          <w:iCs/>
        </w:rPr>
        <w:t>Peck</w:t>
      </w:r>
      <w:r w:rsidR="00DC7D07">
        <w:rPr>
          <w:rFonts w:ascii="Times New Roman" w:hAnsi="Times New Roman"/>
        </w:rPr>
        <w:t xml:space="preserve">, cyt. powyżej, </w:t>
      </w:r>
      <w:r w:rsidR="00DC7D07">
        <w:rPr>
          <w:rFonts w:ascii="Times New Roman" w:hAnsi="Times New Roman"/>
        </w:rPr>
        <w:lastRenderedPageBreak/>
        <w:t xml:space="preserve">§§ 77-78; oraz </w:t>
      </w:r>
      <w:r w:rsidR="00DC7D07">
        <w:rPr>
          <w:rFonts w:ascii="Times New Roman" w:hAnsi="Times New Roman"/>
          <w:i/>
          <w:iCs/>
        </w:rPr>
        <w:t xml:space="preserve">S. i </w:t>
      </w:r>
      <w:proofErr w:type="spellStart"/>
      <w:r w:rsidR="00DC7D07">
        <w:rPr>
          <w:rFonts w:ascii="Times New Roman" w:hAnsi="Times New Roman"/>
          <w:i/>
          <w:iCs/>
        </w:rPr>
        <w:t>Marper</w:t>
      </w:r>
      <w:proofErr w:type="spellEnd"/>
      <w:r w:rsidR="00DC7D07">
        <w:rPr>
          <w:rFonts w:ascii="Times New Roman" w:hAnsi="Times New Roman"/>
          <w:i/>
          <w:iCs/>
        </w:rPr>
        <w:t>,</w:t>
      </w:r>
      <w:r w:rsidR="00DC7D07">
        <w:rPr>
          <w:rFonts w:ascii="Times New Roman" w:hAnsi="Times New Roman"/>
        </w:rPr>
        <w:t xml:space="preserve"> cyt. powyżej, §§ 102-103, ETPC 2008; oraz </w:t>
      </w:r>
      <w:proofErr w:type="spellStart"/>
      <w:r w:rsidR="00DC7D07">
        <w:rPr>
          <w:rFonts w:ascii="Times New Roman" w:hAnsi="Times New Roman"/>
          <w:i/>
          <w:iCs/>
        </w:rPr>
        <w:t>Surikov</w:t>
      </w:r>
      <w:proofErr w:type="spellEnd"/>
      <w:r w:rsidR="00DC7D07">
        <w:rPr>
          <w:rFonts w:ascii="Times New Roman" w:hAnsi="Times New Roman"/>
          <w:i/>
          <w:iCs/>
        </w:rPr>
        <w:t>,</w:t>
      </w:r>
      <w:r w:rsidR="00DC7D07">
        <w:rPr>
          <w:rFonts w:ascii="Times New Roman" w:hAnsi="Times New Roman"/>
        </w:rPr>
        <w:t xml:space="preserve"> cyt. powyżej, § 73).</w:t>
      </w:r>
    </w:p>
    <w:p w14:paraId="53696CCF" w14:textId="4C0EC08B" w:rsidR="00DC7D07" w:rsidRPr="00B7697C" w:rsidRDefault="00B7697C" w:rsidP="00B7697C">
      <w:pPr>
        <w:pStyle w:val="JuPara"/>
        <w:rPr>
          <w:rFonts w:ascii="Times New Roman" w:hAnsi="Times New Roman" w:cs="Times New Roman"/>
          <w:b/>
          <w:bCs/>
        </w:rPr>
      </w:pPr>
      <w:r w:rsidRPr="00B7697C">
        <w:rPr>
          <w:rFonts w:ascii="Times New Roman" w:hAnsi="Times New Roman" w:cs="Times New Roman"/>
        </w:rPr>
        <w:t>28</w:t>
      </w:r>
      <w:r w:rsidR="00DC7D07">
        <w:rPr>
          <w:rFonts w:ascii="Times New Roman" w:hAnsi="Times New Roman"/>
        </w:rPr>
        <w:t>.</w:t>
      </w:r>
      <w:r w:rsidR="00FC3239">
        <w:rPr>
          <w:rFonts w:ascii="Times New Roman" w:hAnsi="Times New Roman"/>
        </w:rPr>
        <w:t xml:space="preserve"> </w:t>
      </w:r>
      <w:r w:rsidR="00DC7D07">
        <w:rPr>
          <w:rFonts w:ascii="Times New Roman" w:hAnsi="Times New Roman"/>
        </w:rPr>
        <w:t xml:space="preserve">Podobnie jak Trybunał Konstytucyjny (zob. paragraf </w:t>
      </w:r>
      <w:r w:rsidRPr="00B7697C">
        <w:t>13</w:t>
      </w:r>
      <w:r w:rsidR="00DC7D07">
        <w:rPr>
          <w:rFonts w:ascii="Times New Roman" w:hAnsi="Times New Roman"/>
        </w:rPr>
        <w:t xml:space="preserve"> powyżej), Trybunał stwierdza, że umieszczenie danych medycznych w zaświadczeniu, które miało być przedstawione osobom trzecim, stanowiło ingerencję w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prawa skarżącego chronione na podstawie art. 8 Konwencji. </w:t>
      </w:r>
      <w:r w:rsidR="00DC7D07">
        <w:rPr>
          <w:rFonts w:ascii="Times New Roman" w:hAnsi="Times New Roman"/>
          <w:bCs/>
        </w:rPr>
        <w:t>Ingerencja ta</w:t>
      </w:r>
      <w:r w:rsidR="0002207C">
        <w:rPr>
          <w:rFonts w:ascii="Times New Roman" w:hAnsi="Times New Roman"/>
          <w:bCs/>
        </w:rPr>
        <w:t> </w:t>
      </w:r>
      <w:r w:rsidR="00DC7D07">
        <w:rPr>
          <w:rFonts w:ascii="Times New Roman" w:hAnsi="Times New Roman"/>
          <w:bCs/>
        </w:rPr>
        <w:t>była zgodna z prawem krajowym</w:t>
      </w:r>
      <w:r w:rsidR="00D55F14">
        <w:rPr>
          <w:rFonts w:ascii="Times New Roman" w:hAnsi="Times New Roman"/>
          <w:bCs/>
        </w:rPr>
        <w:t xml:space="preserve"> </w:t>
      </w:r>
      <w:r w:rsidR="00DC7D07">
        <w:rPr>
          <w:rFonts w:ascii="Times New Roman" w:hAnsi="Times New Roman"/>
          <w:bCs/>
        </w:rPr>
        <w:t>w momencie składania niniejszej skargi, a</w:t>
      </w:r>
      <w:r w:rsidR="0002207C">
        <w:rPr>
          <w:rFonts w:ascii="Times New Roman" w:hAnsi="Times New Roman"/>
          <w:bCs/>
        </w:rPr>
        <w:t> </w:t>
      </w:r>
      <w:r w:rsidR="00DC7D07">
        <w:rPr>
          <w:rFonts w:ascii="Times New Roman" w:hAnsi="Times New Roman"/>
          <w:bCs/>
        </w:rPr>
        <w:t xml:space="preserve">mianowicie z decyzją Rządu nr 864 (zob. paragraf </w:t>
      </w:r>
      <w:r w:rsidRPr="00B7697C">
        <w:t>11</w:t>
      </w:r>
      <w:r w:rsidR="00DC7D07">
        <w:rPr>
          <w:rFonts w:ascii="Times New Roman" w:hAnsi="Times New Roman"/>
          <w:bCs/>
        </w:rPr>
        <w:t xml:space="preserve"> powyżej).</w:t>
      </w:r>
    </w:p>
    <w:p w14:paraId="0E801246" w14:textId="323A9798" w:rsidR="00DC7D07" w:rsidRPr="00B7697C" w:rsidRDefault="00B7697C" w:rsidP="00B7697C">
      <w:pPr>
        <w:pStyle w:val="JuPara"/>
        <w:rPr>
          <w:rFonts w:ascii="Times New Roman" w:hAnsi="Times New Roman" w:cs="Times New Roman"/>
          <w:bCs/>
        </w:rPr>
      </w:pPr>
      <w:r w:rsidRPr="00B7697C">
        <w:rPr>
          <w:rFonts w:ascii="Times New Roman" w:hAnsi="Times New Roman" w:cs="Times New Roman"/>
          <w:bCs/>
        </w:rPr>
        <w:t>29</w:t>
      </w:r>
      <w:r w:rsidR="00DC7D07">
        <w:rPr>
          <w:rFonts w:ascii="Times New Roman" w:hAnsi="Times New Roman"/>
          <w:bCs/>
        </w:rPr>
        <w:t>.</w:t>
      </w:r>
      <w:r w:rsidR="00FC3239">
        <w:rPr>
          <w:rFonts w:ascii="Times New Roman" w:hAnsi="Times New Roman"/>
          <w:bCs/>
        </w:rPr>
        <w:t xml:space="preserve"> </w:t>
      </w:r>
      <w:r w:rsidR="00DC7D07">
        <w:rPr>
          <w:rFonts w:ascii="Times New Roman" w:hAnsi="Times New Roman"/>
          <w:bCs/>
        </w:rPr>
        <w:t>Jednak ani Rząd w swoich oświadczeniach, ani władze w swoich decyzjach nie odnieśli się do żadnego konkretnego uprawnionego celu ingerencji w prawa skarżącego. Co więcej strony nie przedstawiły żadnych oświadczeń dotyczących historii legislacyjnej odnośnej decyzji Rządu, aby zweryfikować, czy można tam odkryć uprawniony cel. Trybunał nie wskaże takiego celu zamiast władz. W rzeczywistości trudno jest dostrzec, jaki uprawniony cel mógł być realizowany poprzez ujawnienie choroby skarżącego osobom trzecim w różnych postępowaniach, które nie są związane z jakimkolwiek ryzykiem dla zdrowia, jakie choroba skarżącego może ewentualnie powodować. Polityka ta nie wydaje się mieć racjonalnej podstawy ani związku z żadnym z uprawnionych celów przewidzianych w</w:t>
      </w:r>
      <w:r w:rsidR="0002207C">
        <w:rPr>
          <w:rFonts w:ascii="Times New Roman" w:hAnsi="Times New Roman"/>
          <w:bCs/>
        </w:rPr>
        <w:t> </w:t>
      </w:r>
      <w:r w:rsidR="00DC7D07">
        <w:rPr>
          <w:rFonts w:ascii="Times New Roman" w:hAnsi="Times New Roman"/>
          <w:bCs/>
        </w:rPr>
        <w:t>art. 8 ust. 2 Konwencji.</w:t>
      </w:r>
    </w:p>
    <w:p w14:paraId="6249CF6F" w14:textId="19FDAD29" w:rsidR="00DC7D07" w:rsidRPr="00B7697C" w:rsidRDefault="00B7697C" w:rsidP="00B7697C">
      <w:pPr>
        <w:pStyle w:val="JuPara"/>
      </w:pPr>
      <w:r w:rsidRPr="00B7697C">
        <w:rPr>
          <w:rFonts w:ascii="Times New Roman" w:hAnsi="Times New Roman" w:cs="Times New Roman"/>
        </w:rPr>
        <w:t>30</w:t>
      </w:r>
      <w:r w:rsidR="00DC7D07">
        <w:rPr>
          <w:rFonts w:ascii="Times New Roman" w:hAnsi="Times New Roman"/>
        </w:rPr>
        <w:t>.</w:t>
      </w:r>
      <w:r w:rsidR="00FC3239">
        <w:rPr>
          <w:rFonts w:ascii="Times New Roman" w:hAnsi="Times New Roman"/>
        </w:rPr>
        <w:t xml:space="preserve"> </w:t>
      </w:r>
      <w:r w:rsidR="00DC7D07">
        <w:rPr>
          <w:rFonts w:ascii="Times New Roman" w:hAnsi="Times New Roman"/>
        </w:rPr>
        <w:t xml:space="preserve">Powyższe jest wystarczające dla Trybunału, aby stwierdzić naruszenie art. 8 Konwencji. Trybunał jednak uważa, że ingerencja w niniejszej sprawie budzi tak poważne wątpliwości co do proporcjonalności do jakiegokolwiek możliwego uprawnionego celu, że zbada również ten aspekt (zob. na przykład </w:t>
      </w:r>
      <w:r w:rsidR="00DC7D07">
        <w:rPr>
          <w:rFonts w:ascii="Times New Roman" w:hAnsi="Times New Roman"/>
          <w:i/>
          <w:iCs/>
        </w:rPr>
        <w:t>Baka przeciwko Węgrom</w:t>
      </w:r>
      <w:r w:rsidR="00DC7D07">
        <w:rPr>
          <w:rFonts w:ascii="Times New Roman" w:hAnsi="Times New Roman"/>
        </w:rPr>
        <w:t xml:space="preserve"> [</w:t>
      </w:r>
      <w:proofErr w:type="spellStart"/>
      <w:r w:rsidR="00DC7D07">
        <w:rPr>
          <w:rFonts w:ascii="Times New Roman" w:hAnsi="Times New Roman"/>
        </w:rPr>
        <w:t>WI</w:t>
      </w:r>
      <w:proofErr w:type="spellEnd"/>
      <w:r w:rsidR="00DC7D07">
        <w:rPr>
          <w:rFonts w:ascii="Times New Roman" w:hAnsi="Times New Roman"/>
        </w:rPr>
        <w:t xml:space="preserve">], nr 20261/12, § 157, 23 czerwca 2016 r. oraz </w:t>
      </w:r>
      <w:r w:rsidR="00DC7D07">
        <w:rPr>
          <w:rFonts w:ascii="Times New Roman" w:hAnsi="Times New Roman"/>
          <w:i/>
          <w:iCs/>
        </w:rPr>
        <w:t>Mozer przeciwko Republice Mołdawii i Rosji</w:t>
      </w:r>
      <w:r w:rsidR="00DC7D07">
        <w:rPr>
          <w:rFonts w:ascii="Times New Roman" w:hAnsi="Times New Roman"/>
        </w:rPr>
        <w:t xml:space="preserve"> [</w:t>
      </w:r>
      <w:proofErr w:type="spellStart"/>
      <w:r w:rsidR="00DC7D07">
        <w:rPr>
          <w:rFonts w:ascii="Times New Roman" w:hAnsi="Times New Roman"/>
        </w:rPr>
        <w:t>WI</w:t>
      </w:r>
      <w:proofErr w:type="spellEnd"/>
      <w:r w:rsidR="00DC7D07">
        <w:rPr>
          <w:rFonts w:ascii="Times New Roman" w:hAnsi="Times New Roman"/>
        </w:rPr>
        <w:t>], nr 11138/10, §§ 194-196, 23 lutego 2016 r.).</w:t>
      </w:r>
    </w:p>
    <w:p w14:paraId="44A7C485" w14:textId="5D441F6F" w:rsidR="00DC7D07" w:rsidRPr="00B7697C" w:rsidRDefault="00B7697C" w:rsidP="00B7697C">
      <w:pPr>
        <w:pStyle w:val="JuPara"/>
        <w:rPr>
          <w:rFonts w:ascii="Times New Roman" w:hAnsi="Times New Roman" w:cs="Times New Roman"/>
        </w:rPr>
      </w:pPr>
      <w:r w:rsidRPr="00B7697C">
        <w:rPr>
          <w:rFonts w:ascii="Times New Roman" w:hAnsi="Times New Roman" w:cs="Times New Roman"/>
        </w:rPr>
        <w:t>31</w:t>
      </w:r>
      <w:r w:rsidR="00DC7D07">
        <w:rPr>
          <w:rFonts w:ascii="Times New Roman" w:hAnsi="Times New Roman"/>
        </w:rPr>
        <w:t>.</w:t>
      </w:r>
      <w:r w:rsidR="00FC3239">
        <w:rPr>
          <w:rFonts w:ascii="Times New Roman" w:hAnsi="Times New Roman"/>
        </w:rPr>
        <w:t xml:space="preserve"> </w:t>
      </w:r>
      <w:r w:rsidR="00DC7D07">
        <w:rPr>
          <w:rFonts w:ascii="Times New Roman" w:hAnsi="Times New Roman"/>
        </w:rPr>
        <w:t>Trybunał stwierdza, że sposób, w jaki osobowe dane medyczne w</w:t>
      </w:r>
      <w:r w:rsidR="0002207C">
        <w:rPr>
          <w:rFonts w:ascii="Times New Roman" w:hAnsi="Times New Roman"/>
        </w:rPr>
        <w:t> </w:t>
      </w:r>
      <w:r w:rsidR="00DC7D07">
        <w:rPr>
          <w:rFonts w:ascii="Times New Roman" w:hAnsi="Times New Roman"/>
        </w:rPr>
        <w:t xml:space="preserve">zaświadczeniu o zwolnieniu były chronione przed niekoniecznym ujawnieniem, był niewystarczający. W szczególności umożliwiał on osobom trzecim poznanie rodzaju choroby, która stanowiła podstawę zwolnienia skarżącego ze służby wojskowej, nawet jeśli nie miały one żadnego domniemanego interesu w uzyskaniu dostępu do tych informacji. W tym względzie stwierdzenie Sądu Najwyższego w sprawie B. (zob. paragraf </w:t>
      </w:r>
      <w:r w:rsidRPr="00B7697C">
        <w:t>12</w:t>
      </w:r>
      <w:r w:rsidR="00DC7D07">
        <w:rPr>
          <w:rFonts w:ascii="Times New Roman" w:hAnsi="Times New Roman"/>
        </w:rPr>
        <w:t xml:space="preserve"> powyżej), że sekcja 5 Standardów Medycznych przewidywała szereg różnych chorób, a nie tylko HIV, nie zmienia skutków dla skarżącego. Sekcja ta dotyczy różnych poważnych chorób (zob. paragraf </w:t>
      </w:r>
      <w:r w:rsidRPr="00B7697C">
        <w:t>10</w:t>
      </w:r>
      <w:r w:rsidR="00DC7D07">
        <w:rPr>
          <w:rFonts w:ascii="Times New Roman" w:hAnsi="Times New Roman"/>
        </w:rPr>
        <w:t xml:space="preserve"> powyżej), stanowiących wrażliwe dane medyczne, których ujawnienie poważnie narusza prawa osoby wynikające z art. 8.</w:t>
      </w:r>
    </w:p>
    <w:p w14:paraId="732AEB12" w14:textId="1E22F13B" w:rsidR="00DC7D07" w:rsidRPr="00B7697C" w:rsidRDefault="00B7697C" w:rsidP="00B7697C">
      <w:pPr>
        <w:pStyle w:val="JuPara"/>
        <w:rPr>
          <w:rFonts w:ascii="Times New Roman" w:hAnsi="Times New Roman" w:cs="Times New Roman"/>
        </w:rPr>
      </w:pPr>
      <w:r w:rsidRPr="00B7697C">
        <w:t>32</w:t>
      </w:r>
      <w:r w:rsidR="00DC7D07">
        <w:t>.</w:t>
      </w:r>
      <w:r w:rsidR="00FC3239">
        <w:t xml:space="preserve"> </w:t>
      </w:r>
      <w:r w:rsidR="00DC7D07">
        <w:t>Rząd nie przedstawił żadnego wyjaśnienia potrzeby zamieszczenia w</w:t>
      </w:r>
      <w:r w:rsidR="0002207C">
        <w:t> </w:t>
      </w:r>
      <w:r w:rsidR="00DC7D07">
        <w:t xml:space="preserve">takim stopniu wrażliwych danych medycznych w zaświadczeniu, które może być wymagane w różnych sytuacjach, w jakich stan zdrowia skarżącego nie ma oczywistego znaczenia, jak np. przy ubieganiu się </w:t>
      </w:r>
      <w:r w:rsidR="00DC7D07">
        <w:lastRenderedPageBreak/>
        <w:t>o</w:t>
      </w:r>
      <w:r w:rsidR="0002207C">
        <w:t> </w:t>
      </w:r>
      <w:r w:rsidR="00DC7D07">
        <w:t xml:space="preserve">zatrudnienie (zob. paragraf </w:t>
      </w:r>
      <w:r w:rsidRPr="00B7697C">
        <w:t>13</w:t>
      </w:r>
      <w:r w:rsidR="00DC7D07">
        <w:t xml:space="preserve"> powyżej). W związku z tym ingerencja w</w:t>
      </w:r>
      <w:r w:rsidR="0002207C">
        <w:t> </w:t>
      </w:r>
      <w:r w:rsidR="00DC7D07">
        <w:t>prawo skarżącego była nieproporcjonalna.</w:t>
      </w:r>
    </w:p>
    <w:p w14:paraId="5088F9B0" w14:textId="6A5F25DB" w:rsidR="00DC7D07" w:rsidRPr="00B7697C" w:rsidRDefault="00B7697C" w:rsidP="00B7697C">
      <w:pPr>
        <w:pStyle w:val="JuPara"/>
      </w:pPr>
      <w:r w:rsidRPr="00B7697C">
        <w:rPr>
          <w:rFonts w:ascii="Times New Roman" w:hAnsi="Times New Roman" w:cs="Times New Roman"/>
        </w:rPr>
        <w:t>33</w:t>
      </w:r>
      <w:r w:rsidR="00DC7D07">
        <w:rPr>
          <w:rFonts w:ascii="Times New Roman" w:hAnsi="Times New Roman"/>
        </w:rPr>
        <w:t>.</w:t>
      </w:r>
      <w:r w:rsidR="00FC3239">
        <w:rPr>
          <w:rFonts w:ascii="Times New Roman" w:hAnsi="Times New Roman"/>
        </w:rPr>
        <w:t xml:space="preserve"> </w:t>
      </w:r>
      <w:r w:rsidR="00DC7D07">
        <w:rPr>
          <w:rFonts w:ascii="Times New Roman" w:hAnsi="Times New Roman"/>
        </w:rPr>
        <w:t>W niniejszej sprawie doszło zatem do naruszenia art. 8 Konwencji.</w:t>
      </w:r>
    </w:p>
    <w:p w14:paraId="31DFC15C" w14:textId="77777777" w:rsidR="00DC7D07" w:rsidRPr="00B7697C" w:rsidRDefault="00DC7D07" w:rsidP="00B7697C">
      <w:pPr>
        <w:pStyle w:val="JuHIRoman"/>
      </w:pPr>
      <w:r>
        <w:t>ZASTOSOWANIE ART. 41 KONWENCJI</w:t>
      </w:r>
    </w:p>
    <w:p w14:paraId="7009B9E4" w14:textId="22E60687" w:rsidR="00DC7D07" w:rsidRPr="00B7697C" w:rsidRDefault="00B7697C" w:rsidP="00B7697C">
      <w:pPr>
        <w:pStyle w:val="JuPara"/>
      </w:pPr>
      <w:r w:rsidRPr="00B7697C">
        <w:t>34</w:t>
      </w:r>
      <w:r w:rsidR="00DC7D07">
        <w:t>.</w:t>
      </w:r>
      <w:r w:rsidR="00FC3239">
        <w:t xml:space="preserve"> </w:t>
      </w:r>
      <w:r w:rsidR="00DC7D07">
        <w:t>Art. 41 Konwencji stanowi:</w:t>
      </w:r>
    </w:p>
    <w:p w14:paraId="402D4701" w14:textId="7D410BBF" w:rsidR="00DC7D07" w:rsidRPr="00B7697C" w:rsidRDefault="00DC7D07" w:rsidP="00B7697C">
      <w:pPr>
        <w:pStyle w:val="JuQuot"/>
        <w:keepNext/>
        <w:keepLines/>
      </w:pPr>
      <w:r>
        <w:t>„</w:t>
      </w:r>
      <w:r w:rsidR="005C0A78" w:rsidRPr="005C0A78">
        <w:t>Jeśli Trybunał stwierdzi, że nastąpiło naruszenie Konwencji lub jej protokołów, oraz</w:t>
      </w:r>
      <w:r w:rsidR="0002207C">
        <w:t> </w:t>
      </w:r>
      <w:r w:rsidR="005C0A78" w:rsidRPr="005C0A78">
        <w:t>jeśli prawo wewnętrzne zainteresowanej Wysokiej Układającej się Strony pozwala tylko na częściowe usunięcie konsekwencji tego naruszenia, Trybunał orzeka, gdy</w:t>
      </w:r>
      <w:r w:rsidR="0002207C">
        <w:t> </w:t>
      </w:r>
      <w:r w:rsidR="005C0A78" w:rsidRPr="005C0A78">
        <w:t>zachodzi potrzeba, słuszne zadośćuczynienie pokrzywdzonej stronie</w:t>
      </w:r>
      <w:r>
        <w:t>”</w:t>
      </w:r>
      <w:r w:rsidR="005C0A78">
        <w:t>.</w:t>
      </w:r>
    </w:p>
    <w:p w14:paraId="2409CFDA" w14:textId="77777777" w:rsidR="00DC7D07" w:rsidRPr="00B7697C" w:rsidRDefault="00DC7D07" w:rsidP="00B7697C">
      <w:pPr>
        <w:pStyle w:val="JuHA"/>
      </w:pPr>
      <w:r>
        <w:t>Szkoda niematerialna</w:t>
      </w:r>
    </w:p>
    <w:p w14:paraId="2777938C" w14:textId="418D465E" w:rsidR="00DC7D07" w:rsidRPr="00B7697C" w:rsidRDefault="00B7697C" w:rsidP="00B7697C">
      <w:pPr>
        <w:pStyle w:val="JuPara"/>
      </w:pPr>
      <w:r w:rsidRPr="00B7697C">
        <w:t>35</w:t>
      </w:r>
      <w:r w:rsidR="00FC3239">
        <w:t>. Skarżący domagał się kwoty 4</w:t>
      </w:r>
      <w:r w:rsidR="00DC7D07">
        <w:t xml:space="preserve">000 euro (EUR) z tytułu szkody niematerialnej. </w:t>
      </w:r>
      <w:r w:rsidR="007039BF">
        <w:t>T</w:t>
      </w:r>
      <w:r w:rsidR="00DC7D07">
        <w:t>wierdził, że osoby będące nosicielami wirusa HIV należą do</w:t>
      </w:r>
      <w:r w:rsidR="0002207C">
        <w:t> </w:t>
      </w:r>
      <w:r w:rsidR="00DC7D07">
        <w:t>najbardziej dyskryminowanych kategorii osób w Mołdawii. Ujawnienie osobom trzecim jego choroby oraz rezygnacja z różnych praw i możliwości w celu uniknięcia takiego ujawnienia również miały na niego negatywny wpływ. Skarżący wniósł o przekazywanie wszelkich zasądzonych kwot bezpośrednio na konto bankowe jego adwokata, ponieważ on sam musiał wyjechać za granicę i nie mógł odebrać żadnej zasądzonej kwoty.</w:t>
      </w:r>
    </w:p>
    <w:p w14:paraId="316421ED" w14:textId="70747713" w:rsidR="00DC7D07" w:rsidRPr="00B7697C" w:rsidRDefault="00B7697C" w:rsidP="00B7697C">
      <w:pPr>
        <w:pStyle w:val="JuPara"/>
      </w:pPr>
      <w:r w:rsidRPr="00B7697C">
        <w:t>36</w:t>
      </w:r>
      <w:r w:rsidR="00DC7D07">
        <w:t>.</w:t>
      </w:r>
      <w:r w:rsidR="00FC3239">
        <w:t xml:space="preserve"> </w:t>
      </w:r>
      <w:r w:rsidR="00DC7D07">
        <w:t>Rząd twierdził, że ponieważ skarga była niedopuszczalna z powodu niewyczerpania krajowych środków odwoławczych, nie należało się żadne odszkodowanie.</w:t>
      </w:r>
    </w:p>
    <w:p w14:paraId="6976402F" w14:textId="1D60473A" w:rsidR="00DC7D07" w:rsidRPr="00B7697C" w:rsidRDefault="00B7697C" w:rsidP="00B7697C">
      <w:pPr>
        <w:pStyle w:val="JuPara"/>
      </w:pPr>
      <w:r w:rsidRPr="00B7697C">
        <w:t>37</w:t>
      </w:r>
      <w:r w:rsidR="00DC7D07">
        <w:t>.</w:t>
      </w:r>
      <w:r w:rsidR="00FC3239">
        <w:t xml:space="preserve"> </w:t>
      </w:r>
      <w:r w:rsidR="00DC7D07">
        <w:t>Mając na uwadze stwierdzone powyżej naruszenie i jego wagę, Trybunał uważa, że w tym przypadku uzasadnione jest przyznanie zadośćuczynienia za szkodę niematerialną. Dokonując oceny na zasadzie słuszności, Trybunał uwzględnia w całości roszczenie skarżąc</w:t>
      </w:r>
      <w:r w:rsidR="00FC3239">
        <w:t>ego. Przyznaje mu zatem kwotę 4</w:t>
      </w:r>
      <w:r w:rsidR="00DC7D07">
        <w:t>000 EUR plus wszelkie należne podatki, która ma być przekazana bezpośrednio na konto bankowe jego adwokata.</w:t>
      </w:r>
    </w:p>
    <w:p w14:paraId="78894907" w14:textId="77777777" w:rsidR="00DC7D07" w:rsidRPr="00B7697C" w:rsidRDefault="00DC7D07" w:rsidP="00B7697C">
      <w:pPr>
        <w:pStyle w:val="JuHA"/>
      </w:pPr>
      <w:r>
        <w:t>Koszty i wydatki</w:t>
      </w:r>
    </w:p>
    <w:p w14:paraId="45C37858" w14:textId="20E18143" w:rsidR="00DC7D07" w:rsidRPr="00B7697C" w:rsidRDefault="00B7697C" w:rsidP="00B7697C">
      <w:pPr>
        <w:pStyle w:val="JuPara"/>
      </w:pPr>
      <w:r w:rsidRPr="00B7697C">
        <w:t>38</w:t>
      </w:r>
      <w:r w:rsidR="00DC7D07">
        <w:t>.</w:t>
      </w:r>
      <w:r w:rsidR="00FC3239">
        <w:t xml:space="preserve"> </w:t>
      </w:r>
      <w:r w:rsidR="00DC7D07">
        <w:t>Skarżący domagał się również kwoty 1960 EUR tytułem kosztów i</w:t>
      </w:r>
      <w:r w:rsidR="0002207C">
        <w:t> </w:t>
      </w:r>
      <w:r w:rsidR="00DC7D07">
        <w:t>wydatków poniesionych przed Trybunałem. Powołał się na szczegółowy wykaz godzin, które jego adwokat poświęcił na pracę nad tą sprawą.</w:t>
      </w:r>
    </w:p>
    <w:p w14:paraId="76ECA9E6" w14:textId="6362A092" w:rsidR="00DC7D07" w:rsidRPr="00B7697C" w:rsidRDefault="00B7697C" w:rsidP="00B7697C">
      <w:pPr>
        <w:pStyle w:val="JuPara"/>
      </w:pPr>
      <w:r w:rsidRPr="00B7697C">
        <w:t>39</w:t>
      </w:r>
      <w:r w:rsidR="00DC7D07">
        <w:t>.</w:t>
      </w:r>
      <w:r w:rsidR="00FC3239">
        <w:t xml:space="preserve"> </w:t>
      </w:r>
      <w:r w:rsidR="00DC7D07">
        <w:t>Rząd uznał, że z powodu braku naruszenia jakiegokolwiek prawa wynikającego z Konwencji nie należy się rekompensata za koszty i wydatki.</w:t>
      </w:r>
    </w:p>
    <w:p w14:paraId="703EC5E7" w14:textId="7BA65205" w:rsidR="00DC7D07" w:rsidRPr="00B7697C" w:rsidRDefault="00B7697C" w:rsidP="00B7697C">
      <w:pPr>
        <w:pStyle w:val="JuPara"/>
      </w:pPr>
      <w:r w:rsidRPr="00B7697C">
        <w:t>40</w:t>
      </w:r>
      <w:r w:rsidR="00DC7D07">
        <w:t>.</w:t>
      </w:r>
      <w:r w:rsidR="00FC3239">
        <w:t xml:space="preserve"> </w:t>
      </w:r>
      <w:r w:rsidR="00DC7D07">
        <w:t>Z orzecznictwa Trybunału wynika, że skarżący jest uprawniony do</w:t>
      </w:r>
      <w:r w:rsidR="0002207C">
        <w:t> </w:t>
      </w:r>
      <w:r w:rsidR="00DC7D07">
        <w:t xml:space="preserve">zwrotu kosztów i wydatków jedynie w zakresie, w jakim zostało wykazane, że zostały one faktycznie poniesione oraz </w:t>
      </w:r>
      <w:r w:rsidR="0058561A">
        <w:t>były konieczne i</w:t>
      </w:r>
      <w:r w:rsidR="0002207C">
        <w:t> </w:t>
      </w:r>
      <w:r w:rsidR="00DC7D07">
        <w:t xml:space="preserve">rozsądne co do wysokości. W niniejszej sprawie, biorąc pod uwagę dokumenty znajdujące się w jego posiadaniu oraz powyższe kryteria, Trybunał uważa za zasadne przyznanie kwoty 1500 EUR obejmującej koszty </w:t>
      </w:r>
      <w:r w:rsidR="00DC7D07">
        <w:lastRenderedPageBreak/>
        <w:t>ze wszystkich tytułów, plus wszelkie podatki należne od skarżącego, która ma być przekazana bezpośrednio na konto bankowe jego adwokata.</w:t>
      </w:r>
    </w:p>
    <w:p w14:paraId="333B17BE" w14:textId="77777777" w:rsidR="00DC7D07" w:rsidRPr="00B7697C" w:rsidRDefault="00DC7D07" w:rsidP="00B7697C">
      <w:pPr>
        <w:pStyle w:val="JuHA"/>
      </w:pPr>
      <w:r>
        <w:t>Odsetki z tytułu zwłoki</w:t>
      </w:r>
    </w:p>
    <w:p w14:paraId="7D0AB25B" w14:textId="069E7FB9" w:rsidR="00DC7D07" w:rsidRPr="00B7697C" w:rsidRDefault="00B7697C" w:rsidP="00B7697C">
      <w:pPr>
        <w:pStyle w:val="JuPara"/>
      </w:pPr>
      <w:r w:rsidRPr="00B7697C">
        <w:t>41</w:t>
      </w:r>
      <w:r w:rsidR="00DC7D07">
        <w:t>.</w:t>
      </w:r>
      <w:r w:rsidR="00FC3239">
        <w:t xml:space="preserve"> </w:t>
      </w:r>
      <w:r w:rsidR="00DC7D07">
        <w:t>Trybunał za słuszne uznaje wyznaczenie wysokości odsetek za zwłokę na podstawie marginalnej stopy procentowej Europejskiego Banku Centralnego powiększonej o trzy punkty procentowe.</w:t>
      </w:r>
    </w:p>
    <w:p w14:paraId="1E694133" w14:textId="77777777" w:rsidR="00DC7D07" w:rsidRPr="00B7697C" w:rsidRDefault="00DC7D07" w:rsidP="00B7697C">
      <w:pPr>
        <w:pStyle w:val="JuHHead"/>
      </w:pPr>
      <w:r>
        <w:t>Z TYCH WZGLĘDÓW TRYBUNAŁ JEDNOMYŚLNIE</w:t>
      </w:r>
    </w:p>
    <w:p w14:paraId="46F709FC" w14:textId="77777777" w:rsidR="00DC7D07" w:rsidRPr="00B7697C" w:rsidRDefault="00DC7D07" w:rsidP="00B7697C">
      <w:pPr>
        <w:pStyle w:val="JuList"/>
      </w:pPr>
      <w:r>
        <w:rPr>
          <w:i/>
        </w:rPr>
        <w:t>Uznaje</w:t>
      </w:r>
      <w:r>
        <w:t xml:space="preserve"> skargę za dopuszczalną;</w:t>
      </w:r>
    </w:p>
    <w:p w14:paraId="0E46D4D4" w14:textId="77777777" w:rsidR="00DC7D07" w:rsidRPr="00B7697C" w:rsidRDefault="00DC7D07" w:rsidP="00B7697C">
      <w:pPr>
        <w:pStyle w:val="JuList"/>
      </w:pPr>
      <w:r>
        <w:rPr>
          <w:i/>
        </w:rPr>
        <w:t xml:space="preserve">Uznaje, </w:t>
      </w:r>
      <w:r>
        <w:t>że doszło do naruszenia art. 8 Konwencji;</w:t>
      </w:r>
    </w:p>
    <w:p w14:paraId="4E5F790B" w14:textId="77777777" w:rsidR="00DC7D07" w:rsidRPr="00B7697C" w:rsidRDefault="00DC7D07" w:rsidP="00B7697C">
      <w:pPr>
        <w:pStyle w:val="JuList"/>
        <w:rPr>
          <w:i/>
        </w:rPr>
      </w:pPr>
      <w:r>
        <w:rPr>
          <w:i/>
        </w:rPr>
        <w:t>Uznaje</w:t>
      </w:r>
    </w:p>
    <w:p w14:paraId="3FB38565" w14:textId="719CCC87" w:rsidR="00DC7D07" w:rsidRPr="00B7697C" w:rsidRDefault="00DC7D07" w:rsidP="00B7697C">
      <w:pPr>
        <w:pStyle w:val="JuLista"/>
        <w:numPr>
          <w:ilvl w:val="1"/>
          <w:numId w:val="22"/>
        </w:numPr>
      </w:pPr>
      <w:r>
        <w:t>że pozwane Państwo winno, w terminie trzech miesięcy od daty, w</w:t>
      </w:r>
      <w:r w:rsidR="0002207C">
        <w:t> </w:t>
      </w:r>
      <w:r>
        <w:t>której niniejszy wyrok stanie się ostateczny zgodnie z art. 44 ust. 2 Konwencji, uiścić na rzecz skarżącego następujące kwoty, które zostaną przeliczone na leje mołdawskie po kursie obowiązującym w</w:t>
      </w:r>
      <w:r w:rsidR="0002207C">
        <w:t> </w:t>
      </w:r>
      <w:r>
        <w:t>dniu wyroku:</w:t>
      </w:r>
    </w:p>
    <w:p w14:paraId="65114AD5" w14:textId="275F3B4D" w:rsidR="00DC7D07" w:rsidRPr="00B7697C" w:rsidRDefault="00DC7D07" w:rsidP="00B7697C">
      <w:pPr>
        <w:pStyle w:val="JuListi"/>
        <w:numPr>
          <w:ilvl w:val="2"/>
          <w:numId w:val="22"/>
        </w:numPr>
      </w:pPr>
      <w:r>
        <w:t>4000 EUR (cztery tysiące euro), plus wszelkie należne podatki, tytułem zadośćuczynienia za szkodę niematerialną;</w:t>
      </w:r>
    </w:p>
    <w:p w14:paraId="6370B0BB" w14:textId="0B72ADF3" w:rsidR="00DC7D07" w:rsidRPr="00B7697C" w:rsidRDefault="00DC7D07" w:rsidP="00B7697C">
      <w:pPr>
        <w:pStyle w:val="JuListi"/>
        <w:numPr>
          <w:ilvl w:val="2"/>
          <w:numId w:val="22"/>
        </w:numPr>
      </w:pPr>
      <w:r>
        <w:t>1500 EUR (jeden tysiąc pięćset euro), plus wszelkie podatki należne od skarżącego, tytułem zwrotu kosztów i wydatków;</w:t>
      </w:r>
    </w:p>
    <w:p w14:paraId="7538F097" w14:textId="027C1FFC" w:rsidR="00DC7D07" w:rsidRPr="00B7697C" w:rsidRDefault="00DC7D07" w:rsidP="00B7697C">
      <w:pPr>
        <w:pStyle w:val="JuLista"/>
        <w:numPr>
          <w:ilvl w:val="1"/>
          <w:numId w:val="22"/>
        </w:numPr>
      </w:pPr>
      <w:r>
        <w:t>że od upływu wyżej wskazanego terminu trzech miesięcy aż</w:t>
      </w:r>
      <w:r w:rsidR="0002207C">
        <w:t> </w:t>
      </w:r>
      <w:r>
        <w:t>do</w:t>
      </w:r>
      <w:r w:rsidR="0002207C">
        <w:t> </w:t>
      </w:r>
      <w:r>
        <w:t>momentu uregulowania należności, należne będą odsetki zwykłe od określonej powyżej kwoty, naliczone według stopy równej marginalnej stopie procentowej Europejskiego Banku Centralnego obowiązującej w tym okresie, powiększonej o trzy punkty procentowe;</w:t>
      </w:r>
    </w:p>
    <w:p w14:paraId="2472B7F5" w14:textId="77777777" w:rsidR="004D0EC7" w:rsidRPr="00B7697C" w:rsidRDefault="00DC7D07" w:rsidP="00B7697C">
      <w:pPr>
        <w:pStyle w:val="JuList"/>
      </w:pPr>
      <w:r>
        <w:rPr>
          <w:i/>
          <w:iCs/>
        </w:rPr>
        <w:t>Odrzuca</w:t>
      </w:r>
      <w:r>
        <w:t xml:space="preserve"> pozostałą część roszczenia skarżącego o słuszne zadośćuczynienie.</w:t>
      </w:r>
    </w:p>
    <w:p w14:paraId="60080972" w14:textId="6EE3B5E6" w:rsidR="008E3A08" w:rsidRPr="00B7697C" w:rsidRDefault="007E2C8C" w:rsidP="00B7697C">
      <w:pPr>
        <w:pStyle w:val="JuParaLast"/>
      </w:pPr>
      <w:r>
        <w:t>Sporządzono w języku angielskim i obwieszczono pisemnie w dniu 26</w:t>
      </w:r>
      <w:r w:rsidR="0002207C">
        <w:t> </w:t>
      </w:r>
      <w:r>
        <w:t>maja 2020 r., zgodnie z Regułą 77 §§ 2 i 3 Regulaminu Trybunału.</w:t>
      </w:r>
    </w:p>
    <w:p w14:paraId="1E69EDC7" w14:textId="77777777" w:rsidR="00884EB6" w:rsidRDefault="00AB513D" w:rsidP="00B7697C">
      <w:pPr>
        <w:pStyle w:val="JuSigned"/>
      </w:pPr>
      <w:r>
        <w:tab/>
        <w:t xml:space="preserve">Stanley </w:t>
      </w:r>
      <w:proofErr w:type="spellStart"/>
      <w:r>
        <w:t>Naismith</w:t>
      </w:r>
      <w:proofErr w:type="spellEnd"/>
      <w:r>
        <w:t xml:space="preserve"> </w:t>
      </w:r>
      <w:r>
        <w:tab/>
        <w:t>Robert Spano</w:t>
      </w:r>
    </w:p>
    <w:p w14:paraId="2F5F3348" w14:textId="5A4EDC65" w:rsidR="002A613A" w:rsidRPr="00B7697C" w:rsidRDefault="009F4C8F" w:rsidP="0058561A">
      <w:pPr>
        <w:pStyle w:val="JuSigned"/>
        <w:spacing w:before="120"/>
      </w:pPr>
      <w:r>
        <w:tab/>
        <w:t>Kanclerz</w:t>
      </w:r>
      <w:r>
        <w:tab/>
        <w:t>Przewodniczący</w:t>
      </w:r>
    </w:p>
    <w:p w14:paraId="723F14F7" w14:textId="77777777" w:rsidR="0022251C" w:rsidRPr="00B7697C" w:rsidRDefault="0022251C" w:rsidP="00B7697C">
      <w:pPr>
        <w:pStyle w:val="JuPara"/>
      </w:pPr>
    </w:p>
    <w:sectPr w:rsidR="0022251C" w:rsidRPr="00B7697C" w:rsidSect="007D3701">
      <w:headerReference w:type="even" r:id="rId14"/>
      <w:headerReference w:type="default" r:id="rId15"/>
      <w:footerReference w:type="even" r:id="rId16"/>
      <w:foot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EC768" w14:textId="77777777" w:rsidR="00ED4FEC" w:rsidRPr="00CD447B" w:rsidRDefault="00ED4FEC" w:rsidP="0098410D">
      <w:r w:rsidRPr="00CD447B">
        <w:separator/>
      </w:r>
    </w:p>
  </w:endnote>
  <w:endnote w:type="continuationSeparator" w:id="0">
    <w:p w14:paraId="6E954702" w14:textId="77777777" w:rsidR="00ED4FEC" w:rsidRPr="00CD447B" w:rsidRDefault="00ED4FEC" w:rsidP="0098410D">
      <w:r w:rsidRPr="00CD447B">
        <w:continuationSeparator/>
      </w:r>
    </w:p>
  </w:endnote>
  <w:endnote w:type="continuationNotice" w:id="1">
    <w:p w14:paraId="6629E274" w14:textId="77777777" w:rsidR="00ED4FEC" w:rsidRDefault="00ED4F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E9621" w14:textId="77777777" w:rsidR="00AD4A0F" w:rsidRDefault="00AD4A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DC395" w14:textId="77777777" w:rsidR="00DC7D07" w:rsidRPr="00150BFA" w:rsidRDefault="00DC7D07" w:rsidP="0020718E">
    <w:pPr>
      <w:jc w:val="center"/>
    </w:pPr>
    <w:r>
      <w:rPr>
        <w:noProof/>
        <w:lang w:eastAsia="pl-PL"/>
      </w:rPr>
      <w:drawing>
        <wp:inline distT="0" distB="0" distL="0" distR="0" wp14:anchorId="129F8ADF" wp14:editId="0D9F3E05">
          <wp:extent cx="771525" cy="619125"/>
          <wp:effectExtent l="0" t="0" r="9525" b="9525"/>
          <wp:docPr id="49" name="Picture 4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051827" w14:textId="77777777" w:rsidR="0098410D" w:rsidRPr="00CD447B" w:rsidRDefault="0098410D" w:rsidP="00AF12C5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96A6" w14:textId="77777777" w:rsidR="00DC7D07" w:rsidRDefault="0022251C" w:rsidP="0022251C">
    <w:pPr>
      <w:pStyle w:val="Stopka"/>
      <w:jc w:val="center"/>
    </w:pPr>
    <w:r>
      <w:rPr>
        <w:noProof/>
        <w:lang w:eastAsia="pl-PL"/>
      </w:rPr>
      <w:drawing>
        <wp:inline distT="0" distB="0" distL="0" distR="0" wp14:anchorId="1ADBCF5A" wp14:editId="7DAE7CA5">
          <wp:extent cx="771525" cy="619125"/>
          <wp:effectExtent l="0" t="0" r="9525" b="9525"/>
          <wp:docPr id="35" name="Picture 3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A0DB0" w14:textId="284B7F25" w:rsidR="00C26D3D" w:rsidRDefault="00DC7D07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82E0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49F5A7" w14:textId="38F8C35E" w:rsidR="00C26D3D" w:rsidRPr="000B7195" w:rsidRDefault="00DC7D07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A82E0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3EBC4" w14:textId="77777777" w:rsidR="00ED4FEC" w:rsidRPr="00CD447B" w:rsidRDefault="00ED4FEC" w:rsidP="0098410D">
      <w:r w:rsidRPr="00CD447B">
        <w:separator/>
      </w:r>
    </w:p>
  </w:footnote>
  <w:footnote w:type="continuationSeparator" w:id="0">
    <w:p w14:paraId="2CCF651F" w14:textId="77777777" w:rsidR="00ED4FEC" w:rsidRPr="00CD447B" w:rsidRDefault="00ED4FEC" w:rsidP="0098410D">
      <w:r w:rsidRPr="00CD447B">
        <w:continuationSeparator/>
      </w:r>
    </w:p>
  </w:footnote>
  <w:footnote w:type="continuationNotice" w:id="1">
    <w:p w14:paraId="2EA4DE87" w14:textId="77777777" w:rsidR="00ED4FEC" w:rsidRDefault="00ED4FEC"/>
  </w:footnote>
  <w:footnote w:id="2">
    <w:p w14:paraId="29F0B4B0" w14:textId="77777777" w:rsidR="00DD7B04" w:rsidRPr="00F52E98" w:rsidRDefault="00DD7B04" w:rsidP="00DD7B04">
      <w:pPr>
        <w:pStyle w:val="s50c0b1c7"/>
        <w:jc w:val="both"/>
        <w:rPr>
          <w:lang w:val="en-GB"/>
        </w:rPr>
      </w:pPr>
      <w:r w:rsidRPr="004F09D0">
        <w:rPr>
          <w:rStyle w:val="Odwoanieprzypisudolnego"/>
          <w:rFonts w:eastAsia="MS Gothic"/>
          <w:sz w:val="20"/>
          <w:szCs w:val="20"/>
        </w:rPr>
        <w:footnoteRef/>
      </w:r>
      <w:r w:rsidRPr="004F09D0">
        <w:rPr>
          <w:sz w:val="20"/>
          <w:szCs w:val="20"/>
        </w:rPr>
        <w:t xml:space="preserve"> Źródło: Nota informacyjna na temat orzecznictwa Trybunału nr 240, maj 2020 r. (</w:t>
      </w:r>
      <w:r w:rsidRPr="004F09D0">
        <w:rPr>
          <w:rStyle w:val="s3aeeab2"/>
          <w:i/>
          <w:iCs/>
          <w:sz w:val="20"/>
          <w:szCs w:val="20"/>
        </w:rPr>
        <w:t xml:space="preserve">Information </w:t>
      </w:r>
      <w:proofErr w:type="spellStart"/>
      <w:r w:rsidRPr="004F09D0">
        <w:rPr>
          <w:rStyle w:val="s3aeeab2"/>
          <w:i/>
          <w:iCs/>
          <w:sz w:val="20"/>
          <w:szCs w:val="20"/>
        </w:rPr>
        <w:t>Note</w:t>
      </w:r>
      <w:proofErr w:type="spellEnd"/>
      <w:r w:rsidRPr="004F09D0">
        <w:rPr>
          <w:rStyle w:val="s3aeeab2"/>
          <w:i/>
          <w:iCs/>
          <w:sz w:val="20"/>
          <w:szCs w:val="20"/>
        </w:rPr>
        <w:t xml:space="preserve">. </w:t>
      </w:r>
      <w:r w:rsidRPr="004F09D0">
        <w:rPr>
          <w:rStyle w:val="s3aeeab2"/>
          <w:i/>
          <w:iCs/>
          <w:sz w:val="20"/>
          <w:szCs w:val="20"/>
          <w:lang w:val="en-GB"/>
        </w:rPr>
        <w:t xml:space="preserve">Case-law of the European Court of Human Rights No. 240, May 2020 / </w:t>
      </w:r>
      <w:r w:rsidRPr="004F09D0">
        <w:rPr>
          <w:rStyle w:val="sfbbfee58"/>
          <w:i/>
          <w:iCs/>
          <w:sz w:val="20"/>
          <w:szCs w:val="20"/>
          <w:lang w:val="en-GB"/>
        </w:rPr>
        <w:t xml:space="preserve">Note </w:t>
      </w:r>
      <w:proofErr w:type="spellStart"/>
      <w:r w:rsidRPr="004F09D0">
        <w:rPr>
          <w:rStyle w:val="sfbbfee58"/>
          <w:i/>
          <w:iCs/>
          <w:sz w:val="20"/>
          <w:szCs w:val="20"/>
          <w:lang w:val="en-GB"/>
        </w:rPr>
        <w:t>d’information</w:t>
      </w:r>
      <w:proofErr w:type="spellEnd"/>
      <w:r w:rsidRPr="004F09D0">
        <w:rPr>
          <w:rStyle w:val="sfbbfee58"/>
          <w:i/>
          <w:iCs/>
          <w:sz w:val="20"/>
          <w:szCs w:val="20"/>
          <w:lang w:val="en-GB"/>
        </w:rPr>
        <w:t xml:space="preserve"> sur la jurisprudence de la </w:t>
      </w:r>
      <w:proofErr w:type="spellStart"/>
      <w:r w:rsidRPr="004F09D0">
        <w:rPr>
          <w:rStyle w:val="sfbbfee58"/>
          <w:i/>
          <w:iCs/>
          <w:sz w:val="20"/>
          <w:szCs w:val="20"/>
          <w:lang w:val="en-GB"/>
        </w:rPr>
        <w:t>Cour</w:t>
      </w:r>
      <w:proofErr w:type="spellEnd"/>
      <w:r w:rsidRPr="004F09D0">
        <w:rPr>
          <w:rStyle w:val="sfbbfee58"/>
          <w:i/>
          <w:iCs/>
          <w:sz w:val="20"/>
          <w:szCs w:val="20"/>
          <w:lang w:val="en-GB"/>
        </w:rPr>
        <w:t xml:space="preserve"> 240/ </w:t>
      </w:r>
      <w:r w:rsidRPr="004F09D0">
        <w:rPr>
          <w:i/>
          <w:iCs/>
          <w:sz w:val="20"/>
          <w:szCs w:val="20"/>
          <w:lang w:val="en-GB"/>
        </w:rPr>
        <w:t>Mai</w:t>
      </w:r>
      <w:r w:rsidRPr="004F09D0">
        <w:rPr>
          <w:rStyle w:val="sfbbfee58"/>
          <w:i/>
          <w:iCs/>
          <w:sz w:val="20"/>
          <w:szCs w:val="20"/>
          <w:lang w:val="en-GB"/>
        </w:rPr>
        <w:t xml:space="preserve"> 2020</w:t>
      </w:r>
      <w:r w:rsidRPr="004F09D0">
        <w:rPr>
          <w:rStyle w:val="s3aeeab2"/>
          <w:sz w:val="20"/>
          <w:szCs w:val="20"/>
          <w:lang w:val="en-GB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F17C6" w14:textId="77777777" w:rsidR="00AD4A0F" w:rsidRDefault="00AD4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6F7C7" w14:textId="77777777" w:rsidR="00DC7D07" w:rsidRPr="00A45145" w:rsidRDefault="00DC7D07" w:rsidP="00A45145">
    <w:pPr>
      <w:jc w:val="center"/>
    </w:pPr>
    <w:r>
      <w:rPr>
        <w:noProof/>
        <w:lang w:eastAsia="pl-PL"/>
      </w:rPr>
      <w:drawing>
        <wp:inline distT="0" distB="0" distL="0" distR="0" wp14:anchorId="7501BD88" wp14:editId="5ED0FDA5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7C46EA" w14:textId="77777777" w:rsidR="0098410D" w:rsidRPr="00CD447B" w:rsidRDefault="0098410D" w:rsidP="00B1479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26F9B" w14:textId="77777777" w:rsidR="00DC7D07" w:rsidRPr="00A45145" w:rsidRDefault="00DC7D07" w:rsidP="00A45145">
    <w:pPr>
      <w:jc w:val="center"/>
    </w:pPr>
    <w:r>
      <w:rPr>
        <w:noProof/>
        <w:lang w:eastAsia="pl-PL"/>
      </w:rPr>
      <w:drawing>
        <wp:inline distT="0" distB="0" distL="0" distR="0" wp14:anchorId="311AF15A" wp14:editId="71A9D1A0">
          <wp:extent cx="2962275" cy="1219200"/>
          <wp:effectExtent l="0" t="0" r="9525" b="0"/>
          <wp:docPr id="47" name="Picture 4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E0485B" w14:textId="77777777" w:rsidR="0098410D" w:rsidRPr="00CD447B" w:rsidRDefault="0098410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F0A10" w14:textId="3E51609A" w:rsidR="00C26D3D" w:rsidRPr="004D0EC7" w:rsidRDefault="001D7ADB" w:rsidP="004D0EC7">
    <w:pPr>
      <w:pStyle w:val="JuHeader"/>
    </w:pPr>
    <w:r>
      <w:t>WYROK W SPRAWIE P.T. PRZECIWKO REPUBLICE MOŁDAWII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F986F1" w14:textId="6DBA4EBC" w:rsidR="00C26D3D" w:rsidRPr="00882CD5" w:rsidRDefault="001D7ADB" w:rsidP="007D3701">
    <w:pPr>
      <w:pStyle w:val="JuHeader"/>
    </w:pPr>
    <w:r>
      <w:t xml:space="preserve">WYROK W SPRAWIE </w:t>
    </w:r>
    <w:r w:rsidR="00DC7D07">
      <w:t xml:space="preserve">P.T. </w:t>
    </w:r>
    <w:r>
      <w:t>PRZECIWKO REPUBLICE MOŁDAWII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85E6A40"/>
    <w:multiLevelType w:val="multilevel"/>
    <w:tmpl w:val="84A2DB1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56B9429C"/>
    <w:multiLevelType w:val="multilevel"/>
    <w:tmpl w:val="03263022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372" w:hanging="334"/>
      </w:pPr>
      <w:rPr>
        <w:rFonts w:ascii="Times New Roman" w:hAnsi="Times New Roman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644" w:hanging="226"/>
      </w:pPr>
      <w:rPr>
        <w:rFonts w:ascii="Calibri" w:hAnsi="Calibri" w:hint="default"/>
        <w:b w:val="0"/>
        <w:i w:val="0"/>
        <w:color w:val="auto"/>
        <w:sz w:val="18"/>
      </w:rPr>
    </w:lvl>
  </w:abstractNum>
  <w:abstractNum w:abstractNumId="18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9B170C5"/>
    <w:multiLevelType w:val="multilevel"/>
    <w:tmpl w:val="EBE68D30"/>
    <w:lvl w:ilvl="0">
      <w:start w:val="1"/>
      <w:numFmt w:val="upperRoman"/>
      <w:pStyle w:val="Nagwek1"/>
      <w:lvlText w:val="Article %1."/>
      <w:lvlJc w:val="left"/>
      <w:pPr>
        <w:ind w:left="0" w:firstLine="0"/>
      </w:pPr>
    </w:lvl>
    <w:lvl w:ilvl="1">
      <w:start w:val="1"/>
      <w:numFmt w:val="decimalZero"/>
      <w:pStyle w:val="Nagwek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ind w:left="1584" w:hanging="144"/>
      </w:pPr>
    </w:lvl>
  </w:abstractNum>
  <w:num w:numId="1">
    <w:abstractNumId w:val="14"/>
  </w:num>
  <w:num w:numId="2">
    <w:abstractNumId w:val="11"/>
  </w:num>
  <w:num w:numId="3">
    <w:abstractNumId w:val="10"/>
  </w:num>
  <w:num w:numId="4">
    <w:abstractNumId w:val="15"/>
  </w:num>
  <w:num w:numId="5">
    <w:abstractNumId w:val="12"/>
  </w:num>
  <w:num w:numId="6">
    <w:abstractNumId w:val="16"/>
  </w:num>
  <w:num w:numId="7">
    <w:abstractNumId w:val="15"/>
  </w:num>
  <w:num w:numId="8">
    <w:abstractNumId w:val="16"/>
  </w:num>
  <w:num w:numId="9">
    <w:abstractNumId w:val="19"/>
  </w:num>
  <w:num w:numId="10">
    <w:abstractNumId w:val="17"/>
  </w:num>
  <w:num w:numId="11">
    <w:abstractNumId w:val="9"/>
    <w:lvlOverride w:ilvl="0">
      <w:lvl w:ilvl="0">
        <w:start w:val="1"/>
        <w:numFmt w:val="decimal"/>
        <w:pStyle w:val="JuList"/>
        <w:lvlText w:val="%1."/>
        <w:lvlJc w:val="left"/>
        <w:pPr>
          <w:tabs>
            <w:tab w:val="num" w:pos="340"/>
          </w:tabs>
          <w:ind w:left="340" w:hanging="34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12">
    <w:abstractNumId w:val="18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3"/>
  </w:num>
  <w:num w:numId="23">
    <w:abstractNumId w:val="1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NBEMMDOC" w:val="0"/>
  </w:docVars>
  <w:rsids>
    <w:rsidRoot w:val="00DC7D07"/>
    <w:rsid w:val="000041F8"/>
    <w:rsid w:val="000042A8"/>
    <w:rsid w:val="00004308"/>
    <w:rsid w:val="00005BF0"/>
    <w:rsid w:val="00007154"/>
    <w:rsid w:val="000103AE"/>
    <w:rsid w:val="00011D69"/>
    <w:rsid w:val="00012AD3"/>
    <w:rsid w:val="00015C2D"/>
    <w:rsid w:val="00015F00"/>
    <w:rsid w:val="0002207C"/>
    <w:rsid w:val="00022C1D"/>
    <w:rsid w:val="00031428"/>
    <w:rsid w:val="00034987"/>
    <w:rsid w:val="00041560"/>
    <w:rsid w:val="000602DF"/>
    <w:rsid w:val="00061B05"/>
    <w:rsid w:val="000632D5"/>
    <w:rsid w:val="000644EE"/>
    <w:rsid w:val="0007780A"/>
    <w:rsid w:val="00085457"/>
    <w:rsid w:val="000925AD"/>
    <w:rsid w:val="00096FE1"/>
    <w:rsid w:val="00097A62"/>
    <w:rsid w:val="000A24EB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61B6"/>
    <w:rsid w:val="00162A12"/>
    <w:rsid w:val="00166530"/>
    <w:rsid w:val="00170027"/>
    <w:rsid w:val="001832BD"/>
    <w:rsid w:val="001943B5"/>
    <w:rsid w:val="00195134"/>
    <w:rsid w:val="001A145B"/>
    <w:rsid w:val="001A3E09"/>
    <w:rsid w:val="001A674C"/>
    <w:rsid w:val="001B3B24"/>
    <w:rsid w:val="001C055B"/>
    <w:rsid w:val="001C0F98"/>
    <w:rsid w:val="001C2A42"/>
    <w:rsid w:val="001D63ED"/>
    <w:rsid w:val="001D7348"/>
    <w:rsid w:val="001D7ADB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06ABD"/>
    <w:rsid w:val="00210338"/>
    <w:rsid w:val="00210E59"/>
    <w:rsid w:val="002115FC"/>
    <w:rsid w:val="0021423C"/>
    <w:rsid w:val="0022251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540E"/>
    <w:rsid w:val="00275123"/>
    <w:rsid w:val="00282240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7826"/>
    <w:rsid w:val="002D022D"/>
    <w:rsid w:val="002D24BB"/>
    <w:rsid w:val="002D2FA7"/>
    <w:rsid w:val="002D47BA"/>
    <w:rsid w:val="002D77B9"/>
    <w:rsid w:val="002E31B6"/>
    <w:rsid w:val="002E46DA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7EE4"/>
    <w:rsid w:val="00340FFD"/>
    <w:rsid w:val="00345C41"/>
    <w:rsid w:val="003479CE"/>
    <w:rsid w:val="003506B1"/>
    <w:rsid w:val="00355877"/>
    <w:rsid w:val="00356AC7"/>
    <w:rsid w:val="003609FA"/>
    <w:rsid w:val="003710C8"/>
    <w:rsid w:val="003750BE"/>
    <w:rsid w:val="00385A36"/>
    <w:rsid w:val="00385F3D"/>
    <w:rsid w:val="00387B9D"/>
    <w:rsid w:val="00387C70"/>
    <w:rsid w:val="00390294"/>
    <w:rsid w:val="0039364F"/>
    <w:rsid w:val="00396686"/>
    <w:rsid w:val="0039778E"/>
    <w:rsid w:val="003B4941"/>
    <w:rsid w:val="003C0D1B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61DB0"/>
    <w:rsid w:val="00463926"/>
    <w:rsid w:val="00464C9A"/>
    <w:rsid w:val="00474F3D"/>
    <w:rsid w:val="00477E3A"/>
    <w:rsid w:val="00483E5F"/>
    <w:rsid w:val="00485FF9"/>
    <w:rsid w:val="004907F0"/>
    <w:rsid w:val="0049140B"/>
    <w:rsid w:val="004923A5"/>
    <w:rsid w:val="0049310E"/>
    <w:rsid w:val="004950E2"/>
    <w:rsid w:val="00496BFB"/>
    <w:rsid w:val="004A15C7"/>
    <w:rsid w:val="004A3201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F09D0"/>
    <w:rsid w:val="004F10AF"/>
    <w:rsid w:val="004F11A4"/>
    <w:rsid w:val="004F2389"/>
    <w:rsid w:val="004F304D"/>
    <w:rsid w:val="004F4290"/>
    <w:rsid w:val="004F61BE"/>
    <w:rsid w:val="004F66B1"/>
    <w:rsid w:val="00511C07"/>
    <w:rsid w:val="005125CB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30FE6"/>
    <w:rsid w:val="00531DF2"/>
    <w:rsid w:val="0053315C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72DBA"/>
    <w:rsid w:val="0058561A"/>
    <w:rsid w:val="005879A2"/>
    <w:rsid w:val="00592772"/>
    <w:rsid w:val="0059574A"/>
    <w:rsid w:val="005969D4"/>
    <w:rsid w:val="005A1B9B"/>
    <w:rsid w:val="005A2E79"/>
    <w:rsid w:val="005A6751"/>
    <w:rsid w:val="005B092E"/>
    <w:rsid w:val="005B152C"/>
    <w:rsid w:val="005B1EE0"/>
    <w:rsid w:val="005B2B24"/>
    <w:rsid w:val="005B4425"/>
    <w:rsid w:val="005B4B94"/>
    <w:rsid w:val="005C0A78"/>
    <w:rsid w:val="005C3EE8"/>
    <w:rsid w:val="005D2F2A"/>
    <w:rsid w:val="005D34F9"/>
    <w:rsid w:val="005D4190"/>
    <w:rsid w:val="005D67A3"/>
    <w:rsid w:val="005E2988"/>
    <w:rsid w:val="005E3085"/>
    <w:rsid w:val="005F315F"/>
    <w:rsid w:val="005F51E1"/>
    <w:rsid w:val="00611C80"/>
    <w:rsid w:val="00620692"/>
    <w:rsid w:val="006242CA"/>
    <w:rsid w:val="00627507"/>
    <w:rsid w:val="00633717"/>
    <w:rsid w:val="006344E1"/>
    <w:rsid w:val="00643524"/>
    <w:rsid w:val="0064393B"/>
    <w:rsid w:val="006545C4"/>
    <w:rsid w:val="00661971"/>
    <w:rsid w:val="00661CE8"/>
    <w:rsid w:val="006623D9"/>
    <w:rsid w:val="006642A5"/>
    <w:rsid w:val="0066550C"/>
    <w:rsid w:val="00665BD2"/>
    <w:rsid w:val="006716F2"/>
    <w:rsid w:val="00682BF2"/>
    <w:rsid w:val="0068573E"/>
    <w:rsid w:val="006859CE"/>
    <w:rsid w:val="00691270"/>
    <w:rsid w:val="00694BA8"/>
    <w:rsid w:val="006A037C"/>
    <w:rsid w:val="006A36F4"/>
    <w:rsid w:val="006A406F"/>
    <w:rsid w:val="006A5D3A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02ABC"/>
    <w:rsid w:val="007039BF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3366"/>
    <w:rsid w:val="007A716F"/>
    <w:rsid w:val="007B270A"/>
    <w:rsid w:val="007B4182"/>
    <w:rsid w:val="007B612D"/>
    <w:rsid w:val="007C0695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3602"/>
    <w:rsid w:val="008255F5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84EB6"/>
    <w:rsid w:val="00885D49"/>
    <w:rsid w:val="00893576"/>
    <w:rsid w:val="00893E73"/>
    <w:rsid w:val="008B02DC"/>
    <w:rsid w:val="008B092C"/>
    <w:rsid w:val="008B57CE"/>
    <w:rsid w:val="008C26DE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1E5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1670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6D0C"/>
    <w:rsid w:val="00960DBA"/>
    <w:rsid w:val="009630C7"/>
    <w:rsid w:val="00972B55"/>
    <w:rsid w:val="009743B7"/>
    <w:rsid w:val="0098228B"/>
    <w:rsid w:val="009828DA"/>
    <w:rsid w:val="0098410D"/>
    <w:rsid w:val="00985BAB"/>
    <w:rsid w:val="00986B3C"/>
    <w:rsid w:val="009A115C"/>
    <w:rsid w:val="009B1606"/>
    <w:rsid w:val="009B1B5F"/>
    <w:rsid w:val="009B6673"/>
    <w:rsid w:val="009B675A"/>
    <w:rsid w:val="009C191B"/>
    <w:rsid w:val="009C2BD6"/>
    <w:rsid w:val="009E1F32"/>
    <w:rsid w:val="009E2CC2"/>
    <w:rsid w:val="009E776C"/>
    <w:rsid w:val="009F4AE0"/>
    <w:rsid w:val="009F4C8F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3628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2E00"/>
    <w:rsid w:val="00A865D2"/>
    <w:rsid w:val="00A90BCD"/>
    <w:rsid w:val="00A94C20"/>
    <w:rsid w:val="00AA1B09"/>
    <w:rsid w:val="00AA227F"/>
    <w:rsid w:val="00AA3BC7"/>
    <w:rsid w:val="00AA754A"/>
    <w:rsid w:val="00AB099E"/>
    <w:rsid w:val="00AB4328"/>
    <w:rsid w:val="00AB513D"/>
    <w:rsid w:val="00AC4CD4"/>
    <w:rsid w:val="00AC5543"/>
    <w:rsid w:val="00AD4A0F"/>
    <w:rsid w:val="00AE0A2E"/>
    <w:rsid w:val="00AE354C"/>
    <w:rsid w:val="00AF4B07"/>
    <w:rsid w:val="00AF6186"/>
    <w:rsid w:val="00AF7A3A"/>
    <w:rsid w:val="00B02587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55120"/>
    <w:rsid w:val="00B701ED"/>
    <w:rsid w:val="00B748F7"/>
    <w:rsid w:val="00B7697C"/>
    <w:rsid w:val="00B8086C"/>
    <w:rsid w:val="00B81C58"/>
    <w:rsid w:val="00B861B4"/>
    <w:rsid w:val="00B86DFE"/>
    <w:rsid w:val="00B90937"/>
    <w:rsid w:val="00B90990"/>
    <w:rsid w:val="00B922FF"/>
    <w:rsid w:val="00B9281E"/>
    <w:rsid w:val="00B93925"/>
    <w:rsid w:val="00B93A22"/>
    <w:rsid w:val="00B95187"/>
    <w:rsid w:val="00BA2D55"/>
    <w:rsid w:val="00BA71B1"/>
    <w:rsid w:val="00BB0637"/>
    <w:rsid w:val="00BB345F"/>
    <w:rsid w:val="00BB68EA"/>
    <w:rsid w:val="00BC0B99"/>
    <w:rsid w:val="00BC1C27"/>
    <w:rsid w:val="00BC6BBF"/>
    <w:rsid w:val="00BD1572"/>
    <w:rsid w:val="00BE14E3"/>
    <w:rsid w:val="00BE3774"/>
    <w:rsid w:val="00BE41E5"/>
    <w:rsid w:val="00BF118F"/>
    <w:rsid w:val="00BF4109"/>
    <w:rsid w:val="00BF4CC3"/>
    <w:rsid w:val="00BF5D29"/>
    <w:rsid w:val="00C054C7"/>
    <w:rsid w:val="00C057B5"/>
    <w:rsid w:val="00C115C3"/>
    <w:rsid w:val="00C15547"/>
    <w:rsid w:val="00C1672D"/>
    <w:rsid w:val="00C22687"/>
    <w:rsid w:val="00C26A92"/>
    <w:rsid w:val="00C26B1C"/>
    <w:rsid w:val="00C32E4D"/>
    <w:rsid w:val="00C333A0"/>
    <w:rsid w:val="00C3437E"/>
    <w:rsid w:val="00C36A81"/>
    <w:rsid w:val="00C41974"/>
    <w:rsid w:val="00C44A2C"/>
    <w:rsid w:val="00C477F7"/>
    <w:rsid w:val="00C509A6"/>
    <w:rsid w:val="00C53F4A"/>
    <w:rsid w:val="00C54125"/>
    <w:rsid w:val="00C55B54"/>
    <w:rsid w:val="00C6098E"/>
    <w:rsid w:val="00C6152C"/>
    <w:rsid w:val="00C74810"/>
    <w:rsid w:val="00C90D68"/>
    <w:rsid w:val="00C939FE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D00ABB"/>
    <w:rsid w:val="00D02EEC"/>
    <w:rsid w:val="00D03551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64FC"/>
    <w:rsid w:val="00D44C2E"/>
    <w:rsid w:val="00D45414"/>
    <w:rsid w:val="00D50A0A"/>
    <w:rsid w:val="00D53548"/>
    <w:rsid w:val="00D55F14"/>
    <w:rsid w:val="00D566BD"/>
    <w:rsid w:val="00D57A4D"/>
    <w:rsid w:val="00D60AA7"/>
    <w:rsid w:val="00D6435F"/>
    <w:rsid w:val="00D66471"/>
    <w:rsid w:val="00D70641"/>
    <w:rsid w:val="00D74888"/>
    <w:rsid w:val="00D75E28"/>
    <w:rsid w:val="00D772C2"/>
    <w:rsid w:val="00D8008E"/>
    <w:rsid w:val="00D82C45"/>
    <w:rsid w:val="00D8373A"/>
    <w:rsid w:val="00D908A8"/>
    <w:rsid w:val="00D977B6"/>
    <w:rsid w:val="00DA1223"/>
    <w:rsid w:val="00DA4A31"/>
    <w:rsid w:val="00DA7B04"/>
    <w:rsid w:val="00DB36C2"/>
    <w:rsid w:val="00DC169B"/>
    <w:rsid w:val="00DC2AB9"/>
    <w:rsid w:val="00DC471C"/>
    <w:rsid w:val="00DC63F0"/>
    <w:rsid w:val="00DC7D07"/>
    <w:rsid w:val="00DD37EA"/>
    <w:rsid w:val="00DD6EE5"/>
    <w:rsid w:val="00DD7B04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0A5"/>
    <w:rsid w:val="00E32AB1"/>
    <w:rsid w:val="00E36C71"/>
    <w:rsid w:val="00E40404"/>
    <w:rsid w:val="00E4126A"/>
    <w:rsid w:val="00E42A06"/>
    <w:rsid w:val="00E459C6"/>
    <w:rsid w:val="00E47589"/>
    <w:rsid w:val="00E51BDC"/>
    <w:rsid w:val="00E63EC7"/>
    <w:rsid w:val="00E64915"/>
    <w:rsid w:val="00E64D3A"/>
    <w:rsid w:val="00E661D4"/>
    <w:rsid w:val="00E70091"/>
    <w:rsid w:val="00E70D2E"/>
    <w:rsid w:val="00E720F5"/>
    <w:rsid w:val="00E76D47"/>
    <w:rsid w:val="00E827BC"/>
    <w:rsid w:val="00E849F7"/>
    <w:rsid w:val="00E90302"/>
    <w:rsid w:val="00E91D05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4FEC"/>
    <w:rsid w:val="00ED6544"/>
    <w:rsid w:val="00EE0277"/>
    <w:rsid w:val="00EE2899"/>
    <w:rsid w:val="00EE3E00"/>
    <w:rsid w:val="00EE5DD2"/>
    <w:rsid w:val="00EF0D7F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52E98"/>
    <w:rsid w:val="00F56A6F"/>
    <w:rsid w:val="00F5709C"/>
    <w:rsid w:val="00F60B85"/>
    <w:rsid w:val="00F64EF1"/>
    <w:rsid w:val="00F70B31"/>
    <w:rsid w:val="00F7349B"/>
    <w:rsid w:val="00F8765F"/>
    <w:rsid w:val="00F90767"/>
    <w:rsid w:val="00F9263C"/>
    <w:rsid w:val="00F94B96"/>
    <w:rsid w:val="00FA1637"/>
    <w:rsid w:val="00FA685B"/>
    <w:rsid w:val="00FB0C01"/>
    <w:rsid w:val="00FB5934"/>
    <w:rsid w:val="00FC18F2"/>
    <w:rsid w:val="00FC2A17"/>
    <w:rsid w:val="00FC3239"/>
    <w:rsid w:val="00FC38CF"/>
    <w:rsid w:val="00FC39E5"/>
    <w:rsid w:val="00FC3A78"/>
    <w:rsid w:val="00FD1005"/>
    <w:rsid w:val="00FD1F7F"/>
    <w:rsid w:val="00FD6C75"/>
    <w:rsid w:val="00FD7972"/>
    <w:rsid w:val="00FE0401"/>
    <w:rsid w:val="00FE34D2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44D6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iPriority="99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7D37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D3701"/>
    <w:pPr>
      <w:numPr>
        <w:numId w:val="9"/>
      </w:num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D3701"/>
    <w:pPr>
      <w:numPr>
        <w:ilvl w:val="1"/>
        <w:numId w:val="9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D3701"/>
    <w:pPr>
      <w:numPr>
        <w:ilvl w:val="2"/>
        <w:numId w:val="9"/>
      </w:num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D3701"/>
    <w:pPr>
      <w:numPr>
        <w:ilvl w:val="3"/>
        <w:numId w:val="9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D3701"/>
    <w:pPr>
      <w:numPr>
        <w:ilvl w:val="4"/>
        <w:numId w:val="9"/>
      </w:num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D3701"/>
    <w:pPr>
      <w:numPr>
        <w:ilvl w:val="5"/>
        <w:numId w:val="9"/>
      </w:num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D3701"/>
    <w:pPr>
      <w:numPr>
        <w:ilvl w:val="6"/>
        <w:numId w:val="9"/>
      </w:num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D3701"/>
    <w:pPr>
      <w:numPr>
        <w:ilvl w:val="7"/>
        <w:numId w:val="9"/>
      </w:num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D3701"/>
    <w:pPr>
      <w:numPr>
        <w:ilvl w:val="8"/>
        <w:numId w:val="9"/>
      </w:num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D37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D3701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D3701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D3701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7D3701"/>
    <w:pPr>
      <w:jc w:val="both"/>
    </w:pPr>
  </w:style>
  <w:style w:type="character" w:styleId="Pogrubienie">
    <w:name w:val="Strong"/>
    <w:uiPriority w:val="98"/>
    <w:semiHidden/>
    <w:qFormat/>
    <w:rsid w:val="007D3701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D3701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D3701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qFormat/>
    <w:rsid w:val="007D3701"/>
    <w:pPr>
      <w:spacing w:before="120" w:after="120"/>
      <w:ind w:left="425" w:firstLine="142"/>
    </w:pPr>
    <w:rPr>
      <w:sz w:val="20"/>
    </w:rPr>
  </w:style>
  <w:style w:type="paragraph" w:customStyle="1" w:styleId="DecList">
    <w:name w:val="Dec_List"/>
    <w:aliases w:val="_List"/>
    <w:basedOn w:val="JuList"/>
    <w:uiPriority w:val="22"/>
    <w:rsid w:val="007D3701"/>
    <w:pPr>
      <w:numPr>
        <w:numId w:val="0"/>
      </w:numPr>
      <w:ind w:left="284"/>
    </w:pPr>
  </w:style>
  <w:style w:type="paragraph" w:customStyle="1" w:styleId="JuList">
    <w:name w:val="Ju_List"/>
    <w:aliases w:val="_List_1"/>
    <w:basedOn w:val="NormalJustified"/>
    <w:uiPriority w:val="23"/>
    <w:qFormat/>
    <w:rsid w:val="007D3701"/>
    <w:pPr>
      <w:numPr>
        <w:numId w:val="11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7D3701"/>
    <w:pPr>
      <w:numPr>
        <w:ilvl w:val="1"/>
        <w:numId w:val="11"/>
      </w:numPr>
    </w:pPr>
  </w:style>
  <w:style w:type="paragraph" w:customStyle="1" w:styleId="JuListi">
    <w:name w:val="Ju_List_i"/>
    <w:aliases w:val="_List_3"/>
    <w:basedOn w:val="NormalJustified"/>
    <w:uiPriority w:val="23"/>
    <w:rsid w:val="007D3701"/>
    <w:pPr>
      <w:numPr>
        <w:ilvl w:val="2"/>
        <w:numId w:val="11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D3701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D3701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D3701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ormalny"/>
    <w:next w:val="JuPara"/>
    <w:uiPriority w:val="19"/>
    <w:qFormat/>
    <w:rsid w:val="007D3701"/>
    <w:pPr>
      <w:keepNext/>
      <w:keepLines/>
      <w:numPr>
        <w:numId w:val="10"/>
      </w:numPr>
      <w:spacing w:before="100" w:beforeAutospacing="1" w:after="240"/>
      <w:jc w:val="both"/>
      <w:outlineLvl w:val="0"/>
    </w:pPr>
    <w:rPr>
      <w:caps/>
      <w:sz w:val="28"/>
    </w:rPr>
  </w:style>
  <w:style w:type="numbering" w:customStyle="1" w:styleId="ECHRA1StyleBulletedSquare">
    <w:name w:val="ECHR_A1_Style_Bulleted_Square"/>
    <w:basedOn w:val="Bezlisty"/>
    <w:rsid w:val="007D3701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2"/>
    <w:qFormat/>
    <w:rsid w:val="007D3701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7D370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D3701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7D3701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7D3701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D370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D3701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ormalny"/>
    <w:next w:val="JuPara"/>
    <w:uiPriority w:val="19"/>
    <w:qFormat/>
    <w:rsid w:val="007D3701"/>
    <w:pPr>
      <w:keepNext/>
      <w:keepLines/>
      <w:numPr>
        <w:ilvl w:val="1"/>
        <w:numId w:val="10"/>
      </w:numPr>
      <w:spacing w:before="100" w:beforeAutospacing="1" w:after="240"/>
      <w:jc w:val="both"/>
      <w:outlineLvl w:val="1"/>
    </w:pPr>
    <w:rPr>
      <w:caps/>
    </w:rPr>
  </w:style>
  <w:style w:type="paragraph" w:customStyle="1" w:styleId="JuHA">
    <w:name w:val="Ju_H_A"/>
    <w:aliases w:val="_Head_3"/>
    <w:basedOn w:val="Normalny"/>
    <w:next w:val="JuPara"/>
    <w:uiPriority w:val="19"/>
    <w:qFormat/>
    <w:rsid w:val="007D3701"/>
    <w:pPr>
      <w:keepNext/>
      <w:keepLines/>
      <w:numPr>
        <w:ilvl w:val="2"/>
        <w:numId w:val="10"/>
      </w:numPr>
      <w:spacing w:before="100" w:beforeAutospacing="1" w:after="240"/>
      <w:jc w:val="both"/>
      <w:outlineLvl w:val="2"/>
    </w:pPr>
    <w:rPr>
      <w:b/>
    </w:rPr>
  </w:style>
  <w:style w:type="paragraph" w:customStyle="1" w:styleId="JuH1">
    <w:name w:val="Ju_H_1."/>
    <w:aliases w:val="_Head_4"/>
    <w:basedOn w:val="Normalny"/>
    <w:next w:val="JuPara"/>
    <w:uiPriority w:val="19"/>
    <w:rsid w:val="007D3701"/>
    <w:pPr>
      <w:keepNext/>
      <w:keepLines/>
      <w:numPr>
        <w:ilvl w:val="3"/>
        <w:numId w:val="10"/>
      </w:numPr>
      <w:spacing w:before="100" w:beforeAutospacing="1" w:after="120"/>
      <w:jc w:val="both"/>
      <w:outlineLvl w:val="3"/>
    </w:pPr>
    <w:rPr>
      <w:i/>
    </w:rPr>
  </w:style>
  <w:style w:type="paragraph" w:styleId="Nagwek">
    <w:name w:val="header"/>
    <w:basedOn w:val="Normalny"/>
    <w:link w:val="NagwekZnak"/>
    <w:uiPriority w:val="98"/>
    <w:semiHidden/>
    <w:rsid w:val="007D37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D3701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D3701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ormalny"/>
    <w:next w:val="JuPara"/>
    <w:uiPriority w:val="19"/>
    <w:rsid w:val="007D3701"/>
    <w:pPr>
      <w:keepNext/>
      <w:keepLines/>
      <w:numPr>
        <w:ilvl w:val="4"/>
        <w:numId w:val="10"/>
      </w:numPr>
      <w:spacing w:before="100" w:beforeAutospacing="1" w:after="120"/>
      <w:jc w:val="both"/>
      <w:outlineLvl w:val="4"/>
    </w:pPr>
    <w:rPr>
      <w:b/>
      <w:sz w:val="20"/>
    </w:rPr>
  </w:style>
  <w:style w:type="paragraph" w:customStyle="1" w:styleId="JuHi">
    <w:name w:val="Ju_H_i"/>
    <w:aliases w:val="_Head_6"/>
    <w:basedOn w:val="Normalny"/>
    <w:next w:val="JuPara"/>
    <w:uiPriority w:val="19"/>
    <w:rsid w:val="007D3701"/>
    <w:pPr>
      <w:keepNext/>
      <w:keepLines/>
      <w:numPr>
        <w:ilvl w:val="5"/>
        <w:numId w:val="10"/>
      </w:numPr>
      <w:spacing w:before="100" w:beforeAutospacing="1" w:after="120"/>
      <w:jc w:val="both"/>
      <w:outlineLvl w:val="5"/>
    </w:pPr>
    <w:rPr>
      <w:i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D3701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ormalny"/>
    <w:next w:val="JuPara"/>
    <w:uiPriority w:val="19"/>
    <w:rsid w:val="007D3701"/>
    <w:pPr>
      <w:keepNext/>
      <w:keepLines/>
      <w:numPr>
        <w:ilvl w:val="6"/>
        <w:numId w:val="10"/>
      </w:numPr>
      <w:spacing w:before="100" w:beforeAutospacing="1" w:after="120"/>
      <w:jc w:val="both"/>
      <w:outlineLvl w:val="6"/>
    </w:pPr>
    <w:rPr>
      <w:sz w:val="20"/>
    </w:rPr>
  </w:style>
  <w:style w:type="paragraph" w:customStyle="1" w:styleId="JuH">
    <w:name w:val="Ju_H_–"/>
    <w:aliases w:val="_Head_8"/>
    <w:basedOn w:val="Normalny"/>
    <w:next w:val="JuPara"/>
    <w:uiPriority w:val="19"/>
    <w:rsid w:val="007D3701"/>
    <w:pPr>
      <w:keepNext/>
      <w:keepLines/>
      <w:numPr>
        <w:ilvl w:val="7"/>
        <w:numId w:val="10"/>
      </w:numPr>
      <w:spacing w:before="100" w:beforeAutospacing="1" w:after="120"/>
      <w:jc w:val="both"/>
      <w:outlineLvl w:val="7"/>
    </w:pPr>
    <w:rPr>
      <w:i/>
      <w:sz w:val="20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D3701"/>
    <w:rPr>
      <w:rFonts w:asciiTheme="majorHAnsi" w:eastAsiaTheme="majorEastAsia" w:hAnsiTheme="majorHAnsi" w:cstheme="majorBidi"/>
      <w:b/>
      <w:bCs/>
      <w:color w:val="5F5F5F"/>
      <w:sz w:val="24"/>
      <w:szCs w:val="24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D3701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1"/>
    <w:qFormat/>
    <w:rsid w:val="007D3701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D3701"/>
    <w:rPr>
      <w:rFonts w:asciiTheme="majorHAnsi" w:eastAsiaTheme="majorEastAsia" w:hAnsiTheme="majorHAnsi" w:cstheme="majorBidi"/>
      <w:b/>
      <w:bCs/>
      <w:i/>
      <w:iCs/>
      <w:color w:val="777777"/>
      <w:sz w:val="24"/>
      <w:szCs w:val="24"/>
      <w:lang w:val="pl-PL"/>
    </w:rPr>
  </w:style>
  <w:style w:type="paragraph" w:customStyle="1" w:styleId="JuInitialled">
    <w:name w:val="Ju_Initialled"/>
    <w:aliases w:val="_Right"/>
    <w:basedOn w:val="Normalny"/>
    <w:uiPriority w:val="31"/>
    <w:qFormat/>
    <w:rsid w:val="007D3701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D3701"/>
    <w:rPr>
      <w:rFonts w:asciiTheme="majorHAnsi" w:eastAsiaTheme="majorEastAsia" w:hAnsiTheme="majorHAnsi" w:cstheme="majorBidi"/>
      <w:b/>
      <w:bCs/>
      <w:color w:val="808080"/>
      <w:sz w:val="24"/>
      <w:szCs w:val="24"/>
      <w:lang w:val="pl-PL"/>
    </w:rPr>
  </w:style>
  <w:style w:type="character" w:customStyle="1" w:styleId="JuITMark">
    <w:name w:val="Ju_ITMark"/>
    <w:aliases w:val="_ITMark"/>
    <w:basedOn w:val="Domylnaczcionkaakapitu"/>
    <w:uiPriority w:val="43"/>
    <w:qFormat/>
    <w:rsid w:val="007D3701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7D3701"/>
    <w:rPr>
      <w:caps w:val="0"/>
      <w:smallCaps/>
    </w:rPr>
  </w:style>
  <w:style w:type="character" w:styleId="Wyrnieniedelikatne">
    <w:name w:val="Subtle Emphasis"/>
    <w:uiPriority w:val="98"/>
    <w:semiHidden/>
    <w:qFormat/>
    <w:rsid w:val="007D3701"/>
    <w:rPr>
      <w:i/>
      <w:iCs/>
    </w:rPr>
  </w:style>
  <w:style w:type="table" w:customStyle="1" w:styleId="ECHRTable">
    <w:name w:val="ECHR_Table"/>
    <w:basedOn w:val="Standardowy"/>
    <w:rsid w:val="007D3701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D3701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7D370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D3701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D3701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7D370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D370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D3701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D3701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D3701"/>
    <w:rPr>
      <w:rFonts w:asciiTheme="majorHAnsi" w:eastAsiaTheme="majorEastAsia" w:hAnsiTheme="majorHAnsi" w:cstheme="majorBidi"/>
      <w:i/>
      <w:iCs/>
      <w:sz w:val="24"/>
      <w:szCs w:val="24"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D3701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D3701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7D3701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7D370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D370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D3701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D3701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D3701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D3701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D3701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D3701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D3701"/>
    <w:rPr>
      <w:smallCaps/>
    </w:rPr>
  </w:style>
  <w:style w:type="table" w:styleId="Tabela-Siatka">
    <w:name w:val="Table Grid"/>
    <w:basedOn w:val="Standardowy"/>
    <w:uiPriority w:val="59"/>
    <w:semiHidden/>
    <w:rsid w:val="007D3701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D3701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D3701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D3701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D3701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D3701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D3701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D3701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D3701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D3701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7D3701"/>
    <w:pPr>
      <w:numPr>
        <w:numId w:val="1"/>
      </w:numPr>
    </w:pPr>
  </w:style>
  <w:style w:type="paragraph" w:customStyle="1" w:styleId="JuPara">
    <w:name w:val="Ju_Para"/>
    <w:aliases w:val="_Para,ECHR_Para,Para,N_Para,Left,First line:  0 cm,Normal + TimesNewRomanPSMT,10 pt,Left:  1,27 cm,Line spacing:  1.5 l...,Ju_Para + Interligne : Double"/>
    <w:basedOn w:val="NormalJustified"/>
    <w:link w:val="JuParaChar"/>
    <w:uiPriority w:val="99"/>
    <w:qFormat/>
    <w:rsid w:val="007D3701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7D3701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7D3701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D3701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7D3701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7D3701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D3701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7D3701"/>
  </w:style>
  <w:style w:type="paragraph" w:styleId="Tekstblokowy">
    <w:name w:val="Block Text"/>
    <w:basedOn w:val="Normalny"/>
    <w:uiPriority w:val="98"/>
    <w:semiHidden/>
    <w:rsid w:val="007D3701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7D3701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7D370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D3701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7D3701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7D3701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7D3701"/>
    <w:pPr>
      <w:ind w:firstLine="284"/>
    </w:pPr>
    <w:rPr>
      <w:b/>
    </w:rPr>
  </w:style>
  <w:style w:type="character" w:styleId="Numerstrony">
    <w:name w:val="page number"/>
    <w:uiPriority w:val="99"/>
    <w:semiHidden/>
    <w:rsid w:val="007D3701"/>
    <w:rPr>
      <w:sz w:val="18"/>
    </w:rPr>
  </w:style>
  <w:style w:type="paragraph" w:styleId="Listapunktowana">
    <w:name w:val="List Bullet"/>
    <w:basedOn w:val="Normalny"/>
    <w:uiPriority w:val="99"/>
    <w:semiHidden/>
    <w:rsid w:val="007D3701"/>
    <w:pPr>
      <w:numPr>
        <w:numId w:val="12"/>
      </w:numPr>
    </w:pPr>
  </w:style>
  <w:style w:type="paragraph" w:styleId="Listapunktowana3">
    <w:name w:val="List Bullet 3"/>
    <w:basedOn w:val="Normalny"/>
    <w:uiPriority w:val="98"/>
    <w:semiHidden/>
    <w:rsid w:val="007D3701"/>
    <w:pPr>
      <w:numPr>
        <w:numId w:val="14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D3701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D370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D3701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D3701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D3701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D37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D3701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D3701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D3701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D370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D3701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D370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D3701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D3701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D3701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D3701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7D37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D370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D3701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D37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D3701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D3701"/>
  </w:style>
  <w:style w:type="character" w:customStyle="1" w:styleId="DataZnak">
    <w:name w:val="Data Znak"/>
    <w:basedOn w:val="Domylnaczcionkaakapitu"/>
    <w:link w:val="Data"/>
    <w:uiPriority w:val="98"/>
    <w:semiHidden/>
    <w:rsid w:val="007D3701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D3701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D3701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D3701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D3701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D370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D370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D3701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D3701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D3701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D3701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D3701"/>
  </w:style>
  <w:style w:type="paragraph" w:styleId="HTML-adres">
    <w:name w:val="HTML Address"/>
    <w:basedOn w:val="Normalny"/>
    <w:link w:val="HTML-adresZnak"/>
    <w:uiPriority w:val="98"/>
    <w:semiHidden/>
    <w:rsid w:val="007D3701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D3701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D3701"/>
    <w:rPr>
      <w:i/>
      <w:iCs/>
    </w:rPr>
  </w:style>
  <w:style w:type="character" w:styleId="HTML-kod">
    <w:name w:val="HTML Code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D3701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D3701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D3701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D3701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D3701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D3701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D3701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D3701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D3701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D3701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D3701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D3701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D3701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D3701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D3701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D3701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D3701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D3701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D3701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D3701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D3701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D3701"/>
  </w:style>
  <w:style w:type="paragraph" w:styleId="Lista">
    <w:name w:val="List"/>
    <w:basedOn w:val="Normalny"/>
    <w:uiPriority w:val="98"/>
    <w:semiHidden/>
    <w:rsid w:val="007D3701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D3701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D3701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D3701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D3701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D3701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D3701"/>
    <w:pPr>
      <w:numPr>
        <w:numId w:val="15"/>
      </w:numPr>
      <w:contextualSpacing/>
    </w:pPr>
  </w:style>
  <w:style w:type="paragraph" w:styleId="Listapunktowana5">
    <w:name w:val="List Bullet 5"/>
    <w:basedOn w:val="Normalny"/>
    <w:uiPriority w:val="98"/>
    <w:semiHidden/>
    <w:rsid w:val="007D3701"/>
    <w:pPr>
      <w:numPr>
        <w:numId w:val="16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D3701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D3701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D3701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D3701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D3701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D3701"/>
    <w:pPr>
      <w:numPr>
        <w:numId w:val="17"/>
      </w:numPr>
      <w:contextualSpacing/>
    </w:pPr>
  </w:style>
  <w:style w:type="paragraph" w:styleId="Listanumerowana2">
    <w:name w:val="List Number 2"/>
    <w:basedOn w:val="Normalny"/>
    <w:uiPriority w:val="98"/>
    <w:semiHidden/>
    <w:rsid w:val="007D3701"/>
    <w:pPr>
      <w:numPr>
        <w:numId w:val="18"/>
      </w:numPr>
      <w:contextualSpacing/>
    </w:pPr>
  </w:style>
  <w:style w:type="paragraph" w:styleId="Listanumerowana3">
    <w:name w:val="List Number 3"/>
    <w:basedOn w:val="Normalny"/>
    <w:uiPriority w:val="98"/>
    <w:semiHidden/>
    <w:rsid w:val="007D3701"/>
    <w:pPr>
      <w:numPr>
        <w:numId w:val="19"/>
      </w:numPr>
      <w:contextualSpacing/>
    </w:pPr>
  </w:style>
  <w:style w:type="paragraph" w:styleId="Listanumerowana4">
    <w:name w:val="List Number 4"/>
    <w:basedOn w:val="Normalny"/>
    <w:uiPriority w:val="98"/>
    <w:semiHidden/>
    <w:rsid w:val="007D3701"/>
    <w:pPr>
      <w:numPr>
        <w:numId w:val="20"/>
      </w:numPr>
      <w:contextualSpacing/>
    </w:pPr>
  </w:style>
  <w:style w:type="paragraph" w:styleId="Listanumerowana5">
    <w:name w:val="List Number 5"/>
    <w:basedOn w:val="Normalny"/>
    <w:uiPriority w:val="98"/>
    <w:semiHidden/>
    <w:rsid w:val="007D3701"/>
    <w:pPr>
      <w:numPr>
        <w:numId w:val="21"/>
      </w:numPr>
      <w:contextualSpacing/>
    </w:pPr>
  </w:style>
  <w:style w:type="paragraph" w:styleId="Tekstmakra">
    <w:name w:val="macro"/>
    <w:link w:val="TekstmakraZnak"/>
    <w:uiPriority w:val="98"/>
    <w:semiHidden/>
    <w:rsid w:val="007D370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D3701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D370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D3701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D3701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D3701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D3701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D3701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D3701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7D3701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D3701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D3701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D3701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D3701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D3701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D3701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D3701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D3701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D3701"/>
  </w:style>
  <w:style w:type="table" w:styleId="Tabela-Profesjonalny">
    <w:name w:val="Table Professional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D3701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D3701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7D3701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D3701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D3701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D3701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D3701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D3701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D3701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D3701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D3701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D3701"/>
    <w:pPr>
      <w:contextualSpacing/>
      <w:jc w:val="center"/>
    </w:pPr>
    <w:rPr>
      <w:rFonts w:ascii="Arial" w:hAnsi="Arial"/>
      <w:i/>
      <w:color w:val="0072BC" w:themeColor="accent1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D3701"/>
    <w:rPr>
      <w:rFonts w:ascii="Arial" w:hAnsi="Arial"/>
      <w:i/>
      <w:color w:val="0072BC" w:themeColor="accent1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D3701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D3701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D3701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next w:val="Normalny"/>
    <w:uiPriority w:val="19"/>
    <w:semiHidden/>
    <w:rsid w:val="007D3701"/>
    <w:pPr>
      <w:numPr>
        <w:numId w:val="10"/>
      </w:numPr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D3701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D3701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D3701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D3701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D3701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D3701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D3701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D3701"/>
    <w:rPr>
      <w:sz w:val="4"/>
    </w:rPr>
  </w:style>
  <w:style w:type="table" w:customStyle="1" w:styleId="ECHRTable2">
    <w:name w:val="ECHR_Table_2"/>
    <w:basedOn w:val="Standardowy"/>
    <w:uiPriority w:val="99"/>
    <w:rsid w:val="007D3701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D370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D3701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D370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D370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D3701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D3701"/>
    <w:pPr>
      <w:outlineLvl w:val="0"/>
    </w:pPr>
  </w:style>
  <w:style w:type="character" w:customStyle="1" w:styleId="JuParaChar">
    <w:name w:val="Ju_Para Char"/>
    <w:aliases w:val="_Para Char,ECHR_Para Char"/>
    <w:link w:val="JuPara"/>
    <w:uiPriority w:val="99"/>
    <w:rsid w:val="00DC7D07"/>
    <w:rPr>
      <w:sz w:val="24"/>
      <w:szCs w:val="24"/>
      <w:lang w:val="pl-PL"/>
    </w:rPr>
  </w:style>
  <w:style w:type="paragraph" w:customStyle="1" w:styleId="jupara0">
    <w:name w:val="jupara"/>
    <w:basedOn w:val="Normalny"/>
    <w:rsid w:val="002E31B6"/>
    <w:pPr>
      <w:ind w:firstLine="284"/>
      <w:jc w:val="both"/>
    </w:pPr>
    <w:rPr>
      <w:rFonts w:ascii="Times New Roman" w:eastAsia="Times New Roman" w:hAnsi="Times New Roman" w:cs="Times New Roman"/>
      <w:lang w:eastAsia="en-GB"/>
    </w:rPr>
  </w:style>
  <w:style w:type="paragraph" w:customStyle="1" w:styleId="jucase0">
    <w:name w:val="jucase"/>
    <w:basedOn w:val="Normalny"/>
    <w:rsid w:val="002E31B6"/>
    <w:pPr>
      <w:ind w:firstLine="284"/>
      <w:jc w:val="both"/>
    </w:pPr>
    <w:rPr>
      <w:rFonts w:ascii="Times New Roman" w:eastAsia="Times New Roman" w:hAnsi="Times New Roman" w:cs="Times New Roman"/>
      <w:b/>
      <w:bCs/>
      <w:lang w:eastAsia="en-GB"/>
    </w:rPr>
  </w:style>
  <w:style w:type="paragraph" w:customStyle="1" w:styleId="s50c0b1c7">
    <w:name w:val="s50c0b1c7"/>
    <w:basedOn w:val="Normalny"/>
    <w:uiPriority w:val="99"/>
    <w:rsid w:val="00DD7B0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s3aeeab2">
    <w:name w:val="s3aeeab2"/>
    <w:basedOn w:val="Domylnaczcionkaakapitu"/>
    <w:uiPriority w:val="99"/>
    <w:rsid w:val="00DD7B04"/>
  </w:style>
  <w:style w:type="character" w:customStyle="1" w:styleId="sfbbfee58">
    <w:name w:val="sfbbfee58"/>
    <w:basedOn w:val="Domylnaczcionkaakapitu"/>
    <w:rsid w:val="00DD7B04"/>
  </w:style>
  <w:style w:type="character" w:customStyle="1" w:styleId="s4f807e54">
    <w:name w:val="s4f807e54"/>
    <w:uiPriority w:val="99"/>
    <w:rsid w:val="00F70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25846-0C79-4F67-B02E-EDAF7E9D4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2747</Words>
  <Characters>16483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2022-08-12T11:30:00Z</dcterms:created>
  <dcterms:modified xsi:type="dcterms:W3CDTF">2023-10-31T14:26:00Z</dcterms:modified>
  <cp:category/>
</cp:coreProperties>
</file>