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7010D" w14:textId="77777777" w:rsidR="00482591" w:rsidRPr="00A95002" w:rsidRDefault="00482591" w:rsidP="00482591">
      <w:pPr>
        <w:jc w:val="center"/>
        <w:rPr>
          <w:sz w:val="20"/>
          <w:szCs w:val="20"/>
          <w:lang w:val="pl-PL"/>
        </w:rPr>
      </w:pPr>
      <w:r w:rsidRPr="00A95002">
        <w:rPr>
          <w:rStyle w:val="s4f807e54"/>
          <w:rFonts w:ascii="Arial" w:hAnsi="Arial" w:cs="Arial"/>
          <w:sz w:val="20"/>
          <w:szCs w:val="20"/>
          <w:lang w:val="pl-PL" w:eastAsia="pl-PL"/>
        </w:rPr>
        <w:t xml:space="preserve">© Copyright for the </w:t>
      </w:r>
      <w:proofErr w:type="spellStart"/>
      <w:r w:rsidRPr="00A95002">
        <w:rPr>
          <w:rStyle w:val="s4f807e54"/>
          <w:rFonts w:ascii="Arial" w:hAnsi="Arial" w:cs="Arial"/>
          <w:sz w:val="20"/>
          <w:szCs w:val="20"/>
          <w:lang w:val="pl-PL" w:eastAsia="pl-PL"/>
        </w:rPr>
        <w:t>Polish</w:t>
      </w:r>
      <w:proofErr w:type="spellEnd"/>
      <w:r w:rsidRPr="00A95002">
        <w:rPr>
          <w:rStyle w:val="s4f807e54"/>
          <w:rFonts w:ascii="Arial" w:hAnsi="Arial" w:cs="Arial"/>
          <w:sz w:val="20"/>
          <w:szCs w:val="20"/>
          <w:lang w:val="pl-PL" w:eastAsia="pl-PL"/>
        </w:rPr>
        <w:t xml:space="preserve"> </w:t>
      </w:r>
      <w:proofErr w:type="spellStart"/>
      <w:r w:rsidRPr="00A95002">
        <w:rPr>
          <w:rStyle w:val="s4f807e54"/>
          <w:rFonts w:ascii="Arial" w:hAnsi="Arial" w:cs="Arial"/>
          <w:sz w:val="20"/>
          <w:szCs w:val="20"/>
          <w:lang w:val="pl-PL" w:eastAsia="pl-PL"/>
        </w:rPr>
        <w:t>translation</w:t>
      </w:r>
      <w:proofErr w:type="spellEnd"/>
      <w:r w:rsidRPr="00A95002">
        <w:rPr>
          <w:rStyle w:val="s4f807e54"/>
          <w:rFonts w:ascii="Arial" w:hAnsi="Arial" w:cs="Arial"/>
          <w:sz w:val="20"/>
          <w:szCs w:val="20"/>
          <w:lang w:val="pl-PL" w:eastAsia="pl-PL"/>
        </w:rPr>
        <w:t xml:space="preserve"> by Naczelny Sąd Administracyjny, </w:t>
      </w:r>
      <w:r w:rsidRPr="00A95002">
        <w:rPr>
          <w:rStyle w:val="s4f807e54"/>
          <w:rFonts w:ascii="Arial" w:hAnsi="Arial" w:cs="Arial"/>
          <w:sz w:val="20"/>
          <w:szCs w:val="20"/>
          <w:lang w:val="pl-PL" w:eastAsia="pl-PL"/>
        </w:rPr>
        <w:br/>
        <w:t xml:space="preserve">Warszawa </w:t>
      </w:r>
      <w:r w:rsidRPr="00482591">
        <w:rPr>
          <w:rStyle w:val="s4f807e54"/>
          <w:rFonts w:ascii="Arial" w:hAnsi="Arial" w:cs="Arial"/>
          <w:sz w:val="20"/>
          <w:szCs w:val="20"/>
          <w:lang w:val="pl-PL" w:eastAsia="pl-PL"/>
        </w:rPr>
        <w:t>2022</w:t>
      </w:r>
    </w:p>
    <w:p w14:paraId="41F63BAF" w14:textId="7C177F99" w:rsidR="00654DD5" w:rsidRPr="006B794F" w:rsidRDefault="00654DD5" w:rsidP="00695BDC">
      <w:pPr>
        <w:pStyle w:val="s85226119"/>
        <w:spacing w:before="0" w:beforeAutospacing="0" w:after="0" w:afterAutospacing="0"/>
        <w:jc w:val="both"/>
        <w:rPr>
          <w:rFonts w:asciiTheme="minorHAnsi" w:hAnsiTheme="minorHAnsi" w:cstheme="minorHAnsi"/>
          <w:color w:val="000000"/>
          <w:sz w:val="20"/>
          <w:szCs w:val="20"/>
        </w:rPr>
      </w:pPr>
    </w:p>
    <w:p w14:paraId="1E5C70F5" w14:textId="77777777" w:rsidR="007A4070" w:rsidRPr="006B794F" w:rsidRDefault="007A4070" w:rsidP="00695BDC">
      <w:pPr>
        <w:jc w:val="center"/>
        <w:rPr>
          <w:lang w:val="pl-PL"/>
        </w:rPr>
      </w:pPr>
    </w:p>
    <w:p w14:paraId="5B662C50" w14:textId="77777777" w:rsidR="0040154D" w:rsidRPr="006B794F" w:rsidRDefault="0040154D" w:rsidP="00695BDC">
      <w:pPr>
        <w:jc w:val="center"/>
        <w:rPr>
          <w:lang w:val="pl-PL"/>
        </w:rPr>
      </w:pPr>
    </w:p>
    <w:p w14:paraId="79BED393" w14:textId="77777777" w:rsidR="007A4070" w:rsidRPr="006B794F" w:rsidRDefault="00000000" w:rsidP="00695BDC">
      <w:pPr>
        <w:pStyle w:val="DecHCase"/>
        <w:rPr>
          <w:lang w:val="pl-PL"/>
        </w:rPr>
      </w:pPr>
      <w:r w:rsidRPr="006B794F">
        <w:rPr>
          <w:lang w:val="pl-PL"/>
        </w:rPr>
        <w:t>SEKCJA CZWARTA</w:t>
      </w:r>
    </w:p>
    <w:p w14:paraId="28C7986D" w14:textId="77777777" w:rsidR="007A4070" w:rsidRPr="006B794F" w:rsidRDefault="00000000" w:rsidP="00695BDC">
      <w:pPr>
        <w:pStyle w:val="JuTitle"/>
        <w:spacing w:before="1200"/>
        <w:rPr>
          <w:lang w:val="pl-PL"/>
        </w:rPr>
      </w:pPr>
      <w:r w:rsidRPr="006B794F">
        <w:rPr>
          <w:bCs/>
          <w:lang w:val="pl-PL"/>
        </w:rPr>
        <w:t>Sprawa CAMELIA BOGDAN przeciwko Rumunii</w:t>
      </w:r>
    </w:p>
    <w:p w14:paraId="0C2F6857" w14:textId="77777777" w:rsidR="007A4070" w:rsidRPr="006B794F" w:rsidRDefault="00000000" w:rsidP="00695BDC">
      <w:pPr>
        <w:pStyle w:val="ECHRCoverTitle4"/>
        <w:rPr>
          <w:lang w:val="pl-PL"/>
        </w:rPr>
      </w:pPr>
      <w:r w:rsidRPr="006B794F">
        <w:rPr>
          <w:iCs/>
          <w:lang w:val="pl-PL"/>
        </w:rPr>
        <w:t>(Skarga nr 36889/18)</w:t>
      </w:r>
    </w:p>
    <w:p w14:paraId="11C283D0" w14:textId="77777777" w:rsidR="007A4070" w:rsidRPr="006B794F" w:rsidRDefault="007A4070" w:rsidP="00695BDC">
      <w:pPr>
        <w:pStyle w:val="DecHCase"/>
        <w:rPr>
          <w:lang w:val="pl-PL"/>
        </w:rPr>
      </w:pPr>
    </w:p>
    <w:p w14:paraId="6E476A7F" w14:textId="77777777" w:rsidR="00A9072B" w:rsidRDefault="00000000" w:rsidP="00695BDC">
      <w:pPr>
        <w:pStyle w:val="DecHCase"/>
        <w:spacing w:after="120"/>
        <w:rPr>
          <w:lang w:val="pl-PL"/>
        </w:rPr>
      </w:pPr>
      <w:r w:rsidRPr="006B794F">
        <w:rPr>
          <w:lang w:val="pl-PL"/>
        </w:rPr>
        <w:t>WYROK</w:t>
      </w:r>
      <w:r w:rsidRPr="006B794F">
        <w:rPr>
          <w:lang w:val="pl-PL"/>
        </w:rPr>
        <w:br/>
        <w:t>[wyciąg]</w:t>
      </w:r>
    </w:p>
    <w:p w14:paraId="083248D7" w14:textId="77777777" w:rsidR="00482591" w:rsidRPr="00482591" w:rsidRDefault="00482591" w:rsidP="00482591">
      <w:pPr>
        <w:pStyle w:val="JuPara"/>
        <w:rPr>
          <w:lang w:val="pl-PL"/>
        </w:rPr>
      </w:pPr>
    </w:p>
    <w:p w14:paraId="44CD8339" w14:textId="18234A1D" w:rsidR="0040154D" w:rsidRPr="006B794F" w:rsidRDefault="00000000" w:rsidP="00695BDC">
      <w:pPr>
        <w:pStyle w:val="DecHCase"/>
        <w:pBdr>
          <w:top w:val="single" w:sz="4" w:space="1" w:color="auto"/>
          <w:left w:val="single" w:sz="4" w:space="4" w:color="auto"/>
          <w:bottom w:val="single" w:sz="4" w:space="1" w:color="auto"/>
          <w:right w:val="single" w:sz="4" w:space="4" w:color="auto"/>
        </w:pBdr>
        <w:jc w:val="both"/>
        <w:rPr>
          <w:lang w:val="pl-PL"/>
        </w:rPr>
      </w:pPr>
      <w:r w:rsidRPr="006B794F">
        <w:rPr>
          <w:lang w:val="pl-PL"/>
        </w:rPr>
        <w:t xml:space="preserve">Art. 6 </w:t>
      </w:r>
      <w:r w:rsidR="002A440F" w:rsidRPr="006B794F">
        <w:rPr>
          <w:lang w:val="pl-PL"/>
        </w:rPr>
        <w:t>ust.</w:t>
      </w:r>
      <w:r w:rsidRPr="006B794F">
        <w:rPr>
          <w:lang w:val="pl-PL"/>
        </w:rPr>
        <w:t xml:space="preserve"> 1 - Dostęp do sądu - Brak możliwości zakwestionowania automatycznego zawieszenia sędziego w czynnościach służbowych i</w:t>
      </w:r>
      <w:r w:rsidR="00265848" w:rsidRPr="006B794F">
        <w:rPr>
          <w:lang w:val="pl-PL"/>
        </w:rPr>
        <w:t> </w:t>
      </w:r>
      <w:r w:rsidRPr="006B794F">
        <w:rPr>
          <w:lang w:val="pl-PL"/>
        </w:rPr>
        <w:t>wynagrodzeniu podczas rozpatrywania jego odwołania od wy</w:t>
      </w:r>
      <w:r w:rsidR="002A440F" w:rsidRPr="006B794F">
        <w:rPr>
          <w:lang w:val="pl-PL"/>
        </w:rPr>
        <w:t>kluczenia</w:t>
      </w:r>
      <w:r w:rsidRPr="006B794F">
        <w:rPr>
          <w:lang w:val="pl-PL"/>
        </w:rPr>
        <w:t xml:space="preserve"> z</w:t>
      </w:r>
      <w:r w:rsidR="00265848" w:rsidRPr="006B794F">
        <w:rPr>
          <w:lang w:val="pl-PL"/>
        </w:rPr>
        <w:t> </w:t>
      </w:r>
      <w:r w:rsidR="002A440F" w:rsidRPr="006B794F">
        <w:rPr>
          <w:lang w:val="pl-PL"/>
        </w:rPr>
        <w:t xml:space="preserve">pełnienia </w:t>
      </w:r>
      <w:r w:rsidRPr="006B794F">
        <w:rPr>
          <w:lang w:val="pl-PL"/>
        </w:rPr>
        <w:t>funkcji sędziego</w:t>
      </w:r>
    </w:p>
    <w:p w14:paraId="1B2FE991" w14:textId="77777777" w:rsidR="007A4070" w:rsidRPr="006B794F" w:rsidRDefault="00000000" w:rsidP="00695BDC">
      <w:pPr>
        <w:pStyle w:val="DecHCase"/>
        <w:rPr>
          <w:lang w:val="pl-PL"/>
        </w:rPr>
      </w:pPr>
      <w:r w:rsidRPr="006B794F">
        <w:rPr>
          <w:lang w:val="pl-PL"/>
        </w:rPr>
        <w:t>STRASBOURG</w:t>
      </w:r>
    </w:p>
    <w:p w14:paraId="18201A92" w14:textId="77777777" w:rsidR="007A4070" w:rsidRPr="006B794F" w:rsidRDefault="00000000" w:rsidP="00695BDC">
      <w:pPr>
        <w:pStyle w:val="DecHCase"/>
        <w:rPr>
          <w:lang w:val="pl-PL"/>
        </w:rPr>
      </w:pPr>
      <w:r w:rsidRPr="006B794F">
        <w:rPr>
          <w:lang w:val="pl-PL"/>
        </w:rPr>
        <w:t>20 października 2020 r.</w:t>
      </w:r>
    </w:p>
    <w:p w14:paraId="22A8240A" w14:textId="77777777" w:rsidR="00516B59" w:rsidRPr="006B794F" w:rsidRDefault="00516B59" w:rsidP="00695BDC">
      <w:pPr>
        <w:rPr>
          <w:i/>
          <w:sz w:val="22"/>
          <w:lang w:val="pl-PL"/>
        </w:rPr>
      </w:pPr>
    </w:p>
    <w:p w14:paraId="277B54AC" w14:textId="77777777" w:rsidR="007C1FCE" w:rsidRPr="006B794F" w:rsidRDefault="00000000" w:rsidP="00695BDC">
      <w:pPr>
        <w:pStyle w:val="jucase0"/>
        <w:ind w:firstLine="0"/>
        <w:jc w:val="center"/>
        <w:rPr>
          <w:color w:val="FF0000"/>
          <w:sz w:val="28"/>
          <w:szCs w:val="28"/>
          <w:u w:val="single"/>
          <w:lang w:val="pl-PL"/>
        </w:rPr>
      </w:pPr>
      <w:r w:rsidRPr="006B794F">
        <w:rPr>
          <w:color w:val="FF0000"/>
          <w:sz w:val="28"/>
          <w:szCs w:val="28"/>
          <w:u w:val="single"/>
          <w:lang w:val="pl-PL"/>
        </w:rPr>
        <w:t>OSTATECZNY</w:t>
      </w:r>
    </w:p>
    <w:p w14:paraId="416C1770" w14:textId="77777777" w:rsidR="007C1FCE" w:rsidRPr="006B794F" w:rsidRDefault="007C1FCE" w:rsidP="00695BDC">
      <w:pPr>
        <w:pStyle w:val="jucase0"/>
        <w:ind w:firstLine="0"/>
        <w:jc w:val="center"/>
        <w:rPr>
          <w:b w:val="0"/>
          <w:bCs w:val="0"/>
          <w:color w:val="FF0000"/>
          <w:u w:val="single"/>
          <w:lang w:val="pl-PL"/>
        </w:rPr>
      </w:pPr>
    </w:p>
    <w:p w14:paraId="6ACBEC11" w14:textId="77777777" w:rsidR="007C1FCE" w:rsidRDefault="00000000" w:rsidP="00695BDC">
      <w:pPr>
        <w:pStyle w:val="jucase0"/>
        <w:ind w:firstLine="0"/>
        <w:jc w:val="center"/>
        <w:rPr>
          <w:b w:val="0"/>
          <w:bCs w:val="0"/>
          <w:color w:val="FF0000"/>
          <w:sz w:val="28"/>
          <w:szCs w:val="28"/>
          <w:lang w:val="pl-PL"/>
        </w:rPr>
      </w:pPr>
      <w:r w:rsidRPr="006B794F">
        <w:rPr>
          <w:b w:val="0"/>
          <w:bCs w:val="0"/>
          <w:color w:val="FF0000"/>
          <w:sz w:val="28"/>
          <w:szCs w:val="28"/>
          <w:lang w:val="pl-PL"/>
        </w:rPr>
        <w:t>20/01/2021</w:t>
      </w:r>
    </w:p>
    <w:p w14:paraId="6E7A0FF5" w14:textId="77777777" w:rsidR="00482591" w:rsidRDefault="00482591" w:rsidP="00695BDC">
      <w:pPr>
        <w:pStyle w:val="jucase0"/>
        <w:ind w:firstLine="0"/>
        <w:jc w:val="center"/>
        <w:rPr>
          <w:b w:val="0"/>
          <w:bCs w:val="0"/>
          <w:color w:val="FF0000"/>
          <w:sz w:val="28"/>
          <w:szCs w:val="28"/>
          <w:lang w:val="pl-PL"/>
        </w:rPr>
      </w:pPr>
    </w:p>
    <w:p w14:paraId="6967E2BA" w14:textId="77777777" w:rsidR="00482591" w:rsidRDefault="00482591" w:rsidP="00695BDC">
      <w:pPr>
        <w:pStyle w:val="jucase0"/>
        <w:ind w:firstLine="0"/>
        <w:jc w:val="center"/>
        <w:rPr>
          <w:b w:val="0"/>
          <w:bCs w:val="0"/>
          <w:color w:val="FF0000"/>
          <w:sz w:val="28"/>
          <w:szCs w:val="28"/>
          <w:lang w:val="pl-PL"/>
        </w:rPr>
      </w:pPr>
    </w:p>
    <w:p w14:paraId="6DADC7B6" w14:textId="77777777" w:rsidR="00482591" w:rsidRPr="006B794F" w:rsidRDefault="00482591" w:rsidP="00695BDC">
      <w:pPr>
        <w:pStyle w:val="jucase0"/>
        <w:ind w:firstLine="0"/>
        <w:jc w:val="center"/>
        <w:rPr>
          <w:b w:val="0"/>
          <w:color w:val="FF0000"/>
          <w:sz w:val="28"/>
          <w:szCs w:val="28"/>
          <w:lang w:val="pl-PL"/>
        </w:rPr>
      </w:pPr>
    </w:p>
    <w:p w14:paraId="2C2C33D9" w14:textId="77777777" w:rsidR="007C1FCE" w:rsidRPr="006B794F" w:rsidRDefault="007C1FCE" w:rsidP="00695BDC">
      <w:pPr>
        <w:pStyle w:val="jupara0"/>
        <w:ind w:firstLine="0"/>
        <w:rPr>
          <w:u w:val="single"/>
          <w:lang w:val="pl-PL"/>
        </w:rPr>
      </w:pPr>
    </w:p>
    <w:p w14:paraId="36CDE66C" w14:textId="64FFCA7A" w:rsidR="007C1FCE" w:rsidRPr="006B794F" w:rsidRDefault="00000000" w:rsidP="00482591">
      <w:pPr>
        <w:jc w:val="center"/>
        <w:rPr>
          <w:rFonts w:ascii="Times New Roman" w:hAnsi="Times New Roman" w:cs="Times New Roman"/>
          <w:i/>
          <w:sz w:val="22"/>
          <w:lang w:val="pl-PL"/>
        </w:rPr>
      </w:pPr>
      <w:r w:rsidRPr="006B794F">
        <w:rPr>
          <w:i/>
          <w:iCs/>
          <w:sz w:val="22"/>
          <w:szCs w:val="22"/>
          <w:lang w:val="pl-PL"/>
        </w:rPr>
        <w:t xml:space="preserve">Wyrok ten stał się ostateczny na podstawie art. 44 </w:t>
      </w:r>
      <w:r w:rsidR="002A440F" w:rsidRPr="006B794F">
        <w:rPr>
          <w:i/>
          <w:iCs/>
          <w:sz w:val="22"/>
          <w:szCs w:val="22"/>
          <w:lang w:val="pl-PL"/>
        </w:rPr>
        <w:t>ust.</w:t>
      </w:r>
      <w:r w:rsidRPr="006B794F">
        <w:rPr>
          <w:i/>
          <w:iCs/>
          <w:sz w:val="22"/>
          <w:szCs w:val="22"/>
          <w:lang w:val="pl-PL"/>
        </w:rPr>
        <w:t xml:space="preserve"> 2 Konwencji. Może podlegać poprawkom formalnym.</w:t>
      </w:r>
    </w:p>
    <w:p w14:paraId="140D87DE" w14:textId="77777777" w:rsidR="00516B59" w:rsidRPr="006B794F" w:rsidRDefault="00516B59" w:rsidP="00695BDC">
      <w:pPr>
        <w:ind w:left="720"/>
        <w:rPr>
          <w:rFonts w:ascii="Times New Roman" w:hAnsi="Times New Roman" w:cs="Times New Roman"/>
          <w:sz w:val="22"/>
          <w:lang w:val="pl-PL"/>
        </w:rPr>
        <w:sectPr w:rsidR="00516B59" w:rsidRPr="006B794F" w:rsidSect="00787576">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621FFD3" w14:textId="77777777" w:rsidR="004344E6" w:rsidRPr="006B794F" w:rsidRDefault="00000000" w:rsidP="00695BDC">
      <w:pPr>
        <w:pStyle w:val="JuCase"/>
        <w:rPr>
          <w:lang w:val="pl-PL"/>
        </w:rPr>
      </w:pPr>
      <w:r w:rsidRPr="006B794F">
        <w:rPr>
          <w:bCs/>
          <w:lang w:val="pl-PL"/>
        </w:rPr>
        <w:lastRenderedPageBreak/>
        <w:t>W sprawie Camelia Bogdan przeciwko Rumunii,</w:t>
      </w:r>
    </w:p>
    <w:p w14:paraId="416039FD" w14:textId="1694FFFF" w:rsidR="004344E6" w:rsidRPr="006B794F" w:rsidRDefault="00000000" w:rsidP="00695BDC">
      <w:pPr>
        <w:pStyle w:val="JuPara"/>
        <w:rPr>
          <w:lang w:val="pl-PL"/>
        </w:rPr>
      </w:pPr>
      <w:r w:rsidRPr="006B794F">
        <w:rPr>
          <w:lang w:val="pl-PL"/>
        </w:rPr>
        <w:t xml:space="preserve">Europejski Trybunał Praw Człowieka (Sekcja Czwarta), obradujący </w:t>
      </w:r>
      <w:r w:rsidR="002A440F" w:rsidRPr="006B794F">
        <w:rPr>
          <w:lang w:val="pl-PL"/>
        </w:rPr>
        <w:t>jako Izba w składzie:</w:t>
      </w:r>
    </w:p>
    <w:p w14:paraId="239D6DD0" w14:textId="77777777" w:rsidR="005C1212" w:rsidRPr="006B794F" w:rsidRDefault="00000000" w:rsidP="00695BDC">
      <w:pPr>
        <w:pStyle w:val="JuJudges"/>
        <w:tabs>
          <w:tab w:val="left" w:pos="4316"/>
        </w:tabs>
        <w:rPr>
          <w:i/>
          <w:lang w:val="pl-PL"/>
        </w:rPr>
      </w:pPr>
      <w:r w:rsidRPr="006B794F">
        <w:rPr>
          <w:lang w:val="pl-PL"/>
        </w:rPr>
        <w:tab/>
        <w:t>Yonko Grozev,</w:t>
      </w:r>
      <w:r w:rsidRPr="006B794F">
        <w:rPr>
          <w:i/>
          <w:iCs/>
          <w:lang w:val="pl-PL"/>
        </w:rPr>
        <w:t xml:space="preserve"> przewodniczący,</w:t>
      </w:r>
    </w:p>
    <w:p w14:paraId="698A824D" w14:textId="77777777" w:rsidR="005C1212" w:rsidRPr="006B794F" w:rsidRDefault="00000000" w:rsidP="00695BDC">
      <w:pPr>
        <w:pStyle w:val="JuJudges"/>
        <w:tabs>
          <w:tab w:val="left" w:pos="4316"/>
        </w:tabs>
        <w:rPr>
          <w:i/>
          <w:lang w:val="pl-PL"/>
        </w:rPr>
      </w:pPr>
      <w:r w:rsidRPr="006B794F">
        <w:rPr>
          <w:lang w:val="pl-PL"/>
        </w:rPr>
        <w:tab/>
        <w:t>Faris Vehabović,</w:t>
      </w:r>
    </w:p>
    <w:p w14:paraId="01B5B797" w14:textId="77777777" w:rsidR="005C1212" w:rsidRPr="006B794F" w:rsidRDefault="00000000" w:rsidP="00695BDC">
      <w:pPr>
        <w:pStyle w:val="JuJudges"/>
        <w:tabs>
          <w:tab w:val="left" w:pos="4316"/>
        </w:tabs>
        <w:rPr>
          <w:i/>
          <w:lang w:val="pl-PL"/>
        </w:rPr>
      </w:pPr>
      <w:r w:rsidRPr="006B794F">
        <w:rPr>
          <w:lang w:val="pl-PL"/>
        </w:rPr>
        <w:tab/>
        <w:t>Krzysztof Wojtyczek,</w:t>
      </w:r>
    </w:p>
    <w:p w14:paraId="3350D9BF" w14:textId="77777777" w:rsidR="005C1212" w:rsidRPr="006B794F" w:rsidRDefault="00000000" w:rsidP="00695BDC">
      <w:pPr>
        <w:pStyle w:val="JuJudges"/>
        <w:tabs>
          <w:tab w:val="left" w:pos="4316"/>
        </w:tabs>
        <w:rPr>
          <w:i/>
          <w:lang w:val="pl-PL"/>
        </w:rPr>
      </w:pPr>
      <w:r w:rsidRPr="006B794F">
        <w:rPr>
          <w:lang w:val="pl-PL"/>
        </w:rPr>
        <w:tab/>
        <w:t>Branko Lubarda,</w:t>
      </w:r>
    </w:p>
    <w:p w14:paraId="3FBE4F94" w14:textId="77777777" w:rsidR="005C1212" w:rsidRPr="006B794F" w:rsidRDefault="00000000" w:rsidP="00695BDC">
      <w:pPr>
        <w:pStyle w:val="JuJudges"/>
        <w:tabs>
          <w:tab w:val="left" w:pos="4316"/>
        </w:tabs>
        <w:rPr>
          <w:i/>
          <w:lang w:val="pl-PL"/>
        </w:rPr>
      </w:pPr>
      <w:r w:rsidRPr="006B794F">
        <w:rPr>
          <w:lang w:val="pl-PL"/>
        </w:rPr>
        <w:tab/>
        <w:t>Carlo Ranzoni,</w:t>
      </w:r>
    </w:p>
    <w:p w14:paraId="02FFAD6C" w14:textId="77777777" w:rsidR="005C1212" w:rsidRPr="006B794F" w:rsidRDefault="00000000" w:rsidP="00695BDC">
      <w:pPr>
        <w:pStyle w:val="JuJudges"/>
        <w:tabs>
          <w:tab w:val="left" w:pos="4316"/>
        </w:tabs>
        <w:rPr>
          <w:i/>
          <w:lang w:val="pl-PL"/>
        </w:rPr>
      </w:pPr>
      <w:r w:rsidRPr="006B794F">
        <w:rPr>
          <w:lang w:val="pl-PL"/>
        </w:rPr>
        <w:tab/>
        <w:t>Stéphanie Mourou-Vikström,</w:t>
      </w:r>
    </w:p>
    <w:p w14:paraId="25ACB4BE" w14:textId="43FE8071" w:rsidR="004344E6" w:rsidRPr="006B794F" w:rsidRDefault="00000000" w:rsidP="00695BDC">
      <w:pPr>
        <w:pStyle w:val="JuJudges"/>
        <w:tabs>
          <w:tab w:val="left" w:pos="4316"/>
        </w:tabs>
        <w:rPr>
          <w:lang w:val="pl-PL"/>
        </w:rPr>
      </w:pPr>
      <w:r w:rsidRPr="006B794F">
        <w:rPr>
          <w:lang w:val="pl-PL"/>
        </w:rPr>
        <w:tab/>
        <w:t>Jolien Schukking,</w:t>
      </w:r>
      <w:r w:rsidRPr="006B794F">
        <w:rPr>
          <w:i/>
          <w:iCs/>
          <w:lang w:val="pl-PL"/>
        </w:rPr>
        <w:t xml:space="preserve"> sędziowie,</w:t>
      </w:r>
      <w:r w:rsidRPr="006B794F">
        <w:rPr>
          <w:lang w:val="pl-PL"/>
        </w:rPr>
        <w:br/>
        <w:t xml:space="preserve">i Andrea Tamietti, </w:t>
      </w:r>
      <w:r w:rsidR="002A440F" w:rsidRPr="006B794F">
        <w:rPr>
          <w:i/>
          <w:iCs/>
          <w:lang w:val="pl-PL"/>
        </w:rPr>
        <w:t>kanclerz</w:t>
      </w:r>
      <w:r w:rsidR="002A440F" w:rsidRPr="006B794F">
        <w:rPr>
          <w:lang w:val="pl-PL"/>
        </w:rPr>
        <w:t xml:space="preserve"> </w:t>
      </w:r>
      <w:r w:rsidRPr="006B794F">
        <w:rPr>
          <w:i/>
          <w:iCs/>
          <w:lang w:val="pl-PL"/>
        </w:rPr>
        <w:t>sekcji</w:t>
      </w:r>
      <w:r w:rsidRPr="006B794F">
        <w:rPr>
          <w:lang w:val="pl-PL"/>
        </w:rPr>
        <w:t>,</w:t>
      </w:r>
    </w:p>
    <w:p w14:paraId="6D9EB2D1" w14:textId="77777777" w:rsidR="00CC1663" w:rsidRPr="006B794F" w:rsidRDefault="00000000" w:rsidP="00695BDC">
      <w:pPr>
        <w:pStyle w:val="JuPara"/>
        <w:rPr>
          <w:lang w:val="pl-PL"/>
        </w:rPr>
      </w:pPr>
      <w:bookmarkStart w:id="0" w:name="ITMARKHavingStart"/>
      <w:bookmarkEnd w:id="0"/>
      <w:r w:rsidRPr="006B794F">
        <w:rPr>
          <w:lang w:val="pl-PL"/>
        </w:rPr>
        <w:t>Zważywszy na:</w:t>
      </w:r>
    </w:p>
    <w:p w14:paraId="7C3EEBF1" w14:textId="63198069" w:rsidR="00CC1663" w:rsidRPr="006B794F" w:rsidRDefault="00000000" w:rsidP="00695BDC">
      <w:pPr>
        <w:pStyle w:val="JuPara"/>
        <w:rPr>
          <w:lang w:val="pl-PL"/>
        </w:rPr>
      </w:pPr>
      <w:r w:rsidRPr="006B794F">
        <w:rPr>
          <w:lang w:val="pl-PL"/>
        </w:rPr>
        <w:t>skargę (nr 36889/18) przeciwko Rumunii wniesioną do Trybunału na</w:t>
      </w:r>
      <w:r w:rsidR="00265848" w:rsidRPr="006B794F">
        <w:rPr>
          <w:lang w:val="pl-PL"/>
        </w:rPr>
        <w:t> </w:t>
      </w:r>
      <w:r w:rsidRPr="006B794F">
        <w:rPr>
          <w:lang w:val="pl-PL"/>
        </w:rPr>
        <w:t xml:space="preserve">podstawie </w:t>
      </w:r>
      <w:r w:rsidR="002A440F" w:rsidRPr="006B794F">
        <w:rPr>
          <w:lang w:val="pl-PL"/>
        </w:rPr>
        <w:t>art.</w:t>
      </w:r>
      <w:r w:rsidRPr="006B794F">
        <w:rPr>
          <w:lang w:val="pl-PL"/>
        </w:rPr>
        <w:t xml:space="preserve"> 34 Konwencji o ochronie praw człowieka i podstawowych wolności (</w:t>
      </w:r>
      <w:r w:rsidR="002C3FC1">
        <w:rPr>
          <w:lang w:val="pl-PL"/>
        </w:rPr>
        <w:t>„</w:t>
      </w:r>
      <w:r w:rsidRPr="006B794F">
        <w:rPr>
          <w:lang w:val="pl-PL"/>
        </w:rPr>
        <w:t>Konwencja</w:t>
      </w:r>
      <w:r w:rsidR="002C3FC1">
        <w:rPr>
          <w:lang w:val="pl-PL"/>
        </w:rPr>
        <w:t>”</w:t>
      </w:r>
      <w:r w:rsidRPr="006B794F">
        <w:rPr>
          <w:lang w:val="pl-PL"/>
        </w:rPr>
        <w:t>) przez obywatelkę tego Państwa, panią Camelię Bogdan (</w:t>
      </w:r>
      <w:r w:rsidR="002C3FC1">
        <w:rPr>
          <w:lang w:val="pl-PL"/>
        </w:rPr>
        <w:t>„</w:t>
      </w:r>
      <w:r w:rsidRPr="006B794F">
        <w:rPr>
          <w:lang w:val="pl-PL"/>
        </w:rPr>
        <w:t>skarżąca</w:t>
      </w:r>
      <w:r w:rsidR="002C3FC1">
        <w:rPr>
          <w:lang w:val="pl-PL"/>
        </w:rPr>
        <w:t>”</w:t>
      </w:r>
      <w:r w:rsidRPr="006B794F">
        <w:rPr>
          <w:lang w:val="pl-PL"/>
        </w:rPr>
        <w:t>), w dniu 18 lipca 2018 r.,</w:t>
      </w:r>
    </w:p>
    <w:p w14:paraId="14EE6BAC" w14:textId="33670EBB" w:rsidR="00CC1663" w:rsidRPr="006B794F" w:rsidRDefault="00000000" w:rsidP="00695BDC">
      <w:pPr>
        <w:pStyle w:val="JuPara"/>
        <w:rPr>
          <w:lang w:val="pl-PL"/>
        </w:rPr>
      </w:pPr>
      <w:r w:rsidRPr="006B794F">
        <w:rPr>
          <w:lang w:val="pl-PL"/>
        </w:rPr>
        <w:t xml:space="preserve">decyzję o </w:t>
      </w:r>
      <w:r w:rsidR="009F610F" w:rsidRPr="006B794F">
        <w:rPr>
          <w:lang w:val="pl-PL"/>
        </w:rPr>
        <w:t xml:space="preserve">zakomunikowaniu </w:t>
      </w:r>
      <w:r w:rsidRPr="006B794F">
        <w:rPr>
          <w:lang w:val="pl-PL"/>
        </w:rPr>
        <w:t xml:space="preserve">skargi </w:t>
      </w:r>
      <w:r w:rsidR="008D0ECD" w:rsidRPr="006B794F">
        <w:rPr>
          <w:lang w:val="pl-PL"/>
        </w:rPr>
        <w:t>Rząd</w:t>
      </w:r>
      <w:r w:rsidR="009F610F" w:rsidRPr="006B794F">
        <w:rPr>
          <w:lang w:val="pl-PL"/>
        </w:rPr>
        <w:t>owi</w:t>
      </w:r>
      <w:r w:rsidR="008D0ECD" w:rsidRPr="006B794F">
        <w:rPr>
          <w:lang w:val="pl-PL"/>
        </w:rPr>
        <w:t xml:space="preserve"> </w:t>
      </w:r>
      <w:r w:rsidRPr="006B794F">
        <w:rPr>
          <w:lang w:val="pl-PL"/>
        </w:rPr>
        <w:t>rumuńskie</w:t>
      </w:r>
      <w:r w:rsidR="009F610F" w:rsidRPr="006B794F">
        <w:rPr>
          <w:lang w:val="pl-PL"/>
        </w:rPr>
        <w:t>mu</w:t>
      </w:r>
      <w:r w:rsidRPr="006B794F">
        <w:rPr>
          <w:lang w:val="pl-PL"/>
        </w:rPr>
        <w:t xml:space="preserve"> w dniach 7</w:t>
      </w:r>
      <w:r w:rsidR="00265848" w:rsidRPr="006B794F">
        <w:rPr>
          <w:lang w:val="pl-PL"/>
        </w:rPr>
        <w:t> </w:t>
      </w:r>
      <w:r w:rsidRPr="006B794F">
        <w:rPr>
          <w:lang w:val="pl-PL"/>
        </w:rPr>
        <w:t>lutego i 19 listopada 2019 r,</w:t>
      </w:r>
    </w:p>
    <w:p w14:paraId="19A56759" w14:textId="77777777" w:rsidR="00CC1663" w:rsidRPr="006B794F" w:rsidRDefault="00000000" w:rsidP="00695BDC">
      <w:pPr>
        <w:pStyle w:val="JuPara"/>
        <w:rPr>
          <w:lang w:val="pl-PL"/>
        </w:rPr>
      </w:pPr>
      <w:r w:rsidRPr="006B794F">
        <w:rPr>
          <w:lang w:val="pl-PL"/>
        </w:rPr>
        <w:t>uwagi stron,</w:t>
      </w:r>
    </w:p>
    <w:p w14:paraId="797A8E35" w14:textId="725556C7" w:rsidR="00CC1663" w:rsidRPr="006B794F" w:rsidRDefault="00723AD8" w:rsidP="00695BDC">
      <w:pPr>
        <w:pStyle w:val="JuPara"/>
        <w:rPr>
          <w:lang w:val="pl-PL"/>
        </w:rPr>
      </w:pPr>
      <w:r w:rsidRPr="006B794F">
        <w:rPr>
          <w:lang w:val="pl-PL"/>
        </w:rPr>
        <w:t xml:space="preserve">wyłączenie </w:t>
      </w:r>
      <w:r w:rsidR="00497ABC" w:rsidRPr="006B794F">
        <w:rPr>
          <w:lang w:val="pl-PL"/>
        </w:rPr>
        <w:t>p</w:t>
      </w:r>
      <w:r w:rsidRPr="006B794F">
        <w:rPr>
          <w:lang w:val="pl-PL"/>
        </w:rPr>
        <w:t xml:space="preserve">ani Iulii Motoc, sędzi wybranej w odniesieniu do Rumunii (Reguła 28 Regulaminu Trybunału) oraz decyzję Prezesa o powołaniu Pana Krzysztofa Wojtyczka do zasiadania w charakterze sędziego </w:t>
      </w:r>
      <w:r w:rsidRPr="006B794F">
        <w:rPr>
          <w:i/>
          <w:iCs/>
          <w:lang w:val="pl-PL"/>
        </w:rPr>
        <w:t>ad hoc</w:t>
      </w:r>
      <w:r w:rsidRPr="006B794F">
        <w:rPr>
          <w:lang w:val="pl-PL"/>
        </w:rPr>
        <w:t xml:space="preserve"> (</w:t>
      </w:r>
      <w:r w:rsidR="002A440F" w:rsidRPr="006B794F">
        <w:rPr>
          <w:lang w:val="pl-PL"/>
        </w:rPr>
        <w:t xml:space="preserve">art. </w:t>
      </w:r>
      <w:r w:rsidRPr="006B794F">
        <w:rPr>
          <w:lang w:val="pl-PL"/>
        </w:rPr>
        <w:t xml:space="preserve">26 </w:t>
      </w:r>
      <w:r w:rsidR="00411EF1" w:rsidRPr="006B794F">
        <w:rPr>
          <w:lang w:val="pl-PL"/>
        </w:rPr>
        <w:t>ust.</w:t>
      </w:r>
      <w:r w:rsidRPr="006B794F">
        <w:rPr>
          <w:lang w:val="pl-PL"/>
        </w:rPr>
        <w:t xml:space="preserve"> 4 Konwencji oraz </w:t>
      </w:r>
      <w:r w:rsidR="002A440F" w:rsidRPr="006B794F">
        <w:rPr>
          <w:lang w:val="pl-PL"/>
        </w:rPr>
        <w:t xml:space="preserve">Reguła </w:t>
      </w:r>
      <w:r w:rsidRPr="006B794F">
        <w:rPr>
          <w:lang w:val="pl-PL"/>
        </w:rPr>
        <w:t>29 § 1 Regulaminu Trybunału).</w:t>
      </w:r>
    </w:p>
    <w:p w14:paraId="6DAE6F07" w14:textId="6B017EE1" w:rsidR="004344E6" w:rsidRPr="006B794F" w:rsidRDefault="00000000" w:rsidP="00695BDC">
      <w:pPr>
        <w:pStyle w:val="JuPara"/>
        <w:rPr>
          <w:lang w:val="pl-PL"/>
        </w:rPr>
      </w:pPr>
      <w:r w:rsidRPr="006B794F">
        <w:rPr>
          <w:lang w:val="pl-PL"/>
        </w:rPr>
        <w:t xml:space="preserve">Po obradach </w:t>
      </w:r>
      <w:r w:rsidR="00DD34E3" w:rsidRPr="006B794F">
        <w:rPr>
          <w:lang w:val="pl-PL"/>
        </w:rPr>
        <w:t xml:space="preserve">na posiedzeniu niejawnym </w:t>
      </w:r>
      <w:r w:rsidRPr="006B794F">
        <w:rPr>
          <w:lang w:val="pl-PL"/>
        </w:rPr>
        <w:t>w dniu 1 września 2020 r.,</w:t>
      </w:r>
    </w:p>
    <w:p w14:paraId="57E64F69" w14:textId="77777777" w:rsidR="00876F03" w:rsidRPr="006B794F" w:rsidRDefault="00000000" w:rsidP="00695BDC">
      <w:pPr>
        <w:pStyle w:val="JuPara"/>
        <w:rPr>
          <w:lang w:val="pl-PL"/>
        </w:rPr>
      </w:pPr>
      <w:r w:rsidRPr="006B794F">
        <w:rPr>
          <w:lang w:val="pl-PL"/>
        </w:rPr>
        <w:t>Wydaje następujący wyrok, przyjęty w tym dniu:</w:t>
      </w:r>
    </w:p>
    <w:p w14:paraId="39815054" w14:textId="77777777" w:rsidR="00CC1663" w:rsidRPr="006B794F" w:rsidRDefault="00000000" w:rsidP="00723AD8">
      <w:pPr>
        <w:pStyle w:val="JuHHead"/>
        <w:numPr>
          <w:ilvl w:val="0"/>
          <w:numId w:val="1"/>
        </w:numPr>
        <w:jc w:val="both"/>
        <w:rPr>
          <w:lang w:val="pl-PL"/>
        </w:rPr>
      </w:pPr>
      <w:r w:rsidRPr="006B794F">
        <w:rPr>
          <w:bCs w:val="0"/>
          <w:lang w:val="pl-PL"/>
        </w:rPr>
        <w:t>WPROWADZENIE</w:t>
      </w:r>
    </w:p>
    <w:p w14:paraId="30F3708C" w14:textId="5800D3EE" w:rsidR="00CC1663" w:rsidRPr="006B794F" w:rsidRDefault="00000000" w:rsidP="00695BDC">
      <w:pPr>
        <w:pStyle w:val="JuPara"/>
        <w:rPr>
          <w:lang w:val="pl-PL"/>
        </w:rPr>
      </w:pPr>
      <w:r w:rsidRPr="006B794F">
        <w:rPr>
          <w:lang w:val="pl-PL"/>
        </w:rPr>
        <w:t>1.</w:t>
      </w:r>
      <w:r w:rsidR="006C2A0A" w:rsidRPr="006B794F">
        <w:rPr>
          <w:lang w:val="pl-PL"/>
        </w:rPr>
        <w:t xml:space="preserve"> </w:t>
      </w:r>
      <w:r w:rsidRPr="006B794F">
        <w:rPr>
          <w:lang w:val="pl-PL"/>
        </w:rPr>
        <w:t>Niniejsza skarga, odnosząca się do postępowania dyscyplinarnego przeciwko skarżącej, sędzi sądu apelacyjnego w Bukareszcie, dotyczy zgodności tego postępowania z zasadą pewności stosunków prawnych (zarzucany brak przedawnienia nałożenia kary dyscyplinarnej na sędziów), z</w:t>
      </w:r>
      <w:r w:rsidR="00265848" w:rsidRPr="006B794F">
        <w:rPr>
          <w:lang w:val="pl-PL"/>
        </w:rPr>
        <w:t> </w:t>
      </w:r>
      <w:r w:rsidRPr="006B794F">
        <w:rPr>
          <w:lang w:val="pl-PL"/>
        </w:rPr>
        <w:t xml:space="preserve">prawem dostępu do sądu (zarzucana niemożność odwołania się od środka zakazującego </w:t>
      </w:r>
      <w:r w:rsidR="00E14135" w:rsidRPr="006B794F">
        <w:rPr>
          <w:lang w:val="pl-PL"/>
        </w:rPr>
        <w:t>j</w:t>
      </w:r>
      <w:r w:rsidRPr="006B794F">
        <w:rPr>
          <w:lang w:val="pl-PL"/>
        </w:rPr>
        <w:t>ej wykonywania funkcji sędziego po zaskarżeniu kary dyscyplinarnej wyłączenia z orzekania), z wymogami niezależności i</w:t>
      </w:r>
      <w:r w:rsidR="00265848" w:rsidRPr="006B794F">
        <w:rPr>
          <w:lang w:val="pl-PL"/>
        </w:rPr>
        <w:t> </w:t>
      </w:r>
      <w:r w:rsidRPr="006B794F">
        <w:rPr>
          <w:lang w:val="pl-PL"/>
        </w:rPr>
        <w:t xml:space="preserve">bezstronności sądów (w odniesieniu do Najwyższej Rady Sądownictwa oraz Wysokiego Sądu Kasacyjnego) oraz z prawem do poszanowania życia prywatnego (tymczasowy zakaz wykonywania zawodu sędziego oraz zarzucana odmowa zapewnienia ochrony reputacji zawodowej). Skarżąca powołuje się na art. 6 </w:t>
      </w:r>
      <w:r w:rsidR="00411EF1" w:rsidRPr="006B794F">
        <w:rPr>
          <w:lang w:val="pl-PL"/>
        </w:rPr>
        <w:t>ust.</w:t>
      </w:r>
      <w:r w:rsidRPr="006B794F">
        <w:rPr>
          <w:lang w:val="pl-PL"/>
        </w:rPr>
        <w:t xml:space="preserve"> 1 i </w:t>
      </w:r>
      <w:r w:rsidR="00411EF1" w:rsidRPr="006B794F">
        <w:rPr>
          <w:lang w:val="pl-PL"/>
        </w:rPr>
        <w:t xml:space="preserve">art. </w:t>
      </w:r>
      <w:r w:rsidRPr="006B794F">
        <w:rPr>
          <w:lang w:val="pl-PL"/>
        </w:rPr>
        <w:t>8 Konwencji.</w:t>
      </w:r>
    </w:p>
    <w:p w14:paraId="06317006" w14:textId="77777777" w:rsidR="009E3A9E" w:rsidRPr="006B794F" w:rsidRDefault="009E3A9E" w:rsidP="00695BDC">
      <w:pPr>
        <w:pStyle w:val="JuPara"/>
        <w:ind w:firstLine="0"/>
        <w:rPr>
          <w:lang w:val="pl-PL"/>
        </w:rPr>
      </w:pPr>
    </w:p>
    <w:p w14:paraId="31A33C65" w14:textId="77777777" w:rsidR="008D2093" w:rsidRPr="006B794F" w:rsidRDefault="00000000" w:rsidP="00265848">
      <w:pPr>
        <w:pStyle w:val="JuPara"/>
        <w:keepNext/>
        <w:ind w:firstLine="0"/>
        <w:rPr>
          <w:sz w:val="28"/>
          <w:szCs w:val="28"/>
          <w:lang w:val="pl-PL"/>
        </w:rPr>
      </w:pPr>
      <w:r w:rsidRPr="006B794F">
        <w:rPr>
          <w:sz w:val="28"/>
          <w:szCs w:val="28"/>
          <w:lang w:val="pl-PL"/>
        </w:rPr>
        <w:lastRenderedPageBreak/>
        <w:t>FAKTY</w:t>
      </w:r>
    </w:p>
    <w:p w14:paraId="5E50BA98" w14:textId="77777777" w:rsidR="008D2093" w:rsidRPr="006B794F" w:rsidRDefault="008D2093" w:rsidP="00265848">
      <w:pPr>
        <w:pStyle w:val="JuPara"/>
        <w:keepNext/>
        <w:ind w:firstLine="0"/>
        <w:rPr>
          <w:lang w:val="pl-PL"/>
        </w:rPr>
      </w:pPr>
    </w:p>
    <w:p w14:paraId="5A133322" w14:textId="77777777" w:rsidR="00695BDC" w:rsidRPr="006B794F" w:rsidRDefault="00000000" w:rsidP="00265848">
      <w:pPr>
        <w:pStyle w:val="JuPara"/>
        <w:keepNext/>
        <w:ind w:firstLine="0"/>
        <w:rPr>
          <w:rFonts w:cstheme="minorHAnsi"/>
          <w:i/>
          <w:iCs/>
          <w:lang w:val="pl-PL"/>
        </w:rPr>
      </w:pPr>
      <w:r w:rsidRPr="006B794F">
        <w:rPr>
          <w:rFonts w:cstheme="minorHAnsi"/>
          <w:i/>
          <w:iCs/>
          <w:lang w:val="pl-PL"/>
        </w:rPr>
        <w:t>[Paragrafy 2 - 34 wyroku pominięto i zastąpiono tłumaczeniem poniższego streszczenia przygotowanego przez Kancelarię Europejskiego Trybunału Praw Człowieka</w:t>
      </w:r>
    </w:p>
    <w:p w14:paraId="2D9D77FE" w14:textId="77777777" w:rsidR="008D2093" w:rsidRPr="006B794F" w:rsidRDefault="008D2093" w:rsidP="00695BDC">
      <w:pPr>
        <w:pStyle w:val="JuPara"/>
        <w:ind w:firstLine="0"/>
        <w:rPr>
          <w:rFonts w:cstheme="minorHAnsi"/>
          <w:i/>
          <w:iCs/>
          <w:lang w:val="pl-PL"/>
        </w:rPr>
      </w:pPr>
    </w:p>
    <w:p w14:paraId="0D11208C" w14:textId="77777777" w:rsidR="005A3433" w:rsidRPr="006B794F" w:rsidRDefault="00000000" w:rsidP="00695BDC">
      <w:pPr>
        <w:pStyle w:val="ClinContent"/>
        <w:rPr>
          <w:rFonts w:asciiTheme="minorHAnsi" w:hAnsiTheme="minorHAnsi" w:cstheme="minorHAnsi"/>
          <w:i/>
          <w:iCs/>
          <w:sz w:val="24"/>
          <w:u w:val="single"/>
          <w:lang w:val="pl-PL"/>
        </w:rPr>
      </w:pPr>
      <w:r w:rsidRPr="006B794F">
        <w:rPr>
          <w:rFonts w:asciiTheme="minorHAnsi" w:hAnsiTheme="minorHAnsi" w:cstheme="minorHAnsi"/>
          <w:i/>
          <w:iCs/>
          <w:sz w:val="24"/>
          <w:u w:val="single"/>
          <w:lang w:val="pl-PL"/>
        </w:rPr>
        <w:t>Streszczenie stanu faktycznego</w:t>
      </w:r>
      <w:r w:rsidRPr="006B794F">
        <w:rPr>
          <w:rStyle w:val="Odwoanieprzypisudolnego"/>
          <w:rFonts w:asciiTheme="minorHAnsi" w:hAnsiTheme="minorHAnsi" w:cstheme="minorHAnsi"/>
          <w:sz w:val="24"/>
          <w:lang w:val="pl-PL"/>
        </w:rPr>
        <w:footnoteReference w:id="1"/>
      </w:r>
    </w:p>
    <w:p w14:paraId="651A4318" w14:textId="7E0D478B" w:rsidR="00695BDC" w:rsidRPr="006B794F" w:rsidRDefault="00000000" w:rsidP="00695BDC">
      <w:pPr>
        <w:pStyle w:val="ClinContent"/>
        <w:rPr>
          <w:rFonts w:asciiTheme="minorHAnsi" w:hAnsiTheme="minorHAnsi" w:cstheme="minorHAnsi"/>
          <w:sz w:val="24"/>
          <w:lang w:val="pl-PL"/>
        </w:rPr>
      </w:pPr>
      <w:r w:rsidRPr="006B794F">
        <w:rPr>
          <w:rFonts w:asciiTheme="minorHAnsi" w:hAnsiTheme="minorHAnsi" w:cstheme="minorHAnsi"/>
          <w:sz w:val="24"/>
          <w:lang w:val="pl-PL"/>
        </w:rPr>
        <w:t>Skarżąca jest sędzią zawodowym. W lutym 2017</w:t>
      </w:r>
      <w:r w:rsidR="008D0ECD" w:rsidRPr="006B794F">
        <w:rPr>
          <w:rFonts w:asciiTheme="minorHAnsi" w:hAnsiTheme="minorHAnsi" w:cstheme="minorHAnsi"/>
          <w:sz w:val="24"/>
          <w:lang w:val="pl-PL"/>
        </w:rPr>
        <w:t xml:space="preserve"> r.</w:t>
      </w:r>
      <w:r w:rsidRPr="006B794F">
        <w:rPr>
          <w:rFonts w:asciiTheme="minorHAnsi" w:hAnsiTheme="minorHAnsi" w:cstheme="minorHAnsi"/>
          <w:sz w:val="24"/>
          <w:lang w:val="pl-PL"/>
        </w:rPr>
        <w:t xml:space="preserve"> Najwyższa Rada Sądownictwa (NRS) orzekła o wykluczeniu Jej z sądownictwa, tytułem kary. W marcu 2017 r. odwołała się od tej decyzji. NRS natychmiast nakazała jej zawieszenie (co oznaczało wstrzymanie wypłaty jej wynagrodzenia), ze</w:t>
      </w:r>
      <w:r w:rsidR="00265848" w:rsidRPr="006B794F">
        <w:rPr>
          <w:rFonts w:asciiTheme="minorHAnsi" w:hAnsiTheme="minorHAnsi" w:cstheme="minorHAnsi"/>
          <w:sz w:val="24"/>
          <w:lang w:val="pl-PL"/>
        </w:rPr>
        <w:t> </w:t>
      </w:r>
      <w:r w:rsidRPr="006B794F">
        <w:rPr>
          <w:rFonts w:asciiTheme="minorHAnsi" w:hAnsiTheme="minorHAnsi" w:cstheme="minorHAnsi"/>
          <w:sz w:val="24"/>
          <w:lang w:val="pl-PL"/>
        </w:rPr>
        <w:t>skutkiem natychmiastowym.</w:t>
      </w:r>
    </w:p>
    <w:p w14:paraId="3B8CDE50" w14:textId="77777777" w:rsidR="005A3433" w:rsidRPr="006B794F" w:rsidRDefault="005A3433" w:rsidP="00695BDC">
      <w:pPr>
        <w:pStyle w:val="ClinContent"/>
        <w:spacing w:before="0"/>
        <w:rPr>
          <w:rFonts w:asciiTheme="minorHAnsi" w:hAnsiTheme="minorHAnsi" w:cstheme="minorHAnsi"/>
          <w:sz w:val="24"/>
          <w:lang w:val="pl-PL"/>
        </w:rPr>
      </w:pPr>
    </w:p>
    <w:p w14:paraId="263980CD" w14:textId="4604C957" w:rsidR="008D2093" w:rsidRPr="006B794F" w:rsidRDefault="00000000" w:rsidP="00695BDC">
      <w:pPr>
        <w:pStyle w:val="JuPara"/>
        <w:ind w:firstLine="0"/>
        <w:rPr>
          <w:rFonts w:cstheme="minorHAnsi"/>
          <w:i/>
          <w:iCs/>
          <w:u w:val="single"/>
          <w:lang w:val="pl-PL"/>
        </w:rPr>
      </w:pPr>
      <w:r w:rsidRPr="006B794F">
        <w:rPr>
          <w:rFonts w:cstheme="minorHAnsi"/>
          <w:lang w:val="pl-PL"/>
        </w:rPr>
        <w:t>W grudniu 2017</w:t>
      </w:r>
      <w:r w:rsidR="008D0ECD" w:rsidRPr="006B794F">
        <w:rPr>
          <w:rFonts w:cstheme="minorHAnsi"/>
          <w:lang w:val="pl-PL"/>
        </w:rPr>
        <w:t xml:space="preserve"> r.</w:t>
      </w:r>
      <w:r w:rsidRPr="006B794F">
        <w:rPr>
          <w:rFonts w:cstheme="minorHAnsi"/>
          <w:lang w:val="pl-PL"/>
        </w:rPr>
        <w:t xml:space="preserve"> Wysoki Sąd Kasacyjny częściowo uwzględnił jej apelację: kara odwołania została zastąpiona przeniesieniem. W czerwcu 2018</w:t>
      </w:r>
      <w:r w:rsidR="008D0ECD" w:rsidRPr="006B794F">
        <w:rPr>
          <w:rFonts w:cstheme="minorHAnsi"/>
          <w:lang w:val="pl-PL"/>
        </w:rPr>
        <w:t xml:space="preserve"> r.</w:t>
      </w:r>
      <w:r w:rsidRPr="006B794F">
        <w:rPr>
          <w:rFonts w:cstheme="minorHAnsi"/>
          <w:lang w:val="pl-PL"/>
        </w:rPr>
        <w:t xml:space="preserve"> skarżąca otrzymał zaległe wynagrodzenie za okres zawieszenia</w:t>
      </w:r>
      <w:r w:rsidR="00A430BD" w:rsidRPr="006B794F">
        <w:rPr>
          <w:rFonts w:cstheme="minorHAnsi"/>
          <w:lang w:val="pl-PL"/>
        </w:rPr>
        <w:t>]</w:t>
      </w:r>
      <w:r w:rsidR="00847ADA">
        <w:rPr>
          <w:rFonts w:cstheme="minorHAnsi"/>
          <w:lang w:val="pl-PL"/>
        </w:rPr>
        <w:t>.</w:t>
      </w:r>
    </w:p>
    <w:p w14:paraId="070EF4DE" w14:textId="77777777" w:rsidR="000112BF" w:rsidRPr="006B794F" w:rsidRDefault="000112BF" w:rsidP="00695BDC">
      <w:pPr>
        <w:pStyle w:val="JuHHead"/>
        <w:numPr>
          <w:ilvl w:val="0"/>
          <w:numId w:val="0"/>
        </w:numPr>
        <w:jc w:val="both"/>
        <w:rPr>
          <w:lang w:val="pl-PL"/>
        </w:rPr>
      </w:pPr>
    </w:p>
    <w:p w14:paraId="63D4AB8F" w14:textId="77777777" w:rsidR="00CC1663" w:rsidRPr="006B794F" w:rsidRDefault="00000000" w:rsidP="00695BDC">
      <w:pPr>
        <w:pStyle w:val="JuHHead"/>
        <w:rPr>
          <w:lang w:val="pl-PL"/>
        </w:rPr>
      </w:pPr>
      <w:r w:rsidRPr="006B794F">
        <w:rPr>
          <w:bCs w:val="0"/>
          <w:lang w:val="pl-PL"/>
        </w:rPr>
        <w:t>PRAWO</w:t>
      </w:r>
    </w:p>
    <w:p w14:paraId="70C66EA7" w14:textId="7982BF67" w:rsidR="00CC1663" w:rsidRPr="006B794F" w:rsidRDefault="00000000" w:rsidP="00695BDC">
      <w:pPr>
        <w:pStyle w:val="JuHIRoman"/>
        <w:rPr>
          <w:lang w:val="pl-PL"/>
        </w:rPr>
      </w:pPr>
      <w:r w:rsidRPr="006B794F">
        <w:rPr>
          <w:bCs w:val="0"/>
          <w:lang w:val="pl-PL"/>
        </w:rPr>
        <w:t>ZARZUCANE NARUSZENI</w:t>
      </w:r>
      <w:r w:rsidR="00B64307" w:rsidRPr="006B794F">
        <w:rPr>
          <w:bCs w:val="0"/>
          <w:lang w:val="pl-PL"/>
        </w:rPr>
        <w:t>E</w:t>
      </w:r>
      <w:r w:rsidRPr="006B794F">
        <w:rPr>
          <w:bCs w:val="0"/>
          <w:lang w:val="pl-PL"/>
        </w:rPr>
        <w:t xml:space="preserve"> </w:t>
      </w:r>
      <w:r w:rsidR="002A440F" w:rsidRPr="006B794F">
        <w:rPr>
          <w:bCs w:val="0"/>
          <w:lang w:val="pl-PL"/>
        </w:rPr>
        <w:t>ART.</w:t>
      </w:r>
      <w:r w:rsidRPr="006B794F">
        <w:rPr>
          <w:bCs w:val="0"/>
          <w:lang w:val="pl-PL"/>
        </w:rPr>
        <w:t xml:space="preserve"> 6 </w:t>
      </w:r>
      <w:r w:rsidR="00411EF1" w:rsidRPr="006B794F">
        <w:rPr>
          <w:bCs w:val="0"/>
          <w:lang w:val="pl-PL"/>
        </w:rPr>
        <w:t>UST.</w:t>
      </w:r>
      <w:r w:rsidRPr="006B794F">
        <w:rPr>
          <w:bCs w:val="0"/>
          <w:lang w:val="pl-PL"/>
        </w:rPr>
        <w:t xml:space="preserve"> 1 KONWENCJI W </w:t>
      </w:r>
      <w:r w:rsidR="003B7241" w:rsidRPr="006B794F">
        <w:rPr>
          <w:bCs w:val="0"/>
          <w:lang w:val="pl-PL"/>
        </w:rPr>
        <w:t>ZAKRESIE</w:t>
      </w:r>
      <w:r w:rsidRPr="006B794F">
        <w:rPr>
          <w:bCs w:val="0"/>
          <w:lang w:val="pl-PL"/>
        </w:rPr>
        <w:t xml:space="preserve"> NIEPRZESTRZEGANIA ZASADY PEWNOŚCI STOSUNKÓW PRAWNYCH</w:t>
      </w:r>
    </w:p>
    <w:p w14:paraId="078FF77B" w14:textId="6EFA3CCA" w:rsidR="00CC1663" w:rsidRPr="006B794F" w:rsidRDefault="00A430BD" w:rsidP="00695BDC">
      <w:pPr>
        <w:pStyle w:val="JuPara"/>
        <w:rPr>
          <w:lang w:val="pl-PL"/>
        </w:rPr>
      </w:pPr>
      <w:r w:rsidRPr="006B794F">
        <w:rPr>
          <w:lang w:val="pl-PL"/>
        </w:rPr>
        <w:t>35.</w:t>
      </w:r>
      <w:r w:rsidR="006C2A0A" w:rsidRPr="006B794F">
        <w:rPr>
          <w:lang w:val="pl-PL"/>
        </w:rPr>
        <w:t xml:space="preserve"> </w:t>
      </w:r>
      <w:r w:rsidRPr="006B794F">
        <w:rPr>
          <w:lang w:val="pl-PL"/>
        </w:rPr>
        <w:t xml:space="preserve">Skarżąca zarzuca naruszenie zasady pewności stosunków prawnych przez to, że przepisy krajowe nie zawierają przedawnienia odpowiedzialności dyscyplinarnej sędziów, jak twierdzi. Powołała się na art. 6 </w:t>
      </w:r>
      <w:r w:rsidR="0055094D" w:rsidRPr="006B794F">
        <w:rPr>
          <w:lang w:val="pl-PL"/>
        </w:rPr>
        <w:t>ust.</w:t>
      </w:r>
      <w:r w:rsidRPr="006B794F">
        <w:rPr>
          <w:lang w:val="pl-PL"/>
        </w:rPr>
        <w:t xml:space="preserve"> 1 Konwencji, który w odpowiednich fragmentach brzmi następująco:</w:t>
      </w:r>
    </w:p>
    <w:p w14:paraId="3915D212" w14:textId="7FD0C4FF" w:rsidR="00CC1663" w:rsidRPr="006B794F" w:rsidRDefault="002C3FC1" w:rsidP="00695BDC">
      <w:pPr>
        <w:pStyle w:val="JuQuot"/>
        <w:rPr>
          <w:lang w:val="pl-PL"/>
        </w:rPr>
      </w:pPr>
      <w:r>
        <w:rPr>
          <w:lang w:val="pl-PL"/>
        </w:rPr>
        <w:t>„</w:t>
      </w:r>
      <w:r w:rsidR="0055094D" w:rsidRPr="006B794F">
        <w:rPr>
          <w:lang w:val="pl-PL"/>
        </w:rPr>
        <w:t xml:space="preserve">Każdy ma prawo do sprawiedliwego </w:t>
      </w:r>
      <w:r w:rsidR="00187FBB" w:rsidRPr="006B794F">
        <w:rPr>
          <w:lang w:val="pl-PL"/>
        </w:rPr>
        <w:t xml:space="preserve">(...) </w:t>
      </w:r>
      <w:r w:rsidR="0055094D" w:rsidRPr="006B794F">
        <w:rPr>
          <w:lang w:val="pl-PL"/>
        </w:rPr>
        <w:t>rozpatrzenia jego sprawy (...) przez nieza</w:t>
      </w:r>
      <w:r w:rsidR="00187FBB" w:rsidRPr="006B794F">
        <w:rPr>
          <w:lang w:val="pl-PL"/>
        </w:rPr>
        <w:t>wisły</w:t>
      </w:r>
      <w:r w:rsidR="0055094D" w:rsidRPr="006B794F">
        <w:rPr>
          <w:lang w:val="pl-PL"/>
        </w:rPr>
        <w:t xml:space="preserve"> i bezstronny sąd ustanowiony ustawą</w:t>
      </w:r>
      <w:r w:rsidR="00187FBB" w:rsidRPr="006B794F">
        <w:rPr>
          <w:lang w:val="pl-PL"/>
        </w:rPr>
        <w:t xml:space="preserve"> </w:t>
      </w:r>
      <w:r w:rsidR="0055094D" w:rsidRPr="006B794F">
        <w:rPr>
          <w:lang w:val="pl-PL"/>
        </w:rPr>
        <w:t>przy rozstrzyganiu o jego prawach i</w:t>
      </w:r>
      <w:r w:rsidR="00265848" w:rsidRPr="006B794F">
        <w:rPr>
          <w:lang w:val="pl-PL"/>
        </w:rPr>
        <w:t> </w:t>
      </w:r>
      <w:r w:rsidR="0055094D" w:rsidRPr="006B794F">
        <w:rPr>
          <w:lang w:val="pl-PL"/>
        </w:rPr>
        <w:t>obowiązkach</w:t>
      </w:r>
      <w:r w:rsidR="00695BDC" w:rsidRPr="006B794F">
        <w:rPr>
          <w:lang w:val="pl-PL"/>
        </w:rPr>
        <w:t xml:space="preserve"> </w:t>
      </w:r>
      <w:r w:rsidR="0055094D" w:rsidRPr="006B794F">
        <w:rPr>
          <w:lang w:val="pl-PL"/>
        </w:rPr>
        <w:t>o charakterze cywilnym (...)</w:t>
      </w:r>
      <w:r>
        <w:rPr>
          <w:lang w:val="pl-PL"/>
        </w:rPr>
        <w:t>”</w:t>
      </w:r>
      <w:r w:rsidR="0055094D" w:rsidRPr="006B794F">
        <w:rPr>
          <w:lang w:val="pl-PL"/>
        </w:rPr>
        <w:t>.</w:t>
      </w:r>
    </w:p>
    <w:p w14:paraId="1528D2B6" w14:textId="77777777" w:rsidR="00CC1663" w:rsidRPr="006B794F" w:rsidRDefault="00000000" w:rsidP="00695BDC">
      <w:pPr>
        <w:pStyle w:val="JuHA"/>
        <w:rPr>
          <w:lang w:val="pl-PL"/>
        </w:rPr>
      </w:pPr>
      <w:r w:rsidRPr="006B794F">
        <w:rPr>
          <w:lang w:val="pl-PL"/>
        </w:rPr>
        <w:lastRenderedPageBreak/>
        <w:t>Argumenty stron</w:t>
      </w:r>
    </w:p>
    <w:p w14:paraId="5A283F3F" w14:textId="283E1C76" w:rsidR="00CC1663" w:rsidRPr="006B794F" w:rsidRDefault="00A430BD" w:rsidP="00695BDC">
      <w:pPr>
        <w:pStyle w:val="JuPara"/>
        <w:keepNext/>
        <w:keepLines/>
        <w:rPr>
          <w:lang w:val="pl-PL"/>
        </w:rPr>
      </w:pPr>
      <w:r w:rsidRPr="006B794F">
        <w:rPr>
          <w:lang w:val="pl-PL"/>
        </w:rPr>
        <w:t>36.</w:t>
      </w:r>
      <w:r w:rsidR="006C2A0A" w:rsidRPr="006B794F">
        <w:rPr>
          <w:lang w:val="pl-PL"/>
        </w:rPr>
        <w:t xml:space="preserve"> </w:t>
      </w:r>
      <w:r w:rsidRPr="006B794F">
        <w:rPr>
          <w:lang w:val="pl-PL"/>
        </w:rPr>
        <w:t>Rząd stwierdził, że prawo krajowe przewiduje dwa terminy przedawnienia przy zastosowaniu postępowania dyscyplinarnego przeciwko sędziom: jeden wynoszący trzydzieści dni od zakończenia dochodzenia dyscyplinarnego i drugi wynoszący dwa lata od popełnienia czynów (zob.</w:t>
      </w:r>
      <w:r w:rsidR="00265848" w:rsidRPr="006B794F">
        <w:rPr>
          <w:lang w:val="pl-PL"/>
        </w:rPr>
        <w:t> </w:t>
      </w:r>
      <w:r w:rsidRPr="006B794F">
        <w:rPr>
          <w:lang w:val="pl-PL"/>
        </w:rPr>
        <w:t>art.</w:t>
      </w:r>
      <w:r w:rsidR="00265848" w:rsidRPr="006B794F">
        <w:rPr>
          <w:lang w:val="pl-PL"/>
        </w:rPr>
        <w:t> </w:t>
      </w:r>
      <w:r w:rsidRPr="006B794F">
        <w:rPr>
          <w:lang w:val="pl-PL"/>
        </w:rPr>
        <w:t>46 § 7 ustawy nr 317/2004, cytowany w paragrafie 29 powyżej).</w:t>
      </w:r>
      <w:r w:rsidR="00695BDC" w:rsidRPr="006B794F">
        <w:rPr>
          <w:lang w:val="pl-PL"/>
        </w:rPr>
        <w:t xml:space="preserve"> </w:t>
      </w:r>
      <w:r w:rsidRPr="006B794F">
        <w:rPr>
          <w:lang w:val="pl-PL"/>
        </w:rPr>
        <w:t xml:space="preserve">Byłaby to specyfika dziedziny odpowiedzialności sędziowskiej, która miałaby zapewnić sędziom wieloetapową procedurę z odwołaniami do sądów krajowych. Rząd wskazał następnie, że sprawa </w:t>
      </w:r>
      <w:r w:rsidRPr="006B794F">
        <w:rPr>
          <w:i/>
          <w:iCs/>
          <w:lang w:val="pl-PL"/>
        </w:rPr>
        <w:t xml:space="preserve">Oleksandr Volkov </w:t>
      </w:r>
      <w:r w:rsidRPr="006B794F">
        <w:rPr>
          <w:i/>
          <w:iCs/>
          <w:szCs w:val="22"/>
          <w:lang w:val="pl-PL"/>
        </w:rPr>
        <w:t>przeciwko Ukrainie</w:t>
      </w:r>
      <w:r w:rsidRPr="006B794F">
        <w:rPr>
          <w:szCs w:val="22"/>
          <w:lang w:val="pl-PL"/>
        </w:rPr>
        <w:t xml:space="preserve"> (nr</w:t>
      </w:r>
      <w:r w:rsidRPr="006B794F">
        <w:rPr>
          <w:lang w:val="pl-PL"/>
        </w:rPr>
        <w:t xml:space="preserve"> 21722/11, ETPC 2013), na którą powołuje się skarżący,</w:t>
      </w:r>
      <w:r w:rsidRPr="006B794F">
        <w:rPr>
          <w:i/>
          <w:iCs/>
          <w:lang w:val="pl-PL"/>
        </w:rPr>
        <w:t xml:space="preserve"> </w:t>
      </w:r>
      <w:r w:rsidRPr="006B794F">
        <w:rPr>
          <w:lang w:val="pl-PL"/>
        </w:rPr>
        <w:t>dotyczyła kary dyscyplinarnej nałożonej kilka lat po wydarzeniach, że system prawny będący przedmiotem tej sprawy nie przewidywał żadnego terminu przedawnienia wy</w:t>
      </w:r>
      <w:r w:rsidR="00E14135" w:rsidRPr="006B794F">
        <w:rPr>
          <w:lang w:val="pl-PL"/>
        </w:rPr>
        <w:t>kluczenia</w:t>
      </w:r>
      <w:r w:rsidRPr="006B794F">
        <w:rPr>
          <w:lang w:val="pl-PL"/>
        </w:rPr>
        <w:t xml:space="preserve"> z sądownictwa i że w rezultacie skarżącemu uniemożliwiono zorganizowanie obrony.</w:t>
      </w:r>
    </w:p>
    <w:p w14:paraId="550F3764" w14:textId="3CCBE60C" w:rsidR="00CC1663" w:rsidRPr="006B794F" w:rsidRDefault="00695BDC" w:rsidP="00695BDC">
      <w:pPr>
        <w:pStyle w:val="JuPara"/>
        <w:rPr>
          <w:lang w:val="pl-PL"/>
        </w:rPr>
      </w:pPr>
      <w:r w:rsidRPr="006B794F">
        <w:rPr>
          <w:noProof/>
          <w:lang w:val="pl-PL"/>
        </w:rPr>
        <w:t>3</w:t>
      </w:r>
      <w:r w:rsidR="00A430BD" w:rsidRPr="006B794F">
        <w:rPr>
          <w:noProof/>
          <w:lang w:val="pl-PL"/>
        </w:rPr>
        <w:t>7</w:t>
      </w:r>
      <w:r w:rsidRPr="006B794F">
        <w:rPr>
          <w:lang w:val="pl-PL"/>
        </w:rPr>
        <w:t>.</w:t>
      </w:r>
      <w:r w:rsidR="006C2A0A" w:rsidRPr="006B794F">
        <w:rPr>
          <w:lang w:val="pl-PL"/>
        </w:rPr>
        <w:t xml:space="preserve"> </w:t>
      </w:r>
      <w:r w:rsidRPr="006B794F">
        <w:rPr>
          <w:lang w:val="pl-PL"/>
        </w:rPr>
        <w:t xml:space="preserve">Skarżąca odpowiedziała, że prawo krajowe nie przewiduje żadnego terminu przedawnienia odpowiedzialności dyscyplinarnej członków sądownictwa, a jedynie okres przedawnienia prawa wykonania działań dyscyplinujących, co jej zdaniem było równoznaczne z uznaniem odpowiedzialności dyscyplinarnej </w:t>
      </w:r>
      <w:r w:rsidRPr="006B794F">
        <w:rPr>
          <w:i/>
          <w:iCs/>
          <w:lang w:val="pl-PL"/>
        </w:rPr>
        <w:t>sine die</w:t>
      </w:r>
      <w:r w:rsidRPr="006B794F">
        <w:rPr>
          <w:lang w:val="pl-PL"/>
        </w:rPr>
        <w:t xml:space="preserve"> i stanowiło podejście otwarte, poważnie zagrażające bezpieczeństwu stosunków prawnych.</w:t>
      </w:r>
    </w:p>
    <w:p w14:paraId="43CCD98F" w14:textId="77777777" w:rsidR="00CC1663" w:rsidRPr="006B794F" w:rsidRDefault="00000000" w:rsidP="00695BDC">
      <w:pPr>
        <w:pStyle w:val="JuHA"/>
        <w:rPr>
          <w:lang w:val="pl-PL"/>
        </w:rPr>
      </w:pPr>
      <w:r w:rsidRPr="006B794F">
        <w:rPr>
          <w:lang w:val="pl-PL"/>
        </w:rPr>
        <w:t>Ocena Trybunału</w:t>
      </w:r>
    </w:p>
    <w:p w14:paraId="24C321CF" w14:textId="708EEEA2" w:rsidR="00CC1663" w:rsidRPr="006B794F" w:rsidRDefault="00A430BD" w:rsidP="00695BDC">
      <w:pPr>
        <w:pStyle w:val="JuPara"/>
        <w:rPr>
          <w:lang w:val="pl-PL"/>
        </w:rPr>
      </w:pPr>
      <w:r w:rsidRPr="006B794F">
        <w:rPr>
          <w:noProof/>
          <w:lang w:val="pl-PL"/>
        </w:rPr>
        <w:t>38</w:t>
      </w:r>
      <w:r w:rsidRPr="006B794F">
        <w:rPr>
          <w:lang w:val="pl-PL"/>
        </w:rPr>
        <w:t>.</w:t>
      </w:r>
      <w:r w:rsidR="006C2A0A" w:rsidRPr="006B794F">
        <w:rPr>
          <w:lang w:val="pl-PL"/>
        </w:rPr>
        <w:t xml:space="preserve"> </w:t>
      </w:r>
      <w:r w:rsidRPr="006B794F">
        <w:rPr>
          <w:lang w:val="pl-PL"/>
        </w:rPr>
        <w:t xml:space="preserve">Trybunał przypomniał, że ustawowe terminy przedawnienia, które należą do </w:t>
      </w:r>
      <w:r w:rsidR="009F610F" w:rsidRPr="006B794F">
        <w:rPr>
          <w:lang w:val="pl-PL"/>
        </w:rPr>
        <w:t>uprawnionych</w:t>
      </w:r>
      <w:r w:rsidRPr="006B794F">
        <w:rPr>
          <w:lang w:val="pl-PL"/>
        </w:rPr>
        <w:t xml:space="preserve"> ograniczeń prawa do sądu, służą kilku ważnym celom: zapewnieniu pewności prawa poprzez wyznaczenie granicy czasowej powództw, ochronie potencjalnych pozwanych przed spóźnionymi roszczeniami, które mogą być trudne do odparcia, oraz zapobieganiu niesprawiedliwości, która mogłaby wystąpić, gdyby sądy zostały wezwane do orzekania o zdarzeniach z odległej przeszłości na podstawie dowodów, na</w:t>
      </w:r>
      <w:r w:rsidR="00265848" w:rsidRPr="006B794F">
        <w:rPr>
          <w:lang w:val="pl-PL"/>
        </w:rPr>
        <w:t> </w:t>
      </w:r>
      <w:r w:rsidRPr="006B794F">
        <w:rPr>
          <w:lang w:val="pl-PL"/>
        </w:rPr>
        <w:t xml:space="preserve">których nie można się już oprzeć i które byłyby niekompletne ze względu na upływ czasu (zob. np. </w:t>
      </w:r>
      <w:r w:rsidRPr="006B794F">
        <w:rPr>
          <w:i/>
          <w:iCs/>
          <w:lang w:val="pl-PL"/>
        </w:rPr>
        <w:t>Stubbings i inni przeciwko Zjednoczonemu Królestwu</w:t>
      </w:r>
      <w:r w:rsidRPr="006B794F">
        <w:rPr>
          <w:lang w:val="pl-PL"/>
        </w:rPr>
        <w:t xml:space="preserve">, 22 października 1996 r., § 51, </w:t>
      </w:r>
      <w:r w:rsidRPr="006B794F">
        <w:rPr>
          <w:i/>
          <w:iCs/>
          <w:lang w:val="pl-PL"/>
        </w:rPr>
        <w:t xml:space="preserve">Zbiór wyroków i decyzji </w:t>
      </w:r>
      <w:r w:rsidRPr="006B794F">
        <w:rPr>
          <w:lang w:val="pl-PL"/>
        </w:rPr>
        <w:t xml:space="preserve">1996 IV; </w:t>
      </w:r>
      <w:r w:rsidRPr="006B794F">
        <w:rPr>
          <w:i/>
          <w:iCs/>
          <w:lang w:val="pl-PL"/>
        </w:rPr>
        <w:t>Stagno przeciwko Belgii</w:t>
      </w:r>
      <w:r w:rsidRPr="006B794F">
        <w:rPr>
          <w:lang w:val="pl-PL"/>
        </w:rPr>
        <w:t>,</w:t>
      </w:r>
      <w:r w:rsidRPr="006B794F">
        <w:rPr>
          <w:vertAlign w:val="superscript"/>
          <w:lang w:val="pl-PL"/>
        </w:rPr>
        <w:t xml:space="preserve"> </w:t>
      </w:r>
      <w:r w:rsidRPr="006B794F">
        <w:rPr>
          <w:lang w:val="pl-PL"/>
        </w:rPr>
        <w:t xml:space="preserve">nr 1062/07, § 26, 7 lipca 2009 r.; oraz </w:t>
      </w:r>
      <w:r w:rsidRPr="006B794F">
        <w:rPr>
          <w:i/>
          <w:iCs/>
          <w:lang w:val="pl-PL"/>
        </w:rPr>
        <w:t>Howald Moor</w:t>
      </w:r>
      <w:r w:rsidRPr="006B794F">
        <w:rPr>
          <w:lang w:val="pl-PL"/>
        </w:rPr>
        <w:t xml:space="preserve"> </w:t>
      </w:r>
      <w:r w:rsidRPr="006B794F">
        <w:rPr>
          <w:i/>
          <w:iCs/>
          <w:lang w:val="pl-PL"/>
        </w:rPr>
        <w:t>i inni przeciwko Szwajcarii</w:t>
      </w:r>
      <w:r w:rsidRPr="006B794F">
        <w:rPr>
          <w:lang w:val="pl-PL"/>
        </w:rPr>
        <w:t>, nr 52067/10 i 41072/11, §§ 71-72, 11 marca 2014</w:t>
      </w:r>
      <w:r w:rsidR="00265848" w:rsidRPr="006B794F">
        <w:rPr>
          <w:lang w:val="pl-PL"/>
        </w:rPr>
        <w:t> </w:t>
      </w:r>
      <w:r w:rsidRPr="006B794F">
        <w:rPr>
          <w:lang w:val="pl-PL"/>
        </w:rPr>
        <w:t>r.).</w:t>
      </w:r>
    </w:p>
    <w:p w14:paraId="6CF4DA63" w14:textId="1E404695" w:rsidR="00CC1663" w:rsidRPr="006B794F" w:rsidRDefault="00A430BD" w:rsidP="00695BDC">
      <w:pPr>
        <w:pStyle w:val="JuPara"/>
        <w:rPr>
          <w:lang w:val="pl-PL"/>
        </w:rPr>
      </w:pPr>
      <w:r w:rsidRPr="006B794F">
        <w:rPr>
          <w:noProof/>
          <w:lang w:val="pl-PL"/>
        </w:rPr>
        <w:t>39</w:t>
      </w:r>
      <w:r w:rsidRPr="006B794F">
        <w:rPr>
          <w:lang w:val="pl-PL"/>
        </w:rPr>
        <w:t>.</w:t>
      </w:r>
      <w:r w:rsidR="006C2A0A" w:rsidRPr="006B794F">
        <w:rPr>
          <w:lang w:val="pl-PL"/>
        </w:rPr>
        <w:t xml:space="preserve"> </w:t>
      </w:r>
      <w:r w:rsidRPr="006B794F">
        <w:rPr>
          <w:lang w:val="pl-PL"/>
        </w:rPr>
        <w:t>Na podstawie tego zapisu Trybunał zbadał, w orzecznictwie przywołanym przez skarżącą, sytuację sędziego, który został usunięty z</w:t>
      </w:r>
      <w:r w:rsidR="00265848" w:rsidRPr="006B794F">
        <w:rPr>
          <w:lang w:val="pl-PL"/>
        </w:rPr>
        <w:t> </w:t>
      </w:r>
      <w:r w:rsidRPr="006B794F">
        <w:rPr>
          <w:lang w:val="pl-PL"/>
        </w:rPr>
        <w:t xml:space="preserve">urzędu w wyniku postępowania o odwołanie z powodu </w:t>
      </w:r>
      <w:r w:rsidR="002C3FC1">
        <w:rPr>
          <w:lang w:val="pl-PL"/>
        </w:rPr>
        <w:t>„</w:t>
      </w:r>
      <w:r w:rsidRPr="006B794F">
        <w:rPr>
          <w:lang w:val="pl-PL"/>
        </w:rPr>
        <w:t>złamania przysięgi</w:t>
      </w:r>
      <w:r w:rsidR="002C3FC1">
        <w:rPr>
          <w:lang w:val="pl-PL"/>
        </w:rPr>
        <w:t>”</w:t>
      </w:r>
      <w:r w:rsidRPr="006B794F">
        <w:rPr>
          <w:lang w:val="pl-PL"/>
        </w:rPr>
        <w:t xml:space="preserve"> i który złożył do Trybunału skargę na brak w prawie krajowym terminów przedawnienia w takim postępowaniu. Zauważył, że sędzia ten</w:t>
      </w:r>
      <w:r w:rsidR="00265848" w:rsidRPr="006B794F">
        <w:rPr>
          <w:lang w:val="pl-PL"/>
        </w:rPr>
        <w:t> </w:t>
      </w:r>
      <w:r w:rsidRPr="006B794F">
        <w:rPr>
          <w:lang w:val="pl-PL"/>
        </w:rPr>
        <w:t>znalazł się w trudnej sytuacji, ponieważ musiał zebrać dokumentację dla</w:t>
      </w:r>
      <w:r w:rsidR="00265848" w:rsidRPr="006B794F">
        <w:rPr>
          <w:lang w:val="pl-PL"/>
        </w:rPr>
        <w:t> </w:t>
      </w:r>
      <w:r w:rsidRPr="006B794F">
        <w:rPr>
          <w:lang w:val="pl-PL"/>
        </w:rPr>
        <w:t xml:space="preserve">swojej obrony w odniesieniu do wydarzeń, z których część miała miejsce </w:t>
      </w:r>
      <w:r w:rsidRPr="006B794F">
        <w:rPr>
          <w:lang w:val="pl-PL"/>
        </w:rPr>
        <w:lastRenderedPageBreak/>
        <w:t xml:space="preserve">w odległej przeszłości. Po zauważeniu, że prawo krajowe nie przewidywało okresu przedawnienia dla usunięcia sędziego za </w:t>
      </w:r>
      <w:r w:rsidR="002C3FC1">
        <w:rPr>
          <w:lang w:val="pl-PL"/>
        </w:rPr>
        <w:t>„</w:t>
      </w:r>
      <w:r w:rsidRPr="006B794F">
        <w:rPr>
          <w:lang w:val="pl-PL"/>
        </w:rPr>
        <w:t>złamanie przysięgi</w:t>
      </w:r>
      <w:r w:rsidR="002C3FC1">
        <w:rPr>
          <w:lang w:val="pl-PL"/>
        </w:rPr>
        <w:t>”</w:t>
      </w:r>
      <w:r w:rsidRPr="006B794F">
        <w:rPr>
          <w:lang w:val="pl-PL"/>
        </w:rPr>
        <w:t xml:space="preserve"> i</w:t>
      </w:r>
      <w:r w:rsidR="00265848" w:rsidRPr="006B794F">
        <w:rPr>
          <w:lang w:val="pl-PL"/>
        </w:rPr>
        <w:t> </w:t>
      </w:r>
      <w:r w:rsidRPr="006B794F">
        <w:rPr>
          <w:lang w:val="pl-PL"/>
        </w:rPr>
        <w:t xml:space="preserve">podkreśleniu, że takie nieograniczone podejście do spraw dyscyplinarnych dotyczących członków sądownictwa poważnie zagrażało pewności prawa, Trybunał stwierdził, że doszło do naruszenia </w:t>
      </w:r>
      <w:r w:rsidR="002A440F" w:rsidRPr="006B794F">
        <w:rPr>
          <w:lang w:val="pl-PL"/>
        </w:rPr>
        <w:t>art.</w:t>
      </w:r>
      <w:r w:rsidRPr="006B794F">
        <w:rPr>
          <w:lang w:val="pl-PL"/>
        </w:rPr>
        <w:t xml:space="preserve"> 6 </w:t>
      </w:r>
      <w:r w:rsidR="0055094D" w:rsidRPr="006B794F">
        <w:rPr>
          <w:lang w:val="pl-PL"/>
        </w:rPr>
        <w:t>ust.</w:t>
      </w:r>
      <w:r w:rsidRPr="006B794F">
        <w:rPr>
          <w:lang w:val="pl-PL"/>
        </w:rPr>
        <w:t xml:space="preserve"> 1 Konwencji ze</w:t>
      </w:r>
      <w:r w:rsidR="00265848" w:rsidRPr="006B794F">
        <w:rPr>
          <w:lang w:val="pl-PL"/>
        </w:rPr>
        <w:t> </w:t>
      </w:r>
      <w:r w:rsidRPr="006B794F">
        <w:rPr>
          <w:lang w:val="pl-PL"/>
        </w:rPr>
        <w:t xml:space="preserve">względu na naruszenie zasady pewności prawa przez brak okresu przedawnienia </w:t>
      </w:r>
      <w:r w:rsidRPr="006B794F">
        <w:rPr>
          <w:i/>
          <w:iCs/>
          <w:lang w:val="pl-PL"/>
        </w:rPr>
        <w:t>(</w:t>
      </w:r>
      <w:r w:rsidR="000E586C" w:rsidRPr="006B794F">
        <w:rPr>
          <w:lang w:val="pl-PL"/>
        </w:rPr>
        <w:t>zob.</w:t>
      </w:r>
      <w:r w:rsidRPr="006B794F">
        <w:rPr>
          <w:i/>
          <w:iCs/>
          <w:lang w:val="pl-PL"/>
        </w:rPr>
        <w:t xml:space="preserve"> Oleksandr Volkov</w:t>
      </w:r>
      <w:r w:rsidRPr="006B794F">
        <w:rPr>
          <w:lang w:val="pl-PL"/>
        </w:rPr>
        <w:t xml:space="preserve">, </w:t>
      </w:r>
      <w:r w:rsidR="008D0ECD" w:rsidRPr="006B794F">
        <w:rPr>
          <w:lang w:val="pl-PL"/>
        </w:rPr>
        <w:t>cyt. powyżej</w:t>
      </w:r>
      <w:r w:rsidRPr="006B794F">
        <w:rPr>
          <w:lang w:val="pl-PL"/>
        </w:rPr>
        <w:t>, §§ 138-140).</w:t>
      </w:r>
    </w:p>
    <w:p w14:paraId="086B0027" w14:textId="63EC460A" w:rsidR="00CC1663" w:rsidRPr="006B794F" w:rsidRDefault="00A430BD" w:rsidP="00695BDC">
      <w:pPr>
        <w:pStyle w:val="JuPara"/>
        <w:rPr>
          <w:lang w:val="pl-PL"/>
        </w:rPr>
      </w:pPr>
      <w:r w:rsidRPr="006B794F">
        <w:rPr>
          <w:noProof/>
          <w:lang w:val="pl-PL"/>
        </w:rPr>
        <w:t>40</w:t>
      </w:r>
      <w:r w:rsidRPr="006B794F">
        <w:rPr>
          <w:lang w:val="pl-PL"/>
        </w:rPr>
        <w:t>.</w:t>
      </w:r>
      <w:r w:rsidR="006C2A0A" w:rsidRPr="006B794F">
        <w:rPr>
          <w:lang w:val="pl-PL"/>
        </w:rPr>
        <w:t xml:space="preserve"> </w:t>
      </w:r>
      <w:r w:rsidRPr="006B794F">
        <w:rPr>
          <w:lang w:val="pl-PL"/>
        </w:rPr>
        <w:t xml:space="preserve">Trybunał przypomina również, że wielokrotnie podkreślał, iż zasada pewności prawa, której celem jest w szczególności zagwarantowanie pewnej stabilności sytuacji prawnych i budowanie zaufania publicznego do wymiaru sprawiedliwości, stanowi jeden z podstawowych elementów </w:t>
      </w:r>
      <w:r w:rsidR="008D0ECD" w:rsidRPr="006B794F">
        <w:rPr>
          <w:lang w:val="pl-PL"/>
        </w:rPr>
        <w:t>p</w:t>
      </w:r>
      <w:r w:rsidRPr="006B794F">
        <w:rPr>
          <w:lang w:val="pl-PL"/>
        </w:rPr>
        <w:t>aństwa prawa (zob. na przykład</w:t>
      </w:r>
      <w:r w:rsidR="00695BDC" w:rsidRPr="006B794F">
        <w:rPr>
          <w:lang w:val="pl-PL"/>
        </w:rPr>
        <w:t xml:space="preserve"> </w:t>
      </w:r>
      <w:r w:rsidRPr="006B794F">
        <w:rPr>
          <w:i/>
          <w:iCs/>
          <w:lang w:val="pl-PL"/>
        </w:rPr>
        <w:t>Parafia grecko-katolicka w Lupeni i inni przeciwko Rumunii</w:t>
      </w:r>
      <w:r w:rsidRPr="006B794F">
        <w:rPr>
          <w:lang w:val="pl-PL"/>
        </w:rPr>
        <w:t xml:space="preserve"> [Wielka Izba], skarga nr 76943/11, § 116 (a), 29 listopada 2016 r.).</w:t>
      </w:r>
    </w:p>
    <w:p w14:paraId="0BF19922" w14:textId="2ECD7DDB" w:rsidR="00CC1663" w:rsidRPr="006B794F" w:rsidRDefault="00A430BD" w:rsidP="00695BDC">
      <w:pPr>
        <w:pStyle w:val="JuPara"/>
        <w:rPr>
          <w:lang w:val="pl-PL"/>
        </w:rPr>
      </w:pPr>
      <w:r w:rsidRPr="006B794F">
        <w:rPr>
          <w:noProof/>
          <w:lang w:val="pl-PL"/>
        </w:rPr>
        <w:t>41</w:t>
      </w:r>
      <w:r w:rsidRPr="006B794F">
        <w:rPr>
          <w:lang w:val="pl-PL"/>
        </w:rPr>
        <w:t>.</w:t>
      </w:r>
      <w:r w:rsidR="006C2A0A" w:rsidRPr="006B794F">
        <w:rPr>
          <w:lang w:val="pl-PL"/>
        </w:rPr>
        <w:t xml:space="preserve"> </w:t>
      </w:r>
      <w:r w:rsidRPr="006B794F">
        <w:rPr>
          <w:lang w:val="pl-PL"/>
        </w:rPr>
        <w:t xml:space="preserve">W takiej sytuacji, Trybunał musi przeanalizować, czy zarzut braku przedawnienia nałożenia kary dyscyplinarnej na sędziów naruszył bezstronność postępowania i zasadę pewności prawa. Trybunał zauważa również, że odpowiednie przepisy krajowe przewidywały dwa terminy przedawnienia (zob. </w:t>
      </w:r>
      <w:r w:rsidR="00D67110" w:rsidRPr="006B794F">
        <w:rPr>
          <w:lang w:val="pl-PL"/>
        </w:rPr>
        <w:t xml:space="preserve">paragraf </w:t>
      </w:r>
      <w:r w:rsidRPr="006B794F">
        <w:rPr>
          <w:lang w:val="pl-PL"/>
        </w:rPr>
        <w:t>29 powyżej) oraz że czas trwania dochodzenia dyscyplinarnego nie był ograniczony w czasie.</w:t>
      </w:r>
    </w:p>
    <w:p w14:paraId="4E8C7356" w14:textId="75EF8A2D" w:rsidR="00CC1663" w:rsidRPr="006B794F" w:rsidRDefault="00A430BD" w:rsidP="00695BDC">
      <w:pPr>
        <w:pStyle w:val="JuPara"/>
        <w:rPr>
          <w:lang w:val="pl-PL"/>
        </w:rPr>
      </w:pPr>
      <w:r w:rsidRPr="006B794F">
        <w:rPr>
          <w:noProof/>
          <w:lang w:val="pl-PL"/>
        </w:rPr>
        <w:t>42</w:t>
      </w:r>
      <w:r w:rsidRPr="006B794F">
        <w:rPr>
          <w:lang w:val="pl-PL"/>
        </w:rPr>
        <w:t>.</w:t>
      </w:r>
      <w:r w:rsidR="006C2A0A" w:rsidRPr="006B794F">
        <w:rPr>
          <w:lang w:val="pl-PL"/>
        </w:rPr>
        <w:t xml:space="preserve"> </w:t>
      </w:r>
      <w:r w:rsidRPr="006B794F">
        <w:rPr>
          <w:lang w:val="pl-PL"/>
        </w:rPr>
        <w:t>Trybunał przypomina, że aby móc złożyć skargę na podstawie art. 34 Konwencji, osoba fizyczna, organizacja pozarządowa lub grupa osób musi być w stanie twierdzić, że jest ofiarą naruszenia praw uznanych w Konwencji. Aby móc twierdzić, że jest się ofiarą naruszenia, jednostka musi bezpośrednio odczuć skutki danego spornego środka.</w:t>
      </w:r>
      <w:r w:rsidR="00695BDC" w:rsidRPr="006B794F">
        <w:rPr>
          <w:lang w:val="pl-PL"/>
        </w:rPr>
        <w:t xml:space="preserve"> </w:t>
      </w:r>
      <w:r w:rsidRPr="006B794F">
        <w:rPr>
          <w:lang w:val="pl-PL"/>
        </w:rPr>
        <w:t xml:space="preserve">Tak więc, Konwencja nie przewiduje możliwości zastosowania </w:t>
      </w:r>
      <w:r w:rsidRPr="006B794F">
        <w:rPr>
          <w:i/>
          <w:iCs/>
          <w:lang w:val="pl-PL"/>
        </w:rPr>
        <w:t xml:space="preserve">actio popularis </w:t>
      </w:r>
      <w:r w:rsidRPr="006B794F">
        <w:rPr>
          <w:lang w:val="pl-PL"/>
        </w:rPr>
        <w:t>w celu interpretacji praw w niej uznanych; nie pozwala też jednostkom na składanie skarg na przepis prawa krajowego tylko dlatego, że wydaje im się, że narusza on Konwencję, chociaż nie doświadczyli oni bezpośrednio jego skutków, (zob.</w:t>
      </w:r>
      <w:r w:rsidRPr="006B794F">
        <w:rPr>
          <w:i/>
          <w:iCs/>
          <w:lang w:val="pl-PL"/>
        </w:rPr>
        <w:t xml:space="preserve"> Tănase przeciwko Mołdawii </w:t>
      </w:r>
      <w:r w:rsidRPr="006B794F">
        <w:rPr>
          <w:lang w:val="pl-PL"/>
        </w:rPr>
        <w:t xml:space="preserve">[Wielka Izba], nr 7/08, § 104, ETPC 2010, oraz </w:t>
      </w:r>
      <w:r w:rsidRPr="006B794F">
        <w:rPr>
          <w:i/>
          <w:iCs/>
          <w:lang w:val="pl-PL"/>
        </w:rPr>
        <w:t xml:space="preserve">Burden przeciwko Zjednoczonemu Królestwu </w:t>
      </w:r>
      <w:r w:rsidRPr="006B794F">
        <w:rPr>
          <w:lang w:val="pl-PL"/>
        </w:rPr>
        <w:t>[Wielka Izba],</w:t>
      </w:r>
      <w:r w:rsidR="00695BDC" w:rsidRPr="006B794F">
        <w:rPr>
          <w:lang w:val="pl-PL"/>
        </w:rPr>
        <w:t xml:space="preserve"> </w:t>
      </w:r>
      <w:r w:rsidRPr="006B794F">
        <w:rPr>
          <w:lang w:val="pl-PL"/>
        </w:rPr>
        <w:t>nr</w:t>
      </w:r>
      <w:r w:rsidRPr="006B794F">
        <w:rPr>
          <w:vertAlign w:val="superscript"/>
          <w:lang w:val="pl-PL"/>
        </w:rPr>
        <w:t xml:space="preserve"> </w:t>
      </w:r>
      <w:r w:rsidRPr="006B794F">
        <w:rPr>
          <w:lang w:val="pl-PL"/>
        </w:rPr>
        <w:t>13378/05, § 33, ETPC 2008).</w:t>
      </w:r>
    </w:p>
    <w:p w14:paraId="7D3176BE" w14:textId="44EF77A3" w:rsidR="00CC1663" w:rsidRPr="006B794F" w:rsidRDefault="00A430BD" w:rsidP="00695BDC">
      <w:pPr>
        <w:pStyle w:val="JuPara"/>
        <w:rPr>
          <w:lang w:val="pl-PL"/>
        </w:rPr>
      </w:pPr>
      <w:r w:rsidRPr="006B794F">
        <w:rPr>
          <w:noProof/>
          <w:lang w:val="pl-PL"/>
        </w:rPr>
        <w:t>43</w:t>
      </w:r>
      <w:r w:rsidRPr="006B794F">
        <w:rPr>
          <w:lang w:val="pl-PL"/>
        </w:rPr>
        <w:t>.</w:t>
      </w:r>
      <w:r w:rsidR="006C2A0A" w:rsidRPr="006B794F">
        <w:rPr>
          <w:lang w:val="pl-PL"/>
        </w:rPr>
        <w:t xml:space="preserve"> </w:t>
      </w:r>
      <w:r w:rsidRPr="006B794F">
        <w:rPr>
          <w:lang w:val="pl-PL"/>
        </w:rPr>
        <w:t xml:space="preserve">W tej ostatniej kwestii Trybunał zauważa, że w skardze skarżąca twierdzi, że sam brak w przepisach krajowych terminu przedawnienia nałożenia kary dyscyplinarnej na sędziów może zagrażać poszanowaniu zasady pewności stosunków prawnych w rozumieniu </w:t>
      </w:r>
      <w:r w:rsidR="0055094D" w:rsidRPr="006B794F">
        <w:rPr>
          <w:lang w:val="pl-PL"/>
        </w:rPr>
        <w:t>art. 6 ust. 1</w:t>
      </w:r>
      <w:r w:rsidRPr="006B794F">
        <w:rPr>
          <w:lang w:val="pl-PL"/>
        </w:rPr>
        <w:t xml:space="preserve"> Konwencji (zob. paragraf </w:t>
      </w:r>
      <w:r w:rsidR="00695BDC" w:rsidRPr="006B794F">
        <w:rPr>
          <w:noProof/>
          <w:lang w:val="pl-PL"/>
        </w:rPr>
        <w:t>1</w:t>
      </w:r>
      <w:r w:rsidRPr="006B794F">
        <w:rPr>
          <w:lang w:val="pl-PL"/>
        </w:rPr>
        <w:t xml:space="preserve"> powyżej). Trybunał zaznacza, że skarżąca nie wskazuje na</w:t>
      </w:r>
      <w:r w:rsidR="00265848" w:rsidRPr="006B794F">
        <w:rPr>
          <w:lang w:val="pl-PL"/>
        </w:rPr>
        <w:t> </w:t>
      </w:r>
      <w:r w:rsidRPr="006B794F">
        <w:rPr>
          <w:lang w:val="pl-PL"/>
        </w:rPr>
        <w:t>żaden bezpośredni środek indywidualny, któremu została poddana i który dotknął ją w wyniku braku przedmiotowych przepisów prawnych (zob.</w:t>
      </w:r>
      <w:r w:rsidR="00265848" w:rsidRPr="006B794F">
        <w:rPr>
          <w:lang w:val="pl-PL"/>
        </w:rPr>
        <w:t> </w:t>
      </w:r>
      <w:r w:rsidRPr="006B794F">
        <w:rPr>
          <w:i/>
          <w:iCs/>
          <w:lang w:val="pl-PL"/>
        </w:rPr>
        <w:t>a</w:t>
      </w:r>
      <w:r w:rsidR="00265848" w:rsidRPr="006B794F">
        <w:rPr>
          <w:i/>
          <w:iCs/>
          <w:lang w:val="pl-PL"/>
        </w:rPr>
        <w:t> </w:t>
      </w:r>
      <w:r w:rsidRPr="006B794F">
        <w:rPr>
          <w:i/>
          <w:iCs/>
          <w:lang w:val="pl-PL"/>
        </w:rPr>
        <w:t>contrario</w:t>
      </w:r>
      <w:r w:rsidRPr="006B794F">
        <w:rPr>
          <w:lang w:val="pl-PL"/>
        </w:rPr>
        <w:t xml:space="preserve">, </w:t>
      </w:r>
      <w:r w:rsidRPr="006B794F">
        <w:rPr>
          <w:i/>
          <w:iCs/>
          <w:lang w:val="pl-PL"/>
        </w:rPr>
        <w:t>Tănase</w:t>
      </w:r>
      <w:r w:rsidRPr="006B794F">
        <w:rPr>
          <w:lang w:val="pl-PL"/>
        </w:rPr>
        <w:t>, cyt. powyżej, § 108). Z końcu Trybunał stwierdza, że skarżąca nie znajduje się również w pozycji potencjalnej ofiary (zob.</w:t>
      </w:r>
      <w:r w:rsidR="00265848" w:rsidRPr="006B794F">
        <w:rPr>
          <w:lang w:val="pl-PL"/>
        </w:rPr>
        <w:t> </w:t>
      </w:r>
      <w:r w:rsidRPr="006B794F">
        <w:rPr>
          <w:i/>
          <w:iCs/>
          <w:lang w:val="pl-PL"/>
        </w:rPr>
        <w:t>a</w:t>
      </w:r>
      <w:r w:rsidR="00265848" w:rsidRPr="006B794F">
        <w:rPr>
          <w:i/>
          <w:iCs/>
          <w:lang w:val="pl-PL"/>
        </w:rPr>
        <w:t> </w:t>
      </w:r>
      <w:r w:rsidRPr="006B794F">
        <w:rPr>
          <w:i/>
          <w:iCs/>
          <w:lang w:val="pl-PL"/>
        </w:rPr>
        <w:t>contrario</w:t>
      </w:r>
      <w:r w:rsidRPr="006B794F">
        <w:rPr>
          <w:lang w:val="pl-PL"/>
        </w:rPr>
        <w:t xml:space="preserve">, </w:t>
      </w:r>
      <w:r w:rsidRPr="006B794F">
        <w:rPr>
          <w:i/>
          <w:iCs/>
          <w:lang w:val="pl-PL"/>
        </w:rPr>
        <w:t>Klass i inni przeciwko Niemcom</w:t>
      </w:r>
      <w:r w:rsidRPr="006B794F">
        <w:rPr>
          <w:lang w:val="pl-PL"/>
        </w:rPr>
        <w:t>, 6 września 1978 r., § 34, Seria A</w:t>
      </w:r>
      <w:r w:rsidRPr="006B794F">
        <w:rPr>
          <w:vertAlign w:val="superscript"/>
          <w:lang w:val="pl-PL"/>
        </w:rPr>
        <w:t xml:space="preserve"> </w:t>
      </w:r>
      <w:r w:rsidRPr="006B794F">
        <w:rPr>
          <w:lang w:val="pl-PL"/>
        </w:rPr>
        <w:t xml:space="preserve">nr 28, oraz </w:t>
      </w:r>
      <w:r w:rsidRPr="006B794F">
        <w:rPr>
          <w:i/>
          <w:iCs/>
          <w:lang w:val="pl-PL"/>
        </w:rPr>
        <w:t>Dudgeon przeciwko Zjednoczonemu Królestwu</w:t>
      </w:r>
      <w:r w:rsidRPr="006B794F">
        <w:rPr>
          <w:lang w:val="pl-PL"/>
        </w:rPr>
        <w:t>, 22</w:t>
      </w:r>
      <w:r w:rsidR="00265848" w:rsidRPr="006B794F">
        <w:rPr>
          <w:lang w:val="pl-PL"/>
        </w:rPr>
        <w:t> </w:t>
      </w:r>
      <w:r w:rsidRPr="006B794F">
        <w:rPr>
          <w:lang w:val="pl-PL"/>
        </w:rPr>
        <w:t xml:space="preserve">października 1981 r., § 41, Seria A nr 45), nie przedstawiwszy żadnego rozsądnego i przekonującego dowodu prawdopodobieństwa naruszenia dotykającego ją osobiście (zob. </w:t>
      </w:r>
      <w:r w:rsidRPr="006B794F">
        <w:rPr>
          <w:i/>
          <w:iCs/>
          <w:lang w:val="pl-PL"/>
        </w:rPr>
        <w:t>mutatis mutandis</w:t>
      </w:r>
      <w:r w:rsidRPr="006B794F">
        <w:rPr>
          <w:lang w:val="pl-PL"/>
        </w:rPr>
        <w:t>,</w:t>
      </w:r>
      <w:r w:rsidRPr="006B794F">
        <w:rPr>
          <w:i/>
          <w:iCs/>
          <w:lang w:val="pl-PL"/>
        </w:rPr>
        <w:t xml:space="preserve"> Tauira i 18 innych </w:t>
      </w:r>
      <w:r w:rsidRPr="006B794F">
        <w:rPr>
          <w:i/>
          <w:iCs/>
          <w:lang w:val="pl-PL"/>
        </w:rPr>
        <w:lastRenderedPageBreak/>
        <w:t>przeciwko Francji</w:t>
      </w:r>
      <w:r w:rsidRPr="006B794F">
        <w:rPr>
          <w:lang w:val="pl-PL"/>
        </w:rPr>
        <w:t>,</w:t>
      </w:r>
      <w:r w:rsidRPr="006B794F">
        <w:rPr>
          <w:vertAlign w:val="superscript"/>
          <w:lang w:val="pl-PL"/>
        </w:rPr>
        <w:t xml:space="preserve"> </w:t>
      </w:r>
      <w:r w:rsidRPr="006B794F">
        <w:rPr>
          <w:lang w:val="pl-PL"/>
        </w:rPr>
        <w:t>nr 28204/95, decyzja Komisji z 4 grudnia 1995 r., Decyzje i raporty (DR) 83-A, str.</w:t>
      </w:r>
      <w:r w:rsidR="006C2A0A" w:rsidRPr="006B794F">
        <w:rPr>
          <w:lang w:val="pl-PL"/>
        </w:rPr>
        <w:t xml:space="preserve"> </w:t>
      </w:r>
      <w:r w:rsidRPr="006B794F">
        <w:rPr>
          <w:lang w:val="pl-PL"/>
        </w:rPr>
        <w:t>112-131).</w:t>
      </w:r>
    </w:p>
    <w:p w14:paraId="6DA54251" w14:textId="346A43BE" w:rsidR="00CC1663" w:rsidRPr="006B794F" w:rsidRDefault="00A430BD" w:rsidP="00695BDC">
      <w:pPr>
        <w:pStyle w:val="JuPara"/>
        <w:rPr>
          <w:lang w:val="pl-PL"/>
        </w:rPr>
      </w:pPr>
      <w:r w:rsidRPr="006B794F">
        <w:rPr>
          <w:noProof/>
          <w:lang w:val="pl-PL"/>
        </w:rPr>
        <w:t>44</w:t>
      </w:r>
      <w:r w:rsidRPr="006B794F">
        <w:rPr>
          <w:lang w:val="pl-PL"/>
        </w:rPr>
        <w:t>.</w:t>
      </w:r>
      <w:r w:rsidR="006C2A0A" w:rsidRPr="006B794F">
        <w:rPr>
          <w:lang w:val="pl-PL"/>
        </w:rPr>
        <w:t xml:space="preserve"> </w:t>
      </w:r>
      <w:r w:rsidRPr="006B794F">
        <w:rPr>
          <w:lang w:val="pl-PL"/>
        </w:rPr>
        <w:t>W tym stanie rzeczy Trybunał jest zdania, że wziąwszy pod uwagę sposób sformułowania</w:t>
      </w:r>
      <w:r w:rsidR="00EE498E">
        <w:rPr>
          <w:lang w:val="pl-PL"/>
        </w:rPr>
        <w:t xml:space="preserve"> zarzutu</w:t>
      </w:r>
      <w:r w:rsidRPr="006B794F">
        <w:rPr>
          <w:lang w:val="pl-PL"/>
        </w:rPr>
        <w:t xml:space="preserve"> skargi przez skarżącą</w:t>
      </w:r>
      <w:r w:rsidR="00EE498E">
        <w:rPr>
          <w:lang w:val="pl-PL"/>
        </w:rPr>
        <w:t>,</w:t>
      </w:r>
      <w:r w:rsidRPr="006B794F">
        <w:rPr>
          <w:lang w:val="pl-PL"/>
        </w:rPr>
        <w:t xml:space="preserve"> wydaje się ona zarzucać </w:t>
      </w:r>
      <w:r w:rsidRPr="006B794F">
        <w:rPr>
          <w:i/>
          <w:iCs/>
          <w:lang w:val="pl-PL"/>
        </w:rPr>
        <w:t>in</w:t>
      </w:r>
      <w:r w:rsidR="00265848" w:rsidRPr="006B794F">
        <w:rPr>
          <w:i/>
          <w:iCs/>
          <w:lang w:val="pl-PL"/>
        </w:rPr>
        <w:t> </w:t>
      </w:r>
      <w:r w:rsidRPr="006B794F">
        <w:rPr>
          <w:i/>
          <w:iCs/>
          <w:lang w:val="pl-PL"/>
        </w:rPr>
        <w:t>abstracto</w:t>
      </w:r>
      <w:r w:rsidRPr="006B794F">
        <w:rPr>
          <w:lang w:val="pl-PL"/>
        </w:rPr>
        <w:t xml:space="preserve">, że przepisy krajowe nie przewidują przedawnienia nałożenia kary dyscyplinarnej na sędziów, co w jej ocenie stanowiłoby naruszenie </w:t>
      </w:r>
      <w:r w:rsidR="0055094D" w:rsidRPr="006B794F">
        <w:rPr>
          <w:lang w:val="pl-PL"/>
        </w:rPr>
        <w:t>art.</w:t>
      </w:r>
      <w:r w:rsidR="00265848" w:rsidRPr="006B794F">
        <w:rPr>
          <w:lang w:val="pl-PL"/>
        </w:rPr>
        <w:t> </w:t>
      </w:r>
      <w:r w:rsidR="0055094D" w:rsidRPr="006B794F">
        <w:rPr>
          <w:lang w:val="pl-PL"/>
        </w:rPr>
        <w:t>6 ust. 1</w:t>
      </w:r>
      <w:r w:rsidRPr="006B794F">
        <w:rPr>
          <w:lang w:val="pl-PL"/>
        </w:rPr>
        <w:t xml:space="preserve"> Konwencji. W tych okolicznościach skarżąca nie może twierdzić, że</w:t>
      </w:r>
      <w:r w:rsidR="00265848" w:rsidRPr="006B794F">
        <w:rPr>
          <w:lang w:val="pl-PL"/>
        </w:rPr>
        <w:t> </w:t>
      </w:r>
      <w:r w:rsidRPr="006B794F">
        <w:rPr>
          <w:lang w:val="pl-PL"/>
        </w:rPr>
        <w:t>jest ofiarą naruszenia Konwencji w rozumieniu art. 34 Konwencji.</w:t>
      </w:r>
    </w:p>
    <w:p w14:paraId="77EE21D2" w14:textId="0AC50C4B" w:rsidR="00CC1663" w:rsidRPr="006B794F" w:rsidRDefault="00A430BD" w:rsidP="00695BDC">
      <w:pPr>
        <w:pStyle w:val="JuPara"/>
        <w:rPr>
          <w:lang w:val="pl-PL"/>
        </w:rPr>
      </w:pPr>
      <w:r w:rsidRPr="006B794F">
        <w:rPr>
          <w:lang w:val="pl-PL"/>
        </w:rPr>
        <w:t>45.</w:t>
      </w:r>
      <w:r w:rsidR="006C2A0A" w:rsidRPr="006B794F">
        <w:rPr>
          <w:lang w:val="pl-PL"/>
        </w:rPr>
        <w:t xml:space="preserve"> </w:t>
      </w:r>
      <w:r w:rsidRPr="006B794F">
        <w:rPr>
          <w:lang w:val="pl-PL"/>
        </w:rPr>
        <w:t>Ponadto, nawet jeśli skarżąca mogłaby twierdzić, że jest ofiarą w</w:t>
      </w:r>
      <w:r w:rsidR="00265848" w:rsidRPr="006B794F">
        <w:rPr>
          <w:lang w:val="pl-PL"/>
        </w:rPr>
        <w:t> </w:t>
      </w:r>
      <w:r w:rsidRPr="006B794F">
        <w:rPr>
          <w:lang w:val="pl-PL"/>
        </w:rPr>
        <w:t xml:space="preserve">rozumieniu </w:t>
      </w:r>
      <w:r w:rsidR="0055094D" w:rsidRPr="006B794F">
        <w:rPr>
          <w:lang w:val="pl-PL"/>
        </w:rPr>
        <w:t>a</w:t>
      </w:r>
      <w:r w:rsidR="002A440F" w:rsidRPr="006B794F">
        <w:rPr>
          <w:lang w:val="pl-PL"/>
        </w:rPr>
        <w:t>rt.</w:t>
      </w:r>
      <w:r w:rsidRPr="006B794F">
        <w:rPr>
          <w:lang w:val="pl-PL"/>
        </w:rPr>
        <w:t xml:space="preserve"> 34 Konwencji, </w:t>
      </w:r>
      <w:r w:rsidR="00EE498E">
        <w:rPr>
          <w:lang w:val="pl-PL"/>
        </w:rPr>
        <w:t xml:space="preserve">ten zarzut </w:t>
      </w:r>
      <w:r w:rsidRPr="006B794F">
        <w:rPr>
          <w:lang w:val="pl-PL"/>
        </w:rPr>
        <w:t>skarg</w:t>
      </w:r>
      <w:r w:rsidR="00EE498E">
        <w:rPr>
          <w:lang w:val="pl-PL"/>
        </w:rPr>
        <w:t>i</w:t>
      </w:r>
      <w:r w:rsidRPr="006B794F">
        <w:rPr>
          <w:lang w:val="pl-PL"/>
        </w:rPr>
        <w:t xml:space="preserve"> jest w każdym razie niedopuszczaln</w:t>
      </w:r>
      <w:r w:rsidR="00EE498E">
        <w:rPr>
          <w:lang w:val="pl-PL"/>
        </w:rPr>
        <w:t>y</w:t>
      </w:r>
      <w:r w:rsidRPr="006B794F">
        <w:rPr>
          <w:lang w:val="pl-PL"/>
        </w:rPr>
        <w:t xml:space="preserve"> z powodów przedstawionych poniżej.</w:t>
      </w:r>
    </w:p>
    <w:p w14:paraId="059473FF" w14:textId="09BFB219" w:rsidR="00CC1663" w:rsidRPr="006B794F" w:rsidRDefault="00A430BD" w:rsidP="00695BDC">
      <w:pPr>
        <w:pStyle w:val="JuPara"/>
        <w:rPr>
          <w:lang w:val="pl-PL"/>
        </w:rPr>
      </w:pPr>
      <w:r w:rsidRPr="006B794F">
        <w:rPr>
          <w:lang w:val="pl-PL"/>
        </w:rPr>
        <w:t>46.</w:t>
      </w:r>
      <w:r w:rsidR="006C2A0A" w:rsidRPr="006B794F">
        <w:rPr>
          <w:lang w:val="pl-PL"/>
        </w:rPr>
        <w:t xml:space="preserve"> </w:t>
      </w:r>
      <w:r w:rsidRPr="006B794F">
        <w:rPr>
          <w:lang w:val="pl-PL"/>
        </w:rPr>
        <w:t>Trybunał zauważa, że odpowiednie prawo krajowe przewidywało dwa okresy przedawnienia dla wniesienia postępowania dyscyplinarnego przeciwko sędziemu przed Najwyższą Radę Sądownictwa: okres dwóch lat od popełnienia czynów oraz okres trzydziestu dni od zakończenia dochodzenia dyscyplinarnego (zob. art. 46 § 7 ustawy nr 317/2004, cytowany w paragrafie</w:t>
      </w:r>
      <w:r w:rsidR="00924CC6" w:rsidRPr="006B794F">
        <w:rPr>
          <w:lang w:val="pl-PL"/>
        </w:rPr>
        <w:t xml:space="preserve"> 29</w:t>
      </w:r>
      <w:r w:rsidRPr="006B794F">
        <w:rPr>
          <w:lang w:val="pl-PL"/>
        </w:rPr>
        <w:t xml:space="preserve"> powyżej). Trybunał stwierdza, że te dwa terminy przewidziane przez przepisy krajowe dotyczą przedawnienia prawa wykonywania działań dyscyplinarnych.</w:t>
      </w:r>
      <w:r w:rsidR="00695BDC" w:rsidRPr="006B794F">
        <w:rPr>
          <w:lang w:val="pl-PL"/>
        </w:rPr>
        <w:t xml:space="preserve"> </w:t>
      </w:r>
      <w:r w:rsidRPr="006B794F">
        <w:rPr>
          <w:lang w:val="pl-PL"/>
        </w:rPr>
        <w:t xml:space="preserve">W tym przypadku, podczas postępowania dyscyplinarnego przeciwko skarżącej, obydwa terminy przedawnienia zostały zachowane (zob. paragrafy </w:t>
      </w:r>
      <w:r w:rsidR="00924CC6" w:rsidRPr="006B794F">
        <w:rPr>
          <w:lang w:val="pl-PL"/>
        </w:rPr>
        <w:t xml:space="preserve">4-6 </w:t>
      </w:r>
      <w:r w:rsidRPr="006B794F">
        <w:rPr>
          <w:lang w:val="pl-PL"/>
        </w:rPr>
        <w:t>powyżej). Powyższe nie jest kwestionowane zresztą przez skarżącą.</w:t>
      </w:r>
    </w:p>
    <w:p w14:paraId="2B32B71C" w14:textId="1DF62508" w:rsidR="00CC1663" w:rsidRPr="006B794F" w:rsidRDefault="00924CC6" w:rsidP="00695BDC">
      <w:pPr>
        <w:pStyle w:val="JuPara"/>
        <w:rPr>
          <w:iCs/>
          <w:lang w:val="pl-PL"/>
        </w:rPr>
      </w:pPr>
      <w:r w:rsidRPr="006B794F">
        <w:rPr>
          <w:lang w:val="pl-PL"/>
        </w:rPr>
        <w:t>47.</w:t>
      </w:r>
      <w:r w:rsidR="006C2A0A" w:rsidRPr="006B794F">
        <w:rPr>
          <w:lang w:val="pl-PL"/>
        </w:rPr>
        <w:t xml:space="preserve"> </w:t>
      </w:r>
      <w:r w:rsidRPr="006B794F">
        <w:rPr>
          <w:lang w:val="pl-PL"/>
        </w:rPr>
        <w:t>W odniesieniu do konsekwencji braku przedawnienia nałożenia kary dyscyplinarnej w niniejszej sprawie, Trybunał zauważył, że skarżąca nie</w:t>
      </w:r>
      <w:r w:rsidR="00265848" w:rsidRPr="006B794F">
        <w:rPr>
          <w:lang w:val="pl-PL"/>
        </w:rPr>
        <w:t> </w:t>
      </w:r>
      <w:r w:rsidRPr="006B794F">
        <w:rPr>
          <w:lang w:val="pl-PL"/>
        </w:rPr>
        <w:t>została pozbawiona możliwości przygotowania obrony. W niniejszej sprawie fakty badane przez NRS w latach 2016-2017 pochodzą z 2014</w:t>
      </w:r>
      <w:r w:rsidR="008D0ECD" w:rsidRPr="006B794F">
        <w:rPr>
          <w:lang w:val="pl-PL"/>
        </w:rPr>
        <w:t xml:space="preserve"> r.</w:t>
      </w:r>
      <w:r w:rsidRPr="006B794F">
        <w:rPr>
          <w:lang w:val="pl-PL"/>
        </w:rPr>
        <w:t xml:space="preserve"> (zob. paragrafy 4 oraz 6-9 powyżej), a w aktach sprawy (zob. paragrafy 7-9</w:t>
      </w:r>
      <w:r w:rsidR="00265848" w:rsidRPr="006B794F">
        <w:rPr>
          <w:lang w:val="pl-PL"/>
        </w:rPr>
        <w:t> </w:t>
      </w:r>
      <w:r w:rsidRPr="006B794F">
        <w:rPr>
          <w:lang w:val="pl-PL"/>
        </w:rPr>
        <w:t>powyżej) nie ma nic, co mogłoby sugerować, że skarżąca miała jakiekolwiek trudności w przygotowaniu obrony (zob.</w:t>
      </w:r>
      <w:r w:rsidR="00695BDC" w:rsidRPr="006B794F">
        <w:rPr>
          <w:lang w:val="pl-PL"/>
        </w:rPr>
        <w:t xml:space="preserve"> </w:t>
      </w:r>
      <w:r w:rsidRPr="006B794F">
        <w:rPr>
          <w:i/>
          <w:iCs/>
          <w:lang w:val="pl-PL"/>
        </w:rPr>
        <w:t>a contrario</w:t>
      </w:r>
      <w:r w:rsidRPr="006B794F">
        <w:rPr>
          <w:lang w:val="pl-PL"/>
        </w:rPr>
        <w:t xml:space="preserve">, </w:t>
      </w:r>
      <w:r w:rsidRPr="006B794F">
        <w:rPr>
          <w:i/>
          <w:iCs/>
          <w:lang w:val="pl-PL"/>
        </w:rPr>
        <w:t>Oleksandr Volkov</w:t>
      </w:r>
      <w:r w:rsidRPr="006B794F">
        <w:rPr>
          <w:lang w:val="pl-PL"/>
        </w:rPr>
        <w:t>,</w:t>
      </w:r>
      <w:r w:rsidRPr="006B794F">
        <w:rPr>
          <w:i/>
          <w:iCs/>
          <w:lang w:val="pl-PL"/>
        </w:rPr>
        <w:t xml:space="preserve"> </w:t>
      </w:r>
      <w:r w:rsidRPr="006B794F">
        <w:rPr>
          <w:lang w:val="pl-PL"/>
        </w:rPr>
        <w:t>cyt. powyżej, §§ 138-140).</w:t>
      </w:r>
    </w:p>
    <w:p w14:paraId="53A76CDC" w14:textId="2753D1D6" w:rsidR="00CC1663" w:rsidRPr="006B794F" w:rsidRDefault="00924CC6" w:rsidP="00695BDC">
      <w:pPr>
        <w:pStyle w:val="JuPara"/>
        <w:rPr>
          <w:lang w:val="pl-PL"/>
        </w:rPr>
      </w:pPr>
      <w:r w:rsidRPr="006B794F">
        <w:rPr>
          <w:lang w:val="pl-PL"/>
        </w:rPr>
        <w:t>48.</w:t>
      </w:r>
      <w:r w:rsidR="006C2A0A" w:rsidRPr="006B794F">
        <w:rPr>
          <w:lang w:val="pl-PL"/>
        </w:rPr>
        <w:t xml:space="preserve"> </w:t>
      </w:r>
      <w:r w:rsidRPr="006B794F">
        <w:rPr>
          <w:lang w:val="pl-PL"/>
        </w:rPr>
        <w:t xml:space="preserve">W świetle powyższego Trybunał nie może dopatrzyć się znamion naruszenia zasady pewności stosunków prawnych. W związku z tym stwierdza, że </w:t>
      </w:r>
      <w:r w:rsidR="00EE498E">
        <w:rPr>
          <w:lang w:val="pl-PL"/>
        </w:rPr>
        <w:t xml:space="preserve">ten zarzut </w:t>
      </w:r>
      <w:r w:rsidRPr="006B794F">
        <w:rPr>
          <w:lang w:val="pl-PL"/>
        </w:rPr>
        <w:t>skarg</w:t>
      </w:r>
      <w:r w:rsidR="00EE498E">
        <w:rPr>
          <w:lang w:val="pl-PL"/>
        </w:rPr>
        <w:t>i</w:t>
      </w:r>
      <w:r w:rsidRPr="006B794F">
        <w:rPr>
          <w:lang w:val="pl-PL"/>
        </w:rPr>
        <w:t xml:space="preserve"> jest </w:t>
      </w:r>
      <w:r w:rsidR="00EE498E">
        <w:rPr>
          <w:lang w:val="pl-PL"/>
        </w:rPr>
        <w:t xml:space="preserve">w sposób </w:t>
      </w:r>
      <w:r w:rsidRPr="006B794F">
        <w:rPr>
          <w:lang w:val="pl-PL"/>
        </w:rPr>
        <w:t>oczywi</w:t>
      </w:r>
      <w:r w:rsidR="00EE498E">
        <w:rPr>
          <w:lang w:val="pl-PL"/>
        </w:rPr>
        <w:t>sty</w:t>
      </w:r>
      <w:r w:rsidRPr="006B794F">
        <w:rPr>
          <w:lang w:val="pl-PL"/>
        </w:rPr>
        <w:t xml:space="preserve"> nieuzasadnion</w:t>
      </w:r>
      <w:r w:rsidR="00EE498E">
        <w:rPr>
          <w:lang w:val="pl-PL"/>
        </w:rPr>
        <w:t>y</w:t>
      </w:r>
      <w:r w:rsidRPr="006B794F">
        <w:rPr>
          <w:lang w:val="pl-PL"/>
        </w:rPr>
        <w:t xml:space="preserve"> i musi zostać odrzucon</w:t>
      </w:r>
      <w:r w:rsidR="00EE498E">
        <w:rPr>
          <w:lang w:val="pl-PL"/>
        </w:rPr>
        <w:t>y</w:t>
      </w:r>
      <w:r w:rsidRPr="006B794F">
        <w:rPr>
          <w:lang w:val="pl-PL"/>
        </w:rPr>
        <w:t xml:space="preserve"> na podstawie </w:t>
      </w:r>
      <w:r w:rsidR="002A440F" w:rsidRPr="006B794F">
        <w:rPr>
          <w:lang w:val="pl-PL"/>
        </w:rPr>
        <w:t>art.</w:t>
      </w:r>
      <w:r w:rsidRPr="006B794F">
        <w:rPr>
          <w:lang w:val="pl-PL"/>
        </w:rPr>
        <w:t xml:space="preserve"> 35 </w:t>
      </w:r>
      <w:r w:rsidR="0055094D" w:rsidRPr="006B794F">
        <w:rPr>
          <w:lang w:val="pl-PL"/>
        </w:rPr>
        <w:t xml:space="preserve">ust. 3 lit. </w:t>
      </w:r>
      <w:r w:rsidRPr="006B794F">
        <w:rPr>
          <w:lang w:val="pl-PL"/>
        </w:rPr>
        <w:t xml:space="preserve">a i </w:t>
      </w:r>
      <w:r w:rsidR="0055094D" w:rsidRPr="006B794F">
        <w:rPr>
          <w:lang w:val="pl-PL"/>
        </w:rPr>
        <w:t xml:space="preserve">ust. </w:t>
      </w:r>
      <w:r w:rsidRPr="006B794F">
        <w:rPr>
          <w:lang w:val="pl-PL"/>
        </w:rPr>
        <w:t>4 Konwencji.</w:t>
      </w:r>
    </w:p>
    <w:p w14:paraId="59081CE5" w14:textId="3F5EC5F2" w:rsidR="00CC1663" w:rsidRPr="006B794F" w:rsidRDefault="005D3F05" w:rsidP="00695BDC">
      <w:pPr>
        <w:pStyle w:val="JuHIRoman"/>
        <w:rPr>
          <w:lang w:val="pl-PL"/>
        </w:rPr>
      </w:pPr>
      <w:r w:rsidRPr="006B794F">
        <w:rPr>
          <w:bCs w:val="0"/>
          <w:lang w:val="pl-PL"/>
        </w:rPr>
        <w:t xml:space="preserve">ZARZUCANE NARUSZENIE </w:t>
      </w:r>
      <w:r w:rsidR="0055094D" w:rsidRPr="006B794F">
        <w:rPr>
          <w:bCs w:val="0"/>
          <w:lang w:val="pl-PL"/>
        </w:rPr>
        <w:t>ART. 6 UST. 1</w:t>
      </w:r>
      <w:r w:rsidRPr="006B794F">
        <w:rPr>
          <w:bCs w:val="0"/>
          <w:lang w:val="pl-PL"/>
        </w:rPr>
        <w:t xml:space="preserve"> KONWENCJI Z POWODU BRAKU NIEZALEŻNOŚCI I BEZSTRONNOŚCI NAJWYŻSZEJ RADY SĄDOWNICTWA I SĄDU NAJWYŻSZEGO</w:t>
      </w:r>
    </w:p>
    <w:p w14:paraId="27496964" w14:textId="340188FE" w:rsidR="00CC1663" w:rsidRPr="006B794F" w:rsidRDefault="00924CC6" w:rsidP="00695BDC">
      <w:pPr>
        <w:pStyle w:val="JuPara"/>
        <w:rPr>
          <w:lang w:val="pl-PL"/>
        </w:rPr>
      </w:pPr>
      <w:r w:rsidRPr="006B794F">
        <w:rPr>
          <w:lang w:val="pl-PL"/>
        </w:rPr>
        <w:t>49.</w:t>
      </w:r>
      <w:r w:rsidR="006C2A0A" w:rsidRPr="006B794F">
        <w:rPr>
          <w:lang w:val="pl-PL"/>
        </w:rPr>
        <w:t xml:space="preserve"> </w:t>
      </w:r>
      <w:r w:rsidRPr="006B794F">
        <w:rPr>
          <w:lang w:val="pl-PL"/>
        </w:rPr>
        <w:t xml:space="preserve">Skarżąca zarzuciła zasadniczo, że nie była sądzona przez </w:t>
      </w:r>
      <w:r w:rsidR="002C3FC1">
        <w:rPr>
          <w:lang w:val="pl-PL"/>
        </w:rPr>
        <w:t>„</w:t>
      </w:r>
      <w:r w:rsidRPr="006B794F">
        <w:rPr>
          <w:lang w:val="pl-PL"/>
        </w:rPr>
        <w:t>niezależny i bezstronny</w:t>
      </w:r>
      <w:r w:rsidR="002C3FC1">
        <w:rPr>
          <w:lang w:val="pl-PL"/>
        </w:rPr>
        <w:t>”</w:t>
      </w:r>
      <w:r w:rsidRPr="006B794F">
        <w:rPr>
          <w:lang w:val="pl-PL"/>
        </w:rPr>
        <w:t xml:space="preserve"> sąd w postępowaniu dyscyplinarnym prowadzonym przed Najwyższą Radą Sądownictwa i Sądem Najwyższym, co stanowiło naruszenie </w:t>
      </w:r>
      <w:r w:rsidR="0055094D" w:rsidRPr="006B794F">
        <w:rPr>
          <w:lang w:val="pl-PL"/>
        </w:rPr>
        <w:t>art. 6 ust. 1</w:t>
      </w:r>
      <w:r w:rsidRPr="006B794F">
        <w:rPr>
          <w:lang w:val="pl-PL"/>
        </w:rPr>
        <w:t xml:space="preserve"> Konwencji.</w:t>
      </w:r>
    </w:p>
    <w:p w14:paraId="465CDFE5" w14:textId="77777777" w:rsidR="00CC1663" w:rsidRPr="006B794F" w:rsidRDefault="00000000" w:rsidP="00695BDC">
      <w:pPr>
        <w:pStyle w:val="JuHA"/>
        <w:rPr>
          <w:lang w:val="pl-PL"/>
        </w:rPr>
      </w:pPr>
      <w:r w:rsidRPr="006B794F">
        <w:rPr>
          <w:lang w:val="pl-PL"/>
        </w:rPr>
        <w:lastRenderedPageBreak/>
        <w:t>Argumenty stron</w:t>
      </w:r>
    </w:p>
    <w:p w14:paraId="7406215D" w14:textId="6DC7FE3A" w:rsidR="00CC1663" w:rsidRPr="006B794F" w:rsidRDefault="00924CC6" w:rsidP="00695BDC">
      <w:pPr>
        <w:pStyle w:val="JuPara"/>
        <w:rPr>
          <w:lang w:val="pl-PL"/>
        </w:rPr>
      </w:pPr>
      <w:r w:rsidRPr="006B794F">
        <w:rPr>
          <w:lang w:val="pl-PL"/>
        </w:rPr>
        <w:t>50.</w:t>
      </w:r>
      <w:r w:rsidR="006C2A0A" w:rsidRPr="006B794F">
        <w:rPr>
          <w:lang w:val="pl-PL"/>
        </w:rPr>
        <w:t xml:space="preserve"> </w:t>
      </w:r>
      <w:r w:rsidRPr="006B794F">
        <w:rPr>
          <w:lang w:val="pl-PL"/>
        </w:rPr>
        <w:t>Rząd powołuje się na fakt, że krajowe środki odwoławcze nie zostały wyczerpane na tej podstawie, że skarżąca nigdy nie podniosła te</w:t>
      </w:r>
      <w:r w:rsidR="00EE498E">
        <w:rPr>
          <w:lang w:val="pl-PL"/>
        </w:rPr>
        <w:t>go zarzutu</w:t>
      </w:r>
      <w:r w:rsidRPr="006B794F">
        <w:rPr>
          <w:lang w:val="pl-PL"/>
        </w:rPr>
        <w:t xml:space="preserve"> skargi przed sądami krajowymi. Dodał, że jedyne argumenty dotyczące te</w:t>
      </w:r>
      <w:r w:rsidR="00EE498E">
        <w:rPr>
          <w:lang w:val="pl-PL"/>
        </w:rPr>
        <w:t>go zarzutu</w:t>
      </w:r>
      <w:r w:rsidRPr="006B794F">
        <w:rPr>
          <w:lang w:val="pl-PL"/>
        </w:rPr>
        <w:t xml:space="preserve"> skargi zostały przedstawione przez skarżącą przed Najwyższą Radą Sądownictwa w</w:t>
      </w:r>
      <w:r w:rsidR="00265848" w:rsidRPr="006B794F">
        <w:rPr>
          <w:lang w:val="pl-PL"/>
        </w:rPr>
        <w:t> </w:t>
      </w:r>
      <w:r w:rsidRPr="006B794F">
        <w:rPr>
          <w:lang w:val="pl-PL"/>
        </w:rPr>
        <w:t>odniesieniu do sędziów inspektoratu sądowego (</w:t>
      </w:r>
      <w:r w:rsidR="003B20BD" w:rsidRPr="006B794F">
        <w:rPr>
          <w:lang w:val="pl-PL"/>
        </w:rPr>
        <w:t>zob.</w:t>
      </w:r>
      <w:r w:rsidR="00D350AE">
        <w:rPr>
          <w:lang w:val="pl-PL"/>
        </w:rPr>
        <w:t> </w:t>
      </w:r>
      <w:r w:rsidRPr="006B794F">
        <w:rPr>
          <w:lang w:val="pl-PL"/>
        </w:rPr>
        <w:t xml:space="preserve">paragraf 7 powyżej). Co do powoływania się przez skarżącą przed sądami krajowymi na sprawę </w:t>
      </w:r>
      <w:r w:rsidRPr="006B794F">
        <w:rPr>
          <w:i/>
          <w:iCs/>
          <w:lang w:val="pl-PL"/>
        </w:rPr>
        <w:t>Oleksandr</w:t>
      </w:r>
      <w:r w:rsidRPr="006B794F">
        <w:rPr>
          <w:lang w:val="pl-PL"/>
        </w:rPr>
        <w:t xml:space="preserve"> </w:t>
      </w:r>
      <w:r w:rsidRPr="006B794F">
        <w:rPr>
          <w:i/>
          <w:iCs/>
          <w:lang w:val="pl-PL"/>
        </w:rPr>
        <w:t>Volkov</w:t>
      </w:r>
      <w:r w:rsidRPr="006B794F">
        <w:rPr>
          <w:lang w:val="pl-PL"/>
        </w:rPr>
        <w:t xml:space="preserve">, </w:t>
      </w:r>
      <w:r w:rsidR="008D0ECD" w:rsidRPr="006B794F">
        <w:rPr>
          <w:lang w:val="pl-PL"/>
        </w:rPr>
        <w:t>Rząd wskazał</w:t>
      </w:r>
      <w:r w:rsidRPr="006B794F">
        <w:rPr>
          <w:lang w:val="pl-PL"/>
        </w:rPr>
        <w:t>, że odnoszono się do niej wyłącznie w</w:t>
      </w:r>
      <w:r w:rsidR="00265848" w:rsidRPr="006B794F">
        <w:rPr>
          <w:lang w:val="pl-PL"/>
        </w:rPr>
        <w:t> </w:t>
      </w:r>
      <w:r w:rsidRPr="006B794F">
        <w:rPr>
          <w:lang w:val="pl-PL"/>
        </w:rPr>
        <w:t>sprawie nie podlegającej przedawnieniu odpowiedzialności dyscyplinarnej sędziów (zob. paragraf 11 powyżej). Rząd przywołał przykłady praktyki krajowej, które jego zdaniem świadczyły o</w:t>
      </w:r>
      <w:r w:rsidR="00D350AE">
        <w:rPr>
          <w:lang w:val="pl-PL"/>
        </w:rPr>
        <w:t> </w:t>
      </w:r>
      <w:r w:rsidRPr="006B794F">
        <w:rPr>
          <w:lang w:val="pl-PL"/>
        </w:rPr>
        <w:t xml:space="preserve">tym, że skargi na brak bezstronności zgłaszane przez innych sędziów były badane przez sądy krajowe (zob. paragraf 31 powyżej). Co do </w:t>
      </w:r>
      <w:r w:rsidR="003B20BD" w:rsidRPr="006B794F">
        <w:rPr>
          <w:lang w:val="pl-PL"/>
        </w:rPr>
        <w:t>przedmiotu</w:t>
      </w:r>
      <w:r w:rsidRPr="006B794F">
        <w:rPr>
          <w:lang w:val="pl-PL"/>
        </w:rPr>
        <w:t xml:space="preserve"> skargi uznał, że</w:t>
      </w:r>
      <w:r w:rsidR="00265848" w:rsidRPr="006B794F">
        <w:rPr>
          <w:lang w:val="pl-PL"/>
        </w:rPr>
        <w:t> </w:t>
      </w:r>
      <w:r w:rsidRPr="006B794F">
        <w:rPr>
          <w:lang w:val="pl-PL"/>
        </w:rPr>
        <w:t xml:space="preserve">sprawa skarżącej została rozpoznana przez </w:t>
      </w:r>
      <w:r w:rsidR="002C3FC1">
        <w:rPr>
          <w:lang w:val="pl-PL"/>
        </w:rPr>
        <w:t>„</w:t>
      </w:r>
      <w:r w:rsidRPr="006B794F">
        <w:rPr>
          <w:lang w:val="pl-PL"/>
        </w:rPr>
        <w:t>niezależny i</w:t>
      </w:r>
      <w:r w:rsidR="00D350AE">
        <w:rPr>
          <w:lang w:val="pl-PL"/>
        </w:rPr>
        <w:t> </w:t>
      </w:r>
      <w:r w:rsidRPr="006B794F">
        <w:rPr>
          <w:lang w:val="pl-PL"/>
        </w:rPr>
        <w:t>bezstronny</w:t>
      </w:r>
      <w:r w:rsidR="002C3FC1">
        <w:rPr>
          <w:lang w:val="pl-PL"/>
        </w:rPr>
        <w:t>”</w:t>
      </w:r>
      <w:r w:rsidRPr="006B794F">
        <w:rPr>
          <w:lang w:val="pl-PL"/>
        </w:rPr>
        <w:t xml:space="preserve"> trybunał w rozumieniu </w:t>
      </w:r>
      <w:r w:rsidR="0055094D" w:rsidRPr="006B794F">
        <w:rPr>
          <w:lang w:val="pl-PL"/>
        </w:rPr>
        <w:t>art. 6 ust. 1</w:t>
      </w:r>
      <w:r w:rsidRPr="006B794F">
        <w:rPr>
          <w:lang w:val="pl-PL"/>
        </w:rPr>
        <w:t xml:space="preserve"> Konwencji, zarówno w</w:t>
      </w:r>
      <w:r w:rsidR="00D350AE">
        <w:rPr>
          <w:lang w:val="pl-PL"/>
        </w:rPr>
        <w:t> </w:t>
      </w:r>
      <w:r w:rsidRPr="006B794F">
        <w:rPr>
          <w:lang w:val="pl-PL"/>
        </w:rPr>
        <w:t>postępowaniu przed Najwyższą Radą Sądownictwa, jak i w postępowaniu odwoławczym przed Sądem Najwyższym.</w:t>
      </w:r>
    </w:p>
    <w:p w14:paraId="2A3AF070" w14:textId="3A4347D8" w:rsidR="00CC1663" w:rsidRPr="006B794F" w:rsidRDefault="00924CC6" w:rsidP="00695BDC">
      <w:pPr>
        <w:pStyle w:val="JuPara"/>
        <w:rPr>
          <w:lang w:val="pl-PL"/>
        </w:rPr>
      </w:pPr>
      <w:r w:rsidRPr="006B794F">
        <w:rPr>
          <w:noProof/>
          <w:lang w:val="pl-PL"/>
        </w:rPr>
        <w:t>5</w:t>
      </w:r>
      <w:r w:rsidR="00695BDC" w:rsidRPr="006B794F">
        <w:rPr>
          <w:noProof/>
          <w:lang w:val="pl-PL"/>
        </w:rPr>
        <w:t>1</w:t>
      </w:r>
      <w:r w:rsidRPr="006B794F">
        <w:rPr>
          <w:lang w:val="pl-PL"/>
        </w:rPr>
        <w:t>.</w:t>
      </w:r>
      <w:r w:rsidR="006C2A0A" w:rsidRPr="006B794F">
        <w:rPr>
          <w:lang w:val="pl-PL"/>
        </w:rPr>
        <w:t xml:space="preserve"> </w:t>
      </w:r>
      <w:r w:rsidRPr="006B794F">
        <w:rPr>
          <w:lang w:val="pl-PL"/>
        </w:rPr>
        <w:t xml:space="preserve">Skarżąca zarzuca, że jej prawo do </w:t>
      </w:r>
      <w:r w:rsidR="002C3FC1">
        <w:rPr>
          <w:lang w:val="pl-PL"/>
        </w:rPr>
        <w:t>„</w:t>
      </w:r>
      <w:r w:rsidRPr="006B794F">
        <w:rPr>
          <w:lang w:val="pl-PL"/>
        </w:rPr>
        <w:t>niezależnego i bezstronnego</w:t>
      </w:r>
      <w:r w:rsidR="002C3FC1">
        <w:rPr>
          <w:lang w:val="pl-PL"/>
        </w:rPr>
        <w:t>”</w:t>
      </w:r>
      <w:r w:rsidRPr="006B794F">
        <w:rPr>
          <w:lang w:val="pl-PL"/>
        </w:rPr>
        <w:t xml:space="preserve"> sądu zostało naruszone w rozumieniu </w:t>
      </w:r>
      <w:r w:rsidR="0055094D" w:rsidRPr="006B794F">
        <w:rPr>
          <w:lang w:val="pl-PL"/>
        </w:rPr>
        <w:t>art. 6 ust. 1</w:t>
      </w:r>
      <w:r w:rsidRPr="006B794F">
        <w:rPr>
          <w:lang w:val="pl-PL"/>
        </w:rPr>
        <w:t xml:space="preserve"> Konwencji i odwołuje się do</w:t>
      </w:r>
      <w:r w:rsidR="00265848" w:rsidRPr="006B794F">
        <w:rPr>
          <w:lang w:val="pl-PL"/>
        </w:rPr>
        <w:t> </w:t>
      </w:r>
      <w:r w:rsidRPr="006B794F">
        <w:rPr>
          <w:lang w:val="pl-PL"/>
        </w:rPr>
        <w:t>niektórych fragmentów raportu Komisji Europejskiej z października 2019</w:t>
      </w:r>
      <w:r w:rsidR="00265848" w:rsidRPr="006B794F">
        <w:rPr>
          <w:lang w:val="pl-PL"/>
        </w:rPr>
        <w:t> </w:t>
      </w:r>
      <w:r w:rsidR="008D0ECD" w:rsidRPr="006B794F">
        <w:rPr>
          <w:lang w:val="pl-PL"/>
        </w:rPr>
        <w:t>r.</w:t>
      </w:r>
      <w:r w:rsidRPr="006B794F">
        <w:rPr>
          <w:lang w:val="pl-PL"/>
        </w:rPr>
        <w:t xml:space="preserve"> dotyczącego postępów Rumunii w ramach mechanizmu współpracy i</w:t>
      </w:r>
      <w:r w:rsidR="00265848" w:rsidRPr="006B794F">
        <w:rPr>
          <w:lang w:val="pl-PL"/>
        </w:rPr>
        <w:t> </w:t>
      </w:r>
      <w:r w:rsidRPr="006B794F">
        <w:rPr>
          <w:lang w:val="pl-PL"/>
        </w:rPr>
        <w:t>weryfikacji (paragraf 34</w:t>
      </w:r>
      <w:r w:rsidRPr="006B794F">
        <w:rPr>
          <w:b/>
          <w:bCs/>
          <w:lang w:val="pl-PL"/>
        </w:rPr>
        <w:t xml:space="preserve"> </w:t>
      </w:r>
      <w:r w:rsidRPr="006B794F">
        <w:rPr>
          <w:lang w:val="pl-PL"/>
        </w:rPr>
        <w:t xml:space="preserve">powyżej). Raport ma być krytyczny wobec Najwyższej Rady Sądownictwa z powodu presji, jaką rzekomo wywierała na sędziów Sądu Najwyższego w niektórych sprawach. Ponadto, skarżąca powołuje się na zaskarżenie odnoszące się do żądania stwierdzenia nieważności orzeczenia dyscyplinarnego, którego trzy strony umieściła ona w aktach, którą wniosła do Sądu Najwyższego w innej sprawie i która opierała się na </w:t>
      </w:r>
      <w:r w:rsidR="00DE05D2" w:rsidRPr="006B794F">
        <w:rPr>
          <w:lang w:val="pl-PL"/>
        </w:rPr>
        <w:t>zarzucanej</w:t>
      </w:r>
      <w:r w:rsidRPr="006B794F">
        <w:rPr>
          <w:lang w:val="pl-PL"/>
        </w:rPr>
        <w:t xml:space="preserve"> stronniczości dwóch sędziów.</w:t>
      </w:r>
    </w:p>
    <w:p w14:paraId="3226B1B6" w14:textId="77777777" w:rsidR="00CC1663" w:rsidRPr="006B794F" w:rsidRDefault="00000000" w:rsidP="00695BDC">
      <w:pPr>
        <w:pStyle w:val="JuHA"/>
        <w:rPr>
          <w:lang w:val="pl-PL"/>
        </w:rPr>
      </w:pPr>
      <w:r w:rsidRPr="006B794F">
        <w:rPr>
          <w:lang w:val="pl-PL"/>
        </w:rPr>
        <w:t>Ocena Trybunału</w:t>
      </w:r>
    </w:p>
    <w:p w14:paraId="117C4F5D" w14:textId="446BF76E" w:rsidR="00CC1663" w:rsidRPr="006B794F" w:rsidRDefault="00924CC6" w:rsidP="00695BDC">
      <w:pPr>
        <w:pStyle w:val="JuPara"/>
        <w:rPr>
          <w:lang w:val="pl-PL"/>
        </w:rPr>
      </w:pPr>
      <w:r w:rsidRPr="006B794F">
        <w:rPr>
          <w:lang w:val="pl-PL"/>
        </w:rPr>
        <w:t>52.</w:t>
      </w:r>
      <w:r w:rsidR="006C2A0A" w:rsidRPr="006B794F">
        <w:rPr>
          <w:lang w:val="pl-PL"/>
        </w:rPr>
        <w:t xml:space="preserve"> </w:t>
      </w:r>
      <w:r w:rsidRPr="006B794F">
        <w:rPr>
          <w:lang w:val="pl-PL"/>
        </w:rPr>
        <w:t xml:space="preserve">Ogólne zasady dotyczące wyczerpania krajowych środków odwoławczych zostały podsumowane w </w:t>
      </w:r>
      <w:r w:rsidRPr="006B794F">
        <w:rPr>
          <w:i/>
          <w:iCs/>
          <w:lang w:val="pl-PL"/>
        </w:rPr>
        <w:t>Vučković i Inni przeciwko Serbii</w:t>
      </w:r>
      <w:r w:rsidRPr="006B794F">
        <w:rPr>
          <w:lang w:val="pl-PL"/>
        </w:rPr>
        <w:t xml:space="preserve"> ([Wielka Izba] (</w:t>
      </w:r>
      <w:r w:rsidR="00DE05D2" w:rsidRPr="006B794F">
        <w:rPr>
          <w:lang w:val="pl-PL"/>
        </w:rPr>
        <w:t xml:space="preserve">zastrzeżenie </w:t>
      </w:r>
      <w:r w:rsidRPr="006B794F">
        <w:rPr>
          <w:lang w:val="pl-PL"/>
        </w:rPr>
        <w:t>wstępn</w:t>
      </w:r>
      <w:r w:rsidR="00DE05D2" w:rsidRPr="006B794F">
        <w:rPr>
          <w:lang w:val="pl-PL"/>
        </w:rPr>
        <w:t>e</w:t>
      </w:r>
      <w:r w:rsidRPr="006B794F">
        <w:rPr>
          <w:lang w:val="pl-PL"/>
        </w:rPr>
        <w:t>),</w:t>
      </w:r>
      <w:r w:rsidRPr="006B794F">
        <w:rPr>
          <w:vertAlign w:val="superscript"/>
          <w:lang w:val="pl-PL"/>
        </w:rPr>
        <w:t xml:space="preserve"> </w:t>
      </w:r>
      <w:r w:rsidRPr="006B794F">
        <w:rPr>
          <w:lang w:val="pl-PL"/>
        </w:rPr>
        <w:t>nr 17153/11 i 29 innych, §§ 69-77, 25</w:t>
      </w:r>
      <w:r w:rsidR="00265848" w:rsidRPr="006B794F">
        <w:rPr>
          <w:lang w:val="pl-PL"/>
        </w:rPr>
        <w:t> </w:t>
      </w:r>
      <w:r w:rsidRPr="006B794F">
        <w:rPr>
          <w:lang w:val="pl-PL"/>
        </w:rPr>
        <w:t xml:space="preserve">marca 2014 r.). Trybunał przypomina w szczególności, że celem </w:t>
      </w:r>
      <w:r w:rsidR="002A440F" w:rsidRPr="006B794F">
        <w:rPr>
          <w:lang w:val="pl-PL"/>
        </w:rPr>
        <w:t>art.</w:t>
      </w:r>
      <w:r w:rsidRPr="006B794F">
        <w:rPr>
          <w:lang w:val="pl-PL"/>
        </w:rPr>
        <w:t xml:space="preserve"> 35 Konwencji jest zapewnienie U</w:t>
      </w:r>
      <w:r w:rsidR="008D0ECD" w:rsidRPr="006B794F">
        <w:rPr>
          <w:lang w:val="pl-PL"/>
        </w:rPr>
        <w:t>kładającym</w:t>
      </w:r>
      <w:r w:rsidRPr="006B794F">
        <w:rPr>
          <w:lang w:val="pl-PL"/>
        </w:rPr>
        <w:t xml:space="preserve"> się Państwom możliwości zapobiegania lub naprawiania </w:t>
      </w:r>
      <w:r w:rsidR="00DE05D2" w:rsidRPr="006B794F">
        <w:rPr>
          <w:lang w:val="pl-PL"/>
        </w:rPr>
        <w:t>zarzucanych</w:t>
      </w:r>
      <w:r w:rsidRPr="006B794F">
        <w:rPr>
          <w:lang w:val="pl-PL"/>
        </w:rPr>
        <w:t xml:space="preserve"> naruszeń, zanim takie zarzuty zostaną mu przedstawione. Państwa nie odpowiadają przed organem międzynarodowym, dopóki nie będą miały możliwości naprawienia sytuacji w swoim wewnętrznym porządku prawnym. Zatem skarga, która ma być wniesiona do Trybunału, musi być najpierw podniesiona, w formie i</w:t>
      </w:r>
      <w:r w:rsidR="00265848" w:rsidRPr="006B794F">
        <w:rPr>
          <w:lang w:val="pl-PL"/>
        </w:rPr>
        <w:t> </w:t>
      </w:r>
      <w:r w:rsidRPr="006B794F">
        <w:rPr>
          <w:lang w:val="pl-PL"/>
        </w:rPr>
        <w:t xml:space="preserve">terminach przewidzianych przez prawo krajowe, przed odpowiednimi instancjami krajowymi </w:t>
      </w:r>
      <w:r w:rsidRPr="006B794F">
        <w:rPr>
          <w:i/>
          <w:iCs/>
          <w:lang w:val="pl-PL"/>
        </w:rPr>
        <w:t>(Scoppola przeciwko Włochom (</w:t>
      </w:r>
      <w:r w:rsidRPr="006B794F">
        <w:rPr>
          <w:i/>
          <w:iCs/>
          <w:vertAlign w:val="superscript"/>
          <w:lang w:val="pl-PL"/>
        </w:rPr>
        <w:t xml:space="preserve"> </w:t>
      </w:r>
      <w:r w:rsidRPr="006B794F">
        <w:rPr>
          <w:i/>
          <w:iCs/>
          <w:lang w:val="pl-PL"/>
        </w:rPr>
        <w:t>nr</w:t>
      </w:r>
      <w:r w:rsidRPr="006B794F">
        <w:rPr>
          <w:lang w:val="pl-PL"/>
        </w:rPr>
        <w:t xml:space="preserve"> 2) [Wielka Izba],</w:t>
      </w:r>
      <w:r w:rsidRPr="006B794F">
        <w:rPr>
          <w:vertAlign w:val="superscript"/>
          <w:lang w:val="pl-PL"/>
        </w:rPr>
        <w:t xml:space="preserve"> </w:t>
      </w:r>
      <w:r w:rsidRPr="006B794F">
        <w:rPr>
          <w:lang w:val="pl-PL"/>
        </w:rPr>
        <w:lastRenderedPageBreak/>
        <w:t>nr 10249/03, §§ 68-69, 17 września 2009). Wreszcie na Rządzie powołującym się na niewyczerpanie środków odwoławczych spoczywa obowiązek przekonania Trybunału, że środek odwoławczy był skuteczny i</w:t>
      </w:r>
      <w:r w:rsidR="00265848" w:rsidRPr="006B794F">
        <w:rPr>
          <w:lang w:val="pl-PL"/>
        </w:rPr>
        <w:t> </w:t>
      </w:r>
      <w:r w:rsidRPr="006B794F">
        <w:rPr>
          <w:lang w:val="pl-PL"/>
        </w:rPr>
        <w:t>dostępny zarówno w teorii, jak i w praktyce w czasie gdy zachodziły te</w:t>
      </w:r>
      <w:r w:rsidR="002C3FC1">
        <w:rPr>
          <w:lang w:val="pl-PL"/>
        </w:rPr>
        <w:t> </w:t>
      </w:r>
      <w:r w:rsidRPr="006B794F">
        <w:rPr>
          <w:lang w:val="pl-PL"/>
        </w:rPr>
        <w:t xml:space="preserve">fakty, to znaczy, że był dostępny, że był w stanie zapewnić skarżącej zadośćuczynienie na podstawie jej skargi i że ten środek miał rozsądne perspektywy powodzenia </w:t>
      </w:r>
      <w:r w:rsidRPr="006B794F">
        <w:rPr>
          <w:i/>
          <w:iCs/>
          <w:lang w:val="pl-PL"/>
        </w:rPr>
        <w:t>(</w:t>
      </w:r>
      <w:r w:rsidR="000E586C" w:rsidRPr="006B794F">
        <w:rPr>
          <w:lang w:val="pl-PL"/>
        </w:rPr>
        <w:t>zob</w:t>
      </w:r>
      <w:r w:rsidR="000E586C" w:rsidRPr="006B794F">
        <w:rPr>
          <w:i/>
          <w:iCs/>
          <w:lang w:val="pl-PL"/>
        </w:rPr>
        <w:t>.</w:t>
      </w:r>
      <w:r w:rsidRPr="006B794F">
        <w:rPr>
          <w:i/>
          <w:iCs/>
          <w:lang w:val="pl-PL"/>
        </w:rPr>
        <w:t xml:space="preserve"> Sejdovic przeciwko Włochom </w:t>
      </w:r>
      <w:r w:rsidRPr="006B794F">
        <w:rPr>
          <w:lang w:val="pl-PL"/>
        </w:rPr>
        <w:t>[Wielka Izba],</w:t>
      </w:r>
      <w:r w:rsidRPr="006B794F">
        <w:rPr>
          <w:vertAlign w:val="superscript"/>
          <w:lang w:val="pl-PL"/>
        </w:rPr>
        <w:t xml:space="preserve"> </w:t>
      </w:r>
      <w:r w:rsidRPr="006B794F">
        <w:rPr>
          <w:lang w:val="pl-PL"/>
        </w:rPr>
        <w:t>nr 56581/00</w:t>
      </w:r>
      <w:r w:rsidRPr="006B794F">
        <w:rPr>
          <w:vertAlign w:val="superscript"/>
          <w:lang w:val="pl-PL"/>
        </w:rPr>
        <w:t xml:space="preserve"> </w:t>
      </w:r>
      <w:r w:rsidRPr="006B794F">
        <w:rPr>
          <w:lang w:val="pl-PL"/>
        </w:rPr>
        <w:t>, § 46, ECHR 2006-II).</w:t>
      </w:r>
    </w:p>
    <w:p w14:paraId="68FD57C2" w14:textId="0AB28C51" w:rsidR="00CC1663" w:rsidRPr="006B794F" w:rsidRDefault="00924CC6" w:rsidP="00695BDC">
      <w:pPr>
        <w:pStyle w:val="JuPara"/>
        <w:rPr>
          <w:lang w:val="pl-PL"/>
        </w:rPr>
      </w:pPr>
      <w:r w:rsidRPr="006B794F">
        <w:rPr>
          <w:lang w:val="pl-PL"/>
        </w:rPr>
        <w:t>53.</w:t>
      </w:r>
      <w:r w:rsidR="006C2A0A" w:rsidRPr="006B794F">
        <w:rPr>
          <w:lang w:val="pl-PL"/>
        </w:rPr>
        <w:t xml:space="preserve"> </w:t>
      </w:r>
      <w:r w:rsidRPr="006B794F">
        <w:rPr>
          <w:lang w:val="pl-PL"/>
        </w:rPr>
        <w:t xml:space="preserve">W zakresie, w jakim skarżąca zamierza skrytykować </w:t>
      </w:r>
      <w:r w:rsidR="00DE05D2" w:rsidRPr="006B794F">
        <w:rPr>
          <w:lang w:val="pl-PL"/>
        </w:rPr>
        <w:t>zarzucany</w:t>
      </w:r>
      <w:r w:rsidRPr="006B794F">
        <w:rPr>
          <w:lang w:val="pl-PL"/>
        </w:rPr>
        <w:t xml:space="preserve"> brak obiektywnej bezstronności i niezależności sędziów, którzy orzekali w</w:t>
      </w:r>
      <w:r w:rsidR="00265848" w:rsidRPr="006B794F">
        <w:rPr>
          <w:lang w:val="pl-PL"/>
        </w:rPr>
        <w:t> </w:t>
      </w:r>
      <w:r w:rsidRPr="006B794F">
        <w:rPr>
          <w:lang w:val="pl-PL"/>
        </w:rPr>
        <w:t>postępowaniu dyscyplinarnym przeciwko niej, w tym sędziów Sądu Najwyższego, Trybunał zauważa, że skarżąca nie wniosła skargi do tej instancji sądowej, kiedy odwołała się od decyzji dyscyplinarnej NRS, mimo że miała taką możliwość (zob. paragrafy 11 oraz 16-17 powyżej).</w:t>
      </w:r>
    </w:p>
    <w:p w14:paraId="5A1C976D" w14:textId="54FCBF35" w:rsidR="00CC1663" w:rsidRPr="006B794F" w:rsidRDefault="00A83146" w:rsidP="00695BDC">
      <w:pPr>
        <w:pStyle w:val="JuPara"/>
        <w:rPr>
          <w:lang w:val="pl-PL"/>
        </w:rPr>
      </w:pPr>
      <w:r w:rsidRPr="006B794F">
        <w:rPr>
          <w:noProof/>
          <w:lang w:val="pl-PL"/>
        </w:rPr>
        <w:t>54</w:t>
      </w:r>
      <w:r w:rsidRPr="006B794F">
        <w:rPr>
          <w:lang w:val="pl-PL"/>
        </w:rPr>
        <w:t>.</w:t>
      </w:r>
      <w:r w:rsidR="006C2A0A" w:rsidRPr="006B794F">
        <w:rPr>
          <w:lang w:val="pl-PL"/>
        </w:rPr>
        <w:t xml:space="preserve"> </w:t>
      </w:r>
      <w:r w:rsidRPr="006B794F">
        <w:rPr>
          <w:lang w:val="pl-PL"/>
        </w:rPr>
        <w:t xml:space="preserve">W tej kwestii Trybunał zauważa, że nieliczne przykłady orzecznictwa przedstawione przez Rząd pokazują, że Sąd Najwyższy, w przypadku rozpatrywania skarg podobnych do skargi skarżącej, analizował argumenty zainteresowanych osób w świetle orzecznictwa sprawy </w:t>
      </w:r>
      <w:r w:rsidRPr="006B794F">
        <w:rPr>
          <w:i/>
          <w:iCs/>
          <w:lang w:val="pl-PL"/>
        </w:rPr>
        <w:t>Oleksandr Volkov</w:t>
      </w:r>
      <w:r w:rsidRPr="006B794F">
        <w:rPr>
          <w:lang w:val="pl-PL"/>
        </w:rPr>
        <w:t>, cytowanego powyżej (zob. paragraf 31 powyżej).</w:t>
      </w:r>
    </w:p>
    <w:p w14:paraId="15EA044C" w14:textId="7D607AD1" w:rsidR="00CC1663" w:rsidRPr="006B794F" w:rsidRDefault="00A83146" w:rsidP="00695BDC">
      <w:pPr>
        <w:pStyle w:val="JuPara"/>
        <w:rPr>
          <w:lang w:val="pl-PL"/>
        </w:rPr>
      </w:pPr>
      <w:r w:rsidRPr="006B794F">
        <w:rPr>
          <w:noProof/>
          <w:lang w:val="pl-PL"/>
        </w:rPr>
        <w:t>55</w:t>
      </w:r>
      <w:r w:rsidRPr="006B794F">
        <w:rPr>
          <w:lang w:val="pl-PL"/>
        </w:rPr>
        <w:t>.</w:t>
      </w:r>
      <w:r w:rsidR="006C2A0A" w:rsidRPr="006B794F">
        <w:rPr>
          <w:lang w:val="pl-PL"/>
        </w:rPr>
        <w:t xml:space="preserve"> </w:t>
      </w:r>
      <w:r w:rsidRPr="006B794F">
        <w:rPr>
          <w:lang w:val="pl-PL"/>
        </w:rPr>
        <w:t>Trybunał przyjmuje zatem za</w:t>
      </w:r>
      <w:r w:rsidR="00456CA3">
        <w:rPr>
          <w:lang w:val="pl-PL"/>
        </w:rPr>
        <w:t xml:space="preserve">strzeżenie </w:t>
      </w:r>
      <w:r w:rsidRPr="006B794F">
        <w:rPr>
          <w:lang w:val="pl-PL"/>
        </w:rPr>
        <w:t>podniesion</w:t>
      </w:r>
      <w:r w:rsidR="00456CA3">
        <w:rPr>
          <w:lang w:val="pl-PL"/>
        </w:rPr>
        <w:t>e</w:t>
      </w:r>
      <w:r w:rsidRPr="006B794F">
        <w:rPr>
          <w:lang w:val="pl-PL"/>
        </w:rPr>
        <w:t xml:space="preserve"> przez Rząd dotycząc</w:t>
      </w:r>
      <w:r w:rsidR="00456CA3">
        <w:rPr>
          <w:lang w:val="pl-PL"/>
        </w:rPr>
        <w:t>e</w:t>
      </w:r>
      <w:r w:rsidRPr="006B794F">
        <w:rPr>
          <w:lang w:val="pl-PL"/>
        </w:rPr>
        <w:t xml:space="preserve"> niewyczerpania krajowych środków odwoławczych. Wynika z</w:t>
      </w:r>
      <w:r w:rsidR="00D350AE">
        <w:rPr>
          <w:lang w:val="pl-PL"/>
        </w:rPr>
        <w:t> </w:t>
      </w:r>
      <w:r w:rsidRPr="006B794F">
        <w:rPr>
          <w:lang w:val="pl-PL"/>
        </w:rPr>
        <w:t>tego, że</w:t>
      </w:r>
      <w:r w:rsidR="00265848" w:rsidRPr="006B794F">
        <w:rPr>
          <w:lang w:val="pl-PL"/>
        </w:rPr>
        <w:t> </w:t>
      </w:r>
      <w:r w:rsidRPr="006B794F">
        <w:rPr>
          <w:lang w:val="pl-PL"/>
        </w:rPr>
        <w:t xml:space="preserve">skarżąca nie zrobiła tego, czego można było od niej rozsądnie oczekiwać i że </w:t>
      </w:r>
      <w:r w:rsidR="00F306E5">
        <w:rPr>
          <w:lang w:val="pl-PL"/>
        </w:rPr>
        <w:t xml:space="preserve">zarzut </w:t>
      </w:r>
      <w:r w:rsidRPr="006B794F">
        <w:rPr>
          <w:lang w:val="pl-PL"/>
        </w:rPr>
        <w:t>jej skarg</w:t>
      </w:r>
      <w:r w:rsidR="00F306E5">
        <w:rPr>
          <w:lang w:val="pl-PL"/>
        </w:rPr>
        <w:t>i</w:t>
      </w:r>
      <w:r w:rsidRPr="006B794F">
        <w:rPr>
          <w:lang w:val="pl-PL"/>
        </w:rPr>
        <w:t xml:space="preserve"> musi zostać odrzucon</w:t>
      </w:r>
      <w:r w:rsidR="00F306E5">
        <w:rPr>
          <w:lang w:val="pl-PL"/>
        </w:rPr>
        <w:t>y</w:t>
      </w:r>
      <w:r w:rsidRPr="006B794F">
        <w:rPr>
          <w:lang w:val="pl-PL"/>
        </w:rPr>
        <w:t xml:space="preserve"> z powodu niewyczerpania krajowych środków odwoławczych, zgodnie z art. 35 </w:t>
      </w:r>
      <w:r w:rsidR="0055094D" w:rsidRPr="006B794F">
        <w:rPr>
          <w:lang w:val="pl-PL"/>
        </w:rPr>
        <w:t xml:space="preserve">ust. </w:t>
      </w:r>
      <w:r w:rsidRPr="006B794F">
        <w:rPr>
          <w:lang w:val="pl-PL"/>
        </w:rPr>
        <w:t>1 i</w:t>
      </w:r>
      <w:r w:rsidR="00D350AE">
        <w:rPr>
          <w:lang w:val="pl-PL"/>
        </w:rPr>
        <w:t> </w:t>
      </w:r>
      <w:r w:rsidRPr="006B794F">
        <w:rPr>
          <w:lang w:val="pl-PL"/>
        </w:rPr>
        <w:t>4 Konwencji.</w:t>
      </w:r>
    </w:p>
    <w:p w14:paraId="4DB386F7" w14:textId="2BDE6087" w:rsidR="00CC1663" w:rsidRPr="006B794F" w:rsidRDefault="00000000" w:rsidP="00265848">
      <w:pPr>
        <w:pStyle w:val="JuHIRoman"/>
        <w:rPr>
          <w:lang w:val="pl-PL"/>
        </w:rPr>
      </w:pPr>
      <w:r w:rsidRPr="006B794F">
        <w:rPr>
          <w:bCs w:val="0"/>
          <w:lang w:val="pl-PL"/>
        </w:rPr>
        <w:t>ZARZUCANE NARUSZENI</w:t>
      </w:r>
      <w:r w:rsidR="00BE2B80" w:rsidRPr="006B794F">
        <w:rPr>
          <w:bCs w:val="0"/>
          <w:lang w:val="pl-PL"/>
        </w:rPr>
        <w:t>E</w:t>
      </w:r>
      <w:r w:rsidRPr="006B794F">
        <w:rPr>
          <w:bCs w:val="0"/>
          <w:lang w:val="pl-PL"/>
        </w:rPr>
        <w:t xml:space="preserve"> </w:t>
      </w:r>
      <w:r w:rsidR="0055094D" w:rsidRPr="006B794F">
        <w:rPr>
          <w:bCs w:val="0"/>
          <w:lang w:val="pl-PL"/>
        </w:rPr>
        <w:t>ART. 6 UST. 1</w:t>
      </w:r>
      <w:r w:rsidRPr="006B794F">
        <w:rPr>
          <w:bCs w:val="0"/>
          <w:lang w:val="pl-PL"/>
        </w:rPr>
        <w:t xml:space="preserve"> KONWENCJI W</w:t>
      </w:r>
      <w:r w:rsidR="00265848" w:rsidRPr="006B794F">
        <w:rPr>
          <w:bCs w:val="0"/>
          <w:lang w:val="pl-PL"/>
        </w:rPr>
        <w:t> </w:t>
      </w:r>
      <w:r w:rsidRPr="006B794F">
        <w:rPr>
          <w:bCs w:val="0"/>
          <w:lang w:val="pl-PL"/>
        </w:rPr>
        <w:t>SPRAWIE PRAWA DO SĄDU</w:t>
      </w:r>
    </w:p>
    <w:p w14:paraId="7B4D83C6" w14:textId="1BC16981" w:rsidR="00CC1663" w:rsidRPr="006B794F" w:rsidRDefault="00E263D2" w:rsidP="00695BDC">
      <w:pPr>
        <w:pStyle w:val="JuPara"/>
        <w:rPr>
          <w:lang w:val="pl-PL"/>
        </w:rPr>
      </w:pPr>
      <w:r w:rsidRPr="006B794F">
        <w:rPr>
          <w:noProof/>
          <w:lang w:val="pl-PL"/>
        </w:rPr>
        <w:t>56</w:t>
      </w:r>
      <w:r w:rsidRPr="006B794F">
        <w:rPr>
          <w:lang w:val="pl-PL"/>
        </w:rPr>
        <w:t>.</w:t>
      </w:r>
      <w:r w:rsidR="006C2A0A" w:rsidRPr="006B794F">
        <w:rPr>
          <w:lang w:val="pl-PL"/>
        </w:rPr>
        <w:t xml:space="preserve"> </w:t>
      </w:r>
      <w:r w:rsidRPr="006B794F">
        <w:rPr>
          <w:lang w:val="pl-PL"/>
        </w:rPr>
        <w:t>Skarżąca zarzuca, że w dniu 21 marca 2017</w:t>
      </w:r>
      <w:r w:rsidR="008D0ECD" w:rsidRPr="006B794F">
        <w:rPr>
          <w:lang w:val="pl-PL"/>
        </w:rPr>
        <w:t xml:space="preserve"> r.</w:t>
      </w:r>
      <w:r w:rsidRPr="006B794F">
        <w:rPr>
          <w:lang w:val="pl-PL"/>
        </w:rPr>
        <w:t xml:space="preserve"> została zawieszona w</w:t>
      </w:r>
      <w:r w:rsidR="00265848" w:rsidRPr="006B794F">
        <w:rPr>
          <w:lang w:val="pl-PL"/>
        </w:rPr>
        <w:t> </w:t>
      </w:r>
      <w:r w:rsidRPr="006B794F">
        <w:rPr>
          <w:lang w:val="pl-PL"/>
        </w:rPr>
        <w:t xml:space="preserve">obowiązkach służbowych (zob. paragraf 12 powyżej), co nie mogło zostać zaskarżone przed sądami krajowymi. Powołuje się na </w:t>
      </w:r>
      <w:r w:rsidR="0055094D" w:rsidRPr="006B794F">
        <w:rPr>
          <w:lang w:val="pl-PL"/>
        </w:rPr>
        <w:t>art. 6 ust. 1</w:t>
      </w:r>
      <w:r w:rsidRPr="006B794F">
        <w:rPr>
          <w:lang w:val="pl-PL"/>
        </w:rPr>
        <w:t xml:space="preserve"> Konwencji.</w:t>
      </w:r>
    </w:p>
    <w:p w14:paraId="67C53F29" w14:textId="30FA3D4D" w:rsidR="00CC1663" w:rsidRPr="006B794F" w:rsidRDefault="00BE2B80" w:rsidP="00695BDC">
      <w:pPr>
        <w:pStyle w:val="JuHA"/>
        <w:rPr>
          <w:lang w:val="pl-PL"/>
        </w:rPr>
      </w:pPr>
      <w:r w:rsidRPr="006B794F">
        <w:rPr>
          <w:lang w:val="pl-PL"/>
        </w:rPr>
        <w:t>Dopuszczalność</w:t>
      </w:r>
    </w:p>
    <w:p w14:paraId="1514E808" w14:textId="2D89B9F3" w:rsidR="00CC1663" w:rsidRPr="006B794F" w:rsidRDefault="00E263D2" w:rsidP="00695BDC">
      <w:pPr>
        <w:pStyle w:val="JuPara"/>
        <w:rPr>
          <w:lang w:val="pl-PL"/>
        </w:rPr>
      </w:pPr>
      <w:r w:rsidRPr="006B794F">
        <w:rPr>
          <w:noProof/>
          <w:lang w:val="pl-PL"/>
        </w:rPr>
        <w:t>57</w:t>
      </w:r>
      <w:r w:rsidRPr="006B794F">
        <w:rPr>
          <w:lang w:val="pl-PL"/>
        </w:rPr>
        <w:t>.</w:t>
      </w:r>
      <w:r w:rsidR="006C2A0A" w:rsidRPr="006B794F">
        <w:rPr>
          <w:lang w:val="pl-PL"/>
        </w:rPr>
        <w:t xml:space="preserve"> </w:t>
      </w:r>
      <w:r w:rsidRPr="006B794F">
        <w:rPr>
          <w:lang w:val="pl-PL"/>
        </w:rPr>
        <w:t>Zdaniem Rządu, skarżąca powinna była dokonać zaskarżenia decyzji o zawieszeniu jej w pełnieniu funkcji przed sesją plenarną NRS, a następnie, w zależności od wyniku tej skargi, złożyć odwołanie do Sądu Najwyższego (zob. art. 29 § 7 ustawy</w:t>
      </w:r>
      <w:r w:rsidRPr="006B794F">
        <w:rPr>
          <w:vertAlign w:val="superscript"/>
          <w:lang w:val="pl-PL"/>
        </w:rPr>
        <w:t xml:space="preserve"> </w:t>
      </w:r>
      <w:r w:rsidRPr="006B794F">
        <w:rPr>
          <w:lang w:val="pl-PL"/>
        </w:rPr>
        <w:t>nr 317/2004, cytowany w paragrafie 29 powyżej). Rząd powołuje się na przykład praktyki krajowej, który potwierdzałby administracyjny charakter postępowania, w ramach kompetencji NRS, o</w:t>
      </w:r>
      <w:r w:rsidR="00265848" w:rsidRPr="006B794F">
        <w:rPr>
          <w:lang w:val="pl-PL"/>
        </w:rPr>
        <w:t> </w:t>
      </w:r>
      <w:r w:rsidRPr="006B794F">
        <w:rPr>
          <w:lang w:val="pl-PL"/>
        </w:rPr>
        <w:t>którym mowa (</w:t>
      </w:r>
      <w:r w:rsidR="0055094D" w:rsidRPr="006B794F">
        <w:rPr>
          <w:lang w:val="pl-PL"/>
        </w:rPr>
        <w:t>zob. paragraf</w:t>
      </w:r>
      <w:r w:rsidRPr="006B794F">
        <w:rPr>
          <w:lang w:val="pl-PL"/>
        </w:rPr>
        <w:t xml:space="preserve"> 32 powyżej). Powołuje się również na wyrok Trybunału Konstytucyjnego, który podkreśla znaczenie prawa do sądu, zwłaszcza przy stosowaniu środków tymczasowych (</w:t>
      </w:r>
      <w:r w:rsidR="0055094D" w:rsidRPr="006B794F">
        <w:rPr>
          <w:lang w:val="pl-PL"/>
        </w:rPr>
        <w:t>zob. paragraf</w:t>
      </w:r>
      <w:r w:rsidRPr="006B794F">
        <w:rPr>
          <w:lang w:val="pl-PL"/>
        </w:rPr>
        <w:t xml:space="preserve"> 30</w:t>
      </w:r>
      <w:r w:rsidRPr="006B794F">
        <w:rPr>
          <w:b/>
          <w:bCs/>
          <w:lang w:val="pl-PL"/>
        </w:rPr>
        <w:t xml:space="preserve"> </w:t>
      </w:r>
      <w:r w:rsidRPr="006B794F">
        <w:rPr>
          <w:lang w:val="pl-PL"/>
        </w:rPr>
        <w:lastRenderedPageBreak/>
        <w:t>powyżej). Podaje, że w 2018 r. przedmiotowe przepisy zostały uchylone, a</w:t>
      </w:r>
      <w:r w:rsidR="00265848" w:rsidRPr="006B794F">
        <w:rPr>
          <w:lang w:val="pl-PL"/>
        </w:rPr>
        <w:t> </w:t>
      </w:r>
      <w:r w:rsidRPr="006B794F">
        <w:rPr>
          <w:lang w:val="pl-PL"/>
        </w:rPr>
        <w:t>nowe przepisy krajowe przewidują obecnie możliwość zaskarżenia decyzji o zawieszeniu w czynnościach służbowych.</w:t>
      </w:r>
    </w:p>
    <w:p w14:paraId="5E16301B" w14:textId="7DF8E728" w:rsidR="00CC1663" w:rsidRPr="006B794F" w:rsidRDefault="00E263D2" w:rsidP="00695BDC">
      <w:pPr>
        <w:pStyle w:val="JuPara"/>
        <w:rPr>
          <w:lang w:val="pl-PL"/>
        </w:rPr>
      </w:pPr>
      <w:r w:rsidRPr="006B794F">
        <w:rPr>
          <w:noProof/>
          <w:lang w:val="pl-PL"/>
        </w:rPr>
        <w:t>58</w:t>
      </w:r>
      <w:r w:rsidRPr="006B794F">
        <w:rPr>
          <w:lang w:val="pl-PL"/>
        </w:rPr>
        <w:t>.</w:t>
      </w:r>
      <w:r w:rsidR="006C2A0A" w:rsidRPr="006B794F">
        <w:rPr>
          <w:lang w:val="pl-PL"/>
        </w:rPr>
        <w:t xml:space="preserve"> </w:t>
      </w:r>
      <w:r w:rsidRPr="006B794F">
        <w:rPr>
          <w:lang w:val="pl-PL"/>
        </w:rPr>
        <w:t>Rząd odnosi się również, w swoich uwagach uzupełniających, do</w:t>
      </w:r>
      <w:r w:rsidR="00265848" w:rsidRPr="006B794F">
        <w:rPr>
          <w:lang w:val="pl-PL"/>
        </w:rPr>
        <w:t> </w:t>
      </w:r>
      <w:r w:rsidRPr="006B794F">
        <w:rPr>
          <w:lang w:val="pl-PL"/>
        </w:rPr>
        <w:t>pisma NRS z dnia 9 października 2019 r., podsumowującego niektóre przykłady krajowego orzecznictwa dotyczącego zaskarżeń zawieszenia w</w:t>
      </w:r>
      <w:r w:rsidR="00265848" w:rsidRPr="006B794F">
        <w:rPr>
          <w:lang w:val="pl-PL"/>
        </w:rPr>
        <w:t> </w:t>
      </w:r>
      <w:r w:rsidRPr="006B794F">
        <w:rPr>
          <w:lang w:val="pl-PL"/>
        </w:rPr>
        <w:t xml:space="preserve">funkcjach służbowych (paragraf 32 powyżej). Ponadto stwierdził, że skoro zawieszenie funkcji nastąpiło </w:t>
      </w:r>
      <w:r w:rsidRPr="006B794F">
        <w:rPr>
          <w:i/>
          <w:iCs/>
          <w:lang w:val="pl-PL"/>
        </w:rPr>
        <w:t>ex lege</w:t>
      </w:r>
      <w:r w:rsidRPr="006B794F">
        <w:rPr>
          <w:lang w:val="pl-PL"/>
        </w:rPr>
        <w:t>, to zasadniczo stanowisko NRS polegało na odrzuceniu tego typu zaskarżenia.</w:t>
      </w:r>
    </w:p>
    <w:p w14:paraId="1440544D" w14:textId="3C829A3F" w:rsidR="00CC1663" w:rsidRPr="006B794F" w:rsidRDefault="00E263D2" w:rsidP="00695BDC">
      <w:pPr>
        <w:pStyle w:val="JuPara"/>
        <w:rPr>
          <w:lang w:val="pl-PL"/>
        </w:rPr>
      </w:pPr>
      <w:r w:rsidRPr="006B794F">
        <w:rPr>
          <w:noProof/>
          <w:lang w:val="pl-PL"/>
        </w:rPr>
        <w:t>59</w:t>
      </w:r>
      <w:r w:rsidRPr="006B794F">
        <w:rPr>
          <w:lang w:val="pl-PL"/>
        </w:rPr>
        <w:t>.</w:t>
      </w:r>
      <w:r w:rsidR="006C2A0A" w:rsidRPr="006B794F">
        <w:rPr>
          <w:lang w:val="pl-PL"/>
        </w:rPr>
        <w:t xml:space="preserve"> </w:t>
      </w:r>
      <w:r w:rsidRPr="006B794F">
        <w:rPr>
          <w:lang w:val="pl-PL"/>
        </w:rPr>
        <w:t>Skarżąca odpowiada, że w czasie gdy zachodziły te fakty nie istniał skuteczny środek prawny umożliwiający jej zaskarżenie decyzji z dnia 21</w:t>
      </w:r>
      <w:r w:rsidR="00265848" w:rsidRPr="006B794F">
        <w:rPr>
          <w:lang w:val="pl-PL"/>
        </w:rPr>
        <w:t> </w:t>
      </w:r>
      <w:r w:rsidRPr="006B794F">
        <w:rPr>
          <w:lang w:val="pl-PL"/>
        </w:rPr>
        <w:t>marca 2017 r. o zawieszeniu jej w pełnieniu funkcji. W odniesieniu do</w:t>
      </w:r>
      <w:r w:rsidR="000D1AD6">
        <w:rPr>
          <w:lang w:val="pl-PL"/>
        </w:rPr>
        <w:t> </w:t>
      </w:r>
      <w:r w:rsidRPr="006B794F">
        <w:rPr>
          <w:lang w:val="pl-PL"/>
        </w:rPr>
        <w:t>środka odwoławczego, na który powołuje się Rząd, utrzymuje ona, że</w:t>
      </w:r>
      <w:r w:rsidR="00D350AE">
        <w:rPr>
          <w:lang w:val="pl-PL"/>
        </w:rPr>
        <w:t> </w:t>
      </w:r>
      <w:r w:rsidRPr="006B794F">
        <w:rPr>
          <w:lang w:val="pl-PL"/>
        </w:rPr>
        <w:t>jedynie podstawy dotyczące legalności decyzji o zawieszeniu mogą być kwestionowane przed Sąd Najwyższy, a nie podstawy dotyczące proporcjonalności przedmiotowego środka odwoławczego. Skarżąca przedstawia w tej sprawie przykład praktyki krajowej (</w:t>
      </w:r>
      <w:r w:rsidR="002C3FC1">
        <w:rPr>
          <w:lang w:val="pl-PL"/>
        </w:rPr>
        <w:t xml:space="preserve">zob. </w:t>
      </w:r>
      <w:r w:rsidRPr="006B794F">
        <w:rPr>
          <w:lang w:val="pl-PL"/>
        </w:rPr>
        <w:t>paragraf 33</w:t>
      </w:r>
      <w:r w:rsidRPr="006B794F">
        <w:rPr>
          <w:b/>
          <w:bCs/>
          <w:lang w:val="pl-PL"/>
        </w:rPr>
        <w:t xml:space="preserve"> </w:t>
      </w:r>
      <w:r w:rsidRPr="006B794F">
        <w:rPr>
          <w:lang w:val="pl-PL"/>
        </w:rPr>
        <w:t>powyżej).</w:t>
      </w:r>
    </w:p>
    <w:p w14:paraId="02EED54F" w14:textId="4A913BEB" w:rsidR="00CC1663" w:rsidRPr="006B794F" w:rsidRDefault="00444CA5" w:rsidP="00695BDC">
      <w:pPr>
        <w:pStyle w:val="JuPara"/>
        <w:rPr>
          <w:lang w:val="pl-PL"/>
        </w:rPr>
      </w:pPr>
      <w:r w:rsidRPr="006B794F">
        <w:rPr>
          <w:noProof/>
          <w:lang w:val="pl-PL"/>
        </w:rPr>
        <w:t>60</w:t>
      </w:r>
      <w:r w:rsidRPr="006B794F">
        <w:rPr>
          <w:lang w:val="pl-PL"/>
        </w:rPr>
        <w:t>.</w:t>
      </w:r>
      <w:r w:rsidR="006C2A0A" w:rsidRPr="006B794F">
        <w:rPr>
          <w:lang w:val="pl-PL"/>
        </w:rPr>
        <w:t xml:space="preserve"> </w:t>
      </w:r>
      <w:r w:rsidRPr="006B794F">
        <w:rPr>
          <w:lang w:val="pl-PL"/>
        </w:rPr>
        <w:t>W niniejszej sprawie Trybunał uznał, że za</w:t>
      </w:r>
      <w:r w:rsidR="00456CA3">
        <w:rPr>
          <w:lang w:val="pl-PL"/>
        </w:rPr>
        <w:t>strzeżenie</w:t>
      </w:r>
      <w:r w:rsidRPr="006B794F">
        <w:rPr>
          <w:lang w:val="pl-PL"/>
        </w:rPr>
        <w:t xml:space="preserve"> Rządu opart</w:t>
      </w:r>
      <w:r w:rsidR="00456CA3">
        <w:rPr>
          <w:lang w:val="pl-PL"/>
        </w:rPr>
        <w:t>e</w:t>
      </w:r>
      <w:r w:rsidRPr="006B794F">
        <w:rPr>
          <w:lang w:val="pl-PL"/>
        </w:rPr>
        <w:t xml:space="preserve"> na</w:t>
      </w:r>
      <w:r w:rsidR="00265848" w:rsidRPr="006B794F">
        <w:rPr>
          <w:lang w:val="pl-PL"/>
        </w:rPr>
        <w:t> </w:t>
      </w:r>
      <w:r w:rsidRPr="006B794F">
        <w:rPr>
          <w:lang w:val="pl-PL"/>
        </w:rPr>
        <w:t>niezaskarżeniu decyzji o zawieszeniu jej funkcji</w:t>
      </w:r>
      <w:r w:rsidR="00456CA3">
        <w:rPr>
          <w:lang w:val="pl-PL"/>
        </w:rPr>
        <w:t xml:space="preserve"> jest</w:t>
      </w:r>
      <w:r w:rsidRPr="006B794F">
        <w:rPr>
          <w:lang w:val="pl-PL"/>
        </w:rPr>
        <w:t xml:space="preserve"> ściśle związan</w:t>
      </w:r>
      <w:r w:rsidR="00456CA3">
        <w:rPr>
          <w:lang w:val="pl-PL"/>
        </w:rPr>
        <w:t>e</w:t>
      </w:r>
      <w:r w:rsidRPr="006B794F">
        <w:rPr>
          <w:lang w:val="pl-PL"/>
        </w:rPr>
        <w:t xml:space="preserve"> z</w:t>
      </w:r>
      <w:r w:rsidR="00265848" w:rsidRPr="006B794F">
        <w:rPr>
          <w:lang w:val="pl-PL"/>
        </w:rPr>
        <w:t> </w:t>
      </w:r>
      <w:r w:rsidR="00456CA3">
        <w:rPr>
          <w:lang w:val="pl-PL"/>
        </w:rPr>
        <w:t>przedmiotem</w:t>
      </w:r>
      <w:r w:rsidR="007920F9">
        <w:rPr>
          <w:lang w:val="pl-PL"/>
        </w:rPr>
        <w:t xml:space="preserve"> zarzutu</w:t>
      </w:r>
      <w:r w:rsidRPr="006B794F">
        <w:rPr>
          <w:lang w:val="pl-PL"/>
        </w:rPr>
        <w:t xml:space="preserve"> skargi oparte</w:t>
      </w:r>
      <w:r w:rsidR="007920F9">
        <w:rPr>
          <w:lang w:val="pl-PL"/>
        </w:rPr>
        <w:t>go</w:t>
      </w:r>
      <w:r w:rsidRPr="006B794F">
        <w:rPr>
          <w:lang w:val="pl-PL"/>
        </w:rPr>
        <w:t xml:space="preserve"> na </w:t>
      </w:r>
      <w:r w:rsidR="007920F9">
        <w:rPr>
          <w:lang w:val="pl-PL"/>
        </w:rPr>
        <w:t xml:space="preserve">naruszeniu </w:t>
      </w:r>
      <w:r w:rsidRPr="006B794F">
        <w:rPr>
          <w:lang w:val="pl-PL"/>
        </w:rPr>
        <w:t>prawa do sądu i</w:t>
      </w:r>
      <w:r w:rsidR="000D1AD6">
        <w:rPr>
          <w:lang w:val="pl-PL"/>
        </w:rPr>
        <w:t> </w:t>
      </w:r>
      <w:r w:rsidRPr="006B794F">
        <w:rPr>
          <w:lang w:val="pl-PL"/>
        </w:rPr>
        <w:t xml:space="preserve">postanowił dołączyć </w:t>
      </w:r>
      <w:r w:rsidR="00982A6A">
        <w:rPr>
          <w:lang w:val="pl-PL"/>
        </w:rPr>
        <w:t>je</w:t>
      </w:r>
      <w:r w:rsidRPr="006B794F">
        <w:rPr>
          <w:lang w:val="pl-PL"/>
        </w:rPr>
        <w:t xml:space="preserve"> do </w:t>
      </w:r>
      <w:r w:rsidR="00205F40">
        <w:rPr>
          <w:lang w:val="pl-PL"/>
        </w:rPr>
        <w:t>przedmiotu sprawy</w:t>
      </w:r>
      <w:r w:rsidRPr="006B794F">
        <w:rPr>
          <w:lang w:val="pl-PL"/>
        </w:rPr>
        <w:t>.</w:t>
      </w:r>
    </w:p>
    <w:p w14:paraId="1F79E82E" w14:textId="4D68145F" w:rsidR="00CC1663" w:rsidRPr="006B794F" w:rsidRDefault="00444CA5" w:rsidP="00695BDC">
      <w:pPr>
        <w:pStyle w:val="JuPara"/>
        <w:rPr>
          <w:lang w:val="pl-PL"/>
        </w:rPr>
      </w:pPr>
      <w:r w:rsidRPr="006B794F">
        <w:rPr>
          <w:noProof/>
          <w:lang w:val="pl-PL"/>
        </w:rPr>
        <w:t>61</w:t>
      </w:r>
      <w:r w:rsidRPr="006B794F">
        <w:rPr>
          <w:lang w:val="pl-PL"/>
        </w:rPr>
        <w:t>.</w:t>
      </w:r>
      <w:r w:rsidR="006C2A0A" w:rsidRPr="006B794F">
        <w:rPr>
          <w:lang w:val="pl-PL"/>
        </w:rPr>
        <w:t xml:space="preserve"> </w:t>
      </w:r>
      <w:r w:rsidRPr="006B794F">
        <w:rPr>
          <w:lang w:val="pl-PL"/>
        </w:rPr>
        <w:t xml:space="preserve">Uznając, że </w:t>
      </w:r>
      <w:r w:rsidR="007920F9">
        <w:rPr>
          <w:lang w:val="pl-PL"/>
        </w:rPr>
        <w:t xml:space="preserve">ten zarzut </w:t>
      </w:r>
      <w:r w:rsidRPr="006B794F">
        <w:rPr>
          <w:lang w:val="pl-PL"/>
        </w:rPr>
        <w:t>skarg</w:t>
      </w:r>
      <w:r w:rsidR="007920F9">
        <w:rPr>
          <w:lang w:val="pl-PL"/>
        </w:rPr>
        <w:t>i</w:t>
      </w:r>
      <w:r w:rsidRPr="006B794F">
        <w:rPr>
          <w:lang w:val="pl-PL"/>
        </w:rPr>
        <w:t xml:space="preserve"> nie jest w sposób oczywisty nieuzasadnion</w:t>
      </w:r>
      <w:r w:rsidR="007920F9">
        <w:rPr>
          <w:lang w:val="pl-PL"/>
        </w:rPr>
        <w:t>y</w:t>
      </w:r>
      <w:r w:rsidRPr="006B794F">
        <w:rPr>
          <w:lang w:val="pl-PL"/>
        </w:rPr>
        <w:t xml:space="preserve"> w</w:t>
      </w:r>
      <w:r w:rsidR="00265848" w:rsidRPr="006B794F">
        <w:rPr>
          <w:lang w:val="pl-PL"/>
        </w:rPr>
        <w:t> </w:t>
      </w:r>
      <w:r w:rsidRPr="006B794F">
        <w:rPr>
          <w:lang w:val="pl-PL"/>
        </w:rPr>
        <w:t xml:space="preserve">rozumieniu </w:t>
      </w:r>
      <w:r w:rsidR="002A440F" w:rsidRPr="006B794F">
        <w:rPr>
          <w:lang w:val="pl-PL"/>
        </w:rPr>
        <w:t>art.</w:t>
      </w:r>
      <w:r w:rsidRPr="006B794F">
        <w:rPr>
          <w:lang w:val="pl-PL"/>
        </w:rPr>
        <w:t xml:space="preserve"> 35 </w:t>
      </w:r>
      <w:r w:rsidR="0055094D" w:rsidRPr="006B794F">
        <w:rPr>
          <w:lang w:val="pl-PL"/>
        </w:rPr>
        <w:t xml:space="preserve">ust. </w:t>
      </w:r>
      <w:r w:rsidRPr="006B794F">
        <w:rPr>
          <w:lang w:val="pl-PL"/>
        </w:rPr>
        <w:t xml:space="preserve">3 Konwencji oraz że nie </w:t>
      </w:r>
      <w:r w:rsidR="007920F9">
        <w:rPr>
          <w:lang w:val="pl-PL"/>
        </w:rPr>
        <w:t xml:space="preserve">zachodzą </w:t>
      </w:r>
      <w:r w:rsidRPr="006B794F">
        <w:rPr>
          <w:lang w:val="pl-PL"/>
        </w:rPr>
        <w:t>żadn</w:t>
      </w:r>
      <w:r w:rsidR="007920F9">
        <w:rPr>
          <w:lang w:val="pl-PL"/>
        </w:rPr>
        <w:t>e</w:t>
      </w:r>
      <w:r w:rsidRPr="006B794F">
        <w:rPr>
          <w:lang w:val="pl-PL"/>
        </w:rPr>
        <w:t xml:space="preserve"> inn</w:t>
      </w:r>
      <w:r w:rsidR="007920F9">
        <w:rPr>
          <w:lang w:val="pl-PL"/>
        </w:rPr>
        <w:t>e</w:t>
      </w:r>
      <w:r w:rsidRPr="006B794F">
        <w:rPr>
          <w:lang w:val="pl-PL"/>
        </w:rPr>
        <w:t xml:space="preserve"> podstaw</w:t>
      </w:r>
      <w:r w:rsidR="007920F9">
        <w:rPr>
          <w:lang w:val="pl-PL"/>
        </w:rPr>
        <w:t>y</w:t>
      </w:r>
      <w:r w:rsidRPr="006B794F">
        <w:rPr>
          <w:lang w:val="pl-PL"/>
        </w:rPr>
        <w:t xml:space="preserve"> niedopuszczalności, Trybunał uznaje </w:t>
      </w:r>
      <w:r w:rsidR="007920F9">
        <w:rPr>
          <w:lang w:val="pl-PL"/>
        </w:rPr>
        <w:t xml:space="preserve">ten zarzut </w:t>
      </w:r>
      <w:r w:rsidRPr="006B794F">
        <w:rPr>
          <w:lang w:val="pl-PL"/>
        </w:rPr>
        <w:t>za</w:t>
      </w:r>
      <w:r w:rsidR="000D1AD6">
        <w:rPr>
          <w:lang w:val="pl-PL"/>
        </w:rPr>
        <w:t> </w:t>
      </w:r>
      <w:r w:rsidRPr="006B794F">
        <w:rPr>
          <w:lang w:val="pl-PL"/>
        </w:rPr>
        <w:t>dopuszczaln</w:t>
      </w:r>
      <w:r w:rsidR="007920F9">
        <w:rPr>
          <w:lang w:val="pl-PL"/>
        </w:rPr>
        <w:t>y</w:t>
      </w:r>
      <w:r w:rsidRPr="006B794F">
        <w:rPr>
          <w:lang w:val="pl-PL"/>
        </w:rPr>
        <w:t>.</w:t>
      </w:r>
    </w:p>
    <w:p w14:paraId="22CCF432" w14:textId="7A32A76B" w:rsidR="00CC1663" w:rsidRPr="006B794F" w:rsidRDefault="00BE2B80" w:rsidP="00695BDC">
      <w:pPr>
        <w:pStyle w:val="JuHA"/>
        <w:rPr>
          <w:lang w:val="pl-PL"/>
        </w:rPr>
      </w:pPr>
      <w:r w:rsidRPr="006B794F">
        <w:rPr>
          <w:lang w:val="pl-PL"/>
        </w:rPr>
        <w:t>P</w:t>
      </w:r>
      <w:r w:rsidR="00444CA5" w:rsidRPr="006B794F">
        <w:rPr>
          <w:lang w:val="pl-PL"/>
        </w:rPr>
        <w:t>rzedmiot sprawy</w:t>
      </w:r>
    </w:p>
    <w:p w14:paraId="2BC0F795" w14:textId="2B10A2DE" w:rsidR="00CC1663" w:rsidRPr="006B794F" w:rsidRDefault="00BE2B80" w:rsidP="00695BDC">
      <w:pPr>
        <w:pStyle w:val="JuH1"/>
        <w:rPr>
          <w:lang w:val="pl-PL"/>
        </w:rPr>
      </w:pPr>
      <w:r w:rsidRPr="006B794F">
        <w:rPr>
          <w:bCs w:val="0"/>
          <w:lang w:val="pl-PL"/>
        </w:rPr>
        <w:t>Argumenty stron</w:t>
      </w:r>
    </w:p>
    <w:p w14:paraId="24E6EBAB" w14:textId="0A69AD8E" w:rsidR="00CC1663" w:rsidRPr="006B794F" w:rsidRDefault="00444CA5" w:rsidP="00695BDC">
      <w:pPr>
        <w:pStyle w:val="JuPara"/>
        <w:rPr>
          <w:snapToGrid w:val="0"/>
          <w:lang w:val="pl-PL"/>
        </w:rPr>
      </w:pPr>
      <w:r w:rsidRPr="006B794F">
        <w:rPr>
          <w:lang w:val="pl-PL"/>
        </w:rPr>
        <w:t>62.</w:t>
      </w:r>
      <w:r w:rsidR="006C2A0A" w:rsidRPr="006B794F">
        <w:rPr>
          <w:lang w:val="pl-PL"/>
        </w:rPr>
        <w:t xml:space="preserve"> </w:t>
      </w:r>
      <w:r w:rsidRPr="006B794F">
        <w:rPr>
          <w:lang w:val="pl-PL"/>
        </w:rPr>
        <w:t xml:space="preserve">Skarżąca zarzuca naruszenie prawa do sądu ze względu na brak gwarancji dostępu do wymiaru sprawiedliwości w celu zaskarżenia decyzji zawieszającej ją w obowiązkach służbowych (odwołuje się między innymi do wyroków </w:t>
      </w:r>
      <w:r w:rsidRPr="006B794F">
        <w:rPr>
          <w:i/>
          <w:iCs/>
          <w:lang w:val="pl-PL"/>
        </w:rPr>
        <w:t>Paluda przeciwko Słowacji</w:t>
      </w:r>
      <w:r w:rsidRPr="006B794F">
        <w:rPr>
          <w:lang w:val="pl-PL"/>
        </w:rPr>
        <w:t>,</w:t>
      </w:r>
      <w:r w:rsidRPr="006B794F">
        <w:rPr>
          <w:vertAlign w:val="superscript"/>
          <w:lang w:val="pl-PL"/>
        </w:rPr>
        <w:t xml:space="preserve"> </w:t>
      </w:r>
      <w:r w:rsidRPr="006B794F">
        <w:rPr>
          <w:lang w:val="pl-PL"/>
        </w:rPr>
        <w:t>nr 33392/12, 23 maja 2017</w:t>
      </w:r>
      <w:r w:rsidR="008D0ECD" w:rsidRPr="006B794F">
        <w:rPr>
          <w:lang w:val="pl-PL"/>
        </w:rPr>
        <w:t xml:space="preserve"> r.</w:t>
      </w:r>
      <w:r w:rsidRPr="006B794F">
        <w:rPr>
          <w:lang w:val="pl-PL"/>
        </w:rPr>
        <w:t>, oraz</w:t>
      </w:r>
      <w:r w:rsidR="00265848" w:rsidRPr="006B794F">
        <w:rPr>
          <w:lang w:val="pl-PL"/>
        </w:rPr>
        <w:t> </w:t>
      </w:r>
      <w:r w:rsidRPr="006B794F">
        <w:rPr>
          <w:i/>
          <w:iCs/>
          <w:lang w:val="pl-PL"/>
        </w:rPr>
        <w:t>Baka przeciwko Węgrom</w:t>
      </w:r>
      <w:r w:rsidRPr="006B794F">
        <w:rPr>
          <w:lang w:val="pl-PL"/>
        </w:rPr>
        <w:t xml:space="preserve"> ([Wielka Izba],</w:t>
      </w:r>
      <w:r w:rsidRPr="006B794F">
        <w:rPr>
          <w:vertAlign w:val="superscript"/>
          <w:lang w:val="pl-PL"/>
        </w:rPr>
        <w:t xml:space="preserve"> </w:t>
      </w:r>
      <w:r w:rsidRPr="006B794F">
        <w:rPr>
          <w:lang w:val="pl-PL"/>
        </w:rPr>
        <w:t>nr 20261/12,</w:t>
      </w:r>
      <w:r w:rsidRPr="006B794F">
        <w:rPr>
          <w:snapToGrid w:val="0"/>
          <w:lang w:val="pl-PL"/>
        </w:rPr>
        <w:t>23 czerwca 2016</w:t>
      </w:r>
      <w:r w:rsidR="002C3FC1">
        <w:rPr>
          <w:snapToGrid w:val="0"/>
          <w:lang w:val="pl-PL"/>
        </w:rPr>
        <w:t> </w:t>
      </w:r>
      <w:r w:rsidR="008D0ECD" w:rsidRPr="006B794F">
        <w:rPr>
          <w:snapToGrid w:val="0"/>
          <w:lang w:val="pl-PL"/>
        </w:rPr>
        <w:t>r.</w:t>
      </w:r>
      <w:r w:rsidRPr="006B794F">
        <w:rPr>
          <w:snapToGrid w:val="0"/>
          <w:lang w:val="pl-PL"/>
        </w:rPr>
        <w:t>). Twierdzi, że o ile sędziowie mogą obecnie zaskarżać takie decyzje, ponieważ w międzyczasie nastąpiły zmiany legislacyjne,</w:t>
      </w:r>
      <w:r w:rsidR="00695BDC" w:rsidRPr="006B794F">
        <w:rPr>
          <w:snapToGrid w:val="0"/>
          <w:lang w:val="pl-PL"/>
        </w:rPr>
        <w:t xml:space="preserve"> </w:t>
      </w:r>
      <w:r w:rsidRPr="006B794F">
        <w:rPr>
          <w:snapToGrid w:val="0"/>
          <w:lang w:val="pl-PL"/>
        </w:rPr>
        <w:t>o tyle w czasie gdy</w:t>
      </w:r>
      <w:r w:rsidR="00265848" w:rsidRPr="006B794F">
        <w:rPr>
          <w:snapToGrid w:val="0"/>
          <w:lang w:val="pl-PL"/>
        </w:rPr>
        <w:t> </w:t>
      </w:r>
      <w:r w:rsidRPr="006B794F">
        <w:rPr>
          <w:snapToGrid w:val="0"/>
          <w:lang w:val="pl-PL"/>
        </w:rPr>
        <w:t>zachodziły te fakty tak nie było (zob. art. 651 § 2 ustawy nr 3003/2004</w:t>
      </w:r>
      <w:r w:rsidRPr="006B794F">
        <w:rPr>
          <w:snapToGrid w:val="0"/>
          <w:vertAlign w:val="superscript"/>
          <w:lang w:val="pl-PL"/>
        </w:rPr>
        <w:t>,</w:t>
      </w:r>
      <w:r w:rsidRPr="006B794F">
        <w:rPr>
          <w:snapToGrid w:val="0"/>
          <w:lang w:val="pl-PL"/>
        </w:rPr>
        <w:t xml:space="preserve"> cytowany w </w:t>
      </w:r>
      <w:r w:rsidR="008D0ECD" w:rsidRPr="006B794F">
        <w:rPr>
          <w:snapToGrid w:val="0"/>
          <w:lang w:val="pl-PL"/>
        </w:rPr>
        <w:t>paragrafie</w:t>
      </w:r>
      <w:r w:rsidRPr="006B794F">
        <w:rPr>
          <w:snapToGrid w:val="0"/>
          <w:lang w:val="pl-PL"/>
        </w:rPr>
        <w:t xml:space="preserve"> 28 powyżej). Dodała, że została pozbawiona wynagrodzenia i ubezpieczenia medycznego przez cały okres zawieszenia, oraz że nie była w stanie pracować w tym okresie, który trwał około dziewięciu miesięcy, z obawy przed wymierzeniem nowego środka dyscyplinarnego za nieprzestrzeganie systemu zakazów obowiązujących sędziów.</w:t>
      </w:r>
    </w:p>
    <w:p w14:paraId="49EBBF1C" w14:textId="300554D9" w:rsidR="00CC1663" w:rsidRPr="006B794F" w:rsidRDefault="00444CA5" w:rsidP="00695BDC">
      <w:pPr>
        <w:pStyle w:val="JuPara"/>
        <w:rPr>
          <w:lang w:val="pl-PL"/>
        </w:rPr>
      </w:pPr>
      <w:r w:rsidRPr="006B794F">
        <w:rPr>
          <w:noProof/>
          <w:lang w:val="pl-PL"/>
        </w:rPr>
        <w:lastRenderedPageBreak/>
        <w:t>63</w:t>
      </w:r>
      <w:r w:rsidRPr="006B794F">
        <w:rPr>
          <w:lang w:val="pl-PL"/>
        </w:rPr>
        <w:t>.</w:t>
      </w:r>
      <w:r w:rsidR="006C2A0A" w:rsidRPr="006B794F">
        <w:rPr>
          <w:lang w:val="pl-PL"/>
        </w:rPr>
        <w:t xml:space="preserve"> </w:t>
      </w:r>
      <w:r w:rsidRPr="006B794F">
        <w:rPr>
          <w:lang w:val="pl-PL"/>
        </w:rPr>
        <w:t>Rząd potwierdził, że ustawodawstwo krajowe wyraźnie przewiduje zawieszenie w wykonywaniu obowiązków służbowych w przypadku skorzystania z prawa do odwołania od decyzji dyscyplinarnej dotyczącej sędziego i że środek ten wiąże się między innymi z utratą wynagrodzenia do</w:t>
      </w:r>
      <w:r w:rsidR="00265848" w:rsidRPr="006B794F">
        <w:rPr>
          <w:lang w:val="pl-PL"/>
        </w:rPr>
        <w:t> </w:t>
      </w:r>
      <w:r w:rsidRPr="006B794F">
        <w:rPr>
          <w:lang w:val="pl-PL"/>
        </w:rPr>
        <w:t>czasu zakończenia postępowania sądowego. Stwierdza jednak, że</w:t>
      </w:r>
      <w:r w:rsidR="00265848" w:rsidRPr="006B794F">
        <w:rPr>
          <w:lang w:val="pl-PL"/>
        </w:rPr>
        <w:t> </w:t>
      </w:r>
      <w:r w:rsidRPr="006B794F">
        <w:rPr>
          <w:lang w:val="pl-PL"/>
        </w:rPr>
        <w:t xml:space="preserve">zawieszony sędzia nie podlegał żadnemu z zakazów przewidzianych przez prawo, a obowiązujących sędziów i prokuratorów. Zdaniem </w:t>
      </w:r>
      <w:r w:rsidR="008D0ECD" w:rsidRPr="006B794F">
        <w:rPr>
          <w:lang w:val="pl-PL"/>
        </w:rPr>
        <w:t xml:space="preserve">Rządu </w:t>
      </w:r>
      <w:r w:rsidRPr="006B794F">
        <w:rPr>
          <w:lang w:val="pl-PL"/>
        </w:rPr>
        <w:t>skarżąca zarzuca brak możliwości wniesienia zaskarżenia przeciwko spornemu środkowi prawnemu, a niekoniecznie brak korzystnego rozstrzygnięcia takiego zaskarżenia. Na koniec Rząd dodał, że o zawieszeniu skarżącej w</w:t>
      </w:r>
      <w:r w:rsidR="00265848" w:rsidRPr="006B794F">
        <w:rPr>
          <w:lang w:val="pl-PL"/>
        </w:rPr>
        <w:t> </w:t>
      </w:r>
      <w:r w:rsidRPr="006B794F">
        <w:rPr>
          <w:lang w:val="pl-PL"/>
        </w:rPr>
        <w:t xml:space="preserve">obowiązkach zadecydowało nie wszczęcie postępowania dyscyplinarnego, ale skorzystanie przez nią z prawa do odwołania. To odróżniałoby niniejszą sprawę od cytowanego wyżej wyroku w sprawie </w:t>
      </w:r>
      <w:r w:rsidRPr="006B794F">
        <w:rPr>
          <w:i/>
          <w:iCs/>
          <w:lang w:val="pl-PL"/>
        </w:rPr>
        <w:t>Paluda</w:t>
      </w:r>
      <w:r w:rsidRPr="006B794F">
        <w:rPr>
          <w:lang w:val="pl-PL"/>
        </w:rPr>
        <w:t>.</w:t>
      </w:r>
    </w:p>
    <w:p w14:paraId="740F73A7" w14:textId="77777777" w:rsidR="00CC1663" w:rsidRPr="006B794F" w:rsidRDefault="00000000" w:rsidP="00695BDC">
      <w:pPr>
        <w:pStyle w:val="JuH1"/>
        <w:rPr>
          <w:lang w:val="pl-PL"/>
        </w:rPr>
      </w:pPr>
      <w:r w:rsidRPr="006B794F">
        <w:rPr>
          <w:bCs w:val="0"/>
          <w:lang w:val="pl-PL"/>
        </w:rPr>
        <w:t>Ocena Trybunału</w:t>
      </w:r>
    </w:p>
    <w:p w14:paraId="0FD4CFBF" w14:textId="7D4455D8" w:rsidR="00CC1663" w:rsidRPr="006B794F" w:rsidRDefault="00444CA5" w:rsidP="00695BDC">
      <w:pPr>
        <w:pStyle w:val="JuPara"/>
        <w:rPr>
          <w:lang w:val="pl-PL"/>
        </w:rPr>
      </w:pPr>
      <w:r w:rsidRPr="006B794F">
        <w:rPr>
          <w:noProof/>
          <w:lang w:val="pl-PL"/>
        </w:rPr>
        <w:t>64</w:t>
      </w:r>
      <w:r w:rsidRPr="006B794F">
        <w:rPr>
          <w:lang w:val="pl-PL"/>
        </w:rPr>
        <w:t>.</w:t>
      </w:r>
      <w:r w:rsidR="006C2A0A" w:rsidRPr="006B794F">
        <w:rPr>
          <w:lang w:val="pl-PL"/>
        </w:rPr>
        <w:t xml:space="preserve"> </w:t>
      </w:r>
      <w:r w:rsidRPr="006B794F">
        <w:rPr>
          <w:lang w:val="pl-PL"/>
        </w:rPr>
        <w:t>Trybunał zauważa, że skarżąca powstrzymała się od zaskarżenia decyzji NRS z dnia 21 marca 2017 r. o zawieszeniu jej w pełnieniu funkcji (zob. paragraf 12 powyżej) z uwagi na brak skutecznego środka odwoławczego w tym zakresie (zob. paragraf 33 powyżej). Rzeczywiście, według skarżącej, żaden skuteczny środek odwoławczy nie był dostępny w</w:t>
      </w:r>
      <w:r w:rsidR="00265848" w:rsidRPr="006B794F">
        <w:rPr>
          <w:lang w:val="pl-PL"/>
        </w:rPr>
        <w:t> </w:t>
      </w:r>
      <w:r w:rsidRPr="006B794F">
        <w:rPr>
          <w:lang w:val="pl-PL"/>
        </w:rPr>
        <w:t xml:space="preserve">prawie krajowym (zob. paragraf </w:t>
      </w:r>
      <w:r w:rsidRPr="006B794F">
        <w:rPr>
          <w:noProof/>
          <w:lang w:val="pl-PL"/>
        </w:rPr>
        <w:t>59</w:t>
      </w:r>
      <w:r w:rsidRPr="006B794F">
        <w:rPr>
          <w:lang w:val="pl-PL"/>
        </w:rPr>
        <w:t xml:space="preserve"> powyżej), natomiast według Rządu, który powołał się na przykłady orzecznictwa na poparcie swojego stanowiska (zob. paragraf 32 powyżej), skarżąca powinna była zaskarżyć zaskarżoną decyzję najpierw przed sesją plenarną Najwyższej Rady Sądownictwa, a</w:t>
      </w:r>
      <w:r w:rsidR="00265848" w:rsidRPr="006B794F">
        <w:rPr>
          <w:lang w:val="pl-PL"/>
        </w:rPr>
        <w:t> </w:t>
      </w:r>
      <w:r w:rsidRPr="006B794F">
        <w:rPr>
          <w:lang w:val="pl-PL"/>
        </w:rPr>
        <w:t xml:space="preserve">następnie, w razie potrzeby, przed Sądem Najwyższym (zob. paragraf </w:t>
      </w:r>
      <w:r w:rsidRPr="006B794F">
        <w:rPr>
          <w:noProof/>
          <w:lang w:val="pl-PL"/>
        </w:rPr>
        <w:t>57</w:t>
      </w:r>
      <w:r w:rsidRPr="006B794F">
        <w:rPr>
          <w:lang w:val="pl-PL"/>
        </w:rPr>
        <w:t xml:space="preserve"> powyżej).</w:t>
      </w:r>
    </w:p>
    <w:p w14:paraId="72329273" w14:textId="3B69A8BA" w:rsidR="00CC1663" w:rsidRPr="006B794F" w:rsidRDefault="00444CA5" w:rsidP="00695BDC">
      <w:pPr>
        <w:pStyle w:val="JuPara"/>
        <w:rPr>
          <w:lang w:val="pl-PL"/>
        </w:rPr>
      </w:pPr>
      <w:r w:rsidRPr="006B794F">
        <w:rPr>
          <w:noProof/>
          <w:lang w:val="pl-PL"/>
        </w:rPr>
        <w:t>65</w:t>
      </w:r>
      <w:r w:rsidRPr="006B794F">
        <w:rPr>
          <w:lang w:val="pl-PL"/>
        </w:rPr>
        <w:t>.</w:t>
      </w:r>
      <w:r w:rsidR="006C2A0A" w:rsidRPr="006B794F">
        <w:rPr>
          <w:lang w:val="pl-PL"/>
        </w:rPr>
        <w:t xml:space="preserve"> </w:t>
      </w:r>
      <w:r w:rsidRPr="006B794F">
        <w:rPr>
          <w:lang w:val="pl-PL"/>
        </w:rPr>
        <w:t>Trybunał zauważa na wstępie, że ustawodawstwo krajowe przewidywało zawieszenie funkcji sędziego w przypadku skorzystania z</w:t>
      </w:r>
      <w:r w:rsidR="00265848" w:rsidRPr="006B794F">
        <w:rPr>
          <w:lang w:val="pl-PL"/>
        </w:rPr>
        <w:t> </w:t>
      </w:r>
      <w:r w:rsidRPr="006B794F">
        <w:rPr>
          <w:lang w:val="pl-PL"/>
        </w:rPr>
        <w:t>prawa do odwołania się od decyzji dyscyplinarnej o wykluczeniu go z</w:t>
      </w:r>
      <w:r w:rsidR="00265848" w:rsidRPr="006B794F">
        <w:rPr>
          <w:lang w:val="pl-PL"/>
        </w:rPr>
        <w:t> </w:t>
      </w:r>
      <w:r w:rsidRPr="006B794F">
        <w:rPr>
          <w:lang w:val="pl-PL"/>
        </w:rPr>
        <w:t>sądownictwa (zob. art. 651 §</w:t>
      </w:r>
      <w:r w:rsidRPr="006B794F">
        <w:rPr>
          <w:vertAlign w:val="superscript"/>
          <w:lang w:val="pl-PL"/>
        </w:rPr>
        <w:t xml:space="preserve"> </w:t>
      </w:r>
      <w:r w:rsidRPr="006B794F">
        <w:rPr>
          <w:lang w:val="pl-PL"/>
        </w:rPr>
        <w:t>2 ustawy</w:t>
      </w:r>
      <w:r w:rsidRPr="006B794F">
        <w:rPr>
          <w:vertAlign w:val="superscript"/>
          <w:lang w:val="pl-PL"/>
        </w:rPr>
        <w:t xml:space="preserve"> </w:t>
      </w:r>
      <w:r w:rsidRPr="006B794F">
        <w:rPr>
          <w:lang w:val="pl-PL"/>
        </w:rPr>
        <w:t xml:space="preserve">nr 303/2004, cytowany w paragrafie 28 powyżej). Trybunał zgodził się z Rządem, że był to środek tymczasowy, który wywołał swoje skutki </w:t>
      </w:r>
      <w:r w:rsidRPr="006B794F">
        <w:rPr>
          <w:i/>
          <w:iCs/>
          <w:lang w:val="pl-PL"/>
        </w:rPr>
        <w:t xml:space="preserve">ex lege </w:t>
      </w:r>
      <w:r w:rsidRPr="006B794F">
        <w:rPr>
          <w:lang w:val="pl-PL"/>
        </w:rPr>
        <w:t>między datą skorzystania z prawa do</w:t>
      </w:r>
      <w:r w:rsidR="00265848" w:rsidRPr="006B794F">
        <w:rPr>
          <w:lang w:val="pl-PL"/>
        </w:rPr>
        <w:t> </w:t>
      </w:r>
      <w:r w:rsidRPr="006B794F">
        <w:rPr>
          <w:lang w:val="pl-PL"/>
        </w:rPr>
        <w:t>odwołania a zakończeniem postępowania sądowego, co rzeczywiście miało miejsce w tym przypadku (zob. paragrafy 12-14 powyżej).</w:t>
      </w:r>
    </w:p>
    <w:p w14:paraId="19292B3C" w14:textId="11D36497" w:rsidR="00CC1663" w:rsidRPr="006B794F" w:rsidRDefault="00444CA5" w:rsidP="00695BDC">
      <w:pPr>
        <w:pStyle w:val="JuPara"/>
        <w:rPr>
          <w:lang w:val="pl-PL"/>
        </w:rPr>
      </w:pPr>
      <w:r w:rsidRPr="006B794F">
        <w:rPr>
          <w:noProof/>
          <w:lang w:val="pl-PL"/>
        </w:rPr>
        <w:t>66</w:t>
      </w:r>
      <w:r w:rsidRPr="006B794F">
        <w:rPr>
          <w:lang w:val="pl-PL"/>
        </w:rPr>
        <w:t>.</w:t>
      </w:r>
      <w:r w:rsidR="006C2A0A" w:rsidRPr="006B794F">
        <w:rPr>
          <w:lang w:val="pl-PL"/>
        </w:rPr>
        <w:t xml:space="preserve"> </w:t>
      </w:r>
      <w:r w:rsidRPr="006B794F">
        <w:rPr>
          <w:lang w:val="pl-PL"/>
        </w:rPr>
        <w:t>W odniesieniu do istnienia krajowych środków odwoławczych przeciwko takiemu środkowi Trybunał zauważył, że z właściwych przepisów obowiązujących w czasie zaistnienia okoliczności faktycznych nie wynika, aby skarżąca dysponowała jakimkolwiek środkiem prawnym, który umożliwiłby jej zaskarżenie przedmiotowego środka. Zgodnie z</w:t>
      </w:r>
      <w:r w:rsidR="00265848" w:rsidRPr="006B794F">
        <w:rPr>
          <w:lang w:val="pl-PL"/>
        </w:rPr>
        <w:t> </w:t>
      </w:r>
      <w:r w:rsidRPr="006B794F">
        <w:rPr>
          <w:lang w:val="pl-PL"/>
        </w:rPr>
        <w:t>informacjami przekazanymi przez strony, przepisy krajowe zostały zmienione po zaistnieniu faktów w niniejszej sprawie i obecnie przewidują możliwość zaskarżenia zawieszenia w czynnościach służbowych (zob.</w:t>
      </w:r>
      <w:r w:rsidR="00265848" w:rsidRPr="006B794F">
        <w:rPr>
          <w:lang w:val="pl-PL"/>
        </w:rPr>
        <w:t> </w:t>
      </w:r>
      <w:r w:rsidRPr="006B794F">
        <w:rPr>
          <w:lang w:val="pl-PL"/>
        </w:rPr>
        <w:t xml:space="preserve">paragrafy 57 </w:t>
      </w:r>
      <w:r w:rsidRPr="006B794F">
        <w:rPr>
          <w:i/>
          <w:iCs/>
          <w:lang w:val="pl-PL"/>
        </w:rPr>
        <w:t xml:space="preserve">in fine </w:t>
      </w:r>
      <w:r w:rsidRPr="006B794F">
        <w:rPr>
          <w:lang w:val="pl-PL"/>
        </w:rPr>
        <w:t xml:space="preserve">oraz </w:t>
      </w:r>
      <w:r w:rsidRPr="006B794F">
        <w:rPr>
          <w:noProof/>
          <w:lang w:val="pl-PL"/>
        </w:rPr>
        <w:t>62</w:t>
      </w:r>
      <w:r w:rsidRPr="006B794F">
        <w:rPr>
          <w:lang w:val="pl-PL"/>
        </w:rPr>
        <w:t xml:space="preserve"> powyżej).</w:t>
      </w:r>
    </w:p>
    <w:p w14:paraId="5B6C4E2C" w14:textId="61FAEDA0" w:rsidR="00CC1663" w:rsidRPr="006B794F" w:rsidRDefault="00444CA5" w:rsidP="00695BDC">
      <w:pPr>
        <w:pStyle w:val="JuPara"/>
        <w:rPr>
          <w:lang w:val="pl-PL"/>
        </w:rPr>
      </w:pPr>
      <w:r w:rsidRPr="006B794F">
        <w:rPr>
          <w:noProof/>
          <w:lang w:val="pl-PL"/>
        </w:rPr>
        <w:lastRenderedPageBreak/>
        <w:t>67</w:t>
      </w:r>
      <w:r w:rsidRPr="006B794F">
        <w:rPr>
          <w:lang w:val="pl-PL"/>
        </w:rPr>
        <w:t>.</w:t>
      </w:r>
      <w:r w:rsidR="006C2A0A" w:rsidRPr="006B794F">
        <w:rPr>
          <w:lang w:val="pl-PL"/>
        </w:rPr>
        <w:t xml:space="preserve"> </w:t>
      </w:r>
      <w:r w:rsidRPr="006B794F">
        <w:rPr>
          <w:lang w:val="pl-PL"/>
        </w:rPr>
        <w:t>Przechodząc do przykładów orzecznictwa przedstawionych przez Rząd, Trybunał zauważa, że nie są one w stanie potwierdzić istnienia praktyki krajowej, która zapewniłaby skarżącej prawo do sądu w celu dokonania kontroli decyzji o zawieszeniu jej w czynnościach służbowych. W</w:t>
      </w:r>
      <w:r w:rsidR="00265848" w:rsidRPr="006B794F">
        <w:rPr>
          <w:lang w:val="pl-PL"/>
        </w:rPr>
        <w:t> </w:t>
      </w:r>
      <w:r w:rsidRPr="006B794F">
        <w:rPr>
          <w:lang w:val="pl-PL"/>
        </w:rPr>
        <w:t>odniesieniu do decyzji</w:t>
      </w:r>
      <w:r w:rsidRPr="006B794F">
        <w:rPr>
          <w:vertAlign w:val="superscript"/>
          <w:lang w:val="pl-PL"/>
        </w:rPr>
        <w:t xml:space="preserve"> </w:t>
      </w:r>
      <w:r w:rsidRPr="006B794F">
        <w:rPr>
          <w:lang w:val="pl-PL"/>
        </w:rPr>
        <w:t>nr 495 z dnia 25 kwietnia 2017</w:t>
      </w:r>
      <w:r w:rsidR="008D0ECD" w:rsidRPr="006B794F">
        <w:rPr>
          <w:lang w:val="pl-PL"/>
        </w:rPr>
        <w:t xml:space="preserve"> r.</w:t>
      </w:r>
      <w:r w:rsidRPr="006B794F">
        <w:rPr>
          <w:lang w:val="pl-PL"/>
        </w:rPr>
        <w:t xml:space="preserve"> z sesji plenarnej Najwyższej Rady Sądownictwa, Trybunał zauważa, że organ ten, choć formalnie uznał swoją kompetencję w tej sprawie, odmówił analizy skarg sędziego będącego w sytuacji podobnej do tej, w jakiej znalazła się skarżąca, a stanowisko NRS zostało potwierdzone przez Sąd Najwyższy (zob. paragraf 32 powyżej)</w:t>
      </w:r>
      <w:bookmarkStart w:id="1" w:name="pratiqueinterneGvt2"/>
      <w:r w:rsidRPr="006B794F">
        <w:rPr>
          <w:lang w:val="pl-PL"/>
        </w:rPr>
        <w:t xml:space="preserve">. Ponadto, według samego Rządu, praktyka Najwyższej Rady Sądownictwa w tej sprawie polegała na odrzucaniu wszelkich zaskarżeń dotyczących przedmiotowego środka (zob. paragraf </w:t>
      </w:r>
      <w:r w:rsidRPr="006B794F">
        <w:rPr>
          <w:noProof/>
          <w:lang w:val="pl-PL"/>
        </w:rPr>
        <w:t xml:space="preserve">58 </w:t>
      </w:r>
      <w:r w:rsidRPr="006B794F">
        <w:rPr>
          <w:i/>
          <w:iCs/>
          <w:lang w:val="pl-PL"/>
        </w:rPr>
        <w:t>in fine</w:t>
      </w:r>
      <w:r w:rsidRPr="006B794F">
        <w:rPr>
          <w:lang w:val="pl-PL"/>
        </w:rPr>
        <w:t xml:space="preserve"> powyżej).</w:t>
      </w:r>
    </w:p>
    <w:bookmarkEnd w:id="1"/>
    <w:p w14:paraId="64FFE2B9" w14:textId="4F8C5042" w:rsidR="00CC1663" w:rsidRPr="006B794F" w:rsidRDefault="00444CA5" w:rsidP="00695BDC">
      <w:pPr>
        <w:pStyle w:val="JuPara"/>
        <w:rPr>
          <w:lang w:val="pl-PL"/>
        </w:rPr>
      </w:pPr>
      <w:r w:rsidRPr="006B794F">
        <w:rPr>
          <w:lang w:val="pl-PL"/>
        </w:rPr>
        <w:t>68.</w:t>
      </w:r>
      <w:r w:rsidR="006C2A0A" w:rsidRPr="006B794F">
        <w:rPr>
          <w:lang w:val="pl-PL"/>
        </w:rPr>
        <w:t xml:space="preserve"> </w:t>
      </w:r>
      <w:r w:rsidRPr="006B794F">
        <w:rPr>
          <w:lang w:val="pl-PL"/>
        </w:rPr>
        <w:t>Jeśli chodzi o decyzje krajowe podsumowane w piśmie NRS z dnia 9</w:t>
      </w:r>
      <w:r w:rsidR="00265848" w:rsidRPr="006B794F">
        <w:rPr>
          <w:lang w:val="pl-PL"/>
        </w:rPr>
        <w:t> </w:t>
      </w:r>
      <w:r w:rsidRPr="006B794F">
        <w:rPr>
          <w:lang w:val="pl-PL"/>
        </w:rPr>
        <w:t>października 2019</w:t>
      </w:r>
      <w:r w:rsidR="008D0ECD" w:rsidRPr="006B794F">
        <w:rPr>
          <w:lang w:val="pl-PL"/>
        </w:rPr>
        <w:t xml:space="preserve"> r.</w:t>
      </w:r>
      <w:r w:rsidRPr="006B794F">
        <w:rPr>
          <w:lang w:val="pl-PL"/>
        </w:rPr>
        <w:t xml:space="preserve">, nie pozwalają one Trybunałowi zidentyfikować żadnej sytuacji, która mogłaby potwierdzić istnienie praktyki sądów krajowych pozwalającej na kontrolę przedmiotowego środka za pomocą środka odwoławczego, o którym wspomina Rząd (zob. paragraf </w:t>
      </w:r>
      <w:r w:rsidR="00C938DF" w:rsidRPr="006B794F">
        <w:rPr>
          <w:noProof/>
          <w:lang w:val="pl-PL"/>
        </w:rPr>
        <w:t>58</w:t>
      </w:r>
      <w:r w:rsidRPr="006B794F">
        <w:rPr>
          <w:lang w:val="pl-PL"/>
        </w:rPr>
        <w:t xml:space="preserve"> powyżej). Ustalenie to potwierdza dodatkowo przykład orzecznictwa przedstawiony przez skarżącą. W rzeczywistości, w tym przykładzie, kontrola wykonywana przez Sąd Najwyższy była ograniczona jedynie do kontroli legalności, a</w:t>
      </w:r>
      <w:r w:rsidR="00265848" w:rsidRPr="006B794F">
        <w:rPr>
          <w:lang w:val="pl-PL"/>
        </w:rPr>
        <w:t> </w:t>
      </w:r>
      <w:r w:rsidRPr="006B794F">
        <w:rPr>
          <w:lang w:val="pl-PL"/>
        </w:rPr>
        <w:t xml:space="preserve">zatem nie koncentrowała się na konieczności i proporcjonalności środka zawieszenia funkcji (zob. </w:t>
      </w:r>
      <w:r w:rsidR="00C938DF" w:rsidRPr="006B794F">
        <w:rPr>
          <w:lang w:val="pl-PL"/>
        </w:rPr>
        <w:t xml:space="preserve">paragraf 33 </w:t>
      </w:r>
      <w:r w:rsidRPr="006B794F">
        <w:rPr>
          <w:lang w:val="pl-PL"/>
        </w:rPr>
        <w:t>powyżej).</w:t>
      </w:r>
    </w:p>
    <w:p w14:paraId="47A9ACE5" w14:textId="2DD480DC" w:rsidR="00CC1663" w:rsidRPr="006B794F" w:rsidRDefault="00C938DF" w:rsidP="00695BDC">
      <w:pPr>
        <w:pStyle w:val="JuPara"/>
        <w:rPr>
          <w:lang w:val="pl-PL"/>
        </w:rPr>
      </w:pPr>
      <w:r w:rsidRPr="006B794F">
        <w:rPr>
          <w:noProof/>
          <w:lang w:val="pl-PL"/>
        </w:rPr>
        <w:t>69</w:t>
      </w:r>
      <w:r w:rsidRPr="006B794F">
        <w:rPr>
          <w:lang w:val="pl-PL"/>
        </w:rPr>
        <w:t>.</w:t>
      </w:r>
      <w:r w:rsidR="006C2A0A" w:rsidRPr="006B794F">
        <w:rPr>
          <w:lang w:val="pl-PL"/>
        </w:rPr>
        <w:t xml:space="preserve"> </w:t>
      </w:r>
      <w:r w:rsidRPr="006B794F">
        <w:rPr>
          <w:lang w:val="pl-PL"/>
        </w:rPr>
        <w:t xml:space="preserve">Mając na uwadze zasady przedstawione w paragrafie </w:t>
      </w:r>
      <w:r w:rsidR="00695BDC" w:rsidRPr="006B794F">
        <w:rPr>
          <w:noProof/>
          <w:lang w:val="pl-PL"/>
        </w:rPr>
        <w:t>18</w:t>
      </w:r>
      <w:r w:rsidRPr="006B794F">
        <w:rPr>
          <w:lang w:val="pl-PL"/>
        </w:rPr>
        <w:t xml:space="preserve"> powyżej, Trybunał uważa, że w tych okolicznościach nie można obarczać skarżącej odpowiedzialnością za to, że nie wniosła sprzeciwu, jak sugerował Rząd, przed plenarną sesją do NRS. Należy zatem odrzucić </w:t>
      </w:r>
      <w:r w:rsidR="00456CA3">
        <w:rPr>
          <w:lang w:val="pl-PL"/>
        </w:rPr>
        <w:t xml:space="preserve">zastrzeżenie </w:t>
      </w:r>
      <w:r w:rsidRPr="006B794F">
        <w:rPr>
          <w:lang w:val="pl-PL"/>
        </w:rPr>
        <w:t>wstępn</w:t>
      </w:r>
      <w:r w:rsidR="00456CA3">
        <w:rPr>
          <w:lang w:val="pl-PL"/>
        </w:rPr>
        <w:t>e dotyczące</w:t>
      </w:r>
      <w:r w:rsidRPr="006B794F">
        <w:rPr>
          <w:lang w:val="pl-PL"/>
        </w:rPr>
        <w:t xml:space="preserve"> niewyczerpania krajowych środków odwoławczych podniesion</w:t>
      </w:r>
      <w:r w:rsidR="00456CA3">
        <w:rPr>
          <w:lang w:val="pl-PL"/>
        </w:rPr>
        <w:t xml:space="preserve">e </w:t>
      </w:r>
      <w:r w:rsidRPr="006B794F">
        <w:rPr>
          <w:lang w:val="pl-PL"/>
        </w:rPr>
        <w:t>przez tego ostatniego (</w:t>
      </w:r>
      <w:r w:rsidR="002C3FC1">
        <w:rPr>
          <w:lang w:val="pl-PL"/>
        </w:rPr>
        <w:t>zob. paragraf</w:t>
      </w:r>
      <w:r w:rsidRPr="006B794F">
        <w:rPr>
          <w:lang w:val="pl-PL"/>
        </w:rPr>
        <w:t xml:space="preserve"> </w:t>
      </w:r>
      <w:r w:rsidRPr="006B794F">
        <w:rPr>
          <w:noProof/>
          <w:lang w:val="pl-PL"/>
        </w:rPr>
        <w:t xml:space="preserve">57 </w:t>
      </w:r>
      <w:r w:rsidRPr="006B794F">
        <w:rPr>
          <w:lang w:val="pl-PL"/>
        </w:rPr>
        <w:t>powyżej).</w:t>
      </w:r>
    </w:p>
    <w:p w14:paraId="535AB74A" w14:textId="52C6C45D" w:rsidR="00CC1663" w:rsidRPr="006B794F" w:rsidRDefault="00C938DF" w:rsidP="00695BDC">
      <w:pPr>
        <w:pStyle w:val="JuPara"/>
        <w:rPr>
          <w:lang w:val="pl-PL"/>
        </w:rPr>
      </w:pPr>
      <w:r w:rsidRPr="006B794F">
        <w:rPr>
          <w:noProof/>
          <w:lang w:val="pl-PL"/>
        </w:rPr>
        <w:t>70</w:t>
      </w:r>
      <w:r w:rsidRPr="006B794F">
        <w:rPr>
          <w:lang w:val="pl-PL"/>
        </w:rPr>
        <w:t>.</w:t>
      </w:r>
      <w:r w:rsidR="006C2A0A" w:rsidRPr="006B794F">
        <w:rPr>
          <w:lang w:val="pl-PL"/>
        </w:rPr>
        <w:t xml:space="preserve"> </w:t>
      </w:r>
      <w:r w:rsidRPr="006B794F">
        <w:rPr>
          <w:lang w:val="pl-PL"/>
        </w:rPr>
        <w:t>W związku z tym Trybunał jest zdania, że skarżąca nie miała możliwości skorzystania z żadnej formy ochrony sądowej w związku z</w:t>
      </w:r>
      <w:r w:rsidR="00265848" w:rsidRPr="006B794F">
        <w:rPr>
          <w:lang w:val="pl-PL"/>
        </w:rPr>
        <w:t> </w:t>
      </w:r>
      <w:r w:rsidRPr="006B794F">
        <w:rPr>
          <w:lang w:val="pl-PL"/>
        </w:rPr>
        <w:t xml:space="preserve">decyzją o zawieszeniu jej w czynnościach służbowych. Trybunał przypomina, że kwestię możliwości zastosowania gwarancji prawa do sądu określają kryteria określone w sprawie </w:t>
      </w:r>
      <w:r w:rsidRPr="006B794F">
        <w:rPr>
          <w:i/>
          <w:iCs/>
          <w:lang w:val="pl-PL"/>
        </w:rPr>
        <w:t>Vilho Eskelinen i inni przeciwko Finlandii</w:t>
      </w:r>
      <w:r w:rsidRPr="006B794F">
        <w:rPr>
          <w:lang w:val="pl-PL"/>
        </w:rPr>
        <w:t xml:space="preserve"> ([Wielka Izba],</w:t>
      </w:r>
      <w:r w:rsidRPr="006B794F">
        <w:rPr>
          <w:vertAlign w:val="superscript"/>
          <w:lang w:val="pl-PL"/>
        </w:rPr>
        <w:t xml:space="preserve"> </w:t>
      </w:r>
      <w:r w:rsidRPr="006B794F">
        <w:rPr>
          <w:lang w:val="pl-PL"/>
        </w:rPr>
        <w:t>nr 63235/00, § 62, E</w:t>
      </w:r>
      <w:r w:rsidR="00847ADA">
        <w:rPr>
          <w:lang w:val="pl-PL"/>
        </w:rPr>
        <w:t>TPC</w:t>
      </w:r>
      <w:r w:rsidRPr="006B794F">
        <w:rPr>
          <w:lang w:val="pl-PL"/>
        </w:rPr>
        <w:t xml:space="preserve"> 2007-II), stosowane do</w:t>
      </w:r>
      <w:r w:rsidR="00265848" w:rsidRPr="006B794F">
        <w:rPr>
          <w:lang w:val="pl-PL"/>
        </w:rPr>
        <w:t> </w:t>
      </w:r>
      <w:r w:rsidRPr="006B794F">
        <w:rPr>
          <w:lang w:val="pl-PL"/>
        </w:rPr>
        <w:t xml:space="preserve">wszystkich rodzajów sporów dotyczących członków władzy sądowniczej </w:t>
      </w:r>
      <w:r w:rsidRPr="006B794F">
        <w:rPr>
          <w:i/>
          <w:iCs/>
          <w:lang w:val="pl-PL"/>
        </w:rPr>
        <w:t>(zob. Baka</w:t>
      </w:r>
      <w:r w:rsidRPr="006B794F">
        <w:rPr>
          <w:lang w:val="pl-PL"/>
        </w:rPr>
        <w:t xml:space="preserve">, </w:t>
      </w:r>
      <w:r w:rsidR="008D0ECD" w:rsidRPr="006B794F">
        <w:rPr>
          <w:lang w:val="pl-PL"/>
        </w:rPr>
        <w:t>cyt. powyżej</w:t>
      </w:r>
      <w:r w:rsidRPr="006B794F">
        <w:rPr>
          <w:lang w:val="pl-PL"/>
        </w:rPr>
        <w:t xml:space="preserve">, §§ 105-106). Biorąc pod uwagę, że zawieszenie skarżącej było środkiem tymczasowym przyjętym w kontekście głównego postępowania dyscyplinarnego, Trybunał uważa, że możliwość zastosowania tych gwarancji w niniejszej sprawie musi być również analizowana w świetle kryteriów określonych przez Trybunał w sprawie </w:t>
      </w:r>
      <w:r w:rsidRPr="006B794F">
        <w:rPr>
          <w:i/>
          <w:iCs/>
          <w:lang w:val="pl-PL"/>
        </w:rPr>
        <w:t>Micallef przeciwko Malcie</w:t>
      </w:r>
      <w:r w:rsidRPr="006B794F">
        <w:rPr>
          <w:lang w:val="pl-PL"/>
        </w:rPr>
        <w:t xml:space="preserve"> ([Wielka Izba],</w:t>
      </w:r>
      <w:r w:rsidRPr="006B794F">
        <w:rPr>
          <w:vertAlign w:val="superscript"/>
          <w:lang w:val="pl-PL"/>
        </w:rPr>
        <w:t xml:space="preserve"> </w:t>
      </w:r>
      <w:r w:rsidRPr="006B794F">
        <w:rPr>
          <w:lang w:val="pl-PL"/>
        </w:rPr>
        <w:t>nr 17056/06, § 87, ETPC 2009). Ponadto, jeśli chodzi o</w:t>
      </w:r>
      <w:r w:rsidR="00265848" w:rsidRPr="006B794F">
        <w:rPr>
          <w:lang w:val="pl-PL"/>
        </w:rPr>
        <w:t> </w:t>
      </w:r>
      <w:r w:rsidRPr="006B794F">
        <w:rPr>
          <w:lang w:val="pl-PL"/>
        </w:rPr>
        <w:t>możliwość zastosowania, Trybunał przypomniał, że kryteria</w:t>
      </w:r>
      <w:r w:rsidR="00456A94" w:rsidRPr="006B794F">
        <w:rPr>
          <w:lang w:val="pl-PL"/>
        </w:rPr>
        <w:t xml:space="preserve"> ze sprawy</w:t>
      </w:r>
      <w:r w:rsidRPr="006B794F">
        <w:rPr>
          <w:lang w:val="pl-PL"/>
        </w:rPr>
        <w:t xml:space="preserve"> </w:t>
      </w:r>
      <w:r w:rsidRPr="006B794F">
        <w:rPr>
          <w:i/>
          <w:iCs/>
          <w:lang w:val="pl-PL"/>
        </w:rPr>
        <w:t xml:space="preserve">Eskelinen </w:t>
      </w:r>
      <w:r w:rsidRPr="006B794F">
        <w:rPr>
          <w:lang w:val="pl-PL"/>
        </w:rPr>
        <w:t>są tak samo istotne w sprawach dotyczących prawa do sądu, jak</w:t>
      </w:r>
      <w:r w:rsidR="00265848" w:rsidRPr="006B794F">
        <w:rPr>
          <w:lang w:val="pl-PL"/>
        </w:rPr>
        <w:t> </w:t>
      </w:r>
      <w:r w:rsidRPr="006B794F">
        <w:rPr>
          <w:lang w:val="pl-PL"/>
        </w:rPr>
        <w:t>i</w:t>
      </w:r>
      <w:r w:rsidR="00265848" w:rsidRPr="006B794F">
        <w:rPr>
          <w:lang w:val="pl-PL"/>
        </w:rPr>
        <w:t> </w:t>
      </w:r>
      <w:r w:rsidRPr="006B794F">
        <w:rPr>
          <w:lang w:val="pl-PL"/>
        </w:rPr>
        <w:t>w</w:t>
      </w:r>
      <w:r w:rsidR="00265848" w:rsidRPr="006B794F">
        <w:rPr>
          <w:lang w:val="pl-PL"/>
        </w:rPr>
        <w:t> </w:t>
      </w:r>
      <w:r w:rsidRPr="006B794F">
        <w:rPr>
          <w:lang w:val="pl-PL"/>
        </w:rPr>
        <w:t xml:space="preserve">sprawach dotyczących innych gwarancji zawartych w tym przepisie. </w:t>
      </w:r>
      <w:r w:rsidRPr="006B794F">
        <w:rPr>
          <w:lang w:val="pl-PL"/>
        </w:rPr>
        <w:lastRenderedPageBreak/>
        <w:t xml:space="preserve">W tych okolicznościach Trybunał uznaje, że gwarancje </w:t>
      </w:r>
      <w:r w:rsidR="0055094D" w:rsidRPr="006B794F">
        <w:rPr>
          <w:lang w:val="pl-PL"/>
        </w:rPr>
        <w:t>art. 6 ust. 1</w:t>
      </w:r>
      <w:r w:rsidRPr="006B794F">
        <w:rPr>
          <w:lang w:val="pl-PL"/>
        </w:rPr>
        <w:t xml:space="preserve"> Konwencji mające zastosowanie do głównego postępowania dyscyplinarnego dotyczą również czasowego zawieszenia skarżącej w</w:t>
      </w:r>
      <w:r w:rsidR="00265848" w:rsidRPr="006B794F">
        <w:rPr>
          <w:lang w:val="pl-PL"/>
        </w:rPr>
        <w:t> </w:t>
      </w:r>
      <w:r w:rsidRPr="006B794F">
        <w:rPr>
          <w:lang w:val="pl-PL"/>
        </w:rPr>
        <w:t xml:space="preserve">obowiązkach służbowych (zob. </w:t>
      </w:r>
      <w:r w:rsidRPr="006B794F">
        <w:rPr>
          <w:i/>
          <w:iCs/>
          <w:lang w:val="pl-PL"/>
        </w:rPr>
        <w:t>Paluda</w:t>
      </w:r>
      <w:r w:rsidRPr="006B794F">
        <w:rPr>
          <w:lang w:val="pl-PL"/>
        </w:rPr>
        <w:t xml:space="preserve">, cyt. powyżej, §§ 33-34). Pozostaje zbadać, czy sytuacja, na którą skarży się skarżąca, stanowi naruszenie </w:t>
      </w:r>
      <w:r w:rsidR="0055094D" w:rsidRPr="006B794F">
        <w:rPr>
          <w:lang w:val="pl-PL"/>
        </w:rPr>
        <w:t>art. 6 ust. 1</w:t>
      </w:r>
      <w:r w:rsidRPr="006B794F">
        <w:rPr>
          <w:lang w:val="pl-PL"/>
        </w:rPr>
        <w:t xml:space="preserve"> Konwencji.</w:t>
      </w:r>
    </w:p>
    <w:p w14:paraId="5A367383" w14:textId="1938AEDD" w:rsidR="00CC1663" w:rsidRPr="006B794F" w:rsidRDefault="00C938DF" w:rsidP="00695BDC">
      <w:pPr>
        <w:pStyle w:val="JuPara"/>
        <w:rPr>
          <w:snapToGrid w:val="0"/>
          <w:lang w:val="pl-PL"/>
        </w:rPr>
      </w:pPr>
      <w:r w:rsidRPr="006B794F">
        <w:rPr>
          <w:noProof/>
          <w:lang w:val="pl-PL"/>
        </w:rPr>
        <w:t>71</w:t>
      </w:r>
      <w:r w:rsidRPr="006B794F">
        <w:rPr>
          <w:lang w:val="pl-PL"/>
        </w:rPr>
        <w:t>.</w:t>
      </w:r>
      <w:r w:rsidR="006C2A0A" w:rsidRPr="006B794F">
        <w:rPr>
          <w:lang w:val="pl-PL"/>
        </w:rPr>
        <w:t xml:space="preserve"> </w:t>
      </w:r>
      <w:r w:rsidRPr="006B794F">
        <w:rPr>
          <w:lang w:val="pl-PL"/>
        </w:rPr>
        <w:t>Trybunał przypomniał, że prawo do sądu nie ma charakteru absolutnego. Prawo to może podlegać ograniczeniom, pod warunkiem że</w:t>
      </w:r>
      <w:r w:rsidR="00265848" w:rsidRPr="006B794F">
        <w:rPr>
          <w:lang w:val="pl-PL"/>
        </w:rPr>
        <w:t> </w:t>
      </w:r>
      <w:r w:rsidRPr="006B794F">
        <w:rPr>
          <w:lang w:val="pl-PL"/>
        </w:rPr>
        <w:t>nie</w:t>
      </w:r>
      <w:r w:rsidR="00265848" w:rsidRPr="006B794F">
        <w:rPr>
          <w:lang w:val="pl-PL"/>
        </w:rPr>
        <w:t> </w:t>
      </w:r>
      <w:r w:rsidRPr="006B794F">
        <w:rPr>
          <w:lang w:val="pl-PL"/>
        </w:rPr>
        <w:t xml:space="preserve">ograniczają one dostępu stron do sądu w taki sposób lub w takim stopniu, że naruszają jego istotę. Ponadto, ograniczenia te są zgodne z </w:t>
      </w:r>
      <w:r w:rsidR="0055094D" w:rsidRPr="006B794F">
        <w:rPr>
          <w:lang w:val="pl-PL"/>
        </w:rPr>
        <w:t>art. 6 ust. 1</w:t>
      </w:r>
      <w:r w:rsidRPr="006B794F">
        <w:rPr>
          <w:lang w:val="pl-PL"/>
        </w:rPr>
        <w:t xml:space="preserve"> tylko wtedy, gdy realizują </w:t>
      </w:r>
      <w:r w:rsidR="009F610F" w:rsidRPr="006B794F">
        <w:rPr>
          <w:lang w:val="pl-PL"/>
        </w:rPr>
        <w:t>uprawniony</w:t>
      </w:r>
      <w:r w:rsidRPr="006B794F">
        <w:rPr>
          <w:lang w:val="pl-PL"/>
        </w:rPr>
        <w:t xml:space="preserve"> cel i gdy istnieje rozsądny związek proporcjonalności między zastosowanymi środkami a realizowanym celem </w:t>
      </w:r>
      <w:r w:rsidRPr="006B794F">
        <w:rPr>
          <w:i/>
          <w:iCs/>
          <w:lang w:val="pl-PL"/>
        </w:rPr>
        <w:t>(Baka</w:t>
      </w:r>
      <w:r w:rsidRPr="006B794F">
        <w:rPr>
          <w:lang w:val="pl-PL"/>
        </w:rPr>
        <w:t>,</w:t>
      </w:r>
      <w:r w:rsidRPr="006B794F">
        <w:rPr>
          <w:i/>
          <w:iCs/>
          <w:lang w:val="pl-PL"/>
        </w:rPr>
        <w:t xml:space="preserve"> </w:t>
      </w:r>
      <w:r w:rsidR="008D0ECD" w:rsidRPr="006B794F">
        <w:rPr>
          <w:lang w:val="pl-PL"/>
        </w:rPr>
        <w:t>cyt. powyżej</w:t>
      </w:r>
      <w:r w:rsidRPr="006B794F">
        <w:rPr>
          <w:lang w:val="pl-PL"/>
        </w:rPr>
        <w:t>,</w:t>
      </w:r>
      <w:r w:rsidRPr="006B794F">
        <w:rPr>
          <w:snapToGrid w:val="0"/>
          <w:lang w:val="pl-PL"/>
        </w:rPr>
        <w:t xml:space="preserve"> § 120, i cytowane tam orzecznictwo)</w:t>
      </w:r>
      <w:r w:rsidRPr="006B794F">
        <w:rPr>
          <w:lang w:val="pl-PL"/>
        </w:rPr>
        <w:t>.</w:t>
      </w:r>
    </w:p>
    <w:p w14:paraId="75FA5C6D" w14:textId="405E2EEB" w:rsidR="00CC1663" w:rsidRPr="006B794F" w:rsidRDefault="00C938DF" w:rsidP="00695BDC">
      <w:pPr>
        <w:pStyle w:val="JuPara"/>
        <w:rPr>
          <w:lang w:val="pl-PL"/>
        </w:rPr>
      </w:pPr>
      <w:r w:rsidRPr="006B794F">
        <w:rPr>
          <w:noProof/>
          <w:lang w:val="pl-PL"/>
        </w:rPr>
        <w:t>72</w:t>
      </w:r>
      <w:r w:rsidRPr="006B794F">
        <w:rPr>
          <w:lang w:val="pl-PL"/>
        </w:rPr>
        <w:t>.</w:t>
      </w:r>
      <w:r w:rsidR="006C2A0A" w:rsidRPr="006B794F">
        <w:rPr>
          <w:lang w:val="pl-PL"/>
        </w:rPr>
        <w:t xml:space="preserve"> </w:t>
      </w:r>
      <w:r w:rsidRPr="006B794F">
        <w:rPr>
          <w:lang w:val="pl-PL"/>
        </w:rPr>
        <w:t>W niniejszej sprawie Trybunał zauważa przede wszystkim, że ani ustawodawstwo krajowe, ani praktyka krajowa nie przewidywały, w czasie gdy zachodziły te fakty, możliwości poddania kontroli sądowej decyzji o</w:t>
      </w:r>
      <w:r w:rsidR="00265848" w:rsidRPr="006B794F">
        <w:rPr>
          <w:lang w:val="pl-PL"/>
        </w:rPr>
        <w:t> </w:t>
      </w:r>
      <w:r w:rsidRPr="006B794F">
        <w:rPr>
          <w:lang w:val="pl-PL"/>
        </w:rPr>
        <w:t>zawieszeniu sędziego w czynnościach służbowych na podstawie art. 651 ustawy</w:t>
      </w:r>
      <w:r w:rsidRPr="006B794F">
        <w:rPr>
          <w:vertAlign w:val="superscript"/>
          <w:lang w:val="pl-PL"/>
        </w:rPr>
        <w:t xml:space="preserve"> </w:t>
      </w:r>
      <w:r w:rsidRPr="006B794F">
        <w:rPr>
          <w:lang w:val="pl-PL"/>
        </w:rPr>
        <w:t>nr 303/2004 (zob. paragraf 28 powyżej).</w:t>
      </w:r>
    </w:p>
    <w:p w14:paraId="20B8BAC2" w14:textId="7F27B4BF" w:rsidR="00CC1663" w:rsidRPr="006B794F" w:rsidRDefault="00C938DF" w:rsidP="00695BDC">
      <w:pPr>
        <w:pStyle w:val="JuPara"/>
        <w:rPr>
          <w:lang w:val="pl-PL"/>
        </w:rPr>
      </w:pPr>
      <w:r w:rsidRPr="006B794F">
        <w:rPr>
          <w:noProof/>
          <w:lang w:val="pl-PL"/>
        </w:rPr>
        <w:t>73</w:t>
      </w:r>
      <w:r w:rsidRPr="006B794F">
        <w:rPr>
          <w:lang w:val="pl-PL"/>
        </w:rPr>
        <w:t>.</w:t>
      </w:r>
      <w:r w:rsidR="006C2A0A" w:rsidRPr="006B794F">
        <w:rPr>
          <w:lang w:val="pl-PL"/>
        </w:rPr>
        <w:t xml:space="preserve"> </w:t>
      </w:r>
      <w:r w:rsidRPr="006B794F">
        <w:rPr>
          <w:lang w:val="pl-PL"/>
        </w:rPr>
        <w:t xml:space="preserve">Zauważa ponadto, że decyzja Trybunału Konstytucyjnego, na którą Rząd powołuje się na poparcie swoich argumentów (zob. paragraf </w:t>
      </w:r>
      <w:r w:rsidR="00695BDC" w:rsidRPr="006B794F">
        <w:rPr>
          <w:noProof/>
          <w:lang w:val="pl-PL"/>
        </w:rPr>
        <w:t>23</w:t>
      </w:r>
      <w:r w:rsidRPr="006B794F">
        <w:rPr>
          <w:lang w:val="pl-PL"/>
        </w:rPr>
        <w:t xml:space="preserve"> powyżej), tylko potwierdza ten wniosek, ponieważ, podkreślając znaczenie prawa do sądu przy stosowaniu środków tymczasowych, Trybunał Konstytucyjny skrytykował brak kontroli sądowej nad decyzjami o</w:t>
      </w:r>
      <w:r w:rsidR="00265848" w:rsidRPr="006B794F">
        <w:rPr>
          <w:lang w:val="pl-PL"/>
        </w:rPr>
        <w:t> </w:t>
      </w:r>
      <w:r w:rsidRPr="006B794F">
        <w:rPr>
          <w:lang w:val="pl-PL"/>
        </w:rPr>
        <w:t>zawieszeniu przyjętymi na wniosek inspektorów sądowych (zob. paragraf</w:t>
      </w:r>
      <w:r w:rsidR="006C2A0A" w:rsidRPr="006B794F">
        <w:rPr>
          <w:lang w:val="pl-PL"/>
        </w:rPr>
        <w:t xml:space="preserve"> </w:t>
      </w:r>
      <w:r w:rsidRPr="006B794F">
        <w:rPr>
          <w:lang w:val="pl-PL"/>
        </w:rPr>
        <w:t>30</w:t>
      </w:r>
      <w:r w:rsidRPr="006B794F">
        <w:rPr>
          <w:b/>
          <w:bCs/>
          <w:lang w:val="pl-PL"/>
        </w:rPr>
        <w:t xml:space="preserve"> </w:t>
      </w:r>
      <w:r w:rsidRPr="006B794F">
        <w:rPr>
          <w:lang w:val="pl-PL"/>
        </w:rPr>
        <w:t>powyżej).</w:t>
      </w:r>
    </w:p>
    <w:p w14:paraId="69E17360" w14:textId="51E79D48" w:rsidR="00CC1663" w:rsidRPr="006B794F" w:rsidRDefault="00C938DF" w:rsidP="00695BDC">
      <w:pPr>
        <w:pStyle w:val="JuPara"/>
        <w:rPr>
          <w:lang w:val="pl-PL"/>
        </w:rPr>
      </w:pPr>
      <w:r w:rsidRPr="006B794F">
        <w:rPr>
          <w:lang w:val="pl-PL"/>
        </w:rPr>
        <w:t>74.</w:t>
      </w:r>
      <w:r w:rsidR="006C2A0A" w:rsidRPr="006B794F">
        <w:rPr>
          <w:lang w:val="pl-PL"/>
        </w:rPr>
        <w:t xml:space="preserve"> </w:t>
      </w:r>
      <w:r w:rsidRPr="006B794F">
        <w:rPr>
          <w:lang w:val="pl-PL"/>
        </w:rPr>
        <w:t>W niniejszej sprawie Trybunał nie może nie zauważyć, że decyzja NRS z dnia 21 marca 2017</w:t>
      </w:r>
      <w:r w:rsidR="008D0ECD" w:rsidRPr="006B794F">
        <w:rPr>
          <w:lang w:val="pl-PL"/>
        </w:rPr>
        <w:t xml:space="preserve"> r.</w:t>
      </w:r>
      <w:r w:rsidRPr="006B794F">
        <w:rPr>
          <w:lang w:val="pl-PL"/>
        </w:rPr>
        <w:t xml:space="preserve"> (zob. paragraf 12 powyżej) nie została i</w:t>
      </w:r>
      <w:r w:rsidR="00265848" w:rsidRPr="006B794F">
        <w:rPr>
          <w:lang w:val="pl-PL"/>
        </w:rPr>
        <w:t> </w:t>
      </w:r>
      <w:r w:rsidRPr="006B794F">
        <w:rPr>
          <w:lang w:val="pl-PL"/>
        </w:rPr>
        <w:t>nie</w:t>
      </w:r>
      <w:r w:rsidR="00265848" w:rsidRPr="006B794F">
        <w:rPr>
          <w:lang w:val="pl-PL"/>
        </w:rPr>
        <w:t> </w:t>
      </w:r>
      <w:r w:rsidRPr="006B794F">
        <w:rPr>
          <w:lang w:val="pl-PL"/>
        </w:rPr>
        <w:t xml:space="preserve">mogła zostać poddana kontroli przez sąd powszechny lub inny organ wykonujący funkcje sądowe (zob. </w:t>
      </w:r>
      <w:r w:rsidRPr="006B794F">
        <w:rPr>
          <w:i/>
          <w:iCs/>
          <w:lang w:val="pl-PL"/>
        </w:rPr>
        <w:t>mutatis mutandis</w:t>
      </w:r>
      <w:r w:rsidRPr="006B794F">
        <w:rPr>
          <w:lang w:val="pl-PL"/>
        </w:rPr>
        <w:t xml:space="preserve">, </w:t>
      </w:r>
      <w:r w:rsidRPr="006B794F">
        <w:rPr>
          <w:i/>
          <w:iCs/>
          <w:lang w:val="pl-PL"/>
        </w:rPr>
        <w:t xml:space="preserve">Baka, </w:t>
      </w:r>
      <w:r w:rsidR="008D0ECD" w:rsidRPr="006B794F">
        <w:rPr>
          <w:lang w:val="pl-PL"/>
        </w:rPr>
        <w:t>cyt. powyżej</w:t>
      </w:r>
      <w:r w:rsidRPr="006B794F">
        <w:rPr>
          <w:lang w:val="pl-PL"/>
        </w:rPr>
        <w:t>, §</w:t>
      </w:r>
      <w:r w:rsidR="00265848" w:rsidRPr="006B794F">
        <w:rPr>
          <w:lang w:val="pl-PL"/>
        </w:rPr>
        <w:t> </w:t>
      </w:r>
      <w:r w:rsidRPr="006B794F">
        <w:rPr>
          <w:lang w:val="pl-PL"/>
        </w:rPr>
        <w:t>121).</w:t>
      </w:r>
    </w:p>
    <w:p w14:paraId="09140DFC" w14:textId="0F3CBAB4" w:rsidR="00CC1663" w:rsidRPr="006B794F" w:rsidRDefault="00C938DF" w:rsidP="00695BDC">
      <w:pPr>
        <w:pStyle w:val="JuPara"/>
        <w:rPr>
          <w:lang w:val="pl-PL"/>
        </w:rPr>
      </w:pPr>
      <w:r w:rsidRPr="006B794F">
        <w:rPr>
          <w:lang w:val="pl-PL"/>
        </w:rPr>
        <w:t>75.</w:t>
      </w:r>
      <w:r w:rsidR="006C2A0A" w:rsidRPr="006B794F">
        <w:rPr>
          <w:lang w:val="pl-PL"/>
        </w:rPr>
        <w:t xml:space="preserve"> </w:t>
      </w:r>
      <w:r w:rsidRPr="006B794F">
        <w:rPr>
          <w:lang w:val="pl-PL"/>
        </w:rPr>
        <w:t xml:space="preserve">W szczególności Trybunał zauważa, że skarżąca została pozbawiona prawa do sądu w rozumieniu </w:t>
      </w:r>
      <w:r w:rsidR="0055094D" w:rsidRPr="006B794F">
        <w:rPr>
          <w:lang w:val="pl-PL"/>
        </w:rPr>
        <w:t>art. 6 ust. 1</w:t>
      </w:r>
      <w:r w:rsidRPr="006B794F">
        <w:rPr>
          <w:lang w:val="pl-PL"/>
        </w:rPr>
        <w:t xml:space="preserve"> Konwencji w związku z</w:t>
      </w:r>
      <w:r w:rsidR="00265848" w:rsidRPr="006B794F">
        <w:rPr>
          <w:lang w:val="pl-PL"/>
        </w:rPr>
        <w:t> </w:t>
      </w:r>
      <w:r w:rsidRPr="006B794F">
        <w:rPr>
          <w:lang w:val="pl-PL"/>
        </w:rPr>
        <w:t xml:space="preserve">zawieszeniem jej w obowiązkach sędziego, co uniemożliwiło jej wykonywanie obowiązków sędziego i otrzymywanie wynagrodzenia przez około dziewięć miesięcy (zob. </w:t>
      </w:r>
      <w:r w:rsidRPr="006B794F">
        <w:rPr>
          <w:i/>
          <w:iCs/>
          <w:lang w:val="pl-PL"/>
        </w:rPr>
        <w:t>mutatis mutandis</w:t>
      </w:r>
      <w:r w:rsidRPr="006B794F">
        <w:rPr>
          <w:lang w:val="pl-PL"/>
        </w:rPr>
        <w:t xml:space="preserve">, </w:t>
      </w:r>
      <w:r w:rsidRPr="006B794F">
        <w:rPr>
          <w:i/>
          <w:iCs/>
          <w:lang w:val="pl-PL"/>
        </w:rPr>
        <w:t>Paluda</w:t>
      </w:r>
      <w:r w:rsidRPr="006B794F">
        <w:rPr>
          <w:lang w:val="pl-PL"/>
        </w:rPr>
        <w:t>, cyt. powyżej, §§</w:t>
      </w:r>
      <w:r w:rsidR="00265848" w:rsidRPr="006B794F">
        <w:rPr>
          <w:lang w:val="pl-PL"/>
        </w:rPr>
        <w:t> </w:t>
      </w:r>
      <w:r w:rsidRPr="006B794F">
        <w:rPr>
          <w:lang w:val="pl-PL"/>
        </w:rPr>
        <w:t>52-53).</w:t>
      </w:r>
    </w:p>
    <w:p w14:paraId="6169236F" w14:textId="7047837D" w:rsidR="00CC1663" w:rsidRPr="006B794F" w:rsidRDefault="00C938DF" w:rsidP="00695BDC">
      <w:pPr>
        <w:pStyle w:val="JuPara"/>
        <w:rPr>
          <w:lang w:val="pl-PL"/>
        </w:rPr>
      </w:pPr>
      <w:r w:rsidRPr="006B794F">
        <w:rPr>
          <w:lang w:val="pl-PL"/>
        </w:rPr>
        <w:t>76.</w:t>
      </w:r>
      <w:r w:rsidR="006C2A0A" w:rsidRPr="006B794F">
        <w:rPr>
          <w:lang w:val="pl-PL"/>
        </w:rPr>
        <w:t xml:space="preserve"> </w:t>
      </w:r>
      <w:r w:rsidRPr="006B794F">
        <w:rPr>
          <w:lang w:val="pl-PL"/>
        </w:rPr>
        <w:t>Ponadto Trybunał zauważył, że Rząd nie przedstawił przekonujących argumentów uzasadniających brak ochrony sądowej, którą skarżąca w</w:t>
      </w:r>
      <w:r w:rsidR="00265848" w:rsidRPr="006B794F">
        <w:rPr>
          <w:lang w:val="pl-PL"/>
        </w:rPr>
        <w:t> </w:t>
      </w:r>
      <w:r w:rsidRPr="006B794F">
        <w:rPr>
          <w:lang w:val="pl-PL"/>
        </w:rPr>
        <w:t xml:space="preserve">niniejszej sprawie podniosła. Sam fakt, że zawieszenie obowiązków skarżącej było spowodowane skorzystaniem przez nią z prawa do odwołania (zob. paragraf </w:t>
      </w:r>
      <w:r w:rsidRPr="006B794F">
        <w:rPr>
          <w:noProof/>
          <w:lang w:val="pl-PL"/>
        </w:rPr>
        <w:t>63</w:t>
      </w:r>
      <w:r w:rsidRPr="006B794F">
        <w:rPr>
          <w:lang w:val="pl-PL"/>
        </w:rPr>
        <w:t xml:space="preserve"> powyżej) nie może usprawiedliwiać braku kontroli sądowej przedmiotowego środka (zob. </w:t>
      </w:r>
      <w:r w:rsidRPr="006B794F">
        <w:rPr>
          <w:i/>
          <w:iCs/>
          <w:lang w:val="pl-PL"/>
        </w:rPr>
        <w:t>mutatis mutandis</w:t>
      </w:r>
      <w:r w:rsidRPr="006B794F">
        <w:rPr>
          <w:lang w:val="pl-PL"/>
        </w:rPr>
        <w:t xml:space="preserve">, </w:t>
      </w:r>
      <w:r w:rsidRPr="006B794F">
        <w:rPr>
          <w:i/>
          <w:iCs/>
          <w:lang w:val="pl-PL"/>
        </w:rPr>
        <w:t>Paluda</w:t>
      </w:r>
      <w:r w:rsidRPr="006B794F">
        <w:rPr>
          <w:lang w:val="pl-PL"/>
        </w:rPr>
        <w:t xml:space="preserve">, </w:t>
      </w:r>
      <w:r w:rsidR="008D0ECD" w:rsidRPr="006B794F">
        <w:rPr>
          <w:lang w:val="pl-PL"/>
        </w:rPr>
        <w:t>cyt. powyżej</w:t>
      </w:r>
      <w:r w:rsidRPr="006B794F">
        <w:rPr>
          <w:lang w:val="pl-PL"/>
        </w:rPr>
        <w:t>, § 54).</w:t>
      </w:r>
    </w:p>
    <w:p w14:paraId="19813D95" w14:textId="58A10CF1" w:rsidR="00CC1663" w:rsidRPr="006B794F" w:rsidRDefault="00C938DF" w:rsidP="00695BDC">
      <w:pPr>
        <w:pStyle w:val="JuPara"/>
        <w:rPr>
          <w:lang w:val="pl-PL"/>
        </w:rPr>
      </w:pPr>
      <w:r w:rsidRPr="006B794F">
        <w:rPr>
          <w:lang w:val="pl-PL"/>
        </w:rPr>
        <w:t>77.</w:t>
      </w:r>
      <w:r w:rsidR="006C2A0A" w:rsidRPr="006B794F">
        <w:rPr>
          <w:lang w:val="pl-PL"/>
        </w:rPr>
        <w:t xml:space="preserve"> </w:t>
      </w:r>
      <w:r w:rsidRPr="006B794F">
        <w:rPr>
          <w:lang w:val="pl-PL"/>
        </w:rPr>
        <w:t xml:space="preserve">Na koniec Trybunał przypomina, że Rząd nie udowodnił skuteczności jakiegokolwiek środka odwoławczego, który mógłby umożliwić skarżącej </w:t>
      </w:r>
      <w:r w:rsidRPr="006B794F">
        <w:rPr>
          <w:lang w:val="pl-PL"/>
        </w:rPr>
        <w:lastRenderedPageBreak/>
        <w:t>poddanie decyzji o zawieszeniu jej w obowiązkach kontroli sądowej (zob.</w:t>
      </w:r>
      <w:r w:rsidR="00265848" w:rsidRPr="006B794F">
        <w:rPr>
          <w:lang w:val="pl-PL"/>
        </w:rPr>
        <w:t> </w:t>
      </w:r>
      <w:r w:rsidRPr="006B794F">
        <w:rPr>
          <w:lang w:val="pl-PL"/>
        </w:rPr>
        <w:t>paragraf 70 powyżej).</w:t>
      </w:r>
    </w:p>
    <w:p w14:paraId="0E2431F5" w14:textId="3D4A7157" w:rsidR="00CC1663" w:rsidRPr="006B794F" w:rsidRDefault="00C938DF" w:rsidP="00695BDC">
      <w:pPr>
        <w:pStyle w:val="JuPara"/>
        <w:rPr>
          <w:lang w:val="pl-PL"/>
        </w:rPr>
      </w:pPr>
      <w:r w:rsidRPr="006B794F">
        <w:rPr>
          <w:lang w:val="pl-PL"/>
        </w:rPr>
        <w:t>78.</w:t>
      </w:r>
      <w:r w:rsidR="006C2A0A" w:rsidRPr="006B794F">
        <w:rPr>
          <w:lang w:val="pl-PL"/>
        </w:rPr>
        <w:t xml:space="preserve"> </w:t>
      </w:r>
      <w:r w:rsidRPr="006B794F">
        <w:rPr>
          <w:lang w:val="pl-PL"/>
        </w:rPr>
        <w:t>W tych okolicznościach Trybunał uznał, że pozwane Państwo naruszyło samą istotę prawa skarżącej do sądu.</w:t>
      </w:r>
    </w:p>
    <w:p w14:paraId="1D9D39A8" w14:textId="2F47F4E4" w:rsidR="00CC1663" w:rsidRPr="006B794F" w:rsidRDefault="00C938DF" w:rsidP="00695BDC">
      <w:pPr>
        <w:pStyle w:val="JuPara"/>
        <w:rPr>
          <w:lang w:val="pl-PL"/>
        </w:rPr>
      </w:pPr>
      <w:r w:rsidRPr="006B794F">
        <w:rPr>
          <w:noProof/>
          <w:lang w:val="pl-PL"/>
        </w:rPr>
        <w:t>79</w:t>
      </w:r>
      <w:r w:rsidRPr="006B794F">
        <w:rPr>
          <w:lang w:val="pl-PL"/>
        </w:rPr>
        <w:t>.</w:t>
      </w:r>
      <w:r w:rsidR="006C2A0A" w:rsidRPr="006B794F">
        <w:rPr>
          <w:lang w:val="pl-PL"/>
        </w:rPr>
        <w:t xml:space="preserve"> </w:t>
      </w:r>
      <w:r w:rsidRPr="006B794F">
        <w:rPr>
          <w:lang w:val="pl-PL"/>
        </w:rPr>
        <w:t xml:space="preserve">Doszło zatem do naruszenia </w:t>
      </w:r>
      <w:r w:rsidR="0055094D" w:rsidRPr="006B794F">
        <w:rPr>
          <w:lang w:val="pl-PL"/>
        </w:rPr>
        <w:t>art. 6 ust. 1</w:t>
      </w:r>
      <w:r w:rsidRPr="006B794F">
        <w:rPr>
          <w:lang w:val="pl-PL"/>
        </w:rPr>
        <w:t xml:space="preserve"> Konwencji.</w:t>
      </w:r>
    </w:p>
    <w:p w14:paraId="33B9979B" w14:textId="2F841E31" w:rsidR="00CC1663" w:rsidRPr="006B794F" w:rsidRDefault="00BE2B80" w:rsidP="00695BDC">
      <w:pPr>
        <w:pStyle w:val="JuHIRoman"/>
        <w:rPr>
          <w:lang w:val="pl-PL"/>
        </w:rPr>
      </w:pPr>
      <w:r w:rsidRPr="006B794F">
        <w:rPr>
          <w:bCs w:val="0"/>
          <w:lang w:val="pl-PL"/>
        </w:rPr>
        <w:t>ZARZUCANE NARUSZENIA ART. 8 KONWENCJI</w:t>
      </w:r>
    </w:p>
    <w:p w14:paraId="71F9EA46" w14:textId="31F4DF76" w:rsidR="00CC1663" w:rsidRPr="006B794F" w:rsidRDefault="00C938DF" w:rsidP="00695BDC">
      <w:pPr>
        <w:pStyle w:val="JuPara"/>
        <w:rPr>
          <w:lang w:val="pl-PL"/>
        </w:rPr>
      </w:pPr>
      <w:r w:rsidRPr="006B794F">
        <w:rPr>
          <w:lang w:val="pl-PL"/>
        </w:rPr>
        <w:t>80.</w:t>
      </w:r>
      <w:r w:rsidR="006C2A0A" w:rsidRPr="006B794F">
        <w:rPr>
          <w:lang w:val="pl-PL"/>
        </w:rPr>
        <w:t xml:space="preserve"> </w:t>
      </w:r>
      <w:r w:rsidRPr="006B794F">
        <w:rPr>
          <w:lang w:val="pl-PL"/>
        </w:rPr>
        <w:t>Skarżąca zarzuca, że została zawieszona w pełnieniu obowiązków służbowych w czasie trwania postępowania dyscyplinarnego prowadzonego przeciwko niej oraz że została pozbawiona, na czas trwania tego postępowania, wynagrodzenia i składek na ubezpieczenie społeczne, jak</w:t>
      </w:r>
      <w:r w:rsidR="00265848" w:rsidRPr="006B794F">
        <w:rPr>
          <w:lang w:val="pl-PL"/>
        </w:rPr>
        <w:t> </w:t>
      </w:r>
      <w:r w:rsidRPr="006B794F">
        <w:rPr>
          <w:lang w:val="pl-PL"/>
        </w:rPr>
        <w:t>również możliwości podjęcia innej pracy zarobkowej. Skarży się również, że poufne informacje z akt dochodzenia dyscyplinarnego wyciekły do prasy oraz że sesja plenarna NRS odmówiła w dniu 11 stycznia 2018 r. zapewnienia ochrony jej reputacji zawodowej w obliczu kampanii prasowej prowadzonej przeciwko niej (zob. paragraf 24</w:t>
      </w:r>
      <w:r w:rsidRPr="006B794F">
        <w:rPr>
          <w:b/>
          <w:bCs/>
          <w:lang w:val="pl-PL"/>
        </w:rPr>
        <w:t xml:space="preserve"> </w:t>
      </w:r>
      <w:r w:rsidRPr="006B794F">
        <w:rPr>
          <w:lang w:val="pl-PL"/>
        </w:rPr>
        <w:t>powyżej).</w:t>
      </w:r>
    </w:p>
    <w:p w14:paraId="1B9D7EE3" w14:textId="77777777" w:rsidR="00CC1663" w:rsidRPr="006B794F" w:rsidRDefault="00000000" w:rsidP="00695BDC">
      <w:pPr>
        <w:pStyle w:val="JuPara"/>
        <w:rPr>
          <w:lang w:val="pl-PL"/>
        </w:rPr>
      </w:pPr>
      <w:r w:rsidRPr="006B794F">
        <w:rPr>
          <w:lang w:val="pl-PL"/>
        </w:rPr>
        <w:t>Skarżąca powołuje się na art. 8 Konwencji, który w odpowiedniej części brzmi następująco:</w:t>
      </w:r>
    </w:p>
    <w:p w14:paraId="04197CE5" w14:textId="15920E2C" w:rsidR="00CC1663" w:rsidRPr="006B794F" w:rsidRDefault="006C2A0A" w:rsidP="008B33FD">
      <w:pPr>
        <w:pStyle w:val="JuQuot"/>
        <w:ind w:left="0" w:firstLine="284"/>
        <w:rPr>
          <w:lang w:val="pl-PL"/>
        </w:rPr>
      </w:pPr>
      <w:r w:rsidRPr="006B794F">
        <w:rPr>
          <w:lang w:val="pl-PL"/>
        </w:rPr>
        <w:t xml:space="preserve"> </w:t>
      </w:r>
      <w:r w:rsidR="002C3FC1">
        <w:rPr>
          <w:lang w:val="pl-PL"/>
        </w:rPr>
        <w:t>„</w:t>
      </w:r>
      <w:r w:rsidRPr="006B794F">
        <w:rPr>
          <w:lang w:val="pl-PL"/>
        </w:rPr>
        <w:t>1. Każdy ma prawo do poszanowania swojego życia prywatnego (...)</w:t>
      </w:r>
    </w:p>
    <w:p w14:paraId="60D91A08" w14:textId="084DAF1D" w:rsidR="00CC1663" w:rsidRPr="006B794F" w:rsidRDefault="00000000" w:rsidP="00695BDC">
      <w:pPr>
        <w:pStyle w:val="JuQuot"/>
        <w:rPr>
          <w:lang w:val="pl-PL"/>
        </w:rPr>
      </w:pPr>
      <w:r w:rsidRPr="006B794F">
        <w:rPr>
          <w:lang w:val="pl-PL"/>
        </w:rPr>
        <w:t>2.</w:t>
      </w:r>
      <w:r w:rsidR="006C2A0A" w:rsidRPr="006B794F">
        <w:rPr>
          <w:lang w:val="pl-PL"/>
        </w:rPr>
        <w:t xml:space="preserve"> </w:t>
      </w:r>
      <w:r w:rsidR="008B33FD" w:rsidRPr="006B794F">
        <w:rPr>
          <w:lang w:val="pl-PL"/>
        </w:rPr>
        <w:t>Niedopuszczalna jest ingerencja władzy publicznej w korzystanie z tego prawa, z</w:t>
      </w:r>
      <w:r w:rsidR="00265848" w:rsidRPr="006B794F">
        <w:rPr>
          <w:lang w:val="pl-PL"/>
        </w:rPr>
        <w:t> </w:t>
      </w:r>
      <w:r w:rsidR="008B33FD" w:rsidRPr="006B794F">
        <w:rPr>
          <w:lang w:val="pl-PL"/>
        </w:rPr>
        <w:t>wyjątkiem przypadków przewidzianych przez ustawę i koniecznych w</w:t>
      </w:r>
      <w:r w:rsidR="00265848" w:rsidRPr="006B794F">
        <w:rPr>
          <w:lang w:val="pl-PL"/>
        </w:rPr>
        <w:t> </w:t>
      </w:r>
      <w:r w:rsidR="008B33FD" w:rsidRPr="006B794F">
        <w:rPr>
          <w:lang w:val="pl-PL"/>
        </w:rPr>
        <w:t>demokratycznym społeczeństwie z uwagi na bezpieczeństwo państwowe, bezpieczeństwo publiczne lub dobrobyt gospodarczy kraju, ochronę porządku i</w:t>
      </w:r>
      <w:r w:rsidR="00265848" w:rsidRPr="006B794F">
        <w:rPr>
          <w:lang w:val="pl-PL"/>
        </w:rPr>
        <w:t> </w:t>
      </w:r>
      <w:r w:rsidR="008B33FD" w:rsidRPr="006B794F">
        <w:rPr>
          <w:lang w:val="pl-PL"/>
        </w:rPr>
        <w:t>zapobieganie przestępstwom, ochronę zdrowia i moralności lub ochronę praw i</w:t>
      </w:r>
      <w:r w:rsidR="00265848" w:rsidRPr="006B794F">
        <w:rPr>
          <w:lang w:val="pl-PL"/>
        </w:rPr>
        <w:t> </w:t>
      </w:r>
      <w:r w:rsidR="008B33FD" w:rsidRPr="006B794F">
        <w:rPr>
          <w:lang w:val="pl-PL"/>
        </w:rPr>
        <w:t>wolności innych osób</w:t>
      </w:r>
      <w:r w:rsidR="002C3FC1">
        <w:rPr>
          <w:lang w:val="pl-PL"/>
        </w:rPr>
        <w:t>”</w:t>
      </w:r>
      <w:r w:rsidR="008B33FD" w:rsidRPr="006B794F">
        <w:rPr>
          <w:lang w:val="pl-PL"/>
        </w:rPr>
        <w:t>.</w:t>
      </w:r>
    </w:p>
    <w:p w14:paraId="03C891A2" w14:textId="770305C5" w:rsidR="00CC1663" w:rsidRPr="006B794F" w:rsidRDefault="00BE2B80" w:rsidP="00695BDC">
      <w:pPr>
        <w:pStyle w:val="JuHA"/>
        <w:rPr>
          <w:lang w:val="pl-PL"/>
        </w:rPr>
      </w:pPr>
      <w:r w:rsidRPr="006B794F">
        <w:rPr>
          <w:lang w:val="pl-PL"/>
        </w:rPr>
        <w:t>Zarzucane naruszenie prawa do prywatności z powodu zawieszenia w czynnościach służbowych</w:t>
      </w:r>
    </w:p>
    <w:p w14:paraId="40879678" w14:textId="77777777" w:rsidR="00CC1663" w:rsidRPr="006B794F" w:rsidRDefault="00000000" w:rsidP="00695BDC">
      <w:pPr>
        <w:pStyle w:val="JuH1"/>
        <w:rPr>
          <w:lang w:val="pl-PL"/>
        </w:rPr>
      </w:pPr>
      <w:r w:rsidRPr="006B794F">
        <w:rPr>
          <w:bCs w:val="0"/>
          <w:lang w:val="pl-PL"/>
        </w:rPr>
        <w:t>Argumenty stron</w:t>
      </w:r>
    </w:p>
    <w:p w14:paraId="2CA4504A" w14:textId="3969CEBE" w:rsidR="00CC1663" w:rsidRPr="006B794F" w:rsidRDefault="00C938DF" w:rsidP="00695BDC">
      <w:pPr>
        <w:pStyle w:val="JuPara"/>
        <w:rPr>
          <w:lang w:val="pl-PL"/>
        </w:rPr>
      </w:pPr>
      <w:r w:rsidRPr="006B794F">
        <w:rPr>
          <w:noProof/>
          <w:lang w:val="pl-PL"/>
        </w:rPr>
        <w:t>81</w:t>
      </w:r>
      <w:r w:rsidRPr="006B794F">
        <w:rPr>
          <w:lang w:val="pl-PL"/>
        </w:rPr>
        <w:t>.</w:t>
      </w:r>
      <w:r w:rsidR="006C2A0A" w:rsidRPr="006B794F">
        <w:rPr>
          <w:lang w:val="pl-PL"/>
        </w:rPr>
        <w:t xml:space="preserve"> </w:t>
      </w:r>
      <w:r w:rsidRPr="006B794F">
        <w:rPr>
          <w:lang w:val="pl-PL"/>
        </w:rPr>
        <w:t>Rząd podniósł, że środek zawieszenia nałożony na skarżącą w dniu 21</w:t>
      </w:r>
      <w:r w:rsidR="00265848" w:rsidRPr="006B794F">
        <w:rPr>
          <w:lang w:val="pl-PL"/>
        </w:rPr>
        <w:t> </w:t>
      </w:r>
      <w:r w:rsidRPr="006B794F">
        <w:rPr>
          <w:lang w:val="pl-PL"/>
        </w:rPr>
        <w:t xml:space="preserve">marca 2017 r. zakończył się w dniu 13 grudnia 2017 r., po zakończeniu postępowania sądowego (zob. paragrafy </w:t>
      </w:r>
      <w:r w:rsidR="00076285" w:rsidRPr="006B794F">
        <w:rPr>
          <w:lang w:val="pl-PL"/>
        </w:rPr>
        <w:t xml:space="preserve">12-14 </w:t>
      </w:r>
      <w:r w:rsidRPr="006B794F">
        <w:rPr>
          <w:lang w:val="pl-PL"/>
        </w:rPr>
        <w:t>powyżej), oraz że skarżąca otrzymała wówczas od pracodawcy wynagrodzenie w pełnej wysokości (w</w:t>
      </w:r>
      <w:r w:rsidR="00265848" w:rsidRPr="006B794F">
        <w:rPr>
          <w:lang w:val="pl-PL"/>
        </w:rPr>
        <w:t> </w:t>
      </w:r>
      <w:r w:rsidRPr="006B794F">
        <w:rPr>
          <w:lang w:val="pl-PL"/>
        </w:rPr>
        <w:t xml:space="preserve">tym składki na ubezpieczenie społeczne) (zob. paragraf </w:t>
      </w:r>
      <w:r w:rsidR="00076285" w:rsidRPr="006B794F">
        <w:rPr>
          <w:lang w:val="pl-PL"/>
        </w:rPr>
        <w:t>15</w:t>
      </w:r>
      <w:r w:rsidR="00076285" w:rsidRPr="006B794F">
        <w:rPr>
          <w:b/>
          <w:bCs/>
          <w:lang w:val="pl-PL"/>
        </w:rPr>
        <w:t xml:space="preserve"> </w:t>
      </w:r>
      <w:r w:rsidRPr="006B794F">
        <w:rPr>
          <w:lang w:val="pl-PL"/>
        </w:rPr>
        <w:t>powyżej). Stwierdził, że wbrew twierdzeniom skarżącej, wszelkie zakazy wynikające ze szczególnego reżimu mającego zastosowanie do sędziów nie miały skutków w okresie zawieszenia w czynnościach służbowych oraz że skarżąca mogła zająć każde inne stanowisko w sektorze publicznym lub prywatnym i</w:t>
      </w:r>
      <w:r w:rsidR="00265848" w:rsidRPr="006B794F">
        <w:rPr>
          <w:lang w:val="pl-PL"/>
        </w:rPr>
        <w:t> </w:t>
      </w:r>
      <w:r w:rsidRPr="006B794F">
        <w:rPr>
          <w:lang w:val="pl-PL"/>
        </w:rPr>
        <w:t>wykonywać każdą inną działalność zarobkową. To odróżniałoby niniejszą sprawę od wyroku</w:t>
      </w:r>
      <w:r w:rsidR="00456A94" w:rsidRPr="006B794F">
        <w:rPr>
          <w:lang w:val="pl-PL"/>
        </w:rPr>
        <w:t xml:space="preserve"> w sprawie</w:t>
      </w:r>
      <w:r w:rsidRPr="006B794F">
        <w:rPr>
          <w:lang w:val="pl-PL"/>
        </w:rPr>
        <w:t xml:space="preserve"> </w:t>
      </w:r>
      <w:r w:rsidRPr="006B794F">
        <w:rPr>
          <w:i/>
          <w:iCs/>
          <w:lang w:val="pl-PL"/>
        </w:rPr>
        <w:t>D.M.T. i D.K.I. przeciwko Bułgarii</w:t>
      </w:r>
      <w:r w:rsidR="00695BDC" w:rsidRPr="006B794F">
        <w:rPr>
          <w:i/>
          <w:iCs/>
          <w:lang w:val="pl-PL"/>
        </w:rPr>
        <w:t xml:space="preserve"> </w:t>
      </w:r>
      <w:r w:rsidRPr="006B794F">
        <w:rPr>
          <w:lang w:val="pl-PL"/>
        </w:rPr>
        <w:t>(nr</w:t>
      </w:r>
      <w:r w:rsidR="00265848" w:rsidRPr="006B794F">
        <w:rPr>
          <w:lang w:val="pl-PL"/>
        </w:rPr>
        <w:t> </w:t>
      </w:r>
      <w:r w:rsidRPr="006B794F">
        <w:rPr>
          <w:lang w:val="pl-PL"/>
        </w:rPr>
        <w:t>29476/06</w:t>
      </w:r>
      <w:r w:rsidRPr="006B794F">
        <w:rPr>
          <w:snapToGrid w:val="0"/>
          <w:lang w:val="pl-PL"/>
        </w:rPr>
        <w:t xml:space="preserve">, § 63, 24 </w:t>
      </w:r>
      <w:r w:rsidRPr="006B794F">
        <w:rPr>
          <w:lang w:val="pl-PL"/>
        </w:rPr>
        <w:t>lipca</w:t>
      </w:r>
      <w:r w:rsidRPr="006B794F">
        <w:rPr>
          <w:snapToGrid w:val="0"/>
          <w:lang w:val="pl-PL"/>
        </w:rPr>
        <w:t xml:space="preserve"> 2012</w:t>
      </w:r>
      <w:r w:rsidRPr="006B794F">
        <w:rPr>
          <w:lang w:val="pl-PL"/>
        </w:rPr>
        <w:t xml:space="preserve"> r.). Wreszcie, w przypadku gdyby Trybunał uznał, że doszło do ingerencji w prawo skarżącej do prywatności, Rząd </w:t>
      </w:r>
      <w:r w:rsidRPr="006B794F">
        <w:rPr>
          <w:lang w:val="pl-PL"/>
        </w:rPr>
        <w:lastRenderedPageBreak/>
        <w:t>argumentował, że ingerencja była przewidziana przez prawo, realizowała u</w:t>
      </w:r>
      <w:r w:rsidR="009F610F" w:rsidRPr="006B794F">
        <w:rPr>
          <w:lang w:val="pl-PL"/>
        </w:rPr>
        <w:t>prawniony</w:t>
      </w:r>
      <w:r w:rsidRPr="006B794F">
        <w:rPr>
          <w:lang w:val="pl-PL"/>
        </w:rPr>
        <w:t xml:space="preserve"> cel i była proporcjonalna do realizowanego celu.</w:t>
      </w:r>
    </w:p>
    <w:p w14:paraId="36A8E06E" w14:textId="457915E0" w:rsidR="00CC1663" w:rsidRPr="006B794F" w:rsidRDefault="00076285" w:rsidP="00695BDC">
      <w:pPr>
        <w:pStyle w:val="JuPara"/>
        <w:rPr>
          <w:lang w:val="pl-PL"/>
        </w:rPr>
      </w:pPr>
      <w:r w:rsidRPr="006B794F">
        <w:rPr>
          <w:snapToGrid w:val="0"/>
          <w:lang w:val="pl-PL"/>
        </w:rPr>
        <w:t>82.</w:t>
      </w:r>
      <w:r w:rsidR="006C2A0A" w:rsidRPr="006B794F">
        <w:rPr>
          <w:snapToGrid w:val="0"/>
          <w:lang w:val="pl-PL"/>
        </w:rPr>
        <w:t xml:space="preserve"> </w:t>
      </w:r>
      <w:r w:rsidRPr="006B794F">
        <w:rPr>
          <w:snapToGrid w:val="0"/>
          <w:lang w:val="pl-PL"/>
        </w:rPr>
        <w:t>Skarżąca uważa, że przedmiotowa ingerencja miała poważne konsekwencje dla jej sytuacji, nie ograniczające się jedynie do praw do</w:t>
      </w:r>
      <w:r w:rsidR="00265848" w:rsidRPr="006B794F">
        <w:rPr>
          <w:snapToGrid w:val="0"/>
          <w:lang w:val="pl-PL"/>
        </w:rPr>
        <w:t> </w:t>
      </w:r>
      <w:r w:rsidRPr="006B794F">
        <w:rPr>
          <w:snapToGrid w:val="0"/>
          <w:lang w:val="pl-PL"/>
        </w:rPr>
        <w:t>wynagrodzenia. W tym względzie odsyła do orzecznictwa, w którym Trybunał uznał za ingerencję w prawo do poszanowania życia prywatnego niemożność podjęcia pracy w sektorze prywatnym przez osoby znajdujące się w sytuacji podobnej do jej. Skarżąca powołuje się w szczególności na</w:t>
      </w:r>
      <w:r w:rsidR="00265848" w:rsidRPr="006B794F">
        <w:rPr>
          <w:snapToGrid w:val="0"/>
          <w:lang w:val="pl-PL"/>
        </w:rPr>
        <w:t> </w:t>
      </w:r>
      <w:r w:rsidRPr="006B794F">
        <w:rPr>
          <w:snapToGrid w:val="0"/>
          <w:lang w:val="pl-PL"/>
        </w:rPr>
        <w:t>wyroki</w:t>
      </w:r>
      <w:r w:rsidR="00456A94" w:rsidRPr="006B794F">
        <w:rPr>
          <w:snapToGrid w:val="0"/>
          <w:lang w:val="pl-PL"/>
        </w:rPr>
        <w:t xml:space="preserve"> w sprawach</w:t>
      </w:r>
      <w:r w:rsidRPr="006B794F">
        <w:rPr>
          <w:snapToGrid w:val="0"/>
          <w:lang w:val="pl-PL"/>
        </w:rPr>
        <w:t xml:space="preserve"> </w:t>
      </w:r>
      <w:r w:rsidRPr="006B794F">
        <w:rPr>
          <w:i/>
          <w:iCs/>
          <w:snapToGrid w:val="0"/>
          <w:lang w:val="pl-PL"/>
        </w:rPr>
        <w:t xml:space="preserve">Sidabras i Džiautas przeciwko Litwie </w:t>
      </w:r>
      <w:r w:rsidRPr="006B794F">
        <w:rPr>
          <w:snapToGrid w:val="0"/>
          <w:lang w:val="pl-PL"/>
        </w:rPr>
        <w:t>(nr 55480/00 i</w:t>
      </w:r>
      <w:r w:rsidR="00265848" w:rsidRPr="006B794F">
        <w:rPr>
          <w:snapToGrid w:val="0"/>
          <w:lang w:val="pl-PL"/>
        </w:rPr>
        <w:t> </w:t>
      </w:r>
      <w:r w:rsidRPr="006B794F">
        <w:rPr>
          <w:snapToGrid w:val="0"/>
          <w:lang w:val="pl-PL"/>
        </w:rPr>
        <w:t xml:space="preserve">59330/00, § 48, ETPC 2004-VIII), </w:t>
      </w:r>
      <w:r w:rsidRPr="006B794F">
        <w:rPr>
          <w:i/>
          <w:iCs/>
          <w:snapToGrid w:val="0"/>
          <w:lang w:val="pl-PL"/>
        </w:rPr>
        <w:t xml:space="preserve">Albanese przeciwko Włochom </w:t>
      </w:r>
      <w:r w:rsidRPr="006B794F">
        <w:rPr>
          <w:snapToGrid w:val="0"/>
          <w:lang w:val="pl-PL"/>
        </w:rPr>
        <w:t>(nr</w:t>
      </w:r>
      <w:r w:rsidR="00265848" w:rsidRPr="006B794F">
        <w:rPr>
          <w:snapToGrid w:val="0"/>
          <w:lang w:val="pl-PL"/>
        </w:rPr>
        <w:t> </w:t>
      </w:r>
      <w:r w:rsidRPr="006B794F">
        <w:rPr>
          <w:snapToGrid w:val="0"/>
          <w:lang w:val="pl-PL"/>
        </w:rPr>
        <w:t>77924/01, § 54, 23 marca 2006</w:t>
      </w:r>
      <w:r w:rsidR="008D0ECD" w:rsidRPr="006B794F">
        <w:rPr>
          <w:snapToGrid w:val="0"/>
          <w:lang w:val="pl-PL"/>
        </w:rPr>
        <w:t xml:space="preserve"> r.</w:t>
      </w:r>
      <w:r w:rsidRPr="006B794F">
        <w:rPr>
          <w:snapToGrid w:val="0"/>
          <w:lang w:val="pl-PL"/>
        </w:rPr>
        <w:t xml:space="preserve">) oraz </w:t>
      </w:r>
      <w:r w:rsidRPr="006B794F">
        <w:rPr>
          <w:i/>
          <w:iCs/>
          <w:snapToGrid w:val="0"/>
          <w:lang w:val="pl-PL"/>
        </w:rPr>
        <w:t>Karov przeciwko Bułgarii</w:t>
      </w:r>
      <w:r w:rsidRPr="006B794F">
        <w:rPr>
          <w:snapToGrid w:val="0"/>
          <w:lang w:val="pl-PL"/>
        </w:rPr>
        <w:t xml:space="preserve"> </w:t>
      </w:r>
      <w:r w:rsidR="00D4376C" w:rsidRPr="006B794F">
        <w:rPr>
          <w:snapToGrid w:val="0"/>
          <w:lang w:val="pl-PL"/>
        </w:rPr>
        <w:t>(</w:t>
      </w:r>
      <w:r w:rsidRPr="006B794F">
        <w:rPr>
          <w:snapToGrid w:val="0"/>
          <w:lang w:val="pl-PL"/>
        </w:rPr>
        <w:t>nr</w:t>
      </w:r>
      <w:r w:rsidR="00265848" w:rsidRPr="006B794F">
        <w:rPr>
          <w:snapToGrid w:val="0"/>
          <w:lang w:val="pl-PL"/>
        </w:rPr>
        <w:t> </w:t>
      </w:r>
      <w:r w:rsidRPr="006B794F">
        <w:rPr>
          <w:snapToGrid w:val="0"/>
          <w:lang w:val="pl-PL"/>
        </w:rPr>
        <w:t>45964/99, § 88, 16 listopada 2006</w:t>
      </w:r>
      <w:r w:rsidR="008D0ECD" w:rsidRPr="006B794F">
        <w:rPr>
          <w:snapToGrid w:val="0"/>
          <w:lang w:val="pl-PL"/>
        </w:rPr>
        <w:t xml:space="preserve"> r.</w:t>
      </w:r>
      <w:r w:rsidRPr="006B794F">
        <w:rPr>
          <w:snapToGrid w:val="0"/>
          <w:lang w:val="pl-PL"/>
        </w:rPr>
        <w:t xml:space="preserve">), jak również, </w:t>
      </w:r>
      <w:r w:rsidRPr="006B794F">
        <w:rPr>
          <w:i/>
          <w:iCs/>
          <w:snapToGrid w:val="0"/>
          <w:lang w:val="pl-PL"/>
        </w:rPr>
        <w:t>a contrario</w:t>
      </w:r>
      <w:r w:rsidRPr="006B794F">
        <w:rPr>
          <w:snapToGrid w:val="0"/>
          <w:lang w:val="pl-PL"/>
        </w:rPr>
        <w:t>, na wyrok</w:t>
      </w:r>
      <w:r w:rsidR="00456A94" w:rsidRPr="006B794F">
        <w:rPr>
          <w:snapToGrid w:val="0"/>
          <w:lang w:val="pl-PL"/>
        </w:rPr>
        <w:t xml:space="preserve"> w sprawie</w:t>
      </w:r>
      <w:r w:rsidRPr="006B794F">
        <w:rPr>
          <w:snapToGrid w:val="0"/>
          <w:lang w:val="pl-PL"/>
        </w:rPr>
        <w:t xml:space="preserve"> </w:t>
      </w:r>
      <w:r w:rsidRPr="006B794F">
        <w:rPr>
          <w:i/>
          <w:iCs/>
          <w:snapToGrid w:val="0"/>
          <w:lang w:val="pl-PL"/>
        </w:rPr>
        <w:t xml:space="preserve">Calmanovici przeciwko Rumunii </w:t>
      </w:r>
      <w:r w:rsidRPr="006B794F">
        <w:rPr>
          <w:snapToGrid w:val="0"/>
          <w:lang w:val="pl-PL"/>
        </w:rPr>
        <w:t>(nr 42250/02, §§ 137-139, 1 lipca 2008</w:t>
      </w:r>
      <w:r w:rsidR="008D0ECD" w:rsidRPr="006B794F">
        <w:rPr>
          <w:snapToGrid w:val="0"/>
          <w:lang w:val="pl-PL"/>
        </w:rPr>
        <w:t xml:space="preserve"> r.</w:t>
      </w:r>
      <w:r w:rsidRPr="006B794F">
        <w:rPr>
          <w:snapToGrid w:val="0"/>
          <w:lang w:val="pl-PL"/>
        </w:rPr>
        <w:t>). Podnosi ona, że zaskarżonemu środkowi zawieszenia towarzyszył ogólny zakaz wykonywania jakiejkolwiek innej działalności zarobkowej w</w:t>
      </w:r>
      <w:r w:rsidR="00D4376C" w:rsidRPr="006B794F">
        <w:rPr>
          <w:snapToGrid w:val="0"/>
          <w:lang w:val="pl-PL"/>
        </w:rPr>
        <w:t> </w:t>
      </w:r>
      <w:r w:rsidRPr="006B794F">
        <w:rPr>
          <w:snapToGrid w:val="0"/>
          <w:lang w:val="pl-PL"/>
        </w:rPr>
        <w:t>sektorze publicznym i prywatnym i że w ten sposób uniemożliwiono jej</w:t>
      </w:r>
      <w:r w:rsidR="00D4376C" w:rsidRPr="006B794F">
        <w:rPr>
          <w:snapToGrid w:val="0"/>
          <w:lang w:val="pl-PL"/>
        </w:rPr>
        <w:t> </w:t>
      </w:r>
      <w:r w:rsidRPr="006B794F">
        <w:rPr>
          <w:snapToGrid w:val="0"/>
          <w:lang w:val="pl-PL"/>
        </w:rPr>
        <w:t>również nawiązywanie relacji z równymi sobie osobami w środowisku zawodowym. Twierdzi, że zgodnie z obowiązującym wówczas prawem krajowym, oprócz niezgodności sądowych, sędziowie podlegali niezgodnościom pozasądowym, a te podlegały kontroli zgodnie z krajową umową społeczno-związkową ANI.</w:t>
      </w:r>
    </w:p>
    <w:p w14:paraId="07B6A29F" w14:textId="77777777" w:rsidR="00CC1663" w:rsidRPr="006B794F" w:rsidRDefault="00000000" w:rsidP="00695BDC">
      <w:pPr>
        <w:pStyle w:val="JuH1"/>
        <w:rPr>
          <w:lang w:val="pl-PL"/>
        </w:rPr>
      </w:pPr>
      <w:r w:rsidRPr="006B794F">
        <w:rPr>
          <w:bCs w:val="0"/>
          <w:lang w:val="pl-PL"/>
        </w:rPr>
        <w:t>Ocena Trybunału</w:t>
      </w:r>
    </w:p>
    <w:p w14:paraId="04896C42" w14:textId="0D57B9F8" w:rsidR="00CC1663" w:rsidRPr="006B794F" w:rsidRDefault="00076285" w:rsidP="00695BDC">
      <w:pPr>
        <w:pStyle w:val="JuPara"/>
        <w:rPr>
          <w:lang w:val="pl-PL"/>
        </w:rPr>
      </w:pPr>
      <w:r w:rsidRPr="006B794F">
        <w:rPr>
          <w:noProof/>
          <w:lang w:val="pl-PL"/>
        </w:rPr>
        <w:t>83</w:t>
      </w:r>
      <w:r w:rsidRPr="006B794F">
        <w:rPr>
          <w:lang w:val="pl-PL"/>
        </w:rPr>
        <w:t>.</w:t>
      </w:r>
      <w:r w:rsidR="006C2A0A" w:rsidRPr="006B794F">
        <w:rPr>
          <w:lang w:val="pl-PL"/>
        </w:rPr>
        <w:t xml:space="preserve"> </w:t>
      </w:r>
      <w:r w:rsidRPr="006B794F">
        <w:rPr>
          <w:lang w:val="pl-PL"/>
        </w:rPr>
        <w:t xml:space="preserve">Trybunał przypomniał, że spory pracownicze nie są ze swej natury wyłączone z zakresu pojęcia </w:t>
      </w:r>
      <w:r w:rsidR="002C3FC1">
        <w:rPr>
          <w:lang w:val="pl-PL"/>
        </w:rPr>
        <w:t>„</w:t>
      </w:r>
      <w:r w:rsidRPr="006B794F">
        <w:rPr>
          <w:lang w:val="pl-PL"/>
        </w:rPr>
        <w:t>życie prywatne</w:t>
      </w:r>
      <w:r w:rsidR="002C3FC1">
        <w:rPr>
          <w:lang w:val="pl-PL"/>
        </w:rPr>
        <w:t>”</w:t>
      </w:r>
      <w:r w:rsidRPr="006B794F">
        <w:rPr>
          <w:lang w:val="pl-PL"/>
        </w:rPr>
        <w:t xml:space="preserve"> w rozumieniu art. 8 Konwencji oraz że mogą mieć reperkusje na pewne typowe aspekty życia prywatnego. Należą do nich: (i) </w:t>
      </w:r>
      <w:r w:rsidR="002C3FC1">
        <w:rPr>
          <w:lang w:val="pl-PL"/>
        </w:rPr>
        <w:t>„</w:t>
      </w:r>
      <w:r w:rsidRPr="006B794F">
        <w:rPr>
          <w:lang w:val="pl-PL"/>
        </w:rPr>
        <w:t>wewnętrzny krąg</w:t>
      </w:r>
      <w:r w:rsidR="002C3FC1">
        <w:rPr>
          <w:lang w:val="pl-PL"/>
        </w:rPr>
        <w:t>”</w:t>
      </w:r>
      <w:r w:rsidRPr="006B794F">
        <w:rPr>
          <w:lang w:val="pl-PL"/>
        </w:rPr>
        <w:t xml:space="preserve"> skarżącej, (ii) możliwość nawiązywania i rozwijania przez nią relacji z innymi osobami oraz (iii)</w:t>
      </w:r>
      <w:r w:rsidR="00D4376C" w:rsidRPr="006B794F">
        <w:rPr>
          <w:lang w:val="pl-PL"/>
        </w:rPr>
        <w:t> </w:t>
      </w:r>
      <w:r w:rsidRPr="006B794F">
        <w:rPr>
          <w:lang w:val="pl-PL"/>
        </w:rPr>
        <w:t>jej</w:t>
      </w:r>
      <w:r w:rsidR="00D4376C" w:rsidRPr="006B794F">
        <w:rPr>
          <w:lang w:val="pl-PL"/>
        </w:rPr>
        <w:t> </w:t>
      </w:r>
      <w:r w:rsidRPr="006B794F">
        <w:rPr>
          <w:lang w:val="pl-PL"/>
        </w:rPr>
        <w:t>reputacja społeczna i zawodowa. W takich sporach kwestia prywatności pojawia się na ogół na dwa sposoby: albo z powodu zastosowania danego środka (w takim przypadku Trybunał przyjmie podejście oparte na powodach), albo - w niektórych przypadkach - z powodu konsekwencji dla życia prywatnego (w takim przypadku Trybunał przyjmie podejście oparte na konsekwencjach). W przypadku zastosowania podejścia opartego na konsekwencjach, kluczowe znaczenie ma próg dotkliwości, jaki należy osiągnąć dla każdego z powyższych aspektów. Na skarżącej spoczywa obowiązek przekonującego wykazania, że w jej przypadku próg ten został osiągnięty. To na niej spoczywa obowiązek przedstawienia dowodów na</w:t>
      </w:r>
      <w:r w:rsidR="00D4376C" w:rsidRPr="006B794F">
        <w:rPr>
          <w:lang w:val="pl-PL"/>
        </w:rPr>
        <w:t> </w:t>
      </w:r>
      <w:r w:rsidRPr="006B794F">
        <w:rPr>
          <w:lang w:val="pl-PL"/>
        </w:rPr>
        <w:t xml:space="preserve">konsekwencje przedmiotowego środka. Trybunał uzna możliwość zastosowania </w:t>
      </w:r>
      <w:r w:rsidR="002A440F" w:rsidRPr="006B794F">
        <w:rPr>
          <w:lang w:val="pl-PL"/>
        </w:rPr>
        <w:t>art.</w:t>
      </w:r>
      <w:r w:rsidRPr="006B794F">
        <w:rPr>
          <w:lang w:val="pl-PL"/>
        </w:rPr>
        <w:t xml:space="preserve"> 8 Konwencji tylko wtedy, gdy konsekwencje te są bardzo poważne i wpływają na życie prywatne danej osoby w szczególnie istotny sposób </w:t>
      </w:r>
      <w:r w:rsidRPr="00847ADA">
        <w:rPr>
          <w:lang w:val="pl-PL"/>
        </w:rPr>
        <w:t>(</w:t>
      </w:r>
      <w:r w:rsidRPr="006B794F">
        <w:rPr>
          <w:i/>
          <w:iCs/>
          <w:lang w:val="pl-PL"/>
        </w:rPr>
        <w:t>Denisov przeciwko Ukrainie</w:t>
      </w:r>
      <w:r w:rsidRPr="006B794F">
        <w:rPr>
          <w:lang w:val="pl-PL"/>
        </w:rPr>
        <w:t xml:space="preserve"> [Wielka Izba],</w:t>
      </w:r>
      <w:r w:rsidRPr="006B794F">
        <w:rPr>
          <w:vertAlign w:val="superscript"/>
          <w:lang w:val="pl-PL"/>
        </w:rPr>
        <w:t xml:space="preserve"> </w:t>
      </w:r>
      <w:r w:rsidRPr="006B794F">
        <w:rPr>
          <w:lang w:val="pl-PL"/>
        </w:rPr>
        <w:t>nr 76639/11, §§ 115-116, 25 września 2018 r.).</w:t>
      </w:r>
    </w:p>
    <w:p w14:paraId="270ABFD3" w14:textId="13075307" w:rsidR="00CC1663" w:rsidRPr="006B794F" w:rsidRDefault="00076285" w:rsidP="00695BDC">
      <w:pPr>
        <w:pStyle w:val="JuPara"/>
        <w:rPr>
          <w:lang w:val="pl-PL"/>
        </w:rPr>
      </w:pPr>
      <w:r w:rsidRPr="006B794F">
        <w:rPr>
          <w:noProof/>
          <w:lang w:val="pl-PL"/>
        </w:rPr>
        <w:lastRenderedPageBreak/>
        <w:t>84</w:t>
      </w:r>
      <w:r w:rsidRPr="006B794F">
        <w:rPr>
          <w:lang w:val="pl-PL"/>
        </w:rPr>
        <w:t>.</w:t>
      </w:r>
      <w:r w:rsidR="006C2A0A" w:rsidRPr="006B794F">
        <w:rPr>
          <w:lang w:val="pl-PL"/>
        </w:rPr>
        <w:t xml:space="preserve"> </w:t>
      </w:r>
      <w:r w:rsidRPr="006B794F">
        <w:rPr>
          <w:lang w:val="pl-PL"/>
        </w:rPr>
        <w:t xml:space="preserve">Trybunał przypomina, że określił kryteria oceny powagi lub </w:t>
      </w:r>
      <w:r w:rsidR="00DB7925">
        <w:rPr>
          <w:lang w:val="pl-PL"/>
        </w:rPr>
        <w:t>dolegliwości</w:t>
      </w:r>
      <w:r w:rsidRPr="006B794F">
        <w:rPr>
          <w:lang w:val="pl-PL"/>
        </w:rPr>
        <w:t xml:space="preserve"> </w:t>
      </w:r>
      <w:r w:rsidR="00DE05D2" w:rsidRPr="006B794F">
        <w:rPr>
          <w:lang w:val="pl-PL"/>
        </w:rPr>
        <w:t>zarzuca</w:t>
      </w:r>
      <w:r w:rsidRPr="006B794F">
        <w:rPr>
          <w:lang w:val="pl-PL"/>
        </w:rPr>
        <w:t>nych naruszeń w ramach różnych reżimów. Krzywda doznana przez skarżącą jest oceniana w odniesieniu do jej życia przed i</w:t>
      </w:r>
      <w:r w:rsidR="004535D1">
        <w:rPr>
          <w:lang w:val="pl-PL"/>
        </w:rPr>
        <w:t> </w:t>
      </w:r>
      <w:r w:rsidRPr="006B794F">
        <w:rPr>
          <w:lang w:val="pl-PL"/>
        </w:rPr>
        <w:t>po</w:t>
      </w:r>
      <w:r w:rsidR="004535D1">
        <w:rPr>
          <w:lang w:val="pl-PL"/>
        </w:rPr>
        <w:t> </w:t>
      </w:r>
      <w:r w:rsidRPr="006B794F">
        <w:rPr>
          <w:lang w:val="pl-PL"/>
        </w:rPr>
        <w:t>zastosowaniu danego środka. Trybunał uznał ponadto, że dla ustalenia wagi konsekwencji w sporze zawodowym konieczna jest analiza subiektywnego odczucia, na</w:t>
      </w:r>
      <w:r w:rsidR="00D4376C" w:rsidRPr="006B794F">
        <w:rPr>
          <w:lang w:val="pl-PL"/>
        </w:rPr>
        <w:t> </w:t>
      </w:r>
      <w:r w:rsidRPr="006B794F">
        <w:rPr>
          <w:lang w:val="pl-PL"/>
        </w:rPr>
        <w:t>które powołuje się skarżąca, w obiektywnych okolicznościach sprawy. Taka analiza obejmuje zarówno materialne, jak</w:t>
      </w:r>
      <w:r w:rsidR="004535D1">
        <w:rPr>
          <w:lang w:val="pl-PL"/>
        </w:rPr>
        <w:t> </w:t>
      </w:r>
      <w:r w:rsidRPr="006B794F">
        <w:rPr>
          <w:lang w:val="pl-PL"/>
        </w:rPr>
        <w:t>i</w:t>
      </w:r>
      <w:r w:rsidR="004535D1">
        <w:rPr>
          <w:lang w:val="pl-PL"/>
        </w:rPr>
        <w:t> </w:t>
      </w:r>
      <w:r w:rsidRPr="006B794F">
        <w:rPr>
          <w:lang w:val="pl-PL"/>
        </w:rPr>
        <w:t>niematerialne konsekwencje danego środka. Do skarżącej należy jednak zdefiniowanie i</w:t>
      </w:r>
      <w:r w:rsidR="004535D1">
        <w:rPr>
          <w:lang w:val="pl-PL"/>
        </w:rPr>
        <w:t> </w:t>
      </w:r>
      <w:r w:rsidRPr="006B794F">
        <w:rPr>
          <w:lang w:val="pl-PL"/>
        </w:rPr>
        <w:t>określenie charakteru oraz rozmiaru jej krzywdy, która jednak musi mieć związek przyczynowy z zaskarżonym środkiem</w:t>
      </w:r>
      <w:r w:rsidRPr="006B794F">
        <w:rPr>
          <w:i/>
          <w:iCs/>
          <w:lang w:val="pl-PL"/>
        </w:rPr>
        <w:t>(Denisov</w:t>
      </w:r>
      <w:r w:rsidRPr="006B794F">
        <w:rPr>
          <w:lang w:val="pl-PL"/>
        </w:rPr>
        <w:t>, cyt. wyżej, § 117).</w:t>
      </w:r>
    </w:p>
    <w:p w14:paraId="626DBCB2" w14:textId="1170C8A7" w:rsidR="00CC1663" w:rsidRPr="006B794F" w:rsidRDefault="00076285" w:rsidP="00695BDC">
      <w:pPr>
        <w:pStyle w:val="JuPara"/>
        <w:rPr>
          <w:lang w:val="pl-PL"/>
        </w:rPr>
      </w:pPr>
      <w:r w:rsidRPr="006B794F">
        <w:rPr>
          <w:noProof/>
          <w:lang w:val="pl-PL"/>
        </w:rPr>
        <w:t>85</w:t>
      </w:r>
      <w:r w:rsidRPr="006B794F">
        <w:rPr>
          <w:lang w:val="pl-PL"/>
        </w:rPr>
        <w:t>.</w:t>
      </w:r>
      <w:r w:rsidR="006C2A0A" w:rsidRPr="006B794F">
        <w:rPr>
          <w:lang w:val="pl-PL"/>
        </w:rPr>
        <w:t xml:space="preserve"> </w:t>
      </w:r>
      <w:r w:rsidRPr="006B794F">
        <w:rPr>
          <w:lang w:val="pl-PL"/>
        </w:rPr>
        <w:t xml:space="preserve">W niniejszej sprawie Trybunał zauważa, że decyzja o zawieszeniu skarżącej w pełnieniu funkcji została oparta na przepisie prawnym, który przewidywał zastosowanie </w:t>
      </w:r>
      <w:r w:rsidRPr="006B794F">
        <w:rPr>
          <w:i/>
          <w:iCs/>
          <w:lang w:val="pl-PL"/>
        </w:rPr>
        <w:t>ex lege</w:t>
      </w:r>
      <w:r w:rsidRPr="006B794F">
        <w:rPr>
          <w:lang w:val="pl-PL"/>
        </w:rPr>
        <w:t xml:space="preserve"> takiego środka,</w:t>
      </w:r>
      <w:r w:rsidR="00695BDC" w:rsidRPr="006B794F">
        <w:rPr>
          <w:lang w:val="pl-PL"/>
        </w:rPr>
        <w:t xml:space="preserve"> </w:t>
      </w:r>
      <w:r w:rsidRPr="006B794F">
        <w:rPr>
          <w:lang w:val="pl-PL"/>
        </w:rPr>
        <w:t>a zatem odwołanie od</w:t>
      </w:r>
      <w:r w:rsidR="00D4376C" w:rsidRPr="006B794F">
        <w:rPr>
          <w:lang w:val="pl-PL"/>
        </w:rPr>
        <w:t> </w:t>
      </w:r>
      <w:r w:rsidRPr="006B794F">
        <w:rPr>
          <w:lang w:val="pl-PL"/>
        </w:rPr>
        <w:t>decyzji NRS o wy</w:t>
      </w:r>
      <w:r w:rsidR="00E14135" w:rsidRPr="006B794F">
        <w:rPr>
          <w:lang w:val="pl-PL"/>
        </w:rPr>
        <w:t>kluczeniu</w:t>
      </w:r>
      <w:r w:rsidRPr="006B794F">
        <w:rPr>
          <w:lang w:val="pl-PL"/>
        </w:rPr>
        <w:t xml:space="preserve"> skarżącej z sądownictwa zostało złożone przez skarżącą (zob. art. 651 § 2 ustawy nr 3003/2004, cytowany w paragrafie 28 powyżej). W związku z tym, że w uzasadnieniu decyzji o zawieszeniu nie było żadnego elementu odnoszącego się do życia prywatnego skarżącej (zob.</w:t>
      </w:r>
      <w:r w:rsidR="00D4376C" w:rsidRPr="006B794F">
        <w:rPr>
          <w:lang w:val="pl-PL"/>
        </w:rPr>
        <w:t> </w:t>
      </w:r>
      <w:r w:rsidRPr="006B794F">
        <w:rPr>
          <w:lang w:val="pl-PL"/>
        </w:rPr>
        <w:t>paragraf 12</w:t>
      </w:r>
      <w:r w:rsidRPr="006B794F">
        <w:rPr>
          <w:b/>
          <w:bCs/>
          <w:lang w:val="pl-PL"/>
        </w:rPr>
        <w:t xml:space="preserve"> </w:t>
      </w:r>
      <w:r w:rsidRPr="006B794F">
        <w:rPr>
          <w:lang w:val="pl-PL"/>
        </w:rPr>
        <w:t>powyżej), Trybunał rozważy, czy istniały bardzo poważne konsekwencje, które wpłynęły na życie prywatne skarżącej w szczególnie znaczący sposób (zob. paragraf 83 powyżej).</w:t>
      </w:r>
    </w:p>
    <w:p w14:paraId="26ECD79A" w14:textId="7106E580" w:rsidR="00CC1663" w:rsidRPr="006B794F" w:rsidRDefault="00076285" w:rsidP="00695BDC">
      <w:pPr>
        <w:pStyle w:val="JuPara"/>
        <w:rPr>
          <w:lang w:val="pl-PL"/>
        </w:rPr>
      </w:pPr>
      <w:r w:rsidRPr="006B794F">
        <w:rPr>
          <w:lang w:val="pl-PL"/>
        </w:rPr>
        <w:t>86.</w:t>
      </w:r>
      <w:r w:rsidR="006C2A0A" w:rsidRPr="006B794F">
        <w:rPr>
          <w:lang w:val="pl-PL"/>
        </w:rPr>
        <w:t xml:space="preserve"> </w:t>
      </w:r>
      <w:r w:rsidRPr="006B794F">
        <w:rPr>
          <w:lang w:val="pl-PL"/>
        </w:rPr>
        <w:t>Po pierwsze, Trybunał rozważa, czy zawieszenie skarżącej w</w:t>
      </w:r>
      <w:r w:rsidR="00D4376C" w:rsidRPr="006B794F">
        <w:rPr>
          <w:lang w:val="pl-PL"/>
        </w:rPr>
        <w:t> </w:t>
      </w:r>
      <w:r w:rsidRPr="006B794F">
        <w:rPr>
          <w:lang w:val="pl-PL"/>
        </w:rPr>
        <w:t>obowiązkach służbowych, a w konsekwencji niewypłacanie wynagrodzeń i związanych z nimi składek na ubezpieczenie społeczne w okresie od</w:t>
      </w:r>
      <w:r w:rsidR="00D4376C" w:rsidRPr="006B794F">
        <w:rPr>
          <w:lang w:val="pl-PL"/>
        </w:rPr>
        <w:t> </w:t>
      </w:r>
      <w:r w:rsidRPr="006B794F">
        <w:rPr>
          <w:lang w:val="pl-PL"/>
        </w:rPr>
        <w:t>21</w:t>
      </w:r>
      <w:r w:rsidR="00D4376C" w:rsidRPr="006B794F">
        <w:rPr>
          <w:lang w:val="pl-PL"/>
        </w:rPr>
        <w:t> </w:t>
      </w:r>
      <w:r w:rsidRPr="006B794F">
        <w:rPr>
          <w:lang w:val="pl-PL"/>
        </w:rPr>
        <w:t xml:space="preserve">marca do 13 grudnia 2017 r. miało wpływ na </w:t>
      </w:r>
      <w:r w:rsidR="002C3FC1">
        <w:rPr>
          <w:lang w:val="pl-PL"/>
        </w:rPr>
        <w:t>„</w:t>
      </w:r>
      <w:r w:rsidRPr="006B794F">
        <w:rPr>
          <w:lang w:val="pl-PL"/>
        </w:rPr>
        <w:t>wewnętrzny krąg</w:t>
      </w:r>
      <w:r w:rsidR="002C3FC1">
        <w:rPr>
          <w:lang w:val="pl-PL"/>
        </w:rPr>
        <w:t>”</w:t>
      </w:r>
      <w:r w:rsidRPr="006B794F">
        <w:rPr>
          <w:lang w:val="pl-PL"/>
        </w:rPr>
        <w:t xml:space="preserve"> jej życia prywatnego. W związku z tym Trybunał zwraca uwagę, że element pieniężny sporu nie sprawia, że </w:t>
      </w:r>
      <w:r w:rsidR="002A440F" w:rsidRPr="006B794F">
        <w:rPr>
          <w:lang w:val="pl-PL"/>
        </w:rPr>
        <w:t>art.</w:t>
      </w:r>
      <w:r w:rsidR="0055094D" w:rsidRPr="006B794F">
        <w:rPr>
          <w:lang w:val="pl-PL"/>
        </w:rPr>
        <w:t xml:space="preserve"> </w:t>
      </w:r>
      <w:r w:rsidRPr="006B794F">
        <w:rPr>
          <w:lang w:val="pl-PL"/>
        </w:rPr>
        <w:t>8 Konwencji ma automatyczne zastosowanie (zob.</w:t>
      </w:r>
      <w:r w:rsidRPr="006B794F">
        <w:rPr>
          <w:i/>
          <w:iCs/>
          <w:lang w:val="pl-PL"/>
        </w:rPr>
        <w:t xml:space="preserve"> Denisov</w:t>
      </w:r>
      <w:r w:rsidRPr="006B794F">
        <w:rPr>
          <w:lang w:val="pl-PL"/>
        </w:rPr>
        <w:t xml:space="preserve">, </w:t>
      </w:r>
      <w:r w:rsidR="008D0ECD" w:rsidRPr="006B794F">
        <w:rPr>
          <w:lang w:val="pl-PL"/>
        </w:rPr>
        <w:t>cyt. powyżej</w:t>
      </w:r>
      <w:r w:rsidRPr="006B794F">
        <w:rPr>
          <w:lang w:val="pl-PL"/>
        </w:rPr>
        <w:t xml:space="preserve">, § 122). Trybunał zakłada, zgodnie z sugestią Rządu (zob. paragraf </w:t>
      </w:r>
      <w:r w:rsidR="00695BDC" w:rsidRPr="006B794F">
        <w:rPr>
          <w:noProof/>
          <w:lang w:val="pl-PL"/>
        </w:rPr>
        <w:t>47</w:t>
      </w:r>
      <w:r w:rsidRPr="006B794F">
        <w:rPr>
          <w:lang w:val="pl-PL"/>
        </w:rPr>
        <w:t xml:space="preserve"> powyżej), że przedmiotowy środek miał charakter tymczasowy, ponieważ skarżąca mogła skorzystać z przelewu pełnego wynagrodzenia i opłaty składek na ubezpieczenie społeczne po</w:t>
      </w:r>
      <w:r w:rsidR="00D4376C" w:rsidRPr="006B794F">
        <w:rPr>
          <w:lang w:val="pl-PL"/>
        </w:rPr>
        <w:t> </w:t>
      </w:r>
      <w:r w:rsidRPr="006B794F">
        <w:rPr>
          <w:lang w:val="pl-PL"/>
        </w:rPr>
        <w:t>zakończeniu postępowania sądowego (zob. paragraf 15</w:t>
      </w:r>
      <w:r w:rsidRPr="006B794F">
        <w:rPr>
          <w:b/>
          <w:bCs/>
          <w:lang w:val="pl-PL"/>
        </w:rPr>
        <w:t xml:space="preserve"> </w:t>
      </w:r>
      <w:r w:rsidRPr="006B794F">
        <w:rPr>
          <w:lang w:val="pl-PL"/>
        </w:rPr>
        <w:t>powyżej).</w:t>
      </w:r>
    </w:p>
    <w:p w14:paraId="6717E7BD" w14:textId="0F2A4835" w:rsidR="00CC1663" w:rsidRPr="006B794F" w:rsidRDefault="00076285" w:rsidP="00695BDC">
      <w:pPr>
        <w:pStyle w:val="JuPara"/>
        <w:rPr>
          <w:lang w:val="pl-PL"/>
        </w:rPr>
      </w:pPr>
      <w:r w:rsidRPr="006B794F">
        <w:rPr>
          <w:lang w:val="pl-PL"/>
        </w:rPr>
        <w:t>87.</w:t>
      </w:r>
      <w:r w:rsidR="006C2A0A" w:rsidRPr="006B794F">
        <w:rPr>
          <w:lang w:val="pl-PL"/>
        </w:rPr>
        <w:t xml:space="preserve"> </w:t>
      </w:r>
      <w:r w:rsidRPr="006B794F">
        <w:rPr>
          <w:lang w:val="pl-PL"/>
        </w:rPr>
        <w:t>Po drugie, biorąc pod uwagę, że skarżąca została zawieszona w</w:t>
      </w:r>
      <w:r w:rsidR="00D4376C" w:rsidRPr="006B794F">
        <w:rPr>
          <w:lang w:val="pl-PL"/>
        </w:rPr>
        <w:t> </w:t>
      </w:r>
      <w:r w:rsidRPr="006B794F">
        <w:rPr>
          <w:lang w:val="pl-PL"/>
        </w:rPr>
        <w:t>pełnieniu obowiązków służbowych z powodu zaskarżenia kary dyscyplinarnej, wydaje się, że zastosowanie przedmiotowego środka było ściśle związane z czasem trwania postępowania sądowego wszczętego przez skarżącą: w konsekwencji każda nieuzasadniona zwłoka w tym postępowaniu skutkowała przedłużeniem stosowania środka zawieszającego. Jednakże, jeśli chodzi o postępowanie sądowe, Trybunał nie identyfikuje żadnych elementów, które mogłyby podważyć staranność i szybkość, z jaką władze krajowe osądziły sprawę (</w:t>
      </w:r>
      <w:r w:rsidR="00D2471C">
        <w:rPr>
          <w:lang w:val="pl-PL"/>
        </w:rPr>
        <w:t xml:space="preserve">zob. </w:t>
      </w:r>
      <w:r w:rsidRPr="006B794F">
        <w:rPr>
          <w:lang w:val="pl-PL"/>
        </w:rPr>
        <w:t>paragrafy 9-16 powyżej).</w:t>
      </w:r>
    </w:p>
    <w:p w14:paraId="1B2231BA" w14:textId="7E809FA6" w:rsidR="00CC1663" w:rsidRPr="006B794F" w:rsidRDefault="00076285" w:rsidP="00695BDC">
      <w:pPr>
        <w:pStyle w:val="JuPara"/>
        <w:rPr>
          <w:lang w:val="pl-PL"/>
        </w:rPr>
      </w:pPr>
      <w:r w:rsidRPr="006B794F">
        <w:rPr>
          <w:noProof/>
          <w:lang w:val="pl-PL"/>
        </w:rPr>
        <w:t>88</w:t>
      </w:r>
      <w:r w:rsidRPr="006B794F">
        <w:rPr>
          <w:lang w:val="pl-PL"/>
        </w:rPr>
        <w:t>.</w:t>
      </w:r>
      <w:r w:rsidR="006C2A0A" w:rsidRPr="006B794F">
        <w:rPr>
          <w:lang w:val="pl-PL"/>
        </w:rPr>
        <w:t xml:space="preserve"> </w:t>
      </w:r>
      <w:r w:rsidRPr="006B794F">
        <w:rPr>
          <w:lang w:val="pl-PL"/>
        </w:rPr>
        <w:t xml:space="preserve">Trybunał zauważa ponadto, że kwestia utraty dochodu w trakcie stosowania zaskarżonego środka jest również związana z </w:t>
      </w:r>
      <w:r w:rsidR="00DE05D2" w:rsidRPr="006B794F">
        <w:rPr>
          <w:lang w:val="pl-PL"/>
        </w:rPr>
        <w:t xml:space="preserve">zarzucaną </w:t>
      </w:r>
      <w:r w:rsidRPr="006B794F">
        <w:rPr>
          <w:lang w:val="pl-PL"/>
        </w:rPr>
        <w:t xml:space="preserve">niemożnością posiadania przez skarżącą innego zatrudnienia w sferze </w:t>
      </w:r>
      <w:r w:rsidRPr="006B794F">
        <w:rPr>
          <w:lang w:val="pl-PL"/>
        </w:rPr>
        <w:lastRenderedPageBreak/>
        <w:t>publicznej i prywatnej (zob. paragraf 82 powyżej). Jednakże, jak wynika z</w:t>
      </w:r>
      <w:r w:rsidR="00D4376C" w:rsidRPr="006B794F">
        <w:rPr>
          <w:lang w:val="pl-PL"/>
        </w:rPr>
        <w:t> </w:t>
      </w:r>
      <w:r w:rsidRPr="006B794F">
        <w:rPr>
          <w:lang w:val="pl-PL"/>
        </w:rPr>
        <w:t>odpowiednich przepisów krajowych (zob. paragraf 28 powyżej), zakazy wynikające ze szczególnego systemu odnośnie sędziów nie miały skutków w</w:t>
      </w:r>
      <w:r w:rsidR="00D4376C" w:rsidRPr="006B794F">
        <w:rPr>
          <w:lang w:val="pl-PL"/>
        </w:rPr>
        <w:t> </w:t>
      </w:r>
      <w:r w:rsidRPr="006B794F">
        <w:rPr>
          <w:lang w:val="pl-PL"/>
        </w:rPr>
        <w:t>czasie zawieszenia w czynnościach służbowych. Pod tym względem niniejsza sprawa różni się co do istoty od spraw analizowanych w</w:t>
      </w:r>
      <w:r w:rsidR="00D4376C" w:rsidRPr="006B794F">
        <w:rPr>
          <w:lang w:val="pl-PL"/>
        </w:rPr>
        <w:t> </w:t>
      </w:r>
      <w:r w:rsidRPr="006B794F">
        <w:rPr>
          <w:lang w:val="pl-PL"/>
        </w:rPr>
        <w:t xml:space="preserve">orzecznictwie cytowanym przez skarżącą (zob. paragraf 82 powyżej), ponieważ nie istniała żadna decyzja krajowa ani przepis ustawowy uniemożliwiający skarżącemu podjęcie innego zatrudnienia w sektorze publicznym lub prywatnym (zob. </w:t>
      </w:r>
      <w:r w:rsidRPr="006B794F">
        <w:rPr>
          <w:i/>
          <w:iCs/>
          <w:lang w:val="pl-PL"/>
        </w:rPr>
        <w:t>mutatis mutandis</w:t>
      </w:r>
      <w:r w:rsidRPr="006B794F">
        <w:rPr>
          <w:lang w:val="pl-PL"/>
        </w:rPr>
        <w:t xml:space="preserve">, </w:t>
      </w:r>
      <w:r w:rsidRPr="006B794F">
        <w:rPr>
          <w:i/>
          <w:iCs/>
          <w:lang w:val="pl-PL"/>
        </w:rPr>
        <w:t>Calmanovici</w:t>
      </w:r>
      <w:r w:rsidRPr="006B794F">
        <w:rPr>
          <w:lang w:val="pl-PL"/>
        </w:rPr>
        <w:t xml:space="preserve">, </w:t>
      </w:r>
      <w:r w:rsidR="008D0ECD" w:rsidRPr="006B794F">
        <w:rPr>
          <w:lang w:val="pl-PL"/>
        </w:rPr>
        <w:t>cyt.</w:t>
      </w:r>
      <w:r w:rsidR="00D4376C" w:rsidRPr="006B794F">
        <w:rPr>
          <w:lang w:val="pl-PL"/>
        </w:rPr>
        <w:t> </w:t>
      </w:r>
      <w:r w:rsidR="008D0ECD" w:rsidRPr="006B794F">
        <w:rPr>
          <w:lang w:val="pl-PL"/>
        </w:rPr>
        <w:t>powyżej</w:t>
      </w:r>
      <w:r w:rsidRPr="006B794F">
        <w:rPr>
          <w:lang w:val="pl-PL"/>
        </w:rPr>
        <w:t xml:space="preserve">, §§ 30 i 50-51; zob. także, </w:t>
      </w:r>
      <w:r w:rsidRPr="006B794F">
        <w:rPr>
          <w:i/>
          <w:iCs/>
          <w:lang w:val="pl-PL"/>
        </w:rPr>
        <w:t>a contrario</w:t>
      </w:r>
      <w:r w:rsidRPr="006B794F">
        <w:rPr>
          <w:lang w:val="pl-PL"/>
        </w:rPr>
        <w:t xml:space="preserve">, </w:t>
      </w:r>
      <w:r w:rsidRPr="006B794F">
        <w:rPr>
          <w:i/>
          <w:iCs/>
          <w:lang w:val="pl-PL"/>
        </w:rPr>
        <w:t>Sidabras i Džiautas</w:t>
      </w:r>
      <w:r w:rsidRPr="006B794F">
        <w:rPr>
          <w:lang w:val="pl-PL"/>
        </w:rPr>
        <w:t xml:space="preserve">, </w:t>
      </w:r>
      <w:r w:rsidR="008D0ECD" w:rsidRPr="006B794F">
        <w:rPr>
          <w:lang w:val="pl-PL"/>
        </w:rPr>
        <w:t>cyt.</w:t>
      </w:r>
      <w:r w:rsidR="00D4376C" w:rsidRPr="006B794F">
        <w:rPr>
          <w:lang w:val="pl-PL"/>
        </w:rPr>
        <w:t> </w:t>
      </w:r>
      <w:r w:rsidR="008D0ECD" w:rsidRPr="006B794F">
        <w:rPr>
          <w:lang w:val="pl-PL"/>
        </w:rPr>
        <w:t>powyżej</w:t>
      </w:r>
      <w:r w:rsidRPr="006B794F">
        <w:rPr>
          <w:lang w:val="pl-PL"/>
        </w:rPr>
        <w:t xml:space="preserve">, §§ 47 i 50; </w:t>
      </w:r>
      <w:r w:rsidRPr="006B794F">
        <w:rPr>
          <w:i/>
          <w:iCs/>
          <w:lang w:val="pl-PL"/>
        </w:rPr>
        <w:t>Albanese</w:t>
      </w:r>
      <w:r w:rsidRPr="006B794F">
        <w:rPr>
          <w:lang w:val="pl-PL"/>
        </w:rPr>
        <w:t xml:space="preserve">, </w:t>
      </w:r>
      <w:r w:rsidR="008D0ECD" w:rsidRPr="006B794F">
        <w:rPr>
          <w:lang w:val="pl-PL"/>
        </w:rPr>
        <w:t>cyt. powyżej</w:t>
      </w:r>
      <w:r w:rsidRPr="006B794F">
        <w:rPr>
          <w:lang w:val="pl-PL"/>
        </w:rPr>
        <w:t xml:space="preserve">, § 54; oraz </w:t>
      </w:r>
      <w:r w:rsidRPr="006B794F">
        <w:rPr>
          <w:i/>
          <w:iCs/>
          <w:lang w:val="pl-PL"/>
        </w:rPr>
        <w:t>Karov</w:t>
      </w:r>
      <w:r w:rsidRPr="006B794F">
        <w:rPr>
          <w:lang w:val="pl-PL"/>
        </w:rPr>
        <w:t xml:space="preserve">, </w:t>
      </w:r>
      <w:r w:rsidR="008D0ECD" w:rsidRPr="006B794F">
        <w:rPr>
          <w:lang w:val="pl-PL"/>
        </w:rPr>
        <w:t>cyt.</w:t>
      </w:r>
      <w:r w:rsidR="00D4376C" w:rsidRPr="006B794F">
        <w:rPr>
          <w:lang w:val="pl-PL"/>
        </w:rPr>
        <w:t> </w:t>
      </w:r>
      <w:r w:rsidR="008D0ECD" w:rsidRPr="006B794F">
        <w:rPr>
          <w:lang w:val="pl-PL"/>
        </w:rPr>
        <w:t>powyżej</w:t>
      </w:r>
      <w:r w:rsidRPr="006B794F">
        <w:rPr>
          <w:lang w:val="pl-PL"/>
        </w:rPr>
        <w:t>, § 42).</w:t>
      </w:r>
    </w:p>
    <w:p w14:paraId="09DA6DE9" w14:textId="0DBA72C9" w:rsidR="00CC1663" w:rsidRPr="006B794F" w:rsidRDefault="00076285" w:rsidP="00695BDC">
      <w:pPr>
        <w:pStyle w:val="JuPara"/>
        <w:rPr>
          <w:lang w:val="pl-PL"/>
        </w:rPr>
      </w:pPr>
      <w:r w:rsidRPr="006B794F">
        <w:rPr>
          <w:lang w:val="pl-PL"/>
        </w:rPr>
        <w:t>89.</w:t>
      </w:r>
      <w:r w:rsidR="006C2A0A" w:rsidRPr="006B794F">
        <w:rPr>
          <w:lang w:val="pl-PL"/>
        </w:rPr>
        <w:t xml:space="preserve"> </w:t>
      </w:r>
      <w:r w:rsidRPr="006B794F">
        <w:rPr>
          <w:lang w:val="pl-PL"/>
        </w:rPr>
        <w:t>W odniesieniu do możliwości nawiązywania i utrzymywania relacji z</w:t>
      </w:r>
      <w:r w:rsidR="00D4376C" w:rsidRPr="006B794F">
        <w:rPr>
          <w:lang w:val="pl-PL"/>
        </w:rPr>
        <w:t> </w:t>
      </w:r>
      <w:r w:rsidRPr="006B794F">
        <w:rPr>
          <w:lang w:val="pl-PL"/>
        </w:rPr>
        <w:t>innymi osobami na podobnych stanowiskach, Trybunał zauważa, że</w:t>
      </w:r>
      <w:r w:rsidR="00D4376C" w:rsidRPr="006B794F">
        <w:rPr>
          <w:lang w:val="pl-PL"/>
        </w:rPr>
        <w:t> </w:t>
      </w:r>
      <w:r w:rsidRPr="006B794F">
        <w:rPr>
          <w:lang w:val="pl-PL"/>
        </w:rPr>
        <w:t>skarżąca została przywrócona do pracy w charakterze sędziego od razu po</w:t>
      </w:r>
      <w:r w:rsidR="00D4376C" w:rsidRPr="006B794F">
        <w:rPr>
          <w:lang w:val="pl-PL"/>
        </w:rPr>
        <w:t> </w:t>
      </w:r>
      <w:r w:rsidRPr="006B794F">
        <w:rPr>
          <w:lang w:val="pl-PL"/>
        </w:rPr>
        <w:t xml:space="preserve">zakończeniu postępowania sądowego (zob. paragraf 14 powyżej) oraz że, chociaż jej pozycja wśród osób zatrudnionych na podobnych stanowiskach została do pewnego stopnia naruszona, nie ma żadnego dowodu wskazującego na to, że konsekwencje, które podnosiła skarżąca, były tak znaczące, by stanowić ingerencję w jej prawo do poszanowania życia prywatnego (zob. </w:t>
      </w:r>
      <w:r w:rsidRPr="006B794F">
        <w:rPr>
          <w:i/>
          <w:iCs/>
          <w:lang w:val="pl-PL"/>
        </w:rPr>
        <w:t>mutatis mutandis</w:t>
      </w:r>
      <w:r w:rsidRPr="006B794F">
        <w:rPr>
          <w:lang w:val="pl-PL"/>
        </w:rPr>
        <w:t xml:space="preserve">, </w:t>
      </w:r>
      <w:r w:rsidRPr="006B794F">
        <w:rPr>
          <w:i/>
          <w:iCs/>
          <w:lang w:val="pl-PL"/>
        </w:rPr>
        <w:t>J.B.</w:t>
      </w:r>
      <w:r w:rsidRPr="006B794F">
        <w:rPr>
          <w:lang w:val="pl-PL"/>
        </w:rPr>
        <w:t xml:space="preserve"> i inni </w:t>
      </w:r>
      <w:r w:rsidRPr="006B794F">
        <w:rPr>
          <w:i/>
          <w:iCs/>
          <w:lang w:val="pl-PL"/>
        </w:rPr>
        <w:t>przeciwko Węgrom</w:t>
      </w:r>
      <w:r w:rsidRPr="006B794F">
        <w:rPr>
          <w:lang w:val="pl-PL"/>
        </w:rPr>
        <w:t xml:space="preserve"> (dec.),</w:t>
      </w:r>
      <w:r w:rsidRPr="006B794F">
        <w:rPr>
          <w:vertAlign w:val="superscript"/>
          <w:lang w:val="pl-PL"/>
        </w:rPr>
        <w:t xml:space="preserve"> </w:t>
      </w:r>
      <w:r w:rsidRPr="006B794F">
        <w:rPr>
          <w:lang w:val="pl-PL"/>
        </w:rPr>
        <w:t>nr</w:t>
      </w:r>
      <w:r w:rsidR="00D4376C" w:rsidRPr="006B794F">
        <w:rPr>
          <w:lang w:val="pl-PL"/>
        </w:rPr>
        <w:t> </w:t>
      </w:r>
      <w:r w:rsidRPr="006B794F">
        <w:rPr>
          <w:lang w:val="pl-PL"/>
        </w:rPr>
        <w:t>45434/12 i 2 inne, § 133, 27 listopada 2018 r.). W tym kontekście skarżąca nie zdefiniowała i nie sprecyzowała charakteru i zakresu swojej rzekomej szkody.</w:t>
      </w:r>
    </w:p>
    <w:p w14:paraId="1BB7461C" w14:textId="538F6178" w:rsidR="00CC1663" w:rsidRPr="006B794F" w:rsidRDefault="00076285" w:rsidP="00695BDC">
      <w:pPr>
        <w:pStyle w:val="JuPara"/>
        <w:rPr>
          <w:lang w:val="pl-PL"/>
        </w:rPr>
      </w:pPr>
      <w:r w:rsidRPr="006B794F">
        <w:rPr>
          <w:lang w:val="pl-PL"/>
        </w:rPr>
        <w:t>90.</w:t>
      </w:r>
      <w:r w:rsidR="006C2A0A" w:rsidRPr="006B794F">
        <w:rPr>
          <w:lang w:val="pl-PL"/>
        </w:rPr>
        <w:t xml:space="preserve"> </w:t>
      </w:r>
      <w:r w:rsidRPr="006B794F">
        <w:rPr>
          <w:lang w:val="pl-PL"/>
        </w:rPr>
        <w:t xml:space="preserve">Wreszcie, jeśli chodzi o reputację zawodową skarżącej, Trybunał zauważa, że skarżąca nie przedstawiła żadnego argumentu, który pozwoliłyby jej stwierdzić, że środek w postaci zawieszenia w obowiązkach osiągnął wysoki stopień surowości wymagany przez </w:t>
      </w:r>
      <w:r w:rsidR="0055094D" w:rsidRPr="006B794F">
        <w:rPr>
          <w:lang w:val="pl-PL"/>
        </w:rPr>
        <w:t>a</w:t>
      </w:r>
      <w:r w:rsidR="002A440F" w:rsidRPr="006B794F">
        <w:rPr>
          <w:lang w:val="pl-PL"/>
        </w:rPr>
        <w:t>rt.</w:t>
      </w:r>
      <w:r w:rsidR="0055094D" w:rsidRPr="006B794F">
        <w:rPr>
          <w:lang w:val="pl-PL"/>
        </w:rPr>
        <w:t xml:space="preserve"> </w:t>
      </w:r>
      <w:r w:rsidRPr="006B794F">
        <w:rPr>
          <w:lang w:val="pl-PL"/>
        </w:rPr>
        <w:t>8 Konwencji, o</w:t>
      </w:r>
      <w:r w:rsidR="00D4376C" w:rsidRPr="006B794F">
        <w:rPr>
          <w:lang w:val="pl-PL"/>
        </w:rPr>
        <w:t> </w:t>
      </w:r>
      <w:r w:rsidRPr="006B794F">
        <w:rPr>
          <w:lang w:val="pl-PL"/>
        </w:rPr>
        <w:t xml:space="preserve">którym mowa w paragrafach </w:t>
      </w:r>
      <w:r w:rsidRPr="006B794F">
        <w:rPr>
          <w:noProof/>
          <w:lang w:val="pl-PL"/>
        </w:rPr>
        <w:t>83-84</w:t>
      </w:r>
      <w:r w:rsidRPr="006B794F">
        <w:rPr>
          <w:lang w:val="pl-PL"/>
        </w:rPr>
        <w:t xml:space="preserve"> powyżej. Jedyne argumenty skarżącej dotyczące rzekomego naruszenia jej reputacji zawodowej zostały przedstawione w kontekście medialnych doniesień o jej sprawie oraz </w:t>
      </w:r>
      <w:r w:rsidR="00DE05D2" w:rsidRPr="006B794F">
        <w:rPr>
          <w:lang w:val="pl-PL"/>
        </w:rPr>
        <w:t>zarzucanej</w:t>
      </w:r>
      <w:r w:rsidRPr="006B794F">
        <w:rPr>
          <w:lang w:val="pl-PL"/>
        </w:rPr>
        <w:t xml:space="preserve"> odmowy zapewnienia przez NRS ochrony jej życia prywatnego (zob. paragraf 101 poniżej).</w:t>
      </w:r>
    </w:p>
    <w:p w14:paraId="61095811" w14:textId="1D5EA4CC" w:rsidR="00CC1663" w:rsidRPr="006B794F" w:rsidRDefault="00076285" w:rsidP="00695BDC">
      <w:pPr>
        <w:pStyle w:val="JuPara"/>
        <w:rPr>
          <w:lang w:val="pl-PL"/>
        </w:rPr>
      </w:pPr>
      <w:r w:rsidRPr="006B794F">
        <w:rPr>
          <w:lang w:val="pl-PL"/>
        </w:rPr>
        <w:t>91.</w:t>
      </w:r>
      <w:r w:rsidR="006C2A0A" w:rsidRPr="006B794F">
        <w:rPr>
          <w:lang w:val="pl-PL"/>
        </w:rPr>
        <w:t xml:space="preserve"> </w:t>
      </w:r>
      <w:r w:rsidRPr="006B794F">
        <w:rPr>
          <w:lang w:val="pl-PL"/>
        </w:rPr>
        <w:t xml:space="preserve">Trybunał stwierdza zatem, że przedmiotowy środek miał ograniczony negatywny wpływ na życie prywatne skarżącej i nie osiągnął poziomu powagi wymaganego do powstania kwestii na podstawie </w:t>
      </w:r>
      <w:r w:rsidR="002A440F" w:rsidRPr="006B794F">
        <w:rPr>
          <w:lang w:val="pl-PL"/>
        </w:rPr>
        <w:t>art.</w:t>
      </w:r>
      <w:r w:rsidRPr="006B794F">
        <w:rPr>
          <w:lang w:val="pl-PL"/>
        </w:rPr>
        <w:t xml:space="preserve"> 8 Konwencji (zob. </w:t>
      </w:r>
      <w:r w:rsidRPr="006B794F">
        <w:rPr>
          <w:i/>
          <w:iCs/>
          <w:lang w:val="pl-PL"/>
        </w:rPr>
        <w:t>mutatis mutandis</w:t>
      </w:r>
      <w:r w:rsidRPr="006B794F">
        <w:rPr>
          <w:lang w:val="pl-PL"/>
        </w:rPr>
        <w:t xml:space="preserve">, </w:t>
      </w:r>
      <w:r w:rsidRPr="006B794F">
        <w:rPr>
          <w:i/>
          <w:iCs/>
          <w:lang w:val="pl-PL"/>
        </w:rPr>
        <w:t>Denisov</w:t>
      </w:r>
      <w:r w:rsidRPr="006B794F">
        <w:rPr>
          <w:lang w:val="pl-PL"/>
        </w:rPr>
        <w:t>, cyt. powyżej, §§ 122-134).</w:t>
      </w:r>
    </w:p>
    <w:p w14:paraId="3E847159" w14:textId="4B3994F7" w:rsidR="00CC1663" w:rsidRPr="006B794F" w:rsidRDefault="00076285" w:rsidP="00695BDC">
      <w:pPr>
        <w:pStyle w:val="JuPara"/>
        <w:rPr>
          <w:lang w:val="pl-PL"/>
        </w:rPr>
      </w:pPr>
      <w:r w:rsidRPr="006B794F">
        <w:rPr>
          <w:noProof/>
          <w:lang w:val="pl-PL"/>
        </w:rPr>
        <w:t>92</w:t>
      </w:r>
      <w:r w:rsidRPr="006B794F">
        <w:rPr>
          <w:lang w:val="pl-PL"/>
        </w:rPr>
        <w:t>.</w:t>
      </w:r>
      <w:r w:rsidR="006C2A0A" w:rsidRPr="006B794F">
        <w:rPr>
          <w:lang w:val="pl-PL"/>
        </w:rPr>
        <w:t xml:space="preserve"> </w:t>
      </w:r>
      <w:r w:rsidRPr="006B794F">
        <w:rPr>
          <w:lang w:val="pl-PL"/>
        </w:rPr>
        <w:t>Biorąc pod uwagę, że czas trwania zawieszenia skarżącej w</w:t>
      </w:r>
      <w:r w:rsidR="00D4376C" w:rsidRPr="006B794F">
        <w:rPr>
          <w:lang w:val="pl-PL"/>
        </w:rPr>
        <w:t> </w:t>
      </w:r>
      <w:r w:rsidRPr="006B794F">
        <w:rPr>
          <w:lang w:val="pl-PL"/>
        </w:rPr>
        <w:t xml:space="preserve">obowiązkach służbowych nie był taki, by dawał podstawę do zastosowania </w:t>
      </w:r>
      <w:r w:rsidR="002A440F" w:rsidRPr="006B794F">
        <w:rPr>
          <w:lang w:val="pl-PL"/>
        </w:rPr>
        <w:t>art.</w:t>
      </w:r>
      <w:r w:rsidRPr="006B794F">
        <w:rPr>
          <w:lang w:val="pl-PL"/>
        </w:rPr>
        <w:t xml:space="preserve"> 8, a przyczyny zastosowania środka nie naruszały </w:t>
      </w:r>
      <w:r w:rsidR="002C3FC1">
        <w:rPr>
          <w:lang w:val="pl-PL"/>
        </w:rPr>
        <w:t>„</w:t>
      </w:r>
      <w:r w:rsidRPr="006B794F">
        <w:rPr>
          <w:lang w:val="pl-PL"/>
        </w:rPr>
        <w:t>życia prywatnego</w:t>
      </w:r>
      <w:r w:rsidR="002C3FC1">
        <w:rPr>
          <w:lang w:val="pl-PL"/>
        </w:rPr>
        <w:t>”</w:t>
      </w:r>
      <w:r w:rsidRPr="006B794F">
        <w:rPr>
          <w:lang w:val="pl-PL"/>
        </w:rPr>
        <w:t xml:space="preserve"> skarżącej w rozumieniu tego </w:t>
      </w:r>
      <w:r w:rsidR="002A440F" w:rsidRPr="006B794F">
        <w:rPr>
          <w:lang w:val="pl-PL"/>
        </w:rPr>
        <w:t>art</w:t>
      </w:r>
      <w:r w:rsidR="00C71F7B">
        <w:rPr>
          <w:lang w:val="pl-PL"/>
        </w:rPr>
        <w:t>ykułu</w:t>
      </w:r>
      <w:r w:rsidRPr="006B794F">
        <w:rPr>
          <w:lang w:val="pl-PL"/>
        </w:rPr>
        <w:t xml:space="preserve">, Trybunał uznaje, że przepis ten nie ma zastosowania w niniejszej sprawie i że </w:t>
      </w:r>
      <w:r w:rsidR="00C71F7B">
        <w:rPr>
          <w:lang w:val="pl-PL"/>
        </w:rPr>
        <w:t xml:space="preserve">ten zarzut </w:t>
      </w:r>
      <w:r w:rsidRPr="006B794F">
        <w:rPr>
          <w:lang w:val="pl-PL"/>
        </w:rPr>
        <w:t>skarg</w:t>
      </w:r>
      <w:r w:rsidR="00C71F7B">
        <w:rPr>
          <w:lang w:val="pl-PL"/>
        </w:rPr>
        <w:t>i</w:t>
      </w:r>
      <w:r w:rsidRPr="006B794F">
        <w:rPr>
          <w:lang w:val="pl-PL"/>
        </w:rPr>
        <w:t xml:space="preserve"> musi zostać uznan</w:t>
      </w:r>
      <w:r w:rsidR="00C71F7B">
        <w:rPr>
          <w:lang w:val="pl-PL"/>
        </w:rPr>
        <w:t>y</w:t>
      </w:r>
      <w:r w:rsidRPr="006B794F">
        <w:rPr>
          <w:lang w:val="pl-PL"/>
        </w:rPr>
        <w:t xml:space="preserve"> za</w:t>
      </w:r>
      <w:r w:rsidR="00D4376C" w:rsidRPr="006B794F">
        <w:rPr>
          <w:lang w:val="pl-PL"/>
        </w:rPr>
        <w:t> </w:t>
      </w:r>
      <w:r w:rsidRPr="006B794F">
        <w:rPr>
          <w:lang w:val="pl-PL"/>
        </w:rPr>
        <w:t>niedopuszczaln</w:t>
      </w:r>
      <w:r w:rsidR="00C71F7B">
        <w:rPr>
          <w:lang w:val="pl-PL"/>
        </w:rPr>
        <w:t>y</w:t>
      </w:r>
      <w:r w:rsidRPr="006B794F">
        <w:rPr>
          <w:lang w:val="pl-PL"/>
        </w:rPr>
        <w:t xml:space="preserve"> z powodu niezgodności </w:t>
      </w:r>
      <w:r w:rsidRPr="006B794F">
        <w:rPr>
          <w:i/>
          <w:iCs/>
          <w:lang w:val="pl-PL"/>
        </w:rPr>
        <w:t>ratione materiae</w:t>
      </w:r>
      <w:r w:rsidRPr="006B794F">
        <w:rPr>
          <w:lang w:val="pl-PL"/>
        </w:rPr>
        <w:t xml:space="preserve"> z zapisami Konwencji, zgodnie z </w:t>
      </w:r>
      <w:r w:rsidR="002A440F" w:rsidRPr="006B794F">
        <w:rPr>
          <w:lang w:val="pl-PL"/>
        </w:rPr>
        <w:t>art.</w:t>
      </w:r>
      <w:r w:rsidRPr="006B794F">
        <w:rPr>
          <w:lang w:val="pl-PL"/>
        </w:rPr>
        <w:t xml:space="preserve"> 35 </w:t>
      </w:r>
      <w:r w:rsidR="009D43A0" w:rsidRPr="006B794F">
        <w:rPr>
          <w:lang w:val="pl-PL"/>
        </w:rPr>
        <w:t xml:space="preserve">ust. </w:t>
      </w:r>
      <w:r w:rsidRPr="006B794F">
        <w:rPr>
          <w:lang w:val="pl-PL"/>
        </w:rPr>
        <w:t xml:space="preserve">3 </w:t>
      </w:r>
      <w:r w:rsidR="009D43A0" w:rsidRPr="006B794F">
        <w:rPr>
          <w:lang w:val="pl-PL"/>
        </w:rPr>
        <w:t xml:space="preserve">lit. </w:t>
      </w:r>
      <w:r w:rsidRPr="006B794F">
        <w:rPr>
          <w:lang w:val="pl-PL"/>
        </w:rPr>
        <w:t>a i</w:t>
      </w:r>
      <w:r w:rsidR="009D43A0" w:rsidRPr="006B794F">
        <w:rPr>
          <w:lang w:val="pl-PL"/>
        </w:rPr>
        <w:t xml:space="preserve"> ust.</w:t>
      </w:r>
      <w:r w:rsidRPr="006B794F">
        <w:rPr>
          <w:lang w:val="pl-PL"/>
        </w:rPr>
        <w:t xml:space="preserve"> 4.</w:t>
      </w:r>
    </w:p>
    <w:p w14:paraId="79FD2FC1" w14:textId="0F27B5D8" w:rsidR="00CC1663" w:rsidRPr="006B794F" w:rsidRDefault="00BE2B80" w:rsidP="00695BDC">
      <w:pPr>
        <w:pStyle w:val="JuHA"/>
        <w:jc w:val="both"/>
        <w:rPr>
          <w:lang w:val="pl-PL"/>
        </w:rPr>
      </w:pPr>
      <w:r w:rsidRPr="006B794F">
        <w:rPr>
          <w:lang w:val="pl-PL"/>
        </w:rPr>
        <w:lastRenderedPageBreak/>
        <w:t>Zarzucane naruszenie prawa do życia prywatnego z powodu ujawnienia prasie informacji z akt dochodzenia dyscyplinarnego oraz stanowiska przyjętego przez NRS w tej sprawie w odniesieniu do ochrony reputacji zawodowej</w:t>
      </w:r>
    </w:p>
    <w:p w14:paraId="011E09CF" w14:textId="0F82D863" w:rsidR="00CC1663" w:rsidRPr="006B794F" w:rsidRDefault="00B64307" w:rsidP="00695BDC">
      <w:pPr>
        <w:pStyle w:val="JuH1"/>
        <w:rPr>
          <w:lang w:val="pl-PL"/>
        </w:rPr>
      </w:pPr>
      <w:r w:rsidRPr="006B794F">
        <w:rPr>
          <w:bCs w:val="0"/>
          <w:lang w:val="pl-PL"/>
        </w:rPr>
        <w:t>Udzielanie informacji prasie</w:t>
      </w:r>
    </w:p>
    <w:p w14:paraId="786B0610" w14:textId="77777777" w:rsidR="00CC1663" w:rsidRPr="006B794F" w:rsidRDefault="00000000" w:rsidP="00695BDC">
      <w:pPr>
        <w:pStyle w:val="JuHa0"/>
        <w:rPr>
          <w:lang w:val="pl-PL"/>
        </w:rPr>
      </w:pPr>
      <w:r w:rsidRPr="006B794F">
        <w:rPr>
          <w:lang w:val="pl-PL"/>
        </w:rPr>
        <w:t>Argumenty stron</w:t>
      </w:r>
    </w:p>
    <w:p w14:paraId="3CD49909" w14:textId="38AC9826" w:rsidR="00CC1663" w:rsidRPr="006B794F" w:rsidRDefault="009D43A0" w:rsidP="00695BDC">
      <w:pPr>
        <w:pStyle w:val="JuPara"/>
        <w:rPr>
          <w:lang w:val="pl-PL"/>
        </w:rPr>
      </w:pPr>
      <w:r w:rsidRPr="006B794F">
        <w:rPr>
          <w:noProof/>
          <w:lang w:val="pl-PL"/>
        </w:rPr>
        <w:t>93</w:t>
      </w:r>
      <w:r w:rsidRPr="006B794F">
        <w:rPr>
          <w:lang w:val="pl-PL"/>
        </w:rPr>
        <w:t>.</w:t>
      </w:r>
      <w:r w:rsidR="006C2A0A" w:rsidRPr="006B794F">
        <w:rPr>
          <w:lang w:val="pl-PL"/>
        </w:rPr>
        <w:t xml:space="preserve"> </w:t>
      </w:r>
      <w:r w:rsidRPr="006B794F">
        <w:rPr>
          <w:lang w:val="pl-PL"/>
        </w:rPr>
        <w:t>Rząd twierdził, że krajowe środki odwoławcze nie zostały wyczerpane. Podniósł, że skarżąca mogła wytoczyć powództwo cywilne z</w:t>
      </w:r>
      <w:r w:rsidR="00D4376C" w:rsidRPr="006B794F">
        <w:rPr>
          <w:lang w:val="pl-PL"/>
        </w:rPr>
        <w:t> </w:t>
      </w:r>
      <w:r w:rsidRPr="006B794F">
        <w:rPr>
          <w:lang w:val="pl-PL"/>
        </w:rPr>
        <w:t xml:space="preserve">tytułu odpowiedzialności deliktowej osób, które przekazały informacje, które uznała za poufne. Opiera się w tym zakresie na decyzji w sprawie </w:t>
      </w:r>
      <w:r w:rsidRPr="006B794F">
        <w:rPr>
          <w:i/>
          <w:iCs/>
          <w:lang w:val="pl-PL"/>
        </w:rPr>
        <w:t>Aghenitei przeciwko Rumunii</w:t>
      </w:r>
      <w:r w:rsidRPr="006B794F">
        <w:rPr>
          <w:lang w:val="pl-PL"/>
        </w:rPr>
        <w:t xml:space="preserve"> ([Komitet] (dec.),</w:t>
      </w:r>
      <w:r w:rsidRPr="006B794F">
        <w:rPr>
          <w:vertAlign w:val="superscript"/>
          <w:lang w:val="pl-PL"/>
        </w:rPr>
        <w:t xml:space="preserve"> </w:t>
      </w:r>
      <w:r w:rsidRPr="006B794F">
        <w:rPr>
          <w:lang w:val="pl-PL"/>
        </w:rPr>
        <w:t>nr 64850/13, § 40-43, 4</w:t>
      </w:r>
      <w:r w:rsidR="00D4376C" w:rsidRPr="006B794F">
        <w:rPr>
          <w:lang w:val="pl-PL"/>
        </w:rPr>
        <w:t> </w:t>
      </w:r>
      <w:r w:rsidRPr="006B794F">
        <w:rPr>
          <w:lang w:val="pl-PL"/>
        </w:rPr>
        <w:t>czerwca 2019 r.).</w:t>
      </w:r>
    </w:p>
    <w:p w14:paraId="42FFD200" w14:textId="73218014" w:rsidR="00CC1663" w:rsidRPr="006B794F" w:rsidRDefault="009D43A0" w:rsidP="00695BDC">
      <w:pPr>
        <w:pStyle w:val="JuPara"/>
        <w:rPr>
          <w:lang w:val="pl-PL"/>
        </w:rPr>
      </w:pPr>
      <w:r w:rsidRPr="006B794F">
        <w:rPr>
          <w:noProof/>
          <w:lang w:val="pl-PL"/>
        </w:rPr>
        <w:t>94</w:t>
      </w:r>
      <w:r w:rsidRPr="006B794F">
        <w:rPr>
          <w:lang w:val="pl-PL"/>
        </w:rPr>
        <w:t>.</w:t>
      </w:r>
      <w:r w:rsidR="006C2A0A" w:rsidRPr="006B794F">
        <w:rPr>
          <w:lang w:val="pl-PL"/>
        </w:rPr>
        <w:t xml:space="preserve"> </w:t>
      </w:r>
      <w:r w:rsidRPr="006B794F">
        <w:rPr>
          <w:lang w:val="pl-PL"/>
        </w:rPr>
        <w:t xml:space="preserve">Skarżąca odpowiedziała, że władze dyscyplinarne przekazały prasie poufne i niedokładne informacje dotyczące prowadzonego przeciwko niej dochodzenia dyscyplinarnego, a niektóre z nich jeszcze przed powiadomieniem jej o wszczęciu postępowania dyscyplinarnego, co jej zdaniem stanowiło ingerencję w jej prawo do życia prywatnego w rozumieniu </w:t>
      </w:r>
      <w:r w:rsidR="002A440F" w:rsidRPr="006B794F">
        <w:rPr>
          <w:lang w:val="pl-PL"/>
        </w:rPr>
        <w:t>art.</w:t>
      </w:r>
      <w:r w:rsidRPr="006B794F">
        <w:rPr>
          <w:lang w:val="pl-PL"/>
        </w:rPr>
        <w:t xml:space="preserve"> 8 Konwencji.</w:t>
      </w:r>
    </w:p>
    <w:p w14:paraId="6B281AC5" w14:textId="77777777" w:rsidR="00CC1663" w:rsidRPr="006B794F" w:rsidRDefault="00000000" w:rsidP="00695BDC">
      <w:pPr>
        <w:pStyle w:val="JuHa0"/>
        <w:rPr>
          <w:lang w:val="pl-PL"/>
        </w:rPr>
      </w:pPr>
      <w:r w:rsidRPr="006B794F">
        <w:rPr>
          <w:lang w:val="pl-PL"/>
        </w:rPr>
        <w:t>Ocena Trybunału</w:t>
      </w:r>
    </w:p>
    <w:p w14:paraId="7C97F06C" w14:textId="0D45B842" w:rsidR="00CC1663" w:rsidRPr="006B794F" w:rsidRDefault="009D43A0" w:rsidP="00695BDC">
      <w:pPr>
        <w:pStyle w:val="JuPara"/>
        <w:rPr>
          <w:lang w:val="pl-PL"/>
        </w:rPr>
      </w:pPr>
      <w:r w:rsidRPr="006B794F">
        <w:rPr>
          <w:noProof/>
          <w:lang w:val="pl-PL"/>
        </w:rPr>
        <w:t>95</w:t>
      </w:r>
      <w:r w:rsidRPr="006B794F">
        <w:rPr>
          <w:lang w:val="pl-PL"/>
        </w:rPr>
        <w:t>.</w:t>
      </w:r>
      <w:r w:rsidR="006C2A0A" w:rsidRPr="006B794F">
        <w:rPr>
          <w:lang w:val="pl-PL"/>
        </w:rPr>
        <w:t xml:space="preserve"> </w:t>
      </w:r>
      <w:r w:rsidRPr="006B794F">
        <w:rPr>
          <w:lang w:val="pl-PL"/>
        </w:rPr>
        <w:t>Trybunał odwołuje się przede wszystkim do zasad mających zastosowanie do wyczerpania krajowych środków odwoławczych (zob.</w:t>
      </w:r>
      <w:r w:rsidR="00D4376C" w:rsidRPr="006B794F">
        <w:rPr>
          <w:lang w:val="pl-PL"/>
        </w:rPr>
        <w:t> </w:t>
      </w:r>
      <w:r w:rsidRPr="006B794F">
        <w:rPr>
          <w:lang w:val="pl-PL"/>
        </w:rPr>
        <w:t>paragraf 52 powyżej). Trybunał przypomina, że otrzymał już podobne skargi w kilku przypadkach rumuńskich i że przywiązał szczególną wagę do</w:t>
      </w:r>
      <w:r w:rsidR="00D4376C" w:rsidRPr="006B794F">
        <w:rPr>
          <w:lang w:val="pl-PL"/>
        </w:rPr>
        <w:t> </w:t>
      </w:r>
      <w:r w:rsidRPr="006B794F">
        <w:rPr>
          <w:lang w:val="pl-PL"/>
        </w:rPr>
        <w:t>niemożności zidentyfikowania przez osoby skarżące osób lub organów odpowiedzialnych za wycieki.</w:t>
      </w:r>
    </w:p>
    <w:p w14:paraId="6BEF5EFC" w14:textId="04F6B2FE" w:rsidR="00CC1663" w:rsidRPr="006B794F" w:rsidRDefault="009D43A0" w:rsidP="00695BDC">
      <w:pPr>
        <w:pStyle w:val="JuPara"/>
        <w:rPr>
          <w:lang w:val="pl-PL"/>
        </w:rPr>
      </w:pPr>
      <w:r w:rsidRPr="006B794F">
        <w:rPr>
          <w:lang w:val="pl-PL"/>
        </w:rPr>
        <w:t>96.</w:t>
      </w:r>
      <w:r w:rsidR="006C2A0A" w:rsidRPr="006B794F">
        <w:rPr>
          <w:lang w:val="pl-PL"/>
        </w:rPr>
        <w:t xml:space="preserve"> </w:t>
      </w:r>
      <w:r w:rsidRPr="006B794F">
        <w:rPr>
          <w:lang w:val="pl-PL"/>
        </w:rPr>
        <w:t>I tak, w szeregu spraw Trybunał uznał, że powództwo cywilne z tytułu czynu niedozwolonego okazało się nieskuteczne w odniesieniu do skarg podobnych do tej złożonej przez skarżącą z tego powodu, że zasadniczo nie</w:t>
      </w:r>
      <w:r w:rsidR="00E473B2">
        <w:rPr>
          <w:lang w:val="pl-PL"/>
        </w:rPr>
        <w:t> </w:t>
      </w:r>
      <w:r w:rsidRPr="006B794F">
        <w:rPr>
          <w:lang w:val="pl-PL"/>
        </w:rPr>
        <w:t>można było zidentyfikować osób lub władz odpowiedzialnych za</w:t>
      </w:r>
      <w:r w:rsidR="00D4376C" w:rsidRPr="006B794F">
        <w:rPr>
          <w:lang w:val="pl-PL"/>
        </w:rPr>
        <w:t> </w:t>
      </w:r>
      <w:r w:rsidR="002617D8">
        <w:rPr>
          <w:lang w:val="pl-PL"/>
        </w:rPr>
        <w:t>„</w:t>
      </w:r>
      <w:r w:rsidRPr="006B794F">
        <w:rPr>
          <w:lang w:val="pl-PL"/>
        </w:rPr>
        <w:t>wycieki</w:t>
      </w:r>
      <w:r w:rsidR="002C3FC1">
        <w:rPr>
          <w:lang w:val="pl-PL"/>
        </w:rPr>
        <w:t>”</w:t>
      </w:r>
      <w:r w:rsidRPr="006B794F">
        <w:rPr>
          <w:i/>
          <w:iCs/>
          <w:lang w:val="pl-PL"/>
        </w:rPr>
        <w:t>(</w:t>
      </w:r>
      <w:proofErr w:type="spellStart"/>
      <w:r w:rsidRPr="006B794F">
        <w:rPr>
          <w:i/>
          <w:iCs/>
          <w:lang w:val="pl-PL"/>
        </w:rPr>
        <w:t>Cășuneanu</w:t>
      </w:r>
      <w:proofErr w:type="spellEnd"/>
      <w:r w:rsidRPr="006B794F">
        <w:rPr>
          <w:lang w:val="pl-PL"/>
        </w:rPr>
        <w:t xml:space="preserve"> przeciwko </w:t>
      </w:r>
      <w:r w:rsidRPr="006B794F">
        <w:rPr>
          <w:i/>
          <w:iCs/>
          <w:lang w:val="pl-PL"/>
        </w:rPr>
        <w:t>Rumunii</w:t>
      </w:r>
      <w:r w:rsidRPr="006B794F">
        <w:rPr>
          <w:lang w:val="pl-PL"/>
        </w:rPr>
        <w:t>,</w:t>
      </w:r>
      <w:r w:rsidRPr="006B794F">
        <w:rPr>
          <w:vertAlign w:val="superscript"/>
          <w:lang w:val="pl-PL"/>
        </w:rPr>
        <w:t xml:space="preserve"> </w:t>
      </w:r>
      <w:r w:rsidRPr="006B794F">
        <w:rPr>
          <w:lang w:val="pl-PL"/>
        </w:rPr>
        <w:t xml:space="preserve">nr 22018/10, § 71, 16 kwietnia 2013 r.; </w:t>
      </w:r>
      <w:r w:rsidRPr="006B794F">
        <w:rPr>
          <w:i/>
          <w:iCs/>
          <w:lang w:val="pl-PL"/>
        </w:rPr>
        <w:t>Voicu</w:t>
      </w:r>
      <w:r w:rsidRPr="006B794F">
        <w:rPr>
          <w:lang w:val="pl-PL"/>
        </w:rPr>
        <w:t xml:space="preserve"> przeciwko Rumunii,</w:t>
      </w:r>
      <w:r w:rsidRPr="006B794F">
        <w:rPr>
          <w:vertAlign w:val="superscript"/>
          <w:lang w:val="pl-PL"/>
        </w:rPr>
        <w:t xml:space="preserve"> </w:t>
      </w:r>
      <w:r w:rsidRPr="006B794F">
        <w:rPr>
          <w:lang w:val="pl-PL"/>
        </w:rPr>
        <w:t>nr</w:t>
      </w:r>
      <w:r w:rsidRPr="006B794F">
        <w:rPr>
          <w:vertAlign w:val="superscript"/>
          <w:lang w:val="pl-PL"/>
        </w:rPr>
        <w:t xml:space="preserve"> </w:t>
      </w:r>
      <w:r w:rsidRPr="006B794F">
        <w:rPr>
          <w:lang w:val="pl-PL"/>
        </w:rPr>
        <w:t>22015/10, §§ 81-82, 10 czerwca 2014</w:t>
      </w:r>
      <w:r w:rsidR="00D4376C" w:rsidRPr="006B794F">
        <w:rPr>
          <w:lang w:val="pl-PL"/>
        </w:rPr>
        <w:t> </w:t>
      </w:r>
      <w:r w:rsidRPr="006B794F">
        <w:rPr>
          <w:lang w:val="pl-PL"/>
        </w:rPr>
        <w:t xml:space="preserve">r.; oraz </w:t>
      </w:r>
      <w:r w:rsidRPr="006B794F">
        <w:rPr>
          <w:i/>
          <w:iCs/>
          <w:lang w:val="pl-PL"/>
        </w:rPr>
        <w:t>Apostu przeciwko Rumunii</w:t>
      </w:r>
      <w:r w:rsidRPr="006B794F">
        <w:rPr>
          <w:lang w:val="pl-PL"/>
        </w:rPr>
        <w:t>,</w:t>
      </w:r>
      <w:r w:rsidRPr="006B794F">
        <w:rPr>
          <w:vertAlign w:val="superscript"/>
          <w:lang w:val="pl-PL"/>
        </w:rPr>
        <w:t xml:space="preserve"> </w:t>
      </w:r>
      <w:r w:rsidRPr="006B794F">
        <w:rPr>
          <w:lang w:val="pl-PL"/>
        </w:rPr>
        <w:t>nr 22765/12, § 110, 3 lutego 2015</w:t>
      </w:r>
      <w:r w:rsidR="00D4376C" w:rsidRPr="006B794F">
        <w:rPr>
          <w:lang w:val="pl-PL"/>
        </w:rPr>
        <w:t> </w:t>
      </w:r>
      <w:r w:rsidRPr="006B794F">
        <w:rPr>
          <w:lang w:val="pl-PL"/>
        </w:rPr>
        <w:t>r.).</w:t>
      </w:r>
    </w:p>
    <w:p w14:paraId="591BDE36" w14:textId="44EB903F" w:rsidR="00CC1663" w:rsidRPr="006B794F" w:rsidRDefault="009D43A0" w:rsidP="00695BDC">
      <w:pPr>
        <w:pStyle w:val="JuPara"/>
        <w:rPr>
          <w:lang w:val="pl-PL"/>
        </w:rPr>
      </w:pPr>
      <w:r w:rsidRPr="006B794F">
        <w:rPr>
          <w:noProof/>
          <w:lang w:val="pl-PL"/>
        </w:rPr>
        <w:t>97</w:t>
      </w:r>
      <w:r w:rsidRPr="006B794F">
        <w:rPr>
          <w:lang w:val="pl-PL"/>
        </w:rPr>
        <w:t>.</w:t>
      </w:r>
      <w:r w:rsidR="006C2A0A" w:rsidRPr="006B794F">
        <w:rPr>
          <w:lang w:val="pl-PL"/>
        </w:rPr>
        <w:t xml:space="preserve"> </w:t>
      </w:r>
      <w:r w:rsidRPr="006B794F">
        <w:rPr>
          <w:lang w:val="pl-PL"/>
        </w:rPr>
        <w:t>W niniejszej sprawie Trybunał zauważa, że informacje opublikowane w prasie, które skarżąca określa jako poufne, pochodziły z oficjalnych komunikatów przekazanych przez biuro prasowe Sądu Apelacyjnego w</w:t>
      </w:r>
      <w:r w:rsidR="00D4376C" w:rsidRPr="006B794F">
        <w:rPr>
          <w:lang w:val="pl-PL"/>
        </w:rPr>
        <w:t> </w:t>
      </w:r>
      <w:r w:rsidRPr="006B794F">
        <w:rPr>
          <w:lang w:val="pl-PL"/>
        </w:rPr>
        <w:t xml:space="preserve">Bukareszcie na wyraźną prośbę dziennikarzy (zob. paragrafy 18-20 powyżej). Tym samym uważa, że sprawa skarżącej różni się od spraw przytoczonych w § </w:t>
      </w:r>
      <w:r w:rsidRPr="006B794F">
        <w:rPr>
          <w:noProof/>
          <w:lang w:val="pl-PL"/>
        </w:rPr>
        <w:t>96</w:t>
      </w:r>
      <w:r w:rsidRPr="006B794F">
        <w:rPr>
          <w:lang w:val="pl-PL"/>
        </w:rPr>
        <w:t xml:space="preserve"> powyżej. Trybunał odnosi się również do przykładów orzecznictwa krajowego wymienionych w sprawie </w:t>
      </w:r>
      <w:r w:rsidRPr="006B794F">
        <w:rPr>
          <w:i/>
          <w:iCs/>
          <w:lang w:val="pl-PL"/>
        </w:rPr>
        <w:t>Cășuneanu</w:t>
      </w:r>
      <w:r w:rsidRPr="006B794F">
        <w:rPr>
          <w:lang w:val="pl-PL"/>
        </w:rPr>
        <w:t xml:space="preserve"> (cyt. powyżej, § 41), zawierających odniesienia do decyzji sądów krajowych, które </w:t>
      </w:r>
      <w:r w:rsidRPr="006B794F">
        <w:rPr>
          <w:lang w:val="pl-PL"/>
        </w:rPr>
        <w:lastRenderedPageBreak/>
        <w:t>dokonały kontroli merytorycznej lub przyznały odszkodowanie osobom, które skarżyły się na naruszenie ich praw konwencyjnych w okolicznościach podobnych do tych z niniejszej sprawy.</w:t>
      </w:r>
    </w:p>
    <w:p w14:paraId="1D28906A" w14:textId="2A90DA1F" w:rsidR="00CC1663" w:rsidRPr="006B794F" w:rsidRDefault="009D43A0" w:rsidP="00695BDC">
      <w:pPr>
        <w:pStyle w:val="JuPara"/>
        <w:rPr>
          <w:lang w:val="pl-PL"/>
        </w:rPr>
      </w:pPr>
      <w:r w:rsidRPr="006B794F">
        <w:rPr>
          <w:lang w:val="pl-PL"/>
        </w:rPr>
        <w:t>98.</w:t>
      </w:r>
      <w:r w:rsidR="006C2A0A" w:rsidRPr="006B794F">
        <w:rPr>
          <w:lang w:val="pl-PL"/>
        </w:rPr>
        <w:t xml:space="preserve"> </w:t>
      </w:r>
      <w:r w:rsidRPr="006B794F">
        <w:rPr>
          <w:lang w:val="pl-PL"/>
        </w:rPr>
        <w:t>W tych okolicznościach Trybunał nie widzi żadnego powodu, aby</w:t>
      </w:r>
      <w:r w:rsidR="00D4376C" w:rsidRPr="006B794F">
        <w:rPr>
          <w:lang w:val="pl-PL"/>
        </w:rPr>
        <w:t> </w:t>
      </w:r>
      <w:r w:rsidRPr="006B794F">
        <w:rPr>
          <w:lang w:val="pl-PL"/>
        </w:rPr>
        <w:t xml:space="preserve">wątpić w niniejszej sprawie w skuteczność powództwa z tytułu czynu niedozwolonego w rozumieniu </w:t>
      </w:r>
      <w:r w:rsidR="002A440F" w:rsidRPr="006B794F">
        <w:rPr>
          <w:lang w:val="pl-PL"/>
        </w:rPr>
        <w:t>art.</w:t>
      </w:r>
      <w:r w:rsidRPr="006B794F">
        <w:rPr>
          <w:lang w:val="pl-PL"/>
        </w:rPr>
        <w:t xml:space="preserve"> 1349 </w:t>
      </w:r>
      <w:r w:rsidR="00EF6BF0" w:rsidRPr="006B794F">
        <w:rPr>
          <w:lang w:val="pl-PL"/>
        </w:rPr>
        <w:t xml:space="preserve">nowego </w:t>
      </w:r>
      <w:r w:rsidRPr="006B794F">
        <w:rPr>
          <w:lang w:val="pl-PL"/>
        </w:rPr>
        <w:t xml:space="preserve">Kodeksu </w:t>
      </w:r>
      <w:r w:rsidR="00EF6BF0" w:rsidRPr="006B794F">
        <w:rPr>
          <w:lang w:val="pl-PL"/>
        </w:rPr>
        <w:t xml:space="preserve">cywilnego </w:t>
      </w:r>
      <w:r w:rsidRPr="006B794F">
        <w:rPr>
          <w:lang w:val="pl-PL"/>
        </w:rPr>
        <w:t>(zob.</w:t>
      </w:r>
      <w:r w:rsidR="00D4376C" w:rsidRPr="006B794F">
        <w:rPr>
          <w:lang w:val="pl-PL"/>
        </w:rPr>
        <w:t> </w:t>
      </w:r>
      <w:r w:rsidRPr="006B794F">
        <w:rPr>
          <w:lang w:val="pl-PL"/>
        </w:rPr>
        <w:t>paragraf 27 powyżej), które Rząd wskazał na poparcie swojego wstępnego sprzeciwu.</w:t>
      </w:r>
    </w:p>
    <w:p w14:paraId="38390155" w14:textId="59943EAD" w:rsidR="00CC1663" w:rsidRPr="006B794F" w:rsidRDefault="009D43A0" w:rsidP="00695BDC">
      <w:pPr>
        <w:pStyle w:val="JuPara"/>
        <w:rPr>
          <w:lang w:val="pl-PL"/>
        </w:rPr>
      </w:pPr>
      <w:r w:rsidRPr="006B794F">
        <w:rPr>
          <w:noProof/>
          <w:lang w:val="pl-PL"/>
        </w:rPr>
        <w:t>99</w:t>
      </w:r>
      <w:r w:rsidRPr="006B794F">
        <w:rPr>
          <w:lang w:val="pl-PL"/>
        </w:rPr>
        <w:t>.</w:t>
      </w:r>
      <w:r w:rsidR="006C2A0A" w:rsidRPr="006B794F">
        <w:rPr>
          <w:lang w:val="pl-PL"/>
        </w:rPr>
        <w:t xml:space="preserve"> </w:t>
      </w:r>
      <w:r w:rsidRPr="006B794F">
        <w:rPr>
          <w:lang w:val="pl-PL"/>
        </w:rPr>
        <w:t>W związku z tym Trybunał przyjmuje za</w:t>
      </w:r>
      <w:r w:rsidR="00456CA3">
        <w:rPr>
          <w:lang w:val="pl-PL"/>
        </w:rPr>
        <w:t>strzeżenie</w:t>
      </w:r>
      <w:r w:rsidRPr="006B794F">
        <w:rPr>
          <w:lang w:val="pl-PL"/>
        </w:rPr>
        <w:t xml:space="preserve"> Rządu dotycząc</w:t>
      </w:r>
      <w:r w:rsidR="00456CA3">
        <w:rPr>
          <w:lang w:val="pl-PL"/>
        </w:rPr>
        <w:t>e</w:t>
      </w:r>
      <w:r w:rsidRPr="006B794F">
        <w:rPr>
          <w:lang w:val="pl-PL"/>
        </w:rPr>
        <w:t xml:space="preserve"> niewyczerpania krajowych środków odwoławczych i uznaje, że </w:t>
      </w:r>
      <w:r w:rsidR="00C71F7B">
        <w:rPr>
          <w:lang w:val="pl-PL"/>
        </w:rPr>
        <w:t xml:space="preserve">ten zarzut </w:t>
      </w:r>
      <w:r w:rsidRPr="006B794F">
        <w:rPr>
          <w:lang w:val="pl-PL"/>
        </w:rPr>
        <w:t>skarg</w:t>
      </w:r>
      <w:r w:rsidR="00C71F7B">
        <w:rPr>
          <w:lang w:val="pl-PL"/>
        </w:rPr>
        <w:t>i</w:t>
      </w:r>
      <w:r w:rsidR="00D4376C" w:rsidRPr="006B794F">
        <w:rPr>
          <w:lang w:val="pl-PL"/>
        </w:rPr>
        <w:t> </w:t>
      </w:r>
      <w:r w:rsidRPr="006B794F">
        <w:rPr>
          <w:lang w:val="pl-PL"/>
        </w:rPr>
        <w:t>musi zostać odrzucon</w:t>
      </w:r>
      <w:r w:rsidR="00C71F7B">
        <w:rPr>
          <w:lang w:val="pl-PL"/>
        </w:rPr>
        <w:t>y</w:t>
      </w:r>
      <w:r w:rsidRPr="006B794F">
        <w:rPr>
          <w:lang w:val="pl-PL"/>
        </w:rPr>
        <w:t xml:space="preserve"> na podstawie art. 35 </w:t>
      </w:r>
      <w:r w:rsidR="0055094D" w:rsidRPr="006B794F">
        <w:rPr>
          <w:lang w:val="pl-PL"/>
        </w:rPr>
        <w:t>ust.</w:t>
      </w:r>
      <w:r w:rsidRPr="006B794F">
        <w:rPr>
          <w:lang w:val="pl-PL"/>
        </w:rPr>
        <w:t xml:space="preserve"> 4 Konwencji.</w:t>
      </w:r>
    </w:p>
    <w:p w14:paraId="7DF4F703" w14:textId="77F5DD7B" w:rsidR="00CC1663" w:rsidRPr="006B794F" w:rsidRDefault="00B64307" w:rsidP="00695BDC">
      <w:pPr>
        <w:pStyle w:val="JuH1"/>
        <w:jc w:val="both"/>
        <w:rPr>
          <w:lang w:val="pl-PL"/>
        </w:rPr>
      </w:pPr>
      <w:r w:rsidRPr="006B794F">
        <w:rPr>
          <w:bCs w:val="0"/>
          <w:lang w:val="pl-PL"/>
        </w:rPr>
        <w:t>Stanowisko Najwyższej Rady Sądownictwa w sprawie ochrony reputacji zawodowej skarżącej</w:t>
      </w:r>
    </w:p>
    <w:p w14:paraId="39B525D3" w14:textId="77777777" w:rsidR="00CC1663" w:rsidRPr="006B794F" w:rsidRDefault="00000000" w:rsidP="00695BDC">
      <w:pPr>
        <w:pStyle w:val="JuHa0"/>
        <w:rPr>
          <w:lang w:val="pl-PL"/>
        </w:rPr>
      </w:pPr>
      <w:r w:rsidRPr="006B794F">
        <w:rPr>
          <w:lang w:val="pl-PL"/>
        </w:rPr>
        <w:t>Argumenty stron</w:t>
      </w:r>
    </w:p>
    <w:p w14:paraId="7578F3AE" w14:textId="48D243D2" w:rsidR="00CC1663" w:rsidRPr="006B794F" w:rsidRDefault="009D43A0" w:rsidP="00695BDC">
      <w:pPr>
        <w:pStyle w:val="JuPara"/>
        <w:rPr>
          <w:lang w:val="pl-PL"/>
        </w:rPr>
      </w:pPr>
      <w:r w:rsidRPr="006B794F">
        <w:rPr>
          <w:noProof/>
          <w:lang w:val="pl-PL"/>
        </w:rPr>
        <w:t>100</w:t>
      </w:r>
      <w:r w:rsidRPr="006B794F">
        <w:rPr>
          <w:lang w:val="pl-PL"/>
        </w:rPr>
        <w:t>.</w:t>
      </w:r>
      <w:r w:rsidR="006C2A0A" w:rsidRPr="006B794F">
        <w:rPr>
          <w:lang w:val="pl-PL"/>
        </w:rPr>
        <w:t xml:space="preserve"> </w:t>
      </w:r>
      <w:r w:rsidRPr="006B794F">
        <w:rPr>
          <w:lang w:val="pl-PL"/>
        </w:rPr>
        <w:t xml:space="preserve">Rząd stwierdza, że zarzut </w:t>
      </w:r>
      <w:r w:rsidR="00C71F7B">
        <w:rPr>
          <w:lang w:val="pl-PL"/>
        </w:rPr>
        <w:t xml:space="preserve">skargi </w:t>
      </w:r>
      <w:r w:rsidRPr="006B794F">
        <w:rPr>
          <w:lang w:val="pl-PL"/>
        </w:rPr>
        <w:t xml:space="preserve">dotyczący </w:t>
      </w:r>
      <w:r w:rsidR="00DE05D2" w:rsidRPr="006B794F">
        <w:rPr>
          <w:lang w:val="pl-PL"/>
        </w:rPr>
        <w:t>zarzucan</w:t>
      </w:r>
      <w:r w:rsidRPr="006B794F">
        <w:rPr>
          <w:lang w:val="pl-PL"/>
        </w:rPr>
        <w:t xml:space="preserve">ej odmowy ochrony reputacji zawodowej skarżącej przez </w:t>
      </w:r>
      <w:proofErr w:type="spellStart"/>
      <w:r w:rsidRPr="006B794F">
        <w:rPr>
          <w:lang w:val="pl-PL"/>
        </w:rPr>
        <w:t>NRS</w:t>
      </w:r>
      <w:proofErr w:type="spellEnd"/>
      <w:r w:rsidRPr="006B794F">
        <w:rPr>
          <w:lang w:val="pl-PL"/>
        </w:rPr>
        <w:t xml:space="preserve"> był przedwczesny i</w:t>
      </w:r>
      <w:r w:rsidR="00D350AE">
        <w:rPr>
          <w:lang w:val="pl-PL"/>
        </w:rPr>
        <w:t> </w:t>
      </w:r>
      <w:r w:rsidRPr="006B794F">
        <w:rPr>
          <w:lang w:val="pl-PL"/>
        </w:rPr>
        <w:t>wskazał, że</w:t>
      </w:r>
      <w:r w:rsidR="00D4376C" w:rsidRPr="006B794F">
        <w:rPr>
          <w:lang w:val="pl-PL"/>
        </w:rPr>
        <w:t> </w:t>
      </w:r>
      <w:r w:rsidRPr="006B794F">
        <w:rPr>
          <w:lang w:val="pl-PL"/>
        </w:rPr>
        <w:t xml:space="preserve">zaskarżenia wniesione przez skarżącą od decyzji </w:t>
      </w:r>
      <w:proofErr w:type="spellStart"/>
      <w:r w:rsidRPr="006B794F">
        <w:rPr>
          <w:lang w:val="pl-PL"/>
        </w:rPr>
        <w:t>NRS</w:t>
      </w:r>
      <w:proofErr w:type="spellEnd"/>
      <w:r w:rsidRPr="006B794F">
        <w:rPr>
          <w:lang w:val="pl-PL"/>
        </w:rPr>
        <w:t xml:space="preserve"> z dnia 11</w:t>
      </w:r>
      <w:r w:rsidR="00D350AE">
        <w:rPr>
          <w:lang w:val="pl-PL"/>
        </w:rPr>
        <w:t> </w:t>
      </w:r>
      <w:r w:rsidRPr="006B794F">
        <w:rPr>
          <w:lang w:val="pl-PL"/>
        </w:rPr>
        <w:t>stycznia 2018</w:t>
      </w:r>
      <w:r w:rsidR="008D0ECD" w:rsidRPr="006B794F">
        <w:rPr>
          <w:lang w:val="pl-PL"/>
        </w:rPr>
        <w:t xml:space="preserve"> r.</w:t>
      </w:r>
      <w:r w:rsidRPr="006B794F">
        <w:rPr>
          <w:lang w:val="pl-PL"/>
        </w:rPr>
        <w:t xml:space="preserve"> zostały oddalone w 2019</w:t>
      </w:r>
      <w:r w:rsidR="008D0ECD" w:rsidRPr="006B794F">
        <w:rPr>
          <w:lang w:val="pl-PL"/>
        </w:rPr>
        <w:t xml:space="preserve"> r.</w:t>
      </w:r>
      <w:r w:rsidRPr="006B794F">
        <w:rPr>
          <w:lang w:val="pl-PL"/>
        </w:rPr>
        <w:t xml:space="preserve"> (zob. paragrafy 24 i 25 powyżej), czyli po</w:t>
      </w:r>
      <w:r w:rsidR="00D4376C" w:rsidRPr="006B794F">
        <w:rPr>
          <w:lang w:val="pl-PL"/>
        </w:rPr>
        <w:t> </w:t>
      </w:r>
      <w:r w:rsidRPr="006B794F">
        <w:rPr>
          <w:lang w:val="pl-PL"/>
        </w:rPr>
        <w:t>wniesieniu skargi. Stwierdza również, że odpowiedzialność deliktowa wobec przedstawicieli mediów była skutecznym środkiem odwoławczym w</w:t>
      </w:r>
      <w:r w:rsidR="00D4376C" w:rsidRPr="006B794F">
        <w:rPr>
          <w:lang w:val="pl-PL"/>
        </w:rPr>
        <w:t> </w:t>
      </w:r>
      <w:r w:rsidRPr="006B794F">
        <w:rPr>
          <w:lang w:val="pl-PL"/>
        </w:rPr>
        <w:t>prawie krajowym w celu naprawienia szkody spowodowanej naruszeniem prawa do</w:t>
      </w:r>
      <w:r w:rsidR="00D4376C" w:rsidRPr="006B794F">
        <w:rPr>
          <w:lang w:val="pl-PL"/>
        </w:rPr>
        <w:t> </w:t>
      </w:r>
      <w:r w:rsidRPr="006B794F">
        <w:rPr>
          <w:lang w:val="pl-PL"/>
        </w:rPr>
        <w:t xml:space="preserve">reputacji. Co do </w:t>
      </w:r>
      <w:r w:rsidR="003B20BD" w:rsidRPr="006B794F">
        <w:rPr>
          <w:lang w:val="pl-PL"/>
        </w:rPr>
        <w:t>przedmiotu</w:t>
      </w:r>
      <w:r w:rsidRPr="006B794F">
        <w:rPr>
          <w:lang w:val="pl-PL"/>
        </w:rPr>
        <w:t xml:space="preserve"> skargi, Rząd uznał, że władze krajowe wyważyły prawo dziennikarzy do wolności słowa z prawem skarżącej do</w:t>
      </w:r>
      <w:r w:rsidR="00D4376C" w:rsidRPr="006B794F">
        <w:rPr>
          <w:lang w:val="pl-PL"/>
        </w:rPr>
        <w:t> </w:t>
      </w:r>
      <w:r w:rsidRPr="006B794F">
        <w:rPr>
          <w:lang w:val="pl-PL"/>
        </w:rPr>
        <w:t>poszanowania jej życia prywatnego. Dodał również, że informacje opublikowane w mediach dotyczyły sprawy będącej przedmiotem ogólnego zainteresowania publicznego oraz że poziom powagi spornych wypowiedzi nie osiągnął progu wymaganego do uruchomienia stosowania art. 8 Konwencji.</w:t>
      </w:r>
    </w:p>
    <w:p w14:paraId="3C2946DC" w14:textId="322C66F3" w:rsidR="00CC1663" w:rsidRPr="006B794F" w:rsidRDefault="009D43A0" w:rsidP="00695BDC">
      <w:pPr>
        <w:pStyle w:val="JuPara"/>
        <w:rPr>
          <w:lang w:val="pl-PL"/>
        </w:rPr>
      </w:pPr>
      <w:r w:rsidRPr="006B794F">
        <w:rPr>
          <w:lang w:val="pl-PL"/>
        </w:rPr>
        <w:t>101.</w:t>
      </w:r>
      <w:r w:rsidR="006C2A0A" w:rsidRPr="006B794F">
        <w:rPr>
          <w:lang w:val="pl-PL"/>
        </w:rPr>
        <w:t xml:space="preserve"> </w:t>
      </w:r>
      <w:r w:rsidRPr="006B794F">
        <w:rPr>
          <w:lang w:val="pl-PL"/>
        </w:rPr>
        <w:t>Skarżąca wskazuje, że wyrok Sądu Najwyższego oddalający jej skargę na decyzję NRS</w:t>
      </w:r>
      <w:r w:rsidRPr="006B794F">
        <w:rPr>
          <w:vertAlign w:val="superscript"/>
          <w:lang w:val="pl-PL"/>
        </w:rPr>
        <w:t xml:space="preserve"> </w:t>
      </w:r>
      <w:r w:rsidRPr="006B794F">
        <w:rPr>
          <w:lang w:val="pl-PL"/>
        </w:rPr>
        <w:t>nr 26 nie został jeszcze sporządzony w chwili przedstawiania uwag w przedmiocie dopuszczalności skargi i że w tej sprawie nie został zachowany ustawowy termin na jego sporządzenie. Dodała, że stanowisko NRS, które - jak twierdzi - było odmową ochrony jej dobrego imienia, jest wewnętrznie sprzeczne, ponieważ - jak twierdzi - istnieją dowody, że osoby zasiadające w Najwyższej Radzie Sądownictwa miały świadomość jej udziału w tej formacji. Jej zdaniem stanowisko tego organu stanowiło wyjątkowo poważną ingerencję, która nie była ani</w:t>
      </w:r>
      <w:r w:rsidR="00D4376C" w:rsidRPr="006B794F">
        <w:rPr>
          <w:lang w:val="pl-PL"/>
        </w:rPr>
        <w:t> </w:t>
      </w:r>
      <w:r w:rsidRPr="006B794F">
        <w:rPr>
          <w:lang w:val="pl-PL"/>
        </w:rPr>
        <w:t>przewidziana przez prawo, ani konieczna w demokratycznym społeczeństwie i którą należało wyważyć w stosunku do prawa dziennikarzy do wolności słowa.</w:t>
      </w:r>
    </w:p>
    <w:p w14:paraId="16902816" w14:textId="77777777" w:rsidR="00CC1663" w:rsidRPr="006B794F" w:rsidRDefault="00000000" w:rsidP="00695BDC">
      <w:pPr>
        <w:pStyle w:val="JuHa0"/>
        <w:rPr>
          <w:lang w:val="pl-PL"/>
        </w:rPr>
      </w:pPr>
      <w:r w:rsidRPr="006B794F">
        <w:rPr>
          <w:lang w:val="pl-PL"/>
        </w:rPr>
        <w:lastRenderedPageBreak/>
        <w:t>Ocena Trybunału</w:t>
      </w:r>
    </w:p>
    <w:p w14:paraId="335E9661" w14:textId="652E4C60" w:rsidR="00CC1663" w:rsidRPr="006B794F" w:rsidRDefault="009D43A0" w:rsidP="00695BDC">
      <w:pPr>
        <w:pStyle w:val="JuPara"/>
        <w:rPr>
          <w:lang w:val="pl-PL"/>
        </w:rPr>
      </w:pPr>
      <w:r w:rsidRPr="006B794F">
        <w:rPr>
          <w:noProof/>
          <w:lang w:val="pl-PL"/>
        </w:rPr>
        <w:t>102</w:t>
      </w:r>
      <w:r w:rsidRPr="006B794F">
        <w:rPr>
          <w:lang w:val="pl-PL"/>
        </w:rPr>
        <w:t>.</w:t>
      </w:r>
      <w:r w:rsidR="006C2A0A" w:rsidRPr="006B794F">
        <w:rPr>
          <w:lang w:val="pl-PL"/>
        </w:rPr>
        <w:t xml:space="preserve"> </w:t>
      </w:r>
      <w:r w:rsidRPr="006B794F">
        <w:rPr>
          <w:lang w:val="pl-PL"/>
        </w:rPr>
        <w:t>Trybunał uważa, że nie jest konieczne rozważanie, czy</w:t>
      </w:r>
      <w:r w:rsidR="00C71F7B">
        <w:rPr>
          <w:lang w:val="pl-PL"/>
        </w:rPr>
        <w:t xml:space="preserve"> zarzut</w:t>
      </w:r>
      <w:r w:rsidRPr="006B794F">
        <w:rPr>
          <w:lang w:val="pl-PL"/>
        </w:rPr>
        <w:t xml:space="preserve"> skarg</w:t>
      </w:r>
      <w:r w:rsidR="00C71F7B">
        <w:rPr>
          <w:lang w:val="pl-PL"/>
        </w:rPr>
        <w:t>i</w:t>
      </w:r>
      <w:r w:rsidRPr="006B794F">
        <w:rPr>
          <w:lang w:val="pl-PL"/>
        </w:rPr>
        <w:t xml:space="preserve"> skarżącej jest przedwczesn</w:t>
      </w:r>
      <w:r w:rsidR="00C71F7B">
        <w:rPr>
          <w:lang w:val="pl-PL"/>
        </w:rPr>
        <w:t>y</w:t>
      </w:r>
      <w:r w:rsidRPr="006B794F">
        <w:rPr>
          <w:lang w:val="pl-PL"/>
        </w:rPr>
        <w:t xml:space="preserve"> lub czy w niniejszej sprawie </w:t>
      </w:r>
      <w:r w:rsidR="00C71F7B">
        <w:rPr>
          <w:lang w:val="pl-PL"/>
        </w:rPr>
        <w:t xml:space="preserve">naruszono dobre imię </w:t>
      </w:r>
      <w:r w:rsidRPr="006B794F">
        <w:rPr>
          <w:lang w:val="pl-PL"/>
        </w:rPr>
        <w:t xml:space="preserve">skarżącej w stopniu przekraczającym próg </w:t>
      </w:r>
      <w:r w:rsidR="006B7839">
        <w:rPr>
          <w:lang w:val="pl-PL"/>
        </w:rPr>
        <w:t xml:space="preserve">dolegliwości </w:t>
      </w:r>
      <w:r w:rsidRPr="006B794F">
        <w:rPr>
          <w:lang w:val="pl-PL"/>
        </w:rPr>
        <w:t>wymagany do</w:t>
      </w:r>
      <w:r w:rsidR="00D4376C" w:rsidRPr="006B794F">
        <w:rPr>
          <w:lang w:val="pl-PL"/>
        </w:rPr>
        <w:t> </w:t>
      </w:r>
      <w:r w:rsidRPr="006B794F">
        <w:rPr>
          <w:lang w:val="pl-PL"/>
        </w:rPr>
        <w:t xml:space="preserve">zastosowania </w:t>
      </w:r>
      <w:r w:rsidR="002A440F" w:rsidRPr="006B794F">
        <w:rPr>
          <w:lang w:val="pl-PL"/>
        </w:rPr>
        <w:t>art.</w:t>
      </w:r>
      <w:r w:rsidRPr="006B794F">
        <w:rPr>
          <w:lang w:val="pl-PL"/>
        </w:rPr>
        <w:t xml:space="preserve"> 8 Konwencji, ponieważ</w:t>
      </w:r>
      <w:r w:rsidR="00C71F7B">
        <w:rPr>
          <w:lang w:val="pl-PL"/>
        </w:rPr>
        <w:t xml:space="preserve"> ten zarzut</w:t>
      </w:r>
      <w:r w:rsidRPr="006B794F">
        <w:rPr>
          <w:lang w:val="pl-PL"/>
        </w:rPr>
        <w:t xml:space="preserve"> skarg</w:t>
      </w:r>
      <w:r w:rsidR="00C71F7B">
        <w:rPr>
          <w:lang w:val="pl-PL"/>
        </w:rPr>
        <w:t>i</w:t>
      </w:r>
      <w:r w:rsidRPr="006B794F">
        <w:rPr>
          <w:lang w:val="pl-PL"/>
        </w:rPr>
        <w:t xml:space="preserve"> jest w każdym razie niedopuszczaln</w:t>
      </w:r>
      <w:r w:rsidR="00C71F7B">
        <w:rPr>
          <w:lang w:val="pl-PL"/>
        </w:rPr>
        <w:t>y</w:t>
      </w:r>
      <w:r w:rsidRPr="006B794F">
        <w:rPr>
          <w:lang w:val="pl-PL"/>
        </w:rPr>
        <w:t xml:space="preserve"> z powodów przedstawionych poniżej.</w:t>
      </w:r>
    </w:p>
    <w:p w14:paraId="4EBBDE87" w14:textId="1E64FF99" w:rsidR="00CC1663" w:rsidRPr="006B794F" w:rsidRDefault="009D43A0" w:rsidP="00695BDC">
      <w:pPr>
        <w:pStyle w:val="JuPara"/>
        <w:rPr>
          <w:lang w:val="pl-PL"/>
        </w:rPr>
      </w:pPr>
      <w:r w:rsidRPr="006B794F">
        <w:rPr>
          <w:noProof/>
          <w:lang w:val="pl-PL"/>
        </w:rPr>
        <w:t>103</w:t>
      </w:r>
      <w:r w:rsidRPr="006B794F">
        <w:rPr>
          <w:lang w:val="pl-PL"/>
        </w:rPr>
        <w:t>.</w:t>
      </w:r>
      <w:r w:rsidR="006C2A0A" w:rsidRPr="006B794F">
        <w:rPr>
          <w:lang w:val="pl-PL"/>
        </w:rPr>
        <w:t xml:space="preserve"> </w:t>
      </w:r>
      <w:r w:rsidRPr="006B794F">
        <w:rPr>
          <w:lang w:val="pl-PL"/>
        </w:rPr>
        <w:t xml:space="preserve">Odnosząc się do zasad przedstawionych w paragrafie 52 powyżej, Trybunał przypomina, że stosując zasadę wyczerpania krajowych środków odwoławczych, musi realnie wziąć pod uwagę nie tylko środki odwoławcze dostępne teoretycznie w systemie prawnym danego Państwa, ale także kontekst, w którym są one dostępne oraz osobistą sytuację skarżącej. Musi zatem rozważyć, czy w świetle wszystkich okoliczności sprawy skarżąca zrobiła wszystko, czego można było od niej rozsądnie oczekiwać w celu wyczerpania krajowych środków odwoławczych </w:t>
      </w:r>
      <w:r w:rsidRPr="006B794F">
        <w:rPr>
          <w:i/>
          <w:iCs/>
          <w:lang w:val="pl-PL"/>
        </w:rPr>
        <w:t>(D.H. i inni przeciwko Republice Czeskiej</w:t>
      </w:r>
      <w:r w:rsidRPr="006B794F">
        <w:rPr>
          <w:lang w:val="pl-PL"/>
        </w:rPr>
        <w:t xml:space="preserve"> [Wielka Izba],</w:t>
      </w:r>
      <w:r w:rsidRPr="006B794F">
        <w:rPr>
          <w:vertAlign w:val="superscript"/>
          <w:lang w:val="pl-PL"/>
        </w:rPr>
        <w:t xml:space="preserve"> </w:t>
      </w:r>
      <w:r w:rsidRPr="006B794F">
        <w:rPr>
          <w:lang w:val="pl-PL"/>
        </w:rPr>
        <w:t>nr 57325/00, § 116, ETPC 2007-IV).</w:t>
      </w:r>
    </w:p>
    <w:p w14:paraId="1854D256" w14:textId="17FAC0BB" w:rsidR="00CC1663" w:rsidRPr="006B794F" w:rsidRDefault="009D43A0" w:rsidP="00695BDC">
      <w:pPr>
        <w:pStyle w:val="JuPara"/>
        <w:rPr>
          <w:lang w:val="pl-PL"/>
        </w:rPr>
      </w:pPr>
      <w:r w:rsidRPr="006B794F">
        <w:rPr>
          <w:lang w:val="pl-PL"/>
        </w:rPr>
        <w:t>104.</w:t>
      </w:r>
      <w:r w:rsidR="006C2A0A" w:rsidRPr="006B794F">
        <w:rPr>
          <w:lang w:val="pl-PL"/>
        </w:rPr>
        <w:t xml:space="preserve"> </w:t>
      </w:r>
      <w:r w:rsidRPr="006B794F">
        <w:rPr>
          <w:lang w:val="pl-PL"/>
        </w:rPr>
        <w:t>W niniejszej sprawie Trybunał zauważa, że skarżąca, uważając, że</w:t>
      </w:r>
      <w:r w:rsidR="00D4376C" w:rsidRPr="006B794F">
        <w:rPr>
          <w:lang w:val="pl-PL"/>
        </w:rPr>
        <w:t> </w:t>
      </w:r>
      <w:r w:rsidRPr="006B794F">
        <w:rPr>
          <w:lang w:val="pl-PL"/>
        </w:rPr>
        <w:t xml:space="preserve">opublikowane w prasie wypowiedzi ją zniesławiały, złożyła kilka wniosków do NRS o ochronę jej dobrego imienia (zob. paragrafy 22-23 powyżej), które ostatecznie zostały odrzucone (zob. paragrafy </w:t>
      </w:r>
      <w:r w:rsidR="00D86122" w:rsidRPr="006B794F">
        <w:rPr>
          <w:lang w:val="pl-PL"/>
        </w:rPr>
        <w:t xml:space="preserve">24-25 </w:t>
      </w:r>
      <w:r w:rsidRPr="006B794F">
        <w:rPr>
          <w:lang w:val="pl-PL"/>
        </w:rPr>
        <w:t>powyżej).</w:t>
      </w:r>
    </w:p>
    <w:p w14:paraId="0915F94C" w14:textId="4B47C7FF" w:rsidR="00CC1663" w:rsidRPr="006B794F" w:rsidRDefault="00D86122" w:rsidP="00695BDC">
      <w:pPr>
        <w:pStyle w:val="JuPara"/>
        <w:rPr>
          <w:lang w:val="pl-PL"/>
        </w:rPr>
      </w:pPr>
      <w:r w:rsidRPr="006B794F">
        <w:rPr>
          <w:noProof/>
          <w:lang w:val="pl-PL"/>
        </w:rPr>
        <w:t>105</w:t>
      </w:r>
      <w:r w:rsidRPr="006B794F">
        <w:rPr>
          <w:lang w:val="pl-PL"/>
        </w:rPr>
        <w:t>.</w:t>
      </w:r>
      <w:r w:rsidR="006C2A0A" w:rsidRPr="006B794F">
        <w:rPr>
          <w:lang w:val="pl-PL"/>
        </w:rPr>
        <w:t xml:space="preserve"> </w:t>
      </w:r>
      <w:r w:rsidRPr="006B794F">
        <w:rPr>
          <w:lang w:val="pl-PL"/>
        </w:rPr>
        <w:t>W odniesieniu do procedury obrony dobrego imienia sędziów Trybunał zauważył, że ta procedura administracyjna pozwalała NRS na</w:t>
      </w:r>
      <w:r w:rsidR="00D4376C" w:rsidRPr="006B794F">
        <w:rPr>
          <w:lang w:val="pl-PL"/>
        </w:rPr>
        <w:t> </w:t>
      </w:r>
      <w:r w:rsidRPr="006B794F">
        <w:rPr>
          <w:lang w:val="pl-PL"/>
        </w:rPr>
        <w:t>podejmowanie z urzędu lub podejmowanie kierowanych do niej spraw dotyczących naruszeń bezstronności, niezależności i reputacji zawodowej sędziów. Ponadto z tej procedury wynika, że NRS mogła przeprowadzać kontrole reputacji i publikować ich wyniki (zob. art. 30 §§ 1 i 2 ustawy</w:t>
      </w:r>
      <w:r w:rsidRPr="006B794F">
        <w:rPr>
          <w:vertAlign w:val="superscript"/>
          <w:lang w:val="pl-PL"/>
        </w:rPr>
        <w:t xml:space="preserve"> </w:t>
      </w:r>
      <w:r w:rsidRPr="006B794F">
        <w:rPr>
          <w:lang w:val="pl-PL"/>
        </w:rPr>
        <w:t>nr</w:t>
      </w:r>
      <w:r w:rsidR="00D4376C" w:rsidRPr="006B794F">
        <w:rPr>
          <w:lang w:val="pl-PL"/>
        </w:rPr>
        <w:t> </w:t>
      </w:r>
      <w:r w:rsidRPr="006B794F">
        <w:rPr>
          <w:lang w:val="pl-PL"/>
        </w:rPr>
        <w:t>317/2004, cytowany w paragrafie 29</w:t>
      </w:r>
      <w:r w:rsidRPr="006B794F">
        <w:rPr>
          <w:b/>
          <w:bCs/>
          <w:lang w:val="pl-PL"/>
        </w:rPr>
        <w:t xml:space="preserve"> </w:t>
      </w:r>
      <w:r w:rsidRPr="006B794F">
        <w:rPr>
          <w:lang w:val="pl-PL"/>
        </w:rPr>
        <w:t>powyżej).</w:t>
      </w:r>
    </w:p>
    <w:p w14:paraId="2B099A19" w14:textId="7ABABD07" w:rsidR="00CC1663" w:rsidRPr="006B794F" w:rsidRDefault="00D86122" w:rsidP="00695BDC">
      <w:pPr>
        <w:pStyle w:val="JuPara"/>
        <w:rPr>
          <w:lang w:val="pl-PL"/>
        </w:rPr>
      </w:pPr>
      <w:r w:rsidRPr="006B794F">
        <w:rPr>
          <w:noProof/>
          <w:lang w:val="pl-PL"/>
        </w:rPr>
        <w:t>106</w:t>
      </w:r>
      <w:r w:rsidRPr="006B794F">
        <w:rPr>
          <w:lang w:val="pl-PL"/>
        </w:rPr>
        <w:t>.</w:t>
      </w:r>
      <w:r w:rsidR="006C2A0A" w:rsidRPr="006B794F">
        <w:rPr>
          <w:lang w:val="pl-PL"/>
        </w:rPr>
        <w:t xml:space="preserve"> </w:t>
      </w:r>
      <w:r w:rsidRPr="006B794F">
        <w:rPr>
          <w:lang w:val="pl-PL"/>
        </w:rPr>
        <w:t>W świetle przedstawionych dowodów Trybunał zauważa, że</w:t>
      </w:r>
      <w:r w:rsidR="00D4376C" w:rsidRPr="006B794F">
        <w:rPr>
          <w:lang w:val="pl-PL"/>
        </w:rPr>
        <w:t> </w:t>
      </w:r>
      <w:r w:rsidRPr="006B794F">
        <w:rPr>
          <w:lang w:val="pl-PL"/>
        </w:rPr>
        <w:t>procedura zastosowana przez skarżącą umożliwiała uzyskanie, w</w:t>
      </w:r>
      <w:r w:rsidR="00D4376C" w:rsidRPr="006B794F">
        <w:rPr>
          <w:lang w:val="pl-PL"/>
        </w:rPr>
        <w:t> </w:t>
      </w:r>
      <w:r w:rsidRPr="006B794F">
        <w:rPr>
          <w:lang w:val="pl-PL"/>
        </w:rPr>
        <w:t xml:space="preserve">przypadku korzystnego rozstrzygnięcia, publikacji wyników weryfikacji przeprowadzonej przez NRS w razie wykrycia naruszenia reputacji zawodowej. Ani forma, jaką mogłyby przybrać odpowiednie środki zaradcze łagodzące skutki prawnych naruszeń dobrego imienia sędzi, ani odpowiedź na pytanie, czy osoby odpowiedzialne za te naruszenia mogłyby bronić swoich racji w postępowaniu administracyjnym, nie wynikają z przepisów regulujących to postępowanie. Zatem, w odniesieniu do tego drugiego aspektu Trybunał przypomina, że niezbędne jest, aby autorzy spornych zarzutów mieli konkretną i skuteczną możliwość wykazania, że ich zarzuty miały wystarczającą podstawę faktyczną (zob. </w:t>
      </w:r>
      <w:r w:rsidRPr="006B794F">
        <w:rPr>
          <w:i/>
          <w:iCs/>
          <w:lang w:val="pl-PL"/>
        </w:rPr>
        <w:t xml:space="preserve">mutatis mutandis </w:t>
      </w:r>
      <w:r w:rsidRPr="006B794F">
        <w:rPr>
          <w:lang w:val="pl-PL"/>
        </w:rPr>
        <w:t>i</w:t>
      </w:r>
      <w:r w:rsidR="00D4376C" w:rsidRPr="006B794F">
        <w:rPr>
          <w:lang w:val="pl-PL"/>
        </w:rPr>
        <w:t> </w:t>
      </w:r>
      <w:r w:rsidRPr="006B794F">
        <w:rPr>
          <w:lang w:val="pl-PL"/>
        </w:rPr>
        <w:t>w</w:t>
      </w:r>
      <w:r w:rsidR="00D4376C" w:rsidRPr="006B794F">
        <w:rPr>
          <w:lang w:val="pl-PL"/>
        </w:rPr>
        <w:t> </w:t>
      </w:r>
      <w:r w:rsidRPr="006B794F">
        <w:rPr>
          <w:lang w:val="pl-PL"/>
        </w:rPr>
        <w:t xml:space="preserve">kontekście </w:t>
      </w:r>
      <w:r w:rsidR="002A440F" w:rsidRPr="006B794F">
        <w:rPr>
          <w:lang w:val="pl-PL"/>
        </w:rPr>
        <w:t>art.</w:t>
      </w:r>
      <w:r w:rsidRPr="006B794F">
        <w:rPr>
          <w:lang w:val="pl-PL"/>
        </w:rPr>
        <w:t xml:space="preserve"> 10 Konwencji, </w:t>
      </w:r>
      <w:r w:rsidRPr="006B794F">
        <w:rPr>
          <w:i/>
          <w:iCs/>
          <w:lang w:val="pl-PL"/>
        </w:rPr>
        <w:t>Morice przeciwko Francji</w:t>
      </w:r>
      <w:r w:rsidRPr="006B794F">
        <w:rPr>
          <w:lang w:val="pl-PL"/>
        </w:rPr>
        <w:t xml:space="preserve"> [Wielka Izba],</w:t>
      </w:r>
      <w:r w:rsidRPr="006B794F">
        <w:rPr>
          <w:vertAlign w:val="superscript"/>
          <w:lang w:val="pl-PL"/>
        </w:rPr>
        <w:t xml:space="preserve"> </w:t>
      </w:r>
      <w:r w:rsidRPr="006B794F">
        <w:rPr>
          <w:lang w:val="pl-PL"/>
        </w:rPr>
        <w:t>nr 29369/10,</w:t>
      </w:r>
      <w:r w:rsidRPr="006B794F">
        <w:rPr>
          <w:snapToGrid w:val="0"/>
          <w:lang w:val="pl-PL"/>
        </w:rPr>
        <w:t xml:space="preserve"> § 155, </w:t>
      </w:r>
      <w:r w:rsidRPr="006B794F">
        <w:rPr>
          <w:lang w:val="pl-PL"/>
        </w:rPr>
        <w:t>ETPC 2015, i cytowane tam odniesienia).</w:t>
      </w:r>
    </w:p>
    <w:p w14:paraId="2A69817B" w14:textId="0D18E238" w:rsidR="00CC1663" w:rsidRPr="006B794F" w:rsidRDefault="00D86122" w:rsidP="00695BDC">
      <w:pPr>
        <w:pStyle w:val="JuPara"/>
        <w:rPr>
          <w:lang w:val="pl-PL"/>
        </w:rPr>
      </w:pPr>
      <w:r w:rsidRPr="006B794F">
        <w:rPr>
          <w:noProof/>
          <w:lang w:val="pl-PL"/>
        </w:rPr>
        <w:t>107</w:t>
      </w:r>
      <w:r w:rsidRPr="006B794F">
        <w:rPr>
          <w:lang w:val="pl-PL"/>
        </w:rPr>
        <w:t>.</w:t>
      </w:r>
      <w:r w:rsidR="006C2A0A" w:rsidRPr="006B794F">
        <w:rPr>
          <w:lang w:val="pl-PL"/>
        </w:rPr>
        <w:t xml:space="preserve"> </w:t>
      </w:r>
      <w:r w:rsidRPr="006B794F">
        <w:rPr>
          <w:lang w:val="pl-PL"/>
        </w:rPr>
        <w:t xml:space="preserve">W tym stanie rzeczy Trybunał zauważył, że prawo rumuńskie przewiduje dla osób skarżących się na zniesławienie w prasie, w tym sędziów, możliwość wniesienia powództwa do sądu cywilnego w celu </w:t>
      </w:r>
      <w:r w:rsidRPr="006B794F">
        <w:rPr>
          <w:lang w:val="pl-PL"/>
        </w:rPr>
        <w:lastRenderedPageBreak/>
        <w:t xml:space="preserve">uzyskania odszkodowania za poniesioną szkodę na podstawie art. 1349 </w:t>
      </w:r>
      <w:r w:rsidR="00EF6BF0" w:rsidRPr="006B794F">
        <w:rPr>
          <w:lang w:val="pl-PL"/>
        </w:rPr>
        <w:t xml:space="preserve">nowego Kodeksu </w:t>
      </w:r>
      <w:r w:rsidRPr="006B794F">
        <w:rPr>
          <w:lang w:val="pl-PL"/>
        </w:rPr>
        <w:t>cywilnego (zob. paragraf 27 powyżej). Ten środek odwoławczy umożliwia zainteresowanym osobom pociągnięcie do</w:t>
      </w:r>
      <w:r w:rsidR="00D4376C" w:rsidRPr="006B794F">
        <w:rPr>
          <w:lang w:val="pl-PL"/>
        </w:rPr>
        <w:t> </w:t>
      </w:r>
      <w:r w:rsidRPr="006B794F">
        <w:rPr>
          <w:lang w:val="pl-PL"/>
        </w:rPr>
        <w:t>odpowiedzialności cywilnej autorów zniesławiających uwag i</w:t>
      </w:r>
      <w:r w:rsidR="00D4376C" w:rsidRPr="006B794F">
        <w:rPr>
          <w:lang w:val="pl-PL"/>
        </w:rPr>
        <w:t> </w:t>
      </w:r>
      <w:r w:rsidRPr="006B794F">
        <w:rPr>
          <w:lang w:val="pl-PL"/>
        </w:rPr>
        <w:t xml:space="preserve">zadośćuczynienie za doznane w ten sposób krzywdy. Następnie Trybunał zauważa, że rozpatrywał już kilka rumuńskich spraw na podstawie artykułów 8 lub 10 Konwencji, w których zainteresowane osoby uzyskały odszkodowanie za szkody wyrządzone przez prasę w drodze cywilnego powództwa z tytułu czynu niedozwolonego (zob. m.in. </w:t>
      </w:r>
      <w:r w:rsidRPr="006B794F">
        <w:rPr>
          <w:i/>
          <w:iCs/>
          <w:lang w:val="pl-PL"/>
        </w:rPr>
        <w:t>Aurelian Oprea przeciwko Rumunii</w:t>
      </w:r>
      <w:r w:rsidRPr="006B794F">
        <w:rPr>
          <w:lang w:val="pl-PL"/>
        </w:rPr>
        <w:t>,</w:t>
      </w:r>
      <w:r w:rsidRPr="006B794F">
        <w:rPr>
          <w:vertAlign w:val="superscript"/>
          <w:lang w:val="pl-PL"/>
        </w:rPr>
        <w:t xml:space="preserve"> </w:t>
      </w:r>
      <w:r w:rsidRPr="006B794F">
        <w:rPr>
          <w:lang w:val="pl-PL"/>
        </w:rPr>
        <w:t xml:space="preserve">nr 12138/08, §§ 24-28, 19 stycznia 2016 r.; </w:t>
      </w:r>
      <w:r w:rsidRPr="006B794F">
        <w:rPr>
          <w:i/>
          <w:iCs/>
          <w:lang w:val="pl-PL"/>
        </w:rPr>
        <w:t>Rusu</w:t>
      </w:r>
      <w:r w:rsidRPr="006B794F">
        <w:rPr>
          <w:lang w:val="pl-PL"/>
        </w:rPr>
        <w:t xml:space="preserve"> przeciwko Rumunii,</w:t>
      </w:r>
      <w:r w:rsidRPr="006B794F">
        <w:rPr>
          <w:vertAlign w:val="superscript"/>
          <w:lang w:val="pl-PL"/>
        </w:rPr>
        <w:t xml:space="preserve"> </w:t>
      </w:r>
      <w:r w:rsidRPr="006B794F">
        <w:rPr>
          <w:lang w:val="pl-PL"/>
        </w:rPr>
        <w:t xml:space="preserve">nr 25721/04, §§ 12-13, 8 marca 2016 r.; </w:t>
      </w:r>
      <w:r w:rsidRPr="006B794F">
        <w:rPr>
          <w:i/>
          <w:iCs/>
          <w:lang w:val="pl-PL"/>
        </w:rPr>
        <w:t>Ghiulfer Predescu</w:t>
      </w:r>
      <w:r w:rsidRPr="006B794F">
        <w:rPr>
          <w:lang w:val="pl-PL"/>
        </w:rPr>
        <w:t xml:space="preserve"> przeciwko Rumunii,</w:t>
      </w:r>
      <w:r w:rsidRPr="006B794F">
        <w:rPr>
          <w:vertAlign w:val="superscript"/>
          <w:lang w:val="pl-PL"/>
        </w:rPr>
        <w:t xml:space="preserve"> </w:t>
      </w:r>
      <w:r w:rsidRPr="006B794F">
        <w:rPr>
          <w:lang w:val="pl-PL"/>
        </w:rPr>
        <w:t>nr 29751/09, §§ 9-23, 27 czerwca 2017 r.; oraz</w:t>
      </w:r>
      <w:r w:rsidR="00E473B2">
        <w:rPr>
          <w:lang w:val="pl-PL"/>
        </w:rPr>
        <w:t> </w:t>
      </w:r>
      <w:r w:rsidRPr="006B794F">
        <w:rPr>
          <w:i/>
          <w:iCs/>
          <w:lang w:val="pl-PL"/>
        </w:rPr>
        <w:t>Prunea przeciwko</w:t>
      </w:r>
      <w:r w:rsidRPr="006B794F">
        <w:rPr>
          <w:lang w:val="pl-PL"/>
        </w:rPr>
        <w:t xml:space="preserve"> Rumunii,</w:t>
      </w:r>
      <w:r w:rsidRPr="006B794F">
        <w:rPr>
          <w:vertAlign w:val="superscript"/>
          <w:lang w:val="pl-PL"/>
        </w:rPr>
        <w:t xml:space="preserve"> </w:t>
      </w:r>
      <w:r w:rsidRPr="006B794F">
        <w:rPr>
          <w:lang w:val="pl-PL"/>
        </w:rPr>
        <w:t>nr 47881/11, §§ 7-16, 8 stycznia 2019 r.).</w:t>
      </w:r>
    </w:p>
    <w:p w14:paraId="2C9921B4" w14:textId="405AFCF1" w:rsidR="00CC1663" w:rsidRPr="006B794F" w:rsidRDefault="00D86122" w:rsidP="00695BDC">
      <w:pPr>
        <w:pStyle w:val="JuPara"/>
        <w:rPr>
          <w:lang w:val="pl-PL"/>
        </w:rPr>
      </w:pPr>
      <w:r w:rsidRPr="006B794F">
        <w:rPr>
          <w:noProof/>
          <w:lang w:val="pl-PL"/>
        </w:rPr>
        <w:t>108</w:t>
      </w:r>
      <w:r w:rsidRPr="006B794F">
        <w:rPr>
          <w:lang w:val="pl-PL"/>
        </w:rPr>
        <w:t>.</w:t>
      </w:r>
      <w:r w:rsidR="006C2A0A" w:rsidRPr="006B794F">
        <w:rPr>
          <w:lang w:val="pl-PL"/>
        </w:rPr>
        <w:t xml:space="preserve"> </w:t>
      </w:r>
      <w:r w:rsidRPr="006B794F">
        <w:rPr>
          <w:lang w:val="pl-PL"/>
        </w:rPr>
        <w:t xml:space="preserve">W świetle powyższego Trybunał uznał, że w niniejszej sprawie, przed przedstawieniem mu </w:t>
      </w:r>
      <w:r w:rsidR="00C71F7B">
        <w:rPr>
          <w:lang w:val="pl-PL"/>
        </w:rPr>
        <w:t xml:space="preserve">zarzutu </w:t>
      </w:r>
      <w:r w:rsidRPr="006B794F">
        <w:rPr>
          <w:lang w:val="pl-PL"/>
        </w:rPr>
        <w:t>skargi dotyczące</w:t>
      </w:r>
      <w:r w:rsidR="00C71F7B">
        <w:rPr>
          <w:lang w:val="pl-PL"/>
        </w:rPr>
        <w:t>go</w:t>
      </w:r>
      <w:r w:rsidRPr="006B794F">
        <w:rPr>
          <w:lang w:val="pl-PL"/>
        </w:rPr>
        <w:t xml:space="preserve"> ochrony dobrego imienia skarżąca powinna była skorzystać z drogi cywilnej, wnosząc do sądu cywilnego powództwo o odszkodowanie.</w:t>
      </w:r>
    </w:p>
    <w:p w14:paraId="09AEBDF3" w14:textId="0390BA67" w:rsidR="00CC1663" w:rsidRPr="006B794F" w:rsidRDefault="00D86122" w:rsidP="00695BDC">
      <w:pPr>
        <w:pStyle w:val="JuPara"/>
        <w:rPr>
          <w:lang w:val="pl-PL"/>
        </w:rPr>
      </w:pPr>
      <w:r w:rsidRPr="006B794F">
        <w:rPr>
          <w:noProof/>
          <w:lang w:val="pl-PL"/>
        </w:rPr>
        <w:t>109</w:t>
      </w:r>
      <w:r w:rsidRPr="006B794F">
        <w:rPr>
          <w:lang w:val="pl-PL"/>
        </w:rPr>
        <w:t>.</w:t>
      </w:r>
      <w:r w:rsidR="006C2A0A" w:rsidRPr="006B794F">
        <w:rPr>
          <w:lang w:val="pl-PL"/>
        </w:rPr>
        <w:t xml:space="preserve"> </w:t>
      </w:r>
      <w:r w:rsidRPr="006B794F">
        <w:rPr>
          <w:lang w:val="pl-PL"/>
        </w:rPr>
        <w:t>W związku z tym Trybunał przyjmuje za</w:t>
      </w:r>
      <w:r w:rsidR="00456CA3">
        <w:rPr>
          <w:lang w:val="pl-PL"/>
        </w:rPr>
        <w:t>strzeżenie</w:t>
      </w:r>
      <w:r w:rsidRPr="006B794F">
        <w:rPr>
          <w:lang w:val="pl-PL"/>
        </w:rPr>
        <w:t xml:space="preserve"> Rządu dotycząc</w:t>
      </w:r>
      <w:r w:rsidR="00456CA3">
        <w:rPr>
          <w:lang w:val="pl-PL"/>
        </w:rPr>
        <w:t>e</w:t>
      </w:r>
      <w:r w:rsidRPr="006B794F">
        <w:rPr>
          <w:lang w:val="pl-PL"/>
        </w:rPr>
        <w:t xml:space="preserve"> niewyczerpania krajowych środków odwoławczych i uznaje, że </w:t>
      </w:r>
      <w:r w:rsidR="00456CA3">
        <w:rPr>
          <w:lang w:val="pl-PL"/>
        </w:rPr>
        <w:t xml:space="preserve">ten zarzut </w:t>
      </w:r>
      <w:r w:rsidRPr="006B794F">
        <w:rPr>
          <w:lang w:val="pl-PL"/>
        </w:rPr>
        <w:t>skarg</w:t>
      </w:r>
      <w:r w:rsidR="00456CA3">
        <w:rPr>
          <w:lang w:val="pl-PL"/>
        </w:rPr>
        <w:t>i</w:t>
      </w:r>
      <w:r w:rsidRPr="006B794F">
        <w:rPr>
          <w:lang w:val="pl-PL"/>
        </w:rPr>
        <w:t xml:space="preserve"> musi zostać odrzucon</w:t>
      </w:r>
      <w:r w:rsidR="00456CA3">
        <w:rPr>
          <w:lang w:val="pl-PL"/>
        </w:rPr>
        <w:t>y</w:t>
      </w:r>
      <w:r w:rsidRPr="006B794F">
        <w:rPr>
          <w:lang w:val="pl-PL"/>
        </w:rPr>
        <w:t xml:space="preserve"> na podstawie art. 35 </w:t>
      </w:r>
      <w:r w:rsidR="0055094D" w:rsidRPr="006B794F">
        <w:rPr>
          <w:lang w:val="pl-PL"/>
        </w:rPr>
        <w:t>ust.</w:t>
      </w:r>
      <w:r w:rsidRPr="006B794F">
        <w:rPr>
          <w:lang w:val="pl-PL"/>
        </w:rPr>
        <w:t xml:space="preserve"> 4 Konwencji.</w:t>
      </w:r>
    </w:p>
    <w:p w14:paraId="0FB9D8AA" w14:textId="7F2B41E5" w:rsidR="00CC1663" w:rsidRPr="006B794F" w:rsidRDefault="00BE2B80" w:rsidP="00695BDC">
      <w:pPr>
        <w:pStyle w:val="JuHIRoman"/>
        <w:rPr>
          <w:lang w:val="pl-PL"/>
        </w:rPr>
      </w:pPr>
      <w:r w:rsidRPr="006B794F">
        <w:rPr>
          <w:bCs w:val="0"/>
          <w:lang w:val="pl-PL"/>
        </w:rPr>
        <w:t xml:space="preserve">ZASTOSOWANIE </w:t>
      </w:r>
      <w:r w:rsidR="002A440F" w:rsidRPr="006B794F">
        <w:rPr>
          <w:bCs w:val="0"/>
          <w:lang w:val="pl-PL"/>
        </w:rPr>
        <w:t>ART.</w:t>
      </w:r>
      <w:r w:rsidRPr="006B794F">
        <w:rPr>
          <w:bCs w:val="0"/>
          <w:lang w:val="pl-PL"/>
        </w:rPr>
        <w:t xml:space="preserve"> 41 KONWENCJI</w:t>
      </w:r>
    </w:p>
    <w:p w14:paraId="67B9ACE0" w14:textId="2C60E84D" w:rsidR="00CC1663" w:rsidRPr="006B794F" w:rsidRDefault="00D86122" w:rsidP="00695BDC">
      <w:pPr>
        <w:pStyle w:val="JuPara"/>
        <w:rPr>
          <w:lang w:val="pl-PL"/>
        </w:rPr>
      </w:pPr>
      <w:r w:rsidRPr="006B794F">
        <w:rPr>
          <w:noProof/>
          <w:lang w:val="pl-PL"/>
        </w:rPr>
        <w:t>110</w:t>
      </w:r>
      <w:r w:rsidRPr="006B794F">
        <w:rPr>
          <w:lang w:val="pl-PL"/>
        </w:rPr>
        <w:t>.</w:t>
      </w:r>
      <w:r w:rsidR="006C2A0A" w:rsidRPr="006B794F">
        <w:rPr>
          <w:lang w:val="pl-PL"/>
        </w:rPr>
        <w:t xml:space="preserve"> </w:t>
      </w:r>
      <w:r w:rsidRPr="006B794F">
        <w:rPr>
          <w:lang w:val="pl-PL"/>
        </w:rPr>
        <w:t>Zgodnie z art. 41 Konwencji:</w:t>
      </w:r>
    </w:p>
    <w:p w14:paraId="5929F347" w14:textId="082B9287" w:rsidR="00CC1663" w:rsidRPr="006B794F" w:rsidRDefault="002C3FC1" w:rsidP="00695BDC">
      <w:pPr>
        <w:pStyle w:val="JuQuot"/>
        <w:rPr>
          <w:lang w:val="pl-PL"/>
        </w:rPr>
      </w:pPr>
      <w:r>
        <w:rPr>
          <w:lang w:val="pl-PL"/>
        </w:rPr>
        <w:t>„</w:t>
      </w:r>
      <w:r w:rsidR="00AF6066" w:rsidRPr="006B794F">
        <w:rPr>
          <w:lang w:val="pl-PL"/>
        </w:rPr>
        <w:t xml:space="preserve">Jeśli Trybunał stwierdzi, że nastąpiło naruszenie Konwencji lub jej </w:t>
      </w:r>
      <w:r w:rsidR="003363AE" w:rsidRPr="006B794F">
        <w:rPr>
          <w:lang w:val="pl-PL"/>
        </w:rPr>
        <w:t>Protokołów</w:t>
      </w:r>
      <w:r w:rsidR="00AF6066" w:rsidRPr="006B794F">
        <w:rPr>
          <w:lang w:val="pl-PL"/>
        </w:rPr>
        <w:t>, oraz</w:t>
      </w:r>
      <w:r w:rsidR="00D4376C" w:rsidRPr="006B794F">
        <w:rPr>
          <w:lang w:val="pl-PL"/>
        </w:rPr>
        <w:t> </w:t>
      </w:r>
      <w:r w:rsidR="00AF6066" w:rsidRPr="006B794F">
        <w:rPr>
          <w:lang w:val="pl-PL"/>
        </w:rPr>
        <w:t>jeśli prawo wewnętrzne zainteresowanej Wysokiej Układającej się Strony pozwala tylko na częściowe usunięcie konsekwencji tego naruszenia, Trybunał orzeka, gdy</w:t>
      </w:r>
      <w:r w:rsidR="00D4376C" w:rsidRPr="006B794F">
        <w:rPr>
          <w:lang w:val="pl-PL"/>
        </w:rPr>
        <w:t> </w:t>
      </w:r>
      <w:r w:rsidR="00AF6066" w:rsidRPr="006B794F">
        <w:rPr>
          <w:lang w:val="pl-PL"/>
        </w:rPr>
        <w:t>zachodzi potrzeba, słuszne zadośćuczynienie pokrzywdzonej stronie</w:t>
      </w:r>
      <w:r>
        <w:rPr>
          <w:lang w:val="pl-PL"/>
        </w:rPr>
        <w:t>”</w:t>
      </w:r>
      <w:r w:rsidR="00AF6066" w:rsidRPr="006B794F">
        <w:rPr>
          <w:lang w:val="pl-PL"/>
        </w:rPr>
        <w:t>.</w:t>
      </w:r>
    </w:p>
    <w:p w14:paraId="3966C5D5" w14:textId="77777777" w:rsidR="00CC1663" w:rsidRPr="006B794F" w:rsidRDefault="00000000" w:rsidP="00695BDC">
      <w:pPr>
        <w:pStyle w:val="JuHA"/>
        <w:rPr>
          <w:lang w:val="pl-PL"/>
        </w:rPr>
      </w:pPr>
      <w:r w:rsidRPr="006B794F">
        <w:rPr>
          <w:lang w:val="pl-PL"/>
        </w:rPr>
        <w:t>Szkody</w:t>
      </w:r>
    </w:p>
    <w:p w14:paraId="36C04A74" w14:textId="40164A74" w:rsidR="00CC1663" w:rsidRPr="006B794F" w:rsidRDefault="00D86122" w:rsidP="00695BDC">
      <w:pPr>
        <w:pStyle w:val="JuPara"/>
        <w:rPr>
          <w:lang w:val="pl-PL"/>
        </w:rPr>
      </w:pPr>
      <w:r w:rsidRPr="006B794F">
        <w:rPr>
          <w:noProof/>
          <w:lang w:val="pl-PL"/>
        </w:rPr>
        <w:t>111</w:t>
      </w:r>
      <w:r w:rsidRPr="006B794F">
        <w:rPr>
          <w:lang w:val="pl-PL"/>
        </w:rPr>
        <w:t>.</w:t>
      </w:r>
      <w:r w:rsidR="006C2A0A" w:rsidRPr="006B794F">
        <w:rPr>
          <w:lang w:val="pl-PL"/>
        </w:rPr>
        <w:t xml:space="preserve"> </w:t>
      </w:r>
      <w:r w:rsidRPr="006B794F">
        <w:rPr>
          <w:lang w:val="pl-PL"/>
        </w:rPr>
        <w:t>Skarżąca domaga się 100</w:t>
      </w:r>
      <w:r w:rsidR="00E14135" w:rsidRPr="006B794F">
        <w:rPr>
          <w:lang w:val="pl-PL"/>
        </w:rPr>
        <w:t xml:space="preserve"> </w:t>
      </w:r>
      <w:r w:rsidRPr="006B794F">
        <w:rPr>
          <w:lang w:val="pl-PL"/>
        </w:rPr>
        <w:t>000 EUR tytułem zadośćuczynienia za</w:t>
      </w:r>
      <w:r w:rsidR="00D4376C" w:rsidRPr="006B794F">
        <w:rPr>
          <w:lang w:val="pl-PL"/>
        </w:rPr>
        <w:t> </w:t>
      </w:r>
      <w:r w:rsidRPr="006B794F">
        <w:rPr>
          <w:lang w:val="pl-PL"/>
        </w:rPr>
        <w:t>szkodę moralną, której jej zdaniem doznała w wyniku wszystkich uchybień, na które powołuje się w niniejszej sprawie, a które zdaniem skarżącej naruszyły toczące się przeciwko niej postępowanie dyscyplinarne i</w:t>
      </w:r>
      <w:r w:rsidR="00D4376C" w:rsidRPr="006B794F">
        <w:rPr>
          <w:lang w:val="pl-PL"/>
        </w:rPr>
        <w:t> </w:t>
      </w:r>
      <w:r w:rsidRPr="006B794F">
        <w:rPr>
          <w:lang w:val="pl-PL"/>
        </w:rPr>
        <w:t>spowodowały poważny uszczerbek na jej integralności moralnej i karierze zawodowej, jak również spowodowały poczucie upokorzenia i głębokie cierpienie. Żąda ona również odszkodowania za poniesioną szkodę materialną, którą szacuje na 698 euro za sześciomiesięczne opóźnienie, jakiego miał się dopuścić sąd apelacyjny w Bukareszcie w wypłacie jej</w:t>
      </w:r>
      <w:r w:rsidR="00D4376C" w:rsidRPr="006B794F">
        <w:rPr>
          <w:lang w:val="pl-PL"/>
        </w:rPr>
        <w:t> </w:t>
      </w:r>
      <w:r w:rsidRPr="006B794F">
        <w:rPr>
          <w:lang w:val="pl-PL"/>
        </w:rPr>
        <w:t>wynagrodzenia oraz 5596 euro za dni urlopu, którego została pozbawiona.</w:t>
      </w:r>
    </w:p>
    <w:p w14:paraId="09F52853" w14:textId="3BB0BFF9" w:rsidR="00CC1663" w:rsidRPr="006B794F" w:rsidRDefault="00D86122" w:rsidP="00695BDC">
      <w:pPr>
        <w:pStyle w:val="JuPara"/>
        <w:rPr>
          <w:lang w:val="pl-PL"/>
        </w:rPr>
      </w:pPr>
      <w:r w:rsidRPr="006B794F">
        <w:rPr>
          <w:lang w:val="pl-PL"/>
        </w:rPr>
        <w:t>112.</w:t>
      </w:r>
      <w:r w:rsidR="006C2A0A" w:rsidRPr="006B794F">
        <w:rPr>
          <w:lang w:val="pl-PL"/>
        </w:rPr>
        <w:t xml:space="preserve"> </w:t>
      </w:r>
      <w:r w:rsidRPr="006B794F">
        <w:rPr>
          <w:lang w:val="pl-PL"/>
        </w:rPr>
        <w:t xml:space="preserve">Rząd uznał, że kwota żądana przez skarżącą za szkodę niemajątkową była nadmierna i uznał, że stwierdzenie naruszenia będzie wystarczającym zadośćuczynieniem w niniejszej sprawie. W odniesieniu do szkody </w:t>
      </w:r>
      <w:r w:rsidRPr="006B794F">
        <w:rPr>
          <w:lang w:val="pl-PL"/>
        </w:rPr>
        <w:lastRenderedPageBreak/>
        <w:t>materialnej zwrócił się do Trybunału o oddalenie roszczeń skarżącej z tego powodu, że po pierwsze, skarżąca zdołała odzyskać wszystkie należne wynagrodzenia, a po drugie, że prawo krajowe i europejskie przewiduje rekompensaty finansowej za niewykorzystany urlop jedynie w przypadku rozwiązania umowy o pracę.</w:t>
      </w:r>
    </w:p>
    <w:p w14:paraId="1D18A603" w14:textId="6D73DEF7" w:rsidR="00CC1663" w:rsidRPr="006B794F" w:rsidRDefault="00D86122" w:rsidP="00695BDC">
      <w:pPr>
        <w:pStyle w:val="JuPara"/>
        <w:rPr>
          <w:lang w:val="pl-PL"/>
        </w:rPr>
      </w:pPr>
      <w:r w:rsidRPr="006B794F">
        <w:rPr>
          <w:lang w:val="pl-PL"/>
        </w:rPr>
        <w:t>113.</w:t>
      </w:r>
      <w:r w:rsidR="006C2A0A" w:rsidRPr="006B794F">
        <w:rPr>
          <w:lang w:val="pl-PL"/>
        </w:rPr>
        <w:t xml:space="preserve"> </w:t>
      </w:r>
      <w:r w:rsidRPr="006B794F">
        <w:rPr>
          <w:lang w:val="pl-PL"/>
        </w:rPr>
        <w:t xml:space="preserve">Trybunał przypomina, że stwierdził jedynie naruszenie </w:t>
      </w:r>
      <w:r w:rsidR="0055094D" w:rsidRPr="006B794F">
        <w:rPr>
          <w:lang w:val="pl-PL"/>
        </w:rPr>
        <w:t>art. 6 ust. 1</w:t>
      </w:r>
      <w:r w:rsidRPr="006B794F">
        <w:rPr>
          <w:lang w:val="pl-PL"/>
        </w:rPr>
        <w:t xml:space="preserve"> Konwencji z uwagi na odmowę prawa do sądu w celu zaskarżenia decyzji o</w:t>
      </w:r>
      <w:r w:rsidR="00D4376C" w:rsidRPr="006B794F">
        <w:rPr>
          <w:lang w:val="pl-PL"/>
        </w:rPr>
        <w:t> </w:t>
      </w:r>
      <w:r w:rsidRPr="006B794F">
        <w:rPr>
          <w:lang w:val="pl-PL"/>
        </w:rPr>
        <w:t>zawieszeniu nałożonej na skarżącą w dniu 21 marca 2017</w:t>
      </w:r>
      <w:r w:rsidR="008D0ECD" w:rsidRPr="006B794F">
        <w:rPr>
          <w:lang w:val="pl-PL"/>
        </w:rPr>
        <w:t xml:space="preserve"> r.</w:t>
      </w:r>
      <w:r w:rsidRPr="006B794F">
        <w:rPr>
          <w:lang w:val="pl-PL"/>
        </w:rPr>
        <w:t xml:space="preserve">. Nie widzi żadnego związku przyczynowo - skutkowego pomiędzy stwierdzonym naruszeniem a </w:t>
      </w:r>
      <w:r w:rsidR="005B4D64" w:rsidRPr="006B794F">
        <w:rPr>
          <w:lang w:val="pl-PL"/>
        </w:rPr>
        <w:t>zarzucan</w:t>
      </w:r>
      <w:r w:rsidRPr="006B794F">
        <w:rPr>
          <w:lang w:val="pl-PL"/>
        </w:rPr>
        <w:t xml:space="preserve">ą szkodą materialną. Dlatego też Sąd oddalił wniosek złożony w tym zakresie. Z drugiej strony uważa, że samo stwierdzenie naruszenia nie stanowi wystarczającego zadośćuczynienia za krzywdę moralną doznaną przez osobę zainteresowaną. Orzekając na zasadzie bezstronności, zgodnie z wymogami </w:t>
      </w:r>
      <w:r w:rsidR="002A440F" w:rsidRPr="006B794F">
        <w:rPr>
          <w:lang w:val="pl-PL"/>
        </w:rPr>
        <w:t>art.</w:t>
      </w:r>
      <w:r w:rsidRPr="006B794F">
        <w:rPr>
          <w:lang w:val="pl-PL"/>
        </w:rPr>
        <w:t xml:space="preserve"> 41 Konwencji, przyznał skarżącej kwotę 6000 euro tytułem szkody niemajątkowej.</w:t>
      </w:r>
    </w:p>
    <w:p w14:paraId="55A57ADC" w14:textId="77777777" w:rsidR="00CC1663" w:rsidRPr="006B794F" w:rsidRDefault="00000000" w:rsidP="00695BDC">
      <w:pPr>
        <w:pStyle w:val="JuHA"/>
        <w:rPr>
          <w:lang w:val="pl-PL"/>
        </w:rPr>
      </w:pPr>
      <w:r w:rsidRPr="006B794F">
        <w:rPr>
          <w:lang w:val="pl-PL"/>
        </w:rPr>
        <w:t>Koszty i wydatki</w:t>
      </w:r>
    </w:p>
    <w:p w14:paraId="4867257C" w14:textId="31494828" w:rsidR="00CC1663" w:rsidRPr="006B794F" w:rsidRDefault="00D86122" w:rsidP="00695BDC">
      <w:pPr>
        <w:pStyle w:val="JuPara"/>
        <w:rPr>
          <w:lang w:val="pl-PL"/>
        </w:rPr>
      </w:pPr>
      <w:r w:rsidRPr="006B794F">
        <w:rPr>
          <w:noProof/>
          <w:lang w:val="pl-PL"/>
        </w:rPr>
        <w:t>114</w:t>
      </w:r>
      <w:r w:rsidRPr="006B794F">
        <w:rPr>
          <w:lang w:val="pl-PL"/>
        </w:rPr>
        <w:t>.</w:t>
      </w:r>
      <w:r w:rsidR="006C2A0A" w:rsidRPr="006B794F">
        <w:rPr>
          <w:lang w:val="pl-PL"/>
        </w:rPr>
        <w:t xml:space="preserve"> </w:t>
      </w:r>
      <w:r w:rsidRPr="006B794F">
        <w:rPr>
          <w:lang w:val="pl-PL"/>
        </w:rPr>
        <w:t>Skarżąca domaga się 6560 euro tytułem kosztów i wydatków poniesionych w postępowaniu przed Trybunałem i wnosi o wypłacenie tej kwoty bezpośrednio na rachunek bankowy jej adwokata.</w:t>
      </w:r>
    </w:p>
    <w:p w14:paraId="3815DE8A" w14:textId="2ADF3D7F" w:rsidR="00CC1663" w:rsidRPr="006B794F" w:rsidRDefault="00D86122" w:rsidP="00695BDC">
      <w:pPr>
        <w:pStyle w:val="JuPara"/>
        <w:rPr>
          <w:lang w:val="pl-PL"/>
        </w:rPr>
      </w:pPr>
      <w:r w:rsidRPr="006B794F">
        <w:rPr>
          <w:lang w:val="pl-PL"/>
        </w:rPr>
        <w:t>115.</w:t>
      </w:r>
      <w:r w:rsidR="006C2A0A" w:rsidRPr="006B794F">
        <w:rPr>
          <w:lang w:val="pl-PL"/>
        </w:rPr>
        <w:t xml:space="preserve"> </w:t>
      </w:r>
      <w:r w:rsidRPr="006B794F">
        <w:rPr>
          <w:lang w:val="pl-PL"/>
        </w:rPr>
        <w:t>Rząd nie sprzeciwia się co do zasady zwrotu kosztów. Wskazuje jednak, że do wniosku skarżącej dołączono jedynie umowę pomiędzy skarżącą a jej adwokatem i uważa, że nie jest to wystarczający dokument potwierdzający.</w:t>
      </w:r>
    </w:p>
    <w:p w14:paraId="3A071B77" w14:textId="3BA3F9E0" w:rsidR="00CC1663" w:rsidRPr="006B794F" w:rsidRDefault="00D86122" w:rsidP="00695BDC">
      <w:pPr>
        <w:pStyle w:val="JuPara"/>
        <w:rPr>
          <w:lang w:val="pl-PL"/>
        </w:rPr>
      </w:pPr>
      <w:r w:rsidRPr="006B794F">
        <w:rPr>
          <w:lang w:val="pl-PL"/>
        </w:rPr>
        <w:t>116.</w:t>
      </w:r>
      <w:r w:rsidR="006C2A0A" w:rsidRPr="006B794F">
        <w:rPr>
          <w:lang w:val="pl-PL"/>
        </w:rPr>
        <w:t xml:space="preserve"> </w:t>
      </w:r>
      <w:r w:rsidRPr="006B794F">
        <w:rPr>
          <w:lang w:val="pl-PL"/>
        </w:rPr>
        <w:t>Zgodnie z orzecznictwem Trybunału, skarżący może uzyskać zwrot poniesionych poprzez siebie kosztów i wydatków tylko w razie ustalenia, iż</w:t>
      </w:r>
      <w:r w:rsidR="00D4376C" w:rsidRPr="006B794F">
        <w:rPr>
          <w:lang w:val="pl-PL"/>
        </w:rPr>
        <w:t> </w:t>
      </w:r>
      <w:r w:rsidRPr="006B794F">
        <w:rPr>
          <w:lang w:val="pl-PL"/>
        </w:rPr>
        <w:t>zostały one naprawdę poniesione, były konieczne, a ich stawka była uzasadniona. Ponadto koszty prawne podlegają zwrotowi jedynie w zakresie, w jakim odnoszą się do stwierdzonego naruszenia. W związku z tym Trybunał zauważa, że</w:t>
      </w:r>
      <w:r w:rsidRPr="006B794F">
        <w:rPr>
          <w:color w:val="000000"/>
          <w:lang w:val="pl-PL"/>
        </w:rPr>
        <w:t xml:space="preserve"> skarżąca </w:t>
      </w:r>
      <w:r w:rsidRPr="006B794F">
        <w:rPr>
          <w:lang w:val="pl-PL"/>
        </w:rPr>
        <w:t>odniosła przed nim sukces jedynie w</w:t>
      </w:r>
      <w:r w:rsidR="00D4376C" w:rsidRPr="006B794F">
        <w:rPr>
          <w:lang w:val="pl-PL"/>
        </w:rPr>
        <w:t> </w:t>
      </w:r>
      <w:r w:rsidRPr="006B794F">
        <w:rPr>
          <w:lang w:val="pl-PL"/>
        </w:rPr>
        <w:t>odniesieniu do części swoich</w:t>
      </w:r>
      <w:r w:rsidR="00E253F9">
        <w:rPr>
          <w:lang w:val="pl-PL"/>
        </w:rPr>
        <w:t xml:space="preserve"> zarzutów</w:t>
      </w:r>
      <w:r w:rsidRPr="006B794F">
        <w:rPr>
          <w:lang w:val="pl-PL"/>
        </w:rPr>
        <w:t xml:space="preserve">, a duża część jej uwag była poświęcona </w:t>
      </w:r>
      <w:r w:rsidR="00E253F9">
        <w:rPr>
          <w:lang w:val="pl-PL"/>
        </w:rPr>
        <w:t>zarzutom</w:t>
      </w:r>
      <w:r w:rsidRPr="006B794F">
        <w:rPr>
          <w:lang w:val="pl-PL"/>
        </w:rPr>
        <w:t xml:space="preserve"> skargi, któr</w:t>
      </w:r>
      <w:r w:rsidR="00E253F9">
        <w:rPr>
          <w:lang w:val="pl-PL"/>
        </w:rPr>
        <w:t>e</w:t>
      </w:r>
      <w:r w:rsidRPr="006B794F">
        <w:rPr>
          <w:lang w:val="pl-PL"/>
        </w:rPr>
        <w:t xml:space="preserve"> został</w:t>
      </w:r>
      <w:r w:rsidR="00E253F9">
        <w:rPr>
          <w:lang w:val="pl-PL"/>
        </w:rPr>
        <w:t>y</w:t>
      </w:r>
      <w:r w:rsidRPr="006B794F">
        <w:rPr>
          <w:lang w:val="pl-PL"/>
        </w:rPr>
        <w:t xml:space="preserve"> uznan</w:t>
      </w:r>
      <w:r w:rsidR="00E253F9">
        <w:rPr>
          <w:lang w:val="pl-PL"/>
        </w:rPr>
        <w:t>e</w:t>
      </w:r>
      <w:r w:rsidRPr="006B794F">
        <w:rPr>
          <w:lang w:val="pl-PL"/>
        </w:rPr>
        <w:t xml:space="preserve"> za niedopuszczaln</w:t>
      </w:r>
      <w:r w:rsidR="00E253F9">
        <w:rPr>
          <w:lang w:val="pl-PL"/>
        </w:rPr>
        <w:t>e</w:t>
      </w:r>
      <w:r w:rsidRPr="006B794F">
        <w:rPr>
          <w:lang w:val="pl-PL"/>
        </w:rPr>
        <w:t>. W</w:t>
      </w:r>
      <w:r w:rsidR="00D350AE">
        <w:rPr>
          <w:lang w:val="pl-PL"/>
        </w:rPr>
        <w:t> </w:t>
      </w:r>
      <w:r w:rsidRPr="006B794F">
        <w:rPr>
          <w:lang w:val="pl-PL"/>
        </w:rPr>
        <w:t xml:space="preserve">takich okolicznościach Trybunał może uznać za stosowne zmniejszenie kwoty, która ma być zasądzona z tytułu kosztów i wydatków </w:t>
      </w:r>
      <w:r w:rsidRPr="00D2471C">
        <w:rPr>
          <w:lang w:val="pl-PL"/>
        </w:rPr>
        <w:t>(</w:t>
      </w:r>
      <w:proofErr w:type="spellStart"/>
      <w:r w:rsidRPr="006B794F">
        <w:rPr>
          <w:i/>
          <w:iCs/>
          <w:lang w:val="pl-PL"/>
        </w:rPr>
        <w:t>Denisov</w:t>
      </w:r>
      <w:proofErr w:type="spellEnd"/>
      <w:r w:rsidRPr="006B794F">
        <w:rPr>
          <w:lang w:val="pl-PL"/>
        </w:rPr>
        <w:t>, cyt.</w:t>
      </w:r>
      <w:r w:rsidR="00D350AE">
        <w:rPr>
          <w:lang w:val="pl-PL"/>
        </w:rPr>
        <w:t> </w:t>
      </w:r>
      <w:r w:rsidRPr="006B794F">
        <w:rPr>
          <w:lang w:val="pl-PL"/>
        </w:rPr>
        <w:t>wyżej, §</w:t>
      </w:r>
      <w:r w:rsidR="00D4376C" w:rsidRPr="006B794F">
        <w:rPr>
          <w:lang w:val="pl-PL"/>
        </w:rPr>
        <w:t> </w:t>
      </w:r>
      <w:r w:rsidRPr="006B794F">
        <w:rPr>
          <w:lang w:val="pl-PL"/>
        </w:rPr>
        <w:t>146).</w:t>
      </w:r>
    </w:p>
    <w:p w14:paraId="3DB57B13" w14:textId="127335EE" w:rsidR="00CC1663" w:rsidRPr="006B794F" w:rsidRDefault="00D86122" w:rsidP="00695BDC">
      <w:pPr>
        <w:pStyle w:val="JuPara"/>
        <w:rPr>
          <w:lang w:val="pl-PL"/>
        </w:rPr>
      </w:pPr>
      <w:r w:rsidRPr="006B794F">
        <w:rPr>
          <w:noProof/>
          <w:lang w:val="pl-PL"/>
        </w:rPr>
        <w:t>117</w:t>
      </w:r>
      <w:r w:rsidRPr="006B794F">
        <w:rPr>
          <w:lang w:val="pl-PL"/>
        </w:rPr>
        <w:t>.</w:t>
      </w:r>
      <w:r w:rsidR="006C2A0A" w:rsidRPr="006B794F">
        <w:rPr>
          <w:lang w:val="pl-PL"/>
        </w:rPr>
        <w:t xml:space="preserve"> </w:t>
      </w:r>
      <w:r w:rsidRPr="006B794F">
        <w:rPr>
          <w:lang w:val="pl-PL"/>
        </w:rPr>
        <w:t>W świetle powyższego, a także biorąc pod uwagę przedłożone dokumenty oraz kryteria przedstawione powyżej, Trybunał uznaje za zasadne zasądzenie kwoty 2000 euro</w:t>
      </w:r>
      <w:r w:rsidR="00865AF5">
        <w:rPr>
          <w:lang w:val="pl-PL"/>
        </w:rPr>
        <w:t>, tytułem</w:t>
      </w:r>
      <w:r w:rsidRPr="006B794F">
        <w:rPr>
          <w:lang w:val="pl-PL"/>
        </w:rPr>
        <w:t xml:space="preserve"> wszystkich kosztów, za postępowanie przed nim. Zgodnie z wnioskiem, zasądzona kwota powinna zostać wpłacona bezpośrednio na rachunek bankowy wskazany przez p</w:t>
      </w:r>
      <w:r w:rsidR="00B1033E" w:rsidRPr="006B794F">
        <w:rPr>
          <w:lang w:val="pl-PL"/>
        </w:rPr>
        <w:t>ełnomocniczkę</w:t>
      </w:r>
      <w:r w:rsidRPr="006B794F">
        <w:rPr>
          <w:lang w:val="pl-PL"/>
        </w:rPr>
        <w:t xml:space="preserve"> skarżącej (zob. np. </w:t>
      </w:r>
      <w:r w:rsidRPr="006B794F">
        <w:rPr>
          <w:i/>
          <w:iCs/>
          <w:lang w:val="pl-PL"/>
        </w:rPr>
        <w:t xml:space="preserve">Khlaifia i inni przeciwko Włochom </w:t>
      </w:r>
      <w:r w:rsidRPr="006B794F">
        <w:rPr>
          <w:lang w:val="pl-PL"/>
        </w:rPr>
        <w:t>[Wielka Izba],</w:t>
      </w:r>
      <w:r w:rsidRPr="006B794F">
        <w:rPr>
          <w:vertAlign w:val="superscript"/>
          <w:lang w:val="pl-PL"/>
        </w:rPr>
        <w:t xml:space="preserve"> </w:t>
      </w:r>
      <w:r w:rsidRPr="006B794F">
        <w:rPr>
          <w:lang w:val="pl-PL"/>
        </w:rPr>
        <w:t>nr</w:t>
      </w:r>
      <w:r w:rsidR="00D4376C" w:rsidRPr="006B794F">
        <w:rPr>
          <w:lang w:val="pl-PL"/>
        </w:rPr>
        <w:t> </w:t>
      </w:r>
      <w:r w:rsidRPr="006B794F">
        <w:rPr>
          <w:lang w:val="pl-PL"/>
        </w:rPr>
        <w:t>16483/12, § 288, 15 grudnia 2016 r.).</w:t>
      </w:r>
    </w:p>
    <w:p w14:paraId="763F4F62" w14:textId="77777777" w:rsidR="00CC1663" w:rsidRPr="006B794F" w:rsidRDefault="00000000" w:rsidP="00695BDC">
      <w:pPr>
        <w:pStyle w:val="JuHA"/>
        <w:rPr>
          <w:lang w:val="pl-PL"/>
        </w:rPr>
      </w:pPr>
      <w:r w:rsidRPr="006B794F">
        <w:rPr>
          <w:lang w:val="pl-PL"/>
        </w:rPr>
        <w:lastRenderedPageBreak/>
        <w:t>Odsetki za zwłokę</w:t>
      </w:r>
    </w:p>
    <w:p w14:paraId="75D54761" w14:textId="71DDACC5" w:rsidR="00CC1663" w:rsidRPr="006B794F" w:rsidRDefault="00D86122" w:rsidP="00695BDC">
      <w:pPr>
        <w:pStyle w:val="JuPara"/>
        <w:rPr>
          <w:lang w:val="pl-PL"/>
        </w:rPr>
      </w:pPr>
      <w:r w:rsidRPr="006B794F">
        <w:rPr>
          <w:noProof/>
          <w:lang w:val="pl-PL"/>
        </w:rPr>
        <w:t>118</w:t>
      </w:r>
      <w:r w:rsidRPr="006B794F">
        <w:rPr>
          <w:lang w:val="pl-PL"/>
        </w:rPr>
        <w:t>.</w:t>
      </w:r>
      <w:r w:rsidR="006C2A0A" w:rsidRPr="006B794F">
        <w:rPr>
          <w:lang w:val="pl-PL"/>
        </w:rPr>
        <w:t xml:space="preserve"> </w:t>
      </w:r>
      <w:r w:rsidRPr="006B794F">
        <w:rPr>
          <w:lang w:val="pl-PL"/>
        </w:rPr>
        <w:t>Trybunał uważa za właściwe oparcie stopy odsetek za zwłokę na</w:t>
      </w:r>
      <w:r w:rsidR="00D4376C" w:rsidRPr="006B794F">
        <w:rPr>
          <w:lang w:val="pl-PL"/>
        </w:rPr>
        <w:t> </w:t>
      </w:r>
      <w:r w:rsidRPr="006B794F">
        <w:rPr>
          <w:lang w:val="pl-PL"/>
        </w:rPr>
        <w:t>stopie procentowej kredytu marginalnego Europejskiego Banku Centralnego powiększonej o trzy punkty procentowe.</w:t>
      </w:r>
    </w:p>
    <w:p w14:paraId="122039EB" w14:textId="77777777" w:rsidR="00CC1663" w:rsidRPr="006B794F" w:rsidRDefault="00000000" w:rsidP="00695BDC">
      <w:pPr>
        <w:pStyle w:val="JuHHead"/>
        <w:rPr>
          <w:lang w:val="pl-PL"/>
        </w:rPr>
      </w:pPr>
      <w:r w:rsidRPr="006B794F">
        <w:rPr>
          <w:lang w:val="pl-PL"/>
        </w:rPr>
        <w:t>Z TYCH WZGLĘDÓW TRYBUNAŁ</w:t>
      </w:r>
    </w:p>
    <w:p w14:paraId="795AB293" w14:textId="2D17CC3E" w:rsidR="00CC1663" w:rsidRPr="006B794F" w:rsidRDefault="00D86122" w:rsidP="00695BDC">
      <w:pPr>
        <w:pStyle w:val="JuList"/>
        <w:rPr>
          <w:lang w:val="pl-PL"/>
        </w:rPr>
      </w:pPr>
      <w:r w:rsidRPr="006B794F">
        <w:rPr>
          <w:i/>
          <w:iCs/>
          <w:lang w:val="pl-PL"/>
        </w:rPr>
        <w:t xml:space="preserve">Dołącza </w:t>
      </w:r>
      <w:r w:rsidRPr="006B794F">
        <w:rPr>
          <w:lang w:val="pl-PL"/>
        </w:rPr>
        <w:t>do przedmiotu skargi,</w:t>
      </w:r>
      <w:r w:rsidRPr="006B794F">
        <w:rPr>
          <w:i/>
          <w:iCs/>
          <w:lang w:val="pl-PL"/>
        </w:rPr>
        <w:t xml:space="preserve"> </w:t>
      </w:r>
      <w:r w:rsidRPr="006B794F">
        <w:rPr>
          <w:lang w:val="pl-PL"/>
        </w:rPr>
        <w:t>większością głosów, zastrzeżenie wstępne Rządu dotyczące niewyczerpania krajowych środków odwoławczych i</w:t>
      </w:r>
      <w:r w:rsidR="00D4376C" w:rsidRPr="006B794F">
        <w:rPr>
          <w:lang w:val="pl-PL"/>
        </w:rPr>
        <w:t> </w:t>
      </w:r>
      <w:r w:rsidRPr="006B794F">
        <w:rPr>
          <w:i/>
          <w:iCs/>
          <w:lang w:val="pl-PL"/>
        </w:rPr>
        <w:t xml:space="preserve">oddala </w:t>
      </w:r>
      <w:r w:rsidRPr="006B794F">
        <w:rPr>
          <w:lang w:val="pl-PL"/>
        </w:rPr>
        <w:t>je;</w:t>
      </w:r>
    </w:p>
    <w:p w14:paraId="2781B92D" w14:textId="658B665F" w:rsidR="00CC1663" w:rsidRPr="006B794F" w:rsidRDefault="00000000" w:rsidP="00695BDC">
      <w:pPr>
        <w:pStyle w:val="JuList"/>
        <w:rPr>
          <w:lang w:val="pl-PL"/>
        </w:rPr>
      </w:pPr>
      <w:r w:rsidRPr="006B794F">
        <w:rPr>
          <w:i/>
          <w:iCs/>
          <w:lang w:val="pl-PL"/>
        </w:rPr>
        <w:t xml:space="preserve">Uznaje, </w:t>
      </w:r>
      <w:r w:rsidRPr="006B794F">
        <w:rPr>
          <w:lang w:val="pl-PL"/>
        </w:rPr>
        <w:t>większością głosów</w:t>
      </w:r>
      <w:r w:rsidRPr="006B794F">
        <w:rPr>
          <w:i/>
          <w:iCs/>
          <w:lang w:val="pl-PL"/>
        </w:rPr>
        <w:t xml:space="preserve">, </w:t>
      </w:r>
      <w:r w:rsidR="00E253F9">
        <w:rPr>
          <w:lang w:val="pl-PL"/>
        </w:rPr>
        <w:t xml:space="preserve">zarzut </w:t>
      </w:r>
      <w:r w:rsidRPr="006B794F">
        <w:rPr>
          <w:lang w:val="pl-PL"/>
        </w:rPr>
        <w:t>skarg</w:t>
      </w:r>
      <w:r w:rsidR="00E253F9">
        <w:rPr>
          <w:lang w:val="pl-PL"/>
        </w:rPr>
        <w:t>i</w:t>
      </w:r>
      <w:r w:rsidRPr="006B794F">
        <w:rPr>
          <w:lang w:val="pl-PL"/>
        </w:rPr>
        <w:t xml:space="preserve"> dotycząc</w:t>
      </w:r>
      <w:r w:rsidR="00E253F9">
        <w:rPr>
          <w:lang w:val="pl-PL"/>
        </w:rPr>
        <w:t>y</w:t>
      </w:r>
      <w:r w:rsidRPr="006B794F">
        <w:rPr>
          <w:lang w:val="pl-PL"/>
        </w:rPr>
        <w:t xml:space="preserve"> prawa do sądu za</w:t>
      </w:r>
      <w:r w:rsidR="00D4376C" w:rsidRPr="006B794F">
        <w:rPr>
          <w:lang w:val="pl-PL"/>
        </w:rPr>
        <w:t> </w:t>
      </w:r>
      <w:r w:rsidRPr="006B794F">
        <w:rPr>
          <w:lang w:val="pl-PL"/>
        </w:rPr>
        <w:t>dopuszczaln</w:t>
      </w:r>
      <w:r w:rsidR="00E253F9">
        <w:rPr>
          <w:lang w:val="pl-PL"/>
        </w:rPr>
        <w:t>y</w:t>
      </w:r>
      <w:r w:rsidRPr="006B794F">
        <w:rPr>
          <w:lang w:val="pl-PL"/>
        </w:rPr>
        <w:t>;</w:t>
      </w:r>
    </w:p>
    <w:p w14:paraId="36A9ABEB" w14:textId="77777777" w:rsidR="00CC1663" w:rsidRPr="006B794F" w:rsidRDefault="00000000" w:rsidP="00695BDC">
      <w:pPr>
        <w:pStyle w:val="JuList"/>
        <w:rPr>
          <w:lang w:val="pl-PL"/>
        </w:rPr>
      </w:pPr>
      <w:r w:rsidRPr="006B794F">
        <w:rPr>
          <w:lang w:val="pl-PL"/>
        </w:rPr>
        <w:t>Jedno</w:t>
      </w:r>
      <w:r w:rsidR="00D83E81" w:rsidRPr="006B794F">
        <w:rPr>
          <w:lang w:val="pl-PL"/>
        </w:rPr>
        <w:t>głośnie</w:t>
      </w:r>
      <w:r w:rsidRPr="006B794F">
        <w:rPr>
          <w:lang w:val="pl-PL"/>
        </w:rPr>
        <w:t xml:space="preserve"> </w:t>
      </w:r>
      <w:r w:rsidRPr="006B794F">
        <w:rPr>
          <w:i/>
          <w:iCs/>
          <w:lang w:val="pl-PL"/>
        </w:rPr>
        <w:t>stwierdza</w:t>
      </w:r>
      <w:r w:rsidRPr="006B794F">
        <w:rPr>
          <w:lang w:val="pl-PL"/>
        </w:rPr>
        <w:t xml:space="preserve"> niedopuszczalność pozostałej części skargi;</w:t>
      </w:r>
    </w:p>
    <w:p w14:paraId="26353588" w14:textId="5ADB1414" w:rsidR="00CC1663" w:rsidRPr="006B794F" w:rsidRDefault="00000000" w:rsidP="00695BDC">
      <w:pPr>
        <w:pStyle w:val="JuList"/>
        <w:rPr>
          <w:lang w:val="pl-PL"/>
        </w:rPr>
      </w:pPr>
      <w:r w:rsidRPr="006B794F">
        <w:rPr>
          <w:i/>
          <w:iCs/>
          <w:lang w:val="pl-PL"/>
        </w:rPr>
        <w:t>Stwierdza</w:t>
      </w:r>
      <w:r w:rsidR="006F3AC7" w:rsidRPr="006B794F">
        <w:rPr>
          <w:i/>
          <w:iCs/>
          <w:lang w:val="pl-PL"/>
        </w:rPr>
        <w:t>,</w:t>
      </w:r>
      <w:r w:rsidRPr="006B794F">
        <w:rPr>
          <w:lang w:val="pl-PL"/>
        </w:rPr>
        <w:t xml:space="preserve"> sześcioma głosami do jednego, że nastąpiło naruszenie </w:t>
      </w:r>
      <w:r w:rsidR="0055094D" w:rsidRPr="006B794F">
        <w:rPr>
          <w:lang w:val="pl-PL"/>
        </w:rPr>
        <w:t>art. 6 ust. 1</w:t>
      </w:r>
      <w:r w:rsidRPr="006B794F">
        <w:rPr>
          <w:lang w:val="pl-PL"/>
        </w:rPr>
        <w:t xml:space="preserve"> Konwencji;</w:t>
      </w:r>
    </w:p>
    <w:p w14:paraId="6253701B" w14:textId="77777777" w:rsidR="00CC1663" w:rsidRPr="006B794F" w:rsidRDefault="00000000" w:rsidP="00695BDC">
      <w:pPr>
        <w:pStyle w:val="JuList"/>
        <w:rPr>
          <w:lang w:val="pl-PL"/>
        </w:rPr>
      </w:pPr>
      <w:r w:rsidRPr="006B794F">
        <w:rPr>
          <w:i/>
          <w:iCs/>
          <w:lang w:val="pl-PL"/>
        </w:rPr>
        <w:t>Stwierdza</w:t>
      </w:r>
      <w:r w:rsidRPr="006B794F">
        <w:rPr>
          <w:lang w:val="pl-PL"/>
        </w:rPr>
        <w:t>, sześcioma głosami do jednego,</w:t>
      </w:r>
    </w:p>
    <w:p w14:paraId="3600A383" w14:textId="23AE6A3B" w:rsidR="00CC1663" w:rsidRPr="006B794F" w:rsidRDefault="00000000" w:rsidP="00695BDC">
      <w:pPr>
        <w:pStyle w:val="JuLista"/>
        <w:rPr>
          <w:lang w:val="pl-PL"/>
        </w:rPr>
      </w:pPr>
      <w:r w:rsidRPr="006B794F">
        <w:rPr>
          <w:lang w:val="pl-PL"/>
        </w:rPr>
        <w:t xml:space="preserve">że pozwane Państwo </w:t>
      </w:r>
      <w:r w:rsidR="00C54413" w:rsidRPr="006B794F">
        <w:rPr>
          <w:lang w:val="pl-PL"/>
        </w:rPr>
        <w:t xml:space="preserve">powinno </w:t>
      </w:r>
      <w:r w:rsidRPr="006B794F">
        <w:rPr>
          <w:lang w:val="pl-PL"/>
        </w:rPr>
        <w:t>zapłaci</w:t>
      </w:r>
      <w:r w:rsidR="00C54413" w:rsidRPr="006B794F">
        <w:rPr>
          <w:lang w:val="pl-PL"/>
        </w:rPr>
        <w:t>ć</w:t>
      </w:r>
      <w:r w:rsidRPr="006B794F">
        <w:rPr>
          <w:lang w:val="pl-PL"/>
        </w:rPr>
        <w:t>, w ciągu trzech miesięcy od</w:t>
      </w:r>
      <w:r w:rsidR="00D4376C" w:rsidRPr="006B794F">
        <w:rPr>
          <w:lang w:val="pl-PL"/>
        </w:rPr>
        <w:t> </w:t>
      </w:r>
      <w:r w:rsidRPr="006B794F">
        <w:rPr>
          <w:lang w:val="pl-PL"/>
        </w:rPr>
        <w:t xml:space="preserve">dnia, w którym wyrok stanie się ostateczny zgodnie z </w:t>
      </w:r>
      <w:r w:rsidR="002A440F" w:rsidRPr="006B794F">
        <w:rPr>
          <w:lang w:val="pl-PL"/>
        </w:rPr>
        <w:t>art.</w:t>
      </w:r>
      <w:r w:rsidRPr="006B794F">
        <w:rPr>
          <w:lang w:val="pl-PL"/>
        </w:rPr>
        <w:t xml:space="preserve"> 44 </w:t>
      </w:r>
      <w:r w:rsidR="0055094D" w:rsidRPr="006B794F">
        <w:rPr>
          <w:lang w:val="pl-PL"/>
        </w:rPr>
        <w:t>ust.</w:t>
      </w:r>
      <w:r w:rsidRPr="006B794F">
        <w:rPr>
          <w:lang w:val="pl-PL"/>
        </w:rPr>
        <w:t xml:space="preserve"> 2 Konwencji, następujące kwoty, które zostaną przeliczone na walutę pozwanego Państwa</w:t>
      </w:r>
      <w:r w:rsidRPr="006B794F">
        <w:rPr>
          <w:b/>
          <w:bCs/>
          <w:lang w:val="pl-PL"/>
        </w:rPr>
        <w:t xml:space="preserve"> </w:t>
      </w:r>
      <w:r w:rsidRPr="006B794F">
        <w:rPr>
          <w:lang w:val="pl-PL"/>
        </w:rPr>
        <w:t>po kursie obowiązującym w dniu zapłaty zasądzonej kwoty:</w:t>
      </w:r>
    </w:p>
    <w:p w14:paraId="518D9B0D" w14:textId="11E33CE1" w:rsidR="00CC1663" w:rsidRPr="006B794F" w:rsidRDefault="00000000" w:rsidP="00695BDC">
      <w:pPr>
        <w:pStyle w:val="JuListi"/>
        <w:rPr>
          <w:lang w:val="pl-PL"/>
        </w:rPr>
      </w:pPr>
      <w:r w:rsidRPr="006B794F">
        <w:rPr>
          <w:lang w:val="pl-PL"/>
        </w:rPr>
        <w:t xml:space="preserve">6000 EUR (sześć tysięcy euro) na rachunek bankowy skarżącej, </w:t>
      </w:r>
      <w:r w:rsidR="00D634A0">
        <w:rPr>
          <w:lang w:val="pl-PL"/>
        </w:rPr>
        <w:t xml:space="preserve">powiększoną o </w:t>
      </w:r>
      <w:r w:rsidRPr="006B794F">
        <w:rPr>
          <w:lang w:val="pl-PL"/>
        </w:rPr>
        <w:t xml:space="preserve">wszelkie kwoty, które mogą być należne od tej sumy jako podatek, </w:t>
      </w:r>
      <w:r w:rsidR="00C91F9D">
        <w:rPr>
          <w:lang w:val="pl-PL"/>
        </w:rPr>
        <w:t xml:space="preserve">tytułem </w:t>
      </w:r>
      <w:r w:rsidRPr="006B794F">
        <w:rPr>
          <w:lang w:val="pl-PL"/>
        </w:rPr>
        <w:t>krzywd</w:t>
      </w:r>
      <w:r w:rsidR="00C91F9D">
        <w:rPr>
          <w:lang w:val="pl-PL"/>
        </w:rPr>
        <w:t>y</w:t>
      </w:r>
      <w:r w:rsidRPr="006B794F">
        <w:rPr>
          <w:lang w:val="pl-PL"/>
        </w:rPr>
        <w:t xml:space="preserve"> moraln</w:t>
      </w:r>
      <w:r w:rsidR="00C91F9D">
        <w:rPr>
          <w:lang w:val="pl-PL"/>
        </w:rPr>
        <w:t>ej</w:t>
      </w:r>
      <w:r w:rsidRPr="006B794F">
        <w:rPr>
          <w:lang w:val="pl-PL"/>
        </w:rPr>
        <w:t>,</w:t>
      </w:r>
    </w:p>
    <w:p w14:paraId="40821FFC" w14:textId="1D40F03B" w:rsidR="00CC1663" w:rsidRPr="006B794F" w:rsidRDefault="00000000" w:rsidP="00695BDC">
      <w:pPr>
        <w:pStyle w:val="JuListi"/>
        <w:rPr>
          <w:lang w:val="pl-PL"/>
        </w:rPr>
      </w:pPr>
      <w:r w:rsidRPr="006B794F">
        <w:rPr>
          <w:lang w:val="pl-PL"/>
        </w:rPr>
        <w:t>2000 EUR (dwa tysiące euro) na rachunek bankowy p</w:t>
      </w:r>
      <w:r w:rsidR="0054748E" w:rsidRPr="006B794F">
        <w:rPr>
          <w:lang w:val="pl-PL"/>
        </w:rPr>
        <w:t>ełnomocnika</w:t>
      </w:r>
      <w:r w:rsidRPr="006B794F">
        <w:rPr>
          <w:lang w:val="pl-PL"/>
        </w:rPr>
        <w:t xml:space="preserve"> skarżącej, powiększon</w:t>
      </w:r>
      <w:r w:rsidR="00D634A0">
        <w:rPr>
          <w:lang w:val="pl-PL"/>
        </w:rPr>
        <w:t>ą</w:t>
      </w:r>
      <w:r w:rsidRPr="006B794F">
        <w:rPr>
          <w:lang w:val="pl-PL"/>
        </w:rPr>
        <w:t xml:space="preserve"> o kwotę, która może być należna </w:t>
      </w:r>
      <w:r w:rsidR="00EB1CE2" w:rsidRPr="006B794F">
        <w:rPr>
          <w:lang w:val="pl-PL"/>
        </w:rPr>
        <w:t>od</w:t>
      </w:r>
      <w:r w:rsidR="00E473B2">
        <w:rPr>
          <w:lang w:val="pl-PL"/>
        </w:rPr>
        <w:t> </w:t>
      </w:r>
      <w:r w:rsidR="00EB1CE2" w:rsidRPr="006B794F">
        <w:rPr>
          <w:lang w:val="pl-PL"/>
        </w:rPr>
        <w:t xml:space="preserve">skarżącej </w:t>
      </w:r>
      <w:r w:rsidRPr="006B794F">
        <w:rPr>
          <w:lang w:val="pl-PL"/>
        </w:rPr>
        <w:t>jako podatek</w:t>
      </w:r>
      <w:r w:rsidR="00D634A0">
        <w:rPr>
          <w:lang w:val="pl-PL"/>
        </w:rPr>
        <w:t xml:space="preserve"> </w:t>
      </w:r>
      <w:r w:rsidR="00D634A0" w:rsidRPr="006B794F">
        <w:rPr>
          <w:lang w:val="pl-PL"/>
        </w:rPr>
        <w:t>od</w:t>
      </w:r>
      <w:r w:rsidR="00D634A0">
        <w:rPr>
          <w:lang w:val="pl-PL"/>
        </w:rPr>
        <w:t xml:space="preserve"> </w:t>
      </w:r>
      <w:r w:rsidR="00D634A0" w:rsidRPr="006B794F">
        <w:rPr>
          <w:lang w:val="pl-PL"/>
        </w:rPr>
        <w:t>tej</w:t>
      </w:r>
      <w:r w:rsidR="00D634A0">
        <w:rPr>
          <w:lang w:val="pl-PL"/>
        </w:rPr>
        <w:t xml:space="preserve"> </w:t>
      </w:r>
      <w:r w:rsidR="00D634A0" w:rsidRPr="006B794F">
        <w:rPr>
          <w:lang w:val="pl-PL"/>
        </w:rPr>
        <w:t>sumy</w:t>
      </w:r>
      <w:r w:rsidRPr="006B794F">
        <w:rPr>
          <w:lang w:val="pl-PL"/>
        </w:rPr>
        <w:t>, tytuł</w:t>
      </w:r>
      <w:r w:rsidR="00C91F9D">
        <w:rPr>
          <w:lang w:val="pl-PL"/>
        </w:rPr>
        <w:t>em</w:t>
      </w:r>
      <w:r w:rsidRPr="006B794F">
        <w:rPr>
          <w:lang w:val="pl-PL"/>
        </w:rPr>
        <w:t xml:space="preserve"> kosztów i</w:t>
      </w:r>
      <w:r w:rsidR="00E473B2">
        <w:rPr>
          <w:lang w:val="pl-PL"/>
        </w:rPr>
        <w:t> </w:t>
      </w:r>
      <w:r w:rsidRPr="006B794F">
        <w:rPr>
          <w:lang w:val="pl-PL"/>
        </w:rPr>
        <w:t>wydatków;</w:t>
      </w:r>
    </w:p>
    <w:p w14:paraId="5B11CD5A" w14:textId="5B2F304D" w:rsidR="00CC1663" w:rsidRPr="006B794F" w:rsidRDefault="00000000" w:rsidP="00695BDC">
      <w:pPr>
        <w:pStyle w:val="JuLista"/>
        <w:rPr>
          <w:lang w:val="pl-PL"/>
        </w:rPr>
      </w:pPr>
      <w:r w:rsidRPr="006B794F">
        <w:rPr>
          <w:lang w:val="pl-PL"/>
        </w:rPr>
        <w:t>że od upływu tego okresu do dnia zapłaty zasądzonych kwot będą od</w:t>
      </w:r>
      <w:r w:rsidR="00D4376C" w:rsidRPr="006B794F">
        <w:rPr>
          <w:lang w:val="pl-PL"/>
        </w:rPr>
        <w:t> </w:t>
      </w:r>
      <w:r w:rsidRPr="006B794F">
        <w:rPr>
          <w:lang w:val="pl-PL"/>
        </w:rPr>
        <w:t>nich naliczane odsetki zwykłe według stopy równej stopie oprocentowania kredytu marginalnego Europejskiego Banku Centralnego, stosowanej w tym okresie, powiększonej o trzy punkty procentowe;</w:t>
      </w:r>
    </w:p>
    <w:p w14:paraId="54FFE87C" w14:textId="106329E2" w:rsidR="00876F03" w:rsidRPr="006B794F" w:rsidRDefault="00000000" w:rsidP="00695BDC">
      <w:pPr>
        <w:pStyle w:val="JuList"/>
        <w:rPr>
          <w:lang w:val="pl-PL"/>
        </w:rPr>
      </w:pPr>
      <w:r w:rsidRPr="006B794F">
        <w:rPr>
          <w:lang w:val="pl-PL"/>
        </w:rPr>
        <w:t xml:space="preserve">Jednogłośnie </w:t>
      </w:r>
      <w:r w:rsidRPr="006B794F">
        <w:rPr>
          <w:i/>
          <w:iCs/>
          <w:lang w:val="pl-PL"/>
        </w:rPr>
        <w:t>oddala</w:t>
      </w:r>
      <w:r w:rsidRPr="006B794F">
        <w:rPr>
          <w:lang w:val="pl-PL"/>
        </w:rPr>
        <w:t xml:space="preserve"> </w:t>
      </w:r>
      <w:r w:rsidR="00D4376C" w:rsidRPr="006B794F">
        <w:rPr>
          <w:lang w:val="pl-PL"/>
        </w:rPr>
        <w:t>roszczenie</w:t>
      </w:r>
      <w:r w:rsidRPr="006B794F">
        <w:rPr>
          <w:lang w:val="pl-PL"/>
        </w:rPr>
        <w:t xml:space="preserve"> o </w:t>
      </w:r>
      <w:r w:rsidR="003B20BD" w:rsidRPr="006B794F">
        <w:rPr>
          <w:lang w:val="pl-PL"/>
        </w:rPr>
        <w:t xml:space="preserve">słuszne </w:t>
      </w:r>
      <w:r w:rsidRPr="006B794F">
        <w:rPr>
          <w:lang w:val="pl-PL"/>
        </w:rPr>
        <w:t xml:space="preserve">zadośćuczynienie </w:t>
      </w:r>
      <w:r w:rsidR="003B20BD" w:rsidRPr="006B794F">
        <w:rPr>
          <w:lang w:val="pl-PL"/>
        </w:rPr>
        <w:t>w</w:t>
      </w:r>
      <w:r w:rsidR="00D4376C" w:rsidRPr="006B794F">
        <w:rPr>
          <w:lang w:val="pl-PL"/>
        </w:rPr>
        <w:t> </w:t>
      </w:r>
      <w:r w:rsidRPr="006B794F">
        <w:rPr>
          <w:lang w:val="pl-PL"/>
        </w:rPr>
        <w:t>pozostałej części.</w:t>
      </w:r>
    </w:p>
    <w:p w14:paraId="7886C15F" w14:textId="705904A5" w:rsidR="00893F30" w:rsidRPr="006B794F" w:rsidRDefault="00000000" w:rsidP="00695BDC">
      <w:pPr>
        <w:pStyle w:val="JuParaLast"/>
        <w:rPr>
          <w:lang w:val="pl-PL"/>
        </w:rPr>
      </w:pPr>
      <w:r w:rsidRPr="006B794F">
        <w:rPr>
          <w:lang w:val="pl-PL"/>
        </w:rPr>
        <w:lastRenderedPageBreak/>
        <w:t>Sporządzono w języku francuskim, a następnie przekazano na piśmie w</w:t>
      </w:r>
      <w:r w:rsidR="00E0786E" w:rsidRPr="006B794F">
        <w:rPr>
          <w:lang w:val="pl-PL"/>
        </w:rPr>
        <w:t> </w:t>
      </w:r>
      <w:r w:rsidRPr="006B794F">
        <w:rPr>
          <w:lang w:val="pl-PL"/>
        </w:rPr>
        <w:t xml:space="preserve">dniu 20 października 2020 r., zgodnie z </w:t>
      </w:r>
      <w:r w:rsidR="00506DA4" w:rsidRPr="006B794F">
        <w:rPr>
          <w:lang w:val="pl-PL"/>
        </w:rPr>
        <w:t>Regułą</w:t>
      </w:r>
      <w:r w:rsidRPr="006B794F">
        <w:rPr>
          <w:lang w:val="pl-PL"/>
        </w:rPr>
        <w:t xml:space="preserve"> 77 § 2 i 3 Regulaminu</w:t>
      </w:r>
      <w:r w:rsidR="00C54413" w:rsidRPr="006B794F">
        <w:rPr>
          <w:lang w:val="pl-PL"/>
        </w:rPr>
        <w:t xml:space="preserve"> Trybunału</w:t>
      </w:r>
      <w:r w:rsidRPr="006B794F">
        <w:rPr>
          <w:lang w:val="pl-PL"/>
        </w:rPr>
        <w:t>.</w:t>
      </w:r>
    </w:p>
    <w:p w14:paraId="64B56207" w14:textId="1A7F8EF2" w:rsidR="00876F03" w:rsidRPr="006B794F" w:rsidRDefault="00000000" w:rsidP="00695BDC">
      <w:pPr>
        <w:pStyle w:val="JuSigned"/>
        <w:rPr>
          <w:lang w:val="pl-PL"/>
        </w:rPr>
      </w:pPr>
      <w:r w:rsidRPr="006B794F">
        <w:rPr>
          <w:lang w:val="pl-PL"/>
        </w:rPr>
        <w:tab/>
        <w:t>Andrea Tamietti</w:t>
      </w:r>
      <w:r w:rsidRPr="006B794F">
        <w:rPr>
          <w:lang w:val="pl-PL"/>
        </w:rPr>
        <w:tab/>
        <w:t>Yonko Grozev</w:t>
      </w:r>
      <w:r w:rsidRPr="006B794F">
        <w:rPr>
          <w:lang w:val="pl-PL"/>
        </w:rPr>
        <w:br/>
      </w:r>
      <w:r w:rsidRPr="006B794F">
        <w:rPr>
          <w:lang w:val="pl-PL"/>
        </w:rPr>
        <w:tab/>
      </w:r>
      <w:r w:rsidR="002A440F" w:rsidRPr="006B794F">
        <w:rPr>
          <w:lang w:val="pl-PL"/>
        </w:rPr>
        <w:t>Kanclerz</w:t>
      </w:r>
      <w:r w:rsidRPr="006B794F">
        <w:rPr>
          <w:lang w:val="pl-PL"/>
        </w:rPr>
        <w:tab/>
        <w:t>Przewodniczący</w:t>
      </w:r>
    </w:p>
    <w:p w14:paraId="586F7791" w14:textId="77777777" w:rsidR="00D76FF0" w:rsidRDefault="00D76FF0" w:rsidP="00695BDC">
      <w:pPr>
        <w:pStyle w:val="JuParaLast"/>
        <w:rPr>
          <w:lang w:val="pl-PL"/>
        </w:rPr>
      </w:pPr>
    </w:p>
    <w:p w14:paraId="1D5DDD3D" w14:textId="77777777" w:rsidR="00D76FF0" w:rsidRDefault="00D76FF0" w:rsidP="00695BDC">
      <w:pPr>
        <w:pStyle w:val="JuParaLast"/>
        <w:rPr>
          <w:lang w:val="pl-PL"/>
        </w:rPr>
      </w:pPr>
    </w:p>
    <w:p w14:paraId="1D7EA4F3" w14:textId="474AD86E" w:rsidR="005C1212" w:rsidRPr="006B794F" w:rsidRDefault="00000000" w:rsidP="00695BDC">
      <w:pPr>
        <w:pStyle w:val="JuParaLast"/>
        <w:rPr>
          <w:lang w:val="pl-PL"/>
        </w:rPr>
      </w:pPr>
      <w:r w:rsidRPr="006B794F">
        <w:rPr>
          <w:lang w:val="pl-PL"/>
        </w:rPr>
        <w:t>Zgodnie z art</w:t>
      </w:r>
      <w:r w:rsidR="002A440F" w:rsidRPr="006B794F">
        <w:rPr>
          <w:lang w:val="pl-PL"/>
        </w:rPr>
        <w:t>.</w:t>
      </w:r>
      <w:r w:rsidRPr="006B794F">
        <w:rPr>
          <w:lang w:val="pl-PL"/>
        </w:rPr>
        <w:t xml:space="preserve"> 45 </w:t>
      </w:r>
      <w:r w:rsidR="002A440F" w:rsidRPr="006B794F">
        <w:rPr>
          <w:lang w:val="pl-PL"/>
        </w:rPr>
        <w:t>ust.</w:t>
      </w:r>
      <w:r w:rsidRPr="006B794F">
        <w:rPr>
          <w:lang w:val="pl-PL"/>
        </w:rPr>
        <w:t xml:space="preserve"> 2 Konwencji i 74 § 2 Regulaminu Trybunału, do</w:t>
      </w:r>
      <w:r w:rsidR="00E0786E" w:rsidRPr="006B794F">
        <w:rPr>
          <w:lang w:val="pl-PL"/>
        </w:rPr>
        <w:t> </w:t>
      </w:r>
      <w:r w:rsidRPr="006B794F">
        <w:rPr>
          <w:lang w:val="pl-PL"/>
        </w:rPr>
        <w:t>niniejszego wyroku dołączona jest opinia odrębna sędziego Wojtyczka.</w:t>
      </w:r>
    </w:p>
    <w:p w14:paraId="1E8AC22A" w14:textId="77777777" w:rsidR="005C1212" w:rsidRPr="006B794F" w:rsidRDefault="00000000" w:rsidP="00695BDC">
      <w:pPr>
        <w:pStyle w:val="JuInitialled"/>
        <w:rPr>
          <w:lang w:val="pl-PL"/>
        </w:rPr>
      </w:pPr>
      <w:r w:rsidRPr="006B794F">
        <w:rPr>
          <w:lang w:val="pl-PL"/>
        </w:rPr>
        <w:t>YG</w:t>
      </w:r>
      <w:r w:rsidRPr="006B794F">
        <w:rPr>
          <w:lang w:val="pl-PL"/>
        </w:rPr>
        <w:br/>
        <w:t>ANT</w:t>
      </w:r>
      <w:r w:rsidRPr="006B794F">
        <w:rPr>
          <w:lang w:val="pl-PL"/>
        </w:rPr>
        <w:br/>
      </w:r>
    </w:p>
    <w:p w14:paraId="4C478E76" w14:textId="77777777" w:rsidR="005C1212" w:rsidRPr="006B794F" w:rsidRDefault="005C1212" w:rsidP="00695BDC">
      <w:pPr>
        <w:pStyle w:val="JuPara"/>
        <w:rPr>
          <w:lang w:val="pl-PL"/>
        </w:rPr>
        <w:sectPr w:rsidR="005C1212" w:rsidRPr="006B794F">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pPr>
    </w:p>
    <w:p w14:paraId="70313076" w14:textId="3370BD40" w:rsidR="00037851" w:rsidRPr="006B794F" w:rsidRDefault="00000000" w:rsidP="00695BDC">
      <w:pPr>
        <w:pStyle w:val="DecHTitle"/>
        <w:rPr>
          <w:rFonts w:eastAsia="Times New Roman"/>
          <w:lang w:val="pl-PL"/>
        </w:rPr>
      </w:pPr>
      <w:r w:rsidRPr="006B794F">
        <w:rPr>
          <w:rFonts w:eastAsia="Times New Roman"/>
          <w:lang w:val="pl-PL"/>
        </w:rPr>
        <w:lastRenderedPageBreak/>
        <w:t xml:space="preserve">CZĘŚCIOWO </w:t>
      </w:r>
      <w:r w:rsidR="00882490" w:rsidRPr="006B794F">
        <w:rPr>
          <w:rFonts w:eastAsia="Times New Roman"/>
          <w:lang w:val="pl-PL"/>
        </w:rPr>
        <w:t>NIEZGODNA OPINIA ODRĘBNA</w:t>
      </w:r>
      <w:r w:rsidR="002669A7" w:rsidRPr="006B794F">
        <w:rPr>
          <w:rFonts w:eastAsia="Times New Roman"/>
          <w:lang w:val="pl-PL"/>
        </w:rPr>
        <w:br/>
        <w:t>SĘDZIEGO</w:t>
      </w:r>
      <w:r w:rsidRPr="006B794F">
        <w:rPr>
          <w:rFonts w:eastAsia="Times New Roman"/>
          <w:lang w:val="pl-PL"/>
        </w:rPr>
        <w:t xml:space="preserve"> WOJTYCZ</w:t>
      </w:r>
      <w:r w:rsidR="002669A7" w:rsidRPr="006B794F">
        <w:rPr>
          <w:rFonts w:eastAsia="Times New Roman"/>
          <w:lang w:val="pl-PL"/>
        </w:rPr>
        <w:t>KA</w:t>
      </w:r>
    </w:p>
    <w:p w14:paraId="2A1D18C7" w14:textId="77777777" w:rsidR="000112BF" w:rsidRPr="006B794F" w:rsidRDefault="00000000" w:rsidP="00695BDC">
      <w:pPr>
        <w:pStyle w:val="Akapitzlist"/>
        <w:numPr>
          <w:ilvl w:val="0"/>
          <w:numId w:val="1"/>
        </w:numPr>
        <w:jc w:val="center"/>
        <w:rPr>
          <w:i/>
          <w:lang w:val="pl-PL"/>
        </w:rPr>
      </w:pPr>
      <w:r w:rsidRPr="006B794F">
        <w:rPr>
          <w:i/>
          <w:iCs/>
          <w:lang w:val="pl-PL"/>
        </w:rPr>
        <w:t>[pominięto]</w:t>
      </w:r>
    </w:p>
    <w:p w14:paraId="394C5226" w14:textId="77777777" w:rsidR="005C1212" w:rsidRPr="006B794F" w:rsidRDefault="005C1212" w:rsidP="00695BDC">
      <w:pPr>
        <w:pStyle w:val="OpiPara"/>
        <w:rPr>
          <w:lang w:val="pl-PL"/>
        </w:rPr>
      </w:pPr>
    </w:p>
    <w:sectPr w:rsidR="005C1212" w:rsidRPr="006B794F" w:rsidSect="005C1212">
      <w:headerReference w:type="even" r:id="rId19"/>
      <w:headerReference w:type="default" r:id="rId20"/>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C57CC" w14:textId="77777777" w:rsidR="00722F8C" w:rsidRDefault="00722F8C">
      <w:r>
        <w:separator/>
      </w:r>
    </w:p>
  </w:endnote>
  <w:endnote w:type="continuationSeparator" w:id="0">
    <w:p w14:paraId="7DA0AC46" w14:textId="77777777" w:rsidR="00722F8C" w:rsidRDefault="00722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7097C" w14:textId="77777777" w:rsidR="00B6484B" w:rsidRDefault="00000000" w:rsidP="00954AD6">
    <w:pPr>
      <w:pStyle w:val="JuHeader"/>
    </w:pPr>
    <w:r>
      <w:rPr>
        <w:lang w:val="pl"/>
      </w:rPr>
      <w:fldChar w:fldCharType="begin"/>
    </w:r>
    <w:r>
      <w:rPr>
        <w:lang w:val="pl"/>
      </w:rPr>
      <w:instrText xml:space="preserve"> PAGE </w:instrText>
    </w:r>
    <w:r>
      <w:rPr>
        <w:lang w:val="pl"/>
      </w:rPr>
      <w:fldChar w:fldCharType="separate"/>
    </w:r>
    <w:r w:rsidR="00F56D4E">
      <w:rPr>
        <w:noProof/>
        <w:lang w:val="pl"/>
      </w:rPr>
      <w:t>2</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4F1E" w14:textId="77777777" w:rsidR="00B6484B" w:rsidRPr="00150BFA" w:rsidRDefault="00000000" w:rsidP="00787576">
    <w:pPr>
      <w:jc w:val="center"/>
    </w:pPr>
    <w:r>
      <w:rPr>
        <w:noProof/>
        <w:lang w:val="pl-PL" w:eastAsia="pl-PL"/>
      </w:rPr>
      <w:drawing>
        <wp:inline distT="0" distB="0" distL="0" distR="0" wp14:anchorId="7854F33D" wp14:editId="6E04749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03CE24D" w14:textId="77777777" w:rsidR="00B6484B" w:rsidRPr="000A20EB" w:rsidRDefault="00B6484B"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67EB" w14:textId="77777777" w:rsidR="00B6484B" w:rsidRPr="00150BFA" w:rsidRDefault="00000000" w:rsidP="00787576">
    <w:pPr>
      <w:jc w:val="center"/>
    </w:pPr>
    <w:r>
      <w:rPr>
        <w:noProof/>
        <w:lang w:val="pl-PL" w:eastAsia="pl-PL"/>
      </w:rPr>
      <w:drawing>
        <wp:inline distT="0" distB="0" distL="0" distR="0" wp14:anchorId="3C053902" wp14:editId="2F68E54F">
          <wp:extent cx="771525" cy="619125"/>
          <wp:effectExtent l="0" t="0" r="9525" b="9525"/>
          <wp:docPr id="103"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7517FCF" w14:textId="77777777" w:rsidR="00B6484B" w:rsidRPr="000A20EB" w:rsidRDefault="00B6484B"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F0CE" w14:textId="77777777" w:rsidR="00B6484B" w:rsidRPr="00D01935" w:rsidRDefault="00000000" w:rsidP="00662882">
    <w:pPr>
      <w:pStyle w:val="JuHeader"/>
    </w:pPr>
    <w:r>
      <w:rPr>
        <w:lang w:val="pl"/>
      </w:rPr>
      <w:fldChar w:fldCharType="begin"/>
    </w:r>
    <w:r>
      <w:rPr>
        <w:lang w:val="pl"/>
      </w:rPr>
      <w:instrText xml:space="preserve"> PAGE </w:instrText>
    </w:r>
    <w:r>
      <w:rPr>
        <w:lang w:val="pl"/>
      </w:rPr>
      <w:fldChar w:fldCharType="separate"/>
    </w:r>
    <w:r w:rsidR="00F56D4E">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A3BC4" w14:textId="77777777" w:rsidR="00722F8C" w:rsidRPr="000A20EB" w:rsidRDefault="00722F8C" w:rsidP="00516B59">
      <w:r>
        <w:separator/>
      </w:r>
    </w:p>
  </w:footnote>
  <w:footnote w:type="continuationSeparator" w:id="0">
    <w:p w14:paraId="26BF2DD3" w14:textId="77777777" w:rsidR="00722F8C" w:rsidRPr="000A20EB" w:rsidRDefault="00722F8C" w:rsidP="00516B59">
      <w:r>
        <w:continuationSeparator/>
      </w:r>
    </w:p>
  </w:footnote>
  <w:footnote w:id="1">
    <w:p w14:paraId="6631CA89" w14:textId="3E000747" w:rsidR="008D2093" w:rsidRPr="004D253C" w:rsidRDefault="00000000" w:rsidP="008D2093">
      <w:pPr>
        <w:pStyle w:val="s50c0b1c7"/>
        <w:jc w:val="both"/>
        <w:rPr>
          <w:lang w:val="pl-PL"/>
        </w:rPr>
      </w:pPr>
      <w:r w:rsidRPr="00BE747E">
        <w:rPr>
          <w:rStyle w:val="Odwoanieprzypisudolnego"/>
          <w:rFonts w:eastAsia="MS Gothic"/>
          <w:sz w:val="20"/>
          <w:szCs w:val="20"/>
          <w:lang w:val="pl"/>
        </w:rPr>
        <w:footnoteRef/>
      </w:r>
      <w:r w:rsidR="000E586C">
        <w:rPr>
          <w:sz w:val="20"/>
          <w:szCs w:val="20"/>
          <w:lang w:val="pl"/>
        </w:rPr>
        <w:t xml:space="preserve"> </w:t>
      </w:r>
      <w:r w:rsidR="000279D1" w:rsidRPr="00BE747E">
        <w:rPr>
          <w:sz w:val="20"/>
          <w:szCs w:val="20"/>
          <w:lang w:val="pl"/>
        </w:rPr>
        <w:t>Ź</w:t>
      </w:r>
      <w:r w:rsidRPr="00BE747E">
        <w:rPr>
          <w:sz w:val="20"/>
          <w:szCs w:val="20"/>
          <w:lang w:val="pl"/>
        </w:rPr>
        <w:t>ródło: Nota informacyjna na temat orzecznictwa Trybunału nr 244, październik 2020 r. (</w:t>
      </w:r>
      <w:r w:rsidRPr="00BE747E">
        <w:rPr>
          <w:rStyle w:val="s3aeeab2"/>
          <w:i/>
          <w:iCs/>
          <w:sz w:val="20"/>
          <w:szCs w:val="20"/>
          <w:lang w:val="pl"/>
        </w:rPr>
        <w:t>Notatka informacyjna. Orzecznictwo Europejskiego Trybunału Praw Człowieka nr 244, październik 2020</w:t>
      </w:r>
      <w:r w:rsidR="000E586C">
        <w:rPr>
          <w:rStyle w:val="s3aeeab2"/>
          <w:i/>
          <w:iCs/>
          <w:sz w:val="20"/>
          <w:szCs w:val="20"/>
          <w:lang w:val="pl"/>
        </w:rPr>
        <w:t xml:space="preserve"> r. </w:t>
      </w:r>
      <w:r w:rsidRPr="00BE747E">
        <w:rPr>
          <w:rStyle w:val="s3aeeab2"/>
          <w:i/>
          <w:iCs/>
          <w:sz w:val="20"/>
          <w:szCs w:val="20"/>
          <w:lang w:val="pl"/>
        </w:rPr>
        <w:t xml:space="preserve">/ </w:t>
      </w:r>
      <w:r w:rsidRPr="00BE747E">
        <w:rPr>
          <w:rStyle w:val="sfbbfee58"/>
          <w:i/>
          <w:iCs/>
          <w:sz w:val="20"/>
          <w:szCs w:val="20"/>
          <w:lang w:val="pl"/>
        </w:rPr>
        <w:t>Notatka informacyjna dotycząca orzecznictwa Trybunału 244 /</w:t>
      </w:r>
      <w:r w:rsidR="00D350AE">
        <w:rPr>
          <w:rStyle w:val="sfbbfee58"/>
          <w:i/>
          <w:iCs/>
          <w:sz w:val="20"/>
          <w:szCs w:val="20"/>
          <w:lang w:val="pl"/>
        </w:rPr>
        <w:t> </w:t>
      </w:r>
      <w:r w:rsidR="000E586C">
        <w:rPr>
          <w:i/>
          <w:iCs/>
          <w:sz w:val="20"/>
          <w:szCs w:val="20"/>
          <w:lang w:val="pl"/>
        </w:rPr>
        <w:t>p</w:t>
      </w:r>
      <w:r w:rsidRPr="00BE747E">
        <w:rPr>
          <w:i/>
          <w:iCs/>
          <w:sz w:val="20"/>
          <w:szCs w:val="20"/>
          <w:lang w:val="pl"/>
        </w:rPr>
        <w:t>aździernik</w:t>
      </w:r>
      <w:r w:rsidR="000E586C">
        <w:rPr>
          <w:i/>
          <w:iCs/>
          <w:sz w:val="20"/>
          <w:szCs w:val="20"/>
          <w:lang w:val="pl"/>
        </w:rPr>
        <w:t xml:space="preserve"> </w:t>
      </w:r>
      <w:r w:rsidRPr="00BE747E">
        <w:rPr>
          <w:rStyle w:val="sfbbfee58"/>
          <w:i/>
          <w:iCs/>
          <w:sz w:val="20"/>
          <w:szCs w:val="20"/>
          <w:lang w:val="pl"/>
        </w:rPr>
        <w:t>2020</w:t>
      </w:r>
      <w:r w:rsidR="000E586C">
        <w:rPr>
          <w:rStyle w:val="sfbbfee58"/>
          <w:i/>
          <w:iCs/>
          <w:sz w:val="20"/>
          <w:szCs w:val="20"/>
          <w:lang w:val="pl"/>
        </w:rPr>
        <w:t xml:space="preserve"> r.</w:t>
      </w:r>
      <w:r w:rsidRPr="00BE747E">
        <w:rPr>
          <w:rStyle w:val="s3aeeab2"/>
          <w:sz w:val="20"/>
          <w:szCs w:val="20"/>
          <w:lang w:va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1314F" w14:textId="77777777" w:rsidR="00B6484B" w:rsidRPr="00A45145" w:rsidRDefault="00000000" w:rsidP="00787576">
    <w:pPr>
      <w:jc w:val="center"/>
    </w:pPr>
    <w:r>
      <w:rPr>
        <w:noProof/>
        <w:lang w:val="pl-PL" w:eastAsia="pl-PL"/>
      </w:rPr>
      <w:drawing>
        <wp:inline distT="0" distB="0" distL="0" distR="0" wp14:anchorId="7D8CB7E4" wp14:editId="1A779327">
          <wp:extent cx="2962275" cy="1219200"/>
          <wp:effectExtent l="0" t="0" r="9525" b="0"/>
          <wp:docPr id="105" name="Picture 10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89D8D20" w14:textId="77777777" w:rsidR="00B6484B" w:rsidRPr="000A20EB" w:rsidRDefault="00B6484B" w:rsidP="007875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58FCE" w14:textId="77777777" w:rsidR="00B6484B" w:rsidRPr="00A45145" w:rsidRDefault="00000000" w:rsidP="00787576">
    <w:pPr>
      <w:jc w:val="center"/>
    </w:pPr>
    <w:r>
      <w:rPr>
        <w:noProof/>
        <w:lang w:val="pl-PL" w:eastAsia="pl-PL"/>
      </w:rPr>
      <w:drawing>
        <wp:inline distT="0" distB="0" distL="0" distR="0" wp14:anchorId="3BF930B3" wp14:editId="61CE2242">
          <wp:extent cx="2962275" cy="1219200"/>
          <wp:effectExtent l="0" t="0" r="9525" b="0"/>
          <wp:docPr id="83" name="Picture 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17ABE09" w14:textId="77777777" w:rsidR="00B6484B" w:rsidRPr="000A20EB" w:rsidRDefault="00B6484B"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0CC06" w14:textId="6D76FFD5" w:rsidR="00B6484B" w:rsidRPr="004611D8" w:rsidRDefault="00000000" w:rsidP="00A21624">
    <w:pPr>
      <w:pStyle w:val="JuHeader"/>
      <w:rPr>
        <w:lang w:val="pl-PL"/>
      </w:rPr>
    </w:pPr>
    <w:r>
      <w:rPr>
        <w:lang w:val="pl"/>
      </w:rPr>
      <w:t xml:space="preserve">WYROK </w:t>
    </w:r>
    <w:r w:rsidR="004611D8">
      <w:rPr>
        <w:lang w:val="pl"/>
      </w:rPr>
      <w:t xml:space="preserve">W SPRAWIE </w:t>
    </w:r>
    <w:proofErr w:type="spellStart"/>
    <w:r>
      <w:rPr>
        <w:lang w:val="pl"/>
      </w:rPr>
      <w:t>CAMELIA</w:t>
    </w:r>
    <w:proofErr w:type="spellEnd"/>
    <w:r>
      <w:rPr>
        <w:lang w:val="pl"/>
      </w:rPr>
      <w:t xml:space="preserve"> BOGDAN </w:t>
    </w:r>
    <w:r w:rsidR="004611D8">
      <w:rPr>
        <w:lang w:val="pl"/>
      </w:rPr>
      <w:t xml:space="preserve">PRZECIWKO </w:t>
    </w:r>
    <w:r>
      <w:rPr>
        <w:lang w:val="pl"/>
      </w:rPr>
      <w:t>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CD27E" w14:textId="19F7F3DC" w:rsidR="00B6484B" w:rsidRPr="004611D8" w:rsidRDefault="00000000" w:rsidP="00662882">
    <w:pPr>
      <w:pStyle w:val="JuHeader"/>
      <w:rPr>
        <w:lang w:val="pl-PL"/>
      </w:rPr>
    </w:pPr>
    <w:r>
      <w:rPr>
        <w:lang w:val="pl"/>
      </w:rPr>
      <w:t xml:space="preserve">WYROK </w:t>
    </w:r>
    <w:r w:rsidR="004611D8">
      <w:rPr>
        <w:lang w:val="pl"/>
      </w:rPr>
      <w:t xml:space="preserve">W SPRAWIE </w:t>
    </w:r>
    <w:proofErr w:type="spellStart"/>
    <w:r>
      <w:rPr>
        <w:lang w:val="pl"/>
      </w:rPr>
      <w:t>CAMELIA</w:t>
    </w:r>
    <w:proofErr w:type="spellEnd"/>
    <w:r>
      <w:rPr>
        <w:lang w:val="pl"/>
      </w:rPr>
      <w:t xml:space="preserve"> BOGDAN </w:t>
    </w:r>
    <w:r w:rsidR="004611D8">
      <w:rPr>
        <w:lang w:val="pl"/>
      </w:rPr>
      <w:t xml:space="preserve">PRZECIWKO </w:t>
    </w:r>
    <w:r>
      <w:rPr>
        <w:lang w:val="pl"/>
      </w:rPr>
      <w:t>RUMUNII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E45A" w14:textId="77777777" w:rsidR="00B6484B" w:rsidRPr="00A430BD" w:rsidRDefault="00000000" w:rsidP="00A21624">
    <w:pPr>
      <w:pStyle w:val="JuHeader"/>
      <w:rPr>
        <w:lang w:val="pl-PL"/>
      </w:rPr>
    </w:pPr>
    <w:r>
      <w:rPr>
        <w:lang w:val="pl"/>
      </w:rPr>
      <w:t xml:space="preserve">WYROK </w:t>
    </w:r>
    <w:proofErr w:type="spellStart"/>
    <w:r>
      <w:rPr>
        <w:lang w:val="pl"/>
      </w:rPr>
      <w:t>CAMELIA</w:t>
    </w:r>
    <w:proofErr w:type="spellEnd"/>
    <w:r>
      <w:rPr>
        <w:lang w:val="pl"/>
      </w:rPr>
      <w:t xml:space="preserve"> BOGDAN przeciwko RUMUNII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BB76" w14:textId="3F73E1DB" w:rsidR="00B6484B" w:rsidRPr="00A430BD" w:rsidRDefault="00000000" w:rsidP="005C1212">
    <w:pPr>
      <w:pStyle w:val="JuHeader"/>
      <w:tabs>
        <w:tab w:val="center" w:pos="3685"/>
        <w:tab w:val="right" w:pos="7370"/>
      </w:tabs>
      <w:rPr>
        <w:lang w:val="pl-PL"/>
      </w:rPr>
    </w:pPr>
    <w:r>
      <w:rPr>
        <w:lang w:val="pl"/>
      </w:rPr>
      <w:t xml:space="preserve">WYROK </w:t>
    </w:r>
    <w:r w:rsidR="004611D8">
      <w:rPr>
        <w:lang w:val="pl"/>
      </w:rPr>
      <w:t xml:space="preserve">W SPRAWIE </w:t>
    </w:r>
    <w:proofErr w:type="spellStart"/>
    <w:r>
      <w:rPr>
        <w:lang w:val="pl"/>
      </w:rPr>
      <w:t>CAMELIA</w:t>
    </w:r>
    <w:proofErr w:type="spellEnd"/>
    <w:r>
      <w:rPr>
        <w:lang w:val="pl"/>
      </w:rPr>
      <w:t xml:space="preserve"> BOGDAN </w:t>
    </w:r>
    <w:r w:rsidR="004611D8">
      <w:rPr>
        <w:lang w:val="pl"/>
      </w:rPr>
      <w:t xml:space="preserve">PRZECIWKO </w:t>
    </w:r>
    <w:r>
      <w:rPr>
        <w:lang w:val="pl"/>
      </w:rPr>
      <w:t>RUMUNII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F0FC9F44">
      <w:start w:val="1"/>
      <w:numFmt w:val="bullet"/>
      <w:pStyle w:val="Listapunktowana"/>
      <w:lvlText w:val=""/>
      <w:lvlJc w:val="left"/>
      <w:pPr>
        <w:tabs>
          <w:tab w:val="num" w:pos="851"/>
        </w:tabs>
        <w:ind w:left="568" w:firstLine="0"/>
      </w:pPr>
      <w:rPr>
        <w:rFonts w:ascii="Wingdings" w:hAnsi="Wingdings" w:hint="default"/>
        <w:color w:val="808080"/>
        <w:sz w:val="16"/>
      </w:rPr>
    </w:lvl>
    <w:lvl w:ilvl="1" w:tplc="84820C02" w:tentative="1">
      <w:start w:val="1"/>
      <w:numFmt w:val="bullet"/>
      <w:lvlText w:val="o"/>
      <w:lvlJc w:val="left"/>
      <w:pPr>
        <w:tabs>
          <w:tab w:val="num" w:pos="1724"/>
        </w:tabs>
        <w:ind w:left="1724" w:hanging="360"/>
      </w:pPr>
      <w:rPr>
        <w:rFonts w:ascii="Courier New" w:hAnsi="Courier New" w:cs="Courier New" w:hint="default"/>
      </w:rPr>
    </w:lvl>
    <w:lvl w:ilvl="2" w:tplc="2B581906" w:tentative="1">
      <w:start w:val="1"/>
      <w:numFmt w:val="bullet"/>
      <w:lvlText w:val=""/>
      <w:lvlJc w:val="left"/>
      <w:pPr>
        <w:tabs>
          <w:tab w:val="num" w:pos="2444"/>
        </w:tabs>
        <w:ind w:left="2444" w:hanging="360"/>
      </w:pPr>
      <w:rPr>
        <w:rFonts w:ascii="Wingdings" w:hAnsi="Wingdings" w:hint="default"/>
      </w:rPr>
    </w:lvl>
    <w:lvl w:ilvl="3" w:tplc="7F369A5A" w:tentative="1">
      <w:start w:val="1"/>
      <w:numFmt w:val="bullet"/>
      <w:lvlText w:val=""/>
      <w:lvlJc w:val="left"/>
      <w:pPr>
        <w:tabs>
          <w:tab w:val="num" w:pos="3164"/>
        </w:tabs>
        <w:ind w:left="3164" w:hanging="360"/>
      </w:pPr>
      <w:rPr>
        <w:rFonts w:ascii="Symbol" w:hAnsi="Symbol" w:hint="default"/>
      </w:rPr>
    </w:lvl>
    <w:lvl w:ilvl="4" w:tplc="E7C2C584" w:tentative="1">
      <w:start w:val="1"/>
      <w:numFmt w:val="bullet"/>
      <w:lvlText w:val="o"/>
      <w:lvlJc w:val="left"/>
      <w:pPr>
        <w:tabs>
          <w:tab w:val="num" w:pos="3884"/>
        </w:tabs>
        <w:ind w:left="3884" w:hanging="360"/>
      </w:pPr>
      <w:rPr>
        <w:rFonts w:ascii="Courier New" w:hAnsi="Courier New" w:cs="Courier New" w:hint="default"/>
      </w:rPr>
    </w:lvl>
    <w:lvl w:ilvl="5" w:tplc="07CED406" w:tentative="1">
      <w:start w:val="1"/>
      <w:numFmt w:val="bullet"/>
      <w:lvlText w:val=""/>
      <w:lvlJc w:val="left"/>
      <w:pPr>
        <w:tabs>
          <w:tab w:val="num" w:pos="4604"/>
        </w:tabs>
        <w:ind w:left="4604" w:hanging="360"/>
      </w:pPr>
      <w:rPr>
        <w:rFonts w:ascii="Wingdings" w:hAnsi="Wingdings" w:hint="default"/>
      </w:rPr>
    </w:lvl>
    <w:lvl w:ilvl="6" w:tplc="69BCCA7E" w:tentative="1">
      <w:start w:val="1"/>
      <w:numFmt w:val="bullet"/>
      <w:lvlText w:val=""/>
      <w:lvlJc w:val="left"/>
      <w:pPr>
        <w:tabs>
          <w:tab w:val="num" w:pos="5324"/>
        </w:tabs>
        <w:ind w:left="5324" w:hanging="360"/>
      </w:pPr>
      <w:rPr>
        <w:rFonts w:ascii="Symbol" w:hAnsi="Symbol" w:hint="default"/>
      </w:rPr>
    </w:lvl>
    <w:lvl w:ilvl="7" w:tplc="F070796C" w:tentative="1">
      <w:start w:val="1"/>
      <w:numFmt w:val="bullet"/>
      <w:lvlText w:val="o"/>
      <w:lvlJc w:val="left"/>
      <w:pPr>
        <w:tabs>
          <w:tab w:val="num" w:pos="6044"/>
        </w:tabs>
        <w:ind w:left="6044" w:hanging="360"/>
      </w:pPr>
      <w:rPr>
        <w:rFonts w:ascii="Courier New" w:hAnsi="Courier New" w:cs="Courier New" w:hint="default"/>
      </w:rPr>
    </w:lvl>
    <w:lvl w:ilvl="8" w:tplc="B89CEFFC" w:tentative="1">
      <w:start w:val="1"/>
      <w:numFmt w:val="bullet"/>
      <w:lvlText w:val=""/>
      <w:lvlJc w:val="left"/>
      <w:pPr>
        <w:tabs>
          <w:tab w:val="num" w:pos="6764"/>
        </w:tabs>
        <w:ind w:left="6764" w:hanging="360"/>
      </w:pPr>
      <w:rPr>
        <w:rFonts w:ascii="Wingdings" w:hAnsi="Wingdings" w:hint="default"/>
      </w:rPr>
    </w:lvl>
  </w:abstractNum>
  <w:num w:numId="1" w16cid:durableId="120002390">
    <w:abstractNumId w:val="16"/>
  </w:num>
  <w:num w:numId="2" w16cid:durableId="570235312">
    <w:abstractNumId w:val="9"/>
  </w:num>
  <w:num w:numId="3" w16cid:durableId="952787321">
    <w:abstractNumId w:val="13"/>
  </w:num>
  <w:num w:numId="4" w16cid:durableId="1277178487">
    <w:abstractNumId w:val="11"/>
  </w:num>
  <w:num w:numId="5" w16cid:durableId="791752367">
    <w:abstractNumId w:val="10"/>
  </w:num>
  <w:num w:numId="6" w16cid:durableId="662320224">
    <w:abstractNumId w:val="14"/>
  </w:num>
  <w:num w:numId="7" w16cid:durableId="2089492851">
    <w:abstractNumId w:val="12"/>
  </w:num>
  <w:num w:numId="8" w16cid:durableId="1252931253">
    <w:abstractNumId w:val="15"/>
  </w:num>
  <w:num w:numId="9" w16cid:durableId="404374916">
    <w:abstractNumId w:val="17"/>
  </w:num>
  <w:num w:numId="10" w16cid:durableId="767042154">
    <w:abstractNumId w:val="7"/>
  </w:num>
  <w:num w:numId="11" w16cid:durableId="472332839">
    <w:abstractNumId w:val="6"/>
  </w:num>
  <w:num w:numId="12" w16cid:durableId="1592005811">
    <w:abstractNumId w:val="5"/>
  </w:num>
  <w:num w:numId="13" w16cid:durableId="1406297360">
    <w:abstractNumId w:val="4"/>
  </w:num>
  <w:num w:numId="14" w16cid:durableId="953756849">
    <w:abstractNumId w:val="8"/>
  </w:num>
  <w:num w:numId="15" w16cid:durableId="1690835566">
    <w:abstractNumId w:val="3"/>
  </w:num>
  <w:num w:numId="16" w16cid:durableId="141115836">
    <w:abstractNumId w:val="2"/>
  </w:num>
  <w:num w:numId="17" w16cid:durableId="678431069">
    <w:abstractNumId w:val="1"/>
  </w:num>
  <w:num w:numId="18" w16cid:durableId="1753161161">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0"/>
    <w:docVar w:name="DateLetter" w:val="08/09/2020 12:23:53"/>
    <w:docVar w:name="DocVarPREMATURE" w:val="0"/>
    <w:docVar w:name="EMM" w:val="0"/>
    <w:docVar w:name="ETRANSMISSION" w:val="PAR VOIE ÈLECTRONIQUE UNIQUEMENT"/>
    <w:docVar w:name="L4_1Annex" w:val="0"/>
    <w:docVar w:name="L4_1Anonymity" w:val="0"/>
    <w:docVar w:name="NBEMMDOC" w:val="0"/>
    <w:docVar w:name="SignForeName" w:val="0"/>
  </w:docVars>
  <w:rsids>
    <w:rsidRoot w:val="00CC1663"/>
    <w:rsid w:val="000041F8"/>
    <w:rsid w:val="000042A8"/>
    <w:rsid w:val="00004308"/>
    <w:rsid w:val="00005BF0"/>
    <w:rsid w:val="00005D65"/>
    <w:rsid w:val="00007154"/>
    <w:rsid w:val="000103AE"/>
    <w:rsid w:val="000112BF"/>
    <w:rsid w:val="00011D69"/>
    <w:rsid w:val="00012AD3"/>
    <w:rsid w:val="00015C2D"/>
    <w:rsid w:val="00015F00"/>
    <w:rsid w:val="00022C1D"/>
    <w:rsid w:val="000279D1"/>
    <w:rsid w:val="00034987"/>
    <w:rsid w:val="00037400"/>
    <w:rsid w:val="00037851"/>
    <w:rsid w:val="00051015"/>
    <w:rsid w:val="000540A6"/>
    <w:rsid w:val="000602DF"/>
    <w:rsid w:val="00061B05"/>
    <w:rsid w:val="000632D5"/>
    <w:rsid w:val="000644EE"/>
    <w:rsid w:val="00076285"/>
    <w:rsid w:val="00080ECE"/>
    <w:rsid w:val="0009057B"/>
    <w:rsid w:val="000925AD"/>
    <w:rsid w:val="000A20EB"/>
    <w:rsid w:val="000A24EB"/>
    <w:rsid w:val="000B5D17"/>
    <w:rsid w:val="000B6923"/>
    <w:rsid w:val="000C38F2"/>
    <w:rsid w:val="000C5F3C"/>
    <w:rsid w:val="000C6DCC"/>
    <w:rsid w:val="000D04C2"/>
    <w:rsid w:val="000D1AD6"/>
    <w:rsid w:val="000D47AA"/>
    <w:rsid w:val="000D721F"/>
    <w:rsid w:val="000E069B"/>
    <w:rsid w:val="000E0E82"/>
    <w:rsid w:val="000E1DC5"/>
    <w:rsid w:val="000E223F"/>
    <w:rsid w:val="000E4AC8"/>
    <w:rsid w:val="000E586C"/>
    <w:rsid w:val="000E7D45"/>
    <w:rsid w:val="000F1305"/>
    <w:rsid w:val="000F19D8"/>
    <w:rsid w:val="000F1EAC"/>
    <w:rsid w:val="000F7851"/>
    <w:rsid w:val="00104E23"/>
    <w:rsid w:val="001067A0"/>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05C1"/>
    <w:rsid w:val="00181508"/>
    <w:rsid w:val="001832BD"/>
    <w:rsid w:val="00187FBB"/>
    <w:rsid w:val="001943B5"/>
    <w:rsid w:val="00194C5B"/>
    <w:rsid w:val="00195134"/>
    <w:rsid w:val="001A145B"/>
    <w:rsid w:val="001A674C"/>
    <w:rsid w:val="001B3B24"/>
    <w:rsid w:val="001B7A40"/>
    <w:rsid w:val="001C0F98"/>
    <w:rsid w:val="001C2A42"/>
    <w:rsid w:val="001C2B5C"/>
    <w:rsid w:val="001D63ED"/>
    <w:rsid w:val="001D7348"/>
    <w:rsid w:val="001E035B"/>
    <w:rsid w:val="001E0961"/>
    <w:rsid w:val="001E2D87"/>
    <w:rsid w:val="001E3EAE"/>
    <w:rsid w:val="001E6F32"/>
    <w:rsid w:val="001F2145"/>
    <w:rsid w:val="001F39F4"/>
    <w:rsid w:val="001F6262"/>
    <w:rsid w:val="001F67B0"/>
    <w:rsid w:val="001F7B3D"/>
    <w:rsid w:val="002039A2"/>
    <w:rsid w:val="00204F24"/>
    <w:rsid w:val="00205F40"/>
    <w:rsid w:val="00205F9F"/>
    <w:rsid w:val="00210338"/>
    <w:rsid w:val="002115FC"/>
    <w:rsid w:val="00211636"/>
    <w:rsid w:val="00212184"/>
    <w:rsid w:val="002141BE"/>
    <w:rsid w:val="0021423C"/>
    <w:rsid w:val="00217C50"/>
    <w:rsid w:val="00223BAD"/>
    <w:rsid w:val="00230D00"/>
    <w:rsid w:val="00231364"/>
    <w:rsid w:val="00231DF7"/>
    <w:rsid w:val="00231FD1"/>
    <w:rsid w:val="002339E0"/>
    <w:rsid w:val="00233CF8"/>
    <w:rsid w:val="0023575D"/>
    <w:rsid w:val="00237148"/>
    <w:rsid w:val="0024222D"/>
    <w:rsid w:val="00244B0E"/>
    <w:rsid w:val="00244F6C"/>
    <w:rsid w:val="002532C5"/>
    <w:rsid w:val="002546AE"/>
    <w:rsid w:val="00256D81"/>
    <w:rsid w:val="00256F45"/>
    <w:rsid w:val="00260C03"/>
    <w:rsid w:val="002617D8"/>
    <w:rsid w:val="0026540E"/>
    <w:rsid w:val="00265848"/>
    <w:rsid w:val="002669A7"/>
    <w:rsid w:val="00275123"/>
    <w:rsid w:val="00282240"/>
    <w:rsid w:val="002948AD"/>
    <w:rsid w:val="0029739C"/>
    <w:rsid w:val="002A01CC"/>
    <w:rsid w:val="002A424F"/>
    <w:rsid w:val="002A440F"/>
    <w:rsid w:val="002A61B1"/>
    <w:rsid w:val="002A663C"/>
    <w:rsid w:val="002A6B0E"/>
    <w:rsid w:val="002B444B"/>
    <w:rsid w:val="002B5887"/>
    <w:rsid w:val="002B7E83"/>
    <w:rsid w:val="002C0E27"/>
    <w:rsid w:val="002C3040"/>
    <w:rsid w:val="002C3FC1"/>
    <w:rsid w:val="002D022D"/>
    <w:rsid w:val="002D24BB"/>
    <w:rsid w:val="002D509D"/>
    <w:rsid w:val="002F29AA"/>
    <w:rsid w:val="002F2AF7"/>
    <w:rsid w:val="002F7E1C"/>
    <w:rsid w:val="00301A75"/>
    <w:rsid w:val="00302F70"/>
    <w:rsid w:val="0030336F"/>
    <w:rsid w:val="0030375E"/>
    <w:rsid w:val="0030660C"/>
    <w:rsid w:val="00312A30"/>
    <w:rsid w:val="00316323"/>
    <w:rsid w:val="00320F72"/>
    <w:rsid w:val="0032463E"/>
    <w:rsid w:val="00326224"/>
    <w:rsid w:val="003363AE"/>
    <w:rsid w:val="00337EE4"/>
    <w:rsid w:val="00340FFD"/>
    <w:rsid w:val="003506B1"/>
    <w:rsid w:val="00356AC7"/>
    <w:rsid w:val="003609FA"/>
    <w:rsid w:val="00361D45"/>
    <w:rsid w:val="00367B4F"/>
    <w:rsid w:val="00370566"/>
    <w:rsid w:val="003710C8"/>
    <w:rsid w:val="003722CE"/>
    <w:rsid w:val="003750BE"/>
    <w:rsid w:val="00387B9D"/>
    <w:rsid w:val="0039364F"/>
    <w:rsid w:val="00396686"/>
    <w:rsid w:val="0039778E"/>
    <w:rsid w:val="003A37B8"/>
    <w:rsid w:val="003B20BD"/>
    <w:rsid w:val="003B4941"/>
    <w:rsid w:val="003B6A2E"/>
    <w:rsid w:val="003B7241"/>
    <w:rsid w:val="003C5714"/>
    <w:rsid w:val="003C6B9F"/>
    <w:rsid w:val="003C6E2A"/>
    <w:rsid w:val="003D0299"/>
    <w:rsid w:val="003D32BE"/>
    <w:rsid w:val="003E2A43"/>
    <w:rsid w:val="003E3FE3"/>
    <w:rsid w:val="003E6D80"/>
    <w:rsid w:val="003E7A9C"/>
    <w:rsid w:val="003F05FA"/>
    <w:rsid w:val="003F244A"/>
    <w:rsid w:val="003F30B8"/>
    <w:rsid w:val="003F4C45"/>
    <w:rsid w:val="003F5F7B"/>
    <w:rsid w:val="003F7D64"/>
    <w:rsid w:val="0040154D"/>
    <w:rsid w:val="00401F7D"/>
    <w:rsid w:val="00406E65"/>
    <w:rsid w:val="0041177B"/>
    <w:rsid w:val="00411EF1"/>
    <w:rsid w:val="00414300"/>
    <w:rsid w:val="00422DBE"/>
    <w:rsid w:val="00425C67"/>
    <w:rsid w:val="00427E7A"/>
    <w:rsid w:val="00431C07"/>
    <w:rsid w:val="004344E6"/>
    <w:rsid w:val="00436C49"/>
    <w:rsid w:val="00444CA5"/>
    <w:rsid w:val="00445366"/>
    <w:rsid w:val="00447F5B"/>
    <w:rsid w:val="004535D1"/>
    <w:rsid w:val="00456549"/>
    <w:rsid w:val="00456A94"/>
    <w:rsid w:val="00456CA3"/>
    <w:rsid w:val="004604A0"/>
    <w:rsid w:val="004611D8"/>
    <w:rsid w:val="00461DB0"/>
    <w:rsid w:val="00463926"/>
    <w:rsid w:val="00464C9A"/>
    <w:rsid w:val="00474444"/>
    <w:rsid w:val="00474F3D"/>
    <w:rsid w:val="00477E3A"/>
    <w:rsid w:val="00482591"/>
    <w:rsid w:val="00483E5F"/>
    <w:rsid w:val="00485FF9"/>
    <w:rsid w:val="004907F0"/>
    <w:rsid w:val="0049140B"/>
    <w:rsid w:val="004923A5"/>
    <w:rsid w:val="00496197"/>
    <w:rsid w:val="00496BFB"/>
    <w:rsid w:val="00497ABC"/>
    <w:rsid w:val="004A15C7"/>
    <w:rsid w:val="004B013B"/>
    <w:rsid w:val="004B112B"/>
    <w:rsid w:val="004C01E4"/>
    <w:rsid w:val="004C086C"/>
    <w:rsid w:val="004C1A3F"/>
    <w:rsid w:val="004C1F56"/>
    <w:rsid w:val="004C27BC"/>
    <w:rsid w:val="004D15F3"/>
    <w:rsid w:val="004D253C"/>
    <w:rsid w:val="004D5311"/>
    <w:rsid w:val="004D5DCC"/>
    <w:rsid w:val="004E22F1"/>
    <w:rsid w:val="004F10AF"/>
    <w:rsid w:val="004F11A4"/>
    <w:rsid w:val="004F2389"/>
    <w:rsid w:val="004F304D"/>
    <w:rsid w:val="004F61BE"/>
    <w:rsid w:val="004F66B1"/>
    <w:rsid w:val="00506DA4"/>
    <w:rsid w:val="00511C07"/>
    <w:rsid w:val="00516B59"/>
    <w:rsid w:val="005173A6"/>
    <w:rsid w:val="005200A9"/>
    <w:rsid w:val="00520BAA"/>
    <w:rsid w:val="00522ABA"/>
    <w:rsid w:val="00525208"/>
    <w:rsid w:val="005257A5"/>
    <w:rsid w:val="005264C0"/>
    <w:rsid w:val="00526A8A"/>
    <w:rsid w:val="00531DF2"/>
    <w:rsid w:val="005442EE"/>
    <w:rsid w:val="00547353"/>
    <w:rsid w:val="0054748E"/>
    <w:rsid w:val="005474E7"/>
    <w:rsid w:val="0055094D"/>
    <w:rsid w:val="005512A3"/>
    <w:rsid w:val="005578CE"/>
    <w:rsid w:val="00562781"/>
    <w:rsid w:val="00565148"/>
    <w:rsid w:val="00566E2B"/>
    <w:rsid w:val="0056771D"/>
    <w:rsid w:val="0057271C"/>
    <w:rsid w:val="00572845"/>
    <w:rsid w:val="00573D3F"/>
    <w:rsid w:val="00576986"/>
    <w:rsid w:val="00586402"/>
    <w:rsid w:val="00592772"/>
    <w:rsid w:val="00592C8D"/>
    <w:rsid w:val="0059574A"/>
    <w:rsid w:val="005A1B9B"/>
    <w:rsid w:val="005A3433"/>
    <w:rsid w:val="005A6751"/>
    <w:rsid w:val="005B092E"/>
    <w:rsid w:val="005B152C"/>
    <w:rsid w:val="005B1EE0"/>
    <w:rsid w:val="005B2B24"/>
    <w:rsid w:val="005B4425"/>
    <w:rsid w:val="005B4B94"/>
    <w:rsid w:val="005B4D64"/>
    <w:rsid w:val="005C1212"/>
    <w:rsid w:val="005C353F"/>
    <w:rsid w:val="005C3EE8"/>
    <w:rsid w:val="005D34F9"/>
    <w:rsid w:val="005D3F05"/>
    <w:rsid w:val="005D4190"/>
    <w:rsid w:val="005D67A3"/>
    <w:rsid w:val="005E2988"/>
    <w:rsid w:val="005E3085"/>
    <w:rsid w:val="005F51E1"/>
    <w:rsid w:val="00611C80"/>
    <w:rsid w:val="00613B21"/>
    <w:rsid w:val="00620692"/>
    <w:rsid w:val="00623052"/>
    <w:rsid w:val="006242CA"/>
    <w:rsid w:val="0062613B"/>
    <w:rsid w:val="00627507"/>
    <w:rsid w:val="00633717"/>
    <w:rsid w:val="006344E1"/>
    <w:rsid w:val="006361FD"/>
    <w:rsid w:val="006545C4"/>
    <w:rsid w:val="00654DD5"/>
    <w:rsid w:val="00661971"/>
    <w:rsid w:val="00661CE8"/>
    <w:rsid w:val="006623D9"/>
    <w:rsid w:val="00662882"/>
    <w:rsid w:val="0066550C"/>
    <w:rsid w:val="00667BCE"/>
    <w:rsid w:val="006716F2"/>
    <w:rsid w:val="00682BF2"/>
    <w:rsid w:val="0068542F"/>
    <w:rsid w:val="006859CE"/>
    <w:rsid w:val="00691270"/>
    <w:rsid w:val="00694BA8"/>
    <w:rsid w:val="00695BDC"/>
    <w:rsid w:val="006A037C"/>
    <w:rsid w:val="006A36F4"/>
    <w:rsid w:val="006A406F"/>
    <w:rsid w:val="006A5D3A"/>
    <w:rsid w:val="006B7839"/>
    <w:rsid w:val="006B794F"/>
    <w:rsid w:val="006C23D4"/>
    <w:rsid w:val="006C2A0A"/>
    <w:rsid w:val="006C475E"/>
    <w:rsid w:val="006C6718"/>
    <w:rsid w:val="006C7BB0"/>
    <w:rsid w:val="006D3237"/>
    <w:rsid w:val="006E2E37"/>
    <w:rsid w:val="006E3CF1"/>
    <w:rsid w:val="006E3F45"/>
    <w:rsid w:val="006E7E80"/>
    <w:rsid w:val="006F3AC7"/>
    <w:rsid w:val="006F48CA"/>
    <w:rsid w:val="006F64DD"/>
    <w:rsid w:val="00715127"/>
    <w:rsid w:val="00715E8E"/>
    <w:rsid w:val="007172B0"/>
    <w:rsid w:val="00722F8C"/>
    <w:rsid w:val="00723580"/>
    <w:rsid w:val="00723755"/>
    <w:rsid w:val="00723AD8"/>
    <w:rsid w:val="00724AE2"/>
    <w:rsid w:val="0073136C"/>
    <w:rsid w:val="00731F0F"/>
    <w:rsid w:val="00733250"/>
    <w:rsid w:val="00735951"/>
    <w:rsid w:val="00737720"/>
    <w:rsid w:val="00741404"/>
    <w:rsid w:val="007449E5"/>
    <w:rsid w:val="00747FF0"/>
    <w:rsid w:val="007612E2"/>
    <w:rsid w:val="00764D4E"/>
    <w:rsid w:val="00765A1F"/>
    <w:rsid w:val="00775B6D"/>
    <w:rsid w:val="00776D68"/>
    <w:rsid w:val="007850EE"/>
    <w:rsid w:val="00785B95"/>
    <w:rsid w:val="00787576"/>
    <w:rsid w:val="00790AAD"/>
    <w:rsid w:val="00790E96"/>
    <w:rsid w:val="007913C2"/>
    <w:rsid w:val="007920F9"/>
    <w:rsid w:val="00793366"/>
    <w:rsid w:val="007971FF"/>
    <w:rsid w:val="007A4070"/>
    <w:rsid w:val="007A716F"/>
    <w:rsid w:val="007B270A"/>
    <w:rsid w:val="007C0695"/>
    <w:rsid w:val="007C1FCE"/>
    <w:rsid w:val="007C3083"/>
    <w:rsid w:val="007C419A"/>
    <w:rsid w:val="007C4CC8"/>
    <w:rsid w:val="007C5426"/>
    <w:rsid w:val="007C5798"/>
    <w:rsid w:val="007D0EF1"/>
    <w:rsid w:val="007D2947"/>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46D50"/>
    <w:rsid w:val="00847ADA"/>
    <w:rsid w:val="00851EF9"/>
    <w:rsid w:val="0085401B"/>
    <w:rsid w:val="008577FD"/>
    <w:rsid w:val="00860B03"/>
    <w:rsid w:val="0086497A"/>
    <w:rsid w:val="00865AF5"/>
    <w:rsid w:val="008713A1"/>
    <w:rsid w:val="00873D9C"/>
    <w:rsid w:val="008748BE"/>
    <w:rsid w:val="008754AB"/>
    <w:rsid w:val="00876A02"/>
    <w:rsid w:val="00876F03"/>
    <w:rsid w:val="0088060C"/>
    <w:rsid w:val="00882490"/>
    <w:rsid w:val="00891107"/>
    <w:rsid w:val="00893576"/>
    <w:rsid w:val="00893E73"/>
    <w:rsid w:val="00893F30"/>
    <w:rsid w:val="00895F5B"/>
    <w:rsid w:val="008A17B3"/>
    <w:rsid w:val="008B02DC"/>
    <w:rsid w:val="008B2698"/>
    <w:rsid w:val="008B33FD"/>
    <w:rsid w:val="008B57CE"/>
    <w:rsid w:val="008C26DE"/>
    <w:rsid w:val="008D0ECD"/>
    <w:rsid w:val="008D2093"/>
    <w:rsid w:val="008D2225"/>
    <w:rsid w:val="008D4752"/>
    <w:rsid w:val="008E271C"/>
    <w:rsid w:val="008E418E"/>
    <w:rsid w:val="008E5BC6"/>
    <w:rsid w:val="008E6A25"/>
    <w:rsid w:val="008E7A1B"/>
    <w:rsid w:val="008F3C79"/>
    <w:rsid w:val="008F5193"/>
    <w:rsid w:val="009013A7"/>
    <w:rsid w:val="009017FB"/>
    <w:rsid w:val="009017FC"/>
    <w:rsid w:val="009020E3"/>
    <w:rsid w:val="00902601"/>
    <w:rsid w:val="0090506B"/>
    <w:rsid w:val="009050C9"/>
    <w:rsid w:val="009066FC"/>
    <w:rsid w:val="009140A3"/>
    <w:rsid w:val="009144A2"/>
    <w:rsid w:val="0091510C"/>
    <w:rsid w:val="00924CC6"/>
    <w:rsid w:val="009259AC"/>
    <w:rsid w:val="00926F38"/>
    <w:rsid w:val="00934301"/>
    <w:rsid w:val="00936CD1"/>
    <w:rsid w:val="009375A5"/>
    <w:rsid w:val="00941747"/>
    <w:rsid w:val="00941EFB"/>
    <w:rsid w:val="00947AFB"/>
    <w:rsid w:val="00951D7D"/>
    <w:rsid w:val="00954AD6"/>
    <w:rsid w:val="009630C7"/>
    <w:rsid w:val="00967074"/>
    <w:rsid w:val="00972B55"/>
    <w:rsid w:val="009743B7"/>
    <w:rsid w:val="00975039"/>
    <w:rsid w:val="00977227"/>
    <w:rsid w:val="0098228B"/>
    <w:rsid w:val="009828DA"/>
    <w:rsid w:val="00982A6A"/>
    <w:rsid w:val="00985BAB"/>
    <w:rsid w:val="009962A5"/>
    <w:rsid w:val="009B1B5F"/>
    <w:rsid w:val="009B6673"/>
    <w:rsid w:val="009C191B"/>
    <w:rsid w:val="009C2BD6"/>
    <w:rsid w:val="009D2F52"/>
    <w:rsid w:val="009D43A0"/>
    <w:rsid w:val="009E16D2"/>
    <w:rsid w:val="009E1F32"/>
    <w:rsid w:val="009E3A9E"/>
    <w:rsid w:val="009E776C"/>
    <w:rsid w:val="009F610F"/>
    <w:rsid w:val="00A00672"/>
    <w:rsid w:val="00A132AD"/>
    <w:rsid w:val="00A1726E"/>
    <w:rsid w:val="00A204CF"/>
    <w:rsid w:val="00A21624"/>
    <w:rsid w:val="00A23D49"/>
    <w:rsid w:val="00A27004"/>
    <w:rsid w:val="00A30C29"/>
    <w:rsid w:val="00A34DD6"/>
    <w:rsid w:val="00A36819"/>
    <w:rsid w:val="00A36989"/>
    <w:rsid w:val="00A430BD"/>
    <w:rsid w:val="00A43628"/>
    <w:rsid w:val="00A43AA3"/>
    <w:rsid w:val="00A45145"/>
    <w:rsid w:val="00A475C2"/>
    <w:rsid w:val="00A4783F"/>
    <w:rsid w:val="00A54192"/>
    <w:rsid w:val="00A6035E"/>
    <w:rsid w:val="00A6144C"/>
    <w:rsid w:val="00A66617"/>
    <w:rsid w:val="00A671F8"/>
    <w:rsid w:val="00A673A4"/>
    <w:rsid w:val="00A724AE"/>
    <w:rsid w:val="00A73329"/>
    <w:rsid w:val="00A75785"/>
    <w:rsid w:val="00A82359"/>
    <w:rsid w:val="00A83146"/>
    <w:rsid w:val="00A865D2"/>
    <w:rsid w:val="00A9072B"/>
    <w:rsid w:val="00A94C20"/>
    <w:rsid w:val="00AA227F"/>
    <w:rsid w:val="00AA3BC7"/>
    <w:rsid w:val="00AA754A"/>
    <w:rsid w:val="00AB099E"/>
    <w:rsid w:val="00AB4328"/>
    <w:rsid w:val="00AB5628"/>
    <w:rsid w:val="00AC00C2"/>
    <w:rsid w:val="00AC5872"/>
    <w:rsid w:val="00AD2F6C"/>
    <w:rsid w:val="00AE0A2E"/>
    <w:rsid w:val="00AE354C"/>
    <w:rsid w:val="00AF20E3"/>
    <w:rsid w:val="00AF4B07"/>
    <w:rsid w:val="00AF6066"/>
    <w:rsid w:val="00AF6186"/>
    <w:rsid w:val="00AF7A3A"/>
    <w:rsid w:val="00B009F4"/>
    <w:rsid w:val="00B1033E"/>
    <w:rsid w:val="00B160DB"/>
    <w:rsid w:val="00B20836"/>
    <w:rsid w:val="00B235BB"/>
    <w:rsid w:val="00B25320"/>
    <w:rsid w:val="00B25943"/>
    <w:rsid w:val="00B25D3B"/>
    <w:rsid w:val="00B27A44"/>
    <w:rsid w:val="00B30BBF"/>
    <w:rsid w:val="00B33C03"/>
    <w:rsid w:val="00B44E56"/>
    <w:rsid w:val="00B459EF"/>
    <w:rsid w:val="00B46543"/>
    <w:rsid w:val="00B47D33"/>
    <w:rsid w:val="00B52BE0"/>
    <w:rsid w:val="00B54133"/>
    <w:rsid w:val="00B64307"/>
    <w:rsid w:val="00B6484B"/>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2B80"/>
    <w:rsid w:val="00BE3774"/>
    <w:rsid w:val="00BE41E5"/>
    <w:rsid w:val="00BE747E"/>
    <w:rsid w:val="00BF4109"/>
    <w:rsid w:val="00BF4CC3"/>
    <w:rsid w:val="00BF7D75"/>
    <w:rsid w:val="00C000B8"/>
    <w:rsid w:val="00C00E59"/>
    <w:rsid w:val="00C054C7"/>
    <w:rsid w:val="00C057B5"/>
    <w:rsid w:val="00C149F0"/>
    <w:rsid w:val="00C21AD1"/>
    <w:rsid w:val="00C22687"/>
    <w:rsid w:val="00C25983"/>
    <w:rsid w:val="00C32E4D"/>
    <w:rsid w:val="00C333A0"/>
    <w:rsid w:val="00C36408"/>
    <w:rsid w:val="00C36A81"/>
    <w:rsid w:val="00C41974"/>
    <w:rsid w:val="00C438A6"/>
    <w:rsid w:val="00C45616"/>
    <w:rsid w:val="00C53F4A"/>
    <w:rsid w:val="00C54125"/>
    <w:rsid w:val="00C54413"/>
    <w:rsid w:val="00C55B54"/>
    <w:rsid w:val="00C6098E"/>
    <w:rsid w:val="00C6152C"/>
    <w:rsid w:val="00C71F7B"/>
    <w:rsid w:val="00C74810"/>
    <w:rsid w:val="00C770BD"/>
    <w:rsid w:val="00C81ACF"/>
    <w:rsid w:val="00C90D68"/>
    <w:rsid w:val="00C91F9D"/>
    <w:rsid w:val="00C938DF"/>
    <w:rsid w:val="00C939FE"/>
    <w:rsid w:val="00CA4BDA"/>
    <w:rsid w:val="00CA7C61"/>
    <w:rsid w:val="00CB1F66"/>
    <w:rsid w:val="00CB2951"/>
    <w:rsid w:val="00CC1663"/>
    <w:rsid w:val="00CD282B"/>
    <w:rsid w:val="00CD2C32"/>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2471C"/>
    <w:rsid w:val="00D343E2"/>
    <w:rsid w:val="00D350AE"/>
    <w:rsid w:val="00D361A2"/>
    <w:rsid w:val="00D37258"/>
    <w:rsid w:val="00D4376C"/>
    <w:rsid w:val="00D44C2E"/>
    <w:rsid w:val="00D45414"/>
    <w:rsid w:val="00D54FF1"/>
    <w:rsid w:val="00D55E2C"/>
    <w:rsid w:val="00D566BD"/>
    <w:rsid w:val="00D57A4D"/>
    <w:rsid w:val="00D60AA7"/>
    <w:rsid w:val="00D62A67"/>
    <w:rsid w:val="00D634A0"/>
    <w:rsid w:val="00D6435F"/>
    <w:rsid w:val="00D67110"/>
    <w:rsid w:val="00D75E28"/>
    <w:rsid w:val="00D76FF0"/>
    <w:rsid w:val="00D772C2"/>
    <w:rsid w:val="00D8008E"/>
    <w:rsid w:val="00D82C45"/>
    <w:rsid w:val="00D83E81"/>
    <w:rsid w:val="00D86122"/>
    <w:rsid w:val="00D908A8"/>
    <w:rsid w:val="00D977B6"/>
    <w:rsid w:val="00DA3634"/>
    <w:rsid w:val="00DA4A31"/>
    <w:rsid w:val="00DA7B04"/>
    <w:rsid w:val="00DB36C2"/>
    <w:rsid w:val="00DB5CBD"/>
    <w:rsid w:val="00DB7925"/>
    <w:rsid w:val="00DC169B"/>
    <w:rsid w:val="00DC2AB9"/>
    <w:rsid w:val="00DC63F0"/>
    <w:rsid w:val="00DD34E3"/>
    <w:rsid w:val="00DD5382"/>
    <w:rsid w:val="00DD6EE5"/>
    <w:rsid w:val="00DE05D2"/>
    <w:rsid w:val="00DE2362"/>
    <w:rsid w:val="00DE386C"/>
    <w:rsid w:val="00DE4D35"/>
    <w:rsid w:val="00DF098B"/>
    <w:rsid w:val="00DF11C4"/>
    <w:rsid w:val="00DF210C"/>
    <w:rsid w:val="00DF4B6A"/>
    <w:rsid w:val="00E02C09"/>
    <w:rsid w:val="00E04D59"/>
    <w:rsid w:val="00E0786E"/>
    <w:rsid w:val="00E07DA1"/>
    <w:rsid w:val="00E123CB"/>
    <w:rsid w:val="00E14135"/>
    <w:rsid w:val="00E20E13"/>
    <w:rsid w:val="00E21DBC"/>
    <w:rsid w:val="00E253F9"/>
    <w:rsid w:val="00E263D2"/>
    <w:rsid w:val="00E275D7"/>
    <w:rsid w:val="00E27DBE"/>
    <w:rsid w:val="00E32AB1"/>
    <w:rsid w:val="00E36C71"/>
    <w:rsid w:val="00E40404"/>
    <w:rsid w:val="00E459C6"/>
    <w:rsid w:val="00E473B2"/>
    <w:rsid w:val="00E47589"/>
    <w:rsid w:val="00E64915"/>
    <w:rsid w:val="00E661D4"/>
    <w:rsid w:val="00E70091"/>
    <w:rsid w:val="00E71190"/>
    <w:rsid w:val="00E720F5"/>
    <w:rsid w:val="00E76D47"/>
    <w:rsid w:val="00E849F7"/>
    <w:rsid w:val="00E90302"/>
    <w:rsid w:val="00E97396"/>
    <w:rsid w:val="00EA185E"/>
    <w:rsid w:val="00EA592A"/>
    <w:rsid w:val="00EB14E4"/>
    <w:rsid w:val="00EB182B"/>
    <w:rsid w:val="00EB1CE2"/>
    <w:rsid w:val="00EB32A5"/>
    <w:rsid w:val="00EB34ED"/>
    <w:rsid w:val="00EB4A37"/>
    <w:rsid w:val="00EB7BE0"/>
    <w:rsid w:val="00EC315E"/>
    <w:rsid w:val="00EC58D1"/>
    <w:rsid w:val="00ED077C"/>
    <w:rsid w:val="00ED1190"/>
    <w:rsid w:val="00ED6544"/>
    <w:rsid w:val="00EE0277"/>
    <w:rsid w:val="00EE3E00"/>
    <w:rsid w:val="00EE498E"/>
    <w:rsid w:val="00EE5DD2"/>
    <w:rsid w:val="00EF4AFE"/>
    <w:rsid w:val="00EF6BF0"/>
    <w:rsid w:val="00F00A79"/>
    <w:rsid w:val="00F00E86"/>
    <w:rsid w:val="00F07C1E"/>
    <w:rsid w:val="00F105DB"/>
    <w:rsid w:val="00F132BC"/>
    <w:rsid w:val="00F13D80"/>
    <w:rsid w:val="00F16AAA"/>
    <w:rsid w:val="00F21161"/>
    <w:rsid w:val="00F218EF"/>
    <w:rsid w:val="00F21BC7"/>
    <w:rsid w:val="00F266A2"/>
    <w:rsid w:val="00F27D13"/>
    <w:rsid w:val="00F306E5"/>
    <w:rsid w:val="00F32269"/>
    <w:rsid w:val="00F56A6F"/>
    <w:rsid w:val="00F56D4E"/>
    <w:rsid w:val="00F5709C"/>
    <w:rsid w:val="00F626DA"/>
    <w:rsid w:val="00F64EF1"/>
    <w:rsid w:val="00F659F3"/>
    <w:rsid w:val="00F671EB"/>
    <w:rsid w:val="00F76C96"/>
    <w:rsid w:val="00F83589"/>
    <w:rsid w:val="00F83A0D"/>
    <w:rsid w:val="00F8765F"/>
    <w:rsid w:val="00F90767"/>
    <w:rsid w:val="00F912E4"/>
    <w:rsid w:val="00F94531"/>
    <w:rsid w:val="00F9588E"/>
    <w:rsid w:val="00FA561C"/>
    <w:rsid w:val="00FA685B"/>
    <w:rsid w:val="00FB0C01"/>
    <w:rsid w:val="00FC18F2"/>
    <w:rsid w:val="00FC39E5"/>
    <w:rsid w:val="00FC3A78"/>
    <w:rsid w:val="00FD1005"/>
    <w:rsid w:val="00FD61AA"/>
    <w:rsid w:val="00FD6C75"/>
    <w:rsid w:val="00FD7649"/>
    <w:rsid w:val="00FE4000"/>
    <w:rsid w:val="00FE5140"/>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94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B6484B"/>
    <w:rPr>
      <w:sz w:val="24"/>
      <w:szCs w:val="24"/>
      <w:lang w:val="fr-FR"/>
    </w:rPr>
  </w:style>
  <w:style w:type="paragraph" w:styleId="Nagwek1">
    <w:name w:val="heading 1"/>
    <w:basedOn w:val="Normalny"/>
    <w:next w:val="Normalny"/>
    <w:link w:val="Nagwek1Znak"/>
    <w:uiPriority w:val="98"/>
    <w:semiHidden/>
    <w:rsid w:val="00B6484B"/>
    <w:pPr>
      <w:spacing w:before="480"/>
      <w:contextualSpacing/>
      <w:outlineLvl w:val="0"/>
    </w:pPr>
    <w:rPr>
      <w:rFonts w:asciiTheme="majorHAnsi" w:eastAsiaTheme="majorEastAsia" w:hAnsiTheme="majorHAnsi" w:cstheme="majorBidi"/>
      <w:b/>
      <w:bCs/>
      <w:color w:val="333333"/>
      <w:sz w:val="28"/>
      <w:szCs w:val="28"/>
      <w:lang w:val="en-GB"/>
    </w:rPr>
  </w:style>
  <w:style w:type="paragraph" w:styleId="Nagwek2">
    <w:name w:val="heading 2"/>
    <w:basedOn w:val="Normalny"/>
    <w:next w:val="Normalny"/>
    <w:link w:val="Nagwek2Znak"/>
    <w:uiPriority w:val="98"/>
    <w:semiHidden/>
    <w:rsid w:val="00B6484B"/>
    <w:pPr>
      <w:spacing w:before="200"/>
      <w:outlineLvl w:val="1"/>
    </w:pPr>
    <w:rPr>
      <w:rFonts w:asciiTheme="majorHAnsi" w:eastAsiaTheme="majorEastAsia" w:hAnsiTheme="majorHAnsi" w:cstheme="majorBidi"/>
      <w:b/>
      <w:bCs/>
      <w:color w:val="4D4D4D"/>
      <w:sz w:val="26"/>
      <w:szCs w:val="26"/>
      <w:lang w:val="en-GB"/>
    </w:rPr>
  </w:style>
  <w:style w:type="paragraph" w:styleId="Nagwek3">
    <w:name w:val="heading 3"/>
    <w:basedOn w:val="Normalny"/>
    <w:next w:val="Normalny"/>
    <w:link w:val="Nagwek3Znak"/>
    <w:uiPriority w:val="98"/>
    <w:semiHidden/>
    <w:rsid w:val="00B6484B"/>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Nagwek4">
    <w:name w:val="heading 4"/>
    <w:basedOn w:val="Normalny"/>
    <w:next w:val="Normalny"/>
    <w:link w:val="Nagwek4Znak"/>
    <w:uiPriority w:val="98"/>
    <w:semiHidden/>
    <w:rsid w:val="00B6484B"/>
    <w:pPr>
      <w:spacing w:before="200"/>
      <w:outlineLvl w:val="3"/>
    </w:pPr>
    <w:rPr>
      <w:rFonts w:asciiTheme="majorHAnsi" w:eastAsiaTheme="majorEastAsia" w:hAnsiTheme="majorHAnsi" w:cstheme="majorBidi"/>
      <w:b/>
      <w:bCs/>
      <w:i/>
      <w:iCs/>
      <w:color w:val="777777"/>
      <w:sz w:val="22"/>
      <w:szCs w:val="22"/>
      <w:lang w:val="en-GB"/>
    </w:rPr>
  </w:style>
  <w:style w:type="paragraph" w:styleId="Nagwek5">
    <w:name w:val="heading 5"/>
    <w:basedOn w:val="Normalny"/>
    <w:next w:val="Normalny"/>
    <w:link w:val="Nagwek5Znak"/>
    <w:uiPriority w:val="98"/>
    <w:semiHidden/>
    <w:qFormat/>
    <w:rsid w:val="00B6484B"/>
    <w:pPr>
      <w:spacing w:before="200"/>
      <w:outlineLvl w:val="4"/>
    </w:pPr>
    <w:rPr>
      <w:rFonts w:asciiTheme="majorHAnsi" w:eastAsiaTheme="majorEastAsia" w:hAnsiTheme="majorHAnsi" w:cstheme="majorBidi"/>
      <w:b/>
      <w:bCs/>
      <w:color w:val="808080"/>
      <w:sz w:val="22"/>
      <w:szCs w:val="22"/>
      <w:lang w:val="en-GB"/>
    </w:rPr>
  </w:style>
  <w:style w:type="paragraph" w:styleId="Nagwek6">
    <w:name w:val="heading 6"/>
    <w:basedOn w:val="Normalny"/>
    <w:next w:val="Normalny"/>
    <w:link w:val="Nagwek6Znak"/>
    <w:uiPriority w:val="98"/>
    <w:semiHidden/>
    <w:rsid w:val="00B6484B"/>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Nagwek7">
    <w:name w:val="heading 7"/>
    <w:basedOn w:val="Normalny"/>
    <w:next w:val="Normalny"/>
    <w:link w:val="Nagwek7Znak"/>
    <w:uiPriority w:val="98"/>
    <w:semiHidden/>
    <w:qFormat/>
    <w:rsid w:val="00B6484B"/>
    <w:pPr>
      <w:outlineLvl w:val="6"/>
    </w:pPr>
    <w:rPr>
      <w:rFonts w:asciiTheme="majorHAnsi" w:eastAsiaTheme="majorEastAsia" w:hAnsiTheme="majorHAnsi" w:cstheme="majorBidi"/>
      <w:i/>
      <w:iCs/>
      <w:sz w:val="22"/>
      <w:szCs w:val="22"/>
      <w:lang w:val="en-GB" w:bidi="en-US"/>
    </w:rPr>
  </w:style>
  <w:style w:type="paragraph" w:styleId="Nagwek8">
    <w:name w:val="heading 8"/>
    <w:basedOn w:val="Normalny"/>
    <w:next w:val="Normalny"/>
    <w:link w:val="Nagwek8Znak"/>
    <w:uiPriority w:val="98"/>
    <w:semiHidden/>
    <w:qFormat/>
    <w:rsid w:val="00B6484B"/>
    <w:pPr>
      <w:outlineLvl w:val="7"/>
    </w:pPr>
    <w:rPr>
      <w:rFonts w:asciiTheme="majorHAnsi" w:eastAsiaTheme="majorEastAsia" w:hAnsiTheme="majorHAnsi" w:cstheme="majorBidi"/>
      <w:sz w:val="20"/>
      <w:szCs w:val="20"/>
      <w:lang w:val="en-GB" w:bidi="en-US"/>
    </w:rPr>
  </w:style>
  <w:style w:type="paragraph" w:styleId="Nagwek9">
    <w:name w:val="heading 9"/>
    <w:basedOn w:val="Normalny"/>
    <w:next w:val="Normalny"/>
    <w:link w:val="Nagwek9Znak"/>
    <w:uiPriority w:val="98"/>
    <w:semiHidden/>
    <w:qFormat/>
    <w:rsid w:val="00B6484B"/>
    <w:pPr>
      <w:outlineLvl w:val="8"/>
    </w:pPr>
    <w:rPr>
      <w:rFonts w:asciiTheme="majorHAnsi" w:eastAsiaTheme="majorEastAsia" w:hAnsiTheme="majorHAnsi" w:cstheme="majorBidi"/>
      <w:i/>
      <w:iCs/>
      <w:spacing w:val="5"/>
      <w:sz w:val="20"/>
      <w:szCs w:val="20"/>
      <w:lang w:val="en-GB"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B6484B"/>
    <w:rPr>
      <w:rFonts w:ascii="Tahoma" w:hAnsi="Tahoma" w:cs="Tahoma"/>
      <w:sz w:val="16"/>
      <w:szCs w:val="16"/>
    </w:rPr>
  </w:style>
  <w:style w:type="character" w:customStyle="1" w:styleId="TekstdymkaZnak">
    <w:name w:val="Tekst dymka Znak"/>
    <w:basedOn w:val="Domylnaczcionkaakapitu"/>
    <w:link w:val="Tekstdymka"/>
    <w:uiPriority w:val="98"/>
    <w:semiHidden/>
    <w:rsid w:val="00B6484B"/>
    <w:rPr>
      <w:rFonts w:ascii="Tahoma" w:hAnsi="Tahoma" w:cs="Tahoma"/>
      <w:sz w:val="16"/>
      <w:szCs w:val="16"/>
      <w:lang w:val="fr-FR"/>
    </w:rPr>
  </w:style>
  <w:style w:type="character" w:styleId="Tytuksiki">
    <w:name w:val="Book Title"/>
    <w:uiPriority w:val="98"/>
    <w:semiHidden/>
    <w:qFormat/>
    <w:rsid w:val="00B6484B"/>
    <w:rPr>
      <w:i/>
      <w:iCs/>
      <w:smallCaps/>
      <w:spacing w:val="5"/>
    </w:rPr>
  </w:style>
  <w:style w:type="paragraph" w:customStyle="1" w:styleId="JuHeader">
    <w:name w:val="Ju_Header"/>
    <w:aliases w:val="_Header"/>
    <w:basedOn w:val="Nagwek"/>
    <w:uiPriority w:val="29"/>
    <w:qFormat/>
    <w:rsid w:val="00B6484B"/>
    <w:pPr>
      <w:tabs>
        <w:tab w:val="clear" w:pos="4536"/>
        <w:tab w:val="clear" w:pos="9072"/>
      </w:tabs>
      <w:jc w:val="center"/>
    </w:pPr>
    <w:rPr>
      <w:sz w:val="18"/>
    </w:rPr>
  </w:style>
  <w:style w:type="paragraph" w:customStyle="1" w:styleId="DecList">
    <w:name w:val="Dec_List"/>
    <w:aliases w:val="_List"/>
    <w:basedOn w:val="JuList"/>
    <w:uiPriority w:val="22"/>
    <w:rsid w:val="00B6484B"/>
    <w:pPr>
      <w:numPr>
        <w:numId w:val="0"/>
      </w:numPr>
      <w:ind w:left="284"/>
    </w:pPr>
  </w:style>
  <w:style w:type="character" w:styleId="Pogrubienie">
    <w:name w:val="Strong"/>
    <w:uiPriority w:val="98"/>
    <w:semiHidden/>
    <w:qFormat/>
    <w:rsid w:val="00B6484B"/>
    <w:rPr>
      <w:b/>
      <w:bCs/>
    </w:rPr>
  </w:style>
  <w:style w:type="paragraph" w:styleId="Bezodstpw">
    <w:name w:val="No Spacing"/>
    <w:basedOn w:val="Normalny"/>
    <w:link w:val="BezodstpwZnak"/>
    <w:uiPriority w:val="98"/>
    <w:semiHidden/>
    <w:qFormat/>
    <w:rsid w:val="00B6484B"/>
  </w:style>
  <w:style w:type="character" w:customStyle="1" w:styleId="BezodstpwZnak">
    <w:name w:val="Bez odstępów Znak"/>
    <w:basedOn w:val="Domylnaczcionkaakapitu"/>
    <w:link w:val="Bezodstpw"/>
    <w:uiPriority w:val="98"/>
    <w:semiHidden/>
    <w:rsid w:val="00B6484B"/>
    <w:rPr>
      <w:sz w:val="24"/>
      <w:szCs w:val="24"/>
      <w:lang w:val="fr-FR"/>
    </w:rPr>
  </w:style>
  <w:style w:type="paragraph" w:customStyle="1" w:styleId="JuQuot">
    <w:name w:val="Ju_Quot"/>
    <w:aliases w:val="_Quote"/>
    <w:basedOn w:val="NormalJustified"/>
    <w:uiPriority w:val="20"/>
    <w:qFormat/>
    <w:rsid w:val="00B6484B"/>
    <w:pPr>
      <w:spacing w:before="120" w:after="120"/>
      <w:ind w:left="425" w:firstLine="142"/>
    </w:pPr>
    <w:rPr>
      <w:sz w:val="20"/>
    </w:rPr>
  </w:style>
  <w:style w:type="paragraph" w:customStyle="1" w:styleId="JuList">
    <w:name w:val="Ju_List"/>
    <w:aliases w:val="_List_1"/>
    <w:basedOn w:val="NormalJustified"/>
    <w:uiPriority w:val="23"/>
    <w:qFormat/>
    <w:rsid w:val="00B6484B"/>
    <w:pPr>
      <w:numPr>
        <w:numId w:val="7"/>
      </w:numPr>
      <w:spacing w:before="280" w:after="60"/>
    </w:pPr>
  </w:style>
  <w:style w:type="paragraph" w:customStyle="1" w:styleId="JuLista">
    <w:name w:val="Ju_List_a"/>
    <w:aliases w:val="_List_2"/>
    <w:basedOn w:val="NormalJustified"/>
    <w:uiPriority w:val="23"/>
    <w:rsid w:val="00B6484B"/>
    <w:pPr>
      <w:numPr>
        <w:ilvl w:val="1"/>
        <w:numId w:val="7"/>
      </w:numPr>
    </w:pPr>
  </w:style>
  <w:style w:type="paragraph" w:customStyle="1" w:styleId="JuListi">
    <w:name w:val="Ju_List_i"/>
    <w:aliases w:val="_List_3"/>
    <w:basedOn w:val="NormalJustified"/>
    <w:uiPriority w:val="23"/>
    <w:rsid w:val="00B6484B"/>
    <w:pPr>
      <w:numPr>
        <w:ilvl w:val="2"/>
        <w:numId w:val="7"/>
      </w:numPr>
    </w:pPr>
  </w:style>
  <w:style w:type="paragraph" w:customStyle="1" w:styleId="DecHTitle">
    <w:name w:val="Dec_H_Title"/>
    <w:aliases w:val="_Title_1"/>
    <w:basedOn w:val="JuPara"/>
    <w:next w:val="JuPara"/>
    <w:uiPriority w:val="38"/>
    <w:qFormat/>
    <w:rsid w:val="00B6484B"/>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B6484B"/>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B6484B"/>
    <w:pPr>
      <w:keepNext/>
      <w:keepLines/>
      <w:tabs>
        <w:tab w:val="right" w:pos="7938"/>
      </w:tabs>
      <w:ind w:firstLine="0"/>
      <w:jc w:val="center"/>
    </w:pPr>
    <w:rPr>
      <w:i/>
    </w:rPr>
  </w:style>
  <w:style w:type="numbering" w:customStyle="1" w:styleId="ECHRA1StyleBulletedSquare">
    <w:name w:val="ECHR_A1_Style_Bulleted_Square"/>
    <w:basedOn w:val="Bezlisty"/>
    <w:rsid w:val="00B6484B"/>
    <w:pPr>
      <w:numPr>
        <w:numId w:val="6"/>
      </w:numPr>
    </w:pPr>
  </w:style>
  <w:style w:type="paragraph" w:customStyle="1" w:styleId="JuHHead">
    <w:name w:val="Ju_H_Head"/>
    <w:aliases w:val="_Head_1"/>
    <w:basedOn w:val="Nagwek1"/>
    <w:next w:val="JuPara"/>
    <w:uiPriority w:val="17"/>
    <w:qFormat/>
    <w:rsid w:val="00B6484B"/>
    <w:pPr>
      <w:keepNext/>
      <w:keepLines/>
      <w:numPr>
        <w:numId w:val="2"/>
      </w:numPr>
      <w:spacing w:before="100" w:beforeAutospacing="1" w:after="240"/>
      <w:contextualSpacing w:val="0"/>
    </w:pPr>
    <w:rPr>
      <w:b w:val="0"/>
      <w:caps/>
      <w:color w:val="auto"/>
    </w:rPr>
  </w:style>
  <w:style w:type="numbering" w:customStyle="1" w:styleId="ECHRA1StyleList">
    <w:name w:val="ECHR_A1_Style_List"/>
    <w:basedOn w:val="Bezlisty"/>
    <w:uiPriority w:val="99"/>
    <w:rsid w:val="00B6484B"/>
    <w:pPr>
      <w:numPr>
        <w:numId w:val="7"/>
      </w:numPr>
    </w:pPr>
  </w:style>
  <w:style w:type="paragraph" w:customStyle="1" w:styleId="JuSigned">
    <w:name w:val="Ju_Signed"/>
    <w:aliases w:val="_Signature"/>
    <w:basedOn w:val="Normalny"/>
    <w:next w:val="JuPara"/>
    <w:uiPriority w:val="31"/>
    <w:qFormat/>
    <w:rsid w:val="00B6484B"/>
    <w:pPr>
      <w:tabs>
        <w:tab w:val="center" w:pos="851"/>
        <w:tab w:val="center" w:pos="6407"/>
      </w:tabs>
      <w:spacing w:before="720"/>
    </w:pPr>
  </w:style>
  <w:style w:type="paragraph" w:styleId="Tytu">
    <w:name w:val="Title"/>
    <w:basedOn w:val="Normalny"/>
    <w:next w:val="Normalny"/>
    <w:link w:val="TytuZnak"/>
    <w:uiPriority w:val="98"/>
    <w:semiHidden/>
    <w:qFormat/>
    <w:rsid w:val="00B6484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B6484B"/>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B6484B"/>
    <w:pPr>
      <w:numPr>
        <w:numId w:val="8"/>
      </w:numPr>
    </w:pPr>
  </w:style>
  <w:style w:type="table" w:customStyle="1" w:styleId="ECHRTable2019">
    <w:name w:val="ECHR_Table_2019"/>
    <w:basedOn w:val="Standardowy"/>
    <w:uiPriority w:val="99"/>
    <w:rsid w:val="00B6484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B6484B"/>
    <w:rPr>
      <w:sz w:val="8"/>
    </w:rPr>
  </w:style>
  <w:style w:type="paragraph" w:customStyle="1" w:styleId="JuCourt">
    <w:name w:val="Ju_Court"/>
    <w:aliases w:val="_Court_Names"/>
    <w:basedOn w:val="Normalny"/>
    <w:next w:val="Normalny"/>
    <w:uiPriority w:val="32"/>
    <w:qFormat/>
    <w:rsid w:val="00B6484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B6484B"/>
    <w:pPr>
      <w:tabs>
        <w:tab w:val="center" w:pos="6407"/>
      </w:tabs>
      <w:spacing w:before="720"/>
      <w:jc w:val="right"/>
    </w:pPr>
  </w:style>
  <w:style w:type="paragraph" w:customStyle="1" w:styleId="JuHIRoman">
    <w:name w:val="Ju_H_I_Roman"/>
    <w:aliases w:val="_Head_2"/>
    <w:basedOn w:val="Nagwek2"/>
    <w:next w:val="JuPara"/>
    <w:uiPriority w:val="17"/>
    <w:qFormat/>
    <w:rsid w:val="00B6484B"/>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B6484B"/>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B6484B"/>
    <w:pPr>
      <w:keepNext/>
      <w:keepLines/>
      <w:numPr>
        <w:ilvl w:val="3"/>
        <w:numId w:val="2"/>
      </w:numPr>
      <w:spacing w:before="100" w:beforeAutospacing="1" w:after="120"/>
    </w:pPr>
    <w:rPr>
      <w:b w:val="0"/>
      <w:color w:val="auto"/>
      <w:sz w:val="24"/>
    </w:rPr>
  </w:style>
  <w:style w:type="paragraph" w:styleId="Nagwek">
    <w:name w:val="header"/>
    <w:basedOn w:val="Normalny"/>
    <w:link w:val="NagwekZnak"/>
    <w:uiPriority w:val="98"/>
    <w:semiHidden/>
    <w:rsid w:val="00B6484B"/>
    <w:pPr>
      <w:tabs>
        <w:tab w:val="center" w:pos="4536"/>
        <w:tab w:val="right" w:pos="9072"/>
      </w:tabs>
    </w:pPr>
  </w:style>
  <w:style w:type="character" w:customStyle="1" w:styleId="NagwekZnak">
    <w:name w:val="Nagłówek Znak"/>
    <w:basedOn w:val="Domylnaczcionkaakapitu"/>
    <w:link w:val="Nagwek"/>
    <w:uiPriority w:val="98"/>
    <w:semiHidden/>
    <w:rsid w:val="00B6484B"/>
    <w:rPr>
      <w:sz w:val="24"/>
      <w:szCs w:val="24"/>
      <w:lang w:val="fr-FR"/>
    </w:rPr>
  </w:style>
  <w:style w:type="character" w:customStyle="1" w:styleId="Nagwek1Znak">
    <w:name w:val="Nagłówek 1 Znak"/>
    <w:basedOn w:val="Domylnaczcionkaakapitu"/>
    <w:link w:val="Nagwek1"/>
    <w:uiPriority w:val="98"/>
    <w:semiHidden/>
    <w:rsid w:val="00B6484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B6484B"/>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JuPara"/>
    <w:uiPriority w:val="17"/>
    <w:rsid w:val="00B6484B"/>
    <w:pPr>
      <w:keepNext/>
      <w:keepLines/>
      <w:numPr>
        <w:ilvl w:val="5"/>
        <w:numId w:val="2"/>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B6484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B6484B"/>
    <w:pPr>
      <w:keepNext/>
      <w:keepLines/>
      <w:numPr>
        <w:ilvl w:val="6"/>
        <w:numId w:val="2"/>
      </w:numPr>
      <w:spacing w:before="100" w:beforeAutospacing="1" w:after="120"/>
    </w:pPr>
    <w:rPr>
      <w:i w:val="0"/>
      <w:sz w:val="20"/>
    </w:rPr>
  </w:style>
  <w:style w:type="paragraph" w:customStyle="1" w:styleId="JuH">
    <w:name w:val="Ju_H_–"/>
    <w:aliases w:val="_Head_8"/>
    <w:basedOn w:val="Nagwek8"/>
    <w:next w:val="JuPara"/>
    <w:uiPriority w:val="17"/>
    <w:rsid w:val="00B6484B"/>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B6484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6484B"/>
    <w:pPr>
      <w:keepNext/>
      <w:keepLines/>
      <w:spacing w:before="240" w:after="240"/>
      <w:ind w:firstLine="284"/>
    </w:pPr>
  </w:style>
  <w:style w:type="paragraph" w:customStyle="1" w:styleId="JuJudges">
    <w:name w:val="Ju_Judges"/>
    <w:aliases w:val="_Judges"/>
    <w:basedOn w:val="Normalny"/>
    <w:uiPriority w:val="32"/>
    <w:qFormat/>
    <w:rsid w:val="00B6484B"/>
    <w:pPr>
      <w:tabs>
        <w:tab w:val="left" w:pos="567"/>
        <w:tab w:val="left" w:pos="1134"/>
      </w:tabs>
    </w:pPr>
  </w:style>
  <w:style w:type="character" w:customStyle="1" w:styleId="Nagwek4Znak">
    <w:name w:val="Nagłówek 4 Znak"/>
    <w:basedOn w:val="Domylnaczcionkaakapitu"/>
    <w:link w:val="Nagwek4"/>
    <w:uiPriority w:val="98"/>
    <w:semiHidden/>
    <w:rsid w:val="00B6484B"/>
    <w:rPr>
      <w:rFonts w:asciiTheme="majorHAnsi" w:eastAsiaTheme="majorEastAsia" w:hAnsiTheme="majorHAnsi" w:cstheme="majorBidi"/>
      <w:b/>
      <w:bCs/>
      <w:i/>
      <w:iCs/>
      <w:color w:val="777777"/>
      <w:lang w:val="en-GB"/>
    </w:rPr>
  </w:style>
  <w:style w:type="character" w:customStyle="1" w:styleId="JuITMark">
    <w:name w:val="Ju_ITMark"/>
    <w:aliases w:val="_ITMark"/>
    <w:basedOn w:val="Domylnaczcionkaakapitu"/>
    <w:uiPriority w:val="43"/>
    <w:qFormat/>
    <w:rsid w:val="00B6484B"/>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B6484B"/>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B6484B"/>
    <w:rPr>
      <w:caps w:val="0"/>
      <w:smallCaps/>
    </w:rPr>
  </w:style>
  <w:style w:type="paragraph" w:customStyle="1" w:styleId="NormalJustified">
    <w:name w:val="Normal_Justified"/>
    <w:basedOn w:val="Normalny"/>
    <w:semiHidden/>
    <w:rsid w:val="00B6484B"/>
    <w:pPr>
      <w:jc w:val="both"/>
    </w:pPr>
  </w:style>
  <w:style w:type="character" w:styleId="Wyrnieniedelikatne">
    <w:name w:val="Subtle Emphasis"/>
    <w:uiPriority w:val="98"/>
    <w:semiHidden/>
    <w:qFormat/>
    <w:rsid w:val="00B6484B"/>
    <w:rPr>
      <w:i/>
      <w:iCs/>
    </w:rPr>
  </w:style>
  <w:style w:type="table" w:customStyle="1" w:styleId="ECHRTable">
    <w:name w:val="ECHR_Table"/>
    <w:basedOn w:val="Standardowy"/>
    <w:rsid w:val="00B6484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B6484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B6484B"/>
    <w:rPr>
      <w:b/>
      <w:bCs/>
      <w:i/>
      <w:iCs/>
      <w:spacing w:val="10"/>
      <w:bdr w:val="none" w:sz="0" w:space="0" w:color="auto"/>
      <w:shd w:val="clear" w:color="auto" w:fill="auto"/>
    </w:rPr>
  </w:style>
  <w:style w:type="paragraph" w:styleId="Stopka">
    <w:name w:val="footer"/>
    <w:basedOn w:val="Normalny"/>
    <w:link w:val="StopkaZnak"/>
    <w:uiPriority w:val="98"/>
    <w:semiHidden/>
    <w:rsid w:val="00B6484B"/>
    <w:pPr>
      <w:tabs>
        <w:tab w:val="center" w:pos="3686"/>
        <w:tab w:val="right" w:pos="7371"/>
      </w:tabs>
    </w:pPr>
  </w:style>
  <w:style w:type="character" w:customStyle="1" w:styleId="StopkaZnak">
    <w:name w:val="Stopka Znak"/>
    <w:basedOn w:val="Domylnaczcionkaakapitu"/>
    <w:link w:val="Stopka"/>
    <w:uiPriority w:val="98"/>
    <w:semiHidden/>
    <w:rsid w:val="00B6484B"/>
    <w:rPr>
      <w:sz w:val="24"/>
      <w:szCs w:val="24"/>
      <w:lang w:val="fr-FR"/>
    </w:rPr>
  </w:style>
  <w:style w:type="character" w:styleId="Odwoanieprzypisudolnego">
    <w:name w:val="footnote reference"/>
    <w:basedOn w:val="Domylnaczcionkaakapitu"/>
    <w:uiPriority w:val="99"/>
    <w:semiHidden/>
    <w:rsid w:val="00B6484B"/>
    <w:rPr>
      <w:vertAlign w:val="superscript"/>
    </w:rPr>
  </w:style>
  <w:style w:type="paragraph" w:styleId="Tekstprzypisudolnego">
    <w:name w:val="footnote text"/>
    <w:basedOn w:val="Normalny"/>
    <w:link w:val="TekstprzypisudolnegoZnak"/>
    <w:uiPriority w:val="98"/>
    <w:semiHidden/>
    <w:rsid w:val="00B6484B"/>
    <w:rPr>
      <w:sz w:val="20"/>
      <w:szCs w:val="20"/>
    </w:rPr>
  </w:style>
  <w:style w:type="character" w:customStyle="1" w:styleId="TekstprzypisudolnegoZnak">
    <w:name w:val="Tekst przypisu dolnego Znak"/>
    <w:basedOn w:val="Domylnaczcionkaakapitu"/>
    <w:link w:val="Tekstprzypisudolnego"/>
    <w:uiPriority w:val="98"/>
    <w:semiHidden/>
    <w:rsid w:val="00B6484B"/>
    <w:rPr>
      <w:sz w:val="20"/>
      <w:szCs w:val="20"/>
      <w:lang w:val="fr-FR"/>
    </w:rPr>
  </w:style>
  <w:style w:type="character" w:customStyle="1" w:styleId="Nagwek6Znak">
    <w:name w:val="Nagłówek 6 Znak"/>
    <w:basedOn w:val="Domylnaczcionkaakapitu"/>
    <w:link w:val="Nagwek6"/>
    <w:uiPriority w:val="98"/>
    <w:semiHidden/>
    <w:rsid w:val="00B6484B"/>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B6484B"/>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B6484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B6484B"/>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B6484B"/>
    <w:rPr>
      <w:color w:val="0072BC" w:themeColor="hyperlink"/>
      <w:u w:val="single"/>
    </w:rPr>
  </w:style>
  <w:style w:type="character" w:styleId="Wyrnienieintensywne">
    <w:name w:val="Intense Emphasis"/>
    <w:uiPriority w:val="98"/>
    <w:semiHidden/>
    <w:qFormat/>
    <w:rsid w:val="00B6484B"/>
    <w:rPr>
      <w:b/>
      <w:bCs/>
    </w:rPr>
  </w:style>
  <w:style w:type="paragraph" w:styleId="Cytatintensywny">
    <w:name w:val="Intense Quote"/>
    <w:basedOn w:val="Normalny"/>
    <w:next w:val="Normalny"/>
    <w:link w:val="CytatintensywnyZnak"/>
    <w:uiPriority w:val="98"/>
    <w:semiHidden/>
    <w:qFormat/>
    <w:rsid w:val="00B6484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B6484B"/>
    <w:rPr>
      <w:b/>
      <w:bCs/>
      <w:i/>
      <w:iCs/>
      <w:sz w:val="24"/>
      <w:szCs w:val="24"/>
      <w:lang w:val="fr-FR" w:bidi="en-US"/>
    </w:rPr>
  </w:style>
  <w:style w:type="character" w:styleId="Odwoanieintensywne">
    <w:name w:val="Intense Reference"/>
    <w:uiPriority w:val="98"/>
    <w:semiHidden/>
    <w:qFormat/>
    <w:rsid w:val="00B6484B"/>
    <w:rPr>
      <w:smallCaps/>
      <w:spacing w:val="5"/>
      <w:u w:val="single"/>
    </w:rPr>
  </w:style>
  <w:style w:type="paragraph" w:styleId="Akapitzlist">
    <w:name w:val="List Paragraph"/>
    <w:basedOn w:val="Normalny"/>
    <w:uiPriority w:val="99"/>
    <w:qFormat/>
    <w:rsid w:val="00B6484B"/>
    <w:pPr>
      <w:ind w:left="720"/>
      <w:contextualSpacing/>
    </w:pPr>
  </w:style>
  <w:style w:type="table" w:customStyle="1" w:styleId="LtrTableAddress">
    <w:name w:val="Ltr_Table_Address"/>
    <w:aliases w:val="ECHR_Ltr_Table_Address"/>
    <w:basedOn w:val="Standardowy"/>
    <w:uiPriority w:val="99"/>
    <w:rsid w:val="00B6484B"/>
    <w:rPr>
      <w:sz w:val="24"/>
      <w:szCs w:val="24"/>
    </w:rPr>
    <w:tblPr>
      <w:tblInd w:w="5103" w:type="dxa"/>
    </w:tblPr>
  </w:style>
  <w:style w:type="paragraph" w:styleId="Cytat">
    <w:name w:val="Quote"/>
    <w:basedOn w:val="Normalny"/>
    <w:next w:val="Normalny"/>
    <w:link w:val="CytatZnak"/>
    <w:uiPriority w:val="98"/>
    <w:semiHidden/>
    <w:qFormat/>
    <w:rsid w:val="00B6484B"/>
    <w:pPr>
      <w:spacing w:before="200"/>
      <w:ind w:left="360" w:right="360"/>
    </w:pPr>
    <w:rPr>
      <w:i/>
      <w:iCs/>
      <w:lang w:bidi="en-US"/>
    </w:rPr>
  </w:style>
  <w:style w:type="character" w:customStyle="1" w:styleId="CytatZnak">
    <w:name w:val="Cytat Znak"/>
    <w:basedOn w:val="Domylnaczcionkaakapitu"/>
    <w:link w:val="Cytat"/>
    <w:uiPriority w:val="98"/>
    <w:semiHidden/>
    <w:rsid w:val="00B6484B"/>
    <w:rPr>
      <w:i/>
      <w:iCs/>
      <w:sz w:val="24"/>
      <w:szCs w:val="24"/>
      <w:lang w:val="fr-FR" w:bidi="en-US"/>
    </w:rPr>
  </w:style>
  <w:style w:type="character" w:styleId="Odwoaniedelikatne">
    <w:name w:val="Subtle Reference"/>
    <w:uiPriority w:val="98"/>
    <w:semiHidden/>
    <w:qFormat/>
    <w:rsid w:val="00B6484B"/>
    <w:rPr>
      <w:smallCaps/>
    </w:rPr>
  </w:style>
  <w:style w:type="table" w:styleId="Tabela-Siatka">
    <w:name w:val="Table Grid"/>
    <w:basedOn w:val="Standardowy"/>
    <w:uiPriority w:val="59"/>
    <w:semiHidden/>
    <w:rsid w:val="00B6484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B6484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B6484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B6484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B6484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B6484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B6484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B6484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B6484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B6484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B6484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B6484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B6484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B6484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B6484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B6484B"/>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B6484B"/>
    <w:pPr>
      <w:numPr>
        <w:numId w:val="3"/>
      </w:numPr>
    </w:pPr>
  </w:style>
  <w:style w:type="paragraph" w:customStyle="1" w:styleId="JuPara">
    <w:name w:val="Ju_Para"/>
    <w:aliases w:val="10 pt,27 cm,ECHR_Para,First line:  0 cm,Ju_Para + Interligne : Double,Left,Left:  1,Line spacing:  1.5 l...,N_Para,Normal + TimesNewRomanPSMT,Para,_Para"/>
    <w:basedOn w:val="NormalJustified"/>
    <w:link w:val="JuParaChar"/>
    <w:uiPriority w:val="99"/>
    <w:qFormat/>
    <w:rsid w:val="00B6484B"/>
    <w:pPr>
      <w:ind w:firstLine="284"/>
    </w:pPr>
  </w:style>
  <w:style w:type="numbering" w:styleId="1ai">
    <w:name w:val="Outline List 1"/>
    <w:basedOn w:val="Bezlisty"/>
    <w:uiPriority w:val="99"/>
    <w:semiHidden/>
    <w:unhideWhenUsed/>
    <w:rsid w:val="00B6484B"/>
    <w:pPr>
      <w:numPr>
        <w:numId w:val="4"/>
      </w:numPr>
    </w:pPr>
  </w:style>
  <w:style w:type="table" w:customStyle="1" w:styleId="ECHRTableSimpleBox">
    <w:name w:val="ECHR_Table_Simple_Box"/>
    <w:basedOn w:val="Standardowy"/>
    <w:uiPriority w:val="99"/>
    <w:rsid w:val="00B6484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B6484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B6484B"/>
    <w:pPr>
      <w:numPr>
        <w:numId w:val="5"/>
      </w:numPr>
    </w:pPr>
  </w:style>
  <w:style w:type="table" w:customStyle="1" w:styleId="ECHRTableForInternalUse">
    <w:name w:val="ECHR_Table_For_Internal_Use"/>
    <w:basedOn w:val="Standardowy"/>
    <w:uiPriority w:val="99"/>
    <w:rsid w:val="00B6484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6484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B6484B"/>
  </w:style>
  <w:style w:type="paragraph" w:styleId="Tekstblokowy">
    <w:name w:val="Block Text"/>
    <w:basedOn w:val="Normalny"/>
    <w:uiPriority w:val="98"/>
    <w:semiHidden/>
    <w:rsid w:val="00B6484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B6484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B6484B"/>
    <w:pPr>
      <w:spacing w:after="120"/>
    </w:pPr>
  </w:style>
  <w:style w:type="character" w:customStyle="1" w:styleId="TekstpodstawowyZnak">
    <w:name w:val="Tekst podstawowy Znak"/>
    <w:basedOn w:val="Domylnaczcionkaakapitu"/>
    <w:link w:val="Tekstpodstawowy"/>
    <w:uiPriority w:val="98"/>
    <w:semiHidden/>
    <w:rsid w:val="00B6484B"/>
    <w:rPr>
      <w:sz w:val="24"/>
      <w:szCs w:val="24"/>
      <w:lang w:val="fr-FR"/>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B6484B"/>
    <w:pPr>
      <w:spacing w:after="120" w:line="480" w:lineRule="auto"/>
    </w:pPr>
  </w:style>
  <w:style w:type="table" w:customStyle="1" w:styleId="ECHRHeaderTableReduced">
    <w:name w:val="ECHR_Header_Table_Reduced"/>
    <w:basedOn w:val="Standardowy"/>
    <w:uiPriority w:val="99"/>
    <w:rsid w:val="00B6484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B6484B"/>
    <w:pPr>
      <w:ind w:firstLine="284"/>
    </w:pPr>
    <w:rPr>
      <w:b/>
    </w:rPr>
  </w:style>
  <w:style w:type="character" w:styleId="Numerstrony">
    <w:name w:val="page number"/>
    <w:uiPriority w:val="98"/>
    <w:semiHidden/>
    <w:rsid w:val="00B6484B"/>
    <w:rPr>
      <w:sz w:val="18"/>
    </w:rPr>
  </w:style>
  <w:style w:type="paragraph" w:styleId="Listapunktowana2">
    <w:name w:val="List Bullet 2"/>
    <w:basedOn w:val="Normalny"/>
    <w:uiPriority w:val="98"/>
    <w:semiHidden/>
    <w:rsid w:val="00B6484B"/>
    <w:pPr>
      <w:numPr>
        <w:numId w:val="10"/>
      </w:numPr>
      <w:contextualSpacing/>
    </w:pPr>
  </w:style>
  <w:style w:type="character" w:customStyle="1" w:styleId="Tekstpodstawowy2Znak">
    <w:name w:val="Tekst podstawowy 2 Znak"/>
    <w:basedOn w:val="Domylnaczcionkaakapitu"/>
    <w:link w:val="Tekstpodstawowy2"/>
    <w:uiPriority w:val="98"/>
    <w:semiHidden/>
    <w:rsid w:val="00B6484B"/>
    <w:rPr>
      <w:sz w:val="24"/>
      <w:szCs w:val="24"/>
      <w:lang w:val="fr-FR"/>
    </w:rPr>
  </w:style>
  <w:style w:type="paragraph" w:styleId="Tekstpodstawowy3">
    <w:name w:val="Body Text 3"/>
    <w:basedOn w:val="Normalny"/>
    <w:link w:val="Tekstpodstawowy3Znak"/>
    <w:uiPriority w:val="98"/>
    <w:semiHidden/>
    <w:rsid w:val="00B6484B"/>
    <w:pPr>
      <w:spacing w:after="120"/>
    </w:pPr>
    <w:rPr>
      <w:sz w:val="16"/>
      <w:szCs w:val="16"/>
    </w:rPr>
  </w:style>
  <w:style w:type="character" w:customStyle="1" w:styleId="Tekstpodstawowy3Znak">
    <w:name w:val="Tekst podstawowy 3 Znak"/>
    <w:basedOn w:val="Domylnaczcionkaakapitu"/>
    <w:link w:val="Tekstpodstawowy3"/>
    <w:uiPriority w:val="98"/>
    <w:semiHidden/>
    <w:rsid w:val="00B6484B"/>
    <w:rPr>
      <w:sz w:val="16"/>
      <w:szCs w:val="16"/>
      <w:lang w:val="fr-FR"/>
    </w:rPr>
  </w:style>
  <w:style w:type="paragraph" w:styleId="Tekstpodstawowyzwciciem">
    <w:name w:val="Body Text First Indent"/>
    <w:basedOn w:val="Tekstpodstawowy"/>
    <w:link w:val="TekstpodstawowyzwciciemZnak"/>
    <w:uiPriority w:val="98"/>
    <w:semiHidden/>
    <w:rsid w:val="00B6484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B6484B"/>
    <w:rPr>
      <w:sz w:val="24"/>
      <w:szCs w:val="24"/>
      <w:lang w:val="fr-FR"/>
    </w:rPr>
  </w:style>
  <w:style w:type="paragraph" w:styleId="Tekstpodstawowywcity">
    <w:name w:val="Body Text Indent"/>
    <w:basedOn w:val="Normalny"/>
    <w:link w:val="TekstpodstawowywcityZnak"/>
    <w:uiPriority w:val="98"/>
    <w:semiHidden/>
    <w:rsid w:val="00B6484B"/>
    <w:pPr>
      <w:spacing w:after="120"/>
      <w:ind w:left="283"/>
    </w:pPr>
  </w:style>
  <w:style w:type="character" w:customStyle="1" w:styleId="TekstpodstawowywcityZnak">
    <w:name w:val="Tekst podstawowy wcięty Znak"/>
    <w:basedOn w:val="Domylnaczcionkaakapitu"/>
    <w:link w:val="Tekstpodstawowywcity"/>
    <w:uiPriority w:val="98"/>
    <w:semiHidden/>
    <w:rsid w:val="00B6484B"/>
    <w:rPr>
      <w:sz w:val="24"/>
      <w:szCs w:val="24"/>
      <w:lang w:val="fr-FR"/>
    </w:rPr>
  </w:style>
  <w:style w:type="paragraph" w:styleId="Tekstpodstawowyzwciciem2">
    <w:name w:val="Body Text First Indent 2"/>
    <w:basedOn w:val="Tekstpodstawowywcity"/>
    <w:link w:val="Tekstpodstawowyzwciciem2Znak"/>
    <w:uiPriority w:val="98"/>
    <w:semiHidden/>
    <w:rsid w:val="00B6484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B6484B"/>
    <w:rPr>
      <w:sz w:val="24"/>
      <w:szCs w:val="24"/>
      <w:lang w:val="fr-FR"/>
    </w:rPr>
  </w:style>
  <w:style w:type="paragraph" w:styleId="Tekstpodstawowywcity2">
    <w:name w:val="Body Text Indent 2"/>
    <w:basedOn w:val="Normalny"/>
    <w:link w:val="Tekstpodstawowywcity2Znak"/>
    <w:uiPriority w:val="98"/>
    <w:semiHidden/>
    <w:rsid w:val="00B6484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B6484B"/>
    <w:rPr>
      <w:sz w:val="24"/>
      <w:szCs w:val="24"/>
      <w:lang w:val="fr-FR"/>
    </w:rPr>
  </w:style>
  <w:style w:type="paragraph" w:styleId="Tekstpodstawowywcity3">
    <w:name w:val="Body Text Indent 3"/>
    <w:basedOn w:val="Normalny"/>
    <w:link w:val="Tekstpodstawowywcity3Znak"/>
    <w:uiPriority w:val="98"/>
    <w:semiHidden/>
    <w:rsid w:val="00B6484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B6484B"/>
    <w:rPr>
      <w:sz w:val="16"/>
      <w:szCs w:val="16"/>
      <w:lang w:val="fr-FR"/>
    </w:rPr>
  </w:style>
  <w:style w:type="paragraph" w:styleId="Legenda">
    <w:name w:val="caption"/>
    <w:basedOn w:val="Normalny"/>
    <w:next w:val="Normalny"/>
    <w:uiPriority w:val="98"/>
    <w:semiHidden/>
    <w:qFormat/>
    <w:rsid w:val="00B6484B"/>
    <w:pPr>
      <w:spacing w:after="200"/>
    </w:pPr>
    <w:rPr>
      <w:b/>
      <w:bCs/>
      <w:color w:val="0072BC" w:themeColor="accent1"/>
      <w:sz w:val="18"/>
      <w:szCs w:val="18"/>
    </w:rPr>
  </w:style>
  <w:style w:type="paragraph" w:styleId="Zwrotpoegnalny">
    <w:name w:val="Closing"/>
    <w:basedOn w:val="Normalny"/>
    <w:link w:val="ZwrotpoegnalnyZnak"/>
    <w:uiPriority w:val="98"/>
    <w:semiHidden/>
    <w:rsid w:val="00B6484B"/>
    <w:pPr>
      <w:ind w:left="4252"/>
    </w:pPr>
  </w:style>
  <w:style w:type="character" w:customStyle="1" w:styleId="ZwrotpoegnalnyZnak">
    <w:name w:val="Zwrot pożegnalny Znak"/>
    <w:basedOn w:val="Domylnaczcionkaakapitu"/>
    <w:link w:val="Zwrotpoegnalny"/>
    <w:uiPriority w:val="98"/>
    <w:semiHidden/>
    <w:rsid w:val="00B6484B"/>
    <w:rPr>
      <w:sz w:val="24"/>
      <w:szCs w:val="24"/>
      <w:lang w:val="fr-FR"/>
    </w:rPr>
  </w:style>
  <w:style w:type="table" w:styleId="Kolorowasiatka">
    <w:name w:val="Colorful Grid"/>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6484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6484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6484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6484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B6484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6484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6484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6484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B6484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6484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6484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B6484B"/>
    <w:rPr>
      <w:sz w:val="16"/>
      <w:szCs w:val="16"/>
    </w:rPr>
  </w:style>
  <w:style w:type="paragraph" w:styleId="Tekstkomentarza">
    <w:name w:val="annotation text"/>
    <w:basedOn w:val="Normalny"/>
    <w:link w:val="TekstkomentarzaZnak"/>
    <w:uiPriority w:val="98"/>
    <w:semiHidden/>
    <w:rsid w:val="00B6484B"/>
    <w:rPr>
      <w:sz w:val="20"/>
      <w:szCs w:val="20"/>
    </w:rPr>
  </w:style>
  <w:style w:type="character" w:customStyle="1" w:styleId="TekstkomentarzaZnak">
    <w:name w:val="Tekst komentarza Znak"/>
    <w:basedOn w:val="Domylnaczcionkaakapitu"/>
    <w:link w:val="Tekstkomentarza"/>
    <w:uiPriority w:val="98"/>
    <w:semiHidden/>
    <w:rsid w:val="00B6484B"/>
    <w:rPr>
      <w:sz w:val="20"/>
      <w:szCs w:val="20"/>
      <w:lang w:val="fr-FR"/>
    </w:rPr>
  </w:style>
  <w:style w:type="paragraph" w:styleId="Tematkomentarza">
    <w:name w:val="annotation subject"/>
    <w:basedOn w:val="Tekstkomentarza"/>
    <w:next w:val="Tekstkomentarza"/>
    <w:link w:val="TematkomentarzaZnak"/>
    <w:uiPriority w:val="98"/>
    <w:semiHidden/>
    <w:rsid w:val="00B6484B"/>
    <w:rPr>
      <w:b/>
      <w:bCs/>
    </w:rPr>
  </w:style>
  <w:style w:type="character" w:customStyle="1" w:styleId="TematkomentarzaZnak">
    <w:name w:val="Temat komentarza Znak"/>
    <w:basedOn w:val="TekstkomentarzaZnak"/>
    <w:link w:val="Tematkomentarza"/>
    <w:uiPriority w:val="98"/>
    <w:semiHidden/>
    <w:rsid w:val="00B6484B"/>
    <w:rPr>
      <w:b/>
      <w:bCs/>
      <w:sz w:val="20"/>
      <w:szCs w:val="20"/>
      <w:lang w:val="fr-FR"/>
    </w:rPr>
  </w:style>
  <w:style w:type="table" w:styleId="Ciemnalista">
    <w:name w:val="Dark List"/>
    <w:basedOn w:val="Standardowy"/>
    <w:uiPriority w:val="70"/>
    <w:semiHidden/>
    <w:rsid w:val="00B6484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6484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6484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6484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B6484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6484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6484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B6484B"/>
  </w:style>
  <w:style w:type="character" w:customStyle="1" w:styleId="DataZnak">
    <w:name w:val="Data Znak"/>
    <w:basedOn w:val="Domylnaczcionkaakapitu"/>
    <w:link w:val="Data"/>
    <w:uiPriority w:val="98"/>
    <w:semiHidden/>
    <w:rsid w:val="00B6484B"/>
    <w:rPr>
      <w:sz w:val="24"/>
      <w:szCs w:val="24"/>
      <w:lang w:val="fr-FR"/>
    </w:rPr>
  </w:style>
  <w:style w:type="paragraph" w:styleId="Mapadokumentu">
    <w:name w:val="Document Map"/>
    <w:basedOn w:val="Normalny"/>
    <w:link w:val="MapadokumentuZnak"/>
    <w:uiPriority w:val="98"/>
    <w:semiHidden/>
    <w:rsid w:val="00B6484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B6484B"/>
    <w:rPr>
      <w:rFonts w:ascii="Tahoma" w:hAnsi="Tahoma" w:cs="Tahoma"/>
      <w:sz w:val="16"/>
      <w:szCs w:val="16"/>
      <w:lang w:val="fr-FR"/>
    </w:rPr>
  </w:style>
  <w:style w:type="paragraph" w:styleId="Podpise-mail">
    <w:name w:val="E-mail Signature"/>
    <w:basedOn w:val="Normalny"/>
    <w:link w:val="Podpise-mailZnak"/>
    <w:uiPriority w:val="98"/>
    <w:semiHidden/>
    <w:rsid w:val="00B6484B"/>
  </w:style>
  <w:style w:type="character" w:customStyle="1" w:styleId="Podpise-mailZnak">
    <w:name w:val="Podpis e-mail Znak"/>
    <w:basedOn w:val="Domylnaczcionkaakapitu"/>
    <w:link w:val="Podpise-mail"/>
    <w:uiPriority w:val="98"/>
    <w:semiHidden/>
    <w:rsid w:val="00B6484B"/>
    <w:rPr>
      <w:sz w:val="24"/>
      <w:szCs w:val="24"/>
      <w:lang w:val="fr-FR"/>
    </w:rPr>
  </w:style>
  <w:style w:type="character" w:styleId="Odwoanieprzypisukocowego">
    <w:name w:val="endnote reference"/>
    <w:basedOn w:val="Domylnaczcionkaakapitu"/>
    <w:uiPriority w:val="98"/>
    <w:semiHidden/>
    <w:rsid w:val="00B6484B"/>
    <w:rPr>
      <w:vertAlign w:val="superscript"/>
    </w:rPr>
  </w:style>
  <w:style w:type="paragraph" w:styleId="Tekstprzypisukocowego">
    <w:name w:val="endnote text"/>
    <w:basedOn w:val="Normalny"/>
    <w:link w:val="TekstprzypisukocowegoZnak"/>
    <w:uiPriority w:val="98"/>
    <w:semiHidden/>
    <w:rsid w:val="00B6484B"/>
    <w:rPr>
      <w:sz w:val="20"/>
      <w:szCs w:val="20"/>
    </w:rPr>
  </w:style>
  <w:style w:type="character" w:customStyle="1" w:styleId="TekstprzypisukocowegoZnak">
    <w:name w:val="Tekst przypisu końcowego Znak"/>
    <w:basedOn w:val="Domylnaczcionkaakapitu"/>
    <w:link w:val="Tekstprzypisukocowego"/>
    <w:uiPriority w:val="98"/>
    <w:semiHidden/>
    <w:rsid w:val="00B6484B"/>
    <w:rPr>
      <w:sz w:val="20"/>
      <w:szCs w:val="20"/>
      <w:lang w:val="fr-FR"/>
    </w:rPr>
  </w:style>
  <w:style w:type="paragraph" w:styleId="Adresnakopercie">
    <w:name w:val="envelope address"/>
    <w:basedOn w:val="Normalny"/>
    <w:uiPriority w:val="98"/>
    <w:semiHidden/>
    <w:rsid w:val="00B6484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B6484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B6484B"/>
    <w:rPr>
      <w:color w:val="7030A0" w:themeColor="followedHyperlink"/>
      <w:u w:val="single"/>
    </w:rPr>
  </w:style>
  <w:style w:type="character" w:styleId="HTML-akronim">
    <w:name w:val="HTML Acronym"/>
    <w:basedOn w:val="Domylnaczcionkaakapitu"/>
    <w:uiPriority w:val="98"/>
    <w:semiHidden/>
    <w:rsid w:val="00B6484B"/>
  </w:style>
  <w:style w:type="paragraph" w:styleId="HTML-adres">
    <w:name w:val="HTML Address"/>
    <w:basedOn w:val="Normalny"/>
    <w:link w:val="HTML-adresZnak"/>
    <w:uiPriority w:val="98"/>
    <w:semiHidden/>
    <w:rsid w:val="00B6484B"/>
    <w:rPr>
      <w:i/>
      <w:iCs/>
    </w:rPr>
  </w:style>
  <w:style w:type="character" w:customStyle="1" w:styleId="HTML-adresZnak">
    <w:name w:val="HTML - adres Znak"/>
    <w:basedOn w:val="Domylnaczcionkaakapitu"/>
    <w:link w:val="HTML-adres"/>
    <w:uiPriority w:val="98"/>
    <w:semiHidden/>
    <w:rsid w:val="00B6484B"/>
    <w:rPr>
      <w:i/>
      <w:iCs/>
      <w:sz w:val="24"/>
      <w:szCs w:val="24"/>
      <w:lang w:val="fr-FR"/>
    </w:rPr>
  </w:style>
  <w:style w:type="character" w:styleId="HTML-cytat">
    <w:name w:val="HTML Cite"/>
    <w:basedOn w:val="Domylnaczcionkaakapitu"/>
    <w:uiPriority w:val="98"/>
    <w:semiHidden/>
    <w:rsid w:val="00B6484B"/>
    <w:rPr>
      <w:i/>
      <w:iCs/>
    </w:rPr>
  </w:style>
  <w:style w:type="character" w:styleId="HTML-kod">
    <w:name w:val="HTML Code"/>
    <w:basedOn w:val="Domylnaczcionkaakapitu"/>
    <w:uiPriority w:val="98"/>
    <w:semiHidden/>
    <w:rsid w:val="00B6484B"/>
    <w:rPr>
      <w:rFonts w:ascii="Consolas" w:hAnsi="Consolas" w:cs="Consolas"/>
      <w:sz w:val="20"/>
      <w:szCs w:val="20"/>
    </w:rPr>
  </w:style>
  <w:style w:type="character" w:styleId="HTML-definicja">
    <w:name w:val="HTML Definition"/>
    <w:basedOn w:val="Domylnaczcionkaakapitu"/>
    <w:uiPriority w:val="98"/>
    <w:semiHidden/>
    <w:rsid w:val="00B6484B"/>
    <w:rPr>
      <w:i/>
      <w:iCs/>
    </w:rPr>
  </w:style>
  <w:style w:type="character" w:styleId="HTML-klawiatura">
    <w:name w:val="HTML Keyboard"/>
    <w:basedOn w:val="Domylnaczcionkaakapitu"/>
    <w:uiPriority w:val="98"/>
    <w:semiHidden/>
    <w:rsid w:val="00B6484B"/>
    <w:rPr>
      <w:rFonts w:ascii="Consolas" w:hAnsi="Consolas" w:cs="Consolas"/>
      <w:sz w:val="20"/>
      <w:szCs w:val="20"/>
    </w:rPr>
  </w:style>
  <w:style w:type="paragraph" w:styleId="HTML-wstpniesformatowany">
    <w:name w:val="HTML Preformatted"/>
    <w:basedOn w:val="Normalny"/>
    <w:link w:val="HTML-wstpniesformatowanyZnak"/>
    <w:uiPriority w:val="98"/>
    <w:semiHidden/>
    <w:rsid w:val="00B6484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B6484B"/>
    <w:rPr>
      <w:rFonts w:ascii="Consolas" w:hAnsi="Consolas" w:cs="Consolas"/>
      <w:sz w:val="20"/>
      <w:szCs w:val="20"/>
      <w:lang w:val="fr-FR"/>
    </w:rPr>
  </w:style>
  <w:style w:type="character" w:styleId="HTML-przykad">
    <w:name w:val="HTML Sample"/>
    <w:basedOn w:val="Domylnaczcionkaakapitu"/>
    <w:uiPriority w:val="98"/>
    <w:semiHidden/>
    <w:rsid w:val="00B6484B"/>
    <w:rPr>
      <w:rFonts w:ascii="Consolas" w:hAnsi="Consolas" w:cs="Consolas"/>
      <w:sz w:val="24"/>
      <w:szCs w:val="24"/>
    </w:rPr>
  </w:style>
  <w:style w:type="character" w:styleId="HTML-staaszeroko">
    <w:name w:val="HTML Typewriter"/>
    <w:basedOn w:val="Domylnaczcionkaakapitu"/>
    <w:uiPriority w:val="98"/>
    <w:semiHidden/>
    <w:rsid w:val="00B6484B"/>
    <w:rPr>
      <w:rFonts w:ascii="Consolas" w:hAnsi="Consolas" w:cs="Consolas"/>
      <w:sz w:val="20"/>
      <w:szCs w:val="20"/>
    </w:rPr>
  </w:style>
  <w:style w:type="character" w:styleId="HTML-zmienna">
    <w:name w:val="HTML Variable"/>
    <w:basedOn w:val="Domylnaczcionkaakapitu"/>
    <w:uiPriority w:val="98"/>
    <w:semiHidden/>
    <w:rsid w:val="00B6484B"/>
    <w:rPr>
      <w:i/>
      <w:iCs/>
    </w:rPr>
  </w:style>
  <w:style w:type="paragraph" w:styleId="Indeks1">
    <w:name w:val="index 1"/>
    <w:basedOn w:val="Normalny"/>
    <w:next w:val="Normalny"/>
    <w:autoRedefine/>
    <w:uiPriority w:val="98"/>
    <w:semiHidden/>
    <w:rsid w:val="00B6484B"/>
    <w:pPr>
      <w:ind w:left="240" w:hanging="240"/>
    </w:pPr>
  </w:style>
  <w:style w:type="paragraph" w:styleId="Indeks2">
    <w:name w:val="index 2"/>
    <w:basedOn w:val="Normalny"/>
    <w:next w:val="Normalny"/>
    <w:autoRedefine/>
    <w:uiPriority w:val="98"/>
    <w:semiHidden/>
    <w:rsid w:val="00B6484B"/>
    <w:pPr>
      <w:ind w:left="480" w:hanging="240"/>
    </w:pPr>
  </w:style>
  <w:style w:type="paragraph" w:styleId="Indeks3">
    <w:name w:val="index 3"/>
    <w:basedOn w:val="Normalny"/>
    <w:next w:val="Normalny"/>
    <w:autoRedefine/>
    <w:uiPriority w:val="98"/>
    <w:semiHidden/>
    <w:rsid w:val="00B6484B"/>
    <w:pPr>
      <w:ind w:left="720" w:hanging="240"/>
    </w:pPr>
  </w:style>
  <w:style w:type="paragraph" w:styleId="Indeks4">
    <w:name w:val="index 4"/>
    <w:basedOn w:val="Normalny"/>
    <w:next w:val="Normalny"/>
    <w:autoRedefine/>
    <w:uiPriority w:val="98"/>
    <w:semiHidden/>
    <w:rsid w:val="00B6484B"/>
    <w:pPr>
      <w:ind w:left="960" w:hanging="240"/>
    </w:pPr>
  </w:style>
  <w:style w:type="paragraph" w:styleId="Indeks5">
    <w:name w:val="index 5"/>
    <w:basedOn w:val="Normalny"/>
    <w:next w:val="Normalny"/>
    <w:autoRedefine/>
    <w:uiPriority w:val="98"/>
    <w:semiHidden/>
    <w:rsid w:val="00B6484B"/>
    <w:pPr>
      <w:ind w:left="1200" w:hanging="240"/>
    </w:pPr>
  </w:style>
  <w:style w:type="paragraph" w:styleId="Indeks6">
    <w:name w:val="index 6"/>
    <w:basedOn w:val="Normalny"/>
    <w:next w:val="Normalny"/>
    <w:autoRedefine/>
    <w:uiPriority w:val="98"/>
    <w:semiHidden/>
    <w:rsid w:val="00B6484B"/>
    <w:pPr>
      <w:ind w:left="1440" w:hanging="240"/>
    </w:pPr>
  </w:style>
  <w:style w:type="paragraph" w:styleId="Indeks7">
    <w:name w:val="index 7"/>
    <w:basedOn w:val="Normalny"/>
    <w:next w:val="Normalny"/>
    <w:autoRedefine/>
    <w:uiPriority w:val="98"/>
    <w:semiHidden/>
    <w:rsid w:val="00B6484B"/>
    <w:pPr>
      <w:ind w:left="1680" w:hanging="240"/>
    </w:pPr>
  </w:style>
  <w:style w:type="paragraph" w:styleId="Indeks8">
    <w:name w:val="index 8"/>
    <w:basedOn w:val="Normalny"/>
    <w:next w:val="Normalny"/>
    <w:autoRedefine/>
    <w:uiPriority w:val="98"/>
    <w:semiHidden/>
    <w:rsid w:val="00B6484B"/>
    <w:pPr>
      <w:ind w:left="1920" w:hanging="240"/>
    </w:pPr>
  </w:style>
  <w:style w:type="paragraph" w:styleId="Indeks9">
    <w:name w:val="index 9"/>
    <w:basedOn w:val="Normalny"/>
    <w:next w:val="Normalny"/>
    <w:autoRedefine/>
    <w:uiPriority w:val="98"/>
    <w:semiHidden/>
    <w:rsid w:val="00B6484B"/>
    <w:pPr>
      <w:ind w:left="2160" w:hanging="240"/>
    </w:pPr>
  </w:style>
  <w:style w:type="paragraph" w:styleId="Nagwekindeksu">
    <w:name w:val="index heading"/>
    <w:basedOn w:val="Normalny"/>
    <w:next w:val="Indeks1"/>
    <w:uiPriority w:val="98"/>
    <w:semiHidden/>
    <w:rsid w:val="00B6484B"/>
    <w:rPr>
      <w:rFonts w:asciiTheme="majorHAnsi" w:eastAsiaTheme="majorEastAsia" w:hAnsiTheme="majorHAnsi" w:cstheme="majorBidi"/>
      <w:b/>
      <w:bCs/>
    </w:rPr>
  </w:style>
  <w:style w:type="table" w:styleId="Jasnasiatka">
    <w:name w:val="Light Grid"/>
    <w:basedOn w:val="Standardowy"/>
    <w:uiPriority w:val="62"/>
    <w:semiHidden/>
    <w:rsid w:val="00B6484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6484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6484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6484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B6484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6484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6484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6484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6484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6484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6484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B6484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6484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6484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6484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6484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6484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6484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B6484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6484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6484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B6484B"/>
  </w:style>
  <w:style w:type="paragraph" w:styleId="Lista">
    <w:name w:val="List"/>
    <w:basedOn w:val="Normalny"/>
    <w:uiPriority w:val="98"/>
    <w:semiHidden/>
    <w:rsid w:val="00B6484B"/>
    <w:pPr>
      <w:ind w:left="283" w:hanging="283"/>
      <w:contextualSpacing/>
    </w:pPr>
  </w:style>
  <w:style w:type="paragraph" w:styleId="Lista2">
    <w:name w:val="List 2"/>
    <w:basedOn w:val="Normalny"/>
    <w:uiPriority w:val="98"/>
    <w:semiHidden/>
    <w:rsid w:val="00B6484B"/>
    <w:pPr>
      <w:ind w:left="566" w:hanging="283"/>
      <w:contextualSpacing/>
    </w:pPr>
  </w:style>
  <w:style w:type="paragraph" w:styleId="Lista3">
    <w:name w:val="List 3"/>
    <w:basedOn w:val="Normalny"/>
    <w:uiPriority w:val="98"/>
    <w:semiHidden/>
    <w:rsid w:val="00B6484B"/>
    <w:pPr>
      <w:ind w:left="849" w:hanging="283"/>
      <w:contextualSpacing/>
    </w:pPr>
  </w:style>
  <w:style w:type="paragraph" w:styleId="Lista4">
    <w:name w:val="List 4"/>
    <w:basedOn w:val="Normalny"/>
    <w:uiPriority w:val="98"/>
    <w:semiHidden/>
    <w:rsid w:val="00B6484B"/>
    <w:pPr>
      <w:ind w:left="1132" w:hanging="283"/>
      <w:contextualSpacing/>
    </w:pPr>
  </w:style>
  <w:style w:type="paragraph" w:styleId="Lista5">
    <w:name w:val="List 5"/>
    <w:basedOn w:val="Normalny"/>
    <w:uiPriority w:val="98"/>
    <w:semiHidden/>
    <w:rsid w:val="00B6484B"/>
    <w:pPr>
      <w:ind w:left="1415" w:hanging="283"/>
      <w:contextualSpacing/>
    </w:pPr>
  </w:style>
  <w:style w:type="paragraph" w:styleId="Listapunktowana">
    <w:name w:val="List Bullet"/>
    <w:basedOn w:val="Normalny"/>
    <w:uiPriority w:val="98"/>
    <w:semiHidden/>
    <w:rsid w:val="00B6484B"/>
    <w:pPr>
      <w:numPr>
        <w:numId w:val="9"/>
      </w:numPr>
    </w:pPr>
  </w:style>
  <w:style w:type="paragraph" w:styleId="Listapunktowana3">
    <w:name w:val="List Bullet 3"/>
    <w:basedOn w:val="Normalny"/>
    <w:uiPriority w:val="98"/>
    <w:semiHidden/>
    <w:rsid w:val="00B6484B"/>
    <w:pPr>
      <w:numPr>
        <w:numId w:val="11"/>
      </w:numPr>
      <w:contextualSpacing/>
    </w:pPr>
  </w:style>
  <w:style w:type="paragraph" w:styleId="Listapunktowana4">
    <w:name w:val="List Bullet 4"/>
    <w:basedOn w:val="Normalny"/>
    <w:uiPriority w:val="98"/>
    <w:semiHidden/>
    <w:rsid w:val="00B6484B"/>
    <w:pPr>
      <w:numPr>
        <w:numId w:val="12"/>
      </w:numPr>
      <w:contextualSpacing/>
    </w:pPr>
  </w:style>
  <w:style w:type="paragraph" w:styleId="Listapunktowana5">
    <w:name w:val="List Bullet 5"/>
    <w:basedOn w:val="Normalny"/>
    <w:uiPriority w:val="98"/>
    <w:semiHidden/>
    <w:rsid w:val="00B6484B"/>
    <w:pPr>
      <w:numPr>
        <w:numId w:val="13"/>
      </w:numPr>
      <w:contextualSpacing/>
    </w:pPr>
  </w:style>
  <w:style w:type="paragraph" w:styleId="Lista-kontynuacja">
    <w:name w:val="List Continue"/>
    <w:basedOn w:val="Normalny"/>
    <w:uiPriority w:val="98"/>
    <w:semiHidden/>
    <w:rsid w:val="00B6484B"/>
    <w:pPr>
      <w:spacing w:after="120"/>
      <w:ind w:left="283"/>
      <w:contextualSpacing/>
    </w:pPr>
  </w:style>
  <w:style w:type="paragraph" w:styleId="Lista-kontynuacja2">
    <w:name w:val="List Continue 2"/>
    <w:basedOn w:val="Normalny"/>
    <w:uiPriority w:val="98"/>
    <w:semiHidden/>
    <w:rsid w:val="00B6484B"/>
    <w:pPr>
      <w:spacing w:after="120"/>
      <w:ind w:left="566"/>
      <w:contextualSpacing/>
    </w:pPr>
  </w:style>
  <w:style w:type="paragraph" w:styleId="Lista-kontynuacja3">
    <w:name w:val="List Continue 3"/>
    <w:basedOn w:val="Normalny"/>
    <w:uiPriority w:val="98"/>
    <w:semiHidden/>
    <w:rsid w:val="00B6484B"/>
    <w:pPr>
      <w:spacing w:after="120"/>
      <w:ind w:left="849"/>
      <w:contextualSpacing/>
    </w:pPr>
  </w:style>
  <w:style w:type="paragraph" w:styleId="Lista-kontynuacja4">
    <w:name w:val="List Continue 4"/>
    <w:basedOn w:val="Normalny"/>
    <w:uiPriority w:val="98"/>
    <w:semiHidden/>
    <w:rsid w:val="00B6484B"/>
    <w:pPr>
      <w:spacing w:after="120"/>
      <w:ind w:left="1132"/>
      <w:contextualSpacing/>
    </w:pPr>
  </w:style>
  <w:style w:type="paragraph" w:styleId="Lista-kontynuacja5">
    <w:name w:val="List Continue 5"/>
    <w:basedOn w:val="Normalny"/>
    <w:uiPriority w:val="98"/>
    <w:semiHidden/>
    <w:rsid w:val="00B6484B"/>
    <w:pPr>
      <w:spacing w:after="120"/>
      <w:ind w:left="1415"/>
      <w:contextualSpacing/>
    </w:pPr>
  </w:style>
  <w:style w:type="paragraph" w:styleId="Listanumerowana">
    <w:name w:val="List Number"/>
    <w:basedOn w:val="Normalny"/>
    <w:uiPriority w:val="98"/>
    <w:semiHidden/>
    <w:rsid w:val="00B6484B"/>
    <w:pPr>
      <w:numPr>
        <w:numId w:val="14"/>
      </w:numPr>
      <w:contextualSpacing/>
    </w:pPr>
  </w:style>
  <w:style w:type="paragraph" w:styleId="Listanumerowana2">
    <w:name w:val="List Number 2"/>
    <w:basedOn w:val="Normalny"/>
    <w:uiPriority w:val="98"/>
    <w:semiHidden/>
    <w:rsid w:val="00B6484B"/>
    <w:pPr>
      <w:numPr>
        <w:numId w:val="15"/>
      </w:numPr>
      <w:contextualSpacing/>
    </w:pPr>
  </w:style>
  <w:style w:type="paragraph" w:styleId="Listanumerowana3">
    <w:name w:val="List Number 3"/>
    <w:basedOn w:val="Normalny"/>
    <w:uiPriority w:val="98"/>
    <w:semiHidden/>
    <w:rsid w:val="00B6484B"/>
    <w:pPr>
      <w:numPr>
        <w:numId w:val="16"/>
      </w:numPr>
      <w:contextualSpacing/>
    </w:pPr>
  </w:style>
  <w:style w:type="paragraph" w:styleId="Listanumerowana4">
    <w:name w:val="List Number 4"/>
    <w:basedOn w:val="Normalny"/>
    <w:uiPriority w:val="98"/>
    <w:semiHidden/>
    <w:rsid w:val="00B6484B"/>
    <w:pPr>
      <w:numPr>
        <w:numId w:val="17"/>
      </w:numPr>
      <w:contextualSpacing/>
    </w:pPr>
  </w:style>
  <w:style w:type="paragraph" w:styleId="Listanumerowana5">
    <w:name w:val="List Number 5"/>
    <w:basedOn w:val="Normalny"/>
    <w:uiPriority w:val="98"/>
    <w:semiHidden/>
    <w:rsid w:val="00B6484B"/>
    <w:pPr>
      <w:numPr>
        <w:numId w:val="18"/>
      </w:numPr>
      <w:contextualSpacing/>
    </w:pPr>
  </w:style>
  <w:style w:type="paragraph" w:styleId="Tekstmakra">
    <w:name w:val="macro"/>
    <w:link w:val="TekstmakraZnak"/>
    <w:uiPriority w:val="98"/>
    <w:semiHidden/>
    <w:rsid w:val="00B6484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B6484B"/>
    <w:rPr>
      <w:rFonts w:ascii="Consolas" w:eastAsiaTheme="minorEastAsia" w:hAnsi="Consolas" w:cs="Consolas"/>
      <w:sz w:val="20"/>
      <w:szCs w:val="20"/>
    </w:rPr>
  </w:style>
  <w:style w:type="table" w:styleId="redniasiatka1">
    <w:name w:val="Medium Grid 1"/>
    <w:basedOn w:val="Standardowy"/>
    <w:uiPriority w:val="67"/>
    <w:semiHidden/>
    <w:rsid w:val="00B6484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6484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6484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6484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B6484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6484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6484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B6484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6484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6484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6484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B6484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6484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6484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B6484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6484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6484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6484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6484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6484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6484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B6484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B6484B"/>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B6484B"/>
    <w:rPr>
      <w:rFonts w:ascii="Times New Roman" w:hAnsi="Times New Roman" w:cs="Times New Roman"/>
    </w:rPr>
  </w:style>
  <w:style w:type="paragraph" w:styleId="Wcicienormalne">
    <w:name w:val="Normal Indent"/>
    <w:basedOn w:val="Normalny"/>
    <w:uiPriority w:val="98"/>
    <w:semiHidden/>
    <w:rsid w:val="00B6484B"/>
    <w:pPr>
      <w:ind w:left="720"/>
    </w:pPr>
  </w:style>
  <w:style w:type="paragraph" w:styleId="Nagweknotatki">
    <w:name w:val="Note Heading"/>
    <w:basedOn w:val="Normalny"/>
    <w:next w:val="Normalny"/>
    <w:link w:val="NagweknotatkiZnak"/>
    <w:uiPriority w:val="98"/>
    <w:semiHidden/>
    <w:rsid w:val="00B6484B"/>
  </w:style>
  <w:style w:type="character" w:customStyle="1" w:styleId="NagweknotatkiZnak">
    <w:name w:val="Nagłówek notatki Znak"/>
    <w:basedOn w:val="Domylnaczcionkaakapitu"/>
    <w:link w:val="Nagweknotatki"/>
    <w:uiPriority w:val="98"/>
    <w:semiHidden/>
    <w:rsid w:val="00B6484B"/>
    <w:rPr>
      <w:sz w:val="24"/>
      <w:szCs w:val="24"/>
      <w:lang w:val="fr-FR"/>
    </w:rPr>
  </w:style>
  <w:style w:type="character" w:styleId="Tekstzastpczy">
    <w:name w:val="Placeholder Text"/>
    <w:basedOn w:val="Domylnaczcionkaakapitu"/>
    <w:uiPriority w:val="98"/>
    <w:semiHidden/>
    <w:rsid w:val="00B6484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B6484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B6484B"/>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B6484B"/>
  </w:style>
  <w:style w:type="character" w:customStyle="1" w:styleId="ZwrotgrzecznociowyZnak">
    <w:name w:val="Zwrot grzecznościowy Znak"/>
    <w:basedOn w:val="Domylnaczcionkaakapitu"/>
    <w:link w:val="Zwrotgrzecznociowy"/>
    <w:uiPriority w:val="98"/>
    <w:semiHidden/>
    <w:rsid w:val="00B6484B"/>
    <w:rPr>
      <w:sz w:val="24"/>
      <w:szCs w:val="24"/>
      <w:lang w:val="fr-FR"/>
    </w:rPr>
  </w:style>
  <w:style w:type="paragraph" w:styleId="Podpis">
    <w:name w:val="Signature"/>
    <w:basedOn w:val="Normalny"/>
    <w:link w:val="PodpisZnak"/>
    <w:uiPriority w:val="98"/>
    <w:semiHidden/>
    <w:rsid w:val="00B6484B"/>
    <w:pPr>
      <w:ind w:left="4252"/>
    </w:pPr>
  </w:style>
  <w:style w:type="character" w:customStyle="1" w:styleId="PodpisZnak">
    <w:name w:val="Podpis Znak"/>
    <w:basedOn w:val="Domylnaczcionkaakapitu"/>
    <w:link w:val="Podpis"/>
    <w:uiPriority w:val="98"/>
    <w:semiHidden/>
    <w:rsid w:val="00B6484B"/>
    <w:rPr>
      <w:sz w:val="24"/>
      <w:szCs w:val="24"/>
      <w:lang w:val="fr-FR"/>
    </w:rPr>
  </w:style>
  <w:style w:type="table" w:styleId="Tabela-Efekty3D1">
    <w:name w:val="Table 3D effects 1"/>
    <w:basedOn w:val="Standardowy"/>
    <w:uiPriority w:val="99"/>
    <w:semiHidden/>
    <w:unhideWhenUsed/>
    <w:rsid w:val="00B6484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B6484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B6484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B6484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B6484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B6484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B6484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B6484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B6484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B6484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B6484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B6484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B6484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B6484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B6484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B6484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B6484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B6484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B6484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B6484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B6484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B6484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B6484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B6484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B6484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B6484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B6484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B6484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B6484B"/>
    <w:pPr>
      <w:ind w:left="240" w:hanging="240"/>
    </w:pPr>
  </w:style>
  <w:style w:type="paragraph" w:styleId="Spisilustracji">
    <w:name w:val="table of figures"/>
    <w:basedOn w:val="Normalny"/>
    <w:next w:val="Normalny"/>
    <w:uiPriority w:val="98"/>
    <w:semiHidden/>
    <w:rsid w:val="00B6484B"/>
  </w:style>
  <w:style w:type="table" w:styleId="Tabela-Profesjonalny">
    <w:name w:val="Table Professional"/>
    <w:basedOn w:val="Standardowy"/>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B6484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B6484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B6484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B6484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B6484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B6484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B6484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B6484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B6484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B6484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B6484B"/>
    <w:pPr>
      <w:spacing w:after="100"/>
      <w:ind w:left="1680"/>
    </w:pPr>
  </w:style>
  <w:style w:type="paragraph" w:styleId="Spistreci9">
    <w:name w:val="toc 9"/>
    <w:basedOn w:val="Normalny"/>
    <w:next w:val="Normalny"/>
    <w:autoRedefine/>
    <w:uiPriority w:val="98"/>
    <w:semiHidden/>
    <w:rsid w:val="00B6484B"/>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FooterLine">
    <w:name w:val="_Footer_Line"/>
    <w:aliases w:val="Footer_Line"/>
    <w:basedOn w:val="Normalny"/>
    <w:next w:val="Footer"/>
    <w:uiPriority w:val="57"/>
    <w:semiHidden/>
    <w:rsid w:val="00B6484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6484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B6484B"/>
    <w:pPr>
      <w:keepNext/>
      <w:keepLines/>
      <w:spacing w:before="1320" w:after="280"/>
      <w:contextualSpacing/>
      <w:jc w:val="center"/>
    </w:pPr>
    <w:rPr>
      <w:b/>
    </w:rPr>
  </w:style>
  <w:style w:type="paragraph" w:customStyle="1" w:styleId="DummyStyle">
    <w:name w:val="Dummy_Style"/>
    <w:aliases w:val="_Dummy"/>
    <w:basedOn w:val="Normalny"/>
    <w:semiHidden/>
    <w:qFormat/>
    <w:rsid w:val="00B6484B"/>
    <w:rPr>
      <w:color w:val="00B050"/>
      <w:sz w:val="22"/>
    </w:rPr>
  </w:style>
  <w:style w:type="paragraph" w:customStyle="1" w:styleId="ECHRBullet1">
    <w:name w:val="ECHR_Bullet_1"/>
    <w:aliases w:val="_Bul_1"/>
    <w:basedOn w:val="NormalJustified"/>
    <w:uiPriority w:val="23"/>
    <w:semiHidden/>
    <w:qFormat/>
    <w:rsid w:val="00B6484B"/>
    <w:pPr>
      <w:numPr>
        <w:numId w:val="6"/>
      </w:numPr>
      <w:spacing w:before="60" w:after="60"/>
    </w:pPr>
  </w:style>
  <w:style w:type="paragraph" w:customStyle="1" w:styleId="ECHRBullet2">
    <w:name w:val="ECHR_Bullet_2"/>
    <w:aliases w:val="_Bul_2"/>
    <w:basedOn w:val="ECHRBullet1"/>
    <w:uiPriority w:val="23"/>
    <w:semiHidden/>
    <w:rsid w:val="00B6484B"/>
    <w:pPr>
      <w:numPr>
        <w:ilvl w:val="1"/>
      </w:numPr>
    </w:pPr>
  </w:style>
  <w:style w:type="paragraph" w:customStyle="1" w:styleId="ECHRBullet3">
    <w:name w:val="ECHR_Bullet_3"/>
    <w:aliases w:val="_Bul_3"/>
    <w:basedOn w:val="ECHRBullet2"/>
    <w:uiPriority w:val="23"/>
    <w:semiHidden/>
    <w:rsid w:val="00B6484B"/>
    <w:pPr>
      <w:numPr>
        <w:ilvl w:val="2"/>
      </w:numPr>
    </w:pPr>
  </w:style>
  <w:style w:type="paragraph" w:customStyle="1" w:styleId="ECHRBullet4">
    <w:name w:val="ECHR_Bullet_4"/>
    <w:aliases w:val="_Bul_4"/>
    <w:basedOn w:val="ECHRBullet3"/>
    <w:uiPriority w:val="23"/>
    <w:semiHidden/>
    <w:rsid w:val="00B6484B"/>
    <w:pPr>
      <w:numPr>
        <w:ilvl w:val="3"/>
      </w:numPr>
    </w:pPr>
  </w:style>
  <w:style w:type="paragraph" w:customStyle="1" w:styleId="ECHRConfidential">
    <w:name w:val="ECHR_Confidential"/>
    <w:aliases w:val="_Confidential"/>
    <w:basedOn w:val="Normalny"/>
    <w:next w:val="Normalny"/>
    <w:uiPriority w:val="42"/>
    <w:semiHidden/>
    <w:qFormat/>
    <w:rsid w:val="00B6484B"/>
    <w:pPr>
      <w:jc w:val="right"/>
    </w:pPr>
    <w:rPr>
      <w:color w:val="C00000"/>
      <w:sz w:val="20"/>
    </w:rPr>
  </w:style>
  <w:style w:type="paragraph" w:customStyle="1" w:styleId="ECHRDecisionBody">
    <w:name w:val="ECHR_Decision_Body"/>
    <w:aliases w:val="_Decision_Body"/>
    <w:basedOn w:val="NormalJustified"/>
    <w:uiPriority w:val="54"/>
    <w:semiHidden/>
    <w:rsid w:val="00B6484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B6484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B6484B"/>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30"/>
    <w:semiHidden/>
    <w:rsid w:val="00B6484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B6484B"/>
    <w:pPr>
      <w:jc w:val="right"/>
    </w:pPr>
    <w:rPr>
      <w:sz w:val="20"/>
    </w:rPr>
  </w:style>
  <w:style w:type="paragraph" w:customStyle="1" w:styleId="ECHRHeaderRefIt">
    <w:name w:val="ECHR_Header_Ref_It"/>
    <w:aliases w:val="_Ref_Ital"/>
    <w:basedOn w:val="Normalny"/>
    <w:next w:val="ECHRHeaderDate"/>
    <w:uiPriority w:val="43"/>
    <w:qFormat/>
    <w:rsid w:val="00B6484B"/>
    <w:pPr>
      <w:jc w:val="right"/>
    </w:pPr>
    <w:rPr>
      <w:i/>
      <w:sz w:val="20"/>
    </w:rPr>
  </w:style>
  <w:style w:type="paragraph" w:customStyle="1" w:styleId="ECHRHeading9">
    <w:name w:val="ECHR_Heading_9"/>
    <w:aliases w:val="_Head_9"/>
    <w:basedOn w:val="Nagwek9"/>
    <w:uiPriority w:val="17"/>
    <w:semiHidden/>
    <w:rsid w:val="00B6484B"/>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B6484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B6484B"/>
    <w:pPr>
      <w:numPr>
        <w:numId w:val="8"/>
      </w:numPr>
      <w:spacing w:before="60" w:after="60"/>
    </w:pPr>
  </w:style>
  <w:style w:type="paragraph" w:customStyle="1" w:styleId="ECHRNumberedList2">
    <w:name w:val="ECHR_Numbered_List_2"/>
    <w:aliases w:val="_Num_2"/>
    <w:basedOn w:val="ECHRNumberedList1"/>
    <w:uiPriority w:val="23"/>
    <w:semiHidden/>
    <w:rsid w:val="00B6484B"/>
    <w:pPr>
      <w:numPr>
        <w:ilvl w:val="1"/>
      </w:numPr>
    </w:pPr>
  </w:style>
  <w:style w:type="paragraph" w:customStyle="1" w:styleId="ECHRNumberedList3">
    <w:name w:val="ECHR_Numbered_List_3"/>
    <w:aliases w:val="_Num_3"/>
    <w:basedOn w:val="ECHRNumberedList2"/>
    <w:uiPriority w:val="23"/>
    <w:semiHidden/>
    <w:rsid w:val="00B6484B"/>
    <w:pPr>
      <w:numPr>
        <w:ilvl w:val="2"/>
      </w:numPr>
    </w:pPr>
  </w:style>
  <w:style w:type="paragraph" w:customStyle="1" w:styleId="ECHRParaHanging">
    <w:name w:val="ECHR_Para_Hanging"/>
    <w:aliases w:val="_Hanging"/>
    <w:basedOn w:val="Normalny"/>
    <w:uiPriority w:val="8"/>
    <w:semiHidden/>
    <w:qFormat/>
    <w:rsid w:val="00B6484B"/>
    <w:pPr>
      <w:ind w:left="567" w:hanging="567"/>
      <w:jc w:val="both"/>
    </w:pPr>
  </w:style>
  <w:style w:type="paragraph" w:customStyle="1" w:styleId="ECHRParaIndent">
    <w:name w:val="ECHR_Para_Indent"/>
    <w:aliases w:val="_Indent"/>
    <w:basedOn w:val="Normalny"/>
    <w:uiPriority w:val="7"/>
    <w:semiHidden/>
    <w:qFormat/>
    <w:rsid w:val="00B6484B"/>
    <w:pPr>
      <w:spacing w:before="120" w:after="120"/>
      <w:ind w:left="567"/>
      <w:jc w:val="both"/>
    </w:pPr>
  </w:style>
  <w:style w:type="character" w:customStyle="1" w:styleId="ECHRRed">
    <w:name w:val="ECHR_Red"/>
    <w:aliases w:val="_Red"/>
    <w:basedOn w:val="Domylnaczcionkaakapitu"/>
    <w:uiPriority w:val="15"/>
    <w:semiHidden/>
    <w:qFormat/>
    <w:rsid w:val="00B6484B"/>
    <w:rPr>
      <w:color w:val="C00000" w:themeColor="accent2"/>
    </w:rPr>
  </w:style>
  <w:style w:type="paragraph" w:customStyle="1" w:styleId="ECHRSpacer">
    <w:name w:val="ECHR_Spacer"/>
    <w:aliases w:val="_Spacer"/>
    <w:basedOn w:val="Normalny"/>
    <w:uiPriority w:val="45"/>
    <w:semiHidden/>
    <w:rsid w:val="00B6484B"/>
    <w:rPr>
      <w:sz w:val="4"/>
    </w:rPr>
  </w:style>
  <w:style w:type="table" w:customStyle="1" w:styleId="ECHRTable2">
    <w:name w:val="ECHR_Table_2"/>
    <w:basedOn w:val="Standardowy"/>
    <w:uiPriority w:val="99"/>
    <w:rsid w:val="00B6484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B6484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B6484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B6484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B6484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B6484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B6484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B6484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B6484B"/>
    <w:pPr>
      <w:outlineLvl w:val="0"/>
    </w:pPr>
  </w:style>
  <w:style w:type="paragraph" w:customStyle="1" w:styleId="ECHRTitleTOC1">
    <w:name w:val="ECHR_Title_TOC_1"/>
    <w:aliases w:val="_Title_L_TOC"/>
    <w:basedOn w:val="ECHRTitle1"/>
    <w:next w:val="Normalny"/>
    <w:uiPriority w:val="27"/>
    <w:semiHidden/>
    <w:qFormat/>
    <w:rsid w:val="00B6484B"/>
    <w:pPr>
      <w:outlineLvl w:val="0"/>
    </w:pPr>
  </w:style>
  <w:style w:type="character" w:customStyle="1" w:styleId="JuParaChar">
    <w:name w:val="Ju_Para Char"/>
    <w:aliases w:val="ECHR_Para Char,_Para Char"/>
    <w:link w:val="JuPara"/>
    <w:uiPriority w:val="99"/>
    <w:rsid w:val="00CC1663"/>
    <w:rPr>
      <w:sz w:val="24"/>
      <w:szCs w:val="24"/>
      <w:lang w:val="fr-FR"/>
    </w:rPr>
  </w:style>
  <w:style w:type="character" w:customStyle="1" w:styleId="JuNames0">
    <w:name w:val="Ju_Names"/>
    <w:rsid w:val="00CC1663"/>
    <w:rPr>
      <w:smallCaps/>
    </w:rPr>
  </w:style>
  <w:style w:type="paragraph" w:customStyle="1" w:styleId="JuList4">
    <w:name w:val="Ju_List_4"/>
    <w:aliases w:val="N_Bul_4"/>
    <w:basedOn w:val="JuListi"/>
    <w:uiPriority w:val="19"/>
    <w:rsid w:val="00CC1663"/>
    <w:pPr>
      <w:numPr>
        <w:ilvl w:val="0"/>
        <w:numId w:val="0"/>
      </w:numPr>
      <w:tabs>
        <w:tab w:val="num" w:pos="1701"/>
      </w:tabs>
      <w:spacing w:before="60" w:after="60" w:line="240" w:lineRule="exact"/>
      <w:ind w:left="1703" w:hanging="284"/>
      <w:contextualSpacing/>
    </w:pPr>
    <w:rPr>
      <w:sz w:val="22"/>
      <w:lang w:eastAsia="fr-FR"/>
    </w:rPr>
  </w:style>
  <w:style w:type="paragraph" w:customStyle="1" w:styleId="OpiPara">
    <w:name w:val="Opi_Para"/>
    <w:basedOn w:val="Normalny"/>
    <w:uiPriority w:val="46"/>
    <w:qFormat/>
    <w:rsid w:val="00037851"/>
    <w:pPr>
      <w:ind w:firstLine="284"/>
      <w:jc w:val="both"/>
    </w:pPr>
    <w:rPr>
      <w:rFonts w:eastAsiaTheme="minorEastAsia"/>
      <w:szCs w:val="22"/>
      <w:lang w:val="en-GB" w:eastAsia="fr-FR"/>
    </w:rPr>
  </w:style>
  <w:style w:type="paragraph" w:customStyle="1" w:styleId="OpiQuot">
    <w:name w:val="Opi_Quot"/>
    <w:basedOn w:val="Normalny"/>
    <w:uiPriority w:val="48"/>
    <w:qFormat/>
    <w:rsid w:val="00037851"/>
    <w:pPr>
      <w:spacing w:before="120" w:after="120"/>
      <w:ind w:left="425" w:firstLine="142"/>
      <w:jc w:val="both"/>
    </w:pPr>
    <w:rPr>
      <w:rFonts w:eastAsiaTheme="minorEastAsia"/>
      <w:sz w:val="20"/>
      <w:szCs w:val="22"/>
      <w:lang w:val="en-GB" w:eastAsia="fr-FR"/>
    </w:rPr>
  </w:style>
  <w:style w:type="paragraph" w:customStyle="1" w:styleId="jupara0">
    <w:name w:val="jupara"/>
    <w:basedOn w:val="Normalny"/>
    <w:rsid w:val="007C1FCE"/>
    <w:pPr>
      <w:ind w:firstLine="284"/>
      <w:jc w:val="both"/>
    </w:pPr>
    <w:rPr>
      <w:rFonts w:ascii="Times New Roman" w:eastAsia="Times New Roman" w:hAnsi="Times New Roman" w:cs="Times New Roman"/>
      <w:lang w:val="en-GB" w:eastAsia="en-GB"/>
    </w:rPr>
  </w:style>
  <w:style w:type="paragraph" w:customStyle="1" w:styleId="jucase0">
    <w:name w:val="jucase"/>
    <w:basedOn w:val="Normalny"/>
    <w:rsid w:val="007C1FCE"/>
    <w:pPr>
      <w:ind w:firstLine="284"/>
      <w:jc w:val="both"/>
    </w:pPr>
    <w:rPr>
      <w:rFonts w:ascii="Times New Roman" w:eastAsia="Times New Roman" w:hAnsi="Times New Roman" w:cs="Times New Roman"/>
      <w:b/>
      <w:bCs/>
      <w:lang w:val="en-GB" w:eastAsia="en-GB"/>
    </w:rPr>
  </w:style>
  <w:style w:type="paragraph" w:customStyle="1" w:styleId="s50c0b1c7">
    <w:name w:val="s50c0b1c7"/>
    <w:basedOn w:val="Normalny"/>
    <w:uiPriority w:val="99"/>
    <w:rsid w:val="008D2093"/>
    <w:pPr>
      <w:spacing w:before="100" w:beforeAutospacing="1" w:after="100" w:afterAutospacing="1"/>
    </w:pPr>
    <w:rPr>
      <w:rFonts w:ascii="Times New Roman" w:eastAsia="Times New Roman" w:hAnsi="Times New Roman" w:cs="Times New Roman"/>
      <w:lang w:val="en-GB" w:eastAsia="en-GB"/>
    </w:rPr>
  </w:style>
  <w:style w:type="character" w:customStyle="1" w:styleId="s3aeeab2">
    <w:name w:val="s3aeeab2"/>
    <w:basedOn w:val="Domylnaczcionkaakapitu"/>
    <w:uiPriority w:val="99"/>
    <w:rsid w:val="008D2093"/>
  </w:style>
  <w:style w:type="character" w:customStyle="1" w:styleId="sfbbfee58">
    <w:name w:val="sfbbfee58"/>
    <w:basedOn w:val="Domylnaczcionkaakapitu"/>
    <w:rsid w:val="008D2093"/>
  </w:style>
  <w:style w:type="paragraph" w:customStyle="1" w:styleId="ClinContent">
    <w:name w:val="ClinContent"/>
    <w:basedOn w:val="Normalny"/>
    <w:qFormat/>
    <w:rsid w:val="005A3433"/>
    <w:pPr>
      <w:spacing w:before="240"/>
      <w:jc w:val="both"/>
    </w:pPr>
    <w:rPr>
      <w:rFonts w:ascii="Verdana" w:eastAsia="Times New Roman" w:hAnsi="Verdana" w:cs="Times New Roman"/>
      <w:sz w:val="20"/>
      <w:lang w:val="en-GB" w:eastAsia="en-GB"/>
    </w:rPr>
  </w:style>
  <w:style w:type="character" w:customStyle="1" w:styleId="s4f807e54">
    <w:name w:val="s4f807e54"/>
    <w:uiPriority w:val="99"/>
    <w:rsid w:val="00F76C96"/>
  </w:style>
  <w:style w:type="paragraph" w:customStyle="1" w:styleId="s85226119">
    <w:name w:val="s85226119"/>
    <w:basedOn w:val="Normalny"/>
    <w:rsid w:val="00654DD5"/>
    <w:pPr>
      <w:spacing w:before="100" w:beforeAutospacing="1" w:after="100" w:afterAutospacing="1"/>
    </w:pPr>
    <w:rPr>
      <w:rFonts w:ascii="Times New Roman" w:eastAsia="Times New Roman" w:hAnsi="Times New Roman" w:cs="Times New Roman"/>
      <w:lang w:val="pl-PL" w:eastAsia="pl-PL"/>
    </w:rPr>
  </w:style>
  <w:style w:type="character" w:customStyle="1" w:styleId="sbb9ee52a">
    <w:name w:val="sbb9ee52a"/>
    <w:basedOn w:val="Domylnaczcionkaakapitu"/>
    <w:rsid w:val="00654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F960BD-6B8B-4801-BCE6-E1AC0ECA3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F74326C-E4D6-426D-8A4E-6E4CDF8F02EB}">
  <ds:schemaRefs>
    <ds:schemaRef ds:uri="http://schemas.openxmlformats.org/officeDocument/2006/bibliography"/>
  </ds:schemaRefs>
</ds:datastoreItem>
</file>

<file path=customXml/itemProps3.xml><?xml version="1.0" encoding="utf-8"?>
<ds:datastoreItem xmlns:ds="http://schemas.openxmlformats.org/officeDocument/2006/customXml" ds:itemID="{59B64DA9-B911-47BA-9604-A39BB84E7F2D}">
  <ds:schemaRefs>
    <ds:schemaRef ds:uri="http://schemas.microsoft.com/sharepoint/v3/contenttype/forms"/>
  </ds:schemaRefs>
</ds:datastoreItem>
</file>

<file path=customXml/itemProps4.xml><?xml version="1.0" encoding="utf-8"?>
<ds:datastoreItem xmlns:ds="http://schemas.openxmlformats.org/officeDocument/2006/customXml" ds:itemID="{35411871-77E7-40DB-BB9A-146ADBD2D7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7758</Words>
  <Characters>46550</Characters>
  <Application>Microsoft Office Word</Application>
  <DocSecurity>0</DocSecurity>
  <Lines>387</Lines>
  <Paragraphs>108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54200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2025-10-16T10:51:00Z</dcterms:created>
  <dcterms:modified xsi:type="dcterms:W3CDTF">2025-10-21T15:20:00Z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1393223</vt:lpwstr>
  </property>
  <property fmtid="{D5CDD505-2E9C-101B-9397-08002B2CF9AE}" pid="3" name="cstLanguage">
    <vt:i4>1036</vt:i4>
  </property>
  <property fmtid="{D5CDD505-2E9C-101B-9397-08002B2CF9AE}" pid="4" name="RegisteredNo">
    <vt:lpwstr>35187/18</vt:lpwstr>
  </property>
</Properties>
</file>