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0A7366" w14:textId="77777777" w:rsidR="00414A46" w:rsidRDefault="00414A46">
      <w:pPr>
        <w:jc w:val="center"/>
        <w:rPr>
          <w:rFonts w:cs="Times New Roman"/>
        </w:rPr>
      </w:pPr>
    </w:p>
    <w:p w14:paraId="67F9F3DC" w14:textId="77777777" w:rsidR="00414A46" w:rsidRDefault="00414A46">
      <w:pPr>
        <w:jc w:val="center"/>
        <w:rPr>
          <w:rFonts w:cs="Times New Roman"/>
        </w:rPr>
      </w:pPr>
    </w:p>
    <w:p w14:paraId="7B0D2233" w14:textId="77777777" w:rsidR="00414A46" w:rsidRDefault="00414A46">
      <w:pPr>
        <w:jc w:val="center"/>
        <w:rPr>
          <w:rFonts w:cs="Times New Roman"/>
        </w:rPr>
      </w:pPr>
    </w:p>
    <w:p w14:paraId="41E5F238" w14:textId="77777777" w:rsidR="00414A46" w:rsidRDefault="008C003A">
      <w:pPr>
        <w:tabs>
          <w:tab w:val="left" w:pos="5529"/>
        </w:tabs>
        <w:jc w:val="center"/>
      </w:pPr>
      <w:r>
        <w:rPr>
          <w:rFonts w:cs="Times New Roman"/>
        </w:rPr>
        <w:t>WIELKA IZBA</w:t>
      </w:r>
    </w:p>
    <w:p w14:paraId="2D8A1334" w14:textId="77777777" w:rsidR="00414A46" w:rsidRDefault="00414A46">
      <w:pPr>
        <w:jc w:val="center"/>
        <w:rPr>
          <w:rFonts w:cs="Times New Roman"/>
        </w:rPr>
      </w:pPr>
    </w:p>
    <w:p w14:paraId="250F88F6" w14:textId="77777777" w:rsidR="00414A46" w:rsidRDefault="00414A46">
      <w:pPr>
        <w:jc w:val="center"/>
        <w:rPr>
          <w:rFonts w:cs="Times New Roman"/>
        </w:rPr>
      </w:pPr>
    </w:p>
    <w:p w14:paraId="6005FB64" w14:textId="77777777" w:rsidR="00414A46" w:rsidRDefault="00414A46">
      <w:pPr>
        <w:jc w:val="center"/>
        <w:rPr>
          <w:rFonts w:cs="Times New Roman"/>
        </w:rPr>
      </w:pPr>
    </w:p>
    <w:p w14:paraId="608A03BE" w14:textId="77777777" w:rsidR="00414A46" w:rsidRDefault="00414A46">
      <w:pPr>
        <w:jc w:val="center"/>
        <w:rPr>
          <w:rFonts w:cs="Times New Roman"/>
        </w:rPr>
      </w:pPr>
    </w:p>
    <w:p w14:paraId="29BE76C0" w14:textId="77777777" w:rsidR="00414A46" w:rsidRDefault="00414A46">
      <w:pPr>
        <w:jc w:val="center"/>
        <w:rPr>
          <w:rFonts w:cs="Times New Roman"/>
        </w:rPr>
      </w:pPr>
    </w:p>
    <w:p w14:paraId="0ADE7EB7" w14:textId="77777777" w:rsidR="00414A46" w:rsidRDefault="00414A46">
      <w:pPr>
        <w:jc w:val="center"/>
        <w:rPr>
          <w:rFonts w:cs="Times New Roman"/>
        </w:rPr>
      </w:pPr>
    </w:p>
    <w:p w14:paraId="14AFF997" w14:textId="77777777" w:rsidR="00414A46" w:rsidRDefault="00414A46">
      <w:pPr>
        <w:jc w:val="center"/>
        <w:rPr>
          <w:rFonts w:cs="Times New Roman"/>
        </w:rPr>
      </w:pPr>
    </w:p>
    <w:p w14:paraId="3E06D7CB" w14:textId="77777777" w:rsidR="00414A46" w:rsidRDefault="008C003A">
      <w:pPr>
        <w:jc w:val="center"/>
      </w:pPr>
      <w:bookmarkStart w:id="0" w:name="To"/>
      <w:r>
        <w:rPr>
          <w:rFonts w:cs="Times New Roman"/>
          <w:b/>
          <w:bCs/>
        </w:rPr>
        <w:t xml:space="preserve">SPRAWA </w:t>
      </w:r>
      <w:bookmarkEnd w:id="0"/>
      <w:r>
        <w:rPr>
          <w:rFonts w:cs="Times New Roman"/>
          <w:b/>
          <w:bCs/>
        </w:rPr>
        <w:t>NICOLAE VIRGILIU TĂNASE przeciwko RUMUNII</w:t>
      </w:r>
    </w:p>
    <w:p w14:paraId="27915A98" w14:textId="77777777" w:rsidR="00414A46" w:rsidRDefault="00414A46">
      <w:pPr>
        <w:jc w:val="center"/>
        <w:rPr>
          <w:rFonts w:cs="Times New Roman"/>
        </w:rPr>
      </w:pPr>
    </w:p>
    <w:p w14:paraId="0E4D3683" w14:textId="77777777" w:rsidR="00414A46" w:rsidRDefault="008C003A">
      <w:pPr>
        <w:jc w:val="center"/>
      </w:pPr>
      <w:r>
        <w:rPr>
          <w:rFonts w:cs="Times New Roman"/>
          <w:i/>
          <w:iCs/>
        </w:rPr>
        <w:t>(Skarga nr 41720/13)</w:t>
      </w:r>
    </w:p>
    <w:p w14:paraId="43310965" w14:textId="77777777" w:rsidR="00414A46" w:rsidRDefault="00414A46">
      <w:pPr>
        <w:jc w:val="center"/>
        <w:rPr>
          <w:rFonts w:cs="Times New Roman"/>
        </w:rPr>
      </w:pPr>
    </w:p>
    <w:p w14:paraId="4B423E4F" w14:textId="77777777" w:rsidR="00414A46" w:rsidRDefault="00414A46">
      <w:pPr>
        <w:jc w:val="center"/>
        <w:rPr>
          <w:rFonts w:cs="Times New Roman"/>
        </w:rPr>
      </w:pPr>
    </w:p>
    <w:p w14:paraId="475D35A4" w14:textId="77777777" w:rsidR="00414A46" w:rsidRDefault="00414A46">
      <w:pPr>
        <w:jc w:val="center"/>
        <w:rPr>
          <w:rFonts w:cs="Times New Roman"/>
        </w:rPr>
      </w:pPr>
    </w:p>
    <w:p w14:paraId="5DDF9F5B" w14:textId="77777777" w:rsidR="00414A46" w:rsidRDefault="00414A46">
      <w:pPr>
        <w:jc w:val="center"/>
        <w:rPr>
          <w:rFonts w:cs="Times New Roman"/>
        </w:rPr>
      </w:pPr>
    </w:p>
    <w:p w14:paraId="66F14A89" w14:textId="77777777" w:rsidR="00414A46" w:rsidRDefault="00414A46">
      <w:pPr>
        <w:jc w:val="center"/>
        <w:rPr>
          <w:rFonts w:cs="Times New Roman"/>
        </w:rPr>
      </w:pPr>
    </w:p>
    <w:p w14:paraId="51C559DD" w14:textId="77777777" w:rsidR="00414A46" w:rsidRDefault="00414A46">
      <w:pPr>
        <w:jc w:val="center"/>
        <w:rPr>
          <w:rFonts w:cs="Times New Roman"/>
        </w:rPr>
      </w:pPr>
    </w:p>
    <w:p w14:paraId="1B1542F0" w14:textId="77777777" w:rsidR="00414A46" w:rsidRDefault="00414A46">
      <w:pPr>
        <w:jc w:val="center"/>
        <w:rPr>
          <w:rFonts w:cs="Times New Roman"/>
        </w:rPr>
      </w:pPr>
    </w:p>
    <w:p w14:paraId="19B5A7E3" w14:textId="77777777" w:rsidR="00414A46" w:rsidRDefault="00414A46">
      <w:pPr>
        <w:jc w:val="center"/>
        <w:rPr>
          <w:rFonts w:cs="Times New Roman"/>
        </w:rPr>
      </w:pPr>
    </w:p>
    <w:p w14:paraId="68F679DE" w14:textId="77777777" w:rsidR="00414A46" w:rsidRDefault="008C003A">
      <w:pPr>
        <w:jc w:val="center"/>
      </w:pPr>
      <w:r>
        <w:rPr>
          <w:rFonts w:cs="Times New Roman"/>
        </w:rPr>
        <w:t>WYROK</w:t>
      </w:r>
    </w:p>
    <w:p w14:paraId="52AE21A6" w14:textId="77777777" w:rsidR="00414A46" w:rsidRDefault="00414A46">
      <w:pPr>
        <w:jc w:val="center"/>
        <w:rPr>
          <w:rFonts w:asciiTheme="majorHAnsi" w:hAnsiTheme="majorHAnsi" w:cstheme="majorHAnsi"/>
          <w:i/>
          <w:szCs w:val="24"/>
        </w:rPr>
      </w:pPr>
    </w:p>
    <w:p w14:paraId="7D4DBBA3" w14:textId="77777777" w:rsidR="00414A46" w:rsidRDefault="00414A46">
      <w:pPr>
        <w:jc w:val="center"/>
        <w:rPr>
          <w:rFonts w:cs="Times New Roman"/>
        </w:rPr>
      </w:pPr>
    </w:p>
    <w:p w14:paraId="2A24505B" w14:textId="77777777" w:rsidR="00414A46" w:rsidRDefault="008C003A">
      <w:pPr>
        <w:jc w:val="center"/>
      </w:pPr>
      <w:r>
        <w:rPr>
          <w:rFonts w:cs="Times New Roman"/>
        </w:rPr>
        <w:t>STRASBURG</w:t>
      </w:r>
    </w:p>
    <w:p w14:paraId="4E2B7B84" w14:textId="77777777" w:rsidR="00414A46" w:rsidRDefault="00414A46">
      <w:pPr>
        <w:jc w:val="center"/>
        <w:rPr>
          <w:rFonts w:cs="Times New Roman"/>
        </w:rPr>
      </w:pPr>
    </w:p>
    <w:p w14:paraId="752E433A" w14:textId="77777777" w:rsidR="00414A46" w:rsidRDefault="008C003A">
      <w:pPr>
        <w:jc w:val="center"/>
      </w:pPr>
      <w:r>
        <w:rPr>
          <w:rFonts w:cs="Times New Roman"/>
        </w:rPr>
        <w:t>25 czerwca 2019 r.</w:t>
      </w:r>
    </w:p>
    <w:p w14:paraId="0AD604D4" w14:textId="77777777" w:rsidR="00414A46" w:rsidRPr="001069DE" w:rsidRDefault="00414A46">
      <w:pPr>
        <w:jc w:val="center"/>
        <w:rPr>
          <w:rFonts w:cs="Times New Roman"/>
          <w:color w:val="FF0000"/>
        </w:rPr>
      </w:pPr>
    </w:p>
    <w:p w14:paraId="4F83FD20" w14:textId="77777777" w:rsidR="00414A46" w:rsidRPr="001069DE" w:rsidRDefault="00414A46">
      <w:pPr>
        <w:jc w:val="center"/>
        <w:rPr>
          <w:rFonts w:cs="Times New Roman"/>
          <w:color w:val="FF0000"/>
        </w:rPr>
      </w:pPr>
    </w:p>
    <w:p w14:paraId="159292BD" w14:textId="174F3BD1" w:rsidR="00414A46" w:rsidRPr="001069DE" w:rsidRDefault="00E057EC">
      <w:pPr>
        <w:jc w:val="center"/>
        <w:rPr>
          <w:rFonts w:cs="Times New Roman"/>
          <w:color w:val="FF0000"/>
        </w:rPr>
      </w:pPr>
      <w:r w:rsidRPr="001069DE">
        <w:rPr>
          <w:rFonts w:cs="Times New Roman"/>
          <w:color w:val="FF0000"/>
        </w:rPr>
        <w:t>/fragmenty/</w:t>
      </w:r>
    </w:p>
    <w:p w14:paraId="33141588" w14:textId="77777777" w:rsidR="00414A46" w:rsidRDefault="00414A46">
      <w:pPr>
        <w:jc w:val="center"/>
        <w:rPr>
          <w:rFonts w:cs="Times New Roman"/>
        </w:rPr>
      </w:pPr>
    </w:p>
    <w:p w14:paraId="248AD714" w14:textId="77777777" w:rsidR="00414A46" w:rsidRDefault="00414A46">
      <w:pPr>
        <w:jc w:val="center"/>
        <w:rPr>
          <w:rFonts w:cs="Times New Roman"/>
        </w:rPr>
      </w:pPr>
    </w:p>
    <w:p w14:paraId="7D69D77B" w14:textId="77777777" w:rsidR="00414A46" w:rsidRDefault="00414A46">
      <w:pPr>
        <w:jc w:val="center"/>
        <w:rPr>
          <w:rFonts w:cs="Times New Roman"/>
        </w:rPr>
      </w:pPr>
    </w:p>
    <w:p w14:paraId="607C72E2" w14:textId="1325071A" w:rsidR="00414A46" w:rsidRDefault="008C003A">
      <w:r>
        <w:rPr>
          <w:rFonts w:cs="Times New Roman"/>
          <w:i/>
          <w:iCs/>
          <w:sz w:val="22"/>
        </w:rPr>
        <w:t xml:space="preserve">Wyrok ten jest ostateczny, </w:t>
      </w:r>
      <w:r w:rsidR="007D75D9">
        <w:rPr>
          <w:rFonts w:cs="Times New Roman"/>
          <w:i/>
          <w:iCs/>
          <w:sz w:val="22"/>
        </w:rPr>
        <w:t xml:space="preserve">ale </w:t>
      </w:r>
      <w:r>
        <w:rPr>
          <w:rFonts w:cs="Times New Roman"/>
          <w:i/>
          <w:iCs/>
          <w:sz w:val="22"/>
        </w:rPr>
        <w:t xml:space="preserve"> może podlegać korekcie wydawniczej.</w:t>
      </w:r>
    </w:p>
    <w:p w14:paraId="215022D8" w14:textId="77777777" w:rsidR="00414A46" w:rsidRDefault="00414A46">
      <w:pPr>
        <w:rPr>
          <w:rFonts w:cs="Times New Roman"/>
          <w:sz w:val="22"/>
        </w:rPr>
        <w:sectPr w:rsidR="00414A46">
          <w:headerReference w:type="default" r:id="rId11"/>
          <w:footerReference w:type="default" r:id="rId12"/>
          <w:pgSz w:w="11906" w:h="16838"/>
          <w:pgMar w:top="2274" w:right="2274" w:bottom="2274" w:left="2274" w:header="1701" w:footer="720" w:gutter="0"/>
          <w:pgNumType w:start="1"/>
          <w:cols w:space="708"/>
          <w:formProt w:val="0"/>
          <w:docGrid w:linePitch="100"/>
        </w:sectPr>
      </w:pPr>
    </w:p>
    <w:p w14:paraId="1A556AAC" w14:textId="77777777" w:rsidR="00414A46" w:rsidRDefault="008C003A">
      <w:pPr>
        <w:pStyle w:val="JuHIRoman"/>
        <w:numPr>
          <w:ilvl w:val="1"/>
          <w:numId w:val="1"/>
        </w:numPr>
        <w:spacing w:before="280"/>
      </w:pPr>
      <w:r>
        <w:lastRenderedPageBreak/>
        <w:t>SKARGI DOTYCZĄCE PRZEBIEGU ŚLEDZTWA</w:t>
      </w:r>
      <w:bookmarkStart w:id="1" w:name="_GoBack"/>
      <w:bookmarkEnd w:id="1"/>
    </w:p>
    <w:p w14:paraId="59EA16C8" w14:textId="417F0DF9" w:rsidR="00414A46" w:rsidRDefault="00FF2312">
      <w:pPr>
        <w:pStyle w:val="JuPara"/>
      </w:pPr>
      <w:r>
        <w:t>91</w:t>
      </w:r>
      <w:r w:rsidR="008C003A">
        <w:t xml:space="preserve">.  Skarżący podniósł </w:t>
      </w:r>
      <w:r w:rsidR="00F06823">
        <w:t xml:space="preserve">zarzut dotyczący </w:t>
      </w:r>
      <w:r w:rsidR="008C003A">
        <w:t>długoś</w:t>
      </w:r>
      <w:r w:rsidR="00F06823">
        <w:t>ci</w:t>
      </w:r>
      <w:r w:rsidR="008C003A">
        <w:t xml:space="preserve"> i nieskutecznoś</w:t>
      </w:r>
      <w:r w:rsidR="00F06823">
        <w:t>ci</w:t>
      </w:r>
      <w:r w:rsidR="008C003A">
        <w:t xml:space="preserve"> śledztwa oraz rzekom</w:t>
      </w:r>
      <w:r w:rsidR="00F06823">
        <w:t>ej</w:t>
      </w:r>
      <w:r w:rsidR="008C003A">
        <w:t xml:space="preserve"> niemożnoś</w:t>
      </w:r>
      <w:r w:rsidR="00F06823">
        <w:t>ci</w:t>
      </w:r>
      <w:r w:rsidR="008C003A">
        <w:t xml:space="preserve"> uzyskania orzeczenia </w:t>
      </w:r>
      <w:r w:rsidR="00F06823">
        <w:t>w przedmiocie</w:t>
      </w:r>
      <w:r w:rsidR="008C003A">
        <w:t xml:space="preserve"> jego roszczenia cywilnego w związku z wypadkiem drogowym, w którym uczestniczył. Jak już wskazano powyżej (zob. par. </w:t>
      </w:r>
      <w:r w:rsidR="00C47ED0" w:rsidRPr="00BF3734">
        <w:rPr>
          <w:noProof/>
        </w:rPr>
        <w:t>86</w:t>
      </w:r>
      <w:r w:rsidR="00E56D23">
        <w:rPr>
          <w:rFonts w:cs="Times New Roman"/>
          <w:szCs w:val="24"/>
        </w:rPr>
        <w:t>–</w:t>
      </w:r>
      <w:r w:rsidR="00C47ED0" w:rsidRPr="00BF3734">
        <w:rPr>
          <w:noProof/>
        </w:rPr>
        <w:t>87</w:t>
      </w:r>
      <w:r w:rsidR="008C003A">
        <w:t>), Trybunał zbada te zarzuty w świetle art. 2 i 3, art. 6 ust. 1 oraz art. 8 i 13 Konwencji, które w odpowiednich częściach brzmią następująco:</w:t>
      </w:r>
    </w:p>
    <w:p w14:paraId="0478EFBF" w14:textId="77777777" w:rsidR="00414A46" w:rsidRDefault="008C003A">
      <w:pPr>
        <w:pStyle w:val="JuHArticle"/>
        <w:spacing w:before="280"/>
      </w:pPr>
      <w:r>
        <w:rPr>
          <w:bCs/>
        </w:rPr>
        <w:t>Artykuł 2</w:t>
      </w:r>
    </w:p>
    <w:p w14:paraId="2E9213E2" w14:textId="1BD0D30B" w:rsidR="00414A46" w:rsidRDefault="008C003A">
      <w:pPr>
        <w:pStyle w:val="JuQuot"/>
      </w:pPr>
      <w:r>
        <w:t>„1.  Prawo każdego człowieka do życia jest chronione przez ustawę</w:t>
      </w:r>
      <w:r w:rsidR="00FD2E9C">
        <w:t>.</w:t>
      </w:r>
    </w:p>
    <w:p w14:paraId="35117FFF" w14:textId="77777777" w:rsidR="00414A46" w:rsidRDefault="008C003A">
      <w:pPr>
        <w:pStyle w:val="JuQuot"/>
      </w:pPr>
      <w:r>
        <w:t>[…]”.</w:t>
      </w:r>
    </w:p>
    <w:p w14:paraId="7B682AA2" w14:textId="77777777" w:rsidR="00414A46" w:rsidRDefault="008C003A">
      <w:pPr>
        <w:pStyle w:val="JuHArticle"/>
        <w:spacing w:before="280"/>
      </w:pPr>
      <w:r>
        <w:rPr>
          <w:bCs/>
        </w:rPr>
        <w:t>Artykuł 3</w:t>
      </w:r>
    </w:p>
    <w:p w14:paraId="66387040" w14:textId="77777777" w:rsidR="00414A46" w:rsidRDefault="008C003A">
      <w:pPr>
        <w:pStyle w:val="JuQuot"/>
      </w:pPr>
      <w:r>
        <w:t>„Nikt nie może być poddany torturom ani nieludzkiemu lub poniżającemu traktowaniu albo karaniu”.</w:t>
      </w:r>
    </w:p>
    <w:p w14:paraId="1E373A91" w14:textId="77777777" w:rsidR="00414A46" w:rsidRDefault="008C003A">
      <w:pPr>
        <w:pStyle w:val="JuHArticle"/>
        <w:spacing w:before="280"/>
      </w:pPr>
      <w:r>
        <w:rPr>
          <w:bCs/>
        </w:rPr>
        <w:t>Artykuł 6</w:t>
      </w:r>
    </w:p>
    <w:p w14:paraId="47CE950E" w14:textId="77777777" w:rsidR="00414A46" w:rsidRDefault="008C003A">
      <w:pPr>
        <w:pStyle w:val="JuQuot"/>
      </w:pPr>
      <w:r>
        <w:t>„1.  „Każdy ma prawo do sprawiedliwego [...] rozpatrzenia jego sprawy w rozsądnym terminie przez niezawisły i bezstronny sąd ustanowiony ustawą przy rozstrzyganiu o jego prawach i obowiązkach o charakterze cywilnym</w:t>
      </w:r>
    </w:p>
    <w:p w14:paraId="5B3925C2" w14:textId="77777777" w:rsidR="00414A46" w:rsidRDefault="008C003A">
      <w:pPr>
        <w:pStyle w:val="JuQuot"/>
      </w:pPr>
      <w:r>
        <w:t>[…]”.</w:t>
      </w:r>
    </w:p>
    <w:p w14:paraId="3A6A5DFE" w14:textId="77777777" w:rsidR="00414A46" w:rsidRDefault="008C003A">
      <w:pPr>
        <w:pStyle w:val="JuHArticle"/>
        <w:spacing w:before="280"/>
      </w:pPr>
      <w:r>
        <w:rPr>
          <w:bCs/>
        </w:rPr>
        <w:t>Artykuł 8</w:t>
      </w:r>
    </w:p>
    <w:p w14:paraId="1DA49CF0" w14:textId="77777777" w:rsidR="00414A46" w:rsidRDefault="008C003A">
      <w:pPr>
        <w:pStyle w:val="JuQuot"/>
      </w:pPr>
      <w:r>
        <w:t>„1.  Każdy ma prawo do poszanowania swojego życia prywatnego</w:t>
      </w:r>
    </w:p>
    <w:p w14:paraId="4F25577D" w14:textId="77777777" w:rsidR="00414A46" w:rsidRDefault="008C003A">
      <w:pPr>
        <w:pStyle w:val="JuQuot"/>
      </w:pPr>
      <w:r>
        <w:t>[…]”.</w:t>
      </w:r>
    </w:p>
    <w:p w14:paraId="669A2801" w14:textId="77777777" w:rsidR="00414A46" w:rsidRDefault="008C003A">
      <w:pPr>
        <w:pStyle w:val="JuHArticle"/>
        <w:spacing w:before="280"/>
      </w:pPr>
      <w:r>
        <w:rPr>
          <w:bCs/>
        </w:rPr>
        <w:t>Artykuł 13</w:t>
      </w:r>
    </w:p>
    <w:p w14:paraId="42FDA726" w14:textId="77777777" w:rsidR="00414A46" w:rsidRDefault="008C003A">
      <w:pPr>
        <w:pStyle w:val="JuQuot"/>
      </w:pPr>
      <w:r>
        <w:t>„Każdy, kogo prawa i wolności zawarte w niniejszej Konwencji zostały naruszone, ma prawo do skutecznego środka odwoławczego do właściwego organu państwowego także wówczas, gdy naruszenia dokonały osoby wykonujące swoje funkcje urzędowe”.</w:t>
      </w:r>
    </w:p>
    <w:p w14:paraId="18022F27" w14:textId="77777777" w:rsidR="00414A46" w:rsidRDefault="008C003A">
      <w:pPr>
        <w:pStyle w:val="JuHA"/>
        <w:numPr>
          <w:ilvl w:val="2"/>
          <w:numId w:val="1"/>
        </w:numPr>
        <w:spacing w:before="280"/>
      </w:pPr>
      <w:r>
        <w:rPr>
          <w:bCs/>
        </w:rPr>
        <w:t>W przedmiocie zarzucanego naruszenia art. 2, 3 i 8 Konwencji</w:t>
      </w:r>
    </w:p>
    <w:p w14:paraId="26D7B68C" w14:textId="39671BB3" w:rsidR="00414A46" w:rsidRDefault="00FF2312">
      <w:pPr>
        <w:pStyle w:val="JuPara"/>
      </w:pPr>
      <w:r>
        <w:t>92</w:t>
      </w:r>
      <w:r w:rsidR="008C003A">
        <w:t>.  Skarżący podniósł, że śledztwo było przewlekłe i nieskuteczne.</w:t>
      </w:r>
    </w:p>
    <w:p w14:paraId="3C82E85C" w14:textId="77777777" w:rsidR="00414A46" w:rsidRDefault="008C003A">
      <w:pPr>
        <w:pStyle w:val="JuH1"/>
        <w:numPr>
          <w:ilvl w:val="3"/>
          <w:numId w:val="1"/>
        </w:numPr>
        <w:spacing w:before="280"/>
      </w:pPr>
      <w:r>
        <w:rPr>
          <w:iCs/>
        </w:rPr>
        <w:lastRenderedPageBreak/>
        <w:t>Dopuszczalność</w:t>
      </w:r>
    </w:p>
    <w:p w14:paraId="0518E08D" w14:textId="77777777" w:rsidR="00414A46" w:rsidRDefault="008C003A">
      <w:pPr>
        <w:pStyle w:val="JuHa0"/>
        <w:numPr>
          <w:ilvl w:val="4"/>
          <w:numId w:val="1"/>
        </w:numPr>
        <w:spacing w:before="280"/>
      </w:pPr>
      <w:r>
        <w:rPr>
          <w:bCs/>
        </w:rPr>
        <w:t>Wyczerpanie krajowych środków odwoławczych</w:t>
      </w:r>
    </w:p>
    <w:p w14:paraId="266B2D82" w14:textId="77777777" w:rsidR="00414A46" w:rsidRDefault="008C003A">
      <w:pPr>
        <w:pStyle w:val="JuHi"/>
        <w:numPr>
          <w:ilvl w:val="5"/>
          <w:numId w:val="1"/>
        </w:numPr>
        <w:spacing w:before="280"/>
      </w:pPr>
      <w:r>
        <w:rPr>
          <w:iCs/>
        </w:rPr>
        <w:t>Stanowiska stron</w:t>
      </w:r>
    </w:p>
    <w:p w14:paraId="78BD951D" w14:textId="77777777" w:rsidR="00414A46" w:rsidRDefault="008C003A">
      <w:pPr>
        <w:pStyle w:val="JuHalpha"/>
        <w:numPr>
          <w:ilvl w:val="6"/>
          <w:numId w:val="1"/>
        </w:numPr>
        <w:spacing w:before="280"/>
      </w:pPr>
      <w:r>
        <w:t>Rząd</w:t>
      </w:r>
    </w:p>
    <w:p w14:paraId="1C0E5EEA" w14:textId="2A83F409" w:rsidR="00414A46" w:rsidRDefault="00FF2312">
      <w:pPr>
        <w:pStyle w:val="JuPara"/>
      </w:pPr>
      <w:r>
        <w:t>93</w:t>
      </w:r>
      <w:r w:rsidR="008C003A">
        <w:t xml:space="preserve">.  Rząd twierdził, że skarżący nie wyczerpał dostępnych krajowych środków odwoławczych zgodnie z wymogami art. 35 ust. 1 i 4 Konwencji, nie tylko w odniesieniu do </w:t>
      </w:r>
      <w:r w:rsidR="001F5DAA">
        <w:t xml:space="preserve">zarzutów </w:t>
      </w:r>
      <w:r w:rsidR="008C003A">
        <w:t xml:space="preserve">na gruncie art. 2, lecz także </w:t>
      </w:r>
      <w:r w:rsidR="001F5DAA">
        <w:t xml:space="preserve">zarzutów </w:t>
      </w:r>
      <w:r w:rsidR="008C003A">
        <w:t>na gruncie art</w:t>
      </w:r>
      <w:r w:rsidR="00CA0E91">
        <w:t>.</w:t>
      </w:r>
      <w:r w:rsidR="008C003A">
        <w:t xml:space="preserve"> 3 i 8 Konwencji. Ściślej rzecz ujmując, Rząd podniósł, że skarżący powinien był wszcząć postępowanie cywilne przed sądami cywilnymi przeciwko kierowcy, którego uważał za odpowiedzialnego za wypad</w:t>
      </w:r>
      <w:r w:rsidR="001F5DAA">
        <w:t>ek</w:t>
      </w:r>
      <w:r w:rsidR="008C003A">
        <w:t>.</w:t>
      </w:r>
    </w:p>
    <w:p w14:paraId="6E5C07B4" w14:textId="69F8A359" w:rsidR="00414A46" w:rsidRDefault="00FF2312">
      <w:pPr>
        <w:pStyle w:val="JuPara"/>
      </w:pPr>
      <w:r>
        <w:t>94</w:t>
      </w:r>
      <w:r w:rsidR="008C003A">
        <w:t xml:space="preserve">.  Opierając się na właściwym prawie krajowym oraz na przykładach praktyki sądów krajowych, Rząd wyjaśnił, że ofiary przestępstwa mogą przyłączyć się do postępowania karnego jako strona cywilna. </w:t>
      </w:r>
      <w:r w:rsidR="001B60B7">
        <w:t>Alternatywnie pokrzywdzeni</w:t>
      </w:r>
      <w:r w:rsidR="008C003A">
        <w:t>, któr</w:t>
      </w:r>
      <w:r w:rsidR="001B60B7">
        <w:t>zy</w:t>
      </w:r>
      <w:r w:rsidR="008C003A">
        <w:t xml:space="preserve"> nie przyłączy</w:t>
      </w:r>
      <w:r w:rsidR="001B60B7">
        <w:t>li</w:t>
      </w:r>
      <w:r w:rsidR="008C003A">
        <w:t xml:space="preserve"> się do postępowania karnego jako strona cywilna, mogą wszcząć odrębne postępowanie cywilne w celu uzyskania odszkodowania za poniesioną szkodę. W takich sytuacjach postępowanie cywilne powinno było lub mogło być zawieszone w oczekiwaniu na ostateczny wyrok sądu karnego. Chociaż sąd cywilny nie miał obowiązku zawieszenia postępowania cywilnego w oczekiwaniu na akt oskarżenia, taki obowiązek zaistniał po </w:t>
      </w:r>
      <w:r w:rsidR="001B60B7">
        <w:t xml:space="preserve">sporządzeniu </w:t>
      </w:r>
      <w:r w:rsidR="008C003A">
        <w:t>aktu oskarżenia.</w:t>
      </w:r>
    </w:p>
    <w:p w14:paraId="5BA07648" w14:textId="3AEC3623" w:rsidR="00414A46" w:rsidRDefault="00FF2312">
      <w:pPr>
        <w:pStyle w:val="JuPara"/>
      </w:pPr>
      <w:r>
        <w:t>95</w:t>
      </w:r>
      <w:r w:rsidR="008C003A">
        <w:t>.  Poza pewnymi wyjątkowymi okolicznościami</w:t>
      </w:r>
      <w:r w:rsidR="001B60B7">
        <w:t>,</w:t>
      </w:r>
      <w:r w:rsidR="008C003A">
        <w:t xml:space="preserve"> w przypadku wniesienia aktu oskarżenia</w:t>
      </w:r>
      <w:r w:rsidR="001B60B7">
        <w:t>,</w:t>
      </w:r>
      <w:r w:rsidR="008C003A">
        <w:t xml:space="preserve"> sądy karne były zobowiązane do rozpatrzenia roszczeń cywilnych dołączonych do postępowania karnego niezależnie od tego, czy oskarżony został skazany, czy uniewinniony. We wspomnianych wyjątkowych okolicznościach </w:t>
      </w:r>
      <w:r w:rsidR="001B60B7">
        <w:t>pokrzywdzony mógł</w:t>
      </w:r>
      <w:r w:rsidR="008C003A">
        <w:t xml:space="preserve"> w każdym razie wszcząć odrębne postępowanie cywilne. Ponadto analogicznie ofiara mogła wszcząć odrębne postępowanie cywilne przeciwko domniemanemu sprawcy nawet wówczas, gdy prokuratura wydała decyzję o niewniesieniu aktu oskarżenia z powodu przedawnienia.</w:t>
      </w:r>
    </w:p>
    <w:p w14:paraId="35E68598" w14:textId="23517318" w:rsidR="00414A46" w:rsidRDefault="00FF2312">
      <w:pPr>
        <w:pStyle w:val="JuPara"/>
      </w:pPr>
      <w:r>
        <w:t>96</w:t>
      </w:r>
      <w:r w:rsidR="008C003A">
        <w:t xml:space="preserve">.  W </w:t>
      </w:r>
      <w:r w:rsidR="00D97EF4">
        <w:t xml:space="preserve">odpowiedniej </w:t>
      </w:r>
      <w:r w:rsidR="008C003A">
        <w:t xml:space="preserve">praktyce sądowej zasadniczo interpretowano postępowanie karne z roszczeniami cywilnymi wniesionymi przez </w:t>
      </w:r>
      <w:r w:rsidR="00D97EF4">
        <w:t xml:space="preserve">pokrzywdzonego </w:t>
      </w:r>
      <w:r w:rsidR="008C003A">
        <w:t>przestępstw</w:t>
      </w:r>
      <w:r w:rsidR="00D97EF4">
        <w:t>em</w:t>
      </w:r>
      <w:r w:rsidR="008C003A">
        <w:t xml:space="preserve"> jako równoważne powództwu, które przerywa bieg trzyletniego terminu przedawnienia w odniesieniu do postępowania cywilnego. W związku z tym bieg wspomnianego terminu przedawnienia rozpoczął się z chwilą zakończenia postępowania karnego. Wyżej wspomniana wykładnia została wyraźnie odzwierciedlona w zmianach wprowadzonych do przepisów prawa cywilnego</w:t>
      </w:r>
      <w:r w:rsidR="00D97EF4">
        <w:t>,</w:t>
      </w:r>
      <w:r w:rsidR="008C003A">
        <w:t xml:space="preserve"> obowiązujących w Rumunii po dniu 1 października 2011 r.</w:t>
      </w:r>
    </w:p>
    <w:p w14:paraId="679FDF19" w14:textId="1C35CCBA" w:rsidR="00414A46" w:rsidRDefault="00FF2312">
      <w:pPr>
        <w:pStyle w:val="JuPara"/>
      </w:pPr>
      <w:r>
        <w:t>97</w:t>
      </w:r>
      <w:r w:rsidR="008C003A">
        <w:t xml:space="preserve">.  W przypadku zarówno roszczeń cywilnych dołączonych do postępowania karnego, jak i odrębnych podstępowań cywilnych odpowiedzialność za przedstawienie dowodów spoczywa na </w:t>
      </w:r>
      <w:r w:rsidR="00D97EF4">
        <w:t>pokrzywdzonym</w:t>
      </w:r>
      <w:r w:rsidR="008C003A">
        <w:t xml:space="preserve">. Dowody dołączone do akt sprawy w toku postępowania </w:t>
      </w:r>
      <w:r w:rsidR="008C003A">
        <w:lastRenderedPageBreak/>
        <w:t xml:space="preserve">karnego </w:t>
      </w:r>
      <w:r w:rsidR="00D97EF4">
        <w:t>mog</w:t>
      </w:r>
      <w:r w:rsidR="007D55B4">
        <w:t>ły</w:t>
      </w:r>
      <w:r w:rsidR="00D97EF4">
        <w:t xml:space="preserve"> być </w:t>
      </w:r>
      <w:r w:rsidR="008C003A">
        <w:t>wykorzysta</w:t>
      </w:r>
      <w:r w:rsidR="00D97EF4">
        <w:t>ne</w:t>
      </w:r>
      <w:r w:rsidR="008C003A">
        <w:t xml:space="preserve"> w toku odrębnego postępowania cywilnego wszczętego przed sądem cywilnym, lecz nie ograniczało to możliwości </w:t>
      </w:r>
      <w:r w:rsidR="007D55B4">
        <w:t xml:space="preserve">dołączenia </w:t>
      </w:r>
      <w:r w:rsidR="008C003A">
        <w:t xml:space="preserve">przez </w:t>
      </w:r>
      <w:r w:rsidR="007D55B4">
        <w:t xml:space="preserve">pokrzywdzonego </w:t>
      </w:r>
      <w:r w:rsidR="008C003A">
        <w:t>i krajowe sądy cywilne innych dowodów do akt sprawy.</w:t>
      </w:r>
    </w:p>
    <w:p w14:paraId="7B3EBBD6" w14:textId="5C29B863" w:rsidR="00414A46" w:rsidRDefault="00FF2312">
      <w:pPr>
        <w:pStyle w:val="JuPara"/>
      </w:pPr>
      <w:r>
        <w:t>98</w:t>
      </w:r>
      <w:r w:rsidR="008C003A">
        <w:t xml:space="preserve">.  Zgodnie z orzecznictwem Trybunału postępowanie cywilne </w:t>
      </w:r>
      <w:r w:rsidR="009143FD">
        <w:t xml:space="preserve">wszczęte </w:t>
      </w:r>
      <w:r w:rsidR="008C003A">
        <w:t>przez skarżącego przeciwko D.I.</w:t>
      </w:r>
      <w:r w:rsidR="009143FD">
        <w:t>, w celu</w:t>
      </w:r>
      <w:r w:rsidR="008C003A">
        <w:t xml:space="preserve"> uzyskani</w:t>
      </w:r>
      <w:r w:rsidR="009143FD">
        <w:t>a</w:t>
      </w:r>
      <w:r w:rsidR="008C003A">
        <w:t xml:space="preserve"> odszkodowania za ewentualn</w:t>
      </w:r>
      <w:r w:rsidR="009143FD">
        <w:t>ie</w:t>
      </w:r>
      <w:r w:rsidR="008C003A">
        <w:t xml:space="preserve"> poniesioną</w:t>
      </w:r>
      <w:r w:rsidR="009143FD">
        <w:t xml:space="preserve"> przez niego</w:t>
      </w:r>
      <w:r w:rsidR="008C003A">
        <w:t xml:space="preserve"> szkodę, </w:t>
      </w:r>
      <w:r w:rsidR="009143FD">
        <w:t xml:space="preserve">po zakończeniu postępowania karnego </w:t>
      </w:r>
      <w:r w:rsidR="008C003A">
        <w:t>byłoby skutecznym sposobem dochodzenia naprawienia szkody, nawet gdyby został</w:t>
      </w:r>
      <w:r w:rsidR="009143FD">
        <w:t>o</w:t>
      </w:r>
      <w:r w:rsidR="008C003A">
        <w:t xml:space="preserve"> on</w:t>
      </w:r>
      <w:r w:rsidR="009143FD">
        <w:t>o</w:t>
      </w:r>
      <w:r w:rsidR="008C003A">
        <w:t xml:space="preserve"> zastosowan</w:t>
      </w:r>
      <w:r w:rsidR="009143FD">
        <w:t>e</w:t>
      </w:r>
      <w:r w:rsidR="008C003A">
        <w:t xml:space="preserve"> lata po wypadku. Rząd uznał, że nie byłoby przesadą zwrócenie się do skarżącego, aby wyczerpał przedmiotowy środek </w:t>
      </w:r>
      <w:r w:rsidR="009143FD">
        <w:t xml:space="preserve">cywilny </w:t>
      </w:r>
      <w:r w:rsidR="008C003A">
        <w:t xml:space="preserve">osiem lat po wypadku, biorąc pod uwagę złożoność krajowego postępowania karnego, brak jakichkolwiek długich okresów bezczynności </w:t>
      </w:r>
      <w:r w:rsidR="009143FD">
        <w:t xml:space="preserve">odpowiednich </w:t>
      </w:r>
      <w:r w:rsidR="008C003A">
        <w:t xml:space="preserve">organów oraz fakt, że skarżący mógł wykorzystać przed sądami cywilnymi dowody znajdujące się w aktach sprawy karnej oraz konkluzję </w:t>
      </w:r>
      <w:r w:rsidR="009143FD">
        <w:t xml:space="preserve">z </w:t>
      </w:r>
      <w:r w:rsidR="008C003A">
        <w:t>wyroku Sądu Rejonowego w Bukareszcie z dnia 30 września 2011 r. w sprawie odpowiedzialności D.I. za wypad</w:t>
      </w:r>
      <w:r w:rsidR="009143FD">
        <w:t>e</w:t>
      </w:r>
      <w:r w:rsidR="008C003A">
        <w:t>k.</w:t>
      </w:r>
    </w:p>
    <w:p w14:paraId="30B90751" w14:textId="04405F52" w:rsidR="00414A46" w:rsidRDefault="00FF2312">
      <w:pPr>
        <w:pStyle w:val="JuPara"/>
      </w:pPr>
      <w:r>
        <w:t>99</w:t>
      </w:r>
      <w:r w:rsidR="008C003A">
        <w:t>.  </w:t>
      </w:r>
      <w:r w:rsidR="009143FD">
        <w:t xml:space="preserve">W końcu </w:t>
      </w:r>
      <w:r w:rsidR="008C003A">
        <w:t xml:space="preserve">Rząd wyjaśnił, że postępowanie cywilne wszczęte przez skarżącego w dniu 28 listopada 2006 r. </w:t>
      </w:r>
      <w:r w:rsidR="009143FD">
        <w:t>opierało się</w:t>
      </w:r>
      <w:r w:rsidR="008C003A">
        <w:t xml:space="preserve"> na umowie ubezpieczenia i nie dotyczyło urazów, których skarżący doznał po wypadku.</w:t>
      </w:r>
    </w:p>
    <w:p w14:paraId="455A6A98" w14:textId="77777777" w:rsidR="00414A46" w:rsidRDefault="008C003A">
      <w:pPr>
        <w:pStyle w:val="JuHalpha"/>
        <w:numPr>
          <w:ilvl w:val="6"/>
          <w:numId w:val="1"/>
        </w:numPr>
        <w:spacing w:before="280"/>
      </w:pPr>
      <w:r>
        <w:t>Skarżący</w:t>
      </w:r>
    </w:p>
    <w:p w14:paraId="38B81D97" w14:textId="6AF4F560" w:rsidR="00414A46" w:rsidRDefault="00FF2312">
      <w:pPr>
        <w:pStyle w:val="JuPara"/>
      </w:pPr>
      <w:r>
        <w:t>100</w:t>
      </w:r>
      <w:r w:rsidR="008C003A">
        <w:t>.  Skarżący twierdził, że przez przyłączenie się jako strona cywilna do postępowania karnego wszczętego w </w:t>
      </w:r>
      <w:r w:rsidR="009143FD">
        <w:t>przedmiocie</w:t>
      </w:r>
      <w:r w:rsidR="008C003A">
        <w:t xml:space="preserve"> okoliczności wypadku wyczerpał dostępne krajowe środki odwoławcze, a zatem nie był zobowiązany do wszczęcia odrębnego cywilnego postępowania odszkodowawczego przeciwko osobie odpowiedzialnej za wypad</w:t>
      </w:r>
      <w:r w:rsidR="009143FD">
        <w:t>e</w:t>
      </w:r>
      <w:r w:rsidR="008C003A">
        <w:t xml:space="preserve">k. Ponadto ponieważ kwestia odpowiedzialności nie została wyjaśniona w śledztwie, wątpliwe było, czy skarżący byłby w stanie </w:t>
      </w:r>
      <w:r w:rsidR="009143FD">
        <w:t>zainicjować postępowanie</w:t>
      </w:r>
      <w:r w:rsidR="008C003A">
        <w:t xml:space="preserve"> cywilne, a co dopiero uzyskać odszkodowanie za poniesioną szkodę. Ponieważ tożsamość sprawcy pozostała nieznana, nie zostały spełnione warunki prawne wszczęcia cywilnego postępowania odszkodowawczego. Wszczęcie odrębnego postępowania cywilnego przeciwko państwu również nie stanowiłoby środka zapewniającego skuteczność śledztwa. </w:t>
      </w:r>
      <w:r w:rsidR="00725143">
        <w:t>Ponadto</w:t>
      </w:r>
      <w:r w:rsidR="008C003A">
        <w:t xml:space="preserve"> wnosząc skargi na śledczych i ich decyzje, skarżący wykorzystał wszystkie dostępne środki proceduralne, aby uniknąć naruszenia swoich praw wynikających z Konwencji, </w:t>
      </w:r>
      <w:r w:rsidR="00725143">
        <w:t>ale bez</w:t>
      </w:r>
      <w:r w:rsidR="008C003A">
        <w:t xml:space="preserve"> </w:t>
      </w:r>
      <w:r w:rsidR="00725143">
        <w:t xml:space="preserve">jakichkolwiek </w:t>
      </w:r>
      <w:r w:rsidR="008C003A">
        <w:t xml:space="preserve">praktycznych rezultatów. </w:t>
      </w:r>
      <w:r w:rsidR="00725143">
        <w:t xml:space="preserve">Poza tym </w:t>
      </w:r>
      <w:r w:rsidR="008C003A">
        <w:t xml:space="preserve">nie </w:t>
      </w:r>
      <w:r w:rsidR="00725143">
        <w:t xml:space="preserve">istniał </w:t>
      </w:r>
      <w:r w:rsidR="008C003A">
        <w:t>środ</w:t>
      </w:r>
      <w:r w:rsidR="00725143">
        <w:t>e</w:t>
      </w:r>
      <w:r w:rsidR="008C003A">
        <w:t>k odwoławc</w:t>
      </w:r>
      <w:r w:rsidR="00725143">
        <w:t>zy</w:t>
      </w:r>
      <w:r w:rsidR="008C003A">
        <w:t>, z którego mógłby skorzystać w odniesieniu do czasu trwania postępowania.</w:t>
      </w:r>
    </w:p>
    <w:p w14:paraId="0A53F191" w14:textId="6DFCD254" w:rsidR="00414A46" w:rsidRDefault="00FF2312">
      <w:pPr>
        <w:pStyle w:val="JuPara"/>
      </w:pPr>
      <w:r>
        <w:t>101</w:t>
      </w:r>
      <w:r w:rsidR="008C003A">
        <w:t xml:space="preserve">.  Skarżący twierdził, że żadne z przywołanych przez Rząd orzeczeń krajowych nie ma związku z jego sprawą. We wszystkich przytoczonych sprawach etap śledztwa i wniesienia aktu oskarżenia zakończono przed upływem terminu przedawnienia odpowiedzialności karnej. Ponadto w odniesieniu do relacji między winą na gruncie prawa karnego a powództwem cywilnym skarżący </w:t>
      </w:r>
      <w:r w:rsidR="003B623C">
        <w:t xml:space="preserve">powołał się na </w:t>
      </w:r>
      <w:r w:rsidR="008C003A">
        <w:t xml:space="preserve">orzeczenie wydane przez </w:t>
      </w:r>
      <w:r w:rsidR="008C003A">
        <w:lastRenderedPageBreak/>
        <w:t xml:space="preserve">sąd krajowy, który orzekł, że w okolicznościach wypadku drogowego skutkującego </w:t>
      </w:r>
      <w:r w:rsidR="003B623C">
        <w:t xml:space="preserve">obrażeniami </w:t>
      </w:r>
      <w:r w:rsidR="008C003A">
        <w:t>fizycznymi</w:t>
      </w:r>
      <w:r w:rsidR="003B623C">
        <w:t>, ustalenie</w:t>
      </w:r>
      <w:r w:rsidR="008C003A">
        <w:t xml:space="preserve"> win</w:t>
      </w:r>
      <w:r w:rsidR="003B623C">
        <w:t>y spoczywa na organach śledczych, a nie na pokrzywdzonym.</w:t>
      </w:r>
    </w:p>
    <w:p w14:paraId="5166F4A2" w14:textId="43EAFC24" w:rsidR="00414A46" w:rsidRDefault="00FF2312">
      <w:pPr>
        <w:pStyle w:val="JuPara"/>
      </w:pPr>
      <w:r>
        <w:t>102</w:t>
      </w:r>
      <w:r w:rsidR="008C003A">
        <w:t xml:space="preserve">.  Skarżący utrzymywał, że wyczerpał dostępne </w:t>
      </w:r>
      <w:r w:rsidR="0065624C">
        <w:t xml:space="preserve">dla niego </w:t>
      </w:r>
      <w:r w:rsidR="008C003A">
        <w:t xml:space="preserve">cywilne środki odwoławcze </w:t>
      </w:r>
      <w:r w:rsidR="0065624C">
        <w:t>po</w:t>
      </w:r>
      <w:r w:rsidR="008C003A">
        <w:t xml:space="preserve">przez wszczęcie postępowania cywilnego przeciwko zakładowi ubezpieczeń i spółce leasingowej w związku z całkowitym zniszczeniem jego samochodu. Pierwotnie sądy krajowe orzekły na korzyść skarżącego, lecz w toku postępowania apelacyjnego doszły do wniosku, że </w:t>
      </w:r>
      <w:r w:rsidR="00710FEC">
        <w:t>jego</w:t>
      </w:r>
      <w:r w:rsidR="008C003A">
        <w:t xml:space="preserve"> powództwo cywilne było oparte nie na przestępstwie, lecz na umowie handlowej. W konsekwencji sądy nakazały skarżącemu wniesienie wysokich opłat sądowych jako warunek wstępny zbadania jego sprawy cywilnej. Jego wnioski o ponowne rozważenie </w:t>
      </w:r>
      <w:r w:rsidR="0065624C">
        <w:t xml:space="preserve">kwestii </w:t>
      </w:r>
      <w:r w:rsidR="008C003A">
        <w:t xml:space="preserve">wniesienia opłat sądowych zostały oddalone. </w:t>
      </w:r>
      <w:r w:rsidR="001A1E29">
        <w:t>Jego powództwo</w:t>
      </w:r>
      <w:r w:rsidR="008C003A">
        <w:t xml:space="preserve"> oddalono, ponieważ skarżący nie był w stanie uiścić tych opłat. Skarżący przyznał, że postępowanie cywilne, które wytoczył przeciwko zakładowi ubezpieczeń ubezpieczającemu jego samochód, wynikało z umowy handlowej zawartej z tym zakładem, a nie z postępowania karnego, ponieważ ani zakład ubezpieczeń, ani spółka leasingowa nie były stronami postępowania karnego. D.I. i J.C.P. włączyli się jednak w postępowanie cywilne jako </w:t>
      </w:r>
      <w:r w:rsidR="001A1E29">
        <w:t xml:space="preserve">strony </w:t>
      </w:r>
      <w:r w:rsidR="008C003A">
        <w:t>trzecie.</w:t>
      </w:r>
    </w:p>
    <w:p w14:paraId="75C3C417" w14:textId="77777777" w:rsidR="00414A46" w:rsidRDefault="008C003A">
      <w:pPr>
        <w:pStyle w:val="JuHi"/>
        <w:numPr>
          <w:ilvl w:val="5"/>
          <w:numId w:val="1"/>
        </w:numPr>
        <w:spacing w:before="280"/>
      </w:pPr>
      <w:r>
        <w:rPr>
          <w:iCs/>
        </w:rPr>
        <w:t>Ocena Trybunału</w:t>
      </w:r>
    </w:p>
    <w:p w14:paraId="72468D01" w14:textId="05128449" w:rsidR="00414A46" w:rsidRDefault="00FF2312">
      <w:pPr>
        <w:pStyle w:val="JuPara"/>
      </w:pPr>
      <w:r>
        <w:t>103</w:t>
      </w:r>
      <w:r w:rsidR="008C003A">
        <w:t xml:space="preserve">.  Trybunał zauważa, że zastrzeżenie Rządu dotyczące niewyczerpania przez skarżącego dostępnych środków </w:t>
      </w:r>
      <w:r w:rsidR="00710FEC">
        <w:t xml:space="preserve">krajowych </w:t>
      </w:r>
      <w:r w:rsidR="008C003A">
        <w:t>jest ściśle powiązane z </w:t>
      </w:r>
      <w:r w:rsidR="00710FEC">
        <w:t xml:space="preserve">meritum </w:t>
      </w:r>
      <w:r w:rsidR="008C003A">
        <w:t>jego skarg</w:t>
      </w:r>
      <w:r w:rsidR="00710FEC">
        <w:t>i,</w:t>
      </w:r>
      <w:r w:rsidR="008C003A">
        <w:t xml:space="preserve"> dotyczący</w:t>
      </w:r>
      <w:r w:rsidR="00710FEC">
        <w:t>m</w:t>
      </w:r>
      <w:r w:rsidR="008C003A">
        <w:t xml:space="preserve"> przebiegu śledztwa, bez względu na to, czy należy </w:t>
      </w:r>
      <w:r w:rsidR="00710FEC">
        <w:t xml:space="preserve">go </w:t>
      </w:r>
      <w:r w:rsidR="008C003A">
        <w:t xml:space="preserve">rozpatrywać na gruncie art. 2, 3 </w:t>
      </w:r>
      <w:r w:rsidR="00710FEC">
        <w:t xml:space="preserve">czy </w:t>
      </w:r>
      <w:r w:rsidR="008C003A">
        <w:t xml:space="preserve">8 Konwencji w następstwie poniższych rozważań. Zastrzeżenie to dotyczy </w:t>
      </w:r>
      <w:r w:rsidR="00710FEC">
        <w:t xml:space="preserve">opcji </w:t>
      </w:r>
      <w:r w:rsidR="008C003A">
        <w:t xml:space="preserve">dostępnych </w:t>
      </w:r>
      <w:r w:rsidR="00351CB5">
        <w:t xml:space="preserve">dla skarżącego </w:t>
      </w:r>
      <w:r w:rsidR="008C003A">
        <w:t xml:space="preserve">w odniesieniu do </w:t>
      </w:r>
      <w:r w:rsidR="00351CB5">
        <w:t xml:space="preserve">środków </w:t>
      </w:r>
      <w:r w:rsidR="008C003A">
        <w:t xml:space="preserve">krajowych, </w:t>
      </w:r>
      <w:r w:rsidR="00351CB5">
        <w:t xml:space="preserve">przy pomocy których </w:t>
      </w:r>
      <w:r w:rsidR="008C003A">
        <w:t>można wyjaśnić okoliczności sprawy, pociągnąć osoby odpowiedzialne do odpowiedzialności i pokryć szkodę, któr</w:t>
      </w:r>
      <w:r w:rsidR="00D676BD">
        <w:t>ej</w:t>
      </w:r>
      <w:r w:rsidR="008C003A">
        <w:t xml:space="preserve"> skarżący </w:t>
      </w:r>
      <w:r w:rsidR="00D676BD">
        <w:t xml:space="preserve">doznał </w:t>
      </w:r>
      <w:r w:rsidR="008C003A">
        <w:t>w wyniku wypadku. Ponadto zbadanie tego zastrzeżenia zależy od ustalenia zakresu obowiązków proceduralnych pozwanego państwa w </w:t>
      </w:r>
      <w:r w:rsidR="00710FEC">
        <w:t xml:space="preserve">niniejszej </w:t>
      </w:r>
      <w:r w:rsidR="008C003A">
        <w:t>sprawie.</w:t>
      </w:r>
    </w:p>
    <w:p w14:paraId="179C59E0" w14:textId="1980DB0F" w:rsidR="00414A46" w:rsidRDefault="00FF2312">
      <w:pPr>
        <w:pStyle w:val="JuPara"/>
      </w:pPr>
      <w:r>
        <w:t>104</w:t>
      </w:r>
      <w:r w:rsidR="008C003A">
        <w:t xml:space="preserve">.  W konsekwencji Trybunał </w:t>
      </w:r>
      <w:r w:rsidR="00D676BD">
        <w:t xml:space="preserve">zdecydował włączyć </w:t>
      </w:r>
      <w:r w:rsidR="008C003A">
        <w:t xml:space="preserve">zastrzeżenie to do </w:t>
      </w:r>
      <w:r w:rsidR="00D676BD">
        <w:t xml:space="preserve">meritum </w:t>
      </w:r>
      <w:r w:rsidR="008C003A">
        <w:t>skarg</w:t>
      </w:r>
      <w:r w:rsidR="00D676BD">
        <w:t>i</w:t>
      </w:r>
      <w:r w:rsidR="008C003A">
        <w:t xml:space="preserve">, pod warunkiem, że nie są one niedopuszczalnie </w:t>
      </w:r>
      <w:r w:rsidR="00D676BD">
        <w:t>z innych przyczyn</w:t>
      </w:r>
      <w:r w:rsidR="008C003A">
        <w:t>.</w:t>
      </w:r>
    </w:p>
    <w:p w14:paraId="64309940" w14:textId="77777777" w:rsidR="00414A46" w:rsidRDefault="008C003A">
      <w:pPr>
        <w:pStyle w:val="JuHa0"/>
        <w:numPr>
          <w:ilvl w:val="4"/>
          <w:numId w:val="1"/>
        </w:numPr>
        <w:spacing w:before="280"/>
      </w:pPr>
      <w:r>
        <w:rPr>
          <w:bCs/>
        </w:rPr>
        <w:t>Możliwość zastosowania art. 2, 3 i 8</w:t>
      </w:r>
    </w:p>
    <w:p w14:paraId="377412E7" w14:textId="77777777" w:rsidR="00414A46" w:rsidRDefault="008C003A">
      <w:pPr>
        <w:pStyle w:val="JuHi"/>
        <w:numPr>
          <w:ilvl w:val="5"/>
          <w:numId w:val="1"/>
        </w:numPr>
        <w:spacing w:before="280"/>
      </w:pPr>
      <w:r>
        <w:rPr>
          <w:iCs/>
        </w:rPr>
        <w:t>Stanowiska stron</w:t>
      </w:r>
    </w:p>
    <w:p w14:paraId="7B05FBE9" w14:textId="400ABA77" w:rsidR="00414A46" w:rsidRDefault="00FF2312">
      <w:pPr>
        <w:pStyle w:val="JuPara"/>
      </w:pPr>
      <w:r>
        <w:t>105</w:t>
      </w:r>
      <w:r w:rsidR="008C003A">
        <w:t>.  Opierając się na przeglądzie orzecznictwa Trybunału Rząd argumentował, że art. 2 w jego aspekcie proceduralnym nie ma zastosowania w </w:t>
      </w:r>
      <w:r w:rsidR="00AA0A28">
        <w:t xml:space="preserve">niniejszej </w:t>
      </w:r>
      <w:r w:rsidR="008C003A">
        <w:t xml:space="preserve">sprawie z uwagi na brak zgonu, wystarczająco poważnych </w:t>
      </w:r>
      <w:r w:rsidR="00AA0A28">
        <w:t xml:space="preserve">obrażeń </w:t>
      </w:r>
      <w:r w:rsidR="008C003A">
        <w:t xml:space="preserve">odniesionych przez skarżącego, okoliczności i konsekwencji, które można by uznać za wyraźnie zagrażające życiu, wyjątkowych okoliczności </w:t>
      </w:r>
      <w:r w:rsidR="008C003A">
        <w:lastRenderedPageBreak/>
        <w:t>obejmujących zachowanie funkcjonariuszy państwowych, ciągłego zagrożenia dla życia skarżącego lub zamiaru zabójstwa. Ponadto stwierdził, że art. 3 w jego aspekcie proceduralnym również nie m</w:t>
      </w:r>
      <w:r w:rsidR="00AA0A28">
        <w:t>iał</w:t>
      </w:r>
      <w:r w:rsidR="008C003A">
        <w:t xml:space="preserve"> zastosowania ze względu na brak złego traktowania i zamiaru wyrządzenia krzywdy skarżącemu. Rząd zaprzeczył również temu, jakoby skarga wniesiona przez skarżącego dotyczyła jakiegokolwiek aspektu wchodzącego w zakres ochrony przyznanej na mocy art. 8.</w:t>
      </w:r>
    </w:p>
    <w:p w14:paraId="2F9E0B3D" w14:textId="79133391" w:rsidR="00414A46" w:rsidRDefault="00FF2312">
      <w:pPr>
        <w:pStyle w:val="JuPara"/>
      </w:pPr>
      <w:r>
        <w:t>106</w:t>
      </w:r>
      <w:r w:rsidR="008C003A">
        <w:t xml:space="preserve">.  Rząd podniósł, że po zakończeniu leczenia powypadkowego skarżący nie wystąpił o nową opinię biegłego </w:t>
      </w:r>
      <w:r w:rsidR="00AA0A28">
        <w:t>w celu</w:t>
      </w:r>
      <w:r w:rsidR="008C003A">
        <w:t xml:space="preserve"> oceny ewentualnej niepełnosprawności, jak wskazano z opinii biegłego z dnia 27 czerwca 2005 r. Ponadto skarżący nie przedstawił żadnej </w:t>
      </w:r>
      <w:r w:rsidR="00AA0A28">
        <w:t xml:space="preserve">aktualnej </w:t>
      </w:r>
      <w:r w:rsidR="008C003A">
        <w:t>dokumentacji medycznej mogącej wykazać skutki, które obecnie odczuwał w następstwie wypadku.</w:t>
      </w:r>
    </w:p>
    <w:p w14:paraId="5D21E4B9" w14:textId="05B3A9D2" w:rsidR="00414A46" w:rsidRDefault="00FF2312">
      <w:pPr>
        <w:pStyle w:val="JuPara"/>
      </w:pPr>
      <w:r>
        <w:t>107</w:t>
      </w:r>
      <w:r w:rsidR="008C003A">
        <w:t xml:space="preserve">.  Rząd przyznał, że </w:t>
      </w:r>
      <w:r w:rsidR="00AA0A28">
        <w:t xml:space="preserve">zgodnie z </w:t>
      </w:r>
      <w:r w:rsidR="008C003A">
        <w:t>informacj</w:t>
      </w:r>
      <w:r w:rsidR="00AA0A28">
        <w:t>ami przedstawionymi</w:t>
      </w:r>
      <w:r w:rsidR="008C003A">
        <w:t xml:space="preserve"> przez Agencję Ochrony Dzieci i Opieki Społecznej przy radzie okręgu Prahova</w:t>
      </w:r>
      <w:r w:rsidR="00AA0A28">
        <w:t>,</w:t>
      </w:r>
      <w:r w:rsidR="008C003A">
        <w:t xml:space="preserve"> skarżący został zarejestrowany jako osoba o znacznym stopniu niepełnosprawności, wymagająca osobistego asystenta, na podstawie zaświadczenia wydanego w dniu 26 stycznia 2006 r. przez Komisję ds. Orzekania o Niepełnosprawności Osób Dorosłych w Prahowie. Rząd przyznał również, że w opinii lekarskiej przedstawionej przez lekarza podstawowej opieki zdrowotnej skarżącego w dniu 19 stycznia 2006 r. – która była jednym z dokumentów znajdujących się w aktach sprawy, na podstawie których zakwalifikowano skarżącego jako osobę z niepełnosprawnościami – stwierdzono, że skarżący m</w:t>
      </w:r>
      <w:r w:rsidR="00C907EB">
        <w:t>iał</w:t>
      </w:r>
      <w:r w:rsidR="008C003A">
        <w:t xml:space="preserve"> na stałe założoną rurkę tracheotomijną i cierpi</w:t>
      </w:r>
      <w:r w:rsidR="00C907EB">
        <w:t>ał</w:t>
      </w:r>
      <w:r w:rsidR="008C003A">
        <w:t xml:space="preserve"> na ograniczoną ruchomość prawego ramienia (poważne następstwa złamania barku), zmniejszoną siłę uścisku prawej dłoni oraz zaburzenia chodu (poważne następstwa złamania w obrębie lewego </w:t>
      </w:r>
      <w:r w:rsidR="00C907EB">
        <w:t>biodra</w:t>
      </w:r>
      <w:r w:rsidR="008C003A">
        <w:t>).</w:t>
      </w:r>
    </w:p>
    <w:p w14:paraId="78506492" w14:textId="067B5FC2" w:rsidR="00414A46" w:rsidRDefault="00FF2312">
      <w:pPr>
        <w:pStyle w:val="JuPara"/>
      </w:pPr>
      <w:r>
        <w:t>108</w:t>
      </w:r>
      <w:r w:rsidR="008C003A">
        <w:t>.  W wyżej wspomnianym zaświadczeniu wydanym przez Komisję ds. Orzekania o Niepełnosprawności Osób Dorosłych w Prahowie w dniu 26 stycznia 2006 r. podano pewne kody klasyfikacji chorób skarżącego, wskazujące odpowiednio astmę, stan astmatyczny i nowotwór złośliwy krtani. Ponadto we wspomnianym zaświadczeniu nie uwzględniono poważnych następstw złamania kończyn przez skarżącego, a dostępna dokumentacja lekarska nie wykazała istnienia związku przyczynowego między wypadkiem a tracheotomią skarżącego.</w:t>
      </w:r>
    </w:p>
    <w:p w14:paraId="3F2F2D4D" w14:textId="588695A2" w:rsidR="00414A46" w:rsidRDefault="00FF2312">
      <w:pPr>
        <w:pStyle w:val="JuPara"/>
      </w:pPr>
      <w:r>
        <w:t>109</w:t>
      </w:r>
      <w:r w:rsidR="008C003A">
        <w:t>.  Powołując się na orzecznictwo Trybunału, dostępne dowody, charakter urazów i </w:t>
      </w:r>
      <w:r w:rsidR="00657664">
        <w:t xml:space="preserve">swój </w:t>
      </w:r>
      <w:r w:rsidR="008C003A">
        <w:t xml:space="preserve">obecny stan zdrowia, skarżący podniósł, że art. 2 i 3 Konwencji </w:t>
      </w:r>
      <w:r w:rsidR="00657664">
        <w:t xml:space="preserve">miały </w:t>
      </w:r>
      <w:r w:rsidR="008C003A">
        <w:t>zastosowanie do jego sprawy. Twierdził ponadto, że naruszono gwarancje zawarte w art. 8.</w:t>
      </w:r>
    </w:p>
    <w:p w14:paraId="0FE9AAFB" w14:textId="0679CDA9" w:rsidR="00414A46" w:rsidRDefault="00FF2312">
      <w:pPr>
        <w:pStyle w:val="JuPara"/>
      </w:pPr>
      <w:r>
        <w:t>110</w:t>
      </w:r>
      <w:r w:rsidR="008C003A">
        <w:t xml:space="preserve">.  Skarżący podniósł, że przed wypadkiem jego stan zdrowia był dobry i że prowadził normalne życie bez </w:t>
      </w:r>
      <w:r w:rsidR="00657664">
        <w:t xml:space="preserve">ograniczeń </w:t>
      </w:r>
      <w:r w:rsidR="008C003A">
        <w:t xml:space="preserve">zdrowotnych. Po wypadku skarżący poważnie ucierpiał na zdrowiu, musiał poddać się wielu </w:t>
      </w:r>
      <w:r w:rsidR="00657664">
        <w:t xml:space="preserve">operacjom </w:t>
      </w:r>
      <w:r w:rsidR="008C003A">
        <w:t xml:space="preserve">chirurgicznym i doznał urazu psychicznego. Złamania kończyn </w:t>
      </w:r>
      <w:r w:rsidR="008C003A">
        <w:lastRenderedPageBreak/>
        <w:t>z przemieszczeniem nadal powodowały problemy, a część jelit i tchawicy usunięto.</w:t>
      </w:r>
    </w:p>
    <w:p w14:paraId="12512804" w14:textId="77777777" w:rsidR="00414A46" w:rsidRDefault="008C003A">
      <w:pPr>
        <w:pStyle w:val="JuHi"/>
        <w:numPr>
          <w:ilvl w:val="5"/>
          <w:numId w:val="1"/>
        </w:numPr>
        <w:spacing w:before="280"/>
      </w:pPr>
      <w:r>
        <w:rPr>
          <w:iCs/>
        </w:rPr>
        <w:t>Ocena Trybunału</w:t>
      </w:r>
    </w:p>
    <w:p w14:paraId="4E78EA35" w14:textId="77777777" w:rsidR="00414A46" w:rsidRDefault="008C003A">
      <w:pPr>
        <w:pStyle w:val="JuHalpha"/>
        <w:numPr>
          <w:ilvl w:val="6"/>
          <w:numId w:val="1"/>
        </w:numPr>
        <w:spacing w:before="280"/>
      </w:pPr>
      <w:r>
        <w:t>Elementy sytuacji wnioskodawcy, które należy wziąć pod uwagę przy ocenie sprawy</w:t>
      </w:r>
    </w:p>
    <w:p w14:paraId="0FBDDB68" w14:textId="6BA850A0" w:rsidR="00414A46" w:rsidRDefault="00FF2312">
      <w:pPr>
        <w:pStyle w:val="JuPara"/>
        <w:keepNext/>
      </w:pPr>
      <w:r>
        <w:t>111</w:t>
      </w:r>
      <w:r w:rsidR="008C003A">
        <w:t xml:space="preserve">.  W </w:t>
      </w:r>
      <w:r w:rsidR="009F03D2">
        <w:t xml:space="preserve">niniejszej </w:t>
      </w:r>
      <w:r w:rsidR="008C003A">
        <w:t>sprawie Trybunał zauważa, że skarżący uczestniczył w wypadku samochodowym, który według opinii biegłego z dnia 27 czerwca 2005 r. (zob. par. </w:t>
      </w:r>
      <w:r w:rsidR="00C76910">
        <w:t>18</w:t>
      </w:r>
      <w:r w:rsidR="008C003A">
        <w:t xml:space="preserve"> powyżej) zagrażał jego życiu. Samochód skarżącego znalazł się między dwoma innymi pojazdami, z których jeden był w ruchu, a drugi był zaparkowany. W rezultacie skarżący </w:t>
      </w:r>
      <w:r w:rsidR="009F03D2">
        <w:t xml:space="preserve">doznał </w:t>
      </w:r>
      <w:r w:rsidR="008C003A">
        <w:t>poważn</w:t>
      </w:r>
      <w:r w:rsidR="009F03D2">
        <w:t>ych</w:t>
      </w:r>
      <w:r w:rsidR="008C003A">
        <w:t xml:space="preserve"> </w:t>
      </w:r>
      <w:r w:rsidR="009F03D2">
        <w:t xml:space="preserve">obrażeń </w:t>
      </w:r>
      <w:r w:rsidR="008C003A">
        <w:t>wewnętrzn</w:t>
      </w:r>
      <w:r w:rsidR="009F03D2">
        <w:t>ych</w:t>
      </w:r>
      <w:r w:rsidR="008C003A">
        <w:t xml:space="preserve"> i złamania kończyn i kości, jak również poważnych </w:t>
      </w:r>
      <w:r w:rsidR="009F03D2">
        <w:t xml:space="preserve">powikłań </w:t>
      </w:r>
      <w:r w:rsidR="008C003A">
        <w:t>leczenia, które wymagały 200–250 dni opieki medycznej. Wydaje się, że po tym zdarzeniu pozostały u niego długotrwałe poważne następstwa fizyczne i psychiczne, w tym niepełnosprawność.</w:t>
      </w:r>
    </w:p>
    <w:p w14:paraId="0196EAB2" w14:textId="04A279F4" w:rsidR="00414A46" w:rsidRDefault="00FF2312">
      <w:pPr>
        <w:pStyle w:val="JuPara"/>
      </w:pPr>
      <w:r>
        <w:t>112</w:t>
      </w:r>
      <w:r w:rsidR="008C003A">
        <w:t xml:space="preserve">.  W </w:t>
      </w:r>
      <w:r w:rsidR="00131D24">
        <w:t>związku z tym</w:t>
      </w:r>
      <w:r w:rsidR="008C003A">
        <w:t xml:space="preserve"> Trybunał nie może </w:t>
      </w:r>
      <w:r w:rsidR="00131D24">
        <w:t xml:space="preserve">zaakceptować </w:t>
      </w:r>
      <w:r w:rsidR="008C003A">
        <w:t xml:space="preserve">argumentów Rządu, jakoby następstwa fizyczne, których doświadczył skarżący, w tym częściowe ograniczenie zdolności poruszania się, nie były wynikiem wypadku. Trybunał zauważa, że z dostępnej dokumentacji medycznej faktycznie wynika, iż w następstwie wypadku skarżący doznał urazu </w:t>
      </w:r>
      <w:r w:rsidR="00131D24">
        <w:t>wielonarządowego</w:t>
      </w:r>
      <w:r w:rsidR="008C003A">
        <w:t xml:space="preserve">, pourazowego rozerwania krezki jelita oraz złamań lub przemieszczeń kości i części ciała. W rezultacie przeszedł szereg </w:t>
      </w:r>
      <w:r w:rsidR="00131D24">
        <w:t xml:space="preserve">operacji </w:t>
      </w:r>
      <w:r w:rsidR="008C003A">
        <w:t>chirurgicznych, w tym operację polegającą na usunięciu części jelit oraz wymagał tracheotomii dolnej z powodu powikłań oddechowych, które, jak się wydaje, pojawiły się w trakcie hospitalizacji, nawet jeśli skarżący mógł już przed wypadkiem mieć nowotwór złośliwy krtani i astmę. Siła uścisku jego prawej dłoni była zmniejszona, a </w:t>
      </w:r>
      <w:r w:rsidR="00294386">
        <w:t xml:space="preserve">zakres </w:t>
      </w:r>
      <w:r w:rsidR="008C003A">
        <w:t xml:space="preserve">ruchu </w:t>
      </w:r>
      <w:r w:rsidR="00294386">
        <w:t xml:space="preserve">odwodzącego </w:t>
      </w:r>
      <w:r w:rsidR="008C003A">
        <w:t>prawego ramienia ograniczon</w:t>
      </w:r>
      <w:r w:rsidR="00294386">
        <w:t>y</w:t>
      </w:r>
      <w:r w:rsidR="008C003A">
        <w:t xml:space="preserve">. Ponadto Trybunał zauważa, że skarżący cierpiał na zespół stresu pourazowego. Wypadek zatem poprzedził przynajmniej niektóre długotrwałe problemy zdrowotne, na które skarżący cierpiał po dniu 3 grudnia 2004 r., a zatem były one bezpośrednio lub przynajmniej pośrednio </w:t>
      </w:r>
      <w:r w:rsidR="006D407C">
        <w:t>z</w:t>
      </w:r>
      <w:r w:rsidR="008C003A">
        <w:t>wiązane z wypadkiem.</w:t>
      </w:r>
    </w:p>
    <w:p w14:paraId="15B64DD6" w14:textId="01758849" w:rsidR="00414A46" w:rsidRDefault="00FF2312">
      <w:pPr>
        <w:pStyle w:val="JuPara"/>
      </w:pPr>
      <w:r>
        <w:t>113</w:t>
      </w:r>
      <w:r w:rsidR="008C003A">
        <w:t xml:space="preserve">.  Trybunał zauważa, że wypadek skarżącego miał miejsce w nocy na drodze publicznej i uczestniczyło w nim dwóch innych kierowców. Od początku było jasne, że skumulowane elementy stanu faktycznego, które ostatecznie doprowadziły do niefortunnych skutków opisanych powyżej, były albo czystym przypadkiem, albo konsekwencją </w:t>
      </w:r>
      <w:r w:rsidR="006D407C">
        <w:t>zaniedbania</w:t>
      </w:r>
      <w:r w:rsidR="008C003A">
        <w:t xml:space="preserve">. Skarżący nigdy nie twierdził w trakcie krajowego śledztwa ani w pierwotnej skardze do Trybunału, że dwaj pozostali kierowcy działali umyślnie lub że ich działania były wyraźnie </w:t>
      </w:r>
      <w:r w:rsidR="006D407C">
        <w:t>skierowane przeciwko niemu</w:t>
      </w:r>
      <w:r w:rsidR="008C003A">
        <w:t xml:space="preserve"> (zob. par.</w:t>
      </w:r>
      <w:r w:rsidR="00AA7058">
        <w:t xml:space="preserve"> </w:t>
      </w:r>
      <w:r w:rsidR="0056480C">
        <w:t>84 powyżej</w:t>
      </w:r>
      <w:r w:rsidR="008C003A">
        <w:t>). Chociaż wydaje się, że w późniejszych pisemnych oświadczeniach skierowanych do Trybunału skarżący sugerował, iż wypadek został w rzeczywistości spowodowany umyślnie lub że doszło do niego w podejrzanych okolicznościach (zob. par. </w:t>
      </w:r>
      <w:r w:rsidR="0056480C">
        <w:t>15</w:t>
      </w:r>
      <w:r w:rsidR="008C003A">
        <w:t xml:space="preserve">5 poniżej), w aktach sprawy nie </w:t>
      </w:r>
      <w:r w:rsidR="008C003A">
        <w:lastRenderedPageBreak/>
        <w:t>ma żadnych dowodów, które mogłyby potwierdzić jego zarzut. Przeciwnie, śledztwo wszczęte przez władze w przedmiocie okoliczności wypadku dotyczyło przestępstwa nieumyślnego.</w:t>
      </w:r>
    </w:p>
    <w:p w14:paraId="0DD4D3CD" w14:textId="370739DB" w:rsidR="00414A46" w:rsidRDefault="00FF2312">
      <w:pPr>
        <w:pStyle w:val="JuPara"/>
      </w:pPr>
      <w:r>
        <w:t>114</w:t>
      </w:r>
      <w:r w:rsidR="008C003A">
        <w:t xml:space="preserve">.  Trybunał zauważa, iż władze – jak się wydaje – </w:t>
      </w:r>
      <w:r w:rsidR="00E80C94">
        <w:t xml:space="preserve">brały </w:t>
      </w:r>
      <w:r w:rsidR="008C003A">
        <w:t>pod uwagę możliwość, że skarżący sam jest częściowo odpowiedzialny za wypadek, ponieważ nie prowadził pojazdu w sposób zapobiegawczy. W toku śledztwa nie wyjaśniono jednak kwestii</w:t>
      </w:r>
      <w:r w:rsidR="00E80C94">
        <w:t>, czy skarżący był w pełni</w:t>
      </w:r>
      <w:r w:rsidR="008C003A">
        <w:t xml:space="preserve"> lub przynajmniej częściowej odpowiedzialn</w:t>
      </w:r>
      <w:r w:rsidR="00E80C94">
        <w:t>y</w:t>
      </w:r>
      <w:r w:rsidR="008C003A">
        <w:t xml:space="preserve"> za poważne </w:t>
      </w:r>
      <w:r w:rsidR="00E80C94">
        <w:t>obrażenia</w:t>
      </w:r>
      <w:r w:rsidR="008C003A">
        <w:t xml:space="preserve">, </w:t>
      </w:r>
      <w:r w:rsidR="00E80C94">
        <w:t xml:space="preserve">jakich </w:t>
      </w:r>
      <w:r w:rsidR="008C003A">
        <w:t>doznał oraz tego, czy kierował pojazdem pod wpływem alkoholu.</w:t>
      </w:r>
    </w:p>
    <w:p w14:paraId="38CE2246" w14:textId="77777777" w:rsidR="00414A46" w:rsidRDefault="008C003A">
      <w:pPr>
        <w:pStyle w:val="JuHalpha"/>
        <w:numPr>
          <w:ilvl w:val="6"/>
          <w:numId w:val="1"/>
        </w:numPr>
        <w:spacing w:before="280"/>
      </w:pPr>
      <w:r>
        <w:t>Artykuł 3</w:t>
      </w:r>
    </w:p>
    <w:p w14:paraId="57059B80" w14:textId="00FFEEFC" w:rsidR="00414A46" w:rsidRDefault="00E56D23" w:rsidP="00910099">
      <w:pPr>
        <w:pStyle w:val="JuH"/>
        <w:spacing w:before="280"/>
        <w:ind w:left="1304"/>
      </w:pPr>
      <w:r>
        <w:rPr>
          <w:rFonts w:cs="Times New Roman"/>
          <w:szCs w:val="24"/>
        </w:rPr>
        <w:t xml:space="preserve">– </w:t>
      </w:r>
      <w:r w:rsidR="008C003A">
        <w:rPr>
          <w:iCs/>
        </w:rPr>
        <w:t>Zasady ogólne</w:t>
      </w:r>
    </w:p>
    <w:p w14:paraId="0D2B6B59" w14:textId="732EBB21" w:rsidR="00414A46" w:rsidRDefault="00FF2312">
      <w:pPr>
        <w:pStyle w:val="JuPara"/>
      </w:pPr>
      <w:bookmarkStart w:id="2" w:name="control113"/>
      <w:r>
        <w:t>115</w:t>
      </w:r>
      <w:r w:rsidR="008C003A">
        <w:t>.  </w:t>
      </w:r>
      <w:bookmarkEnd w:id="2"/>
      <w:r w:rsidR="008C003A">
        <w:t>Trybunał zauważa, że art. 3 w związku z wynikającym z art. 1 Konwencji ogólnym obowiązkiem państw</w:t>
      </w:r>
      <w:r w:rsidR="00470256">
        <w:t xml:space="preserve"> </w:t>
      </w:r>
      <w:r w:rsidR="008C003A">
        <w:t>„zapewni</w:t>
      </w:r>
      <w:r w:rsidR="00470256">
        <w:t>enia</w:t>
      </w:r>
      <w:r w:rsidR="008C003A">
        <w:t xml:space="preserve"> każdemu człowiekowi, podlegającemu ich jurysdykcji, praw i wolności określon</w:t>
      </w:r>
      <w:r w:rsidR="00470256">
        <w:t>ych</w:t>
      </w:r>
      <w:r w:rsidR="008C003A">
        <w:t xml:space="preserve"> w [...] Konwencji”, </w:t>
      </w:r>
      <w:r w:rsidR="00470256">
        <w:t xml:space="preserve">wymaga od </w:t>
      </w:r>
      <w:r w:rsidR="008C003A">
        <w:t>państw</w:t>
      </w:r>
      <w:r w:rsidR="00470256">
        <w:t xml:space="preserve"> </w:t>
      </w:r>
      <w:r w:rsidR="008C003A">
        <w:t>wprowadzenia środków mających na celu zapewnienie, by osoby podlegające ich jurysdykcji nie były źle traktowane, włączając złe traktowan</w:t>
      </w:r>
      <w:r w:rsidR="00C62AEA">
        <w:t>i</w:t>
      </w:r>
      <w:r w:rsidR="008C003A">
        <w:t xml:space="preserve">e przez osoby prywatne (zob. </w:t>
      </w:r>
      <w:r w:rsidR="008C003A">
        <w:rPr>
          <w:i/>
          <w:iCs/>
        </w:rPr>
        <w:t>A. przeciwko Zjednoczonemu Królestwu</w:t>
      </w:r>
      <w:r w:rsidR="008C003A">
        <w:t xml:space="preserve">, 23 września 1998 r., § 22, </w:t>
      </w:r>
      <w:r w:rsidR="008C003A">
        <w:rPr>
          <w:i/>
          <w:iCs/>
        </w:rPr>
        <w:t>Zbiór</w:t>
      </w:r>
      <w:r w:rsidR="008C003A">
        <w:t xml:space="preserve"> 1998-VI, oraz </w:t>
      </w:r>
      <w:r w:rsidR="008C003A">
        <w:rPr>
          <w:i/>
          <w:iCs/>
        </w:rPr>
        <w:t>Z. i Inni przeciwko Zjednoczonemu Królestwu</w:t>
      </w:r>
      <w:r w:rsidR="008C003A">
        <w:t xml:space="preserve"> [WI], nr 29392/95, §§ 73–75, ETPC 2001-V). Ten ogólny wymóg wiąże się z obowiązkiem proceduralnym. W przypadku </w:t>
      </w:r>
      <w:r w:rsidR="00470256">
        <w:t xml:space="preserve">skarg </w:t>
      </w:r>
      <w:r w:rsidR="008C003A">
        <w:t>dotyczących błęd</w:t>
      </w:r>
      <w:r w:rsidR="00BC73BD">
        <w:t>ów lekarskich</w:t>
      </w:r>
      <w:r w:rsidR="008C003A">
        <w:t xml:space="preserve"> wynikające z art. 3 obowiązki spoczywające na władzach interpretowano </w:t>
      </w:r>
      <w:r w:rsidR="00BC73BD">
        <w:t>jako co do zasady</w:t>
      </w:r>
      <w:r w:rsidR="008C003A">
        <w:t xml:space="preserve"> nie wymagają</w:t>
      </w:r>
      <w:r w:rsidR="00BC73BD">
        <w:t>ce</w:t>
      </w:r>
      <w:r w:rsidR="008C003A">
        <w:t xml:space="preserve"> zapewnienia środka przewidzianego w prawie karnym (zob. </w:t>
      </w:r>
      <w:r w:rsidR="008C003A">
        <w:rPr>
          <w:i/>
          <w:iCs/>
        </w:rPr>
        <w:t>V.C. przeciwko Słowacji</w:t>
      </w:r>
      <w:r w:rsidR="008C003A">
        <w:t xml:space="preserve">, nr 18968/07, §§ 125–126, ETPC 2011 (fragmenty); </w:t>
      </w:r>
      <w:r w:rsidR="008C003A">
        <w:rPr>
          <w:i/>
          <w:iCs/>
        </w:rPr>
        <w:t>N.B. przeciwko Słowacji</w:t>
      </w:r>
      <w:r w:rsidR="008C003A">
        <w:t xml:space="preserve">, nr 29518/10, § 84, 12 czerwca 2012 r.; </w:t>
      </w:r>
      <w:r w:rsidR="008C003A">
        <w:rPr>
          <w:i/>
          <w:iCs/>
        </w:rPr>
        <w:t>I.G. i Inni przeciwko Słowacji</w:t>
      </w:r>
      <w:r w:rsidR="008C003A">
        <w:t xml:space="preserve">, nr 15966/04, § 129, 13 listopada 2012 r. oraz </w:t>
      </w:r>
      <w:r w:rsidR="008C003A">
        <w:rPr>
          <w:i/>
          <w:iCs/>
        </w:rPr>
        <w:t>Dvořáček przeciwko Republice Czeskiej</w:t>
      </w:r>
      <w:r w:rsidR="008C003A">
        <w:t xml:space="preserve">, nr 12927/13, § 111, 6 listopada 2014 r.). W przypadku </w:t>
      </w:r>
      <w:r w:rsidR="002D2553">
        <w:t xml:space="preserve">jednak, </w:t>
      </w:r>
      <w:r w:rsidR="008C003A">
        <w:t xml:space="preserve">gdy osoba fizyczna zgłasza „dające się uzasadnić roszczenie” lub „wiarygodne stwierdzenie”, że została potraktowana z naruszeniem art. 3 </w:t>
      </w:r>
      <w:r w:rsidR="00BC73BD">
        <w:t xml:space="preserve">przez, </w:t>
      </w:r>
      <w:r w:rsidR="008C003A">
        <w:t>m</w:t>
      </w:r>
      <w:r w:rsidR="00BC73BD">
        <w:t xml:space="preserve">. in., </w:t>
      </w:r>
      <w:r w:rsidR="008C003A">
        <w:t xml:space="preserve">policję lub inne podobne organy, powyższe przepisy wymagają w sposób dorozumiany przeprowadzenia skutecznego oficjalnego śledztwa o charakterze karnym. W </w:t>
      </w:r>
      <w:r w:rsidR="002D2553">
        <w:t xml:space="preserve">przeciwnym </w:t>
      </w:r>
      <w:r w:rsidR="008C003A">
        <w:t xml:space="preserve">razie ogólny prawny zakaz tortur oraz nieludzkiego lub poniżającego traktowania albo karania, pomimo jego zasadniczego znaczenia, byłby w praktyce nieskuteczny (zob. </w:t>
      </w:r>
      <w:r w:rsidR="008C003A">
        <w:rPr>
          <w:i/>
          <w:iCs/>
        </w:rPr>
        <w:t>Assenov i Inni przeciwko Bułgarii</w:t>
      </w:r>
      <w:r w:rsidR="008C003A">
        <w:t xml:space="preserve">, nr 24760/94, § 102, 28 października 1998 r., </w:t>
      </w:r>
      <w:r w:rsidR="008C003A">
        <w:rPr>
          <w:i/>
          <w:iCs/>
        </w:rPr>
        <w:t>Zbiór</w:t>
      </w:r>
      <w:r w:rsidR="008C003A">
        <w:t xml:space="preserve"> 1998-VIII; </w:t>
      </w:r>
      <w:r w:rsidR="008C003A">
        <w:rPr>
          <w:i/>
          <w:iCs/>
        </w:rPr>
        <w:t>Labita przeciwko Włochom</w:t>
      </w:r>
      <w:r w:rsidR="008C003A">
        <w:t xml:space="preserve"> [WI], nr 26772/95, § 131, ETPC 2000-IV; </w:t>
      </w:r>
      <w:r w:rsidR="008C003A">
        <w:rPr>
          <w:i/>
          <w:iCs/>
        </w:rPr>
        <w:t>El-Masri przeciwko Byłej Jugosłowiańskiej Republice Macedonii</w:t>
      </w:r>
      <w:r w:rsidR="008C003A">
        <w:t xml:space="preserve"> [WI], nr 39630/09, § 186, ETPC 2012; </w:t>
      </w:r>
      <w:r w:rsidR="008C003A">
        <w:rPr>
          <w:i/>
          <w:iCs/>
        </w:rPr>
        <w:t>Mocanu i Inni przeciwko Rumunii</w:t>
      </w:r>
      <w:r w:rsidR="008C003A">
        <w:t xml:space="preserve"> [WI], nr 10865/09 i dwa inne, § 317, ETPC 2014 (fragmenty); </w:t>
      </w:r>
      <w:r w:rsidR="008C003A">
        <w:rPr>
          <w:i/>
          <w:iCs/>
        </w:rPr>
        <w:t>Bouyid przeciwko Belgii</w:t>
      </w:r>
      <w:r w:rsidR="008C003A">
        <w:t xml:space="preserve"> [WI], nr 23380/09, § 116, ETPC 2015). Nawet w przypadku braku formalnej skargi, gdy władze powezmą informację o sprawie, </w:t>
      </w:r>
      <w:r w:rsidR="002D2553">
        <w:t xml:space="preserve">rodzi </w:t>
      </w:r>
      <w:r w:rsidR="008C003A">
        <w:t xml:space="preserve">to </w:t>
      </w:r>
      <w:r w:rsidR="008C003A">
        <w:rPr>
          <w:i/>
          <w:iCs/>
        </w:rPr>
        <w:t xml:space="preserve">ipso </w:t>
      </w:r>
      <w:r w:rsidR="008C003A">
        <w:rPr>
          <w:i/>
          <w:iCs/>
        </w:rPr>
        <w:lastRenderedPageBreak/>
        <w:t>facto</w:t>
      </w:r>
      <w:r w:rsidR="008C003A">
        <w:t xml:space="preserve"> </w:t>
      </w:r>
      <w:r w:rsidR="002D2553">
        <w:t>wynikający z tego artykułu obowiązek</w:t>
      </w:r>
      <w:r w:rsidR="008C003A">
        <w:t xml:space="preserve"> przeprowadzenia przez państwo skutecznego śledztwa (zob. </w:t>
      </w:r>
      <w:r w:rsidR="008C003A">
        <w:rPr>
          <w:i/>
          <w:iCs/>
        </w:rPr>
        <w:t>Gorgiev przeciwko Byłej Jugosłowiańskiej Republice Macedonii</w:t>
      </w:r>
      <w:r w:rsidR="008C003A">
        <w:t>, nr 26984/05</w:t>
      </w:r>
      <w:r w:rsidR="008C003A">
        <w:rPr>
          <w:szCs w:val="24"/>
        </w:rPr>
        <w:t>, § 64, 19 kwietnia 2012 r.;</w:t>
      </w:r>
      <w:r w:rsidR="008C003A">
        <w:t xml:space="preserve"> </w:t>
      </w:r>
      <w:r w:rsidR="008C003A">
        <w:rPr>
          <w:i/>
          <w:iCs/>
        </w:rPr>
        <w:t>El-Masri</w:t>
      </w:r>
      <w:r w:rsidR="008C003A">
        <w:t xml:space="preserve">, </w:t>
      </w:r>
      <w:r w:rsidR="002D2553" w:rsidRPr="001069DE">
        <w:t>cyt. pow.,</w:t>
      </w:r>
      <w:r w:rsidR="008C003A">
        <w:t xml:space="preserve"> § 186).</w:t>
      </w:r>
    </w:p>
    <w:p w14:paraId="55C1F3BF" w14:textId="1B4B2424" w:rsidR="00414A46" w:rsidRDefault="00FF2312">
      <w:pPr>
        <w:pStyle w:val="JuPara"/>
      </w:pPr>
      <w:r>
        <w:t>116</w:t>
      </w:r>
      <w:r w:rsidR="008C003A">
        <w:t xml:space="preserve">.  W ramach badania, czy dana osoba została „poddana [...] traktowaniu”, które jest „nieludzkie lub poniżające” w rozumieniu art. 3, podejście ogólne Trybunału polegało na podkreśleniu, że traktowanie to musi osiągnąć pewien minimalny poziom dolegliwości, </w:t>
      </w:r>
      <w:r w:rsidR="003B1399">
        <w:t>by</w:t>
      </w:r>
      <w:r w:rsidR="008C003A">
        <w:t xml:space="preserve"> </w:t>
      </w:r>
      <w:r w:rsidR="003B1399">
        <w:t>zostać objętym</w:t>
      </w:r>
      <w:r w:rsidR="008C003A">
        <w:t xml:space="preserve"> zakresem stosowania tego </w:t>
      </w:r>
      <w:r w:rsidR="003B1399">
        <w:t>przepisu</w:t>
      </w:r>
      <w:r w:rsidR="008C003A">
        <w:t xml:space="preserve">. Ocena tego poziomu jest względna i zależy od wszystkich okoliczności sprawy, głównie od czasu trwania owego traktowania, jego fizycznych i psychicznych skutków oraz – w niektórych </w:t>
      </w:r>
      <w:r w:rsidR="003B1399">
        <w:t xml:space="preserve">sprawach </w:t>
      </w:r>
      <w:r w:rsidR="008C003A">
        <w:t xml:space="preserve">– od płci, wieku i stanu zdrowia ofiary (zob. </w:t>
      </w:r>
      <w:r w:rsidR="008C003A">
        <w:rPr>
          <w:i/>
          <w:iCs/>
        </w:rPr>
        <w:t>Muršić przeciwko Chorwacji</w:t>
      </w:r>
      <w:r w:rsidR="008C003A">
        <w:t xml:space="preserve"> [WI], nr 7334/13, § 97, 20 października 2016 r.; </w:t>
      </w:r>
      <w:r w:rsidR="008C003A">
        <w:rPr>
          <w:i/>
          <w:iCs/>
        </w:rPr>
        <w:t>Paposhvili przeciwko Belgii</w:t>
      </w:r>
      <w:r w:rsidR="008C003A">
        <w:t xml:space="preserve"> [WI], nr 41738/10, § 174, 13 grudnia 2016 r. oraz </w:t>
      </w:r>
      <w:r w:rsidR="008C003A">
        <w:rPr>
          <w:i/>
          <w:iCs/>
        </w:rPr>
        <w:t>Khlaifia i Inni przeciwko Włochom</w:t>
      </w:r>
      <w:r w:rsidR="008C003A">
        <w:t xml:space="preserve"> [WI], nr 16483/12, § 159, 15 grudnia 2016 r.).</w:t>
      </w:r>
    </w:p>
    <w:p w14:paraId="0CB0CBFE" w14:textId="2E1D2C2F" w:rsidR="00414A46" w:rsidRDefault="00FF2312">
      <w:pPr>
        <w:pStyle w:val="JuPara"/>
      </w:pPr>
      <w:r>
        <w:t>117</w:t>
      </w:r>
      <w:r w:rsidR="008C003A">
        <w:t xml:space="preserve">.  Aby ustalić, czy próg dolegliwości został osiągnięty, Trybunał może </w:t>
      </w:r>
      <w:r w:rsidR="003B1399">
        <w:t xml:space="preserve">wziąć pod uwagę </w:t>
      </w:r>
      <w:r w:rsidR="008C003A">
        <w:t>również inne czynniki, w szczególności: cel, dla którego doszło do przypadku złego traktowania, wraz z intencją lub motywacją za nim stojącą, chociaż brak intencji upokorzenia lub poniżenia ofiary nie może jednoznacznie wykluczyć możliwości zakwalifikowania go jako zabronionego przez art. 3; kontekst, w którym doszło do złego traktowania, np. atmosfer</w:t>
      </w:r>
      <w:r w:rsidR="003B1399">
        <w:t>a</w:t>
      </w:r>
      <w:r w:rsidR="008C003A">
        <w:t xml:space="preserve"> podwyższonego napięcia i emocji oraz, czy ofiara znajdowała się w </w:t>
      </w:r>
      <w:r w:rsidR="003B1399">
        <w:t xml:space="preserve">trudnej </w:t>
      </w:r>
      <w:r w:rsidR="008C003A">
        <w:t xml:space="preserve">sytuacji (zob. </w:t>
      </w:r>
      <w:r w:rsidR="008C003A">
        <w:rPr>
          <w:i/>
          <w:iCs/>
        </w:rPr>
        <w:t>Khlaifia i Inni</w:t>
      </w:r>
      <w:r w:rsidR="008C003A">
        <w:t xml:space="preserve">, </w:t>
      </w:r>
      <w:r w:rsidR="003B1399" w:rsidRPr="001069DE">
        <w:t>cyt. pow.,</w:t>
      </w:r>
      <w:r w:rsidR="008C003A">
        <w:t xml:space="preserve"> § 160 i przytoczone tam orzecznictwo).</w:t>
      </w:r>
    </w:p>
    <w:p w14:paraId="758E8E6F" w14:textId="0BF5CAD3" w:rsidR="00414A46" w:rsidRDefault="00FF2312">
      <w:pPr>
        <w:pStyle w:val="JuPara"/>
      </w:pPr>
      <w:r>
        <w:t>118</w:t>
      </w:r>
      <w:r w:rsidR="008C003A">
        <w:t xml:space="preserve">.  Poddanie osoby złemu traktowaniu, które osiąga taki minimalny poziom dolegliwości, zwykle wiąże się z faktycznym uszkodzeniem ciała lub intensywnym cierpieniem fizycznym lub psychicznym. </w:t>
      </w:r>
      <w:r w:rsidR="00D1087E">
        <w:t>Jednakże, n</w:t>
      </w:r>
      <w:r w:rsidR="008C003A">
        <w:t xml:space="preserve">awet w razie braku </w:t>
      </w:r>
      <w:r w:rsidR="00D1087E">
        <w:t xml:space="preserve">takich </w:t>
      </w:r>
      <w:r w:rsidR="008C003A">
        <w:t xml:space="preserve">cech, gdy traktowanie polega na upokorzeniu lub poniżeniu osoby poprzez okazanie braku poszanowania lub umniejszenie godności ludzkiej tej osoby lub </w:t>
      </w:r>
      <w:r w:rsidR="00D1087E">
        <w:t xml:space="preserve">poprzez </w:t>
      </w:r>
      <w:r w:rsidR="008C003A">
        <w:t>wzbudzeni</w:t>
      </w:r>
      <w:r w:rsidR="00D1087E">
        <w:t>e</w:t>
      </w:r>
      <w:r w:rsidR="008C003A">
        <w:t xml:space="preserve"> uczu</w:t>
      </w:r>
      <w:r w:rsidR="00D1087E">
        <w:t>cia</w:t>
      </w:r>
      <w:r w:rsidR="008C003A">
        <w:t xml:space="preserve"> strachu, udręki lub niższości mogących złamać moralny i fizyczny opór tej osoby, może być uznane za poniżające, a tym samym objęte zakazem </w:t>
      </w:r>
      <w:r w:rsidR="00D1087E">
        <w:t xml:space="preserve">określonym </w:t>
      </w:r>
      <w:r w:rsidR="008C003A">
        <w:t xml:space="preserve">w art. 3. </w:t>
      </w:r>
      <w:r w:rsidR="00D1087E">
        <w:t>Wystarczającym może być</w:t>
      </w:r>
      <w:r w:rsidR="008C003A">
        <w:t xml:space="preserve">, że ofiara </w:t>
      </w:r>
      <w:r w:rsidR="00D1087E">
        <w:t xml:space="preserve">zostaje </w:t>
      </w:r>
      <w:r w:rsidR="008C003A">
        <w:t>poniżona w</w:t>
      </w:r>
      <w:r w:rsidR="00D1087E">
        <w:t xml:space="preserve"> jej</w:t>
      </w:r>
      <w:r w:rsidR="008C003A">
        <w:t xml:space="preserve"> własnym odczuciu, nawet jeśli nie w odczuciu innych osób (zob. </w:t>
      </w:r>
      <w:r w:rsidR="008C003A">
        <w:rPr>
          <w:i/>
          <w:iCs/>
        </w:rPr>
        <w:t>Bouyid</w:t>
      </w:r>
      <w:r w:rsidR="008C003A">
        <w:t xml:space="preserve">, </w:t>
      </w:r>
      <w:r w:rsidR="00D1087E">
        <w:t xml:space="preserve">cyt. pow., </w:t>
      </w:r>
      <w:r w:rsidR="008C003A">
        <w:t>§ 87 i przytoczone tam orzecznictwo).</w:t>
      </w:r>
    </w:p>
    <w:p w14:paraId="78FB3D3E" w14:textId="6FD311D4" w:rsidR="00414A46" w:rsidRDefault="00FF2312">
      <w:pPr>
        <w:pStyle w:val="JuPara"/>
      </w:pPr>
      <w:r>
        <w:t>119</w:t>
      </w:r>
      <w:r w:rsidR="008C003A">
        <w:t xml:space="preserve">.  W odniesieniu do traktowania osób fizycznych Trybunał wielokrotnie orzekał, że art. 3 ma zastosowanie w sprawach dotyczących umyślnego złego traktowania, takiego jak </w:t>
      </w:r>
      <w:r w:rsidR="00D1087E">
        <w:t>gwałt</w:t>
      </w:r>
      <w:r w:rsidR="008C003A">
        <w:t xml:space="preserve">, </w:t>
      </w:r>
      <w:r w:rsidR="00D1087E">
        <w:t>wykorzystanie seksualne</w:t>
      </w:r>
      <w:r w:rsidR="008C003A">
        <w:t xml:space="preserve"> lub przemoc seksualna, w tym przemoc w rodzinie lub obrażenia doznane </w:t>
      </w:r>
      <w:r w:rsidR="004E39E8">
        <w:t>podczas walki</w:t>
      </w:r>
      <w:r w:rsidR="008C003A">
        <w:t xml:space="preserve">, które to traktowanie obejmuje zachowania mogące wywołać u ofiary uczucie upokorzenia i poniżenia (zob. m.in. </w:t>
      </w:r>
      <w:r w:rsidR="008C003A">
        <w:rPr>
          <w:i/>
          <w:iCs/>
        </w:rPr>
        <w:t>M.C. przeciwko Bułgarii</w:t>
      </w:r>
      <w:r w:rsidR="008C003A">
        <w:t xml:space="preserve">, nr 39272/98, ETPC 2003-XII; </w:t>
      </w:r>
      <w:r w:rsidR="008C003A">
        <w:rPr>
          <w:i/>
          <w:iCs/>
        </w:rPr>
        <w:t>Beganović przeciwko Chorwacji</w:t>
      </w:r>
      <w:r w:rsidR="008C003A">
        <w:t xml:space="preserve">, nr 46423/06, 25 czerwca 2009 r.; </w:t>
      </w:r>
      <w:r w:rsidR="008C003A">
        <w:rPr>
          <w:i/>
          <w:iCs/>
        </w:rPr>
        <w:t>Biser Kostov przeciwko Bułgarii</w:t>
      </w:r>
      <w:r w:rsidR="008C003A">
        <w:t xml:space="preserve">, nr 32662/06, 10 stycznia 2012 r.; </w:t>
      </w:r>
      <w:r w:rsidR="008C003A">
        <w:rPr>
          <w:i/>
          <w:iCs/>
        </w:rPr>
        <w:t>Muta przeciwko Ukrainie</w:t>
      </w:r>
      <w:r w:rsidR="008C003A">
        <w:t xml:space="preserve">, nr 37246/06, </w:t>
      </w:r>
      <w:r w:rsidR="008C003A">
        <w:lastRenderedPageBreak/>
        <w:t xml:space="preserve">§ 58, 31 lipca 2012 r.; </w:t>
      </w:r>
      <w:r w:rsidR="008C003A">
        <w:rPr>
          <w:i/>
          <w:iCs/>
        </w:rPr>
        <w:t>Dimitar Shopov przeciwko Bułgarii</w:t>
      </w:r>
      <w:r w:rsidR="008C003A">
        <w:t xml:space="preserve">, nr 17253/07, 16 kwietnia 2013 r.; </w:t>
      </w:r>
      <w:r w:rsidR="008C003A">
        <w:rPr>
          <w:i/>
          <w:iCs/>
        </w:rPr>
        <w:t>S.Z. przeciwko Bułgarii</w:t>
      </w:r>
      <w:r w:rsidR="008C003A">
        <w:t xml:space="preserve">, nr 29263/12, 3 marca 2015 r.; </w:t>
      </w:r>
      <w:r w:rsidR="008C003A">
        <w:rPr>
          <w:i/>
          <w:iCs/>
        </w:rPr>
        <w:t>Y. przeciwko Słowenii</w:t>
      </w:r>
      <w:r w:rsidR="008C003A">
        <w:t xml:space="preserve">, nr 41107/10, ETPC 2015 (fragmenty); </w:t>
      </w:r>
      <w:r w:rsidR="008C003A">
        <w:rPr>
          <w:i/>
          <w:iCs/>
        </w:rPr>
        <w:t>M. i M. przeciwko Chorwacji</w:t>
      </w:r>
      <w:r w:rsidR="008C003A">
        <w:t xml:space="preserve">, nr 10161/13, ETPC 2015 (fragmenty) oraz </w:t>
      </w:r>
      <w:r w:rsidR="008C003A">
        <w:rPr>
          <w:i/>
          <w:iCs/>
        </w:rPr>
        <w:t>Sakir przeciwko Grecji</w:t>
      </w:r>
      <w:r w:rsidR="008C003A">
        <w:t>, nr 48475/09, 24 marca 2016 r.).</w:t>
      </w:r>
    </w:p>
    <w:p w14:paraId="59697CB7" w14:textId="493D2F2D" w:rsidR="00414A46" w:rsidRDefault="00FF2312">
      <w:pPr>
        <w:pStyle w:val="JuPara"/>
      </w:pPr>
      <w:r>
        <w:t>120</w:t>
      </w:r>
      <w:r w:rsidR="008C003A">
        <w:t xml:space="preserve">.  Odmienne podejście przyjęto w sprawie </w:t>
      </w:r>
      <w:r w:rsidR="008C003A">
        <w:rPr>
          <w:i/>
          <w:iCs/>
        </w:rPr>
        <w:t>Kraulaidis przeciwko Litwie</w:t>
      </w:r>
      <w:r w:rsidR="008C003A">
        <w:t xml:space="preserve"> (nr 76805/11, § 57, 8 listopada 2016 r.), która dotyczyła, podobnie jak </w:t>
      </w:r>
      <w:r w:rsidR="004E39E8">
        <w:t xml:space="preserve">niniejsza </w:t>
      </w:r>
      <w:r w:rsidR="008C003A">
        <w:t xml:space="preserve">sprawa, wypadku drogowego. Trybunał „zauważa[-ył] na wstępie, że w wyniku wypadku skarżący doznał poważnych </w:t>
      </w:r>
      <w:r w:rsidR="004E39E8">
        <w:t xml:space="preserve">obrażeń </w:t>
      </w:r>
      <w:r w:rsidR="008C003A">
        <w:t xml:space="preserve">i utracił zdolność </w:t>
      </w:r>
      <w:r w:rsidR="004E39E8">
        <w:t>chodzenia</w:t>
      </w:r>
      <w:r w:rsidR="008C003A">
        <w:t xml:space="preserve">. Dlatego [stwierdził, że] sytuacja osiąga [osiągnęła] próg konieczny do wejścia w zakres stosowania art. 3 Konwencji”. W podobnym duchu w sprawie </w:t>
      </w:r>
      <w:r w:rsidR="008C003A">
        <w:rPr>
          <w:i/>
          <w:iCs/>
        </w:rPr>
        <w:t>Mažukna przeciwko Litwie</w:t>
      </w:r>
      <w:r w:rsidR="008C003A">
        <w:t xml:space="preserve"> (nr 72092/12, § 81, 11 kwietnia 2017 r.) Trybunał zauważył, że w następstwie wypadku przy pracy skarżący doznał obrażeń twarzy i klatki piersiowej, które spowodowały oszpecenie i upośledzenie jego mimiki twarzy, a </w:t>
      </w:r>
      <w:r w:rsidR="004E39E8">
        <w:t xml:space="preserve">obrażenia </w:t>
      </w:r>
      <w:r w:rsidR="008C003A">
        <w:t xml:space="preserve">oceniono pod kątem medycznym jako nieodwracalne i stanowiące poważny uszczerbek na zdrowiu; „[t]ym samym [...] sytuacja osiąga [osiągnęła] próg konieczny do wejścia w zakres stosowania art. 3 Konwencji”. Wspólną cechą rozumowania przedstawionego w obu wyżej wspomnianych wyrokach jest ich skupienie się wyłącznie na charakterze i stopniu doznanych </w:t>
      </w:r>
      <w:r w:rsidR="004E39E8">
        <w:t>obrażeń</w:t>
      </w:r>
      <w:r w:rsidR="008C003A">
        <w:t>. Art. 3 potraktowano zatem jako mający zastosowanie w sytuacjach, które nie wiązały się z </w:t>
      </w:r>
      <w:r w:rsidR="004E39E8">
        <w:t>jakimkolwiek umyślnym działaniem</w:t>
      </w:r>
      <w:r w:rsidR="008C003A">
        <w:t xml:space="preserve"> przeciwko ofierze.</w:t>
      </w:r>
    </w:p>
    <w:p w14:paraId="3EE268CC" w14:textId="4EB1F14B" w:rsidR="00414A46" w:rsidRDefault="00FF2312">
      <w:pPr>
        <w:pStyle w:val="JuPara"/>
      </w:pPr>
      <w:r>
        <w:t>121</w:t>
      </w:r>
      <w:r w:rsidR="008C003A">
        <w:t xml:space="preserve">.  Trybunał uważa jednak, że podejście do oceny, czy dana osoba została poddana złemu traktowaniu w stopniu przekraczającym minimalny stopień dolegliwości, jak opisano w par. 26–28 powyżej, ustalone w szeregu kolejnych wyroków Wielkiej Izby, jest prawidłowe również w odniesieniu do traktowania osób prywatnych. Jak wynika z tych fragmentów, wymaga to uwzględnienia szeregu czynników, z których każdy może mieć znaczącą wagę. Wszystkie te czynniki wiążą się z założeniem, że traktowanie, któremu ofiara została „poddana”, było konsekwencją </w:t>
      </w:r>
      <w:r w:rsidR="004E39E8">
        <w:t xml:space="preserve">działania </w:t>
      </w:r>
      <w:r w:rsidR="008C003A">
        <w:t>umyślnego.</w:t>
      </w:r>
    </w:p>
    <w:p w14:paraId="0EDB3EAB" w14:textId="42813E39" w:rsidR="00414A46" w:rsidRDefault="00E56D23" w:rsidP="00FF2312">
      <w:pPr>
        <w:pStyle w:val="JuH"/>
        <w:spacing w:before="280"/>
        <w:ind w:left="1304"/>
      </w:pPr>
      <w:r>
        <w:rPr>
          <w:rFonts w:cs="Times New Roman"/>
          <w:szCs w:val="24"/>
        </w:rPr>
        <w:t>–</w:t>
      </w:r>
      <w:r w:rsidR="00FF2312">
        <w:rPr>
          <w:iCs/>
        </w:rPr>
        <w:t xml:space="preserve"> </w:t>
      </w:r>
      <w:r w:rsidR="008C003A">
        <w:rPr>
          <w:iCs/>
        </w:rPr>
        <w:t>Zastosowanie zasad ogólnych w rozpatrywanej sprawie</w:t>
      </w:r>
    </w:p>
    <w:p w14:paraId="0BFFD076" w14:textId="52987722" w:rsidR="00414A46" w:rsidRDefault="00FF2312">
      <w:pPr>
        <w:pStyle w:val="JuPara"/>
      </w:pPr>
      <w:r>
        <w:t>122</w:t>
      </w:r>
      <w:r w:rsidR="008C003A">
        <w:t xml:space="preserve">.  Trybunał zauważa, że nie ulega wątpliwości, iż </w:t>
      </w:r>
      <w:r w:rsidR="00F775D8">
        <w:t xml:space="preserve">dotkliwość </w:t>
      </w:r>
      <w:r w:rsidR="008C003A">
        <w:t>cierpienia – fizycznego lub psychicznego – którą można przypisać konkretnemu środkowi lub zdarzeniu, była istotnym czynnikiem w wielu sprawach, w których Trybunał uznał, że art. 3 ma zastosowanie oraz że brak zamiaru skrzywdzenia, poniżenia lub upokorzenia osoby nie może bezwzględnie wykluczyć stwierdzenia naruszenia art. 3.</w:t>
      </w:r>
    </w:p>
    <w:p w14:paraId="6FECE407" w14:textId="79FB8A14" w:rsidR="00414A46" w:rsidRDefault="00FF2312">
      <w:pPr>
        <w:pStyle w:val="JuPara"/>
      </w:pPr>
      <w:r>
        <w:t>123</w:t>
      </w:r>
      <w:r w:rsidR="008C003A">
        <w:t xml:space="preserve">.  Zdaniem Trybunału, zgodnie z podejściem potwierdzonym powyżej (zob. par. 121), </w:t>
      </w:r>
      <w:r w:rsidR="00F775D8">
        <w:t xml:space="preserve">obrażenia </w:t>
      </w:r>
      <w:r w:rsidR="008C003A">
        <w:t xml:space="preserve">ciała oraz cierpienie fizyczne i psychiczne doznane w następstwie wypadku, który jest tylko skutkiem </w:t>
      </w:r>
      <w:r w:rsidR="00F775D8">
        <w:t>przypadku</w:t>
      </w:r>
      <w:r w:rsidR="008C003A">
        <w:t xml:space="preserve"> lub niedbałego zachowania, nie mogą być jednak uznane za konsekwencję „traktowania”, któremu dana osoba została „poddana” w rozumieniu art. 3. Jak już bowiem wskazano w par. </w:t>
      </w:r>
      <w:r w:rsidR="00672BB1">
        <w:t>11</w:t>
      </w:r>
      <w:r w:rsidR="008C003A">
        <w:t>6–</w:t>
      </w:r>
      <w:r w:rsidR="00672BB1">
        <w:t>11</w:t>
      </w:r>
      <w:r w:rsidR="008C003A">
        <w:t xml:space="preserve">8, traktowanie takie w istocie, choć nie wyłącznie, </w:t>
      </w:r>
      <w:r w:rsidR="008C003A">
        <w:lastRenderedPageBreak/>
        <w:t>charakteryzuje się zamiarem skrzywdzenia, poniżenia lub upokorzenia osoby, okazania braku poszanowania lub umniejszenia godności ludzkiej tej osoby lub wzbudzenia uczuć strachu, udręki lub niższości mogących złamać moralny i fizyczny opór tej osoby. W sprawie skarżącego nie występuje żaden z </w:t>
      </w:r>
      <w:r w:rsidR="00F775D8">
        <w:t>takich czynników</w:t>
      </w:r>
      <w:r w:rsidR="008C003A">
        <w:t>.</w:t>
      </w:r>
    </w:p>
    <w:p w14:paraId="6DF4E457" w14:textId="3AC557E3" w:rsidR="00414A46" w:rsidRDefault="006D6FCD">
      <w:pPr>
        <w:pStyle w:val="JuPara"/>
      </w:pPr>
      <w:r>
        <w:t>124</w:t>
      </w:r>
      <w:r w:rsidR="008C003A">
        <w:t xml:space="preserve">.  Wynika z tego, że część </w:t>
      </w:r>
      <w:r w:rsidR="00F775D8">
        <w:t xml:space="preserve">zarzutów </w:t>
      </w:r>
      <w:r w:rsidR="008C003A">
        <w:t>skarżącego na gruncie art. 3</w:t>
      </w:r>
      <w:r w:rsidR="00F775D8">
        <w:t>,</w:t>
      </w:r>
      <w:r w:rsidR="008C003A">
        <w:t xml:space="preserve"> dotyczących przebiegu śledztwa jest niezgodna </w:t>
      </w:r>
      <w:r w:rsidR="008C003A">
        <w:rPr>
          <w:i/>
          <w:iCs/>
        </w:rPr>
        <w:t>ratione materiae</w:t>
      </w:r>
      <w:r w:rsidR="008C003A">
        <w:t xml:space="preserve"> z postanowieniami Konwencji w rozumieniu art. 35 ust. 3 lit. a oraz art. 35 ust. 4.</w:t>
      </w:r>
    </w:p>
    <w:p w14:paraId="66E8CAEC" w14:textId="77777777" w:rsidR="00414A46" w:rsidRDefault="008C003A">
      <w:pPr>
        <w:pStyle w:val="JuHalpha"/>
        <w:numPr>
          <w:ilvl w:val="6"/>
          <w:numId w:val="1"/>
        </w:numPr>
        <w:spacing w:before="280"/>
      </w:pPr>
      <w:r>
        <w:t>Artykuł 8</w:t>
      </w:r>
    </w:p>
    <w:p w14:paraId="0BBDC08A" w14:textId="0C7D32AA" w:rsidR="00414A46" w:rsidRDefault="00E56D23" w:rsidP="006D6FCD">
      <w:pPr>
        <w:pStyle w:val="JuH"/>
        <w:spacing w:before="280"/>
        <w:ind w:left="1304"/>
      </w:pPr>
      <w:r>
        <w:rPr>
          <w:rFonts w:cs="Times New Roman"/>
          <w:szCs w:val="24"/>
        </w:rPr>
        <w:t>–</w:t>
      </w:r>
      <w:r w:rsidR="006D6FCD">
        <w:rPr>
          <w:iCs/>
        </w:rPr>
        <w:t xml:space="preserve"> </w:t>
      </w:r>
      <w:r w:rsidR="008C003A">
        <w:rPr>
          <w:iCs/>
        </w:rPr>
        <w:t>Zasady ogólne</w:t>
      </w:r>
    </w:p>
    <w:p w14:paraId="09902AD4" w14:textId="19D35989" w:rsidR="00414A46" w:rsidRDefault="006D6FCD">
      <w:pPr>
        <w:pStyle w:val="JuPara"/>
      </w:pPr>
      <w:r>
        <w:t>125</w:t>
      </w:r>
      <w:r w:rsidR="008C003A">
        <w:t xml:space="preserve">.  Trybunał przypomina, że celem art. 8 jest zasadniczo ochrona osoby fizycznej przed arbitralną ingerencją władz publicznych. </w:t>
      </w:r>
      <w:r w:rsidR="007F2A03">
        <w:t>Przepis ten</w:t>
      </w:r>
      <w:r w:rsidR="008C003A">
        <w:t xml:space="preserve"> nie ogranicza się jednak do zobowiązania </w:t>
      </w:r>
      <w:r w:rsidR="00936F4D">
        <w:t xml:space="preserve">państwa </w:t>
      </w:r>
      <w:r w:rsidR="008C003A">
        <w:t>do powstrzymania się od takiej ingerencji: oprócz tego zobowiązania o </w:t>
      </w:r>
      <w:r w:rsidR="007F2A03">
        <w:t xml:space="preserve">zasadniczo negatywnym </w:t>
      </w:r>
      <w:r w:rsidR="008C003A">
        <w:t xml:space="preserve">charakterze istnieją obowiązki pozytywne nieodłącznie związane ze skutecznym poszanowaniem życia prywatnego. Obowiązki te mogą obejmować przyjęcie środków mających na celu zapewnienie poszanowania życia prywatnego nawet w sferze stosunków między osobami fizycznymi (zob. m.in. </w:t>
      </w:r>
      <w:r w:rsidR="008C003A">
        <w:rPr>
          <w:i/>
          <w:iCs/>
        </w:rPr>
        <w:t>X i Y przeciwko Niderlandom</w:t>
      </w:r>
      <w:r w:rsidR="008C003A">
        <w:t xml:space="preserve">, 26 marca 1985 r., § 23, Seria A nr 91 oraz </w:t>
      </w:r>
      <w:r w:rsidR="008C003A">
        <w:rPr>
          <w:i/>
          <w:iCs/>
        </w:rPr>
        <w:t>Söderman przeciwko Szwecji</w:t>
      </w:r>
      <w:r w:rsidR="008C003A">
        <w:t xml:space="preserve"> [WI], nr 5786/08, § 78, ETPC 2013).</w:t>
      </w:r>
    </w:p>
    <w:p w14:paraId="7AC7BF6F" w14:textId="63CC171D" w:rsidR="00414A46" w:rsidRDefault="006D6FCD">
      <w:pPr>
        <w:pStyle w:val="JuPara"/>
      </w:pPr>
      <w:r>
        <w:t>126</w:t>
      </w:r>
      <w:r w:rsidR="008C003A">
        <w:t xml:space="preserve">.  „Życie prywatne” jest pojęciem szerokim, niepoddającym się wyczerpującej definicji (zob. </w:t>
      </w:r>
      <w:r w:rsidR="008C003A">
        <w:rPr>
          <w:i/>
          <w:iCs/>
        </w:rPr>
        <w:t>Bensaid przeciwko Zjednoczonemu Królestwu</w:t>
      </w:r>
      <w:r w:rsidR="008C003A">
        <w:t xml:space="preserve">, nr 44599/98, § 47, ETPC 2001-I; </w:t>
      </w:r>
      <w:r w:rsidR="008C003A">
        <w:rPr>
          <w:i/>
          <w:iCs/>
        </w:rPr>
        <w:t>Bărbulescu przeciwko Rumunii</w:t>
      </w:r>
      <w:r w:rsidR="008C003A">
        <w:t xml:space="preserve"> [WI], nr 61496/08, § 70, 5 września 2017 r. (fragmenty) oraz </w:t>
      </w:r>
      <w:r w:rsidR="008C003A">
        <w:rPr>
          <w:i/>
          <w:iCs/>
        </w:rPr>
        <w:t>Denisov przeciwko Ukrainie</w:t>
      </w:r>
      <w:r w:rsidR="008C003A">
        <w:t xml:space="preserve"> [WI], nr 76639/11, § 95, 25 września 2018 r.), które obejmuje również integralność fizyczną i psychiczną osoby (zob. </w:t>
      </w:r>
      <w:r w:rsidR="008C003A">
        <w:rPr>
          <w:i/>
          <w:iCs/>
        </w:rPr>
        <w:t>X i Y</w:t>
      </w:r>
      <w:r w:rsidR="008C003A">
        <w:t xml:space="preserve">, </w:t>
      </w:r>
      <w:r w:rsidR="007F2A03" w:rsidRPr="001069DE">
        <w:t>cyt. pow.,</w:t>
      </w:r>
      <w:r w:rsidR="008C003A">
        <w:t xml:space="preserve"> § 22, oraz </w:t>
      </w:r>
      <w:r w:rsidR="008C003A">
        <w:rPr>
          <w:i/>
          <w:iCs/>
        </w:rPr>
        <w:t>Medžlis Islamske Zajednice Brčko i Inni przeciwko Bośni i Hercegowinie</w:t>
      </w:r>
      <w:r w:rsidR="008C003A">
        <w:t xml:space="preserve"> [WI], nr 17224/11, § 76, 27 czerwca 2017 r.). Ponadto ciało osoby dotyczy intymnego aspektu życia prywatnego (zob. </w:t>
      </w:r>
      <w:r w:rsidR="008C003A">
        <w:rPr>
          <w:i/>
          <w:iCs/>
        </w:rPr>
        <w:t>Y.F. przeciwko Turcji</w:t>
      </w:r>
      <w:r w:rsidR="008C003A">
        <w:t>, nr 24209/94, § 33, ETPC 2003-IX).</w:t>
      </w:r>
    </w:p>
    <w:p w14:paraId="5C07FCE9" w14:textId="6DB5891E" w:rsidR="00414A46" w:rsidRDefault="006D6FCD">
      <w:pPr>
        <w:pStyle w:val="JuPara"/>
      </w:pPr>
      <w:r>
        <w:t>127</w:t>
      </w:r>
      <w:r w:rsidR="008C003A">
        <w:t xml:space="preserve">.  Odnośnie do ochrony integralności fizycznej i psychicznej osoby przed innymi osobami Trybunał orzekł, że obowiązki pozytywne władz – w niektórych przypadkach na gruncie samego art. 8 lub w związku z art. 3 – mogą obejmować obowiązek utrzymywania i stosowania w praktyce odpowiednich ram prawnych zapewniających ochronę przed aktami przemocy ze strony osób fizycznych (zob. </w:t>
      </w:r>
      <w:r w:rsidR="008C003A">
        <w:rPr>
          <w:i/>
          <w:iCs/>
        </w:rPr>
        <w:t>Söderman</w:t>
      </w:r>
      <w:r w:rsidR="008C003A">
        <w:t xml:space="preserve">, </w:t>
      </w:r>
      <w:r w:rsidR="00B312C4">
        <w:t xml:space="preserve">cyt. pow., </w:t>
      </w:r>
      <w:r w:rsidR="008C003A">
        <w:t>§ 80, i przytoczone tam orzecznictwo). W niektórych sytuacjach, jak w przypadkach zgwałcenia i </w:t>
      </w:r>
      <w:r w:rsidR="00B312C4">
        <w:t>wykorzystania seksualnego</w:t>
      </w:r>
      <w:r w:rsidR="008C003A">
        <w:t xml:space="preserve"> dzieci, w których zagrożone są podstawowe wartości i istotne aspekty życia prywatnego, stwierdzono, że </w:t>
      </w:r>
      <w:r w:rsidR="00B312C4">
        <w:t xml:space="preserve">pozytywny </w:t>
      </w:r>
      <w:r w:rsidR="008C003A">
        <w:t xml:space="preserve">obowiązek państw obejmuje zapewnienie </w:t>
      </w:r>
      <w:r w:rsidR="008C003A">
        <w:lastRenderedPageBreak/>
        <w:t xml:space="preserve">istnienia skutecznych przepisów prawa karnego i jest rozszerzony na skuteczność śledztwa; w niektórych mniej poważnych przypadkach </w:t>
      </w:r>
      <w:r w:rsidR="00B312C4">
        <w:t xml:space="preserve">za wystarczającą uznano </w:t>
      </w:r>
      <w:r w:rsidR="008C003A">
        <w:t xml:space="preserve">dostępność </w:t>
      </w:r>
      <w:r w:rsidR="00B312C4">
        <w:t xml:space="preserve">środka </w:t>
      </w:r>
      <w:r w:rsidR="008C003A">
        <w:t xml:space="preserve">cywilnego (np. </w:t>
      </w:r>
      <w:r w:rsidR="008C003A">
        <w:rPr>
          <w:i/>
          <w:iCs/>
        </w:rPr>
        <w:t xml:space="preserve">Söderman, </w:t>
      </w:r>
      <w:r w:rsidR="00B312C4" w:rsidRPr="001069DE">
        <w:t>cyt. pow.,</w:t>
      </w:r>
      <w:r w:rsidR="00B312C4">
        <w:rPr>
          <w:i/>
          <w:iCs/>
        </w:rPr>
        <w:t xml:space="preserve"> </w:t>
      </w:r>
      <w:r w:rsidR="008C003A">
        <w:t xml:space="preserve">§§ 81–85). W obszarze opieki medycznej Trybunał orzekł, że chociaż prawo do zdrowia jako takie nie jest jednym z praw gwarantowanych Konwencją lub protokołami do niej, </w:t>
      </w:r>
      <w:r w:rsidR="00B312C4">
        <w:t xml:space="preserve">to </w:t>
      </w:r>
      <w:r w:rsidR="008C003A">
        <w:t xml:space="preserve">obowiązkiem pozytywnym wynikającym z art. 8 (równolegle do obowiązku pozytywnego wynikającego z art. 2) jest, po pierwsze, </w:t>
      </w:r>
      <w:r w:rsidR="00B312C4">
        <w:t>wprowadzenie przepisów</w:t>
      </w:r>
      <w:r w:rsidR="008C003A">
        <w:t xml:space="preserve"> zobowiązujących zarówno szpitale publiczne, jak i prywatne do przyjęcia odpowiednich środków ochrony integralności fizycznej ich pacjentów oraz, po drugie, zapewnienie ofiarom błędów lekarski</w:t>
      </w:r>
      <w:r w:rsidR="000625B4">
        <w:t>ch</w:t>
      </w:r>
      <w:r w:rsidR="008C003A">
        <w:t xml:space="preserve"> dostępu do procedur, w </w:t>
      </w:r>
      <w:r w:rsidR="000625B4">
        <w:t xml:space="preserve">drodze </w:t>
      </w:r>
      <w:r w:rsidR="008C003A">
        <w:t xml:space="preserve">których mogą w stosownych przypadkach uzyskać odszkodowanie (zob. </w:t>
      </w:r>
      <w:r w:rsidR="008C003A">
        <w:rPr>
          <w:i/>
          <w:iCs/>
        </w:rPr>
        <w:t>Vasileva przeciwko Bułgarii</w:t>
      </w:r>
      <w:r w:rsidR="008C003A">
        <w:t xml:space="preserve">, nr 23796/10, § 63, 17 marca 2016 r. oraz </w:t>
      </w:r>
      <w:r w:rsidR="008C003A">
        <w:rPr>
          <w:i/>
          <w:iCs/>
        </w:rPr>
        <w:t>Jurica przeciwko Chorwacji</w:t>
      </w:r>
      <w:r w:rsidR="008C003A">
        <w:t>, nr 30376/13, § 84, 2 maja 2017 r.).</w:t>
      </w:r>
    </w:p>
    <w:p w14:paraId="397E4C97" w14:textId="22E13283" w:rsidR="00414A46" w:rsidRDefault="006D6FCD">
      <w:pPr>
        <w:pStyle w:val="JuPara"/>
      </w:pPr>
      <w:r>
        <w:t>128</w:t>
      </w:r>
      <w:r w:rsidR="008C003A">
        <w:t xml:space="preserve">.  Trybunał podkreśla jednak, że nie każde działanie lub środek osoby prywatnej, które negatywnie wpływają na integralność fizyczną </w:t>
      </w:r>
      <w:r w:rsidR="000625B4">
        <w:t xml:space="preserve">i </w:t>
      </w:r>
      <w:r w:rsidR="008C003A">
        <w:t xml:space="preserve">psychiczną innej osoby, narusza prawo do poszanowania życia prywatnego gwarantowane art. 8 (zob. </w:t>
      </w:r>
      <w:r w:rsidR="008C003A">
        <w:rPr>
          <w:i/>
          <w:iCs/>
        </w:rPr>
        <w:t>Costello-Roberts przeciwko Zjednoczonemu Królestwu</w:t>
      </w:r>
      <w:r w:rsidR="008C003A">
        <w:t xml:space="preserve">, 25 marca 1993 r., Seria A nr 247-C; </w:t>
      </w:r>
      <w:r w:rsidR="008C003A">
        <w:rPr>
          <w:i/>
          <w:iCs/>
        </w:rPr>
        <w:t>Bensaid</w:t>
      </w:r>
      <w:r w:rsidR="008C003A">
        <w:t xml:space="preserve">, </w:t>
      </w:r>
      <w:r w:rsidR="000625B4" w:rsidRPr="001069DE">
        <w:t>cyt. pow.,</w:t>
      </w:r>
      <w:r w:rsidR="008C003A">
        <w:t xml:space="preserve"> § 46 oraz </w:t>
      </w:r>
      <w:r w:rsidR="008C003A">
        <w:rPr>
          <w:i/>
          <w:iCs/>
        </w:rPr>
        <w:t>Tonchev przeciwko Bułgarii</w:t>
      </w:r>
      <w:r w:rsidR="008C003A">
        <w:t xml:space="preserve">, nr 18527/02, 19 listopada 2009 r.). Przypomina, że dla możliwości zastosowania art. 8 w takiej sytuacji konieczne jest przekroczenie progu dotkliwości (zob. </w:t>
      </w:r>
      <w:r w:rsidR="008C003A">
        <w:rPr>
          <w:i/>
          <w:iCs/>
        </w:rPr>
        <w:t>Denisov</w:t>
      </w:r>
      <w:r w:rsidR="008C003A">
        <w:t>, § 114,</w:t>
      </w:r>
      <w:r w:rsidR="000625B4">
        <w:t xml:space="preserve"> cyt. pow.</w:t>
      </w:r>
      <w:r w:rsidR="008C003A">
        <w:t xml:space="preserve">). Ponadto w utrwalonym orzecznictwie Trybunału nie ma niczego, co by mogło sugerować, że zakres życia prywatnego rozciąga się na działalność o charakterze zasadniczo publicznym (zob. </w:t>
      </w:r>
      <w:r w:rsidR="008C003A">
        <w:rPr>
          <w:i/>
          <w:iCs/>
        </w:rPr>
        <w:t>Friend i Inni przeciwko Zjednoczonemu Królestwu</w:t>
      </w:r>
      <w:r w:rsidR="008C003A">
        <w:t xml:space="preserve"> (dec.), nr 16072/06, § 42, 24 listopada 2009 r.).</w:t>
      </w:r>
    </w:p>
    <w:p w14:paraId="3D4CFD72" w14:textId="3791F4FB" w:rsidR="00414A46" w:rsidRDefault="00E56D23" w:rsidP="006D6FCD">
      <w:pPr>
        <w:pStyle w:val="JuH"/>
        <w:spacing w:before="280"/>
        <w:ind w:left="1304"/>
      </w:pPr>
      <w:r>
        <w:rPr>
          <w:rFonts w:cs="Times New Roman"/>
          <w:szCs w:val="24"/>
        </w:rPr>
        <w:t>–</w:t>
      </w:r>
      <w:r w:rsidR="006D6FCD">
        <w:rPr>
          <w:iCs/>
        </w:rPr>
        <w:t xml:space="preserve"> </w:t>
      </w:r>
      <w:r w:rsidR="008C003A">
        <w:rPr>
          <w:iCs/>
        </w:rPr>
        <w:t>Zastosowanie zasad ogólnych w </w:t>
      </w:r>
      <w:r w:rsidR="000625B4">
        <w:rPr>
          <w:iCs/>
        </w:rPr>
        <w:t xml:space="preserve">niniejszej </w:t>
      </w:r>
      <w:r w:rsidR="008C003A">
        <w:rPr>
          <w:iCs/>
        </w:rPr>
        <w:t>sprawie</w:t>
      </w:r>
    </w:p>
    <w:p w14:paraId="4DA3C7EB" w14:textId="1CC2F5D2" w:rsidR="00414A46" w:rsidRDefault="006D6FCD">
      <w:pPr>
        <w:pStyle w:val="JuPara"/>
      </w:pPr>
      <w:r>
        <w:t>129</w:t>
      </w:r>
      <w:r w:rsidR="008C003A">
        <w:t xml:space="preserve">.  Trybunał zauważa, że nie ma żadnych wątpliwości, iż skarżący doznał poważnych </w:t>
      </w:r>
      <w:r w:rsidR="000625B4">
        <w:t xml:space="preserve">obrażeń </w:t>
      </w:r>
      <w:r w:rsidR="008C003A">
        <w:t>w wyniku wypadku drogowego. Powstaje pytanie, czy tak</w:t>
      </w:r>
      <w:r w:rsidR="000625B4">
        <w:t>ie obrażenia</w:t>
      </w:r>
      <w:r w:rsidR="008C003A">
        <w:t xml:space="preserve"> </w:t>
      </w:r>
      <w:r w:rsidR="000625B4">
        <w:t xml:space="preserve">rodzą problem </w:t>
      </w:r>
      <w:r w:rsidR="008C003A">
        <w:t>dotycząc</w:t>
      </w:r>
      <w:r w:rsidR="000625B4">
        <w:t>y</w:t>
      </w:r>
      <w:r w:rsidR="008C003A">
        <w:t xml:space="preserve"> życia prywatnego skarżącego w rozumieniu art. 8.</w:t>
      </w:r>
    </w:p>
    <w:p w14:paraId="1F39637B" w14:textId="4A77A99F" w:rsidR="00414A46" w:rsidRDefault="006D6FCD">
      <w:pPr>
        <w:pStyle w:val="JuPara"/>
      </w:pPr>
      <w:r>
        <w:t>130</w:t>
      </w:r>
      <w:r w:rsidR="008C003A">
        <w:t xml:space="preserve">.  W tym względzie Trybunał zauważa po pierwsze, że </w:t>
      </w:r>
      <w:r w:rsidR="000625B4">
        <w:t xml:space="preserve">obrażenia </w:t>
      </w:r>
      <w:r w:rsidR="008C003A">
        <w:t xml:space="preserve">skarżącego wynikły z dobrowolnego </w:t>
      </w:r>
      <w:r w:rsidR="000625B4">
        <w:t xml:space="preserve">podjęcia </w:t>
      </w:r>
      <w:r w:rsidR="008C003A">
        <w:t xml:space="preserve">przez niego </w:t>
      </w:r>
      <w:r w:rsidR="000625B4">
        <w:t>czynności</w:t>
      </w:r>
      <w:r w:rsidR="008C003A">
        <w:t xml:space="preserve"> – prowadzeni</w:t>
      </w:r>
      <w:r w:rsidR="000625B4">
        <w:t>a</w:t>
      </w:r>
      <w:r w:rsidR="008C003A">
        <w:t xml:space="preserve"> pojazdu silnikowego na drodze publicznej – która zasadniczo była </w:t>
      </w:r>
      <w:r w:rsidR="000625B4">
        <w:t xml:space="preserve">czynnością </w:t>
      </w:r>
      <w:r w:rsidR="008C003A">
        <w:t xml:space="preserve">odbywającą się publicznie (zob. odpowiednio </w:t>
      </w:r>
      <w:r w:rsidR="008C003A">
        <w:rPr>
          <w:i/>
          <w:iCs/>
        </w:rPr>
        <w:t>Friend i Inni</w:t>
      </w:r>
      <w:r w:rsidR="008C003A">
        <w:t xml:space="preserve">, </w:t>
      </w:r>
      <w:r w:rsidR="000625B4">
        <w:t xml:space="preserve">cyt. pow., </w:t>
      </w:r>
      <w:r w:rsidR="008C003A">
        <w:t xml:space="preserve">§ 43; por. </w:t>
      </w:r>
      <w:r w:rsidR="008C003A">
        <w:rPr>
          <w:i/>
          <w:iCs/>
        </w:rPr>
        <w:t>Peck przeciwko Zjednoczonemu Królestwu</w:t>
      </w:r>
      <w:r w:rsidR="008C003A">
        <w:t xml:space="preserve">, nr 44647/98, § 62, ETPC 2003-I). Prawdą jest, że ze względu na swój charakter </w:t>
      </w:r>
      <w:r w:rsidR="008244A3">
        <w:t xml:space="preserve">czynność </w:t>
      </w:r>
      <w:r w:rsidR="008C003A">
        <w:t xml:space="preserve">ta wiązała się z ryzykiem wystąpienia poważnych </w:t>
      </w:r>
      <w:r w:rsidR="008244A3">
        <w:t>obrażeń</w:t>
      </w:r>
      <w:r w:rsidR="008C003A">
        <w:t xml:space="preserve"> w razie wypadku (zob. odpowiednio </w:t>
      </w:r>
      <w:r w:rsidR="008C003A">
        <w:rPr>
          <w:i/>
          <w:iCs/>
        </w:rPr>
        <w:t>Vilnes i Inni przeciwko Norwegii</w:t>
      </w:r>
      <w:r w:rsidR="008C003A">
        <w:t xml:space="preserve">, nr 52806/09 i 22703/10, §§ 222 i 239, 5 grudnia 2013 r.). Ryzyko to zostało jednak zminimalizowane przepisami ruchu drogowego mającymi na celu zapewnienie bezpieczeństwa drogowego wszystkim użytkownikom dróg, w tym </w:t>
      </w:r>
      <w:r w:rsidR="008244A3">
        <w:t>po</w:t>
      </w:r>
      <w:r w:rsidR="008C003A">
        <w:t xml:space="preserve">przez odpowiednie oddzielenie pojazdów na drogach. Po drugie, wypadek nie nastąpił w wyniku </w:t>
      </w:r>
      <w:r w:rsidR="008C003A">
        <w:lastRenderedPageBreak/>
        <w:t>aktu przemocy mającego na celu wyrządzenie krzywdy integralności fizycznej i psychicznej skarżącego. Nie można go także przyrównać do innych rodzajów sytuacji, w których Trybunał wcześniej stwierdził istnienie spoczywającego na państwie obowiązku pozytywnego w zakresie ochrony integralności fizycznej i psychicznej (zob. par. </w:t>
      </w:r>
      <w:r w:rsidR="00216D4B">
        <w:t>12</w:t>
      </w:r>
      <w:r w:rsidR="008C003A">
        <w:t>7 powyżej).</w:t>
      </w:r>
    </w:p>
    <w:p w14:paraId="77AA28BE" w14:textId="0465E5B8" w:rsidR="00414A46" w:rsidRDefault="006D6FCD">
      <w:pPr>
        <w:pStyle w:val="JuPara"/>
      </w:pPr>
      <w:r>
        <w:t>131</w:t>
      </w:r>
      <w:r w:rsidR="008C003A">
        <w:t>.  W tym kontekście Trybunał nie dostrzega żadnego szczególnego aspektu interakcji lub kontaktów międzyludzkich, które mogłyby wymagać zastosowania art. 8 Konwencji w niniejszej sprawie.</w:t>
      </w:r>
    </w:p>
    <w:p w14:paraId="55E9F0AA" w14:textId="663772BB" w:rsidR="00414A46" w:rsidRDefault="006D6FCD">
      <w:pPr>
        <w:pStyle w:val="JuPara"/>
      </w:pPr>
      <w:r>
        <w:t>132</w:t>
      </w:r>
      <w:r w:rsidR="008C003A">
        <w:t xml:space="preserve">.  Wynika z tego, że </w:t>
      </w:r>
      <w:r w:rsidR="008244A3">
        <w:t xml:space="preserve">zarzut </w:t>
      </w:r>
      <w:r w:rsidR="008C003A">
        <w:t>skarżącego na gruncie art. 8</w:t>
      </w:r>
      <w:r w:rsidR="008244A3">
        <w:t>,</w:t>
      </w:r>
      <w:r w:rsidR="008C003A">
        <w:t xml:space="preserve"> dotycząc</w:t>
      </w:r>
      <w:r w:rsidR="008244A3">
        <w:t>y</w:t>
      </w:r>
      <w:r w:rsidR="008C003A">
        <w:t xml:space="preserve"> przebiegu śledztwa</w:t>
      </w:r>
      <w:r w:rsidR="008244A3">
        <w:t>,</w:t>
      </w:r>
      <w:r w:rsidR="008C003A">
        <w:t xml:space="preserve"> jest niezgodn</w:t>
      </w:r>
      <w:r w:rsidR="008244A3">
        <w:t>y</w:t>
      </w:r>
      <w:r w:rsidR="008C003A">
        <w:t xml:space="preserve"> </w:t>
      </w:r>
      <w:r w:rsidR="008C003A">
        <w:rPr>
          <w:i/>
          <w:iCs/>
        </w:rPr>
        <w:t>ratione materiae</w:t>
      </w:r>
      <w:r w:rsidR="008C003A">
        <w:t xml:space="preserve"> z postanowieniami Konwencji w rozumieniu art. 35 ust. 3 lit. a oraz art. 35 ust. 4.</w:t>
      </w:r>
    </w:p>
    <w:p w14:paraId="0AC29C7A" w14:textId="77777777" w:rsidR="00414A46" w:rsidRDefault="008C003A">
      <w:pPr>
        <w:pStyle w:val="JuHalpha"/>
        <w:numPr>
          <w:ilvl w:val="6"/>
          <w:numId w:val="1"/>
        </w:numPr>
        <w:spacing w:before="280"/>
      </w:pPr>
      <w:r>
        <w:t>Artykuł 2</w:t>
      </w:r>
    </w:p>
    <w:p w14:paraId="66F9AB51" w14:textId="7642997B" w:rsidR="00414A46" w:rsidRDefault="00E56D23" w:rsidP="006D6FCD">
      <w:pPr>
        <w:pStyle w:val="JuH"/>
        <w:spacing w:before="280"/>
        <w:ind w:left="1304"/>
      </w:pPr>
      <w:r>
        <w:rPr>
          <w:rFonts w:cs="Times New Roman"/>
          <w:szCs w:val="24"/>
        </w:rPr>
        <w:t>–</w:t>
      </w:r>
      <w:r w:rsidR="006D6FCD">
        <w:rPr>
          <w:iCs/>
        </w:rPr>
        <w:t xml:space="preserve"> </w:t>
      </w:r>
      <w:r w:rsidR="008C003A">
        <w:rPr>
          <w:iCs/>
        </w:rPr>
        <w:t>Wprowadzenie</w:t>
      </w:r>
    </w:p>
    <w:p w14:paraId="132E28B5" w14:textId="265964B1" w:rsidR="00414A46" w:rsidRDefault="006D6FCD">
      <w:pPr>
        <w:pStyle w:val="JuPara"/>
      </w:pPr>
      <w:r>
        <w:rPr>
          <w:rFonts w:cs="Times New Roman"/>
          <w:szCs w:val="24"/>
        </w:rPr>
        <w:t>133</w:t>
      </w:r>
      <w:r w:rsidR="008C003A">
        <w:rPr>
          <w:rFonts w:cs="Times New Roman"/>
          <w:szCs w:val="24"/>
        </w:rPr>
        <w:t xml:space="preserve">.  Trybunał zauważa na wstępie, że </w:t>
      </w:r>
      <w:r w:rsidR="009E3C1E">
        <w:rPr>
          <w:rFonts w:cs="Times New Roman"/>
          <w:szCs w:val="24"/>
        </w:rPr>
        <w:t xml:space="preserve">niniejsza </w:t>
      </w:r>
      <w:r w:rsidR="008C003A">
        <w:rPr>
          <w:rFonts w:cs="Times New Roman"/>
          <w:szCs w:val="24"/>
        </w:rPr>
        <w:t xml:space="preserve">sprawa dotyczy domniemanego zaniedbania w kontekście wypadku drogowego, w którym skarżący doznał </w:t>
      </w:r>
      <w:r w:rsidR="009E3C1E">
        <w:rPr>
          <w:rFonts w:cs="Times New Roman"/>
          <w:szCs w:val="24"/>
        </w:rPr>
        <w:t>obrażeń</w:t>
      </w:r>
      <w:r w:rsidR="008C003A">
        <w:rPr>
          <w:rFonts w:cs="Times New Roman"/>
          <w:szCs w:val="24"/>
        </w:rPr>
        <w:t>. W świetle argumentów skarżącego zadaniem Trybunału jest ustalenie, czy okoliczności faktyczne rozpatrywanej sprawy wchodzą w zakres aspektu proceduralnego art. 2. W pierwszej kolejności Trybunał przedstawi ogólne zasady dotyczące zastosowania art. 2, w szczególności w odniesieniu do wypadków i niedbałego zachowania, a następnie oceni zastosowanie tych zasad w </w:t>
      </w:r>
      <w:r w:rsidR="009E3C1E">
        <w:rPr>
          <w:rFonts w:cs="Times New Roman"/>
          <w:szCs w:val="24"/>
        </w:rPr>
        <w:t xml:space="preserve">niniejszej </w:t>
      </w:r>
      <w:r w:rsidR="008C003A">
        <w:rPr>
          <w:rFonts w:cs="Times New Roman"/>
          <w:szCs w:val="24"/>
        </w:rPr>
        <w:t>sprawie.</w:t>
      </w:r>
    </w:p>
    <w:p w14:paraId="6CDC58E8" w14:textId="7406EAC8" w:rsidR="00414A46" w:rsidRDefault="00E56D23" w:rsidP="006D6FCD">
      <w:pPr>
        <w:pStyle w:val="JuH"/>
        <w:spacing w:before="280"/>
        <w:ind w:left="1304"/>
      </w:pPr>
      <w:r>
        <w:rPr>
          <w:rFonts w:cs="Times New Roman"/>
          <w:szCs w:val="24"/>
        </w:rPr>
        <w:t>–</w:t>
      </w:r>
      <w:r w:rsidR="006D6FCD">
        <w:rPr>
          <w:iCs/>
        </w:rPr>
        <w:t xml:space="preserve"> </w:t>
      </w:r>
      <w:r w:rsidR="008C003A">
        <w:rPr>
          <w:iCs/>
        </w:rPr>
        <w:t>Zasady ogólne</w:t>
      </w:r>
    </w:p>
    <w:p w14:paraId="5C4B9C1D" w14:textId="7B3776B7" w:rsidR="00414A46" w:rsidRDefault="006D6FCD">
      <w:pPr>
        <w:pStyle w:val="JuPara"/>
      </w:pPr>
      <w:r>
        <w:rPr>
          <w:rFonts w:cs="Times New Roman"/>
          <w:szCs w:val="24"/>
        </w:rPr>
        <w:t>134</w:t>
      </w:r>
      <w:r w:rsidR="008C003A">
        <w:rPr>
          <w:rFonts w:cs="Times New Roman"/>
          <w:szCs w:val="24"/>
        </w:rPr>
        <w:t xml:space="preserve">.  Trybunał przypomina, że art. 2 zdanie pierwsze, który </w:t>
      </w:r>
      <w:r w:rsidR="009E3C1E">
        <w:rPr>
          <w:rFonts w:cs="Times New Roman"/>
          <w:szCs w:val="24"/>
        </w:rPr>
        <w:t xml:space="preserve">stanowi </w:t>
      </w:r>
      <w:r w:rsidR="008C003A">
        <w:rPr>
          <w:rFonts w:cs="Times New Roman"/>
          <w:szCs w:val="24"/>
        </w:rPr>
        <w:t>jedn</w:t>
      </w:r>
      <w:r w:rsidR="009E3C1E">
        <w:rPr>
          <w:rFonts w:cs="Times New Roman"/>
          <w:szCs w:val="24"/>
        </w:rPr>
        <w:t>o</w:t>
      </w:r>
      <w:r w:rsidR="008C003A">
        <w:rPr>
          <w:rFonts w:cs="Times New Roman"/>
          <w:szCs w:val="24"/>
        </w:rPr>
        <w:t xml:space="preserve"> z najbardziej </w:t>
      </w:r>
      <w:r w:rsidR="009E3C1E">
        <w:rPr>
          <w:rFonts w:cs="Times New Roman"/>
          <w:szCs w:val="24"/>
        </w:rPr>
        <w:t xml:space="preserve">fundamentalnych </w:t>
      </w:r>
      <w:r w:rsidR="008C003A">
        <w:rPr>
          <w:rFonts w:cs="Times New Roman"/>
          <w:szCs w:val="24"/>
        </w:rPr>
        <w:t>postanowień Konwencji</w:t>
      </w:r>
      <w:r w:rsidR="009E3C1E">
        <w:rPr>
          <w:rFonts w:cs="Times New Roman"/>
          <w:szCs w:val="24"/>
        </w:rPr>
        <w:t xml:space="preserve"> i chroni</w:t>
      </w:r>
      <w:r w:rsidR="008C003A">
        <w:rPr>
          <w:rFonts w:cs="Times New Roman"/>
          <w:szCs w:val="24"/>
        </w:rPr>
        <w:t xml:space="preserve"> jedną z podstawowych wartości społeczeństw demokratycznych tworzących Radę Europy, zobowiązuje państwo nie tylko do powstrzymania się od „umyślnego” pozbawiania życia, lecz także do podjęcia odpowiednich kroków w celu ochrony życia osób podlegających jego jurysdykcji (zob. </w:t>
      </w:r>
      <w:r w:rsidR="008C003A">
        <w:rPr>
          <w:rFonts w:cs="Times New Roman"/>
          <w:i/>
          <w:iCs/>
          <w:szCs w:val="24"/>
        </w:rPr>
        <w:t>L.C.B. przeciwko Zjednoczonemu Królestwu</w:t>
      </w:r>
      <w:r w:rsidR="008C003A">
        <w:rPr>
          <w:rFonts w:cs="Times New Roman"/>
          <w:szCs w:val="24"/>
        </w:rPr>
        <w:t xml:space="preserve">, 9 czerwca 1998 r., § 36, </w:t>
      </w:r>
      <w:r w:rsidR="008C003A">
        <w:rPr>
          <w:rFonts w:cs="Times New Roman"/>
          <w:i/>
          <w:iCs/>
          <w:szCs w:val="24"/>
        </w:rPr>
        <w:t>Zbiór</w:t>
      </w:r>
      <w:r w:rsidR="008C003A">
        <w:rPr>
          <w:rFonts w:cs="Times New Roman"/>
          <w:szCs w:val="24"/>
        </w:rPr>
        <w:t xml:space="preserve"> 1998-III; </w:t>
      </w:r>
      <w:r w:rsidR="008C003A">
        <w:rPr>
          <w:rFonts w:cs="Times New Roman"/>
          <w:i/>
          <w:iCs/>
          <w:szCs w:val="24"/>
        </w:rPr>
        <w:t>Calvelli i Ciglio przeciwko Włochom</w:t>
      </w:r>
      <w:r w:rsidR="008C003A">
        <w:rPr>
          <w:rFonts w:cs="Times New Roman"/>
          <w:szCs w:val="24"/>
        </w:rPr>
        <w:t xml:space="preserve"> [WI], nr 32967/96, § 48, ETPC 2002-I oraz </w:t>
      </w:r>
      <w:r w:rsidR="008C003A">
        <w:rPr>
          <w:rFonts w:cs="Times New Roman"/>
          <w:i/>
          <w:iCs/>
          <w:szCs w:val="24"/>
        </w:rPr>
        <w:t>Fernandes de Oliveira przeciwko Portugalii</w:t>
      </w:r>
      <w:r w:rsidR="008C003A">
        <w:rPr>
          <w:rFonts w:cs="Times New Roman"/>
          <w:szCs w:val="24"/>
        </w:rPr>
        <w:t xml:space="preserve"> [WI], nr 78103/14, § 104, 31 stycznia 2019 r.).</w:t>
      </w:r>
    </w:p>
    <w:p w14:paraId="5BB0EAA9" w14:textId="64542910" w:rsidR="00414A46" w:rsidRDefault="006D6FCD">
      <w:pPr>
        <w:pStyle w:val="JuPara"/>
      </w:pPr>
      <w:r>
        <w:rPr>
          <w:rFonts w:cs="Times New Roman"/>
          <w:szCs w:val="24"/>
        </w:rPr>
        <w:t>135</w:t>
      </w:r>
      <w:r w:rsidR="008C003A">
        <w:rPr>
          <w:rFonts w:cs="Times New Roman"/>
          <w:szCs w:val="24"/>
        </w:rPr>
        <w:t>.  Ten materialny obowiązek pozytywny wiąże się z podstawowym obowiązkiem państwa</w:t>
      </w:r>
      <w:r w:rsidR="009E3C1E">
        <w:rPr>
          <w:rFonts w:cs="Times New Roman"/>
          <w:szCs w:val="24"/>
        </w:rPr>
        <w:t>,</w:t>
      </w:r>
      <w:r w:rsidR="008C003A">
        <w:rPr>
          <w:rFonts w:cs="Times New Roman"/>
          <w:szCs w:val="24"/>
        </w:rPr>
        <w:t xml:space="preserve"> polegającym na ustanowieniu ram prawnych i administracyjnych mających na celu skuteczne zniechęcanie do naruszania prawa do życia (zob. </w:t>
      </w:r>
      <w:r w:rsidR="008C003A">
        <w:rPr>
          <w:rFonts w:cs="Times New Roman"/>
          <w:i/>
          <w:iCs/>
          <w:szCs w:val="24"/>
        </w:rPr>
        <w:t>Öneryıldız przeciwko Turcji</w:t>
      </w:r>
      <w:r w:rsidR="008C003A">
        <w:rPr>
          <w:rFonts w:cs="Times New Roman"/>
          <w:szCs w:val="24"/>
        </w:rPr>
        <w:t xml:space="preserve"> [WI], nr 48939/99, § 89, ETPC 2004-XII; </w:t>
      </w:r>
      <w:r w:rsidR="008C003A">
        <w:rPr>
          <w:rFonts w:cs="Times New Roman"/>
          <w:i/>
          <w:iCs/>
          <w:szCs w:val="24"/>
        </w:rPr>
        <w:t>Budayeva i Inni przeciwko Rosji</w:t>
      </w:r>
      <w:r w:rsidR="008C003A">
        <w:rPr>
          <w:rFonts w:cs="Times New Roman"/>
          <w:szCs w:val="24"/>
        </w:rPr>
        <w:t>, nr 15339/02 i </w:t>
      </w:r>
      <w:r w:rsidR="00A41BC3">
        <w:rPr>
          <w:rFonts w:cs="Times New Roman"/>
          <w:szCs w:val="24"/>
        </w:rPr>
        <w:t xml:space="preserve">4 </w:t>
      </w:r>
      <w:r w:rsidR="008C003A">
        <w:rPr>
          <w:rFonts w:cs="Times New Roman"/>
          <w:szCs w:val="24"/>
        </w:rPr>
        <w:t xml:space="preserve">inne, § 129, ETPC 2008 (fragmenty); </w:t>
      </w:r>
      <w:r w:rsidR="008C003A">
        <w:rPr>
          <w:rFonts w:cs="Times New Roman"/>
          <w:i/>
          <w:iCs/>
          <w:szCs w:val="24"/>
        </w:rPr>
        <w:t>Kolyadenko i Inni przeciwko Rosji</w:t>
      </w:r>
      <w:r w:rsidR="008C003A">
        <w:rPr>
          <w:rFonts w:cs="Times New Roman"/>
          <w:szCs w:val="24"/>
        </w:rPr>
        <w:t>, nr 17423/05 i </w:t>
      </w:r>
      <w:r w:rsidR="009E3C1E">
        <w:rPr>
          <w:rFonts w:cs="Times New Roman"/>
          <w:szCs w:val="24"/>
        </w:rPr>
        <w:t xml:space="preserve">5 </w:t>
      </w:r>
      <w:r w:rsidR="008C003A">
        <w:rPr>
          <w:rFonts w:cs="Times New Roman"/>
          <w:szCs w:val="24"/>
        </w:rPr>
        <w:t xml:space="preserve">innych, § 157, 28 lutego 2012 r. oraz </w:t>
      </w:r>
      <w:r w:rsidR="008C003A">
        <w:rPr>
          <w:rFonts w:cs="Times New Roman"/>
          <w:i/>
          <w:iCs/>
          <w:szCs w:val="24"/>
        </w:rPr>
        <w:t>Fernandes de Oliveira</w:t>
      </w:r>
      <w:r w:rsidR="008C003A">
        <w:rPr>
          <w:rFonts w:cs="Times New Roman"/>
          <w:szCs w:val="24"/>
        </w:rPr>
        <w:t xml:space="preserve">, </w:t>
      </w:r>
      <w:r w:rsidR="00A41BC3">
        <w:rPr>
          <w:rFonts w:cs="Times New Roman"/>
          <w:szCs w:val="24"/>
        </w:rPr>
        <w:t xml:space="preserve">cyt. pow., </w:t>
      </w:r>
      <w:r w:rsidR="008C003A">
        <w:rPr>
          <w:rFonts w:cs="Times New Roman"/>
          <w:szCs w:val="24"/>
        </w:rPr>
        <w:t xml:space="preserve">§§ 103 i 105–107). Ma on zastosowanie w kontekście wszelkiej działalności, zarówno publicznej, jak i innej, w której prawo do życia może </w:t>
      </w:r>
      <w:r w:rsidR="008C003A">
        <w:rPr>
          <w:rFonts w:cs="Times New Roman"/>
          <w:szCs w:val="24"/>
        </w:rPr>
        <w:lastRenderedPageBreak/>
        <w:t>być zagrożone (</w:t>
      </w:r>
      <w:r w:rsidR="00A41BC3" w:rsidRPr="00BF3734">
        <w:rPr>
          <w:rFonts w:cs="Times New Roman"/>
          <w:bCs/>
          <w:i/>
          <w:iCs/>
          <w:szCs w:val="24"/>
        </w:rPr>
        <w:t xml:space="preserve">Centre for Legal Resources </w:t>
      </w:r>
      <w:r w:rsidR="008C003A">
        <w:rPr>
          <w:rFonts w:cs="Times New Roman"/>
          <w:i/>
          <w:iCs/>
          <w:szCs w:val="24"/>
        </w:rPr>
        <w:t>w imieniu Valentin</w:t>
      </w:r>
      <w:r w:rsidR="00A41BC3">
        <w:rPr>
          <w:rFonts w:cs="Times New Roman"/>
          <w:i/>
          <w:iCs/>
          <w:szCs w:val="24"/>
        </w:rPr>
        <w:t>y</w:t>
      </w:r>
      <w:r w:rsidR="008C003A">
        <w:rPr>
          <w:rFonts w:cs="Times New Roman"/>
          <w:i/>
          <w:iCs/>
          <w:szCs w:val="24"/>
        </w:rPr>
        <w:t xml:space="preserve"> Câmpeanu przeciwko Rumunii</w:t>
      </w:r>
      <w:r w:rsidR="008C003A">
        <w:rPr>
          <w:rFonts w:cs="Times New Roman"/>
          <w:szCs w:val="24"/>
        </w:rPr>
        <w:t xml:space="preserve"> [WI], nr 47848/08, § 130 ETPC 2014 oraz </w:t>
      </w:r>
      <w:r w:rsidR="008C003A">
        <w:rPr>
          <w:rFonts w:cs="Times New Roman"/>
          <w:i/>
          <w:iCs/>
          <w:szCs w:val="24"/>
        </w:rPr>
        <w:t>Lopes de Sousa Fernandes przeciwko Portugalii</w:t>
      </w:r>
      <w:r w:rsidR="008C003A">
        <w:rPr>
          <w:rFonts w:cs="Times New Roman"/>
          <w:szCs w:val="24"/>
        </w:rPr>
        <w:t xml:space="preserve"> [WI], nr 56080/13, § 165, 19 grudnia 2017 r.). Polega on również na zobowiązaniu państwa do ustanowienia przepisów nakładających na instytucje, czy to prywatne, czy publiczne, obowiązek przyjęcia odpowiednich środków w celu ochrony życia </w:t>
      </w:r>
      <w:r w:rsidR="00A41BC3">
        <w:rPr>
          <w:rFonts w:cs="Times New Roman"/>
          <w:szCs w:val="24"/>
        </w:rPr>
        <w:t xml:space="preserve">ludzkiego </w:t>
      </w:r>
      <w:r w:rsidR="008C003A">
        <w:rPr>
          <w:rFonts w:cs="Times New Roman"/>
          <w:szCs w:val="24"/>
        </w:rPr>
        <w:t xml:space="preserve">(zob. w kontekście użycia siły przez funkcjonariuszy państwowych </w:t>
      </w:r>
      <w:r w:rsidR="008C003A">
        <w:rPr>
          <w:rFonts w:cs="Times New Roman"/>
          <w:i/>
          <w:iCs/>
          <w:szCs w:val="24"/>
        </w:rPr>
        <w:t>McCann i Inni przeciwko Zjednoczonemu Królestwu</w:t>
      </w:r>
      <w:r w:rsidR="008C003A">
        <w:rPr>
          <w:rFonts w:cs="Times New Roman"/>
          <w:szCs w:val="24"/>
        </w:rPr>
        <w:t xml:space="preserve">, 27 września 1995 r., § 151, Seria A nr 324; </w:t>
      </w:r>
      <w:r w:rsidR="008C003A">
        <w:rPr>
          <w:rFonts w:cs="Times New Roman"/>
          <w:i/>
          <w:iCs/>
          <w:szCs w:val="24"/>
        </w:rPr>
        <w:t>Makaratzis przeciwko Grecji</w:t>
      </w:r>
      <w:r w:rsidR="008C003A">
        <w:rPr>
          <w:rFonts w:cs="Times New Roman"/>
          <w:szCs w:val="24"/>
        </w:rPr>
        <w:t xml:space="preserve"> [WI], nr 50385/99, §§ 58, 59 i 62, ETPC 2004-XI; </w:t>
      </w:r>
      <w:r w:rsidR="008C003A">
        <w:rPr>
          <w:rFonts w:cs="Times New Roman"/>
          <w:i/>
          <w:iCs/>
          <w:szCs w:val="24"/>
        </w:rPr>
        <w:t>Perişan i Inni przeciwko Turcji</w:t>
      </w:r>
      <w:r w:rsidR="008C003A">
        <w:rPr>
          <w:rFonts w:cs="Times New Roman"/>
          <w:szCs w:val="24"/>
        </w:rPr>
        <w:t xml:space="preserve">, nr 12336/03, § 85, 20 maja 2010 r.; w kontekście opieki zdrowotnej </w:t>
      </w:r>
      <w:r w:rsidR="00A41BC3" w:rsidRPr="00BF3734">
        <w:rPr>
          <w:rFonts w:cs="Times New Roman"/>
          <w:bCs/>
          <w:i/>
          <w:iCs/>
          <w:szCs w:val="24"/>
        </w:rPr>
        <w:t xml:space="preserve">Centre for Legal Resources </w:t>
      </w:r>
      <w:r w:rsidR="008C003A">
        <w:rPr>
          <w:rFonts w:cs="Times New Roman"/>
          <w:i/>
          <w:iCs/>
          <w:szCs w:val="24"/>
        </w:rPr>
        <w:t>w imieniu Valentin</w:t>
      </w:r>
      <w:r w:rsidR="00A41BC3">
        <w:rPr>
          <w:rFonts w:cs="Times New Roman"/>
          <w:i/>
          <w:iCs/>
          <w:szCs w:val="24"/>
        </w:rPr>
        <w:t>y</w:t>
      </w:r>
      <w:r w:rsidR="008C003A">
        <w:rPr>
          <w:rFonts w:cs="Times New Roman"/>
          <w:i/>
          <w:iCs/>
          <w:szCs w:val="24"/>
        </w:rPr>
        <w:t xml:space="preserve"> Câmpeanu</w:t>
      </w:r>
      <w:r w:rsidR="008C003A">
        <w:rPr>
          <w:rFonts w:cs="Times New Roman"/>
          <w:szCs w:val="24"/>
        </w:rPr>
        <w:t xml:space="preserve">, </w:t>
      </w:r>
      <w:r w:rsidR="00A41BC3" w:rsidRPr="001069DE">
        <w:rPr>
          <w:rFonts w:cs="Times New Roman"/>
          <w:szCs w:val="24"/>
        </w:rPr>
        <w:t>cyt. pow.,</w:t>
      </w:r>
      <w:r w:rsidR="008C003A">
        <w:rPr>
          <w:rFonts w:cs="Times New Roman"/>
          <w:szCs w:val="24"/>
        </w:rPr>
        <w:t xml:space="preserve"> § 130; </w:t>
      </w:r>
      <w:r w:rsidR="008C003A">
        <w:rPr>
          <w:rFonts w:cs="Times New Roman"/>
          <w:i/>
          <w:iCs/>
          <w:szCs w:val="24"/>
        </w:rPr>
        <w:t>Lambert i Inni przeciwko Francji</w:t>
      </w:r>
      <w:r w:rsidR="008C003A">
        <w:rPr>
          <w:rFonts w:cs="Times New Roman"/>
          <w:szCs w:val="24"/>
        </w:rPr>
        <w:t xml:space="preserve"> [WI], nr 46043/14, § 140, ETPC 2015 (fragmenty); </w:t>
      </w:r>
      <w:r w:rsidR="008C003A">
        <w:rPr>
          <w:rFonts w:cs="Times New Roman"/>
          <w:i/>
          <w:iCs/>
          <w:szCs w:val="24"/>
        </w:rPr>
        <w:t>Lopes de Sousa Fernandez</w:t>
      </w:r>
      <w:r w:rsidR="008C003A">
        <w:rPr>
          <w:rFonts w:cs="Times New Roman"/>
          <w:szCs w:val="24"/>
        </w:rPr>
        <w:t xml:space="preserve">, </w:t>
      </w:r>
      <w:r w:rsidR="00A41BC3" w:rsidRPr="001069DE">
        <w:rPr>
          <w:rFonts w:cs="Times New Roman"/>
          <w:szCs w:val="24"/>
        </w:rPr>
        <w:t>cyt. pow.,</w:t>
      </w:r>
      <w:r w:rsidR="008C003A">
        <w:rPr>
          <w:rFonts w:cs="Times New Roman"/>
          <w:szCs w:val="24"/>
        </w:rPr>
        <w:t xml:space="preserve"> § 166 oraz </w:t>
      </w:r>
      <w:r w:rsidR="008C003A">
        <w:rPr>
          <w:rFonts w:cs="Times New Roman"/>
          <w:i/>
          <w:iCs/>
          <w:szCs w:val="24"/>
        </w:rPr>
        <w:t>Fernandes de Oliveira</w:t>
      </w:r>
      <w:r w:rsidR="008C003A">
        <w:rPr>
          <w:rFonts w:cs="Times New Roman"/>
          <w:szCs w:val="24"/>
        </w:rPr>
        <w:t xml:space="preserve">, </w:t>
      </w:r>
      <w:r w:rsidR="00A41BC3" w:rsidRPr="001069DE">
        <w:rPr>
          <w:rFonts w:cs="Times New Roman"/>
          <w:szCs w:val="24"/>
        </w:rPr>
        <w:t>cyt. pow.,</w:t>
      </w:r>
      <w:r w:rsidR="008C003A">
        <w:rPr>
          <w:rFonts w:cs="Times New Roman"/>
          <w:szCs w:val="24"/>
        </w:rPr>
        <w:t xml:space="preserve"> § 105; w kontekście działalności przemysłowej </w:t>
      </w:r>
      <w:r w:rsidR="008C003A">
        <w:rPr>
          <w:rFonts w:cs="Times New Roman"/>
          <w:i/>
          <w:iCs/>
          <w:szCs w:val="24"/>
        </w:rPr>
        <w:t>Öneryıldız</w:t>
      </w:r>
      <w:r w:rsidR="008C003A">
        <w:rPr>
          <w:rFonts w:cs="Times New Roman"/>
          <w:szCs w:val="24"/>
        </w:rPr>
        <w:t xml:space="preserve">, </w:t>
      </w:r>
      <w:r w:rsidR="00A41BC3" w:rsidRPr="001069DE">
        <w:rPr>
          <w:rFonts w:cs="Times New Roman"/>
          <w:szCs w:val="24"/>
        </w:rPr>
        <w:t>cyt. pow.,</w:t>
      </w:r>
      <w:r w:rsidR="008C003A">
        <w:rPr>
          <w:rFonts w:cs="Times New Roman"/>
          <w:szCs w:val="24"/>
        </w:rPr>
        <w:t xml:space="preserve"> §§ 71 i 90 oraz </w:t>
      </w:r>
      <w:r w:rsidR="008C003A">
        <w:rPr>
          <w:rFonts w:cs="Times New Roman"/>
          <w:i/>
          <w:iCs/>
          <w:szCs w:val="24"/>
        </w:rPr>
        <w:t>Kolyadenko i Inni</w:t>
      </w:r>
      <w:r w:rsidR="008C003A">
        <w:rPr>
          <w:rFonts w:cs="Times New Roman"/>
          <w:szCs w:val="24"/>
        </w:rPr>
        <w:t xml:space="preserve">, § 158). W tym kontekście brak bezpośredniej odpowiedzialności państwa za śmierć osoby fizycznej lub za narażenie jej życia na niebezpieczeństwo nie wyklucza zastosowania art. 2 (zob. </w:t>
      </w:r>
      <w:r w:rsidR="008C003A">
        <w:rPr>
          <w:rFonts w:cs="Times New Roman"/>
          <w:i/>
          <w:iCs/>
          <w:szCs w:val="24"/>
        </w:rPr>
        <w:t>Cavit Tınarlıoğlu przeciwko Turcji</w:t>
      </w:r>
      <w:r w:rsidR="008C003A">
        <w:rPr>
          <w:rFonts w:cs="Times New Roman"/>
          <w:szCs w:val="24"/>
        </w:rPr>
        <w:t>, nr 3648/04, § 61, 2 lutego 2016 r.). Trybunał pragnie podkreślić, że w kontekście ruchu drogowego te obowiązki władz krajowych pociągają za sobą obowiązek wprowadzenia odpowiedniego zestawu środków zapobiegawczych mających na celu zapewnienie bezpieczeństwa publicznego i ograniczeni</w:t>
      </w:r>
      <w:r w:rsidR="00A41BC3">
        <w:rPr>
          <w:rFonts w:cs="Times New Roman"/>
          <w:szCs w:val="24"/>
        </w:rPr>
        <w:t>a</w:t>
      </w:r>
      <w:r w:rsidR="008C003A">
        <w:rPr>
          <w:rFonts w:cs="Times New Roman"/>
          <w:szCs w:val="24"/>
        </w:rPr>
        <w:t xml:space="preserve"> liczby wypadków drogowych do minimum.</w:t>
      </w:r>
    </w:p>
    <w:p w14:paraId="2D274557" w14:textId="1525A8C6" w:rsidR="00414A46" w:rsidRDefault="006D6FCD">
      <w:pPr>
        <w:pStyle w:val="JuPara"/>
      </w:pPr>
      <w:r>
        <w:rPr>
          <w:rFonts w:cs="Times New Roman"/>
          <w:szCs w:val="24"/>
        </w:rPr>
        <w:t>136</w:t>
      </w:r>
      <w:r w:rsidR="008C003A">
        <w:rPr>
          <w:rFonts w:cs="Times New Roman"/>
          <w:szCs w:val="24"/>
        </w:rPr>
        <w:t xml:space="preserve">.  Po drugie, istnieje ponadto materialny obowiązek pozytywny wprowadzenia prewencyjnych środków operacyjnych w celu ochrony zidentyfikowanej osoby fizycznej przed inną osobą fizyczną (zob. </w:t>
      </w:r>
      <w:r w:rsidR="008C003A">
        <w:rPr>
          <w:rFonts w:cs="Times New Roman"/>
          <w:i/>
          <w:iCs/>
          <w:szCs w:val="24"/>
        </w:rPr>
        <w:t>Osman przeciwko Zjednoczonemu Królestwu</w:t>
      </w:r>
      <w:r w:rsidR="008C003A">
        <w:rPr>
          <w:rFonts w:cs="Times New Roman"/>
          <w:szCs w:val="24"/>
        </w:rPr>
        <w:t xml:space="preserve">, 28 października 1998 r., § 115, </w:t>
      </w:r>
      <w:r w:rsidR="008C003A">
        <w:rPr>
          <w:rFonts w:cs="Times New Roman"/>
          <w:i/>
          <w:iCs/>
          <w:szCs w:val="24"/>
        </w:rPr>
        <w:t>Zbiór</w:t>
      </w:r>
      <w:r w:rsidR="008C003A">
        <w:rPr>
          <w:rFonts w:cs="Times New Roman"/>
          <w:szCs w:val="24"/>
        </w:rPr>
        <w:t xml:space="preserve"> 1998-VIII,) lub, w szczególnych okolicznościach, prze</w:t>
      </w:r>
      <w:r w:rsidR="00BF4D18">
        <w:rPr>
          <w:rFonts w:cs="Times New Roman"/>
          <w:szCs w:val="24"/>
        </w:rPr>
        <w:t>d</w:t>
      </w:r>
      <w:r w:rsidR="008C003A">
        <w:rPr>
          <w:rFonts w:cs="Times New Roman"/>
          <w:szCs w:val="24"/>
        </w:rPr>
        <w:t xml:space="preserve"> nią samą (zob. </w:t>
      </w:r>
      <w:r w:rsidR="008C003A">
        <w:rPr>
          <w:rFonts w:cs="Times New Roman"/>
          <w:i/>
          <w:iCs/>
          <w:szCs w:val="24"/>
        </w:rPr>
        <w:t>Renolde przeciwko Francji</w:t>
      </w:r>
      <w:r w:rsidR="008C003A">
        <w:rPr>
          <w:rFonts w:cs="Times New Roman"/>
          <w:szCs w:val="24"/>
        </w:rPr>
        <w:t xml:space="preserve">, nr 5608/05, § 81, ETPC 2008 (fragmenty); </w:t>
      </w:r>
      <w:r w:rsidR="008C003A">
        <w:rPr>
          <w:rFonts w:cs="Times New Roman"/>
          <w:i/>
          <w:iCs/>
          <w:szCs w:val="24"/>
        </w:rPr>
        <w:t>Haas przeciwko Szwajcarii</w:t>
      </w:r>
      <w:r w:rsidR="008C003A">
        <w:rPr>
          <w:rFonts w:cs="Times New Roman"/>
          <w:szCs w:val="24"/>
        </w:rPr>
        <w:t xml:space="preserve">, nr 31322/07, § 54, ETPC 2011 oraz </w:t>
      </w:r>
      <w:r w:rsidR="008C003A">
        <w:rPr>
          <w:rFonts w:cs="Times New Roman"/>
          <w:i/>
          <w:iCs/>
          <w:szCs w:val="24"/>
        </w:rPr>
        <w:t>Fernandes de Oliveira</w:t>
      </w:r>
      <w:r w:rsidR="008C003A">
        <w:rPr>
          <w:rFonts w:cs="Times New Roman"/>
          <w:szCs w:val="24"/>
        </w:rPr>
        <w:t xml:space="preserve">, </w:t>
      </w:r>
      <w:r w:rsidR="00BF4D18">
        <w:rPr>
          <w:rFonts w:cs="Times New Roman"/>
          <w:i/>
          <w:iCs/>
          <w:szCs w:val="24"/>
        </w:rPr>
        <w:t>cyt. pow.,</w:t>
      </w:r>
      <w:r w:rsidR="008C003A">
        <w:rPr>
          <w:rFonts w:cs="Times New Roman"/>
          <w:szCs w:val="24"/>
        </w:rPr>
        <w:t xml:space="preserve"> §§ 103 i 108–115). Trybunał orzekł, że obowiązek taki należy interpretować w sposób, który nie </w:t>
      </w:r>
      <w:r w:rsidR="00BF4D18">
        <w:rPr>
          <w:rFonts w:cs="Times New Roman"/>
          <w:szCs w:val="24"/>
        </w:rPr>
        <w:t>nakłada</w:t>
      </w:r>
      <w:r w:rsidR="008C003A">
        <w:rPr>
          <w:rFonts w:cs="Times New Roman"/>
          <w:szCs w:val="24"/>
        </w:rPr>
        <w:t xml:space="preserve"> na władze niemożliwego ani nieproporcjonalnego obciążenia. Nie każde domniemane </w:t>
      </w:r>
      <w:r w:rsidR="00BF4D18">
        <w:rPr>
          <w:rFonts w:cs="Times New Roman"/>
          <w:szCs w:val="24"/>
        </w:rPr>
        <w:t>zagrożenie</w:t>
      </w:r>
      <w:r w:rsidR="008C003A">
        <w:rPr>
          <w:rFonts w:cs="Times New Roman"/>
          <w:szCs w:val="24"/>
        </w:rPr>
        <w:t xml:space="preserve"> życia będzie wiązało się z wynikającą z Konwencji koniecznością podjęcia przez władze działań operacyjnych służących zapobieżeniu urzeczywistnienia się takiego </w:t>
      </w:r>
      <w:r w:rsidR="00BF4D18">
        <w:rPr>
          <w:rFonts w:cs="Times New Roman"/>
          <w:szCs w:val="24"/>
        </w:rPr>
        <w:t>zagrożenia</w:t>
      </w:r>
      <w:r w:rsidR="008C003A">
        <w:rPr>
          <w:rFonts w:cs="Times New Roman"/>
          <w:szCs w:val="24"/>
        </w:rPr>
        <w:t xml:space="preserve">. Aby zaistniał obowiązek pozytywny, konieczne jest stwierdzenie, że władze wiedziały lub powinny były wiedzieć o rzeczywistym i bezpośrednim zagrożeniu życia danej osoby </w:t>
      </w:r>
      <w:r w:rsidR="00DD76B5">
        <w:rPr>
          <w:rFonts w:cs="Times New Roman"/>
          <w:szCs w:val="24"/>
        </w:rPr>
        <w:t xml:space="preserve">lub osób w </w:t>
      </w:r>
      <w:r w:rsidR="008C003A">
        <w:rPr>
          <w:rFonts w:cs="Times New Roman"/>
          <w:szCs w:val="24"/>
        </w:rPr>
        <w:t>związku z czynami zabronionymi osoby trzeciej, a mimo to nie podjęły – w </w:t>
      </w:r>
      <w:r w:rsidR="00DD76B5">
        <w:rPr>
          <w:rFonts w:cs="Times New Roman"/>
          <w:szCs w:val="24"/>
        </w:rPr>
        <w:t>zakresie swoich kompetencji</w:t>
      </w:r>
      <w:r w:rsidR="008C003A">
        <w:rPr>
          <w:rFonts w:cs="Times New Roman"/>
          <w:szCs w:val="24"/>
        </w:rPr>
        <w:t xml:space="preserve"> – działań, których można było od nich zasadnie oczekiwać</w:t>
      </w:r>
      <w:r w:rsidR="00DD76B5">
        <w:rPr>
          <w:rFonts w:cs="Times New Roman"/>
          <w:szCs w:val="24"/>
        </w:rPr>
        <w:t xml:space="preserve"> by uniknąć zagrożenia</w:t>
      </w:r>
      <w:r w:rsidR="008C003A">
        <w:rPr>
          <w:rFonts w:cs="Times New Roman"/>
          <w:szCs w:val="24"/>
        </w:rPr>
        <w:t xml:space="preserve"> (</w:t>
      </w:r>
      <w:r w:rsidR="008C003A">
        <w:rPr>
          <w:rFonts w:cs="Times New Roman"/>
          <w:i/>
          <w:iCs/>
          <w:szCs w:val="24"/>
        </w:rPr>
        <w:t>Osman</w:t>
      </w:r>
      <w:r w:rsidR="008C003A">
        <w:rPr>
          <w:rFonts w:cs="Times New Roman"/>
          <w:szCs w:val="24"/>
        </w:rPr>
        <w:t xml:space="preserve">, </w:t>
      </w:r>
      <w:r w:rsidR="00DD76B5" w:rsidRPr="001069DE">
        <w:rPr>
          <w:rFonts w:cs="Times New Roman"/>
          <w:szCs w:val="24"/>
        </w:rPr>
        <w:t>cyt. pow.,</w:t>
      </w:r>
      <w:r w:rsidR="008C003A">
        <w:rPr>
          <w:rFonts w:cs="Times New Roman"/>
          <w:szCs w:val="24"/>
        </w:rPr>
        <w:t xml:space="preserve"> § 115–116; </w:t>
      </w:r>
      <w:r w:rsidR="008C003A">
        <w:rPr>
          <w:rFonts w:cs="Times New Roman"/>
          <w:i/>
          <w:iCs/>
          <w:szCs w:val="24"/>
        </w:rPr>
        <w:t>Öneryıldız</w:t>
      </w:r>
      <w:r w:rsidR="008C003A">
        <w:rPr>
          <w:rFonts w:cs="Times New Roman"/>
          <w:szCs w:val="24"/>
        </w:rPr>
        <w:t xml:space="preserve">, </w:t>
      </w:r>
      <w:r w:rsidR="00DD76B5">
        <w:rPr>
          <w:rFonts w:cs="Times New Roman"/>
          <w:i/>
          <w:iCs/>
          <w:szCs w:val="24"/>
        </w:rPr>
        <w:t>cyt. pow.,</w:t>
      </w:r>
      <w:r w:rsidR="008C003A">
        <w:rPr>
          <w:rFonts w:cs="Times New Roman"/>
          <w:szCs w:val="24"/>
        </w:rPr>
        <w:t xml:space="preserve"> §§ 74 i 101;</w:t>
      </w:r>
      <w:r w:rsidR="008C003A">
        <w:rPr>
          <w:rFonts w:cs="Times New Roman"/>
          <w:i/>
          <w:iCs/>
          <w:szCs w:val="24"/>
        </w:rPr>
        <w:t xml:space="preserve"> Bone przeciwko Francji</w:t>
      </w:r>
      <w:r w:rsidR="008C003A">
        <w:rPr>
          <w:rFonts w:cs="Times New Roman"/>
          <w:szCs w:val="24"/>
        </w:rPr>
        <w:t xml:space="preserve"> (dec.), nr 69869/01, 1 marca 2005 r.; </w:t>
      </w:r>
      <w:r w:rsidR="008C003A">
        <w:rPr>
          <w:rFonts w:cs="Times New Roman"/>
          <w:i/>
          <w:iCs/>
          <w:szCs w:val="24"/>
        </w:rPr>
        <w:t>Cavit Tınarlıoğlu</w:t>
      </w:r>
      <w:r w:rsidR="008C003A">
        <w:rPr>
          <w:rFonts w:cs="Times New Roman"/>
          <w:szCs w:val="24"/>
        </w:rPr>
        <w:t xml:space="preserve">, </w:t>
      </w:r>
      <w:r w:rsidR="00DD76B5" w:rsidRPr="001069DE">
        <w:rPr>
          <w:rFonts w:cs="Times New Roman"/>
          <w:szCs w:val="24"/>
        </w:rPr>
        <w:t>cyt. pow.,</w:t>
      </w:r>
      <w:r w:rsidR="008C003A">
        <w:rPr>
          <w:rFonts w:cs="Times New Roman"/>
          <w:szCs w:val="24"/>
        </w:rPr>
        <w:t xml:space="preserve"> §§ 91–92 oraz </w:t>
      </w:r>
      <w:r w:rsidR="008C003A">
        <w:rPr>
          <w:rFonts w:cs="Times New Roman"/>
          <w:i/>
          <w:iCs/>
          <w:szCs w:val="24"/>
        </w:rPr>
        <w:lastRenderedPageBreak/>
        <w:t>Fernandes de Oliveira</w:t>
      </w:r>
      <w:r w:rsidR="008C003A">
        <w:rPr>
          <w:rFonts w:cs="Times New Roman"/>
          <w:szCs w:val="24"/>
        </w:rPr>
        <w:t xml:space="preserve">, </w:t>
      </w:r>
      <w:r w:rsidR="00DD76B5" w:rsidRPr="001069DE">
        <w:rPr>
          <w:rFonts w:cs="Times New Roman"/>
          <w:szCs w:val="24"/>
        </w:rPr>
        <w:t>cyt. pow.,</w:t>
      </w:r>
      <w:r w:rsidR="008C003A">
        <w:rPr>
          <w:rFonts w:cs="Times New Roman"/>
          <w:szCs w:val="24"/>
        </w:rPr>
        <w:t xml:space="preserve"> § 109). Trybunał uznaje, że obowiązek ten może w pewnych okolicznościach obejmować świadczenie </w:t>
      </w:r>
      <w:r w:rsidR="00DD76B5">
        <w:rPr>
          <w:rFonts w:cs="Times New Roman"/>
          <w:szCs w:val="24"/>
        </w:rPr>
        <w:t xml:space="preserve">doraźnej </w:t>
      </w:r>
      <w:r w:rsidR="008C003A">
        <w:rPr>
          <w:rFonts w:cs="Times New Roman"/>
          <w:szCs w:val="24"/>
        </w:rPr>
        <w:t xml:space="preserve">opieki medycznej w nagłych </w:t>
      </w:r>
      <w:r w:rsidR="00BF717A">
        <w:rPr>
          <w:rFonts w:cs="Times New Roman"/>
          <w:szCs w:val="24"/>
        </w:rPr>
        <w:t xml:space="preserve">wypadkach </w:t>
      </w:r>
      <w:r w:rsidR="008C003A">
        <w:rPr>
          <w:rFonts w:cs="Times New Roman"/>
          <w:szCs w:val="24"/>
        </w:rPr>
        <w:t>zagrażając</w:t>
      </w:r>
      <w:r w:rsidR="00BF717A">
        <w:rPr>
          <w:rFonts w:cs="Times New Roman"/>
          <w:szCs w:val="24"/>
        </w:rPr>
        <w:t xml:space="preserve">ych </w:t>
      </w:r>
      <w:r w:rsidR="008C003A">
        <w:rPr>
          <w:rFonts w:cs="Times New Roman"/>
          <w:szCs w:val="24"/>
        </w:rPr>
        <w:t>życiu.</w:t>
      </w:r>
    </w:p>
    <w:p w14:paraId="569BDC51" w14:textId="64A91512" w:rsidR="00414A46" w:rsidRDefault="006D6FCD">
      <w:pPr>
        <w:pStyle w:val="JuPara"/>
      </w:pPr>
      <w:r>
        <w:rPr>
          <w:szCs w:val="24"/>
        </w:rPr>
        <w:t>137</w:t>
      </w:r>
      <w:r w:rsidR="008C003A">
        <w:rPr>
          <w:szCs w:val="24"/>
        </w:rPr>
        <w:t>.  Po trzecie Trybunał przypomina, że należy uznać, iż spoczywający na państwie obowiązek ochrony prawa do życia obejmuje nie tylko te materialne obowiązki pozytywne, lecz także – w przypadku śmierci – proceduralny obowiązek pozytywny polegający na ustanowieniu skutecznego niezawisłego systemu sądowego. Taki system może się różnić w zależności od okoliczności (zob. par. </w:t>
      </w:r>
      <w:r w:rsidR="00364403">
        <w:rPr>
          <w:szCs w:val="24"/>
        </w:rPr>
        <w:t>15</w:t>
      </w:r>
      <w:r w:rsidR="008C003A">
        <w:rPr>
          <w:szCs w:val="24"/>
        </w:rPr>
        <w:t xml:space="preserve">8 poniżej). Powinien on jednak umożliwiać szybkie ustalenie okoliczności faktycznych, pociągnięcie do odpowiedzialności winnych i zapewnienie ofierze stosownego </w:t>
      </w:r>
      <w:r w:rsidR="00DD76B5">
        <w:rPr>
          <w:szCs w:val="24"/>
        </w:rPr>
        <w:t>zadośćuczynienia</w:t>
      </w:r>
      <w:r w:rsidR="008C003A">
        <w:rPr>
          <w:szCs w:val="24"/>
        </w:rPr>
        <w:t xml:space="preserve"> (por. </w:t>
      </w:r>
      <w:r w:rsidR="008C003A">
        <w:rPr>
          <w:i/>
          <w:iCs/>
          <w:szCs w:val="24"/>
        </w:rPr>
        <w:t>Calvelli i Ciglio</w:t>
      </w:r>
      <w:r w:rsidR="008C003A">
        <w:rPr>
          <w:szCs w:val="24"/>
        </w:rPr>
        <w:t xml:space="preserve">, </w:t>
      </w:r>
      <w:r w:rsidR="00DD76B5">
        <w:rPr>
          <w:szCs w:val="24"/>
        </w:rPr>
        <w:t>cyt. pow.,</w:t>
      </w:r>
      <w:r w:rsidR="008C003A">
        <w:rPr>
          <w:szCs w:val="24"/>
        </w:rPr>
        <w:t xml:space="preserve"> § 49; </w:t>
      </w:r>
      <w:r w:rsidR="008C003A">
        <w:rPr>
          <w:i/>
          <w:iCs/>
          <w:szCs w:val="24"/>
        </w:rPr>
        <w:t>Vo przeciwko Francji</w:t>
      </w:r>
      <w:r w:rsidR="008C003A">
        <w:rPr>
          <w:szCs w:val="24"/>
        </w:rPr>
        <w:t xml:space="preserve"> [WI], nr 53924/00, § 89, ETPC 2004-VIII; </w:t>
      </w:r>
      <w:r w:rsidR="008C003A">
        <w:rPr>
          <w:i/>
          <w:iCs/>
          <w:szCs w:val="24"/>
        </w:rPr>
        <w:t>Šilih przeciwko Słowenii</w:t>
      </w:r>
      <w:r w:rsidR="008C003A">
        <w:rPr>
          <w:szCs w:val="24"/>
        </w:rPr>
        <w:t xml:space="preserve"> [WI], nr 71463/01, §§ 155 i 192, 9 kwietnia 2009 r. oraz </w:t>
      </w:r>
      <w:r w:rsidR="008C003A">
        <w:rPr>
          <w:i/>
          <w:iCs/>
          <w:szCs w:val="24"/>
        </w:rPr>
        <w:t>Lopes de Sousa Fernandes</w:t>
      </w:r>
      <w:r w:rsidR="008C003A">
        <w:rPr>
          <w:szCs w:val="24"/>
        </w:rPr>
        <w:t xml:space="preserve">, </w:t>
      </w:r>
      <w:r w:rsidR="00625CB6">
        <w:rPr>
          <w:szCs w:val="24"/>
        </w:rPr>
        <w:t>cyt. pow.,</w:t>
      </w:r>
      <w:r w:rsidR="008C003A">
        <w:rPr>
          <w:szCs w:val="24"/>
        </w:rPr>
        <w:t xml:space="preserve"> § 214).</w:t>
      </w:r>
    </w:p>
    <w:p w14:paraId="345FF4BB" w14:textId="051E8E3C" w:rsidR="00414A46" w:rsidRDefault="006D6FCD">
      <w:pPr>
        <w:pStyle w:val="JuPara"/>
        <w:keepNext/>
        <w:keepLines/>
      </w:pPr>
      <w:r>
        <w:rPr>
          <w:rFonts w:cs="Times New Roman"/>
          <w:szCs w:val="24"/>
        </w:rPr>
        <w:t>138</w:t>
      </w:r>
      <w:r w:rsidR="008C003A">
        <w:rPr>
          <w:rFonts w:cs="Times New Roman"/>
          <w:szCs w:val="24"/>
        </w:rPr>
        <w:t xml:space="preserve">.  Ten obowiązek proceduralny nie jest zależny od tego, czy państwo zostanie ostatecznie uznane za odpowiedzialne za śmierć w aspekcie materialnym tego obowiązku, ale stanowi obowiązek odrębny i autonomiczny (zob. </w:t>
      </w:r>
      <w:r w:rsidR="008C003A">
        <w:rPr>
          <w:rFonts w:cs="Times New Roman"/>
          <w:i/>
          <w:iCs/>
          <w:szCs w:val="24"/>
        </w:rPr>
        <w:t>Šilih</w:t>
      </w:r>
      <w:r w:rsidR="008C003A">
        <w:rPr>
          <w:rFonts w:cs="Times New Roman"/>
          <w:szCs w:val="24"/>
        </w:rPr>
        <w:t xml:space="preserve">, </w:t>
      </w:r>
      <w:r w:rsidR="005B2D80" w:rsidRPr="001069DE">
        <w:rPr>
          <w:rFonts w:cs="Times New Roman"/>
          <w:szCs w:val="24"/>
        </w:rPr>
        <w:t>cyt. pow.</w:t>
      </w:r>
      <w:r w:rsidR="005B2D80">
        <w:rPr>
          <w:rFonts w:cs="Times New Roman"/>
          <w:i/>
          <w:iCs/>
          <w:szCs w:val="24"/>
        </w:rPr>
        <w:t>,</w:t>
      </w:r>
      <w:r w:rsidR="008C003A">
        <w:rPr>
          <w:rFonts w:cs="Times New Roman"/>
          <w:szCs w:val="24"/>
        </w:rPr>
        <w:t xml:space="preserve"> §§ 156 i 159). Pociąga on za sobą obowiązek przeprowadzenia skutecznego oficjalnego śledztwa w przypadku</w:t>
      </w:r>
      <w:r w:rsidR="005B2D80">
        <w:rPr>
          <w:rFonts w:cs="Times New Roman"/>
          <w:szCs w:val="24"/>
        </w:rPr>
        <w:t>,</w:t>
      </w:r>
      <w:r w:rsidR="008C003A">
        <w:rPr>
          <w:rFonts w:cs="Times New Roman"/>
          <w:szCs w:val="24"/>
        </w:rPr>
        <w:t xml:space="preserve"> gdy osoby fizyczne zostały zabite w wyniku użycia siły, ale może obejmować wypadki, w których osoba fizyczna poniosła śmierć. W tym kontekście Trybunał orzekł, że art. 2 ma w równym stopniu zastosowanie w kontekście wypadków, </w:t>
      </w:r>
      <w:r w:rsidR="005B2D80">
        <w:rPr>
          <w:rFonts w:cs="Times New Roman"/>
          <w:szCs w:val="24"/>
        </w:rPr>
        <w:t>szczególnie</w:t>
      </w:r>
      <w:r w:rsidR="008C003A">
        <w:rPr>
          <w:rFonts w:cs="Times New Roman"/>
          <w:szCs w:val="24"/>
        </w:rPr>
        <w:t xml:space="preserve"> wypadków drogowych, w których </w:t>
      </w:r>
      <w:r w:rsidR="005B2D80">
        <w:rPr>
          <w:rFonts w:cs="Times New Roman"/>
          <w:szCs w:val="24"/>
        </w:rPr>
        <w:t xml:space="preserve">osoba </w:t>
      </w:r>
      <w:r w:rsidR="008C003A">
        <w:rPr>
          <w:rFonts w:cs="Times New Roman"/>
          <w:szCs w:val="24"/>
        </w:rPr>
        <w:t>bezpośredni</w:t>
      </w:r>
      <w:r w:rsidR="005B2D80">
        <w:rPr>
          <w:rFonts w:cs="Times New Roman"/>
          <w:szCs w:val="24"/>
        </w:rPr>
        <w:t>o pokrzywdzona zginęła</w:t>
      </w:r>
      <w:r w:rsidR="008C003A">
        <w:rPr>
          <w:rFonts w:cs="Times New Roman"/>
          <w:szCs w:val="24"/>
        </w:rPr>
        <w:t xml:space="preserve"> (zob. np. </w:t>
      </w:r>
      <w:r w:rsidR="008C003A">
        <w:rPr>
          <w:rFonts w:cs="Times New Roman"/>
          <w:i/>
          <w:iCs/>
          <w:szCs w:val="24"/>
        </w:rPr>
        <w:t>Anna Todorova przeciwko Bułgarii</w:t>
      </w:r>
      <w:r w:rsidR="008C003A">
        <w:rPr>
          <w:rFonts w:cs="Times New Roman"/>
          <w:szCs w:val="24"/>
        </w:rPr>
        <w:t xml:space="preserve">, nr 23302/03, 24 maja 2011 r.; </w:t>
      </w:r>
      <w:r w:rsidR="008C003A">
        <w:rPr>
          <w:rFonts w:cs="Times New Roman"/>
          <w:i/>
          <w:iCs/>
          <w:szCs w:val="24"/>
        </w:rPr>
        <w:t>Prynda przeciwko Ukrainie</w:t>
      </w:r>
      <w:r w:rsidR="008C003A">
        <w:rPr>
          <w:rFonts w:cs="Times New Roman"/>
          <w:szCs w:val="24"/>
        </w:rPr>
        <w:t xml:space="preserve">, nr 10904/05, 31 lipca 2012 r. oraz </w:t>
      </w:r>
      <w:r w:rsidR="008C003A">
        <w:rPr>
          <w:rFonts w:cs="Times New Roman"/>
          <w:i/>
          <w:iCs/>
          <w:szCs w:val="24"/>
        </w:rPr>
        <w:t>Fatih Çakır i Merve Nisa Çakır przeciwko Turcji</w:t>
      </w:r>
      <w:r w:rsidR="008C003A">
        <w:rPr>
          <w:rFonts w:cs="Times New Roman"/>
          <w:szCs w:val="24"/>
        </w:rPr>
        <w:t>, nr 54558/11, § 41, 5 czerwca 2018 r.).</w:t>
      </w:r>
    </w:p>
    <w:p w14:paraId="603C7396" w14:textId="7262B69B" w:rsidR="00414A46" w:rsidRDefault="006D6FCD">
      <w:pPr>
        <w:pStyle w:val="JuPara"/>
      </w:pPr>
      <w:r>
        <w:rPr>
          <w:rFonts w:cs="Times New Roman"/>
          <w:szCs w:val="24"/>
        </w:rPr>
        <w:t>139</w:t>
      </w:r>
      <w:r w:rsidR="008C003A">
        <w:rPr>
          <w:rFonts w:cs="Times New Roman"/>
          <w:szCs w:val="24"/>
        </w:rPr>
        <w:t xml:space="preserve">.  W pewnych okolicznościach </w:t>
      </w:r>
      <w:bookmarkStart w:id="3" w:name="_Hlk89329473"/>
      <w:r w:rsidR="008C003A">
        <w:rPr>
          <w:rFonts w:cs="Times New Roman"/>
          <w:szCs w:val="24"/>
        </w:rPr>
        <w:t xml:space="preserve">Trybunał </w:t>
      </w:r>
      <w:bookmarkEnd w:id="3"/>
      <w:r w:rsidR="008C003A">
        <w:rPr>
          <w:rFonts w:cs="Times New Roman"/>
          <w:szCs w:val="24"/>
        </w:rPr>
        <w:t xml:space="preserve">stwierdził również, że ten </w:t>
      </w:r>
      <w:r w:rsidR="005B2D80">
        <w:rPr>
          <w:rFonts w:cs="Times New Roman"/>
          <w:szCs w:val="24"/>
        </w:rPr>
        <w:t xml:space="preserve">proceduralny </w:t>
      </w:r>
      <w:r w:rsidR="008C003A">
        <w:rPr>
          <w:rFonts w:cs="Times New Roman"/>
          <w:szCs w:val="24"/>
        </w:rPr>
        <w:t xml:space="preserve">obowiązek wynikający z art. 2 ma zastosowanie w przypadkach zdarzeń, w których osoba, której prawo do życia rzekomo naruszono, nie zmarła. W takich przypadkach </w:t>
      </w:r>
      <w:r w:rsidR="00364403">
        <w:rPr>
          <w:rFonts w:cs="Times New Roman"/>
          <w:szCs w:val="24"/>
        </w:rPr>
        <w:t xml:space="preserve">Trybunał </w:t>
      </w:r>
      <w:r w:rsidR="008C003A">
        <w:rPr>
          <w:rFonts w:cs="Times New Roman"/>
          <w:szCs w:val="24"/>
        </w:rPr>
        <w:t xml:space="preserve">uznał za istotny fakt, że ofiara doznała </w:t>
      </w:r>
      <w:r w:rsidR="005B2D80">
        <w:rPr>
          <w:rFonts w:cs="Times New Roman"/>
          <w:szCs w:val="24"/>
        </w:rPr>
        <w:t xml:space="preserve">obrażeń </w:t>
      </w:r>
      <w:r w:rsidR="008C003A">
        <w:rPr>
          <w:rFonts w:cs="Times New Roman"/>
          <w:szCs w:val="24"/>
        </w:rPr>
        <w:t xml:space="preserve">zagrażających życiu (zob. </w:t>
      </w:r>
      <w:r w:rsidR="008C003A">
        <w:rPr>
          <w:rFonts w:cs="Times New Roman"/>
          <w:i/>
          <w:iCs/>
          <w:szCs w:val="24"/>
        </w:rPr>
        <w:t>Igor Shevchenko przeciwko Ukrainie</w:t>
      </w:r>
      <w:r w:rsidR="008C003A">
        <w:rPr>
          <w:rFonts w:cs="Times New Roman"/>
          <w:szCs w:val="24"/>
        </w:rPr>
        <w:t xml:space="preserve">, nr 22737/04, 12 stycznia 2012 r. oraz </w:t>
      </w:r>
      <w:r w:rsidR="008C003A">
        <w:rPr>
          <w:rFonts w:cs="Times New Roman"/>
          <w:i/>
          <w:iCs/>
          <w:szCs w:val="24"/>
        </w:rPr>
        <w:t>Kotelnikov przeciwko Rosji</w:t>
      </w:r>
      <w:r w:rsidR="008C003A">
        <w:rPr>
          <w:rFonts w:cs="Times New Roman"/>
          <w:szCs w:val="24"/>
        </w:rPr>
        <w:t>, nr 45104/05, 12 lipca 2016 r., obie sprawy w kontekście wypadków drogowych).</w:t>
      </w:r>
    </w:p>
    <w:p w14:paraId="0A2B308A" w14:textId="7B330641" w:rsidR="00414A46" w:rsidRDefault="006D6FCD">
      <w:pPr>
        <w:pStyle w:val="JuPara"/>
      </w:pPr>
      <w:r>
        <w:rPr>
          <w:rFonts w:cs="Times New Roman"/>
          <w:szCs w:val="24"/>
        </w:rPr>
        <w:t>140</w:t>
      </w:r>
      <w:r w:rsidR="008C003A">
        <w:rPr>
          <w:rFonts w:cs="Times New Roman"/>
          <w:szCs w:val="24"/>
        </w:rPr>
        <w:t xml:space="preserve">.  Z orzecznictwa Trybunału wynika ponadto, że w sytuacji gdy ofiara nie została zabita, lecz przeżyła, i gdy nie podnosi zarzutu zabójstwa, </w:t>
      </w:r>
      <w:r w:rsidR="006A6C79">
        <w:rPr>
          <w:rFonts w:cs="Times New Roman"/>
          <w:szCs w:val="24"/>
        </w:rPr>
        <w:t xml:space="preserve">kryteriami kwalifikującymi </w:t>
      </w:r>
      <w:r w:rsidR="00645F18">
        <w:rPr>
          <w:rFonts w:cs="Times New Roman"/>
          <w:szCs w:val="24"/>
        </w:rPr>
        <w:t>skarg</w:t>
      </w:r>
      <w:r w:rsidR="006A6C79">
        <w:rPr>
          <w:rFonts w:cs="Times New Roman"/>
          <w:szCs w:val="24"/>
        </w:rPr>
        <w:t>ę do</w:t>
      </w:r>
      <w:r w:rsidR="00645F18">
        <w:rPr>
          <w:rFonts w:cs="Times New Roman"/>
          <w:szCs w:val="24"/>
        </w:rPr>
        <w:t xml:space="preserve"> rozp</w:t>
      </w:r>
      <w:r w:rsidR="006A6C79">
        <w:rPr>
          <w:rFonts w:cs="Times New Roman"/>
          <w:szCs w:val="24"/>
        </w:rPr>
        <w:t>oznania jej</w:t>
      </w:r>
      <w:r w:rsidR="00645F18">
        <w:rPr>
          <w:rFonts w:cs="Times New Roman"/>
          <w:szCs w:val="24"/>
        </w:rPr>
        <w:t xml:space="preserve"> pod kątem tego </w:t>
      </w:r>
      <w:r w:rsidR="008C003A">
        <w:rPr>
          <w:rFonts w:cs="Times New Roman"/>
          <w:szCs w:val="24"/>
        </w:rPr>
        <w:t xml:space="preserve">aspektu art. 2 </w:t>
      </w:r>
      <w:r w:rsidR="006A6C79">
        <w:rPr>
          <w:rFonts w:cs="Times New Roman"/>
          <w:szCs w:val="24"/>
        </w:rPr>
        <w:t xml:space="preserve">są: po </w:t>
      </w:r>
      <w:r w:rsidR="008C003A">
        <w:rPr>
          <w:rFonts w:cs="Times New Roman"/>
          <w:szCs w:val="24"/>
        </w:rPr>
        <w:t xml:space="preserve">pierwsze to, czy osoba </w:t>
      </w:r>
      <w:r w:rsidR="006A6C79">
        <w:rPr>
          <w:rFonts w:cs="Times New Roman"/>
          <w:szCs w:val="24"/>
        </w:rPr>
        <w:t>została pokrzywdzona</w:t>
      </w:r>
      <w:r w:rsidR="008C003A">
        <w:rPr>
          <w:rFonts w:cs="Times New Roman"/>
          <w:szCs w:val="24"/>
        </w:rPr>
        <w:t xml:space="preserve"> działalności</w:t>
      </w:r>
      <w:r w:rsidR="006A6C79">
        <w:rPr>
          <w:rFonts w:cs="Times New Roman"/>
          <w:szCs w:val="24"/>
        </w:rPr>
        <w:t>ą</w:t>
      </w:r>
      <w:r w:rsidR="008C003A">
        <w:rPr>
          <w:rFonts w:cs="Times New Roman"/>
          <w:szCs w:val="24"/>
        </w:rPr>
        <w:t>, czy to publiczn</w:t>
      </w:r>
      <w:r w:rsidR="006A6C79">
        <w:rPr>
          <w:rFonts w:cs="Times New Roman"/>
          <w:szCs w:val="24"/>
        </w:rPr>
        <w:t>ą</w:t>
      </w:r>
      <w:r w:rsidR="008C003A">
        <w:rPr>
          <w:rFonts w:cs="Times New Roman"/>
          <w:szCs w:val="24"/>
        </w:rPr>
        <w:t>, czy prywatn</w:t>
      </w:r>
      <w:r w:rsidR="006A6C79">
        <w:rPr>
          <w:rFonts w:cs="Times New Roman"/>
          <w:szCs w:val="24"/>
        </w:rPr>
        <w:t>ą</w:t>
      </w:r>
      <w:r w:rsidR="008C003A">
        <w:rPr>
          <w:rFonts w:cs="Times New Roman"/>
          <w:szCs w:val="24"/>
        </w:rPr>
        <w:t>, która ze względu na swój charakter narażała jej życie na rzeczywiste i bezpośrednie ryzyko</w:t>
      </w:r>
      <w:r w:rsidR="006A6C79">
        <w:rPr>
          <w:rFonts w:cs="Times New Roman"/>
          <w:szCs w:val="24"/>
        </w:rPr>
        <w:t xml:space="preserve"> i </w:t>
      </w:r>
      <w:r w:rsidR="008C003A">
        <w:rPr>
          <w:rFonts w:cs="Times New Roman"/>
          <w:szCs w:val="24"/>
        </w:rPr>
        <w:t xml:space="preserve">po drugie, czy ofiara doznała </w:t>
      </w:r>
      <w:r w:rsidR="006A6C79">
        <w:rPr>
          <w:rFonts w:cs="Times New Roman"/>
          <w:szCs w:val="24"/>
        </w:rPr>
        <w:t>obrażeń</w:t>
      </w:r>
      <w:r w:rsidR="008C003A">
        <w:rPr>
          <w:rFonts w:cs="Times New Roman"/>
          <w:szCs w:val="24"/>
        </w:rPr>
        <w:t xml:space="preserve">, które w momencie </w:t>
      </w:r>
      <w:r w:rsidR="006A6C79">
        <w:rPr>
          <w:rFonts w:cs="Times New Roman"/>
          <w:szCs w:val="24"/>
        </w:rPr>
        <w:t>ich doznania</w:t>
      </w:r>
      <w:r w:rsidR="008C003A">
        <w:rPr>
          <w:rFonts w:cs="Times New Roman"/>
          <w:szCs w:val="24"/>
        </w:rPr>
        <w:t xml:space="preserve"> wydają się zagrażać życiu. W grę mogą wchodzić również inne czynniki, takie jak całkowicie przypadkowe </w:t>
      </w:r>
      <w:r w:rsidR="008C003A">
        <w:rPr>
          <w:rFonts w:cs="Times New Roman"/>
          <w:szCs w:val="24"/>
        </w:rPr>
        <w:lastRenderedPageBreak/>
        <w:t xml:space="preserve">uniknięcie śmierci (por. </w:t>
      </w:r>
      <w:r w:rsidR="008C003A">
        <w:rPr>
          <w:rFonts w:cs="Times New Roman"/>
          <w:i/>
          <w:iCs/>
          <w:szCs w:val="24"/>
        </w:rPr>
        <w:t>Makaratzis</w:t>
      </w:r>
      <w:r w:rsidR="008C003A">
        <w:rPr>
          <w:rFonts w:cs="Times New Roman"/>
          <w:szCs w:val="24"/>
        </w:rPr>
        <w:t xml:space="preserve">, </w:t>
      </w:r>
      <w:r w:rsidR="006A6C79">
        <w:rPr>
          <w:rFonts w:cs="Times New Roman"/>
          <w:szCs w:val="24"/>
        </w:rPr>
        <w:t xml:space="preserve">cyt. pow., </w:t>
      </w:r>
      <w:r w:rsidR="008C003A">
        <w:rPr>
          <w:rFonts w:cs="Times New Roman"/>
          <w:szCs w:val="24"/>
        </w:rPr>
        <w:t>§§ 54–55, w kontekście postrzelenia bez skutku śmiertelnego przez funkcjonariuszy policji w trakcie pościgu</w:t>
      </w:r>
      <w:r w:rsidR="000D6832">
        <w:rPr>
          <w:rFonts w:cs="Times New Roman"/>
          <w:szCs w:val="24"/>
        </w:rPr>
        <w:t xml:space="preserve"> </w:t>
      </w:r>
      <w:r w:rsidR="008C003A">
        <w:rPr>
          <w:rFonts w:cs="Times New Roman"/>
          <w:szCs w:val="24"/>
        </w:rPr>
        <w:t xml:space="preserve">oraz </w:t>
      </w:r>
      <w:r w:rsidR="008C003A">
        <w:rPr>
          <w:rFonts w:cs="Times New Roman"/>
          <w:i/>
          <w:iCs/>
          <w:szCs w:val="24"/>
        </w:rPr>
        <w:t>Krivova przeciwko Ukrainie</w:t>
      </w:r>
      <w:r w:rsidR="008C003A">
        <w:rPr>
          <w:rFonts w:cs="Times New Roman"/>
          <w:szCs w:val="24"/>
        </w:rPr>
        <w:t xml:space="preserve">, nr 25732/05, § 45, 9 listopada 2010 r.) lub to, czy ofiara została zakażona potencjalnie śmiertelną chorobą (zob. </w:t>
      </w:r>
      <w:r w:rsidR="008C003A">
        <w:rPr>
          <w:rFonts w:cs="Times New Roman"/>
          <w:i/>
          <w:iCs/>
          <w:szCs w:val="24"/>
        </w:rPr>
        <w:t>G.N. i Inni przeciwko Włochom</w:t>
      </w:r>
      <w:r w:rsidR="008C003A">
        <w:rPr>
          <w:rFonts w:cs="Times New Roman"/>
          <w:szCs w:val="24"/>
        </w:rPr>
        <w:t xml:space="preserve">, no. 43134/05, 1 grudnia 2009 r., w kontekście zakażenia wirusowym zapaleniem wątroby typu C przez transfuzje krwi). Ocena Trybunału zależy od okoliczności. Chociaż nie istnieje zasada ogólna, wydaje się, że jeżeli dana działalność ze </w:t>
      </w:r>
      <w:r w:rsidR="000D6832">
        <w:rPr>
          <w:rFonts w:cs="Times New Roman"/>
          <w:szCs w:val="24"/>
        </w:rPr>
        <w:t>swej natury</w:t>
      </w:r>
      <w:r w:rsidR="008C003A">
        <w:rPr>
          <w:rFonts w:cs="Times New Roman"/>
          <w:szCs w:val="24"/>
        </w:rPr>
        <w:t xml:space="preserve"> jest niebezpieczna i naraża życie </w:t>
      </w:r>
      <w:r w:rsidR="003E7716">
        <w:rPr>
          <w:rFonts w:cs="Times New Roman"/>
          <w:szCs w:val="24"/>
        </w:rPr>
        <w:t xml:space="preserve">ludzkie </w:t>
      </w:r>
      <w:r w:rsidR="008C003A">
        <w:rPr>
          <w:rFonts w:cs="Times New Roman"/>
          <w:szCs w:val="24"/>
        </w:rPr>
        <w:t xml:space="preserve">na rzeczywiste i bezpośrednie ryzyko, jak użycie przemocy zagrażającej życiu, stopień doznanych </w:t>
      </w:r>
      <w:r w:rsidR="003E7716">
        <w:rPr>
          <w:rFonts w:cs="Times New Roman"/>
          <w:szCs w:val="24"/>
        </w:rPr>
        <w:t xml:space="preserve">obrażeń </w:t>
      </w:r>
      <w:r w:rsidR="008C003A">
        <w:rPr>
          <w:rFonts w:cs="Times New Roman"/>
          <w:szCs w:val="24"/>
        </w:rPr>
        <w:t xml:space="preserve">może nie być rozstrzygający, a w przypadku braku </w:t>
      </w:r>
      <w:r w:rsidR="003E7716">
        <w:rPr>
          <w:rFonts w:cs="Times New Roman"/>
          <w:szCs w:val="24"/>
        </w:rPr>
        <w:t xml:space="preserve">obrażeń </w:t>
      </w:r>
      <w:r w:rsidR="008C003A">
        <w:rPr>
          <w:rFonts w:cs="Times New Roman"/>
          <w:szCs w:val="24"/>
        </w:rPr>
        <w:t>skarga w takich sprawach może nadal podlegać rozpatrzeniu na gruncie art. 2 (zob. </w:t>
      </w:r>
      <w:r w:rsidR="008C003A" w:rsidRPr="00910099">
        <w:rPr>
          <w:rFonts w:cs="Times New Roman"/>
          <w:i/>
          <w:iCs/>
          <w:szCs w:val="24"/>
        </w:rPr>
        <w:t>R</w:t>
      </w:r>
      <w:r w:rsidR="008C003A">
        <w:rPr>
          <w:rFonts w:cs="Times New Roman"/>
          <w:szCs w:val="24"/>
        </w:rPr>
        <w:t>.</w:t>
      </w:r>
      <w:r w:rsidR="008C003A">
        <w:rPr>
          <w:rFonts w:cs="Times New Roman"/>
          <w:i/>
          <w:iCs/>
          <w:szCs w:val="24"/>
        </w:rPr>
        <w:t>R. i Inni przeciwko Węgrom</w:t>
      </w:r>
      <w:r w:rsidR="008C003A">
        <w:rPr>
          <w:rFonts w:cs="Times New Roman"/>
          <w:szCs w:val="24"/>
        </w:rPr>
        <w:t xml:space="preserve">, nr 19400/11, § 32, 4 grudnia 2012 r., gdzie wykluczenie z programu ochrony świadków wiązało się z narażeniem na zagrażającą życiu zemstę ze strony mafii; </w:t>
      </w:r>
      <w:r w:rsidR="008C003A">
        <w:rPr>
          <w:rFonts w:cs="Times New Roman"/>
          <w:i/>
          <w:iCs/>
          <w:szCs w:val="24"/>
        </w:rPr>
        <w:t>Kolyadenko i Inni</w:t>
      </w:r>
      <w:r w:rsidR="008C003A">
        <w:rPr>
          <w:rFonts w:cs="Times New Roman"/>
          <w:szCs w:val="24"/>
        </w:rPr>
        <w:t xml:space="preserve">, </w:t>
      </w:r>
      <w:r w:rsidR="003E7716">
        <w:rPr>
          <w:rFonts w:cs="Times New Roman"/>
          <w:szCs w:val="24"/>
        </w:rPr>
        <w:t>cyt</w:t>
      </w:r>
      <w:r w:rsidR="008C003A" w:rsidRPr="001069DE">
        <w:rPr>
          <w:rFonts w:cs="Times New Roman"/>
          <w:szCs w:val="24"/>
        </w:rPr>
        <w:t>. </w:t>
      </w:r>
      <w:r w:rsidR="003E7716">
        <w:rPr>
          <w:rFonts w:cs="Times New Roman"/>
          <w:szCs w:val="24"/>
        </w:rPr>
        <w:t>pow</w:t>
      </w:r>
      <w:r w:rsidR="008C003A" w:rsidRPr="001069DE">
        <w:rPr>
          <w:rFonts w:cs="Times New Roman"/>
          <w:szCs w:val="24"/>
        </w:rPr>
        <w:t>.</w:t>
      </w:r>
      <w:r w:rsidR="008C003A" w:rsidRPr="003E7716">
        <w:rPr>
          <w:rFonts w:cs="Times New Roman"/>
          <w:szCs w:val="24"/>
        </w:rPr>
        <w:t>,</w:t>
      </w:r>
      <w:r w:rsidR="008C003A">
        <w:rPr>
          <w:rFonts w:cs="Times New Roman"/>
          <w:szCs w:val="24"/>
        </w:rPr>
        <w:t xml:space="preserve"> § 155, w kontekście klęsk żywiołowych).</w:t>
      </w:r>
    </w:p>
    <w:p w14:paraId="35F1D8F4" w14:textId="1B635F44" w:rsidR="00414A46" w:rsidRDefault="006D6FCD">
      <w:pPr>
        <w:pStyle w:val="JuPara"/>
      </w:pPr>
      <w:r>
        <w:rPr>
          <w:rFonts w:cs="Times New Roman"/>
          <w:szCs w:val="24"/>
        </w:rPr>
        <w:t>141</w:t>
      </w:r>
      <w:r w:rsidR="008C003A">
        <w:rPr>
          <w:rFonts w:cs="Times New Roman"/>
          <w:szCs w:val="24"/>
        </w:rPr>
        <w:t>.  Trybunał uznał, że ten proceduralny obowiązek pozytywny powstaje na gruncie art. 2 w odniesieniu do szeregu różnych rodzajów działalności, jak na przykład w sektorze opieki zdrowotnej, czy to publicznej, czy prywatnej, jeżeli chodzi o </w:t>
      </w:r>
      <w:r w:rsidR="00515F03">
        <w:rPr>
          <w:rFonts w:cs="Times New Roman"/>
          <w:szCs w:val="24"/>
        </w:rPr>
        <w:t xml:space="preserve">działania </w:t>
      </w:r>
      <w:r w:rsidR="008C003A">
        <w:rPr>
          <w:rFonts w:cs="Times New Roman"/>
          <w:szCs w:val="24"/>
        </w:rPr>
        <w:t xml:space="preserve">i zaniechania pracowników służby zdrowia (zob. </w:t>
      </w:r>
      <w:r w:rsidR="008C003A">
        <w:rPr>
          <w:rFonts w:cs="Times New Roman"/>
          <w:i/>
          <w:iCs/>
          <w:szCs w:val="24"/>
        </w:rPr>
        <w:t>Calvelli i Ciglio</w:t>
      </w:r>
      <w:r w:rsidR="008C003A">
        <w:rPr>
          <w:rFonts w:cs="Times New Roman"/>
          <w:szCs w:val="24"/>
        </w:rPr>
        <w:t xml:space="preserve">, </w:t>
      </w:r>
      <w:r w:rsidR="00515F03">
        <w:rPr>
          <w:rFonts w:cs="Times New Roman"/>
          <w:szCs w:val="24"/>
        </w:rPr>
        <w:t>cyt. pow.,</w:t>
      </w:r>
      <w:r w:rsidR="008C003A" w:rsidRPr="00515F03">
        <w:rPr>
          <w:rFonts w:cs="Times New Roman"/>
          <w:szCs w:val="24"/>
        </w:rPr>
        <w:t>;</w:t>
      </w:r>
      <w:r w:rsidR="008C003A">
        <w:rPr>
          <w:rFonts w:cs="Times New Roman"/>
          <w:szCs w:val="24"/>
        </w:rPr>
        <w:t xml:space="preserve"> </w:t>
      </w:r>
      <w:r w:rsidR="008C003A">
        <w:rPr>
          <w:rFonts w:cs="Times New Roman"/>
          <w:i/>
          <w:iCs/>
          <w:szCs w:val="24"/>
        </w:rPr>
        <w:t>Vo</w:t>
      </w:r>
      <w:r w:rsidR="008C003A">
        <w:rPr>
          <w:rFonts w:cs="Times New Roman"/>
          <w:szCs w:val="24"/>
        </w:rPr>
        <w:t xml:space="preserve">, </w:t>
      </w:r>
      <w:r w:rsidR="00515F03">
        <w:rPr>
          <w:rFonts w:cs="Times New Roman"/>
          <w:szCs w:val="24"/>
        </w:rPr>
        <w:t>cyt. pow.</w:t>
      </w:r>
      <w:r w:rsidR="008C003A">
        <w:rPr>
          <w:rFonts w:cs="Times New Roman"/>
          <w:szCs w:val="24"/>
        </w:rPr>
        <w:t xml:space="preserve"> oraz </w:t>
      </w:r>
      <w:r w:rsidR="008C003A">
        <w:rPr>
          <w:rFonts w:cs="Times New Roman"/>
          <w:i/>
          <w:iCs/>
          <w:szCs w:val="24"/>
        </w:rPr>
        <w:t>Lopes de Sousa Fernandes</w:t>
      </w:r>
      <w:r w:rsidR="008C003A">
        <w:rPr>
          <w:rFonts w:cs="Times New Roman"/>
          <w:szCs w:val="24"/>
        </w:rPr>
        <w:t>,</w:t>
      </w:r>
      <w:r w:rsidR="00515F03">
        <w:rPr>
          <w:rFonts w:cs="Times New Roman"/>
          <w:szCs w:val="24"/>
        </w:rPr>
        <w:t>cyt. pow.</w:t>
      </w:r>
      <w:r w:rsidR="008C003A">
        <w:rPr>
          <w:rFonts w:cs="Times New Roman"/>
          <w:szCs w:val="24"/>
        </w:rPr>
        <w:t xml:space="preserve">); w odniesieniu do zarządzania działalnością niebezpieczną skutkującą katastrofami przemysłowymi lub ekologicznymi (zob. </w:t>
      </w:r>
      <w:r w:rsidR="008C003A">
        <w:rPr>
          <w:rFonts w:cs="Times New Roman"/>
          <w:i/>
          <w:iCs/>
          <w:szCs w:val="24"/>
        </w:rPr>
        <w:t>Öneryıldız</w:t>
      </w:r>
      <w:r w:rsidR="008C003A">
        <w:rPr>
          <w:rFonts w:cs="Times New Roman"/>
          <w:szCs w:val="24"/>
        </w:rPr>
        <w:t xml:space="preserve">, </w:t>
      </w:r>
      <w:r w:rsidR="00515F03">
        <w:rPr>
          <w:rFonts w:cs="Times New Roman"/>
          <w:szCs w:val="24"/>
        </w:rPr>
        <w:t>cyt. pow.</w:t>
      </w:r>
      <w:r w:rsidR="008C003A">
        <w:rPr>
          <w:rFonts w:cs="Times New Roman"/>
          <w:szCs w:val="24"/>
        </w:rPr>
        <w:t xml:space="preserve"> oraz </w:t>
      </w:r>
      <w:r w:rsidR="008C003A">
        <w:rPr>
          <w:rFonts w:cs="Times New Roman"/>
          <w:i/>
          <w:iCs/>
          <w:szCs w:val="24"/>
        </w:rPr>
        <w:t>Budayeva i Inni</w:t>
      </w:r>
      <w:r w:rsidR="008C003A">
        <w:rPr>
          <w:rFonts w:cs="Times New Roman"/>
          <w:szCs w:val="24"/>
        </w:rPr>
        <w:t>,</w:t>
      </w:r>
      <w:r w:rsidR="00515F03">
        <w:rPr>
          <w:rFonts w:cs="Times New Roman"/>
          <w:szCs w:val="24"/>
        </w:rPr>
        <w:t xml:space="preserve"> cyt. pow.</w:t>
      </w:r>
      <w:r w:rsidR="008C003A">
        <w:rPr>
          <w:rFonts w:cs="Times New Roman"/>
          <w:szCs w:val="24"/>
        </w:rPr>
        <w:t>)</w:t>
      </w:r>
      <w:r w:rsidR="00515F03">
        <w:rPr>
          <w:rFonts w:cs="Times New Roman"/>
          <w:szCs w:val="24"/>
        </w:rPr>
        <w:t>,</w:t>
      </w:r>
      <w:r w:rsidR="008C003A">
        <w:rPr>
          <w:rFonts w:cs="Times New Roman"/>
          <w:szCs w:val="24"/>
        </w:rPr>
        <w:t xml:space="preserve"> jak również w odniesieniu do zapewnienia bezpieczeństwa na pokładzie statku (</w:t>
      </w:r>
      <w:r w:rsidR="008C003A">
        <w:rPr>
          <w:rFonts w:cs="Times New Roman"/>
          <w:i/>
          <w:iCs/>
          <w:szCs w:val="24"/>
        </w:rPr>
        <w:t>Leray i Inni przeciwko Francji</w:t>
      </w:r>
      <w:r w:rsidR="008C003A">
        <w:rPr>
          <w:rFonts w:cs="Times New Roman"/>
          <w:szCs w:val="24"/>
        </w:rPr>
        <w:t xml:space="preserve"> (dec.), nr 44617/98, 16 stycznia 2001 r.), w pociągach (zob. </w:t>
      </w:r>
      <w:r w:rsidR="008C003A">
        <w:rPr>
          <w:rFonts w:cs="Times New Roman"/>
          <w:i/>
          <w:iCs/>
          <w:szCs w:val="24"/>
        </w:rPr>
        <w:t>Kalender przeciwko Turcji</w:t>
      </w:r>
      <w:r w:rsidR="008C003A">
        <w:rPr>
          <w:rFonts w:cs="Times New Roman"/>
          <w:szCs w:val="24"/>
        </w:rPr>
        <w:t xml:space="preserve">, nr 4314/02, 15 grudnia 2009 r.), na terenie budowy (zob. </w:t>
      </w:r>
      <w:r w:rsidR="008C003A">
        <w:rPr>
          <w:rFonts w:cs="Times New Roman"/>
          <w:i/>
          <w:iCs/>
          <w:szCs w:val="24"/>
        </w:rPr>
        <w:t>Pereira Henriques przeciwko Luksemburgowi</w:t>
      </w:r>
      <w:r w:rsidR="008C003A">
        <w:rPr>
          <w:rFonts w:cs="Times New Roman"/>
          <w:szCs w:val="24"/>
        </w:rPr>
        <w:t xml:space="preserve">, nr 60255/00, 9 maja 2006 r. oraz </w:t>
      </w:r>
      <w:r w:rsidR="008C003A">
        <w:rPr>
          <w:rFonts w:cs="Times New Roman"/>
          <w:i/>
          <w:iCs/>
          <w:szCs w:val="24"/>
        </w:rPr>
        <w:t>Cevrioğlu przeciwko Turcji</w:t>
      </w:r>
      <w:r w:rsidR="008C003A">
        <w:rPr>
          <w:rFonts w:cs="Times New Roman"/>
          <w:szCs w:val="24"/>
        </w:rPr>
        <w:t xml:space="preserve">, nr 69546/12, 4 października 2016 r.), podczas zawodowego nurkowania głębinowego (zob. </w:t>
      </w:r>
      <w:r w:rsidR="008C003A">
        <w:rPr>
          <w:rFonts w:cs="Times New Roman"/>
          <w:i/>
          <w:iCs/>
          <w:szCs w:val="24"/>
        </w:rPr>
        <w:t>Vilnes i Inni</w:t>
      </w:r>
      <w:r w:rsidR="008C003A">
        <w:rPr>
          <w:rFonts w:cs="Times New Roman"/>
          <w:szCs w:val="24"/>
        </w:rPr>
        <w:t xml:space="preserve">, </w:t>
      </w:r>
      <w:r w:rsidR="00716E9C" w:rsidRPr="001069DE">
        <w:rPr>
          <w:rFonts w:cs="Times New Roman"/>
          <w:szCs w:val="24"/>
        </w:rPr>
        <w:t>cyt. pow.</w:t>
      </w:r>
      <w:r w:rsidR="00716E9C">
        <w:rPr>
          <w:rFonts w:cs="Times New Roman"/>
          <w:szCs w:val="24"/>
        </w:rPr>
        <w:t>),</w:t>
      </w:r>
      <w:r w:rsidR="008C003A">
        <w:rPr>
          <w:rFonts w:cs="Times New Roman"/>
          <w:szCs w:val="24"/>
        </w:rPr>
        <w:t xml:space="preserve"> na placu zabaw (zob. </w:t>
      </w:r>
      <w:r w:rsidR="008C003A">
        <w:rPr>
          <w:rFonts w:cs="Times New Roman"/>
          <w:i/>
          <w:iCs/>
          <w:szCs w:val="24"/>
        </w:rPr>
        <w:t>Koceski przeciwko Byłej Jugosłowiańskiej Republice Macedonii</w:t>
      </w:r>
      <w:r w:rsidR="008C003A">
        <w:rPr>
          <w:rFonts w:cs="Times New Roman"/>
          <w:szCs w:val="24"/>
        </w:rPr>
        <w:t xml:space="preserve"> (dec.), nr 41107/07, 22 października 2013 r.) lub w szkole (zob. </w:t>
      </w:r>
      <w:r w:rsidR="008C003A">
        <w:rPr>
          <w:rFonts w:cs="Times New Roman"/>
          <w:i/>
          <w:iCs/>
          <w:szCs w:val="24"/>
        </w:rPr>
        <w:t>Ilbeyi Kemaloğlu i Meriye Kemaloğlu przeciwko Turcji</w:t>
      </w:r>
      <w:r w:rsidR="008C003A">
        <w:rPr>
          <w:rFonts w:cs="Times New Roman"/>
          <w:szCs w:val="24"/>
        </w:rPr>
        <w:t xml:space="preserve">, nr 19986/06, 10 kwietnia 2012 r.). Powyższy wykaz nie jest wyczerpujący (zob. </w:t>
      </w:r>
      <w:r w:rsidR="008C003A">
        <w:rPr>
          <w:rFonts w:cs="Times New Roman"/>
          <w:i/>
          <w:iCs/>
          <w:szCs w:val="24"/>
        </w:rPr>
        <w:t>Ciechońska przeciwko Polsce</w:t>
      </w:r>
      <w:r w:rsidR="008C003A">
        <w:rPr>
          <w:rFonts w:cs="Times New Roman"/>
          <w:szCs w:val="24"/>
        </w:rPr>
        <w:t xml:space="preserve">, nr 19776/04, § 63, 14 czerwca 2011 r.; </w:t>
      </w:r>
      <w:r w:rsidR="008C003A">
        <w:rPr>
          <w:rFonts w:cs="Times New Roman"/>
          <w:i/>
          <w:iCs/>
          <w:szCs w:val="24"/>
        </w:rPr>
        <w:t>Ilbeyi Kemaloğlu i Meriye Kemaloğlu</w:t>
      </w:r>
      <w:r w:rsidR="008C003A">
        <w:rPr>
          <w:rFonts w:cs="Times New Roman"/>
          <w:szCs w:val="24"/>
        </w:rPr>
        <w:t xml:space="preserve">, </w:t>
      </w:r>
      <w:r w:rsidR="00716E9C" w:rsidRPr="001069DE">
        <w:rPr>
          <w:rFonts w:cs="Times New Roman"/>
          <w:szCs w:val="24"/>
        </w:rPr>
        <w:t>cyt. pow.,</w:t>
      </w:r>
      <w:r w:rsidR="008C003A">
        <w:rPr>
          <w:rFonts w:cs="Times New Roman"/>
          <w:szCs w:val="24"/>
        </w:rPr>
        <w:t xml:space="preserve"> § 35; </w:t>
      </w:r>
      <w:r w:rsidR="008C003A">
        <w:rPr>
          <w:rFonts w:cs="Times New Roman"/>
          <w:i/>
          <w:iCs/>
          <w:szCs w:val="24"/>
        </w:rPr>
        <w:t>Banel przeciwko Litwie</w:t>
      </w:r>
      <w:r w:rsidR="008C003A">
        <w:rPr>
          <w:rFonts w:cs="Times New Roman"/>
          <w:szCs w:val="24"/>
        </w:rPr>
        <w:t>, nr 14326/11, § 65, 18 czerwca 2013 r. oraz </w:t>
      </w:r>
      <w:r w:rsidR="008C003A" w:rsidRPr="00910099">
        <w:rPr>
          <w:rFonts w:cs="Times New Roman"/>
          <w:i/>
          <w:iCs/>
          <w:szCs w:val="24"/>
        </w:rPr>
        <w:t>R.</w:t>
      </w:r>
      <w:r w:rsidR="008C003A" w:rsidRPr="008B4B05">
        <w:rPr>
          <w:rFonts w:cs="Times New Roman"/>
          <w:i/>
          <w:iCs/>
          <w:szCs w:val="24"/>
        </w:rPr>
        <w:t>Š.</w:t>
      </w:r>
      <w:r w:rsidR="008C003A">
        <w:rPr>
          <w:rFonts w:cs="Times New Roman"/>
          <w:i/>
          <w:iCs/>
          <w:szCs w:val="24"/>
        </w:rPr>
        <w:t xml:space="preserve"> przeciwko Łotwie</w:t>
      </w:r>
      <w:r w:rsidR="008C003A">
        <w:rPr>
          <w:rFonts w:cs="Times New Roman"/>
          <w:szCs w:val="24"/>
        </w:rPr>
        <w:t>, nr 44154/14, § 79, 8 marca 2018 r.).</w:t>
      </w:r>
    </w:p>
    <w:p w14:paraId="1A1CD2AC" w14:textId="3D975D6D" w:rsidR="00414A46" w:rsidRDefault="006D6FCD">
      <w:pPr>
        <w:pStyle w:val="JuPara"/>
      </w:pPr>
      <w:r>
        <w:rPr>
          <w:rFonts w:cs="Times New Roman"/>
          <w:szCs w:val="24"/>
        </w:rPr>
        <w:t>142</w:t>
      </w:r>
      <w:r w:rsidR="008C003A">
        <w:rPr>
          <w:rFonts w:cs="Times New Roman"/>
          <w:szCs w:val="24"/>
        </w:rPr>
        <w:t xml:space="preserve">.  Jeżeli rzeczywiste i bezpośrednie ryzyko </w:t>
      </w:r>
      <w:r w:rsidR="00716E9C">
        <w:rPr>
          <w:rFonts w:cs="Times New Roman"/>
          <w:szCs w:val="24"/>
        </w:rPr>
        <w:t xml:space="preserve">śmierci </w:t>
      </w:r>
      <w:r w:rsidR="008C003A">
        <w:rPr>
          <w:rFonts w:cs="Times New Roman"/>
          <w:szCs w:val="24"/>
        </w:rPr>
        <w:t xml:space="preserve">wynikające z charakteru działalności nie jest oczywiste, stopień </w:t>
      </w:r>
      <w:r w:rsidR="00716E9C">
        <w:rPr>
          <w:rFonts w:cs="Times New Roman"/>
          <w:szCs w:val="24"/>
        </w:rPr>
        <w:t xml:space="preserve">obrażeń </w:t>
      </w:r>
      <w:r w:rsidR="008C003A">
        <w:rPr>
          <w:rFonts w:cs="Times New Roman"/>
          <w:szCs w:val="24"/>
        </w:rPr>
        <w:t xml:space="preserve">doznanych przez skarżącego ma większe znaczenie. W takich przypadkach skarga podlega rozpatrzeniu na gruncie art. 2 tylko wtedy, gdy stopień </w:t>
      </w:r>
      <w:r w:rsidR="00716E9C">
        <w:rPr>
          <w:rFonts w:cs="Times New Roman"/>
          <w:szCs w:val="24"/>
        </w:rPr>
        <w:t xml:space="preserve">obrażeń </w:t>
      </w:r>
      <w:r w:rsidR="008C003A">
        <w:rPr>
          <w:rFonts w:cs="Times New Roman"/>
          <w:szCs w:val="24"/>
        </w:rPr>
        <w:t xml:space="preserve">był taki, że życie ofiary było poważnie zagrożone (zob. </w:t>
      </w:r>
      <w:r w:rsidR="008C003A">
        <w:rPr>
          <w:rFonts w:cs="Times New Roman"/>
          <w:i/>
          <w:iCs/>
          <w:szCs w:val="24"/>
        </w:rPr>
        <w:t>Krivova</w:t>
      </w:r>
      <w:r w:rsidR="008C003A">
        <w:rPr>
          <w:rFonts w:cs="Times New Roman"/>
          <w:szCs w:val="24"/>
        </w:rPr>
        <w:t xml:space="preserve">, </w:t>
      </w:r>
      <w:r w:rsidR="00716E9C">
        <w:rPr>
          <w:rFonts w:cs="Times New Roman"/>
          <w:szCs w:val="24"/>
        </w:rPr>
        <w:t xml:space="preserve">cyt. pow., </w:t>
      </w:r>
      <w:r w:rsidR="008C003A">
        <w:rPr>
          <w:rFonts w:cs="Times New Roman"/>
          <w:szCs w:val="24"/>
        </w:rPr>
        <w:t xml:space="preserve">§ 45; </w:t>
      </w:r>
      <w:r w:rsidR="008C003A">
        <w:rPr>
          <w:rFonts w:cs="Times New Roman"/>
          <w:i/>
          <w:iCs/>
          <w:szCs w:val="24"/>
        </w:rPr>
        <w:t xml:space="preserve">Igor </w:t>
      </w:r>
      <w:r w:rsidR="008C003A">
        <w:rPr>
          <w:rFonts w:cs="Times New Roman"/>
          <w:i/>
          <w:iCs/>
          <w:szCs w:val="24"/>
        </w:rPr>
        <w:lastRenderedPageBreak/>
        <w:t>Shevchenko</w:t>
      </w:r>
      <w:r w:rsidR="008C003A">
        <w:rPr>
          <w:rFonts w:cs="Times New Roman"/>
          <w:szCs w:val="24"/>
        </w:rPr>
        <w:t xml:space="preserve">, </w:t>
      </w:r>
      <w:r w:rsidR="00716E9C">
        <w:rPr>
          <w:rFonts w:cs="Times New Roman"/>
          <w:szCs w:val="24"/>
        </w:rPr>
        <w:t xml:space="preserve">cyt. pow., </w:t>
      </w:r>
      <w:r w:rsidR="008C003A">
        <w:rPr>
          <w:rFonts w:cs="Times New Roman"/>
          <w:szCs w:val="24"/>
        </w:rPr>
        <w:t xml:space="preserve">§ 42; </w:t>
      </w:r>
      <w:r w:rsidR="008C003A">
        <w:rPr>
          <w:rFonts w:cs="Times New Roman"/>
          <w:i/>
          <w:iCs/>
          <w:szCs w:val="24"/>
        </w:rPr>
        <w:t>Cavit Tınarlıoğlu</w:t>
      </w:r>
      <w:r w:rsidR="008C003A">
        <w:rPr>
          <w:rFonts w:cs="Times New Roman"/>
          <w:szCs w:val="24"/>
        </w:rPr>
        <w:t xml:space="preserve">, </w:t>
      </w:r>
      <w:r w:rsidR="00716E9C">
        <w:rPr>
          <w:rFonts w:cs="Times New Roman"/>
          <w:i/>
          <w:iCs/>
          <w:szCs w:val="24"/>
        </w:rPr>
        <w:t>cyt. pow.,</w:t>
      </w:r>
      <w:r w:rsidR="008C003A">
        <w:rPr>
          <w:rFonts w:cs="Times New Roman"/>
          <w:szCs w:val="24"/>
        </w:rPr>
        <w:t xml:space="preserve"> § 68 oraz </w:t>
      </w:r>
      <w:r w:rsidR="008C003A">
        <w:rPr>
          <w:rFonts w:cs="Times New Roman"/>
          <w:i/>
          <w:iCs/>
          <w:szCs w:val="24"/>
        </w:rPr>
        <w:t>Kotelnikov</w:t>
      </w:r>
      <w:r w:rsidR="008C003A">
        <w:rPr>
          <w:rFonts w:cs="Times New Roman"/>
          <w:szCs w:val="24"/>
        </w:rPr>
        <w:t xml:space="preserve">, </w:t>
      </w:r>
      <w:r w:rsidR="00716E9C">
        <w:rPr>
          <w:rFonts w:cs="Times New Roman"/>
          <w:i/>
          <w:iCs/>
          <w:szCs w:val="24"/>
        </w:rPr>
        <w:t>cyt. pow.,</w:t>
      </w:r>
      <w:r w:rsidR="008C003A">
        <w:rPr>
          <w:rFonts w:cs="Times New Roman"/>
          <w:szCs w:val="24"/>
        </w:rPr>
        <w:t xml:space="preserve"> § 97).</w:t>
      </w:r>
    </w:p>
    <w:p w14:paraId="5ECAD5A4" w14:textId="7B24DEFE" w:rsidR="00414A46" w:rsidRDefault="006D6FCD">
      <w:pPr>
        <w:pStyle w:val="JuPara"/>
      </w:pPr>
      <w:r>
        <w:rPr>
          <w:rFonts w:cs="Times New Roman"/>
          <w:szCs w:val="24"/>
        </w:rPr>
        <w:t>143</w:t>
      </w:r>
      <w:r w:rsidR="008C003A">
        <w:rPr>
          <w:rFonts w:cs="Times New Roman"/>
          <w:szCs w:val="24"/>
        </w:rPr>
        <w:t xml:space="preserve">.  Przy ustalaniu w tym kontekście, czy dane </w:t>
      </w:r>
      <w:r w:rsidR="00C24599">
        <w:rPr>
          <w:rFonts w:cs="Times New Roman"/>
          <w:szCs w:val="24"/>
        </w:rPr>
        <w:t xml:space="preserve">obrażenia </w:t>
      </w:r>
      <w:r w:rsidR="008C003A">
        <w:rPr>
          <w:rFonts w:cs="Times New Roman"/>
          <w:szCs w:val="24"/>
        </w:rPr>
        <w:t xml:space="preserve">miały charakter zagrażający życiu, Trybunał wielokrotnie opierał się na </w:t>
      </w:r>
      <w:r w:rsidR="00C24599">
        <w:rPr>
          <w:rFonts w:cs="Times New Roman"/>
          <w:szCs w:val="24"/>
        </w:rPr>
        <w:t>stopniu obrażeń</w:t>
      </w:r>
      <w:r w:rsidR="008C003A">
        <w:rPr>
          <w:rFonts w:cs="Times New Roman"/>
          <w:szCs w:val="24"/>
        </w:rPr>
        <w:t xml:space="preserve"> i</w:t>
      </w:r>
      <w:r w:rsidR="00C24599">
        <w:rPr>
          <w:rFonts w:cs="Times New Roman"/>
          <w:szCs w:val="24"/>
        </w:rPr>
        <w:t xml:space="preserve"> ich</w:t>
      </w:r>
      <w:r w:rsidR="008C003A">
        <w:rPr>
          <w:rFonts w:cs="Times New Roman"/>
          <w:szCs w:val="24"/>
        </w:rPr>
        <w:t xml:space="preserve"> następstwach (zob. </w:t>
      </w:r>
      <w:r w:rsidR="008C003A">
        <w:rPr>
          <w:rFonts w:cs="Times New Roman"/>
          <w:i/>
          <w:iCs/>
          <w:szCs w:val="24"/>
        </w:rPr>
        <w:t>Krivova</w:t>
      </w:r>
      <w:r w:rsidR="008C003A">
        <w:rPr>
          <w:rFonts w:cs="Times New Roman"/>
          <w:szCs w:val="24"/>
        </w:rPr>
        <w:t xml:space="preserve">, </w:t>
      </w:r>
      <w:r w:rsidR="00C24599">
        <w:rPr>
          <w:rFonts w:cs="Times New Roman"/>
          <w:szCs w:val="24"/>
        </w:rPr>
        <w:t>cyt. pow.,</w:t>
      </w:r>
      <w:r w:rsidR="008C003A">
        <w:rPr>
          <w:rFonts w:cs="Times New Roman"/>
          <w:szCs w:val="24"/>
        </w:rPr>
        <w:t xml:space="preserve"> § 45; </w:t>
      </w:r>
      <w:r w:rsidR="008C003A">
        <w:rPr>
          <w:rFonts w:cs="Times New Roman"/>
          <w:i/>
          <w:iCs/>
          <w:szCs w:val="24"/>
        </w:rPr>
        <w:t>Igor Shevchenko</w:t>
      </w:r>
      <w:r w:rsidR="008C003A">
        <w:rPr>
          <w:rFonts w:cs="Times New Roman"/>
          <w:szCs w:val="24"/>
        </w:rPr>
        <w:t xml:space="preserve">, </w:t>
      </w:r>
      <w:r w:rsidR="00C24599">
        <w:rPr>
          <w:rFonts w:cs="Times New Roman"/>
          <w:szCs w:val="24"/>
        </w:rPr>
        <w:t>cyt. pow.,</w:t>
      </w:r>
      <w:r w:rsidR="008C003A">
        <w:rPr>
          <w:rFonts w:cs="Times New Roman"/>
          <w:szCs w:val="24"/>
        </w:rPr>
        <w:t xml:space="preserve"> § 43; </w:t>
      </w:r>
      <w:r w:rsidR="008C003A">
        <w:rPr>
          <w:rFonts w:cs="Times New Roman"/>
          <w:i/>
          <w:iCs/>
          <w:szCs w:val="24"/>
        </w:rPr>
        <w:t>Cavit Tınarlıoğlu</w:t>
      </w:r>
      <w:r w:rsidR="008C003A">
        <w:rPr>
          <w:rFonts w:cs="Times New Roman"/>
          <w:szCs w:val="24"/>
        </w:rPr>
        <w:t>,</w:t>
      </w:r>
      <w:r w:rsidR="00C24599">
        <w:rPr>
          <w:rFonts w:cs="Times New Roman"/>
          <w:szCs w:val="24"/>
        </w:rPr>
        <w:t xml:space="preserve"> cyt. pow.,</w:t>
      </w:r>
      <w:r w:rsidR="008C003A">
        <w:rPr>
          <w:rFonts w:cs="Times New Roman"/>
          <w:szCs w:val="24"/>
        </w:rPr>
        <w:t xml:space="preserve">§ 68 oraz </w:t>
      </w:r>
      <w:r w:rsidR="008C003A">
        <w:rPr>
          <w:rFonts w:cs="Times New Roman"/>
          <w:i/>
          <w:iCs/>
          <w:szCs w:val="24"/>
        </w:rPr>
        <w:t>Kotelnikov</w:t>
      </w:r>
      <w:r w:rsidR="008C003A">
        <w:rPr>
          <w:rFonts w:cs="Times New Roman"/>
          <w:szCs w:val="24"/>
        </w:rPr>
        <w:t xml:space="preserve">, </w:t>
      </w:r>
      <w:r w:rsidR="00C24599">
        <w:rPr>
          <w:rFonts w:cs="Times New Roman"/>
          <w:szCs w:val="24"/>
        </w:rPr>
        <w:t xml:space="preserve">cyt. pow., </w:t>
      </w:r>
      <w:r w:rsidR="008C003A">
        <w:rPr>
          <w:rFonts w:cs="Times New Roman"/>
          <w:szCs w:val="24"/>
        </w:rPr>
        <w:t xml:space="preserve">§ 98). </w:t>
      </w:r>
      <w:r w:rsidR="00F46C86">
        <w:rPr>
          <w:rFonts w:cs="Times New Roman"/>
          <w:szCs w:val="24"/>
        </w:rPr>
        <w:t>Czyniąc to uznawał</w:t>
      </w:r>
      <w:r w:rsidR="008C003A">
        <w:rPr>
          <w:rFonts w:cs="Times New Roman"/>
          <w:szCs w:val="24"/>
        </w:rPr>
        <w:t xml:space="preserve">, że wystarczająco poważnymi </w:t>
      </w:r>
      <w:r w:rsidR="00F46C86">
        <w:rPr>
          <w:rFonts w:cs="Times New Roman"/>
          <w:szCs w:val="24"/>
        </w:rPr>
        <w:t xml:space="preserve">obrażeniami </w:t>
      </w:r>
      <w:r w:rsidR="008C003A">
        <w:rPr>
          <w:rFonts w:cs="Times New Roman"/>
          <w:szCs w:val="24"/>
        </w:rPr>
        <w:t xml:space="preserve">uzasadniającymi zapewnienie ochrony na gruncie art. 2 są takie obrażenia, jak: poważne uszkodzenie ośrodkowego układu nerwowego; poważne urazy głowy i kręgosłupa; poważny uraz dolnej i górnej części ciała, wymagający nagłego lub długotrwałego leczenia; jak również następstwa w postaci śpiączki, długotrwałej poważnej niepełnosprawności lub niezdolności do pracy, całkowitej utraty </w:t>
      </w:r>
      <w:r w:rsidR="00F46C86">
        <w:rPr>
          <w:rFonts w:cs="Times New Roman"/>
          <w:szCs w:val="24"/>
        </w:rPr>
        <w:t>samodzielności</w:t>
      </w:r>
      <w:r w:rsidR="008C003A">
        <w:rPr>
          <w:rFonts w:cs="Times New Roman"/>
          <w:szCs w:val="24"/>
        </w:rPr>
        <w:t xml:space="preserve"> (por. </w:t>
      </w:r>
      <w:r w:rsidR="008C003A">
        <w:rPr>
          <w:rFonts w:cs="Times New Roman"/>
          <w:i/>
          <w:iCs/>
          <w:szCs w:val="24"/>
        </w:rPr>
        <w:t>Krivova</w:t>
      </w:r>
      <w:r w:rsidR="008C003A">
        <w:rPr>
          <w:rFonts w:cs="Times New Roman"/>
          <w:szCs w:val="24"/>
        </w:rPr>
        <w:t xml:space="preserve">, </w:t>
      </w:r>
      <w:r w:rsidR="00F46C86">
        <w:rPr>
          <w:rFonts w:cs="Times New Roman"/>
          <w:szCs w:val="24"/>
        </w:rPr>
        <w:t>cyt. pow.</w:t>
      </w:r>
      <w:r w:rsidR="002038C7">
        <w:rPr>
          <w:rFonts w:cs="Times New Roman"/>
          <w:szCs w:val="24"/>
        </w:rPr>
        <w:t>,</w:t>
      </w:r>
      <w:r w:rsidR="008C003A">
        <w:rPr>
          <w:rFonts w:cs="Times New Roman"/>
          <w:szCs w:val="24"/>
        </w:rPr>
        <w:t xml:space="preserve"> </w:t>
      </w:r>
      <w:r w:rsidR="008C003A">
        <w:rPr>
          <w:rFonts w:cs="Times New Roman"/>
          <w:i/>
          <w:iCs/>
          <w:szCs w:val="24"/>
        </w:rPr>
        <w:t>Igor Shevchenko</w:t>
      </w:r>
      <w:r w:rsidR="008C003A">
        <w:rPr>
          <w:rFonts w:cs="Times New Roman"/>
          <w:szCs w:val="24"/>
        </w:rPr>
        <w:t>,</w:t>
      </w:r>
      <w:r w:rsidR="00F46C86">
        <w:rPr>
          <w:rFonts w:cs="Times New Roman"/>
          <w:szCs w:val="24"/>
        </w:rPr>
        <w:t xml:space="preserve"> cyt. pow.</w:t>
      </w:r>
      <w:r w:rsidR="002038C7">
        <w:rPr>
          <w:rFonts w:cs="Times New Roman"/>
          <w:szCs w:val="24"/>
        </w:rPr>
        <w:t>,</w:t>
      </w:r>
      <w:r w:rsidR="008C003A">
        <w:rPr>
          <w:rFonts w:cs="Times New Roman"/>
          <w:szCs w:val="24"/>
        </w:rPr>
        <w:t xml:space="preserve"> </w:t>
      </w:r>
      <w:r w:rsidR="008C003A">
        <w:rPr>
          <w:rFonts w:cs="Times New Roman"/>
          <w:i/>
          <w:iCs/>
          <w:szCs w:val="24"/>
        </w:rPr>
        <w:t>Cavit Tınarlıoğlu</w:t>
      </w:r>
      <w:r w:rsidR="008C003A">
        <w:rPr>
          <w:rFonts w:cs="Times New Roman"/>
          <w:szCs w:val="24"/>
        </w:rPr>
        <w:t>,</w:t>
      </w:r>
      <w:r w:rsidR="002038C7">
        <w:rPr>
          <w:rFonts w:cs="Times New Roman"/>
          <w:i/>
          <w:iCs/>
          <w:szCs w:val="24"/>
        </w:rPr>
        <w:t xml:space="preserve"> </w:t>
      </w:r>
      <w:r w:rsidR="002038C7">
        <w:rPr>
          <w:rFonts w:cs="Times New Roman"/>
          <w:szCs w:val="24"/>
        </w:rPr>
        <w:t xml:space="preserve">cyt. pow. </w:t>
      </w:r>
      <w:r w:rsidR="008C003A">
        <w:rPr>
          <w:rFonts w:cs="Times New Roman"/>
          <w:szCs w:val="24"/>
        </w:rPr>
        <w:t xml:space="preserve">oraz </w:t>
      </w:r>
      <w:r w:rsidR="008C003A">
        <w:rPr>
          <w:rFonts w:cs="Times New Roman"/>
          <w:i/>
          <w:iCs/>
          <w:szCs w:val="24"/>
        </w:rPr>
        <w:t>Kotelnikov</w:t>
      </w:r>
      <w:r w:rsidR="008C003A">
        <w:rPr>
          <w:rFonts w:cs="Times New Roman"/>
          <w:szCs w:val="24"/>
        </w:rPr>
        <w:t xml:space="preserve">, </w:t>
      </w:r>
      <w:r w:rsidR="002038C7" w:rsidRPr="001069DE">
        <w:rPr>
          <w:rFonts w:cs="Times New Roman"/>
          <w:szCs w:val="24"/>
        </w:rPr>
        <w:t>cyt. pow.</w:t>
      </w:r>
      <w:r w:rsidR="008C003A">
        <w:rPr>
          <w:rFonts w:cs="Times New Roman"/>
          <w:szCs w:val="24"/>
        </w:rPr>
        <w:t xml:space="preserve">). Chociaż wykaz ten nie jest wyczerpujący, a ocena może zależeć od okoliczności danej sprawy, należy wykazać istnienie związku przyczynowego między danym incydentem lub zdarzeniem a doznanymi </w:t>
      </w:r>
      <w:r w:rsidR="002038C7">
        <w:rPr>
          <w:rFonts w:cs="Times New Roman"/>
          <w:szCs w:val="24"/>
        </w:rPr>
        <w:t>obrażeniami</w:t>
      </w:r>
      <w:r w:rsidR="008C003A">
        <w:rPr>
          <w:rFonts w:cs="Times New Roman"/>
          <w:szCs w:val="24"/>
        </w:rPr>
        <w:t>.</w:t>
      </w:r>
    </w:p>
    <w:p w14:paraId="2672E785" w14:textId="0E86D041" w:rsidR="00414A46" w:rsidRDefault="006D6FCD">
      <w:pPr>
        <w:pStyle w:val="JuPara"/>
      </w:pPr>
      <w:r>
        <w:rPr>
          <w:rFonts w:cs="Times New Roman"/>
          <w:szCs w:val="24"/>
        </w:rPr>
        <w:t>144</w:t>
      </w:r>
      <w:r w:rsidR="008C003A">
        <w:rPr>
          <w:rFonts w:cs="Times New Roman"/>
          <w:szCs w:val="24"/>
        </w:rPr>
        <w:t>.  Na tej podstawie Trybunał uważa, że w </w:t>
      </w:r>
      <w:r w:rsidR="002038C7">
        <w:rPr>
          <w:rFonts w:cs="Times New Roman"/>
          <w:szCs w:val="24"/>
        </w:rPr>
        <w:t xml:space="preserve">odniesieniu do </w:t>
      </w:r>
      <w:r w:rsidR="008C003A">
        <w:rPr>
          <w:rFonts w:cs="Times New Roman"/>
          <w:szCs w:val="24"/>
        </w:rPr>
        <w:t xml:space="preserve">wypadków i domniemanego </w:t>
      </w:r>
      <w:r w:rsidR="002038C7">
        <w:rPr>
          <w:rFonts w:cs="Times New Roman"/>
          <w:szCs w:val="24"/>
        </w:rPr>
        <w:t>zaniedbania</w:t>
      </w:r>
      <w:r w:rsidR="008C003A">
        <w:rPr>
          <w:rFonts w:cs="Times New Roman"/>
          <w:szCs w:val="24"/>
        </w:rPr>
        <w:t xml:space="preserve"> art. 2 ma zastosowanie, jeżeli rozpatrywana działalność była niebezpieczna ze </w:t>
      </w:r>
      <w:r w:rsidR="002038C7">
        <w:rPr>
          <w:rFonts w:cs="Times New Roman"/>
          <w:szCs w:val="24"/>
        </w:rPr>
        <w:t>swej natury</w:t>
      </w:r>
      <w:r w:rsidR="008C003A">
        <w:rPr>
          <w:rFonts w:cs="Times New Roman"/>
          <w:szCs w:val="24"/>
        </w:rPr>
        <w:t xml:space="preserve"> i narażała życie skarżącego na rzeczywiste i bezpośrednie ryzyko (zob. par. </w:t>
      </w:r>
      <w:r w:rsidR="001A7C21">
        <w:rPr>
          <w:rFonts w:cs="Times New Roman"/>
          <w:szCs w:val="24"/>
        </w:rPr>
        <w:t>14</w:t>
      </w:r>
      <w:r w:rsidR="008C003A">
        <w:rPr>
          <w:rFonts w:cs="Times New Roman"/>
          <w:szCs w:val="24"/>
        </w:rPr>
        <w:t>0–</w:t>
      </w:r>
      <w:r w:rsidR="001A7C21">
        <w:rPr>
          <w:rFonts w:cs="Times New Roman"/>
          <w:szCs w:val="24"/>
        </w:rPr>
        <w:t>14</w:t>
      </w:r>
      <w:r w:rsidR="008C003A">
        <w:rPr>
          <w:rFonts w:cs="Times New Roman"/>
          <w:szCs w:val="24"/>
        </w:rPr>
        <w:t xml:space="preserve">1 powyżej) lub jeżeli </w:t>
      </w:r>
      <w:r w:rsidR="002038C7">
        <w:rPr>
          <w:rFonts w:cs="Times New Roman"/>
          <w:szCs w:val="24"/>
        </w:rPr>
        <w:t>obrażenia</w:t>
      </w:r>
      <w:r w:rsidR="008C003A">
        <w:rPr>
          <w:rFonts w:cs="Times New Roman"/>
          <w:szCs w:val="24"/>
        </w:rPr>
        <w:t>, których skarżący doznał, poważnie zagrażały życiu (zob. par. </w:t>
      </w:r>
      <w:r w:rsidR="001A7C21">
        <w:rPr>
          <w:rFonts w:cs="Times New Roman"/>
          <w:szCs w:val="24"/>
        </w:rPr>
        <w:t>14</w:t>
      </w:r>
      <w:r w:rsidR="008C003A">
        <w:rPr>
          <w:rFonts w:cs="Times New Roman"/>
          <w:szCs w:val="24"/>
        </w:rPr>
        <w:t>2–</w:t>
      </w:r>
      <w:r w:rsidR="001A7C21">
        <w:rPr>
          <w:rFonts w:cs="Times New Roman"/>
          <w:szCs w:val="24"/>
        </w:rPr>
        <w:t>14</w:t>
      </w:r>
      <w:r w:rsidR="008C003A">
        <w:rPr>
          <w:rFonts w:cs="Times New Roman"/>
          <w:szCs w:val="24"/>
        </w:rPr>
        <w:t xml:space="preserve">3 powyżej). W takich sytuacjach zastosowanie ma proceduralny obowiązek przeprowadzenia skutecznego oficjalnego śledztwa. Im mniej oczywista jest bezpośredniość i rzeczywistość ryzyka wynikającego z charakteru działalności, tym </w:t>
      </w:r>
      <w:r w:rsidR="00830B25">
        <w:rPr>
          <w:rFonts w:cs="Times New Roman"/>
          <w:szCs w:val="24"/>
        </w:rPr>
        <w:t xml:space="preserve">istotniejszy </w:t>
      </w:r>
      <w:r w:rsidR="008C003A">
        <w:rPr>
          <w:rFonts w:cs="Times New Roman"/>
          <w:szCs w:val="24"/>
        </w:rPr>
        <w:t xml:space="preserve">jest wymóg dotyczący stopnia </w:t>
      </w:r>
      <w:r w:rsidR="00830B25">
        <w:rPr>
          <w:rFonts w:cs="Times New Roman"/>
          <w:szCs w:val="24"/>
        </w:rPr>
        <w:t xml:space="preserve">obrażeń </w:t>
      </w:r>
      <w:r w:rsidR="008C003A">
        <w:rPr>
          <w:rFonts w:cs="Times New Roman"/>
          <w:szCs w:val="24"/>
        </w:rPr>
        <w:t>doznanych przez skarżącego. Dzieje się tak zwłaszcza w przypadku, gdy prywatna działalność obarczona wysokim ryzykiem jest regulowana przez szczegółowe ramy prawne i administracyjne, których adekwatność i wystarczalność dla zmniejszenia ryzyka dla życia nie budzi wątpliwości lub nie jest kwestionowana.</w:t>
      </w:r>
    </w:p>
    <w:p w14:paraId="2128A539" w14:textId="3C316AE2" w:rsidR="00414A46" w:rsidRDefault="006D6FCD">
      <w:pPr>
        <w:pStyle w:val="JuPara"/>
      </w:pPr>
      <w:r>
        <w:rPr>
          <w:szCs w:val="24"/>
        </w:rPr>
        <w:t>145</w:t>
      </w:r>
      <w:r w:rsidR="008C003A">
        <w:rPr>
          <w:szCs w:val="24"/>
        </w:rPr>
        <w:t xml:space="preserve">.  Oczywiście mogą istnieć sytuacje, w których w chwili zdarzenia lub incydentu nie jest jasne, czy życie ofiary jest narażone na rzeczywiste i bezpośrednie ryzyko lub czy doznane </w:t>
      </w:r>
      <w:r w:rsidR="00830B25">
        <w:rPr>
          <w:szCs w:val="24"/>
        </w:rPr>
        <w:t xml:space="preserve">obrażenia </w:t>
      </w:r>
      <w:r w:rsidR="008C003A">
        <w:rPr>
          <w:szCs w:val="24"/>
        </w:rPr>
        <w:t xml:space="preserve">stanowią poważne zagrożenie dla życia. W tym względzie Trybunał uważa, że dla zastosowania art. 2 wystarczy, aby ryzyko wydawało się rzeczywiste i bezpośrednie lub by w chwili wystąpienia </w:t>
      </w:r>
      <w:r w:rsidR="00830B25">
        <w:rPr>
          <w:szCs w:val="24"/>
        </w:rPr>
        <w:t xml:space="preserve">obrażeń </w:t>
      </w:r>
      <w:r w:rsidR="008C003A">
        <w:rPr>
          <w:szCs w:val="24"/>
        </w:rPr>
        <w:t xml:space="preserve">wydawało się, że zagrażają one życiu. Podobnie w przypadku art. 3 Konwencji, jak stwierdzono w par. 115 powyżej, gdy władze powezmą informację o sprawie, skutkuje to nałożeniem na państwo </w:t>
      </w:r>
      <w:r w:rsidR="008C003A">
        <w:rPr>
          <w:i/>
          <w:iCs/>
        </w:rPr>
        <w:t>ipso facto</w:t>
      </w:r>
      <w:r w:rsidR="008C003A">
        <w:t xml:space="preserve"> wynikającego z art. 2 obowiązku przeprowadzenia skutecznego śledztwa </w:t>
      </w:r>
      <w:r w:rsidR="008C003A">
        <w:rPr>
          <w:szCs w:val="24"/>
        </w:rPr>
        <w:t xml:space="preserve">(zob. odpowiednio </w:t>
      </w:r>
      <w:r w:rsidR="008C003A">
        <w:rPr>
          <w:i/>
          <w:iCs/>
          <w:szCs w:val="24"/>
        </w:rPr>
        <w:t>Ergi przeciwko Turcji</w:t>
      </w:r>
      <w:r w:rsidR="008C003A">
        <w:rPr>
          <w:szCs w:val="24"/>
        </w:rPr>
        <w:t xml:space="preserve">, 28 lipca 1998 r., § 82, </w:t>
      </w:r>
      <w:r w:rsidR="008C003A">
        <w:rPr>
          <w:i/>
          <w:iCs/>
          <w:szCs w:val="24"/>
        </w:rPr>
        <w:t>Zbiór </w:t>
      </w:r>
      <w:r w:rsidR="008C003A">
        <w:rPr>
          <w:szCs w:val="24"/>
        </w:rPr>
        <w:t xml:space="preserve">1998-IV oraz </w:t>
      </w:r>
      <w:r w:rsidR="008C003A">
        <w:rPr>
          <w:i/>
          <w:iCs/>
          <w:szCs w:val="24"/>
        </w:rPr>
        <w:t>McKerr przeciwko Zjednoczonemu Królestwu</w:t>
      </w:r>
      <w:r w:rsidR="008C003A">
        <w:rPr>
          <w:szCs w:val="24"/>
        </w:rPr>
        <w:t xml:space="preserve">, nr 28883/95, § 111, ETPC 2001-III). Obowiązek ten ma </w:t>
      </w:r>
      <w:r w:rsidR="008C003A">
        <w:rPr>
          <w:szCs w:val="24"/>
        </w:rPr>
        <w:lastRenderedPageBreak/>
        <w:t xml:space="preserve">zastosowanie tak długo, jak długo nie zostanie ustalone, że ryzyko dla życia nie było rzeczywiste i bezpośrednie </w:t>
      </w:r>
      <w:r w:rsidR="00C7648F">
        <w:rPr>
          <w:szCs w:val="24"/>
        </w:rPr>
        <w:t xml:space="preserve">albo </w:t>
      </w:r>
      <w:r w:rsidR="008C003A">
        <w:rPr>
          <w:szCs w:val="24"/>
        </w:rPr>
        <w:t xml:space="preserve">że </w:t>
      </w:r>
      <w:r w:rsidR="00C7648F">
        <w:rPr>
          <w:szCs w:val="24"/>
        </w:rPr>
        <w:t xml:space="preserve">obrażenia </w:t>
      </w:r>
      <w:r w:rsidR="008C003A">
        <w:rPr>
          <w:szCs w:val="24"/>
        </w:rPr>
        <w:t xml:space="preserve">w oczywisty sposób nie zagrażały poważnie życiu. Rodzaj śledztwa, który umożliwiłby osiągnięcie tego celu, jest kwestią wchodzącą w zakres </w:t>
      </w:r>
      <w:r w:rsidR="00C7648F">
        <w:rPr>
          <w:szCs w:val="24"/>
        </w:rPr>
        <w:t>m</w:t>
      </w:r>
      <w:r w:rsidR="0079683A">
        <w:rPr>
          <w:szCs w:val="24"/>
        </w:rPr>
        <w:t>e</w:t>
      </w:r>
      <w:r w:rsidR="00C7648F">
        <w:rPr>
          <w:szCs w:val="24"/>
        </w:rPr>
        <w:t xml:space="preserve">ritum </w:t>
      </w:r>
      <w:r w:rsidR="008C003A">
        <w:rPr>
          <w:szCs w:val="24"/>
        </w:rPr>
        <w:t>skargi i zostanie zbadany szczegółowo poniżej (zob. par. </w:t>
      </w:r>
      <w:r w:rsidR="008B4B05">
        <w:rPr>
          <w:szCs w:val="24"/>
        </w:rPr>
        <w:t>16</w:t>
      </w:r>
      <w:r w:rsidR="008C003A">
        <w:rPr>
          <w:szCs w:val="24"/>
        </w:rPr>
        <w:t>4).</w:t>
      </w:r>
    </w:p>
    <w:p w14:paraId="2F572F42" w14:textId="7071D29A" w:rsidR="00414A46" w:rsidRDefault="00E56D23" w:rsidP="006D6FCD">
      <w:pPr>
        <w:pStyle w:val="JuH"/>
        <w:spacing w:before="280"/>
        <w:ind w:left="1304"/>
      </w:pPr>
      <w:r w:rsidRPr="00E56D23">
        <w:rPr>
          <w:iCs/>
        </w:rPr>
        <w:t>–</w:t>
      </w:r>
      <w:r w:rsidR="006D6FCD">
        <w:rPr>
          <w:iCs/>
        </w:rPr>
        <w:t xml:space="preserve"> </w:t>
      </w:r>
      <w:r w:rsidR="008C003A">
        <w:rPr>
          <w:iCs/>
        </w:rPr>
        <w:t>Zastosowanie zasad ogólnych w </w:t>
      </w:r>
      <w:r w:rsidR="0079683A">
        <w:rPr>
          <w:iCs/>
        </w:rPr>
        <w:t xml:space="preserve">niniejszej </w:t>
      </w:r>
      <w:r w:rsidR="008C003A">
        <w:rPr>
          <w:iCs/>
        </w:rPr>
        <w:t>sprawie</w:t>
      </w:r>
    </w:p>
    <w:p w14:paraId="3EBCCF9E" w14:textId="1B96A410" w:rsidR="00414A46" w:rsidRDefault="006D6FCD">
      <w:pPr>
        <w:pStyle w:val="JuPara"/>
      </w:pPr>
      <w:r>
        <w:t>146</w:t>
      </w:r>
      <w:r w:rsidR="008C003A">
        <w:t>.  Trybunał zauważa, że w czasie incydentu skarżący był zaangażowany w działalność potencjalnie skutkującą poważnym zagrożeniem dla życia. Zauważa również, że na przestrzeni lat prowadzenie pojazdów stało się działalnością ściśle regulowaną i że podjęto znaczne wysiłki w celu poprawy bezpieczeństwa ruchu drogowego. Ponadto bezpieczeństwo drogowe zależy od wielu czynników, w tym jakości dróg i szkolenia przyszłych kierowców.</w:t>
      </w:r>
    </w:p>
    <w:p w14:paraId="6C75B5AA" w14:textId="59A95E72" w:rsidR="00414A46" w:rsidRDefault="006D6FCD">
      <w:pPr>
        <w:pStyle w:val="JuPara"/>
      </w:pPr>
      <w:r>
        <w:t>147</w:t>
      </w:r>
      <w:r w:rsidR="008C003A">
        <w:t>.  Biorąc pod uwagę zakres obowiązujących przepisów oraz powszechność tej działalności w życiu codziennym, Trybunał przyznaje, że prowadzenie pojazdu może obecnie być postrzegane jako działalność</w:t>
      </w:r>
      <w:r w:rsidR="008B4B05">
        <w:t>, która</w:t>
      </w:r>
      <w:r w:rsidR="008C003A">
        <w:t xml:space="preserve"> zwykle nie</w:t>
      </w:r>
      <w:r w:rsidR="008B4B05">
        <w:t xml:space="preserve"> jest szczególnie </w:t>
      </w:r>
      <w:r w:rsidR="008C003A">
        <w:t xml:space="preserve">niebezpieczna. Nie zapomina jednak o fakcie, że może to zależeć m.in. od jakości egzekwowania prawa w tym obszarze. W rzeczywistości niezależnie od podjętych wysiłków incydenty w ruchu drogowym, w tym wypadki samochodowe, zdarzają się i mogą prowadzić do poważnych </w:t>
      </w:r>
      <w:r w:rsidR="0079683A">
        <w:t xml:space="preserve">obrażeń </w:t>
      </w:r>
      <w:r w:rsidR="008C003A">
        <w:t>fizycznych, a nawet do utraty życia.</w:t>
      </w:r>
    </w:p>
    <w:p w14:paraId="7AC72FB8" w14:textId="62180A07" w:rsidR="00414A46" w:rsidRDefault="006D6FCD">
      <w:pPr>
        <w:pStyle w:val="JuPara"/>
      </w:pPr>
      <w:r>
        <w:t>148</w:t>
      </w:r>
      <w:r w:rsidR="008C003A">
        <w:t>.  Niezależnie od tego, czy prowadzenie pojazdu może być postrzegane jako działalność szczególnie niebezpieczna</w:t>
      </w:r>
      <w:r w:rsidR="0079683A">
        <w:t xml:space="preserve"> czy nie</w:t>
      </w:r>
      <w:r w:rsidR="008C003A">
        <w:t xml:space="preserve">, Trybunał zauważa, że </w:t>
      </w:r>
      <w:r w:rsidR="006E226E">
        <w:t xml:space="preserve">tam, gdzie </w:t>
      </w:r>
      <w:r w:rsidR="008C003A">
        <w:t>ryzyko wynikające z </w:t>
      </w:r>
      <w:r w:rsidR="006E226E">
        <w:t xml:space="preserve">samego </w:t>
      </w:r>
      <w:r w:rsidR="008C003A">
        <w:t xml:space="preserve">charakteru działalności </w:t>
      </w:r>
      <w:r w:rsidR="00467102">
        <w:t xml:space="preserve">jest </w:t>
      </w:r>
      <w:r w:rsidR="008C003A">
        <w:t xml:space="preserve">mniej oczywiste, </w:t>
      </w:r>
      <w:r w:rsidR="006E226E">
        <w:t xml:space="preserve">większego znaczenia nabiera </w:t>
      </w:r>
      <w:r w:rsidR="008C003A">
        <w:t xml:space="preserve">stopień </w:t>
      </w:r>
      <w:r w:rsidR="006E226E">
        <w:t xml:space="preserve">obrażeń </w:t>
      </w:r>
      <w:r w:rsidR="008C003A">
        <w:t>doznanych przez skarżącego (zob. par. </w:t>
      </w:r>
      <w:r w:rsidR="00467102">
        <w:t>14</w:t>
      </w:r>
      <w:r w:rsidR="008C003A">
        <w:t>2 powyżej).</w:t>
      </w:r>
    </w:p>
    <w:p w14:paraId="467E9483" w14:textId="33C6EB14" w:rsidR="00414A46" w:rsidRDefault="006D6FCD">
      <w:pPr>
        <w:pStyle w:val="JuPara"/>
      </w:pPr>
      <w:r>
        <w:t>149</w:t>
      </w:r>
      <w:r w:rsidR="008C003A">
        <w:t xml:space="preserve">.  W przypadku skarżącego jego zaangażowanie w wyżej wspomnianą działalność skutkowało odniesieniem przez niego poważnych </w:t>
      </w:r>
      <w:r w:rsidR="006E226E">
        <w:t>obrażeń</w:t>
      </w:r>
      <w:r w:rsidR="008C003A">
        <w:t xml:space="preserve">. Chociaż </w:t>
      </w:r>
      <w:r w:rsidR="006E226E">
        <w:t xml:space="preserve">jego obrażenia </w:t>
      </w:r>
      <w:r w:rsidR="008C003A">
        <w:t xml:space="preserve">ostatecznie nie doprowadziły do </w:t>
      </w:r>
      <w:r w:rsidR="006E226E">
        <w:t xml:space="preserve">śmierci </w:t>
      </w:r>
      <w:r w:rsidR="008C003A">
        <w:t xml:space="preserve">skarżącego, biegły sądowy uznał je za wystarczająco poważne, by zagrażały jego życiu. </w:t>
      </w:r>
      <w:r w:rsidR="006E226E">
        <w:t xml:space="preserve">Obrażenia </w:t>
      </w:r>
      <w:r w:rsidR="008C003A">
        <w:t>skarżącego wymagały nagłego i długotrwałego leczenia oraz wielokrotnej hospitalizacji, a także pozostawiły u niego długotrwałe następstwa psychiczne i fizyczne. Mając na uwadze dostępne dowody, Trybunał nie widzi powodu, by wątpić, że w okolicznościach sprawy skarżącego</w:t>
      </w:r>
      <w:r w:rsidR="00706FBF">
        <w:t>,</w:t>
      </w:r>
      <w:r w:rsidR="008C003A">
        <w:t xml:space="preserve"> w chwili wypadku</w:t>
      </w:r>
      <w:r w:rsidR="00706FBF">
        <w:t>,</w:t>
      </w:r>
      <w:r w:rsidR="008C003A">
        <w:t xml:space="preserve"> można było stwierdzić w sposób dający się uzasadnić, iż </w:t>
      </w:r>
      <w:r w:rsidR="00706FBF">
        <w:t xml:space="preserve">obrażenia </w:t>
      </w:r>
      <w:r w:rsidR="008C003A">
        <w:t>skarżącego były wystarczająco poważne, by stanowiły poważne zagrożenie dla jego życia.</w:t>
      </w:r>
    </w:p>
    <w:p w14:paraId="01144A5F" w14:textId="1FE76A4E" w:rsidR="00414A46" w:rsidRDefault="006D6FCD">
      <w:pPr>
        <w:pStyle w:val="JuPara"/>
      </w:pPr>
      <w:r>
        <w:t>150</w:t>
      </w:r>
      <w:r w:rsidR="008C003A">
        <w:t xml:space="preserve">.  W świetle powyższego, w szczególności zagrażających życiu </w:t>
      </w:r>
      <w:r w:rsidR="00BE2DB4">
        <w:t>obrażeń doznanych przez skarżącego</w:t>
      </w:r>
      <w:r w:rsidR="008C003A">
        <w:t>, Trybunał uznaje, że art. 2 ma zastosowanie.</w:t>
      </w:r>
    </w:p>
    <w:p w14:paraId="0275DDC1" w14:textId="77777777" w:rsidR="00414A46" w:rsidRDefault="008C003A">
      <w:pPr>
        <w:pStyle w:val="JuHalpha"/>
        <w:numPr>
          <w:ilvl w:val="6"/>
          <w:numId w:val="1"/>
        </w:numPr>
        <w:spacing w:before="280"/>
      </w:pPr>
      <w:r>
        <w:lastRenderedPageBreak/>
        <w:t>Wniosek</w:t>
      </w:r>
    </w:p>
    <w:p w14:paraId="7EC8F447" w14:textId="6B91BBB0" w:rsidR="00414A46" w:rsidRDefault="006D6FCD">
      <w:pPr>
        <w:pStyle w:val="JuPara"/>
      </w:pPr>
      <w:r>
        <w:t>151</w:t>
      </w:r>
      <w:r w:rsidR="008C003A">
        <w:t xml:space="preserve">.  W tym kontekście w zakresie, w jakim </w:t>
      </w:r>
      <w:r w:rsidR="00BE2DB4">
        <w:t>przywołano</w:t>
      </w:r>
      <w:r w:rsidR="008C003A">
        <w:t xml:space="preserve"> art. 3 i 8 Konwencji, Trybunał uznaje, że część skarg</w:t>
      </w:r>
      <w:r w:rsidR="00BE2DB4">
        <w:t>i</w:t>
      </w:r>
      <w:r w:rsidR="008C003A">
        <w:t xml:space="preserve"> skarżącego </w:t>
      </w:r>
      <w:r w:rsidR="00BE2DB4">
        <w:t xml:space="preserve">dotycząca </w:t>
      </w:r>
      <w:r w:rsidR="008C003A">
        <w:t xml:space="preserve">przebiegu śledztwa jest niezgodna </w:t>
      </w:r>
      <w:r w:rsidR="008C003A">
        <w:rPr>
          <w:i/>
          <w:iCs/>
        </w:rPr>
        <w:t>ratione materiae</w:t>
      </w:r>
      <w:r w:rsidR="008C003A">
        <w:t xml:space="preserve"> z postanowieniami Konwencji w rozumieniu art. 35 ust. 3 lit. a oraz art. 35 ust. 4 (zob. par. </w:t>
      </w:r>
      <w:r w:rsidR="00470355">
        <w:t>12</w:t>
      </w:r>
      <w:r w:rsidR="008C003A">
        <w:t>4 i </w:t>
      </w:r>
      <w:r w:rsidR="00470355">
        <w:t>13</w:t>
      </w:r>
      <w:r w:rsidR="008C003A">
        <w:t>2 powyżej).</w:t>
      </w:r>
    </w:p>
    <w:p w14:paraId="7E5031D9" w14:textId="6533A87D" w:rsidR="00414A46" w:rsidRDefault="006D6FCD">
      <w:pPr>
        <w:pStyle w:val="JuPara"/>
      </w:pPr>
      <w:r>
        <w:t>152</w:t>
      </w:r>
      <w:r w:rsidR="008C003A">
        <w:t>.  Trybunał uważa jednak, że zastrzeżenie Rządu co do możliwości zastosowania art. 2 Konwencji do tej części skarg</w:t>
      </w:r>
      <w:r w:rsidR="00BE2DB4">
        <w:t>i</w:t>
      </w:r>
      <w:r w:rsidR="008C003A">
        <w:t xml:space="preserve"> skarżącego należy oddalić.</w:t>
      </w:r>
    </w:p>
    <w:p w14:paraId="659552A2" w14:textId="09D3C0B2" w:rsidR="00414A46" w:rsidRDefault="006D6FCD">
      <w:pPr>
        <w:pStyle w:val="JuPara"/>
      </w:pPr>
      <w:r>
        <w:t>153</w:t>
      </w:r>
      <w:r w:rsidR="008C003A">
        <w:t>.  Trybunał będzie zatem kontynuował badanie tej części skarg</w:t>
      </w:r>
      <w:r w:rsidR="00BE2DB4">
        <w:t>i</w:t>
      </w:r>
      <w:r w:rsidR="008C003A">
        <w:t xml:space="preserve"> wyłącznie w świetle aspektu proceduralnego art. 2 Konwencji.</w:t>
      </w:r>
    </w:p>
    <w:p w14:paraId="2C8FF3FC" w14:textId="03A89EE9" w:rsidR="00414A46" w:rsidRDefault="006D6FCD">
      <w:pPr>
        <w:pStyle w:val="JuPara"/>
      </w:pPr>
      <w:r>
        <w:t>154</w:t>
      </w:r>
      <w:r w:rsidR="008C003A">
        <w:t xml:space="preserve">.  Trybunał uważa, że ta część skargi nie jest w sposób oczywisty nieuzasadniona w rozumieniu art. 35 ust. 3 lit. a Konwencji. Ponadto Trybunał uznaje, że nie jest ona niedopuszczalna </w:t>
      </w:r>
      <w:r w:rsidR="00BE2DB4">
        <w:t>z żadnego innego powodu</w:t>
      </w:r>
      <w:r w:rsidR="008C003A">
        <w:t>. Musi zatem zostać uznana za dopuszczalną.</w:t>
      </w:r>
    </w:p>
    <w:p w14:paraId="298FC9F0" w14:textId="76E5101B" w:rsidR="00414A46" w:rsidRDefault="00BE2DB4">
      <w:pPr>
        <w:pStyle w:val="JuH1"/>
        <w:numPr>
          <w:ilvl w:val="3"/>
          <w:numId w:val="1"/>
        </w:numPr>
        <w:spacing w:before="280"/>
      </w:pPr>
      <w:r>
        <w:rPr>
          <w:iCs/>
        </w:rPr>
        <w:t>Meritum</w:t>
      </w:r>
    </w:p>
    <w:p w14:paraId="0C42C94B" w14:textId="77777777" w:rsidR="00414A46" w:rsidRDefault="008C003A">
      <w:pPr>
        <w:pStyle w:val="JuHa0"/>
        <w:numPr>
          <w:ilvl w:val="4"/>
          <w:numId w:val="1"/>
        </w:numPr>
        <w:spacing w:before="280"/>
      </w:pPr>
      <w:r>
        <w:rPr>
          <w:bCs/>
        </w:rPr>
        <w:t>Stanowiska stron</w:t>
      </w:r>
    </w:p>
    <w:p w14:paraId="7930F232" w14:textId="6239524A" w:rsidR="00414A46" w:rsidRDefault="006D6FCD">
      <w:pPr>
        <w:pStyle w:val="JuPara"/>
      </w:pPr>
      <w:r>
        <w:t>155</w:t>
      </w:r>
      <w:r w:rsidR="008C003A">
        <w:t xml:space="preserve">.  Powołując się na orzecznictwo Trybunału i dostępne dowody, skarżący stwierdził, że władze krajowe nie wywiązały się ze spoczywającego na nich obowiązku przeprowadzenia skutecznego i szybkiego śledztwa, </w:t>
      </w:r>
      <w:r w:rsidR="00452C85">
        <w:t xml:space="preserve">jakiego </w:t>
      </w:r>
      <w:r w:rsidR="008C003A">
        <w:t xml:space="preserve">wymaga </w:t>
      </w:r>
      <w:r w:rsidR="00452C85">
        <w:t xml:space="preserve">art. 2 w jego aspekcie </w:t>
      </w:r>
      <w:r w:rsidR="008C003A">
        <w:t>proceduralny</w:t>
      </w:r>
      <w:r w:rsidR="00452C85">
        <w:t>m</w:t>
      </w:r>
      <w:r w:rsidR="008C003A">
        <w:t xml:space="preserve">. Zignorowały one </w:t>
      </w:r>
      <w:r w:rsidR="00452C85">
        <w:t xml:space="preserve">dowody istotne </w:t>
      </w:r>
      <w:r w:rsidR="008C003A">
        <w:t xml:space="preserve">lub </w:t>
      </w:r>
      <w:r w:rsidR="00452C85">
        <w:t xml:space="preserve">uznały </w:t>
      </w:r>
      <w:r w:rsidR="008C003A">
        <w:t xml:space="preserve">dowody </w:t>
      </w:r>
      <w:r w:rsidR="00452C85">
        <w:t xml:space="preserve">za </w:t>
      </w:r>
      <w:r w:rsidR="008C003A">
        <w:t xml:space="preserve">zbędne i wielokrotnie próbowały umorzyć postępowania karne, wydając decyzje, które </w:t>
      </w:r>
      <w:r w:rsidR="006E7A93">
        <w:t xml:space="preserve">następnie </w:t>
      </w:r>
      <w:r w:rsidR="008C003A">
        <w:t>były uchylane. Konieczność skutecznego i szybkiego śledztwa była tym bardziej istotna w szczególnych okolicznościach sprawy skarżącego</w:t>
      </w:r>
      <w:r w:rsidR="006E7A93">
        <w:t xml:space="preserve">, że w wypadku brał </w:t>
      </w:r>
      <w:r w:rsidR="008C003A">
        <w:t>udział funkcjonariusza państwow</w:t>
      </w:r>
      <w:r w:rsidR="006E7A93">
        <w:t>y</w:t>
      </w:r>
      <w:r w:rsidR="008C003A">
        <w:t xml:space="preserve"> oraz że w chwili wypadku skarżący był sędzią, który czynnie uczestniczył w sprawach karnych</w:t>
      </w:r>
      <w:r w:rsidR="006E7A93">
        <w:t xml:space="preserve"> i</w:t>
      </w:r>
      <w:r w:rsidR="008C003A">
        <w:t xml:space="preserve"> istniało ryzyko umyślnego działania skierowanego przeciwko niemu.</w:t>
      </w:r>
    </w:p>
    <w:p w14:paraId="65C871F5" w14:textId="4C16C3DD" w:rsidR="00414A46" w:rsidRDefault="006D6FCD">
      <w:pPr>
        <w:pStyle w:val="JuPara"/>
      </w:pPr>
      <w:r>
        <w:t>156</w:t>
      </w:r>
      <w:r w:rsidR="008C003A">
        <w:t>.  Rząd podniósł, że śledztwo przeprowadzone przez władze w </w:t>
      </w:r>
      <w:r w:rsidR="006E7A93">
        <w:t xml:space="preserve">niniejszej </w:t>
      </w:r>
      <w:r w:rsidR="008C003A">
        <w:t>sprawie było skuteczne. Władze niezwłocznie wszczęły śledztwo dotyczące okoliczności wypadku, pozostały aktywne i dołożyły starań w celu możliwie jak najszerszego wyjaśnienia okoliczności sprawy. Czas trwania postępowania oraz fakt, że odpowiedzialność karna D.I. uległa przedawnieniu, były konsekwencjami złożoności sprawy i obszernego materiału dowodowego, który władze musiały uwzględnić, a nie bezczynności władz ani nielegalnej zmowy między śledczymi a podejrzanymi.</w:t>
      </w:r>
    </w:p>
    <w:p w14:paraId="55C89F57" w14:textId="77777777" w:rsidR="00414A46" w:rsidRDefault="008C003A">
      <w:pPr>
        <w:pStyle w:val="JuHa0"/>
        <w:numPr>
          <w:ilvl w:val="4"/>
          <w:numId w:val="1"/>
        </w:numPr>
        <w:spacing w:before="280"/>
      </w:pPr>
      <w:r>
        <w:rPr>
          <w:bCs/>
        </w:rPr>
        <w:t>Ocena Trybunału</w:t>
      </w:r>
    </w:p>
    <w:p w14:paraId="0C95B68F" w14:textId="77777777" w:rsidR="00414A46" w:rsidRDefault="008C003A">
      <w:pPr>
        <w:pStyle w:val="JuHi"/>
        <w:numPr>
          <w:ilvl w:val="5"/>
          <w:numId w:val="1"/>
        </w:numPr>
        <w:spacing w:before="280"/>
      </w:pPr>
      <w:r>
        <w:rPr>
          <w:iCs/>
        </w:rPr>
        <w:t>Zasady ogólne</w:t>
      </w:r>
    </w:p>
    <w:p w14:paraId="66893947" w14:textId="17956BCC" w:rsidR="00414A46" w:rsidRDefault="006D6FCD">
      <w:pPr>
        <w:pStyle w:val="JuPara"/>
      </w:pPr>
      <w:r>
        <w:t>157</w:t>
      </w:r>
      <w:r w:rsidR="008C003A">
        <w:t xml:space="preserve">.  Trybunał przypomina, że w przypadku śmierci lub </w:t>
      </w:r>
      <w:r w:rsidR="00B63703">
        <w:t xml:space="preserve">obrażeń </w:t>
      </w:r>
      <w:r w:rsidR="008C003A">
        <w:t xml:space="preserve">zagrażających życiu należy uznać, iż spoczywający na państwie obowiązek </w:t>
      </w:r>
      <w:r w:rsidR="008C003A">
        <w:lastRenderedPageBreak/>
        <w:t xml:space="preserve">ochrony prawa do życia obejmuje </w:t>
      </w:r>
      <w:r w:rsidR="00B63703">
        <w:t xml:space="preserve">również </w:t>
      </w:r>
      <w:r w:rsidR="008C003A">
        <w:t xml:space="preserve">ustanowienia skutecznego </w:t>
      </w:r>
      <w:r w:rsidR="00B63703">
        <w:t xml:space="preserve">niezależnego </w:t>
      </w:r>
      <w:r w:rsidR="008C003A">
        <w:t xml:space="preserve">systemu </w:t>
      </w:r>
      <w:r w:rsidR="00B313BA">
        <w:t>wymiaru sprawiedliwości</w:t>
      </w:r>
      <w:r w:rsidR="008C003A">
        <w:t xml:space="preserve">, umożliwiającego szybkie ustalenie okoliczności faktycznych, pociągnięcie do odpowiedzialności winnych i zapewnienie ofierze stosownego </w:t>
      </w:r>
      <w:r w:rsidR="00B313BA">
        <w:t>zadośćuczynienia</w:t>
      </w:r>
      <w:r w:rsidR="008C003A">
        <w:t xml:space="preserve"> (zob. par. </w:t>
      </w:r>
      <w:r w:rsidR="001F2548">
        <w:t>13</w:t>
      </w:r>
      <w:r w:rsidR="008C003A">
        <w:t>7 i </w:t>
      </w:r>
      <w:r w:rsidR="001F2548">
        <w:t>13</w:t>
      </w:r>
      <w:r w:rsidR="008C003A">
        <w:t>9 powyżej).</w:t>
      </w:r>
    </w:p>
    <w:p w14:paraId="396754E0" w14:textId="75C9F3FF" w:rsidR="00414A46" w:rsidRDefault="006D6FCD">
      <w:pPr>
        <w:pStyle w:val="JuPara"/>
      </w:pPr>
      <w:r>
        <w:t>158</w:t>
      </w:r>
      <w:r w:rsidR="008C003A">
        <w:t>.  Forma śledztwa</w:t>
      </w:r>
      <w:r w:rsidR="00B313BA">
        <w:t>, którego wymóg wynika</w:t>
      </w:r>
      <w:r w:rsidR="008C003A">
        <w:t xml:space="preserve"> z tego obowiązku różni się w zależności od charakteru ingerencji w prawo do życia. Art. 2 może, a w pewnych okolicznościach musi, obejmować </w:t>
      </w:r>
      <w:r w:rsidR="00B313BA">
        <w:t>zastosowanie</w:t>
      </w:r>
      <w:r w:rsidR="008C003A">
        <w:t xml:space="preserve"> prawa karnego (zob. m.in. </w:t>
      </w:r>
      <w:r w:rsidR="008C003A">
        <w:rPr>
          <w:i/>
          <w:iCs/>
        </w:rPr>
        <w:t>Calvelli i Ciglio</w:t>
      </w:r>
      <w:r w:rsidR="008C003A">
        <w:t xml:space="preserve">, </w:t>
      </w:r>
      <w:r w:rsidR="00B313BA" w:rsidRPr="001069DE">
        <w:t>cyt. pow.,</w:t>
      </w:r>
      <w:r w:rsidR="008C003A">
        <w:t xml:space="preserve"> § 51; </w:t>
      </w:r>
      <w:r w:rsidR="008C003A">
        <w:rPr>
          <w:i/>
          <w:iCs/>
        </w:rPr>
        <w:t>Vo</w:t>
      </w:r>
      <w:r w:rsidR="008C003A">
        <w:t xml:space="preserve">, </w:t>
      </w:r>
      <w:r w:rsidR="00B313BA" w:rsidRPr="001069DE">
        <w:t>cyt. pow.,</w:t>
      </w:r>
      <w:r w:rsidR="008C003A">
        <w:t xml:space="preserve"> § 90 oraz </w:t>
      </w:r>
      <w:r w:rsidR="008C003A">
        <w:rPr>
          <w:i/>
          <w:iCs/>
        </w:rPr>
        <w:t>Šilih</w:t>
      </w:r>
      <w:r w:rsidR="008C003A">
        <w:t xml:space="preserve">, </w:t>
      </w:r>
      <w:r w:rsidR="00B313BA" w:rsidRPr="001069DE">
        <w:t>cyt. pow.,</w:t>
      </w:r>
      <w:r w:rsidR="008C003A">
        <w:t xml:space="preserve"> § 194). Na przykład jeżeli </w:t>
      </w:r>
      <w:r w:rsidR="00B313BA">
        <w:t xml:space="preserve">śmierć </w:t>
      </w:r>
      <w:r w:rsidR="008C003A">
        <w:t>został</w:t>
      </w:r>
      <w:r w:rsidR="00B313BA">
        <w:t>a</w:t>
      </w:r>
      <w:r w:rsidR="008C003A">
        <w:t xml:space="preserve"> spowodowan</w:t>
      </w:r>
      <w:r w:rsidR="00B313BA">
        <w:t>a</w:t>
      </w:r>
      <w:r w:rsidR="008C003A">
        <w:t xml:space="preserve"> umyślnie, śledztwo jest na ogół konieczne (zob. m.in. </w:t>
      </w:r>
      <w:r w:rsidR="008C003A">
        <w:rPr>
          <w:i/>
          <w:iCs/>
        </w:rPr>
        <w:t>Mustafa Tunç i Fecire Tunç przeciwko Turcji</w:t>
      </w:r>
      <w:r w:rsidR="008C003A">
        <w:t xml:space="preserve"> [WI], nr 24014/05, § 170, 14 kwietnia 2015 r.); to samo dotyczy sytuacji, gdy doszło do umyślnego zagrożenia życia.</w:t>
      </w:r>
    </w:p>
    <w:p w14:paraId="4C2FE76C" w14:textId="7B024D84" w:rsidR="00414A46" w:rsidRDefault="006D6FCD">
      <w:pPr>
        <w:pStyle w:val="JuPara"/>
      </w:pPr>
      <w:r>
        <w:t>159</w:t>
      </w:r>
      <w:r w:rsidR="008C003A">
        <w:t>.  </w:t>
      </w:r>
      <w:r w:rsidR="004A64D4">
        <w:t xml:space="preserve">Jeśli chodzi o sprawy dotyczące nieumyślnego spowodowania śmierci lub nieumyślnego zagrożenia życia </w:t>
      </w:r>
      <w:r w:rsidR="008C003A">
        <w:t xml:space="preserve">Trybunał przypomina, że wymóg ustanowienia skutecznego systemu </w:t>
      </w:r>
      <w:r w:rsidR="004A64D4">
        <w:t xml:space="preserve">wymiaru sprawiedliwości </w:t>
      </w:r>
      <w:r w:rsidR="008C003A">
        <w:t xml:space="preserve">będzie spełniony, jeżeli system prawny umożliwia </w:t>
      </w:r>
      <w:r w:rsidR="004A64D4">
        <w:t xml:space="preserve">pokrzywdzonym </w:t>
      </w:r>
      <w:r w:rsidR="008C003A">
        <w:t xml:space="preserve">(lub ich osobom bliskim) skorzystanie ze środka </w:t>
      </w:r>
      <w:r w:rsidR="004A64D4">
        <w:t xml:space="preserve">zaradczego </w:t>
      </w:r>
      <w:r w:rsidR="008C003A">
        <w:t xml:space="preserve">przed sądem cywilnym, </w:t>
      </w:r>
      <w:r w:rsidR="004A64D4">
        <w:t xml:space="preserve">umożliwiającego </w:t>
      </w:r>
      <w:r w:rsidR="00706BEF">
        <w:t xml:space="preserve">– bądź samodzielnie bądź w połączeniu ze środkiem karnym - </w:t>
      </w:r>
      <w:r w:rsidR="004A64D4">
        <w:t>ustalenie odpowiedzialności i uzyskanie odpowiedniego zadośćuczynienia</w:t>
      </w:r>
      <w:r w:rsidR="008C003A">
        <w:t>. W przypadku</w:t>
      </w:r>
      <w:r w:rsidR="00706BEF">
        <w:t>,</w:t>
      </w:r>
      <w:r w:rsidR="008C003A">
        <w:t xml:space="preserve"> gdy w spraw</w:t>
      </w:r>
      <w:r w:rsidR="00706BEF">
        <w:t>ie biorą udział</w:t>
      </w:r>
      <w:r w:rsidR="008C003A">
        <w:t xml:space="preserve"> funkcjonariusze państwowi lub przedstawiciele niektórych zawodów, przewidziane mogą być również środki dyscyplinarne (zob. m.in. </w:t>
      </w:r>
      <w:r w:rsidR="008C003A">
        <w:rPr>
          <w:i/>
          <w:iCs/>
        </w:rPr>
        <w:t>Calvelli i Ciglio</w:t>
      </w:r>
      <w:r w:rsidR="008C003A">
        <w:t xml:space="preserve">, </w:t>
      </w:r>
      <w:r w:rsidR="00706BEF" w:rsidRPr="001069DE">
        <w:t>cyt. pow.,</w:t>
      </w:r>
      <w:r w:rsidR="008C003A">
        <w:t xml:space="preserve"> § 51; </w:t>
      </w:r>
      <w:r w:rsidR="008C003A">
        <w:rPr>
          <w:i/>
          <w:iCs/>
        </w:rPr>
        <w:t>Vo</w:t>
      </w:r>
      <w:r w:rsidR="008C003A">
        <w:t xml:space="preserve">, </w:t>
      </w:r>
      <w:r w:rsidR="001E4ACA">
        <w:t xml:space="preserve">cyt. pow., </w:t>
      </w:r>
      <w:r w:rsidR="008C003A">
        <w:t xml:space="preserve">§ 90; </w:t>
      </w:r>
      <w:r w:rsidR="008C003A">
        <w:rPr>
          <w:i/>
          <w:iCs/>
        </w:rPr>
        <w:t>Šilih</w:t>
      </w:r>
      <w:r w:rsidR="008C003A">
        <w:t xml:space="preserve">, </w:t>
      </w:r>
      <w:r w:rsidR="001E4ACA" w:rsidRPr="001069DE">
        <w:t>cyt. pow.,</w:t>
      </w:r>
      <w:r w:rsidR="008C003A">
        <w:t xml:space="preserve"> § 194; </w:t>
      </w:r>
      <w:r w:rsidR="008C003A">
        <w:rPr>
          <w:i/>
          <w:iCs/>
        </w:rPr>
        <w:t>Centr</w:t>
      </w:r>
      <w:r w:rsidR="001E4ACA">
        <w:rPr>
          <w:i/>
          <w:iCs/>
        </w:rPr>
        <w:t>e for Legal Resources</w:t>
      </w:r>
      <w:r w:rsidR="008C003A">
        <w:rPr>
          <w:i/>
          <w:iCs/>
        </w:rPr>
        <w:t xml:space="preserve"> w imieniu Valentina Câmpeanu</w:t>
      </w:r>
      <w:r w:rsidR="008C003A">
        <w:t xml:space="preserve">, </w:t>
      </w:r>
      <w:r w:rsidR="001E4ACA" w:rsidRPr="001069DE">
        <w:t>cyt. pow.,</w:t>
      </w:r>
      <w:r w:rsidR="008C003A">
        <w:t xml:space="preserve"> § 132 oraz </w:t>
      </w:r>
      <w:r w:rsidR="008C003A">
        <w:rPr>
          <w:i/>
          <w:iCs/>
        </w:rPr>
        <w:t>Lopes de Sousa Fernandes</w:t>
      </w:r>
      <w:r w:rsidR="008C003A">
        <w:t xml:space="preserve">, </w:t>
      </w:r>
      <w:r w:rsidR="001E4ACA" w:rsidRPr="001069DE">
        <w:t>cyt. pow.,</w:t>
      </w:r>
      <w:r w:rsidR="008C003A">
        <w:t xml:space="preserve"> § 137).</w:t>
      </w:r>
    </w:p>
    <w:p w14:paraId="64CDF01A" w14:textId="41FB89BE" w:rsidR="00414A46" w:rsidRDefault="006D6FCD">
      <w:pPr>
        <w:pStyle w:val="JuPara"/>
      </w:pPr>
      <w:r>
        <w:t>160</w:t>
      </w:r>
      <w:r w:rsidR="008C003A">
        <w:t xml:space="preserve">.  Ponadto Trybunał przypomina, że chociaż Konwencja jako taka nie gwarantuje prawa do wszczęcia postępowania karnego przeciwko </w:t>
      </w:r>
      <w:r w:rsidR="001E4ACA">
        <w:t xml:space="preserve">innej osobie </w:t>
      </w:r>
      <w:r w:rsidR="008C003A">
        <w:t xml:space="preserve">– nawet w przypadku nieumyślnej ingerencji w prawo do życia lub integralność fizyczną, mogą istnieć wyjątkowe okoliczności, w których do </w:t>
      </w:r>
      <w:r w:rsidR="001E4ACA">
        <w:t>wy</w:t>
      </w:r>
      <w:r w:rsidR="008C003A">
        <w:t xml:space="preserve">pełnienia obowiązku proceduralnego wynikającego z art. 2 konieczne jest skuteczne śledztwo. Takie okoliczności mogą na przykład wystąpić, gdy do utraty lub zagrożenia życia doszło wskutek działania </w:t>
      </w:r>
      <w:r w:rsidR="001E4ACA">
        <w:t xml:space="preserve">organów </w:t>
      </w:r>
      <w:r w:rsidR="008C003A">
        <w:t>publiczn</w:t>
      </w:r>
      <w:r w:rsidR="001E4ACA">
        <w:t>ych</w:t>
      </w:r>
      <w:r w:rsidR="008C003A">
        <w:t xml:space="preserve">, które wykraczało poza błąd w ocenie lub niedbalstwo, lub gdy do utraty życia doszło w podejrzanych okolicznościach lub z powodu domniemanego dobrowolnego i lekkomyślnego lekceważenia przez osobę prywatną jej obowiązków prawnych wynikających z odpowiednich przepisów (zob. m.in. w kontekście niebezpiecznej działalności przemysłowej – </w:t>
      </w:r>
      <w:r w:rsidR="008C003A">
        <w:rPr>
          <w:i/>
          <w:iCs/>
        </w:rPr>
        <w:t>Öneryıldız</w:t>
      </w:r>
      <w:r w:rsidR="008C003A">
        <w:t xml:space="preserve">, </w:t>
      </w:r>
      <w:r w:rsidR="008C7541" w:rsidRPr="001069DE">
        <w:t>cyt. pow.,</w:t>
      </w:r>
      <w:r w:rsidR="008C003A">
        <w:t xml:space="preserve"> § 71; w kontekście wypadków drogowych, w których doszło do utraty życia w podejrzanych okolicznościach – </w:t>
      </w:r>
      <w:r w:rsidR="008C003A">
        <w:rPr>
          <w:i/>
          <w:iCs/>
        </w:rPr>
        <w:t>Al Fayed przeciwko Francji</w:t>
      </w:r>
      <w:r w:rsidR="008C003A">
        <w:t xml:space="preserve"> (dec.), nr 38501/02, § 73, 27 września 2007 r.; w kontekście odmowy opieki zdrowotnej – </w:t>
      </w:r>
      <w:r w:rsidR="008C003A">
        <w:rPr>
          <w:i/>
          <w:iCs/>
        </w:rPr>
        <w:t>Asiye Genc przeciwko Turcji</w:t>
      </w:r>
      <w:r w:rsidR="008C003A">
        <w:t xml:space="preserve">, nr 24109/07, § 73, 27 stycznia 2015 r.; w kontekście działań wojskowych – </w:t>
      </w:r>
      <w:r w:rsidR="008C003A">
        <w:rPr>
          <w:i/>
          <w:iCs/>
        </w:rPr>
        <w:t>Oruk przeciwko Turcji</w:t>
      </w:r>
      <w:r w:rsidR="008C003A">
        <w:t xml:space="preserve">, nr 33647/04, §§ 56–65, 4 lutego 2014 r. </w:t>
      </w:r>
      <w:r w:rsidR="008C7541">
        <w:t xml:space="preserve">i </w:t>
      </w:r>
      <w:r w:rsidR="008C003A">
        <w:rPr>
          <w:i/>
          <w:iCs/>
        </w:rPr>
        <w:t>Railean przeciwko Mołdawii</w:t>
      </w:r>
      <w:r w:rsidR="008C003A">
        <w:t xml:space="preserve">, </w:t>
      </w:r>
      <w:r w:rsidR="008C003A">
        <w:lastRenderedPageBreak/>
        <w:t>nr 23401/04, § 28, 5 stycznia 2010 r.</w:t>
      </w:r>
      <w:r w:rsidR="008C7541">
        <w:t>,</w:t>
      </w:r>
      <w:r w:rsidR="008C003A">
        <w:t xml:space="preserve"> a także w kontekście wypadku drogowego spowodowanego dobrowolnym i lekkomyślnym lekceważeniem przez osobę fizyczną jej obowiązków prawnych związanych z transportem towarów niebezpiecznych – </w:t>
      </w:r>
      <w:r w:rsidR="008C003A">
        <w:rPr>
          <w:i/>
          <w:iCs/>
        </w:rPr>
        <w:t>Sinim przeciwko Turcji</w:t>
      </w:r>
      <w:r w:rsidR="008C003A">
        <w:t>, nr 9441/10, § 63, 6 czerwca 2017 r.).</w:t>
      </w:r>
    </w:p>
    <w:p w14:paraId="4B80F56E" w14:textId="01DB913B" w:rsidR="00414A46" w:rsidRDefault="006D6FCD">
      <w:pPr>
        <w:pStyle w:val="JuPara"/>
      </w:pPr>
      <w:r>
        <w:t>161</w:t>
      </w:r>
      <w:r w:rsidR="008C003A">
        <w:t>.  </w:t>
      </w:r>
      <w:r w:rsidR="008C7541">
        <w:t xml:space="preserve">W wypadku śmierci </w:t>
      </w:r>
      <w:r w:rsidR="008C003A">
        <w:t>Trybunał orzekł, że jeżeli od samego początku nie stwierdzono jednoznacznie, że śmierć nastąpiła w wyniku wypadku lub innego czynu nieumyślnego, i jeżeli hipoteza bezprawnego pozbawienia życia daje się co najmniej uzasadnić w świetle faktów, Konwencja wymaga przeprowadzenia śledztwa o minimalnym progu skuteczności w celu wyjaśnienia okoliczności zgonu. Fakt, że w śledztwie ostatecznie przyjmuje się hipotezę o wypadku, nie ma wpływu na tę kwestię, ponieważ obowiąz</w:t>
      </w:r>
      <w:r w:rsidR="004A1BFB">
        <w:t>e</w:t>
      </w:r>
      <w:r w:rsidR="008C003A">
        <w:t xml:space="preserve">k przeprowadzenia śledztwa </w:t>
      </w:r>
      <w:r w:rsidR="004A1BFB">
        <w:t xml:space="preserve">ma na celu </w:t>
      </w:r>
      <w:r w:rsidR="008C003A">
        <w:t xml:space="preserve">w szczególności obalenie lub potwierdzenie jednej lub drugiej hipotezy (zob. </w:t>
      </w:r>
      <w:r w:rsidR="008C003A">
        <w:rPr>
          <w:i/>
          <w:iCs/>
        </w:rPr>
        <w:t>Mustafa Tunç i Fecire Tunç</w:t>
      </w:r>
      <w:r w:rsidR="008C003A">
        <w:t xml:space="preserve">, </w:t>
      </w:r>
      <w:r w:rsidR="004A1BFB" w:rsidRPr="001069DE">
        <w:t>cyt. pow.,</w:t>
      </w:r>
      <w:r w:rsidR="008C003A">
        <w:t xml:space="preserve"> § 133). W takich okolicznościach obowiązek przeprowadzenia skutecznego oficjalnego śledztwa istnieje nawet wówczas, gdy domniemany sprawca nie jest funkcjonariuszem państwowym (</w:t>
      </w:r>
      <w:r w:rsidR="008C003A">
        <w:rPr>
          <w:i/>
          <w:iCs/>
        </w:rPr>
        <w:t>ibid.</w:t>
      </w:r>
      <w:r w:rsidR="008C003A">
        <w:t xml:space="preserve">, § 171). W ocenie Trybunału powyższe powinno mieć zastosowanie również w sprawach dotyczących </w:t>
      </w:r>
      <w:r w:rsidR="004A1BFB">
        <w:t xml:space="preserve">obrażeń </w:t>
      </w:r>
      <w:r w:rsidR="008C003A">
        <w:t>zagrażających życiu.</w:t>
      </w:r>
    </w:p>
    <w:p w14:paraId="2D544A97" w14:textId="42426BB2" w:rsidR="00414A46" w:rsidRDefault="006D6FCD">
      <w:pPr>
        <w:pStyle w:val="JuPara"/>
      </w:pPr>
      <w:r>
        <w:t>162</w:t>
      </w:r>
      <w:r w:rsidR="008C003A">
        <w:t xml:space="preserve">.  Jeżeli chodzi o śmierć lub </w:t>
      </w:r>
      <w:r w:rsidR="00127E92">
        <w:t xml:space="preserve">obrażenia </w:t>
      </w:r>
      <w:r w:rsidR="008C003A">
        <w:t xml:space="preserve">zagrażające życiu spowodowane wypadkami drogowymi, Trybunał uważa, że gdy tylko władze </w:t>
      </w:r>
      <w:r w:rsidR="00127E92">
        <w:t>uzyskają wiedzę</w:t>
      </w:r>
      <w:r w:rsidR="008C003A">
        <w:t xml:space="preserve"> o danym incydencie, muszą dołożyć wszelkich uzasadnionych starań, biorąc pod uwagę praktyczne realia pracy śledczych, w tym posiadanie niezbędnych </w:t>
      </w:r>
      <w:r w:rsidR="00127E92">
        <w:t>zasobów</w:t>
      </w:r>
      <w:r w:rsidR="008C003A">
        <w:t xml:space="preserve">, w celu zapewnienia, aby dowody z miejsca zdarzenia i inne istotne dowody zebrano niezwłocznie i z </w:t>
      </w:r>
      <w:r w:rsidR="00127E92">
        <w:t xml:space="preserve">odpowiednią </w:t>
      </w:r>
      <w:r w:rsidR="008C003A">
        <w:t xml:space="preserve">dokładnością, tak by je zabezpieczyć oraz wyeliminować lub zminimalizować wszelkie ryzyko zaniechań, które mogą później ograniczyć możliwości ustalenia odpowiedzialności i pociągnięcia osób odpowiedzialnych do odpowiedzialności. Obowiązek ten spoczywa na władzach i nie może, jak stwierdzono powyżej, zostać pozostawiony inicjatywie ofiary lub jej osób bliskich (zob. odpowiednio </w:t>
      </w:r>
      <w:r w:rsidR="008C003A">
        <w:rPr>
          <w:i/>
          <w:iCs/>
        </w:rPr>
        <w:t>McKerr</w:t>
      </w:r>
      <w:r w:rsidR="008C003A">
        <w:t xml:space="preserve">, </w:t>
      </w:r>
      <w:r w:rsidR="00127E92" w:rsidRPr="001069DE">
        <w:t>cyt. pow.,</w:t>
      </w:r>
      <w:r w:rsidR="008C003A">
        <w:t xml:space="preserve"> § 111). Obowiązek gromadzenia dowodów powinien mieć zastosowanie co najmniej do czasu wyjaśnienia charakteru odpowiedzialności i upewnienia się przez władze, że nie ma podstaw do prowadzenia lub kontynuowania śledztwa.</w:t>
      </w:r>
    </w:p>
    <w:p w14:paraId="15BE3D3A" w14:textId="4FB7AD1F" w:rsidR="00414A46" w:rsidRDefault="006D6FCD">
      <w:pPr>
        <w:pStyle w:val="JuPara"/>
      </w:pPr>
      <w:r>
        <w:t>163</w:t>
      </w:r>
      <w:r w:rsidR="008C003A">
        <w:t xml:space="preserve">.  Trybunał uważa, że po ustaleniu </w:t>
      </w:r>
      <w:r w:rsidR="00277A02">
        <w:t xml:space="preserve">na </w:t>
      </w:r>
      <w:r w:rsidR="008C003A">
        <w:t xml:space="preserve">wstępnym </w:t>
      </w:r>
      <w:r w:rsidR="00277A02">
        <w:t xml:space="preserve">etapie </w:t>
      </w:r>
      <w:r w:rsidR="008C003A">
        <w:t>postępowani</w:t>
      </w:r>
      <w:r w:rsidR="00277A02">
        <w:t xml:space="preserve">a </w:t>
      </w:r>
      <w:r w:rsidR="008C003A">
        <w:t>przygotowawcz</w:t>
      </w:r>
      <w:r w:rsidR="00277A02">
        <w:t>ego</w:t>
      </w:r>
      <w:r w:rsidR="008C003A">
        <w:t xml:space="preserve">, że śmierć lub </w:t>
      </w:r>
      <w:r w:rsidR="00277A02">
        <w:t xml:space="preserve">obrażenia </w:t>
      </w:r>
      <w:r w:rsidR="008C003A">
        <w:t xml:space="preserve">zagrażające życiu nie </w:t>
      </w:r>
      <w:r w:rsidR="00277A02">
        <w:t xml:space="preserve">zostały </w:t>
      </w:r>
      <w:r w:rsidR="008C003A">
        <w:t xml:space="preserve">spowodowane umyślnie, logicznym następstwem </w:t>
      </w:r>
      <w:r w:rsidR="00277A02">
        <w:t xml:space="preserve">dwóch </w:t>
      </w:r>
      <w:r w:rsidR="008C003A">
        <w:t>form podejścia proceduralnego</w:t>
      </w:r>
      <w:r w:rsidR="00277A02">
        <w:t>,</w:t>
      </w:r>
      <w:r w:rsidR="008C003A">
        <w:t xml:space="preserve"> opisanych w par. </w:t>
      </w:r>
      <w:r w:rsidR="00CA2F92">
        <w:t>15</w:t>
      </w:r>
      <w:r w:rsidR="008C003A">
        <w:t>9 i </w:t>
      </w:r>
      <w:r w:rsidR="00CA2F92">
        <w:t>160</w:t>
      </w:r>
      <w:r w:rsidR="008C003A">
        <w:t>–</w:t>
      </w:r>
      <w:r w:rsidR="00CA2F92">
        <w:t>16</w:t>
      </w:r>
      <w:r w:rsidR="008C003A">
        <w:t>1 powyżej</w:t>
      </w:r>
      <w:r w:rsidR="00277A02">
        <w:t>,</w:t>
      </w:r>
      <w:r w:rsidR="008C003A">
        <w:t xml:space="preserve"> jest uznanie </w:t>
      </w:r>
      <w:r w:rsidR="00277A02">
        <w:t xml:space="preserve">za wystarczający środka </w:t>
      </w:r>
      <w:r w:rsidR="008C003A">
        <w:t>cywilnego, niezależnie od tego, czy osoba uznana za odpowiedzialną za incydent jest osoby prywatną, czy funkcjonariuszem państwowym.</w:t>
      </w:r>
    </w:p>
    <w:p w14:paraId="3E3FA0A7" w14:textId="14840CA0" w:rsidR="00414A46" w:rsidRDefault="006D6FCD">
      <w:pPr>
        <w:pStyle w:val="JuPara"/>
      </w:pPr>
      <w:r>
        <w:t>164</w:t>
      </w:r>
      <w:r w:rsidR="008C003A">
        <w:t>.  W sytuacji, w której konieczne jest śledztwo (zob. par. </w:t>
      </w:r>
      <w:r w:rsidR="00E85FE8">
        <w:t>15</w:t>
      </w:r>
      <w:r w:rsidR="008C003A">
        <w:t>8 i </w:t>
      </w:r>
      <w:r w:rsidR="00E85FE8">
        <w:t>160</w:t>
      </w:r>
      <w:r w:rsidR="008C003A">
        <w:t>–</w:t>
      </w:r>
      <w:r w:rsidR="00E85FE8">
        <w:t>16</w:t>
      </w:r>
      <w:r w:rsidR="008C003A">
        <w:t xml:space="preserve">1 powyżej), rodzaj śledztwa, który pozwoli osiągnąć cele polegające na </w:t>
      </w:r>
      <w:r w:rsidR="008C003A">
        <w:lastRenderedPageBreak/>
        <w:t>zapewnieniu skutecznego wdrożenia przepisów krajowych chroniących prawo do życia i pociągnięci</w:t>
      </w:r>
      <w:r w:rsidR="00E0706D">
        <w:t>a</w:t>
      </w:r>
      <w:r w:rsidR="008C003A">
        <w:t xml:space="preserve"> osób odpowiedzialnych do odpowiedzialności, może się różnić w zależności od okoliczności. Niezależnie jednak od zastosowanego </w:t>
      </w:r>
      <w:r w:rsidR="00E0706D">
        <w:t xml:space="preserve">modelu śledztwa </w:t>
      </w:r>
      <w:r w:rsidR="008C003A">
        <w:t xml:space="preserve">władze muszą działać z własnej inicjatywy, gdy tylko powezmą wiedzę o sprawie. Nie mogą pozostawić </w:t>
      </w:r>
      <w:r w:rsidR="00E0706D">
        <w:t xml:space="preserve">tego </w:t>
      </w:r>
      <w:r w:rsidR="008C003A">
        <w:t>inicjatywie bezpośredniej ofiary lub jej osób bliskich</w:t>
      </w:r>
      <w:r w:rsidR="00E0706D">
        <w:t>, czy to w zakresie</w:t>
      </w:r>
      <w:r w:rsidR="008C003A">
        <w:t xml:space="preserve"> wniesienia formalnej skargi, </w:t>
      </w:r>
      <w:r w:rsidR="00E0706D">
        <w:t xml:space="preserve">czy to </w:t>
      </w:r>
      <w:r w:rsidR="008C003A">
        <w:t xml:space="preserve">przejęcia odpowiedzialności za przeprowadzenie jakichkolwiek procedur śledczych (zob. odpowiednio </w:t>
      </w:r>
      <w:r w:rsidR="008C003A">
        <w:rPr>
          <w:i/>
          <w:iCs/>
        </w:rPr>
        <w:t>McKerr</w:t>
      </w:r>
      <w:r w:rsidR="008C003A">
        <w:t xml:space="preserve">, </w:t>
      </w:r>
      <w:r w:rsidR="00E0706D" w:rsidRPr="001069DE">
        <w:t>cyt. pow.,</w:t>
      </w:r>
      <w:r w:rsidR="008C003A">
        <w:t xml:space="preserve"> § 111).</w:t>
      </w:r>
    </w:p>
    <w:p w14:paraId="2A03048E" w14:textId="4C5D4E23" w:rsidR="00414A46" w:rsidRDefault="006D6FCD">
      <w:pPr>
        <w:pStyle w:val="JuPara"/>
      </w:pPr>
      <w:r>
        <w:t>165</w:t>
      </w:r>
      <w:r w:rsidR="008C003A">
        <w:t xml:space="preserve">.  Aby śledztwo było „skuteczne”, jak to wyrażenie należy rozumieć w kontekście art. 2 Konwencji, musi być ono przede wszystkim adekwatne (zob. </w:t>
      </w:r>
      <w:r w:rsidR="008C003A">
        <w:rPr>
          <w:i/>
          <w:iCs/>
        </w:rPr>
        <w:t>Ramsahai i Inni przeciwko Niderlandom</w:t>
      </w:r>
      <w:r w:rsidR="008C003A">
        <w:t xml:space="preserve"> [WI], nr 52391/99, § 324, ETPC 2007-II). Oznacza to, że musi ono być w stanie doprowadzić do ustalenia okoliczności faktycznych oraz, w stosownych przypadkach, </w:t>
      </w:r>
      <w:r w:rsidR="00830F00">
        <w:t>zidentyfikowania</w:t>
      </w:r>
      <w:r w:rsidR="008C003A">
        <w:t xml:space="preserve"> i ukarania osób odpowiedzialnych (zob. </w:t>
      </w:r>
      <w:r w:rsidR="008C003A">
        <w:rPr>
          <w:i/>
          <w:iCs/>
        </w:rPr>
        <w:t>Mustafa Tunç i Fecire Tunç</w:t>
      </w:r>
      <w:r w:rsidR="008C003A">
        <w:t xml:space="preserve">, </w:t>
      </w:r>
      <w:r w:rsidR="00830F00" w:rsidRPr="001069DE">
        <w:t>cyt. pow.</w:t>
      </w:r>
      <w:r w:rsidR="00830F00">
        <w:t>,</w:t>
      </w:r>
      <w:r w:rsidR="008C003A">
        <w:t xml:space="preserve"> § 172 oraz </w:t>
      </w:r>
      <w:r w:rsidR="008C003A">
        <w:rPr>
          <w:i/>
          <w:iCs/>
        </w:rPr>
        <w:t>Armani Da Silva przeciwko Zjednoczonemu Królestwu</w:t>
      </w:r>
      <w:r w:rsidR="008C003A">
        <w:t xml:space="preserve"> [WI], nr 5878/08, § 233, 30 marca 2016 r.).</w:t>
      </w:r>
    </w:p>
    <w:p w14:paraId="50D285EA" w14:textId="5501369B" w:rsidR="00414A46" w:rsidRDefault="006D6FCD">
      <w:pPr>
        <w:pStyle w:val="JuPara"/>
      </w:pPr>
      <w:r>
        <w:t>166</w:t>
      </w:r>
      <w:r w:rsidR="008C003A">
        <w:t xml:space="preserve">.  Śledztwo musi być </w:t>
      </w:r>
      <w:r w:rsidR="00566624">
        <w:t xml:space="preserve">także </w:t>
      </w:r>
      <w:r w:rsidR="008C003A">
        <w:t xml:space="preserve">dogłębne, co </w:t>
      </w:r>
      <w:r w:rsidR="00830F00">
        <w:t>o</w:t>
      </w:r>
      <w:r w:rsidR="008C003A">
        <w:t>znacz</w:t>
      </w:r>
      <w:r w:rsidR="00830F00">
        <w:t>a</w:t>
      </w:r>
      <w:r w:rsidR="008C003A">
        <w:t xml:space="preserve">, że władze muszą </w:t>
      </w:r>
      <w:r w:rsidR="00830F00">
        <w:t xml:space="preserve">podjąć </w:t>
      </w:r>
      <w:r w:rsidR="008C003A">
        <w:t xml:space="preserve">wszelkie dostępne im </w:t>
      </w:r>
      <w:r w:rsidR="00830F00">
        <w:t xml:space="preserve">uzasadnione kroki </w:t>
      </w:r>
      <w:r w:rsidR="008C003A">
        <w:t xml:space="preserve">w celu zabezpieczenia dowodów dotyczących </w:t>
      </w:r>
      <w:r w:rsidR="00830F00">
        <w:t>wypadku</w:t>
      </w:r>
      <w:r w:rsidR="0010212C">
        <w:t>,</w:t>
      </w:r>
      <w:r w:rsidR="008C003A">
        <w:t> w każdym przypadku docieka</w:t>
      </w:r>
      <w:r w:rsidR="0010212C">
        <w:t>jąc</w:t>
      </w:r>
      <w:r w:rsidR="008C003A">
        <w:t xml:space="preserve">, </w:t>
      </w:r>
      <w:r w:rsidR="0010212C">
        <w:t>co się zdarzyło</w:t>
      </w:r>
      <w:r w:rsidR="008C003A">
        <w:t xml:space="preserve"> oraz </w:t>
      </w:r>
      <w:r w:rsidR="0010212C">
        <w:t xml:space="preserve">że </w:t>
      </w:r>
      <w:r w:rsidR="008C003A">
        <w:t xml:space="preserve">nie mogą polegać na pochopnych lub bezzasadnych wnioskach, aby zamknąć śledztwo lub wykorzystać je jako podstawę swoich decyzji (zob. </w:t>
      </w:r>
      <w:r w:rsidR="008C003A">
        <w:rPr>
          <w:i/>
          <w:iCs/>
        </w:rPr>
        <w:t>Mocanu i Inni</w:t>
      </w:r>
      <w:r w:rsidR="008C003A">
        <w:t xml:space="preserve">, </w:t>
      </w:r>
      <w:r w:rsidR="0010212C" w:rsidRPr="001069DE">
        <w:t>cyt. pow.,</w:t>
      </w:r>
      <w:r w:rsidR="008C003A">
        <w:t xml:space="preserve"> § 325; zob. również na gruncie art. 3 Konwencji </w:t>
      </w:r>
      <w:r w:rsidR="008C003A">
        <w:rPr>
          <w:i/>
          <w:iCs/>
        </w:rPr>
        <w:t>El-Masri</w:t>
      </w:r>
      <w:r w:rsidR="008C003A">
        <w:t xml:space="preserve">, </w:t>
      </w:r>
      <w:r w:rsidR="0010212C" w:rsidRPr="001069DE">
        <w:t>cyt. pow.,</w:t>
      </w:r>
      <w:r w:rsidR="008C003A">
        <w:t xml:space="preserve"> § 183</w:t>
      </w:r>
      <w:r w:rsidR="0010212C">
        <w:t xml:space="preserve"> i</w:t>
      </w:r>
      <w:r w:rsidR="008C003A">
        <w:t xml:space="preserve"> </w:t>
      </w:r>
      <w:r w:rsidR="008C003A">
        <w:rPr>
          <w:i/>
          <w:iCs/>
        </w:rPr>
        <w:t>Bouyid</w:t>
      </w:r>
      <w:r w:rsidR="008C003A">
        <w:t xml:space="preserve">, </w:t>
      </w:r>
      <w:r w:rsidR="0010212C" w:rsidRPr="001069DE">
        <w:t>cyt. pow.,</w:t>
      </w:r>
      <w:r w:rsidR="008C003A">
        <w:t xml:space="preserve"> § 123).</w:t>
      </w:r>
    </w:p>
    <w:p w14:paraId="3768430A" w14:textId="5DFD7F9A" w:rsidR="00414A46" w:rsidRDefault="006D6FCD">
      <w:pPr>
        <w:pStyle w:val="JuPara"/>
      </w:pPr>
      <w:r>
        <w:t>167</w:t>
      </w:r>
      <w:r w:rsidR="008C003A">
        <w:t xml:space="preserve">.  Należy ponadto podkreślić, że nawet </w:t>
      </w:r>
      <w:r w:rsidR="00566624">
        <w:t>jeśli wystąpią</w:t>
      </w:r>
      <w:r w:rsidR="008C003A">
        <w:t xml:space="preserve"> przeszk</w:t>
      </w:r>
      <w:r w:rsidR="00566624">
        <w:t>ody</w:t>
      </w:r>
      <w:r w:rsidR="008C003A">
        <w:t xml:space="preserve"> lub trudności uniemożliwiając</w:t>
      </w:r>
      <w:r w:rsidR="00566624">
        <w:t>e</w:t>
      </w:r>
      <w:r w:rsidR="008C003A">
        <w:t xml:space="preserve"> poczynienie postępów w śledztwie</w:t>
      </w:r>
      <w:r w:rsidR="00566624">
        <w:t>,</w:t>
      </w:r>
      <w:r w:rsidR="008C003A">
        <w:t xml:space="preserve"> szybka reakcja władz ma zasadnicze znaczenie dla bezpieczeństwa publicznego oraz dla utrzymania zaufania publicznego co do przestrzegania </w:t>
      </w:r>
      <w:r w:rsidR="00566624">
        <w:t xml:space="preserve">zasady rządów prawa </w:t>
      </w:r>
      <w:r w:rsidR="008C003A">
        <w:t xml:space="preserve">i zapobiegania wrażeniu zmowy lub tolerowania czynów niezgodnych z prawem. Ponadto śledztwo musi zostać zakończone w rozsądnym terminie (zob. </w:t>
      </w:r>
      <w:r w:rsidR="008C003A">
        <w:rPr>
          <w:i/>
          <w:iCs/>
        </w:rPr>
        <w:t>Šilih</w:t>
      </w:r>
      <w:r w:rsidR="008C003A">
        <w:t xml:space="preserve">, </w:t>
      </w:r>
      <w:r w:rsidR="00566624" w:rsidRPr="001069DE">
        <w:t>cyt. pow.,</w:t>
      </w:r>
      <w:r w:rsidR="008C003A">
        <w:t xml:space="preserve"> § 195 </w:t>
      </w:r>
      <w:r w:rsidR="00A55BA2">
        <w:t xml:space="preserve">i </w:t>
      </w:r>
      <w:r w:rsidR="008C003A">
        <w:rPr>
          <w:i/>
          <w:iCs/>
        </w:rPr>
        <w:t>Lopes de Sousa Fernandes</w:t>
      </w:r>
      <w:r w:rsidR="008C003A">
        <w:t xml:space="preserve">, </w:t>
      </w:r>
      <w:r w:rsidR="00566624" w:rsidRPr="001069DE">
        <w:t>cyt. pow.,</w:t>
      </w:r>
      <w:r w:rsidR="008C003A">
        <w:t xml:space="preserve"> § 218).</w:t>
      </w:r>
    </w:p>
    <w:p w14:paraId="35E0B917" w14:textId="47F015A0" w:rsidR="00414A46" w:rsidRDefault="006D6FCD">
      <w:pPr>
        <w:pStyle w:val="JuPara"/>
      </w:pPr>
      <w:r>
        <w:t>168</w:t>
      </w:r>
      <w:r w:rsidR="008C003A">
        <w:t>.  Zasadniczo konieczne jest także, aby system krajowy ustanowiony w celu ustal</w:t>
      </w:r>
      <w:r w:rsidR="00A55BA2">
        <w:t>e</w:t>
      </w:r>
      <w:r w:rsidR="008C003A">
        <w:t xml:space="preserve">nia przyczyny śmierci lub poważnych </w:t>
      </w:r>
      <w:r w:rsidR="00A55BA2">
        <w:t xml:space="preserve">obrażeń </w:t>
      </w:r>
      <w:r w:rsidR="008C003A">
        <w:t xml:space="preserve">fizycznych był niezależny. Oznacza to nie tylko brak powiązań hierarchicznych lub instytucjonalnych, lecz także </w:t>
      </w:r>
      <w:r w:rsidR="00A55BA2">
        <w:t xml:space="preserve">praktyczną </w:t>
      </w:r>
      <w:r w:rsidR="008C003A">
        <w:t xml:space="preserve">niezależność oznaczającą, że wszystkie osoby, którym powierzono przeprowadzenie oceny w postępowaniu mającym na celu ustalenie przyczyny śmierci lub </w:t>
      </w:r>
      <w:r w:rsidR="00A55BA2">
        <w:t xml:space="preserve">obrażeń </w:t>
      </w:r>
      <w:r w:rsidR="008C003A">
        <w:t xml:space="preserve">fizycznych, są formalnie i faktycznie niezależne od osób zamieszanych w zdarzenia (zob. </w:t>
      </w:r>
      <w:r w:rsidR="008C003A">
        <w:rPr>
          <w:i/>
          <w:iCs/>
        </w:rPr>
        <w:t>Bajić przeciwko Chorwacji</w:t>
      </w:r>
      <w:r w:rsidR="008C003A">
        <w:t xml:space="preserve">, nr 41108/10, § 90, 13 listopada 2012 r.; oraz </w:t>
      </w:r>
      <w:r w:rsidR="008C003A">
        <w:rPr>
          <w:i/>
          <w:iCs/>
        </w:rPr>
        <w:t>Lopes de Sousa Fernandes</w:t>
      </w:r>
      <w:r w:rsidR="008C003A">
        <w:t xml:space="preserve">, </w:t>
      </w:r>
      <w:r w:rsidR="00A55BA2">
        <w:t>cyt. pow.,</w:t>
      </w:r>
      <w:r w:rsidR="008C003A">
        <w:t xml:space="preserve"> § 217).</w:t>
      </w:r>
    </w:p>
    <w:p w14:paraId="092974C3" w14:textId="55D77877" w:rsidR="00414A46" w:rsidRDefault="006D6FCD">
      <w:pPr>
        <w:pStyle w:val="JuPara"/>
      </w:pPr>
      <w:r>
        <w:t>169</w:t>
      </w:r>
      <w:r w:rsidR="008C003A">
        <w:t xml:space="preserve">.  W sprawie takiej jak </w:t>
      </w:r>
      <w:r w:rsidR="00A55BA2">
        <w:t>niniejsza</w:t>
      </w:r>
      <w:r w:rsidR="008C003A">
        <w:t>, w której dostępne są różne środki</w:t>
      </w:r>
      <w:r w:rsidR="00D808F3">
        <w:t xml:space="preserve"> naprawcze</w:t>
      </w:r>
      <w:r w:rsidR="008C003A">
        <w:t xml:space="preserve">, zarówno cywilne jak i karne, Trybunał rozważy, czy środki </w:t>
      </w:r>
      <w:r w:rsidR="00A55BA2">
        <w:t xml:space="preserve">te zastosowane </w:t>
      </w:r>
      <w:r w:rsidR="008C003A">
        <w:t>razem w sposób przewidziany w prawie i </w:t>
      </w:r>
      <w:r w:rsidR="00D808F3">
        <w:t>praktycznie,</w:t>
      </w:r>
      <w:r w:rsidR="008C003A">
        <w:t xml:space="preserve"> można uznać za </w:t>
      </w:r>
      <w:r w:rsidR="00D808F3">
        <w:t xml:space="preserve">środki prawne </w:t>
      </w:r>
      <w:r w:rsidR="008C003A">
        <w:t xml:space="preserve">umożliwiające ustalenie okoliczności faktycznych, </w:t>
      </w:r>
      <w:r w:rsidR="008C003A">
        <w:lastRenderedPageBreak/>
        <w:t xml:space="preserve">pociągnięcie do odpowiedzialności winnych i zapewnienie ofierze stosownego </w:t>
      </w:r>
      <w:r w:rsidR="00D808F3">
        <w:t>zadośćuczynienia</w:t>
      </w:r>
      <w:r w:rsidR="008C003A">
        <w:t xml:space="preserve">. Wybór środków służących zapewnieniu </w:t>
      </w:r>
      <w:r w:rsidR="00D808F3">
        <w:t xml:space="preserve">wykonania </w:t>
      </w:r>
      <w:r w:rsidR="008C003A">
        <w:t xml:space="preserve">obowiązków pozytywnych </w:t>
      </w:r>
      <w:r w:rsidR="00D808F3">
        <w:t>z</w:t>
      </w:r>
      <w:r w:rsidR="008C003A">
        <w:t xml:space="preserve"> art. 2 jest co do zasady kwestią wchodzącą w zakres swobody</w:t>
      </w:r>
      <w:r w:rsidR="00D808F3">
        <w:t xml:space="preserve"> uznania</w:t>
      </w:r>
      <w:r w:rsidR="008C003A">
        <w:t xml:space="preserve"> </w:t>
      </w:r>
      <w:r w:rsidR="00D808F3">
        <w:t>Państwa - Strony</w:t>
      </w:r>
      <w:r w:rsidR="008C003A">
        <w:t>. Istnieją różne sposoby gwarantowania praw wynikających z Konwencji</w:t>
      </w:r>
      <w:r w:rsidR="00D808F3">
        <w:t xml:space="preserve"> i</w:t>
      </w:r>
      <w:r w:rsidR="008C003A">
        <w:t xml:space="preserve"> nawet jeżeli </w:t>
      </w:r>
      <w:r w:rsidR="00D808F3">
        <w:t>P</w:t>
      </w:r>
      <w:r w:rsidR="008C003A">
        <w:t xml:space="preserve">aństwo nie zastosowało jednego konkretnego środka przewidzianego w prawie krajowym, mogło </w:t>
      </w:r>
      <w:r w:rsidR="00D808F3">
        <w:t>nadal wy</w:t>
      </w:r>
      <w:r w:rsidR="008C003A">
        <w:t xml:space="preserve">pełnić swój obowiązek pozytywny za pomocą innych środków (zob. </w:t>
      </w:r>
      <w:r w:rsidR="008C003A">
        <w:rPr>
          <w:i/>
          <w:iCs/>
        </w:rPr>
        <w:t>Ciechońska</w:t>
      </w:r>
      <w:r w:rsidR="008C003A">
        <w:t xml:space="preserve">, </w:t>
      </w:r>
      <w:r w:rsidR="00D808F3">
        <w:t>cyt. pow.,</w:t>
      </w:r>
      <w:r w:rsidR="008C003A">
        <w:t xml:space="preserve"> § 65; </w:t>
      </w:r>
      <w:r w:rsidR="008C003A">
        <w:rPr>
          <w:i/>
          <w:iCs/>
        </w:rPr>
        <w:t>Ilbeyi Kemaloğlu i Meriye Kemaloğlu</w:t>
      </w:r>
      <w:r w:rsidR="008C003A">
        <w:t xml:space="preserve">, </w:t>
      </w:r>
      <w:r w:rsidR="00D808F3">
        <w:t>cyt. pow.</w:t>
      </w:r>
      <w:r w:rsidR="008C003A">
        <w:t xml:space="preserve"> § 3</w:t>
      </w:r>
      <w:r w:rsidR="00D808F3">
        <w:t>7 i</w:t>
      </w:r>
      <w:r w:rsidR="008C003A">
        <w:t xml:space="preserve"> </w:t>
      </w:r>
      <w:r w:rsidR="008C003A">
        <w:rPr>
          <w:i/>
          <w:iCs/>
        </w:rPr>
        <w:t>Lopes de Sousa Fernandes</w:t>
      </w:r>
      <w:r w:rsidR="008C003A">
        <w:t xml:space="preserve">, </w:t>
      </w:r>
      <w:r w:rsidR="00D808F3" w:rsidRPr="001069DE">
        <w:t>cyt. pow.,</w:t>
      </w:r>
      <w:r w:rsidR="008C003A">
        <w:t xml:space="preserve"> § 216).</w:t>
      </w:r>
    </w:p>
    <w:p w14:paraId="1671024F" w14:textId="15FD92D2" w:rsidR="00414A46" w:rsidRDefault="006D6FCD">
      <w:pPr>
        <w:pStyle w:val="JuPara"/>
      </w:pPr>
      <w:r>
        <w:t>170</w:t>
      </w:r>
      <w:r w:rsidR="008C003A">
        <w:t xml:space="preserve">.  Wspomniane obowiązki nie zostaną jednak spełnione, jeżeli ochrona zapewniona przez prawo krajowe istnieje tylko w teorii: przede wszystkim musi ona skutecznie funkcjonować również w praktyce (zob. </w:t>
      </w:r>
      <w:r w:rsidR="008C003A" w:rsidRPr="00910099">
        <w:rPr>
          <w:i/>
          <w:iCs/>
        </w:rPr>
        <w:t xml:space="preserve">Calvelli i Ciglio, </w:t>
      </w:r>
      <w:r w:rsidR="00AF7710" w:rsidRPr="001069DE">
        <w:t>cyt. pow.,</w:t>
      </w:r>
      <w:r w:rsidR="008C003A">
        <w:t xml:space="preserve"> § 53; </w:t>
      </w:r>
      <w:r w:rsidR="008C003A">
        <w:rPr>
          <w:i/>
          <w:iCs/>
        </w:rPr>
        <w:t>Šilih</w:t>
      </w:r>
      <w:r w:rsidR="008C003A">
        <w:t xml:space="preserve">, </w:t>
      </w:r>
      <w:r w:rsidR="00AF7710" w:rsidRPr="001069DE">
        <w:t>cyt. pow.,</w:t>
      </w:r>
      <w:r w:rsidR="008C003A">
        <w:t xml:space="preserve"> § 195</w:t>
      </w:r>
      <w:r w:rsidR="00AF7710">
        <w:t xml:space="preserve"> i Centre for Legal Resources</w:t>
      </w:r>
      <w:r w:rsidR="008C003A">
        <w:t xml:space="preserve"> </w:t>
      </w:r>
      <w:r w:rsidR="008C003A">
        <w:rPr>
          <w:i/>
          <w:iCs/>
        </w:rPr>
        <w:t>w imieniu Valentina Câmpeanu</w:t>
      </w:r>
      <w:r w:rsidR="008C003A">
        <w:t xml:space="preserve">, </w:t>
      </w:r>
      <w:r w:rsidR="00AF7710" w:rsidRPr="001069DE">
        <w:t>cyt. pow.,</w:t>
      </w:r>
      <w:r w:rsidR="008C003A">
        <w:t xml:space="preserve"> § 132). Nie jest to obowiązek dotyczący rezultatu, ale jedynie środków (zob. </w:t>
      </w:r>
      <w:r w:rsidR="008C003A">
        <w:rPr>
          <w:i/>
          <w:iCs/>
        </w:rPr>
        <w:t>Šilih</w:t>
      </w:r>
      <w:r w:rsidR="008C003A">
        <w:t xml:space="preserve">, </w:t>
      </w:r>
      <w:r w:rsidR="00AF7710" w:rsidRPr="001069DE">
        <w:t>cyt. pow.,</w:t>
      </w:r>
      <w:r w:rsidR="008C003A" w:rsidRPr="00AF7710">
        <w:t xml:space="preserve"> </w:t>
      </w:r>
      <w:r w:rsidR="008C003A">
        <w:t xml:space="preserve">§ 193; </w:t>
      </w:r>
      <w:r w:rsidR="008C003A">
        <w:rPr>
          <w:i/>
          <w:iCs/>
        </w:rPr>
        <w:t>Lopes de Sousa Fernandes</w:t>
      </w:r>
      <w:r w:rsidR="008C003A">
        <w:t xml:space="preserve">, </w:t>
      </w:r>
      <w:r w:rsidR="00AF7710">
        <w:t xml:space="preserve">cyt. pow., </w:t>
      </w:r>
      <w:r w:rsidR="008C003A">
        <w:t xml:space="preserve">§ 221). W związku z tym sam fakt, że postępowanie zakończyło się niekorzystnie dla ofiary (lub osoby bliskiej), nie oznacza sam w sobie, że pozwane państwo uchybiło swoim obowiązkom pozytywnym z art. 2 Konwencji (zob. </w:t>
      </w:r>
      <w:r w:rsidR="008C003A">
        <w:rPr>
          <w:i/>
          <w:iCs/>
        </w:rPr>
        <w:t>Besen przeciwko Turcji</w:t>
      </w:r>
      <w:r w:rsidR="008C003A">
        <w:t xml:space="preserve"> (dec.), nr 48915/09, § 38, 19 czerwca 2012 r.</w:t>
      </w:r>
      <w:r w:rsidR="00AF7710">
        <w:t xml:space="preserve"> i</w:t>
      </w:r>
      <w:r w:rsidR="008C003A">
        <w:t xml:space="preserve"> </w:t>
      </w:r>
      <w:r w:rsidR="008C003A">
        <w:rPr>
          <w:i/>
          <w:iCs/>
        </w:rPr>
        <w:t>Lopes de Sousa Fernandes</w:t>
      </w:r>
      <w:r w:rsidR="008C003A">
        <w:t xml:space="preserve">, </w:t>
      </w:r>
      <w:r w:rsidR="00AF7710">
        <w:t>cyt. pow.,</w:t>
      </w:r>
      <w:r w:rsidR="008C003A">
        <w:t xml:space="preserve"> § 221).</w:t>
      </w:r>
    </w:p>
    <w:p w14:paraId="08723D49" w14:textId="5A0847A5" w:rsidR="00414A46" w:rsidRDefault="006D6FCD">
      <w:pPr>
        <w:pStyle w:val="JuPara"/>
      </w:pPr>
      <w:r>
        <w:t>171</w:t>
      </w:r>
      <w:r w:rsidR="008C003A">
        <w:t>. </w:t>
      </w:r>
      <w:r w:rsidR="00AF7710">
        <w:t xml:space="preserve">W końcu </w:t>
      </w:r>
      <w:r w:rsidR="008C003A">
        <w:t xml:space="preserve">Trybunał przypomina, że zgodność z wymogiem proceduralnym </w:t>
      </w:r>
      <w:r w:rsidR="00AF7710">
        <w:t>z</w:t>
      </w:r>
      <w:r w:rsidR="008C003A">
        <w:t> art</w:t>
      </w:r>
      <w:r w:rsidR="00763525">
        <w:t>.</w:t>
      </w:r>
      <w:r w:rsidR="008C003A">
        <w:t xml:space="preserve"> 2 jest oceniana na podstawie szeregu zasadniczych parametrów, w tym wspomnianych powyżej (zob. par. </w:t>
      </w:r>
      <w:r w:rsidR="0040791C">
        <w:t>16</w:t>
      </w:r>
      <w:r w:rsidR="008C003A">
        <w:t>6–</w:t>
      </w:r>
      <w:r w:rsidR="0040791C">
        <w:t>16</w:t>
      </w:r>
      <w:r w:rsidR="008C003A">
        <w:t xml:space="preserve">8). Elementy te są ze sobą wzajemnie powiązane i każdy z nich </w:t>
      </w:r>
      <w:r w:rsidR="00AF7710">
        <w:t>rozpatrywany z osobna</w:t>
      </w:r>
      <w:r w:rsidR="008C003A">
        <w:t xml:space="preserve"> nie </w:t>
      </w:r>
      <w:r w:rsidR="00AB2669">
        <w:t xml:space="preserve">prowadzi do </w:t>
      </w:r>
      <w:r w:rsidR="008C003A">
        <w:t xml:space="preserve">celu sam w sobie, </w:t>
      </w:r>
      <w:r w:rsidR="00AB2669">
        <w:t>tak jak</w:t>
      </w:r>
      <w:r w:rsidR="008C003A">
        <w:t xml:space="preserve"> w przypadku wymogów rzetelnego procesu sądowego określonych w art. 6. Są to kryteria, które </w:t>
      </w:r>
      <w:r w:rsidR="00AB2669">
        <w:t xml:space="preserve">zastosowane </w:t>
      </w:r>
      <w:r w:rsidR="008C003A">
        <w:t>łącznie</w:t>
      </w:r>
      <w:r w:rsidR="00AB2669">
        <w:t>,</w:t>
      </w:r>
      <w:r w:rsidR="008C003A">
        <w:t xml:space="preserve"> </w:t>
      </w:r>
      <w:r w:rsidR="00AB2669">
        <w:t>pozwalają ocenić stopień</w:t>
      </w:r>
      <w:r w:rsidR="008C003A">
        <w:t xml:space="preserve"> skuteczności śledztwa. To w odniesieniu do tego celu skutecznego śledztwa należy oceniać wszelkie kwestie, w tym dotyczące szybkości i rozsądnej celowości (zob. w szczególności w odniesieniu do niezależności śledztwa – </w:t>
      </w:r>
      <w:r w:rsidR="008C003A">
        <w:rPr>
          <w:i/>
          <w:iCs/>
        </w:rPr>
        <w:t>Mustafa Tunç i Fecire Tunç</w:t>
      </w:r>
      <w:r w:rsidR="008C003A">
        <w:t xml:space="preserve">, </w:t>
      </w:r>
      <w:r w:rsidR="006249CB">
        <w:t>cyt. pow.,</w:t>
      </w:r>
      <w:r w:rsidR="008C003A">
        <w:t xml:space="preserve"> § 225).</w:t>
      </w:r>
    </w:p>
    <w:p w14:paraId="21A5CFEB" w14:textId="4586B7D7" w:rsidR="00414A46" w:rsidRDefault="008C003A">
      <w:pPr>
        <w:pStyle w:val="JuHi"/>
        <w:numPr>
          <w:ilvl w:val="5"/>
          <w:numId w:val="1"/>
        </w:numPr>
        <w:spacing w:before="280"/>
      </w:pPr>
      <w:r>
        <w:rPr>
          <w:iCs/>
        </w:rPr>
        <w:t>Zastosowanie zasad ogólnych w </w:t>
      </w:r>
      <w:r w:rsidR="006249CB">
        <w:rPr>
          <w:iCs/>
        </w:rPr>
        <w:t xml:space="preserve">niniejszej </w:t>
      </w:r>
      <w:r>
        <w:rPr>
          <w:iCs/>
        </w:rPr>
        <w:t>sprawie</w:t>
      </w:r>
    </w:p>
    <w:p w14:paraId="71263F43" w14:textId="1424A83D" w:rsidR="00414A46" w:rsidRDefault="006D6FCD">
      <w:pPr>
        <w:pStyle w:val="JuPara"/>
      </w:pPr>
      <w:r>
        <w:t>172</w:t>
      </w:r>
      <w:r w:rsidR="008C003A">
        <w:t>.  Trybunał wskazał już szczególne okoliczności sprawy skarżącego, które należy wziąć pod uwagę przy dokonywaniu oceny (zob. par. </w:t>
      </w:r>
      <w:r w:rsidR="0040791C">
        <w:t>11</w:t>
      </w:r>
      <w:r w:rsidR="008C003A">
        <w:t xml:space="preserve">3 powyżej). W przypadku </w:t>
      </w:r>
      <w:r w:rsidR="00CF34D5">
        <w:t xml:space="preserve">obrażeń </w:t>
      </w:r>
      <w:r w:rsidR="008C003A">
        <w:t xml:space="preserve">zagrażających życiu spowodowanych nieumyślnie obowiązek proceduralny z art. 2 </w:t>
      </w:r>
      <w:r w:rsidR="00CF34D5">
        <w:t xml:space="preserve">wymaga </w:t>
      </w:r>
      <w:r w:rsidR="008C003A">
        <w:t xml:space="preserve">jedynie, aby system prawny zapewniał skarżącemu środek </w:t>
      </w:r>
      <w:r w:rsidR="00CF34D5">
        <w:t xml:space="preserve">naprawczy </w:t>
      </w:r>
      <w:r w:rsidR="008C003A">
        <w:t>przed sądami cywilnymi, a nie wszczęcie śledztwa dotyczącego okoliczności wypadku (zob. par. </w:t>
      </w:r>
      <w:r w:rsidR="004357FD">
        <w:t>16</w:t>
      </w:r>
      <w:r w:rsidR="008C003A">
        <w:t>3 powyżej). Nie uniemożliwia to jednak sytuacji, w której prawo krajowe przewiduje w takich okolicznościach wszczęcie śledztwa (zob. par. </w:t>
      </w:r>
      <w:r w:rsidR="004357FD">
        <w:t>16</w:t>
      </w:r>
      <w:r w:rsidR="008C003A">
        <w:t>9 powyżej).</w:t>
      </w:r>
    </w:p>
    <w:p w14:paraId="6355E5D3" w14:textId="7D8F499D" w:rsidR="00414A46" w:rsidRDefault="006D6FCD">
      <w:pPr>
        <w:pStyle w:val="JuPara"/>
      </w:pPr>
      <w:r>
        <w:lastRenderedPageBreak/>
        <w:t>173</w:t>
      </w:r>
      <w:r w:rsidR="008C003A">
        <w:t>.  Trybuna</w:t>
      </w:r>
      <w:r w:rsidR="008B15E3">
        <w:t>ł</w:t>
      </w:r>
      <w:r w:rsidR="008C003A">
        <w:t xml:space="preserve"> zatem musi przyjrzeć się procedurom, które były dostępne </w:t>
      </w:r>
      <w:r w:rsidR="009627DF">
        <w:t xml:space="preserve">dla </w:t>
      </w:r>
      <w:r w:rsidR="008C003A">
        <w:t>skarżące</w:t>
      </w:r>
      <w:r w:rsidR="009627DF">
        <w:t>go</w:t>
      </w:r>
      <w:r w:rsidR="008C003A">
        <w:t xml:space="preserve"> w celu ustalenia odpowiedzialności osobistej D.I. i J.C.P. za jego </w:t>
      </w:r>
      <w:r w:rsidR="009627DF">
        <w:t xml:space="preserve">obrażenia </w:t>
      </w:r>
      <w:r w:rsidR="008C003A">
        <w:t>w </w:t>
      </w:r>
      <w:r w:rsidR="009627DF">
        <w:t xml:space="preserve">niniejszej </w:t>
      </w:r>
      <w:r w:rsidR="008C003A">
        <w:t>sprawie.</w:t>
      </w:r>
    </w:p>
    <w:p w14:paraId="715EAC7C" w14:textId="7D080CC2" w:rsidR="00414A46" w:rsidRDefault="006D6FCD">
      <w:pPr>
        <w:pStyle w:val="JuPara"/>
      </w:pPr>
      <w:r>
        <w:t>174</w:t>
      </w:r>
      <w:r w:rsidR="008C003A">
        <w:t>.  Na wstępie Trybunał uznaje za nieistotne postępowania cywilne wszczęte przez skarżącego w dniu 28 listopada 2006 r. przeciwko zakładowi ubezpieczeń, a następnie przedsiębiorstwu leasingowemu (zob. par. </w:t>
      </w:r>
      <w:r w:rsidR="00B62F8F">
        <w:t>64–65 powyżej</w:t>
      </w:r>
      <w:r w:rsidR="008C003A">
        <w:t xml:space="preserve">), ponieważ postępowania te dotyczyły domniemanej odpowiedzialności tych podmiotów za niewykonanie </w:t>
      </w:r>
      <w:r w:rsidR="009627DF">
        <w:t>ich</w:t>
      </w:r>
      <w:r w:rsidR="008C003A">
        <w:t xml:space="preserve"> obowiązków wynikających z umów zawartych ze skarżącym, a nie odpowiedzialności deliktowej D.I. lub J.C.P. z tytułu ich działań lub zaniechań.</w:t>
      </w:r>
    </w:p>
    <w:p w14:paraId="580C1345" w14:textId="11A52C41" w:rsidR="00414A46" w:rsidRDefault="006D6FCD">
      <w:pPr>
        <w:pStyle w:val="JuPara"/>
      </w:pPr>
      <w:r>
        <w:t>175</w:t>
      </w:r>
      <w:r w:rsidR="008C003A">
        <w:t xml:space="preserve">.  Trybunał zauważa ponadto, że według Rządu skarżący miał dostęp do szeregu środków </w:t>
      </w:r>
      <w:r w:rsidR="005A438B">
        <w:t>krajowych</w:t>
      </w:r>
      <w:r w:rsidR="008C003A">
        <w:t xml:space="preserve">, aby dochodzić </w:t>
      </w:r>
      <w:r w:rsidR="005A438B">
        <w:t>zadośćuczynienia za szkodę</w:t>
      </w:r>
      <w:r w:rsidR="008C003A">
        <w:t xml:space="preserve"> poniesion</w:t>
      </w:r>
      <w:r w:rsidR="005A438B">
        <w:t>ą</w:t>
      </w:r>
      <w:r w:rsidR="008C003A">
        <w:t xml:space="preserve"> w wyniku wypadku. Rząd twierdził, że skarżący mógł w </w:t>
      </w:r>
      <w:r w:rsidR="005A438B">
        <w:t xml:space="preserve">dość </w:t>
      </w:r>
      <w:r w:rsidR="008C003A">
        <w:t>oczywisty sposób stać</w:t>
      </w:r>
      <w:r w:rsidR="005A438B">
        <w:t xml:space="preserve"> się</w:t>
      </w:r>
      <w:r w:rsidR="008C003A">
        <w:t xml:space="preserve"> stroną postępowani</w:t>
      </w:r>
      <w:r w:rsidR="000C3941">
        <w:t xml:space="preserve">a czy to cywilnego czy </w:t>
      </w:r>
      <w:r w:rsidR="008C003A">
        <w:t>karn</w:t>
      </w:r>
      <w:r w:rsidR="000C3941">
        <w:t>ego</w:t>
      </w:r>
      <w:r w:rsidR="008C003A">
        <w:t xml:space="preserve"> oraz że każde z tych postępowań, przynajmniej teoretycznie, zapewniałoby mu odpowiedni sposób dochodzenia </w:t>
      </w:r>
      <w:r w:rsidR="000C3941">
        <w:t>roszczeń</w:t>
      </w:r>
      <w:r w:rsidR="008C003A">
        <w:t xml:space="preserve"> w celu uzyskania odszkodowania za poniesioną szkodę. Skarżący </w:t>
      </w:r>
      <w:r w:rsidR="000C3941">
        <w:t xml:space="preserve">wybrał </w:t>
      </w:r>
      <w:r w:rsidR="008C003A">
        <w:t>przyłącz</w:t>
      </w:r>
      <w:r w:rsidR="00132A0C">
        <w:t>enie</w:t>
      </w:r>
      <w:r w:rsidR="008C003A">
        <w:t xml:space="preserve"> swoje</w:t>
      </w:r>
      <w:r w:rsidR="00132A0C">
        <w:t>go</w:t>
      </w:r>
      <w:r w:rsidR="008C003A">
        <w:t xml:space="preserve"> roszczenie cywilne do </w:t>
      </w:r>
      <w:r w:rsidR="00132A0C">
        <w:t xml:space="preserve">postępowania karnego </w:t>
      </w:r>
      <w:r w:rsidR="008C003A">
        <w:t xml:space="preserve">wszczętego przez władze </w:t>
      </w:r>
      <w:r w:rsidR="00132A0C">
        <w:t>w sprawie</w:t>
      </w:r>
      <w:r w:rsidR="008C003A">
        <w:t xml:space="preserve"> okoliczności wypadku.</w:t>
      </w:r>
    </w:p>
    <w:p w14:paraId="624C3294" w14:textId="22ECCD3E" w:rsidR="00414A46" w:rsidRDefault="006D6FCD">
      <w:pPr>
        <w:pStyle w:val="JuPara"/>
      </w:pPr>
      <w:r>
        <w:t>176</w:t>
      </w:r>
      <w:r w:rsidR="008C003A">
        <w:t>.  Odnośnie do kwestii, czy skarżący powinien był</w:t>
      </w:r>
      <w:r w:rsidR="00855F53">
        <w:t xml:space="preserve"> </w:t>
      </w:r>
      <w:r w:rsidR="008121A1">
        <w:rPr>
          <w:rFonts w:ascii="Arial" w:hAnsi="Arial" w:cs="Arial"/>
          <w:color w:val="4D5156"/>
          <w:sz w:val="21"/>
          <w:szCs w:val="21"/>
          <w:shd w:val="clear" w:color="auto" w:fill="FFFFFF"/>
        </w:rPr>
        <w:t>–</w:t>
      </w:r>
      <w:r w:rsidR="008C003A">
        <w:t xml:space="preserve"> w celu spełnienia warunku wyczerpania </w:t>
      </w:r>
      <w:r w:rsidR="00132A0C">
        <w:t xml:space="preserve">środków </w:t>
      </w:r>
      <w:r w:rsidR="008C003A">
        <w:t xml:space="preserve">krajowych </w:t>
      </w:r>
      <w:r w:rsidR="008121A1">
        <w:t>–</w:t>
      </w:r>
      <w:r w:rsidR="008C003A">
        <w:t xml:space="preserve"> wszcząć odrębne postępowanie cywilne zamiast przyłączać się do postępowania karnego, Trybunał zauważa przede wszystkim, że decyzja skarżącego, by przyłączyć się jako strona cywilna do postępowania karnego wszczętego przez władze, nie wydaje się nieuzasadniona. Nie została ona również uznana za taką przez władze krajowe, które przez </w:t>
      </w:r>
      <w:r w:rsidR="00B60085">
        <w:t xml:space="preserve">długi </w:t>
      </w:r>
      <w:r w:rsidR="008C003A">
        <w:t>czas uważały, że istnieją podstawy do śledztwa w sprawie. Po drugie, środek zastosowany przez skarżącego umożliwi</w:t>
      </w:r>
      <w:r w:rsidR="00B60085">
        <w:t>a</w:t>
      </w:r>
      <w:r w:rsidR="008C003A">
        <w:t xml:space="preserve">ł łączne zbadanie odpowiedzialności karnej i odpowiedzialności cywilnej wynikającej z tego samego zawinionego działania, ułatwiając w ten sposób całościową ochronę proceduralną wchodzących w grę praw. </w:t>
      </w:r>
      <w:r w:rsidR="00377E16">
        <w:t xml:space="preserve">Wprowadzenie </w:t>
      </w:r>
      <w:r w:rsidR="008C003A">
        <w:t xml:space="preserve">roszczenia cywilnego </w:t>
      </w:r>
      <w:r w:rsidR="00377E16">
        <w:t>do</w:t>
      </w:r>
      <w:r w:rsidR="008C003A">
        <w:t> postępowani</w:t>
      </w:r>
      <w:r w:rsidR="00377E16">
        <w:t>a</w:t>
      </w:r>
      <w:r w:rsidR="008C003A">
        <w:t xml:space="preserve"> karn</w:t>
      </w:r>
      <w:r w:rsidR="00377E16">
        <w:t>ego</w:t>
      </w:r>
      <w:r w:rsidR="008C003A">
        <w:t xml:space="preserve"> mógł być </w:t>
      </w:r>
      <w:r w:rsidR="00377E16">
        <w:t xml:space="preserve">korzystniejsze </w:t>
      </w:r>
      <w:r w:rsidR="008C003A">
        <w:t xml:space="preserve">dla skarżącego, gdyż – chociaż ponosił on ciężar </w:t>
      </w:r>
      <w:r w:rsidR="00377E16">
        <w:t xml:space="preserve">dowodu </w:t>
      </w:r>
      <w:r w:rsidR="008C003A">
        <w:t>zasadności swego roszczenia – organy prowadzące śledztwo miały również obowiązek gromadzenia dowodów, w tym dowodów znalezionych na miejscu wypadku. Opinie biegłych, zlecone przez organy prowadzące śledztwo, i inne zebrane przez nie dowody w postępowaniu karnym mogły zostać wykorzystane przez skarżącego w jakimkolwiek postępowaniu cywilnym i byłyby prawdopodobnie kluczowe dla rozpoznania jego roszczenia cywilnego. W związku z tym Trybunał nie widzi powodu, aby uznać, że skarżący postąpił niewłaściwie</w:t>
      </w:r>
      <w:r w:rsidR="00B409CB">
        <w:t xml:space="preserve"> wybierając prowadzenie</w:t>
      </w:r>
      <w:r w:rsidR="008C003A">
        <w:t xml:space="preserve"> swojej sprawy na podstawie kodeksu postępowania karnego (zob. </w:t>
      </w:r>
      <w:r w:rsidR="008C003A">
        <w:rPr>
          <w:i/>
          <w:iCs/>
        </w:rPr>
        <w:t>Elena Cojocaru przeciwko Rumunii</w:t>
      </w:r>
      <w:r w:rsidR="008C003A">
        <w:t>, nr 74114/12, § 122, 22 marca 2016 r.).</w:t>
      </w:r>
    </w:p>
    <w:p w14:paraId="203D42EA" w14:textId="243F3188" w:rsidR="00414A46" w:rsidRDefault="006D6FCD">
      <w:pPr>
        <w:pStyle w:val="JuPara"/>
      </w:pPr>
      <w:r>
        <w:t>177</w:t>
      </w:r>
      <w:r w:rsidR="008C003A">
        <w:t xml:space="preserve">.  Mając na uwadze </w:t>
      </w:r>
      <w:r w:rsidR="00B409CB">
        <w:t>wielokrotne próby</w:t>
      </w:r>
      <w:r w:rsidR="008C003A">
        <w:t xml:space="preserve"> władz krajow</w:t>
      </w:r>
      <w:r w:rsidR="00B409CB">
        <w:t>ych w</w:t>
      </w:r>
      <w:r w:rsidR="008C003A">
        <w:t xml:space="preserve">yjaśnienia okoliczności wypadku, Trybunał uznaje, że skarżący mógł w sposób </w:t>
      </w:r>
      <w:r w:rsidR="008C003A">
        <w:lastRenderedPageBreak/>
        <w:t>uzasadniony oczekiwać, że wspomniane postępowanie karne odniesie się do jego zarzutów. W tych okolicznościach fakt, że skarżący nie złożył odrębnego powództwa cywilnego przeciwko D.I. i J.C.P., nie może być wykorzystywany przeciwko niemu przy ocenie, czy wyczerpał krajowe środki odwoławcze. W związku z tym można powtórzyć, że w sytuacji, gdy istnieje kilka środków</w:t>
      </w:r>
      <w:r w:rsidR="00B409CB" w:rsidRPr="00B409CB">
        <w:t xml:space="preserve"> </w:t>
      </w:r>
      <w:r w:rsidR="00B409CB">
        <w:t>krajowych</w:t>
      </w:r>
      <w:r w:rsidR="008C003A">
        <w:t xml:space="preserve">, z których może skorzystać dana osoba, w celu spełnienia wymogu wyczerpania środków </w:t>
      </w:r>
      <w:r w:rsidR="00B409CB">
        <w:t xml:space="preserve">krajowych, </w:t>
      </w:r>
      <w:r w:rsidR="008C003A">
        <w:t>osoba ta ma możliwość wyboru środka, który odnosi się do zasadnicze</w:t>
      </w:r>
      <w:r w:rsidR="007971FC">
        <w:t>go roszczenia</w:t>
      </w:r>
      <w:r w:rsidR="008C003A">
        <w:t xml:space="preserve">. Innymi słowy, jeżeli zastosowano jeden środek, nie jest wymagane skorzystanie z innego środka, który służy zasadniczo temu samemu celowi (zob. </w:t>
      </w:r>
      <w:r w:rsidR="008C003A">
        <w:rPr>
          <w:i/>
          <w:iCs/>
        </w:rPr>
        <w:t>Aquilina przeciwko Malcie</w:t>
      </w:r>
      <w:r w:rsidR="008C003A">
        <w:t xml:space="preserve"> [WI], nr 25642/94, § 39, ETPC 1999-III; </w:t>
      </w:r>
      <w:r w:rsidR="008C003A">
        <w:rPr>
          <w:i/>
          <w:iCs/>
        </w:rPr>
        <w:t>Kozacıoğlu przeciwko Turcji</w:t>
      </w:r>
      <w:r w:rsidR="008C003A">
        <w:t xml:space="preserve"> [WI], nr 2334/03, § 40, 19 lutego 2009 r.; </w:t>
      </w:r>
      <w:r w:rsidR="008C003A">
        <w:rPr>
          <w:i/>
          <w:iCs/>
        </w:rPr>
        <w:t xml:space="preserve">Micallef przeciwko Malcie </w:t>
      </w:r>
      <w:r w:rsidR="008C003A">
        <w:t>[WI], nr 17056/06, § 58, ETPC 2009</w:t>
      </w:r>
      <w:r w:rsidR="007971FC">
        <w:t xml:space="preserve"> i </w:t>
      </w:r>
      <w:r w:rsidR="008C003A">
        <w:rPr>
          <w:i/>
          <w:iCs/>
        </w:rPr>
        <w:t>Şerife Yiğit przeciwko Turcji</w:t>
      </w:r>
      <w:r w:rsidR="008C003A">
        <w:t xml:space="preserve"> [WI], nr 3976/05, § 50, 2 listopada 2010 r.).</w:t>
      </w:r>
    </w:p>
    <w:p w14:paraId="693CDB1B" w14:textId="275C0506" w:rsidR="00414A46" w:rsidRDefault="00256FD1">
      <w:pPr>
        <w:pStyle w:val="JuPara"/>
      </w:pPr>
      <w:r>
        <w:t>178</w:t>
      </w:r>
      <w:r w:rsidR="008C003A">
        <w:t xml:space="preserve">.  W świetle powyższych rozważań Trybunał uznaje, że zastrzeżenie Rządu oparte na niewyczerpaniu </w:t>
      </w:r>
      <w:r w:rsidR="007971FC">
        <w:t xml:space="preserve">środków </w:t>
      </w:r>
      <w:r w:rsidR="008C003A">
        <w:t>krajowych należy oddalić.</w:t>
      </w:r>
    </w:p>
    <w:p w14:paraId="5EAE7B51" w14:textId="7D970843" w:rsidR="00414A46" w:rsidRDefault="00256FD1">
      <w:pPr>
        <w:pStyle w:val="JuPara"/>
      </w:pPr>
      <w:r>
        <w:t>179</w:t>
      </w:r>
      <w:r w:rsidR="008C003A">
        <w:t xml:space="preserve">.  Jeżeli chodzi o kwestię, czy w konkretnych okolicznościach postępowanie karne stanowiło </w:t>
      </w:r>
      <w:r w:rsidR="007971FC">
        <w:t>wy</w:t>
      </w:r>
      <w:r w:rsidR="008C003A">
        <w:t xml:space="preserve">pełnienie </w:t>
      </w:r>
      <w:r w:rsidR="007971FC">
        <w:t xml:space="preserve">wynikającego z art. 2 obowiązku Państwa </w:t>
      </w:r>
      <w:r w:rsidR="008C003A">
        <w:t xml:space="preserve">ustanowienia skutecznego systemu sądowego (zob. </w:t>
      </w:r>
      <w:r w:rsidR="008C003A">
        <w:rPr>
          <w:i/>
          <w:iCs/>
        </w:rPr>
        <w:t>Byrzykowski przeciwko Polsce</w:t>
      </w:r>
      <w:r w:rsidR="008C003A">
        <w:t xml:space="preserve">, nr 11562/05, §§ 106–107, 27 czerwca 2006 r.), Trybunał zauważa, że jeśli zostało </w:t>
      </w:r>
      <w:r w:rsidR="00822C15">
        <w:t xml:space="preserve">ono </w:t>
      </w:r>
      <w:r w:rsidR="008C003A">
        <w:t xml:space="preserve">uznane za skuteczne, </w:t>
      </w:r>
      <w:r w:rsidR="00822C15">
        <w:t xml:space="preserve">to </w:t>
      </w:r>
      <w:r w:rsidR="008C003A">
        <w:t xml:space="preserve">samo w sobie było w stanie </w:t>
      </w:r>
      <w:r w:rsidR="00822C15">
        <w:t>wy</w:t>
      </w:r>
      <w:r w:rsidR="008C003A">
        <w:t xml:space="preserve">pełnić ten obowiązek (zob. </w:t>
      </w:r>
      <w:r w:rsidR="008C003A">
        <w:rPr>
          <w:i/>
          <w:iCs/>
        </w:rPr>
        <w:t>Šilih</w:t>
      </w:r>
      <w:r w:rsidR="008C003A">
        <w:t xml:space="preserve">, </w:t>
      </w:r>
      <w:r w:rsidR="00822C15">
        <w:t>cyt. pow.,</w:t>
      </w:r>
      <w:r w:rsidR="008C003A">
        <w:t xml:space="preserve"> § 202; </w:t>
      </w:r>
      <w:r w:rsidR="008C003A">
        <w:rPr>
          <w:i/>
          <w:iCs/>
        </w:rPr>
        <w:t>Zavoloka przeciwko Łotwie</w:t>
      </w:r>
      <w:r w:rsidR="008C003A">
        <w:t xml:space="preserve">, nr. 58447/00, §§ 36 i 39, 7 lipca 2009 r.; </w:t>
      </w:r>
      <w:r w:rsidR="008C003A">
        <w:rPr>
          <w:i/>
          <w:iCs/>
        </w:rPr>
        <w:t>Anna Todorova</w:t>
      </w:r>
      <w:r w:rsidR="008C003A">
        <w:t xml:space="preserve">, </w:t>
      </w:r>
      <w:r w:rsidR="00822C15">
        <w:t>cyt. pow.,</w:t>
      </w:r>
      <w:r w:rsidR="008C003A">
        <w:t xml:space="preserve"> § 75; </w:t>
      </w:r>
      <w:r w:rsidR="008C003A">
        <w:rPr>
          <w:i/>
          <w:iCs/>
        </w:rPr>
        <w:t>Sıdıka İmren przeciwko Turcji</w:t>
      </w:r>
      <w:r w:rsidR="008C003A">
        <w:t>, nr 47384/11, § 58, 13 września 2016 r.</w:t>
      </w:r>
      <w:r w:rsidR="00822C15">
        <w:t xml:space="preserve"> i </w:t>
      </w:r>
      <w:r w:rsidR="008C003A">
        <w:rPr>
          <w:i/>
          <w:iCs/>
        </w:rPr>
        <w:t>Lopes de Sousa Fernandes</w:t>
      </w:r>
      <w:r w:rsidR="008C003A">
        <w:t xml:space="preserve">, </w:t>
      </w:r>
      <w:r w:rsidR="00822C15">
        <w:t>cyt. pow.,</w:t>
      </w:r>
      <w:r w:rsidR="008C003A">
        <w:t xml:space="preserve"> § 232).</w:t>
      </w:r>
    </w:p>
    <w:p w14:paraId="66BDAA77" w14:textId="7C58F90B" w:rsidR="00414A46" w:rsidRDefault="00256FD1">
      <w:pPr>
        <w:pStyle w:val="JuPara"/>
      </w:pPr>
      <w:r>
        <w:t>180</w:t>
      </w:r>
      <w:r w:rsidR="008C003A">
        <w:t>.  W tym względzie Trybunał zauważa, że niezwłocznie po wypadku komenda policji w Ploeszti wszczęła z urzędu śledztwo dotyczące okoliczności wypadku i zgromadziła dowody, w tym pomiary, próbki krwi oraz dokumentację fotograficzną i medyczną, które mogły wyjaśnić okoliczności, w jakich doszło do wypadku.</w:t>
      </w:r>
    </w:p>
    <w:p w14:paraId="1541817B" w14:textId="49D83A60" w:rsidR="00414A46" w:rsidRDefault="00256FD1">
      <w:pPr>
        <w:pStyle w:val="JuPara"/>
      </w:pPr>
      <w:r>
        <w:t>181</w:t>
      </w:r>
      <w:r w:rsidR="008C003A">
        <w:t xml:space="preserve">.  Ponadto organy prowadzące śledztwo zidentyfikowały wszystkich kierowców </w:t>
      </w:r>
      <w:r w:rsidR="00822C15">
        <w:t>uczestniczących</w:t>
      </w:r>
      <w:r w:rsidR="008C003A">
        <w:t xml:space="preserve"> w wypadku, w tym skarżącego, oraz uzyskały ich zeznania, a także zeznania naocznych świadków. Gdy tylko stan zdrowia skarżącego na to pozwolił, aktywnie włączono go do postępowania. Zarówno w trakcie postępowania przygotowawczego, jak też na etapie kontroli sądowej miał on dostęp do akt sprawy, był w stanie kwestionować niezależność i bezstronność właściwych </w:t>
      </w:r>
      <w:r w:rsidR="00822C15">
        <w:t xml:space="preserve">organów </w:t>
      </w:r>
      <w:r w:rsidR="008C003A">
        <w:t xml:space="preserve">oraz czynności i środki przez nie podjęte, a także wnioskować o  </w:t>
      </w:r>
      <w:r w:rsidR="00822C15">
        <w:t xml:space="preserve">dołączenie do akt </w:t>
      </w:r>
      <w:r w:rsidR="008C003A">
        <w:t>dodatkow</w:t>
      </w:r>
      <w:r w:rsidR="00822C15">
        <w:t>ych</w:t>
      </w:r>
      <w:r w:rsidR="008C003A">
        <w:t xml:space="preserve"> dowod</w:t>
      </w:r>
      <w:r w:rsidR="00822C15">
        <w:t>ów</w:t>
      </w:r>
      <w:r w:rsidR="008C003A">
        <w:t xml:space="preserve">. Był on </w:t>
      </w:r>
      <w:r w:rsidR="00B846BB">
        <w:t>uprawniony do składania</w:t>
      </w:r>
      <w:r w:rsidR="008C003A">
        <w:t xml:space="preserve"> odwoła</w:t>
      </w:r>
      <w:r w:rsidR="00B846BB">
        <w:t>ń</w:t>
      </w:r>
      <w:r w:rsidR="008C003A">
        <w:t xml:space="preserve"> od decyzji prokuratury. Fakt, że niektóre z jego dodatkowych wniosków dowodowych oraz zażaleń były oddalane lub że Sąd Kasacyjny ostatecznie uwzględnił jeden z jego wniosków o przeniesienie sprawy z uwagi na uprawnione podejrzenie, nie wskazuje, że </w:t>
      </w:r>
      <w:r w:rsidR="00B846BB">
        <w:t xml:space="preserve">organy </w:t>
      </w:r>
      <w:r w:rsidR="008C003A">
        <w:t xml:space="preserve">prowadzące śledztwo i sądy krajowe nie chciały ustalić </w:t>
      </w:r>
      <w:r w:rsidR="008C003A">
        <w:lastRenderedPageBreak/>
        <w:t>okoliczności wypadku i odpowiedzialności biorących w nim udział osób lub że brakowało im wymaganej niezależności.</w:t>
      </w:r>
    </w:p>
    <w:p w14:paraId="0D1114E4" w14:textId="61F43B01" w:rsidR="00414A46" w:rsidRDefault="00256FD1">
      <w:pPr>
        <w:pStyle w:val="JuPara"/>
      </w:pPr>
      <w:r>
        <w:t>182</w:t>
      </w:r>
      <w:r w:rsidR="008C003A">
        <w:t>.  Ponadto, zważywszy na dostępne dowody, niezależnie od ustaleń służb kryminalistycznych z dnia 10 kwietnia 2007 r. dotyczących nieprawidłowości przy pobraniu próbek krwi skarżącego (zob. par. </w:t>
      </w:r>
      <w:r w:rsidR="00B93B10">
        <w:t>31 powyżej</w:t>
      </w:r>
      <w:r w:rsidR="008C003A">
        <w:t xml:space="preserve">), Trybunał nie znajduje wystarczających podstaw, by uznać, że śledztwo lub zbieranie dowodów było </w:t>
      </w:r>
      <w:r w:rsidR="00B846BB">
        <w:t xml:space="preserve">w ostatecznym rozrachunku </w:t>
      </w:r>
      <w:r w:rsidR="008C003A">
        <w:t xml:space="preserve">niewystarczająco </w:t>
      </w:r>
      <w:r w:rsidR="00B846BB">
        <w:t>staranne</w:t>
      </w:r>
      <w:r w:rsidR="008C003A">
        <w:t>. Decyzja władz krajowych o umorzeniu postępowania nie została podjęta pospiesznie lub arbitralnie, a nastąpiła po latach pracy dochodzeniowej, która doprowadziła do zebrania obszernego materiału dowodowego, w tym dowodów kryminalistycznych i technicznych. Dowody te odnosiły się do kwestii podniesionych w ramach postępowania karnego, w tym zagadnień dotyczących zachowania kierowców uczestniczących w wypadku oraz przyczyn tego wypadku.</w:t>
      </w:r>
    </w:p>
    <w:p w14:paraId="635B340F" w14:textId="3BA03E41" w:rsidR="00414A46" w:rsidRDefault="00256FD1">
      <w:pPr>
        <w:pStyle w:val="JuPara"/>
      </w:pPr>
      <w:r>
        <w:t>183</w:t>
      </w:r>
      <w:r w:rsidR="008C003A">
        <w:t xml:space="preserve">.  Trybunał zauważa, że </w:t>
      </w:r>
      <w:r w:rsidR="00EB659E">
        <w:t xml:space="preserve">organy </w:t>
      </w:r>
      <w:r w:rsidR="008C003A">
        <w:t>oddaliły niektóre wnioski dowodowe skarżącego, chociaż skarżący uzna</w:t>
      </w:r>
      <w:r w:rsidR="00EB659E">
        <w:t>wa</w:t>
      </w:r>
      <w:r w:rsidR="008C003A">
        <w:t xml:space="preserve">ł je za istotne dla sprawy. </w:t>
      </w:r>
      <w:r w:rsidR="00EB659E">
        <w:t xml:space="preserve">Organom </w:t>
      </w:r>
      <w:r w:rsidR="008C003A">
        <w:t xml:space="preserve">krajowym </w:t>
      </w:r>
      <w:r w:rsidR="00EB659E">
        <w:t>musi jednak przysługiwać</w:t>
      </w:r>
      <w:r w:rsidR="008C003A">
        <w:t xml:space="preserve"> pewien zakres swobody uznania </w:t>
      </w:r>
      <w:r w:rsidR="00EB659E">
        <w:t>przy </w:t>
      </w:r>
      <w:r w:rsidR="008C003A">
        <w:t>decydowaniu, jakie dowody są istotne dla śledztwa.</w:t>
      </w:r>
    </w:p>
    <w:p w14:paraId="3CE91D5C" w14:textId="5A0D97F3" w:rsidR="00414A46" w:rsidRDefault="00256FD1">
      <w:pPr>
        <w:pStyle w:val="JuPara"/>
      </w:pPr>
      <w:r>
        <w:t>184</w:t>
      </w:r>
      <w:r w:rsidR="008C003A">
        <w:t>.  Postępowanie dotyczące okoliczności wypadku trwało ponad osiem lat. Prawdą jest, że wystąpił</w:t>
      </w:r>
      <w:r w:rsidR="00EB659E">
        <w:t>y</w:t>
      </w:r>
      <w:r w:rsidR="008C003A">
        <w:t xml:space="preserve"> pewn</w:t>
      </w:r>
      <w:r w:rsidR="00EB659E">
        <w:t>e opóźnienia</w:t>
      </w:r>
      <w:r w:rsidR="008C003A">
        <w:t xml:space="preserve"> w postępowaniu. Biorąc jednak pod uwagę przyczyny części </w:t>
      </w:r>
      <w:r w:rsidR="00EB659E">
        <w:t>tych opóźniń</w:t>
      </w:r>
      <w:r w:rsidR="008C003A">
        <w:t xml:space="preserve"> (które należy zbadać na gruncie art. 6 ust. 1 – zob. par. </w:t>
      </w:r>
      <w:r w:rsidR="000D68EA">
        <w:t>21</w:t>
      </w:r>
      <w:r w:rsidR="008C003A">
        <w:t>0–2</w:t>
      </w:r>
      <w:r w:rsidR="000D68EA">
        <w:t>1</w:t>
      </w:r>
      <w:r w:rsidR="008C003A">
        <w:t>4 poniżej), nie można uznać, że miały one wpływ na skuteczność śledztwa.</w:t>
      </w:r>
    </w:p>
    <w:p w14:paraId="56181A34" w14:textId="6089E39A" w:rsidR="00414A46" w:rsidRDefault="00256FD1">
      <w:pPr>
        <w:pStyle w:val="JuPara"/>
      </w:pPr>
      <w:r>
        <w:t>185</w:t>
      </w:r>
      <w:r w:rsidR="008C003A">
        <w:t>.  Trybunał przypomina, że art. 2 nie gwarantuje prawa do uzyskania wyroku skazującego strony trzeciej w postępowaniu karnym (zob. par. </w:t>
      </w:r>
      <w:r w:rsidR="003F4C38">
        <w:t>16</w:t>
      </w:r>
      <w:r w:rsidR="008C003A">
        <w:t xml:space="preserve">0 powyżej). W związku z tym Trybunał uważa, że w sytuacji, gdy nie zachodzi widoczny brak staranności w badaniu przez </w:t>
      </w:r>
      <w:r w:rsidR="00EB659E">
        <w:t xml:space="preserve">organy </w:t>
      </w:r>
      <w:r w:rsidR="008C003A">
        <w:t xml:space="preserve">okoliczności wypadku skarżącego, ich decyzja o odmowie ścigania nie wystarcza do stwierdzenia odpowiedzialności pozwanego </w:t>
      </w:r>
      <w:r w:rsidR="00EB659E">
        <w:t>P</w:t>
      </w:r>
      <w:r w:rsidR="008C003A">
        <w:t>aństwa z tytułu obowiązku proceduralnego z art. 2. Konwencji.</w:t>
      </w:r>
    </w:p>
    <w:p w14:paraId="75B2172D" w14:textId="184EE8B1" w:rsidR="00414A46" w:rsidRDefault="00256FD1">
      <w:pPr>
        <w:pStyle w:val="JuPara"/>
      </w:pPr>
      <w:r>
        <w:t>186</w:t>
      </w:r>
      <w:r w:rsidR="008C003A">
        <w:t>.  Biorąc pod uwagę ogólną ocenę śledztwa, Trybunał uznaje, że nie można stwierdzić, że system prawny</w:t>
      </w:r>
      <w:r w:rsidR="00074877">
        <w:t xml:space="preserve"> </w:t>
      </w:r>
      <w:r w:rsidR="008C003A">
        <w:t>zastosowany w </w:t>
      </w:r>
      <w:r w:rsidR="00EB659E">
        <w:t xml:space="preserve">niniejszej </w:t>
      </w:r>
      <w:r w:rsidR="008C003A">
        <w:t>sprawie</w:t>
      </w:r>
      <w:r w:rsidR="00074877">
        <w:t>,</w:t>
      </w:r>
      <w:r w:rsidR="008C003A">
        <w:t xml:space="preserve"> nie </w:t>
      </w:r>
      <w:r w:rsidR="00465A72">
        <w:t xml:space="preserve">zdołał odpowiednio </w:t>
      </w:r>
      <w:r w:rsidR="008C003A">
        <w:t>rozpatrz</w:t>
      </w:r>
      <w:r w:rsidR="00465A72">
        <w:t>yć</w:t>
      </w:r>
      <w:r w:rsidR="008C003A">
        <w:t xml:space="preserve"> sprawy skarżącego. W związku z tym </w:t>
      </w:r>
      <w:r w:rsidR="00465A72">
        <w:t xml:space="preserve">Trybunał </w:t>
      </w:r>
      <w:r w:rsidR="008C003A">
        <w:t xml:space="preserve">stwierdza </w:t>
      </w:r>
      <w:r w:rsidR="00465A72">
        <w:t xml:space="preserve">brak </w:t>
      </w:r>
      <w:r w:rsidR="008C003A">
        <w:t>naruszenia art. 2 Konwencji.</w:t>
      </w:r>
    </w:p>
    <w:p w14:paraId="4C3014D4" w14:textId="77777777" w:rsidR="00414A46" w:rsidRDefault="008C003A">
      <w:pPr>
        <w:pStyle w:val="JuHA"/>
        <w:numPr>
          <w:ilvl w:val="2"/>
          <w:numId w:val="1"/>
        </w:numPr>
        <w:spacing w:before="280"/>
      </w:pPr>
      <w:r>
        <w:rPr>
          <w:bCs/>
        </w:rPr>
        <w:t>W przedmiocie zarzucanego naruszenia art. 6 ust. 1 Konwencji</w:t>
      </w:r>
    </w:p>
    <w:p w14:paraId="6B9BF00A" w14:textId="77777777" w:rsidR="00414A46" w:rsidRDefault="008C003A">
      <w:pPr>
        <w:pStyle w:val="JuH1"/>
        <w:numPr>
          <w:ilvl w:val="3"/>
          <w:numId w:val="1"/>
        </w:numPr>
        <w:spacing w:before="280"/>
      </w:pPr>
      <w:r>
        <w:rPr>
          <w:iCs/>
        </w:rPr>
        <w:t>Prawo dostępu do sądu</w:t>
      </w:r>
    </w:p>
    <w:p w14:paraId="5854A678" w14:textId="3C21F530" w:rsidR="00414A46" w:rsidRDefault="00256FD1">
      <w:pPr>
        <w:pStyle w:val="JuPara"/>
      </w:pPr>
      <w:r>
        <w:t>187</w:t>
      </w:r>
      <w:r w:rsidR="008C003A">
        <w:t xml:space="preserve">.  Skarżący </w:t>
      </w:r>
      <w:r w:rsidR="00465A72">
        <w:t>zarzucił</w:t>
      </w:r>
      <w:r w:rsidR="008C003A">
        <w:t xml:space="preserve">, że nie było możliwe uzyskanie orzeczenia </w:t>
      </w:r>
      <w:r w:rsidR="00465A72">
        <w:t>co do meritum</w:t>
      </w:r>
      <w:r w:rsidR="008C003A">
        <w:t xml:space="preserve"> jego roszczenia cywilnego w związku z wypadkiem drogowym, w którym uczestniczył</w:t>
      </w:r>
      <w:r w:rsidR="002F2788">
        <w:t>.</w:t>
      </w:r>
    </w:p>
    <w:p w14:paraId="428326BB" w14:textId="77777777" w:rsidR="00414A46" w:rsidRDefault="008C003A">
      <w:pPr>
        <w:pStyle w:val="JuHa0"/>
        <w:numPr>
          <w:ilvl w:val="4"/>
          <w:numId w:val="1"/>
        </w:numPr>
        <w:spacing w:before="280"/>
      </w:pPr>
      <w:r>
        <w:rPr>
          <w:bCs/>
        </w:rPr>
        <w:lastRenderedPageBreak/>
        <w:t>Dopuszczalność</w:t>
      </w:r>
    </w:p>
    <w:p w14:paraId="3C71A54E" w14:textId="48B6C823" w:rsidR="00414A46" w:rsidRDefault="00256FD1">
      <w:pPr>
        <w:pStyle w:val="JuPara"/>
      </w:pPr>
      <w:r>
        <w:rPr>
          <w:szCs w:val="24"/>
        </w:rPr>
        <w:t>188</w:t>
      </w:r>
      <w:r w:rsidR="008C003A">
        <w:rPr>
          <w:szCs w:val="24"/>
        </w:rPr>
        <w:t xml:space="preserve">.  Trybunał zauważa, że żadna ze stron nie kwestionowała możliwości zastosowania art. 6 ust. 1 w jego aspekcie cywilnym i że nie widzi powodu, by orzec inaczej. Roszczenie skarżącego o odszkodowanie z tytułu czynu zabronionego zarzucanego jednemu z kierowców </w:t>
      </w:r>
      <w:r w:rsidR="002F2788">
        <w:rPr>
          <w:szCs w:val="24"/>
        </w:rPr>
        <w:t>uczestniczących</w:t>
      </w:r>
      <w:r w:rsidR="008C003A">
        <w:rPr>
          <w:szCs w:val="24"/>
        </w:rPr>
        <w:t xml:space="preserve"> w wypadku było roszczeniem opartym na prawach skarżącego o charakterze cywilnym. Z tego względu art. 6 ust. 1 ma zastosowanie do sporu dotyczącego tych praw (zob. m.in. </w:t>
      </w:r>
      <w:r w:rsidR="008C003A">
        <w:rPr>
          <w:i/>
          <w:iCs/>
          <w:szCs w:val="24"/>
        </w:rPr>
        <w:t>Assenov i Inni</w:t>
      </w:r>
      <w:r w:rsidR="008C003A">
        <w:rPr>
          <w:szCs w:val="24"/>
        </w:rPr>
        <w:t xml:space="preserve">, </w:t>
      </w:r>
      <w:r w:rsidR="002F2788">
        <w:rPr>
          <w:szCs w:val="24"/>
        </w:rPr>
        <w:t>cyt. pow.,</w:t>
      </w:r>
      <w:r w:rsidR="008C003A">
        <w:rPr>
          <w:szCs w:val="24"/>
        </w:rPr>
        <w:t xml:space="preserve"> § 110; </w:t>
      </w:r>
      <w:r w:rsidR="008C003A">
        <w:rPr>
          <w:i/>
          <w:iCs/>
          <w:szCs w:val="24"/>
        </w:rPr>
        <w:t>Balogh przeciwko Węgrom</w:t>
      </w:r>
      <w:r w:rsidR="008C003A">
        <w:rPr>
          <w:szCs w:val="24"/>
        </w:rPr>
        <w:t>, nr 47940/99, § 72, 20 lipca 2004 r.</w:t>
      </w:r>
      <w:r w:rsidR="002F2788">
        <w:rPr>
          <w:szCs w:val="24"/>
        </w:rPr>
        <w:t xml:space="preserve"> i</w:t>
      </w:r>
      <w:r w:rsidR="008C003A">
        <w:rPr>
          <w:szCs w:val="24"/>
        </w:rPr>
        <w:t xml:space="preserve"> </w:t>
      </w:r>
      <w:r w:rsidR="008C003A">
        <w:rPr>
          <w:rStyle w:val="JuParaChar"/>
          <w:i/>
          <w:iCs/>
        </w:rPr>
        <w:t>Kamenova przeciwko Bułgarii</w:t>
      </w:r>
      <w:r w:rsidR="008C003A">
        <w:t>, nr 62784/09, § 41, 12 lipca 2018 r.</w:t>
      </w:r>
      <w:r w:rsidR="008C003A">
        <w:rPr>
          <w:szCs w:val="24"/>
        </w:rPr>
        <w:t>). Trybunał pragnie dodać, że kwestia tego, czy art. 6 ust. 1 w jego aspekcie cywilnym miał zastosowanie w postępowaniu karnym, do którego skarżący przystąpił jako strona cywilna, jest kwestią odrębną, która zostanie zbadana poniżej (zob. par. </w:t>
      </w:r>
      <w:r w:rsidR="007217F2">
        <w:rPr>
          <w:szCs w:val="24"/>
        </w:rPr>
        <w:t>20</w:t>
      </w:r>
      <w:r w:rsidR="008C003A">
        <w:rPr>
          <w:szCs w:val="24"/>
        </w:rPr>
        <w:t>7).</w:t>
      </w:r>
    </w:p>
    <w:p w14:paraId="6EDF8536" w14:textId="202D27A6" w:rsidR="00414A46" w:rsidRDefault="00256FD1">
      <w:pPr>
        <w:pStyle w:val="JuPara"/>
      </w:pPr>
      <w:r>
        <w:t>189</w:t>
      </w:r>
      <w:r w:rsidR="008C003A">
        <w:t xml:space="preserve">.  Trybunał zauważa ponadto, że skarga nie jest w sposób oczywisty nieuzasadniona w rozumieniu art. 35 ust. 3 lit. a Konwencji. Trybunał uznaje również, że nie jest ona niedopuszczalna </w:t>
      </w:r>
      <w:r w:rsidR="002F2788">
        <w:t>z żadnego innego powodu</w:t>
      </w:r>
      <w:r w:rsidR="008C003A">
        <w:t>. Musi zatem zostać uznana za dopuszczalną.</w:t>
      </w:r>
    </w:p>
    <w:p w14:paraId="10066DB1" w14:textId="7F56CB37" w:rsidR="00414A46" w:rsidRDefault="002F2788">
      <w:pPr>
        <w:pStyle w:val="JuHa0"/>
        <w:numPr>
          <w:ilvl w:val="4"/>
          <w:numId w:val="1"/>
        </w:numPr>
        <w:spacing w:before="280"/>
      </w:pPr>
      <w:r>
        <w:rPr>
          <w:bCs/>
        </w:rPr>
        <w:t>Meritum</w:t>
      </w:r>
    </w:p>
    <w:p w14:paraId="61AAE98E" w14:textId="77777777" w:rsidR="00414A46" w:rsidRDefault="008C003A">
      <w:pPr>
        <w:pStyle w:val="JuHi"/>
        <w:numPr>
          <w:ilvl w:val="5"/>
          <w:numId w:val="1"/>
        </w:numPr>
        <w:spacing w:before="280"/>
      </w:pPr>
      <w:r>
        <w:rPr>
          <w:iCs/>
        </w:rPr>
        <w:t>Stanowiska stron</w:t>
      </w:r>
    </w:p>
    <w:p w14:paraId="74CEC6A6" w14:textId="5A3F372A" w:rsidR="00414A46" w:rsidRDefault="00256FD1">
      <w:pPr>
        <w:pStyle w:val="JuPara"/>
      </w:pPr>
      <w:r>
        <w:t>190</w:t>
      </w:r>
      <w:r w:rsidR="008C003A">
        <w:t>.  Skarżący twierdził, że władze krajowe nie zbadały przedmiotu odpowiedzialności karnej kierowców uczestniczących w wypadku oraz że ze względu na ostateczny wynik postępowania karnego jego roszczenie cywilne</w:t>
      </w:r>
      <w:r w:rsidR="002F2788">
        <w:t>,</w:t>
      </w:r>
      <w:r w:rsidR="008C003A">
        <w:t xml:space="preserve"> włączone do postępowania karnego</w:t>
      </w:r>
      <w:r w:rsidR="002F2788">
        <w:t>,</w:t>
      </w:r>
      <w:r w:rsidR="008C003A">
        <w:t xml:space="preserve"> nie zostało zbadane. Ponieważ władze były odpowiedzialne za nierozpatrzenie jego roszczenia cywilnego, stanowiło to naruszenie </w:t>
      </w:r>
      <w:r w:rsidR="002F2788">
        <w:t>jego</w:t>
      </w:r>
      <w:r w:rsidR="008C003A">
        <w:t xml:space="preserve"> prawa dostępu do wymiaru sprawiedliwości. Ponadto</w:t>
      </w:r>
      <w:r w:rsidR="002F2788">
        <w:t>,</w:t>
      </w:r>
      <w:r w:rsidR="008C003A">
        <w:t xml:space="preserve"> zgodnie z orzecznictwem Trybunału</w:t>
      </w:r>
      <w:r w:rsidR="002F2788">
        <w:t>,</w:t>
      </w:r>
      <w:r w:rsidR="008C003A">
        <w:t xml:space="preserve"> władze krajowe miały obowiązek upewnić się, że skarżący korzystał z podstawowych gwarancji określonych w art. 6 ust. 1 Konwencji oraz stworzyć warunki do rozstrzygnięcia jego roszczenia cywilnego.</w:t>
      </w:r>
    </w:p>
    <w:p w14:paraId="3BA7B4E2" w14:textId="6DDED33F" w:rsidR="00414A46" w:rsidRDefault="00256FD1">
      <w:pPr>
        <w:pStyle w:val="JuPara"/>
      </w:pPr>
      <w:r>
        <w:t>191</w:t>
      </w:r>
      <w:r w:rsidR="008C003A">
        <w:t>.  Rząd podniósł, że sądy krajowe nie mogą badać roszczeń cywilnych w toku postępowa</w:t>
      </w:r>
      <w:r w:rsidR="003D3796">
        <w:t>ń</w:t>
      </w:r>
      <w:r w:rsidR="008C003A">
        <w:t xml:space="preserve"> odwoławcz</w:t>
      </w:r>
      <w:r w:rsidR="003D3796">
        <w:t>ych</w:t>
      </w:r>
      <w:r w:rsidR="008C003A">
        <w:t xml:space="preserve"> zainicjowan</w:t>
      </w:r>
      <w:r w:rsidR="003D3796">
        <w:t>ych przez pokrzywdzonych</w:t>
      </w:r>
      <w:r w:rsidR="008C003A">
        <w:t xml:space="preserve"> </w:t>
      </w:r>
      <w:r w:rsidR="003D3796">
        <w:t xml:space="preserve">w związku z </w:t>
      </w:r>
      <w:r w:rsidR="008C003A">
        <w:t>decyzj</w:t>
      </w:r>
      <w:r w:rsidR="003D3796">
        <w:t>ą</w:t>
      </w:r>
      <w:r w:rsidR="008C003A">
        <w:t xml:space="preserve"> prokuratury o umorzeniu postępowania karnego. Nie ograniczyło to jednak możliwości skorzystania przez ofiarę z </w:t>
      </w:r>
      <w:r w:rsidR="003D3796">
        <w:t xml:space="preserve">jej </w:t>
      </w:r>
      <w:r w:rsidR="008C003A">
        <w:t xml:space="preserve">prawa dostępu do sądu poprzez wszczęcie odrębnego postępowania cywilnego odpowiednio chroniącego prawa </w:t>
      </w:r>
      <w:r w:rsidR="003D3796">
        <w:t>pokrzywdzonego z</w:t>
      </w:r>
      <w:r w:rsidR="008C003A">
        <w:t xml:space="preserve"> art. 6.</w:t>
      </w:r>
    </w:p>
    <w:p w14:paraId="2BD30F34" w14:textId="77777777" w:rsidR="00414A46" w:rsidRDefault="008C003A">
      <w:pPr>
        <w:pStyle w:val="JuHi"/>
        <w:numPr>
          <w:ilvl w:val="5"/>
          <w:numId w:val="1"/>
        </w:numPr>
        <w:spacing w:before="280"/>
      </w:pPr>
      <w:r>
        <w:rPr>
          <w:iCs/>
        </w:rPr>
        <w:t>Ocena Trybunału</w:t>
      </w:r>
    </w:p>
    <w:p w14:paraId="5AFB1435" w14:textId="77777777" w:rsidR="00414A46" w:rsidRDefault="008C003A">
      <w:pPr>
        <w:pStyle w:val="JuHalpha"/>
        <w:numPr>
          <w:ilvl w:val="6"/>
          <w:numId w:val="1"/>
        </w:numPr>
        <w:spacing w:before="280"/>
      </w:pPr>
      <w:r>
        <w:rPr>
          <w:rFonts w:cstheme="majorHAnsi"/>
        </w:rPr>
        <w:t>Zasady ogólne</w:t>
      </w:r>
    </w:p>
    <w:p w14:paraId="6D4318AE" w14:textId="45734C8C" w:rsidR="00414A46" w:rsidRDefault="00256FD1">
      <w:pPr>
        <w:pStyle w:val="JuPara"/>
      </w:pPr>
      <w:r>
        <w:t>192</w:t>
      </w:r>
      <w:r w:rsidR="008C003A">
        <w:t xml:space="preserve">.  Trybunał </w:t>
      </w:r>
      <w:r w:rsidR="003D3796">
        <w:t>przypomina</w:t>
      </w:r>
      <w:r w:rsidR="008C003A">
        <w:t xml:space="preserve">, że prawo do sprawiedliwego rozpatrzenia </w:t>
      </w:r>
      <w:r w:rsidR="003D3796">
        <w:t>musi być interpretowane</w:t>
      </w:r>
      <w:r w:rsidR="008C003A">
        <w:t xml:space="preserve"> w świetle zasady </w:t>
      </w:r>
      <w:r w:rsidR="003D3796">
        <w:t>rządów prawa</w:t>
      </w:r>
      <w:r w:rsidR="008C003A">
        <w:t xml:space="preserve">, która wymaga, aby wszystkie strony procesowe dysponowały skutecznym </w:t>
      </w:r>
      <w:r w:rsidR="003D3796">
        <w:t xml:space="preserve">sądowym </w:t>
      </w:r>
      <w:r w:rsidR="008C003A">
        <w:t xml:space="preserve">środkiem </w:t>
      </w:r>
      <w:r w:rsidR="003D3796">
        <w:lastRenderedPageBreak/>
        <w:t>ochrony prawnej</w:t>
      </w:r>
      <w:r w:rsidR="008C003A">
        <w:t xml:space="preserve"> sądowym umożliwiającym im dochodzenie ich praw o charakterze cywilnym. Każdy ma prawo do </w:t>
      </w:r>
      <w:r w:rsidR="00EE3E3F">
        <w:t xml:space="preserve">dochodzenia </w:t>
      </w:r>
      <w:r w:rsidR="008C003A">
        <w:t xml:space="preserve">wszelkich roszczeń dotyczących jego praw i obowiązków o charakterze cywilnym </w:t>
      </w:r>
      <w:r w:rsidR="00EE3E3F">
        <w:t>przed sądem lub trybunałem</w:t>
      </w:r>
      <w:r w:rsidR="008C003A">
        <w:t xml:space="preserve">. W ten sposób art. 6 ust. 1 określa „prawo do sądu”, którego szczególnym aspektem jest prawo dostępu do sądu, czyli prawo do wszczęcia postępowania przed sądem w sprawach cywilnych (zob. m.in. </w:t>
      </w:r>
      <w:r w:rsidR="008C003A">
        <w:rPr>
          <w:i/>
          <w:iCs/>
        </w:rPr>
        <w:t>Golder przeciwko Zjednoczonemu Królestwu</w:t>
      </w:r>
      <w:r w:rsidR="008C003A">
        <w:t xml:space="preserve">, 21 lutego 1975 r., § 36, Seria A nr 18; </w:t>
      </w:r>
      <w:r w:rsidR="008C003A">
        <w:rPr>
          <w:i/>
          <w:iCs/>
        </w:rPr>
        <w:t>Al-Dulimi i Montana Management Inc. przeciwko Szwajcarii</w:t>
      </w:r>
      <w:r w:rsidR="008C003A">
        <w:t xml:space="preserve"> [WI], nr 5809/08, § 126, 21 czerwca 2016 r.</w:t>
      </w:r>
      <w:r w:rsidR="00EE3E3F">
        <w:t xml:space="preserve"> i</w:t>
      </w:r>
      <w:r w:rsidR="008C003A">
        <w:t xml:space="preserve"> </w:t>
      </w:r>
      <w:r w:rsidR="008C003A">
        <w:rPr>
          <w:i/>
          <w:iCs/>
        </w:rPr>
        <w:t>Naït-Liman przeciwko Szwajcarii</w:t>
      </w:r>
      <w:r w:rsidR="008C003A">
        <w:t xml:space="preserve"> [WI], nr 51357/07, § 113, 15 marca 2018 r.).</w:t>
      </w:r>
    </w:p>
    <w:p w14:paraId="4216CCD6" w14:textId="6CE46F93" w:rsidR="00414A46" w:rsidRDefault="00256FD1">
      <w:pPr>
        <w:pStyle w:val="JuPara"/>
      </w:pPr>
      <w:r>
        <w:t>193</w:t>
      </w:r>
      <w:r w:rsidR="008C003A">
        <w:t>.  Trybunał jest zdania, że istnieje różnica między prawem do skutecznego śledztwa na gruncie art. 2 Konwencji</w:t>
      </w:r>
      <w:r w:rsidR="00EE3E3F">
        <w:t xml:space="preserve"> i  </w:t>
      </w:r>
      <w:r w:rsidR="008C003A">
        <w:t xml:space="preserve">prawem dostępu do sądu na gruncie art. 6 ust. 1 Konwencji. To pierwsze prawo wywodzi się z obowiązku pozytywnego wynikającego z materialnego obowiązku zapobiegania ingerencji w życie </w:t>
      </w:r>
      <w:r w:rsidR="00EE3E3F">
        <w:t xml:space="preserve">ludzkie </w:t>
      </w:r>
      <w:r w:rsidR="008C003A">
        <w:t xml:space="preserve">lub integralność fizyczną, podczas gdy drugie prawo </w:t>
      </w:r>
      <w:r w:rsidR="00EE3E3F">
        <w:t xml:space="preserve">przewiduje </w:t>
      </w:r>
      <w:r w:rsidR="008C003A">
        <w:t>dostęp do mechanizmu rozstrzygania sporów powstałych</w:t>
      </w:r>
      <w:r w:rsidR="00EE3E3F">
        <w:t>,</w:t>
      </w:r>
      <w:r w:rsidR="008C003A">
        <w:t xml:space="preserve"> na przykład</w:t>
      </w:r>
      <w:r w:rsidR="00EE3E3F">
        <w:t>,</w:t>
      </w:r>
      <w:r w:rsidR="008C003A">
        <w:t xml:space="preserve"> w wyniku </w:t>
      </w:r>
      <w:r w:rsidR="00EE3E3F">
        <w:t xml:space="preserve">wypadku </w:t>
      </w:r>
      <w:r w:rsidR="008C003A">
        <w:t>wiążącego się z ingerencją w </w:t>
      </w:r>
      <w:r w:rsidR="00EE3E3F">
        <w:t>życie ludzkie</w:t>
      </w:r>
      <w:r w:rsidR="008C003A">
        <w:t xml:space="preserve"> lub integralność osoby, a zatem ma na celu zapewnienie ofierze możliwości dochodzenia naprawienia szkody, niezależnie od jakiegokolwiek obowiązku </w:t>
      </w:r>
      <w:r w:rsidR="0068561D">
        <w:t>P</w:t>
      </w:r>
      <w:r w:rsidR="008C003A">
        <w:t>aństwa w zakresie zapobiegania takim ingerencjom.</w:t>
      </w:r>
    </w:p>
    <w:p w14:paraId="7FBD10DE" w14:textId="64A89AD0" w:rsidR="00414A46" w:rsidRDefault="00256FD1">
      <w:pPr>
        <w:pStyle w:val="JuPara"/>
      </w:pPr>
      <w:r>
        <w:t>194</w:t>
      </w:r>
      <w:r w:rsidR="008C003A">
        <w:t xml:space="preserve">.  Trybunał powtarza ponadto, że chociaż Konwencja nie przyznaje żadnego prawa, jako takiego, do ścigania lub skazywania stron trzecich za przestępstwo karne (zob. </w:t>
      </w:r>
      <w:r w:rsidR="008C003A">
        <w:rPr>
          <w:i/>
          <w:iCs/>
        </w:rPr>
        <w:t>Perez przeciwko Francji</w:t>
      </w:r>
      <w:r w:rsidR="008C003A">
        <w:t xml:space="preserve"> [WI], nr 47287/99, § 70, ETPC 2004-I</w:t>
      </w:r>
      <w:r w:rsidR="0068561D">
        <w:t xml:space="preserve"> i</w:t>
      </w:r>
      <w:r w:rsidR="008C003A">
        <w:t xml:space="preserve"> </w:t>
      </w:r>
      <w:r w:rsidR="008C003A">
        <w:rPr>
          <w:i/>
          <w:iCs/>
        </w:rPr>
        <w:t>Gorou przeciwko Grecji</w:t>
      </w:r>
      <w:r w:rsidR="008C003A">
        <w:t xml:space="preserve"> (nr 2) [WI], nr 12686/03, § 24, 20 marca 2009 r.), prawo krajowe może przewidywać prawo ofiary przestępstwa do dochodzenia naprawienia szkody będącej skutkiem tego przestępstwa w drodze postępowania cywilnego, to jest </w:t>
      </w:r>
      <w:r w:rsidR="00445954">
        <w:t>po</w:t>
      </w:r>
      <w:r w:rsidR="008C003A">
        <w:t xml:space="preserve">przez umożliwienie ofierze przystąpienia do postępowania karnego jako strona cywilna. Jest to jeden z możliwych sposobów wystąpienia z powództwem cywilnym o naprawienie szkody (zob. </w:t>
      </w:r>
      <w:r w:rsidR="008C003A">
        <w:rPr>
          <w:i/>
          <w:iCs/>
        </w:rPr>
        <w:t>Perez</w:t>
      </w:r>
      <w:r w:rsidR="008C003A">
        <w:t xml:space="preserve">, </w:t>
      </w:r>
      <w:r w:rsidR="00445954">
        <w:t>cyt. pow.,</w:t>
      </w:r>
      <w:r w:rsidR="008C003A">
        <w:t xml:space="preserve"> § 62).</w:t>
      </w:r>
    </w:p>
    <w:p w14:paraId="133D20C4" w14:textId="70B63CF8" w:rsidR="00414A46" w:rsidRDefault="00256FD1">
      <w:pPr>
        <w:pStyle w:val="JuPara"/>
      </w:pPr>
      <w:r>
        <w:t>195</w:t>
      </w:r>
      <w:r w:rsidR="008C003A">
        <w:t>.  </w:t>
      </w:r>
      <w:r w:rsidR="008C003A">
        <w:rPr>
          <w:szCs w:val="24"/>
        </w:rPr>
        <w:t>Prawo dostępu do sąd</w:t>
      </w:r>
      <w:r w:rsidR="00445954">
        <w:rPr>
          <w:szCs w:val="24"/>
        </w:rPr>
        <w:t>u</w:t>
      </w:r>
      <w:r w:rsidR="008C003A">
        <w:rPr>
          <w:szCs w:val="24"/>
        </w:rPr>
        <w:t xml:space="preserve"> nie ma charakteru bezwzględnego, ale może podlegać ograniczeniom; są one dozwolone w sposób dorozumiany, ponieważ prawo dostępu</w:t>
      </w:r>
      <w:r w:rsidR="00445954">
        <w:rPr>
          <w:szCs w:val="24"/>
        </w:rPr>
        <w:t>,</w:t>
      </w:r>
      <w:r w:rsidR="008C003A">
        <w:rPr>
          <w:szCs w:val="24"/>
        </w:rPr>
        <w:t xml:space="preserve"> z</w:t>
      </w:r>
      <w:r w:rsidR="00445954">
        <w:rPr>
          <w:szCs w:val="24"/>
        </w:rPr>
        <w:t xml:space="preserve"> samej swej</w:t>
      </w:r>
      <w:r w:rsidR="008C003A">
        <w:rPr>
          <w:szCs w:val="24"/>
        </w:rPr>
        <w:t> natury</w:t>
      </w:r>
      <w:r w:rsidR="00445954">
        <w:rPr>
          <w:szCs w:val="24"/>
        </w:rPr>
        <w:t>,</w:t>
      </w:r>
      <w:r w:rsidR="008C003A">
        <w:rPr>
          <w:szCs w:val="24"/>
        </w:rPr>
        <w:t xml:space="preserve"> wymaga uregulowania przez </w:t>
      </w:r>
      <w:r w:rsidR="00445954">
        <w:rPr>
          <w:szCs w:val="24"/>
        </w:rPr>
        <w:t>P</w:t>
      </w:r>
      <w:r w:rsidR="008C003A">
        <w:rPr>
          <w:szCs w:val="24"/>
        </w:rPr>
        <w:t xml:space="preserve">aństwo, któremu przysługuje w tym względzie pewien margines swobody (zob. </w:t>
      </w:r>
      <w:r w:rsidR="008C003A">
        <w:rPr>
          <w:i/>
          <w:iCs/>
          <w:szCs w:val="24"/>
        </w:rPr>
        <w:t>Golder</w:t>
      </w:r>
      <w:r w:rsidR="008C003A">
        <w:rPr>
          <w:szCs w:val="24"/>
        </w:rPr>
        <w:t xml:space="preserve">, </w:t>
      </w:r>
      <w:r w:rsidR="00445954">
        <w:rPr>
          <w:szCs w:val="24"/>
        </w:rPr>
        <w:t>cyt. pow.,</w:t>
      </w:r>
      <w:r w:rsidR="008C003A">
        <w:rPr>
          <w:szCs w:val="24"/>
        </w:rPr>
        <w:t xml:space="preserve"> § 38). Tym niemniej ograniczenia te nie mogą ograniczać ani pomniejszać dostępu danej osoby w sposób powodujący lub w zakresie powodującym naruszenie samej istoty owego prawa. Ponadto ograniczenia takie nie będą </w:t>
      </w:r>
      <w:r w:rsidR="00445954">
        <w:rPr>
          <w:szCs w:val="24"/>
        </w:rPr>
        <w:t xml:space="preserve">zgodne </w:t>
      </w:r>
      <w:r w:rsidR="008C003A">
        <w:rPr>
          <w:szCs w:val="24"/>
        </w:rPr>
        <w:t xml:space="preserve">z art. 6 ust. 1, jeżeli nie będą dążyć do realizacji uprawnionego celu </w:t>
      </w:r>
      <w:r w:rsidR="00445954">
        <w:rPr>
          <w:szCs w:val="24"/>
        </w:rPr>
        <w:t>lub</w:t>
      </w:r>
      <w:r w:rsidR="008C003A">
        <w:rPr>
          <w:szCs w:val="24"/>
        </w:rPr>
        <w:t xml:space="preserve"> jeżeli nie będzie zachowany rozsądny stosunek proporcjonalności pomiędzy zastosowanymi środkami a celem, który ma zostać osiągnięty (zob. </w:t>
      </w:r>
      <w:r w:rsidR="008C003A">
        <w:rPr>
          <w:i/>
          <w:iCs/>
        </w:rPr>
        <w:t>Ashingdane przeciwko Zjednoczonemu Królestwu</w:t>
      </w:r>
      <w:r w:rsidR="008C003A">
        <w:t>, 28 maja 1985 r., § 57, Seria A nr 93;</w:t>
      </w:r>
      <w:r w:rsidR="008C003A">
        <w:rPr>
          <w:szCs w:val="24"/>
        </w:rPr>
        <w:t xml:space="preserve"> </w:t>
      </w:r>
      <w:r w:rsidR="008C003A">
        <w:rPr>
          <w:i/>
          <w:iCs/>
          <w:szCs w:val="24"/>
        </w:rPr>
        <w:t>Al-Dulimi i Montana Management Inc.</w:t>
      </w:r>
      <w:r w:rsidR="008C003A">
        <w:rPr>
          <w:szCs w:val="24"/>
        </w:rPr>
        <w:t xml:space="preserve">, </w:t>
      </w:r>
      <w:r w:rsidR="00445954">
        <w:rPr>
          <w:szCs w:val="24"/>
        </w:rPr>
        <w:t>cyt. pow.,</w:t>
      </w:r>
      <w:r w:rsidR="008C003A">
        <w:rPr>
          <w:szCs w:val="24"/>
        </w:rPr>
        <w:t xml:space="preserve"> § 129; </w:t>
      </w:r>
      <w:r w:rsidR="008C003A">
        <w:rPr>
          <w:i/>
          <w:iCs/>
          <w:szCs w:val="24"/>
        </w:rPr>
        <w:t xml:space="preserve">Parafia greckokatolicka w Lupeni i Inni </w:t>
      </w:r>
      <w:r w:rsidR="008C003A">
        <w:rPr>
          <w:i/>
          <w:iCs/>
          <w:szCs w:val="24"/>
        </w:rPr>
        <w:lastRenderedPageBreak/>
        <w:t>przeciwko Rumunii</w:t>
      </w:r>
      <w:r w:rsidR="008C003A">
        <w:rPr>
          <w:szCs w:val="24"/>
        </w:rPr>
        <w:t xml:space="preserve"> [WI], nr 76943/11, § 89, 29 listopada 2016 r.; </w:t>
      </w:r>
      <w:r w:rsidR="008C003A">
        <w:rPr>
          <w:i/>
          <w:iCs/>
          <w:szCs w:val="24"/>
        </w:rPr>
        <w:t>Naït-Liman</w:t>
      </w:r>
      <w:r w:rsidR="008C003A">
        <w:rPr>
          <w:szCs w:val="24"/>
        </w:rPr>
        <w:t xml:space="preserve">, </w:t>
      </w:r>
      <w:r w:rsidR="00623AC8">
        <w:rPr>
          <w:szCs w:val="24"/>
        </w:rPr>
        <w:t>cyt. pow.,</w:t>
      </w:r>
      <w:r w:rsidR="008C003A">
        <w:rPr>
          <w:szCs w:val="24"/>
        </w:rPr>
        <w:t xml:space="preserve"> §§ 114</w:t>
      </w:r>
      <w:r w:rsidR="00E56D23" w:rsidRPr="00E56D23">
        <w:rPr>
          <w:szCs w:val="24"/>
        </w:rPr>
        <w:t>–</w:t>
      </w:r>
      <w:r w:rsidR="008C003A">
        <w:rPr>
          <w:szCs w:val="24"/>
        </w:rPr>
        <w:t>15</w:t>
      </w:r>
      <w:r w:rsidR="00623AC8">
        <w:rPr>
          <w:szCs w:val="24"/>
        </w:rPr>
        <w:t xml:space="preserve"> i</w:t>
      </w:r>
      <w:r w:rsidR="008C003A">
        <w:rPr>
          <w:szCs w:val="24"/>
        </w:rPr>
        <w:t xml:space="preserve"> </w:t>
      </w:r>
      <w:r w:rsidR="008C003A">
        <w:rPr>
          <w:i/>
          <w:iCs/>
          <w:szCs w:val="24"/>
        </w:rPr>
        <w:t>Zubac przeciwko Chorwacji</w:t>
      </w:r>
      <w:r w:rsidR="008C003A">
        <w:rPr>
          <w:szCs w:val="24"/>
        </w:rPr>
        <w:t xml:space="preserve"> [WI], nr 40160/12, § 78, 5 kwietnia 2018 r.).</w:t>
      </w:r>
    </w:p>
    <w:p w14:paraId="2B1ECC75" w14:textId="1A4DF5B3" w:rsidR="00414A46" w:rsidRDefault="008C003A">
      <w:pPr>
        <w:pStyle w:val="JuHalpha"/>
        <w:numPr>
          <w:ilvl w:val="6"/>
          <w:numId w:val="1"/>
        </w:numPr>
        <w:spacing w:before="280"/>
      </w:pPr>
      <w:r>
        <w:t>Zastosowanie zasad ogólnych w </w:t>
      </w:r>
      <w:r w:rsidR="00623AC8">
        <w:t xml:space="preserve">niniejszej </w:t>
      </w:r>
      <w:r>
        <w:t>sprawie</w:t>
      </w:r>
    </w:p>
    <w:p w14:paraId="57966265" w14:textId="55D88BFF" w:rsidR="00414A46" w:rsidRDefault="00256FD1">
      <w:pPr>
        <w:pStyle w:val="JuPara"/>
      </w:pPr>
      <w:bookmarkStart w:id="4" w:name="control187"/>
      <w:r>
        <w:t>196</w:t>
      </w:r>
      <w:r w:rsidR="008C003A">
        <w:t>.  </w:t>
      </w:r>
      <w:bookmarkEnd w:id="4"/>
      <w:r w:rsidR="008C003A">
        <w:t xml:space="preserve">W </w:t>
      </w:r>
      <w:r w:rsidR="00623AC8">
        <w:t xml:space="preserve">niniejszej </w:t>
      </w:r>
      <w:r w:rsidR="008C003A">
        <w:t>sprawie Trybunał zauważa, że skarżący wystąpił z roszczeniem cywilnym w </w:t>
      </w:r>
      <w:r w:rsidR="00623AC8">
        <w:t xml:space="preserve">ramach </w:t>
      </w:r>
      <w:r w:rsidR="008C003A">
        <w:t>postępowania karnego wszczętego przez władze krajowe przeciwko J.C.P. i D.I. po wypadku samochodowym. Wspomniane organy umorzyły</w:t>
      </w:r>
      <w:r w:rsidR="00623AC8">
        <w:t xml:space="preserve"> jednak</w:t>
      </w:r>
      <w:r w:rsidR="008C003A">
        <w:t xml:space="preserve"> postępowanie karne przeciwko J.C.P. i D.I. ze względu odpowiednio na to, że nie zostały spełnione wszystkie znamiona przestępstwa oraz że nastąpiło przedawnienie kar</w:t>
      </w:r>
      <w:r w:rsidR="00623AC8">
        <w:t>alności</w:t>
      </w:r>
      <w:r w:rsidR="008C003A">
        <w:t>. W konsekwencji roszczenie cywilne dołączone do postępowania karnego nie zostało rozpatrzone przez żaden sąd karny.</w:t>
      </w:r>
    </w:p>
    <w:p w14:paraId="3F4997E1" w14:textId="1A88384F" w:rsidR="00414A46" w:rsidRDefault="00256FD1">
      <w:pPr>
        <w:pStyle w:val="JuPara"/>
      </w:pPr>
      <w:r>
        <w:t>197</w:t>
      </w:r>
      <w:r w:rsidR="008C003A">
        <w:t>.  Żadna ze stron nie twierdziła</w:t>
      </w:r>
      <w:r w:rsidR="00623AC8">
        <w:t xml:space="preserve"> ani nie przedstawiła dowodu</w:t>
      </w:r>
      <w:r w:rsidR="008C003A">
        <w:t>, że po umorzeniu postępowania przeciwko J.C.P. i D.I. sądy karne miały obowiązek rozpatrzenia roszczenia cywilnego skarżącego pomimo decyzji o umorzeniu postępowania karnego. Ponadto w świetle dostępnych dowodów Trybunał uważa, że decyzja władz krajowych, by z wyżej wspomnianych powodów umorzyć postępowanie karne wszczęte przeciwko J.C.P. i D.I., nie była arbitralna ani w sposób oczywisty nieuzasadniona (zob. par. 1</w:t>
      </w:r>
      <w:r w:rsidR="00FE00B2">
        <w:t>9</w:t>
      </w:r>
      <w:r w:rsidR="008C003A">
        <w:t>6).</w:t>
      </w:r>
    </w:p>
    <w:p w14:paraId="05546EC1" w14:textId="60BC0D8F" w:rsidR="00414A46" w:rsidRDefault="00256FD1">
      <w:pPr>
        <w:pStyle w:val="JuPara"/>
      </w:pPr>
      <w:r>
        <w:t>198</w:t>
      </w:r>
      <w:r w:rsidR="008C003A">
        <w:t xml:space="preserve">.  W tym kontekście można zauważyć, że w sprawach, w których roszczenia cywilne wniesione w ramach postępowania karnego nie zostały rozpatrzone ze względu na umorzenie tego postępowania, Trybunał wziął pod uwagę dostępność innych środków umożliwiających skarżącym dochodzenie ich praw o charakterze cywilnym. W sprawach, w których skarżący mieli do dyspozycji dostępne i skuteczne drogi dochodzenia swoich roszczeń cywilnych, Trybunał uznał, że ich prawo dostępu do sądu nie zostało naruszone (zob. </w:t>
      </w:r>
      <w:r w:rsidR="008C003A">
        <w:rPr>
          <w:i/>
          <w:iCs/>
        </w:rPr>
        <w:t>Assenov i Inni</w:t>
      </w:r>
      <w:r w:rsidR="008C003A">
        <w:t xml:space="preserve">, </w:t>
      </w:r>
      <w:r w:rsidR="00844256">
        <w:t>cyt. pow.,</w:t>
      </w:r>
      <w:r w:rsidR="008C003A">
        <w:t xml:space="preserve"> § 112; </w:t>
      </w:r>
      <w:r w:rsidR="008C003A">
        <w:rPr>
          <w:i/>
          <w:iCs/>
        </w:rPr>
        <w:t>Ernst i Inni przeciwko Belgii</w:t>
      </w:r>
      <w:r w:rsidR="008C003A">
        <w:t xml:space="preserve">, nr 33400/96, §§ 5455, 15 lipca 2003 r.; </w:t>
      </w:r>
      <w:r w:rsidR="008C003A">
        <w:rPr>
          <w:i/>
          <w:iCs/>
        </w:rPr>
        <w:t xml:space="preserve">Moldovan i Inni przeciwko Rumunii </w:t>
      </w:r>
      <w:r w:rsidR="008C003A">
        <w:t xml:space="preserve">(nr 2), nr 41138/98 i 64320/01, §§ 119–122, ETPC 2005-VII (fragmenty); </w:t>
      </w:r>
      <w:r w:rsidR="008C003A">
        <w:rPr>
          <w:i/>
          <w:iCs/>
        </w:rPr>
        <w:t>Forum Maritime S.A. przeciwko Rumunii</w:t>
      </w:r>
      <w:r w:rsidR="008C003A">
        <w:t xml:space="preserve">, nr 63610/00 i 38692/05, § 91, 4 października 2007 r.; </w:t>
      </w:r>
      <w:r w:rsidR="008C003A">
        <w:rPr>
          <w:i/>
          <w:iCs/>
        </w:rPr>
        <w:t>Borobar i Inni przeciwko Rumunii</w:t>
      </w:r>
      <w:r w:rsidR="008C003A">
        <w:t>, nr 5663/04, § 56, 29 stycznia 2013 r.</w:t>
      </w:r>
      <w:r w:rsidR="00844256">
        <w:t xml:space="preserve"> oraz </w:t>
      </w:r>
      <w:r w:rsidR="008C003A">
        <w:rPr>
          <w:i/>
          <w:iCs/>
        </w:rPr>
        <w:t>Stowarzyszenie Ofiar S.C. Rompetrol S.A. i S.C. Geomin S.A. i Inni przeciwko Rumunii</w:t>
      </w:r>
      <w:r w:rsidR="008C003A">
        <w:t>, nr 24133/03, § 65, 25 czerwca 2013 r.).</w:t>
      </w:r>
    </w:p>
    <w:p w14:paraId="132997B1" w14:textId="2DC54710" w:rsidR="00414A46" w:rsidRDefault="00256FD1">
      <w:pPr>
        <w:pStyle w:val="JuPara"/>
      </w:pPr>
      <w:r>
        <w:t>199</w:t>
      </w:r>
      <w:r w:rsidR="008C003A">
        <w:t>.  </w:t>
      </w:r>
      <w:r w:rsidR="00844256">
        <w:t xml:space="preserve">W niniejszej sprawie, w czasie gdy </w:t>
      </w:r>
      <w:r w:rsidR="008C003A">
        <w:t xml:space="preserve">skarżący przyłączył się do postępowania karnego jako strona cywilna, mógł zamiast tego wszcząć odrębne postępowanie cywilne przeciwko J.C.P. i D.I. Chociaż z dostępnych </w:t>
      </w:r>
      <w:r w:rsidR="00844256">
        <w:t xml:space="preserve">dowodów </w:t>
      </w:r>
      <w:r w:rsidR="008C003A">
        <w:t>i wyjaśnień Rządu wynika, że takie postępowanie mogłoby zostać zawieszone do czasu rozstrzygnięcia postępowania karnego, Trybunał zauważa, że strony nie przedstawiły żadn</w:t>
      </w:r>
      <w:r w:rsidR="00844256">
        <w:t xml:space="preserve">ego dowodu </w:t>
      </w:r>
      <w:r w:rsidR="008C003A">
        <w:t>wskazując</w:t>
      </w:r>
      <w:r w:rsidR="00844256">
        <w:t>ego</w:t>
      </w:r>
      <w:r w:rsidR="008C003A">
        <w:t xml:space="preserve"> na to, że skarżący nie mógł uzyskać </w:t>
      </w:r>
      <w:r w:rsidR="00844256">
        <w:t xml:space="preserve">merytorycznego </w:t>
      </w:r>
      <w:r w:rsidR="008C003A">
        <w:t>rozstrzygnięcia w przedmiocie swoich roszczeń cywilnych po zakończeniu postępowania karnego.</w:t>
      </w:r>
    </w:p>
    <w:p w14:paraId="3DAD0FE8" w14:textId="404ADC96" w:rsidR="00414A46" w:rsidRDefault="00256FD1">
      <w:pPr>
        <w:pStyle w:val="JuPara"/>
      </w:pPr>
      <w:r>
        <w:lastRenderedPageBreak/>
        <w:t>200</w:t>
      </w:r>
      <w:r w:rsidR="008C003A">
        <w:t>.  Ponadto umorzenie postępowania karnego przeciwko J.C.P. i D.I. nie uniemożliwiło skarżącemu wniesienia odrębnego powództwa cywilnego przeciwko nim przed sądem cywilnym, gdy skarżący dowiedział się o ostatecznych wyrokach sądów karnych utrzymujących w mocy decyzję prokuratury o umorzeniu postępowania karnego. Ponadto, jak wyjaśnił Rząd (zob. par. </w:t>
      </w:r>
      <w:r w:rsidR="00EE1662">
        <w:t>9</w:t>
      </w:r>
      <w:r w:rsidR="008C003A">
        <w:t>5–</w:t>
      </w:r>
      <w:r w:rsidR="00EE1662">
        <w:t>9</w:t>
      </w:r>
      <w:r w:rsidR="008C003A">
        <w:t xml:space="preserve">6 powyżej), skarżący mógł podnieść, że termin przedawnienia dla wystąpienia z odrębnym roszczeniem cywilnym nie </w:t>
      </w:r>
      <w:r w:rsidR="00844256">
        <w:t xml:space="preserve">biegł </w:t>
      </w:r>
      <w:r w:rsidR="008C003A">
        <w:t>w czasie trwania postępowania karnego z roszczeniami cywilnymi. W związku z tym takie powództwo niekoniecznie było skazane na niepowodzenie.</w:t>
      </w:r>
    </w:p>
    <w:p w14:paraId="3348105F" w14:textId="35CE79D1" w:rsidR="00414A46" w:rsidRDefault="00256FD1">
      <w:pPr>
        <w:pStyle w:val="JuPara"/>
      </w:pPr>
      <w:r>
        <w:t>201</w:t>
      </w:r>
      <w:r w:rsidR="008C003A">
        <w:t>.  W świetle powyższych rozważań nie można stwierdzić, że skarżącemu odmówiono dostępu do sądu w celu rozstrzygnięcia o jego prawach o charakterze cywilnym.</w:t>
      </w:r>
    </w:p>
    <w:p w14:paraId="6EA8E539" w14:textId="0026644B" w:rsidR="00414A46" w:rsidRDefault="00256FD1">
      <w:pPr>
        <w:pStyle w:val="JuPara"/>
      </w:pPr>
      <w:r>
        <w:t>202</w:t>
      </w:r>
      <w:r w:rsidR="008C003A">
        <w:t>.  Wynika z tego, że nie doszło do naruszenia art. 6 ust. 1 Konwencji w tym względzie.</w:t>
      </w:r>
    </w:p>
    <w:p w14:paraId="606EBE4E" w14:textId="77777777" w:rsidR="00414A46" w:rsidRDefault="008C003A">
      <w:pPr>
        <w:pStyle w:val="JuH1"/>
        <w:numPr>
          <w:ilvl w:val="3"/>
          <w:numId w:val="1"/>
        </w:numPr>
        <w:spacing w:before="280"/>
      </w:pPr>
      <w:r>
        <w:rPr>
          <w:iCs/>
        </w:rPr>
        <w:t>Rozsądny termin</w:t>
      </w:r>
    </w:p>
    <w:p w14:paraId="1387A742" w14:textId="7DC2EE29" w:rsidR="00414A46" w:rsidRDefault="00256FD1">
      <w:pPr>
        <w:pStyle w:val="JuPara"/>
      </w:pPr>
      <w:r>
        <w:t>203</w:t>
      </w:r>
      <w:r w:rsidR="008C003A">
        <w:t>.  Skarżący podniósł, że śledztwo w sprawie okoliczności wypadku było przewlekłe.</w:t>
      </w:r>
    </w:p>
    <w:p w14:paraId="56283830" w14:textId="77777777" w:rsidR="00414A46" w:rsidRDefault="008C003A">
      <w:pPr>
        <w:pStyle w:val="JuHa0"/>
        <w:numPr>
          <w:ilvl w:val="4"/>
          <w:numId w:val="1"/>
        </w:numPr>
        <w:spacing w:before="280"/>
      </w:pPr>
      <w:r>
        <w:rPr>
          <w:bCs/>
        </w:rPr>
        <w:t>Dopuszczalność</w:t>
      </w:r>
    </w:p>
    <w:p w14:paraId="60005F87" w14:textId="3CE72D8E" w:rsidR="00414A46" w:rsidRDefault="00256FD1">
      <w:pPr>
        <w:pStyle w:val="JuPara"/>
      </w:pPr>
      <w:r>
        <w:t>204</w:t>
      </w:r>
      <w:r w:rsidR="008C003A">
        <w:t xml:space="preserve">.  Trybunał stwierdza, że przedmiotowa skarga nie jest w sposób oczywisty nieuzasadniona w rozumieniu art. 35 ust. 3 lit. a Konwencji. Ponadto zauważa, że nie jest ona niedopuszczalna </w:t>
      </w:r>
      <w:r w:rsidR="00C25108">
        <w:t>z żadnego innego powodu</w:t>
      </w:r>
      <w:r w:rsidR="008C003A">
        <w:t>. Musi zatem zostać uznana za dopuszczalną.</w:t>
      </w:r>
    </w:p>
    <w:p w14:paraId="095DB2EF" w14:textId="156CD892" w:rsidR="00414A46" w:rsidRDefault="00C25108">
      <w:pPr>
        <w:pStyle w:val="JuHa0"/>
        <w:numPr>
          <w:ilvl w:val="4"/>
          <w:numId w:val="1"/>
        </w:numPr>
        <w:spacing w:before="280"/>
      </w:pPr>
      <w:r>
        <w:rPr>
          <w:bCs/>
        </w:rPr>
        <w:t>Meritum</w:t>
      </w:r>
    </w:p>
    <w:p w14:paraId="6AA63C16" w14:textId="77777777" w:rsidR="00414A46" w:rsidRDefault="008C003A">
      <w:pPr>
        <w:pStyle w:val="JuHi"/>
        <w:numPr>
          <w:ilvl w:val="5"/>
          <w:numId w:val="1"/>
        </w:numPr>
        <w:spacing w:before="280"/>
      </w:pPr>
      <w:r>
        <w:rPr>
          <w:iCs/>
        </w:rPr>
        <w:t>Stanowiska stron</w:t>
      </w:r>
    </w:p>
    <w:p w14:paraId="065BF9DA" w14:textId="4A2F79E9" w:rsidR="00414A46" w:rsidRDefault="00256FD1">
      <w:pPr>
        <w:pStyle w:val="JuPara"/>
      </w:pPr>
      <w:r>
        <w:t>205</w:t>
      </w:r>
      <w:r w:rsidR="008C003A">
        <w:t>.  Skarżący podniósł, że władze krajowe nie dopełniły obowiązku przeprowadzenia postępowania, do którego przyłączył się jako strona cywilna, w rozsądnym terminie.</w:t>
      </w:r>
    </w:p>
    <w:p w14:paraId="118CDC37" w14:textId="51EC43F6" w:rsidR="00414A46" w:rsidRDefault="00256FD1">
      <w:pPr>
        <w:pStyle w:val="JuPara"/>
      </w:pPr>
      <w:r>
        <w:t>206</w:t>
      </w:r>
      <w:r w:rsidR="008C003A">
        <w:t>.  Rząd podniósł, że biorąc pod uwagę moment, w którym skarżący przyłączył się do postępowania karnego jako strona cywilna, oraz ostateczny wyrok Sądu Rejonowego w Ploeszti, całkowity czas trwania postępowania wyniósł siedem lat i sześć miesięcy. Ponadto powtórzył, że sprawa była złożona i że władze dołożyły znacznych starań w celu wyjaśnienia wszystkich okoliczności sprawy.</w:t>
      </w:r>
    </w:p>
    <w:p w14:paraId="63E8F069" w14:textId="77777777" w:rsidR="00414A46" w:rsidRDefault="008C003A">
      <w:pPr>
        <w:pStyle w:val="JuHi"/>
        <w:numPr>
          <w:ilvl w:val="5"/>
          <w:numId w:val="1"/>
        </w:numPr>
        <w:spacing w:before="280"/>
      </w:pPr>
      <w:r>
        <w:rPr>
          <w:iCs/>
        </w:rPr>
        <w:t>Ocena Trybunału</w:t>
      </w:r>
    </w:p>
    <w:p w14:paraId="7A5BE274" w14:textId="2D6B4CBC" w:rsidR="00414A46" w:rsidRDefault="00256FD1">
      <w:pPr>
        <w:pStyle w:val="JuPara"/>
      </w:pPr>
      <w:r>
        <w:rPr>
          <w:szCs w:val="24"/>
        </w:rPr>
        <w:t>207</w:t>
      </w:r>
      <w:r w:rsidR="008C003A">
        <w:rPr>
          <w:szCs w:val="24"/>
        </w:rPr>
        <w:t xml:space="preserve">.  Trybunał przypomina, że postępowanie cywilne wchodzi w zakres stosowania art. 6 ust. 1 w jego aspekcie cywilnym, chyba że zostało wszczęte w celach czysto karnych (zob. </w:t>
      </w:r>
      <w:r w:rsidR="008C003A">
        <w:rPr>
          <w:i/>
          <w:iCs/>
          <w:szCs w:val="24"/>
        </w:rPr>
        <w:t>Perez</w:t>
      </w:r>
      <w:r w:rsidR="008C003A">
        <w:rPr>
          <w:szCs w:val="24"/>
        </w:rPr>
        <w:t xml:space="preserve">, </w:t>
      </w:r>
      <w:r w:rsidR="00C25108">
        <w:rPr>
          <w:szCs w:val="24"/>
        </w:rPr>
        <w:t>cyt. pow.,</w:t>
      </w:r>
      <w:r w:rsidR="008C003A">
        <w:rPr>
          <w:i/>
          <w:iCs/>
          <w:szCs w:val="24"/>
        </w:rPr>
        <w:t>.</w:t>
      </w:r>
      <w:r w:rsidR="008C003A">
        <w:rPr>
          <w:szCs w:val="24"/>
        </w:rPr>
        <w:t xml:space="preserve">, §§ 70–71; </w:t>
      </w:r>
      <w:r w:rsidR="008C003A">
        <w:rPr>
          <w:i/>
          <w:iCs/>
          <w:szCs w:val="24"/>
        </w:rPr>
        <w:t>Gorou (nt 2)</w:t>
      </w:r>
      <w:r w:rsidR="008C003A">
        <w:rPr>
          <w:szCs w:val="24"/>
        </w:rPr>
        <w:t xml:space="preserve">, </w:t>
      </w:r>
      <w:r w:rsidR="00C25108">
        <w:rPr>
          <w:szCs w:val="24"/>
        </w:rPr>
        <w:t>cyt. pow.,</w:t>
      </w:r>
      <w:r w:rsidR="008C003A">
        <w:rPr>
          <w:szCs w:val="24"/>
        </w:rPr>
        <w:t xml:space="preserve"> § 24 oraz </w:t>
      </w:r>
      <w:r w:rsidR="008C003A">
        <w:rPr>
          <w:i/>
          <w:iCs/>
          <w:szCs w:val="24"/>
        </w:rPr>
        <w:t xml:space="preserve">Stowarzyszenie Ofiar S.C. Rompetrol S.A. i S.C. Geomin S.A. </w:t>
      </w:r>
      <w:r w:rsidR="008C003A">
        <w:rPr>
          <w:i/>
          <w:iCs/>
          <w:szCs w:val="24"/>
        </w:rPr>
        <w:lastRenderedPageBreak/>
        <w:t>i Inni</w:t>
      </w:r>
      <w:r w:rsidR="008C003A">
        <w:rPr>
          <w:szCs w:val="24"/>
        </w:rPr>
        <w:t xml:space="preserve">, </w:t>
      </w:r>
      <w:r w:rsidR="00C25108">
        <w:rPr>
          <w:szCs w:val="24"/>
        </w:rPr>
        <w:t>cyt. pow.,</w:t>
      </w:r>
      <w:r w:rsidR="008C003A">
        <w:rPr>
          <w:szCs w:val="24"/>
        </w:rPr>
        <w:t xml:space="preserve"> § 74). Art. 6 ust. 1 ma zastosowanie do postępowania w sprawie roszczenia cywilnego od momentu przyłączenia się do niego </w:t>
      </w:r>
      <w:r w:rsidR="00C25108">
        <w:rPr>
          <w:szCs w:val="24"/>
        </w:rPr>
        <w:t xml:space="preserve">pokrzywdzonego </w:t>
      </w:r>
      <w:r w:rsidR="008C003A">
        <w:rPr>
          <w:szCs w:val="24"/>
        </w:rPr>
        <w:t xml:space="preserve">jako strony cywilnej (zob. </w:t>
      </w:r>
      <w:r w:rsidR="008C003A">
        <w:rPr>
          <w:i/>
          <w:iCs/>
          <w:szCs w:val="24"/>
        </w:rPr>
        <w:t>Perez</w:t>
      </w:r>
      <w:r w:rsidR="008C003A">
        <w:rPr>
          <w:szCs w:val="24"/>
        </w:rPr>
        <w:t xml:space="preserve">, </w:t>
      </w:r>
      <w:r w:rsidR="00C25108">
        <w:rPr>
          <w:szCs w:val="24"/>
        </w:rPr>
        <w:t>cyt. pow.,</w:t>
      </w:r>
      <w:r w:rsidR="008C003A">
        <w:rPr>
          <w:szCs w:val="24"/>
        </w:rPr>
        <w:t xml:space="preserve"> § 66 i </w:t>
      </w:r>
      <w:r w:rsidR="008C003A">
        <w:rPr>
          <w:i/>
          <w:iCs/>
          <w:szCs w:val="24"/>
        </w:rPr>
        <w:t>Gorou (nr 2)</w:t>
      </w:r>
      <w:r w:rsidR="008C003A">
        <w:rPr>
          <w:szCs w:val="24"/>
        </w:rPr>
        <w:t xml:space="preserve">, </w:t>
      </w:r>
      <w:r w:rsidR="00C25108">
        <w:rPr>
          <w:szCs w:val="24"/>
        </w:rPr>
        <w:t>cyt. pow.,</w:t>
      </w:r>
      <w:r w:rsidR="008C003A">
        <w:rPr>
          <w:szCs w:val="24"/>
        </w:rPr>
        <w:t xml:space="preserve"> § 25), nawet na </w:t>
      </w:r>
      <w:r w:rsidR="00141857">
        <w:rPr>
          <w:szCs w:val="24"/>
        </w:rPr>
        <w:t xml:space="preserve">wstępnym </w:t>
      </w:r>
      <w:r w:rsidR="008C003A">
        <w:rPr>
          <w:szCs w:val="24"/>
        </w:rPr>
        <w:t xml:space="preserve">etapie śledztwa </w:t>
      </w:r>
      <w:r w:rsidR="00141857">
        <w:rPr>
          <w:szCs w:val="24"/>
        </w:rPr>
        <w:t xml:space="preserve">podjętego samodzielnie </w:t>
      </w:r>
      <w:r w:rsidR="008C003A">
        <w:rPr>
          <w:szCs w:val="24"/>
        </w:rPr>
        <w:t xml:space="preserve">(zob. </w:t>
      </w:r>
      <w:r w:rsidR="008C003A">
        <w:rPr>
          <w:i/>
          <w:iCs/>
          <w:szCs w:val="24"/>
        </w:rPr>
        <w:t>Perez</w:t>
      </w:r>
      <w:r w:rsidR="008C003A">
        <w:rPr>
          <w:szCs w:val="24"/>
        </w:rPr>
        <w:t xml:space="preserve">, </w:t>
      </w:r>
      <w:r w:rsidR="00141857">
        <w:rPr>
          <w:szCs w:val="24"/>
        </w:rPr>
        <w:t>cyt. pow.,</w:t>
      </w:r>
      <w:r w:rsidR="008C003A">
        <w:rPr>
          <w:szCs w:val="24"/>
        </w:rPr>
        <w:t xml:space="preserve"> § 66 i </w:t>
      </w:r>
      <w:r w:rsidR="008C003A">
        <w:rPr>
          <w:i/>
          <w:iCs/>
          <w:szCs w:val="24"/>
        </w:rPr>
        <w:t>Codarcea przeciwko Rumunii</w:t>
      </w:r>
      <w:r w:rsidR="008C003A">
        <w:rPr>
          <w:szCs w:val="24"/>
        </w:rPr>
        <w:t xml:space="preserve">, nr 31675/04, § 78, 2 czerwca 2009 r.). W </w:t>
      </w:r>
      <w:r w:rsidR="001003EC">
        <w:rPr>
          <w:szCs w:val="24"/>
        </w:rPr>
        <w:t xml:space="preserve">niniejszej </w:t>
      </w:r>
      <w:r w:rsidR="008C003A">
        <w:rPr>
          <w:szCs w:val="24"/>
        </w:rPr>
        <w:t>sprawie powództwo cywilne wniesione przez skarżącego miało na celu uzyskanie naprawienia szkody poniesionej w wyniku przestępstwa, które mieli popełnić J.C.P. i D.I. Art. 6 ust. 1 w jego aspekcie cywilnym miał zatem zastosowanie do postępowania karnego, do którego przyłączył się skarżący.</w:t>
      </w:r>
    </w:p>
    <w:p w14:paraId="320B7513" w14:textId="589EC65B" w:rsidR="00414A46" w:rsidRDefault="00256FD1">
      <w:pPr>
        <w:pStyle w:val="JuPara"/>
      </w:pPr>
      <w:r>
        <w:t>208</w:t>
      </w:r>
      <w:r w:rsidR="008C003A">
        <w:t>.  </w:t>
      </w:r>
      <w:r w:rsidR="002E1505">
        <w:t xml:space="preserve">Trybunał </w:t>
      </w:r>
      <w:r w:rsidR="008C003A">
        <w:t xml:space="preserve">zauważa, że strony nie kwestionują faktu, iż w dniu 22 czerwca 2005 r. skarżący przyłączył się jako strona cywilna do postępowania karnego prowadzonego przez władze krajowe. Zauważa również, że wspomniane postępowanie zakończyło się wyrokiem Sądu Apelacyjnego w Ploeszti z dnia 7 marca 2013 r. Czas trwania </w:t>
      </w:r>
      <w:r w:rsidR="00ED6908">
        <w:t xml:space="preserve">spornego </w:t>
      </w:r>
      <w:r w:rsidR="008C003A">
        <w:t xml:space="preserve">postępowania wyniósł zatem siedem lat, osiem miesięcy i dwanaście dni. </w:t>
      </w:r>
      <w:r w:rsidR="00ED6908">
        <w:t>Na p</w:t>
      </w:r>
      <w:r w:rsidR="008C003A">
        <w:t xml:space="preserve">ostępowanie to składało się </w:t>
      </w:r>
      <w:r w:rsidR="00ED6908">
        <w:t>trzykrotne rozpoznanie sprawy</w:t>
      </w:r>
      <w:r w:rsidR="008C003A">
        <w:t>, za każdym razem w dwóch instancjach.</w:t>
      </w:r>
    </w:p>
    <w:p w14:paraId="7C973A55" w14:textId="76A8718E" w:rsidR="00414A46" w:rsidRDefault="00256FD1">
      <w:pPr>
        <w:pStyle w:val="JuPara"/>
      </w:pPr>
      <w:r>
        <w:t>209</w:t>
      </w:r>
      <w:r w:rsidR="008C003A">
        <w:t>.  Trybunał przypomina, że rozsądny czasu trwania postępowania powinno się oceniać w świetle okoliczności konkretnej sprawy i z uwzględnieniem następujących kryteriów: złożonoś</w:t>
      </w:r>
      <w:r w:rsidR="00ED6908">
        <w:t>ć</w:t>
      </w:r>
      <w:r w:rsidR="008C003A">
        <w:t xml:space="preserve"> sprawy, zachowani</w:t>
      </w:r>
      <w:r w:rsidR="00ED6908">
        <w:t>e</w:t>
      </w:r>
      <w:r w:rsidR="008C003A">
        <w:t xml:space="preserve"> skarżącego i właściwych organów oraz </w:t>
      </w:r>
      <w:r w:rsidR="00ED6908">
        <w:t xml:space="preserve">znaczenia </w:t>
      </w:r>
      <w:r w:rsidR="008C003A">
        <w:t xml:space="preserve">przedmiot sporu dla skarżącego (zob. m.in. </w:t>
      </w:r>
      <w:r w:rsidR="008C003A">
        <w:rPr>
          <w:i/>
          <w:iCs/>
        </w:rPr>
        <w:t>Frydlender przeciwko Francji</w:t>
      </w:r>
      <w:r w:rsidR="008C003A">
        <w:t xml:space="preserve"> [WI], nr 30979/96, § 43, ETPC 2000-VII).</w:t>
      </w:r>
    </w:p>
    <w:p w14:paraId="50A5C650" w14:textId="4F9D0921" w:rsidR="00414A46" w:rsidRDefault="00256FD1">
      <w:pPr>
        <w:pStyle w:val="JuPara"/>
      </w:pPr>
      <w:r>
        <w:t>210</w:t>
      </w:r>
      <w:r w:rsidR="008C003A">
        <w:t xml:space="preserve">.  Trybunał zauważa, że śledztwo wszczęte w związku z okolicznościami wypadku skarżącego </w:t>
      </w:r>
      <w:r w:rsidR="00ED6908">
        <w:t>charakteryzowało się znacznym</w:t>
      </w:r>
      <w:r w:rsidR="001A18BE">
        <w:t xml:space="preserve"> stopniem</w:t>
      </w:r>
      <w:r w:rsidR="008C003A">
        <w:t xml:space="preserve"> złożon</w:t>
      </w:r>
      <w:r w:rsidR="001A18BE">
        <w:t>ości</w:t>
      </w:r>
      <w:r w:rsidR="008C003A">
        <w:t xml:space="preserve"> pod względem faktycznym </w:t>
      </w:r>
      <w:r w:rsidR="001A18BE">
        <w:t>i obejmowało kilka</w:t>
      </w:r>
      <w:r w:rsidR="008C003A">
        <w:t xml:space="preserve"> możliwości, które śledczy musieli zbadać. Zauważa również, że złożoność proceduralna sprawy wzrosła ze względu na wielokrotne ekspertyzy kryminalistyczne i techniczne </w:t>
      </w:r>
      <w:r w:rsidR="001A18BE">
        <w:t xml:space="preserve">konieczne </w:t>
      </w:r>
      <w:r w:rsidR="008C003A">
        <w:t>do wyjaśnienia okoliczności wypadku.</w:t>
      </w:r>
    </w:p>
    <w:p w14:paraId="02B5D996" w14:textId="47651217" w:rsidR="00414A46" w:rsidRDefault="00256FD1">
      <w:pPr>
        <w:pStyle w:val="JuPara"/>
      </w:pPr>
      <w:r>
        <w:rPr>
          <w:szCs w:val="26"/>
        </w:rPr>
        <w:t>211</w:t>
      </w:r>
      <w:r w:rsidR="008C003A">
        <w:t xml:space="preserve">.  Trybunał zauważa ponadto, że chociaż skarżący korzystał z pomocy adwokata na początkowych etapach śledztwa, ze względu na stan zdrowia był niedostępny dla śledczych; </w:t>
      </w:r>
      <w:r w:rsidR="001A18BE">
        <w:t xml:space="preserve">że </w:t>
      </w:r>
      <w:r w:rsidR="008C003A">
        <w:t xml:space="preserve">skarżący wielokrotnie kwestionował śledczych i sędziów zajmujących się badaniem jego sprawy; </w:t>
      </w:r>
      <w:r w:rsidR="001A18BE">
        <w:t xml:space="preserve">że </w:t>
      </w:r>
      <w:r w:rsidR="008C003A">
        <w:t xml:space="preserve">wnioskował o przeniesienie jego sprawy; </w:t>
      </w:r>
      <w:r w:rsidR="001A18BE">
        <w:t xml:space="preserve">że </w:t>
      </w:r>
      <w:r w:rsidR="008C003A">
        <w:t xml:space="preserve">wystąpił o sporządzenie szeregu opinii biegłych i ekspertyz technicznych, kwestionując wnioski sformułowane w tych ostatnich oraz że </w:t>
      </w:r>
      <w:r w:rsidR="00CA674D">
        <w:t>złożył apelację co do stanu faktycznego i co do prawa</w:t>
      </w:r>
      <w:r w:rsidR="008C003A">
        <w:t xml:space="preserve"> od ostatecznego wyroku, który nie podlegał zaskarżeniu. Chociaż skarżącego nie można obarczyć odpowiedzialnością za jego stan zdrowia i korzystanie w pełni z niektórych środków </w:t>
      </w:r>
      <w:r w:rsidR="00CA674D">
        <w:t>przysługujących</w:t>
      </w:r>
      <w:r w:rsidR="008C003A">
        <w:t xml:space="preserve"> mu na mocy prawa krajowego, władze krajowe nie mogą być </w:t>
      </w:r>
      <w:r w:rsidR="00CA674D">
        <w:t>uznawane za</w:t>
      </w:r>
      <w:r w:rsidR="008C003A">
        <w:t xml:space="preserve"> odpowiedzialn</w:t>
      </w:r>
      <w:r w:rsidR="00CA674D">
        <w:t>e</w:t>
      </w:r>
      <w:r w:rsidR="008C003A">
        <w:t xml:space="preserve"> za wynikające </w:t>
      </w:r>
      <w:r w:rsidR="00CA674D">
        <w:t>w rezultacie</w:t>
      </w:r>
      <w:r w:rsidR="008C003A">
        <w:t xml:space="preserve"> wydłużenie czasu trwania </w:t>
      </w:r>
      <w:r w:rsidR="008C003A">
        <w:lastRenderedPageBreak/>
        <w:t xml:space="preserve">postępowania (zob. </w:t>
      </w:r>
      <w:r w:rsidR="008C003A">
        <w:rPr>
          <w:i/>
          <w:iCs/>
        </w:rPr>
        <w:t>Sürmeli przeciwko Niemcom</w:t>
      </w:r>
      <w:r w:rsidR="008C003A">
        <w:t xml:space="preserve"> [WI], nr 75529/01, § 131, ETPC 2006-VII).</w:t>
      </w:r>
    </w:p>
    <w:p w14:paraId="1568FFE6" w14:textId="41246686" w:rsidR="00414A46" w:rsidRDefault="00256FD1">
      <w:pPr>
        <w:pStyle w:val="JuPara"/>
      </w:pPr>
      <w:r>
        <w:t>212</w:t>
      </w:r>
      <w:r w:rsidR="008C003A">
        <w:t>.  Trybunał zauważa również, że władze krajowe nie pozostawały bezczynne w trakcie postępowania oraz że stale podejmowały kroki, gromadziły dowody i dokładały znacznych starań w celu wyjaśnienia okoliczności sprawy.</w:t>
      </w:r>
    </w:p>
    <w:p w14:paraId="782DDB11" w14:textId="39801745" w:rsidR="00414A46" w:rsidRDefault="00256FD1">
      <w:pPr>
        <w:pStyle w:val="JuPara"/>
      </w:pPr>
      <w:r>
        <w:t>213</w:t>
      </w:r>
      <w:r w:rsidR="008C003A">
        <w:t>.  Chociaż władze można uznać za odpowiedzialne za pewne braki formalne, które spowodowały zwłokę w postępowaniu (zob. par.</w:t>
      </w:r>
      <w:r w:rsidR="00FB44CF">
        <w:t xml:space="preserve"> 29, 37 i 50</w:t>
      </w:r>
      <w:r w:rsidR="008C003A">
        <w:t>–</w:t>
      </w:r>
      <w:r w:rsidR="00FB44CF">
        <w:t>52</w:t>
      </w:r>
      <w:r w:rsidR="008C003A">
        <w:t xml:space="preserve"> powyżej), biorąc pod uwagę złożoność sprawy i fakt, że władze te pozostawały aktywne przez cały czas, Trybunał uważa, że w szczególnych okolicznościach </w:t>
      </w:r>
      <w:r w:rsidR="002E1C98">
        <w:t xml:space="preserve">niniejszej </w:t>
      </w:r>
      <w:r w:rsidR="008C003A">
        <w:t xml:space="preserve">sprawy nie można stwierdzić, iż nie wywiązały się ze spoczywającego na nich obowiązku szybkiego zbadania sprawy. Jest tak tym bardziej, biorąc pod uwagę, że roszczenie o odszkodowanie było związane ze szkodą poniesioną przez skarżącego w wyniku wypadku samochodowego. </w:t>
      </w:r>
      <w:r w:rsidR="002E1C98">
        <w:t xml:space="preserve">Odpowiednie </w:t>
      </w:r>
      <w:r w:rsidR="008C003A">
        <w:t xml:space="preserve">postępowanie nie należało zatem do żadnej kategorii postępowań, które ze </w:t>
      </w:r>
      <w:r w:rsidR="002E1C98">
        <w:t>swojej natury</w:t>
      </w:r>
      <w:r w:rsidR="008C003A">
        <w:t xml:space="preserve"> wymagały szczególnej staranności, takich jak: opieka nad dziećmi, stan cywilny i zdolność cywilnoprawna czy spory </w:t>
      </w:r>
      <w:r w:rsidR="002E1C98">
        <w:t xml:space="preserve">pracownicze </w:t>
      </w:r>
      <w:r w:rsidR="008C003A">
        <w:t xml:space="preserve">(zob. </w:t>
      </w:r>
      <w:r w:rsidR="008C003A">
        <w:rPr>
          <w:i/>
          <w:iCs/>
        </w:rPr>
        <w:t>Sürmeli</w:t>
      </w:r>
      <w:r w:rsidR="008C003A">
        <w:t xml:space="preserve">, </w:t>
      </w:r>
      <w:r w:rsidR="002E1C98">
        <w:t>cyt. pow.</w:t>
      </w:r>
      <w:r w:rsidR="008C003A">
        <w:t>, § 133).</w:t>
      </w:r>
    </w:p>
    <w:p w14:paraId="123A1B15" w14:textId="42DE1359" w:rsidR="00414A46" w:rsidRDefault="00256FD1">
      <w:pPr>
        <w:pStyle w:val="JuPara"/>
      </w:pPr>
      <w:r>
        <w:t>214</w:t>
      </w:r>
      <w:r w:rsidR="008C003A">
        <w:t>.  W związku z tym, biorąc pod uwagę postępowanie</w:t>
      </w:r>
      <w:r w:rsidR="002E1C98">
        <w:t xml:space="preserve"> jako całość</w:t>
      </w:r>
      <w:r w:rsidR="008C003A">
        <w:t>, w </w:t>
      </w:r>
      <w:r w:rsidR="002E1C98">
        <w:t>niniejszej</w:t>
      </w:r>
      <w:r w:rsidR="008C003A">
        <w:t xml:space="preserve"> sprawie nie doszło do naruszenia wymogu „rozsądnego terminu” </w:t>
      </w:r>
      <w:r w:rsidR="002E1C98">
        <w:t>z</w:t>
      </w:r>
      <w:r w:rsidR="008C003A">
        <w:t> art. 6 ust. 1 Konwencji.</w:t>
      </w:r>
    </w:p>
    <w:p w14:paraId="5A2DAA80" w14:textId="77777777" w:rsidR="00414A46" w:rsidRDefault="008C003A">
      <w:pPr>
        <w:pStyle w:val="JuHA"/>
        <w:numPr>
          <w:ilvl w:val="2"/>
          <w:numId w:val="1"/>
        </w:numPr>
        <w:spacing w:before="280"/>
      </w:pPr>
      <w:r>
        <w:rPr>
          <w:bCs/>
        </w:rPr>
        <w:t>W przedmiocie zarzucanego naruszenia art. 13 Konwencji w związku z art. 2</w:t>
      </w:r>
    </w:p>
    <w:p w14:paraId="24F2E158" w14:textId="77777777" w:rsidR="00414A46" w:rsidRDefault="008C003A">
      <w:pPr>
        <w:pStyle w:val="JuHa0"/>
        <w:numPr>
          <w:ilvl w:val="4"/>
          <w:numId w:val="1"/>
        </w:numPr>
        <w:spacing w:before="280"/>
      </w:pPr>
      <w:r>
        <w:rPr>
          <w:bCs/>
        </w:rPr>
        <w:t>Stanowiska stron</w:t>
      </w:r>
    </w:p>
    <w:p w14:paraId="14BBB594" w14:textId="265B942D" w:rsidR="00414A46" w:rsidRDefault="00256FD1">
      <w:pPr>
        <w:pStyle w:val="JuPara"/>
      </w:pPr>
      <w:r>
        <w:t>215</w:t>
      </w:r>
      <w:r w:rsidR="008C003A">
        <w:t xml:space="preserve">.  Rząd </w:t>
      </w:r>
      <w:r w:rsidR="002E1C98">
        <w:t>stwierdził</w:t>
      </w:r>
      <w:r w:rsidR="008C003A">
        <w:t>, że biorąc pod uwagę orzecznictwo Trybunału dotyczące Rumunii i krajow</w:t>
      </w:r>
      <w:r w:rsidR="002E22A8">
        <w:t>y</w:t>
      </w:r>
      <w:r w:rsidR="008C003A">
        <w:t xml:space="preserve"> system </w:t>
      </w:r>
      <w:r w:rsidR="002E22A8">
        <w:t>wymiaru sprawiedliwości,</w:t>
      </w:r>
      <w:r w:rsidR="008C003A">
        <w:t xml:space="preserve"> dostępn</w:t>
      </w:r>
      <w:r w:rsidR="002E22A8">
        <w:t>y</w:t>
      </w:r>
      <w:r w:rsidR="008C003A">
        <w:t xml:space="preserve"> </w:t>
      </w:r>
      <w:r w:rsidR="002E22A8">
        <w:t xml:space="preserve">dla </w:t>
      </w:r>
      <w:r w:rsidR="008C003A">
        <w:t>skarżące</w:t>
      </w:r>
      <w:r w:rsidR="002E22A8">
        <w:t>go</w:t>
      </w:r>
      <w:r w:rsidR="008C003A">
        <w:t xml:space="preserve"> w czasie spornych wydarzeń, skarżący miał dostęp do skutecznego środka w rozumieniu art. 13 Konwencji </w:t>
      </w:r>
      <w:r w:rsidR="002E22A8">
        <w:t>w celu</w:t>
      </w:r>
      <w:r w:rsidR="008C003A">
        <w:t xml:space="preserve"> </w:t>
      </w:r>
      <w:r w:rsidR="002E22A8">
        <w:t xml:space="preserve">rozpoznania </w:t>
      </w:r>
      <w:r w:rsidR="008C003A">
        <w:t xml:space="preserve">jego </w:t>
      </w:r>
      <w:r w:rsidR="002E22A8">
        <w:t>roszczeń</w:t>
      </w:r>
      <w:r w:rsidR="008C003A">
        <w:t>.</w:t>
      </w:r>
    </w:p>
    <w:p w14:paraId="0031A29F" w14:textId="18A96AAA" w:rsidR="00414A46" w:rsidRDefault="00256FD1">
      <w:pPr>
        <w:pStyle w:val="JuPara"/>
      </w:pPr>
      <w:r>
        <w:t>216</w:t>
      </w:r>
      <w:r w:rsidR="008C003A">
        <w:t xml:space="preserve">.  Skarżący podniósł, że ze względu na sposób, w jaki władze przeprowadziły śledztwo, </w:t>
      </w:r>
      <w:r w:rsidR="002E22A8">
        <w:t xml:space="preserve">ich </w:t>
      </w:r>
      <w:r w:rsidR="008C003A">
        <w:t xml:space="preserve">wielokrotne </w:t>
      </w:r>
      <w:r w:rsidR="002E22A8">
        <w:t xml:space="preserve">błędy </w:t>
      </w:r>
      <w:r w:rsidR="008C003A">
        <w:t>procedur</w:t>
      </w:r>
      <w:r w:rsidR="002E22A8">
        <w:t>alne</w:t>
      </w:r>
      <w:r w:rsidR="008C003A">
        <w:t xml:space="preserve"> oraz czas trwania postępowania</w:t>
      </w:r>
      <w:r w:rsidR="002E22A8">
        <w:t>,</w:t>
      </w:r>
      <w:r w:rsidR="008C003A">
        <w:t xml:space="preserve"> nie miał on dostępu do skutecznego środka w rozumieniu art. 13 Konwencji w odniesieniu do swoich </w:t>
      </w:r>
      <w:r w:rsidR="002E22A8">
        <w:t>roszczeń</w:t>
      </w:r>
      <w:r w:rsidR="008C003A">
        <w:t>.</w:t>
      </w:r>
    </w:p>
    <w:p w14:paraId="0B38558D" w14:textId="77777777" w:rsidR="00414A46" w:rsidRDefault="008C003A">
      <w:pPr>
        <w:pStyle w:val="JuHa0"/>
        <w:numPr>
          <w:ilvl w:val="4"/>
          <w:numId w:val="1"/>
        </w:numPr>
        <w:spacing w:before="280"/>
      </w:pPr>
      <w:r>
        <w:rPr>
          <w:bCs/>
        </w:rPr>
        <w:t>Ocena Trybunału</w:t>
      </w:r>
    </w:p>
    <w:p w14:paraId="0B36C703" w14:textId="4A51A0B6" w:rsidR="00414A46" w:rsidRDefault="00256FD1">
      <w:pPr>
        <w:pStyle w:val="JuPara"/>
      </w:pPr>
      <w:r>
        <w:rPr>
          <w:szCs w:val="24"/>
        </w:rPr>
        <w:t>217</w:t>
      </w:r>
      <w:r w:rsidR="008C003A">
        <w:rPr>
          <w:szCs w:val="24"/>
        </w:rPr>
        <w:t>.  </w:t>
      </w:r>
      <w:r w:rsidR="008C003A">
        <w:t>Trybunał zauważa, że art. 13 Konwencji gwarantuje dostępność na szczeblu krajowym środka, za pomocą którego można zaskarżyć naruszenie praw i wolności określonych w Konwencji. Dlatego</w:t>
      </w:r>
      <w:r w:rsidR="002E22A8">
        <w:t>,</w:t>
      </w:r>
      <w:r w:rsidR="008C003A">
        <w:t xml:space="preserve"> mimo że układające się </w:t>
      </w:r>
      <w:r w:rsidR="002E22A8">
        <w:t>S</w:t>
      </w:r>
      <w:r w:rsidR="008C003A">
        <w:t xml:space="preserve">trony dysponują pewną swobodą co do sposobu, w jaki stosują się do obowiązków </w:t>
      </w:r>
      <w:r w:rsidR="002E22A8">
        <w:t>wynikających z tego</w:t>
      </w:r>
      <w:r w:rsidR="008C003A">
        <w:t xml:space="preserve"> artykułu, musi istnieć środek </w:t>
      </w:r>
      <w:r w:rsidR="002E22A8">
        <w:t xml:space="preserve">krajowy </w:t>
      </w:r>
      <w:r w:rsidR="008C003A">
        <w:t xml:space="preserve">umożliwiający właściwemu organowi krajowemu </w:t>
      </w:r>
      <w:r w:rsidR="002E22A8">
        <w:t xml:space="preserve">zarówno </w:t>
      </w:r>
      <w:r w:rsidR="008C003A">
        <w:t xml:space="preserve">zajęcie się </w:t>
      </w:r>
      <w:r w:rsidR="0076387E">
        <w:t xml:space="preserve">meritum </w:t>
      </w:r>
      <w:r w:rsidR="008C003A">
        <w:t xml:space="preserve">odpowiedniej skargi </w:t>
      </w:r>
      <w:r w:rsidR="0076387E">
        <w:t>w</w:t>
      </w:r>
      <w:r w:rsidR="008C003A">
        <w:t>noszonej na podstawie Konwencji</w:t>
      </w:r>
      <w:r w:rsidR="0076387E">
        <w:t>,</w:t>
      </w:r>
      <w:r w:rsidR="008C003A">
        <w:t xml:space="preserve"> </w:t>
      </w:r>
      <w:r w:rsidR="0076387E">
        <w:t xml:space="preserve">jak i </w:t>
      </w:r>
      <w:r w:rsidR="008C003A">
        <w:lastRenderedPageBreak/>
        <w:t xml:space="preserve">przyznanie odpowiedniego zadośćuczynienia (zob. np. </w:t>
      </w:r>
      <w:r w:rsidR="008C003A">
        <w:rPr>
          <w:i/>
          <w:iCs/>
        </w:rPr>
        <w:t>Soering przeciwko Zjednoczonemu Królestwu</w:t>
      </w:r>
      <w:r w:rsidR="008C003A">
        <w:t>, 7 lipca 1989 r., § 120, Seria A nr 161</w:t>
      </w:r>
      <w:r w:rsidR="0076387E">
        <w:t xml:space="preserve"> </w:t>
      </w:r>
      <w:r w:rsidR="008C003A">
        <w:t xml:space="preserve">oraz </w:t>
      </w:r>
      <w:r w:rsidR="008C003A">
        <w:rPr>
          <w:i/>
          <w:iCs/>
        </w:rPr>
        <w:t>De Tommaso przeciwko Włochom</w:t>
      </w:r>
      <w:r w:rsidR="008C003A">
        <w:t xml:space="preserve"> [WI], nr 43395/09, § 179, 23 lutego 2017 r.).</w:t>
      </w:r>
    </w:p>
    <w:p w14:paraId="4F7D7633" w14:textId="3D3682E7" w:rsidR="00414A46" w:rsidRDefault="00256FD1">
      <w:pPr>
        <w:pStyle w:val="JuPara"/>
      </w:pPr>
      <w:r>
        <w:rPr>
          <w:szCs w:val="24"/>
        </w:rPr>
        <w:t>218</w:t>
      </w:r>
      <w:r w:rsidR="008C003A">
        <w:rPr>
          <w:szCs w:val="24"/>
        </w:rPr>
        <w:t xml:space="preserve">.  Zakres obowiązku wynikającego z art. 13 różni się w zależności od charakteru skargi skarżącego wnoszonej na podstawie Konwencji, ale środek </w:t>
      </w:r>
      <w:r w:rsidR="0076387E">
        <w:rPr>
          <w:szCs w:val="24"/>
        </w:rPr>
        <w:t xml:space="preserve">krajowy </w:t>
      </w:r>
      <w:r w:rsidR="008C003A">
        <w:rPr>
          <w:szCs w:val="24"/>
        </w:rPr>
        <w:t xml:space="preserve">musi być </w:t>
      </w:r>
      <w:r w:rsidR="0076387E">
        <w:rPr>
          <w:szCs w:val="24"/>
        </w:rPr>
        <w:t xml:space="preserve">w każdym przypadku </w:t>
      </w:r>
      <w:r w:rsidR="008C003A">
        <w:rPr>
          <w:szCs w:val="24"/>
        </w:rPr>
        <w:t xml:space="preserve">„skuteczny” w praktyce i w świetle prawa, w szczególności </w:t>
      </w:r>
      <w:r w:rsidR="0076387E">
        <w:rPr>
          <w:szCs w:val="24"/>
        </w:rPr>
        <w:t xml:space="preserve">w takim sensie, że skorzystanie z niego </w:t>
      </w:r>
      <w:r w:rsidR="008C003A">
        <w:rPr>
          <w:szCs w:val="24"/>
        </w:rPr>
        <w:t>nie może być w sposób nieuzasadniony ograniczan</w:t>
      </w:r>
      <w:r w:rsidR="0076387E">
        <w:rPr>
          <w:szCs w:val="24"/>
        </w:rPr>
        <w:t>e</w:t>
      </w:r>
      <w:r w:rsidR="008C003A">
        <w:rPr>
          <w:szCs w:val="24"/>
        </w:rPr>
        <w:t xml:space="preserve"> działaniami lub zaniechaniami </w:t>
      </w:r>
      <w:r w:rsidR="0076387E">
        <w:rPr>
          <w:szCs w:val="24"/>
        </w:rPr>
        <w:t xml:space="preserve">organów </w:t>
      </w:r>
      <w:r w:rsidR="008C003A">
        <w:rPr>
          <w:szCs w:val="24"/>
        </w:rPr>
        <w:t xml:space="preserve">państwa. W pewnych okolicznościach </w:t>
      </w:r>
      <w:r w:rsidR="0076387E">
        <w:rPr>
          <w:szCs w:val="24"/>
        </w:rPr>
        <w:t xml:space="preserve">całokształt </w:t>
      </w:r>
      <w:r w:rsidR="008C003A">
        <w:rPr>
          <w:szCs w:val="24"/>
        </w:rPr>
        <w:t>środk</w:t>
      </w:r>
      <w:r w:rsidR="0076387E">
        <w:rPr>
          <w:szCs w:val="24"/>
        </w:rPr>
        <w:t>ów</w:t>
      </w:r>
      <w:r w:rsidR="008C003A">
        <w:rPr>
          <w:szCs w:val="24"/>
        </w:rPr>
        <w:t xml:space="preserve"> przewidzian</w:t>
      </w:r>
      <w:r w:rsidR="0076387E">
        <w:rPr>
          <w:szCs w:val="24"/>
        </w:rPr>
        <w:t>ych</w:t>
      </w:r>
      <w:r w:rsidR="008C003A">
        <w:rPr>
          <w:szCs w:val="24"/>
        </w:rPr>
        <w:t xml:space="preserve"> prawem krajowym mo</w:t>
      </w:r>
      <w:r w:rsidR="0076387E">
        <w:rPr>
          <w:szCs w:val="24"/>
        </w:rPr>
        <w:t>że</w:t>
      </w:r>
      <w:r w:rsidR="008C003A">
        <w:rPr>
          <w:szCs w:val="24"/>
        </w:rPr>
        <w:t xml:space="preserve"> spełniać wymogi art. 13 (zob. m.in. </w:t>
      </w:r>
      <w:r w:rsidR="008C003A">
        <w:rPr>
          <w:i/>
          <w:iCs/>
          <w:szCs w:val="24"/>
        </w:rPr>
        <w:t>De Tommaso</w:t>
      </w:r>
      <w:r w:rsidR="008C003A">
        <w:rPr>
          <w:szCs w:val="24"/>
        </w:rPr>
        <w:t xml:space="preserve">, </w:t>
      </w:r>
      <w:r w:rsidR="002D6B4B">
        <w:rPr>
          <w:szCs w:val="24"/>
        </w:rPr>
        <w:t>cyt. pow.,</w:t>
      </w:r>
      <w:r w:rsidR="008C003A">
        <w:rPr>
          <w:szCs w:val="24"/>
        </w:rPr>
        <w:t xml:space="preserve"> § 179). Art. 13 wymaga jednak </w:t>
      </w:r>
      <w:r w:rsidR="002D6B4B">
        <w:rPr>
          <w:szCs w:val="24"/>
        </w:rPr>
        <w:t>by środek</w:t>
      </w:r>
      <w:r w:rsidR="008C003A">
        <w:rPr>
          <w:szCs w:val="24"/>
        </w:rPr>
        <w:t xml:space="preserve"> </w:t>
      </w:r>
      <w:r w:rsidR="002D6B4B">
        <w:rPr>
          <w:szCs w:val="24"/>
        </w:rPr>
        <w:t>krajowy był dostępny</w:t>
      </w:r>
      <w:r w:rsidR="008C003A">
        <w:rPr>
          <w:szCs w:val="24"/>
        </w:rPr>
        <w:t xml:space="preserve"> wyłącznie w odniesieniu do skarg, które mogą być postrzegane jako „dające się uzasadnić” w rozumieniu Konwencji (</w:t>
      </w:r>
      <w:r w:rsidR="008C003A">
        <w:rPr>
          <w:i/>
          <w:iCs/>
          <w:szCs w:val="24"/>
        </w:rPr>
        <w:t>ibid</w:t>
      </w:r>
      <w:r w:rsidR="008C003A">
        <w:rPr>
          <w:szCs w:val="24"/>
        </w:rPr>
        <w:t>., § 180).</w:t>
      </w:r>
    </w:p>
    <w:p w14:paraId="1B2C7559" w14:textId="382AF7CC" w:rsidR="00414A46" w:rsidRDefault="00256FD1">
      <w:pPr>
        <w:pStyle w:val="JuPara"/>
      </w:pPr>
      <w:r>
        <w:t>219</w:t>
      </w:r>
      <w:r w:rsidR="008C003A">
        <w:t>.  </w:t>
      </w:r>
      <w:r w:rsidR="008C003A">
        <w:rPr>
          <w:szCs w:val="24"/>
        </w:rPr>
        <w:t>Trybunał zauważa przede wszystkim, że uznał za dopuszczalną skargę skarżącego na gruncie art. 2 Konwencji. Nawet jeśli</w:t>
      </w:r>
      <w:r w:rsidR="00DF6A7B">
        <w:rPr>
          <w:szCs w:val="24"/>
        </w:rPr>
        <w:t>,</w:t>
      </w:r>
      <w:r w:rsidR="008C003A">
        <w:rPr>
          <w:szCs w:val="24"/>
        </w:rPr>
        <w:t xml:space="preserve"> z powodów przedstawionych powyżej</w:t>
      </w:r>
      <w:r w:rsidR="00DF6A7B">
        <w:rPr>
          <w:szCs w:val="24"/>
        </w:rPr>
        <w:t>,</w:t>
      </w:r>
      <w:r w:rsidR="008C003A">
        <w:rPr>
          <w:szCs w:val="24"/>
        </w:rPr>
        <w:t xml:space="preserve"> nie stwierdził naruszenia tego artykułu, uznał jednak, że skarga podniesiona przez skarżącego na </w:t>
      </w:r>
      <w:r w:rsidR="00DF6A7B">
        <w:rPr>
          <w:szCs w:val="24"/>
        </w:rPr>
        <w:t>tej podstawie rodzi</w:t>
      </w:r>
      <w:r w:rsidR="008C003A">
        <w:rPr>
          <w:szCs w:val="24"/>
        </w:rPr>
        <w:t xml:space="preserve"> poważnych kwesti</w:t>
      </w:r>
      <w:r w:rsidR="00DF6A7B">
        <w:rPr>
          <w:szCs w:val="24"/>
        </w:rPr>
        <w:t>e</w:t>
      </w:r>
      <w:r w:rsidR="008C003A">
        <w:rPr>
          <w:szCs w:val="24"/>
        </w:rPr>
        <w:t xml:space="preserve"> faktyczn</w:t>
      </w:r>
      <w:r w:rsidR="00DF6A7B">
        <w:rPr>
          <w:szCs w:val="24"/>
        </w:rPr>
        <w:t>e</w:t>
      </w:r>
      <w:r w:rsidR="008C003A">
        <w:rPr>
          <w:szCs w:val="24"/>
        </w:rPr>
        <w:t xml:space="preserve"> i prawn</w:t>
      </w:r>
      <w:r w:rsidR="00DF6A7B">
        <w:rPr>
          <w:szCs w:val="24"/>
        </w:rPr>
        <w:t>e,</w:t>
      </w:r>
      <w:r w:rsidR="008C003A">
        <w:rPr>
          <w:szCs w:val="24"/>
        </w:rPr>
        <w:t xml:space="preserve"> wymagając</w:t>
      </w:r>
      <w:r w:rsidR="00DF6A7B">
        <w:rPr>
          <w:szCs w:val="24"/>
        </w:rPr>
        <w:t>e</w:t>
      </w:r>
      <w:r w:rsidR="008C003A">
        <w:rPr>
          <w:szCs w:val="24"/>
        </w:rPr>
        <w:t xml:space="preserve"> </w:t>
      </w:r>
      <w:r w:rsidR="00DF6A7B">
        <w:rPr>
          <w:szCs w:val="24"/>
        </w:rPr>
        <w:t>zbadania co do meritum</w:t>
      </w:r>
      <w:r w:rsidR="008C003A">
        <w:rPr>
          <w:szCs w:val="24"/>
        </w:rPr>
        <w:t xml:space="preserve">. Trybunał uważa zatem, że skarżący podniósł dającą się uzasadnić skargę dotyczącą tego artykułu dla celów art. 13 Konwencji (zob. odpowiednio </w:t>
      </w:r>
      <w:r w:rsidR="008C003A">
        <w:rPr>
          <w:i/>
          <w:iCs/>
          <w:szCs w:val="24"/>
        </w:rPr>
        <w:t>Sürmeli</w:t>
      </w:r>
      <w:r w:rsidR="008C003A">
        <w:rPr>
          <w:szCs w:val="24"/>
        </w:rPr>
        <w:t xml:space="preserve">, </w:t>
      </w:r>
      <w:r w:rsidR="00DF6A7B">
        <w:rPr>
          <w:szCs w:val="24"/>
        </w:rPr>
        <w:t>cyt. pow.,</w:t>
      </w:r>
      <w:r w:rsidR="008C003A">
        <w:rPr>
          <w:szCs w:val="24"/>
        </w:rPr>
        <w:t xml:space="preserve"> § 102 i </w:t>
      </w:r>
      <w:r w:rsidR="008C003A">
        <w:rPr>
          <w:i/>
          <w:iCs/>
          <w:szCs w:val="24"/>
        </w:rPr>
        <w:t>Khlaifia i Inni</w:t>
      </w:r>
      <w:r w:rsidR="008C003A">
        <w:rPr>
          <w:szCs w:val="24"/>
        </w:rPr>
        <w:t xml:space="preserve">, </w:t>
      </w:r>
      <w:r w:rsidR="00DF6A7B">
        <w:rPr>
          <w:szCs w:val="24"/>
        </w:rPr>
        <w:t>cyt. pow.,</w:t>
      </w:r>
      <w:r w:rsidR="008C003A">
        <w:rPr>
          <w:szCs w:val="24"/>
        </w:rPr>
        <w:t xml:space="preserve"> § 269</w:t>
      </w:r>
      <w:r w:rsidR="008C003A">
        <w:t>).</w:t>
      </w:r>
    </w:p>
    <w:p w14:paraId="139E9CB8" w14:textId="53A6E189" w:rsidR="00414A46" w:rsidRDefault="00256FD1">
      <w:pPr>
        <w:pStyle w:val="JuPara"/>
      </w:pPr>
      <w:r>
        <w:rPr>
          <w:szCs w:val="24"/>
        </w:rPr>
        <w:t>220</w:t>
      </w:r>
      <w:r w:rsidR="008C003A">
        <w:rPr>
          <w:szCs w:val="24"/>
        </w:rPr>
        <w:t xml:space="preserve">.  Powstaje zatem pytanie, czy skarżący dysponował skutecznym środkiem </w:t>
      </w:r>
      <w:r w:rsidR="00DF6A7B">
        <w:rPr>
          <w:szCs w:val="24"/>
        </w:rPr>
        <w:t>k</w:t>
      </w:r>
      <w:r w:rsidR="008C003A">
        <w:rPr>
          <w:szCs w:val="24"/>
        </w:rPr>
        <w:t xml:space="preserve">rajowym, za pomocą którego mógł zaskarżyć naruszenie swoich </w:t>
      </w:r>
      <w:r w:rsidR="003932FC">
        <w:rPr>
          <w:szCs w:val="24"/>
        </w:rPr>
        <w:t>z</w:t>
      </w:r>
      <w:r w:rsidR="008C003A">
        <w:rPr>
          <w:szCs w:val="24"/>
        </w:rPr>
        <w:t xml:space="preserve"> art. 2 Konwencji. Trybunał zauważa jednak, że skarga skarżącego na </w:t>
      </w:r>
      <w:r w:rsidR="003932FC">
        <w:rPr>
          <w:szCs w:val="24"/>
        </w:rPr>
        <w:t xml:space="preserve">podstawie </w:t>
      </w:r>
      <w:r w:rsidR="008C003A">
        <w:rPr>
          <w:szCs w:val="24"/>
        </w:rPr>
        <w:t xml:space="preserve">art. 13 nie dotyczy żadnej </w:t>
      </w:r>
      <w:r w:rsidR="003932FC">
        <w:rPr>
          <w:szCs w:val="24"/>
        </w:rPr>
        <w:t xml:space="preserve">kwestii </w:t>
      </w:r>
      <w:r w:rsidR="008C003A">
        <w:rPr>
          <w:szCs w:val="24"/>
        </w:rPr>
        <w:t>innej niż kwestia nieskuteczności śledztwa, którą Trybunał zbadał już na gruncie art. 2. W świetle tego badania Trybunał nie uważa za konieczne badania skargi również na gruncie art. 13.</w:t>
      </w:r>
    </w:p>
    <w:p w14:paraId="46EEF9F6" w14:textId="4427152B" w:rsidR="00414A46" w:rsidRDefault="008C003A">
      <w:pPr>
        <w:pStyle w:val="JuHIRoman"/>
        <w:numPr>
          <w:ilvl w:val="1"/>
          <w:numId w:val="1"/>
        </w:numPr>
        <w:spacing w:before="280"/>
      </w:pPr>
      <w:r>
        <w:t xml:space="preserve">SKARGA DOTYCZĄCA TRAKTOWANIA SKARŻĄCEGO PRZEZ </w:t>
      </w:r>
      <w:r w:rsidR="003932FC">
        <w:t xml:space="preserve">ORGANY </w:t>
      </w:r>
      <w:r>
        <w:t>UCZESTNICZĄCE W ŚLEDZTWIE</w:t>
      </w:r>
    </w:p>
    <w:p w14:paraId="58F83845" w14:textId="33F93941" w:rsidR="00414A46" w:rsidRDefault="00256FD1">
      <w:pPr>
        <w:pStyle w:val="JuPara"/>
      </w:pPr>
      <w:r>
        <w:t>221</w:t>
      </w:r>
      <w:r w:rsidR="008C003A">
        <w:t>.  Skarżący podniósł, że traktowanie, któremu został poddany, ze względu na sposób, w jaki władze przeprowadziły śledztwo, stanowiło nieludzkie i poniżające traktowanie. Jak już wspomniano powyżej (zob. par</w:t>
      </w:r>
      <w:r w:rsidR="00B96E88">
        <w:t>. 88</w:t>
      </w:r>
      <w:r w:rsidR="008C003A">
        <w:t>–</w:t>
      </w:r>
      <w:r w:rsidR="00B96E88">
        <w:t>89)</w:t>
      </w:r>
      <w:r w:rsidR="008C003A">
        <w:t>, Trybunał zbada t</w:t>
      </w:r>
      <w:r w:rsidR="003932FC">
        <w:t xml:space="preserve">en zarzut </w:t>
      </w:r>
      <w:r w:rsidR="008C003A">
        <w:t>na gruncie art. 3 Konwencji w jego aspekcie materialnym. Postanowienia tego artykułu opisano powyżej (zob. par. </w:t>
      </w:r>
      <w:r w:rsidR="00F54F66">
        <w:t>9</w:t>
      </w:r>
      <w:r w:rsidR="008C003A">
        <w:t>1).</w:t>
      </w:r>
    </w:p>
    <w:p w14:paraId="45938A1B" w14:textId="77777777" w:rsidR="00414A46" w:rsidRDefault="008C003A">
      <w:pPr>
        <w:pStyle w:val="JuHA"/>
        <w:numPr>
          <w:ilvl w:val="2"/>
          <w:numId w:val="1"/>
        </w:numPr>
        <w:spacing w:before="280"/>
      </w:pPr>
      <w:r>
        <w:rPr>
          <w:bCs/>
        </w:rPr>
        <w:t>Stanowiska stron</w:t>
      </w:r>
    </w:p>
    <w:p w14:paraId="4825FBE2" w14:textId="56FE69E0" w:rsidR="00414A46" w:rsidRDefault="00256FD1">
      <w:pPr>
        <w:pStyle w:val="JuPara"/>
      </w:pPr>
      <w:r>
        <w:t>222</w:t>
      </w:r>
      <w:r w:rsidR="008C003A">
        <w:t xml:space="preserve">.  Odróżniając </w:t>
      </w:r>
      <w:r w:rsidR="003932FC">
        <w:t xml:space="preserve">niniejszą </w:t>
      </w:r>
      <w:r w:rsidR="008C003A">
        <w:t xml:space="preserve">sprawę od innych spraw, w których sformułowano podobne </w:t>
      </w:r>
      <w:r w:rsidR="003932FC">
        <w:t>zarzuty</w:t>
      </w:r>
      <w:r w:rsidR="008C003A">
        <w:t xml:space="preserve">, Rząd twierdził, że art. 3 w jego aspekcie materialnym nie ma zastosowania do tej części </w:t>
      </w:r>
      <w:r w:rsidR="003932FC">
        <w:t xml:space="preserve">zarzutów </w:t>
      </w:r>
      <w:r w:rsidR="008C003A">
        <w:t xml:space="preserve">skarżącego. Rząd </w:t>
      </w:r>
      <w:r w:rsidR="008C003A">
        <w:lastRenderedPageBreak/>
        <w:t xml:space="preserve">uznał, że w przeciwieństwie do innych spraw, </w:t>
      </w:r>
      <w:r w:rsidR="0087077D">
        <w:t xml:space="preserve">w </w:t>
      </w:r>
      <w:r w:rsidR="008C003A">
        <w:t>któr</w:t>
      </w:r>
      <w:r w:rsidR="0087077D">
        <w:t>ych także występowały</w:t>
      </w:r>
      <w:r w:rsidR="008C003A">
        <w:t xml:space="preserve"> wyjątkow</w:t>
      </w:r>
      <w:r w:rsidR="0087077D">
        <w:t>e</w:t>
      </w:r>
      <w:r w:rsidR="008C003A">
        <w:t xml:space="preserve"> okoliczności, w </w:t>
      </w:r>
      <w:r w:rsidR="0087077D">
        <w:t xml:space="preserve">niniejszej </w:t>
      </w:r>
      <w:r w:rsidR="008C003A">
        <w:t xml:space="preserve">sprawie </w:t>
      </w:r>
      <w:r w:rsidR="0087077D">
        <w:t xml:space="preserve">organy </w:t>
      </w:r>
      <w:r w:rsidR="008C003A">
        <w:t>krajowe przeprowadziły śledztwo i włączyły wszystkie istotne dowody do akt sprawy. Ponadto skarżący nie wykazał, że uczucia wywołane u niego przez rzekomo przewlekłe i nieskuteczne śledztwo osiągały próg dotkliwości wymagany do zastosowania art. 3 Konwencji.</w:t>
      </w:r>
    </w:p>
    <w:p w14:paraId="743CF147" w14:textId="5B636E40" w:rsidR="00414A46" w:rsidRDefault="00256FD1">
      <w:pPr>
        <w:pStyle w:val="JuPara"/>
      </w:pPr>
      <w:r>
        <w:t>223</w:t>
      </w:r>
      <w:r w:rsidR="008C003A">
        <w:t xml:space="preserve">.  Skarżący podniósł, że sposób, w jaki władze przeprowadziły śledztwo w jego sprawie i rozpatrzyły skargi wniesione przez niego przeciwko śledczym, wielokrotne nadużycia popełnione wobec niego przez </w:t>
      </w:r>
      <w:r w:rsidR="0087077D">
        <w:t xml:space="preserve">organy </w:t>
      </w:r>
      <w:r w:rsidR="008C003A">
        <w:t xml:space="preserve">polegające na oddalaniu jego skarg i wniosków dowodowych, wynik i czas trwania śledztwa, fakt, że skarżący był podejrzany o kierowanie pojazdem pod wpływem alkoholu i od początku śledztwa był traktowany jak jedyna osoba odpowiedzialna za wypadek, a także fakt, że jego skargi były postrzegane jako zwykłe akty zemsty skierowane przeciwko śledczym, wywołały u niego cierpienie psychiczne oraz uczucie udręki i upokorzenia. Jego wielokrotne skargi do właściwych organów </w:t>
      </w:r>
      <w:r w:rsidR="00385634">
        <w:t>podkreślały</w:t>
      </w:r>
      <w:r w:rsidR="0087077D">
        <w:t xml:space="preserve"> </w:t>
      </w:r>
      <w:r w:rsidR="008C003A">
        <w:t>jego poczucie, że mierzy się z</w:t>
      </w:r>
      <w:r w:rsidR="00F54F66" w:rsidRPr="00F54F66">
        <w:t xml:space="preserve"> </w:t>
      </w:r>
      <w:r w:rsidR="00F54F66">
        <w:t>systemem</w:t>
      </w:r>
      <w:r w:rsidR="008C003A">
        <w:t xml:space="preserve"> zorganizowanym, obejmującym funkcjonariuszy policji i prokuratorów, nastawionym do niego wrogo – z powodów, które dotyczyły również wcześniejszej działalności opozycyjnej skarżącego wobec byłego reżimu komunistycznego w Rumunii – i kontrolowanym przez najwyższe władze. Podejrzenia skarżącego co do bezpośredniego zamiaru popełniania przez władze nadużyć wobec niego potwierdził </w:t>
      </w:r>
      <w:r w:rsidR="005E5462">
        <w:t xml:space="preserve">Sąd </w:t>
      </w:r>
      <w:r w:rsidR="008C003A">
        <w:t>Kasacyjny, który przychylił się do jego wniosku o przeniesienie sprawy z Sądu Rejonowego w Ploeszti do innego sądu rejonowego w innej części kraju.</w:t>
      </w:r>
    </w:p>
    <w:p w14:paraId="61012B60" w14:textId="49618B8E" w:rsidR="00414A46" w:rsidRDefault="00256FD1">
      <w:pPr>
        <w:pStyle w:val="JuPara"/>
      </w:pPr>
      <w:r>
        <w:t>224</w:t>
      </w:r>
      <w:r w:rsidR="008C003A">
        <w:t xml:space="preserve">.  Śledczy w sprawie skarżącego dopuścili się szeregu nadużyć wobec niego, w tym </w:t>
      </w:r>
      <w:r w:rsidR="005477C5">
        <w:t xml:space="preserve">zniekształcenia </w:t>
      </w:r>
      <w:r w:rsidR="008C003A">
        <w:t>dowodów i przemocy psychicznej, mających na celu zmuszenie go do zaniechania skarg i powstrzymania się od korzystania z dostępnych</w:t>
      </w:r>
      <w:r w:rsidR="005477C5">
        <w:t xml:space="preserve"> dla niego</w:t>
      </w:r>
      <w:r w:rsidR="008C003A">
        <w:t xml:space="preserve"> środków. Wywołało to u niego silne uczucie strachu.</w:t>
      </w:r>
    </w:p>
    <w:p w14:paraId="04E9E203" w14:textId="77777777" w:rsidR="00414A46" w:rsidRDefault="008C003A">
      <w:pPr>
        <w:pStyle w:val="JuHA"/>
        <w:numPr>
          <w:ilvl w:val="2"/>
          <w:numId w:val="1"/>
        </w:numPr>
        <w:spacing w:before="280"/>
      </w:pPr>
      <w:r>
        <w:rPr>
          <w:bCs/>
        </w:rPr>
        <w:t>Ocena Trybunału</w:t>
      </w:r>
    </w:p>
    <w:p w14:paraId="1B90424B" w14:textId="5FE8D346" w:rsidR="00414A46" w:rsidRDefault="00256FD1">
      <w:pPr>
        <w:pStyle w:val="JuPara"/>
      </w:pPr>
      <w:r>
        <w:t>225</w:t>
      </w:r>
      <w:r w:rsidR="008C003A">
        <w:t xml:space="preserve">.  Trybunał na wstępie zauważa, że Rząd podniósł zastrzeżenie wstępne i stwierdził, że skarga jest niezgodna </w:t>
      </w:r>
      <w:r w:rsidR="008C003A">
        <w:rPr>
          <w:i/>
          <w:iCs/>
        </w:rPr>
        <w:t>ratione materiae</w:t>
      </w:r>
      <w:r w:rsidR="008C003A">
        <w:t xml:space="preserve"> z postanowieniami Konwencji (zob. par. </w:t>
      </w:r>
      <w:r w:rsidR="00FB5E7B">
        <w:t>22</w:t>
      </w:r>
      <w:r w:rsidR="008C003A">
        <w:t>2 powyżej).</w:t>
      </w:r>
    </w:p>
    <w:p w14:paraId="084BE960" w14:textId="26FDC588" w:rsidR="00414A46" w:rsidRDefault="00256FD1">
      <w:pPr>
        <w:pStyle w:val="JuPara"/>
      </w:pPr>
      <w:r>
        <w:t>226</w:t>
      </w:r>
      <w:r w:rsidR="008C003A">
        <w:t>.  Trybunał odnotowuje ponadto, że w niektórych wcześniejszych sprawach uwzględniał sposób, w jaki organy krajowe prowadziły śledztwo, badając, czy ich zachowanie stanowiło nieludzkie lub poniżające traktowanie naruszające art. 3 w jego aspekcie materialnym.</w:t>
      </w:r>
    </w:p>
    <w:p w14:paraId="6344CF34" w14:textId="4034CEEC" w:rsidR="00414A46" w:rsidRDefault="00256FD1">
      <w:pPr>
        <w:pStyle w:val="JuPara"/>
      </w:pPr>
      <w:r>
        <w:t>227</w:t>
      </w:r>
      <w:r w:rsidR="008C003A">
        <w:t xml:space="preserve">.  Wydaje się, że orzecznictwo takie rozwinęło się głównie w odniesieniu do krewnych osób zaginionych (zob. m.in. </w:t>
      </w:r>
      <w:r w:rsidR="008C003A">
        <w:rPr>
          <w:i/>
          <w:iCs/>
        </w:rPr>
        <w:t>Kurt</w:t>
      </w:r>
      <w:r w:rsidR="006E02D6">
        <w:rPr>
          <w:i/>
          <w:iCs/>
        </w:rPr>
        <w:t xml:space="preserve">cyt. </w:t>
      </w:r>
      <w:r w:rsidR="006E02D6">
        <w:t>cyt. pow.,</w:t>
      </w:r>
      <w:r w:rsidR="008C003A">
        <w:t xml:space="preserve"> §§ 130–134; </w:t>
      </w:r>
      <w:r w:rsidR="008C003A">
        <w:rPr>
          <w:i/>
          <w:iCs/>
        </w:rPr>
        <w:t>Çakıcı</w:t>
      </w:r>
      <w:r w:rsidR="008C003A">
        <w:t xml:space="preserve">, </w:t>
      </w:r>
      <w:r w:rsidR="006E02D6">
        <w:t>cyt. pow.,</w:t>
      </w:r>
      <w:r w:rsidR="008C003A">
        <w:t xml:space="preserve"> § 98 i </w:t>
      </w:r>
      <w:r w:rsidR="008C003A">
        <w:rPr>
          <w:i/>
          <w:iCs/>
        </w:rPr>
        <w:t>Taş</w:t>
      </w:r>
      <w:r w:rsidR="008C003A">
        <w:t xml:space="preserve">, </w:t>
      </w:r>
      <w:r w:rsidR="006E02D6">
        <w:t>cyt. pow.,</w:t>
      </w:r>
      <w:r w:rsidR="008C003A">
        <w:t xml:space="preserve"> §§ 77–80). Trybunał przypomina, że zjawisko zaginięć stanowi szczególne obciążenie dla krewnych osób zaginionych, którzy są utrzymywani w niewiedzy odnośnie </w:t>
      </w:r>
      <w:r w:rsidR="008C003A">
        <w:lastRenderedPageBreak/>
        <w:t xml:space="preserve">do losu swoich bliskich i cierpią z powodu niepewności (zob. </w:t>
      </w:r>
      <w:r w:rsidR="008C003A">
        <w:rPr>
          <w:i/>
          <w:iCs/>
        </w:rPr>
        <w:t>Varnava i Inni przeciwko Turcji</w:t>
      </w:r>
      <w:r w:rsidR="008C003A">
        <w:t xml:space="preserve"> [WI], nr 16064/90 i </w:t>
      </w:r>
      <w:r w:rsidR="006E02D6">
        <w:t xml:space="preserve">8 </w:t>
      </w:r>
      <w:r w:rsidR="008C003A">
        <w:t>innych, § 200, ETPC 2009).</w:t>
      </w:r>
    </w:p>
    <w:p w14:paraId="61CDFB18" w14:textId="01A6AC04" w:rsidR="00414A46" w:rsidRDefault="00256FD1">
      <w:pPr>
        <w:pStyle w:val="JuPara"/>
      </w:pPr>
      <w:r>
        <w:t>228</w:t>
      </w:r>
      <w:r w:rsidR="008C003A">
        <w:t xml:space="preserve">.  Trybunał zauważa ponadto, że w takich sprawach uwzględnia różne czynniki przy ocenie, czy sposób, w który prowadzono śledztwo, sam w sobie stanowił sprzeczne z art. 3 traktowanie krewnych ofiar. Istotne elementy obejmują bliskość więzi rodzinnych, zakres, w jakim członek rodziny był świadkiem przedmiotowych wydarzeń, udział członka rodziny w próbach uzyskania informacji na temat osoby zaginionej oraz sposób, w jaki władze odpowiedziały na te zapytania. Trybunał podkreślił jednak, że istotą takiego naruszenia niekoniecznie musi być fakt zaginięcia członka rodziny, lecz raczej reakcja i postawa </w:t>
      </w:r>
      <w:r w:rsidR="007264AC">
        <w:t xml:space="preserve">organów </w:t>
      </w:r>
      <w:r w:rsidR="008C003A">
        <w:t xml:space="preserve">wobec zgłoszonej im sytuacji (zob. </w:t>
      </w:r>
      <w:r w:rsidR="008C003A">
        <w:rPr>
          <w:i/>
          <w:iCs/>
        </w:rPr>
        <w:t>Çakıcı</w:t>
      </w:r>
      <w:r w:rsidR="008C003A">
        <w:t xml:space="preserve">, </w:t>
      </w:r>
      <w:r w:rsidR="007264AC">
        <w:t>cyt. pow.,</w:t>
      </w:r>
      <w:r w:rsidR="008C003A">
        <w:t xml:space="preserve"> § 98). Stwierdzając, że zachowanie władz </w:t>
      </w:r>
      <w:r w:rsidR="007264AC">
        <w:t>charakteryzowało się stopniem</w:t>
      </w:r>
      <w:r w:rsidR="008C003A">
        <w:t xml:space="preserve"> dotkliwości, który </w:t>
      </w:r>
      <w:r w:rsidR="007264AC">
        <w:t>rodzi wątpliwości</w:t>
      </w:r>
      <w:r w:rsidR="008C003A">
        <w:t xml:space="preserve"> na gruncie art. 3 i stanowi naruszenie tego postanowienia, Trybunał </w:t>
      </w:r>
      <w:r w:rsidR="007264AC">
        <w:t>przywiązał wagę np.</w:t>
      </w:r>
      <w:r w:rsidR="009B2474">
        <w:t xml:space="preserve"> do</w:t>
      </w:r>
      <w:r w:rsidR="008C003A">
        <w:t xml:space="preserve"> obojętności i bezduszności </w:t>
      </w:r>
      <w:r w:rsidR="00062AFD">
        <w:t>przy zajmowaniu się sprawami</w:t>
      </w:r>
      <w:r w:rsidR="008C003A">
        <w:t xml:space="preserve"> skarżących oraz dotkliwej udrę</w:t>
      </w:r>
      <w:r w:rsidR="00062AFD">
        <w:t>ki</w:t>
      </w:r>
      <w:r w:rsidR="008C003A">
        <w:t xml:space="preserve"> i niepewności, których skarżący w rezultacie doświadczyli i nadal doświadczają (zob. </w:t>
      </w:r>
      <w:r w:rsidR="008C003A">
        <w:rPr>
          <w:i/>
          <w:iCs/>
        </w:rPr>
        <w:t>Taş</w:t>
      </w:r>
      <w:r w:rsidR="008C003A">
        <w:t xml:space="preserve">, </w:t>
      </w:r>
      <w:r w:rsidR="00062AFD">
        <w:t>cyt. pow.,</w:t>
      </w:r>
      <w:r w:rsidR="008C003A">
        <w:t xml:space="preserve"> § 79).</w:t>
      </w:r>
    </w:p>
    <w:p w14:paraId="3626B591" w14:textId="110877A1" w:rsidR="00414A46" w:rsidRDefault="00256FD1">
      <w:pPr>
        <w:pStyle w:val="JuPara"/>
      </w:pPr>
      <w:r>
        <w:t>229</w:t>
      </w:r>
      <w:r w:rsidR="008C003A">
        <w:t xml:space="preserve">.  Trybunał zauważa również, że zastosował zasady ustalone w wyżej wspomnianych sprawach w pewnych wyjątkowych sytuacjach innych niż </w:t>
      </w:r>
      <w:r w:rsidR="00062AFD">
        <w:t xml:space="preserve">dotyczących </w:t>
      </w:r>
      <w:r w:rsidR="008C003A">
        <w:t>zaginięci</w:t>
      </w:r>
      <w:r w:rsidR="00062AFD">
        <w:t>a</w:t>
      </w:r>
      <w:r w:rsidR="008C003A">
        <w:t xml:space="preserve"> (zob. w kontekście pozbawienia wolności i deportacji małoletniego bez opieki ubiegającego się o azyl – </w:t>
      </w:r>
      <w:r w:rsidR="008C003A">
        <w:rPr>
          <w:i/>
          <w:iCs/>
        </w:rPr>
        <w:t>Mubilanzila Mayeka i Kaniki Mitunga przeciwko Belgii</w:t>
      </w:r>
      <w:r w:rsidR="008C003A">
        <w:t xml:space="preserve">, nr 13178/03, ETPC 2006-XI; w kontekście zarzutów wykorzystywania seksualnego dziecka w środowisku rodzinnym – </w:t>
      </w:r>
      <w:r w:rsidR="008C003A">
        <w:rPr>
          <w:i/>
          <w:iCs/>
        </w:rPr>
        <w:t>M.P. i Inni przeciwko Bułgarii</w:t>
      </w:r>
      <w:r w:rsidR="008C003A">
        <w:t>, nr 22457/08, 15 listopada 2011 r.; w odniesieniu do warunków</w:t>
      </w:r>
      <w:r w:rsidR="00062AFD">
        <w:t xml:space="preserve">, w jakich ciała </w:t>
      </w:r>
      <w:r w:rsidR="008C003A">
        <w:t xml:space="preserve">zwłok zmarłych krewnych </w:t>
      </w:r>
      <w:r w:rsidR="00062AFD">
        <w:t>były przechowywane podczas</w:t>
      </w:r>
      <w:r w:rsidR="008C003A">
        <w:t xml:space="preserve"> procesu identyfikacji – </w:t>
      </w:r>
      <w:r w:rsidR="008C003A">
        <w:rPr>
          <w:i/>
          <w:iCs/>
        </w:rPr>
        <w:t>Sabanchiyeva i Inni przeciwko Rosji</w:t>
      </w:r>
      <w:r w:rsidR="008C003A">
        <w:t xml:space="preserve">, nr 38450/05, ETPC 2013 (fragmenty); w kontekście śmierci osoby </w:t>
      </w:r>
      <w:r w:rsidR="002C4307">
        <w:t xml:space="preserve">w następstwie </w:t>
      </w:r>
      <w:r w:rsidR="008C003A">
        <w:t xml:space="preserve">braku odpowiedniej opieki medycznej w trakcie pozbawienia wolności i  braku odpowiedniego </w:t>
      </w:r>
      <w:r w:rsidR="002C4307">
        <w:t xml:space="preserve">śledztwa </w:t>
      </w:r>
      <w:r w:rsidR="008C003A">
        <w:t xml:space="preserve">krajowego – </w:t>
      </w:r>
      <w:r w:rsidR="008C003A">
        <w:rPr>
          <w:i/>
          <w:iCs/>
        </w:rPr>
        <w:t>Salakhov i Islyamova przeciwko Ukrainie</w:t>
      </w:r>
      <w:r w:rsidR="008C003A">
        <w:t xml:space="preserve">, nr 28005/08, 14 marca 2013 r. oraz w kontekście cierpienia emocjonalnego spowodowanego pobraniem tkanki z ciała zmarłego bez wiedzy i zgody krewnej – </w:t>
      </w:r>
      <w:r w:rsidR="008C003A">
        <w:rPr>
          <w:i/>
          <w:iCs/>
        </w:rPr>
        <w:t>Elberte przeciwko Łotwie</w:t>
      </w:r>
      <w:r w:rsidR="008C003A">
        <w:t>, nr 61243/08, ETPC 2015).</w:t>
      </w:r>
    </w:p>
    <w:p w14:paraId="06103A18" w14:textId="56BB5308" w:rsidR="00414A46" w:rsidRDefault="00256FD1">
      <w:pPr>
        <w:pStyle w:val="JuPara"/>
      </w:pPr>
      <w:r>
        <w:t>230</w:t>
      </w:r>
      <w:r w:rsidR="008C003A">
        <w:t xml:space="preserve">.  Trybunał zauważa jednak, że sprawa skarżącego nie </w:t>
      </w:r>
      <w:r w:rsidR="002C4307">
        <w:t xml:space="preserve">dotyczy </w:t>
      </w:r>
      <w:r w:rsidR="008C003A">
        <w:t>żadnej z okoliczności badanych w wyżej wspomnianym orzecznictwie.</w:t>
      </w:r>
    </w:p>
    <w:p w14:paraId="379169F6" w14:textId="6B6D4042" w:rsidR="00414A46" w:rsidRDefault="00256FD1">
      <w:pPr>
        <w:pStyle w:val="JuPara"/>
      </w:pPr>
      <w:r>
        <w:t>231</w:t>
      </w:r>
      <w:r w:rsidR="008C003A">
        <w:t xml:space="preserve">.  W świetle okoliczności faktycznych sprawy i wszystkich posiadanych dowodów Trybunał nie dostrzega w sytuacji skarżącego żadnych znamion naruszenia art. 3 Konwencji. Z powyższego wynika, że skarga ta jest w sposób oczywisty nieuzasadniona i podlega </w:t>
      </w:r>
      <w:r w:rsidR="00C21781">
        <w:t xml:space="preserve">oddaleniu </w:t>
      </w:r>
      <w:r w:rsidR="008C003A">
        <w:t>zgodnie z art. 35 ust. 3 lit. a oraz art. 35 ust. 4 Konwencji.</w:t>
      </w:r>
    </w:p>
    <w:p w14:paraId="609AC188" w14:textId="77777777" w:rsidR="00414A46" w:rsidRDefault="008C003A">
      <w:pPr>
        <w:pStyle w:val="JuHHead"/>
        <w:numPr>
          <w:ilvl w:val="0"/>
          <w:numId w:val="1"/>
        </w:numPr>
        <w:spacing w:before="280"/>
      </w:pPr>
      <w:r>
        <w:lastRenderedPageBreak/>
        <w:t>Z POWYŻSZYCH WZGLĘDÓW TRYBUNAŁ</w:t>
      </w:r>
    </w:p>
    <w:p w14:paraId="2BFF5CF8" w14:textId="44E04F25" w:rsidR="00414A46" w:rsidRDefault="00C4391E">
      <w:pPr>
        <w:pStyle w:val="JuList"/>
        <w:numPr>
          <w:ilvl w:val="0"/>
          <w:numId w:val="2"/>
        </w:numPr>
      </w:pPr>
      <w:r>
        <w:rPr>
          <w:i/>
          <w:iCs/>
        </w:rPr>
        <w:t>Do</w:t>
      </w:r>
      <w:r w:rsidR="008C003A">
        <w:rPr>
          <w:i/>
          <w:iCs/>
        </w:rPr>
        <w:t>łącza</w:t>
      </w:r>
      <w:r w:rsidR="008C003A">
        <w:t xml:space="preserve"> jednogłośnie zastrzeżenie Rządu </w:t>
      </w:r>
      <w:r>
        <w:t xml:space="preserve">co do </w:t>
      </w:r>
      <w:r w:rsidR="008C003A">
        <w:t xml:space="preserve">niewyczerpania krajowych środków odwoławczych podniesione w odniesieniu do </w:t>
      </w:r>
      <w:r>
        <w:t xml:space="preserve">zarzutów </w:t>
      </w:r>
      <w:r w:rsidR="008C003A">
        <w:t xml:space="preserve">dotyczących przebiegu śledztwa </w:t>
      </w:r>
      <w:r>
        <w:t xml:space="preserve">do meritum </w:t>
      </w:r>
      <w:r w:rsidR="008C003A">
        <w:t>i oddala je;</w:t>
      </w:r>
    </w:p>
    <w:p w14:paraId="7E9E5268" w14:textId="7E891EDC" w:rsidR="00414A46" w:rsidRDefault="00C4391E">
      <w:pPr>
        <w:pStyle w:val="JuList"/>
        <w:numPr>
          <w:ilvl w:val="0"/>
          <w:numId w:val="2"/>
        </w:numPr>
      </w:pPr>
      <w:r>
        <w:rPr>
          <w:i/>
          <w:iCs/>
        </w:rPr>
        <w:t>U</w:t>
      </w:r>
      <w:r w:rsidR="008C003A">
        <w:rPr>
          <w:i/>
          <w:iCs/>
        </w:rPr>
        <w:t>znaje</w:t>
      </w:r>
      <w:r w:rsidR="008C003A">
        <w:t xml:space="preserve"> większością głosów </w:t>
      </w:r>
      <w:r w:rsidR="00237FB4">
        <w:t xml:space="preserve">skargę w części dotyczącej </w:t>
      </w:r>
      <w:r w:rsidR="008C003A">
        <w:t>aspektu proceduralnego art. 3 Konwencji za niedopuszczaln</w:t>
      </w:r>
      <w:r w:rsidR="00237FB4">
        <w:t>ą</w:t>
      </w:r>
      <w:r w:rsidR="008C003A">
        <w:t>;</w:t>
      </w:r>
    </w:p>
    <w:p w14:paraId="1ACC6874" w14:textId="4115EF4A" w:rsidR="00414A46" w:rsidRDefault="00C4391E">
      <w:pPr>
        <w:pStyle w:val="JuList"/>
        <w:numPr>
          <w:ilvl w:val="0"/>
          <w:numId w:val="2"/>
        </w:numPr>
      </w:pPr>
      <w:r>
        <w:rPr>
          <w:i/>
          <w:iCs/>
        </w:rPr>
        <w:t>U</w:t>
      </w:r>
      <w:r w:rsidR="008C003A">
        <w:rPr>
          <w:i/>
          <w:iCs/>
        </w:rPr>
        <w:t>znaje</w:t>
      </w:r>
      <w:r w:rsidR="008C003A">
        <w:t xml:space="preserve"> większością głosów </w:t>
      </w:r>
      <w:r w:rsidR="00237FB4">
        <w:t>skargę w części dotyczącej</w:t>
      </w:r>
      <w:r>
        <w:t xml:space="preserve"> </w:t>
      </w:r>
      <w:r w:rsidR="008C003A">
        <w:t>art. 8 Konwencji za niedopuszczaln</w:t>
      </w:r>
      <w:r w:rsidR="00237FB4">
        <w:t>ą</w:t>
      </w:r>
      <w:r w:rsidR="008C003A">
        <w:t>;</w:t>
      </w:r>
    </w:p>
    <w:p w14:paraId="2ECFE99B" w14:textId="4280B504" w:rsidR="00414A46" w:rsidRDefault="00C4391E">
      <w:pPr>
        <w:pStyle w:val="JuList"/>
        <w:numPr>
          <w:ilvl w:val="0"/>
          <w:numId w:val="2"/>
        </w:numPr>
      </w:pPr>
      <w:r>
        <w:rPr>
          <w:i/>
          <w:iCs/>
        </w:rPr>
        <w:t>U</w:t>
      </w:r>
      <w:r w:rsidR="008C003A">
        <w:rPr>
          <w:i/>
          <w:iCs/>
        </w:rPr>
        <w:t>znaje</w:t>
      </w:r>
      <w:r w:rsidR="008C003A">
        <w:t xml:space="preserve"> większością głosów </w:t>
      </w:r>
      <w:r w:rsidR="00237FB4">
        <w:t xml:space="preserve">skargę w części dotyczącej </w:t>
      </w:r>
      <w:r w:rsidR="008C003A">
        <w:t>art. 2 Konwencji za dopuszczaln</w:t>
      </w:r>
      <w:r w:rsidR="00237FB4">
        <w:t>ą</w:t>
      </w:r>
      <w:r w:rsidR="008C003A">
        <w:t>;</w:t>
      </w:r>
    </w:p>
    <w:p w14:paraId="7941B360" w14:textId="5EAD375D" w:rsidR="00414A46" w:rsidRDefault="00C4391E">
      <w:pPr>
        <w:pStyle w:val="JuList"/>
        <w:numPr>
          <w:ilvl w:val="0"/>
          <w:numId w:val="2"/>
        </w:numPr>
      </w:pPr>
      <w:r>
        <w:rPr>
          <w:i/>
          <w:iCs/>
        </w:rPr>
        <w:t>O</w:t>
      </w:r>
      <w:r w:rsidR="008C003A">
        <w:rPr>
          <w:i/>
          <w:iCs/>
        </w:rPr>
        <w:t>rzeka</w:t>
      </w:r>
      <w:r w:rsidR="008C003A">
        <w:t xml:space="preserve"> trzynastoma głosami do czterech, że nie doszło do naruszenia art. 2 Konwencji;</w:t>
      </w:r>
    </w:p>
    <w:p w14:paraId="688B626F" w14:textId="6268AB0E" w:rsidR="00414A46" w:rsidRDefault="00C4391E">
      <w:pPr>
        <w:pStyle w:val="JuList"/>
        <w:numPr>
          <w:ilvl w:val="0"/>
          <w:numId w:val="2"/>
        </w:numPr>
      </w:pPr>
      <w:r>
        <w:rPr>
          <w:i/>
          <w:iCs/>
        </w:rPr>
        <w:t>U</w:t>
      </w:r>
      <w:r w:rsidR="008C003A">
        <w:rPr>
          <w:i/>
          <w:iCs/>
        </w:rPr>
        <w:t>znaje</w:t>
      </w:r>
      <w:r w:rsidR="008C003A">
        <w:t xml:space="preserve"> jednogłośnie </w:t>
      </w:r>
      <w:r w:rsidR="00237FB4">
        <w:t>skargę w części dotyczącej</w:t>
      </w:r>
      <w:r>
        <w:t xml:space="preserve"> </w:t>
      </w:r>
      <w:r w:rsidR="008C003A">
        <w:t>art. 6 ust. 1 Konwencji za dopuszczaln</w:t>
      </w:r>
      <w:r w:rsidR="00237FB4">
        <w:t>ą</w:t>
      </w:r>
      <w:r w:rsidR="008C003A">
        <w:t>;</w:t>
      </w:r>
    </w:p>
    <w:p w14:paraId="464C2034" w14:textId="286A24CA" w:rsidR="00414A46" w:rsidRDefault="00C4391E">
      <w:pPr>
        <w:pStyle w:val="JuList"/>
        <w:numPr>
          <w:ilvl w:val="0"/>
          <w:numId w:val="2"/>
        </w:numPr>
      </w:pPr>
      <w:r>
        <w:rPr>
          <w:i/>
          <w:iCs/>
        </w:rPr>
        <w:t>O</w:t>
      </w:r>
      <w:r w:rsidR="008C003A">
        <w:rPr>
          <w:i/>
          <w:iCs/>
        </w:rPr>
        <w:t>rzeka</w:t>
      </w:r>
      <w:r w:rsidR="008C003A">
        <w:t xml:space="preserve"> szesnastoma głosami do jednego, że nie doszło do naruszenia art. 6 ust. 1 Konwencji w odniesieniu do prawa </w:t>
      </w:r>
      <w:r w:rsidR="00237FB4">
        <w:t xml:space="preserve">skarżącego do </w:t>
      </w:r>
      <w:r w:rsidR="008C003A">
        <w:t>dostępu do sądu;</w:t>
      </w:r>
    </w:p>
    <w:p w14:paraId="717C4999" w14:textId="69163C8C" w:rsidR="00414A46" w:rsidRDefault="003F1DA2">
      <w:pPr>
        <w:pStyle w:val="JuList"/>
        <w:numPr>
          <w:ilvl w:val="0"/>
          <w:numId w:val="2"/>
        </w:numPr>
      </w:pPr>
      <w:r>
        <w:rPr>
          <w:i/>
          <w:iCs/>
        </w:rPr>
        <w:t>O</w:t>
      </w:r>
      <w:r w:rsidR="008C003A">
        <w:rPr>
          <w:i/>
          <w:iCs/>
        </w:rPr>
        <w:t>rzeka</w:t>
      </w:r>
      <w:r w:rsidR="008C003A">
        <w:t xml:space="preserve"> dziesięcioma głosami do siedmiu, że nie doszło do naruszenia art. 6 ust. 1 Konwencji w odniesieniu do </w:t>
      </w:r>
      <w:r>
        <w:t>zarzut</w:t>
      </w:r>
      <w:r w:rsidR="00237FB4">
        <w:t>u</w:t>
      </w:r>
      <w:r>
        <w:t xml:space="preserve"> </w:t>
      </w:r>
      <w:r w:rsidR="008C003A">
        <w:t>dotyczące</w:t>
      </w:r>
      <w:r w:rsidR="00C4391E">
        <w:t>go</w:t>
      </w:r>
      <w:r w:rsidR="008C003A">
        <w:t xml:space="preserve"> czasu trwania śledztwa;</w:t>
      </w:r>
    </w:p>
    <w:p w14:paraId="48206333" w14:textId="151DAA98" w:rsidR="00414A46" w:rsidRDefault="003F1DA2">
      <w:pPr>
        <w:pStyle w:val="JuList"/>
        <w:numPr>
          <w:ilvl w:val="0"/>
          <w:numId w:val="2"/>
        </w:numPr>
      </w:pPr>
      <w:r>
        <w:rPr>
          <w:i/>
          <w:iCs/>
        </w:rPr>
        <w:t>O</w:t>
      </w:r>
      <w:r w:rsidR="008C003A">
        <w:rPr>
          <w:i/>
          <w:iCs/>
        </w:rPr>
        <w:t>rzeka</w:t>
      </w:r>
      <w:r w:rsidR="008C003A">
        <w:t xml:space="preserve"> jednogłośnie, że nie ma potrzeby odrębnego rozpatrywania skargi na gruncie art. 13 w związku z art. 2 Konwencji;</w:t>
      </w:r>
    </w:p>
    <w:p w14:paraId="1D8A75AB" w14:textId="0A9779FD" w:rsidR="00414A46" w:rsidRDefault="003F1DA2">
      <w:pPr>
        <w:pStyle w:val="JuList"/>
        <w:numPr>
          <w:ilvl w:val="0"/>
          <w:numId w:val="2"/>
        </w:numPr>
      </w:pPr>
      <w:r w:rsidRPr="001069DE">
        <w:rPr>
          <w:i/>
          <w:iCs/>
        </w:rPr>
        <w:t>U</w:t>
      </w:r>
      <w:r w:rsidR="008C003A" w:rsidRPr="003F1DA2">
        <w:rPr>
          <w:i/>
          <w:iCs/>
        </w:rPr>
        <w:t>znaje</w:t>
      </w:r>
      <w:r w:rsidR="008C003A">
        <w:t xml:space="preserve"> jednogłośnie skargę </w:t>
      </w:r>
      <w:r w:rsidR="00237FB4">
        <w:t xml:space="preserve">w części </w:t>
      </w:r>
      <w:r w:rsidR="008C003A">
        <w:t>dotycząc</w:t>
      </w:r>
      <w:r w:rsidR="00237FB4">
        <w:t>ej</w:t>
      </w:r>
      <w:r w:rsidR="008C003A">
        <w:t xml:space="preserve"> aspektu materialnego art. 3 Konwencji za niedopuszczalną.</w:t>
      </w:r>
    </w:p>
    <w:p w14:paraId="63D0E84D" w14:textId="77777777" w:rsidR="00414A46" w:rsidRDefault="008C003A">
      <w:pPr>
        <w:pStyle w:val="JuParaLast"/>
      </w:pPr>
      <w:r>
        <w:t>Sporządzono w języku angielskim i francuskim i podano do wiadomości na rozprawie publicznej w Budynku Praw Człowieka w Strasburgu w dniu 25 czerwca 2019 r.</w:t>
      </w:r>
    </w:p>
    <w:p w14:paraId="606CC13D" w14:textId="77777777" w:rsidR="00414A46" w:rsidRDefault="008C003A">
      <w:pPr>
        <w:pStyle w:val="JuSigned"/>
        <w:tabs>
          <w:tab w:val="clear" w:pos="851"/>
          <w:tab w:val="center" w:pos="993"/>
        </w:tabs>
      </w:pPr>
      <w:r>
        <w:tab/>
        <w:t xml:space="preserve"> Søren Prebensen</w:t>
      </w:r>
      <w:r>
        <w:tab/>
      </w:r>
      <w:r>
        <w:rPr>
          <w:szCs w:val="24"/>
        </w:rPr>
        <w:t>Guido Raimondi</w:t>
      </w:r>
      <w:r>
        <w:rPr>
          <w:szCs w:val="24"/>
        </w:rPr>
        <w:br/>
      </w:r>
      <w:r>
        <w:tab/>
        <w:t>Zastępca Kanclerza</w:t>
      </w:r>
      <w:r>
        <w:tab/>
        <w:t>Przewodniczący</w:t>
      </w:r>
    </w:p>
    <w:p w14:paraId="473E373F" w14:textId="77777777" w:rsidR="00414A46" w:rsidRDefault="008C003A">
      <w:pPr>
        <w:pStyle w:val="JuParaLast"/>
      </w:pPr>
      <w:r>
        <w:lastRenderedPageBreak/>
        <w:t>Zgodnie z art. 45 ust. 2 Konwencji i regułą 74 § 2 Regulaminu Trybunału do wyroku dołączono następujące opinie odrębne:</w:t>
      </w:r>
    </w:p>
    <w:p w14:paraId="38DA4FEB" w14:textId="77777777" w:rsidR="00414A46" w:rsidRDefault="008C003A">
      <w:pPr>
        <w:pStyle w:val="JuPara"/>
      </w:pPr>
      <w:r>
        <w:t>a)  wspólna częściowo rozbieżna opinia odrębna sędziów Raimondiego, Sicilianosa, Karakas, Vučinića and Harutyunyana;</w:t>
      </w:r>
    </w:p>
    <w:p w14:paraId="2A38B0A8" w14:textId="77777777" w:rsidR="00414A46" w:rsidRDefault="008C003A">
      <w:pPr>
        <w:pStyle w:val="JuPara"/>
      </w:pPr>
      <w:r>
        <w:t>b)  częściowo rozbieżna opinia odrębna sędziego De Gaetano, do której przyłączył się sędzia Vučinić;</w:t>
      </w:r>
    </w:p>
    <w:p w14:paraId="5BDDDF0B" w14:textId="77777777" w:rsidR="00414A46" w:rsidRDefault="008C003A">
      <w:pPr>
        <w:pStyle w:val="JuPara"/>
      </w:pPr>
      <w:r>
        <w:t>c)  częściowo rozbieżna opinia odrębna sędziego Kūrisa;</w:t>
      </w:r>
    </w:p>
    <w:p w14:paraId="69C283CF" w14:textId="77777777" w:rsidR="00414A46" w:rsidRDefault="008C003A">
      <w:pPr>
        <w:pStyle w:val="JuPara"/>
      </w:pPr>
      <w:r>
        <w:t>d)  częściowo rozbieżna opinia odrębna sędziego Grozeva.</w:t>
      </w:r>
    </w:p>
    <w:p w14:paraId="66477BBB" w14:textId="77777777" w:rsidR="00414A46" w:rsidRDefault="00414A46"/>
    <w:sectPr w:rsidR="00414A46">
      <w:headerReference w:type="even" r:id="rId13"/>
      <w:headerReference w:type="default" r:id="rId14"/>
      <w:footerReference w:type="even" r:id="rId15"/>
      <w:footerReference w:type="default" r:id="rId16"/>
      <w:pgSz w:w="11906" w:h="16838"/>
      <w:pgMar w:top="2274" w:right="2274" w:bottom="2274" w:left="2274" w:header="1701" w:footer="720" w:gutter="0"/>
      <w:cols w:space="708"/>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A9ABCC" w14:textId="77777777" w:rsidR="00F07030" w:rsidRDefault="00F07030">
      <w:r>
        <w:separator/>
      </w:r>
    </w:p>
  </w:endnote>
  <w:endnote w:type="continuationSeparator" w:id="0">
    <w:p w14:paraId="0C60F432" w14:textId="77777777" w:rsidR="00F07030" w:rsidRDefault="00F070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CACD82" w14:textId="77777777" w:rsidR="002F2788" w:rsidRDefault="002F2788">
    <w:pPr>
      <w:jc w:val="center"/>
    </w:pPr>
    <w:r>
      <w:rPr>
        <w:noProof/>
        <w:lang w:eastAsia="pl-PL"/>
      </w:rPr>
      <w:drawing>
        <wp:inline distT="0" distB="0" distL="0" distR="0" wp14:anchorId="4D4A5A66" wp14:editId="387AE47B">
          <wp:extent cx="771525" cy="619125"/>
          <wp:effectExtent l="0" t="0" r="0" b="0"/>
          <wp:docPr id="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stretch>
                    <a:fillRect/>
                  </a:stretch>
                </pic:blipFill>
                <pic:spPr bwMode="auto">
                  <a:xfrm>
                    <a:off x="0" y="0"/>
                    <a:ext cx="771525" cy="619125"/>
                  </a:xfrm>
                  <a:prstGeom prst="rect">
                    <a:avLst/>
                  </a:prstGeom>
                </pic:spPr>
              </pic:pic>
            </a:graphicData>
          </a:graphic>
        </wp:inline>
      </w:drawing>
    </w:r>
  </w:p>
  <w:p w14:paraId="053AC886" w14:textId="77777777" w:rsidR="002F2788" w:rsidRDefault="002F2788">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D46C79" w14:textId="77777777" w:rsidR="002F2788" w:rsidRDefault="002F278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34839" w14:textId="77777777" w:rsidR="002F2788" w:rsidRDefault="002F2788">
    <w:pPr>
      <w:jc w:val="center"/>
    </w:pPr>
    <w:r>
      <w:rPr>
        <w:noProof/>
        <w:lang w:eastAsia="pl-PL"/>
      </w:rPr>
      <w:drawing>
        <wp:inline distT="0" distB="0" distL="0" distR="0" wp14:anchorId="5D9C0BF6" wp14:editId="4683CEEF">
          <wp:extent cx="771525" cy="619125"/>
          <wp:effectExtent l="0" t="0" r="0" b="0"/>
          <wp:docPr id="3" name="Obraz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stretch>
                    <a:fillRect/>
                  </a:stretch>
                </pic:blipFill>
                <pic:spPr bwMode="auto">
                  <a:xfrm>
                    <a:off x="0" y="0"/>
                    <a:ext cx="771525" cy="619125"/>
                  </a:xfrm>
                  <a:prstGeom prst="rect">
                    <a:avLst/>
                  </a:prstGeom>
                </pic:spPr>
              </pic:pic>
            </a:graphicData>
          </a:graphic>
        </wp:inline>
      </w:drawing>
    </w:r>
  </w:p>
  <w:p w14:paraId="7926AF9C" w14:textId="77777777" w:rsidR="002F2788" w:rsidRDefault="002F2788">
    <w:pPr>
      <w:pStyle w:val="Stopka"/>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9D5059" w14:textId="77777777" w:rsidR="00F07030" w:rsidRDefault="00F07030">
      <w:r>
        <w:separator/>
      </w:r>
    </w:p>
  </w:footnote>
  <w:footnote w:type="continuationSeparator" w:id="0">
    <w:p w14:paraId="6598C8B1" w14:textId="77777777" w:rsidR="00F07030" w:rsidRDefault="00F070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0C71B" w14:textId="77777777" w:rsidR="002F2788" w:rsidRDefault="002F2788">
    <w:pPr>
      <w:jc w:val="center"/>
    </w:pPr>
    <w:r>
      <w:rPr>
        <w:noProof/>
        <w:lang w:eastAsia="pl-PL"/>
      </w:rPr>
      <w:drawing>
        <wp:inline distT="0" distB="0" distL="0" distR="0" wp14:anchorId="2EEB42FE" wp14:editId="1275D3C8">
          <wp:extent cx="2962275" cy="1219200"/>
          <wp:effectExtent l="0" t="0" r="0"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stretch>
                    <a:fillRect/>
                  </a:stretch>
                </pic:blipFill>
                <pic:spPr bwMode="auto">
                  <a:xfrm>
                    <a:off x="0" y="0"/>
                    <a:ext cx="2962275" cy="1219200"/>
                  </a:xfrm>
                  <a:prstGeom prst="rect">
                    <a:avLst/>
                  </a:prstGeom>
                </pic:spPr>
              </pic:pic>
            </a:graphicData>
          </a:graphic>
        </wp:inline>
      </w:drawing>
    </w:r>
  </w:p>
  <w:p w14:paraId="29F2FCB9" w14:textId="77777777" w:rsidR="002F2788" w:rsidRDefault="002F2788"/>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74951" w14:textId="47249FC7" w:rsidR="002F2788" w:rsidRDefault="002F2788">
    <w:pPr>
      <w:pStyle w:val="JuHeader"/>
      <w:tabs>
        <w:tab w:val="clear" w:pos="3686"/>
        <w:tab w:val="clear" w:pos="7371"/>
        <w:tab w:val="center" w:pos="3685"/>
      </w:tabs>
    </w:pPr>
    <w:r>
      <w:rPr>
        <w:rStyle w:val="Numerstrony"/>
      </w:rPr>
      <w:fldChar w:fldCharType="begin"/>
    </w:r>
    <w:r>
      <w:rPr>
        <w:rStyle w:val="Numerstrony"/>
      </w:rPr>
      <w:instrText>PAGE</w:instrText>
    </w:r>
    <w:r>
      <w:rPr>
        <w:rStyle w:val="Numerstrony"/>
      </w:rPr>
      <w:fldChar w:fldCharType="separate"/>
    </w:r>
    <w:r w:rsidR="00B97C48">
      <w:rPr>
        <w:rStyle w:val="Numerstrony"/>
        <w:noProof/>
      </w:rPr>
      <w:t>2</w:t>
    </w:r>
    <w:r>
      <w:rPr>
        <w:rStyle w:val="Numerstrony"/>
      </w:rPr>
      <w:fldChar w:fldCharType="end"/>
    </w:r>
    <w:r>
      <w:tab/>
      <w:t xml:space="preserve">WYROK </w:t>
    </w:r>
    <w:r w:rsidR="00B97C48">
      <w:t xml:space="preserve">w sprawie </w:t>
    </w:r>
    <w:r>
      <w:t>NICOLAE VI</w:t>
    </w:r>
    <w:r w:rsidR="00B97C48">
      <w:t>RGILIU TĂNASE przeciwko RUMUNII</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12046" w14:textId="537DD133" w:rsidR="002F2788" w:rsidRDefault="002F2788">
    <w:pPr>
      <w:pStyle w:val="JuHeader"/>
      <w:tabs>
        <w:tab w:val="clear" w:pos="3686"/>
        <w:tab w:val="clear" w:pos="7371"/>
        <w:tab w:val="center" w:pos="3685"/>
        <w:tab w:val="right" w:pos="7370"/>
      </w:tabs>
    </w:pPr>
    <w:r>
      <w:tab/>
      <w:t xml:space="preserve">WYROK </w:t>
    </w:r>
    <w:r w:rsidR="00B97C48">
      <w:t xml:space="preserve">w sprawie </w:t>
    </w:r>
    <w:r>
      <w:t>NICOLAE V</w:t>
    </w:r>
    <w:r w:rsidR="00B97C48">
      <w:t>IRGILIU TĂNASE przeciwko RUMUNII</w:t>
    </w:r>
    <w:r>
      <w:tab/>
    </w:r>
    <w:r>
      <w:rPr>
        <w:rStyle w:val="Numerstrony"/>
      </w:rPr>
      <w:fldChar w:fldCharType="begin"/>
    </w:r>
    <w:r>
      <w:rPr>
        <w:rStyle w:val="Numerstrony"/>
      </w:rPr>
      <w:instrText>PAGE</w:instrText>
    </w:r>
    <w:r>
      <w:rPr>
        <w:rStyle w:val="Numerstrony"/>
      </w:rPr>
      <w:fldChar w:fldCharType="separate"/>
    </w:r>
    <w:r w:rsidR="00B97C48">
      <w:rPr>
        <w:rStyle w:val="Numerstrony"/>
        <w:noProof/>
      </w:rPr>
      <w:t>3</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577749"/>
    <w:multiLevelType w:val="multilevel"/>
    <w:tmpl w:val="1582929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44372E56"/>
    <w:multiLevelType w:val="multilevel"/>
    <w:tmpl w:val="9DB6EB60"/>
    <w:lvl w:ilvl="0">
      <w:start w:val="1"/>
      <w:numFmt w:val="decimal"/>
      <w:lvlText w:val="%1."/>
      <w:lvlJc w:val="left"/>
      <w:pPr>
        <w:tabs>
          <w:tab w:val="num" w:pos="340"/>
        </w:tabs>
        <w:ind w:left="340" w:hanging="340"/>
      </w:pPr>
    </w:lvl>
    <w:lvl w:ilvl="1">
      <w:start w:val="1"/>
      <w:numFmt w:val="lowerLetter"/>
      <w:lvlText w:val="(%2)"/>
      <w:lvlJc w:val="left"/>
      <w:pPr>
        <w:tabs>
          <w:tab w:val="num" w:pos="680"/>
        </w:tabs>
        <w:ind w:left="680" w:hanging="340"/>
      </w:pPr>
      <w:rPr>
        <w:color w:val="auto"/>
      </w:rPr>
    </w:lvl>
    <w:lvl w:ilvl="2">
      <w:start w:val="1"/>
      <w:numFmt w:val="lowerRoman"/>
      <w:lvlText w:val="(%3)"/>
      <w:lvlJc w:val="left"/>
      <w:pPr>
        <w:tabs>
          <w:tab w:val="num" w:pos="1134"/>
        </w:tabs>
        <w:ind w:left="1134" w:hanging="454"/>
      </w:pPr>
    </w:lvl>
    <w:lvl w:ilvl="3">
      <w:start w:val="1"/>
      <w:numFmt w:val="decimal"/>
      <w:lvlText w:val="(%4)"/>
      <w:lvlJc w:val="left"/>
      <w:pPr>
        <w:tabs>
          <w:tab w:val="num" w:pos="1800"/>
        </w:tabs>
        <w:ind w:left="1440" w:hanging="360"/>
      </w:pPr>
    </w:lvl>
    <w:lvl w:ilvl="4">
      <w:start w:val="1"/>
      <w:numFmt w:val="lowerLetter"/>
      <w:lvlText w:val="(%5)"/>
      <w:lvlJc w:val="left"/>
      <w:pPr>
        <w:tabs>
          <w:tab w:val="num" w:pos="2160"/>
        </w:tabs>
        <w:ind w:left="1800" w:hanging="360"/>
      </w:pPr>
    </w:lvl>
    <w:lvl w:ilvl="5">
      <w:start w:val="1"/>
      <w:numFmt w:val="lowerRoman"/>
      <w:lvlText w:val="(%6)"/>
      <w:lvlJc w:val="left"/>
      <w:pPr>
        <w:tabs>
          <w:tab w:val="num" w:pos="2520"/>
        </w:tabs>
        <w:ind w:left="2160" w:hanging="360"/>
      </w:pPr>
    </w:lvl>
    <w:lvl w:ilvl="6">
      <w:start w:val="1"/>
      <w:numFmt w:val="none"/>
      <w:suff w:val="nothing"/>
      <w:lvlText w:val=""/>
      <w:lvlJc w:val="left"/>
      <w:pPr>
        <w:tabs>
          <w:tab w:val="num" w:pos="2880"/>
        </w:tabs>
        <w:ind w:left="2517" w:hanging="345"/>
      </w:pPr>
      <w:rPr>
        <w:sz w:val="20"/>
      </w:rPr>
    </w:lvl>
    <w:lvl w:ilvl="7">
      <w:start w:val="1"/>
      <w:numFmt w:val="lowerLetter"/>
      <w:lvlText w:val="%8."/>
      <w:lvlJc w:val="left"/>
      <w:pPr>
        <w:tabs>
          <w:tab w:val="num" w:pos="3240"/>
        </w:tabs>
        <w:ind w:left="2880" w:hanging="360"/>
      </w:pPr>
    </w:lvl>
    <w:lvl w:ilvl="8">
      <w:start w:val="1"/>
      <w:numFmt w:val="lowerRoman"/>
      <w:lvlText w:val="%9."/>
      <w:lvlJc w:val="left"/>
      <w:pPr>
        <w:tabs>
          <w:tab w:val="num" w:pos="3600"/>
        </w:tabs>
        <w:ind w:left="3240" w:hanging="360"/>
      </w:pPr>
    </w:lvl>
  </w:abstractNum>
  <w:abstractNum w:abstractNumId="2" w15:restartNumberingAfterBreak="0">
    <w:nsid w:val="580F1077"/>
    <w:multiLevelType w:val="multilevel"/>
    <w:tmpl w:val="B7CEF23C"/>
    <w:lvl w:ilvl="0">
      <w:start w:val="1"/>
      <w:numFmt w:val="none"/>
      <w:suff w:val="nothing"/>
      <w:lvlText w:val=""/>
      <w:lvlJc w:val="left"/>
      <w:pPr>
        <w:tabs>
          <w:tab w:val="num" w:pos="0"/>
        </w:tabs>
        <w:ind w:left="0" w:firstLine="0"/>
      </w:pPr>
    </w:lvl>
    <w:lvl w:ilvl="1">
      <w:start w:val="1"/>
      <w:numFmt w:val="upperRoman"/>
      <w:suff w:val="space"/>
      <w:lvlText w:val="%2."/>
      <w:lvlJc w:val="left"/>
      <w:pPr>
        <w:tabs>
          <w:tab w:val="num" w:pos="0"/>
        </w:tabs>
        <w:ind w:left="357" w:hanging="357"/>
      </w:pPr>
      <w:rPr>
        <w:sz w:val="24"/>
      </w:rPr>
    </w:lvl>
    <w:lvl w:ilvl="2">
      <w:start w:val="1"/>
      <w:numFmt w:val="upperLetter"/>
      <w:lvlText w:val="%3."/>
      <w:lvlJc w:val="left"/>
      <w:pPr>
        <w:tabs>
          <w:tab w:val="num" w:pos="1440"/>
        </w:tabs>
        <w:ind w:left="584" w:hanging="352"/>
      </w:pPr>
    </w:lvl>
    <w:lvl w:ilvl="3">
      <w:start w:val="1"/>
      <w:numFmt w:val="decimal"/>
      <w:lvlText w:val="%4."/>
      <w:lvlJc w:val="left"/>
      <w:pPr>
        <w:tabs>
          <w:tab w:val="num" w:pos="1800"/>
        </w:tabs>
        <w:ind w:left="731" w:hanging="300"/>
      </w:pPr>
    </w:lvl>
    <w:lvl w:ilvl="4">
      <w:start w:val="1"/>
      <w:numFmt w:val="lowerLetter"/>
      <w:lvlText w:val="(%5)"/>
      <w:lvlJc w:val="left"/>
      <w:pPr>
        <w:tabs>
          <w:tab w:val="num" w:pos="2160"/>
        </w:tabs>
        <w:ind w:left="975" w:hanging="340"/>
      </w:pPr>
    </w:lvl>
    <w:lvl w:ilvl="5">
      <w:start w:val="1"/>
      <w:numFmt w:val="lowerRoman"/>
      <w:suff w:val="space"/>
      <w:lvlText w:val="(%6)"/>
      <w:lvlJc w:val="left"/>
      <w:pPr>
        <w:tabs>
          <w:tab w:val="num" w:pos="0"/>
        </w:tabs>
        <w:ind w:left="1191" w:hanging="358"/>
      </w:pPr>
    </w:lvl>
    <w:lvl w:ilvl="6">
      <w:start w:val="1"/>
      <w:numFmt w:val="lowerLetter"/>
      <w:lvlText w:val="(%7)"/>
      <w:lvlJc w:val="left"/>
      <w:pPr>
        <w:tabs>
          <w:tab w:val="num" w:pos="2880"/>
        </w:tabs>
        <w:ind w:left="1372" w:hanging="334"/>
      </w:pPr>
      <w:rPr>
        <w:sz w:val="20"/>
      </w:rPr>
    </w:lvl>
    <w:lvl w:ilvl="7">
      <w:start w:val="1"/>
      <w:numFmt w:val="bullet"/>
      <w:lvlText w:val="‒"/>
      <w:lvlJc w:val="left"/>
      <w:pPr>
        <w:tabs>
          <w:tab w:val="num" w:pos="3240"/>
        </w:tabs>
        <w:ind w:left="1304" w:hanging="68"/>
      </w:pPr>
      <w:rPr>
        <w:rFonts w:ascii="Calibri" w:hAnsi="Calibri" w:cs="Calibri" w:hint="default"/>
      </w:rPr>
    </w:lvl>
    <w:lvl w:ilvl="8">
      <w:start w:val="1"/>
      <w:numFmt w:val="none"/>
      <w:suff w:val="nothing"/>
      <w:lvlText w:val=""/>
      <w:lvlJc w:val="right"/>
      <w:pPr>
        <w:tabs>
          <w:tab w:val="num" w:pos="3600"/>
        </w:tabs>
        <w:ind w:left="7313"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autoHyphenation/>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414A46"/>
    <w:rsid w:val="000625B4"/>
    <w:rsid w:val="00062AFD"/>
    <w:rsid w:val="00071C71"/>
    <w:rsid w:val="00074877"/>
    <w:rsid w:val="000948B7"/>
    <w:rsid w:val="00094DD9"/>
    <w:rsid w:val="000C3941"/>
    <w:rsid w:val="000D6832"/>
    <w:rsid w:val="000D68EA"/>
    <w:rsid w:val="001003EC"/>
    <w:rsid w:val="0010212C"/>
    <w:rsid w:val="001069DE"/>
    <w:rsid w:val="00127E92"/>
    <w:rsid w:val="00131D24"/>
    <w:rsid w:val="00132A0C"/>
    <w:rsid w:val="00136482"/>
    <w:rsid w:val="00141857"/>
    <w:rsid w:val="00150C3B"/>
    <w:rsid w:val="001A18BE"/>
    <w:rsid w:val="001A1E29"/>
    <w:rsid w:val="001A7C21"/>
    <w:rsid w:val="001B60B7"/>
    <w:rsid w:val="001E4ACA"/>
    <w:rsid w:val="001F2548"/>
    <w:rsid w:val="001F5DAA"/>
    <w:rsid w:val="002038C7"/>
    <w:rsid w:val="00216D4B"/>
    <w:rsid w:val="002379F6"/>
    <w:rsid w:val="00237FB4"/>
    <w:rsid w:val="002534D4"/>
    <w:rsid w:val="00256FD1"/>
    <w:rsid w:val="00277A02"/>
    <w:rsid w:val="00294386"/>
    <w:rsid w:val="002C4307"/>
    <w:rsid w:val="002D2553"/>
    <w:rsid w:val="002D6B4B"/>
    <w:rsid w:val="002E1505"/>
    <w:rsid w:val="002E1C98"/>
    <w:rsid w:val="002E22A8"/>
    <w:rsid w:val="002F2788"/>
    <w:rsid w:val="00351CB5"/>
    <w:rsid w:val="00364403"/>
    <w:rsid w:val="00370766"/>
    <w:rsid w:val="00377E16"/>
    <w:rsid w:val="00385634"/>
    <w:rsid w:val="003932FC"/>
    <w:rsid w:val="003A6F27"/>
    <w:rsid w:val="003B1399"/>
    <w:rsid w:val="003B623C"/>
    <w:rsid w:val="003B7F8F"/>
    <w:rsid w:val="003D3588"/>
    <w:rsid w:val="003D3796"/>
    <w:rsid w:val="003E7716"/>
    <w:rsid w:val="003F1DA2"/>
    <w:rsid w:val="003F4C38"/>
    <w:rsid w:val="003F5B52"/>
    <w:rsid w:val="0040791C"/>
    <w:rsid w:val="00414A46"/>
    <w:rsid w:val="004357FD"/>
    <w:rsid w:val="00445954"/>
    <w:rsid w:val="0045098A"/>
    <w:rsid w:val="00452C85"/>
    <w:rsid w:val="00465A72"/>
    <w:rsid w:val="00467102"/>
    <w:rsid w:val="00470256"/>
    <w:rsid w:val="00470355"/>
    <w:rsid w:val="004A1BFB"/>
    <w:rsid w:val="004A64D4"/>
    <w:rsid w:val="004E39E8"/>
    <w:rsid w:val="00515F03"/>
    <w:rsid w:val="005477C5"/>
    <w:rsid w:val="0056480C"/>
    <w:rsid w:val="00566624"/>
    <w:rsid w:val="00576851"/>
    <w:rsid w:val="005A438B"/>
    <w:rsid w:val="005B2D80"/>
    <w:rsid w:val="005E5462"/>
    <w:rsid w:val="00623AC8"/>
    <w:rsid w:val="006249CB"/>
    <w:rsid w:val="00625CB6"/>
    <w:rsid w:val="00645F18"/>
    <w:rsid w:val="0065624C"/>
    <w:rsid w:val="00657664"/>
    <w:rsid w:val="00672BB1"/>
    <w:rsid w:val="0068561D"/>
    <w:rsid w:val="006A6C79"/>
    <w:rsid w:val="006B349F"/>
    <w:rsid w:val="006D407C"/>
    <w:rsid w:val="006D6FCD"/>
    <w:rsid w:val="006E02D6"/>
    <w:rsid w:val="006E226E"/>
    <w:rsid w:val="006E7A93"/>
    <w:rsid w:val="00706BEF"/>
    <w:rsid w:val="00706FBF"/>
    <w:rsid w:val="00710FEC"/>
    <w:rsid w:val="007163B3"/>
    <w:rsid w:val="00716E9C"/>
    <w:rsid w:val="007217F2"/>
    <w:rsid w:val="00725143"/>
    <w:rsid w:val="007264AC"/>
    <w:rsid w:val="00763525"/>
    <w:rsid w:val="0076387E"/>
    <w:rsid w:val="00773DEE"/>
    <w:rsid w:val="0079683A"/>
    <w:rsid w:val="007971FC"/>
    <w:rsid w:val="007D55B4"/>
    <w:rsid w:val="007D75D9"/>
    <w:rsid w:val="007F2A03"/>
    <w:rsid w:val="008121A1"/>
    <w:rsid w:val="00822C15"/>
    <w:rsid w:val="008244A3"/>
    <w:rsid w:val="00830B25"/>
    <w:rsid w:val="00830F00"/>
    <w:rsid w:val="00844256"/>
    <w:rsid w:val="00855F53"/>
    <w:rsid w:val="0087077D"/>
    <w:rsid w:val="008B15E3"/>
    <w:rsid w:val="008B4B05"/>
    <w:rsid w:val="008C003A"/>
    <w:rsid w:val="008C7541"/>
    <w:rsid w:val="00910099"/>
    <w:rsid w:val="009143FD"/>
    <w:rsid w:val="00936F4D"/>
    <w:rsid w:val="009627DF"/>
    <w:rsid w:val="009B2474"/>
    <w:rsid w:val="009E3C1E"/>
    <w:rsid w:val="009F03D2"/>
    <w:rsid w:val="00A41BC3"/>
    <w:rsid w:val="00A55BA2"/>
    <w:rsid w:val="00AA0A28"/>
    <w:rsid w:val="00AA7058"/>
    <w:rsid w:val="00AB2669"/>
    <w:rsid w:val="00AF7710"/>
    <w:rsid w:val="00B312C4"/>
    <w:rsid w:val="00B313BA"/>
    <w:rsid w:val="00B409CB"/>
    <w:rsid w:val="00B60085"/>
    <w:rsid w:val="00B62F8F"/>
    <w:rsid w:val="00B63703"/>
    <w:rsid w:val="00B6427D"/>
    <w:rsid w:val="00B846BB"/>
    <w:rsid w:val="00B93B10"/>
    <w:rsid w:val="00B96E88"/>
    <w:rsid w:val="00B97C48"/>
    <w:rsid w:val="00BC73BD"/>
    <w:rsid w:val="00BE2DB4"/>
    <w:rsid w:val="00BF4D18"/>
    <w:rsid w:val="00BF717A"/>
    <w:rsid w:val="00C21781"/>
    <w:rsid w:val="00C24599"/>
    <w:rsid w:val="00C25108"/>
    <w:rsid w:val="00C4391E"/>
    <w:rsid w:val="00C47ED0"/>
    <w:rsid w:val="00C56F52"/>
    <w:rsid w:val="00C62AEA"/>
    <w:rsid w:val="00C7648F"/>
    <w:rsid w:val="00C76910"/>
    <w:rsid w:val="00C907EB"/>
    <w:rsid w:val="00CA0E91"/>
    <w:rsid w:val="00CA2F92"/>
    <w:rsid w:val="00CA674D"/>
    <w:rsid w:val="00CF34D5"/>
    <w:rsid w:val="00CF5C1D"/>
    <w:rsid w:val="00D1087E"/>
    <w:rsid w:val="00D135E9"/>
    <w:rsid w:val="00D33510"/>
    <w:rsid w:val="00D44BB5"/>
    <w:rsid w:val="00D676BD"/>
    <w:rsid w:val="00D74EDC"/>
    <w:rsid w:val="00D808F3"/>
    <w:rsid w:val="00D8635E"/>
    <w:rsid w:val="00D97EF4"/>
    <w:rsid w:val="00DD76B5"/>
    <w:rsid w:val="00DF6A7B"/>
    <w:rsid w:val="00E057EC"/>
    <w:rsid w:val="00E0706D"/>
    <w:rsid w:val="00E40347"/>
    <w:rsid w:val="00E40538"/>
    <w:rsid w:val="00E5251C"/>
    <w:rsid w:val="00E56D23"/>
    <w:rsid w:val="00E72D49"/>
    <w:rsid w:val="00E805A6"/>
    <w:rsid w:val="00E80C94"/>
    <w:rsid w:val="00E85FE8"/>
    <w:rsid w:val="00EB659E"/>
    <w:rsid w:val="00ED6908"/>
    <w:rsid w:val="00EE1662"/>
    <w:rsid w:val="00EE3E3F"/>
    <w:rsid w:val="00EF42A9"/>
    <w:rsid w:val="00F02F26"/>
    <w:rsid w:val="00F06823"/>
    <w:rsid w:val="00F07030"/>
    <w:rsid w:val="00F46C86"/>
    <w:rsid w:val="00F54F66"/>
    <w:rsid w:val="00F775D8"/>
    <w:rsid w:val="00F80703"/>
    <w:rsid w:val="00FB44CF"/>
    <w:rsid w:val="00FB5E7B"/>
    <w:rsid w:val="00FD2E9C"/>
    <w:rsid w:val="00FE00B2"/>
    <w:rsid w:val="00FF231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33D69"/>
  <w15:docId w15:val="{506FD3BB-8A53-4EAD-BD1D-D39CFC567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pl-PL" w:eastAsia="en-US" w:bidi="ar-SA"/>
      </w:rPr>
    </w:rPrDefault>
    <w:pPrDefault>
      <w:pPr>
        <w:suppressAutoHyphens/>
      </w:pPr>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qFormat/>
    <w:rsid w:val="00924F90"/>
    <w:rPr>
      <w:rFonts w:ascii="Times New Roman" w:eastAsiaTheme="minorEastAsia" w:hAnsi="Times New Roman"/>
      <w:sz w:val="24"/>
    </w:rPr>
  </w:style>
  <w:style w:type="paragraph" w:styleId="Nagwek1">
    <w:name w:val="heading 1"/>
    <w:basedOn w:val="Normalny"/>
    <w:next w:val="Normalny"/>
    <w:link w:val="Nagwek1Znak"/>
    <w:uiPriority w:val="99"/>
    <w:semiHidden/>
    <w:qFormat/>
    <w:rsid w:val="00924F9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qFormat/>
    <w:rsid w:val="00924F9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qFormat/>
    <w:rsid w:val="00924F9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qFormat/>
    <w:rsid w:val="00924F9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24F90"/>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qFormat/>
    <w:rsid w:val="00924F9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24F90"/>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924F90"/>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24F90"/>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basedOn w:val="Domylnaczcionkaakapitu"/>
    <w:link w:val="Tekstdymka"/>
    <w:uiPriority w:val="99"/>
    <w:semiHidden/>
    <w:qFormat/>
    <w:rsid w:val="00924F90"/>
    <w:rPr>
      <w:rFonts w:ascii="Tahoma" w:eastAsiaTheme="minorEastAsia" w:hAnsi="Tahoma" w:cs="Tahoma"/>
      <w:sz w:val="16"/>
      <w:szCs w:val="16"/>
    </w:rPr>
  </w:style>
  <w:style w:type="character" w:styleId="Tytuksiki">
    <w:name w:val="Book Title"/>
    <w:uiPriority w:val="99"/>
    <w:semiHidden/>
    <w:qFormat/>
    <w:rsid w:val="00924F90"/>
    <w:rPr>
      <w:i/>
      <w:iCs/>
      <w:smallCaps/>
      <w:spacing w:val="5"/>
    </w:rPr>
  </w:style>
  <w:style w:type="character" w:styleId="Pogrubienie">
    <w:name w:val="Strong"/>
    <w:uiPriority w:val="99"/>
    <w:semiHidden/>
    <w:qFormat/>
    <w:rsid w:val="00924F90"/>
    <w:rPr>
      <w:b/>
      <w:bCs/>
    </w:rPr>
  </w:style>
  <w:style w:type="character" w:customStyle="1" w:styleId="BezodstpwZnak">
    <w:name w:val="Bez odstępów Znak"/>
    <w:basedOn w:val="Domylnaczcionkaakapitu"/>
    <w:link w:val="Bezodstpw"/>
    <w:semiHidden/>
    <w:qFormat/>
    <w:rsid w:val="00924F90"/>
    <w:rPr>
      <w:rFonts w:eastAsiaTheme="minorEastAsia"/>
      <w:sz w:val="24"/>
    </w:rPr>
  </w:style>
  <w:style w:type="character" w:customStyle="1" w:styleId="TytuZnak">
    <w:name w:val="Tytuł Znak"/>
    <w:basedOn w:val="Domylnaczcionkaakapitu"/>
    <w:link w:val="Tytu"/>
    <w:uiPriority w:val="99"/>
    <w:semiHidden/>
    <w:qFormat/>
    <w:rsid w:val="00924F90"/>
    <w:rPr>
      <w:rFonts w:asciiTheme="majorHAnsi" w:eastAsiaTheme="majorEastAsia" w:hAnsiTheme="majorHAnsi" w:cstheme="majorBidi"/>
      <w:spacing w:val="5"/>
      <w:sz w:val="52"/>
      <w:szCs w:val="52"/>
      <w:lang w:bidi="en-US"/>
    </w:rPr>
  </w:style>
  <w:style w:type="character" w:customStyle="1" w:styleId="JUNAMES">
    <w:name w:val="JU_NAMES"/>
    <w:uiPriority w:val="34"/>
    <w:qFormat/>
    <w:rsid w:val="00924F90"/>
    <w:rPr>
      <w:smallCaps/>
    </w:rPr>
  </w:style>
  <w:style w:type="character" w:customStyle="1" w:styleId="JuITMark">
    <w:name w:val="Ju_ITMark"/>
    <w:basedOn w:val="Domylnaczcionkaakapitu"/>
    <w:uiPriority w:val="38"/>
    <w:qFormat/>
    <w:rsid w:val="00924F90"/>
    <w:rPr>
      <w:vanish w:val="0"/>
      <w:color w:val="000000"/>
      <w:sz w:val="14"/>
      <w:shd w:val="clear" w:color="auto" w:fill="BEE5FF"/>
    </w:rPr>
  </w:style>
  <w:style w:type="character" w:customStyle="1" w:styleId="NagwekZnak">
    <w:name w:val="Nagłówek Znak"/>
    <w:basedOn w:val="Domylnaczcionkaakapitu"/>
    <w:link w:val="Nagwek"/>
    <w:uiPriority w:val="57"/>
    <w:qFormat/>
    <w:rsid w:val="00924F90"/>
    <w:rPr>
      <w:sz w:val="24"/>
    </w:rPr>
  </w:style>
  <w:style w:type="character" w:customStyle="1" w:styleId="Nagwek1Znak">
    <w:name w:val="Nagłówek 1 Znak"/>
    <w:basedOn w:val="Domylnaczcionkaakapitu"/>
    <w:link w:val="Nagwek1"/>
    <w:uiPriority w:val="99"/>
    <w:semiHidden/>
    <w:qFormat/>
    <w:rsid w:val="00924F90"/>
    <w:rPr>
      <w:rFonts w:asciiTheme="majorHAnsi" w:eastAsiaTheme="majorEastAsia" w:hAnsiTheme="majorHAnsi" w:cstheme="majorBidi"/>
      <w:b/>
      <w:bCs/>
      <w:color w:val="333333"/>
      <w:sz w:val="28"/>
      <w:szCs w:val="28"/>
    </w:rPr>
  </w:style>
  <w:style w:type="character" w:customStyle="1" w:styleId="Nagwek2Znak">
    <w:name w:val="Nagłówek 2 Znak"/>
    <w:basedOn w:val="Domylnaczcionkaakapitu"/>
    <w:link w:val="Nagwek2"/>
    <w:uiPriority w:val="99"/>
    <w:semiHidden/>
    <w:qFormat/>
    <w:rsid w:val="00924F90"/>
    <w:rPr>
      <w:rFonts w:asciiTheme="majorHAnsi" w:eastAsiaTheme="majorEastAsia" w:hAnsiTheme="majorHAnsi" w:cstheme="majorBidi"/>
      <w:b/>
      <w:bCs/>
      <w:color w:val="4D4D4D"/>
      <w:sz w:val="26"/>
      <w:szCs w:val="26"/>
    </w:rPr>
  </w:style>
  <w:style w:type="character" w:customStyle="1" w:styleId="Nagwek3Znak">
    <w:name w:val="Nagłówek 3 Znak"/>
    <w:basedOn w:val="Domylnaczcionkaakapitu"/>
    <w:link w:val="Nagwek3"/>
    <w:uiPriority w:val="99"/>
    <w:semiHidden/>
    <w:qFormat/>
    <w:rsid w:val="00924F90"/>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qFormat/>
    <w:rsid w:val="00924F90"/>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qFormat/>
    <w:rsid w:val="00924F90"/>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924F90"/>
    <w:rPr>
      <w:i/>
      <w:iCs/>
    </w:rPr>
  </w:style>
  <w:style w:type="character" w:customStyle="1" w:styleId="Wyrnienie">
    <w:name w:val="Wyróżnienie"/>
    <w:uiPriority w:val="99"/>
    <w:semiHidden/>
    <w:qFormat/>
    <w:rsid w:val="00924F90"/>
    <w:rPr>
      <w:b/>
      <w:bCs/>
      <w:i/>
      <w:iCs/>
      <w:spacing w:val="10"/>
      <w:shd w:val="clear" w:color="auto" w:fill="auto"/>
    </w:rPr>
  </w:style>
  <w:style w:type="character" w:customStyle="1" w:styleId="StopkaZnak">
    <w:name w:val="Stopka Znak"/>
    <w:basedOn w:val="Domylnaczcionkaakapitu"/>
    <w:link w:val="Stopka"/>
    <w:uiPriority w:val="57"/>
    <w:semiHidden/>
    <w:qFormat/>
    <w:rsid w:val="00924F90"/>
    <w:rPr>
      <w:sz w:val="24"/>
    </w:rPr>
  </w:style>
  <w:style w:type="character" w:customStyle="1" w:styleId="Zakotwiczenieprzypisudolnego">
    <w:name w:val="Zakotwiczenie przypisu dolnego"/>
    <w:rPr>
      <w:vertAlign w:val="superscript"/>
    </w:rPr>
  </w:style>
  <w:style w:type="character" w:customStyle="1" w:styleId="FootnoteCharacters">
    <w:name w:val="Footnote Characters"/>
    <w:basedOn w:val="Domylnaczcionkaakapitu"/>
    <w:uiPriority w:val="99"/>
    <w:semiHidden/>
    <w:qFormat/>
    <w:rsid w:val="00924F90"/>
    <w:rPr>
      <w:vertAlign w:val="superscript"/>
    </w:rPr>
  </w:style>
  <w:style w:type="character" w:customStyle="1" w:styleId="TekstprzypisudolnegoZnak">
    <w:name w:val="Tekst przypisu dolnego Znak"/>
    <w:basedOn w:val="Domylnaczcionkaakapitu"/>
    <w:link w:val="Tekstprzypisudolnego"/>
    <w:uiPriority w:val="99"/>
    <w:semiHidden/>
    <w:qFormat/>
    <w:rsid w:val="00924F90"/>
    <w:rPr>
      <w:rFonts w:eastAsiaTheme="minorEastAsia"/>
      <w:sz w:val="20"/>
      <w:szCs w:val="20"/>
    </w:rPr>
  </w:style>
  <w:style w:type="character" w:customStyle="1" w:styleId="Nagwek6Znak">
    <w:name w:val="Nagłówek 6 Znak"/>
    <w:basedOn w:val="Domylnaczcionkaakapitu"/>
    <w:link w:val="Nagwek6"/>
    <w:uiPriority w:val="99"/>
    <w:semiHidden/>
    <w:qFormat/>
    <w:rsid w:val="00924F90"/>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qFormat/>
    <w:rsid w:val="00924F90"/>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qFormat/>
    <w:rsid w:val="00924F90"/>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qFormat/>
    <w:rsid w:val="00924F90"/>
    <w:rPr>
      <w:rFonts w:asciiTheme="majorHAnsi" w:eastAsiaTheme="majorEastAsia" w:hAnsiTheme="majorHAnsi" w:cstheme="majorBidi"/>
      <w:i/>
      <w:iCs/>
      <w:spacing w:val="5"/>
      <w:sz w:val="20"/>
      <w:szCs w:val="20"/>
      <w:lang w:bidi="en-US"/>
    </w:rPr>
  </w:style>
  <w:style w:type="character" w:customStyle="1" w:styleId="czeinternetowe">
    <w:name w:val="Łącze internetowe"/>
    <w:basedOn w:val="Domylnaczcionkaakapitu"/>
    <w:uiPriority w:val="99"/>
    <w:semiHidden/>
    <w:rsid w:val="00924F90"/>
    <w:rPr>
      <w:color w:val="0072BC" w:themeColor="hyperlink"/>
      <w:u w:val="single"/>
    </w:rPr>
  </w:style>
  <w:style w:type="character" w:styleId="Wyrnienieintensywne">
    <w:name w:val="Intense Emphasis"/>
    <w:uiPriority w:val="99"/>
    <w:semiHidden/>
    <w:qFormat/>
    <w:rsid w:val="00924F90"/>
    <w:rPr>
      <w:b/>
      <w:bCs/>
    </w:rPr>
  </w:style>
  <w:style w:type="character" w:customStyle="1" w:styleId="CytatintensywnyZnak">
    <w:name w:val="Cytat intensywny Znak"/>
    <w:basedOn w:val="Domylnaczcionkaakapitu"/>
    <w:link w:val="Cytatintensywny"/>
    <w:uiPriority w:val="99"/>
    <w:semiHidden/>
    <w:qFormat/>
    <w:rsid w:val="00924F90"/>
    <w:rPr>
      <w:rFonts w:eastAsiaTheme="minorEastAsia"/>
      <w:b/>
      <w:bCs/>
      <w:i/>
      <w:iCs/>
      <w:sz w:val="24"/>
      <w:lang w:bidi="en-US"/>
    </w:rPr>
  </w:style>
  <w:style w:type="character" w:styleId="Odwoanieintensywne">
    <w:name w:val="Intense Reference"/>
    <w:uiPriority w:val="99"/>
    <w:semiHidden/>
    <w:qFormat/>
    <w:rsid w:val="00924F90"/>
    <w:rPr>
      <w:smallCaps/>
      <w:spacing w:val="5"/>
      <w:u w:val="single"/>
    </w:rPr>
  </w:style>
  <w:style w:type="character" w:customStyle="1" w:styleId="CytatZnak">
    <w:name w:val="Cytat Znak"/>
    <w:basedOn w:val="Domylnaczcionkaakapitu"/>
    <w:link w:val="Cytat"/>
    <w:uiPriority w:val="99"/>
    <w:semiHidden/>
    <w:qFormat/>
    <w:rsid w:val="00924F90"/>
    <w:rPr>
      <w:rFonts w:eastAsiaTheme="minorEastAsia"/>
      <w:i/>
      <w:iCs/>
      <w:sz w:val="24"/>
      <w:lang w:bidi="en-US"/>
    </w:rPr>
  </w:style>
  <w:style w:type="character" w:styleId="Odwoaniedelikatne">
    <w:name w:val="Subtle Reference"/>
    <w:uiPriority w:val="99"/>
    <w:semiHidden/>
    <w:qFormat/>
    <w:rsid w:val="00924F90"/>
    <w:rPr>
      <w:smallCaps/>
    </w:rPr>
  </w:style>
  <w:style w:type="character" w:customStyle="1" w:styleId="PodtytuZnak">
    <w:name w:val="Podtytuł Znak"/>
    <w:basedOn w:val="Domylnaczcionkaakapitu"/>
    <w:link w:val="Podtytu"/>
    <w:uiPriority w:val="99"/>
    <w:semiHidden/>
    <w:qFormat/>
    <w:rsid w:val="00924F90"/>
    <w:rPr>
      <w:rFonts w:asciiTheme="majorHAnsi" w:eastAsiaTheme="majorEastAsia" w:hAnsiTheme="majorHAnsi" w:cstheme="majorBidi"/>
      <w:i/>
      <w:iCs/>
      <w:spacing w:val="13"/>
      <w:sz w:val="24"/>
      <w:szCs w:val="24"/>
      <w:lang w:bidi="en-US"/>
    </w:rPr>
  </w:style>
  <w:style w:type="character" w:customStyle="1" w:styleId="TekstpodstawowyZnak">
    <w:name w:val="Tekst podstawowy Znak"/>
    <w:basedOn w:val="Domylnaczcionkaakapitu"/>
    <w:link w:val="Tekstpodstawowy"/>
    <w:uiPriority w:val="99"/>
    <w:semiHidden/>
    <w:qFormat/>
    <w:rsid w:val="00924F90"/>
    <w:rPr>
      <w:rFonts w:eastAsiaTheme="minorEastAsia"/>
      <w:sz w:val="24"/>
    </w:rPr>
  </w:style>
  <w:style w:type="character" w:styleId="Numerstrony">
    <w:name w:val="page number"/>
    <w:uiPriority w:val="99"/>
    <w:semiHidden/>
    <w:qFormat/>
    <w:rsid w:val="00924F90"/>
    <w:rPr>
      <w:sz w:val="18"/>
    </w:rPr>
  </w:style>
  <w:style w:type="character" w:customStyle="1" w:styleId="Tekstpodstawowy2Znak">
    <w:name w:val="Tekst podstawowy 2 Znak"/>
    <w:basedOn w:val="Domylnaczcionkaakapitu"/>
    <w:link w:val="Tekstpodstawowy2"/>
    <w:uiPriority w:val="99"/>
    <w:semiHidden/>
    <w:qFormat/>
    <w:rsid w:val="00924F90"/>
    <w:rPr>
      <w:rFonts w:eastAsiaTheme="minorEastAsia"/>
      <w:sz w:val="24"/>
    </w:rPr>
  </w:style>
  <w:style w:type="character" w:customStyle="1" w:styleId="Tekstpodstawowy3Znak">
    <w:name w:val="Tekst podstawowy 3 Znak"/>
    <w:basedOn w:val="Domylnaczcionkaakapitu"/>
    <w:link w:val="Tekstpodstawowy3"/>
    <w:uiPriority w:val="99"/>
    <w:semiHidden/>
    <w:qFormat/>
    <w:rsid w:val="00924F90"/>
    <w:rPr>
      <w:rFonts w:eastAsiaTheme="minorEastAsia"/>
      <w:sz w:val="16"/>
      <w:szCs w:val="16"/>
    </w:rPr>
  </w:style>
  <w:style w:type="character" w:customStyle="1" w:styleId="TekstpodstawowyzwciciemZnak">
    <w:name w:val="Tekst podstawowy z wcięciem Znak"/>
    <w:basedOn w:val="TekstpodstawowyZnak"/>
    <w:uiPriority w:val="99"/>
    <w:semiHidden/>
    <w:qFormat/>
    <w:rsid w:val="00924F90"/>
    <w:rPr>
      <w:rFonts w:eastAsiaTheme="minorEastAsia"/>
      <w:sz w:val="24"/>
    </w:rPr>
  </w:style>
  <w:style w:type="character" w:customStyle="1" w:styleId="TekstpodstawowywcityZnak">
    <w:name w:val="Tekst podstawowy wcięty Znak"/>
    <w:basedOn w:val="Domylnaczcionkaakapitu"/>
    <w:link w:val="Tekstpodstawowywcity"/>
    <w:uiPriority w:val="99"/>
    <w:semiHidden/>
    <w:qFormat/>
    <w:rsid w:val="00924F90"/>
    <w:rPr>
      <w:rFonts w:eastAsiaTheme="minorEastAsia"/>
      <w:sz w:val="24"/>
    </w:rPr>
  </w:style>
  <w:style w:type="character" w:customStyle="1" w:styleId="Tekstpodstawowyzwciciem2Znak">
    <w:name w:val="Tekst podstawowy z wcięciem 2 Znak"/>
    <w:basedOn w:val="TekstpodstawowywcityZnak"/>
    <w:link w:val="Tekstpodstawowyzwciciem2"/>
    <w:uiPriority w:val="99"/>
    <w:semiHidden/>
    <w:qFormat/>
    <w:rsid w:val="00924F90"/>
    <w:rPr>
      <w:rFonts w:eastAsiaTheme="minorEastAsia"/>
      <w:sz w:val="24"/>
    </w:rPr>
  </w:style>
  <w:style w:type="character" w:customStyle="1" w:styleId="Tekstpodstawowywcity2Znak">
    <w:name w:val="Tekst podstawowy wcięty 2 Znak"/>
    <w:basedOn w:val="Domylnaczcionkaakapitu"/>
    <w:link w:val="Tekstpodstawowywcity2"/>
    <w:uiPriority w:val="99"/>
    <w:semiHidden/>
    <w:qFormat/>
    <w:rsid w:val="00924F90"/>
    <w:rPr>
      <w:rFonts w:eastAsiaTheme="minorEastAsia"/>
      <w:sz w:val="24"/>
    </w:rPr>
  </w:style>
  <w:style w:type="character" w:customStyle="1" w:styleId="Tekstpodstawowywcity3Znak">
    <w:name w:val="Tekst podstawowy wcięty 3 Znak"/>
    <w:basedOn w:val="Domylnaczcionkaakapitu"/>
    <w:link w:val="Tekstpodstawowywcity3"/>
    <w:uiPriority w:val="99"/>
    <w:semiHidden/>
    <w:qFormat/>
    <w:rsid w:val="00924F90"/>
    <w:rPr>
      <w:rFonts w:eastAsiaTheme="minorEastAsia"/>
      <w:sz w:val="16"/>
      <w:szCs w:val="16"/>
    </w:rPr>
  </w:style>
  <w:style w:type="character" w:customStyle="1" w:styleId="ZwrotpoegnalnyZnak">
    <w:name w:val="Zwrot pożegnalny Znak"/>
    <w:basedOn w:val="Domylnaczcionkaakapitu"/>
    <w:link w:val="Zwrotpoegnalny"/>
    <w:uiPriority w:val="99"/>
    <w:semiHidden/>
    <w:qFormat/>
    <w:rsid w:val="00924F90"/>
    <w:rPr>
      <w:rFonts w:eastAsiaTheme="minorEastAsia"/>
      <w:sz w:val="24"/>
    </w:rPr>
  </w:style>
  <w:style w:type="character" w:styleId="Odwoaniedokomentarza">
    <w:name w:val="annotation reference"/>
    <w:basedOn w:val="Domylnaczcionkaakapitu"/>
    <w:uiPriority w:val="99"/>
    <w:semiHidden/>
    <w:qFormat/>
    <w:rsid w:val="00924F90"/>
    <w:rPr>
      <w:sz w:val="16"/>
      <w:szCs w:val="16"/>
    </w:rPr>
  </w:style>
  <w:style w:type="character" w:customStyle="1" w:styleId="TekstkomentarzaZnak">
    <w:name w:val="Tekst komentarza Znak"/>
    <w:basedOn w:val="Domylnaczcionkaakapitu"/>
    <w:link w:val="Tekstkomentarza"/>
    <w:semiHidden/>
    <w:qFormat/>
    <w:rsid w:val="00924F90"/>
    <w:rPr>
      <w:rFonts w:eastAsiaTheme="minorEastAsia"/>
      <w:sz w:val="20"/>
      <w:szCs w:val="20"/>
    </w:rPr>
  </w:style>
  <w:style w:type="character" w:customStyle="1" w:styleId="TematkomentarzaZnak">
    <w:name w:val="Temat komentarza Znak"/>
    <w:basedOn w:val="TekstkomentarzaZnak"/>
    <w:link w:val="Tematkomentarza"/>
    <w:uiPriority w:val="99"/>
    <w:semiHidden/>
    <w:qFormat/>
    <w:rsid w:val="00924F90"/>
    <w:rPr>
      <w:rFonts w:eastAsiaTheme="minorEastAsia"/>
      <w:b/>
      <w:bCs/>
      <w:sz w:val="20"/>
      <w:szCs w:val="20"/>
    </w:rPr>
  </w:style>
  <w:style w:type="character" w:customStyle="1" w:styleId="DataZnak">
    <w:name w:val="Data Znak"/>
    <w:basedOn w:val="Domylnaczcionkaakapitu"/>
    <w:link w:val="Data"/>
    <w:uiPriority w:val="99"/>
    <w:semiHidden/>
    <w:qFormat/>
    <w:rsid w:val="00924F90"/>
    <w:rPr>
      <w:rFonts w:eastAsiaTheme="minorEastAsia"/>
      <w:sz w:val="24"/>
    </w:rPr>
  </w:style>
  <w:style w:type="character" w:customStyle="1" w:styleId="MapadokumentuZnak">
    <w:name w:val="Mapa dokumentu Znak"/>
    <w:basedOn w:val="Domylnaczcionkaakapitu"/>
    <w:link w:val="Mapadokumentu"/>
    <w:uiPriority w:val="99"/>
    <w:semiHidden/>
    <w:qFormat/>
    <w:rsid w:val="00924F90"/>
    <w:rPr>
      <w:rFonts w:ascii="Tahoma" w:eastAsiaTheme="minorEastAsia" w:hAnsi="Tahoma" w:cs="Tahoma"/>
      <w:sz w:val="16"/>
      <w:szCs w:val="16"/>
    </w:rPr>
  </w:style>
  <w:style w:type="character" w:customStyle="1" w:styleId="Podpise-mailZnak">
    <w:name w:val="Podpis e-mail Znak"/>
    <w:basedOn w:val="Domylnaczcionkaakapitu"/>
    <w:uiPriority w:val="99"/>
    <w:semiHidden/>
    <w:qFormat/>
    <w:rsid w:val="00924F90"/>
    <w:rPr>
      <w:rFonts w:eastAsiaTheme="minorEastAsia"/>
      <w:sz w:val="24"/>
    </w:rPr>
  </w:style>
  <w:style w:type="character" w:customStyle="1" w:styleId="Zakotwiczenieprzypisukocowego">
    <w:name w:val="Zakotwiczenie przypisu końcowego"/>
    <w:rPr>
      <w:vertAlign w:val="superscript"/>
    </w:rPr>
  </w:style>
  <w:style w:type="character" w:customStyle="1" w:styleId="EndnoteCharacters">
    <w:name w:val="Endnote Characters"/>
    <w:basedOn w:val="Domylnaczcionkaakapitu"/>
    <w:uiPriority w:val="99"/>
    <w:semiHidden/>
    <w:qFormat/>
    <w:rsid w:val="00924F90"/>
    <w:rPr>
      <w:vertAlign w:val="superscript"/>
    </w:rPr>
  </w:style>
  <w:style w:type="character" w:customStyle="1" w:styleId="TekstprzypisukocowegoZnak">
    <w:name w:val="Tekst przypisu końcowego Znak"/>
    <w:basedOn w:val="Domylnaczcionkaakapitu"/>
    <w:link w:val="Tekstprzypisukocowego"/>
    <w:uiPriority w:val="99"/>
    <w:semiHidden/>
    <w:qFormat/>
    <w:rsid w:val="00924F90"/>
    <w:rPr>
      <w:rFonts w:eastAsiaTheme="minorEastAsia"/>
      <w:sz w:val="20"/>
      <w:szCs w:val="20"/>
    </w:rPr>
  </w:style>
  <w:style w:type="character" w:customStyle="1" w:styleId="Odwiedzoneczeinternetowe">
    <w:name w:val="Odwiedzone łącze internetowe"/>
    <w:basedOn w:val="Domylnaczcionkaakapitu"/>
    <w:uiPriority w:val="99"/>
    <w:semiHidden/>
    <w:rsid w:val="00924F90"/>
    <w:rPr>
      <w:color w:val="7030A0" w:themeColor="followedHyperlink"/>
      <w:u w:val="single"/>
    </w:rPr>
  </w:style>
  <w:style w:type="character" w:styleId="HTML-akronim">
    <w:name w:val="HTML Acronym"/>
    <w:basedOn w:val="Domylnaczcionkaakapitu"/>
    <w:uiPriority w:val="99"/>
    <w:semiHidden/>
    <w:qFormat/>
    <w:rsid w:val="00924F90"/>
  </w:style>
  <w:style w:type="character" w:customStyle="1" w:styleId="HTML-adresZnak">
    <w:name w:val="HTML - adres Znak"/>
    <w:basedOn w:val="Domylnaczcionkaakapitu"/>
    <w:uiPriority w:val="99"/>
    <w:semiHidden/>
    <w:qFormat/>
    <w:rsid w:val="00924F90"/>
    <w:rPr>
      <w:rFonts w:eastAsiaTheme="minorEastAsia"/>
      <w:i/>
      <w:iCs/>
      <w:sz w:val="24"/>
    </w:rPr>
  </w:style>
  <w:style w:type="character" w:styleId="HTML-cytat">
    <w:name w:val="HTML Cite"/>
    <w:basedOn w:val="Domylnaczcionkaakapitu"/>
    <w:uiPriority w:val="99"/>
    <w:semiHidden/>
    <w:qFormat/>
    <w:rsid w:val="00924F90"/>
    <w:rPr>
      <w:i/>
      <w:iCs/>
    </w:rPr>
  </w:style>
  <w:style w:type="character" w:styleId="HTML-kod">
    <w:name w:val="HTML Code"/>
    <w:basedOn w:val="Domylnaczcionkaakapitu"/>
    <w:uiPriority w:val="99"/>
    <w:semiHidden/>
    <w:qFormat/>
    <w:rsid w:val="00924F90"/>
    <w:rPr>
      <w:rFonts w:ascii="Consolas" w:hAnsi="Consolas" w:cs="Consolas"/>
      <w:sz w:val="20"/>
      <w:szCs w:val="20"/>
    </w:rPr>
  </w:style>
  <w:style w:type="character" w:styleId="HTML-definicja">
    <w:name w:val="HTML Definition"/>
    <w:basedOn w:val="Domylnaczcionkaakapitu"/>
    <w:uiPriority w:val="99"/>
    <w:semiHidden/>
    <w:qFormat/>
    <w:rsid w:val="00924F90"/>
    <w:rPr>
      <w:i/>
      <w:iCs/>
    </w:rPr>
  </w:style>
  <w:style w:type="character" w:styleId="HTML-klawiatura">
    <w:name w:val="HTML Keyboard"/>
    <w:basedOn w:val="Domylnaczcionkaakapitu"/>
    <w:uiPriority w:val="99"/>
    <w:semiHidden/>
    <w:qFormat/>
    <w:rsid w:val="00924F90"/>
    <w:rPr>
      <w:rFonts w:ascii="Consolas" w:hAnsi="Consolas" w:cs="Consolas"/>
      <w:sz w:val="20"/>
      <w:szCs w:val="20"/>
    </w:rPr>
  </w:style>
  <w:style w:type="character" w:customStyle="1" w:styleId="HTML-wstpniesformatowanyZnak">
    <w:name w:val="HTML - wstępnie sformatowany Znak"/>
    <w:basedOn w:val="Domylnaczcionkaakapitu"/>
    <w:uiPriority w:val="99"/>
    <w:semiHidden/>
    <w:qFormat/>
    <w:rsid w:val="00924F90"/>
    <w:rPr>
      <w:rFonts w:ascii="Consolas" w:eastAsiaTheme="minorEastAsia" w:hAnsi="Consolas" w:cs="Consolas"/>
      <w:sz w:val="20"/>
      <w:szCs w:val="20"/>
    </w:rPr>
  </w:style>
  <w:style w:type="character" w:styleId="HTML-przykad">
    <w:name w:val="HTML Sample"/>
    <w:basedOn w:val="Domylnaczcionkaakapitu"/>
    <w:uiPriority w:val="99"/>
    <w:semiHidden/>
    <w:qFormat/>
    <w:rsid w:val="00924F90"/>
    <w:rPr>
      <w:rFonts w:ascii="Consolas" w:hAnsi="Consolas" w:cs="Consolas"/>
      <w:sz w:val="24"/>
      <w:szCs w:val="24"/>
    </w:rPr>
  </w:style>
  <w:style w:type="character" w:styleId="HTML-staaszeroko">
    <w:name w:val="HTML Typewriter"/>
    <w:basedOn w:val="Domylnaczcionkaakapitu"/>
    <w:uiPriority w:val="99"/>
    <w:semiHidden/>
    <w:qFormat/>
    <w:rsid w:val="00924F90"/>
    <w:rPr>
      <w:rFonts w:ascii="Consolas" w:hAnsi="Consolas" w:cs="Consolas"/>
      <w:sz w:val="20"/>
      <w:szCs w:val="20"/>
    </w:rPr>
  </w:style>
  <w:style w:type="character" w:styleId="HTML-zmienna">
    <w:name w:val="HTML Variable"/>
    <w:basedOn w:val="Domylnaczcionkaakapitu"/>
    <w:uiPriority w:val="99"/>
    <w:semiHidden/>
    <w:qFormat/>
    <w:rsid w:val="00924F90"/>
    <w:rPr>
      <w:i/>
      <w:iCs/>
    </w:rPr>
  </w:style>
  <w:style w:type="character" w:styleId="Numerwiersza">
    <w:name w:val="line number"/>
    <w:basedOn w:val="Domylnaczcionkaakapitu"/>
    <w:uiPriority w:val="99"/>
    <w:semiHidden/>
    <w:qFormat/>
    <w:rsid w:val="00924F90"/>
  </w:style>
  <w:style w:type="character" w:customStyle="1" w:styleId="TekstmakraZnak">
    <w:name w:val="Tekst makra Znak"/>
    <w:basedOn w:val="Domylnaczcionkaakapitu"/>
    <w:link w:val="Tekstmakra"/>
    <w:uiPriority w:val="99"/>
    <w:semiHidden/>
    <w:qFormat/>
    <w:rsid w:val="00924F90"/>
    <w:rPr>
      <w:rFonts w:ascii="Consolas" w:eastAsiaTheme="minorEastAsia" w:hAnsi="Consolas" w:cs="Consolas"/>
      <w:sz w:val="20"/>
      <w:szCs w:val="20"/>
    </w:rPr>
  </w:style>
  <w:style w:type="character" w:customStyle="1" w:styleId="NagwekwiadomociZnak">
    <w:name w:val="Nagłówek wiadomości Znak"/>
    <w:basedOn w:val="Domylnaczcionkaakapitu"/>
    <w:link w:val="Nagwekwiadomoci"/>
    <w:uiPriority w:val="99"/>
    <w:semiHidden/>
    <w:qFormat/>
    <w:rsid w:val="00924F90"/>
    <w:rPr>
      <w:rFonts w:asciiTheme="majorHAnsi" w:eastAsiaTheme="majorEastAsia" w:hAnsiTheme="majorHAnsi" w:cstheme="majorBidi"/>
      <w:sz w:val="24"/>
      <w:szCs w:val="24"/>
      <w:shd w:val="clear" w:color="auto" w:fill="CCCCCC"/>
    </w:rPr>
  </w:style>
  <w:style w:type="character" w:customStyle="1" w:styleId="NagweknotatkiZnak">
    <w:name w:val="Nagłówek notatki Znak"/>
    <w:basedOn w:val="Domylnaczcionkaakapitu"/>
    <w:link w:val="Nagweknotatki"/>
    <w:uiPriority w:val="99"/>
    <w:semiHidden/>
    <w:qFormat/>
    <w:rsid w:val="00924F90"/>
    <w:rPr>
      <w:rFonts w:eastAsiaTheme="minorEastAsia"/>
      <w:sz w:val="24"/>
    </w:rPr>
  </w:style>
  <w:style w:type="character" w:styleId="Tekstzastpczy">
    <w:name w:val="Placeholder Text"/>
    <w:basedOn w:val="Domylnaczcionkaakapitu"/>
    <w:uiPriority w:val="99"/>
    <w:semiHidden/>
    <w:qFormat/>
    <w:rsid w:val="00924F90"/>
    <w:rPr>
      <w:color w:val="000000"/>
      <w:shd w:val="clear" w:color="auto" w:fill="DFDFDF"/>
    </w:rPr>
  </w:style>
  <w:style w:type="character" w:customStyle="1" w:styleId="ZwykytekstZnak">
    <w:name w:val="Zwykły tekst Znak"/>
    <w:basedOn w:val="Domylnaczcionkaakapitu"/>
    <w:link w:val="Zwykytekst"/>
    <w:uiPriority w:val="99"/>
    <w:semiHidden/>
    <w:qFormat/>
    <w:rsid w:val="00924F90"/>
    <w:rPr>
      <w:rFonts w:ascii="Consolas" w:eastAsiaTheme="minorEastAsia" w:hAnsi="Consolas" w:cs="Consolas"/>
      <w:sz w:val="21"/>
      <w:szCs w:val="21"/>
    </w:rPr>
  </w:style>
  <w:style w:type="character" w:customStyle="1" w:styleId="ZwrotgrzecznociowyZnak">
    <w:name w:val="Zwrot grzecznościowy Znak"/>
    <w:basedOn w:val="Domylnaczcionkaakapitu"/>
    <w:link w:val="Zwrotgrzecznociowy"/>
    <w:uiPriority w:val="99"/>
    <w:semiHidden/>
    <w:qFormat/>
    <w:rsid w:val="00924F90"/>
    <w:rPr>
      <w:rFonts w:eastAsiaTheme="minorEastAsia"/>
      <w:sz w:val="24"/>
    </w:rPr>
  </w:style>
  <w:style w:type="character" w:customStyle="1" w:styleId="LegendaZnak">
    <w:name w:val="Legenda Znak"/>
    <w:basedOn w:val="Domylnaczcionkaakapitu"/>
    <w:link w:val="Legenda"/>
    <w:uiPriority w:val="99"/>
    <w:semiHidden/>
    <w:qFormat/>
    <w:rsid w:val="00924F90"/>
    <w:rPr>
      <w:rFonts w:eastAsiaTheme="minorEastAsia"/>
      <w:sz w:val="24"/>
    </w:rPr>
  </w:style>
  <w:style w:type="character" w:customStyle="1" w:styleId="JuParaChar">
    <w:name w:val="Ju_Para Char"/>
    <w:link w:val="JuPara"/>
    <w:uiPriority w:val="8"/>
    <w:qFormat/>
    <w:rsid w:val="005C1354"/>
    <w:rPr>
      <w:rFonts w:eastAsiaTheme="minorEastAsia"/>
      <w:sz w:val="24"/>
    </w:rPr>
  </w:style>
  <w:style w:type="character" w:customStyle="1" w:styleId="JuNames0">
    <w:name w:val="Ju_Names"/>
    <w:qFormat/>
    <w:rsid w:val="005C1354"/>
    <w:rPr>
      <w:smallCaps/>
    </w:rPr>
  </w:style>
  <w:style w:type="character" w:customStyle="1" w:styleId="JuParaCar">
    <w:name w:val="Ju_Para Car"/>
    <w:basedOn w:val="Domylnaczcionkaakapitu"/>
    <w:qFormat/>
    <w:rsid w:val="005C1354"/>
    <w:rPr>
      <w:sz w:val="24"/>
      <w:lang w:eastAsia="fr-FR" w:bidi="ar-SA"/>
    </w:rPr>
  </w:style>
  <w:style w:type="character" w:customStyle="1" w:styleId="JuHIRomanChar">
    <w:name w:val="Ju_H_I_Roman Char"/>
    <w:link w:val="JuHIRoman"/>
    <w:uiPriority w:val="19"/>
    <w:qFormat/>
    <w:rsid w:val="00783843"/>
    <w:rPr>
      <w:rFonts w:eastAsiaTheme="minorEastAsia"/>
      <w:caps/>
      <w:sz w:val="24"/>
    </w:rPr>
  </w:style>
  <w:style w:type="character" w:customStyle="1" w:styleId="JuJudgesChar">
    <w:name w:val="Ju_Judges Char"/>
    <w:link w:val="JuJudges"/>
    <w:uiPriority w:val="31"/>
    <w:qFormat/>
    <w:rsid w:val="00783843"/>
    <w:rPr>
      <w:rFonts w:eastAsiaTheme="minorEastAsia"/>
      <w:sz w:val="24"/>
    </w:rPr>
  </w:style>
  <w:style w:type="character" w:customStyle="1" w:styleId="Znakiprzypiswdolnych">
    <w:name w:val="Znaki przypisów dolnych"/>
    <w:qFormat/>
  </w:style>
  <w:style w:type="paragraph" w:styleId="Nagwek">
    <w:name w:val="header"/>
    <w:basedOn w:val="Normalny"/>
    <w:next w:val="Tekstpodstawowy"/>
    <w:link w:val="NagwekZnak"/>
    <w:uiPriority w:val="57"/>
    <w:semiHidden/>
    <w:rsid w:val="00924F90"/>
    <w:pPr>
      <w:tabs>
        <w:tab w:val="center" w:pos="4536"/>
        <w:tab w:val="right" w:pos="9072"/>
      </w:tabs>
    </w:pPr>
    <w:rPr>
      <w:rFonts w:eastAsiaTheme="minorHAnsi"/>
    </w:rPr>
  </w:style>
  <w:style w:type="paragraph" w:styleId="Tekstpodstawowy">
    <w:name w:val="Body Text"/>
    <w:basedOn w:val="Normalny"/>
    <w:link w:val="TekstpodstawowyZnak"/>
    <w:uiPriority w:val="99"/>
    <w:semiHidden/>
    <w:rsid w:val="00924F90"/>
    <w:pPr>
      <w:spacing w:after="120"/>
    </w:pPr>
  </w:style>
  <w:style w:type="paragraph" w:styleId="Lista">
    <w:name w:val="List"/>
    <w:basedOn w:val="Normalny"/>
    <w:uiPriority w:val="99"/>
    <w:semiHidden/>
    <w:rsid w:val="00924F90"/>
    <w:pPr>
      <w:ind w:left="283" w:hanging="283"/>
      <w:contextualSpacing/>
    </w:pPr>
  </w:style>
  <w:style w:type="paragraph" w:styleId="Legenda">
    <w:name w:val="caption"/>
    <w:basedOn w:val="Normalny"/>
    <w:next w:val="Normalny"/>
    <w:link w:val="LegendaZnak"/>
    <w:uiPriority w:val="99"/>
    <w:semiHidden/>
    <w:qFormat/>
    <w:rsid w:val="00924F90"/>
    <w:pPr>
      <w:spacing w:after="200"/>
    </w:pPr>
    <w:rPr>
      <w:b/>
      <w:bCs/>
      <w:color w:val="0072BC" w:themeColor="accent1"/>
      <w:sz w:val="18"/>
      <w:szCs w:val="18"/>
    </w:rPr>
  </w:style>
  <w:style w:type="paragraph" w:customStyle="1" w:styleId="Indeks">
    <w:name w:val="Indeks"/>
    <w:basedOn w:val="Normalny"/>
    <w:qFormat/>
    <w:pPr>
      <w:suppressLineNumbers/>
    </w:pPr>
    <w:rPr>
      <w:rFonts w:cs="Lucida Sans"/>
    </w:rPr>
  </w:style>
  <w:style w:type="paragraph" w:styleId="Tekstdymka">
    <w:name w:val="Balloon Text"/>
    <w:basedOn w:val="Normalny"/>
    <w:link w:val="TekstdymkaZnak"/>
    <w:uiPriority w:val="99"/>
    <w:semiHidden/>
    <w:qFormat/>
    <w:rsid w:val="00924F90"/>
    <w:rPr>
      <w:rFonts w:ascii="Tahoma" w:hAnsi="Tahoma" w:cs="Tahoma"/>
      <w:sz w:val="16"/>
      <w:szCs w:val="16"/>
    </w:rPr>
  </w:style>
  <w:style w:type="paragraph" w:customStyle="1" w:styleId="JuHeader">
    <w:name w:val="Ju_Header"/>
    <w:basedOn w:val="Nagwek"/>
    <w:uiPriority w:val="29"/>
    <w:qFormat/>
    <w:rsid w:val="00924F90"/>
    <w:pPr>
      <w:tabs>
        <w:tab w:val="clear" w:pos="4536"/>
        <w:tab w:val="clear" w:pos="9072"/>
        <w:tab w:val="center" w:pos="3686"/>
        <w:tab w:val="right" w:pos="7371"/>
      </w:tabs>
    </w:pPr>
    <w:rPr>
      <w:sz w:val="18"/>
    </w:rPr>
  </w:style>
  <w:style w:type="paragraph" w:customStyle="1" w:styleId="Gwkaistopka">
    <w:name w:val="Główka i stopka"/>
    <w:basedOn w:val="Normalny"/>
    <w:qFormat/>
  </w:style>
  <w:style w:type="paragraph" w:customStyle="1" w:styleId="DecList">
    <w:name w:val="Dec_List"/>
    <w:basedOn w:val="Normalny"/>
    <w:uiPriority w:val="22"/>
    <w:qFormat/>
    <w:rsid w:val="00924F90"/>
    <w:pPr>
      <w:spacing w:before="280" w:after="60"/>
      <w:ind w:left="340"/>
    </w:pPr>
    <w:rPr>
      <w:rFonts w:eastAsiaTheme="minorHAnsi"/>
    </w:rPr>
  </w:style>
  <w:style w:type="paragraph" w:styleId="Bezodstpw">
    <w:name w:val="No Spacing"/>
    <w:basedOn w:val="Normalny"/>
    <w:link w:val="BezodstpwZnak"/>
    <w:semiHidden/>
    <w:qFormat/>
    <w:rsid w:val="00924F90"/>
  </w:style>
  <w:style w:type="paragraph" w:customStyle="1" w:styleId="JuQuot">
    <w:name w:val="Ju_Quot"/>
    <w:basedOn w:val="NormalJustified"/>
    <w:uiPriority w:val="14"/>
    <w:qFormat/>
    <w:rsid w:val="00924F90"/>
    <w:pPr>
      <w:spacing w:before="120" w:after="120"/>
      <w:ind w:left="425" w:firstLine="142"/>
    </w:pPr>
    <w:rPr>
      <w:sz w:val="20"/>
    </w:rPr>
  </w:style>
  <w:style w:type="paragraph" w:customStyle="1" w:styleId="Title4">
    <w:name w:val="_Title_4"/>
    <w:basedOn w:val="JuPara"/>
    <w:next w:val="JuPara"/>
    <w:uiPriority w:val="35"/>
    <w:qFormat/>
    <w:rsid w:val="00924F90"/>
    <w:pPr>
      <w:keepNext/>
      <w:keepLines/>
      <w:tabs>
        <w:tab w:val="right" w:pos="7938"/>
      </w:tabs>
      <w:ind w:firstLine="0"/>
      <w:jc w:val="center"/>
    </w:pPr>
    <w:rPr>
      <w:rFonts w:eastAsiaTheme="minorHAnsi"/>
      <w:i/>
    </w:rPr>
  </w:style>
  <w:style w:type="paragraph" w:customStyle="1" w:styleId="NormalJustified">
    <w:name w:val="Normal_Justified"/>
    <w:basedOn w:val="Normalny"/>
    <w:semiHidden/>
    <w:qFormat/>
    <w:rsid w:val="00924F90"/>
    <w:pPr>
      <w:jc w:val="both"/>
    </w:pPr>
  </w:style>
  <w:style w:type="paragraph" w:customStyle="1" w:styleId="JuHArticle">
    <w:name w:val="Ju_H_Article"/>
    <w:basedOn w:val="Normalny"/>
    <w:next w:val="JuQuot"/>
    <w:uiPriority w:val="20"/>
    <w:qFormat/>
    <w:rsid w:val="00924F90"/>
    <w:pPr>
      <w:keepNext/>
      <w:spacing w:beforeAutospacing="1" w:after="120"/>
      <w:contextualSpacing/>
      <w:jc w:val="center"/>
    </w:pPr>
    <w:rPr>
      <w:rFonts w:eastAsiaTheme="minorHAnsi"/>
      <w:b/>
      <w:sz w:val="20"/>
    </w:rPr>
  </w:style>
  <w:style w:type="paragraph" w:customStyle="1" w:styleId="Footer">
    <w:name w:val="_Footer"/>
    <w:basedOn w:val="Stopka"/>
    <w:uiPriority w:val="57"/>
    <w:semiHidden/>
    <w:qFormat/>
    <w:rsid w:val="00924F90"/>
    <w:rPr>
      <w:sz w:val="8"/>
    </w:rPr>
  </w:style>
  <w:style w:type="paragraph" w:styleId="Stopka">
    <w:name w:val="footer"/>
    <w:basedOn w:val="Normalny"/>
    <w:link w:val="StopkaZnak"/>
    <w:uiPriority w:val="57"/>
    <w:semiHidden/>
    <w:rsid w:val="00924F90"/>
    <w:pPr>
      <w:tabs>
        <w:tab w:val="center" w:pos="4536"/>
        <w:tab w:val="right" w:pos="9696"/>
      </w:tabs>
      <w:ind w:left="-680" w:right="-680"/>
    </w:pPr>
    <w:rPr>
      <w:rFonts w:eastAsiaTheme="minorHAnsi"/>
    </w:rPr>
  </w:style>
  <w:style w:type="paragraph" w:customStyle="1" w:styleId="JuHHead">
    <w:name w:val="Ju_H_Head"/>
    <w:basedOn w:val="Normalny"/>
    <w:next w:val="JuPara"/>
    <w:uiPriority w:val="19"/>
    <w:qFormat/>
    <w:rsid w:val="00924F90"/>
    <w:pPr>
      <w:keepNext/>
      <w:keepLines/>
      <w:spacing w:beforeAutospacing="1" w:after="240"/>
      <w:jc w:val="both"/>
      <w:outlineLvl w:val="0"/>
    </w:pPr>
    <w:rPr>
      <w:caps/>
      <w:sz w:val="28"/>
    </w:rPr>
  </w:style>
  <w:style w:type="paragraph" w:customStyle="1" w:styleId="JuInitialled">
    <w:name w:val="Ju_Initialled"/>
    <w:basedOn w:val="Normalny"/>
    <w:uiPriority w:val="30"/>
    <w:qFormat/>
    <w:rsid w:val="00924F90"/>
    <w:pPr>
      <w:tabs>
        <w:tab w:val="center" w:pos="6407"/>
      </w:tabs>
      <w:spacing w:before="720"/>
      <w:jc w:val="right"/>
    </w:pPr>
  </w:style>
  <w:style w:type="paragraph" w:customStyle="1" w:styleId="JuSigned">
    <w:name w:val="Ju_Signed"/>
    <w:basedOn w:val="Normalny"/>
    <w:next w:val="JuPara"/>
    <w:uiPriority w:val="30"/>
    <w:qFormat/>
    <w:rsid w:val="00924F90"/>
    <w:pPr>
      <w:tabs>
        <w:tab w:val="center" w:pos="851"/>
        <w:tab w:val="center" w:pos="6407"/>
      </w:tabs>
      <w:spacing w:before="720"/>
    </w:pPr>
  </w:style>
  <w:style w:type="paragraph" w:styleId="Tytu">
    <w:name w:val="Title"/>
    <w:basedOn w:val="Normalny"/>
    <w:next w:val="Normalny"/>
    <w:link w:val="TytuZnak"/>
    <w:uiPriority w:val="99"/>
    <w:semiHidden/>
    <w:qFormat/>
    <w:rsid w:val="00924F90"/>
    <w:pPr>
      <w:pBdr>
        <w:bottom w:val="single" w:sz="4" w:space="1" w:color="000000"/>
      </w:pBdr>
      <w:contextualSpacing/>
    </w:pPr>
    <w:rPr>
      <w:rFonts w:asciiTheme="majorHAnsi" w:eastAsiaTheme="majorEastAsia" w:hAnsiTheme="majorHAnsi" w:cstheme="majorBidi"/>
      <w:spacing w:val="5"/>
      <w:sz w:val="52"/>
      <w:szCs w:val="52"/>
      <w:lang w:bidi="en-US"/>
    </w:rPr>
  </w:style>
  <w:style w:type="paragraph" w:customStyle="1" w:styleId="JuCourt">
    <w:name w:val="Ju_Court"/>
    <w:basedOn w:val="Normalny"/>
    <w:next w:val="Normalny"/>
    <w:uiPriority w:val="31"/>
    <w:qFormat/>
    <w:rsid w:val="00924F90"/>
    <w:pPr>
      <w:tabs>
        <w:tab w:val="left" w:pos="907"/>
        <w:tab w:val="left" w:pos="1701"/>
        <w:tab w:val="right" w:pos="7371"/>
      </w:tabs>
      <w:spacing w:before="240"/>
      <w:ind w:left="397" w:hanging="397"/>
    </w:pPr>
    <w:rPr>
      <w:lang w:bidi="en-US"/>
    </w:rPr>
  </w:style>
  <w:style w:type="paragraph" w:customStyle="1" w:styleId="JuHIRoman">
    <w:name w:val="Ju_H_I_Roman"/>
    <w:basedOn w:val="Normalny"/>
    <w:next w:val="JuPara"/>
    <w:link w:val="JuHIRomanChar"/>
    <w:uiPriority w:val="19"/>
    <w:qFormat/>
    <w:rsid w:val="00924F90"/>
    <w:pPr>
      <w:keepNext/>
      <w:keepLines/>
      <w:spacing w:beforeAutospacing="1" w:after="240"/>
      <w:jc w:val="both"/>
      <w:outlineLvl w:val="1"/>
    </w:pPr>
    <w:rPr>
      <w:caps/>
    </w:rPr>
  </w:style>
  <w:style w:type="paragraph" w:customStyle="1" w:styleId="JuHA">
    <w:name w:val="Ju_H_A"/>
    <w:basedOn w:val="Normalny"/>
    <w:next w:val="JuPara"/>
    <w:uiPriority w:val="19"/>
    <w:qFormat/>
    <w:rsid w:val="00924F90"/>
    <w:pPr>
      <w:keepNext/>
      <w:keepLines/>
      <w:spacing w:beforeAutospacing="1" w:after="240"/>
      <w:jc w:val="both"/>
      <w:outlineLvl w:val="2"/>
    </w:pPr>
    <w:rPr>
      <w:b/>
    </w:rPr>
  </w:style>
  <w:style w:type="paragraph" w:customStyle="1" w:styleId="JuH1">
    <w:name w:val="Ju_H_1."/>
    <w:basedOn w:val="Normalny"/>
    <w:next w:val="JuPara"/>
    <w:uiPriority w:val="19"/>
    <w:qFormat/>
    <w:rsid w:val="00924F90"/>
    <w:pPr>
      <w:keepNext/>
      <w:keepLines/>
      <w:spacing w:beforeAutospacing="1" w:after="120"/>
      <w:jc w:val="both"/>
      <w:outlineLvl w:val="3"/>
    </w:pPr>
    <w:rPr>
      <w:i/>
    </w:rPr>
  </w:style>
  <w:style w:type="paragraph" w:customStyle="1" w:styleId="JuHa0">
    <w:name w:val="Ju_H_a"/>
    <w:basedOn w:val="Normalny"/>
    <w:next w:val="JuPara"/>
    <w:uiPriority w:val="19"/>
    <w:qFormat/>
    <w:rsid w:val="00924F90"/>
    <w:pPr>
      <w:keepNext/>
      <w:keepLines/>
      <w:spacing w:beforeAutospacing="1" w:after="120"/>
      <w:jc w:val="both"/>
      <w:outlineLvl w:val="4"/>
    </w:pPr>
    <w:rPr>
      <w:b/>
      <w:sz w:val="20"/>
    </w:rPr>
  </w:style>
  <w:style w:type="paragraph" w:customStyle="1" w:styleId="JuHi">
    <w:name w:val="Ju_H_i"/>
    <w:basedOn w:val="Normalny"/>
    <w:next w:val="JuPara"/>
    <w:uiPriority w:val="19"/>
    <w:qFormat/>
    <w:rsid w:val="00924F90"/>
    <w:pPr>
      <w:keepNext/>
      <w:keepLines/>
      <w:spacing w:beforeAutospacing="1" w:after="120"/>
      <w:jc w:val="both"/>
      <w:outlineLvl w:val="5"/>
    </w:pPr>
    <w:rPr>
      <w:i/>
      <w:sz w:val="20"/>
    </w:rPr>
  </w:style>
  <w:style w:type="paragraph" w:customStyle="1" w:styleId="JuHalpha">
    <w:name w:val="Ju_H_alpha"/>
    <w:basedOn w:val="Normalny"/>
    <w:next w:val="JuPara"/>
    <w:uiPriority w:val="19"/>
    <w:qFormat/>
    <w:rsid w:val="00924F90"/>
    <w:pPr>
      <w:keepNext/>
      <w:keepLines/>
      <w:spacing w:beforeAutospacing="1" w:after="120"/>
      <w:jc w:val="both"/>
      <w:outlineLvl w:val="6"/>
    </w:pPr>
    <w:rPr>
      <w:sz w:val="20"/>
    </w:rPr>
  </w:style>
  <w:style w:type="paragraph" w:customStyle="1" w:styleId="JuH">
    <w:name w:val="Ju_H_–"/>
    <w:basedOn w:val="Normalny"/>
    <w:next w:val="JuPara"/>
    <w:uiPriority w:val="19"/>
    <w:qFormat/>
    <w:rsid w:val="00924F90"/>
    <w:pPr>
      <w:keepNext/>
      <w:keepLines/>
      <w:spacing w:beforeAutospacing="1" w:after="120"/>
      <w:outlineLvl w:val="7"/>
    </w:pPr>
    <w:rPr>
      <w:i/>
      <w:sz w:val="20"/>
    </w:rPr>
  </w:style>
  <w:style w:type="paragraph" w:customStyle="1" w:styleId="JuParaLast">
    <w:name w:val="Ju_Para_Last"/>
    <w:basedOn w:val="NormalJustified"/>
    <w:uiPriority w:val="9"/>
    <w:qFormat/>
    <w:rsid w:val="00924F90"/>
    <w:pPr>
      <w:keepNext/>
      <w:keepLines/>
      <w:spacing w:before="240" w:after="240"/>
      <w:ind w:firstLine="284"/>
    </w:pPr>
    <w:rPr>
      <w:rFonts w:eastAsiaTheme="minorHAnsi"/>
    </w:rPr>
  </w:style>
  <w:style w:type="paragraph" w:customStyle="1" w:styleId="JuJudges">
    <w:name w:val="Ju_Judges"/>
    <w:basedOn w:val="Normalny"/>
    <w:link w:val="JuJudgesChar"/>
    <w:uiPriority w:val="31"/>
    <w:qFormat/>
    <w:rsid w:val="00924F90"/>
    <w:pPr>
      <w:tabs>
        <w:tab w:val="left" w:pos="567"/>
        <w:tab w:val="left" w:pos="1134"/>
      </w:tabs>
    </w:pPr>
  </w:style>
  <w:style w:type="paragraph" w:customStyle="1" w:styleId="JuList">
    <w:name w:val="Ju_List"/>
    <w:basedOn w:val="NormalJustified"/>
    <w:uiPriority w:val="23"/>
    <w:qFormat/>
    <w:rsid w:val="00924F90"/>
    <w:pPr>
      <w:spacing w:before="280" w:after="60"/>
    </w:pPr>
    <w:rPr>
      <w:rFonts w:eastAsiaTheme="minorHAnsi"/>
    </w:rPr>
  </w:style>
  <w:style w:type="paragraph" w:customStyle="1" w:styleId="JuLista">
    <w:name w:val="Ju_List_a"/>
    <w:basedOn w:val="NormalJustified"/>
    <w:uiPriority w:val="23"/>
    <w:qFormat/>
    <w:rsid w:val="00924F90"/>
  </w:style>
  <w:style w:type="paragraph" w:customStyle="1" w:styleId="JuListi">
    <w:name w:val="Ju_List_i"/>
    <w:basedOn w:val="NormalJustified"/>
    <w:uiPriority w:val="23"/>
    <w:qFormat/>
    <w:rsid w:val="00924F90"/>
  </w:style>
  <w:style w:type="paragraph" w:styleId="Tekstprzypisudolnego">
    <w:name w:val="footnote text"/>
    <w:basedOn w:val="Normalny"/>
    <w:link w:val="TekstprzypisudolnegoZnak"/>
    <w:uiPriority w:val="99"/>
    <w:semiHidden/>
    <w:rsid w:val="00924F90"/>
    <w:rPr>
      <w:sz w:val="20"/>
      <w:szCs w:val="20"/>
    </w:rPr>
  </w:style>
  <w:style w:type="paragraph" w:styleId="Cytatintensywny">
    <w:name w:val="Intense Quote"/>
    <w:basedOn w:val="Normalny"/>
    <w:next w:val="Normalny"/>
    <w:link w:val="CytatintensywnyZnak"/>
    <w:uiPriority w:val="99"/>
    <w:semiHidden/>
    <w:qFormat/>
    <w:rsid w:val="00924F90"/>
    <w:pPr>
      <w:pBdr>
        <w:bottom w:val="single" w:sz="4" w:space="1" w:color="000000"/>
      </w:pBdr>
      <w:spacing w:before="200" w:after="280"/>
      <w:ind w:left="1008" w:right="1152"/>
    </w:pPr>
    <w:rPr>
      <w:b/>
      <w:bCs/>
      <w:i/>
      <w:iCs/>
      <w:lang w:bidi="en-US"/>
    </w:rPr>
  </w:style>
  <w:style w:type="paragraph" w:styleId="Akapitzlist">
    <w:name w:val="List Paragraph"/>
    <w:basedOn w:val="Normalny"/>
    <w:uiPriority w:val="99"/>
    <w:semiHidden/>
    <w:qFormat/>
    <w:rsid w:val="00924F90"/>
    <w:pPr>
      <w:ind w:left="720"/>
      <w:contextualSpacing/>
    </w:pPr>
  </w:style>
  <w:style w:type="paragraph" w:styleId="Cytat">
    <w:name w:val="Quote"/>
    <w:basedOn w:val="Normalny"/>
    <w:next w:val="Normalny"/>
    <w:link w:val="CytatZnak"/>
    <w:uiPriority w:val="99"/>
    <w:semiHidden/>
    <w:qFormat/>
    <w:rsid w:val="00924F90"/>
    <w:pPr>
      <w:spacing w:before="200"/>
      <w:ind w:left="360" w:right="360"/>
    </w:pPr>
    <w:rPr>
      <w:i/>
      <w:iCs/>
      <w:lang w:bidi="en-US"/>
    </w:rPr>
  </w:style>
  <w:style w:type="paragraph" w:styleId="Spistreci1">
    <w:name w:val="toc 1"/>
    <w:basedOn w:val="Normalny"/>
    <w:next w:val="Normalny"/>
    <w:autoRedefine/>
    <w:uiPriority w:val="99"/>
    <w:semiHidden/>
    <w:rsid w:val="00924F9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924F9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924F9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924F90"/>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924F90"/>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924F90"/>
    <w:pPr>
      <w:keepNext/>
      <w:keepLines/>
      <w:spacing w:before="240"/>
      <w:contextualSpacing/>
      <w:jc w:val="center"/>
    </w:pPr>
    <w:rPr>
      <w:rFonts w:asciiTheme="majorHAnsi" w:eastAsiaTheme="minorHAnsi" w:hAnsiTheme="majorHAnsi"/>
      <w:b/>
      <w:color w:val="474747" w:themeColor="accent3" w:themeShade="BF"/>
      <w:sz w:val="28"/>
    </w:rPr>
  </w:style>
  <w:style w:type="paragraph" w:styleId="Nagwekwykazurde">
    <w:name w:val="toa heading"/>
    <w:basedOn w:val="Normalny"/>
    <w:next w:val="Normalny"/>
    <w:uiPriority w:val="99"/>
    <w:semiHidden/>
    <w:qFormat/>
    <w:rsid w:val="00924F9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924F90"/>
    <w:pPr>
      <w:spacing w:after="600"/>
    </w:pPr>
    <w:rPr>
      <w:rFonts w:asciiTheme="majorHAnsi" w:eastAsiaTheme="majorEastAsia" w:hAnsiTheme="majorHAnsi" w:cstheme="majorBidi"/>
      <w:i/>
      <w:iCs/>
      <w:spacing w:val="13"/>
      <w:szCs w:val="24"/>
      <w:lang w:bidi="en-US"/>
    </w:rPr>
  </w:style>
  <w:style w:type="paragraph" w:customStyle="1" w:styleId="JuPara">
    <w:name w:val="Ju_Para"/>
    <w:basedOn w:val="NormalJustified"/>
    <w:link w:val="JuParaChar"/>
    <w:uiPriority w:val="8"/>
    <w:qFormat/>
    <w:rsid w:val="00924F90"/>
    <w:pPr>
      <w:ind w:firstLine="284"/>
    </w:pPr>
  </w:style>
  <w:style w:type="paragraph" w:styleId="Bibliografia">
    <w:name w:val="Bibliography"/>
    <w:basedOn w:val="Normalny"/>
    <w:next w:val="Normalny"/>
    <w:uiPriority w:val="99"/>
    <w:semiHidden/>
    <w:qFormat/>
    <w:rsid w:val="00924F90"/>
  </w:style>
  <w:style w:type="paragraph" w:styleId="Tekstblokowy">
    <w:name w:val="Block Text"/>
    <w:basedOn w:val="Normalny"/>
    <w:uiPriority w:val="99"/>
    <w:semiHidden/>
    <w:qFormat/>
    <w:rsid w:val="00924F90"/>
    <w:pPr>
      <w:pBdr>
        <w:top w:val="single" w:sz="2" w:space="10" w:color="0072BC" w:shadow="1"/>
        <w:left w:val="single" w:sz="2" w:space="10" w:color="0072BC" w:shadow="1"/>
        <w:bottom w:val="single" w:sz="2" w:space="10" w:color="0072BC" w:shadow="1"/>
        <w:right w:val="single" w:sz="2" w:space="10" w:color="0072BC" w:shadow="1"/>
      </w:pBdr>
      <w:ind w:left="1152" w:right="1152"/>
    </w:pPr>
    <w:rPr>
      <w:i/>
      <w:iCs/>
      <w:color w:val="0072BC" w:themeColor="accent1"/>
    </w:rPr>
  </w:style>
  <w:style w:type="paragraph" w:styleId="Tekstpodstawowy2">
    <w:name w:val="Body Text 2"/>
    <w:basedOn w:val="Normalny"/>
    <w:link w:val="Tekstpodstawowy2Znak"/>
    <w:uiPriority w:val="99"/>
    <w:semiHidden/>
    <w:qFormat/>
    <w:rsid w:val="00924F90"/>
    <w:pPr>
      <w:spacing w:after="120" w:line="480" w:lineRule="auto"/>
    </w:pPr>
  </w:style>
  <w:style w:type="paragraph" w:customStyle="1" w:styleId="JuCase">
    <w:name w:val="Ju_Case"/>
    <w:basedOn w:val="Normalny"/>
    <w:next w:val="JuPara"/>
    <w:uiPriority w:val="31"/>
    <w:qFormat/>
    <w:rsid w:val="00924F90"/>
    <w:pPr>
      <w:ind w:firstLine="284"/>
    </w:pPr>
    <w:rPr>
      <w:b/>
    </w:rPr>
  </w:style>
  <w:style w:type="paragraph" w:styleId="Listapunktowana">
    <w:name w:val="List Bullet"/>
    <w:basedOn w:val="Normalny"/>
    <w:uiPriority w:val="99"/>
    <w:semiHidden/>
    <w:qFormat/>
    <w:rsid w:val="00924F90"/>
  </w:style>
  <w:style w:type="paragraph" w:styleId="Tekstpodstawowy3">
    <w:name w:val="Body Text 3"/>
    <w:basedOn w:val="Normalny"/>
    <w:link w:val="Tekstpodstawowy3Znak"/>
    <w:uiPriority w:val="99"/>
    <w:semiHidden/>
    <w:qFormat/>
    <w:rsid w:val="00924F90"/>
    <w:pPr>
      <w:spacing w:after="120"/>
    </w:pPr>
    <w:rPr>
      <w:sz w:val="16"/>
      <w:szCs w:val="16"/>
    </w:rPr>
  </w:style>
  <w:style w:type="paragraph" w:styleId="Tekstpodstawowywcity">
    <w:name w:val="Body Text Indent"/>
    <w:basedOn w:val="Normalny"/>
    <w:link w:val="TekstpodstawowywcityZnak"/>
    <w:uiPriority w:val="99"/>
    <w:semiHidden/>
    <w:rsid w:val="00924F90"/>
    <w:pPr>
      <w:spacing w:after="120"/>
      <w:ind w:left="283"/>
    </w:pPr>
  </w:style>
  <w:style w:type="paragraph" w:styleId="Tekstpodstawowyzwciciem2">
    <w:name w:val="Body Text First Indent 2"/>
    <w:basedOn w:val="Tekstpodstawowywcity"/>
    <w:link w:val="Tekstpodstawowyzwciciem2Znak"/>
    <w:uiPriority w:val="99"/>
    <w:semiHidden/>
    <w:qFormat/>
    <w:rsid w:val="00924F90"/>
    <w:pPr>
      <w:spacing w:after="0"/>
      <w:ind w:left="360" w:firstLine="360"/>
    </w:pPr>
  </w:style>
  <w:style w:type="paragraph" w:styleId="Tekstpodstawowywcity2">
    <w:name w:val="Body Text Indent 2"/>
    <w:basedOn w:val="Normalny"/>
    <w:link w:val="Tekstpodstawowywcity2Znak"/>
    <w:uiPriority w:val="99"/>
    <w:semiHidden/>
    <w:qFormat/>
    <w:rsid w:val="00924F90"/>
    <w:pPr>
      <w:spacing w:after="120" w:line="480" w:lineRule="auto"/>
      <w:ind w:left="283"/>
    </w:pPr>
  </w:style>
  <w:style w:type="paragraph" w:styleId="Tekstpodstawowywcity3">
    <w:name w:val="Body Text Indent 3"/>
    <w:basedOn w:val="Normalny"/>
    <w:link w:val="Tekstpodstawowywcity3Znak"/>
    <w:uiPriority w:val="99"/>
    <w:semiHidden/>
    <w:qFormat/>
    <w:rsid w:val="00924F90"/>
    <w:pPr>
      <w:spacing w:after="120"/>
      <w:ind w:left="283"/>
    </w:pPr>
    <w:rPr>
      <w:sz w:val="16"/>
      <w:szCs w:val="16"/>
    </w:rPr>
  </w:style>
  <w:style w:type="paragraph" w:styleId="Zwrotpoegnalny">
    <w:name w:val="Closing"/>
    <w:basedOn w:val="Normalny"/>
    <w:link w:val="ZwrotpoegnalnyZnak"/>
    <w:uiPriority w:val="99"/>
    <w:semiHidden/>
    <w:qFormat/>
    <w:rsid w:val="00924F90"/>
    <w:pPr>
      <w:ind w:left="4252"/>
    </w:pPr>
  </w:style>
  <w:style w:type="paragraph" w:styleId="Tekstkomentarza">
    <w:name w:val="annotation text"/>
    <w:basedOn w:val="Normalny"/>
    <w:link w:val="TekstkomentarzaZnak"/>
    <w:semiHidden/>
    <w:qFormat/>
    <w:rsid w:val="00924F90"/>
    <w:rPr>
      <w:sz w:val="20"/>
      <w:szCs w:val="20"/>
    </w:rPr>
  </w:style>
  <w:style w:type="paragraph" w:styleId="Tematkomentarza">
    <w:name w:val="annotation subject"/>
    <w:basedOn w:val="Tekstkomentarza"/>
    <w:next w:val="Tekstkomentarza"/>
    <w:link w:val="TematkomentarzaZnak"/>
    <w:uiPriority w:val="99"/>
    <w:semiHidden/>
    <w:qFormat/>
    <w:rsid w:val="00924F90"/>
    <w:rPr>
      <w:b/>
      <w:bCs/>
    </w:rPr>
  </w:style>
  <w:style w:type="paragraph" w:styleId="Data">
    <w:name w:val="Date"/>
    <w:basedOn w:val="Normalny"/>
    <w:next w:val="Normalny"/>
    <w:link w:val="DataZnak"/>
    <w:uiPriority w:val="99"/>
    <w:semiHidden/>
    <w:qFormat/>
    <w:rsid w:val="00924F90"/>
  </w:style>
  <w:style w:type="paragraph" w:styleId="Mapadokumentu">
    <w:name w:val="Document Map"/>
    <w:basedOn w:val="Normalny"/>
    <w:link w:val="MapadokumentuZnak"/>
    <w:uiPriority w:val="99"/>
    <w:semiHidden/>
    <w:qFormat/>
    <w:rsid w:val="00924F90"/>
    <w:rPr>
      <w:rFonts w:ascii="Tahoma" w:hAnsi="Tahoma" w:cs="Tahoma"/>
      <w:sz w:val="16"/>
      <w:szCs w:val="16"/>
    </w:rPr>
  </w:style>
  <w:style w:type="paragraph" w:styleId="Podpise-mail">
    <w:name w:val="E-mail Signature"/>
    <w:basedOn w:val="Normalny"/>
    <w:uiPriority w:val="99"/>
    <w:semiHidden/>
    <w:qFormat/>
    <w:rsid w:val="00924F90"/>
  </w:style>
  <w:style w:type="paragraph" w:styleId="Tekstprzypisukocowego">
    <w:name w:val="endnote text"/>
    <w:basedOn w:val="Normalny"/>
    <w:link w:val="TekstprzypisukocowegoZnak"/>
    <w:uiPriority w:val="99"/>
    <w:semiHidden/>
    <w:rsid w:val="00924F90"/>
    <w:rPr>
      <w:sz w:val="20"/>
      <w:szCs w:val="20"/>
    </w:rPr>
  </w:style>
  <w:style w:type="paragraph" w:styleId="Adresnakopercie">
    <w:name w:val="envelope address"/>
    <w:basedOn w:val="Normalny"/>
    <w:uiPriority w:val="99"/>
    <w:semiHidden/>
    <w:qFormat/>
    <w:rsid w:val="00924F90"/>
    <w:pPr>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qFormat/>
    <w:rsid w:val="00924F90"/>
    <w:rPr>
      <w:rFonts w:asciiTheme="majorHAnsi" w:eastAsiaTheme="majorEastAsia" w:hAnsiTheme="majorHAnsi" w:cstheme="majorBidi"/>
      <w:sz w:val="20"/>
      <w:szCs w:val="20"/>
    </w:rPr>
  </w:style>
  <w:style w:type="paragraph" w:styleId="HTML-adres">
    <w:name w:val="HTML Address"/>
    <w:basedOn w:val="Normalny"/>
    <w:uiPriority w:val="99"/>
    <w:semiHidden/>
    <w:qFormat/>
    <w:rsid w:val="00924F90"/>
    <w:rPr>
      <w:i/>
      <w:iCs/>
    </w:rPr>
  </w:style>
  <w:style w:type="paragraph" w:styleId="HTML-wstpniesformatowany">
    <w:name w:val="HTML Preformatted"/>
    <w:basedOn w:val="Normalny"/>
    <w:uiPriority w:val="99"/>
    <w:semiHidden/>
    <w:qFormat/>
    <w:rsid w:val="00924F90"/>
    <w:rPr>
      <w:rFonts w:ascii="Consolas" w:hAnsi="Consolas" w:cs="Consolas"/>
      <w:sz w:val="20"/>
      <w:szCs w:val="20"/>
    </w:rPr>
  </w:style>
  <w:style w:type="paragraph" w:styleId="Indeks1">
    <w:name w:val="index 1"/>
    <w:basedOn w:val="Normalny"/>
    <w:next w:val="Normalny"/>
    <w:autoRedefine/>
    <w:uiPriority w:val="99"/>
    <w:semiHidden/>
    <w:qFormat/>
    <w:rsid w:val="00924F90"/>
    <w:pPr>
      <w:ind w:left="240" w:hanging="240"/>
    </w:pPr>
  </w:style>
  <w:style w:type="paragraph" w:styleId="Indeks2">
    <w:name w:val="index 2"/>
    <w:basedOn w:val="Normalny"/>
    <w:next w:val="Normalny"/>
    <w:autoRedefine/>
    <w:uiPriority w:val="99"/>
    <w:semiHidden/>
    <w:qFormat/>
    <w:rsid w:val="00924F90"/>
    <w:pPr>
      <w:ind w:left="480" w:hanging="240"/>
    </w:pPr>
  </w:style>
  <w:style w:type="paragraph" w:styleId="Indeks3">
    <w:name w:val="index 3"/>
    <w:basedOn w:val="Normalny"/>
    <w:next w:val="Normalny"/>
    <w:autoRedefine/>
    <w:uiPriority w:val="99"/>
    <w:semiHidden/>
    <w:qFormat/>
    <w:rsid w:val="00924F90"/>
    <w:pPr>
      <w:ind w:left="720" w:hanging="240"/>
    </w:pPr>
  </w:style>
  <w:style w:type="paragraph" w:styleId="Indeks4">
    <w:name w:val="index 4"/>
    <w:basedOn w:val="Normalny"/>
    <w:next w:val="Normalny"/>
    <w:autoRedefine/>
    <w:uiPriority w:val="99"/>
    <w:semiHidden/>
    <w:qFormat/>
    <w:rsid w:val="00924F90"/>
    <w:pPr>
      <w:ind w:left="960" w:hanging="240"/>
    </w:pPr>
  </w:style>
  <w:style w:type="paragraph" w:styleId="Indeks5">
    <w:name w:val="index 5"/>
    <w:basedOn w:val="Normalny"/>
    <w:next w:val="Normalny"/>
    <w:autoRedefine/>
    <w:uiPriority w:val="99"/>
    <w:semiHidden/>
    <w:qFormat/>
    <w:rsid w:val="00924F90"/>
    <w:pPr>
      <w:ind w:left="1200" w:hanging="240"/>
    </w:pPr>
  </w:style>
  <w:style w:type="paragraph" w:styleId="Indeks6">
    <w:name w:val="index 6"/>
    <w:basedOn w:val="Normalny"/>
    <w:next w:val="Normalny"/>
    <w:autoRedefine/>
    <w:uiPriority w:val="99"/>
    <w:semiHidden/>
    <w:qFormat/>
    <w:rsid w:val="00924F90"/>
    <w:pPr>
      <w:ind w:left="1440" w:hanging="240"/>
    </w:pPr>
  </w:style>
  <w:style w:type="paragraph" w:styleId="Indeks7">
    <w:name w:val="index 7"/>
    <w:basedOn w:val="Normalny"/>
    <w:next w:val="Normalny"/>
    <w:autoRedefine/>
    <w:uiPriority w:val="99"/>
    <w:semiHidden/>
    <w:qFormat/>
    <w:rsid w:val="00924F90"/>
    <w:pPr>
      <w:ind w:left="1680" w:hanging="240"/>
    </w:pPr>
  </w:style>
  <w:style w:type="paragraph" w:styleId="Indeks8">
    <w:name w:val="index 8"/>
    <w:basedOn w:val="Normalny"/>
    <w:next w:val="Normalny"/>
    <w:autoRedefine/>
    <w:uiPriority w:val="99"/>
    <w:semiHidden/>
    <w:qFormat/>
    <w:rsid w:val="00924F90"/>
    <w:pPr>
      <w:ind w:left="1920" w:hanging="240"/>
    </w:pPr>
  </w:style>
  <w:style w:type="paragraph" w:styleId="Indeks9">
    <w:name w:val="index 9"/>
    <w:basedOn w:val="Normalny"/>
    <w:next w:val="Normalny"/>
    <w:autoRedefine/>
    <w:uiPriority w:val="99"/>
    <w:semiHidden/>
    <w:qFormat/>
    <w:rsid w:val="00924F90"/>
    <w:pPr>
      <w:ind w:left="2160" w:hanging="240"/>
    </w:pPr>
  </w:style>
  <w:style w:type="paragraph" w:styleId="Nagwekindeksu">
    <w:name w:val="index heading"/>
    <w:basedOn w:val="Normalny"/>
    <w:next w:val="Indeks1"/>
    <w:uiPriority w:val="99"/>
    <w:semiHidden/>
    <w:qFormat/>
    <w:rsid w:val="00924F90"/>
    <w:rPr>
      <w:rFonts w:asciiTheme="majorHAnsi" w:eastAsiaTheme="majorEastAsia" w:hAnsiTheme="majorHAnsi" w:cstheme="majorBidi"/>
      <w:b/>
      <w:bCs/>
    </w:rPr>
  </w:style>
  <w:style w:type="paragraph" w:styleId="Listapunktowana3">
    <w:name w:val="List Bullet 3"/>
    <w:basedOn w:val="Normalny"/>
    <w:uiPriority w:val="99"/>
    <w:semiHidden/>
    <w:qFormat/>
    <w:rsid w:val="00924F90"/>
    <w:pPr>
      <w:contextualSpacing/>
    </w:pPr>
  </w:style>
  <w:style w:type="paragraph" w:styleId="Listapunktowana4">
    <w:name w:val="List Bullet 4"/>
    <w:basedOn w:val="Normalny"/>
    <w:uiPriority w:val="99"/>
    <w:semiHidden/>
    <w:qFormat/>
    <w:rsid w:val="00924F90"/>
    <w:pPr>
      <w:contextualSpacing/>
    </w:pPr>
  </w:style>
  <w:style w:type="paragraph" w:styleId="Listapunktowana5">
    <w:name w:val="List Bullet 5"/>
    <w:basedOn w:val="Normalny"/>
    <w:uiPriority w:val="99"/>
    <w:semiHidden/>
    <w:qFormat/>
    <w:rsid w:val="00924F90"/>
    <w:pPr>
      <w:contextualSpacing/>
    </w:pPr>
  </w:style>
  <w:style w:type="paragraph" w:styleId="Listanumerowana">
    <w:name w:val="List Number"/>
    <w:basedOn w:val="Normalny"/>
    <w:uiPriority w:val="99"/>
    <w:semiHidden/>
    <w:qFormat/>
    <w:rsid w:val="00924F90"/>
    <w:pPr>
      <w:contextualSpacing/>
    </w:pPr>
  </w:style>
  <w:style w:type="paragraph" w:styleId="Listapunktowana2">
    <w:name w:val="List Bullet 2"/>
    <w:basedOn w:val="Normalny"/>
    <w:uiPriority w:val="99"/>
    <w:semiHidden/>
    <w:qFormat/>
    <w:rsid w:val="00924F90"/>
    <w:pPr>
      <w:contextualSpacing/>
    </w:pPr>
  </w:style>
  <w:style w:type="paragraph" w:styleId="Lista-kontynuacja">
    <w:name w:val="List Continue"/>
    <w:basedOn w:val="Normalny"/>
    <w:uiPriority w:val="99"/>
    <w:semiHidden/>
    <w:qFormat/>
    <w:rsid w:val="00924F90"/>
    <w:pPr>
      <w:spacing w:after="120"/>
      <w:ind w:left="283"/>
      <w:contextualSpacing/>
    </w:pPr>
  </w:style>
  <w:style w:type="paragraph" w:styleId="Lista-kontynuacja2">
    <w:name w:val="List Continue 2"/>
    <w:basedOn w:val="Normalny"/>
    <w:uiPriority w:val="99"/>
    <w:semiHidden/>
    <w:qFormat/>
    <w:rsid w:val="00924F90"/>
    <w:pPr>
      <w:spacing w:after="120"/>
      <w:ind w:left="566"/>
      <w:contextualSpacing/>
    </w:pPr>
  </w:style>
  <w:style w:type="paragraph" w:styleId="Lista-kontynuacja3">
    <w:name w:val="List Continue 3"/>
    <w:basedOn w:val="Normalny"/>
    <w:uiPriority w:val="99"/>
    <w:semiHidden/>
    <w:qFormat/>
    <w:rsid w:val="00924F90"/>
    <w:pPr>
      <w:spacing w:after="120"/>
      <w:ind w:left="849"/>
      <w:contextualSpacing/>
    </w:pPr>
  </w:style>
  <w:style w:type="paragraph" w:styleId="Lista-kontynuacja4">
    <w:name w:val="List Continue 4"/>
    <w:basedOn w:val="Normalny"/>
    <w:uiPriority w:val="99"/>
    <w:semiHidden/>
    <w:qFormat/>
    <w:rsid w:val="00924F90"/>
    <w:pPr>
      <w:spacing w:after="120"/>
      <w:ind w:left="1132"/>
      <w:contextualSpacing/>
    </w:pPr>
  </w:style>
  <w:style w:type="paragraph" w:styleId="Lista-kontynuacja5">
    <w:name w:val="List Continue 5"/>
    <w:basedOn w:val="Normalny"/>
    <w:uiPriority w:val="99"/>
    <w:semiHidden/>
    <w:qFormat/>
    <w:rsid w:val="00924F90"/>
    <w:pPr>
      <w:spacing w:after="120"/>
      <w:ind w:left="1415"/>
      <w:contextualSpacing/>
    </w:pPr>
  </w:style>
  <w:style w:type="paragraph" w:styleId="Listanumerowana2">
    <w:name w:val="List Number 2"/>
    <w:basedOn w:val="Normalny"/>
    <w:uiPriority w:val="99"/>
    <w:semiHidden/>
    <w:qFormat/>
    <w:rsid w:val="00924F90"/>
    <w:pPr>
      <w:contextualSpacing/>
    </w:pPr>
  </w:style>
  <w:style w:type="paragraph" w:styleId="Listanumerowana3">
    <w:name w:val="List Number 3"/>
    <w:basedOn w:val="Normalny"/>
    <w:uiPriority w:val="99"/>
    <w:semiHidden/>
    <w:qFormat/>
    <w:rsid w:val="00924F90"/>
    <w:pPr>
      <w:contextualSpacing/>
    </w:pPr>
  </w:style>
  <w:style w:type="paragraph" w:styleId="Listanumerowana4">
    <w:name w:val="List Number 4"/>
    <w:basedOn w:val="Normalny"/>
    <w:uiPriority w:val="99"/>
    <w:semiHidden/>
    <w:qFormat/>
    <w:rsid w:val="00924F90"/>
    <w:pPr>
      <w:contextualSpacing/>
    </w:pPr>
  </w:style>
  <w:style w:type="paragraph" w:styleId="Listanumerowana5">
    <w:name w:val="List Number 5"/>
    <w:basedOn w:val="Normalny"/>
    <w:uiPriority w:val="99"/>
    <w:semiHidden/>
    <w:qFormat/>
    <w:rsid w:val="00924F90"/>
    <w:pPr>
      <w:contextualSpacing/>
    </w:pPr>
  </w:style>
  <w:style w:type="paragraph" w:styleId="Tekstmakra">
    <w:name w:val="macro"/>
    <w:link w:val="TekstmakraZnak"/>
    <w:uiPriority w:val="99"/>
    <w:semiHidden/>
    <w:qFormat/>
    <w:rsid w:val="00924F90"/>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Cs w:val="20"/>
    </w:rPr>
  </w:style>
  <w:style w:type="paragraph" w:styleId="Nagwekwiadomoci">
    <w:name w:val="Message Header"/>
    <w:basedOn w:val="Normalny"/>
    <w:link w:val="NagwekwiadomociZnak"/>
    <w:uiPriority w:val="99"/>
    <w:semiHidden/>
    <w:qFormat/>
    <w:rsid w:val="00924F90"/>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Theme="majorHAnsi" w:eastAsiaTheme="majorEastAsia" w:hAnsiTheme="majorHAnsi" w:cstheme="majorBidi"/>
      <w:szCs w:val="24"/>
    </w:rPr>
  </w:style>
  <w:style w:type="paragraph" w:styleId="NormalnyWeb">
    <w:name w:val="Normal (Web)"/>
    <w:basedOn w:val="Normalny"/>
    <w:uiPriority w:val="99"/>
    <w:semiHidden/>
    <w:qFormat/>
    <w:rsid w:val="00924F90"/>
    <w:rPr>
      <w:rFonts w:cs="Times New Roman"/>
      <w:szCs w:val="24"/>
    </w:rPr>
  </w:style>
  <w:style w:type="paragraph" w:styleId="Wcicienormalne">
    <w:name w:val="Normal Indent"/>
    <w:basedOn w:val="Normalny"/>
    <w:uiPriority w:val="99"/>
    <w:semiHidden/>
    <w:qFormat/>
    <w:rsid w:val="00924F90"/>
    <w:pPr>
      <w:ind w:left="720"/>
    </w:pPr>
  </w:style>
  <w:style w:type="paragraph" w:styleId="Nagweknotatki">
    <w:name w:val="Note Heading"/>
    <w:basedOn w:val="Normalny"/>
    <w:next w:val="Normalny"/>
    <w:link w:val="NagweknotatkiZnak"/>
    <w:uiPriority w:val="99"/>
    <w:semiHidden/>
    <w:qFormat/>
    <w:rsid w:val="00924F90"/>
  </w:style>
  <w:style w:type="paragraph" w:styleId="Zwykytekst">
    <w:name w:val="Plain Text"/>
    <w:basedOn w:val="Normalny"/>
    <w:link w:val="ZwykytekstZnak"/>
    <w:uiPriority w:val="99"/>
    <w:semiHidden/>
    <w:qFormat/>
    <w:rsid w:val="00924F90"/>
    <w:rPr>
      <w:rFonts w:ascii="Consolas" w:hAnsi="Consolas" w:cs="Consolas"/>
      <w:sz w:val="21"/>
      <w:szCs w:val="21"/>
    </w:rPr>
  </w:style>
  <w:style w:type="paragraph" w:styleId="Zwrotgrzecznociowy">
    <w:name w:val="Salutation"/>
    <w:basedOn w:val="Normalny"/>
    <w:next w:val="Normalny"/>
    <w:link w:val="ZwrotgrzecznociowyZnak"/>
    <w:uiPriority w:val="99"/>
    <w:semiHidden/>
    <w:rsid w:val="00924F90"/>
  </w:style>
  <w:style w:type="paragraph" w:styleId="Podpis">
    <w:name w:val="Signature"/>
    <w:basedOn w:val="Normalny"/>
    <w:uiPriority w:val="99"/>
    <w:semiHidden/>
    <w:rsid w:val="00924F90"/>
    <w:pPr>
      <w:ind w:left="4252"/>
    </w:pPr>
  </w:style>
  <w:style w:type="paragraph" w:styleId="Wykazrde">
    <w:name w:val="table of authorities"/>
    <w:basedOn w:val="Normalny"/>
    <w:next w:val="Normalny"/>
    <w:uiPriority w:val="99"/>
    <w:semiHidden/>
    <w:qFormat/>
    <w:rsid w:val="00924F90"/>
    <w:pPr>
      <w:ind w:left="240" w:hanging="240"/>
    </w:pPr>
  </w:style>
  <w:style w:type="paragraph" w:styleId="Spisilustracji">
    <w:name w:val="table of figures"/>
    <w:basedOn w:val="Normalny"/>
    <w:next w:val="Normalny"/>
    <w:uiPriority w:val="99"/>
    <w:semiHidden/>
    <w:qFormat/>
    <w:rsid w:val="00924F90"/>
  </w:style>
  <w:style w:type="paragraph" w:styleId="Spistreci6">
    <w:name w:val="toc 6"/>
    <w:basedOn w:val="Normalny"/>
    <w:next w:val="Normalny"/>
    <w:autoRedefine/>
    <w:uiPriority w:val="99"/>
    <w:semiHidden/>
    <w:rsid w:val="00924F9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924F9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24F90"/>
    <w:pPr>
      <w:spacing w:after="100"/>
      <w:ind w:left="1680"/>
    </w:pPr>
  </w:style>
  <w:style w:type="paragraph" w:styleId="Spistreci9">
    <w:name w:val="toc 9"/>
    <w:basedOn w:val="Normalny"/>
    <w:next w:val="Normalny"/>
    <w:autoRedefine/>
    <w:uiPriority w:val="99"/>
    <w:semiHidden/>
    <w:rsid w:val="00924F90"/>
    <w:pPr>
      <w:spacing w:after="100"/>
      <w:ind w:left="1920"/>
    </w:pPr>
  </w:style>
  <w:style w:type="paragraph" w:customStyle="1" w:styleId="DecHTitle">
    <w:name w:val="Dec_H_Title"/>
    <w:basedOn w:val="JuPara"/>
    <w:next w:val="JuPara"/>
    <w:uiPriority w:val="35"/>
    <w:qFormat/>
    <w:rsid w:val="00924F90"/>
    <w:pPr>
      <w:keepNext/>
      <w:keepLines/>
      <w:spacing w:after="240"/>
      <w:ind w:firstLine="0"/>
      <w:jc w:val="center"/>
      <w:outlineLvl w:val="0"/>
    </w:pPr>
    <w:rPr>
      <w:rFonts w:asciiTheme="majorHAnsi" w:hAnsiTheme="majorHAnsi"/>
      <w:sz w:val="28"/>
    </w:rPr>
  </w:style>
  <w:style w:type="paragraph" w:customStyle="1" w:styleId="ECHRFooter">
    <w:name w:val="ECHR_Footer"/>
    <w:basedOn w:val="Stopka"/>
    <w:uiPriority w:val="57"/>
    <w:semiHidden/>
    <w:qFormat/>
    <w:rsid w:val="0045649E"/>
    <w:rPr>
      <w:sz w:val="8"/>
    </w:rPr>
  </w:style>
  <w:style w:type="paragraph" w:customStyle="1" w:styleId="FooterLine">
    <w:name w:val="_Footer_Line"/>
    <w:basedOn w:val="Normalny"/>
    <w:next w:val="Footer"/>
    <w:uiPriority w:val="57"/>
    <w:semiHidden/>
    <w:qFormat/>
    <w:rsid w:val="00924F90"/>
    <w:pPr>
      <w:pBdr>
        <w:top w:val="single" w:sz="6" w:space="1" w:color="5F5F5F"/>
      </w:pBdr>
      <w:tabs>
        <w:tab w:val="center" w:pos="4536"/>
        <w:tab w:val="right" w:pos="9696"/>
      </w:tabs>
      <w:ind w:left="-680" w:right="-680"/>
    </w:pPr>
    <w:rPr>
      <w:color w:val="5F5F5F"/>
    </w:rPr>
  </w:style>
  <w:style w:type="paragraph" w:customStyle="1" w:styleId="DecHCase">
    <w:name w:val="Dec_H_Case"/>
    <w:basedOn w:val="JuPara"/>
    <w:next w:val="JuPara"/>
    <w:uiPriority w:val="35"/>
    <w:qFormat/>
    <w:rsid w:val="00924F90"/>
    <w:pPr>
      <w:keepNext/>
      <w:keepLines/>
      <w:spacing w:after="280"/>
      <w:ind w:firstLine="0"/>
      <w:jc w:val="center"/>
    </w:pPr>
    <w:rPr>
      <w:rFonts w:asciiTheme="majorHAnsi" w:hAnsiTheme="majorHAnsi"/>
    </w:rPr>
  </w:style>
  <w:style w:type="paragraph" w:customStyle="1" w:styleId="JuHeaderLandscape">
    <w:name w:val="Ju_Header_Landscape"/>
    <w:basedOn w:val="JuHeader"/>
    <w:uiPriority w:val="30"/>
    <w:qFormat/>
    <w:rsid w:val="00924F90"/>
    <w:pPr>
      <w:tabs>
        <w:tab w:val="clear" w:pos="3686"/>
        <w:tab w:val="clear" w:pos="7371"/>
        <w:tab w:val="center" w:pos="6146"/>
        <w:tab w:val="right" w:pos="12293"/>
      </w:tabs>
    </w:pPr>
  </w:style>
  <w:style w:type="paragraph" w:customStyle="1" w:styleId="JuTitle">
    <w:name w:val="Ju_Title"/>
    <w:basedOn w:val="Normalny"/>
    <w:next w:val="JuPara"/>
    <w:uiPriority w:val="35"/>
    <w:qFormat/>
    <w:rsid w:val="00924F90"/>
    <w:pPr>
      <w:keepNext/>
      <w:keepLines/>
      <w:spacing w:before="1320" w:after="280"/>
      <w:contextualSpacing/>
      <w:jc w:val="center"/>
    </w:pPr>
    <w:rPr>
      <w:rFonts w:eastAsiaTheme="minorHAnsi"/>
      <w:b/>
    </w:rPr>
  </w:style>
  <w:style w:type="paragraph" w:styleId="Poprawka">
    <w:name w:val="Revision"/>
    <w:uiPriority w:val="99"/>
    <w:semiHidden/>
    <w:qFormat/>
    <w:rsid w:val="005C1354"/>
    <w:rPr>
      <w:rFonts w:ascii="Times New Roman" w:eastAsiaTheme="minorEastAsia" w:hAnsi="Times New Roman"/>
      <w:sz w:val="24"/>
    </w:rPr>
  </w:style>
  <w:style w:type="paragraph" w:customStyle="1" w:styleId="ECHRBullet1">
    <w:name w:val="ECHR_Bullet_1"/>
    <w:basedOn w:val="Normalny"/>
    <w:uiPriority w:val="8"/>
    <w:qFormat/>
    <w:rsid w:val="00783843"/>
    <w:pPr>
      <w:spacing w:before="60" w:after="60"/>
    </w:pPr>
    <w:rPr>
      <w:sz w:val="22"/>
    </w:rPr>
  </w:style>
  <w:style w:type="paragraph" w:customStyle="1" w:styleId="ECHRBullet2">
    <w:name w:val="ECHR_Bullet_2"/>
    <w:basedOn w:val="ECHRBullet1"/>
    <w:uiPriority w:val="8"/>
    <w:qFormat/>
    <w:rsid w:val="00783843"/>
  </w:style>
  <w:style w:type="paragraph" w:customStyle="1" w:styleId="ECHRBullet3">
    <w:name w:val="ECHR_Bullet_3"/>
    <w:basedOn w:val="ECHRBullet2"/>
    <w:uiPriority w:val="8"/>
    <w:qFormat/>
    <w:rsid w:val="00783843"/>
  </w:style>
  <w:style w:type="paragraph" w:customStyle="1" w:styleId="ECHRBullet4">
    <w:name w:val="ECHR_Bullet_4"/>
    <w:basedOn w:val="ECHRBullet3"/>
    <w:uiPriority w:val="8"/>
    <w:qFormat/>
    <w:rsid w:val="00783843"/>
  </w:style>
  <w:style w:type="numbering" w:customStyle="1" w:styleId="ECHRA1StyleList">
    <w:name w:val="ECHR_A1_Style_List"/>
    <w:uiPriority w:val="99"/>
    <w:qFormat/>
    <w:rsid w:val="00924F90"/>
  </w:style>
  <w:style w:type="numbering" w:customStyle="1" w:styleId="ECHRA1StyleNumberedList">
    <w:name w:val="ECHR_A1_Style_Numbered_List"/>
    <w:qFormat/>
    <w:rsid w:val="00924F90"/>
  </w:style>
  <w:style w:type="numbering" w:styleId="111111">
    <w:name w:val="Outline List 2"/>
    <w:uiPriority w:val="99"/>
    <w:semiHidden/>
    <w:unhideWhenUsed/>
    <w:qFormat/>
    <w:rsid w:val="00924F90"/>
  </w:style>
  <w:style w:type="numbering" w:styleId="1ai">
    <w:name w:val="Outline List 1"/>
    <w:uiPriority w:val="99"/>
    <w:semiHidden/>
    <w:unhideWhenUsed/>
    <w:qFormat/>
    <w:rsid w:val="00924F90"/>
  </w:style>
  <w:style w:type="numbering" w:styleId="Artykusekcja">
    <w:name w:val="Outline List 3"/>
    <w:uiPriority w:val="99"/>
    <w:semiHidden/>
    <w:unhideWhenUsed/>
    <w:qFormat/>
    <w:rsid w:val="00924F90"/>
  </w:style>
  <w:style w:type="numbering" w:customStyle="1" w:styleId="ECHRA1StyleBulletedSquare">
    <w:name w:val="ECHR_A1_Style_Bulleted_Square"/>
    <w:qFormat/>
    <w:rsid w:val="00924F90"/>
  </w:style>
  <w:style w:type="table" w:customStyle="1" w:styleId="ECHRTable2019">
    <w:name w:val="ECHR_Table_2019"/>
    <w:basedOn w:val="Standardowy"/>
    <w:uiPriority w:val="99"/>
    <w:rsid w:val="00924F90"/>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
    <w:name w:val="ECHR_Table"/>
    <w:basedOn w:val="Standardowy"/>
    <w:rsid w:val="00860B03"/>
    <w:rPr>
      <w:szCs w:val="20"/>
      <w:lang w:val="en-GB"/>
    </w:rPr>
    <w:tblPr>
      <w:tblStyleRowBandSize w:val="1"/>
      <w:tblStyleColBandSize w:val="1"/>
      <w:tbl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l2br w:val="nil"/>
          <w:tr2bl w:val="nil"/>
        </w:tcBorders>
        <w:shd w:val="clear" w:color="auto" w:fill="DFDFDF" w:themeFill="background2" w:themeFillShade="E6"/>
      </w:tcPr>
    </w:tblStylePr>
  </w:style>
  <w:style w:type="table" w:customStyle="1" w:styleId="ECHRTableBoxHeader">
    <w:name w:val="ECHR_Table_Box_Header"/>
    <w:basedOn w:val="Standardowy"/>
    <w:rsid w:val="00924F90"/>
    <w:rPr>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table" w:customStyle="1" w:styleId="LtrTableAddress">
    <w:name w:val="Ltr_Table_Address"/>
    <w:basedOn w:val="Standardowy"/>
    <w:uiPriority w:val="99"/>
    <w:rsid w:val="001E6F32"/>
    <w:tblPr>
      <w:tblInd w:w="5103" w:type="dxa"/>
    </w:tblPr>
  </w:style>
  <w:style w:type="table" w:styleId="Tabela-Siatka">
    <w:name w:val="Table Grid"/>
    <w:basedOn w:val="Standardowy"/>
    <w:uiPriority w:val="59"/>
    <w:semiHidden/>
    <w:rsid w:val="00924F9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UGTable">
    <w:name w:val="UG_Table"/>
    <w:basedOn w:val="Standardowy"/>
    <w:uiPriority w:val="99"/>
    <w:rsid w:val="00572845"/>
    <w:rPr>
      <w:rFonts w:eastAsiaTheme="minorEastAsia"/>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F8F8F8" w:themeColor="background2"/>
        <w:left w:val="single" w:sz="4" w:space="0" w:color="F8F8F8" w:themeColor="background2"/>
        <w:bottom w:val="single" w:sz="4" w:space="0" w:color="F8F8F8" w:themeColor="background2"/>
        <w:right w:val="single" w:sz="4" w:space="0" w:color="F8F8F8" w:themeColor="background2"/>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afterLines="0" w:after="120" w:line="240" w:lineRule="auto"/>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924F90"/>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style>
  <w:style w:type="table" w:customStyle="1" w:styleId="ECHRTableMemo">
    <w:name w:val="ECHR_Table_Memo"/>
    <w:basedOn w:val="Standardowy"/>
    <w:uiPriority w:val="99"/>
    <w:rsid w:val="00924F90"/>
    <w:tblPr>
      <w:tblCellMar>
        <w:top w:w="113" w:type="dxa"/>
        <w:left w:w="0" w:type="dxa"/>
        <w:bottom w:w="113" w:type="dxa"/>
        <w:right w:w="0" w:type="dxa"/>
      </w:tblCellMar>
    </w:tblPr>
    <w:tblStylePr w:type="lastRow">
      <w:tblPr/>
      <w:tcPr>
        <w:tcBorders>
          <w:top w:val="nil"/>
          <w:left w:val="nil"/>
          <w:bottom w:val="single" w:sz="4" w:space="0" w:color="C6C6C6" w:themeColor="text2"/>
          <w:right w:val="nil"/>
          <w:insideH w:val="nil"/>
          <w:insideV w:val="nil"/>
          <w:tl2br w:val="nil"/>
          <w:tr2bl w:val="nil"/>
        </w:tcBorders>
      </w:tcPr>
    </w:tblStylePr>
  </w:style>
  <w:style w:type="table" w:customStyle="1" w:styleId="ECHRDNTable">
    <w:name w:val="ECHR_DN_Table"/>
    <w:basedOn w:val="Standardowy"/>
    <w:uiPriority w:val="99"/>
    <w:rsid w:val="00924F90"/>
    <w:tblPr>
      <w:tblBorders>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blBorders>
      <w:tblCellMar>
        <w:top w:w="57" w:type="dxa"/>
        <w:bottom w:w="57" w:type="dxa"/>
      </w:tblCellMar>
    </w:tblPr>
    <w:tcPr>
      <w:vAlign w:val="center"/>
    </w:tcPr>
    <w:tblStylePr w:type="firstRow">
      <w:pPr>
        <w:wordWrap/>
        <w:spacing w:beforeLines="0"/>
      </w:pPr>
      <w:rPr>
        <w:rFonts w:asciiTheme="majorHAnsi" w:hAnsiTheme="majorHAnsi"/>
        <w:b/>
        <w:i w:val="0"/>
        <w:color w:val="474747" w:themeColor="accent3" w:themeShade="BF"/>
        <w:sz w:val="24"/>
      </w:rPr>
      <w:tblPr/>
      <w:tcPr>
        <w:tcBorders>
          <w:top w:val="single" w:sz="4" w:space="0" w:color="C6C6C6" w:themeColor="text2"/>
          <w:left w:val="single" w:sz="4" w:space="0" w:color="C6C6C6" w:themeColor="text2"/>
          <w:bottom w:val="nil"/>
          <w:right w:val="single" w:sz="4" w:space="0" w:color="C6C6C6" w:themeColor="text2"/>
          <w:insideH w:val="nil"/>
          <w:insideV w:val="nil"/>
          <w:tl2br w:val="nil"/>
          <w:tr2bl w:val="nil"/>
        </w:tcBorders>
        <w:shd w:val="clear" w:color="auto" w:fill="DFDFDF" w:themeFill="background2" w:themeFillShade="E6"/>
      </w:tcPr>
    </w:tblStylePr>
  </w:style>
  <w:style w:type="table" w:customStyle="1" w:styleId="ECHRTableSimpleBox">
    <w:name w:val="ECHR_Table_Simple_Box"/>
    <w:basedOn w:val="Standardowy"/>
    <w:uiPriority w:val="99"/>
    <w:rsid w:val="00924F90"/>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924F90"/>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C6C6C6" w:themeColor="text2"/>
          <w:left w:val="single" w:sz="4" w:space="0" w:color="C6C6C6" w:themeColor="text2"/>
          <w:bottom w:val="single" w:sz="4" w:space="0" w:color="C6C6C6" w:themeColor="text2"/>
          <w:right w:val="single" w:sz="4" w:space="0" w:color="C6C6C6" w:themeColor="text2"/>
          <w:insideH w:val="nil"/>
          <w:insideV w:val="nil"/>
          <w:tl2br w:val="nil"/>
          <w:tr2bl w:val="nil"/>
        </w:tcBorders>
        <w:shd w:val="clear" w:color="auto" w:fill="DFDFDF" w:themeFill="background2" w:themeFillShade="E6"/>
      </w:tcPr>
    </w:tblStylePr>
    <w:tblStylePr w:type="firstCol">
      <w:tblPr/>
      <w:tcPr>
        <w:tc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cBorders>
      </w:tcPr>
    </w:tblStylePr>
  </w:style>
  <w:style w:type="table" w:customStyle="1" w:styleId="ECHRTableForInternalUse">
    <w:name w:val="ECHR_Table_For_Internal_Use"/>
    <w:basedOn w:val="Standardowy"/>
    <w:uiPriority w:val="99"/>
    <w:rsid w:val="00924F90"/>
    <w:rPr>
      <w:color w:val="636363" w:themeColor="text2" w:themeShade="80"/>
      <w:sz w:val="18"/>
    </w:rPr>
    <w:tblPr>
      <w:tblStyleColBandSize w:val="1"/>
      <w:tblCellMar>
        <w:top w:w="113" w:type="dxa"/>
        <w:bottom w:w="28" w:type="dxa"/>
      </w:tblCellMar>
    </w:tblPr>
    <w:tblStylePr w:type="firstRow">
      <w:rPr>
        <w:b/>
      </w:rPr>
    </w:tblStylePr>
    <w:tblStylePr w:type="lastCol">
      <w:pPr>
        <w:jc w:val="right"/>
      </w:pPr>
      <w:tblPr/>
      <w:tcPr>
        <w:tc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l2br w:val="nil"/>
          <w:tr2bl w:val="nil"/>
        </w:tcBorders>
      </w:tcPr>
    </w:tblStylePr>
    <w:tblStylePr w:type="band1Vert">
      <w:tblPr/>
      <w:tcPr>
        <w:tc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l2br w:val="nil"/>
          <w:tr2bl w:val="nil"/>
        </w:tcBorders>
      </w:tcPr>
    </w:tblStylePr>
  </w:style>
  <w:style w:type="table" w:customStyle="1" w:styleId="ECHRListTable">
    <w:name w:val="ECHR_List_Table"/>
    <w:basedOn w:val="Standardowy"/>
    <w:uiPriority w:val="99"/>
    <w:rsid w:val="0045649E"/>
    <w:tblPr>
      <w:tbl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blBorders>
      <w:tblCellMar>
        <w:top w:w="28" w:type="dxa"/>
        <w:bottom w:w="28" w:type="dxa"/>
      </w:tblCellMar>
    </w:tblPr>
    <w:tblStylePr w:type="firstRow">
      <w:rPr>
        <w:b/>
        <w:color w:val="474747" w:themeColor="accent3" w:themeShade="BF"/>
      </w:rPr>
      <w:tblPr/>
      <w:trPr>
        <w:tblHeader/>
      </w:trPr>
      <w:tcPr>
        <w:tc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cBorders>
        <w:shd w:val="clear" w:color="auto" w:fill="DFDFDF" w:themeFill="background2" w:themeFillShade="E6"/>
      </w:tcPr>
    </w:tblStylePr>
  </w:style>
  <w:style w:type="table" w:customStyle="1" w:styleId="ECHRHeaderTable">
    <w:name w:val="ECHR_Header_Table"/>
    <w:basedOn w:val="Standardowy"/>
    <w:uiPriority w:val="99"/>
    <w:rsid w:val="00924F90"/>
    <w:tblPr>
      <w:tblInd w:w="-680" w:type="dxa"/>
      <w:tblBorders>
        <w:bottom w:val="single" w:sz="6" w:space="0" w:color="C6C6C6" w:themeColor="text2"/>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C6C6C6" w:themeColor="text2"/>
          <w:left w:val="single" w:sz="4" w:space="0" w:color="C6C6C6" w:themeColor="text2"/>
          <w:bottom w:val="single" w:sz="4" w:space="0" w:color="C6C6C6" w:themeColor="text2"/>
          <w:right w:val="single" w:sz="4" w:space="0" w:color="C6C6C6" w:themeColor="text2"/>
          <w:insideH w:val="nil"/>
          <w:insideV w:val="single" w:sz="4" w:space="0" w:color="C6C6C6" w:themeColor="text2"/>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924F90"/>
    <w:tblPr>
      <w:tblInd w:w="-680" w:type="dxa"/>
      <w:tblCellMar>
        <w:left w:w="0" w:type="dxa"/>
        <w:right w:w="0" w:type="dxa"/>
      </w:tblCellMar>
    </w:tblPr>
    <w:tcPr>
      <w:vAlign w:val="bottom"/>
    </w:tcPr>
    <w:tblStylePr w:type="firstRow">
      <w:tblPr/>
      <w:tcPr>
        <w:tcBorders>
          <w:top w:val="nil"/>
          <w:left w:val="nil"/>
          <w:bottom w:val="single" w:sz="6" w:space="0" w:color="C6C6C6" w:themeColor="text2"/>
          <w:right w:val="nil"/>
          <w:insideH w:val="nil"/>
          <w:insideV w:val="nil"/>
          <w:tl2br w:val="nil"/>
          <w:tr2bl w:val="nil"/>
        </w:tcBorders>
      </w:tcPr>
    </w:tblStylePr>
    <w:tblStylePr w:type="lastRow">
      <w:pPr>
        <w:jc w:val="right"/>
      </w:pPr>
      <w:tblPr/>
      <w:tcPr>
        <w:tcBorders>
          <w:top w:val="single" w:sz="6" w:space="0" w:color="C6C6C6" w:themeColor="text2"/>
          <w:left w:val="nil"/>
          <w:bottom w:val="nil"/>
          <w:right w:val="nil"/>
          <w:insideH w:val="nil"/>
          <w:insideV w:val="nil"/>
          <w:tl2br w:val="nil"/>
          <w:tr2bl w:val="nil"/>
        </w:tcBorders>
      </w:tcPr>
    </w:tblStylePr>
  </w:style>
  <w:style w:type="table" w:styleId="Kolorowasiatka">
    <w:name w:val="Colorful Grid"/>
    <w:basedOn w:val="Standardowy"/>
    <w:uiPriority w:val="73"/>
    <w:semiHidden/>
    <w:rsid w:val="00924F90"/>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24F90"/>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24F90"/>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24F90"/>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24F90"/>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24F90"/>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24F90"/>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24F90"/>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24F90"/>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24F90"/>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24F90"/>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24F90"/>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24F90"/>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24F90"/>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24F90"/>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24F90"/>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72BC" w:themeColor="accent1"/>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24F90"/>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C00000" w:themeColor="accent2"/>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24F90"/>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5F5F5F" w:themeColor="accent3"/>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24F90"/>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969696" w:themeColor="accent4"/>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24F90"/>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5F5F5F" w:themeColor="accent5"/>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24F90"/>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4D4D4D" w:themeColor="accent6"/>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924F90"/>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24F90"/>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24F90"/>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24F90"/>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24F90"/>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24F90"/>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24F90"/>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table" w:styleId="Jasnasiatka">
    <w:name w:val="Light Grid"/>
    <w:basedOn w:val="Standardowy"/>
    <w:uiPriority w:val="62"/>
    <w:semiHidden/>
    <w:rsid w:val="00924F90"/>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24F90"/>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24F90"/>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24F90"/>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24F90"/>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24F90"/>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24F90"/>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24F90"/>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24F90"/>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24F90"/>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24F90"/>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24F90"/>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24F90"/>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24F90"/>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24F9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24F90"/>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24F90"/>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24F90"/>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24F90"/>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24F90"/>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24F90"/>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table" w:styleId="redniasiatka1">
    <w:name w:val="Medium Grid 1"/>
    <w:basedOn w:val="Standardowy"/>
    <w:uiPriority w:val="67"/>
    <w:semiHidden/>
    <w:rsid w:val="00924F90"/>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000000" w:themeColor="text1"/>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24F90"/>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072BC" w:themeColor="accent1"/>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24F90"/>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C00000" w:themeColor="accent2"/>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24F90"/>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5F5F5F" w:themeColor="accent3"/>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24F90"/>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969696" w:themeColor="accent4"/>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24F90"/>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5F5F5F" w:themeColor="accent5"/>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24F90"/>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4D4D4D" w:themeColor="accent6"/>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24F9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24F9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24F9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24F9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24F9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24F9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24F9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24F90"/>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24F90"/>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24F90"/>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24F90"/>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24F90"/>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24F90"/>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24F90"/>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24F90"/>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cBorders>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24F90"/>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24F90"/>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24F90"/>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24F90"/>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24F90"/>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24F90"/>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24F9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24F9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24F9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24F9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24F9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24F9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24F9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Tabela-Efekty3W1">
    <w:name w:val="Table 3D effects 1"/>
    <w:basedOn w:val="Standardowy"/>
    <w:uiPriority w:val="99"/>
    <w:semiHidden/>
    <w:unhideWhenUsed/>
    <w:rsid w:val="00924F90"/>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24F90"/>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24F90"/>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24F90"/>
    <w:pPr>
      <w:jc w:val="both"/>
    </w:pPr>
    <w:tblPr>
      <w:tblBorders>
        <w:top w:val="single" w:sz="12" w:space="0" w:color="000000"/>
        <w:bottom w:val="single" w:sz="12" w:space="0" w:color="000000"/>
      </w:tblBorders>
    </w:tblPr>
    <w:tcPr>
      <w:shd w:val="clear" w:color="auto" w:fill="auto"/>
    </w:tc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24F90"/>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24F90"/>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24F90"/>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24F90"/>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rPr>
      <w:tblPr/>
      <w:tcPr>
        <w:tcBorders>
          <w:tl2br w:val="none" w:sz="0" w:space="0" w:color="auto"/>
          <w:tr2bl w:val="none" w:sz="0" w:space="0" w:color="auto"/>
        </w:tcBorders>
        <w:shd w:val="solid" w:color="000000" w:fill="FFFFFF"/>
      </w:tcPr>
    </w:tblStylePr>
    <w:tblStylePr w:type="firstCol">
      <w:rPr>
        <w:b/>
        <w:bCs/>
        <w:i/>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24F90"/>
    <w:pPr>
      <w:jc w:val="both"/>
    </w:pPr>
    <w:tblPr>
      <w:tblBorders>
        <w:bottom w:val="single" w:sz="12" w:space="0" w:color="000000"/>
      </w:tblBorders>
    </w:tblPr>
    <w:tcPr>
      <w:shd w:val="pct20" w:color="FFFF00" w:fill="FFFFFF"/>
    </w:tcPr>
    <w:tblStylePr w:type="firstRow">
      <w:rPr>
        <w:b/>
        <w:bCs/>
        <w:i/>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24F90"/>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24F90"/>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24F90"/>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24F90"/>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24F90"/>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24F90"/>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24F90"/>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24F90"/>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24F90"/>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24F90"/>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24F90"/>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24F90"/>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24F90"/>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24F90"/>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24F90"/>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24F90"/>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24F90"/>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24F90"/>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24F90"/>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24F90"/>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24F90"/>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24F90"/>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24F90"/>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24F90"/>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a-Profesjonalny">
    <w:name w:val="Table Professional"/>
    <w:basedOn w:val="Standardowy"/>
    <w:uiPriority w:val="99"/>
    <w:semiHidden/>
    <w:unhideWhenUsed/>
    <w:rsid w:val="00924F90"/>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24F90"/>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24F90"/>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24F90"/>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24F90"/>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24F90"/>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24F9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24F90"/>
    <w:pPr>
      <w:jc w:val="both"/>
    </w:pPr>
    <w:tblPr>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24F90"/>
    <w:pPr>
      <w:jc w:val="both"/>
    </w:pPr>
    <w:tblPr>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24F90"/>
    <w:pPr>
      <w:jc w:val="both"/>
    </w:pPr>
    <w:tblPr>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UGTable1">
    <w:name w:val="UG_Table1"/>
    <w:basedOn w:val="Standardowy"/>
    <w:uiPriority w:val="99"/>
    <w:rsid w:val="00783843"/>
    <w:rPr>
      <w:rFonts w:eastAsiaTheme="minorEastAsia"/>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55D103-1C8D-49AA-ACDD-F2BD65D917DE}">
  <ds:schemaRefs>
    <ds:schemaRef ds:uri="http://schemas.microsoft.com/sharepoint/v3/contenttype/forms"/>
  </ds:schemaRefs>
</ds:datastoreItem>
</file>

<file path=customXml/itemProps2.xml><?xml version="1.0" encoding="utf-8"?>
<ds:datastoreItem xmlns:ds="http://schemas.openxmlformats.org/officeDocument/2006/customXml" ds:itemID="{B76BA59A-A7AA-41A2-9D05-FE9EEAED28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382F3F67-7960-41FB-BC65-781BB89B7D1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FE8D45C-2372-4E0E-9E10-9E536A1B7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13455</Words>
  <Characters>80735</Characters>
  <Application>Microsoft Office Word</Application>
  <DocSecurity>0</DocSecurity>
  <Lines>672</Lines>
  <Paragraphs>188</Paragraphs>
  <ScaleCrop>false</ScaleCrop>
  <HeadingPairs>
    <vt:vector size="2" baseType="variant">
      <vt:variant>
        <vt:lpstr>Tytuł</vt:lpstr>
      </vt:variant>
      <vt:variant>
        <vt:i4>1</vt:i4>
      </vt:variant>
    </vt:vector>
  </HeadingPairs>
  <TitlesOfParts>
    <vt:vector size="1" baseType="lpstr">
      <vt:lpstr>ECHR</vt:lpstr>
    </vt:vector>
  </TitlesOfParts>
  <Company/>
  <LinksUpToDate>false</LinksUpToDate>
  <CharactersWithSpaces>94002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Szafrańska Urszula  (DWMPC)</dc:creator>
  <dc:description/>
  <cp:lastModifiedBy>Suchożebrska Eliza</cp:lastModifiedBy>
  <cp:revision>4</cp:revision>
  <cp:lastPrinted>2019-06-17T08:49:00Z</cp:lastPrinted>
  <dcterms:created xsi:type="dcterms:W3CDTF">2025-08-04T10:28:00Z</dcterms:created>
  <dcterms:modified xsi:type="dcterms:W3CDTF">2025-08-04T10:31:00Z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ASEID">
    <vt:lpwstr>892352</vt:lpwstr>
  </property>
  <property fmtid="{D5CDD505-2E9C-101B-9397-08002B2CF9AE}" pid="4" name="ContentTypeId">
    <vt:lpwstr>0x010100558EB02BDB9E204AB350EDD385B68E10</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RegisteredNo">
    <vt:lpwstr>41720/13</vt:lpwstr>
  </property>
  <property fmtid="{D5CDD505-2E9C-101B-9397-08002B2CF9AE}" pid="9" name="ScaleCrop">
    <vt:bool>false</vt:bool>
  </property>
  <property fmtid="{D5CDD505-2E9C-101B-9397-08002B2CF9AE}" pid="10" name="ShareDoc">
    <vt:bool>false</vt:bool>
  </property>
  <property fmtid="{D5CDD505-2E9C-101B-9397-08002B2CF9AE}" pid="11" name="category">
    <vt:lpwstr>ECHR Template</vt:lpwstr>
  </property>
  <property fmtid="{D5CDD505-2E9C-101B-9397-08002B2CF9AE}" pid="12" name="cstLanguage">
    <vt:i4>2057</vt:i4>
  </property>
</Properties>
</file>