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78B20E2" w14:textId="77777777" w:rsidR="0043088B" w:rsidRPr="0018779E" w:rsidRDefault="0043088B" w:rsidP="0043088B">
      <w:pPr>
        <w:spacing w:before="100" w:beforeAutospacing="1" w:after="120"/>
        <w:jc w:val="both"/>
        <w:rPr>
          <w:rFonts w:ascii="Times New Roman" w:hAnsi="Times New Roman" w:cs="Times New Roman"/>
          <w:sz w:val="20"/>
          <w:lang w:val="en-US"/>
        </w:rPr>
      </w:pPr>
      <w:r w:rsidRPr="0018779E">
        <w:rPr>
          <w:rFonts w:ascii="Times New Roman" w:hAnsi="Times New Roman" w:cs="Times New Roman"/>
          <w:sz w:val="20"/>
          <w:lang w:val="en-US"/>
        </w:rPr>
        <w:t xml:space="preserve">© Ministerstwo Sprawiedliwości, </w:t>
      </w:r>
      <w:hyperlink r:id="rId8" w:history="1">
        <w:r w:rsidRPr="0018779E">
          <w:rPr>
            <w:rStyle w:val="Hipercze"/>
            <w:rFonts w:ascii="Times New Roman" w:hAnsi="Times New Roman" w:cs="Times New Roman"/>
            <w:sz w:val="20"/>
            <w:lang w:val="en-US"/>
          </w:rPr>
          <w:t>www.gov.pl/web/sprawiedliwosc</w:t>
        </w:r>
      </w:hyperlink>
      <w:r w:rsidRPr="0018779E">
        <w:rPr>
          <w:rFonts w:ascii="Times New Roman" w:hAnsi="Times New Roman" w:cs="Times New Roman"/>
          <w:sz w:val="20"/>
          <w:lang w:val="en-US"/>
        </w:rPr>
        <w:t xml:space="preserve"> [Translation already published on the official website of the Polish Ministry of Justice] Permission to re-publish this translation has been granted by the Polish Ministry of Justice for the sole purpose of its inclusion in the Court’s database HUDOC</w:t>
      </w:r>
    </w:p>
    <w:p w14:paraId="2F7985CC" w14:textId="77777777" w:rsidR="0043088B" w:rsidRPr="00016937" w:rsidRDefault="0043088B" w:rsidP="0043088B">
      <w:pPr>
        <w:jc w:val="both"/>
        <w:rPr>
          <w:rFonts w:ascii="Times New Roman" w:hAnsi="Times New Roman" w:cs="Times New Roman"/>
        </w:rPr>
      </w:pPr>
      <w:r w:rsidRPr="00016937">
        <w:rPr>
          <w:rFonts w:ascii="Times New Roman" w:hAnsi="Times New Roman" w:cs="Times New Roman"/>
          <w:sz w:val="20"/>
        </w:rPr>
        <w:t xml:space="preserve">© Ministerstwo Sprawiedliwości, </w:t>
      </w:r>
      <w:hyperlink r:id="rId9" w:history="1">
        <w:r w:rsidRPr="00016937">
          <w:rPr>
            <w:rStyle w:val="Hipercze"/>
            <w:rFonts w:ascii="Times New Roman" w:hAnsi="Times New Roman" w:cs="Times New Roman"/>
            <w:sz w:val="20"/>
          </w:rPr>
          <w:t>www.gov.pl/web/sprawiedliwosc</w:t>
        </w:r>
      </w:hyperlink>
      <w:r w:rsidRPr="00016937">
        <w:rPr>
          <w:rFonts w:ascii="Times New Roman" w:hAnsi="Times New Roman" w:cs="Times New Roman"/>
          <w:sz w:val="20"/>
        </w:rPr>
        <w:t xml:space="preserve"> [Tłumaczenie zostało już opublikowane na oficjalnej stronie Ministerstwa Sprawiedliwości] Zezwolenie na publikację tego tłumaczenia zostało udzielone przez Ministerstwo Sprawiedliwości wyłącznie w celu zamieszczenia w bazie Trybunału HUDOC</w:t>
      </w:r>
    </w:p>
    <w:p w14:paraId="7C5DCF38" w14:textId="77777777" w:rsidR="00405F69" w:rsidRPr="00B91C3E" w:rsidRDefault="00405F69" w:rsidP="002E7E83">
      <w:pPr>
        <w:jc w:val="center"/>
      </w:pPr>
    </w:p>
    <w:p w14:paraId="35E387F6" w14:textId="0426EA45" w:rsidR="0098410D" w:rsidRPr="00B91C3E" w:rsidRDefault="001754CE" w:rsidP="0043088B">
      <w:pPr>
        <w:pStyle w:val="DecHTitle"/>
        <w:spacing w:after="0"/>
      </w:pPr>
      <w:r w:rsidRPr="00B91C3E">
        <w:t>PIERWSZA</w:t>
      </w:r>
      <w:r w:rsidR="004A39B1">
        <w:t xml:space="preserve"> </w:t>
      </w:r>
      <w:r w:rsidR="004A39B1" w:rsidRPr="00B91C3E">
        <w:t>SEKCJA</w:t>
      </w:r>
    </w:p>
    <w:p w14:paraId="74E3C281" w14:textId="77777777" w:rsidR="008E6217" w:rsidRPr="00B91C3E" w:rsidRDefault="001754CE" w:rsidP="004C0F6C">
      <w:pPr>
        <w:pStyle w:val="JuTitle"/>
        <w:spacing w:before="360"/>
      </w:pPr>
      <w:r w:rsidRPr="00B91C3E">
        <w:rPr>
          <w:color w:val="000000" w:themeColor="text1"/>
        </w:rPr>
        <w:t xml:space="preserve">SPRAWA </w:t>
      </w:r>
      <w:r w:rsidRPr="00B91C3E">
        <w:t>ZAKRZEWSKI PRZECIWKO POLSCE</w:t>
      </w:r>
    </w:p>
    <w:p w14:paraId="60A9BC68" w14:textId="63F5FCBB" w:rsidR="00D74888" w:rsidRPr="00B91C3E" w:rsidRDefault="001754CE" w:rsidP="000C2A92">
      <w:pPr>
        <w:pStyle w:val="ECHRCoverTitle4"/>
        <w:spacing w:after="240"/>
      </w:pPr>
      <w:r w:rsidRPr="00B91C3E">
        <w:t xml:space="preserve">(Skarga </w:t>
      </w:r>
      <w:r w:rsidR="00B91C3E">
        <w:t>nr </w:t>
      </w:r>
      <w:r w:rsidRPr="00B91C3E">
        <w:t>63277/19)</w:t>
      </w:r>
    </w:p>
    <w:p w14:paraId="0199603B" w14:textId="33EBD83B" w:rsidR="0098410D" w:rsidRPr="00B91C3E" w:rsidRDefault="0043088B" w:rsidP="002E7E83">
      <w:pPr>
        <w:pStyle w:val="DecHCase"/>
        <w:spacing w:after="360"/>
      </w:pPr>
      <w:r>
        <w:t>WYROK</w:t>
      </w:r>
    </w:p>
    <w:p w14:paraId="740D5819" w14:textId="00CB5E67" w:rsidR="00405F69" w:rsidRPr="00B91C3E" w:rsidRDefault="001754CE" w:rsidP="000C2A92">
      <w:pPr>
        <w:pStyle w:val="JuPara"/>
        <w:pBdr>
          <w:top w:val="single" w:sz="4" w:space="1" w:color="auto"/>
          <w:left w:val="single" w:sz="4" w:space="4" w:color="auto"/>
          <w:bottom w:val="single" w:sz="4" w:space="1" w:color="auto"/>
          <w:right w:val="single" w:sz="4" w:space="4" w:color="auto"/>
        </w:pBdr>
        <w:spacing w:after="120"/>
        <w:ind w:firstLine="0"/>
      </w:pPr>
      <w:r w:rsidRPr="00B91C3E">
        <w:t>Art</w:t>
      </w:r>
      <w:r w:rsidR="002538A2">
        <w:t>ykuł</w:t>
      </w:r>
      <w:r w:rsidRPr="00B91C3E">
        <w:t xml:space="preserve"> 6 ust. 1 (aspekt karny)</w:t>
      </w:r>
      <w:r w:rsidR="002538A2" w:rsidRPr="002538A2">
        <w:t xml:space="preserve"> • </w:t>
      </w:r>
      <w:r w:rsidRPr="00B91C3E">
        <w:t>Rzetelne rozpatrzenie sprawy</w:t>
      </w:r>
      <w:r w:rsidR="002538A2" w:rsidRPr="002538A2">
        <w:t xml:space="preserve"> • </w:t>
      </w:r>
      <w:r w:rsidRPr="00B91C3E">
        <w:t>Podwyższenie wymiaru kary pozbawienia wolności skarżącego</w:t>
      </w:r>
      <w:r w:rsidR="00B91C3E">
        <w:t xml:space="preserve"> w </w:t>
      </w:r>
      <w:r w:rsidRPr="00B91C3E">
        <w:t>następstwie kasacji wniesionej przez Prokuratora Generalnego</w:t>
      </w:r>
      <w:r w:rsidR="00B91C3E">
        <w:t xml:space="preserve"> i </w:t>
      </w:r>
      <w:r w:rsidRPr="00B91C3E">
        <w:t>ponowne rozpatrzenie sprawy po odbyciu przez niego ponad połowy kary</w:t>
      </w:r>
      <w:r w:rsidR="00B91C3E">
        <w:t xml:space="preserve"> i </w:t>
      </w:r>
      <w:r w:rsidRPr="00B91C3E">
        <w:t>warunkowym zwolnieniu</w:t>
      </w:r>
      <w:r w:rsidR="002538A2" w:rsidRPr="002538A2">
        <w:t xml:space="preserve"> • </w:t>
      </w:r>
      <w:r w:rsidRPr="00B91C3E">
        <w:t>Niezachowanie przez sądy krajowe właściwej równowagi między interesem skarżącego</w:t>
      </w:r>
      <w:r w:rsidR="00B91C3E">
        <w:t xml:space="preserve"> a </w:t>
      </w:r>
      <w:r w:rsidRPr="00B91C3E">
        <w:t>potrzebą zapewnienia skuteczności wymiaru sprawiedliwości</w:t>
      </w:r>
      <w:r w:rsidR="002538A2" w:rsidRPr="002538A2">
        <w:t xml:space="preserve"> • </w:t>
      </w:r>
      <w:r w:rsidRPr="00B91C3E">
        <w:t>Brak oceny jakichkolwiek fundamentalnych wad postępowania karnego</w:t>
      </w:r>
      <w:r w:rsidR="00B91C3E">
        <w:t xml:space="preserve"> i </w:t>
      </w:r>
      <w:r w:rsidRPr="00B91C3E">
        <w:t>jakiegokolwiek rozważenia sytuacji skarżącego nie spełniał standardów orzecznictwa Trybunału</w:t>
      </w:r>
    </w:p>
    <w:p w14:paraId="0E18BBE0" w14:textId="24FFC551" w:rsidR="00405F69" w:rsidRPr="00B91C3E" w:rsidRDefault="009E58FB" w:rsidP="002E7E83">
      <w:pPr>
        <w:pStyle w:val="JuPara"/>
        <w:pBdr>
          <w:top w:val="single" w:sz="4" w:space="1" w:color="auto"/>
          <w:left w:val="single" w:sz="4" w:space="4" w:color="auto"/>
          <w:bottom w:val="single" w:sz="4" w:space="1" w:color="auto"/>
          <w:right w:val="single" w:sz="4" w:space="4" w:color="auto"/>
        </w:pBdr>
        <w:jc w:val="center"/>
        <w:rPr>
          <w:sz w:val="20"/>
          <w:szCs w:val="20"/>
        </w:rPr>
      </w:pPr>
      <w:r w:rsidRPr="00B91C3E">
        <w:rPr>
          <w:sz w:val="20"/>
          <w:szCs w:val="20"/>
        </w:rPr>
        <w:t>Tekst przygotowała Kancelaria. Nie jest wiążący dla Trybunału.</w:t>
      </w:r>
    </w:p>
    <w:p w14:paraId="33DB495B" w14:textId="77777777" w:rsidR="0098410D" w:rsidRPr="00B91C3E" w:rsidRDefault="001754CE" w:rsidP="000C2A92">
      <w:pPr>
        <w:pStyle w:val="DecHCase"/>
        <w:spacing w:before="120" w:after="120"/>
      </w:pPr>
      <w:r w:rsidRPr="00B91C3E">
        <w:t>STRASBURG</w:t>
      </w:r>
    </w:p>
    <w:p w14:paraId="7E9A009F" w14:textId="2226601D" w:rsidR="0098410D" w:rsidRDefault="001754CE" w:rsidP="002E7E83">
      <w:pPr>
        <w:pStyle w:val="DecHCase"/>
        <w:rPr>
          <w:rFonts w:ascii="Times New Roman" w:hAnsi="Times New Roman"/>
        </w:rPr>
      </w:pPr>
      <w:r w:rsidRPr="00B91C3E">
        <w:rPr>
          <w:rFonts w:ascii="Times New Roman" w:hAnsi="Times New Roman"/>
        </w:rPr>
        <w:t>14 listopada 2024</w:t>
      </w:r>
      <w:r w:rsidR="00B91C3E">
        <w:rPr>
          <w:rFonts w:ascii="Times New Roman" w:hAnsi="Times New Roman"/>
        </w:rPr>
        <w:t> r.</w:t>
      </w:r>
    </w:p>
    <w:p w14:paraId="0793C966" w14:textId="77777777" w:rsidR="004D3D16" w:rsidRDefault="004D3D16" w:rsidP="004D3D16">
      <w:pPr>
        <w:pStyle w:val="JuPara"/>
        <w:jc w:val="center"/>
        <w:rPr>
          <w:rStyle w:val="sa36b60a1"/>
          <w:rFonts w:cstheme="minorHAnsi"/>
          <w:i/>
          <w:iCs/>
          <w:color w:val="000000"/>
          <w:sz w:val="22"/>
          <w:szCs w:val="22"/>
        </w:rPr>
      </w:pPr>
      <w:r w:rsidRPr="004D3D16">
        <w:rPr>
          <w:rStyle w:val="sa36b60a1"/>
          <w:rFonts w:cstheme="minorHAnsi"/>
          <w:i/>
          <w:iCs/>
          <w:color w:val="000000"/>
          <w:sz w:val="22"/>
          <w:szCs w:val="22"/>
        </w:rPr>
        <w:t xml:space="preserve">Niniejsza wersja wyroku została sprostowana w dniu 6 marca 2025 r. </w:t>
      </w:r>
    </w:p>
    <w:p w14:paraId="3919891D" w14:textId="54CE40AB" w:rsidR="004D3D16" w:rsidRPr="004D3D16" w:rsidRDefault="004D3D16" w:rsidP="004D3D16">
      <w:pPr>
        <w:pStyle w:val="JuPara"/>
        <w:jc w:val="center"/>
        <w:rPr>
          <w:rFonts w:cstheme="minorHAnsi"/>
        </w:rPr>
      </w:pPr>
      <w:r w:rsidRPr="004D3D16">
        <w:rPr>
          <w:rStyle w:val="sa36b60a1"/>
          <w:rFonts w:cstheme="minorHAnsi"/>
          <w:i/>
          <w:iCs/>
          <w:color w:val="000000"/>
          <w:sz w:val="22"/>
          <w:szCs w:val="22"/>
        </w:rPr>
        <w:t>zgodnie z</w:t>
      </w:r>
      <w:r>
        <w:rPr>
          <w:rStyle w:val="sa36b60a1"/>
          <w:rFonts w:cstheme="minorHAnsi"/>
          <w:i/>
          <w:iCs/>
          <w:color w:val="000000"/>
          <w:sz w:val="22"/>
          <w:szCs w:val="22"/>
        </w:rPr>
        <w:t xml:space="preserve"> Regułą 81 Regulaminu Trybunału</w:t>
      </w:r>
      <w:r w:rsidRPr="004D3D16">
        <w:rPr>
          <w:rStyle w:val="sa36b60a1"/>
          <w:rFonts w:cstheme="minorHAnsi"/>
          <w:i/>
          <w:iCs/>
          <w:color w:val="000000"/>
          <w:sz w:val="22"/>
          <w:szCs w:val="22"/>
        </w:rPr>
        <w:t xml:space="preserve"> </w:t>
      </w:r>
    </w:p>
    <w:p w14:paraId="23ADF3C8" w14:textId="77777777" w:rsidR="004D3D16" w:rsidRPr="004D3D16" w:rsidRDefault="004D3D16" w:rsidP="004D3D16">
      <w:pPr>
        <w:pStyle w:val="JuPara"/>
        <w:jc w:val="center"/>
      </w:pPr>
    </w:p>
    <w:p w14:paraId="636DF5C1" w14:textId="38723E86" w:rsidR="004D3D16" w:rsidRPr="004D3D16" w:rsidRDefault="004D3D16" w:rsidP="004D3D16">
      <w:pPr>
        <w:pStyle w:val="jucase0"/>
        <w:ind w:firstLine="0"/>
        <w:jc w:val="center"/>
        <w:rPr>
          <w:color w:val="FF0000"/>
          <w:sz w:val="28"/>
          <w:szCs w:val="28"/>
          <w:u w:val="single"/>
          <w:lang w:val="pl-PL"/>
        </w:rPr>
      </w:pPr>
      <w:r>
        <w:rPr>
          <w:color w:val="FF0000"/>
          <w:sz w:val="28"/>
          <w:szCs w:val="28"/>
          <w:u w:val="single"/>
          <w:lang w:val="pl-PL"/>
        </w:rPr>
        <w:t>OSTATECZNY</w:t>
      </w:r>
    </w:p>
    <w:p w14:paraId="37A706BE" w14:textId="77777777" w:rsidR="004D3D16" w:rsidRPr="004D3D16" w:rsidRDefault="004D3D16" w:rsidP="004C0F6C">
      <w:pPr>
        <w:pStyle w:val="jucase0"/>
        <w:spacing w:after="120"/>
        <w:ind w:firstLine="0"/>
        <w:jc w:val="center"/>
        <w:rPr>
          <w:b w:val="0"/>
          <w:color w:val="FF0000"/>
          <w:sz w:val="28"/>
          <w:szCs w:val="28"/>
          <w:lang w:val="pl-PL"/>
        </w:rPr>
      </w:pPr>
      <w:r w:rsidRPr="004D3D16">
        <w:rPr>
          <w:b w:val="0"/>
          <w:color w:val="FF0000"/>
          <w:sz w:val="28"/>
          <w:szCs w:val="28"/>
          <w:lang w:val="pl-PL"/>
        </w:rPr>
        <w:t>14/02/2025</w:t>
      </w:r>
    </w:p>
    <w:p w14:paraId="0613D066" w14:textId="5073D1A5" w:rsidR="002422B6" w:rsidRPr="00B91C3E" w:rsidRDefault="001754CE" w:rsidP="000C2A92">
      <w:pPr>
        <w:jc w:val="center"/>
        <w:rPr>
          <w:i/>
          <w:sz w:val="22"/>
        </w:rPr>
      </w:pPr>
      <w:r w:rsidRPr="00B91C3E">
        <w:rPr>
          <w:i/>
          <w:sz w:val="22"/>
        </w:rPr>
        <w:t>Wyrok ten sta</w:t>
      </w:r>
      <w:r w:rsidR="0043088B">
        <w:rPr>
          <w:i/>
          <w:sz w:val="22"/>
        </w:rPr>
        <w:t>ł</w:t>
      </w:r>
      <w:r w:rsidRPr="00B91C3E">
        <w:rPr>
          <w:i/>
          <w:sz w:val="22"/>
        </w:rPr>
        <w:t xml:space="preserve"> się ostateczny na zasadach określonych</w:t>
      </w:r>
      <w:r w:rsidR="00B91C3E">
        <w:rPr>
          <w:i/>
          <w:sz w:val="22"/>
        </w:rPr>
        <w:t xml:space="preserve"> w </w:t>
      </w:r>
      <w:r w:rsidRPr="00B91C3E">
        <w:rPr>
          <w:i/>
          <w:sz w:val="22"/>
        </w:rPr>
        <w:t>art. 44 ust. 2 Konwencji. Wyrok może podlegać korekcie wydawniczej.</w:t>
      </w:r>
    </w:p>
    <w:p w14:paraId="302E61F6" w14:textId="46945FC7" w:rsidR="00405F69" w:rsidRPr="00B91C3E" w:rsidRDefault="00405F69" w:rsidP="002E7E83">
      <w:pPr>
        <w:sectPr w:rsidR="00405F69" w:rsidRPr="00B91C3E" w:rsidSect="00D66471">
          <w:headerReference w:type="default" r:id="rId10"/>
          <w:footerReference w:type="default" r:id="rId11"/>
          <w:headerReference w:type="first" r:id="rId12"/>
          <w:footerReference w:type="first" r:id="rId13"/>
          <w:footnotePr>
            <w:numRestart w:val="eachSect"/>
          </w:footnotePr>
          <w:endnotePr>
            <w:numFmt w:val="decimal"/>
          </w:endnotePr>
          <w:pgSz w:w="11906" w:h="16838" w:code="9"/>
          <w:pgMar w:top="2274" w:right="2274" w:bottom="2274" w:left="2274" w:header="1701" w:footer="720" w:gutter="0"/>
          <w:pgNumType w:start="1"/>
          <w:cols w:space="720"/>
          <w:noEndnote/>
          <w:titlePg/>
        </w:sectPr>
      </w:pPr>
    </w:p>
    <w:p w14:paraId="7E70E79D" w14:textId="2A59836E" w:rsidR="0098410D" w:rsidRPr="00B91C3E" w:rsidRDefault="00B91C3E" w:rsidP="002E7E83">
      <w:pPr>
        <w:pStyle w:val="JuCase"/>
      </w:pPr>
      <w:r>
        <w:lastRenderedPageBreak/>
        <w:t>W </w:t>
      </w:r>
      <w:r w:rsidRPr="00B91C3E">
        <w:t>sprawie Zakrzewski przeciwko Polsce,</w:t>
      </w:r>
    </w:p>
    <w:p w14:paraId="4C727CA7" w14:textId="5E0AE8C6" w:rsidR="009F4C8F" w:rsidRPr="00B91C3E" w:rsidRDefault="001754CE" w:rsidP="002E7E83">
      <w:pPr>
        <w:pStyle w:val="JuPara"/>
      </w:pPr>
      <w:r w:rsidRPr="00B91C3E">
        <w:t>Europejski Trybunał Praw Człowieka (</w:t>
      </w:r>
      <w:r w:rsidR="004A39B1">
        <w:t>pierwsza sekcja</w:t>
      </w:r>
      <w:r w:rsidRPr="00B91C3E">
        <w:t>), zasiadając jako Izba</w:t>
      </w:r>
      <w:r w:rsidR="00B91C3E">
        <w:t xml:space="preserve"> w </w:t>
      </w:r>
      <w:r w:rsidRPr="00B91C3E">
        <w:t>składzie:</w:t>
      </w:r>
    </w:p>
    <w:p w14:paraId="5F24EE01" w14:textId="77777777" w:rsidR="00A92625" w:rsidRPr="00B91C3E" w:rsidRDefault="001754CE" w:rsidP="002E7E83">
      <w:pPr>
        <w:pStyle w:val="JuJudges"/>
      </w:pPr>
      <w:r w:rsidRPr="00B91C3E">
        <w:tab/>
        <w:t>Ivana Jelić</w:t>
      </w:r>
      <w:r w:rsidRPr="00B91C3E">
        <w:rPr>
          <w:i/>
        </w:rPr>
        <w:t>, Pr</w:t>
      </w:r>
      <w:r w:rsidRPr="00B91C3E">
        <w:t>z</w:t>
      </w:r>
      <w:r w:rsidRPr="00B91C3E">
        <w:rPr>
          <w:i/>
          <w:iCs/>
        </w:rPr>
        <w:t>ewodnicząca</w:t>
      </w:r>
      <w:r w:rsidRPr="00B91C3E">
        <w:t>,</w:t>
      </w:r>
      <w:r w:rsidRPr="00B91C3E">
        <w:br/>
      </w:r>
      <w:r w:rsidRPr="00B91C3E">
        <w:tab/>
        <w:t>Krzysztof Wojtyczek,</w:t>
      </w:r>
      <w:r w:rsidRPr="00B91C3E">
        <w:br/>
      </w:r>
      <w:r w:rsidRPr="00B91C3E">
        <w:tab/>
        <w:t>Lətif Hüseynov,</w:t>
      </w:r>
      <w:r w:rsidRPr="00B91C3E">
        <w:br/>
      </w:r>
      <w:r w:rsidRPr="00B91C3E">
        <w:tab/>
        <w:t>Gilberto Felici,</w:t>
      </w:r>
      <w:r w:rsidRPr="00B91C3E">
        <w:br/>
      </w:r>
      <w:r w:rsidRPr="00B91C3E">
        <w:tab/>
        <w:t>Erik Wennerström,</w:t>
      </w:r>
      <w:r w:rsidRPr="00B91C3E">
        <w:br/>
      </w:r>
      <w:r w:rsidRPr="00B91C3E">
        <w:tab/>
        <w:t>Raffaele Sabato,</w:t>
      </w:r>
      <w:r w:rsidRPr="00B91C3E">
        <w:br/>
      </w:r>
      <w:r w:rsidRPr="00B91C3E">
        <w:tab/>
        <w:t>Alain Chablais</w:t>
      </w:r>
      <w:r w:rsidRPr="00B91C3E">
        <w:rPr>
          <w:i/>
        </w:rPr>
        <w:t>, Sędziowie</w:t>
      </w:r>
      <w:r w:rsidRPr="00B91C3E">
        <w:t>,</w:t>
      </w:r>
      <w:r w:rsidRPr="00B91C3E">
        <w:br/>
        <w:t xml:space="preserve">oraz Ilse Freiwirth, </w:t>
      </w:r>
      <w:r w:rsidRPr="00B91C3E">
        <w:rPr>
          <w:i/>
        </w:rPr>
        <w:t>Kanclerz Sekcji,</w:t>
      </w:r>
    </w:p>
    <w:p w14:paraId="26CB8650" w14:textId="6390E2AC" w:rsidR="004E2A87" w:rsidRPr="00B91C3E" w:rsidRDefault="004A39B1" w:rsidP="002E7E83">
      <w:pPr>
        <w:pStyle w:val="JuPara"/>
      </w:pPr>
      <w:r>
        <w:t>m</w:t>
      </w:r>
      <w:r w:rsidRPr="00B91C3E">
        <w:t>ając na uwadze:</w:t>
      </w:r>
    </w:p>
    <w:p w14:paraId="68EC7EC1" w14:textId="3D8D4CBE" w:rsidR="004E2A87" w:rsidRPr="00B91C3E" w:rsidRDefault="001754CE" w:rsidP="002E7E83">
      <w:pPr>
        <w:pStyle w:val="JuPara"/>
      </w:pPr>
      <w:r w:rsidRPr="00B91C3E">
        <w:t>skargę (</w:t>
      </w:r>
      <w:r w:rsidR="00B91C3E">
        <w:t>nr </w:t>
      </w:r>
      <w:r w:rsidRPr="00B91C3E">
        <w:t>63277/19) przeciwko Rzeczypospolitej Polskiej wniesioną do</w:t>
      </w:r>
      <w:r w:rsidR="004D3D16">
        <w:t> </w:t>
      </w:r>
      <w:r w:rsidRPr="00B91C3E">
        <w:t>Trybunału</w:t>
      </w:r>
      <w:r w:rsidR="00B91C3E">
        <w:t xml:space="preserve"> w </w:t>
      </w:r>
      <w:r w:rsidRPr="00B91C3E">
        <w:t>dniu 27 listopada 2019</w:t>
      </w:r>
      <w:r w:rsidR="00B91C3E">
        <w:t> r.</w:t>
      </w:r>
      <w:r w:rsidRPr="00B91C3E">
        <w:t xml:space="preserve"> na podstawie art. 34 Konwencji</w:t>
      </w:r>
      <w:r w:rsidR="00B91C3E">
        <w:t xml:space="preserve"> o </w:t>
      </w:r>
      <w:r w:rsidRPr="00B91C3E">
        <w:t>ochronie praw człowieka</w:t>
      </w:r>
      <w:r w:rsidR="00B91C3E">
        <w:t xml:space="preserve"> i </w:t>
      </w:r>
      <w:r w:rsidRPr="00B91C3E">
        <w:t>podstawowych wolności („Konwencja”) przez obywatela polskiego Łukasza Zakrzewskiego („skarżący”);</w:t>
      </w:r>
    </w:p>
    <w:p w14:paraId="53C7AE32" w14:textId="052B2C8C" w:rsidR="004E2A87" w:rsidRPr="00B91C3E" w:rsidRDefault="001754CE" w:rsidP="002E7E83">
      <w:pPr>
        <w:pStyle w:val="JuPara"/>
      </w:pPr>
      <w:r w:rsidRPr="00B91C3E">
        <w:t>decyzję</w:t>
      </w:r>
      <w:r w:rsidR="00B91C3E">
        <w:t xml:space="preserve"> o </w:t>
      </w:r>
      <w:r w:rsidRPr="00CA0241">
        <w:t>za</w:t>
      </w:r>
      <w:r w:rsidR="004D3D16">
        <w:t>komunikowaniu Rządowi Polskiemu</w:t>
      </w:r>
      <w:r w:rsidRPr="00B91C3E">
        <w:t xml:space="preserve"> („Rząd”)</w:t>
      </w:r>
      <w:r w:rsidR="00B91C3E">
        <w:t xml:space="preserve"> </w:t>
      </w:r>
      <w:r w:rsidR="004D3D16">
        <w:t>skarg</w:t>
      </w:r>
      <w:r w:rsidRPr="00B91C3E">
        <w:t xml:space="preserve"> na</w:t>
      </w:r>
      <w:r w:rsidR="004D3D16">
        <w:t> </w:t>
      </w:r>
      <w:r w:rsidRPr="00B91C3E">
        <w:t xml:space="preserve">podstawie art. 6 ust. 1 Konwencji oraz art. 4 ust. 1 Protokołu </w:t>
      </w:r>
      <w:r w:rsidR="00B91C3E">
        <w:t>nr </w:t>
      </w:r>
      <w:r w:rsidRPr="00B91C3E">
        <w:t>7 do</w:t>
      </w:r>
      <w:r w:rsidR="004D3D16">
        <w:t> </w:t>
      </w:r>
      <w:r w:rsidRPr="00B91C3E">
        <w:t>Konwencji;</w:t>
      </w:r>
    </w:p>
    <w:p w14:paraId="2E728636" w14:textId="77777777" w:rsidR="004E2A87" w:rsidRPr="00B91C3E" w:rsidRDefault="001754CE" w:rsidP="002E7E83">
      <w:pPr>
        <w:pStyle w:val="JuPara"/>
      </w:pPr>
      <w:r w:rsidRPr="00B91C3E">
        <w:t>uwagi stron;</w:t>
      </w:r>
    </w:p>
    <w:p w14:paraId="7A939B7B" w14:textId="695BAB32" w:rsidR="009F4C8F" w:rsidRPr="00B91C3E" w:rsidRDefault="001754CE" w:rsidP="002E7E83">
      <w:pPr>
        <w:pStyle w:val="JuPara"/>
      </w:pPr>
      <w:r w:rsidRPr="00B91C3E">
        <w:t>obradując na posiedzeniu niejawnym</w:t>
      </w:r>
      <w:r w:rsidR="00B91C3E">
        <w:t xml:space="preserve"> w </w:t>
      </w:r>
      <w:r w:rsidRPr="00B91C3E">
        <w:t>dniu 8 października 2024</w:t>
      </w:r>
      <w:r w:rsidR="00B91C3E">
        <w:t> r.</w:t>
      </w:r>
      <w:r w:rsidRPr="00B91C3E">
        <w:t>,</w:t>
      </w:r>
    </w:p>
    <w:p w14:paraId="0BC0C409" w14:textId="7CC38F20" w:rsidR="009F4C8F" w:rsidRPr="00B91C3E" w:rsidRDefault="001754CE" w:rsidP="002E7E83">
      <w:pPr>
        <w:pStyle w:val="JuPara"/>
      </w:pPr>
      <w:r w:rsidRPr="00B91C3E">
        <w:t>wydaje następujący wyrok, który został przyjęty</w:t>
      </w:r>
      <w:r w:rsidR="00B91C3E">
        <w:t xml:space="preserve"> w </w:t>
      </w:r>
      <w:r w:rsidRPr="00B91C3E">
        <w:t>tym dniu:</w:t>
      </w:r>
    </w:p>
    <w:p w14:paraId="7D2D349A" w14:textId="77777777" w:rsidR="004E2A87" w:rsidRPr="00B91C3E" w:rsidRDefault="001754CE" w:rsidP="002E7E83">
      <w:pPr>
        <w:pStyle w:val="JuHHead"/>
      </w:pPr>
      <w:r w:rsidRPr="00B91C3E">
        <w:t>WPROWADZENIE</w:t>
      </w:r>
    </w:p>
    <w:p w14:paraId="4A480602" w14:textId="48EF3818" w:rsidR="004E2A87" w:rsidRPr="00B91C3E" w:rsidRDefault="009E58FB" w:rsidP="002E7E83">
      <w:pPr>
        <w:pStyle w:val="JuPara"/>
      </w:pPr>
      <w:r w:rsidRPr="00B91C3E">
        <w:rPr>
          <w:noProof/>
        </w:rPr>
        <w:t>1</w:t>
      </w:r>
      <w:r w:rsidR="001754CE" w:rsidRPr="00B91C3E">
        <w:t>.</w:t>
      </w:r>
      <w:r w:rsidR="00CA0241">
        <w:t xml:space="preserve"> </w:t>
      </w:r>
      <w:r w:rsidR="001754CE" w:rsidRPr="00B91C3E">
        <w:t>Niniejsza skarga dotyczy kary pozbawienia wolności skarżącego, której wymiar</w:t>
      </w:r>
      <w:r w:rsidR="00B91C3E">
        <w:t xml:space="preserve"> w </w:t>
      </w:r>
      <w:r w:rsidR="001754CE" w:rsidRPr="00B91C3E">
        <w:t>wyniku kasacji wniesionej przez Ministra Sprawiedliwości</w:t>
      </w:r>
      <w:r w:rsidR="00A45E6B">
        <w:t> </w:t>
      </w:r>
      <w:r w:rsidR="001754CE" w:rsidRPr="00B91C3E">
        <w:t>/</w:t>
      </w:r>
      <w:r w:rsidR="00A45E6B">
        <w:t xml:space="preserve"> </w:t>
      </w:r>
      <w:r w:rsidR="001754CE" w:rsidRPr="00B91C3E">
        <w:t>Prokuratora Generalnego został podwyższony po odbyciu przez niego ponad połowy pierwotnej kary</w:t>
      </w:r>
      <w:r w:rsidR="00B91C3E">
        <w:t xml:space="preserve"> i </w:t>
      </w:r>
      <w:r w:rsidR="001754CE" w:rsidRPr="00B91C3E">
        <w:t>po warunkowym zwolnieniu</w:t>
      </w:r>
      <w:r w:rsidR="00B91C3E">
        <w:t xml:space="preserve"> z </w:t>
      </w:r>
      <w:r w:rsidR="001754CE" w:rsidRPr="00B91C3E">
        <w:t>zakładu karnego.</w:t>
      </w:r>
    </w:p>
    <w:p w14:paraId="481B638D" w14:textId="77777777" w:rsidR="004E2A87" w:rsidRPr="00B91C3E" w:rsidRDefault="001754CE" w:rsidP="002E7E83">
      <w:pPr>
        <w:pStyle w:val="JuHHead"/>
      </w:pPr>
      <w:r w:rsidRPr="00B91C3E">
        <w:t>STAN FAKTYCZNY</w:t>
      </w:r>
    </w:p>
    <w:p w14:paraId="5DC6F67B" w14:textId="0ADEEE5B" w:rsidR="004E2A87" w:rsidRPr="00B91C3E" w:rsidRDefault="009E58FB" w:rsidP="002E7E83">
      <w:pPr>
        <w:pStyle w:val="JuPara"/>
      </w:pPr>
      <w:r w:rsidRPr="00B91C3E">
        <w:rPr>
          <w:noProof/>
        </w:rPr>
        <w:t>2</w:t>
      </w:r>
      <w:r w:rsidR="001754CE" w:rsidRPr="00B91C3E">
        <w:t>.</w:t>
      </w:r>
      <w:r w:rsidR="00CA0241">
        <w:t xml:space="preserve"> </w:t>
      </w:r>
      <w:r w:rsidR="001754CE" w:rsidRPr="00B91C3E">
        <w:t>Skarżący urodził się</w:t>
      </w:r>
      <w:r w:rsidR="00B91C3E">
        <w:t xml:space="preserve"> w </w:t>
      </w:r>
      <w:r w:rsidR="001754CE" w:rsidRPr="00B91C3E">
        <w:t>1990</w:t>
      </w:r>
      <w:r w:rsidR="00B91C3E">
        <w:t> r. i </w:t>
      </w:r>
      <w:r w:rsidR="001754CE" w:rsidRPr="00B91C3E">
        <w:t>mieszka</w:t>
      </w:r>
      <w:r w:rsidR="00B91C3E">
        <w:t xml:space="preserve"> w </w:t>
      </w:r>
      <w:r w:rsidR="001754CE" w:rsidRPr="00B91C3E">
        <w:t>Zakrzowie. Skarżącego reprezentowała p. M. Gąsiorowska, prawniczka prowadząca praktykę</w:t>
      </w:r>
      <w:r w:rsidR="00B91C3E">
        <w:t xml:space="preserve"> w </w:t>
      </w:r>
      <w:r w:rsidR="001754CE" w:rsidRPr="00B91C3E">
        <w:t>Warszawie.</w:t>
      </w:r>
    </w:p>
    <w:p w14:paraId="34EAB9DB" w14:textId="0D1B969C" w:rsidR="004E2A87" w:rsidRPr="00B91C3E" w:rsidRDefault="009E58FB" w:rsidP="002E7E83">
      <w:pPr>
        <w:pStyle w:val="JuPara"/>
      </w:pPr>
      <w:r w:rsidRPr="00B91C3E">
        <w:rPr>
          <w:noProof/>
        </w:rPr>
        <w:t>3</w:t>
      </w:r>
      <w:r w:rsidR="001754CE" w:rsidRPr="00B91C3E">
        <w:t>.</w:t>
      </w:r>
      <w:r w:rsidR="00CA0241">
        <w:t xml:space="preserve"> </w:t>
      </w:r>
      <w:r w:rsidR="001754CE" w:rsidRPr="00B91C3E">
        <w:t>Rząd reprezentowany był przez swojego pełnomocnika</w:t>
      </w:r>
      <w:r w:rsidR="00690DA0">
        <w:t xml:space="preserve"> </w:t>
      </w:r>
      <w:r w:rsidR="001754CE" w:rsidRPr="00B91C3E">
        <w:t>J. Sobczaka</w:t>
      </w:r>
      <w:r w:rsidR="00B91C3E">
        <w:t xml:space="preserve"> z </w:t>
      </w:r>
      <w:r w:rsidR="001754CE" w:rsidRPr="00B91C3E">
        <w:t>Ministerstwa Spraw Zagranicznych.</w:t>
      </w:r>
    </w:p>
    <w:p w14:paraId="2BE8D2FD" w14:textId="644A7073" w:rsidR="004E2A87" w:rsidRPr="00B91C3E" w:rsidRDefault="009E58FB" w:rsidP="002E7E83">
      <w:pPr>
        <w:pStyle w:val="JuPara"/>
      </w:pPr>
      <w:r w:rsidRPr="00B91C3E">
        <w:rPr>
          <w:noProof/>
        </w:rPr>
        <w:t>4</w:t>
      </w:r>
      <w:r w:rsidR="001754CE" w:rsidRPr="00B91C3E">
        <w:t>.</w:t>
      </w:r>
      <w:r w:rsidR="00CA0241">
        <w:t xml:space="preserve"> </w:t>
      </w:r>
      <w:r w:rsidR="001754CE" w:rsidRPr="00B91C3E">
        <w:t>Okoliczności faktyczne sprawy można streścić</w:t>
      </w:r>
      <w:r w:rsidR="00B91C3E">
        <w:t xml:space="preserve"> w </w:t>
      </w:r>
      <w:r w:rsidR="001754CE" w:rsidRPr="00B91C3E">
        <w:t>następujący sposób.</w:t>
      </w:r>
    </w:p>
    <w:p w14:paraId="1DF2F1E1" w14:textId="4E3C82D9" w:rsidR="004E2A87" w:rsidRPr="00B91C3E" w:rsidRDefault="009E58FB" w:rsidP="002E7E83">
      <w:pPr>
        <w:pStyle w:val="JuPara"/>
      </w:pPr>
      <w:r w:rsidRPr="00B91C3E">
        <w:rPr>
          <w:noProof/>
        </w:rPr>
        <w:t>5</w:t>
      </w:r>
      <w:r w:rsidR="001754CE" w:rsidRPr="00B91C3E">
        <w:t>.</w:t>
      </w:r>
      <w:r w:rsidR="00CA0241">
        <w:t xml:space="preserve"> </w:t>
      </w:r>
      <w:r w:rsidR="00B91C3E">
        <w:t>W </w:t>
      </w:r>
      <w:r w:rsidR="001754CE" w:rsidRPr="00B91C3E">
        <w:t>dniu 22 listopada 2016</w:t>
      </w:r>
      <w:r w:rsidR="00B91C3E">
        <w:t> r.</w:t>
      </w:r>
      <w:r w:rsidR="001754CE" w:rsidRPr="00B91C3E">
        <w:t xml:space="preserve"> dom skarżącego,</w:t>
      </w:r>
      <w:r w:rsidR="00B91C3E">
        <w:t xml:space="preserve"> w </w:t>
      </w:r>
      <w:r w:rsidR="001754CE" w:rsidRPr="00B91C3E">
        <w:t>którym mieszkał</w:t>
      </w:r>
      <w:r w:rsidR="00B91C3E">
        <w:t xml:space="preserve"> z </w:t>
      </w:r>
      <w:r w:rsidR="001754CE" w:rsidRPr="00B91C3E">
        <w:t>bratem</w:t>
      </w:r>
      <w:r w:rsidR="00B91C3E">
        <w:t xml:space="preserve"> i </w:t>
      </w:r>
      <w:r w:rsidR="001754CE" w:rsidRPr="00B91C3E">
        <w:t>matką, został przeszukany przez policję</w:t>
      </w:r>
      <w:r w:rsidR="00B91C3E">
        <w:t xml:space="preserve"> w </w:t>
      </w:r>
      <w:r w:rsidR="001754CE" w:rsidRPr="00B91C3E">
        <w:t>poszukiwaniu narkotyków. Podczas przeszukania znaleziono ponad pięć kilogramów marihuany. Skarżący oświadczył, że znalazł narkotyki</w:t>
      </w:r>
      <w:r w:rsidR="00B91C3E">
        <w:t xml:space="preserve"> w </w:t>
      </w:r>
      <w:r w:rsidR="001754CE" w:rsidRPr="00B91C3E">
        <w:t>lesie</w:t>
      </w:r>
      <w:r w:rsidR="00B91C3E">
        <w:t xml:space="preserve"> i </w:t>
      </w:r>
      <w:r w:rsidR="001754CE" w:rsidRPr="00B91C3E">
        <w:t>przyniósł je</w:t>
      </w:r>
      <w:r w:rsidR="004D3D16">
        <w:t> </w:t>
      </w:r>
      <w:r w:rsidR="001754CE" w:rsidRPr="00B91C3E">
        <w:t>do domu. Później wycofał się</w:t>
      </w:r>
      <w:r w:rsidR="00B91C3E">
        <w:t xml:space="preserve"> z </w:t>
      </w:r>
      <w:r w:rsidR="001754CE" w:rsidRPr="00B91C3E">
        <w:t>tych oświadczeń, twierdząc, że złożył je</w:t>
      </w:r>
      <w:r w:rsidR="004D3D16">
        <w:t> </w:t>
      </w:r>
      <w:r w:rsidR="00B91C3E">
        <w:t>w </w:t>
      </w:r>
      <w:r w:rsidR="001754CE" w:rsidRPr="00B91C3E">
        <w:t xml:space="preserve">celu ochrony członka swojej rodziny (odmówił ujawnienia tożsamości </w:t>
      </w:r>
      <w:r w:rsidR="001754CE" w:rsidRPr="00B91C3E">
        <w:lastRenderedPageBreak/>
        <w:t>tej osoby)</w:t>
      </w:r>
      <w:r w:rsidR="00690DA0">
        <w:t>,</w:t>
      </w:r>
      <w:r w:rsidR="00B91C3E">
        <w:t xml:space="preserve"> i </w:t>
      </w:r>
      <w:r w:rsidR="001754CE" w:rsidRPr="00B91C3E">
        <w:t>odmówił składania dalszych wyjaśnień. Przed zatrzymaniem nie był karany.</w:t>
      </w:r>
    </w:p>
    <w:p w14:paraId="0C360089" w14:textId="4E3A644E" w:rsidR="004E2A87" w:rsidRPr="00B91C3E" w:rsidRDefault="009E58FB" w:rsidP="002E7E83">
      <w:pPr>
        <w:pStyle w:val="JuPara"/>
      </w:pPr>
      <w:bookmarkStart w:id="0" w:name="first_conviction"/>
      <w:r w:rsidRPr="00B91C3E">
        <w:rPr>
          <w:noProof/>
        </w:rPr>
        <w:t>6</w:t>
      </w:r>
      <w:bookmarkEnd w:id="0"/>
      <w:r w:rsidR="001754CE" w:rsidRPr="00B91C3E">
        <w:t>.</w:t>
      </w:r>
      <w:r w:rsidR="00CA0241">
        <w:t xml:space="preserve"> </w:t>
      </w:r>
      <w:r w:rsidR="00B91C3E">
        <w:t>W </w:t>
      </w:r>
      <w:r w:rsidR="001754CE" w:rsidRPr="00B91C3E">
        <w:t>dniu 23 maja 2017</w:t>
      </w:r>
      <w:r w:rsidR="00B91C3E">
        <w:t> r.</w:t>
      </w:r>
      <w:r w:rsidR="001754CE" w:rsidRPr="00B91C3E">
        <w:t xml:space="preserve"> Sąd Okręgowy</w:t>
      </w:r>
      <w:r w:rsidR="00B91C3E">
        <w:t xml:space="preserve"> w </w:t>
      </w:r>
      <w:r w:rsidR="001754CE" w:rsidRPr="00B91C3E">
        <w:t>Opolu skazał skarżącego za nielegalne posiadanie znacznej ilości środków odurzających na podstawie art. 53 ust. 2 ustawy</w:t>
      </w:r>
      <w:r w:rsidR="00B91C3E">
        <w:t xml:space="preserve"> z </w:t>
      </w:r>
      <w:r w:rsidR="001754CE" w:rsidRPr="00B91C3E">
        <w:t>dnia 29 lipca 2005</w:t>
      </w:r>
      <w:r w:rsidR="00B91C3E">
        <w:t> r. o </w:t>
      </w:r>
      <w:r w:rsidR="001754CE" w:rsidRPr="00B91C3E">
        <w:t>przeciwdziałaniu narkomanii i, stosując nadzwyczajne złagodzenie kary, wymierzył mu karę dwóch lat pozbawienia wolności. Minimalny wymiar kary przewidzianej</w:t>
      </w:r>
      <w:r w:rsidR="00B91C3E">
        <w:t xml:space="preserve"> w </w:t>
      </w:r>
      <w:r w:rsidR="001754CE" w:rsidRPr="00B91C3E">
        <w:t>art. 53 ust.</w:t>
      </w:r>
      <w:r w:rsidR="004D3D16">
        <w:t> </w:t>
      </w:r>
      <w:r w:rsidR="001754CE" w:rsidRPr="00B91C3E">
        <w:t xml:space="preserve">2 wynosił trzy lata pozbawienia wolności (zob. </w:t>
      </w:r>
      <w:r w:rsidR="00B67A95">
        <w:t>paragraf </w:t>
      </w:r>
      <w:r w:rsidR="001754CE" w:rsidRPr="00B91C3E">
        <w:t>23 poniżej). Sąd</w:t>
      </w:r>
      <w:r w:rsidR="004D3D16">
        <w:t> </w:t>
      </w:r>
      <w:r w:rsidR="001754CE" w:rsidRPr="00B91C3E">
        <w:t>zauważył, że przed zatrzymaniem skarżący cieszył się nienaganną reputacją</w:t>
      </w:r>
      <w:r w:rsidR="00B91C3E">
        <w:t xml:space="preserve"> i </w:t>
      </w:r>
      <w:r w:rsidR="001754CE" w:rsidRPr="00B91C3E">
        <w:t>że nie było dowodów na to, że próbował rozprowadzać narkotyki; ukaranie go nawet najłagodniejszą karą przewidzianą za takie przestępstwo byłoby zatem rażąco nieproporcjonalne.</w:t>
      </w:r>
    </w:p>
    <w:p w14:paraId="0EBF394D" w14:textId="17F1643C" w:rsidR="004E2A87" w:rsidRPr="00B91C3E" w:rsidRDefault="009E58FB" w:rsidP="002E7E83">
      <w:pPr>
        <w:pStyle w:val="JuPara"/>
      </w:pPr>
      <w:bookmarkStart w:id="1" w:name="second_instance"/>
      <w:r w:rsidRPr="00B91C3E">
        <w:rPr>
          <w:noProof/>
        </w:rPr>
        <w:t>7</w:t>
      </w:r>
      <w:bookmarkEnd w:id="1"/>
      <w:r w:rsidR="001754CE" w:rsidRPr="00B91C3E">
        <w:t>.</w:t>
      </w:r>
      <w:r w:rsidR="00CA0241">
        <w:t xml:space="preserve"> </w:t>
      </w:r>
      <w:r w:rsidR="00B91C3E">
        <w:t>W </w:t>
      </w:r>
      <w:r w:rsidR="001754CE" w:rsidRPr="00B91C3E">
        <w:t>dniu 6 października 2017</w:t>
      </w:r>
      <w:r w:rsidR="00B91C3E">
        <w:t> r.</w:t>
      </w:r>
      <w:r w:rsidR="001754CE" w:rsidRPr="00B91C3E">
        <w:t xml:space="preserve"> Sąd Apelacyjny we Wrocławiu zmienił wyrok sądu pierwszej instancji, orzekając dodatkowo nawiązkę</w:t>
      </w:r>
      <w:r w:rsidR="00B91C3E">
        <w:t xml:space="preserve"> w </w:t>
      </w:r>
      <w:r w:rsidR="001754CE" w:rsidRPr="00B91C3E">
        <w:t>wysokości 1</w:t>
      </w:r>
      <w:r w:rsidR="008908BC">
        <w:t> </w:t>
      </w:r>
      <w:r w:rsidR="001754CE" w:rsidRPr="00B91C3E">
        <w:t xml:space="preserve">000 złotych polskich (PLN) (około 220 euro (EUR)), która miała zostać wpłacona na rzecz ośrodka odwykowego. </w:t>
      </w:r>
      <w:r w:rsidR="00B91C3E">
        <w:t>W </w:t>
      </w:r>
      <w:r w:rsidR="001754CE" w:rsidRPr="00B91C3E">
        <w:t>pisemnym uzasadnieniu sąd odwoławczy wskazał, że sąd pierwszej instancji słusznie uznał, że orzeczenie nawet najniższej kary przewidzianej przez prawo byłoby nieproporcjonalnie surowe, biorąc pod uwagę postawę</w:t>
      </w:r>
      <w:r w:rsidR="00B91C3E">
        <w:t xml:space="preserve"> i </w:t>
      </w:r>
      <w:r w:rsidR="001754CE" w:rsidRPr="00B91C3E">
        <w:t xml:space="preserve">sytuację osobistą skarżącego oraz okoliczności przestępstwa. </w:t>
      </w:r>
      <w:r w:rsidR="00B91C3E">
        <w:t>W </w:t>
      </w:r>
      <w:r w:rsidR="001754CE" w:rsidRPr="00B91C3E">
        <w:t>związku</w:t>
      </w:r>
      <w:r w:rsidR="00B91C3E">
        <w:t xml:space="preserve"> z </w:t>
      </w:r>
      <w:r w:rsidR="001754CE" w:rsidRPr="00B91C3E">
        <w:t>tym sąd odniósł się do faktu, że</w:t>
      </w:r>
      <w:r w:rsidR="004D3D16">
        <w:t> </w:t>
      </w:r>
      <w:r w:rsidR="001754CE" w:rsidRPr="00B91C3E">
        <w:t>skarżący nie był wcześniej karany, prowadził akceptowalny styl życia</w:t>
      </w:r>
      <w:r w:rsidR="00B91C3E">
        <w:t xml:space="preserve"> i </w:t>
      </w:r>
      <w:r w:rsidR="001754CE" w:rsidRPr="00B91C3E">
        <w:t>pomagał swojej rodzinie.</w:t>
      </w:r>
    </w:p>
    <w:p w14:paraId="5905F4EB" w14:textId="1B63BBEA" w:rsidR="004E2A87" w:rsidRPr="00B91C3E" w:rsidRDefault="009E58FB" w:rsidP="002E7E83">
      <w:pPr>
        <w:pStyle w:val="JuPara"/>
      </w:pPr>
      <w:r w:rsidRPr="00B91C3E">
        <w:rPr>
          <w:noProof/>
        </w:rPr>
        <w:t>8</w:t>
      </w:r>
      <w:r w:rsidR="001754CE" w:rsidRPr="00B91C3E">
        <w:t>.</w:t>
      </w:r>
      <w:r w:rsidR="00CA0241">
        <w:t xml:space="preserve"> </w:t>
      </w:r>
      <w:r w:rsidR="00B91C3E">
        <w:t>W </w:t>
      </w:r>
      <w:r w:rsidR="001754CE" w:rsidRPr="00B91C3E">
        <w:t>dniu 26 lutego 2018</w:t>
      </w:r>
      <w:r w:rsidR="00B91C3E">
        <w:t> r.</w:t>
      </w:r>
      <w:r w:rsidR="001754CE" w:rsidRPr="00B91C3E">
        <w:t xml:space="preserve"> skarżący rozpoczął odbywanie kary pozbawienia wolności</w:t>
      </w:r>
      <w:r w:rsidR="00B91C3E">
        <w:t xml:space="preserve"> w </w:t>
      </w:r>
      <w:r w:rsidR="001754CE" w:rsidRPr="00B91C3E">
        <w:t>Zakładzie Karnym</w:t>
      </w:r>
      <w:r w:rsidR="00B91C3E">
        <w:t xml:space="preserve"> w </w:t>
      </w:r>
      <w:r w:rsidR="001754CE" w:rsidRPr="00B91C3E">
        <w:t>Głubczycach.</w:t>
      </w:r>
    </w:p>
    <w:p w14:paraId="5491D32E" w14:textId="3EAB7725" w:rsidR="004E2A87" w:rsidRPr="00B91C3E" w:rsidRDefault="009E58FB" w:rsidP="002E7E83">
      <w:pPr>
        <w:pStyle w:val="JuPara"/>
      </w:pPr>
      <w:bookmarkStart w:id="2" w:name="cassation_appeal"/>
      <w:r w:rsidRPr="00B91C3E">
        <w:rPr>
          <w:noProof/>
        </w:rPr>
        <w:t>9</w:t>
      </w:r>
      <w:bookmarkEnd w:id="2"/>
      <w:r w:rsidR="001754CE" w:rsidRPr="00B91C3E">
        <w:t>.</w:t>
      </w:r>
      <w:r w:rsidR="00CA0241">
        <w:t xml:space="preserve"> </w:t>
      </w:r>
      <w:r w:rsidR="00B91C3E">
        <w:t>W </w:t>
      </w:r>
      <w:r w:rsidR="001754CE" w:rsidRPr="00B91C3E">
        <w:t>dniu 22 marca 2018</w:t>
      </w:r>
      <w:r w:rsidR="00B91C3E">
        <w:t> r.</w:t>
      </w:r>
      <w:r w:rsidR="001754CE" w:rsidRPr="00B91C3E">
        <w:t xml:space="preserve"> Minister Sprawiedliwości</w:t>
      </w:r>
      <w:r w:rsidR="00792957">
        <w:t> </w:t>
      </w:r>
      <w:r w:rsidR="001754CE" w:rsidRPr="00B91C3E">
        <w:t>/</w:t>
      </w:r>
      <w:r w:rsidR="00792957">
        <w:t xml:space="preserve"> </w:t>
      </w:r>
      <w:r w:rsidR="001754CE" w:rsidRPr="00B91C3E">
        <w:t xml:space="preserve">Prokurator Generalny (zwany dalej </w:t>
      </w:r>
      <w:r w:rsidR="00792957">
        <w:t xml:space="preserve">jedynie </w:t>
      </w:r>
      <w:r w:rsidR="001754CE" w:rsidRPr="00B91C3E">
        <w:t xml:space="preserve">„Prokuratorem Generalnym”) wniósł kasację do Sądu Najwyższego. Zarzucał rażącą niewspółmierność kary orzeczonej wobec skarżącego ze względu na </w:t>
      </w:r>
      <w:r w:rsidR="00792957">
        <w:t>w sposób oczywisty</w:t>
      </w:r>
      <w:r w:rsidR="00792957" w:rsidRPr="00B91C3E">
        <w:t xml:space="preserve"> </w:t>
      </w:r>
      <w:r w:rsidR="001754CE" w:rsidRPr="00B91C3E">
        <w:t>nieuzasadnione zastosowanie nadzwyczajnego złagodzenia kary.</w:t>
      </w:r>
    </w:p>
    <w:p w14:paraId="795F768E" w14:textId="3E45D297" w:rsidR="004E2A87" w:rsidRPr="00B91C3E" w:rsidRDefault="009E58FB" w:rsidP="002E7E83">
      <w:pPr>
        <w:pStyle w:val="JuPara"/>
      </w:pPr>
      <w:bookmarkStart w:id="3" w:name="c_appeal_served"/>
      <w:r w:rsidRPr="00B91C3E">
        <w:rPr>
          <w:noProof/>
        </w:rPr>
        <w:t>10</w:t>
      </w:r>
      <w:bookmarkEnd w:id="3"/>
      <w:r w:rsidR="001754CE" w:rsidRPr="00B91C3E">
        <w:t>.</w:t>
      </w:r>
      <w:r w:rsidR="00CA0241">
        <w:t xml:space="preserve"> </w:t>
      </w:r>
      <w:r w:rsidR="00B91C3E">
        <w:t>W </w:t>
      </w:r>
      <w:r w:rsidR="001754CE" w:rsidRPr="00B91C3E">
        <w:t>dniu 3 kwietnia 2018</w:t>
      </w:r>
      <w:r w:rsidR="00B91C3E">
        <w:t> r.</w:t>
      </w:r>
      <w:r w:rsidR="001754CE" w:rsidRPr="00B91C3E">
        <w:t xml:space="preserve"> skarżącemu doręczono odpis kasacji.</w:t>
      </w:r>
    </w:p>
    <w:p w14:paraId="5E542689" w14:textId="59677951" w:rsidR="004E2A87" w:rsidRPr="00B91C3E" w:rsidRDefault="009E58FB" w:rsidP="002E7E83">
      <w:pPr>
        <w:pStyle w:val="JuPara"/>
      </w:pPr>
      <w:r w:rsidRPr="00B91C3E">
        <w:rPr>
          <w:noProof/>
        </w:rPr>
        <w:t>11</w:t>
      </w:r>
      <w:r w:rsidR="001754CE" w:rsidRPr="00B91C3E">
        <w:t>.</w:t>
      </w:r>
      <w:r w:rsidR="00CA0241">
        <w:t xml:space="preserve"> </w:t>
      </w:r>
      <w:r w:rsidR="00B91C3E">
        <w:t>W </w:t>
      </w:r>
      <w:r w:rsidR="001754CE" w:rsidRPr="00B91C3E">
        <w:t>dniu 10 stycznia 2019</w:t>
      </w:r>
      <w:r w:rsidR="00B91C3E">
        <w:t> r.</w:t>
      </w:r>
      <w:r w:rsidR="001754CE" w:rsidRPr="00B91C3E">
        <w:t xml:space="preserve"> Dyrektor Zakładu Karnego</w:t>
      </w:r>
      <w:r w:rsidR="00B91C3E">
        <w:t xml:space="preserve"> w </w:t>
      </w:r>
      <w:r w:rsidR="001754CE" w:rsidRPr="00B91C3E">
        <w:t>Głubczycach zwrócił się do Sądu Okręgowego</w:t>
      </w:r>
      <w:r w:rsidR="00B91C3E">
        <w:t xml:space="preserve"> w </w:t>
      </w:r>
      <w:r w:rsidR="001754CE" w:rsidRPr="00B91C3E">
        <w:t>Opolu</w:t>
      </w:r>
      <w:r w:rsidR="00B91C3E">
        <w:t xml:space="preserve"> o </w:t>
      </w:r>
      <w:r w:rsidR="001754CE" w:rsidRPr="00B91C3E">
        <w:t xml:space="preserve">warunkowe przedterminowe zwolnienie skarżącego. </w:t>
      </w:r>
      <w:r w:rsidR="00B91C3E">
        <w:t>W </w:t>
      </w:r>
      <w:r w:rsidR="001754CE" w:rsidRPr="00B91C3E">
        <w:t>swoim wniosku wskazał, że zachowanie skarżącego było bardzo dobre, jego resocjalizacja przebiegała dobrze</w:t>
      </w:r>
      <w:r w:rsidR="00B91C3E">
        <w:t xml:space="preserve"> i </w:t>
      </w:r>
      <w:r w:rsidR="001754CE" w:rsidRPr="00B91C3E">
        <w:t>istniało niskie ryzyko ponownego popełnienia przez niego przestępstwa.</w:t>
      </w:r>
    </w:p>
    <w:p w14:paraId="5D5746D6" w14:textId="09ACA244" w:rsidR="004E2A87" w:rsidRPr="00B91C3E" w:rsidRDefault="009E58FB" w:rsidP="002E7E83">
      <w:pPr>
        <w:pStyle w:val="JuPara"/>
      </w:pPr>
      <w:bookmarkStart w:id="4" w:name="conditional_release"/>
      <w:r w:rsidRPr="00B91C3E">
        <w:rPr>
          <w:noProof/>
        </w:rPr>
        <w:t>12</w:t>
      </w:r>
      <w:bookmarkEnd w:id="4"/>
      <w:r w:rsidR="001754CE" w:rsidRPr="00B91C3E">
        <w:t>.</w:t>
      </w:r>
      <w:r w:rsidR="00CA0241">
        <w:t xml:space="preserve"> </w:t>
      </w:r>
      <w:r w:rsidR="00B91C3E">
        <w:t>W </w:t>
      </w:r>
      <w:r w:rsidR="001754CE" w:rsidRPr="00B91C3E">
        <w:t>dniu 13 lutego 2019</w:t>
      </w:r>
      <w:r w:rsidR="00B91C3E">
        <w:t> r.</w:t>
      </w:r>
      <w:r w:rsidR="001754CE" w:rsidRPr="00B91C3E">
        <w:t xml:space="preserve"> sąd ten zastosował wobec skarżącego warunkowe zwolnienie przy dwuletnim okresie próby. Zobowiązał go do</w:t>
      </w:r>
      <w:r w:rsidR="004D3D16">
        <w:t> </w:t>
      </w:r>
      <w:r w:rsidR="001754CE" w:rsidRPr="00B91C3E">
        <w:t xml:space="preserve">regularnego zgłaszania się do kuratora sądowego oraz </w:t>
      </w:r>
      <w:r w:rsidR="0068091C" w:rsidRPr="00B91C3E">
        <w:t>podjęci</w:t>
      </w:r>
      <w:r w:rsidR="0068091C">
        <w:t>a</w:t>
      </w:r>
      <w:r w:rsidR="0068091C" w:rsidRPr="00B91C3E">
        <w:t xml:space="preserve"> </w:t>
      </w:r>
      <w:r w:rsidR="001754CE" w:rsidRPr="00B91C3E">
        <w:t xml:space="preserve">zatrudnienia. </w:t>
      </w:r>
      <w:r w:rsidR="00B91C3E">
        <w:t>W </w:t>
      </w:r>
      <w:r w:rsidR="001754CE" w:rsidRPr="00B91C3E">
        <w:t>uzasadnieniu swojej decyzji sąd wskazał, że</w:t>
      </w:r>
      <w:r w:rsidR="00B91C3E">
        <w:t xml:space="preserve"> w </w:t>
      </w:r>
      <w:r w:rsidR="001754CE" w:rsidRPr="00B91C3E">
        <w:t>dniu 15</w:t>
      </w:r>
      <w:r w:rsidR="0068091C">
        <w:t> </w:t>
      </w:r>
      <w:r w:rsidR="001754CE" w:rsidRPr="00B91C3E">
        <w:t>stycznia 2019</w:t>
      </w:r>
      <w:r w:rsidR="00B91C3E">
        <w:t> r.</w:t>
      </w:r>
      <w:r w:rsidR="001754CE" w:rsidRPr="00B91C3E">
        <w:t xml:space="preserve"> skarżący nabył prawo do ubiegania się</w:t>
      </w:r>
      <w:r w:rsidR="00B91C3E">
        <w:t xml:space="preserve"> o </w:t>
      </w:r>
      <w:r w:rsidR="001754CE" w:rsidRPr="00B91C3E">
        <w:t>warunkowe zwolnienie,</w:t>
      </w:r>
      <w:r w:rsidR="00B91C3E">
        <w:t xml:space="preserve"> a </w:t>
      </w:r>
      <w:r w:rsidR="001754CE" w:rsidRPr="00B91C3E">
        <w:t>jego kara zakończy się</w:t>
      </w:r>
      <w:r w:rsidR="00B91C3E">
        <w:t xml:space="preserve"> w </w:t>
      </w:r>
      <w:r w:rsidR="001754CE" w:rsidRPr="00B91C3E">
        <w:t>dniu 15 stycznia 2020</w:t>
      </w:r>
      <w:r w:rsidR="00B91C3E">
        <w:t> r.</w:t>
      </w:r>
      <w:r w:rsidR="001754CE" w:rsidRPr="00B91C3E">
        <w:t xml:space="preserve"> Sąd wskazał również, że wniosek</w:t>
      </w:r>
      <w:r w:rsidR="00B91C3E">
        <w:t xml:space="preserve"> o </w:t>
      </w:r>
      <w:r w:rsidR="001754CE" w:rsidRPr="00B91C3E">
        <w:t>warunkowe zwolnienie skarżącego został złożony przez dyrektora zakładu karnego,</w:t>
      </w:r>
      <w:r w:rsidR="00B91C3E">
        <w:t xml:space="preserve"> a </w:t>
      </w:r>
      <w:r w:rsidR="001754CE" w:rsidRPr="00B91C3E">
        <w:t>prokurator nie sprzeciwił się temu wnioskowi.</w:t>
      </w:r>
    </w:p>
    <w:p w14:paraId="78455D40" w14:textId="46306896" w:rsidR="004E2A87" w:rsidRPr="00B91C3E" w:rsidRDefault="009E58FB" w:rsidP="002E7E83">
      <w:pPr>
        <w:pStyle w:val="JuPara"/>
      </w:pPr>
      <w:r w:rsidRPr="00B91C3E">
        <w:rPr>
          <w:noProof/>
        </w:rPr>
        <w:lastRenderedPageBreak/>
        <w:t>13</w:t>
      </w:r>
      <w:r w:rsidR="001754CE" w:rsidRPr="00B91C3E">
        <w:t>.</w:t>
      </w:r>
      <w:r w:rsidR="00CA0241">
        <w:t xml:space="preserve"> </w:t>
      </w:r>
      <w:r w:rsidR="001754CE" w:rsidRPr="00B91C3E">
        <w:t xml:space="preserve">Po zwolnieniu skarżący podjął dwie prace </w:t>
      </w:r>
      <w:r w:rsidR="002E0824">
        <w:t>–</w:t>
      </w:r>
      <w:r w:rsidR="001754CE" w:rsidRPr="00B91C3E">
        <w:t xml:space="preserve"> jako kierowca</w:t>
      </w:r>
      <w:r w:rsidR="00B91C3E">
        <w:t xml:space="preserve"> w </w:t>
      </w:r>
      <w:r w:rsidR="001754CE" w:rsidRPr="00B91C3E">
        <w:t>weekendy</w:t>
      </w:r>
      <w:r w:rsidR="00B91C3E">
        <w:t xml:space="preserve"> i </w:t>
      </w:r>
      <w:r w:rsidR="001754CE" w:rsidRPr="00B91C3E">
        <w:t>jako spawacz</w:t>
      </w:r>
      <w:r w:rsidR="00B91C3E">
        <w:t xml:space="preserve"> w </w:t>
      </w:r>
      <w:r w:rsidR="001754CE" w:rsidRPr="00B91C3E">
        <w:t>Austrii. Był</w:t>
      </w:r>
      <w:r w:rsidR="00B91C3E">
        <w:t xml:space="preserve"> w </w:t>
      </w:r>
      <w:r w:rsidR="001754CE" w:rsidRPr="00B91C3E">
        <w:t>stałym kontakcie ze swoim kuratorem, który stwierdził, że jego powrót do społeczeństwa przebiega pomyślnie.</w:t>
      </w:r>
    </w:p>
    <w:p w14:paraId="18175477" w14:textId="28196491" w:rsidR="004E2A87" w:rsidRPr="00B91C3E" w:rsidRDefault="009E58FB" w:rsidP="002E7E83">
      <w:pPr>
        <w:pStyle w:val="JuPara"/>
      </w:pPr>
      <w:bookmarkStart w:id="5" w:name="participation_court_hearing"/>
      <w:r w:rsidRPr="00B91C3E">
        <w:rPr>
          <w:noProof/>
        </w:rPr>
        <w:t>14</w:t>
      </w:r>
      <w:bookmarkEnd w:id="5"/>
      <w:r w:rsidR="001754CE" w:rsidRPr="00B91C3E">
        <w:t>.</w:t>
      </w:r>
      <w:r w:rsidR="00CA0241">
        <w:t xml:space="preserve"> </w:t>
      </w:r>
      <w:r w:rsidR="001754CE" w:rsidRPr="00B91C3E">
        <w:t>Skarżący</w:t>
      </w:r>
      <w:r w:rsidR="00B91C3E">
        <w:t xml:space="preserve"> i </w:t>
      </w:r>
      <w:r w:rsidR="001754CE" w:rsidRPr="00B91C3E">
        <w:t>jego obrońca</w:t>
      </w:r>
      <w:r w:rsidR="00B91C3E">
        <w:t xml:space="preserve"> z </w:t>
      </w:r>
      <w:r w:rsidR="001754CE" w:rsidRPr="00B91C3E">
        <w:t>urzędu stawili się na rozprawie kasacyjnej</w:t>
      </w:r>
      <w:r w:rsidR="00B91C3E">
        <w:t xml:space="preserve"> w </w:t>
      </w:r>
      <w:r w:rsidR="001754CE" w:rsidRPr="00B91C3E">
        <w:t>dniu 28 marca 2019</w:t>
      </w:r>
      <w:r w:rsidR="00B91C3E">
        <w:t> r. w </w:t>
      </w:r>
      <w:r w:rsidR="001754CE" w:rsidRPr="00B91C3E">
        <w:t>Sądzie Najwyższym. Prokurator poparł kasację, natomiast skarżący wniósł</w:t>
      </w:r>
      <w:r w:rsidR="00B91C3E">
        <w:t xml:space="preserve"> o </w:t>
      </w:r>
      <w:r w:rsidR="001754CE" w:rsidRPr="00B91C3E">
        <w:t xml:space="preserve">jej oddalenie jako </w:t>
      </w:r>
      <w:r w:rsidR="00077388">
        <w:t>w sposób oczywisty nieuzasadnionej</w:t>
      </w:r>
      <w:r w:rsidR="00B91C3E">
        <w:t xml:space="preserve"> i </w:t>
      </w:r>
      <w:r w:rsidR="001754CE" w:rsidRPr="00B91C3E">
        <w:t>przedłożył zaświadczenie</w:t>
      </w:r>
      <w:r w:rsidR="00B91C3E">
        <w:t xml:space="preserve"> o </w:t>
      </w:r>
      <w:r w:rsidR="001754CE" w:rsidRPr="00B91C3E">
        <w:t>zwolnieniu go</w:t>
      </w:r>
      <w:r w:rsidR="00B91C3E">
        <w:t xml:space="preserve"> z </w:t>
      </w:r>
      <w:r w:rsidR="001754CE" w:rsidRPr="00B91C3E">
        <w:t>zakładu karnego oraz postanowienie</w:t>
      </w:r>
      <w:r w:rsidR="00B91C3E">
        <w:t xml:space="preserve"> o </w:t>
      </w:r>
      <w:r w:rsidR="001754CE" w:rsidRPr="00B91C3E">
        <w:t>warunkowym zwolnieniu</w:t>
      </w:r>
      <w:r w:rsidR="00B91C3E">
        <w:t xml:space="preserve"> z </w:t>
      </w:r>
      <w:r w:rsidR="001754CE" w:rsidRPr="00B91C3E">
        <w:t>odbycia pozostałej części kary.</w:t>
      </w:r>
    </w:p>
    <w:p w14:paraId="52102894" w14:textId="33544D7E" w:rsidR="004E2A87" w:rsidRPr="00B91C3E" w:rsidRDefault="009E58FB" w:rsidP="002E7E83">
      <w:pPr>
        <w:pStyle w:val="JuPara"/>
      </w:pPr>
      <w:r w:rsidRPr="00B91C3E">
        <w:rPr>
          <w:noProof/>
        </w:rPr>
        <w:t>15</w:t>
      </w:r>
      <w:r w:rsidR="001754CE" w:rsidRPr="00B91C3E">
        <w:t>.</w:t>
      </w:r>
      <w:r w:rsidR="00CA0241">
        <w:t xml:space="preserve"> </w:t>
      </w:r>
      <w:r w:rsidR="001754CE" w:rsidRPr="00B91C3E">
        <w:t>Tego samego dnia Sąd Najwyższy uchylił wyrok</w:t>
      </w:r>
      <w:r w:rsidR="00B91C3E">
        <w:t xml:space="preserve"> z </w:t>
      </w:r>
      <w:r w:rsidR="001754CE" w:rsidRPr="00B91C3E">
        <w:t>dnia 6</w:t>
      </w:r>
      <w:r w:rsidR="002E0824">
        <w:t> </w:t>
      </w:r>
      <w:r w:rsidR="001754CE" w:rsidRPr="00B91C3E">
        <w:t>października 2017</w:t>
      </w:r>
      <w:r w:rsidR="00B91C3E">
        <w:t> r. i </w:t>
      </w:r>
      <w:r w:rsidR="001754CE" w:rsidRPr="00B91C3E">
        <w:t>przekazał sprawę do ponownego rozpoznania Sądowi Apelacyjnemu we Wrocławiu. Stwierdził, że zastosowanie nadzwyczajnego złagodzenia kary nie było uzasadnione</w:t>
      </w:r>
      <w:r w:rsidR="00B91C3E">
        <w:t xml:space="preserve"> w </w:t>
      </w:r>
      <w:r w:rsidR="001754CE" w:rsidRPr="00B91C3E">
        <w:t xml:space="preserve">świetle prawa. </w:t>
      </w:r>
      <w:r w:rsidR="00B91C3E">
        <w:t>W </w:t>
      </w:r>
      <w:r w:rsidR="001754CE" w:rsidRPr="00B91C3E">
        <w:t>konsekwencji orzeczona kara była rażąco łagodna. Sąd Najwyższy nie zwrócił uwagi na</w:t>
      </w:r>
      <w:r w:rsidR="004D3D16">
        <w:t> </w:t>
      </w:r>
      <w:r w:rsidR="001754CE" w:rsidRPr="00B91C3E">
        <w:t>warunkowe zwolnienie skarżącego, mimo że został</w:t>
      </w:r>
      <w:r w:rsidR="00B91C3E">
        <w:t xml:space="preserve"> o </w:t>
      </w:r>
      <w:r w:rsidR="001754CE" w:rsidRPr="00B91C3E">
        <w:t>tym poinformowany przez obrońcę skarżącego.</w:t>
      </w:r>
    </w:p>
    <w:p w14:paraId="50F19D51" w14:textId="0F5BC499" w:rsidR="004E2A87" w:rsidRPr="00B91C3E" w:rsidRDefault="009E58FB" w:rsidP="002E7E83">
      <w:pPr>
        <w:pStyle w:val="JuPara"/>
      </w:pPr>
      <w:r w:rsidRPr="00B91C3E">
        <w:rPr>
          <w:noProof/>
        </w:rPr>
        <w:t>16</w:t>
      </w:r>
      <w:r w:rsidR="001754CE" w:rsidRPr="00B91C3E">
        <w:t>.</w:t>
      </w:r>
      <w:r w:rsidR="00CA0241">
        <w:t xml:space="preserve"> </w:t>
      </w:r>
      <w:r w:rsidR="001754CE" w:rsidRPr="00B91C3E">
        <w:t>Sąd Najwyższy uznał, że ocena, czy sprawca spełnia przesłanki przewidziane</w:t>
      </w:r>
      <w:r w:rsidR="00B91C3E">
        <w:t xml:space="preserve"> w </w:t>
      </w:r>
      <w:r w:rsidR="001754CE" w:rsidRPr="00B91C3E">
        <w:t xml:space="preserve">art. 60 </w:t>
      </w:r>
      <w:r w:rsidR="00DF0ADB">
        <w:t>§ </w:t>
      </w:r>
      <w:r w:rsidR="001754CE" w:rsidRPr="00B91C3E">
        <w:t xml:space="preserve">2 </w:t>
      </w:r>
      <w:r w:rsidR="00070A04">
        <w:t>Kodeksu karnego (</w:t>
      </w:r>
      <w:r w:rsidR="001754CE" w:rsidRPr="00B91C3E">
        <w:t>k.k.</w:t>
      </w:r>
      <w:r w:rsidR="00070A04">
        <w:t>)</w:t>
      </w:r>
      <w:r w:rsidR="001754CE" w:rsidRPr="00B91C3E">
        <w:t>, należy niewątpliwie do</w:t>
      </w:r>
      <w:r w:rsidR="004D3D16">
        <w:t> </w:t>
      </w:r>
      <w:r w:rsidR="001754CE" w:rsidRPr="00B91C3E">
        <w:t>sądu orzekającego, który powinien przedstawić argumenty uzasadniające uznanie, że</w:t>
      </w:r>
      <w:r w:rsidR="00B91C3E">
        <w:t xml:space="preserve"> w </w:t>
      </w:r>
      <w:r w:rsidR="001754CE" w:rsidRPr="00B91C3E">
        <w:t>okolicznościach sprawy zachodzą podstawy do takiego postępowania. Nie mogło też budzić wątpliwości, że szczególnie uzasadnione wypadki,</w:t>
      </w:r>
      <w:r w:rsidR="00B91C3E">
        <w:t xml:space="preserve"> o </w:t>
      </w:r>
      <w:r w:rsidR="001754CE" w:rsidRPr="00B91C3E">
        <w:t>których mowa</w:t>
      </w:r>
      <w:r w:rsidR="00B91C3E">
        <w:t xml:space="preserve"> w </w:t>
      </w:r>
      <w:r w:rsidR="001754CE" w:rsidRPr="00B91C3E">
        <w:t xml:space="preserve">art. 60 </w:t>
      </w:r>
      <w:r w:rsidR="00DF0ADB">
        <w:t>§ </w:t>
      </w:r>
      <w:r w:rsidR="001754CE" w:rsidRPr="00B91C3E">
        <w:t>2 k.k., istotnie różniły się od zwykłych spraw,</w:t>
      </w:r>
      <w:r w:rsidR="00B91C3E">
        <w:t xml:space="preserve"> w </w:t>
      </w:r>
      <w:r w:rsidR="001754CE" w:rsidRPr="00B91C3E">
        <w:t xml:space="preserve">których obowiązywały standardowe dyrektywy wymiaru kary. </w:t>
      </w:r>
      <w:r w:rsidR="00F30304">
        <w:t>Dyrektywy</w:t>
      </w:r>
      <w:r w:rsidR="00F30304" w:rsidRPr="00B91C3E">
        <w:t xml:space="preserve"> </w:t>
      </w:r>
      <w:r w:rsidR="001754CE" w:rsidRPr="00B91C3E">
        <w:t>te przewidywały stosowanie potencjalnych kar mieszczących się</w:t>
      </w:r>
      <w:r w:rsidR="00B91C3E">
        <w:t xml:space="preserve"> w </w:t>
      </w:r>
      <w:r w:rsidR="001754CE" w:rsidRPr="00B91C3E">
        <w:t>odpowiednich granicach ustawowych. Zastosowanie nadzwyczajnego złagodzenia kary bez jednoczesnego wykazania, że było ono rzeczywiście uzasadnione szczególnymi okolicznościami, nie stanowiło jednak naruszenia prawa materialnego, lecz</w:t>
      </w:r>
      <w:r w:rsidR="00B91C3E">
        <w:t xml:space="preserve"> w </w:t>
      </w:r>
      <w:r w:rsidR="001754CE" w:rsidRPr="00B91C3E">
        <w:t>pełni uzasadniało stwierdzenie, że wymierzona</w:t>
      </w:r>
      <w:r w:rsidR="00B91C3E">
        <w:t xml:space="preserve"> w </w:t>
      </w:r>
      <w:r w:rsidR="001754CE" w:rsidRPr="00B91C3E">
        <w:t>takich warunkach kara jest rażąco niewspółmierna.</w:t>
      </w:r>
    </w:p>
    <w:p w14:paraId="602D0750" w14:textId="33D59A9A" w:rsidR="004E2A87" w:rsidRPr="00B91C3E" w:rsidRDefault="009E58FB" w:rsidP="002E7E83">
      <w:pPr>
        <w:pStyle w:val="JuPara"/>
      </w:pPr>
      <w:r w:rsidRPr="00B91C3E">
        <w:rPr>
          <w:noProof/>
        </w:rPr>
        <w:t>17</w:t>
      </w:r>
      <w:r w:rsidR="001754CE" w:rsidRPr="00B91C3E">
        <w:t>.</w:t>
      </w:r>
      <w:r w:rsidR="00CA0241">
        <w:t xml:space="preserve"> </w:t>
      </w:r>
      <w:r w:rsidR="001754CE" w:rsidRPr="00B91C3E">
        <w:t>Sąd Najwyższy stwierdził ponadto, że</w:t>
      </w:r>
      <w:r w:rsidR="00B91C3E">
        <w:t xml:space="preserve"> w </w:t>
      </w:r>
      <w:r w:rsidR="001754CE" w:rsidRPr="00B91C3E">
        <w:t>odniesieniu do skarżącego wymóg wykazania istnienia szczególnych okoliczności uzasadniających wymierzenie kary poniżej dolnej ustawowej granicy nie został spełniony</w:t>
      </w:r>
      <w:r w:rsidR="00B91C3E">
        <w:t xml:space="preserve"> w </w:t>
      </w:r>
      <w:r w:rsidR="001754CE" w:rsidRPr="00B91C3E">
        <w:t xml:space="preserve">sposób zasługujący na aprobatę. </w:t>
      </w:r>
      <w:r w:rsidR="00B91C3E">
        <w:t>W </w:t>
      </w:r>
      <w:r w:rsidR="001754CE" w:rsidRPr="00B91C3E">
        <w:t>jego ocenie sąd odwoławczy, uzasadniając swoją decyzję</w:t>
      </w:r>
      <w:r w:rsidR="00B91C3E">
        <w:t xml:space="preserve"> w </w:t>
      </w:r>
      <w:r w:rsidR="001754CE" w:rsidRPr="00B91C3E">
        <w:t>tym zakresie, powielił argumenty sądu pierwszej instancji dotyczące braku uprzedniej karalności skarżącego, jego społecznie akceptowalnego stylu życia oraz faktu, że pomagał on swojej rodzinie. Sąd Najwyższy podzielił stanowisko Prokuratora Generalnego, zgodnie</w:t>
      </w:r>
      <w:r w:rsidR="00B91C3E">
        <w:t xml:space="preserve"> z </w:t>
      </w:r>
      <w:r w:rsidR="001754CE" w:rsidRPr="00B91C3E">
        <w:t>którym uzasadnienie decyzji przedstawione przez sąd odwoławczy</w:t>
      </w:r>
      <w:r w:rsidR="00B91C3E">
        <w:t xml:space="preserve"> w </w:t>
      </w:r>
      <w:r w:rsidR="001754CE" w:rsidRPr="00B91C3E">
        <w:t>rzeczywistości dotyczyło jedynie ogólnych okoliczności sprawy, które powinny mieć jedynie niewielki wpływ na wymiar kary,</w:t>
      </w:r>
      <w:r w:rsidR="00B91C3E">
        <w:t xml:space="preserve"> a </w:t>
      </w:r>
      <w:r w:rsidR="001754CE" w:rsidRPr="00B91C3E">
        <w:t>zatem</w:t>
      </w:r>
      <w:r w:rsidR="00B91C3E">
        <w:t xml:space="preserve"> w </w:t>
      </w:r>
      <w:r w:rsidR="001754CE" w:rsidRPr="00B91C3E">
        <w:t>sprawie skarżącego nie należało zastosować nadzwyczajnego złagodzenia kary.</w:t>
      </w:r>
    </w:p>
    <w:p w14:paraId="3A7E6E91" w14:textId="18CDC82F" w:rsidR="004E2A87" w:rsidRPr="00B91C3E" w:rsidRDefault="009E58FB" w:rsidP="002E7E83">
      <w:pPr>
        <w:pStyle w:val="JuPara"/>
      </w:pPr>
      <w:r w:rsidRPr="00B91C3E">
        <w:rPr>
          <w:noProof/>
        </w:rPr>
        <w:t>18</w:t>
      </w:r>
      <w:r w:rsidR="001754CE" w:rsidRPr="00B91C3E">
        <w:t>.</w:t>
      </w:r>
      <w:r w:rsidR="00CA0241">
        <w:t xml:space="preserve"> </w:t>
      </w:r>
      <w:r w:rsidR="00B91C3E">
        <w:t>W </w:t>
      </w:r>
      <w:r w:rsidR="001754CE" w:rsidRPr="00B91C3E">
        <w:t>dniu 23 maja 2019</w:t>
      </w:r>
      <w:r w:rsidR="00B91C3E">
        <w:t> r.</w:t>
      </w:r>
      <w:r w:rsidR="001754CE" w:rsidRPr="00B91C3E">
        <w:t xml:space="preserve"> Sąd Okręgowy</w:t>
      </w:r>
      <w:r w:rsidR="00B91C3E">
        <w:t xml:space="preserve"> w </w:t>
      </w:r>
      <w:r w:rsidR="001754CE" w:rsidRPr="00B91C3E">
        <w:t>Opolu uchylił swoje orzeczenie</w:t>
      </w:r>
      <w:r w:rsidR="00B91C3E">
        <w:t xml:space="preserve"> z </w:t>
      </w:r>
      <w:r w:rsidR="001754CE" w:rsidRPr="00B91C3E">
        <w:t>dnia 13 lutego 2019</w:t>
      </w:r>
      <w:r w:rsidR="00B91C3E">
        <w:t> r. i </w:t>
      </w:r>
      <w:r w:rsidR="001754CE" w:rsidRPr="00B91C3E">
        <w:t xml:space="preserve">umorzył postępowanie wobec </w:t>
      </w:r>
      <w:r w:rsidR="001754CE" w:rsidRPr="00B91C3E">
        <w:lastRenderedPageBreak/>
        <w:t>skarżącego</w:t>
      </w:r>
      <w:r w:rsidR="00B91C3E">
        <w:t xml:space="preserve"> w </w:t>
      </w:r>
      <w:r w:rsidR="001754CE" w:rsidRPr="00B91C3E">
        <w:t>sprawie zwolnienia. Uznał, że</w:t>
      </w:r>
      <w:r w:rsidR="00B91C3E">
        <w:t xml:space="preserve"> z </w:t>
      </w:r>
      <w:r w:rsidR="001754CE" w:rsidRPr="00B91C3E">
        <w:t>uwagi na uchylenie przez Sąd Najwyższy prawomocnego wyroku Sądu Apelacyjnego we Wrocławiu, nie ma już prawomocnego wyroku, na podstawie którego mógłby on odbyć karę.</w:t>
      </w:r>
    </w:p>
    <w:p w14:paraId="1F6476BC" w14:textId="2B249369" w:rsidR="004E2A87" w:rsidRPr="00B91C3E" w:rsidRDefault="009E58FB" w:rsidP="002E7E83">
      <w:pPr>
        <w:pStyle w:val="JuPara"/>
      </w:pPr>
      <w:bookmarkStart w:id="6" w:name="second_conviction"/>
      <w:r w:rsidRPr="00B91C3E">
        <w:rPr>
          <w:noProof/>
        </w:rPr>
        <w:t>19</w:t>
      </w:r>
      <w:bookmarkEnd w:id="6"/>
      <w:r w:rsidR="001754CE" w:rsidRPr="00B91C3E">
        <w:t>.</w:t>
      </w:r>
      <w:r w:rsidR="00CA0241">
        <w:t xml:space="preserve"> </w:t>
      </w:r>
      <w:r w:rsidR="00B91C3E">
        <w:t>W </w:t>
      </w:r>
      <w:r w:rsidR="001754CE" w:rsidRPr="00B91C3E">
        <w:t>dniu 30 maja 2019</w:t>
      </w:r>
      <w:r w:rsidR="00B91C3E">
        <w:t> r.</w:t>
      </w:r>
      <w:r w:rsidR="001754CE" w:rsidRPr="00B91C3E">
        <w:t xml:space="preserve"> Sąd Apelacyjny we Wrocławiu zmienił wyrok Sądu Okręgowego</w:t>
      </w:r>
      <w:r w:rsidR="00B91C3E">
        <w:t xml:space="preserve"> w </w:t>
      </w:r>
      <w:r w:rsidR="001754CE" w:rsidRPr="00B91C3E">
        <w:t>Opolu</w:t>
      </w:r>
      <w:r w:rsidR="00B91C3E">
        <w:t xml:space="preserve"> z </w:t>
      </w:r>
      <w:r w:rsidR="001754CE" w:rsidRPr="00B91C3E">
        <w:t>dnia 23 maja 2017</w:t>
      </w:r>
      <w:r w:rsidR="00B91C3E">
        <w:t> r. i </w:t>
      </w:r>
      <w:r w:rsidR="001754CE" w:rsidRPr="00B91C3E">
        <w:t>skazał skarżącego na</w:t>
      </w:r>
      <w:r w:rsidR="004D3D16">
        <w:t> </w:t>
      </w:r>
      <w:r w:rsidR="001754CE" w:rsidRPr="00B91C3E">
        <w:t xml:space="preserve">karę trzech lat pozbawienia wolności oraz karę </w:t>
      </w:r>
      <w:r w:rsidR="00EE07E1" w:rsidRPr="00B91C3E">
        <w:t>grzywn</w:t>
      </w:r>
      <w:r w:rsidR="00EE07E1">
        <w:t>y</w:t>
      </w:r>
      <w:r w:rsidR="00B91C3E">
        <w:t xml:space="preserve"> w </w:t>
      </w:r>
      <w:r w:rsidR="001754CE" w:rsidRPr="00B91C3E">
        <w:t>wysokości 500</w:t>
      </w:r>
      <w:r w:rsidR="00F02988">
        <w:t> </w:t>
      </w:r>
      <w:r w:rsidR="001754CE" w:rsidRPr="00B91C3E">
        <w:t>PLN (125</w:t>
      </w:r>
      <w:r w:rsidR="00F02988">
        <w:t> </w:t>
      </w:r>
      <w:r w:rsidR="001754CE" w:rsidRPr="00B91C3E">
        <w:t>EUR). Podtrzymał on orzeczenie nawiązki</w:t>
      </w:r>
      <w:r w:rsidR="00B91C3E">
        <w:t xml:space="preserve"> i </w:t>
      </w:r>
      <w:r w:rsidR="001754CE" w:rsidRPr="00B91C3E">
        <w:t>argumentował, że</w:t>
      </w:r>
      <w:r w:rsidR="004D3D16">
        <w:t> </w:t>
      </w:r>
      <w:r w:rsidR="001754CE" w:rsidRPr="00B91C3E">
        <w:t xml:space="preserve">sąd pierwszej instancji nie wykazał, że zaistniał „szczególnie uzasadniony </w:t>
      </w:r>
      <w:r w:rsidR="00EE07E1">
        <w:t>w</w:t>
      </w:r>
      <w:r w:rsidR="00EE07E1" w:rsidRPr="00B91C3E">
        <w:t>ypadek</w:t>
      </w:r>
      <w:r w:rsidR="001754CE" w:rsidRPr="00B91C3E">
        <w:t>”,</w:t>
      </w:r>
      <w:r w:rsidR="00B91C3E">
        <w:t xml:space="preserve"> w </w:t>
      </w:r>
      <w:r w:rsidR="001754CE" w:rsidRPr="00B91C3E">
        <w:t>którym nawet najłagodniejsza kara przewidziana za</w:t>
      </w:r>
      <w:r w:rsidR="004D3D16">
        <w:t> </w:t>
      </w:r>
      <w:r w:rsidR="001754CE" w:rsidRPr="00B91C3E">
        <w:t>przedmiotowe przestępstwo byłaby zbyt surowa dla skarżącego. Rozważając argumenty przedstawione przez prokuratora, który pierwotnie wnosił</w:t>
      </w:r>
      <w:r w:rsidR="00B91C3E">
        <w:t xml:space="preserve"> o </w:t>
      </w:r>
      <w:r w:rsidR="001754CE" w:rsidRPr="00B91C3E">
        <w:t>skazanie skarżącego na karę czterech lat pozbawienia wolności, sąd</w:t>
      </w:r>
      <w:r w:rsidR="004D3D16">
        <w:t> </w:t>
      </w:r>
      <w:r w:rsidR="001754CE" w:rsidRPr="00B91C3E">
        <w:t>wziął pod uwagę czas spędzony przez skarżącego</w:t>
      </w:r>
      <w:r w:rsidR="00B91C3E">
        <w:t xml:space="preserve"> w </w:t>
      </w:r>
      <w:r w:rsidR="001754CE" w:rsidRPr="00B91C3E">
        <w:t>zakładzie karnym oraz jego warunkowe zwolnienie zarządzone na wniosek dyrektora Zakładu Karnego</w:t>
      </w:r>
      <w:r w:rsidR="00B91C3E">
        <w:t xml:space="preserve"> w </w:t>
      </w:r>
      <w:r w:rsidR="001754CE" w:rsidRPr="00B91C3E">
        <w:t>Głubczycach</w:t>
      </w:r>
      <w:r w:rsidR="00B91C3E">
        <w:t xml:space="preserve"> i </w:t>
      </w:r>
      <w:r w:rsidR="001754CE" w:rsidRPr="00B91C3E">
        <w:t>stwierdził, że</w:t>
      </w:r>
      <w:r w:rsidR="00B91C3E">
        <w:t xml:space="preserve"> w </w:t>
      </w:r>
      <w:r w:rsidR="001754CE" w:rsidRPr="00B91C3E">
        <w:t>świetle tych okoliczności kara wnioskowana przez prokuratora byłaby zbyt surowa.</w:t>
      </w:r>
    </w:p>
    <w:p w14:paraId="6C2BDDC4" w14:textId="14FF6D9C" w:rsidR="004E2A87" w:rsidRPr="00B91C3E" w:rsidRDefault="009E58FB" w:rsidP="002E7E83">
      <w:pPr>
        <w:pStyle w:val="JuPara"/>
      </w:pPr>
      <w:r w:rsidRPr="00B91C3E">
        <w:rPr>
          <w:noProof/>
        </w:rPr>
        <w:t>20</w:t>
      </w:r>
      <w:r w:rsidR="001754CE" w:rsidRPr="00B91C3E">
        <w:t>.</w:t>
      </w:r>
      <w:r w:rsidR="00CA0241">
        <w:t xml:space="preserve"> </w:t>
      </w:r>
      <w:r w:rsidR="001754CE" w:rsidRPr="00B91C3E">
        <w:t>Na poczet orzeczonej kary zaliczono okres tymczasowego aresztowania skarżącego,</w:t>
      </w:r>
      <w:r w:rsidR="00B91C3E">
        <w:t xml:space="preserve"> w </w:t>
      </w:r>
      <w:r w:rsidR="001754CE" w:rsidRPr="00B91C3E">
        <w:t>tym przypadku od dnia 22 listopada 2016</w:t>
      </w:r>
      <w:r w:rsidR="00B91C3E">
        <w:t> r.</w:t>
      </w:r>
      <w:r w:rsidR="001754CE" w:rsidRPr="00B91C3E">
        <w:t xml:space="preserve"> do</w:t>
      </w:r>
      <w:r w:rsidR="004D3D16">
        <w:t> </w:t>
      </w:r>
      <w:r w:rsidR="001754CE" w:rsidRPr="00B91C3E">
        <w:t>dnia 2 stycznia 2017</w:t>
      </w:r>
      <w:r w:rsidR="00B91C3E">
        <w:t> r.</w:t>
      </w:r>
      <w:r w:rsidR="00EE07E1">
        <w:t>,</w:t>
      </w:r>
      <w:r w:rsidR="001754CE" w:rsidRPr="00B91C3E">
        <w:t xml:space="preserve"> oraz okres dotychczas odbytej kary, od dnia 26</w:t>
      </w:r>
      <w:r w:rsidR="00EE07E1">
        <w:t> </w:t>
      </w:r>
      <w:r w:rsidR="001754CE" w:rsidRPr="00B91C3E">
        <w:t>lutego 2018</w:t>
      </w:r>
      <w:r w:rsidR="00B91C3E">
        <w:t> r.</w:t>
      </w:r>
      <w:r w:rsidR="001754CE" w:rsidRPr="00B91C3E">
        <w:t xml:space="preserve"> do dnia 13 lutego 2019</w:t>
      </w:r>
      <w:r w:rsidR="00B91C3E">
        <w:t> r.</w:t>
      </w:r>
      <w:r w:rsidR="001754CE" w:rsidRPr="00B91C3E">
        <w:t xml:space="preserve"> Data zakończenia kary została wskazana na 14 września 2021</w:t>
      </w:r>
      <w:r w:rsidR="00B91C3E">
        <w:t> r.</w:t>
      </w:r>
    </w:p>
    <w:p w14:paraId="69E78F61" w14:textId="2FE52F71" w:rsidR="004E2A87" w:rsidRPr="00B91C3E" w:rsidRDefault="009E58FB" w:rsidP="002E7E83">
      <w:pPr>
        <w:pStyle w:val="JuPara"/>
      </w:pPr>
      <w:r w:rsidRPr="00B91C3E">
        <w:rPr>
          <w:noProof/>
        </w:rPr>
        <w:t>21</w:t>
      </w:r>
      <w:r w:rsidR="001754CE" w:rsidRPr="00B91C3E">
        <w:t>.</w:t>
      </w:r>
      <w:r w:rsidR="00CA0241">
        <w:t xml:space="preserve"> </w:t>
      </w:r>
      <w:r w:rsidR="00B91C3E">
        <w:t>W </w:t>
      </w:r>
      <w:r w:rsidR="001754CE" w:rsidRPr="00B91C3E">
        <w:t>dniu 14 października 2019</w:t>
      </w:r>
      <w:r w:rsidR="00B91C3E">
        <w:t> r.</w:t>
      </w:r>
      <w:r w:rsidR="001754CE" w:rsidRPr="00B91C3E">
        <w:t xml:space="preserve"> skarżący został przewieziony do</w:t>
      </w:r>
      <w:r w:rsidR="004D3D16">
        <w:t> </w:t>
      </w:r>
      <w:r w:rsidR="001754CE" w:rsidRPr="00B91C3E">
        <w:t>Zakładu Karnego</w:t>
      </w:r>
      <w:r w:rsidR="00B91C3E">
        <w:t xml:space="preserve"> w </w:t>
      </w:r>
      <w:r w:rsidR="001754CE" w:rsidRPr="00B91C3E">
        <w:t>Strzelcach Opolskich</w:t>
      </w:r>
      <w:r w:rsidR="00B91C3E">
        <w:t xml:space="preserve"> w </w:t>
      </w:r>
      <w:r w:rsidR="001754CE" w:rsidRPr="00B91C3E">
        <w:t>celu odbycia pozostałej części kary.</w:t>
      </w:r>
    </w:p>
    <w:p w14:paraId="73745AB8" w14:textId="3AA71BF5" w:rsidR="004E2A87" w:rsidRPr="00B91C3E" w:rsidRDefault="009E58FB" w:rsidP="002E7E83">
      <w:pPr>
        <w:pStyle w:val="JuPara"/>
      </w:pPr>
      <w:r w:rsidRPr="00B91C3E">
        <w:rPr>
          <w:noProof/>
        </w:rPr>
        <w:t>22</w:t>
      </w:r>
      <w:r w:rsidR="001754CE" w:rsidRPr="00B91C3E">
        <w:t>.</w:t>
      </w:r>
      <w:r w:rsidR="00CA0241">
        <w:t xml:space="preserve"> </w:t>
      </w:r>
      <w:r w:rsidR="00B91C3E">
        <w:t>W </w:t>
      </w:r>
      <w:r w:rsidR="001754CE" w:rsidRPr="00B91C3E">
        <w:t>dniu 29 kwietnia 2021</w:t>
      </w:r>
      <w:r w:rsidR="00B91C3E">
        <w:t> r.</w:t>
      </w:r>
      <w:r w:rsidR="001754CE" w:rsidRPr="00B91C3E">
        <w:t xml:space="preserve"> Sąd Okręgowy</w:t>
      </w:r>
      <w:r w:rsidR="00B91C3E">
        <w:t xml:space="preserve"> w </w:t>
      </w:r>
      <w:r w:rsidR="001754CE" w:rsidRPr="00B91C3E">
        <w:t>Opolu, na wniosek skarżącego, zarządził jego natychmiastowe warunkowe zwolnienie</w:t>
      </w:r>
      <w:r w:rsidR="00B91C3E">
        <w:t xml:space="preserve"> z </w:t>
      </w:r>
      <w:r w:rsidR="001754CE" w:rsidRPr="00B91C3E">
        <w:t>odbycia pozostałej części kary</w:t>
      </w:r>
      <w:r w:rsidR="00B91C3E">
        <w:t xml:space="preserve"> w </w:t>
      </w:r>
      <w:r w:rsidR="001754CE" w:rsidRPr="00B91C3E">
        <w:t>wymiarze trzech lat pozbawienia wolności</w:t>
      </w:r>
      <w:r w:rsidR="00B91C3E">
        <w:t xml:space="preserve"> i </w:t>
      </w:r>
      <w:r w:rsidR="001754CE" w:rsidRPr="00B91C3E">
        <w:t xml:space="preserve">wyznaczył dwuletni okres próby. </w:t>
      </w:r>
      <w:r w:rsidR="00B91C3E">
        <w:t>W </w:t>
      </w:r>
      <w:r w:rsidR="001754CE" w:rsidRPr="00B91C3E">
        <w:t>uzasadnieniu swojej decyzji sąd</w:t>
      </w:r>
      <w:r w:rsidR="004D3D16">
        <w:t> </w:t>
      </w:r>
      <w:r w:rsidR="001754CE" w:rsidRPr="00B91C3E">
        <w:t>wskazał, że skarżący odbył już ponad połowę swojej kary; jego zachowanie podczas odbywania kary nie budziło żadnych zastrzeżeń;</w:t>
      </w:r>
      <w:r w:rsidR="00B91C3E">
        <w:t xml:space="preserve"> i </w:t>
      </w:r>
      <w:r w:rsidR="001754CE" w:rsidRPr="00B91C3E">
        <w:t>istniały podstawy, aby przyjąć, że skarżący, będąc na wolności, będzie przestrzegał prawa</w:t>
      </w:r>
      <w:r w:rsidR="00B91C3E">
        <w:t xml:space="preserve"> i </w:t>
      </w:r>
      <w:r w:rsidR="001754CE" w:rsidRPr="00B91C3E">
        <w:t>nie popełni ponownie przestępstwa.</w:t>
      </w:r>
    </w:p>
    <w:p w14:paraId="51C946EB" w14:textId="322C219C" w:rsidR="004E2A87" w:rsidRPr="00B91C3E" w:rsidRDefault="00FB61E0" w:rsidP="002E7E83">
      <w:pPr>
        <w:pStyle w:val="JuHHead"/>
      </w:pPr>
      <w:r>
        <w:t>WŁAŚCIWE</w:t>
      </w:r>
      <w:r w:rsidRPr="00B91C3E">
        <w:t xml:space="preserve"> RAMY PRAWNE</w:t>
      </w:r>
    </w:p>
    <w:p w14:paraId="31B28BCD" w14:textId="5ED192CC" w:rsidR="004E2A87" w:rsidRPr="00B91C3E" w:rsidRDefault="001754CE" w:rsidP="002E7E83">
      <w:pPr>
        <w:pStyle w:val="JuHIRoman"/>
      </w:pPr>
      <w:r w:rsidRPr="00B91C3E">
        <w:t>USTAWA</w:t>
      </w:r>
      <w:r w:rsidR="00B91C3E">
        <w:t xml:space="preserve"> z </w:t>
      </w:r>
      <w:r w:rsidRPr="00B91C3E">
        <w:t>dnia 29 lipca 2005</w:t>
      </w:r>
      <w:r w:rsidR="00B91C3E">
        <w:t> r. o </w:t>
      </w:r>
      <w:r w:rsidRPr="00B91C3E">
        <w:t>przeciwdziałaniu narkomanii</w:t>
      </w:r>
    </w:p>
    <w:p w14:paraId="29A9F690" w14:textId="0E2520B4" w:rsidR="004E2A87" w:rsidRPr="00B91C3E" w:rsidRDefault="009E58FB" w:rsidP="002E7E83">
      <w:pPr>
        <w:pStyle w:val="JuPara"/>
      </w:pPr>
      <w:r w:rsidRPr="00B91C3E">
        <w:rPr>
          <w:noProof/>
        </w:rPr>
        <w:t>23</w:t>
      </w:r>
      <w:r w:rsidR="004E2A87" w:rsidRPr="00B91C3E">
        <w:t>.</w:t>
      </w:r>
      <w:r w:rsidR="00CA0241">
        <w:t xml:space="preserve"> </w:t>
      </w:r>
      <w:r w:rsidR="004E2A87" w:rsidRPr="00B91C3E">
        <w:t xml:space="preserve">Artykuł 53 </w:t>
      </w:r>
      <w:r w:rsidR="00FB61E0">
        <w:t>u</w:t>
      </w:r>
      <w:r w:rsidR="004E2A87" w:rsidRPr="00B91C3E">
        <w:t>stawy</w:t>
      </w:r>
      <w:r w:rsidR="00B91C3E">
        <w:t xml:space="preserve"> o </w:t>
      </w:r>
      <w:r w:rsidR="004E2A87" w:rsidRPr="00B91C3E">
        <w:t>przeciwdziałaniu narkomanii stanowi</w:t>
      </w:r>
      <w:r w:rsidR="00B91C3E">
        <w:t xml:space="preserve"> w </w:t>
      </w:r>
      <w:r w:rsidR="004E2A87" w:rsidRPr="00B91C3E">
        <w:t>istotnym zakresie, co następuje:</w:t>
      </w:r>
    </w:p>
    <w:p w14:paraId="7864C9E7" w14:textId="5C4223DA" w:rsidR="004E2A87" w:rsidRPr="00B91C3E" w:rsidRDefault="001754CE" w:rsidP="002E7E83">
      <w:pPr>
        <w:pStyle w:val="JuQuot"/>
      </w:pPr>
      <w:r w:rsidRPr="00B91C3E">
        <w:t>„1. Kto</w:t>
      </w:r>
      <w:r w:rsidR="00FB61E0">
        <w:t xml:space="preserve"> (…)</w:t>
      </w:r>
      <w:r w:rsidRPr="00B91C3E">
        <w:t xml:space="preserve"> wytwarza, przetwarza albo przerabia środki odurzające</w:t>
      </w:r>
      <w:r w:rsidR="00FB61E0">
        <w:t xml:space="preserve"> </w:t>
      </w:r>
      <w:r w:rsidR="00FB61E0" w:rsidRPr="00FB61E0">
        <w:t>lub substancje psychotropowe</w:t>
      </w:r>
      <w:r w:rsidRPr="00B91C3E">
        <w:t xml:space="preserve"> (...)</w:t>
      </w:r>
      <w:r w:rsidRPr="00B91C3E">
        <w:cr/>
      </w:r>
      <w:r w:rsidRPr="00B91C3E">
        <w:br/>
        <w:t>podlega karze pozbawienia wolności do lat 3.</w:t>
      </w:r>
    </w:p>
    <w:p w14:paraId="4DA289B8" w14:textId="77777777" w:rsidR="004E2A87" w:rsidRPr="00B91C3E" w:rsidRDefault="001754CE" w:rsidP="002E7E83">
      <w:pPr>
        <w:pStyle w:val="JuQuot"/>
      </w:pPr>
      <w:r w:rsidRPr="00B91C3E">
        <w:lastRenderedPageBreak/>
        <w:t>[...]</w:t>
      </w:r>
    </w:p>
    <w:p w14:paraId="6F8A39C6" w14:textId="426825DC" w:rsidR="004E2A87" w:rsidRPr="00B91C3E" w:rsidRDefault="001754CE" w:rsidP="002E7E83">
      <w:pPr>
        <w:pStyle w:val="JuQuot"/>
      </w:pPr>
      <w:r w:rsidRPr="00B91C3E">
        <w:t>2. Jeżeli przedmiotem czynu,</w:t>
      </w:r>
      <w:r w:rsidR="00B91C3E">
        <w:t xml:space="preserve"> o </w:t>
      </w:r>
      <w:r w:rsidRPr="00B91C3E">
        <w:t>którym mowa</w:t>
      </w:r>
      <w:r w:rsidR="00B91C3E">
        <w:t xml:space="preserve"> w </w:t>
      </w:r>
      <w:r w:rsidRPr="00B91C3E">
        <w:t>ust. 1 lub 1a, jest znaczna ilość środków odurzających, substancji psychotropowych (...) sprawca podlega grzywnie</w:t>
      </w:r>
      <w:r w:rsidR="00B91C3E">
        <w:t xml:space="preserve"> i </w:t>
      </w:r>
      <w:r w:rsidRPr="00B91C3E">
        <w:t>karze pozbawienia wolności od lat 3 do 20”</w:t>
      </w:r>
      <w:r w:rsidR="00FB61E0">
        <w:t>.</w:t>
      </w:r>
    </w:p>
    <w:p w14:paraId="24D74A48" w14:textId="77777777" w:rsidR="00A1460C" w:rsidRPr="00B91C3E" w:rsidRDefault="001754CE" w:rsidP="002E7E83">
      <w:pPr>
        <w:pStyle w:val="JuHIRoman"/>
      </w:pPr>
      <w:r w:rsidRPr="00B91C3E">
        <w:t>Kodeks karny</w:t>
      </w:r>
    </w:p>
    <w:p w14:paraId="72496E9D" w14:textId="3E50648E" w:rsidR="004E2A87" w:rsidRPr="00B91C3E" w:rsidRDefault="009E58FB" w:rsidP="002E7E83">
      <w:pPr>
        <w:pStyle w:val="JuPara"/>
      </w:pPr>
      <w:r w:rsidRPr="00B91C3E">
        <w:rPr>
          <w:noProof/>
        </w:rPr>
        <w:t>24</w:t>
      </w:r>
      <w:r w:rsidR="004E2A87" w:rsidRPr="00B91C3E">
        <w:t>.</w:t>
      </w:r>
      <w:r w:rsidR="00CA0241">
        <w:t xml:space="preserve"> </w:t>
      </w:r>
      <w:r w:rsidR="004E2A87" w:rsidRPr="00B91C3E">
        <w:t>Kodeks karny,</w:t>
      </w:r>
      <w:r w:rsidR="00B91C3E">
        <w:t xml:space="preserve"> w </w:t>
      </w:r>
      <w:r w:rsidR="004E2A87" w:rsidRPr="00B91C3E">
        <w:t>odpowiednim zakresie, stanowi:</w:t>
      </w:r>
    </w:p>
    <w:p w14:paraId="062581A9" w14:textId="77777777" w:rsidR="004E2A87" w:rsidRPr="00B91C3E" w:rsidRDefault="001754CE" w:rsidP="002E7E83">
      <w:pPr>
        <w:pStyle w:val="JuHArticle"/>
      </w:pPr>
      <w:r w:rsidRPr="00B91C3E">
        <w:t>Artykuł 60</w:t>
      </w:r>
    </w:p>
    <w:p w14:paraId="67EBF759" w14:textId="6B21FF58" w:rsidR="004E2A87" w:rsidRPr="00B91C3E" w:rsidRDefault="001754CE" w:rsidP="002E7E83">
      <w:pPr>
        <w:pStyle w:val="JuQuot"/>
      </w:pPr>
      <w:r w:rsidRPr="00B91C3E">
        <w:t>„</w:t>
      </w:r>
      <w:r w:rsidR="00DF0ADB">
        <w:t>§ </w:t>
      </w:r>
      <w:r w:rsidRPr="00B91C3E">
        <w:t>2.</w:t>
      </w:r>
      <w:r w:rsidR="00CA0241">
        <w:t xml:space="preserve"> </w:t>
      </w:r>
      <w:r w:rsidRPr="00B91C3E">
        <w:t>Sąd może również zastosować nadzwyczajne złagodzenie kary</w:t>
      </w:r>
      <w:r w:rsidR="00B91C3E">
        <w:t xml:space="preserve"> w </w:t>
      </w:r>
      <w:r w:rsidRPr="00B91C3E">
        <w:t>szczególnie uzasadnionych wypadkach, kiedy nawet najniższa kara przewidziana za przestępstwo byłaby niewspółmiernie surowa,</w:t>
      </w:r>
      <w:r w:rsidR="00B91C3E">
        <w:t xml:space="preserve"> w </w:t>
      </w:r>
      <w:r w:rsidRPr="00B91C3E">
        <w:t>szczególności:</w:t>
      </w:r>
    </w:p>
    <w:p w14:paraId="627D120F" w14:textId="77777777" w:rsidR="004E2A87" w:rsidRPr="00B91C3E" w:rsidRDefault="001754CE" w:rsidP="002E7E83">
      <w:pPr>
        <w:pStyle w:val="JuQuot"/>
      </w:pPr>
      <w:r w:rsidRPr="00B91C3E">
        <w:t>[...]</w:t>
      </w:r>
    </w:p>
    <w:p w14:paraId="732AA589" w14:textId="10D7EC25" w:rsidR="004E2A87" w:rsidRPr="00B91C3E" w:rsidRDefault="001754CE" w:rsidP="002E7E83">
      <w:pPr>
        <w:pStyle w:val="JuQuot"/>
      </w:pPr>
      <w:r w:rsidRPr="00B91C3E">
        <w:t>2) ze względu na postawę sprawcy, zwłaszcza gdy czynił starania</w:t>
      </w:r>
      <w:r w:rsidR="00B91C3E">
        <w:t xml:space="preserve"> o </w:t>
      </w:r>
      <w:r w:rsidRPr="00B91C3E">
        <w:t>naprawienie szkody lub</w:t>
      </w:r>
      <w:r w:rsidR="00B91C3E">
        <w:t xml:space="preserve"> o </w:t>
      </w:r>
      <w:r w:rsidRPr="00B91C3E">
        <w:t>jej zapobieżenie,</w:t>
      </w:r>
    </w:p>
    <w:p w14:paraId="461D5BAD" w14:textId="77777777" w:rsidR="004E2A87" w:rsidRPr="00B91C3E" w:rsidRDefault="001754CE" w:rsidP="002E7E83">
      <w:pPr>
        <w:pStyle w:val="JuQuot"/>
      </w:pPr>
      <w:r w:rsidRPr="00B91C3E">
        <w:t>[...]</w:t>
      </w:r>
    </w:p>
    <w:p w14:paraId="6F52CCB1" w14:textId="6C293DDB" w:rsidR="004E2A87" w:rsidRPr="00B91C3E" w:rsidRDefault="00DF0ADB" w:rsidP="002E7E83">
      <w:pPr>
        <w:pStyle w:val="JuQuot"/>
      </w:pPr>
      <w:r>
        <w:t>§ </w:t>
      </w:r>
      <w:r w:rsidRPr="00B91C3E">
        <w:t>6.</w:t>
      </w:r>
      <w:r w:rsidR="00CA0241">
        <w:t xml:space="preserve"> </w:t>
      </w:r>
      <w:r w:rsidRPr="00B91C3E">
        <w:t>Nadzwyczajne złagodzenie kary polega na wymierzeniu kary poniżej dolnej granicy ustawowego zagrożenia, kary łagodniejszego rodzaju albo na odstąpieniu od</w:t>
      </w:r>
      <w:r w:rsidR="004D3D16">
        <w:t> </w:t>
      </w:r>
      <w:r w:rsidRPr="00B91C3E">
        <w:t>wymierzenia kary</w:t>
      </w:r>
      <w:r w:rsidR="00B91C3E">
        <w:t xml:space="preserve"> i </w:t>
      </w:r>
      <w:r w:rsidRPr="00B91C3E">
        <w:t>orzeczeniu środka karnego, środka kompensacyjnego lub</w:t>
      </w:r>
      <w:r w:rsidR="004D3D16">
        <w:t> </w:t>
      </w:r>
      <w:r w:rsidRPr="00B91C3E">
        <w:t>przepadku według następujących zasad:</w:t>
      </w:r>
    </w:p>
    <w:p w14:paraId="5683A221" w14:textId="77777777" w:rsidR="004E2A87" w:rsidRPr="00B91C3E" w:rsidRDefault="001754CE" w:rsidP="002E7E83">
      <w:pPr>
        <w:pStyle w:val="JuQuot"/>
      </w:pPr>
      <w:r w:rsidRPr="00B91C3E">
        <w:t>[...]</w:t>
      </w:r>
    </w:p>
    <w:p w14:paraId="12EFA156" w14:textId="33EF7B46" w:rsidR="004E2A87" w:rsidRPr="00B91C3E" w:rsidRDefault="001754CE" w:rsidP="002E7E83">
      <w:pPr>
        <w:pStyle w:val="JuQuot"/>
      </w:pPr>
      <w:r w:rsidRPr="00B91C3E">
        <w:t>2) jeżeli czyn stanowi zbrodnię, sąd wymierza karę pozbawienia wolności nie niższą od jednej trzeciej dolnej granicy ustawowego zagrożenia.”</w:t>
      </w:r>
    </w:p>
    <w:p w14:paraId="0E0D0F73" w14:textId="77777777" w:rsidR="004E2A87" w:rsidRPr="00B91C3E" w:rsidRDefault="001754CE" w:rsidP="002E7E83">
      <w:pPr>
        <w:pStyle w:val="JuHArticle"/>
      </w:pPr>
      <w:r w:rsidRPr="00B91C3E">
        <w:t>Artykuł 77</w:t>
      </w:r>
    </w:p>
    <w:p w14:paraId="261672E4" w14:textId="2CCD933E" w:rsidR="004E2A87" w:rsidRPr="00B91C3E" w:rsidRDefault="001754CE" w:rsidP="002E7E83">
      <w:pPr>
        <w:pStyle w:val="JuQuot"/>
      </w:pPr>
      <w:r w:rsidRPr="00B91C3E">
        <w:t>„</w:t>
      </w:r>
      <w:r w:rsidR="00DF0ADB">
        <w:t>§ </w:t>
      </w:r>
      <w:r w:rsidRPr="00B91C3E">
        <w:t>1.</w:t>
      </w:r>
      <w:r w:rsidR="00CA0241">
        <w:t xml:space="preserve"> </w:t>
      </w:r>
      <w:r w:rsidRPr="00B91C3E">
        <w:t>Skazanego na karę pozbawienia wolności sąd może warunkowo zwolnić</w:t>
      </w:r>
      <w:r w:rsidR="00B91C3E">
        <w:t xml:space="preserve"> z </w:t>
      </w:r>
      <w:r w:rsidRPr="00B91C3E">
        <w:t>odbycia reszty kary tylko wówczas, gdy jego postawa, właściwości</w:t>
      </w:r>
      <w:r w:rsidR="00B91C3E">
        <w:t xml:space="preserve"> i </w:t>
      </w:r>
      <w:r w:rsidRPr="00B91C3E">
        <w:t>warunki osobiste, okoliczności popełnienia przestępstwa oraz zachowanie po jego popełnieniu</w:t>
      </w:r>
      <w:r w:rsidR="00B91C3E">
        <w:t xml:space="preserve"> i w </w:t>
      </w:r>
      <w:r w:rsidRPr="00B91C3E">
        <w:t>czasie odbywania kary uzasadniają przekonanie, że skazany po zwolnieniu będzie stosował się do orzeczonego środka karnego lub zabezpieczającego</w:t>
      </w:r>
      <w:r w:rsidR="00B91C3E">
        <w:t xml:space="preserve"> i </w:t>
      </w:r>
      <w:r w:rsidRPr="00B91C3E">
        <w:t>przestrzegał porządku prawnego,</w:t>
      </w:r>
      <w:r w:rsidR="00B91C3E">
        <w:t xml:space="preserve"> w </w:t>
      </w:r>
      <w:r w:rsidRPr="00B91C3E">
        <w:t>szczególności nie popełni ponownie przestępstwa.</w:t>
      </w:r>
    </w:p>
    <w:p w14:paraId="46424C93" w14:textId="77777777" w:rsidR="004E2A87" w:rsidRPr="00B91C3E" w:rsidRDefault="001754CE" w:rsidP="002E7E83">
      <w:pPr>
        <w:pStyle w:val="JuQuot"/>
      </w:pPr>
      <w:r w:rsidRPr="00B91C3E">
        <w:t>[...]”</w:t>
      </w:r>
    </w:p>
    <w:p w14:paraId="788082A2" w14:textId="77777777" w:rsidR="004E2A87" w:rsidRPr="00B91C3E" w:rsidRDefault="001754CE" w:rsidP="002E7E83">
      <w:pPr>
        <w:pStyle w:val="JuHArticle"/>
      </w:pPr>
      <w:r w:rsidRPr="00B91C3E">
        <w:t>Artykuł 78</w:t>
      </w:r>
    </w:p>
    <w:p w14:paraId="75207BE2" w14:textId="58F7BCC7" w:rsidR="004E2A87" w:rsidRPr="00B91C3E" w:rsidRDefault="001754CE" w:rsidP="002E7E83">
      <w:pPr>
        <w:pStyle w:val="JuQuot"/>
      </w:pPr>
      <w:r w:rsidRPr="00B91C3E">
        <w:t>„</w:t>
      </w:r>
      <w:r w:rsidR="00DF0ADB">
        <w:t>§ </w:t>
      </w:r>
      <w:r w:rsidRPr="00B91C3E">
        <w:t>1.</w:t>
      </w:r>
      <w:r w:rsidR="00CA0241">
        <w:t xml:space="preserve"> </w:t>
      </w:r>
      <w:r w:rsidRPr="00B91C3E">
        <w:t>Skazanego można warunkowo zwolnić po odbyciu co najmniej połowy kary.</w:t>
      </w:r>
    </w:p>
    <w:p w14:paraId="7A3D70D4" w14:textId="77777777" w:rsidR="004E2A87" w:rsidRPr="00B91C3E" w:rsidRDefault="001754CE" w:rsidP="002E7E83">
      <w:pPr>
        <w:pStyle w:val="JuQuot"/>
      </w:pPr>
      <w:r w:rsidRPr="00B91C3E">
        <w:t>[...] ”</w:t>
      </w:r>
    </w:p>
    <w:p w14:paraId="221E6C3B" w14:textId="77777777" w:rsidR="004E2A87" w:rsidRPr="00B91C3E" w:rsidRDefault="001754CE" w:rsidP="002E7E83">
      <w:pPr>
        <w:pStyle w:val="JuHArticle"/>
      </w:pPr>
      <w:r w:rsidRPr="00B91C3E">
        <w:t>Artykuł 82</w:t>
      </w:r>
    </w:p>
    <w:p w14:paraId="042AC69D" w14:textId="565D0002" w:rsidR="004E2A87" w:rsidRPr="00B91C3E" w:rsidRDefault="001754CE" w:rsidP="002E7E83">
      <w:pPr>
        <w:pStyle w:val="JuQuot"/>
      </w:pPr>
      <w:r w:rsidRPr="00B91C3E">
        <w:t>„</w:t>
      </w:r>
      <w:r w:rsidR="00DF0ADB">
        <w:t>§ </w:t>
      </w:r>
      <w:r w:rsidRPr="00B91C3E">
        <w:t>1.</w:t>
      </w:r>
      <w:r w:rsidR="00CA0241">
        <w:t xml:space="preserve"> </w:t>
      </w:r>
      <w:r w:rsidRPr="00B91C3E">
        <w:t>Jeżeli</w:t>
      </w:r>
      <w:r w:rsidR="00B91C3E">
        <w:t xml:space="preserve"> w </w:t>
      </w:r>
      <w:r w:rsidRPr="00B91C3E">
        <w:t>okresie próby</w:t>
      </w:r>
      <w:r w:rsidR="00B91C3E">
        <w:t xml:space="preserve"> i w </w:t>
      </w:r>
      <w:r w:rsidRPr="00B91C3E">
        <w:t>ciągu 6 miesięcy od jej zakończenia nie odwołano warunkowego zwolnienia, karę uważa się za odbytą</w:t>
      </w:r>
      <w:r w:rsidR="00B91C3E">
        <w:t xml:space="preserve"> z </w:t>
      </w:r>
      <w:r w:rsidRPr="00B91C3E">
        <w:t>chwilą warunkowego zwolnienia.</w:t>
      </w:r>
    </w:p>
    <w:p w14:paraId="78122AD5" w14:textId="566C8827" w:rsidR="004E2A87" w:rsidRPr="00B91C3E" w:rsidRDefault="001754CE" w:rsidP="002E7E83">
      <w:pPr>
        <w:pStyle w:val="JuQuot"/>
      </w:pPr>
      <w:r w:rsidRPr="00B91C3E">
        <w:t>[...]”</w:t>
      </w:r>
      <w:r w:rsidR="00E4020A">
        <w:t>.</w:t>
      </w:r>
    </w:p>
    <w:p w14:paraId="6C021740" w14:textId="77777777" w:rsidR="00A1460C" w:rsidRPr="00B91C3E" w:rsidRDefault="001754CE" w:rsidP="002E7E83">
      <w:pPr>
        <w:pStyle w:val="JuHIRoman"/>
      </w:pPr>
      <w:r w:rsidRPr="00B91C3E">
        <w:lastRenderedPageBreak/>
        <w:t>Kodeks postępowania karnego</w:t>
      </w:r>
    </w:p>
    <w:p w14:paraId="2742E56B" w14:textId="5ECE0997" w:rsidR="004E2A87" w:rsidRPr="00B91C3E" w:rsidRDefault="009E58FB" w:rsidP="002E7E83">
      <w:pPr>
        <w:pStyle w:val="JuPara"/>
      </w:pPr>
      <w:bookmarkStart w:id="7" w:name="kpk"/>
      <w:r w:rsidRPr="00B91C3E">
        <w:rPr>
          <w:noProof/>
        </w:rPr>
        <w:t>25</w:t>
      </w:r>
      <w:bookmarkEnd w:id="7"/>
      <w:r w:rsidR="001754CE" w:rsidRPr="00B91C3E">
        <w:t>.</w:t>
      </w:r>
      <w:r w:rsidR="00CA0241">
        <w:t xml:space="preserve"> </w:t>
      </w:r>
      <w:r w:rsidR="001754CE" w:rsidRPr="00B91C3E">
        <w:t>Kodeks postępowania karnego (k.p.k.),</w:t>
      </w:r>
      <w:r w:rsidR="00B91C3E">
        <w:t xml:space="preserve"> w </w:t>
      </w:r>
      <w:r w:rsidR="001754CE" w:rsidRPr="00B91C3E">
        <w:t>odpowiednim zakresie, stanowi:</w:t>
      </w:r>
    </w:p>
    <w:p w14:paraId="4C67F464" w14:textId="77777777" w:rsidR="004E2A87" w:rsidRPr="00B91C3E" w:rsidRDefault="001754CE" w:rsidP="002E7E83">
      <w:pPr>
        <w:pStyle w:val="JuHArticle"/>
      </w:pPr>
      <w:r w:rsidRPr="00B91C3E">
        <w:t>Artykuł 521</w:t>
      </w:r>
    </w:p>
    <w:p w14:paraId="4B1774D9" w14:textId="016260E1" w:rsidR="004E2A87" w:rsidRPr="00B91C3E" w:rsidRDefault="001754CE" w:rsidP="002E7E83">
      <w:pPr>
        <w:pStyle w:val="JuQuot"/>
      </w:pPr>
      <w:r w:rsidRPr="00B91C3E">
        <w:t>„</w:t>
      </w:r>
      <w:r w:rsidR="00DF0ADB">
        <w:t>§ </w:t>
      </w:r>
      <w:r w:rsidRPr="00B91C3E">
        <w:t>1.</w:t>
      </w:r>
      <w:r w:rsidR="00CA0241">
        <w:t xml:space="preserve"> </w:t>
      </w:r>
      <w:r w:rsidRPr="00B91C3E">
        <w:t>Prokurator Generalny,</w:t>
      </w:r>
      <w:r w:rsidR="00B91C3E">
        <w:t xml:space="preserve"> a </w:t>
      </w:r>
      <w:r w:rsidRPr="00B91C3E">
        <w:t>także Rzecznik Praw Obywatelskich może wnieść kasację od każdego prawomocnego orzeczenia sądu kończącego postępowanie.</w:t>
      </w:r>
    </w:p>
    <w:p w14:paraId="5DEA7E79" w14:textId="77777777" w:rsidR="004E2A87" w:rsidRPr="00B91C3E" w:rsidRDefault="001754CE" w:rsidP="002E7E83">
      <w:pPr>
        <w:pStyle w:val="JuQuot"/>
      </w:pPr>
      <w:r w:rsidRPr="00B91C3E">
        <w:t>[...]”</w:t>
      </w:r>
    </w:p>
    <w:p w14:paraId="0802D967" w14:textId="77777777" w:rsidR="004E2A87" w:rsidRPr="00B91C3E" w:rsidRDefault="001754CE" w:rsidP="002E7E83">
      <w:pPr>
        <w:pStyle w:val="JuHArticle"/>
      </w:pPr>
      <w:r w:rsidRPr="00B91C3E">
        <w:t>Artykuł 523</w:t>
      </w:r>
    </w:p>
    <w:p w14:paraId="705AF80A" w14:textId="516D7B7B" w:rsidR="004E2A87" w:rsidRPr="00B91C3E" w:rsidRDefault="001754CE" w:rsidP="002E7E83">
      <w:pPr>
        <w:pStyle w:val="JuQuot"/>
      </w:pPr>
      <w:r w:rsidRPr="00B91C3E">
        <w:t>„</w:t>
      </w:r>
      <w:r w:rsidR="00DF0ADB">
        <w:t>§ </w:t>
      </w:r>
      <w:r w:rsidRPr="00B91C3E">
        <w:t>1.</w:t>
      </w:r>
      <w:r w:rsidR="00CA0241">
        <w:t xml:space="preserve"> </w:t>
      </w:r>
      <w:r w:rsidRPr="00B91C3E">
        <w:t>Kasacja może być wniesiona tylko</w:t>
      </w:r>
      <w:r w:rsidR="00B91C3E">
        <w:t xml:space="preserve"> z </w:t>
      </w:r>
      <w:r w:rsidRPr="00B91C3E">
        <w:t>powodu uchybień wymienionych</w:t>
      </w:r>
      <w:r w:rsidR="00B91C3E">
        <w:t xml:space="preserve"> w </w:t>
      </w:r>
      <w:r w:rsidRPr="00B91C3E">
        <w:t>art.</w:t>
      </w:r>
      <w:r w:rsidR="004D3D16">
        <w:t> </w:t>
      </w:r>
      <w:r w:rsidRPr="00B91C3E">
        <w:t>439 lub innego rażącego naruszenia prawa, jeżeli mogło ono mieć istotny wpływ na treść orzeczenia. Kasacja nie może być wniesiona wyłącznie</w:t>
      </w:r>
      <w:r w:rsidR="00B91C3E">
        <w:t xml:space="preserve"> z </w:t>
      </w:r>
      <w:r w:rsidRPr="00B91C3E">
        <w:t>powodu niewspółmierności kary.</w:t>
      </w:r>
    </w:p>
    <w:p w14:paraId="6CEA9D9A" w14:textId="76B58A85" w:rsidR="004E2A87" w:rsidRPr="00B91C3E" w:rsidRDefault="00DF0ADB" w:rsidP="002E7E83">
      <w:pPr>
        <w:pStyle w:val="JuQuot"/>
      </w:pPr>
      <w:r>
        <w:t>§ </w:t>
      </w:r>
      <w:proofErr w:type="spellStart"/>
      <w:r w:rsidRPr="00B91C3E">
        <w:t>1a</w:t>
      </w:r>
      <w:proofErr w:type="spellEnd"/>
      <w:r w:rsidRPr="00B91C3E">
        <w:t>.</w:t>
      </w:r>
      <w:r w:rsidR="00CA0241">
        <w:t xml:space="preserve"> </w:t>
      </w:r>
      <w:r w:rsidRPr="00B91C3E">
        <w:t>Ograniczenia,</w:t>
      </w:r>
      <w:r w:rsidR="00B91C3E">
        <w:t xml:space="preserve"> o </w:t>
      </w:r>
      <w:r w:rsidRPr="00B91C3E">
        <w:t>którym mowa</w:t>
      </w:r>
      <w:r w:rsidR="00B91C3E">
        <w:t xml:space="preserve"> w </w:t>
      </w:r>
      <w:r>
        <w:t>§ </w:t>
      </w:r>
      <w:r w:rsidRPr="00B91C3E">
        <w:t>1 zdanie drugie, nie stosuje się do kasacji wniesionej przez Prokuratora Generalnego</w:t>
      </w:r>
      <w:r w:rsidR="00B91C3E">
        <w:t xml:space="preserve"> w </w:t>
      </w:r>
      <w:r w:rsidRPr="00B91C3E">
        <w:t>sprawach</w:t>
      </w:r>
      <w:r w:rsidR="00B91C3E">
        <w:t xml:space="preserve"> o </w:t>
      </w:r>
      <w:r w:rsidRPr="00B91C3E">
        <w:t>zbrodnie.</w:t>
      </w:r>
    </w:p>
    <w:p w14:paraId="7FAD1474" w14:textId="77777777" w:rsidR="004E2A87" w:rsidRPr="00B91C3E" w:rsidRDefault="001754CE" w:rsidP="002E7E83">
      <w:pPr>
        <w:pStyle w:val="JuQuot"/>
      </w:pPr>
      <w:r w:rsidRPr="00B91C3E">
        <w:t>[...]”</w:t>
      </w:r>
    </w:p>
    <w:p w14:paraId="2DF69B8E" w14:textId="77777777" w:rsidR="004E2A87" w:rsidRPr="00B91C3E" w:rsidRDefault="001754CE" w:rsidP="002E7E83">
      <w:pPr>
        <w:pStyle w:val="JuHArticle"/>
      </w:pPr>
      <w:r w:rsidRPr="00B91C3E">
        <w:t>Artykuł 524</w:t>
      </w:r>
    </w:p>
    <w:p w14:paraId="68BA6256" w14:textId="0ADC4FCF" w:rsidR="004E2A87" w:rsidRPr="00B91C3E" w:rsidRDefault="001754CE" w:rsidP="002E7E83">
      <w:pPr>
        <w:pStyle w:val="JuQuot"/>
      </w:pPr>
      <w:r w:rsidRPr="00B91C3E">
        <w:t>„</w:t>
      </w:r>
      <w:r w:rsidR="00DF0ADB">
        <w:t>§ </w:t>
      </w:r>
      <w:r w:rsidRPr="00B91C3E">
        <w:t>1.</w:t>
      </w:r>
      <w:r w:rsidR="00CA0241">
        <w:t xml:space="preserve"> </w:t>
      </w:r>
      <w:r w:rsidRPr="00B91C3E">
        <w:t>Termin do wniesienia kasacji dla stron wynosi 30 dni od daty doręczenia orzeczenia</w:t>
      </w:r>
      <w:r w:rsidR="00B91C3E">
        <w:t xml:space="preserve"> z </w:t>
      </w:r>
      <w:r w:rsidRPr="00B91C3E">
        <w:t>uzasadnieniem.</w:t>
      </w:r>
    </w:p>
    <w:p w14:paraId="515B6F95" w14:textId="77777777" w:rsidR="004E2A87" w:rsidRPr="00B91C3E" w:rsidRDefault="001754CE" w:rsidP="002E7E83">
      <w:pPr>
        <w:pStyle w:val="JuQuot"/>
        <w:rPr>
          <w:rFonts w:cstheme="minorHAnsi"/>
        </w:rPr>
      </w:pPr>
      <w:r w:rsidRPr="00B91C3E">
        <w:t>[...]</w:t>
      </w:r>
    </w:p>
    <w:p w14:paraId="3BD48803" w14:textId="1563807F" w:rsidR="004E2A87" w:rsidRPr="00B91C3E" w:rsidRDefault="00DF0ADB" w:rsidP="002E7E83">
      <w:pPr>
        <w:pStyle w:val="JuQuot"/>
      </w:pPr>
      <w:r>
        <w:t>§ </w:t>
      </w:r>
      <w:r w:rsidRPr="00B91C3E">
        <w:t>3.</w:t>
      </w:r>
      <w:r w:rsidR="00CA0241">
        <w:t xml:space="preserve"> </w:t>
      </w:r>
      <w:r w:rsidRPr="00B91C3E">
        <w:t xml:space="preserve">Niedopuszczalne jest uwzględnienie kasacji na niekorzyść oskarżonego wniesionej po upływie roku od daty uprawomocnienia się orzeczenia. </w:t>
      </w:r>
    </w:p>
    <w:p w14:paraId="6372AF9B" w14:textId="77777777" w:rsidR="004E2A87" w:rsidRPr="00B91C3E" w:rsidRDefault="001754CE" w:rsidP="002E7E83">
      <w:pPr>
        <w:pStyle w:val="JuHArticle"/>
      </w:pPr>
      <w:r w:rsidRPr="00B91C3E">
        <w:t>Artykuł 538</w:t>
      </w:r>
    </w:p>
    <w:p w14:paraId="41C7C951" w14:textId="6EB04950" w:rsidR="004E2A87" w:rsidRPr="00B91C3E" w:rsidRDefault="001754CE" w:rsidP="002E7E83">
      <w:pPr>
        <w:pStyle w:val="JuQuot"/>
      </w:pPr>
      <w:r w:rsidRPr="00B91C3E">
        <w:t>„</w:t>
      </w:r>
      <w:r w:rsidR="00DF0ADB">
        <w:t>§ </w:t>
      </w:r>
      <w:r w:rsidRPr="00B91C3E">
        <w:t>1.</w:t>
      </w:r>
      <w:r w:rsidR="00CA0241">
        <w:t xml:space="preserve"> </w:t>
      </w:r>
      <w:r w:rsidRPr="00B91C3E">
        <w:t>Z chwilą uchylenia wyroku wykonanie kary, środka karnego, przepadku</w:t>
      </w:r>
      <w:r w:rsidR="00B91C3E">
        <w:t xml:space="preserve"> i </w:t>
      </w:r>
      <w:r w:rsidRPr="00B91C3E">
        <w:t>środka kompensacyjnego ustaje; karę, środek karny, przepadek</w:t>
      </w:r>
      <w:r w:rsidR="00B91C3E">
        <w:t xml:space="preserve"> i </w:t>
      </w:r>
      <w:r w:rsidRPr="00B91C3E">
        <w:t>środek kompensacyjny już wykonane –</w:t>
      </w:r>
      <w:r w:rsidR="00B91C3E">
        <w:t xml:space="preserve"> w </w:t>
      </w:r>
      <w:r w:rsidRPr="00B91C3E">
        <w:t>wypadku późniejszego ponownego skazania – zalicza się odpowiednio na poczet nowo orzeczonej kary, środka karnego, przepadku</w:t>
      </w:r>
      <w:r w:rsidR="00B91C3E">
        <w:t xml:space="preserve"> i </w:t>
      </w:r>
      <w:r w:rsidRPr="00B91C3E">
        <w:t>środka kompensacyjnego.</w:t>
      </w:r>
    </w:p>
    <w:p w14:paraId="2882F381" w14:textId="3FF7B15B" w:rsidR="004E2A87" w:rsidRPr="00B91C3E" w:rsidRDefault="001754CE" w:rsidP="002E7E83">
      <w:pPr>
        <w:pStyle w:val="JuQuot"/>
      </w:pPr>
      <w:r w:rsidRPr="00B91C3E">
        <w:t>[...]”</w:t>
      </w:r>
      <w:r w:rsidR="008D159F">
        <w:t>.</w:t>
      </w:r>
    </w:p>
    <w:p w14:paraId="42C475DA" w14:textId="77777777" w:rsidR="004E2A87" w:rsidRPr="00B91C3E" w:rsidRDefault="001754CE" w:rsidP="002E7E83">
      <w:pPr>
        <w:pStyle w:val="JuHHead"/>
      </w:pPr>
      <w:r w:rsidRPr="00B91C3E">
        <w:t>PRAWO</w:t>
      </w:r>
    </w:p>
    <w:p w14:paraId="05EA0BCF" w14:textId="77777777" w:rsidR="004E2A87" w:rsidRPr="00B91C3E" w:rsidRDefault="001754CE" w:rsidP="00FB2E2A">
      <w:pPr>
        <w:pStyle w:val="JuHIRoman"/>
        <w:rPr>
          <w:szCs w:val="24"/>
        </w:rPr>
      </w:pPr>
      <w:r w:rsidRPr="00B91C3E">
        <w:t>ZAKRES SPRAWY I ZARZUTY</w:t>
      </w:r>
    </w:p>
    <w:p w14:paraId="7ED3AEFB" w14:textId="3AF573F5" w:rsidR="004E2A87" w:rsidRPr="00B91C3E" w:rsidRDefault="009E58FB" w:rsidP="002E7E83">
      <w:pPr>
        <w:pStyle w:val="JuPara"/>
      </w:pPr>
      <w:bookmarkStart w:id="8" w:name="scope"/>
      <w:r w:rsidRPr="00B91C3E">
        <w:rPr>
          <w:noProof/>
        </w:rPr>
        <w:t>26</w:t>
      </w:r>
      <w:bookmarkEnd w:id="8"/>
      <w:r w:rsidR="001754CE" w:rsidRPr="00B91C3E">
        <w:t>.</w:t>
      </w:r>
      <w:r w:rsidR="00CA0241">
        <w:t xml:space="preserve"> </w:t>
      </w:r>
      <w:r w:rsidR="001754CE" w:rsidRPr="00B91C3E">
        <w:t>Trybunał uważa, że niniejsza skarga porusza kwestie prawa do</w:t>
      </w:r>
      <w:r w:rsidR="004D3D16">
        <w:t> </w:t>
      </w:r>
      <w:r w:rsidR="001754CE" w:rsidRPr="00B91C3E">
        <w:t>rzetelnego procesu sądowego,</w:t>
      </w:r>
      <w:r w:rsidR="00B91C3E">
        <w:t xml:space="preserve"> w </w:t>
      </w:r>
      <w:r w:rsidR="001754CE" w:rsidRPr="00B91C3E">
        <w:t>szczególności</w:t>
      </w:r>
      <w:r w:rsidR="00B91C3E">
        <w:t xml:space="preserve"> w </w:t>
      </w:r>
      <w:r w:rsidR="001754CE" w:rsidRPr="00B91C3E">
        <w:t>odniesieniu do zasady pewności prawa,</w:t>
      </w:r>
      <w:r w:rsidR="00B91C3E">
        <w:t xml:space="preserve"> i</w:t>
      </w:r>
      <w:r w:rsidR="00CA0241">
        <w:t xml:space="preserve"> </w:t>
      </w:r>
      <w:r w:rsidR="00B91C3E">
        <w:t>w </w:t>
      </w:r>
      <w:r w:rsidR="001754CE" w:rsidRPr="00B91C3E">
        <w:t>związku</w:t>
      </w:r>
      <w:r w:rsidR="00B91C3E">
        <w:t xml:space="preserve"> z </w:t>
      </w:r>
      <w:r w:rsidR="001754CE" w:rsidRPr="00B91C3E">
        <w:t>tym uznaje za konieczne wyjaśnienie zakresu sprawy wraz</w:t>
      </w:r>
      <w:r w:rsidR="00B91C3E">
        <w:t xml:space="preserve"> z </w:t>
      </w:r>
      <w:r w:rsidR="001754CE" w:rsidRPr="00B91C3E">
        <w:t xml:space="preserve">przepisami, na podstawie których zarzuty mają być rozpatrywane. Skarżący zarzucił na podstawie art. 4 ust. 1 Protokołu </w:t>
      </w:r>
      <w:r w:rsidR="00B91C3E">
        <w:t>nr </w:t>
      </w:r>
      <w:r w:rsidR="001754CE" w:rsidRPr="00B91C3E">
        <w:t>7 do</w:t>
      </w:r>
      <w:r w:rsidR="004D3D16">
        <w:t> </w:t>
      </w:r>
      <w:r w:rsidR="001754CE" w:rsidRPr="00B91C3E">
        <w:t>Konwencji, że został ponownie osądzony</w:t>
      </w:r>
      <w:r w:rsidR="00B91C3E">
        <w:t xml:space="preserve"> i </w:t>
      </w:r>
      <w:r w:rsidR="001754CE" w:rsidRPr="00B91C3E">
        <w:t xml:space="preserve">ukarany drugim wyrokiem </w:t>
      </w:r>
      <w:r w:rsidR="001754CE" w:rsidRPr="00B91C3E">
        <w:lastRenderedPageBreak/>
        <w:t>po</w:t>
      </w:r>
      <w:r w:rsidR="004D3D16">
        <w:t> </w:t>
      </w:r>
      <w:r w:rsidR="001754CE" w:rsidRPr="00B91C3E">
        <w:t>przedterminowym zwolnieniu</w:t>
      </w:r>
      <w:r w:rsidR="00B91C3E">
        <w:t xml:space="preserve"> z </w:t>
      </w:r>
      <w:r w:rsidR="001754CE" w:rsidRPr="00B91C3E">
        <w:t>zakładu karnego. Trybunał, na którym spoczywa obowiązek dokonania subsumpcji</w:t>
      </w:r>
      <w:r w:rsidR="00D95142">
        <w:t xml:space="preserve"> w każdej rozpatrywanej przez niego sprawie</w:t>
      </w:r>
      <w:r w:rsidR="001754CE" w:rsidRPr="00B91C3E">
        <w:t xml:space="preserve"> (zob. </w:t>
      </w:r>
      <w:bookmarkStart w:id="9" w:name="_cl34743THELAW"/>
      <w:r w:rsidR="001754CE" w:rsidRPr="00B91C3E">
        <w:rPr>
          <w:i/>
          <w:iCs/>
        </w:rPr>
        <w:t>Radomilja</w:t>
      </w:r>
      <w:r w:rsidR="00B91C3E">
        <w:rPr>
          <w:i/>
          <w:iCs/>
        </w:rPr>
        <w:t xml:space="preserve"> i </w:t>
      </w:r>
      <w:r w:rsidR="001754CE" w:rsidRPr="00B91C3E">
        <w:rPr>
          <w:i/>
          <w:iCs/>
        </w:rPr>
        <w:t>Inni przeciwko Chorwacji</w:t>
      </w:r>
      <w:bookmarkEnd w:id="9"/>
      <w:r w:rsidR="001754CE" w:rsidRPr="00B91C3E">
        <w:t xml:space="preserve"> [WI], </w:t>
      </w:r>
      <w:r w:rsidR="00B91C3E">
        <w:t>nr </w:t>
      </w:r>
      <w:r w:rsidR="001754CE" w:rsidRPr="00B91C3E">
        <w:t xml:space="preserve">37685/10 oraz 22768/12, </w:t>
      </w:r>
      <w:r w:rsidR="00DF0ADB">
        <w:t>§ </w:t>
      </w:r>
      <w:r w:rsidR="001754CE" w:rsidRPr="00B91C3E">
        <w:t>126, 20 marca 2018</w:t>
      </w:r>
      <w:r w:rsidR="00B91C3E">
        <w:t> r.</w:t>
      </w:r>
      <w:r w:rsidR="001754CE" w:rsidRPr="00B91C3E">
        <w:t>), uznaje za bardziej właściwe</w:t>
      </w:r>
      <w:r w:rsidR="00B91C3E">
        <w:t xml:space="preserve"> w </w:t>
      </w:r>
      <w:r w:rsidR="001754CE" w:rsidRPr="00B91C3E">
        <w:t>okolicznościach niniejszej sprawy zbadanie tej skargi na podstawie art. 6 ust. 1 Konwencji, który</w:t>
      </w:r>
      <w:r w:rsidR="00B91C3E">
        <w:t xml:space="preserve"> w </w:t>
      </w:r>
      <w:r w:rsidR="001754CE" w:rsidRPr="00B91C3E">
        <w:t>zakresie,</w:t>
      </w:r>
      <w:r w:rsidR="00B91C3E">
        <w:t xml:space="preserve"> w </w:t>
      </w:r>
      <w:r w:rsidR="001754CE" w:rsidRPr="00B91C3E">
        <w:t>jakim ma to zastosowanie, stanowi:</w:t>
      </w:r>
    </w:p>
    <w:p w14:paraId="19ECC886" w14:textId="1AB49F9E" w:rsidR="004E2A87" w:rsidRPr="00B91C3E" w:rsidRDefault="001754CE" w:rsidP="002E7E83">
      <w:pPr>
        <w:pStyle w:val="JuQuot"/>
      </w:pPr>
      <w:r w:rsidRPr="00B91C3E">
        <w:t>„Każdy ma prawo do sprawiedliwego [...] rozpatrzenia jego sprawy […] przez […] sąd […] przy rozstrzyganiu [...]</w:t>
      </w:r>
      <w:r w:rsidR="00B91C3E">
        <w:t xml:space="preserve"> w </w:t>
      </w:r>
      <w:r w:rsidRPr="00B91C3E">
        <w:t>wytoczonej przeciwko niemu sprawie karnej [...]”</w:t>
      </w:r>
      <w:r w:rsidR="00C237B6">
        <w:t>.</w:t>
      </w:r>
    </w:p>
    <w:p w14:paraId="2BD5818A" w14:textId="77777777" w:rsidR="004E2A87" w:rsidRPr="00B91C3E" w:rsidRDefault="001754CE" w:rsidP="002E7E83">
      <w:pPr>
        <w:pStyle w:val="JuHIRoman"/>
        <w:rPr>
          <w:szCs w:val="24"/>
        </w:rPr>
      </w:pPr>
      <w:r w:rsidRPr="00B91C3E">
        <w:t>ZARZUCANE NARUSZENIE ART. 6 UST. 1 KONWENCJI</w:t>
      </w:r>
    </w:p>
    <w:p w14:paraId="38D76233" w14:textId="77777777" w:rsidR="004E2A87" w:rsidRPr="00B91C3E" w:rsidRDefault="001754CE" w:rsidP="002E7E83">
      <w:pPr>
        <w:pStyle w:val="JuHA"/>
      </w:pPr>
      <w:r w:rsidRPr="00B91C3E">
        <w:t>Dopuszczalność</w:t>
      </w:r>
    </w:p>
    <w:p w14:paraId="39DF1AEA" w14:textId="77777777" w:rsidR="004E2A87" w:rsidRPr="00B91C3E" w:rsidRDefault="001754CE" w:rsidP="002E7E83">
      <w:pPr>
        <w:pStyle w:val="JuH1"/>
      </w:pPr>
      <w:r w:rsidRPr="00B91C3E">
        <w:t>Stanowiska stron</w:t>
      </w:r>
    </w:p>
    <w:p w14:paraId="3F185B6C" w14:textId="08B1CA68" w:rsidR="004E2A87" w:rsidRPr="00B91C3E" w:rsidRDefault="009E58FB" w:rsidP="002E7E83">
      <w:pPr>
        <w:pStyle w:val="JuPara"/>
      </w:pPr>
      <w:r w:rsidRPr="00B91C3E">
        <w:rPr>
          <w:noProof/>
        </w:rPr>
        <w:t>27</w:t>
      </w:r>
      <w:r w:rsidR="004E2A87" w:rsidRPr="00B91C3E">
        <w:t>.</w:t>
      </w:r>
      <w:r w:rsidR="00CA0241">
        <w:t xml:space="preserve"> </w:t>
      </w:r>
      <w:r w:rsidR="004E2A87" w:rsidRPr="00B91C3E">
        <w:t xml:space="preserve">Rząd stwierdził, że skarżący nie wyczerpał dostępnych krajowych środków odwoławczych. </w:t>
      </w:r>
      <w:r w:rsidR="00B91C3E">
        <w:t>W </w:t>
      </w:r>
      <w:r w:rsidR="004E2A87" w:rsidRPr="00B91C3E">
        <w:t xml:space="preserve">szczególności </w:t>
      </w:r>
      <w:r w:rsidR="004D1A69">
        <w:t xml:space="preserve">Rząd </w:t>
      </w:r>
      <w:r w:rsidR="004D1A69" w:rsidRPr="00B91C3E">
        <w:t>wskaza</w:t>
      </w:r>
      <w:r w:rsidR="004D1A69">
        <w:t>ł</w:t>
      </w:r>
      <w:r w:rsidR="004E2A87" w:rsidRPr="00B91C3E">
        <w:t xml:space="preserve">, że </w:t>
      </w:r>
      <w:r w:rsidR="004D1A69">
        <w:t xml:space="preserve">skarżący </w:t>
      </w:r>
      <w:r w:rsidR="004E2A87" w:rsidRPr="00B91C3E">
        <w:t>powinien był wnieść do Trybunału Konstytucyjnego skargę konstytucyjną kwestionującą zgodność</w:t>
      </w:r>
      <w:r w:rsidR="00B91C3E">
        <w:t xml:space="preserve"> z </w:t>
      </w:r>
      <w:r w:rsidR="004E2A87" w:rsidRPr="00B91C3E">
        <w:t>Konstytucją odpowiednich przepisów Kodeksu postępowania karnego,</w:t>
      </w:r>
      <w:r w:rsidR="00B91C3E">
        <w:t xml:space="preserve"> w </w:t>
      </w:r>
      <w:r w:rsidR="004E2A87" w:rsidRPr="00B91C3E">
        <w:t xml:space="preserve">szczególności art. 523 </w:t>
      </w:r>
      <w:r w:rsidR="00DF0ADB">
        <w:t>§ </w:t>
      </w:r>
      <w:proofErr w:type="spellStart"/>
      <w:r w:rsidR="004E2A87" w:rsidRPr="00B91C3E">
        <w:t>1a</w:t>
      </w:r>
      <w:proofErr w:type="spellEnd"/>
      <w:r w:rsidR="004E2A87" w:rsidRPr="00B91C3E">
        <w:t>, który pozwalał na</w:t>
      </w:r>
      <w:r w:rsidR="004D3D16">
        <w:t> </w:t>
      </w:r>
      <w:r w:rsidR="004E2A87" w:rsidRPr="00B91C3E">
        <w:t>wniesienie kasacji wyłącznie</w:t>
      </w:r>
      <w:r w:rsidR="00B91C3E">
        <w:t xml:space="preserve"> z </w:t>
      </w:r>
      <w:r w:rsidR="004E2A87" w:rsidRPr="00B91C3E">
        <w:t>powodu niewspółmierności kary</w:t>
      </w:r>
      <w:r w:rsidR="00B91C3E">
        <w:t xml:space="preserve"> w </w:t>
      </w:r>
      <w:r w:rsidR="004E2A87" w:rsidRPr="00B91C3E">
        <w:t xml:space="preserve">przypadku zarzutu popełnienia </w:t>
      </w:r>
      <w:r w:rsidR="004D1A69">
        <w:t>zbrodni.</w:t>
      </w:r>
      <w:r w:rsidR="004E2A87" w:rsidRPr="00B91C3E">
        <w:t xml:space="preserve"> Skarżący mógł twierdzić, że ten przepis Kodeksu postępowania karnego był niezgodny</w:t>
      </w:r>
      <w:r w:rsidR="00B91C3E">
        <w:t xml:space="preserve"> z </w:t>
      </w:r>
      <w:r w:rsidR="004E2A87" w:rsidRPr="00B91C3E">
        <w:t>Konstytucją, biorąc pod uwagę, że zgodnie</w:t>
      </w:r>
      <w:r w:rsidR="00B91C3E">
        <w:t xml:space="preserve"> z </w:t>
      </w:r>
      <w:r w:rsidR="004E2A87" w:rsidRPr="00B91C3E">
        <w:t xml:space="preserve">art. 42 </w:t>
      </w:r>
      <w:r w:rsidR="00DF0ADB">
        <w:t>§ </w:t>
      </w:r>
      <w:r w:rsidR="004D1A69">
        <w:t>ust.</w:t>
      </w:r>
      <w:r w:rsidR="004D1A69" w:rsidRPr="00B91C3E">
        <w:t xml:space="preserve"> </w:t>
      </w:r>
      <w:r w:rsidR="004E2A87" w:rsidRPr="00B91C3E">
        <w:t xml:space="preserve">1 zdanie pierwsze Konstytucji RP odpowiedzialność karną może ponieść tylko osoba, która popełniła czyn zabroniony </w:t>
      </w:r>
      <w:r w:rsidR="004D1A69" w:rsidRPr="004D1A69">
        <w:t>pod groźbą kary</w:t>
      </w:r>
      <w:r w:rsidR="004D1A69">
        <w:t xml:space="preserve"> </w:t>
      </w:r>
      <w:r w:rsidR="004E2A87" w:rsidRPr="00B91C3E">
        <w:t>przez ustawę obowiązującą</w:t>
      </w:r>
      <w:r w:rsidR="00B91C3E">
        <w:t xml:space="preserve"> w </w:t>
      </w:r>
      <w:r w:rsidR="004E2A87" w:rsidRPr="00B91C3E">
        <w:t>czasie jego popełnienia. Ponadto, zgodnie</w:t>
      </w:r>
      <w:r w:rsidR="00B91C3E">
        <w:t xml:space="preserve"> z </w:t>
      </w:r>
      <w:r w:rsidR="004E2A87" w:rsidRPr="00B91C3E">
        <w:t>art. 45 ust. 1 Konstytucji, każdy ma prawo do sprawiedliwego</w:t>
      </w:r>
      <w:r w:rsidR="00B91C3E">
        <w:t xml:space="preserve"> i </w:t>
      </w:r>
      <w:r w:rsidR="004E2A87" w:rsidRPr="00B91C3E">
        <w:t>jawnego rozpatrzenia sprawy bez nieuzasadnionej zwłoki przez właściwy, niezależny, bezstronny</w:t>
      </w:r>
      <w:r w:rsidR="00B91C3E">
        <w:t xml:space="preserve"> i </w:t>
      </w:r>
      <w:r w:rsidR="004E2A87" w:rsidRPr="00B91C3E">
        <w:t>niezawisły sąd. Postanowienia te zapewniały poziom ochrony porównywalny do tego, jaki zapewnia art. 6 ust. 1 Konwencji</w:t>
      </w:r>
      <w:r w:rsidR="00B91C3E">
        <w:t xml:space="preserve"> i </w:t>
      </w:r>
      <w:r w:rsidR="004E2A87" w:rsidRPr="00B91C3E">
        <w:t xml:space="preserve">art. 4 ust. 1 Protokołu </w:t>
      </w:r>
      <w:r w:rsidR="00B91C3E">
        <w:t>nr </w:t>
      </w:r>
      <w:r w:rsidR="004E2A87" w:rsidRPr="00B91C3E">
        <w:t>7 do Konwencji.</w:t>
      </w:r>
    </w:p>
    <w:p w14:paraId="247824F7" w14:textId="2F7D424A" w:rsidR="004E2A87" w:rsidRPr="00B91C3E" w:rsidRDefault="009E58FB" w:rsidP="002E7E83">
      <w:pPr>
        <w:pStyle w:val="JuPara"/>
      </w:pPr>
      <w:r w:rsidRPr="00B91C3E">
        <w:rPr>
          <w:noProof/>
        </w:rPr>
        <w:t>28</w:t>
      </w:r>
      <w:r w:rsidR="004E2A87" w:rsidRPr="00B91C3E">
        <w:t>.</w:t>
      </w:r>
      <w:r w:rsidR="00CA0241">
        <w:t xml:space="preserve"> </w:t>
      </w:r>
      <w:r w:rsidR="004E2A87" w:rsidRPr="00B91C3E">
        <w:t>Rząd stwierdził ponadto, że niniejsza skarga jest niezgodna</w:t>
      </w:r>
      <w:r w:rsidR="00B91C3E">
        <w:t xml:space="preserve"> z </w:t>
      </w:r>
      <w:r w:rsidR="004E2A87" w:rsidRPr="00B91C3E">
        <w:t>art. 4 ust.</w:t>
      </w:r>
      <w:r w:rsidR="004D3D16">
        <w:t> </w:t>
      </w:r>
      <w:r w:rsidR="004E2A87" w:rsidRPr="00B91C3E">
        <w:t xml:space="preserve">1 Protokołu </w:t>
      </w:r>
      <w:r w:rsidR="00B91C3E">
        <w:t>nr </w:t>
      </w:r>
      <w:r w:rsidR="004E2A87" w:rsidRPr="00B91C3E">
        <w:t xml:space="preserve">7 do Konwencji. </w:t>
      </w:r>
      <w:r w:rsidR="00B91C3E">
        <w:t>W </w:t>
      </w:r>
      <w:r w:rsidR="004E2A87" w:rsidRPr="00B91C3E">
        <w:t>szczególności argumentował, że</w:t>
      </w:r>
      <w:r w:rsidR="004D3D16">
        <w:t> </w:t>
      </w:r>
      <w:r w:rsidR="004E2A87" w:rsidRPr="00B91C3E">
        <w:t>skarżący nie został „ponownie osądzony”</w:t>
      </w:r>
      <w:r w:rsidR="00B91C3E">
        <w:t xml:space="preserve"> w </w:t>
      </w:r>
      <w:r w:rsidR="004E2A87" w:rsidRPr="00B91C3E">
        <w:t>postępowaniu, które przeprowadzono po zapadnięciu orzeczenia Sądu Najwyższego</w:t>
      </w:r>
      <w:r w:rsidR="00B91C3E">
        <w:t xml:space="preserve"> o </w:t>
      </w:r>
      <w:r w:rsidR="004E2A87" w:rsidRPr="00B91C3E">
        <w:t>uchyleniu wyroku sądu drugiej instancji.</w:t>
      </w:r>
    </w:p>
    <w:p w14:paraId="302ECC55" w14:textId="4E99E069" w:rsidR="004E2A87" w:rsidRPr="00B91C3E" w:rsidRDefault="009E58FB" w:rsidP="002E7E83">
      <w:pPr>
        <w:pStyle w:val="JuPara"/>
      </w:pPr>
      <w:r w:rsidRPr="00B91C3E">
        <w:rPr>
          <w:noProof/>
        </w:rPr>
        <w:t>29</w:t>
      </w:r>
      <w:r w:rsidR="004E2A87" w:rsidRPr="00B91C3E">
        <w:t>.</w:t>
      </w:r>
      <w:r w:rsidR="00CA0241">
        <w:t xml:space="preserve"> </w:t>
      </w:r>
      <w:r w:rsidR="00B91C3E">
        <w:t>W </w:t>
      </w:r>
      <w:r w:rsidR="004E2A87" w:rsidRPr="00B91C3E">
        <w:t>odniesieniu do niewyczerpania krajowych środków odwoławczych skarżący zauważył, że Rząd nie wskazał,</w:t>
      </w:r>
      <w:r w:rsidR="00B91C3E">
        <w:t xml:space="preserve"> w </w:t>
      </w:r>
      <w:r w:rsidR="004E2A87" w:rsidRPr="00B91C3E">
        <w:t>jaki sposób można złożyć taką skargę</w:t>
      </w:r>
      <w:r w:rsidR="00B91C3E">
        <w:t xml:space="preserve"> i </w:t>
      </w:r>
      <w:r w:rsidR="004E2A87" w:rsidRPr="00B91C3E">
        <w:t>które przepisy skarżący powinien był zakwestionować przed Trybunałem Konstytucyjnym. Zdaniem skarżącego argument ten był nieuzasadniony</w:t>
      </w:r>
      <w:r w:rsidR="00B91C3E">
        <w:t xml:space="preserve"> i </w:t>
      </w:r>
      <w:r w:rsidR="004E2A87" w:rsidRPr="00B91C3E">
        <w:t>niejasny.</w:t>
      </w:r>
    </w:p>
    <w:p w14:paraId="0E619FFD" w14:textId="16A492E0" w:rsidR="004E2A87" w:rsidRPr="00B91C3E" w:rsidRDefault="009E58FB" w:rsidP="002E7E83">
      <w:pPr>
        <w:pStyle w:val="JuPara"/>
      </w:pPr>
      <w:r w:rsidRPr="00B91C3E">
        <w:rPr>
          <w:noProof/>
        </w:rPr>
        <w:t>30</w:t>
      </w:r>
      <w:r w:rsidR="004E2A87" w:rsidRPr="00B91C3E">
        <w:t>.</w:t>
      </w:r>
      <w:r w:rsidR="00CA0241">
        <w:t xml:space="preserve"> </w:t>
      </w:r>
      <w:r w:rsidR="00B91C3E">
        <w:t>W </w:t>
      </w:r>
      <w:r w:rsidR="004E2A87" w:rsidRPr="00B91C3E">
        <w:t xml:space="preserve">odniesieniu do zarzucanej niezgodności </w:t>
      </w:r>
      <w:r w:rsidR="004B574F" w:rsidRPr="004B574F">
        <w:rPr>
          <w:i/>
          <w:iCs/>
        </w:rPr>
        <w:t>ratione materiae</w:t>
      </w:r>
      <w:r w:rsidR="00B91C3E">
        <w:t xml:space="preserve"> z </w:t>
      </w:r>
      <w:r w:rsidR="004E2A87" w:rsidRPr="00B91C3E">
        <w:t>postanowieniami Konwencji</w:t>
      </w:r>
      <w:r w:rsidR="00B91C3E">
        <w:t xml:space="preserve"> i </w:t>
      </w:r>
      <w:r w:rsidR="004E2A87" w:rsidRPr="00B91C3E">
        <w:t>Protokołów do niej skarżący utrzymywał, że</w:t>
      </w:r>
      <w:r w:rsidR="004D3D16">
        <w:t> </w:t>
      </w:r>
      <w:r w:rsidR="004E2A87" w:rsidRPr="00B91C3E">
        <w:t xml:space="preserve">art. 4 Protokołu </w:t>
      </w:r>
      <w:r w:rsidR="00B91C3E">
        <w:t>nr </w:t>
      </w:r>
      <w:r w:rsidR="004E2A87" w:rsidRPr="00B91C3E">
        <w:t>7 do Konwencji miał zastosowanie do jego sprawy.</w:t>
      </w:r>
    </w:p>
    <w:p w14:paraId="52436ED9" w14:textId="77777777" w:rsidR="004E2A87" w:rsidRPr="00B91C3E" w:rsidRDefault="001754CE" w:rsidP="002E7E83">
      <w:pPr>
        <w:pStyle w:val="JuH1"/>
      </w:pPr>
      <w:r w:rsidRPr="00B91C3E">
        <w:lastRenderedPageBreak/>
        <w:t>Ocena Trybunału</w:t>
      </w:r>
    </w:p>
    <w:p w14:paraId="00004EAE" w14:textId="7D473C78" w:rsidR="004E2A87" w:rsidRPr="00B91C3E" w:rsidRDefault="009E58FB" w:rsidP="002E7E83">
      <w:pPr>
        <w:pStyle w:val="JuPara"/>
      </w:pPr>
      <w:r w:rsidRPr="00B91C3E">
        <w:rPr>
          <w:noProof/>
        </w:rPr>
        <w:t>31</w:t>
      </w:r>
      <w:r w:rsidR="004E2A87" w:rsidRPr="00B91C3E">
        <w:t>.</w:t>
      </w:r>
      <w:r w:rsidR="00CA0241">
        <w:t xml:space="preserve"> </w:t>
      </w:r>
      <w:r w:rsidR="004E2A87" w:rsidRPr="00B91C3E">
        <w:t xml:space="preserve">Trybunał </w:t>
      </w:r>
      <w:r w:rsidR="00A7424F">
        <w:t>przypomina</w:t>
      </w:r>
      <w:r w:rsidR="004E2A87" w:rsidRPr="00B91C3E">
        <w:t>, że orzekł już, iż skarga konstytucyjna</w:t>
      </w:r>
      <w:r w:rsidR="00B91C3E">
        <w:t xml:space="preserve"> w </w:t>
      </w:r>
      <w:r w:rsidR="004E2A87" w:rsidRPr="00B91C3E">
        <w:t>Polsce jest skutecznym środkiem odwoławczym</w:t>
      </w:r>
      <w:r w:rsidR="00B91C3E">
        <w:t xml:space="preserve"> w </w:t>
      </w:r>
      <w:r w:rsidR="004E2A87" w:rsidRPr="00B91C3E">
        <w:t>rozumieniu art.</w:t>
      </w:r>
      <w:r w:rsidR="00A7424F">
        <w:t> </w:t>
      </w:r>
      <w:r w:rsidR="004E2A87" w:rsidRPr="00B91C3E">
        <w:t>35 ust. 1 Konwencji jedynie</w:t>
      </w:r>
      <w:r w:rsidR="00B91C3E">
        <w:t xml:space="preserve"> w </w:t>
      </w:r>
      <w:r w:rsidR="004E2A87" w:rsidRPr="00B91C3E">
        <w:t>sytuacji,</w:t>
      </w:r>
      <w:r w:rsidR="00B91C3E">
        <w:t xml:space="preserve"> w </w:t>
      </w:r>
      <w:r w:rsidR="004E2A87" w:rsidRPr="00B91C3E">
        <w:t>której zarzucane naruszenie konstytucyjnych praw</w:t>
      </w:r>
      <w:r w:rsidR="00B91C3E">
        <w:t xml:space="preserve"> i </w:t>
      </w:r>
      <w:r w:rsidR="004E2A87" w:rsidRPr="00B91C3E">
        <w:t>wolności wynika</w:t>
      </w:r>
      <w:r w:rsidR="00B91C3E">
        <w:t xml:space="preserve"> z </w:t>
      </w:r>
      <w:r w:rsidR="004E2A87" w:rsidRPr="00B91C3E">
        <w:t>zastosowania przepisu prawnego, który może być zasadnie zakwestionowany jako niezgodny</w:t>
      </w:r>
      <w:r w:rsidR="00B91C3E">
        <w:t xml:space="preserve"> z </w:t>
      </w:r>
      <w:r w:rsidR="004E2A87" w:rsidRPr="00B91C3E">
        <w:t>Konstytucją. Ponadto taki przepis musi stanowić bezpośrednią podstawę prawną indywidualnej decyzji, której zarzut naruszenia dotyczy. Tym samym procedura skargi konstytucyjnej nie może służyć jako skuteczny środek odwoławczy, jeśli zarzut naruszenia wynika jedynie</w:t>
      </w:r>
      <w:r w:rsidR="00B91C3E">
        <w:t xml:space="preserve"> z </w:t>
      </w:r>
      <w:r w:rsidR="004E2A87" w:rsidRPr="00B91C3E">
        <w:t>błędnego zastosowania lub</w:t>
      </w:r>
      <w:r w:rsidR="00A7424F">
        <w:t xml:space="preserve"> błędnej</w:t>
      </w:r>
      <w:r w:rsidR="004E2A87" w:rsidRPr="00B91C3E">
        <w:t xml:space="preserve"> wykładni przepisu ustawowego, który</w:t>
      </w:r>
      <w:r w:rsidR="00B91C3E">
        <w:t xml:space="preserve"> w </w:t>
      </w:r>
      <w:r w:rsidR="004E2A87" w:rsidRPr="00B91C3E">
        <w:t>swej treści nie jest niekonstytucyjny (zob. niedawno wydany wyrok</w:t>
      </w:r>
      <w:r w:rsidR="00B91C3E">
        <w:t xml:space="preserve"> w </w:t>
      </w:r>
      <w:r w:rsidR="004E2A87" w:rsidRPr="00B91C3E">
        <w:t xml:space="preserve">sprawie </w:t>
      </w:r>
      <w:r w:rsidR="004E2A87" w:rsidRPr="00B91C3E">
        <w:rPr>
          <w:i/>
          <w:iCs/>
        </w:rPr>
        <w:t>Xero Flor</w:t>
      </w:r>
      <w:r w:rsidR="00B91C3E">
        <w:rPr>
          <w:i/>
          <w:iCs/>
        </w:rPr>
        <w:t xml:space="preserve"> w </w:t>
      </w:r>
      <w:r w:rsidR="004E2A87" w:rsidRPr="00B91C3E">
        <w:rPr>
          <w:i/>
          <w:iCs/>
        </w:rPr>
        <w:t>Polsce sp.</w:t>
      </w:r>
      <w:r w:rsidR="00B91C3E">
        <w:rPr>
          <w:i/>
          <w:iCs/>
        </w:rPr>
        <w:t xml:space="preserve"> z </w:t>
      </w:r>
      <w:r w:rsidR="004E2A87" w:rsidRPr="00B91C3E">
        <w:rPr>
          <w:i/>
          <w:iCs/>
        </w:rPr>
        <w:t>o.o. przeciwko Polsce</w:t>
      </w:r>
      <w:r w:rsidR="004E2A87" w:rsidRPr="00B91C3E">
        <w:t xml:space="preserve">, </w:t>
      </w:r>
      <w:r w:rsidR="00B91C3E">
        <w:t>nr </w:t>
      </w:r>
      <w:r w:rsidR="004E2A87" w:rsidRPr="00B91C3E">
        <w:t xml:space="preserve">4907/18, </w:t>
      </w:r>
      <w:r w:rsidR="00DF0ADB">
        <w:t>§ </w:t>
      </w:r>
      <w:r w:rsidR="004E2A87" w:rsidRPr="00B91C3E">
        <w:t>198, 7 maja 2021</w:t>
      </w:r>
      <w:r w:rsidR="00B91C3E">
        <w:t> r.</w:t>
      </w:r>
      <w:r w:rsidR="004E2A87" w:rsidRPr="00B91C3E">
        <w:t>).</w:t>
      </w:r>
    </w:p>
    <w:p w14:paraId="26D72681" w14:textId="3ADF7F43" w:rsidR="004E2A87" w:rsidRPr="00B91C3E" w:rsidRDefault="009E58FB" w:rsidP="002E7E83">
      <w:pPr>
        <w:pStyle w:val="JuPara"/>
      </w:pPr>
      <w:r w:rsidRPr="00B91C3E">
        <w:rPr>
          <w:noProof/>
        </w:rPr>
        <w:t>32</w:t>
      </w:r>
      <w:r w:rsidR="004E2A87" w:rsidRPr="00B91C3E">
        <w:t>.</w:t>
      </w:r>
      <w:r w:rsidR="00CA0241">
        <w:t xml:space="preserve"> </w:t>
      </w:r>
      <w:r w:rsidR="00B91C3E">
        <w:t>W </w:t>
      </w:r>
      <w:r w:rsidR="004E2A87" w:rsidRPr="00B91C3E">
        <w:t>niniejszej sprawie skarżący zarzucił naruszenie swoich praw wynikających</w:t>
      </w:r>
      <w:r w:rsidR="00B91C3E">
        <w:t xml:space="preserve"> z </w:t>
      </w:r>
      <w:r w:rsidR="004E2A87" w:rsidRPr="00B91C3E">
        <w:t>Konwencji</w:t>
      </w:r>
      <w:r w:rsidR="00B91C3E">
        <w:t xml:space="preserve"> w </w:t>
      </w:r>
      <w:r w:rsidR="004E2A87" w:rsidRPr="00B91C3E">
        <w:t>orzeczeniach sądów krajowych oraz ich interpretacji</w:t>
      </w:r>
      <w:r w:rsidR="00B91C3E">
        <w:t xml:space="preserve"> i </w:t>
      </w:r>
      <w:r w:rsidR="004E2A87" w:rsidRPr="00B91C3E">
        <w:t>stosowaniu odpowiednich przepisów Kodeksu postępowania karnego. Trybunał wskazuje na utrwalone orzecznictwo Trybunału Konstytucyjnego, zgodnie</w:t>
      </w:r>
      <w:r w:rsidR="00B91C3E">
        <w:t xml:space="preserve"> z </w:t>
      </w:r>
      <w:r w:rsidR="004E2A87" w:rsidRPr="00B91C3E">
        <w:t>którym skargi konstytucyjne oparte wyłącznie na rzekomo błędnej interpretacji przepisu prawnego są wyłączone</w:t>
      </w:r>
      <w:r w:rsidR="00B91C3E">
        <w:t xml:space="preserve"> z </w:t>
      </w:r>
      <w:r w:rsidR="004E2A87" w:rsidRPr="00B91C3E">
        <w:t xml:space="preserve">jego </w:t>
      </w:r>
      <w:r w:rsidR="00334D2C">
        <w:t>kompetencji</w:t>
      </w:r>
      <w:r w:rsidR="004E2A87" w:rsidRPr="00B91C3E">
        <w:t>, chyba że skarżący kwestionuje przepis</w:t>
      </w:r>
      <w:r w:rsidR="00B91C3E">
        <w:t xml:space="preserve"> w </w:t>
      </w:r>
      <w:r w:rsidR="004E2A87" w:rsidRPr="00B91C3E">
        <w:t>rozumieniu ugruntowanego</w:t>
      </w:r>
      <w:r w:rsidR="00B91C3E">
        <w:t xml:space="preserve"> i </w:t>
      </w:r>
      <w:r w:rsidR="004E2A87" w:rsidRPr="00B91C3E">
        <w:t>długotrwałego orzecznictwa sądów;</w:t>
      </w:r>
      <w:r w:rsidR="00B91C3E">
        <w:t xml:space="preserve"> w </w:t>
      </w:r>
      <w:r w:rsidR="004E2A87" w:rsidRPr="00B91C3E">
        <w:t>rezultacie taka skarga nie może być uznana za skuteczny środek odwoławczy</w:t>
      </w:r>
      <w:r w:rsidR="00B91C3E">
        <w:t xml:space="preserve"> w </w:t>
      </w:r>
      <w:r w:rsidR="004E2A87" w:rsidRPr="00B91C3E">
        <w:t xml:space="preserve">rozumieniu art. 35 ust. 1 Konwencji. Dlatego też skarga konstytucyjna nie może </w:t>
      </w:r>
      <w:r w:rsidR="00334D2C">
        <w:t>zostać</w:t>
      </w:r>
      <w:r w:rsidR="00334D2C" w:rsidRPr="00B91C3E">
        <w:t xml:space="preserve"> </w:t>
      </w:r>
      <w:r w:rsidR="004E2A87" w:rsidRPr="00B91C3E">
        <w:t>uznana za skuteczny środek odwoławczy</w:t>
      </w:r>
      <w:r w:rsidR="00B91C3E">
        <w:t xml:space="preserve"> w </w:t>
      </w:r>
      <w:r w:rsidR="004E2A87" w:rsidRPr="00B91C3E">
        <w:t>sprawie skarżącego (zob.</w:t>
      </w:r>
      <w:r w:rsidR="004D3D16">
        <w:t> </w:t>
      </w:r>
      <w:r w:rsidR="004E2A87" w:rsidRPr="00B91C3E">
        <w:t>na</w:t>
      </w:r>
      <w:r w:rsidR="004D3D16">
        <w:t> </w:t>
      </w:r>
      <w:r w:rsidR="004E2A87" w:rsidRPr="00B91C3E">
        <w:t xml:space="preserve">przykład </w:t>
      </w:r>
      <w:r w:rsidR="004E2A87" w:rsidRPr="00B91C3E">
        <w:rPr>
          <w:i/>
          <w:iCs/>
        </w:rPr>
        <w:t>Długołęcki przeciwko Polsce</w:t>
      </w:r>
      <w:r w:rsidR="004E2A87" w:rsidRPr="00B91C3E">
        <w:t xml:space="preserve">, </w:t>
      </w:r>
      <w:r w:rsidR="00B91C3E">
        <w:t>nr </w:t>
      </w:r>
      <w:r w:rsidR="004E2A87" w:rsidRPr="00B91C3E">
        <w:t xml:space="preserve">23806/03, </w:t>
      </w:r>
      <w:r w:rsidR="00DF0ADB">
        <w:t>§ </w:t>
      </w:r>
      <w:r w:rsidR="004E2A87" w:rsidRPr="00B91C3E">
        <w:t>25, 24</w:t>
      </w:r>
      <w:r w:rsidR="00A7424F">
        <w:t> </w:t>
      </w:r>
      <w:r w:rsidR="004E2A87" w:rsidRPr="00B91C3E">
        <w:t>lutego 2009</w:t>
      </w:r>
      <w:r w:rsidR="00B91C3E">
        <w:t> r.</w:t>
      </w:r>
      <w:r w:rsidR="004E2A87" w:rsidRPr="00B91C3E">
        <w:t xml:space="preserve">, oraz </w:t>
      </w:r>
      <w:r w:rsidR="00334D2C" w:rsidRPr="00334D2C">
        <w:rPr>
          <w:i/>
          <w:iCs/>
        </w:rPr>
        <w:t>Y przeciwko Polsce</w:t>
      </w:r>
      <w:r w:rsidR="004E2A87" w:rsidRPr="00B91C3E">
        <w:t xml:space="preserve">, </w:t>
      </w:r>
      <w:r w:rsidR="00B91C3E">
        <w:t>nr </w:t>
      </w:r>
      <w:r w:rsidR="004E2A87" w:rsidRPr="00B91C3E">
        <w:t>74131/14, §</w:t>
      </w:r>
      <w:r w:rsidR="00DF0ADB">
        <w:t>§ </w:t>
      </w:r>
      <w:r w:rsidR="004E2A87" w:rsidRPr="00B91C3E">
        <w:t>51</w:t>
      </w:r>
      <w:r w:rsidR="00A7424F">
        <w:t>–</w:t>
      </w:r>
      <w:r w:rsidR="004E2A87" w:rsidRPr="00B91C3E">
        <w:t>52, 17</w:t>
      </w:r>
      <w:r w:rsidR="00A7424F">
        <w:t> </w:t>
      </w:r>
      <w:r w:rsidR="004E2A87" w:rsidRPr="00B91C3E">
        <w:t>lutego 2022</w:t>
      </w:r>
      <w:r w:rsidR="00B91C3E">
        <w:t> r.</w:t>
      </w:r>
      <w:r w:rsidR="004E2A87" w:rsidRPr="00B91C3E">
        <w:t>).</w:t>
      </w:r>
    </w:p>
    <w:p w14:paraId="26ECECAC" w14:textId="486AE115" w:rsidR="004E2A87" w:rsidRPr="00B91C3E" w:rsidRDefault="009E58FB" w:rsidP="002E7E83">
      <w:pPr>
        <w:pStyle w:val="JuPara"/>
      </w:pPr>
      <w:r w:rsidRPr="00B91C3E">
        <w:rPr>
          <w:noProof/>
        </w:rPr>
        <w:t>33</w:t>
      </w:r>
      <w:r w:rsidR="004E2A87" w:rsidRPr="00B91C3E">
        <w:t>.</w:t>
      </w:r>
      <w:r w:rsidR="00CA0241">
        <w:t xml:space="preserve"> </w:t>
      </w:r>
      <w:r w:rsidR="004E2A87" w:rsidRPr="00B91C3E">
        <w:t>Z tych względów podniesiony przez Rząd zarzut niewyczerpania krajowych środków odwoławczych nie zasługuje na uwzględnienie.</w:t>
      </w:r>
    </w:p>
    <w:p w14:paraId="6A404086" w14:textId="7476A640" w:rsidR="004E2A87" w:rsidRPr="00B91C3E" w:rsidRDefault="009E58FB" w:rsidP="002E7E83">
      <w:pPr>
        <w:pStyle w:val="JuPara"/>
      </w:pPr>
      <w:r w:rsidRPr="00B91C3E">
        <w:rPr>
          <w:noProof/>
        </w:rPr>
        <w:t>34</w:t>
      </w:r>
      <w:r w:rsidR="004E2A87" w:rsidRPr="00B91C3E">
        <w:t>.</w:t>
      </w:r>
      <w:r w:rsidR="00CA0241">
        <w:t xml:space="preserve"> </w:t>
      </w:r>
      <w:r w:rsidR="00B91C3E">
        <w:t>W </w:t>
      </w:r>
      <w:r w:rsidR="004E2A87" w:rsidRPr="00B91C3E">
        <w:t xml:space="preserve">odniesieniu do zarzutu Rządu dotyczącego rzekomej niezgodności </w:t>
      </w:r>
      <w:r w:rsidR="004B574F" w:rsidRPr="004B574F">
        <w:rPr>
          <w:i/>
          <w:iCs/>
        </w:rPr>
        <w:t>ratione materiae</w:t>
      </w:r>
      <w:r w:rsidR="004B574F" w:rsidRPr="004B574F">
        <w:t xml:space="preserve"> </w:t>
      </w:r>
      <w:r w:rsidR="004E2A87" w:rsidRPr="00B91C3E">
        <w:t>niniejszej skargi</w:t>
      </w:r>
      <w:r w:rsidR="00B91C3E">
        <w:t xml:space="preserve"> z </w:t>
      </w:r>
      <w:r w:rsidR="004E2A87" w:rsidRPr="00B91C3E">
        <w:t xml:space="preserve">art. 4 ust. 1 Protokołu </w:t>
      </w:r>
      <w:r w:rsidR="00B91C3E">
        <w:t>nr </w:t>
      </w:r>
      <w:r w:rsidR="004E2A87" w:rsidRPr="00B91C3E">
        <w:t>7 Trybunał uważa, że mając na uwadze zakres sprawy</w:t>
      </w:r>
      <w:r w:rsidR="00B91C3E">
        <w:t xml:space="preserve"> i </w:t>
      </w:r>
      <w:r w:rsidR="004E2A87" w:rsidRPr="00B91C3E">
        <w:t>zarzuty,</w:t>
      </w:r>
      <w:r w:rsidR="00B91C3E">
        <w:t xml:space="preserve"> o </w:t>
      </w:r>
      <w:r w:rsidR="004E2A87" w:rsidRPr="00B91C3E">
        <w:t xml:space="preserve">których mowa powyżej (zob. </w:t>
      </w:r>
      <w:r w:rsidR="00B67A95">
        <w:t>paragraf </w:t>
      </w:r>
      <w:r w:rsidR="004E2A87" w:rsidRPr="00B91C3E">
        <w:t xml:space="preserve">26), nie jest konieczne badanie, czy art. 4 ust. 1 Protokołu </w:t>
      </w:r>
      <w:r w:rsidR="00B91C3E">
        <w:t>nr </w:t>
      </w:r>
      <w:r w:rsidR="004E2A87" w:rsidRPr="00B91C3E">
        <w:t>7 do Konwencji ma zastosowanie do stanu faktycznego sprawy.</w:t>
      </w:r>
    </w:p>
    <w:p w14:paraId="3DF83DCE" w14:textId="555520D5" w:rsidR="004E2A87" w:rsidRPr="00B91C3E" w:rsidRDefault="009E58FB" w:rsidP="002E7E83">
      <w:pPr>
        <w:pStyle w:val="JuPara"/>
      </w:pPr>
      <w:r w:rsidRPr="00B91C3E">
        <w:rPr>
          <w:noProof/>
        </w:rPr>
        <w:t>35</w:t>
      </w:r>
      <w:r w:rsidR="004E2A87" w:rsidRPr="00B91C3E">
        <w:t>.</w:t>
      </w:r>
      <w:r w:rsidR="00CA0241">
        <w:t xml:space="preserve"> </w:t>
      </w:r>
      <w:r w:rsidR="004E2A87" w:rsidRPr="00B91C3E">
        <w:t>Trybunał zauważa, że niniejsza skarga nie jest</w:t>
      </w:r>
      <w:r w:rsidR="00B91C3E">
        <w:t xml:space="preserve"> w </w:t>
      </w:r>
      <w:r w:rsidR="004E2A87" w:rsidRPr="00B91C3E">
        <w:t>sposób oczywisty nieuzasadniona ani niedopuszczalna</w:t>
      </w:r>
      <w:r w:rsidR="00B91C3E">
        <w:t xml:space="preserve"> z </w:t>
      </w:r>
      <w:r w:rsidR="004E2A87" w:rsidRPr="00B91C3E">
        <w:t>jakichkolwiek innych powodów wymienionych</w:t>
      </w:r>
      <w:r w:rsidR="00B91C3E">
        <w:t xml:space="preserve"> w </w:t>
      </w:r>
      <w:r w:rsidR="004E2A87" w:rsidRPr="00B91C3E">
        <w:t>art. 35 Konwencji. Tym samym należy uznać ją za</w:t>
      </w:r>
      <w:r w:rsidR="004D3D16">
        <w:t> </w:t>
      </w:r>
      <w:r w:rsidR="004E2A87" w:rsidRPr="00B91C3E">
        <w:t>dopuszczalną.</w:t>
      </w:r>
    </w:p>
    <w:p w14:paraId="7767DB9A" w14:textId="77777777" w:rsidR="004E2A87" w:rsidRPr="00B91C3E" w:rsidRDefault="001754CE" w:rsidP="002E7E83">
      <w:pPr>
        <w:pStyle w:val="JuHA"/>
      </w:pPr>
      <w:r w:rsidRPr="00B91C3E">
        <w:t>Przedmiot skargi</w:t>
      </w:r>
    </w:p>
    <w:p w14:paraId="6660A5FE" w14:textId="77777777" w:rsidR="004E2A87" w:rsidRPr="00B91C3E" w:rsidRDefault="001754CE" w:rsidP="002E7E83">
      <w:pPr>
        <w:pStyle w:val="JuH1"/>
      </w:pPr>
      <w:r w:rsidRPr="00B91C3E">
        <w:t>Stanowiska stron</w:t>
      </w:r>
    </w:p>
    <w:p w14:paraId="24CCF5A4" w14:textId="2D090273" w:rsidR="004E2A87" w:rsidRPr="00B91C3E" w:rsidRDefault="009E58FB" w:rsidP="002E7E83">
      <w:pPr>
        <w:pStyle w:val="JuPara"/>
      </w:pPr>
      <w:r w:rsidRPr="00B91C3E">
        <w:rPr>
          <w:noProof/>
        </w:rPr>
        <w:t>36</w:t>
      </w:r>
      <w:r w:rsidR="004E2A87" w:rsidRPr="00B91C3E">
        <w:t>.</w:t>
      </w:r>
      <w:r w:rsidR="00CA0241">
        <w:t xml:space="preserve"> </w:t>
      </w:r>
      <w:r w:rsidR="004E2A87" w:rsidRPr="00B91C3E">
        <w:t>Skarżący podniósł, że został pozbawiony prawa do rzetelnego procesu sądowego</w:t>
      </w:r>
      <w:r w:rsidR="00B91C3E">
        <w:t xml:space="preserve"> z </w:t>
      </w:r>
      <w:r w:rsidR="004E2A87" w:rsidRPr="00B91C3E">
        <w:t>naruszeniem art. 6 ust. 1 Konwencji. Argumentował, że</w:t>
      </w:r>
      <w:r w:rsidR="00B91C3E">
        <w:t xml:space="preserve"> w </w:t>
      </w:r>
      <w:r w:rsidR="004E2A87" w:rsidRPr="00B91C3E">
        <w:t xml:space="preserve">jego </w:t>
      </w:r>
      <w:r w:rsidR="004E2A87" w:rsidRPr="00B91C3E">
        <w:lastRenderedPageBreak/>
        <w:t>przypadku wznowienie postępowania zostało zarządzone po</w:t>
      </w:r>
      <w:r w:rsidR="004D3D16">
        <w:t> </w:t>
      </w:r>
      <w:r w:rsidR="004E2A87" w:rsidRPr="00B91C3E">
        <w:t>uprawomocnieniu się wyroku skazującego</w:t>
      </w:r>
      <w:r w:rsidR="00B91C3E">
        <w:t xml:space="preserve"> i </w:t>
      </w:r>
      <w:r w:rsidR="004E2A87" w:rsidRPr="00B91C3E">
        <w:t>zwolnieniu warunkowym. Co</w:t>
      </w:r>
      <w:r w:rsidR="004D3D16">
        <w:t> </w:t>
      </w:r>
      <w:r w:rsidR="004E2A87" w:rsidRPr="00B91C3E">
        <w:t>więcej, nie przedstawiono żadnych nowych faktów</w:t>
      </w:r>
      <w:r w:rsidR="00B91C3E">
        <w:t xml:space="preserve"> i </w:t>
      </w:r>
      <w:r w:rsidR="004E2A87" w:rsidRPr="00B91C3E">
        <w:t>nie ujawniono żadnych fundamentalnych wad</w:t>
      </w:r>
      <w:r w:rsidR="00B91C3E">
        <w:t xml:space="preserve"> w </w:t>
      </w:r>
      <w:r w:rsidR="004E2A87" w:rsidRPr="00B91C3E">
        <w:t xml:space="preserve">jego pierwszym procesie. Wznowienie postępowania zostało zarządzone </w:t>
      </w:r>
      <w:r w:rsidR="00FF25FF">
        <w:t>jedynie</w:t>
      </w:r>
      <w:r w:rsidR="00FF25FF" w:rsidRPr="00B91C3E">
        <w:t xml:space="preserve"> </w:t>
      </w:r>
      <w:r w:rsidR="004E2A87" w:rsidRPr="00B91C3E">
        <w:t>dlatego, że sądy różniły się</w:t>
      </w:r>
      <w:r w:rsidR="00B91C3E">
        <w:t xml:space="preserve"> w </w:t>
      </w:r>
      <w:r w:rsidR="004E2A87" w:rsidRPr="00B91C3E">
        <w:t>ocenie zastosowanego nadzwyczajnego złagodzenia kary</w:t>
      </w:r>
      <w:r w:rsidR="00FF25FF">
        <w:t>,</w:t>
      </w:r>
      <w:r w:rsidR="00B91C3E">
        <w:t xml:space="preserve"> i </w:t>
      </w:r>
      <w:r w:rsidR="004E2A87" w:rsidRPr="00B91C3E">
        <w:t>wyłącznie</w:t>
      </w:r>
      <w:r w:rsidR="00B91C3E">
        <w:t xml:space="preserve"> w </w:t>
      </w:r>
      <w:r w:rsidR="004E2A87" w:rsidRPr="00B91C3E">
        <w:t>celu podwyższenia wymiaru pierwotnie orzeczonej kary.</w:t>
      </w:r>
    </w:p>
    <w:p w14:paraId="65F84B6C" w14:textId="21F64FB9" w:rsidR="004E2A87" w:rsidRPr="00B91C3E" w:rsidRDefault="009E58FB" w:rsidP="002E7E83">
      <w:pPr>
        <w:pStyle w:val="JuPara"/>
      </w:pPr>
      <w:r w:rsidRPr="00B91C3E">
        <w:rPr>
          <w:noProof/>
        </w:rPr>
        <w:t>37</w:t>
      </w:r>
      <w:r w:rsidR="004E2A87" w:rsidRPr="00B91C3E">
        <w:t>.</w:t>
      </w:r>
      <w:r w:rsidR="00CA0241">
        <w:t xml:space="preserve"> </w:t>
      </w:r>
      <w:r w:rsidR="004E2A87" w:rsidRPr="00B91C3E">
        <w:t>Rząd stwierdził, że</w:t>
      </w:r>
      <w:r w:rsidR="00FF25FF">
        <w:t xml:space="preserve"> nie</w:t>
      </w:r>
      <w:r w:rsidR="004E2A87" w:rsidRPr="00B91C3E">
        <w:t xml:space="preserve"> doszło do naruszenia art. 6 ust. 1 Konwencji. Środek odwoławczy</w:t>
      </w:r>
      <w:r w:rsidR="00B91C3E">
        <w:t xml:space="preserve"> w </w:t>
      </w:r>
      <w:r w:rsidR="004E2A87" w:rsidRPr="00B91C3E">
        <w:t>postaci nadzwyczajnego środka zaskarżenia został uregulowany</w:t>
      </w:r>
      <w:r w:rsidR="00B91C3E">
        <w:t xml:space="preserve"> w </w:t>
      </w:r>
      <w:r w:rsidR="004E2A87" w:rsidRPr="00B91C3E">
        <w:t>odpowiednich przepisach Kodeksu postępowania karnego,</w:t>
      </w:r>
      <w:r w:rsidR="00B91C3E">
        <w:t xml:space="preserve"> a </w:t>
      </w:r>
      <w:r w:rsidR="004E2A87" w:rsidRPr="00B91C3E">
        <w:t xml:space="preserve">jego zakres został wyjaśniony skarżącemu. </w:t>
      </w:r>
      <w:r w:rsidR="00B91C3E">
        <w:t>W </w:t>
      </w:r>
      <w:r w:rsidR="004E2A87" w:rsidRPr="00B91C3E">
        <w:t>szczególności niemożliwe było uwzględnienie kasacji wniesionej na niekorzyść skazanego po upływie roku od uprawomocnienia się wyroku skazującego. Wynikało</w:t>
      </w:r>
      <w:r w:rsidR="00B91C3E">
        <w:t xml:space="preserve"> z </w:t>
      </w:r>
      <w:r w:rsidR="004E2A87" w:rsidRPr="00B91C3E">
        <w:t>tego, że</w:t>
      </w:r>
      <w:r w:rsidR="004D3D16">
        <w:t> </w:t>
      </w:r>
      <w:r w:rsidR="004E2A87" w:rsidRPr="00B91C3E">
        <w:t>możliwość wniesienia nadzwyczajnego środka zaskarżenia na niekorzyść skazanego była ograniczona</w:t>
      </w:r>
      <w:r w:rsidR="00B91C3E">
        <w:t xml:space="preserve"> w </w:t>
      </w:r>
      <w:r w:rsidR="004E2A87" w:rsidRPr="00B91C3E">
        <w:t>czasie, także dla Prokuratora Generalnego. Rząd utrzymywał ponadto, że</w:t>
      </w:r>
      <w:r w:rsidR="00B91C3E">
        <w:t xml:space="preserve"> w </w:t>
      </w:r>
      <w:r w:rsidR="004E2A87" w:rsidRPr="00B91C3E">
        <w:t xml:space="preserve">sprawie skarżącego przestrzegano wszystkich gwarancji proceduralnych </w:t>
      </w:r>
      <w:r w:rsidR="00B3421E">
        <w:t xml:space="preserve">– </w:t>
      </w:r>
      <w:r w:rsidR="004E2A87" w:rsidRPr="00B91C3E">
        <w:t>miał on obrońcę</w:t>
      </w:r>
      <w:r w:rsidR="00B91C3E">
        <w:t xml:space="preserve"> z </w:t>
      </w:r>
      <w:r w:rsidR="004E2A87" w:rsidRPr="00B91C3E">
        <w:t>urzędu,</w:t>
      </w:r>
      <w:r w:rsidR="00B91C3E">
        <w:t xml:space="preserve"> a </w:t>
      </w:r>
      <w:r w:rsidR="004E2A87" w:rsidRPr="00B91C3E">
        <w:t>odpis kasacji został mu doręczony. On</w:t>
      </w:r>
      <w:r w:rsidR="00B91C3E">
        <w:t xml:space="preserve"> i </w:t>
      </w:r>
      <w:r w:rsidR="004E2A87" w:rsidRPr="00B91C3E">
        <w:t>jego obrońca uczestniczyli również</w:t>
      </w:r>
      <w:r w:rsidR="00B91C3E">
        <w:t xml:space="preserve"> w </w:t>
      </w:r>
      <w:r w:rsidR="004E2A87" w:rsidRPr="00B91C3E">
        <w:t>rozprawie przed Sądem Najwyższym.</w:t>
      </w:r>
    </w:p>
    <w:p w14:paraId="01726CF1" w14:textId="77777777" w:rsidR="004E2A87" w:rsidRPr="00B91C3E" w:rsidRDefault="001754CE" w:rsidP="002E7E83">
      <w:pPr>
        <w:pStyle w:val="JuH1"/>
        <w:rPr>
          <w:szCs w:val="24"/>
        </w:rPr>
      </w:pPr>
      <w:r w:rsidRPr="00B91C3E">
        <w:t>Ocena Trybunału</w:t>
      </w:r>
    </w:p>
    <w:p w14:paraId="1DCA12F3" w14:textId="2704554E" w:rsidR="004E2A87" w:rsidRPr="00B91C3E" w:rsidRDefault="001754CE" w:rsidP="002E7E83">
      <w:pPr>
        <w:pStyle w:val="JuHa0"/>
      </w:pPr>
      <w:r w:rsidRPr="00B91C3E">
        <w:t>Zasady ogólne wynikające</w:t>
      </w:r>
      <w:r w:rsidR="00B91C3E">
        <w:t xml:space="preserve"> z </w:t>
      </w:r>
      <w:r w:rsidRPr="00B91C3E">
        <w:t>orzecznictwa Trybunału</w:t>
      </w:r>
    </w:p>
    <w:p w14:paraId="6C45ACFF" w14:textId="07650529" w:rsidR="004E2A87" w:rsidRPr="00B91C3E" w:rsidRDefault="009E58FB" w:rsidP="002E7E83">
      <w:pPr>
        <w:pStyle w:val="JuPara"/>
        <w:rPr>
          <w:rFonts w:eastAsia="Times New Roman"/>
        </w:rPr>
      </w:pPr>
      <w:r w:rsidRPr="00B91C3E">
        <w:rPr>
          <w:rFonts w:eastAsia="Times New Roman"/>
          <w:noProof/>
        </w:rPr>
        <w:t>38</w:t>
      </w:r>
      <w:r w:rsidR="001754CE" w:rsidRPr="00B91C3E">
        <w:t>.</w:t>
      </w:r>
      <w:r w:rsidR="00CA0241">
        <w:t xml:space="preserve"> </w:t>
      </w:r>
      <w:r w:rsidR="001754CE" w:rsidRPr="00B91C3E">
        <w:t>Trybunał zauważa, że odpowiednie zasady wynikające</w:t>
      </w:r>
      <w:r w:rsidR="00B91C3E">
        <w:t xml:space="preserve"> z </w:t>
      </w:r>
      <w:r w:rsidR="001754CE" w:rsidRPr="00B91C3E">
        <w:t>Konwencji zostały podsumowane</w:t>
      </w:r>
      <w:r w:rsidR="00B91C3E">
        <w:t xml:space="preserve"> w </w:t>
      </w:r>
      <w:r w:rsidR="001754CE" w:rsidRPr="00B91C3E">
        <w:t xml:space="preserve">następujący sposób (zob. </w:t>
      </w:r>
      <w:r w:rsidR="001754CE" w:rsidRPr="00B91C3E">
        <w:rPr>
          <w:i/>
          <w:iCs/>
        </w:rPr>
        <w:t>Tığrak przeciwko Turcji</w:t>
      </w:r>
      <w:r w:rsidR="001754CE" w:rsidRPr="00B91C3E">
        <w:t xml:space="preserve">, </w:t>
      </w:r>
      <w:r w:rsidR="00B91C3E">
        <w:t>nr </w:t>
      </w:r>
      <w:r w:rsidR="001754CE" w:rsidRPr="00B91C3E">
        <w:t xml:space="preserve">70306/10, </w:t>
      </w:r>
      <w:r w:rsidR="00DF0ADB">
        <w:t>§ </w:t>
      </w:r>
      <w:r w:rsidR="001754CE" w:rsidRPr="00B91C3E">
        <w:t>48, 6 lipca 2021</w:t>
      </w:r>
      <w:r w:rsidR="00B91C3E">
        <w:t> r.</w:t>
      </w:r>
      <w:r w:rsidR="001754CE" w:rsidRPr="00B91C3E">
        <w:t xml:space="preserve">, </w:t>
      </w:r>
      <w:r w:rsidR="00706C01">
        <w:t>w </w:t>
      </w:r>
      <w:r w:rsidR="00706C01" w:rsidRPr="00B91C3E">
        <w:t>odn</w:t>
      </w:r>
      <w:r w:rsidR="00706C01">
        <w:t xml:space="preserve">iesieniu </w:t>
      </w:r>
      <w:r w:rsidR="001754CE" w:rsidRPr="00B91C3E">
        <w:t xml:space="preserve">do </w:t>
      </w:r>
      <w:r w:rsidR="001754CE" w:rsidRPr="00B91C3E">
        <w:rPr>
          <w:i/>
          <w:iCs/>
        </w:rPr>
        <w:t>Brumărescu przeciwko Rumunii</w:t>
      </w:r>
      <w:r w:rsidR="001754CE" w:rsidRPr="00B91C3E">
        <w:t xml:space="preserve"> [WI], </w:t>
      </w:r>
      <w:r w:rsidR="00B91C3E">
        <w:t>nr </w:t>
      </w:r>
      <w:r w:rsidR="001754CE" w:rsidRPr="00B91C3E">
        <w:t>28342/95, §</w:t>
      </w:r>
      <w:r w:rsidR="00DF0ADB">
        <w:t>§ </w:t>
      </w:r>
      <w:r w:rsidR="001754CE" w:rsidRPr="00B91C3E">
        <w:t>61</w:t>
      </w:r>
      <w:r w:rsidR="00FA3E18">
        <w:t>–</w:t>
      </w:r>
      <w:r w:rsidR="001754CE" w:rsidRPr="00B91C3E">
        <w:t>62, ETPC 1999</w:t>
      </w:r>
      <w:r w:rsidR="001754CE" w:rsidRPr="00B91C3E">
        <w:noBreakHyphen/>
        <w:t xml:space="preserve">VII, oraz </w:t>
      </w:r>
      <w:r w:rsidR="001754CE" w:rsidRPr="00B91C3E">
        <w:rPr>
          <w:i/>
          <w:iCs/>
        </w:rPr>
        <w:t>COMPCAR, s.r.o. przeciwko Słowacji</w:t>
      </w:r>
      <w:r w:rsidR="001754CE" w:rsidRPr="00B91C3E">
        <w:t xml:space="preserve">, </w:t>
      </w:r>
      <w:r w:rsidR="00B91C3E">
        <w:t>nr </w:t>
      </w:r>
      <w:r w:rsidR="001754CE" w:rsidRPr="00B91C3E">
        <w:t>25132/13, §</w:t>
      </w:r>
      <w:r w:rsidR="00DF0ADB">
        <w:t>§ </w:t>
      </w:r>
      <w:r w:rsidR="001754CE" w:rsidRPr="00B91C3E">
        <w:t>63</w:t>
      </w:r>
      <w:r w:rsidR="00FA3E18">
        <w:t>–</w:t>
      </w:r>
      <w:r w:rsidR="001754CE" w:rsidRPr="00B91C3E">
        <w:t>64, 9</w:t>
      </w:r>
      <w:r w:rsidR="00706C01">
        <w:t> </w:t>
      </w:r>
      <w:r w:rsidR="001754CE" w:rsidRPr="00B91C3E">
        <w:t>czerwca 2015</w:t>
      </w:r>
      <w:r w:rsidR="00B91C3E">
        <w:t> r.</w:t>
      </w:r>
      <w:r w:rsidR="001754CE" w:rsidRPr="00B91C3E">
        <w:t>):</w:t>
      </w:r>
    </w:p>
    <w:p w14:paraId="480AAB3C" w14:textId="59EA8152" w:rsidR="004E2A87" w:rsidRPr="00B91C3E" w:rsidRDefault="001754CE" w:rsidP="002E7E83">
      <w:pPr>
        <w:pStyle w:val="JuQuot"/>
        <w:rPr>
          <w:rFonts w:eastAsia="Times New Roman"/>
        </w:rPr>
      </w:pPr>
      <w:r w:rsidRPr="00B91C3E">
        <w:t>„Prawo do rzetelnego procesu sądowego wynikające</w:t>
      </w:r>
      <w:r w:rsidR="00B91C3E">
        <w:t xml:space="preserve"> z </w:t>
      </w:r>
      <w:r w:rsidRPr="00B91C3E">
        <w:t>art. 6 ust. 1 Konwencji należy interpretować</w:t>
      </w:r>
      <w:r w:rsidR="00B91C3E">
        <w:t xml:space="preserve"> w </w:t>
      </w:r>
      <w:r w:rsidRPr="00B91C3E">
        <w:t>świetle Preambuły Konwencji, która</w:t>
      </w:r>
      <w:r w:rsidR="00B91C3E">
        <w:t xml:space="preserve"> w </w:t>
      </w:r>
      <w:r w:rsidRPr="00B91C3E">
        <w:t>odpowiedniej części stanowi, że praworządność jest częścią wspólnego dziedzictwa Układających się Państw. Jednym</w:t>
      </w:r>
      <w:r w:rsidR="00B91C3E">
        <w:t xml:space="preserve"> z </w:t>
      </w:r>
      <w:r w:rsidRPr="00B91C3E">
        <w:t>podstawowych aspektów rządów prawa jest zasada pewności prawa, która wymaga, między innymi, aby</w:t>
      </w:r>
      <w:r w:rsidR="00B91C3E">
        <w:t xml:space="preserve"> w </w:t>
      </w:r>
      <w:r w:rsidRPr="00B91C3E">
        <w:t>przypadku, gdy sądy ostatecznie rozstrzygnęły daną kwestię, ich orzeczenie nie było kwestionowane.</w:t>
      </w:r>
    </w:p>
    <w:p w14:paraId="5C57F0F1" w14:textId="3B049558" w:rsidR="004E2A87" w:rsidRPr="00B91C3E" w:rsidRDefault="001754CE" w:rsidP="002E7E83">
      <w:pPr>
        <w:pStyle w:val="JuQuot"/>
        <w:rPr>
          <w:rFonts w:eastAsia="Times New Roman"/>
        </w:rPr>
      </w:pPr>
      <w:r w:rsidRPr="00B91C3E">
        <w:t>-</w:t>
      </w:r>
      <w:r w:rsidR="00706C01">
        <w:t> </w:t>
      </w:r>
      <w:r w:rsidRPr="00B91C3E">
        <w:t>Zasada ta nie pozwala stronie domagać się wznowienia postępowania jedynie</w:t>
      </w:r>
      <w:r w:rsidR="00B91C3E">
        <w:t xml:space="preserve"> w </w:t>
      </w:r>
      <w:r w:rsidRPr="00B91C3E">
        <w:t>celu ponownego rozpatrzenia sprawy</w:t>
      </w:r>
      <w:r w:rsidR="00B91C3E">
        <w:t xml:space="preserve"> i </w:t>
      </w:r>
      <w:r w:rsidRPr="00B91C3E">
        <w:t>wydania nowego orzeczenia. Sama możliwość istnienia dwóch stanowisk</w:t>
      </w:r>
      <w:r w:rsidR="00B91C3E">
        <w:t xml:space="preserve"> w </w:t>
      </w:r>
      <w:r w:rsidRPr="00B91C3E">
        <w:t>tym przedmiocie nie stanowi podstawy do ponownego rozpatrzenia.</w:t>
      </w:r>
    </w:p>
    <w:p w14:paraId="34C326B7" w14:textId="05F261B2" w:rsidR="004E2A87" w:rsidRPr="00B91C3E" w:rsidRDefault="001754CE" w:rsidP="002E7E83">
      <w:pPr>
        <w:pStyle w:val="JuQuot"/>
        <w:rPr>
          <w:rFonts w:eastAsia="Times New Roman"/>
        </w:rPr>
      </w:pPr>
      <w:r w:rsidRPr="00B91C3E">
        <w:t>-</w:t>
      </w:r>
      <w:r w:rsidR="00706C01">
        <w:t> </w:t>
      </w:r>
      <w:r w:rsidRPr="00B91C3E">
        <w:t>Odstępstwa od tej zasady są uzasadnione tylko wtedy, gdy jest to konieczne ze</w:t>
      </w:r>
      <w:r w:rsidR="004D3D16">
        <w:t> </w:t>
      </w:r>
      <w:r w:rsidRPr="00B91C3E">
        <w:t>względu na istotne</w:t>
      </w:r>
      <w:r w:rsidR="00B91C3E">
        <w:t xml:space="preserve"> i </w:t>
      </w:r>
      <w:r w:rsidRPr="00B91C3E">
        <w:t>ważne okoliczności. Uprawnienia sądów wyższych instancji do</w:t>
      </w:r>
      <w:r w:rsidR="004D3D16">
        <w:t> </w:t>
      </w:r>
      <w:r w:rsidRPr="00B91C3E">
        <w:t>uchylania lub zmiany wiążących</w:t>
      </w:r>
      <w:r w:rsidR="00B91C3E">
        <w:t xml:space="preserve"> i </w:t>
      </w:r>
      <w:r w:rsidRPr="00B91C3E">
        <w:t>wykonalnych orzeczeń sądowych powinny być wykonywane</w:t>
      </w:r>
      <w:r w:rsidR="00B91C3E">
        <w:t xml:space="preserve"> w </w:t>
      </w:r>
      <w:r w:rsidRPr="00B91C3E">
        <w:t>celu usunięcia fundamentalnych wad. Uprawnienie to musi być wykonywane</w:t>
      </w:r>
      <w:r w:rsidR="00B91C3E">
        <w:t xml:space="preserve"> w </w:t>
      </w:r>
      <w:r w:rsidRPr="00B91C3E">
        <w:t>taki sposób, aby</w:t>
      </w:r>
      <w:r w:rsidR="00B91C3E">
        <w:t xml:space="preserve"> w </w:t>
      </w:r>
      <w:r w:rsidRPr="00B91C3E">
        <w:t>jak największym stopniu zapewnić sprawiedliwą równowagę między interesem jednostki</w:t>
      </w:r>
      <w:r w:rsidR="00B91C3E">
        <w:t xml:space="preserve"> a </w:t>
      </w:r>
      <w:r w:rsidRPr="00B91C3E">
        <w:t>potrzebą zapewnienia skuteczności systemu wymiaru sprawiedliwości.</w:t>
      </w:r>
    </w:p>
    <w:p w14:paraId="3DB11A2A" w14:textId="01A04457" w:rsidR="004E2A87" w:rsidRPr="00B91C3E" w:rsidRDefault="001754CE" w:rsidP="002E7E83">
      <w:pPr>
        <w:pStyle w:val="JuQuot"/>
        <w:rPr>
          <w:rFonts w:eastAsia="Times New Roman"/>
        </w:rPr>
      </w:pPr>
      <w:r w:rsidRPr="00B91C3E">
        <w:lastRenderedPageBreak/>
        <w:t>-</w:t>
      </w:r>
      <w:r w:rsidR="00706C01">
        <w:t> </w:t>
      </w:r>
      <w:r w:rsidRPr="00B91C3E">
        <w:t>Istotne względy, które należy wziąć pod uwagę</w:t>
      </w:r>
      <w:r w:rsidR="00B91C3E">
        <w:t xml:space="preserve"> w </w:t>
      </w:r>
      <w:r w:rsidRPr="00B91C3E">
        <w:t>tym kontekście, obejmują</w:t>
      </w:r>
      <w:r w:rsidR="00B91C3E">
        <w:t xml:space="preserve"> w </w:t>
      </w:r>
      <w:r w:rsidRPr="00B91C3E">
        <w:t>szczególności wpływ wznowienia</w:t>
      </w:r>
      <w:r w:rsidR="00B91C3E">
        <w:t xml:space="preserve"> i </w:t>
      </w:r>
      <w:r w:rsidRPr="00B91C3E">
        <w:t>wszelkich późniejszych postępowań na</w:t>
      </w:r>
      <w:r w:rsidR="004D3D16">
        <w:t> </w:t>
      </w:r>
      <w:r w:rsidRPr="00B91C3E">
        <w:t>indywidualną sytuację skarżącego, czy wznowienie wynikało</w:t>
      </w:r>
      <w:r w:rsidR="00B91C3E">
        <w:t xml:space="preserve"> z </w:t>
      </w:r>
      <w:r w:rsidRPr="00B91C3E">
        <w:t>indywidualnej sytuacji skarżącego oraz czy wznowienie wynikało</w:t>
      </w:r>
      <w:r w:rsidR="00B91C3E">
        <w:t xml:space="preserve"> z </w:t>
      </w:r>
      <w:r w:rsidRPr="00B91C3E">
        <w:t>jego własnego wniosku; powody, dla których władze krajowe uchyliły wyrok</w:t>
      </w:r>
      <w:r w:rsidR="00B91C3E">
        <w:t xml:space="preserve"> w </w:t>
      </w:r>
      <w:r w:rsidRPr="00B91C3E">
        <w:t>sprawie skarżącego; zgodność przedmiotowej procedury</w:t>
      </w:r>
      <w:r w:rsidR="00B91C3E">
        <w:t xml:space="preserve"> z </w:t>
      </w:r>
      <w:r w:rsidRPr="00B91C3E">
        <w:t>wymogami prawa krajowego; istnienie</w:t>
      </w:r>
      <w:r w:rsidR="00B91C3E">
        <w:t xml:space="preserve"> i </w:t>
      </w:r>
      <w:r w:rsidRPr="00B91C3E">
        <w:t>działanie zabezpieczeń proceduralnych</w:t>
      </w:r>
      <w:r w:rsidR="00B91C3E">
        <w:t xml:space="preserve"> w </w:t>
      </w:r>
      <w:r w:rsidRPr="00B91C3E">
        <w:t>krajowym systemie prawnym, które mogą zapobiec nadużyciom tej procedury przez władze krajowe; oraz inne istotne okoliczności sprawy.</w:t>
      </w:r>
    </w:p>
    <w:p w14:paraId="4E45955F" w14:textId="40BE670E" w:rsidR="004E2A87" w:rsidRPr="00B91C3E" w:rsidRDefault="001754CE" w:rsidP="002E7E83">
      <w:pPr>
        <w:pStyle w:val="JuQuot"/>
        <w:rPr>
          <w:rFonts w:eastAsia="Times New Roman"/>
        </w:rPr>
      </w:pPr>
      <w:r w:rsidRPr="00B91C3E">
        <w:t>-</w:t>
      </w:r>
      <w:r w:rsidR="00482589">
        <w:t> </w:t>
      </w:r>
      <w:r w:rsidR="00B91C3E">
        <w:t>W </w:t>
      </w:r>
      <w:r w:rsidRPr="00B91C3E">
        <w:t>wielu sprawach Trybunał, odnosząc się do pojęcia „wady fundamentalnej”, podkreślił, że samo uznanie, że dochodzenie</w:t>
      </w:r>
      <w:r w:rsidR="00B91C3E">
        <w:t xml:space="preserve"> w </w:t>
      </w:r>
      <w:r w:rsidRPr="00B91C3E">
        <w:t>sprawie skarżącego było „niekompletne</w:t>
      </w:r>
      <w:r w:rsidR="00B91C3E">
        <w:t xml:space="preserve"> i </w:t>
      </w:r>
      <w:r w:rsidRPr="00B91C3E">
        <w:t>jednostronne” lub doprowadziło do „błędnego” uniewinnienia, nie może samo</w:t>
      </w:r>
      <w:r w:rsidR="00B91C3E">
        <w:t xml:space="preserve"> w </w:t>
      </w:r>
      <w:r w:rsidRPr="00B91C3E">
        <w:t>sobie, przy braku błędów jurysdykcyjnych lub poważnych naruszeń procedury sądowej, nadużyć władzy, oczywistych błędów</w:t>
      </w:r>
      <w:r w:rsidR="00B91C3E">
        <w:t xml:space="preserve"> w </w:t>
      </w:r>
      <w:r w:rsidRPr="00B91C3E">
        <w:t>stosowaniu prawa materialnego lub jakichkolwiek innych ważnych powodów wynikających</w:t>
      </w:r>
      <w:r w:rsidR="00B91C3E">
        <w:t xml:space="preserve"> z </w:t>
      </w:r>
      <w:r w:rsidRPr="00B91C3E">
        <w:t>interesu wymiaru sprawiedliwości, wskazywać na obecność wady fundamentalnej</w:t>
      </w:r>
      <w:r w:rsidR="00B91C3E">
        <w:t xml:space="preserve"> w </w:t>
      </w:r>
      <w:r w:rsidRPr="00B91C3E">
        <w:t>poprzednim postępowaniu”.</w:t>
      </w:r>
    </w:p>
    <w:p w14:paraId="5E804EBA" w14:textId="5C7506A5" w:rsidR="004E2A87" w:rsidRPr="00B91C3E" w:rsidRDefault="009E58FB" w:rsidP="002E7E83">
      <w:pPr>
        <w:pStyle w:val="JuPara"/>
        <w:rPr>
          <w:rFonts w:eastAsia="Times New Roman"/>
        </w:rPr>
      </w:pPr>
      <w:r w:rsidRPr="00B91C3E">
        <w:rPr>
          <w:rFonts w:eastAsia="Times New Roman"/>
          <w:noProof/>
        </w:rPr>
        <w:t>39</w:t>
      </w:r>
      <w:r w:rsidR="001754CE" w:rsidRPr="00B91C3E">
        <w:t>.</w:t>
      </w:r>
      <w:r w:rsidR="00CA0241">
        <w:t xml:space="preserve"> </w:t>
      </w:r>
      <w:r w:rsidR="001754CE" w:rsidRPr="00B91C3E">
        <w:t>Rewizja ostatecznej</w:t>
      </w:r>
      <w:r w:rsidR="00B91C3E">
        <w:t xml:space="preserve"> i </w:t>
      </w:r>
      <w:r w:rsidR="001754CE" w:rsidRPr="00B91C3E">
        <w:t>wiążącej decyzji nie powinna być traktowana jako ukryty środek odwoławczy,</w:t>
      </w:r>
      <w:r w:rsidR="00B91C3E">
        <w:t xml:space="preserve"> a </w:t>
      </w:r>
      <w:r w:rsidR="001754CE" w:rsidRPr="00B91C3E">
        <w:t>zasada pewności prawa może zostać uchylona</w:t>
      </w:r>
      <w:r w:rsidR="00B91C3E">
        <w:t xml:space="preserve"> w </w:t>
      </w:r>
      <w:r w:rsidR="001754CE" w:rsidRPr="00B91C3E">
        <w:t xml:space="preserve">celu zapewnienia korekty wad fundamentalnych lub pomyłki sądowej (zob. np. </w:t>
      </w:r>
      <w:r w:rsidR="001754CE" w:rsidRPr="00B91C3E">
        <w:rPr>
          <w:i/>
          <w:iCs/>
        </w:rPr>
        <w:t>Ryabykh przeciwko Rosji</w:t>
      </w:r>
      <w:r w:rsidR="001754CE" w:rsidRPr="00B91C3E">
        <w:t xml:space="preserve">, </w:t>
      </w:r>
      <w:r w:rsidR="00B91C3E">
        <w:t>nr </w:t>
      </w:r>
      <w:r w:rsidR="001754CE" w:rsidRPr="00B91C3E">
        <w:t xml:space="preserve">52854/99, </w:t>
      </w:r>
      <w:r w:rsidR="00DF0ADB">
        <w:t>§ </w:t>
      </w:r>
      <w:r w:rsidR="001754CE" w:rsidRPr="00B91C3E">
        <w:t>52, ETPC 2003-IX)</w:t>
      </w:r>
      <w:r w:rsidR="00482589">
        <w:t xml:space="preserve"> </w:t>
      </w:r>
      <w:r w:rsidR="001754CE" w:rsidRPr="00B91C3E">
        <w:t>lub</w:t>
      </w:r>
      <w:r w:rsidR="00B91C3E">
        <w:t xml:space="preserve"> w </w:t>
      </w:r>
      <w:r w:rsidR="001754CE" w:rsidRPr="00B91C3E">
        <w:t>celu naprawienia „błędu</w:t>
      </w:r>
      <w:r w:rsidR="00B91C3E">
        <w:t xml:space="preserve"> o </w:t>
      </w:r>
      <w:r w:rsidR="001754CE" w:rsidRPr="00B91C3E">
        <w:t>fundamentalnym znaczeniu dla systemu sądownictwa”, ale nie ze względu na puryzm prawny (zob.</w:t>
      </w:r>
      <w:r w:rsidR="001754CE" w:rsidRPr="00B91C3E">
        <w:rPr>
          <w:i/>
          <w:iCs/>
        </w:rPr>
        <w:t xml:space="preserve"> Sutyazhnik przeciwko Rosji</w:t>
      </w:r>
      <w:r w:rsidR="001754CE" w:rsidRPr="00B91C3E">
        <w:t xml:space="preserve">, </w:t>
      </w:r>
      <w:r w:rsidR="00B91C3E">
        <w:t>nr </w:t>
      </w:r>
      <w:r w:rsidR="001754CE" w:rsidRPr="00B91C3E">
        <w:t xml:space="preserve">8269/02, </w:t>
      </w:r>
      <w:r w:rsidR="00DF0ADB">
        <w:t>§ </w:t>
      </w:r>
      <w:r w:rsidR="001754CE" w:rsidRPr="00B91C3E">
        <w:t>38, 23</w:t>
      </w:r>
      <w:r w:rsidR="00482589">
        <w:t> </w:t>
      </w:r>
      <w:r w:rsidR="001754CE" w:rsidRPr="00B91C3E">
        <w:t>lipca 2009</w:t>
      </w:r>
      <w:r w:rsidR="00B91C3E">
        <w:t> r.</w:t>
      </w:r>
      <w:r w:rsidR="001754CE" w:rsidRPr="00B91C3E">
        <w:t>).</w:t>
      </w:r>
    </w:p>
    <w:p w14:paraId="7B592104" w14:textId="051DAE5F" w:rsidR="004E2A87" w:rsidRPr="00B91C3E" w:rsidRDefault="009E58FB" w:rsidP="002E7E83">
      <w:pPr>
        <w:pStyle w:val="JuPara"/>
      </w:pPr>
      <w:bookmarkStart w:id="10" w:name="_cl20362"/>
      <w:bookmarkEnd w:id="10"/>
      <w:r w:rsidRPr="00B91C3E">
        <w:rPr>
          <w:noProof/>
        </w:rPr>
        <w:t>40</w:t>
      </w:r>
      <w:r w:rsidR="001754CE" w:rsidRPr="00B91C3E">
        <w:t>.</w:t>
      </w:r>
      <w:r w:rsidR="00CA0241">
        <w:t xml:space="preserve"> </w:t>
      </w:r>
      <w:r w:rsidR="001754CE" w:rsidRPr="00B91C3E">
        <w:t>Trybunał orzekł, że skazanie</w:t>
      </w:r>
      <w:r w:rsidR="00B91C3E">
        <w:t xml:space="preserve"> z </w:t>
      </w:r>
      <w:r w:rsidR="001754CE" w:rsidRPr="00B91C3E">
        <w:t>pominięciem kluczowych dowodów stanowi pomyłkę sądową,</w:t>
      </w:r>
      <w:r w:rsidR="00B91C3E">
        <w:t xml:space="preserve"> a </w:t>
      </w:r>
      <w:r w:rsidR="001754CE" w:rsidRPr="00B91C3E">
        <w:t>pozostawienie takich błędów bez korekty może mieć poważny wpływ na rzetelność, uczciwość</w:t>
      </w:r>
      <w:r w:rsidR="00B91C3E">
        <w:t xml:space="preserve"> i </w:t>
      </w:r>
      <w:r w:rsidR="001754CE" w:rsidRPr="00B91C3E">
        <w:t xml:space="preserve">reputację publiczną postępowania sądowego (zob. </w:t>
      </w:r>
      <w:r w:rsidR="001754CE" w:rsidRPr="00B91C3E">
        <w:rPr>
          <w:i/>
          <w:iCs/>
        </w:rPr>
        <w:t>Lenskaya przeciwko Rosji</w:t>
      </w:r>
      <w:r w:rsidR="001754CE" w:rsidRPr="00B91C3E">
        <w:t xml:space="preserve">, </w:t>
      </w:r>
      <w:r w:rsidR="00B91C3E">
        <w:t>nr </w:t>
      </w:r>
      <w:r w:rsidR="001754CE" w:rsidRPr="00B91C3E">
        <w:t>28730/03, §</w:t>
      </w:r>
      <w:r w:rsidR="00DF0ADB">
        <w:t>§ </w:t>
      </w:r>
      <w:r w:rsidR="001754CE" w:rsidRPr="00B91C3E">
        <w:t>39</w:t>
      </w:r>
      <w:r w:rsidR="0008779A">
        <w:t>–</w:t>
      </w:r>
      <w:r w:rsidR="001754CE" w:rsidRPr="00B91C3E">
        <w:t>40, 29 stycznia 2009</w:t>
      </w:r>
      <w:r w:rsidR="00B91C3E">
        <w:t> r.</w:t>
      </w:r>
      <w:r w:rsidR="001754CE" w:rsidRPr="00B91C3E">
        <w:t xml:space="preserve">, oraz </w:t>
      </w:r>
      <w:r w:rsidR="001754CE" w:rsidRPr="00B91C3E">
        <w:rPr>
          <w:i/>
          <w:iCs/>
        </w:rPr>
        <w:t>Giuran przeciwko Rumunii</w:t>
      </w:r>
      <w:r w:rsidR="001754CE" w:rsidRPr="00B91C3E">
        <w:t xml:space="preserve">, </w:t>
      </w:r>
      <w:r w:rsidR="00B91C3E">
        <w:t>nr </w:t>
      </w:r>
      <w:r w:rsidR="001754CE" w:rsidRPr="00B91C3E">
        <w:t xml:space="preserve">24360/04, </w:t>
      </w:r>
      <w:r w:rsidR="00DF0ADB">
        <w:t>§ </w:t>
      </w:r>
      <w:r w:rsidR="001754CE" w:rsidRPr="00B91C3E">
        <w:t>39, ETPC 2011 (fragmenty)). Podobnie Trybunał uznał, że utrzymanie</w:t>
      </w:r>
      <w:r w:rsidR="00B91C3E">
        <w:t xml:space="preserve"> w </w:t>
      </w:r>
      <w:r w:rsidR="001754CE" w:rsidRPr="00B91C3E">
        <w:t>mocy, po przeprowadzeniu postępowania odwoławczego, wyroku skazującego, który naruszał prawo do rzetelnego procesu sądowego, stanowiło błąd</w:t>
      </w:r>
      <w:r w:rsidR="00B91C3E">
        <w:t xml:space="preserve"> w </w:t>
      </w:r>
      <w:r w:rsidR="001754CE" w:rsidRPr="00B91C3E">
        <w:t xml:space="preserve">ocenie, który utrwalił to naruszenie (zob. </w:t>
      </w:r>
      <w:r w:rsidR="001754CE" w:rsidRPr="00B91C3E">
        <w:rPr>
          <w:i/>
          <w:iCs/>
        </w:rPr>
        <w:t>Yaremenko przeciwko Ukrainie (</w:t>
      </w:r>
      <w:r w:rsidR="00B91C3E">
        <w:rPr>
          <w:i/>
          <w:iCs/>
        </w:rPr>
        <w:t>nr </w:t>
      </w:r>
      <w:r w:rsidR="001754CE" w:rsidRPr="00B91C3E">
        <w:rPr>
          <w:i/>
          <w:iCs/>
        </w:rPr>
        <w:t>2)</w:t>
      </w:r>
      <w:r w:rsidR="001754CE" w:rsidRPr="00B91C3E">
        <w:t xml:space="preserve">, </w:t>
      </w:r>
      <w:r w:rsidR="00B91C3E">
        <w:t>nr </w:t>
      </w:r>
      <w:r w:rsidR="001754CE" w:rsidRPr="00B91C3E">
        <w:t>66338/09, §</w:t>
      </w:r>
      <w:r w:rsidR="00DF0ADB">
        <w:t>§ </w:t>
      </w:r>
      <w:r w:rsidR="001754CE" w:rsidRPr="00B91C3E">
        <w:t>52</w:t>
      </w:r>
      <w:r w:rsidR="008658A0">
        <w:t>–</w:t>
      </w:r>
      <w:r w:rsidR="001754CE" w:rsidRPr="00B91C3E">
        <w:t>56</w:t>
      </w:r>
      <w:r w:rsidR="00B91C3E">
        <w:t xml:space="preserve"> i </w:t>
      </w:r>
      <w:r w:rsidR="001754CE" w:rsidRPr="00B91C3E">
        <w:t>64</w:t>
      </w:r>
      <w:r w:rsidR="008658A0">
        <w:t>–</w:t>
      </w:r>
      <w:r w:rsidR="001754CE" w:rsidRPr="00B91C3E">
        <w:t>67, 30</w:t>
      </w:r>
      <w:r w:rsidR="008658A0">
        <w:t> </w:t>
      </w:r>
      <w:r w:rsidR="001754CE" w:rsidRPr="00B91C3E">
        <w:t>kwietnia 2015</w:t>
      </w:r>
      <w:r w:rsidR="00B91C3E">
        <w:t> r.</w:t>
      </w:r>
      <w:r w:rsidR="001754CE" w:rsidRPr="00B91C3E">
        <w:t>). Ponadto arbitralne wznowienie postępowania karnego,</w:t>
      </w:r>
      <w:r w:rsidR="00B91C3E">
        <w:t xml:space="preserve"> w </w:t>
      </w:r>
      <w:r w:rsidR="001754CE" w:rsidRPr="00B91C3E">
        <w:t xml:space="preserve">szczególności na niekorzyść osoby skazanej, narusza prawo do rzetelnego procesu sądowego (zob. </w:t>
      </w:r>
      <w:r w:rsidR="001754CE" w:rsidRPr="00B91C3E">
        <w:rPr>
          <w:i/>
          <w:iCs/>
        </w:rPr>
        <w:t>Savinskiy przeciwko Ukrainie</w:t>
      </w:r>
      <w:r w:rsidR="001754CE" w:rsidRPr="00B91C3E">
        <w:t xml:space="preserve">, </w:t>
      </w:r>
      <w:r w:rsidR="00B91C3E">
        <w:t>nr </w:t>
      </w:r>
      <w:r w:rsidR="001754CE" w:rsidRPr="00B91C3E">
        <w:t xml:space="preserve">6965/02, </w:t>
      </w:r>
      <w:r w:rsidR="00DF0ADB">
        <w:t>§ </w:t>
      </w:r>
      <w:r w:rsidR="001754CE" w:rsidRPr="00B91C3E">
        <w:t>25, 28</w:t>
      </w:r>
      <w:r w:rsidR="00F02988">
        <w:t> </w:t>
      </w:r>
      <w:r w:rsidR="001754CE" w:rsidRPr="00B91C3E">
        <w:t>lutego 2006</w:t>
      </w:r>
      <w:r w:rsidR="00B91C3E">
        <w:t> r.</w:t>
      </w:r>
      <w:r w:rsidR="001754CE" w:rsidRPr="00B91C3E">
        <w:t xml:space="preserve">; </w:t>
      </w:r>
      <w:r w:rsidR="0008779A" w:rsidRPr="003828BD">
        <w:rPr>
          <w:i/>
          <w:iCs/>
        </w:rPr>
        <w:t>Radchikov przeciwko Rosji</w:t>
      </w:r>
      <w:r w:rsidR="001754CE" w:rsidRPr="00B91C3E">
        <w:t xml:space="preserve">, </w:t>
      </w:r>
      <w:r w:rsidR="00B91C3E">
        <w:t>nr </w:t>
      </w:r>
      <w:r w:rsidR="001754CE" w:rsidRPr="00B91C3E">
        <w:t xml:space="preserve">65582/01, </w:t>
      </w:r>
      <w:r w:rsidR="00DF0ADB">
        <w:t>§ </w:t>
      </w:r>
      <w:r w:rsidR="001754CE" w:rsidRPr="00B91C3E">
        <w:t>48, 24 maja 2007</w:t>
      </w:r>
      <w:r w:rsidR="00B91C3E">
        <w:t> r.</w:t>
      </w:r>
      <w:r w:rsidR="001754CE" w:rsidRPr="00B91C3E">
        <w:t xml:space="preserve">; oraz </w:t>
      </w:r>
      <w:r w:rsidR="001754CE" w:rsidRPr="00B91C3E">
        <w:rPr>
          <w:i/>
          <w:iCs/>
        </w:rPr>
        <w:t>Ştefan przeciwko Rumunii</w:t>
      </w:r>
      <w:r w:rsidR="001754CE" w:rsidRPr="00B91C3E">
        <w:t xml:space="preserve">, </w:t>
      </w:r>
      <w:r w:rsidR="00B91C3E">
        <w:t>nr </w:t>
      </w:r>
      <w:r w:rsidR="001754CE" w:rsidRPr="00B91C3E">
        <w:t xml:space="preserve">28319/03, </w:t>
      </w:r>
      <w:r w:rsidR="00DF0ADB">
        <w:t>§ </w:t>
      </w:r>
      <w:r w:rsidR="001754CE" w:rsidRPr="00B91C3E">
        <w:t>18, 6 kwietnia 2010</w:t>
      </w:r>
      <w:r w:rsidR="00B91C3E">
        <w:t> r.</w:t>
      </w:r>
      <w:r w:rsidR="001754CE" w:rsidRPr="00B91C3E">
        <w:t>).</w:t>
      </w:r>
    </w:p>
    <w:p w14:paraId="2554826D" w14:textId="3A47C437" w:rsidR="004E2A87" w:rsidRPr="00B91C3E" w:rsidRDefault="009E58FB" w:rsidP="002E7E83">
      <w:pPr>
        <w:pStyle w:val="JuPara"/>
      </w:pPr>
      <w:r w:rsidRPr="00B91C3E">
        <w:rPr>
          <w:noProof/>
        </w:rPr>
        <w:t>41</w:t>
      </w:r>
      <w:r w:rsidR="004E2A87" w:rsidRPr="00B91C3E">
        <w:t>.</w:t>
      </w:r>
      <w:r w:rsidR="00CA0241">
        <w:t xml:space="preserve"> </w:t>
      </w:r>
      <w:r w:rsidR="004E2A87" w:rsidRPr="00B91C3E">
        <w:t>Trybunał rozważył również inne etapy postępowania karnego,</w:t>
      </w:r>
      <w:r w:rsidR="00B91C3E">
        <w:t xml:space="preserve"> w </w:t>
      </w:r>
      <w:r w:rsidR="004E2A87" w:rsidRPr="00B91C3E">
        <w:t>których skarżący nie byli już „osobami oskarżonymi</w:t>
      </w:r>
      <w:r w:rsidR="00B91C3E">
        <w:t xml:space="preserve"> o </w:t>
      </w:r>
      <w:r w:rsidR="004E2A87" w:rsidRPr="00B91C3E">
        <w:t>popełnienie przestępstwa”, ale osobami „skazanymi”</w:t>
      </w:r>
      <w:r w:rsidR="00B91C3E">
        <w:t xml:space="preserve"> w </w:t>
      </w:r>
      <w:r w:rsidR="004E2A87" w:rsidRPr="00B91C3E">
        <w:t>wyniku orzeczeń sądowych uznanych za prawomocne na mocy prawa krajowego. Biorąc pod uwagę, że</w:t>
      </w:r>
      <w:r w:rsidR="004D3D16">
        <w:t> </w:t>
      </w:r>
      <w:r w:rsidR="004E2A87" w:rsidRPr="00B91C3E">
        <w:t>„oskarżenie</w:t>
      </w:r>
      <w:r w:rsidR="00B91C3E">
        <w:t xml:space="preserve"> w </w:t>
      </w:r>
      <w:r w:rsidR="004E2A87" w:rsidRPr="00B91C3E">
        <w:t>sprawie karnej” jest pojęciem autonomicznym oraz uwzględniając wpływ, jaki procedura rozpoznawania apelacji</w:t>
      </w:r>
      <w:r w:rsidR="00B91C3E">
        <w:t xml:space="preserve"> w </w:t>
      </w:r>
      <w:r w:rsidR="004E2A87" w:rsidRPr="00B91C3E">
        <w:t>kwestiach prawnych może mieć na określenie oskarżenia</w:t>
      </w:r>
      <w:r w:rsidR="00B91C3E">
        <w:t xml:space="preserve"> w </w:t>
      </w:r>
      <w:r w:rsidR="004E2A87" w:rsidRPr="00B91C3E">
        <w:t>sprawie karnej,</w:t>
      </w:r>
      <w:r w:rsidR="00B91C3E">
        <w:t xml:space="preserve"> w </w:t>
      </w:r>
      <w:r w:rsidR="004E2A87" w:rsidRPr="00B91C3E">
        <w:t xml:space="preserve">tym </w:t>
      </w:r>
      <w:r w:rsidR="004E2A87" w:rsidRPr="00B91C3E">
        <w:lastRenderedPageBreak/>
        <w:t xml:space="preserve">możliwość skorygowania błędów prawnych, Trybunał uznał, że taka procedura jest objęta gwarancjami </w:t>
      </w:r>
      <w:r w:rsidR="00151032">
        <w:t>art. </w:t>
      </w:r>
      <w:r w:rsidR="004E2A87" w:rsidRPr="00B91C3E">
        <w:t xml:space="preserve">6 (zob. </w:t>
      </w:r>
      <w:r w:rsidR="004E2A87" w:rsidRPr="00B91C3E">
        <w:rPr>
          <w:i/>
          <w:iCs/>
        </w:rPr>
        <w:t>Meftah</w:t>
      </w:r>
      <w:r w:rsidR="00B91C3E">
        <w:rPr>
          <w:i/>
          <w:iCs/>
        </w:rPr>
        <w:t xml:space="preserve"> i </w:t>
      </w:r>
      <w:r w:rsidR="004E2A87" w:rsidRPr="00B91C3E">
        <w:rPr>
          <w:i/>
          <w:iCs/>
        </w:rPr>
        <w:t>Inni przeciwko Francji</w:t>
      </w:r>
      <w:r w:rsidR="004E2A87" w:rsidRPr="00B91C3E">
        <w:t xml:space="preserve"> [WI], </w:t>
      </w:r>
      <w:r w:rsidR="00B91C3E">
        <w:t>nr </w:t>
      </w:r>
      <w:r w:rsidR="004E2A87" w:rsidRPr="00B91C3E">
        <w:t>32911/96</w:t>
      </w:r>
      <w:r w:rsidR="00B91C3E">
        <w:t xml:space="preserve"> i </w:t>
      </w:r>
      <w:r w:rsidR="004E2A87" w:rsidRPr="00B91C3E">
        <w:t xml:space="preserve">2 inne, </w:t>
      </w:r>
      <w:r w:rsidR="00DF0ADB">
        <w:t>§ </w:t>
      </w:r>
      <w:r w:rsidR="004E2A87" w:rsidRPr="00B91C3E">
        <w:t>40, ETPC</w:t>
      </w:r>
      <w:r w:rsidR="00425A94">
        <w:t> </w:t>
      </w:r>
      <w:r w:rsidR="004E2A87" w:rsidRPr="00B91C3E">
        <w:t>2002</w:t>
      </w:r>
      <w:r w:rsidR="004E2A87" w:rsidRPr="00B91C3E">
        <w:noBreakHyphen/>
        <w:t>VII), nawet jeśli jest ona traktowana jako nadzwyczajny środek odwoławczy</w:t>
      </w:r>
      <w:r w:rsidR="00B91C3E">
        <w:t xml:space="preserve"> w </w:t>
      </w:r>
      <w:r w:rsidR="004E2A87" w:rsidRPr="00B91C3E">
        <w:t>prawie krajowym</w:t>
      </w:r>
      <w:r w:rsidR="00B91C3E">
        <w:t xml:space="preserve"> i </w:t>
      </w:r>
      <w:r w:rsidR="004E2A87" w:rsidRPr="00B91C3E">
        <w:t>dotyczy wyroku, od którego nie przysługuje zwykły środek odwoławczy. Z</w:t>
      </w:r>
      <w:r w:rsidR="00F02988">
        <w:t> </w:t>
      </w:r>
      <w:r w:rsidR="004E2A87" w:rsidRPr="00B91C3E">
        <w:t>tego samego powodu Trybunał orzekł, że gwarancje wynikające</w:t>
      </w:r>
      <w:r w:rsidR="00B91C3E">
        <w:t xml:space="preserve"> z </w:t>
      </w:r>
      <w:r w:rsidR="00425A94">
        <w:t>art. </w:t>
      </w:r>
      <w:r w:rsidR="004E2A87" w:rsidRPr="00B91C3E">
        <w:t>6 mają zastosowanie do postępowań karnych,</w:t>
      </w:r>
      <w:r w:rsidR="00B91C3E">
        <w:t xml:space="preserve"> w </w:t>
      </w:r>
      <w:r w:rsidR="004E2A87" w:rsidRPr="00B91C3E">
        <w:t>których właściwy sąd rozpoczął od zbadania dopuszczalności wniosku</w:t>
      </w:r>
      <w:r w:rsidR="00B91C3E">
        <w:t xml:space="preserve"> o </w:t>
      </w:r>
      <w:r w:rsidR="004E2A87" w:rsidRPr="00B91C3E">
        <w:t>wydanie zgody na</w:t>
      </w:r>
      <w:r w:rsidR="004D3D16">
        <w:t> </w:t>
      </w:r>
      <w:r w:rsidR="004E2A87" w:rsidRPr="00B91C3E">
        <w:t>wniesienie apelacji</w:t>
      </w:r>
      <w:r w:rsidR="00B91C3E">
        <w:t xml:space="preserve"> w </w:t>
      </w:r>
      <w:r w:rsidR="004E2A87" w:rsidRPr="00B91C3E">
        <w:t xml:space="preserve">celu uchylenia wyroku skazującego (zob. </w:t>
      </w:r>
      <w:r w:rsidR="004E2A87" w:rsidRPr="00B91C3E">
        <w:rPr>
          <w:i/>
          <w:iCs/>
        </w:rPr>
        <w:t>Monnell</w:t>
      </w:r>
      <w:r w:rsidR="00B91C3E">
        <w:rPr>
          <w:i/>
          <w:iCs/>
        </w:rPr>
        <w:t xml:space="preserve"> i </w:t>
      </w:r>
      <w:r w:rsidR="004E2A87" w:rsidRPr="00B91C3E">
        <w:rPr>
          <w:i/>
          <w:iCs/>
        </w:rPr>
        <w:t>Morris przeciwko Zjednoczonemu Królestwu</w:t>
      </w:r>
      <w:r w:rsidR="004E2A87" w:rsidRPr="00B91C3E">
        <w:t>, 2</w:t>
      </w:r>
      <w:r w:rsidR="00425A94">
        <w:t> </w:t>
      </w:r>
      <w:r w:rsidR="004E2A87" w:rsidRPr="00B91C3E">
        <w:t>marca 1987</w:t>
      </w:r>
      <w:r w:rsidR="00B91C3E">
        <w:t> r.</w:t>
      </w:r>
      <w:r w:rsidR="004E2A87" w:rsidRPr="00B91C3E">
        <w:t xml:space="preserve">, </w:t>
      </w:r>
      <w:r w:rsidR="00DF0ADB">
        <w:t>§ </w:t>
      </w:r>
      <w:r w:rsidR="004E2A87" w:rsidRPr="00B91C3E">
        <w:t xml:space="preserve">54, Seria A </w:t>
      </w:r>
      <w:r w:rsidR="00B91C3E">
        <w:t>nr </w:t>
      </w:r>
      <w:r w:rsidR="004E2A87" w:rsidRPr="00B91C3E">
        <w:t>115).</w:t>
      </w:r>
    </w:p>
    <w:p w14:paraId="361C5FB2" w14:textId="2102AC1B" w:rsidR="004E2A87" w:rsidRPr="00B91C3E" w:rsidRDefault="009E58FB" w:rsidP="002E7E83">
      <w:pPr>
        <w:pStyle w:val="JuPara"/>
      </w:pPr>
      <w:r w:rsidRPr="00B91C3E">
        <w:rPr>
          <w:noProof/>
        </w:rPr>
        <w:t>42</w:t>
      </w:r>
      <w:r w:rsidR="004E2A87" w:rsidRPr="00B91C3E">
        <w:t>.</w:t>
      </w:r>
      <w:r w:rsidR="00CA0241">
        <w:t xml:space="preserve"> </w:t>
      </w:r>
      <w:r w:rsidR="004E2A87" w:rsidRPr="00B91C3E">
        <w:t>Z ogólnych zasad określonych powyżej wynika, że art. 6 Konwencji ma zastosowanie,</w:t>
      </w:r>
      <w:r w:rsidR="00B91C3E">
        <w:t xml:space="preserve"> w </w:t>
      </w:r>
      <w:r w:rsidR="004E2A87" w:rsidRPr="00B91C3E">
        <w:t>jego aspekcie karnym, do postępowań karnych dotyczących środków odwoławczych zakwalifikowanych jako nadzwyczajne</w:t>
      </w:r>
      <w:r w:rsidR="00B91C3E">
        <w:t xml:space="preserve"> w </w:t>
      </w:r>
      <w:r w:rsidR="004E2A87" w:rsidRPr="00B91C3E">
        <w:t>prawie krajowym,</w:t>
      </w:r>
      <w:r w:rsidR="00B91C3E">
        <w:t xml:space="preserve"> w </w:t>
      </w:r>
      <w:r w:rsidR="004E2A87" w:rsidRPr="00B91C3E">
        <w:t xml:space="preserve">których </w:t>
      </w:r>
      <w:r w:rsidR="003A7CF6">
        <w:t xml:space="preserve">to postępowaniach </w:t>
      </w:r>
      <w:r w:rsidR="004E2A87" w:rsidRPr="00B91C3E">
        <w:t>sąd krajowy jest wezwany do rozstrzygnięcia</w:t>
      </w:r>
      <w:r w:rsidR="00B91C3E">
        <w:t xml:space="preserve"> o </w:t>
      </w:r>
      <w:r w:rsidR="004E2A87" w:rsidRPr="00B91C3E">
        <w:t>zarzucie. Trybunał bada zatem kwestię zastosowania art.</w:t>
      </w:r>
      <w:r w:rsidR="00F02988">
        <w:t> </w:t>
      </w:r>
      <w:r w:rsidR="004E2A87" w:rsidRPr="00B91C3E">
        <w:t>6 do nadzwyczajnych środków odwoławczych, starając się ustalić, czy podczas rozpatrywania przedmiotowego środka odwoławczego sąd krajowy był zobowiązany do rozstrzygnięcia</w:t>
      </w:r>
      <w:r w:rsidR="00B91C3E">
        <w:t xml:space="preserve"> o </w:t>
      </w:r>
      <w:r w:rsidR="004E2A87" w:rsidRPr="00B91C3E">
        <w:t>zarzucie karnym.</w:t>
      </w:r>
    </w:p>
    <w:p w14:paraId="7990102B" w14:textId="58DC4DE6" w:rsidR="004E2A87" w:rsidRPr="00B91C3E" w:rsidRDefault="001754CE" w:rsidP="002E7E83">
      <w:pPr>
        <w:pStyle w:val="JuHa0"/>
      </w:pPr>
      <w:r w:rsidRPr="00B91C3E">
        <w:t>Zastosowanie powyższych zasad</w:t>
      </w:r>
      <w:r w:rsidR="00B91C3E">
        <w:t xml:space="preserve"> w </w:t>
      </w:r>
      <w:r w:rsidRPr="00B91C3E">
        <w:t>niniejszej sprawie</w:t>
      </w:r>
    </w:p>
    <w:p w14:paraId="26C94007" w14:textId="257598C6" w:rsidR="004E2A87" w:rsidRPr="00B91C3E" w:rsidRDefault="009E58FB" w:rsidP="002E7E83">
      <w:pPr>
        <w:pStyle w:val="JuPara"/>
      </w:pPr>
      <w:r w:rsidRPr="00B91C3E">
        <w:rPr>
          <w:noProof/>
        </w:rPr>
        <w:t>43</w:t>
      </w:r>
      <w:r w:rsidR="004E2A87" w:rsidRPr="00B91C3E">
        <w:t>.</w:t>
      </w:r>
      <w:r w:rsidR="00CA0241">
        <w:t xml:space="preserve"> </w:t>
      </w:r>
      <w:r w:rsidR="004E2A87" w:rsidRPr="00B91C3E">
        <w:t xml:space="preserve">Trybunał zauważa, że niniejsza sprawa dotyczy kasacji wniesionej przez Prokuratora Generalnego ponad pięć miesięcy po prawomocnym skazaniu skarżącego. Kasację </w:t>
      </w:r>
      <w:r w:rsidR="007B068B" w:rsidRPr="00B91C3E">
        <w:t>t</w:t>
      </w:r>
      <w:r w:rsidR="007B068B">
        <w:t>ę</w:t>
      </w:r>
      <w:r w:rsidR="007B068B" w:rsidRPr="00B91C3E">
        <w:t xml:space="preserve"> </w:t>
      </w:r>
      <w:r w:rsidR="004E2A87" w:rsidRPr="00B91C3E">
        <w:t>należy odróżnić od kasacji, która mogła zostać wniesiona przez strony postępowania</w:t>
      </w:r>
      <w:r w:rsidR="00B91C3E">
        <w:t xml:space="preserve"> w </w:t>
      </w:r>
      <w:r w:rsidR="004E2A87" w:rsidRPr="00B91C3E">
        <w:t>terminie trzydziestu dni od</w:t>
      </w:r>
      <w:r w:rsidR="00124469">
        <w:t> </w:t>
      </w:r>
      <w:r w:rsidR="001115A0">
        <w:t xml:space="preserve">daty doręczenia </w:t>
      </w:r>
      <w:r w:rsidR="004E2A87" w:rsidRPr="00B91C3E">
        <w:t xml:space="preserve">wyroku </w:t>
      </w:r>
      <w:r w:rsidR="001115A0">
        <w:t>wraz z uzasadnieniem</w:t>
      </w:r>
      <w:r w:rsidR="001115A0">
        <w:rPr>
          <w:rStyle w:val="Odwoanieprzypisudolnego"/>
        </w:rPr>
        <w:footnoteReference w:id="1"/>
      </w:r>
      <w:r w:rsidR="001115A0">
        <w:t xml:space="preserve"> </w:t>
      </w:r>
      <w:r w:rsidR="004E2A87" w:rsidRPr="00B91C3E">
        <w:t xml:space="preserve">(zob. </w:t>
      </w:r>
      <w:r w:rsidR="00B67A95">
        <w:t>paragra</w:t>
      </w:r>
      <w:r w:rsidR="00124469">
        <w:t xml:space="preserve">f </w:t>
      </w:r>
      <w:r w:rsidR="004E2A87" w:rsidRPr="00B91C3E">
        <w:t>25</w:t>
      </w:r>
      <w:r w:rsidR="00124469">
        <w:t xml:space="preserve"> </w:t>
      </w:r>
      <w:r w:rsidR="004E2A87" w:rsidRPr="00B91C3E">
        <w:t>powyżej), co</w:t>
      </w:r>
      <w:r w:rsidR="004D3D16">
        <w:t> </w:t>
      </w:r>
      <w:r w:rsidR="004E2A87" w:rsidRPr="00B91C3E">
        <w:t xml:space="preserve">stanowiłoby kontynuację postępowania karnego (zob. na przykład </w:t>
      </w:r>
      <w:bookmarkStart w:id="11" w:name="_cl29901THELAW"/>
      <w:r w:rsidR="004E2A87" w:rsidRPr="00B91C3E">
        <w:rPr>
          <w:i/>
          <w:iCs/>
        </w:rPr>
        <w:t>Kudła przeciwko Polsce</w:t>
      </w:r>
      <w:bookmarkEnd w:id="11"/>
      <w:r w:rsidR="004E2A87" w:rsidRPr="00B91C3E">
        <w:t xml:space="preserve"> [WI], </w:t>
      </w:r>
      <w:r w:rsidR="00B91C3E">
        <w:t>nr </w:t>
      </w:r>
      <w:r w:rsidR="004E2A87" w:rsidRPr="00B91C3E">
        <w:t>30210/96, §</w:t>
      </w:r>
      <w:r w:rsidR="00DF0ADB">
        <w:t>§ </w:t>
      </w:r>
      <w:r w:rsidR="004E2A87" w:rsidRPr="00B91C3E">
        <w:t>121</w:t>
      </w:r>
      <w:r w:rsidR="007B068B">
        <w:t>–</w:t>
      </w:r>
      <w:r w:rsidR="004E2A87" w:rsidRPr="00B91C3E">
        <w:t>22, ETPC 2000-XI). Zdaniem Trybunału,</w:t>
      </w:r>
      <w:r w:rsidR="00B91C3E">
        <w:t xml:space="preserve"> w </w:t>
      </w:r>
      <w:r w:rsidR="004E2A87" w:rsidRPr="00B91C3E">
        <w:t>szczególnych okolicznościach niniejszej sprawy</w:t>
      </w:r>
      <w:r w:rsidR="007B068B">
        <w:t>,</w:t>
      </w:r>
      <w:r w:rsidR="004E2A87" w:rsidRPr="00B91C3E">
        <w:t xml:space="preserve"> skutki kasacji wniesionej przez Prokuratora Generalnego po upływie ogólnego trzydziestodniowego ustawowego terminu należy oceniać</w:t>
      </w:r>
      <w:r w:rsidR="00B91C3E">
        <w:t xml:space="preserve"> w </w:t>
      </w:r>
      <w:r w:rsidR="004E2A87" w:rsidRPr="00B91C3E">
        <w:t>świetle zasad rządzących wznowieniem postępowania.</w:t>
      </w:r>
    </w:p>
    <w:p w14:paraId="11AA1082" w14:textId="6C6B548C" w:rsidR="004E2A87" w:rsidRPr="00B91C3E" w:rsidRDefault="009E58FB" w:rsidP="002E7E83">
      <w:pPr>
        <w:pStyle w:val="JuPara"/>
      </w:pPr>
      <w:r w:rsidRPr="00B91C3E">
        <w:rPr>
          <w:noProof/>
        </w:rPr>
        <w:t>44</w:t>
      </w:r>
      <w:r w:rsidR="004E2A87" w:rsidRPr="00B91C3E">
        <w:t>.</w:t>
      </w:r>
      <w:r w:rsidR="00CA0241">
        <w:t xml:space="preserve"> </w:t>
      </w:r>
      <w:r w:rsidR="00B91C3E">
        <w:t>W </w:t>
      </w:r>
      <w:r w:rsidR="004E2A87" w:rsidRPr="00B91C3E">
        <w:t>tym względzie Trybunał zauważa, że skarżący został skazany prawomocnym wyrokiem</w:t>
      </w:r>
      <w:r w:rsidR="00B91C3E">
        <w:t xml:space="preserve"> z </w:t>
      </w:r>
      <w:r w:rsidR="004E2A87" w:rsidRPr="00B91C3E">
        <w:t>dnia 6 października 2017</w:t>
      </w:r>
      <w:r w:rsidR="00B91C3E">
        <w:t> r.</w:t>
      </w:r>
      <w:r w:rsidR="004E2A87" w:rsidRPr="00B91C3E">
        <w:t xml:space="preserve"> (zob. </w:t>
      </w:r>
      <w:r w:rsidR="00B67A95">
        <w:t>paragraf </w:t>
      </w:r>
      <w:r w:rsidR="004E2A87" w:rsidRPr="00B91C3E">
        <w:t>7 powyżej)</w:t>
      </w:r>
      <w:r w:rsidR="00B91C3E">
        <w:t xml:space="preserve"> i </w:t>
      </w:r>
      <w:r w:rsidR="004E2A87" w:rsidRPr="00B91C3E">
        <w:t>rozpoczął odbywanie kary pozbawienia wolności</w:t>
      </w:r>
      <w:r w:rsidR="00B91C3E">
        <w:t xml:space="preserve"> w </w:t>
      </w:r>
      <w:r w:rsidR="004E2A87" w:rsidRPr="00B91C3E">
        <w:t>dniu 26</w:t>
      </w:r>
      <w:r w:rsidR="007B068B">
        <w:t> </w:t>
      </w:r>
      <w:r w:rsidR="004E2A87" w:rsidRPr="00B91C3E">
        <w:t>lutego 2018</w:t>
      </w:r>
      <w:r w:rsidR="00B91C3E">
        <w:t> r.</w:t>
      </w:r>
      <w:r w:rsidR="004E2A87" w:rsidRPr="00B91C3E">
        <w:t xml:space="preserve"> </w:t>
      </w:r>
      <w:r w:rsidR="00B91C3E">
        <w:t>W </w:t>
      </w:r>
      <w:r w:rsidR="004E2A87" w:rsidRPr="00B91C3E">
        <w:t>dniu 22 marca 2018</w:t>
      </w:r>
      <w:r w:rsidR="00B91C3E">
        <w:t> r.</w:t>
      </w:r>
      <w:r w:rsidR="004E2A87" w:rsidRPr="00B91C3E">
        <w:t xml:space="preserve"> Prokurator Generalny wniósł kasację, argumentując, że kara nałożona na skarżącego była rażąco zbyt łagodna (zob. </w:t>
      </w:r>
      <w:r w:rsidR="00B67A95">
        <w:t>paragraf </w:t>
      </w:r>
      <w:r w:rsidR="004E2A87" w:rsidRPr="00B91C3E">
        <w:t xml:space="preserve">9 powyżej). </w:t>
      </w:r>
      <w:r w:rsidR="00B91C3E">
        <w:t>W </w:t>
      </w:r>
      <w:r w:rsidR="004E2A87" w:rsidRPr="00B91C3E">
        <w:t>dniu 13</w:t>
      </w:r>
      <w:r w:rsidR="00B67A95">
        <w:t> </w:t>
      </w:r>
      <w:r w:rsidR="004E2A87" w:rsidRPr="00B91C3E">
        <w:t>lutego 2019</w:t>
      </w:r>
      <w:r w:rsidR="00B91C3E">
        <w:t> r.</w:t>
      </w:r>
      <w:r w:rsidR="004E2A87" w:rsidRPr="00B91C3E">
        <w:t xml:space="preserve"> Sąd Okręgowy</w:t>
      </w:r>
      <w:r w:rsidR="00B91C3E">
        <w:t xml:space="preserve"> w </w:t>
      </w:r>
      <w:r w:rsidR="004E2A87" w:rsidRPr="00B91C3E">
        <w:t xml:space="preserve">Opolu zarządził warunkowe zwolnienie skarżącego (zob. </w:t>
      </w:r>
      <w:r w:rsidR="00B67A95">
        <w:t>paragraf </w:t>
      </w:r>
      <w:r w:rsidR="004E2A87" w:rsidRPr="00B91C3E">
        <w:t>12 powyżej). Wkrótce po zwolnieniu skarżącego,</w:t>
      </w:r>
      <w:r w:rsidR="00B91C3E">
        <w:t xml:space="preserve"> w </w:t>
      </w:r>
      <w:r w:rsidR="004E2A87" w:rsidRPr="00B91C3E">
        <w:t>dniu 28</w:t>
      </w:r>
      <w:r w:rsidR="007B068B">
        <w:t> </w:t>
      </w:r>
      <w:r w:rsidR="004E2A87" w:rsidRPr="00B91C3E">
        <w:t>marca 2019</w:t>
      </w:r>
      <w:r w:rsidR="00B91C3E">
        <w:t> r.</w:t>
      </w:r>
      <w:r w:rsidR="004E2A87" w:rsidRPr="00B91C3E">
        <w:t>, Sąd</w:t>
      </w:r>
      <w:r w:rsidR="004D3D16">
        <w:t> </w:t>
      </w:r>
      <w:r w:rsidR="004E2A87" w:rsidRPr="00B91C3E">
        <w:t>Najwyższy uchylił wyrok Sądu Apelacyjnego we Wrocławiu</w:t>
      </w:r>
      <w:r w:rsidR="00B91C3E">
        <w:t xml:space="preserve"> i </w:t>
      </w:r>
      <w:r w:rsidR="004E2A87" w:rsidRPr="00B91C3E">
        <w:t xml:space="preserve">przekazał sprawę temu sądowi do ponownego rozpoznania. Sąd Najwyższy </w:t>
      </w:r>
      <w:r w:rsidR="004E2A87" w:rsidRPr="00B91C3E">
        <w:lastRenderedPageBreak/>
        <w:t>nie</w:t>
      </w:r>
      <w:r w:rsidR="004D3D16">
        <w:t> </w:t>
      </w:r>
      <w:r w:rsidR="004E2A87" w:rsidRPr="00B91C3E">
        <w:t>wyjaśnił</w:t>
      </w:r>
      <w:r w:rsidR="00B91C3E">
        <w:t xml:space="preserve"> w </w:t>
      </w:r>
      <w:r w:rsidR="004E2A87" w:rsidRPr="00B91C3E">
        <w:t xml:space="preserve">swoim wyroku, jakie były podstawowe wady postępowania karnego, które wymagały korekty (zob. </w:t>
      </w:r>
      <w:r w:rsidR="004E2A87" w:rsidRPr="00E93746">
        <w:rPr>
          <w:rStyle w:val="Tekstpodstawowywcity3Znak"/>
          <w:i/>
          <w:iCs/>
          <w:sz w:val="24"/>
          <w:szCs w:val="24"/>
        </w:rPr>
        <w:t>Tığrak</w:t>
      </w:r>
      <w:r w:rsidR="004E2A87" w:rsidRPr="00B91C3E">
        <w:rPr>
          <w:rStyle w:val="Tekstpodstawowywcity3Znak"/>
          <w:sz w:val="24"/>
          <w:szCs w:val="24"/>
        </w:rPr>
        <w:t xml:space="preserve">, cytowany powyżej, </w:t>
      </w:r>
      <w:r w:rsidR="00DF0ADB">
        <w:rPr>
          <w:rStyle w:val="Tekstpodstawowywcity3Znak"/>
          <w:sz w:val="24"/>
          <w:szCs w:val="24"/>
        </w:rPr>
        <w:t>§ </w:t>
      </w:r>
      <w:r w:rsidR="004E2A87" w:rsidRPr="00B91C3E">
        <w:rPr>
          <w:rStyle w:val="Tekstpodstawowywcity3Znak"/>
          <w:sz w:val="24"/>
          <w:szCs w:val="24"/>
        </w:rPr>
        <w:t>48).</w:t>
      </w:r>
      <w:r w:rsidR="00B91C3E">
        <w:t xml:space="preserve"> </w:t>
      </w:r>
      <w:r w:rsidR="00B67A95">
        <w:t>W</w:t>
      </w:r>
      <w:r w:rsidR="00B91C3E">
        <w:t> </w:t>
      </w:r>
      <w:r w:rsidR="004E2A87" w:rsidRPr="00B91C3E">
        <w:t>swoim uzasadnieniu skupił się na wskazaniu, że zastosowanie nadzwyczajnego złagodzenia kary nie zostało dostatecznie uzasadnione przez sądy pierwszej</w:t>
      </w:r>
      <w:r w:rsidR="00B91C3E">
        <w:t xml:space="preserve"> i </w:t>
      </w:r>
      <w:r w:rsidR="004E2A87" w:rsidRPr="00B91C3E">
        <w:t xml:space="preserve">drugiej instancji (zob. </w:t>
      </w:r>
      <w:r w:rsidR="00B67A95">
        <w:t>paragraf </w:t>
      </w:r>
      <w:r w:rsidR="004E2A87" w:rsidRPr="00B91C3E">
        <w:t>17 powyżej).</w:t>
      </w:r>
    </w:p>
    <w:p w14:paraId="4447F509" w14:textId="0FDA3D93" w:rsidR="004E2A87" w:rsidRPr="00B91C3E" w:rsidRDefault="009E58FB" w:rsidP="002E7E83">
      <w:pPr>
        <w:pStyle w:val="JuPara"/>
      </w:pPr>
      <w:r w:rsidRPr="00B91C3E">
        <w:rPr>
          <w:noProof/>
        </w:rPr>
        <w:t>45</w:t>
      </w:r>
      <w:r w:rsidR="004E2A87" w:rsidRPr="00B91C3E">
        <w:t>.</w:t>
      </w:r>
      <w:r w:rsidR="00CA0241">
        <w:t xml:space="preserve"> </w:t>
      </w:r>
      <w:r w:rsidR="004E2A87" w:rsidRPr="00B91C3E">
        <w:t>Trybunał zauważa ponadto, że uzasadnienie wyroku Sądu Najwyższego</w:t>
      </w:r>
      <w:r w:rsidR="00B91C3E">
        <w:t xml:space="preserve"> z </w:t>
      </w:r>
      <w:r w:rsidR="004E2A87" w:rsidRPr="00B91C3E">
        <w:t>dnia 28 marca 2019</w:t>
      </w:r>
      <w:r w:rsidR="00B91C3E">
        <w:t> r.</w:t>
      </w:r>
      <w:r w:rsidR="004E2A87" w:rsidRPr="00B91C3E">
        <w:t xml:space="preserve"> nie zawierało żadnych rozważań na</w:t>
      </w:r>
      <w:r w:rsidR="004D3D16">
        <w:t> </w:t>
      </w:r>
      <w:r w:rsidR="004E2A87" w:rsidRPr="00B91C3E">
        <w:t>temat wpływu ponownego rozpoznania sprawy</w:t>
      </w:r>
      <w:r w:rsidR="00B91C3E">
        <w:t xml:space="preserve"> i </w:t>
      </w:r>
      <w:r w:rsidR="004E2A87" w:rsidRPr="00B91C3E">
        <w:t xml:space="preserve">wszelkich późniejszych postępowań na indywidualną sytuację skarżącego. </w:t>
      </w:r>
      <w:r w:rsidR="00B91C3E">
        <w:t>W </w:t>
      </w:r>
      <w:r w:rsidR="004E2A87" w:rsidRPr="00B91C3E">
        <w:t>szczególności nie</w:t>
      </w:r>
      <w:r w:rsidR="004D3D16">
        <w:t> </w:t>
      </w:r>
      <w:r w:rsidR="004E2A87" w:rsidRPr="00B91C3E">
        <w:t>zwrócono uwagi na fakt, że skarżący odbył już ponad połowę kary</w:t>
      </w:r>
      <w:r w:rsidR="00B91C3E">
        <w:t xml:space="preserve"> i </w:t>
      </w:r>
      <w:r w:rsidR="004E2A87" w:rsidRPr="00B91C3E">
        <w:t>został warunkowo zwolniony</w:t>
      </w:r>
      <w:r w:rsidR="00B91C3E">
        <w:t xml:space="preserve"> z </w:t>
      </w:r>
      <w:r w:rsidR="004E2A87" w:rsidRPr="00B91C3E">
        <w:t>zakładu karnego</w:t>
      </w:r>
      <w:r w:rsidR="00B91C3E">
        <w:t xml:space="preserve"> w </w:t>
      </w:r>
      <w:r w:rsidR="004E2A87" w:rsidRPr="00B91C3E">
        <w:t>wyniku postępowania wszczętego przez dyrektora zakładu karnego. Podobnie żadnej konkretnej oceny sytuacji skarżącego nie dokonano</w:t>
      </w:r>
      <w:r w:rsidR="00B91C3E">
        <w:t xml:space="preserve"> w </w:t>
      </w:r>
      <w:r w:rsidR="004E2A87" w:rsidRPr="00B91C3E">
        <w:t>wyroku Sądu Apelacyjnego we</w:t>
      </w:r>
      <w:r w:rsidR="004D3D16">
        <w:t> </w:t>
      </w:r>
      <w:r w:rsidR="004E2A87" w:rsidRPr="00B91C3E">
        <w:t>Wrocławiu</w:t>
      </w:r>
      <w:r w:rsidR="00B91C3E">
        <w:t xml:space="preserve"> z </w:t>
      </w:r>
      <w:r w:rsidR="00FE29AC">
        <w:t xml:space="preserve">dnia </w:t>
      </w:r>
      <w:r w:rsidR="004E2A87" w:rsidRPr="00B91C3E">
        <w:t>30 maja 2019</w:t>
      </w:r>
      <w:r w:rsidR="00B91C3E">
        <w:t> r.</w:t>
      </w:r>
      <w:r w:rsidR="004E2A87" w:rsidRPr="00B91C3E">
        <w:t>, wydanym po ponownym rozpoznaniu sprawy. Co prawda sąd ten odnotował, że skarżący został warunkowo zwolniony na wniosek dyrektora zakładu karnego, ale jedynie</w:t>
      </w:r>
      <w:r w:rsidR="00B91C3E">
        <w:t xml:space="preserve"> w </w:t>
      </w:r>
      <w:r w:rsidR="004E2A87" w:rsidRPr="00B91C3E">
        <w:t xml:space="preserve">celu poparcia argumentu, że kara wnioskowana przez prokuratora byłaby zbyt surowa (zob. </w:t>
      </w:r>
      <w:r w:rsidR="00B67A95">
        <w:t>paragraf </w:t>
      </w:r>
      <w:r w:rsidR="004E2A87" w:rsidRPr="00B91C3E">
        <w:t xml:space="preserve">19 powyżej). </w:t>
      </w:r>
      <w:r w:rsidR="00B91C3E">
        <w:t>W </w:t>
      </w:r>
      <w:r w:rsidR="004E2A87" w:rsidRPr="00B91C3E">
        <w:t xml:space="preserve">świetle powyższego Trybunał uznaje, że </w:t>
      </w:r>
      <w:r w:rsidR="00FE29AC" w:rsidRPr="00B91C3E">
        <w:t>uzasadnieni</w:t>
      </w:r>
      <w:r w:rsidR="00FE29AC">
        <w:t>a</w:t>
      </w:r>
      <w:r w:rsidR="00FE29AC" w:rsidRPr="00B91C3E">
        <w:t xml:space="preserve"> </w:t>
      </w:r>
      <w:r w:rsidR="004E2A87" w:rsidRPr="00B91C3E">
        <w:t>orzeczeń wydanych zarówno przez Sąd Najwyższy, jak</w:t>
      </w:r>
      <w:r w:rsidR="00B91C3E">
        <w:t xml:space="preserve"> i </w:t>
      </w:r>
      <w:r w:rsidR="004E2A87" w:rsidRPr="00B91C3E">
        <w:t xml:space="preserve">Sąd Apelacyjny nie </w:t>
      </w:r>
      <w:r w:rsidR="00FE29AC" w:rsidRPr="00B91C3E">
        <w:t>spełniał</w:t>
      </w:r>
      <w:r w:rsidR="00FE29AC">
        <w:t>y</w:t>
      </w:r>
      <w:r w:rsidR="00FE29AC" w:rsidRPr="00B91C3E">
        <w:t xml:space="preserve"> </w:t>
      </w:r>
      <w:r w:rsidR="004E2A87" w:rsidRPr="00B91C3E">
        <w:t>wymaganych standardów, aby wykazać, że</w:t>
      </w:r>
      <w:r w:rsidR="004D3D16">
        <w:t> </w:t>
      </w:r>
      <w:r w:rsidR="004E2A87" w:rsidRPr="00B91C3E">
        <w:t>zachowano</w:t>
      </w:r>
      <w:r w:rsidR="00B91C3E">
        <w:t xml:space="preserve"> w </w:t>
      </w:r>
      <w:r w:rsidR="004E2A87" w:rsidRPr="00B91C3E">
        <w:t>nich właściwą równowagę między interesem skarżącego</w:t>
      </w:r>
      <w:r w:rsidR="00B91C3E">
        <w:t xml:space="preserve"> a </w:t>
      </w:r>
      <w:r w:rsidR="004E2A87" w:rsidRPr="00B91C3E">
        <w:t xml:space="preserve">potrzebą zapewnienia skuteczności wymiaru sprawiedliwości (ibid. </w:t>
      </w:r>
      <w:r w:rsidR="00DF0ADB">
        <w:t>§ </w:t>
      </w:r>
      <w:r w:rsidR="004E2A87" w:rsidRPr="00B91C3E">
        <w:t>48).</w:t>
      </w:r>
    </w:p>
    <w:p w14:paraId="179041C0" w14:textId="5B16E776" w:rsidR="004E2A87" w:rsidRPr="00B91C3E" w:rsidRDefault="009E58FB" w:rsidP="002E7E83">
      <w:pPr>
        <w:pStyle w:val="JuPara"/>
      </w:pPr>
      <w:r w:rsidRPr="00B91C3E">
        <w:rPr>
          <w:noProof/>
        </w:rPr>
        <w:t>46</w:t>
      </w:r>
      <w:r w:rsidR="004E2A87" w:rsidRPr="00B91C3E">
        <w:t>.</w:t>
      </w:r>
      <w:r w:rsidR="00CA0241">
        <w:t xml:space="preserve"> </w:t>
      </w:r>
      <w:r w:rsidR="004E2A87" w:rsidRPr="00B91C3E">
        <w:t>Jeśli chodzi</w:t>
      </w:r>
      <w:r w:rsidR="00B91C3E">
        <w:t xml:space="preserve"> o </w:t>
      </w:r>
      <w:r w:rsidR="004E2A87" w:rsidRPr="00B91C3E">
        <w:t>istnienie</w:t>
      </w:r>
      <w:r w:rsidR="00B91C3E">
        <w:t xml:space="preserve"> i </w:t>
      </w:r>
      <w:r w:rsidR="004E2A87" w:rsidRPr="00B91C3E">
        <w:t>działanie gwarancji proceduralnych, Trybunał przyjmuje, że kasacja została wniesiona przez Prokuratora Generalnego</w:t>
      </w:r>
      <w:r w:rsidR="00B91C3E">
        <w:t xml:space="preserve"> w </w:t>
      </w:r>
      <w:r w:rsidR="004E2A87" w:rsidRPr="00B91C3E">
        <w:t>ustawowym terminie,</w:t>
      </w:r>
      <w:r w:rsidR="00B91C3E">
        <w:t xml:space="preserve"> </w:t>
      </w:r>
      <w:r w:rsidR="004E2A87" w:rsidRPr="00B91C3E">
        <w:t>mianowicie mniej niż rok po prawomocnym skazaniu skarżącego, oraz że gwarancje proceduralne istniejące</w:t>
      </w:r>
      <w:r w:rsidR="00B91C3E">
        <w:t xml:space="preserve"> w </w:t>
      </w:r>
      <w:r w:rsidR="004E2A87" w:rsidRPr="00B91C3E">
        <w:t>krajowym systemie prawnym były przestrzegane</w:t>
      </w:r>
      <w:r w:rsidR="00B91C3E">
        <w:t xml:space="preserve"> w </w:t>
      </w:r>
      <w:r w:rsidR="004E2A87" w:rsidRPr="00B91C3E">
        <w:t>postępowaniu</w:t>
      </w:r>
      <w:r w:rsidR="00B91C3E">
        <w:t xml:space="preserve"> w </w:t>
      </w:r>
      <w:r w:rsidR="004E2A87" w:rsidRPr="00B91C3E">
        <w:t xml:space="preserve">sprawie skarżącego. </w:t>
      </w:r>
      <w:r w:rsidR="00B91C3E">
        <w:t>W </w:t>
      </w:r>
      <w:r w:rsidR="004E2A87" w:rsidRPr="00B91C3E">
        <w:t>szczególności doręczono mu odpis kasacji Prokuratora Generalnego, mógł uczestniczyć</w:t>
      </w:r>
      <w:r w:rsidR="00B91C3E">
        <w:t xml:space="preserve"> w </w:t>
      </w:r>
      <w:r w:rsidR="004E2A87" w:rsidRPr="00B91C3E">
        <w:t>rozprawie przed Sądem Najwyższym</w:t>
      </w:r>
      <w:r w:rsidR="00B91C3E">
        <w:t xml:space="preserve"> i </w:t>
      </w:r>
      <w:r w:rsidR="004E2A87" w:rsidRPr="00B91C3E">
        <w:t>był reprezentowany przez obrońcę (zob.</w:t>
      </w:r>
      <w:r w:rsidR="00F02988">
        <w:t> </w:t>
      </w:r>
      <w:r w:rsidR="004E2A87" w:rsidRPr="00B91C3E">
        <w:t>paragrafy 10</w:t>
      </w:r>
      <w:r w:rsidR="00B91C3E">
        <w:t xml:space="preserve"> i </w:t>
      </w:r>
      <w:r w:rsidR="004E2A87" w:rsidRPr="00B91C3E">
        <w:t>14 powyżej). Trybunał uważa jednak, że brak oceny jakichkolwiek fundamentalnych wad postępowania karnego, jak również brak jakiegokolwiek rozważenia sytuacji skarżącego nie spełniał standardów orzecznictwa Trybunału</w:t>
      </w:r>
      <w:r w:rsidR="00B91C3E">
        <w:t xml:space="preserve"> w </w:t>
      </w:r>
      <w:r w:rsidR="004E2A87" w:rsidRPr="00B91C3E">
        <w:t xml:space="preserve">odniesieniu do prawa do rzetelnego procesu sądowego na podstawie art. 6 ust. 1 Konwencji (ibid. </w:t>
      </w:r>
      <w:r w:rsidR="00DF0ADB">
        <w:t>§ </w:t>
      </w:r>
      <w:r w:rsidR="004E2A87" w:rsidRPr="00B91C3E">
        <w:t>48).</w:t>
      </w:r>
    </w:p>
    <w:p w14:paraId="1437104F" w14:textId="29CCA621" w:rsidR="004E2A87" w:rsidRPr="00B91C3E" w:rsidRDefault="009E58FB" w:rsidP="002E7E83">
      <w:pPr>
        <w:pStyle w:val="JuPara"/>
        <w:rPr>
          <w:rFonts w:asciiTheme="majorHAnsi" w:hAnsiTheme="majorHAnsi" w:cstheme="majorHAnsi"/>
          <w:color w:val="000000"/>
        </w:rPr>
      </w:pPr>
      <w:r w:rsidRPr="00B91C3E">
        <w:rPr>
          <w:noProof/>
        </w:rPr>
        <w:t>47</w:t>
      </w:r>
      <w:r w:rsidR="002E7E83" w:rsidRPr="00B91C3E">
        <w:t>.</w:t>
      </w:r>
      <w:r w:rsidR="00CA0241">
        <w:t xml:space="preserve"> </w:t>
      </w:r>
      <w:r w:rsidR="00B91C3E">
        <w:t>W </w:t>
      </w:r>
      <w:r w:rsidR="002E7E83" w:rsidRPr="00B91C3E">
        <w:t>związku</w:t>
      </w:r>
      <w:r w:rsidR="00B91C3E">
        <w:t xml:space="preserve"> z </w:t>
      </w:r>
      <w:r w:rsidR="002E7E83" w:rsidRPr="00B91C3E">
        <w:t>tym doszło do naruszenia tego przepisu</w:t>
      </w:r>
      <w:r w:rsidR="00B91C3E">
        <w:t xml:space="preserve"> w </w:t>
      </w:r>
      <w:r w:rsidR="002E7E83" w:rsidRPr="00B91C3E">
        <w:t>odniesieniu do</w:t>
      </w:r>
      <w:r w:rsidR="004D3D16">
        <w:t> </w:t>
      </w:r>
      <w:r w:rsidR="002E7E83" w:rsidRPr="00B91C3E">
        <w:t>zasady rzetelnego procesu.</w:t>
      </w:r>
    </w:p>
    <w:p w14:paraId="1F796AF6" w14:textId="77777777" w:rsidR="004E2A87" w:rsidRPr="00B91C3E" w:rsidRDefault="001754CE" w:rsidP="002E7E83">
      <w:pPr>
        <w:pStyle w:val="JuHIRoman"/>
      </w:pPr>
      <w:r w:rsidRPr="00B91C3E">
        <w:t>ZASTOSOWANIE ART. 41 KONWENCJI</w:t>
      </w:r>
    </w:p>
    <w:p w14:paraId="1009250E" w14:textId="48946D6B" w:rsidR="004E2A87" w:rsidRPr="00B91C3E" w:rsidRDefault="009E58FB" w:rsidP="002E7E83">
      <w:pPr>
        <w:pStyle w:val="JuPara"/>
      </w:pPr>
      <w:r w:rsidRPr="00B91C3E">
        <w:rPr>
          <w:noProof/>
        </w:rPr>
        <w:t>48</w:t>
      </w:r>
      <w:r w:rsidR="001754CE" w:rsidRPr="00B91C3E">
        <w:t>.</w:t>
      </w:r>
      <w:r w:rsidR="00CA0241">
        <w:t xml:space="preserve"> </w:t>
      </w:r>
      <w:r w:rsidR="001754CE" w:rsidRPr="00B91C3E">
        <w:t>Artykuł 41 Konwencji stanowi:</w:t>
      </w:r>
    </w:p>
    <w:p w14:paraId="49DF3AB7" w14:textId="43A7FFBD" w:rsidR="004E2A87" w:rsidRPr="00B91C3E" w:rsidRDefault="001754CE" w:rsidP="002E7E83">
      <w:pPr>
        <w:pStyle w:val="JuQuot"/>
      </w:pPr>
      <w:r w:rsidRPr="00B91C3E">
        <w:t>„</w:t>
      </w:r>
      <w:r w:rsidR="00E07172" w:rsidRPr="00E07172">
        <w:t xml:space="preserve">Jeśli Trybunał stwierdzi, że nastąpiło naruszenie Konwencji lub jej </w:t>
      </w:r>
      <w:r w:rsidR="00A717F4" w:rsidRPr="00E07172">
        <w:t>Protokoł</w:t>
      </w:r>
      <w:bookmarkStart w:id="12" w:name="_GoBack"/>
      <w:bookmarkEnd w:id="12"/>
      <w:r w:rsidR="00A717F4" w:rsidRPr="00E07172">
        <w:t>ów</w:t>
      </w:r>
      <w:r w:rsidR="00E07172" w:rsidRPr="00E07172">
        <w:t xml:space="preserve">, oraz jeśli prawo wewnętrzne zainteresowanej Wysokiej Układającej się Strony pozwala </w:t>
      </w:r>
      <w:r w:rsidR="00E07172" w:rsidRPr="00E07172">
        <w:lastRenderedPageBreak/>
        <w:t>tylko na częściowe usunięcie konsekwencji tego naruszenia, Trybunał orzeka, gdy zachodzi potrzeba, słuszne zadośćuczynienie pokrzywdzonej stronie</w:t>
      </w:r>
      <w:r w:rsidRPr="00B91C3E">
        <w:t>”.</w:t>
      </w:r>
    </w:p>
    <w:p w14:paraId="13DC53E7" w14:textId="77777777" w:rsidR="004E2A87" w:rsidRPr="00B91C3E" w:rsidRDefault="001754CE" w:rsidP="002E7E83">
      <w:pPr>
        <w:pStyle w:val="JuHA"/>
      </w:pPr>
      <w:r w:rsidRPr="00B91C3E">
        <w:t>Szkoda</w:t>
      </w:r>
    </w:p>
    <w:p w14:paraId="068B7B18" w14:textId="1FCAC299" w:rsidR="004E2A87" w:rsidRPr="00B91C3E" w:rsidRDefault="009E58FB" w:rsidP="002E7E83">
      <w:pPr>
        <w:pStyle w:val="JuPara"/>
      </w:pPr>
      <w:r w:rsidRPr="00B91C3E">
        <w:rPr>
          <w:noProof/>
        </w:rPr>
        <w:t>49</w:t>
      </w:r>
      <w:r w:rsidR="001754CE" w:rsidRPr="00B91C3E">
        <w:t>.</w:t>
      </w:r>
      <w:r w:rsidR="00CA0241">
        <w:t xml:space="preserve"> </w:t>
      </w:r>
      <w:r w:rsidR="001754CE" w:rsidRPr="00B91C3E">
        <w:t>Skarżący domagał się kwoty 10 000 euro (EUR) tytułem zadośćuczynienia za szkodę niemajątkową</w:t>
      </w:r>
      <w:r w:rsidR="00B91C3E">
        <w:t xml:space="preserve"> i </w:t>
      </w:r>
      <w:r w:rsidR="001754CE" w:rsidRPr="00B91C3E">
        <w:t>kwoty 24</w:t>
      </w:r>
      <w:r w:rsidR="00F02988">
        <w:t> </w:t>
      </w:r>
      <w:r w:rsidR="001754CE" w:rsidRPr="00B91C3E">
        <w:t>580</w:t>
      </w:r>
      <w:r w:rsidR="00F02988">
        <w:t> </w:t>
      </w:r>
      <w:r w:rsidR="001754CE" w:rsidRPr="00B91C3E">
        <w:t>EUR tytułem odszkodowania za szkodę majątkową.</w:t>
      </w:r>
    </w:p>
    <w:p w14:paraId="2FFE07B5" w14:textId="26CE8610" w:rsidR="004E2A87" w:rsidRPr="00B91C3E" w:rsidRDefault="009E58FB" w:rsidP="002E7E83">
      <w:pPr>
        <w:pStyle w:val="JuPara"/>
      </w:pPr>
      <w:r w:rsidRPr="00B91C3E">
        <w:rPr>
          <w:noProof/>
        </w:rPr>
        <w:t>50</w:t>
      </w:r>
      <w:r w:rsidR="001754CE" w:rsidRPr="00B91C3E">
        <w:t>.</w:t>
      </w:r>
      <w:r w:rsidR="00CA0241">
        <w:t xml:space="preserve"> </w:t>
      </w:r>
      <w:r w:rsidR="001754CE" w:rsidRPr="00B91C3E">
        <w:t>Rząd uznał te kwoty za wygórowane</w:t>
      </w:r>
      <w:r w:rsidR="00B91C3E">
        <w:t xml:space="preserve"> i </w:t>
      </w:r>
      <w:r w:rsidR="001754CE" w:rsidRPr="00B91C3E">
        <w:t>bezzasadne.</w:t>
      </w:r>
    </w:p>
    <w:p w14:paraId="3F7A893D" w14:textId="1CB1E1C4" w:rsidR="004E2A87" w:rsidRPr="00B91C3E" w:rsidRDefault="009E58FB" w:rsidP="002E7E83">
      <w:pPr>
        <w:pStyle w:val="JuPara"/>
      </w:pPr>
      <w:r w:rsidRPr="00B91C3E">
        <w:rPr>
          <w:noProof/>
        </w:rPr>
        <w:t>51</w:t>
      </w:r>
      <w:r w:rsidR="001754CE" w:rsidRPr="00B91C3E">
        <w:t>.</w:t>
      </w:r>
      <w:r w:rsidR="00CA0241">
        <w:t xml:space="preserve"> </w:t>
      </w:r>
      <w:r w:rsidR="001754CE" w:rsidRPr="00B91C3E">
        <w:t>Trybunał nie dostrzega żadnego związku przyczynowo-skutkowego między stwierdzonym naruszeniem</w:t>
      </w:r>
      <w:r w:rsidR="00B91C3E">
        <w:t xml:space="preserve"> a </w:t>
      </w:r>
      <w:r w:rsidR="001754CE" w:rsidRPr="00B91C3E">
        <w:t>zarzucaną szkodą majątkową,</w:t>
      </w:r>
      <w:r w:rsidR="00B91C3E">
        <w:t xml:space="preserve"> w </w:t>
      </w:r>
      <w:r w:rsidR="001754CE" w:rsidRPr="00B91C3E">
        <w:t>związku</w:t>
      </w:r>
      <w:r w:rsidR="00B91C3E">
        <w:t xml:space="preserve"> z </w:t>
      </w:r>
      <w:r w:rsidR="001754CE" w:rsidRPr="00B91C3E">
        <w:t>czym nie uwzględnia tego żądania. Niemniej przyznaje skarżącemu kwotę 6 000 EUR</w:t>
      </w:r>
      <w:r w:rsidR="00E322CF">
        <w:t xml:space="preserve"> </w:t>
      </w:r>
      <w:r w:rsidR="00E322CF" w:rsidRPr="00E322CF">
        <w:t>powiększoną o</w:t>
      </w:r>
      <w:r w:rsidR="00E322CF">
        <w:t> w</w:t>
      </w:r>
      <w:r w:rsidR="00E322CF" w:rsidRPr="00E322CF">
        <w:t>szelkie należne podatki</w:t>
      </w:r>
      <w:r w:rsidR="001754CE" w:rsidRPr="00B91C3E">
        <w:t xml:space="preserve"> tytułem zadośćuczynienia za szkodę niemajątkową.</w:t>
      </w:r>
    </w:p>
    <w:p w14:paraId="5AEFC4DF" w14:textId="2A28FA6E" w:rsidR="004E2A87" w:rsidRPr="00B91C3E" w:rsidRDefault="001754CE" w:rsidP="002E7E83">
      <w:pPr>
        <w:pStyle w:val="JuHA"/>
      </w:pPr>
      <w:r w:rsidRPr="00B91C3E">
        <w:t>Koszty</w:t>
      </w:r>
      <w:r w:rsidR="00B91C3E">
        <w:t xml:space="preserve"> i </w:t>
      </w:r>
      <w:r w:rsidRPr="00B91C3E">
        <w:t>wydatki</w:t>
      </w:r>
    </w:p>
    <w:p w14:paraId="3B608570" w14:textId="75828E1C" w:rsidR="004E2A87" w:rsidRPr="00B91C3E" w:rsidRDefault="009E58FB" w:rsidP="002E7E83">
      <w:pPr>
        <w:pStyle w:val="JuPara"/>
      </w:pPr>
      <w:r w:rsidRPr="00B91C3E">
        <w:rPr>
          <w:noProof/>
        </w:rPr>
        <w:t>52</w:t>
      </w:r>
      <w:r w:rsidR="001754CE" w:rsidRPr="00B91C3E">
        <w:t>.</w:t>
      </w:r>
      <w:r w:rsidR="00CA0241">
        <w:t xml:space="preserve"> </w:t>
      </w:r>
      <w:r w:rsidR="001754CE" w:rsidRPr="00B91C3E">
        <w:t>Skarżący domagał się również kwoty</w:t>
      </w:r>
      <w:r w:rsidR="00E322CF">
        <w:t xml:space="preserve"> </w:t>
      </w:r>
      <w:r w:rsidR="001754CE" w:rsidRPr="00B91C3E">
        <w:t>1 650</w:t>
      </w:r>
      <w:r w:rsidR="00E322CF">
        <w:t> </w:t>
      </w:r>
      <w:r w:rsidR="001754CE" w:rsidRPr="00B91C3E">
        <w:t>EUR tytułem kosztów</w:t>
      </w:r>
      <w:r w:rsidR="00B91C3E">
        <w:t xml:space="preserve"> i </w:t>
      </w:r>
      <w:r w:rsidR="001754CE" w:rsidRPr="00B91C3E">
        <w:t>wydatków poniesionych przed Trybunałem.</w:t>
      </w:r>
    </w:p>
    <w:p w14:paraId="00EBFF25" w14:textId="120D4B71" w:rsidR="004E2A87" w:rsidRPr="00B91C3E" w:rsidRDefault="009E58FB" w:rsidP="002E7E83">
      <w:pPr>
        <w:pStyle w:val="JuPara"/>
      </w:pPr>
      <w:r w:rsidRPr="00B91C3E">
        <w:rPr>
          <w:noProof/>
        </w:rPr>
        <w:t>53</w:t>
      </w:r>
      <w:r w:rsidR="001754CE" w:rsidRPr="00B91C3E">
        <w:t>.</w:t>
      </w:r>
      <w:r w:rsidR="00CA0241">
        <w:t xml:space="preserve"> </w:t>
      </w:r>
      <w:r w:rsidR="001754CE" w:rsidRPr="00B91C3E">
        <w:t>Rząd pozostawił to roszczenie do uznania Trybunału.</w:t>
      </w:r>
    </w:p>
    <w:p w14:paraId="78A7DFAB" w14:textId="4D1325F7" w:rsidR="004E2A87" w:rsidRPr="00B91C3E" w:rsidRDefault="009E58FB" w:rsidP="002E7E83">
      <w:pPr>
        <w:pStyle w:val="JuPara"/>
      </w:pPr>
      <w:r w:rsidRPr="00B91C3E">
        <w:rPr>
          <w:noProof/>
        </w:rPr>
        <w:t>54</w:t>
      </w:r>
      <w:r w:rsidR="001754CE" w:rsidRPr="00B91C3E">
        <w:t>.</w:t>
      </w:r>
      <w:r w:rsidR="00CA0241">
        <w:t xml:space="preserve"> </w:t>
      </w:r>
      <w:r w:rsidR="001754CE" w:rsidRPr="00B91C3E">
        <w:t>Zgodnie</w:t>
      </w:r>
      <w:r w:rsidR="00B91C3E">
        <w:t xml:space="preserve"> z </w:t>
      </w:r>
      <w:r w:rsidR="001754CE" w:rsidRPr="00B91C3E">
        <w:t>orzecznictwem Trybunału skarżącemu przysługuje prawo do zwrotu poniesionych kosztów</w:t>
      </w:r>
      <w:r w:rsidR="00B91C3E">
        <w:t xml:space="preserve"> i </w:t>
      </w:r>
      <w:r w:rsidR="001754CE" w:rsidRPr="00B91C3E">
        <w:t>wydatków wówczas, gdy wykazał, że były one rzeczywiście</w:t>
      </w:r>
      <w:r w:rsidR="00B91C3E">
        <w:t xml:space="preserve"> i </w:t>
      </w:r>
      <w:r w:rsidR="001754CE" w:rsidRPr="00B91C3E">
        <w:t xml:space="preserve">koniecznie poniesione oraz że są uzasadnione co do wysokości. </w:t>
      </w:r>
      <w:r w:rsidR="00B91C3E">
        <w:t>W </w:t>
      </w:r>
      <w:r w:rsidR="001754CE" w:rsidRPr="00B91C3E">
        <w:t>niniejszej sprawie, mając na uwadze posiadane dokumenty oraz powyższe kryteria, Trybunał uznaje za uzasadnione zasądzić kwotę 1 650 EUR na pokrycie postępowania przed Trybunałem, powiększoną</w:t>
      </w:r>
      <w:r w:rsidR="00B91C3E">
        <w:t xml:space="preserve"> o </w:t>
      </w:r>
      <w:r w:rsidR="00E322CF">
        <w:t xml:space="preserve">wszelkie </w:t>
      </w:r>
      <w:r w:rsidR="001754CE" w:rsidRPr="00B91C3E">
        <w:t>należne podatki, jakie mogą zostać naliczone wobec skarżącego.</w:t>
      </w:r>
    </w:p>
    <w:p w14:paraId="5B3C89EC" w14:textId="58B6DC95" w:rsidR="004E2A87" w:rsidRPr="00B91C3E" w:rsidRDefault="001754CE" w:rsidP="002E7E83">
      <w:pPr>
        <w:pStyle w:val="JuHHead"/>
        <w:numPr>
          <w:ilvl w:val="0"/>
          <w:numId w:val="2"/>
        </w:numPr>
        <w:tabs>
          <w:tab w:val="num" w:pos="340"/>
        </w:tabs>
        <w:ind w:left="340" w:hanging="340"/>
      </w:pPr>
      <w:r w:rsidRPr="00B91C3E">
        <w:t>Z POWYŻSZYCH WZGLĘDÓW TRYBUNAŁ JEDNOGŁOŚNIE</w:t>
      </w:r>
    </w:p>
    <w:p w14:paraId="3C841035" w14:textId="77777777" w:rsidR="004E2A87" w:rsidRPr="00B91C3E" w:rsidRDefault="001754CE" w:rsidP="002E7E83">
      <w:pPr>
        <w:pStyle w:val="JuList"/>
        <w:numPr>
          <w:ilvl w:val="0"/>
          <w:numId w:val="1"/>
        </w:numPr>
      </w:pPr>
      <w:r w:rsidRPr="00B91C3E">
        <w:rPr>
          <w:i/>
          <w:iCs/>
        </w:rPr>
        <w:t>uznaje</w:t>
      </w:r>
      <w:r w:rsidRPr="00B91C3E">
        <w:t xml:space="preserve"> skargę za dopuszczalną;</w:t>
      </w:r>
    </w:p>
    <w:p w14:paraId="316E8331" w14:textId="77777777" w:rsidR="004E2A87" w:rsidRPr="00B91C3E" w:rsidRDefault="001754CE" w:rsidP="002E7E83">
      <w:pPr>
        <w:pStyle w:val="JuList"/>
        <w:numPr>
          <w:ilvl w:val="0"/>
          <w:numId w:val="1"/>
        </w:numPr>
      </w:pPr>
      <w:r w:rsidRPr="00B91C3E">
        <w:rPr>
          <w:i/>
        </w:rPr>
        <w:t>orzeka</w:t>
      </w:r>
      <w:r w:rsidRPr="00B91C3E">
        <w:t>, że doszło do naruszenia art. 6 ust. 1 Konwencji;</w:t>
      </w:r>
    </w:p>
    <w:p w14:paraId="77ABC2A4" w14:textId="77777777" w:rsidR="004E2A87" w:rsidRPr="00B91C3E" w:rsidRDefault="001754CE" w:rsidP="002E7E83">
      <w:pPr>
        <w:pStyle w:val="JuList"/>
        <w:numPr>
          <w:ilvl w:val="0"/>
          <w:numId w:val="1"/>
        </w:numPr>
      </w:pPr>
      <w:r w:rsidRPr="00B91C3E">
        <w:rPr>
          <w:i/>
          <w:iCs/>
        </w:rPr>
        <w:t>stwierdza</w:t>
      </w:r>
    </w:p>
    <w:p w14:paraId="13571799" w14:textId="659EADC8" w:rsidR="004E2A87" w:rsidRPr="00B91C3E" w:rsidRDefault="001754CE" w:rsidP="002E7E83">
      <w:pPr>
        <w:pStyle w:val="JuLista"/>
        <w:numPr>
          <w:ilvl w:val="1"/>
          <w:numId w:val="1"/>
        </w:numPr>
      </w:pPr>
      <w:r w:rsidRPr="00B91C3E">
        <w:t>że pozwane państwo winno,</w:t>
      </w:r>
      <w:r w:rsidR="00B91C3E">
        <w:t xml:space="preserve"> w </w:t>
      </w:r>
      <w:r w:rsidRPr="00B91C3E">
        <w:t>terminie trzech miesięcy od daty,</w:t>
      </w:r>
      <w:r w:rsidR="00B91C3E">
        <w:t xml:space="preserve"> w </w:t>
      </w:r>
      <w:r w:rsidRPr="00B91C3E">
        <w:t>której niniejszy wyrok stanie się ostateczny zgodnie</w:t>
      </w:r>
      <w:r w:rsidR="00B91C3E">
        <w:t xml:space="preserve"> z </w:t>
      </w:r>
      <w:r w:rsidRPr="00B91C3E">
        <w:t>art. 44 ust. 2 Konwencji, uiścić na rzecz skarżącego następujące kwoty, przeliczone na walutę pozwanego państwa według kursu obowiązującego</w:t>
      </w:r>
      <w:r w:rsidR="00B91C3E">
        <w:t xml:space="preserve"> w </w:t>
      </w:r>
      <w:r w:rsidRPr="00B91C3E">
        <w:t>dniu płatności:</w:t>
      </w:r>
    </w:p>
    <w:p w14:paraId="0F31128A" w14:textId="77777777" w:rsidR="004E2A87" w:rsidRPr="00B91C3E" w:rsidRDefault="001754CE" w:rsidP="002E7E83">
      <w:pPr>
        <w:pStyle w:val="JuListi"/>
        <w:numPr>
          <w:ilvl w:val="2"/>
          <w:numId w:val="1"/>
        </w:numPr>
      </w:pPr>
      <w:r w:rsidRPr="00B91C3E">
        <w:t>6 000 EUR (sześć tysięcy euro) plus wszelkie należne podatki, tytułem zadośćuczynienia za szkodę niemajątkową;</w:t>
      </w:r>
    </w:p>
    <w:p w14:paraId="68A0F652" w14:textId="59FA7859" w:rsidR="004E2A87" w:rsidRPr="00B91C3E" w:rsidRDefault="001754CE" w:rsidP="002E7E83">
      <w:pPr>
        <w:pStyle w:val="JuListi"/>
        <w:numPr>
          <w:ilvl w:val="2"/>
          <w:numId w:val="1"/>
        </w:numPr>
      </w:pPr>
      <w:r w:rsidRPr="00B91C3E">
        <w:lastRenderedPageBreak/>
        <w:t>1 650</w:t>
      </w:r>
      <w:r w:rsidR="00E322CF">
        <w:t> </w:t>
      </w:r>
      <w:r w:rsidRPr="00B91C3E">
        <w:t>EUR (tysiąc sześćset pięćdziesiąt euro), plus wszelkie należne od skarżącego podatki, tytułem zwrotu poniesionych kosztów</w:t>
      </w:r>
      <w:r w:rsidR="00B91C3E">
        <w:t xml:space="preserve"> i </w:t>
      </w:r>
      <w:r w:rsidRPr="00B91C3E">
        <w:t>wydatków;</w:t>
      </w:r>
    </w:p>
    <w:p w14:paraId="02169EDB" w14:textId="03CAC4D0" w:rsidR="004E2A87" w:rsidRPr="00B91C3E" w:rsidRDefault="001754CE" w:rsidP="002E7E83">
      <w:pPr>
        <w:pStyle w:val="JuLista"/>
        <w:numPr>
          <w:ilvl w:val="1"/>
          <w:numId w:val="1"/>
        </w:numPr>
      </w:pPr>
      <w:r w:rsidRPr="00B91C3E">
        <w:t>że</w:t>
      </w:r>
      <w:r w:rsidR="00E322CF">
        <w:t>,</w:t>
      </w:r>
      <w:r w:rsidRPr="00B91C3E">
        <w:t xml:space="preserve"> od upływu wyżej wskazanego terminu trzech miesięcy aż do</w:t>
      </w:r>
      <w:r w:rsidR="00E07172">
        <w:t> </w:t>
      </w:r>
      <w:r w:rsidRPr="00B91C3E">
        <w:t>momentu uregulowania należności, należne będą odsetki zwykłe od określonych powyżej kwot, naliczone według stopy równej marginalnej stopie procentowej Europejskiego Banku Centralnego obowiązującej</w:t>
      </w:r>
      <w:r w:rsidR="00B91C3E">
        <w:t xml:space="preserve"> w </w:t>
      </w:r>
      <w:r w:rsidRPr="00B91C3E">
        <w:t>tym okresie, powiększonej</w:t>
      </w:r>
      <w:r w:rsidR="00B91C3E">
        <w:t xml:space="preserve"> o </w:t>
      </w:r>
      <w:r w:rsidRPr="00B91C3E">
        <w:t>trzy punkty procentowe;</w:t>
      </w:r>
    </w:p>
    <w:p w14:paraId="38D8DCB9" w14:textId="77777777" w:rsidR="00AF385A" w:rsidRPr="00B91C3E" w:rsidRDefault="001754CE" w:rsidP="002E7E83">
      <w:pPr>
        <w:pStyle w:val="JuList"/>
      </w:pPr>
      <w:r w:rsidRPr="00B91C3E">
        <w:rPr>
          <w:i/>
        </w:rPr>
        <w:t xml:space="preserve">oddala </w:t>
      </w:r>
      <w:r w:rsidRPr="00B91C3E">
        <w:t>pozostałą część roszczenia skarżącego dotyczącego słusznego zadośćuczynienia.</w:t>
      </w:r>
    </w:p>
    <w:p w14:paraId="729882A4" w14:textId="77777777" w:rsidR="004D0EC7" w:rsidRPr="00B91C3E" w:rsidRDefault="004D0EC7" w:rsidP="002E7E83">
      <w:pPr>
        <w:pStyle w:val="JuList"/>
        <w:numPr>
          <w:ilvl w:val="0"/>
          <w:numId w:val="0"/>
        </w:numPr>
        <w:ind w:left="340"/>
      </w:pPr>
    </w:p>
    <w:p w14:paraId="5FD8D1D3" w14:textId="36AAC693" w:rsidR="008E3A08" w:rsidRPr="00B91C3E" w:rsidRDefault="001754CE" w:rsidP="002E7E83">
      <w:pPr>
        <w:pStyle w:val="JuParaLast"/>
      </w:pPr>
      <w:r w:rsidRPr="00B91C3E">
        <w:t>Sporządzono</w:t>
      </w:r>
      <w:r w:rsidR="00B91C3E">
        <w:t xml:space="preserve"> w </w:t>
      </w:r>
      <w:r w:rsidRPr="00B91C3E">
        <w:t>języku angielskim</w:t>
      </w:r>
      <w:r w:rsidR="00B91C3E">
        <w:t xml:space="preserve"> i </w:t>
      </w:r>
      <w:r w:rsidRPr="00B91C3E">
        <w:t>obwieszczono pisemnie</w:t>
      </w:r>
      <w:r w:rsidR="00B91C3E">
        <w:t xml:space="preserve"> </w:t>
      </w:r>
      <w:r w:rsidR="008D6719">
        <w:t>dnia</w:t>
      </w:r>
      <w:r w:rsidRPr="00B91C3E">
        <w:t xml:space="preserve"> 14</w:t>
      </w:r>
      <w:r w:rsidR="008D6719">
        <w:t> </w:t>
      </w:r>
      <w:r w:rsidRPr="00B91C3E">
        <w:t>listopada 2024</w:t>
      </w:r>
      <w:r w:rsidR="00B91C3E">
        <w:t> r.</w:t>
      </w:r>
      <w:r w:rsidRPr="00B91C3E">
        <w:t xml:space="preserve"> zgodnie</w:t>
      </w:r>
      <w:r w:rsidR="00B91C3E">
        <w:t xml:space="preserve"> z </w:t>
      </w:r>
      <w:r w:rsidRPr="00B91C3E">
        <w:t>Regułą 77 §</w:t>
      </w:r>
      <w:r w:rsidR="003C698C" w:rsidRPr="00B91C3E">
        <w:t>§</w:t>
      </w:r>
      <w:r w:rsidRPr="00B91C3E">
        <w:t> 2</w:t>
      </w:r>
      <w:r w:rsidR="00B91C3E">
        <w:t xml:space="preserve"> i </w:t>
      </w:r>
      <w:r w:rsidRPr="00B91C3E">
        <w:t>3 Regulaminu Trybunału.</w:t>
      </w:r>
    </w:p>
    <w:p w14:paraId="1BF67C6C" w14:textId="77777777" w:rsidR="007E79A4" w:rsidRPr="00B91C3E" w:rsidRDefault="001754CE" w:rsidP="002E7E83">
      <w:pPr>
        <w:pStyle w:val="ECHRPlaceholder"/>
        <w:rPr>
          <w:szCs w:val="22"/>
        </w:rPr>
      </w:pPr>
      <w:r w:rsidRPr="00B91C3E">
        <w:tab/>
      </w:r>
    </w:p>
    <w:p w14:paraId="7F42EC31" w14:textId="77777777" w:rsidR="00B429A8" w:rsidRPr="00B429A8" w:rsidRDefault="001754CE" w:rsidP="00B429A8">
      <w:pPr>
        <w:pStyle w:val="JuSigned"/>
        <w:ind w:left="284" w:hanging="284"/>
      </w:pPr>
      <w:r w:rsidRPr="00B91C3E">
        <w:tab/>
      </w:r>
      <w:r w:rsidR="00B429A8" w:rsidRPr="00B429A8">
        <w:tab/>
        <w:t>Ilse Freiwirth</w:t>
      </w:r>
      <w:r w:rsidR="00B429A8" w:rsidRPr="00B429A8">
        <w:tab/>
        <w:t>Ivana Jelić</w:t>
      </w:r>
      <w:r w:rsidR="00B429A8" w:rsidRPr="00B429A8">
        <w:br/>
      </w:r>
      <w:r w:rsidR="00B429A8" w:rsidRPr="00B429A8">
        <w:tab/>
      </w:r>
      <w:r w:rsidR="00B429A8" w:rsidRPr="00B429A8">
        <w:rPr>
          <w:iCs/>
        </w:rPr>
        <w:t>Kanclerz</w:t>
      </w:r>
      <w:r w:rsidR="00B429A8" w:rsidRPr="00B429A8">
        <w:tab/>
        <w:t>Przewodnicząca</w:t>
      </w:r>
    </w:p>
    <w:p w14:paraId="456C046B" w14:textId="77777777" w:rsidR="00B429A8" w:rsidRPr="00B429A8" w:rsidRDefault="00B429A8" w:rsidP="00B429A8">
      <w:pPr>
        <w:pStyle w:val="JuSigned"/>
        <w:ind w:left="284" w:hanging="284"/>
      </w:pPr>
    </w:p>
    <w:p w14:paraId="5BF25702" w14:textId="77777777" w:rsidR="00B429A8" w:rsidRPr="00B429A8" w:rsidRDefault="00B429A8" w:rsidP="00B429A8">
      <w:pPr>
        <w:pStyle w:val="JuSigned"/>
        <w:ind w:left="284" w:hanging="284"/>
      </w:pPr>
    </w:p>
    <w:p w14:paraId="6159851B" w14:textId="77777777" w:rsidR="00182EBA" w:rsidRPr="00BF094C" w:rsidRDefault="00182EBA" w:rsidP="00B429A8">
      <w:pPr>
        <w:pStyle w:val="JuSigned"/>
        <w:ind w:left="284" w:hanging="284"/>
      </w:pPr>
    </w:p>
    <w:sectPr w:rsidR="00182EBA" w:rsidRPr="00BF094C" w:rsidSect="007D3701">
      <w:headerReference w:type="even" r:id="rId14"/>
      <w:headerReference w:type="default" r:id="rId15"/>
      <w:footerReference w:type="even" r:id="rId16"/>
      <w:footerReference w:type="default" r:id="rId17"/>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BC68AB0" w14:textId="77777777" w:rsidR="00735999" w:rsidRDefault="00735999">
      <w:r>
        <w:separator/>
      </w:r>
    </w:p>
  </w:endnote>
  <w:endnote w:type="continuationSeparator" w:id="0">
    <w:p w14:paraId="51FE3170" w14:textId="77777777" w:rsidR="00735999" w:rsidRDefault="007359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65C844" w14:textId="77777777" w:rsidR="004E2A87" w:rsidRPr="00150BFA" w:rsidRDefault="001754CE" w:rsidP="0020718E">
    <w:pPr>
      <w:jc w:val="center"/>
    </w:pPr>
    <w:r>
      <w:rPr>
        <w:noProof/>
        <w:lang w:eastAsia="pl-PL"/>
      </w:rPr>
      <w:drawing>
        <wp:inline distT="0" distB="0" distL="0" distR="0" wp14:anchorId="420965A6" wp14:editId="7D8D7508">
          <wp:extent cx="771525" cy="619125"/>
          <wp:effectExtent l="0" t="0" r="9525" b="9525"/>
          <wp:docPr id="567810475" name="Picture 46"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14:paraId="7BC09372" w14:textId="77777777" w:rsidR="0098410D" w:rsidRPr="00E67565" w:rsidRDefault="0098410D" w:rsidP="00AF12C5">
    <w:pPr>
      <w:pStyle w:val="Stopka"/>
      <w:jc w:val="center"/>
      <w:rPr>
        <w:sz w:val="4"/>
        <w:szCs w:val="4"/>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E4ED76" w14:textId="77777777" w:rsidR="004E2A87" w:rsidRPr="00150BFA" w:rsidRDefault="001754CE" w:rsidP="0020718E">
    <w:pPr>
      <w:jc w:val="center"/>
    </w:pPr>
    <w:r>
      <w:rPr>
        <w:noProof/>
        <w:lang w:eastAsia="pl-PL"/>
      </w:rPr>
      <w:drawing>
        <wp:inline distT="0" distB="0" distL="0" distR="0" wp14:anchorId="048355D5" wp14:editId="3D808B65">
          <wp:extent cx="771525" cy="619125"/>
          <wp:effectExtent l="0" t="0" r="9525" b="9525"/>
          <wp:docPr id="1642516315"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14:paraId="35769305" w14:textId="77777777" w:rsidR="009E7A6F" w:rsidRPr="00E67565" w:rsidRDefault="009E7A6F" w:rsidP="009E7A6F">
    <w:pPr>
      <w:pStyle w:val="Stopka"/>
      <w:jc w:val="cen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F1C4CC" w14:textId="237912C2" w:rsidR="00182EBA" w:rsidRDefault="001754CE" w:rsidP="009A115C">
    <w:pPr>
      <w:pStyle w:val="JuHeader"/>
    </w:pPr>
    <w:r>
      <w:fldChar w:fldCharType="begin"/>
    </w:r>
    <w:r>
      <w:instrText xml:space="preserve"> PAGE  \* MERGEFORMAT </w:instrText>
    </w:r>
    <w:r>
      <w:fldChar w:fldCharType="separate"/>
    </w:r>
    <w:r w:rsidR="00A717F4">
      <w:rPr>
        <w:noProof/>
      </w:rPr>
      <w:t>14</w:t>
    </w:r>
    <w: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7112A9" w14:textId="25239FD2" w:rsidR="00182EBA" w:rsidRPr="000B7195" w:rsidRDefault="001754CE" w:rsidP="007D3701">
    <w:pPr>
      <w:pStyle w:val="JuHeader"/>
    </w:pPr>
    <w:r>
      <w:fldChar w:fldCharType="begin"/>
    </w:r>
    <w:r>
      <w:instrText xml:space="preserve"> PAGE  \* MERGEFORMAT </w:instrText>
    </w:r>
    <w:r>
      <w:fldChar w:fldCharType="separate"/>
    </w:r>
    <w:r w:rsidR="00A717F4">
      <w:rPr>
        <w:noProof/>
      </w:rPr>
      <w:t>11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B8EE595" w14:textId="77777777" w:rsidR="00735999" w:rsidRDefault="00735999">
      <w:r>
        <w:separator/>
      </w:r>
    </w:p>
  </w:footnote>
  <w:footnote w:type="continuationSeparator" w:id="0">
    <w:p w14:paraId="0F992303" w14:textId="77777777" w:rsidR="00735999" w:rsidRDefault="00735999">
      <w:r>
        <w:continuationSeparator/>
      </w:r>
    </w:p>
  </w:footnote>
  <w:footnote w:id="1">
    <w:p w14:paraId="4BE8681C" w14:textId="7FD3C509" w:rsidR="001115A0" w:rsidRPr="00AF04DF" w:rsidRDefault="001115A0" w:rsidP="001115A0">
      <w:pPr>
        <w:pStyle w:val="Tekstprzypisudolnego"/>
      </w:pPr>
      <w:r>
        <w:rPr>
          <w:rStyle w:val="Odwoanieprzypisudolnego"/>
        </w:rPr>
        <w:footnoteRef/>
      </w:r>
      <w:r>
        <w:t xml:space="preserve"> Sprostowano w dniu 6 marca 2025 r.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52798C" w14:textId="77777777" w:rsidR="004E2A87" w:rsidRPr="00A45145" w:rsidRDefault="001754CE" w:rsidP="00A45145">
    <w:pPr>
      <w:jc w:val="center"/>
    </w:pPr>
    <w:r>
      <w:rPr>
        <w:noProof/>
        <w:lang w:eastAsia="pl-PL"/>
      </w:rPr>
      <w:drawing>
        <wp:inline distT="0" distB="0" distL="0" distR="0" wp14:anchorId="22889524" wp14:editId="6CCE5114">
          <wp:extent cx="2962275" cy="1219200"/>
          <wp:effectExtent l="0" t="0" r="9525" b="0"/>
          <wp:docPr id="82221125"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14:paraId="0D0DA849" w14:textId="77777777" w:rsidR="0098410D" w:rsidRPr="00E67565" w:rsidRDefault="0098410D" w:rsidP="00B14793">
    <w:pPr>
      <w:jc w:val="center"/>
      <w:rPr>
        <w:sz w:val="4"/>
        <w:szCs w:val="4"/>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80B275" w14:textId="77777777" w:rsidR="004E2A87" w:rsidRPr="00A45145" w:rsidRDefault="001754CE" w:rsidP="00A45145">
    <w:pPr>
      <w:jc w:val="center"/>
    </w:pPr>
    <w:r>
      <w:rPr>
        <w:noProof/>
        <w:lang w:eastAsia="pl-PL"/>
      </w:rPr>
      <w:drawing>
        <wp:inline distT="0" distB="0" distL="0" distR="0" wp14:anchorId="36CFAB0B" wp14:editId="57E197A4">
          <wp:extent cx="2962275" cy="1219200"/>
          <wp:effectExtent l="0" t="0" r="9525" b="0"/>
          <wp:docPr id="1197931149" name="Picture 40"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14:paraId="204B2C0A" w14:textId="77777777" w:rsidR="0098410D" w:rsidRPr="00E67565" w:rsidRDefault="0098410D"/>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7E126B" w14:textId="2E626A74" w:rsidR="00182EBA" w:rsidRPr="004D0EC7" w:rsidRDefault="001754CE" w:rsidP="004D0EC7">
    <w:pPr>
      <w:pStyle w:val="JuHeader"/>
    </w:pPr>
    <w:r>
      <w:t xml:space="preserve">WYROK </w:t>
    </w:r>
    <w:r w:rsidR="00CA0241">
      <w:t xml:space="preserve">W SPRAWIE </w:t>
    </w:r>
    <w:r>
      <w:t>ZAKRZEWSKI PRZECIWKO POLSCE</w:t>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394224" w14:textId="2CD60E5C" w:rsidR="00182EBA" w:rsidRPr="00882CD5" w:rsidRDefault="001754CE" w:rsidP="007D3701">
    <w:pPr>
      <w:pStyle w:val="JuHeader"/>
    </w:pPr>
    <w:r>
      <w:t xml:space="preserve">WYROK </w:t>
    </w:r>
    <w:r w:rsidR="00CA0241">
      <w:t xml:space="preserve">W SPRAWIE </w:t>
    </w:r>
    <w:r>
      <w:t>ZAKRZEWSKI PRZECIWKO POLSCE</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670191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anumerowana"/>
      <w:lvlText w:val="%1."/>
      <w:lvlJc w:val="left"/>
      <w:pPr>
        <w:tabs>
          <w:tab w:val="num" w:pos="360"/>
        </w:tabs>
        <w:ind w:left="360" w:hanging="360"/>
      </w:pPr>
    </w:lvl>
  </w:abstractNum>
  <w:abstractNum w:abstractNumId="9" w15:restartNumberingAfterBreak="0">
    <w:nsid w:val="048F2261"/>
    <w:multiLevelType w:val="multilevel"/>
    <w:tmpl w:val="C8FE6436"/>
    <w:numStyleLink w:val="ECHRA1StyleList"/>
  </w:abstractNum>
  <w:abstractNum w:abstractNumId="10" w15:restartNumberingAfterBreak="0">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15:restartNumberingAfterBreak="0">
    <w:nsid w:val="1AA96CEA"/>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FFFFFF" w:themeColor="background1"/>
      </w:rPr>
    </w:lvl>
    <w:lvl w:ilvl="1">
      <w:start w:val="1"/>
      <w:numFmt w:val="bullet"/>
      <w:pStyle w:val="ECHRBullet2"/>
      <w:lvlText w:val=""/>
      <w:lvlJc w:val="left"/>
      <w:pPr>
        <w:tabs>
          <w:tab w:val="num" w:pos="1134"/>
        </w:tabs>
        <w:ind w:left="1135" w:hanging="284"/>
      </w:pPr>
      <w:rPr>
        <w:rFonts w:ascii="Wingdings" w:hAnsi="Wingdings" w:hint="default"/>
        <w:color w:val="FFFFFF"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FFFFFF"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15:restartNumberingAfterBreak="0">
    <w:nsid w:val="67FD1241"/>
    <w:multiLevelType w:val="hybridMultilevel"/>
    <w:tmpl w:val="F6D86CC2"/>
    <w:lvl w:ilvl="0" w:tplc="F8600756">
      <w:start w:val="1"/>
      <w:numFmt w:val="bullet"/>
      <w:pStyle w:val="Listapunktowana"/>
      <w:lvlText w:val=""/>
      <w:lvlJc w:val="left"/>
      <w:pPr>
        <w:tabs>
          <w:tab w:val="num" w:pos="851"/>
        </w:tabs>
        <w:ind w:left="568" w:firstLine="0"/>
      </w:pPr>
      <w:rPr>
        <w:rFonts w:ascii="Wingdings" w:hAnsi="Wingdings" w:hint="default"/>
        <w:color w:val="808080"/>
        <w:sz w:val="16"/>
      </w:rPr>
    </w:lvl>
    <w:lvl w:ilvl="1" w:tplc="B77A5BA6" w:tentative="1">
      <w:start w:val="1"/>
      <w:numFmt w:val="bullet"/>
      <w:lvlText w:val="o"/>
      <w:lvlJc w:val="left"/>
      <w:pPr>
        <w:tabs>
          <w:tab w:val="num" w:pos="1724"/>
        </w:tabs>
        <w:ind w:left="1724" w:hanging="360"/>
      </w:pPr>
      <w:rPr>
        <w:rFonts w:ascii="Courier New" w:hAnsi="Courier New" w:cs="Courier New" w:hint="default"/>
      </w:rPr>
    </w:lvl>
    <w:lvl w:ilvl="2" w:tplc="80BE7B62" w:tentative="1">
      <w:start w:val="1"/>
      <w:numFmt w:val="bullet"/>
      <w:lvlText w:val=""/>
      <w:lvlJc w:val="left"/>
      <w:pPr>
        <w:tabs>
          <w:tab w:val="num" w:pos="2444"/>
        </w:tabs>
        <w:ind w:left="2444" w:hanging="360"/>
      </w:pPr>
      <w:rPr>
        <w:rFonts w:ascii="Wingdings" w:hAnsi="Wingdings" w:hint="default"/>
      </w:rPr>
    </w:lvl>
    <w:lvl w:ilvl="3" w:tplc="D102B802" w:tentative="1">
      <w:start w:val="1"/>
      <w:numFmt w:val="bullet"/>
      <w:lvlText w:val=""/>
      <w:lvlJc w:val="left"/>
      <w:pPr>
        <w:tabs>
          <w:tab w:val="num" w:pos="3164"/>
        </w:tabs>
        <w:ind w:left="3164" w:hanging="360"/>
      </w:pPr>
      <w:rPr>
        <w:rFonts w:ascii="Symbol" w:hAnsi="Symbol" w:hint="default"/>
      </w:rPr>
    </w:lvl>
    <w:lvl w:ilvl="4" w:tplc="BD1E9BD4" w:tentative="1">
      <w:start w:val="1"/>
      <w:numFmt w:val="bullet"/>
      <w:lvlText w:val="o"/>
      <w:lvlJc w:val="left"/>
      <w:pPr>
        <w:tabs>
          <w:tab w:val="num" w:pos="3884"/>
        </w:tabs>
        <w:ind w:left="3884" w:hanging="360"/>
      </w:pPr>
      <w:rPr>
        <w:rFonts w:ascii="Courier New" w:hAnsi="Courier New" w:cs="Courier New" w:hint="default"/>
      </w:rPr>
    </w:lvl>
    <w:lvl w:ilvl="5" w:tplc="BB426282" w:tentative="1">
      <w:start w:val="1"/>
      <w:numFmt w:val="bullet"/>
      <w:lvlText w:val=""/>
      <w:lvlJc w:val="left"/>
      <w:pPr>
        <w:tabs>
          <w:tab w:val="num" w:pos="4604"/>
        </w:tabs>
        <w:ind w:left="4604" w:hanging="360"/>
      </w:pPr>
      <w:rPr>
        <w:rFonts w:ascii="Wingdings" w:hAnsi="Wingdings" w:hint="default"/>
      </w:rPr>
    </w:lvl>
    <w:lvl w:ilvl="6" w:tplc="70AE2D6A" w:tentative="1">
      <w:start w:val="1"/>
      <w:numFmt w:val="bullet"/>
      <w:lvlText w:val=""/>
      <w:lvlJc w:val="left"/>
      <w:pPr>
        <w:tabs>
          <w:tab w:val="num" w:pos="5324"/>
        </w:tabs>
        <w:ind w:left="5324" w:hanging="360"/>
      </w:pPr>
      <w:rPr>
        <w:rFonts w:ascii="Symbol" w:hAnsi="Symbol" w:hint="default"/>
      </w:rPr>
    </w:lvl>
    <w:lvl w:ilvl="7" w:tplc="BB08C532" w:tentative="1">
      <w:start w:val="1"/>
      <w:numFmt w:val="bullet"/>
      <w:lvlText w:val="o"/>
      <w:lvlJc w:val="left"/>
      <w:pPr>
        <w:tabs>
          <w:tab w:val="num" w:pos="6044"/>
        </w:tabs>
        <w:ind w:left="6044" w:hanging="360"/>
      </w:pPr>
      <w:rPr>
        <w:rFonts w:ascii="Courier New" w:hAnsi="Courier New" w:cs="Courier New" w:hint="default"/>
      </w:rPr>
    </w:lvl>
    <w:lvl w:ilvl="8" w:tplc="B888D9B4" w:tentative="1">
      <w:start w:val="1"/>
      <w:numFmt w:val="bullet"/>
      <w:lvlText w:val=""/>
      <w:lvlJc w:val="left"/>
      <w:pPr>
        <w:tabs>
          <w:tab w:val="num" w:pos="6764"/>
        </w:tabs>
        <w:ind w:left="6764" w:hanging="360"/>
      </w:pPr>
      <w:rPr>
        <w:rFonts w:ascii="Wingdings" w:hAnsi="Wingdings" w:hint="default"/>
      </w:rPr>
    </w:lvl>
  </w:abstractNum>
  <w:abstractNum w:abstractNumId="18" w15:restartNumberingAfterBreak="0">
    <w:nsid w:val="7D35409C"/>
    <w:multiLevelType w:val="multilevel"/>
    <w:tmpl w:val="EAA66700"/>
    <w:lvl w:ilvl="0">
      <w:start w:val="1"/>
      <w:numFmt w:val="none"/>
      <w:suff w:val="nothing"/>
      <w:lvlText w:val=""/>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num w:numId="1">
    <w:abstractNumId w:val="9"/>
    <w:lvlOverride w:ilvl="0">
      <w:lvl w:ilvl="0">
        <w:start w:val="1"/>
        <w:numFmt w:val="decimal"/>
        <w:pStyle w:val="JuList"/>
        <w:lvlText w:val="%1."/>
        <w:lvlJc w:val="left"/>
        <w:pPr>
          <w:tabs>
            <w:tab w:val="num" w:pos="340"/>
          </w:tabs>
          <w:ind w:left="340" w:hanging="340"/>
        </w:pPr>
        <w:rPr>
          <w:rFonts w:hint="default"/>
        </w:rPr>
      </w:lvl>
    </w:lvlOverride>
    <w:lvlOverride w:ilvl="1">
      <w:lvl w:ilvl="1">
        <w:start w:val="1"/>
        <w:numFmt w:val="lowerLetter"/>
        <w:pStyle w:val="JuLista"/>
        <w:lvlText w:val="(%2)"/>
        <w:lvlJc w:val="left"/>
        <w:pPr>
          <w:tabs>
            <w:tab w:val="num" w:pos="680"/>
          </w:tabs>
          <w:ind w:left="680" w:hanging="340"/>
        </w:pPr>
        <w:rPr>
          <w:rFonts w:hint="default"/>
        </w:rPr>
      </w:lvl>
    </w:lvlOverride>
    <w:lvlOverride w:ilvl="2">
      <w:lvl w:ilvl="2">
        <w:start w:val="1"/>
        <w:numFmt w:val="lowerRoman"/>
        <w:pStyle w:val="JuListi"/>
        <w:suff w:val="space"/>
        <w:lvlText w:val="(%3)"/>
        <w:lvlJc w:val="left"/>
        <w:pPr>
          <w:ind w:left="1021" w:hanging="341"/>
        </w:pPr>
        <w:rPr>
          <w:rFonts w:hint="default"/>
        </w:rPr>
      </w:lvl>
    </w:lvlOverride>
    <w:lvlOverride w:ilvl="3">
      <w:lvl w:ilvl="3">
        <w:start w:val="1"/>
        <w:numFmt w:val="decimal"/>
        <w:lvlText w:val="(%4)"/>
        <w:lvlJc w:val="left"/>
        <w:pPr>
          <w:ind w:left="1440" w:hanging="360"/>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2">
    <w:abstractNumId w:val="18"/>
  </w:num>
  <w:num w:numId="3">
    <w:abstractNumId w:val="14"/>
  </w:num>
  <w:num w:numId="4">
    <w:abstractNumId w:val="12"/>
  </w:num>
  <w:num w:numId="5">
    <w:abstractNumId w:val="11"/>
  </w:num>
  <w:num w:numId="6">
    <w:abstractNumId w:val="17"/>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5"/>
  </w:num>
  <w:num w:numId="17">
    <w:abstractNumId w:val="13"/>
  </w:num>
  <w:num w:numId="18">
    <w:abstractNumId w:val="16"/>
  </w:num>
  <w:num w:numId="19">
    <w:abstractNumId w:val="15"/>
  </w:num>
  <w:num w:numId="20">
    <w:abstractNumId w:val="16"/>
  </w:num>
  <w:num w:numId="21">
    <w:abstractNumId w:val="10"/>
  </w:num>
  <w:num w:numId="22">
    <w:abstractNumId w:val="9"/>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proofState w:spelling="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pplicationsApp" w:val="1"/>
    <w:docVar w:name="EMM" w:val="0"/>
    <w:docVar w:name="LW_DocType" w:val="NORMAL"/>
    <w:docVar w:name="NBEMMDOC" w:val="0"/>
    <w:docVar w:name="Plural" w:val="0"/>
  </w:docVars>
  <w:rsids>
    <w:rsidRoot w:val="004E2A87"/>
    <w:rsid w:val="000041F8"/>
    <w:rsid w:val="000042A8"/>
    <w:rsid w:val="00004308"/>
    <w:rsid w:val="00004848"/>
    <w:rsid w:val="00005BF0"/>
    <w:rsid w:val="0000617D"/>
    <w:rsid w:val="00007154"/>
    <w:rsid w:val="000103AE"/>
    <w:rsid w:val="00011D69"/>
    <w:rsid w:val="00012AD3"/>
    <w:rsid w:val="00015C2D"/>
    <w:rsid w:val="00015F00"/>
    <w:rsid w:val="0001768D"/>
    <w:rsid w:val="00022C1D"/>
    <w:rsid w:val="0002592F"/>
    <w:rsid w:val="00031428"/>
    <w:rsid w:val="00034987"/>
    <w:rsid w:val="00041560"/>
    <w:rsid w:val="000602DF"/>
    <w:rsid w:val="00061B05"/>
    <w:rsid w:val="000632D5"/>
    <w:rsid w:val="000644EE"/>
    <w:rsid w:val="00070A04"/>
    <w:rsid w:val="000712E3"/>
    <w:rsid w:val="00077388"/>
    <w:rsid w:val="0007780A"/>
    <w:rsid w:val="00085457"/>
    <w:rsid w:val="00086D7A"/>
    <w:rsid w:val="0008779A"/>
    <w:rsid w:val="000925AD"/>
    <w:rsid w:val="00096FE1"/>
    <w:rsid w:val="00097A62"/>
    <w:rsid w:val="000A24EB"/>
    <w:rsid w:val="000B686A"/>
    <w:rsid w:val="000B6923"/>
    <w:rsid w:val="000B7195"/>
    <w:rsid w:val="000C2A92"/>
    <w:rsid w:val="000C5F3C"/>
    <w:rsid w:val="000C6DCC"/>
    <w:rsid w:val="000D47AA"/>
    <w:rsid w:val="000D721F"/>
    <w:rsid w:val="000E069B"/>
    <w:rsid w:val="000E0E82"/>
    <w:rsid w:val="000E1DC5"/>
    <w:rsid w:val="000E223F"/>
    <w:rsid w:val="000E46B8"/>
    <w:rsid w:val="000E7D45"/>
    <w:rsid w:val="000F52F4"/>
    <w:rsid w:val="000F7851"/>
    <w:rsid w:val="00101505"/>
    <w:rsid w:val="00104E23"/>
    <w:rsid w:val="00110DA8"/>
    <w:rsid w:val="001115A0"/>
    <w:rsid w:val="00111B0C"/>
    <w:rsid w:val="00120D6C"/>
    <w:rsid w:val="00124469"/>
    <w:rsid w:val="001257EC"/>
    <w:rsid w:val="00133D33"/>
    <w:rsid w:val="00134B6A"/>
    <w:rsid w:val="00134D64"/>
    <w:rsid w:val="00135A30"/>
    <w:rsid w:val="0013612C"/>
    <w:rsid w:val="00137FF6"/>
    <w:rsid w:val="00141650"/>
    <w:rsid w:val="00150BFA"/>
    <w:rsid w:val="00151032"/>
    <w:rsid w:val="001561B6"/>
    <w:rsid w:val="00162A12"/>
    <w:rsid w:val="00166530"/>
    <w:rsid w:val="00170027"/>
    <w:rsid w:val="00170992"/>
    <w:rsid w:val="001754CE"/>
    <w:rsid w:val="00182EBA"/>
    <w:rsid w:val="001832BD"/>
    <w:rsid w:val="00192C73"/>
    <w:rsid w:val="001943B5"/>
    <w:rsid w:val="00195134"/>
    <w:rsid w:val="001A020C"/>
    <w:rsid w:val="001A145B"/>
    <w:rsid w:val="001A3E09"/>
    <w:rsid w:val="001A674C"/>
    <w:rsid w:val="001B3B24"/>
    <w:rsid w:val="001B7859"/>
    <w:rsid w:val="001C055B"/>
    <w:rsid w:val="001C0F98"/>
    <w:rsid w:val="001C2A42"/>
    <w:rsid w:val="001D63ED"/>
    <w:rsid w:val="001D7348"/>
    <w:rsid w:val="001E035B"/>
    <w:rsid w:val="001E0961"/>
    <w:rsid w:val="001E3EAE"/>
    <w:rsid w:val="001E6857"/>
    <w:rsid w:val="001E6F32"/>
    <w:rsid w:val="001F2145"/>
    <w:rsid w:val="001F6262"/>
    <w:rsid w:val="001F67B0"/>
    <w:rsid w:val="001F7B3D"/>
    <w:rsid w:val="00202752"/>
    <w:rsid w:val="0020335A"/>
    <w:rsid w:val="002052BC"/>
    <w:rsid w:val="00205F9F"/>
    <w:rsid w:val="0020718E"/>
    <w:rsid w:val="00210338"/>
    <w:rsid w:val="002115FC"/>
    <w:rsid w:val="0021423C"/>
    <w:rsid w:val="00226C89"/>
    <w:rsid w:val="00230D00"/>
    <w:rsid w:val="00231DF7"/>
    <w:rsid w:val="00231FD1"/>
    <w:rsid w:val="002339E0"/>
    <w:rsid w:val="00233CF8"/>
    <w:rsid w:val="0023575D"/>
    <w:rsid w:val="00237148"/>
    <w:rsid w:val="0024222D"/>
    <w:rsid w:val="002422B6"/>
    <w:rsid w:val="00244B0E"/>
    <w:rsid w:val="00244F6C"/>
    <w:rsid w:val="00246B89"/>
    <w:rsid w:val="002511D6"/>
    <w:rsid w:val="00252C4E"/>
    <w:rsid w:val="002532C5"/>
    <w:rsid w:val="002538A2"/>
    <w:rsid w:val="00254DF2"/>
    <w:rsid w:val="00260C03"/>
    <w:rsid w:val="0026439A"/>
    <w:rsid w:val="0026540E"/>
    <w:rsid w:val="00275123"/>
    <w:rsid w:val="00281B7C"/>
    <w:rsid w:val="00282240"/>
    <w:rsid w:val="00282BD8"/>
    <w:rsid w:val="00287AD5"/>
    <w:rsid w:val="002934D0"/>
    <w:rsid w:val="00293676"/>
    <w:rsid w:val="00293BD9"/>
    <w:rsid w:val="002948AD"/>
    <w:rsid w:val="002A01CC"/>
    <w:rsid w:val="002A613A"/>
    <w:rsid w:val="002A61B1"/>
    <w:rsid w:val="002A663C"/>
    <w:rsid w:val="002B444B"/>
    <w:rsid w:val="002B5887"/>
    <w:rsid w:val="002B5B43"/>
    <w:rsid w:val="002C0E27"/>
    <w:rsid w:val="002C3040"/>
    <w:rsid w:val="002C4433"/>
    <w:rsid w:val="002C5ADD"/>
    <w:rsid w:val="002C7826"/>
    <w:rsid w:val="002D022D"/>
    <w:rsid w:val="002D24BB"/>
    <w:rsid w:val="002D2FA7"/>
    <w:rsid w:val="002D47BA"/>
    <w:rsid w:val="002D77B9"/>
    <w:rsid w:val="002E0824"/>
    <w:rsid w:val="002E46DA"/>
    <w:rsid w:val="002E7764"/>
    <w:rsid w:val="002E7E83"/>
    <w:rsid w:val="002F2AF7"/>
    <w:rsid w:val="002F69C4"/>
    <w:rsid w:val="002F7D9E"/>
    <w:rsid w:val="002F7E1C"/>
    <w:rsid w:val="00301A75"/>
    <w:rsid w:val="00302F70"/>
    <w:rsid w:val="0030336F"/>
    <w:rsid w:val="0030375E"/>
    <w:rsid w:val="00312A30"/>
    <w:rsid w:val="003201D8"/>
    <w:rsid w:val="00320F72"/>
    <w:rsid w:val="0032463E"/>
    <w:rsid w:val="00326224"/>
    <w:rsid w:val="00334D2C"/>
    <w:rsid w:val="00337EE4"/>
    <w:rsid w:val="00340FFD"/>
    <w:rsid w:val="00345C41"/>
    <w:rsid w:val="003506B1"/>
    <w:rsid w:val="00352690"/>
    <w:rsid w:val="00355877"/>
    <w:rsid w:val="00356AC7"/>
    <w:rsid w:val="003609FA"/>
    <w:rsid w:val="003710C8"/>
    <w:rsid w:val="003750BE"/>
    <w:rsid w:val="00376E40"/>
    <w:rsid w:val="00385A36"/>
    <w:rsid w:val="00385F3D"/>
    <w:rsid w:val="0038740C"/>
    <w:rsid w:val="00387B9D"/>
    <w:rsid w:val="00387C70"/>
    <w:rsid w:val="00390294"/>
    <w:rsid w:val="0039364F"/>
    <w:rsid w:val="00396686"/>
    <w:rsid w:val="0039778E"/>
    <w:rsid w:val="003A7CF6"/>
    <w:rsid w:val="003B4941"/>
    <w:rsid w:val="003C5714"/>
    <w:rsid w:val="003C698C"/>
    <w:rsid w:val="003C6B9F"/>
    <w:rsid w:val="003C6E2A"/>
    <w:rsid w:val="003D0299"/>
    <w:rsid w:val="003D48BA"/>
    <w:rsid w:val="003E6D80"/>
    <w:rsid w:val="003E7BCC"/>
    <w:rsid w:val="003F05FA"/>
    <w:rsid w:val="003F244A"/>
    <w:rsid w:val="003F2517"/>
    <w:rsid w:val="003F30B8"/>
    <w:rsid w:val="003F4C45"/>
    <w:rsid w:val="003F5F7B"/>
    <w:rsid w:val="003F7D64"/>
    <w:rsid w:val="0040433A"/>
    <w:rsid w:val="00405F69"/>
    <w:rsid w:val="00414300"/>
    <w:rsid w:val="00414F27"/>
    <w:rsid w:val="00420703"/>
    <w:rsid w:val="00425A94"/>
    <w:rsid w:val="00425C67"/>
    <w:rsid w:val="00427E7A"/>
    <w:rsid w:val="0043088B"/>
    <w:rsid w:val="004355AC"/>
    <w:rsid w:val="00436C49"/>
    <w:rsid w:val="00443D98"/>
    <w:rsid w:val="00445366"/>
    <w:rsid w:val="00447F5B"/>
    <w:rsid w:val="00461DB0"/>
    <w:rsid w:val="00463926"/>
    <w:rsid w:val="00464AB7"/>
    <w:rsid w:val="00464C9A"/>
    <w:rsid w:val="00466657"/>
    <w:rsid w:val="00474F3D"/>
    <w:rsid w:val="00477E3A"/>
    <w:rsid w:val="00482589"/>
    <w:rsid w:val="00483E5F"/>
    <w:rsid w:val="00485FF9"/>
    <w:rsid w:val="00487C23"/>
    <w:rsid w:val="0049049B"/>
    <w:rsid w:val="004907F0"/>
    <w:rsid w:val="0049140B"/>
    <w:rsid w:val="004923A5"/>
    <w:rsid w:val="0049310E"/>
    <w:rsid w:val="004950E2"/>
    <w:rsid w:val="00496BFB"/>
    <w:rsid w:val="004A15C7"/>
    <w:rsid w:val="004A3201"/>
    <w:rsid w:val="004A39B1"/>
    <w:rsid w:val="004A7044"/>
    <w:rsid w:val="004B013B"/>
    <w:rsid w:val="004B112B"/>
    <w:rsid w:val="004B444E"/>
    <w:rsid w:val="004B574F"/>
    <w:rsid w:val="004C01E4"/>
    <w:rsid w:val="004C086C"/>
    <w:rsid w:val="004C0F6C"/>
    <w:rsid w:val="004C1F56"/>
    <w:rsid w:val="004C27BC"/>
    <w:rsid w:val="004C6621"/>
    <w:rsid w:val="004D0EC7"/>
    <w:rsid w:val="004D15F3"/>
    <w:rsid w:val="004D1A69"/>
    <w:rsid w:val="004D3B3D"/>
    <w:rsid w:val="004D3D16"/>
    <w:rsid w:val="004D4EF1"/>
    <w:rsid w:val="004D5311"/>
    <w:rsid w:val="004D5DCC"/>
    <w:rsid w:val="004D7E45"/>
    <w:rsid w:val="004E2A87"/>
    <w:rsid w:val="004F10AF"/>
    <w:rsid w:val="004F11A4"/>
    <w:rsid w:val="004F2389"/>
    <w:rsid w:val="004F304D"/>
    <w:rsid w:val="004F4290"/>
    <w:rsid w:val="004F4F72"/>
    <w:rsid w:val="004F61BE"/>
    <w:rsid w:val="004F66B1"/>
    <w:rsid w:val="00505F69"/>
    <w:rsid w:val="00511C07"/>
    <w:rsid w:val="005125CB"/>
    <w:rsid w:val="00512EC4"/>
    <w:rsid w:val="005157EC"/>
    <w:rsid w:val="0051725A"/>
    <w:rsid w:val="005173A6"/>
    <w:rsid w:val="00517BB8"/>
    <w:rsid w:val="00520354"/>
    <w:rsid w:val="005209BB"/>
    <w:rsid w:val="00520BAA"/>
    <w:rsid w:val="005211BC"/>
    <w:rsid w:val="005217D8"/>
    <w:rsid w:val="00524FE2"/>
    <w:rsid w:val="00525208"/>
    <w:rsid w:val="005257A5"/>
    <w:rsid w:val="005264C0"/>
    <w:rsid w:val="00526A8A"/>
    <w:rsid w:val="00527FB1"/>
    <w:rsid w:val="00530FE6"/>
    <w:rsid w:val="00531DF2"/>
    <w:rsid w:val="0053315C"/>
    <w:rsid w:val="00537476"/>
    <w:rsid w:val="005442EE"/>
    <w:rsid w:val="00545DA6"/>
    <w:rsid w:val="0054716E"/>
    <w:rsid w:val="00547353"/>
    <w:rsid w:val="005474E7"/>
    <w:rsid w:val="005512A3"/>
    <w:rsid w:val="005578CE"/>
    <w:rsid w:val="00561944"/>
    <w:rsid w:val="00562781"/>
    <w:rsid w:val="00562B6C"/>
    <w:rsid w:val="0057271C"/>
    <w:rsid w:val="00572845"/>
    <w:rsid w:val="005879A2"/>
    <w:rsid w:val="00592772"/>
    <w:rsid w:val="0059574A"/>
    <w:rsid w:val="005A1B9B"/>
    <w:rsid w:val="005A2221"/>
    <w:rsid w:val="005A2E79"/>
    <w:rsid w:val="005A6751"/>
    <w:rsid w:val="005B092E"/>
    <w:rsid w:val="005B152C"/>
    <w:rsid w:val="005B1EE0"/>
    <w:rsid w:val="005B2B24"/>
    <w:rsid w:val="005B4425"/>
    <w:rsid w:val="005B4B94"/>
    <w:rsid w:val="005C2C62"/>
    <w:rsid w:val="005C3EE8"/>
    <w:rsid w:val="005D2F2A"/>
    <w:rsid w:val="005D34F9"/>
    <w:rsid w:val="005D4190"/>
    <w:rsid w:val="005D67A3"/>
    <w:rsid w:val="005E2988"/>
    <w:rsid w:val="005E3085"/>
    <w:rsid w:val="005F0EB3"/>
    <w:rsid w:val="005F27F7"/>
    <w:rsid w:val="005F51E1"/>
    <w:rsid w:val="00611C80"/>
    <w:rsid w:val="00620692"/>
    <w:rsid w:val="006242CA"/>
    <w:rsid w:val="00627507"/>
    <w:rsid w:val="00633717"/>
    <w:rsid w:val="006344E1"/>
    <w:rsid w:val="00643524"/>
    <w:rsid w:val="0064393B"/>
    <w:rsid w:val="00645CF2"/>
    <w:rsid w:val="006545C4"/>
    <w:rsid w:val="00661971"/>
    <w:rsid w:val="00661CE8"/>
    <w:rsid w:val="006623D9"/>
    <w:rsid w:val="006642A5"/>
    <w:rsid w:val="0066550C"/>
    <w:rsid w:val="00665BD2"/>
    <w:rsid w:val="006716F2"/>
    <w:rsid w:val="00675AF2"/>
    <w:rsid w:val="0068091C"/>
    <w:rsid w:val="00682BF2"/>
    <w:rsid w:val="00682FC3"/>
    <w:rsid w:val="0068573E"/>
    <w:rsid w:val="006859CE"/>
    <w:rsid w:val="00690DA0"/>
    <w:rsid w:val="00691270"/>
    <w:rsid w:val="00694BA8"/>
    <w:rsid w:val="006A037C"/>
    <w:rsid w:val="006A0C84"/>
    <w:rsid w:val="006A36F4"/>
    <w:rsid w:val="006A406F"/>
    <w:rsid w:val="006A4E97"/>
    <w:rsid w:val="006A5D3A"/>
    <w:rsid w:val="006B1942"/>
    <w:rsid w:val="006B5C6B"/>
    <w:rsid w:val="006C23D4"/>
    <w:rsid w:val="006C7BB0"/>
    <w:rsid w:val="006D3237"/>
    <w:rsid w:val="006E2E37"/>
    <w:rsid w:val="006E3CF1"/>
    <w:rsid w:val="006E68A3"/>
    <w:rsid w:val="006E7E80"/>
    <w:rsid w:val="006F1C2D"/>
    <w:rsid w:val="006F48CA"/>
    <w:rsid w:val="006F64DD"/>
    <w:rsid w:val="006F712D"/>
    <w:rsid w:val="00702B77"/>
    <w:rsid w:val="00705AAE"/>
    <w:rsid w:val="00706C01"/>
    <w:rsid w:val="00715127"/>
    <w:rsid w:val="00715E8E"/>
    <w:rsid w:val="00723580"/>
    <w:rsid w:val="00723755"/>
    <w:rsid w:val="0073136C"/>
    <w:rsid w:val="00731F0F"/>
    <w:rsid w:val="00733250"/>
    <w:rsid w:val="00735999"/>
    <w:rsid w:val="00741404"/>
    <w:rsid w:val="007449E5"/>
    <w:rsid w:val="0074750E"/>
    <w:rsid w:val="00747FF0"/>
    <w:rsid w:val="00751066"/>
    <w:rsid w:val="0075566E"/>
    <w:rsid w:val="00763602"/>
    <w:rsid w:val="00764D4E"/>
    <w:rsid w:val="00765A1F"/>
    <w:rsid w:val="00773941"/>
    <w:rsid w:val="00775B6D"/>
    <w:rsid w:val="00776D68"/>
    <w:rsid w:val="00781140"/>
    <w:rsid w:val="0078323E"/>
    <w:rsid w:val="007849C2"/>
    <w:rsid w:val="007850EE"/>
    <w:rsid w:val="00785B95"/>
    <w:rsid w:val="00790E96"/>
    <w:rsid w:val="007926FD"/>
    <w:rsid w:val="00792957"/>
    <w:rsid w:val="00793366"/>
    <w:rsid w:val="0079666C"/>
    <w:rsid w:val="007A58A2"/>
    <w:rsid w:val="007A716F"/>
    <w:rsid w:val="007B068B"/>
    <w:rsid w:val="007B270A"/>
    <w:rsid w:val="007B4182"/>
    <w:rsid w:val="007C0695"/>
    <w:rsid w:val="007C2B44"/>
    <w:rsid w:val="007C419A"/>
    <w:rsid w:val="007C4CC8"/>
    <w:rsid w:val="007C5426"/>
    <w:rsid w:val="007C5798"/>
    <w:rsid w:val="007D1ECD"/>
    <w:rsid w:val="007D3701"/>
    <w:rsid w:val="007D4832"/>
    <w:rsid w:val="007E21B2"/>
    <w:rsid w:val="007E2C4E"/>
    <w:rsid w:val="007E2C8C"/>
    <w:rsid w:val="007E51BA"/>
    <w:rsid w:val="007E73D7"/>
    <w:rsid w:val="007E79A4"/>
    <w:rsid w:val="007F1905"/>
    <w:rsid w:val="007F27E4"/>
    <w:rsid w:val="007F3437"/>
    <w:rsid w:val="00802C64"/>
    <w:rsid w:val="00805E52"/>
    <w:rsid w:val="008061D0"/>
    <w:rsid w:val="00810B38"/>
    <w:rsid w:val="008204C7"/>
    <w:rsid w:val="00820992"/>
    <w:rsid w:val="00823602"/>
    <w:rsid w:val="008255F5"/>
    <w:rsid w:val="00826890"/>
    <w:rsid w:val="0083014E"/>
    <w:rsid w:val="0083214A"/>
    <w:rsid w:val="00834220"/>
    <w:rsid w:val="00845723"/>
    <w:rsid w:val="008519E7"/>
    <w:rsid w:val="00851EF9"/>
    <w:rsid w:val="008577FD"/>
    <w:rsid w:val="00860B03"/>
    <w:rsid w:val="0086497A"/>
    <w:rsid w:val="0086538E"/>
    <w:rsid w:val="008658A0"/>
    <w:rsid w:val="00867066"/>
    <w:rsid w:val="008713A1"/>
    <w:rsid w:val="00872584"/>
    <w:rsid w:val="008754AB"/>
    <w:rsid w:val="0088060C"/>
    <w:rsid w:val="00882CD5"/>
    <w:rsid w:val="00883151"/>
    <w:rsid w:val="0088516C"/>
    <w:rsid w:val="008908BC"/>
    <w:rsid w:val="00893576"/>
    <w:rsid w:val="00893E73"/>
    <w:rsid w:val="008A4D3C"/>
    <w:rsid w:val="008B02DC"/>
    <w:rsid w:val="008B092C"/>
    <w:rsid w:val="008B57CE"/>
    <w:rsid w:val="008C26DE"/>
    <w:rsid w:val="008D159F"/>
    <w:rsid w:val="008D1668"/>
    <w:rsid w:val="008D2225"/>
    <w:rsid w:val="008D4752"/>
    <w:rsid w:val="008D5A13"/>
    <w:rsid w:val="008D6719"/>
    <w:rsid w:val="008E271C"/>
    <w:rsid w:val="008E3A08"/>
    <w:rsid w:val="008E418E"/>
    <w:rsid w:val="008E5BC6"/>
    <w:rsid w:val="008E6217"/>
    <w:rsid w:val="008E6A25"/>
    <w:rsid w:val="008F0945"/>
    <w:rsid w:val="008F2465"/>
    <w:rsid w:val="008F2554"/>
    <w:rsid w:val="008F3AEC"/>
    <w:rsid w:val="008F4D80"/>
    <w:rsid w:val="008F5193"/>
    <w:rsid w:val="008F6B36"/>
    <w:rsid w:val="009013A7"/>
    <w:rsid w:val="009017FB"/>
    <w:rsid w:val="009017FC"/>
    <w:rsid w:val="0090506B"/>
    <w:rsid w:val="009050C9"/>
    <w:rsid w:val="009066FC"/>
    <w:rsid w:val="009140A3"/>
    <w:rsid w:val="009144A2"/>
    <w:rsid w:val="0091510C"/>
    <w:rsid w:val="009259AC"/>
    <w:rsid w:val="00926F38"/>
    <w:rsid w:val="00927BEB"/>
    <w:rsid w:val="009333DC"/>
    <w:rsid w:val="00934301"/>
    <w:rsid w:val="00936CD1"/>
    <w:rsid w:val="0094131C"/>
    <w:rsid w:val="00941747"/>
    <w:rsid w:val="00941EFB"/>
    <w:rsid w:val="00947AFB"/>
    <w:rsid w:val="00951AA3"/>
    <w:rsid w:val="00951D7D"/>
    <w:rsid w:val="00956D0C"/>
    <w:rsid w:val="009630C7"/>
    <w:rsid w:val="00972B55"/>
    <w:rsid w:val="009743B7"/>
    <w:rsid w:val="0098228B"/>
    <w:rsid w:val="009828DA"/>
    <w:rsid w:val="0098410D"/>
    <w:rsid w:val="00985BAB"/>
    <w:rsid w:val="00986B3C"/>
    <w:rsid w:val="009A115C"/>
    <w:rsid w:val="009A7FC1"/>
    <w:rsid w:val="009B1606"/>
    <w:rsid w:val="009B1B5F"/>
    <w:rsid w:val="009B6673"/>
    <w:rsid w:val="009C191B"/>
    <w:rsid w:val="009C2BD6"/>
    <w:rsid w:val="009D57AA"/>
    <w:rsid w:val="009E1F32"/>
    <w:rsid w:val="009E2CC2"/>
    <w:rsid w:val="009E47A2"/>
    <w:rsid w:val="009E58FB"/>
    <w:rsid w:val="009E776C"/>
    <w:rsid w:val="009E7A6F"/>
    <w:rsid w:val="009F4C8F"/>
    <w:rsid w:val="00A02972"/>
    <w:rsid w:val="00A05588"/>
    <w:rsid w:val="00A1460C"/>
    <w:rsid w:val="00A15601"/>
    <w:rsid w:val="00A1726E"/>
    <w:rsid w:val="00A204CF"/>
    <w:rsid w:val="00A21D2B"/>
    <w:rsid w:val="00A22745"/>
    <w:rsid w:val="00A23D49"/>
    <w:rsid w:val="00A27004"/>
    <w:rsid w:val="00A308CE"/>
    <w:rsid w:val="00A30C29"/>
    <w:rsid w:val="00A34DD6"/>
    <w:rsid w:val="00A35683"/>
    <w:rsid w:val="00A36819"/>
    <w:rsid w:val="00A36989"/>
    <w:rsid w:val="00A41D86"/>
    <w:rsid w:val="00A43628"/>
    <w:rsid w:val="00A45145"/>
    <w:rsid w:val="00A45E6B"/>
    <w:rsid w:val="00A51D0F"/>
    <w:rsid w:val="00A54192"/>
    <w:rsid w:val="00A57147"/>
    <w:rsid w:val="00A6035E"/>
    <w:rsid w:val="00A6144C"/>
    <w:rsid w:val="00A66617"/>
    <w:rsid w:val="00A671F8"/>
    <w:rsid w:val="00A673A4"/>
    <w:rsid w:val="00A717F4"/>
    <w:rsid w:val="00A724AE"/>
    <w:rsid w:val="00A73329"/>
    <w:rsid w:val="00A7424F"/>
    <w:rsid w:val="00A82359"/>
    <w:rsid w:val="00A865D2"/>
    <w:rsid w:val="00A87C10"/>
    <w:rsid w:val="00A90BCD"/>
    <w:rsid w:val="00A92625"/>
    <w:rsid w:val="00A94C20"/>
    <w:rsid w:val="00A95D81"/>
    <w:rsid w:val="00AA1B09"/>
    <w:rsid w:val="00AA227F"/>
    <w:rsid w:val="00AA3BC7"/>
    <w:rsid w:val="00AA754A"/>
    <w:rsid w:val="00AB099E"/>
    <w:rsid w:val="00AB4328"/>
    <w:rsid w:val="00AC38DE"/>
    <w:rsid w:val="00AC4CD4"/>
    <w:rsid w:val="00AE0A2E"/>
    <w:rsid w:val="00AE354C"/>
    <w:rsid w:val="00AF12C5"/>
    <w:rsid w:val="00AF385A"/>
    <w:rsid w:val="00AF4B07"/>
    <w:rsid w:val="00AF6186"/>
    <w:rsid w:val="00AF7A3A"/>
    <w:rsid w:val="00B02587"/>
    <w:rsid w:val="00B049D1"/>
    <w:rsid w:val="00B14793"/>
    <w:rsid w:val="00B153A0"/>
    <w:rsid w:val="00B160DB"/>
    <w:rsid w:val="00B20836"/>
    <w:rsid w:val="00B235BB"/>
    <w:rsid w:val="00B23AF7"/>
    <w:rsid w:val="00B27A44"/>
    <w:rsid w:val="00B30BBF"/>
    <w:rsid w:val="00B33C03"/>
    <w:rsid w:val="00B3421E"/>
    <w:rsid w:val="00B429A8"/>
    <w:rsid w:val="00B4421F"/>
    <w:rsid w:val="00B44E56"/>
    <w:rsid w:val="00B45917"/>
    <w:rsid w:val="00B46543"/>
    <w:rsid w:val="00B47D33"/>
    <w:rsid w:val="00B50A71"/>
    <w:rsid w:val="00B525A0"/>
    <w:rsid w:val="00B52BE0"/>
    <w:rsid w:val="00B54133"/>
    <w:rsid w:val="00B55A8D"/>
    <w:rsid w:val="00B67A95"/>
    <w:rsid w:val="00B701ED"/>
    <w:rsid w:val="00B748F7"/>
    <w:rsid w:val="00B8086C"/>
    <w:rsid w:val="00B81C58"/>
    <w:rsid w:val="00B861B4"/>
    <w:rsid w:val="00B86DFE"/>
    <w:rsid w:val="00B901C1"/>
    <w:rsid w:val="00B90990"/>
    <w:rsid w:val="00B91C3E"/>
    <w:rsid w:val="00B922FF"/>
    <w:rsid w:val="00B9281E"/>
    <w:rsid w:val="00B93925"/>
    <w:rsid w:val="00B95187"/>
    <w:rsid w:val="00BA2D55"/>
    <w:rsid w:val="00BA71B1"/>
    <w:rsid w:val="00BB0637"/>
    <w:rsid w:val="00BB345F"/>
    <w:rsid w:val="00BB68EA"/>
    <w:rsid w:val="00BC0B99"/>
    <w:rsid w:val="00BC1C27"/>
    <w:rsid w:val="00BC56A7"/>
    <w:rsid w:val="00BC6BBF"/>
    <w:rsid w:val="00BD1572"/>
    <w:rsid w:val="00BE14E3"/>
    <w:rsid w:val="00BE3774"/>
    <w:rsid w:val="00BE41E5"/>
    <w:rsid w:val="00BE4CE2"/>
    <w:rsid w:val="00BF094C"/>
    <w:rsid w:val="00BF118F"/>
    <w:rsid w:val="00BF4109"/>
    <w:rsid w:val="00BF4CC3"/>
    <w:rsid w:val="00C054C7"/>
    <w:rsid w:val="00C057B5"/>
    <w:rsid w:val="00C07D0E"/>
    <w:rsid w:val="00C115C3"/>
    <w:rsid w:val="00C15547"/>
    <w:rsid w:val="00C1672D"/>
    <w:rsid w:val="00C22687"/>
    <w:rsid w:val="00C237B6"/>
    <w:rsid w:val="00C26A92"/>
    <w:rsid w:val="00C26B1C"/>
    <w:rsid w:val="00C32E4D"/>
    <w:rsid w:val="00C333A0"/>
    <w:rsid w:val="00C36A81"/>
    <w:rsid w:val="00C41974"/>
    <w:rsid w:val="00C44A2C"/>
    <w:rsid w:val="00C44F09"/>
    <w:rsid w:val="00C45187"/>
    <w:rsid w:val="00C477F7"/>
    <w:rsid w:val="00C509A6"/>
    <w:rsid w:val="00C51502"/>
    <w:rsid w:val="00C53F4A"/>
    <w:rsid w:val="00C54125"/>
    <w:rsid w:val="00C55B54"/>
    <w:rsid w:val="00C6098E"/>
    <w:rsid w:val="00C6152C"/>
    <w:rsid w:val="00C70DED"/>
    <w:rsid w:val="00C71424"/>
    <w:rsid w:val="00C74810"/>
    <w:rsid w:val="00C76472"/>
    <w:rsid w:val="00C76540"/>
    <w:rsid w:val="00C90D68"/>
    <w:rsid w:val="00C939FE"/>
    <w:rsid w:val="00CA0241"/>
    <w:rsid w:val="00CA4BDA"/>
    <w:rsid w:val="00CB13E3"/>
    <w:rsid w:val="00CB1F66"/>
    <w:rsid w:val="00CB232C"/>
    <w:rsid w:val="00CB2951"/>
    <w:rsid w:val="00CB4277"/>
    <w:rsid w:val="00CC5067"/>
    <w:rsid w:val="00CC6CF2"/>
    <w:rsid w:val="00CD11D3"/>
    <w:rsid w:val="00CD282B"/>
    <w:rsid w:val="00CD447B"/>
    <w:rsid w:val="00CD4C35"/>
    <w:rsid w:val="00CD7369"/>
    <w:rsid w:val="00CE0B0E"/>
    <w:rsid w:val="00CE3831"/>
    <w:rsid w:val="00CF2397"/>
    <w:rsid w:val="00D00ABB"/>
    <w:rsid w:val="00D02EEC"/>
    <w:rsid w:val="00D03551"/>
    <w:rsid w:val="00D04315"/>
    <w:rsid w:val="00D06A63"/>
    <w:rsid w:val="00D07E0E"/>
    <w:rsid w:val="00D10CD6"/>
    <w:rsid w:val="00D11478"/>
    <w:rsid w:val="00D15ED0"/>
    <w:rsid w:val="00D164BF"/>
    <w:rsid w:val="00D21B3E"/>
    <w:rsid w:val="00D21FED"/>
    <w:rsid w:val="00D23048"/>
    <w:rsid w:val="00D24251"/>
    <w:rsid w:val="00D26E72"/>
    <w:rsid w:val="00D343E2"/>
    <w:rsid w:val="00D361A2"/>
    <w:rsid w:val="00D37272"/>
    <w:rsid w:val="00D44C2E"/>
    <w:rsid w:val="00D45414"/>
    <w:rsid w:val="00D50A0A"/>
    <w:rsid w:val="00D53548"/>
    <w:rsid w:val="00D5576B"/>
    <w:rsid w:val="00D566BD"/>
    <w:rsid w:val="00D57A4D"/>
    <w:rsid w:val="00D60AA7"/>
    <w:rsid w:val="00D633B1"/>
    <w:rsid w:val="00D6435F"/>
    <w:rsid w:val="00D66471"/>
    <w:rsid w:val="00D669D4"/>
    <w:rsid w:val="00D70641"/>
    <w:rsid w:val="00D74888"/>
    <w:rsid w:val="00D7488B"/>
    <w:rsid w:val="00D75E28"/>
    <w:rsid w:val="00D772C2"/>
    <w:rsid w:val="00D8008E"/>
    <w:rsid w:val="00D82C45"/>
    <w:rsid w:val="00D908A8"/>
    <w:rsid w:val="00D94B26"/>
    <w:rsid w:val="00D95142"/>
    <w:rsid w:val="00D9570C"/>
    <w:rsid w:val="00D977B6"/>
    <w:rsid w:val="00DA1223"/>
    <w:rsid w:val="00DA4A31"/>
    <w:rsid w:val="00DA7B04"/>
    <w:rsid w:val="00DB36C2"/>
    <w:rsid w:val="00DC00A8"/>
    <w:rsid w:val="00DC169B"/>
    <w:rsid w:val="00DC2AB9"/>
    <w:rsid w:val="00DC63F0"/>
    <w:rsid w:val="00DD37EA"/>
    <w:rsid w:val="00DD6EE5"/>
    <w:rsid w:val="00DE386C"/>
    <w:rsid w:val="00DE4D35"/>
    <w:rsid w:val="00DF098B"/>
    <w:rsid w:val="00DF0ADB"/>
    <w:rsid w:val="00DF11C4"/>
    <w:rsid w:val="00DF210C"/>
    <w:rsid w:val="00DF4B6A"/>
    <w:rsid w:val="00E004C0"/>
    <w:rsid w:val="00E02C09"/>
    <w:rsid w:val="00E04D59"/>
    <w:rsid w:val="00E07172"/>
    <w:rsid w:val="00E07DA1"/>
    <w:rsid w:val="00E123CB"/>
    <w:rsid w:val="00E13B09"/>
    <w:rsid w:val="00E20E13"/>
    <w:rsid w:val="00E21DBC"/>
    <w:rsid w:val="00E275D7"/>
    <w:rsid w:val="00E27DBE"/>
    <w:rsid w:val="00E322CF"/>
    <w:rsid w:val="00E32AB1"/>
    <w:rsid w:val="00E36C71"/>
    <w:rsid w:val="00E4020A"/>
    <w:rsid w:val="00E40404"/>
    <w:rsid w:val="00E4126A"/>
    <w:rsid w:val="00E42A06"/>
    <w:rsid w:val="00E459C6"/>
    <w:rsid w:val="00E47589"/>
    <w:rsid w:val="00E532FF"/>
    <w:rsid w:val="00E557AA"/>
    <w:rsid w:val="00E63EC7"/>
    <w:rsid w:val="00E64915"/>
    <w:rsid w:val="00E64D3A"/>
    <w:rsid w:val="00E661D4"/>
    <w:rsid w:val="00E67565"/>
    <w:rsid w:val="00E70091"/>
    <w:rsid w:val="00E70D2E"/>
    <w:rsid w:val="00E720F5"/>
    <w:rsid w:val="00E744E0"/>
    <w:rsid w:val="00E76D47"/>
    <w:rsid w:val="00E827BC"/>
    <w:rsid w:val="00E838A6"/>
    <w:rsid w:val="00E849F7"/>
    <w:rsid w:val="00E90302"/>
    <w:rsid w:val="00E91D05"/>
    <w:rsid w:val="00E9262D"/>
    <w:rsid w:val="00E93746"/>
    <w:rsid w:val="00E94245"/>
    <w:rsid w:val="00E94491"/>
    <w:rsid w:val="00E95C1E"/>
    <w:rsid w:val="00E97396"/>
    <w:rsid w:val="00EA185E"/>
    <w:rsid w:val="00EA592A"/>
    <w:rsid w:val="00EB14E4"/>
    <w:rsid w:val="00EB32A5"/>
    <w:rsid w:val="00EB34ED"/>
    <w:rsid w:val="00EB447C"/>
    <w:rsid w:val="00EB7BE0"/>
    <w:rsid w:val="00EC315E"/>
    <w:rsid w:val="00ED077C"/>
    <w:rsid w:val="00ED10A9"/>
    <w:rsid w:val="00ED1190"/>
    <w:rsid w:val="00ED34AC"/>
    <w:rsid w:val="00ED6544"/>
    <w:rsid w:val="00EE0277"/>
    <w:rsid w:val="00EE07E1"/>
    <w:rsid w:val="00EE2899"/>
    <w:rsid w:val="00EE3E00"/>
    <w:rsid w:val="00EE5DD2"/>
    <w:rsid w:val="00EF36C5"/>
    <w:rsid w:val="00EF3DB4"/>
    <w:rsid w:val="00F00A79"/>
    <w:rsid w:val="00F00D13"/>
    <w:rsid w:val="00F00E86"/>
    <w:rsid w:val="00F02988"/>
    <w:rsid w:val="00F07C1E"/>
    <w:rsid w:val="00F105DB"/>
    <w:rsid w:val="00F132BC"/>
    <w:rsid w:val="00F13D80"/>
    <w:rsid w:val="00F15B4D"/>
    <w:rsid w:val="00F16A7C"/>
    <w:rsid w:val="00F16AAA"/>
    <w:rsid w:val="00F1709C"/>
    <w:rsid w:val="00F21161"/>
    <w:rsid w:val="00F218EF"/>
    <w:rsid w:val="00F21BC7"/>
    <w:rsid w:val="00F266A2"/>
    <w:rsid w:val="00F30304"/>
    <w:rsid w:val="00F32269"/>
    <w:rsid w:val="00F33C25"/>
    <w:rsid w:val="00F35B7A"/>
    <w:rsid w:val="00F56A6F"/>
    <w:rsid w:val="00F5709C"/>
    <w:rsid w:val="00F60B85"/>
    <w:rsid w:val="00F64EF1"/>
    <w:rsid w:val="00F72498"/>
    <w:rsid w:val="00F72B14"/>
    <w:rsid w:val="00F7349B"/>
    <w:rsid w:val="00F81E45"/>
    <w:rsid w:val="00F8765F"/>
    <w:rsid w:val="00F90767"/>
    <w:rsid w:val="00F9263C"/>
    <w:rsid w:val="00FA1637"/>
    <w:rsid w:val="00FA3E18"/>
    <w:rsid w:val="00FA685B"/>
    <w:rsid w:val="00FB0C01"/>
    <w:rsid w:val="00FB2E2A"/>
    <w:rsid w:val="00FB5934"/>
    <w:rsid w:val="00FB61E0"/>
    <w:rsid w:val="00FC18F2"/>
    <w:rsid w:val="00FC2A17"/>
    <w:rsid w:val="00FC38CF"/>
    <w:rsid w:val="00FC39E5"/>
    <w:rsid w:val="00FC3A78"/>
    <w:rsid w:val="00FD1005"/>
    <w:rsid w:val="00FD1F7F"/>
    <w:rsid w:val="00FD6C75"/>
    <w:rsid w:val="00FD7972"/>
    <w:rsid w:val="00FE0401"/>
    <w:rsid w:val="00FE29AC"/>
    <w:rsid w:val="00FE71B3"/>
    <w:rsid w:val="00FF25FF"/>
    <w:rsid w:val="00FF42C5"/>
    <w:rsid w:val="00FF7FF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FDE51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docDefaults>
  <w:latentStyles w:defLockedState="0" w:defUIPriority="98"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semiHidden/>
    <w:rsid w:val="00A1460C"/>
    <w:rPr>
      <w:sz w:val="24"/>
      <w:szCs w:val="24"/>
    </w:rPr>
  </w:style>
  <w:style w:type="paragraph" w:styleId="Nagwek1">
    <w:name w:val="heading 1"/>
    <w:basedOn w:val="Normalny"/>
    <w:next w:val="Normalny"/>
    <w:link w:val="Nagwek1Znak"/>
    <w:uiPriority w:val="98"/>
    <w:semiHidden/>
    <w:rsid w:val="00A1460C"/>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8"/>
    <w:semiHidden/>
    <w:rsid w:val="00A1460C"/>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8"/>
    <w:semiHidden/>
    <w:rsid w:val="00A1460C"/>
    <w:pPr>
      <w:spacing w:before="200" w:line="271" w:lineRule="auto"/>
      <w:outlineLvl w:val="2"/>
    </w:pPr>
    <w:rPr>
      <w:rFonts w:asciiTheme="majorHAnsi" w:eastAsiaTheme="majorEastAsia" w:hAnsiTheme="majorHAnsi" w:cstheme="majorBidi"/>
      <w:b/>
      <w:bCs/>
      <w:color w:val="5F5F5F"/>
      <w:sz w:val="22"/>
      <w:szCs w:val="22"/>
    </w:rPr>
  </w:style>
  <w:style w:type="paragraph" w:styleId="Nagwek4">
    <w:name w:val="heading 4"/>
    <w:basedOn w:val="Normalny"/>
    <w:next w:val="Normalny"/>
    <w:link w:val="Nagwek4Znak"/>
    <w:uiPriority w:val="98"/>
    <w:semiHidden/>
    <w:rsid w:val="00A1460C"/>
    <w:pPr>
      <w:spacing w:before="200"/>
      <w:outlineLvl w:val="3"/>
    </w:pPr>
    <w:rPr>
      <w:rFonts w:asciiTheme="majorHAnsi" w:eastAsiaTheme="majorEastAsia" w:hAnsiTheme="majorHAnsi" w:cstheme="majorBidi"/>
      <w:b/>
      <w:bCs/>
      <w:i/>
      <w:iCs/>
      <w:color w:val="777777"/>
      <w:sz w:val="22"/>
      <w:szCs w:val="22"/>
    </w:rPr>
  </w:style>
  <w:style w:type="paragraph" w:styleId="Nagwek5">
    <w:name w:val="heading 5"/>
    <w:basedOn w:val="Normalny"/>
    <w:next w:val="Normalny"/>
    <w:link w:val="Nagwek5Znak"/>
    <w:uiPriority w:val="98"/>
    <w:semiHidden/>
    <w:qFormat/>
    <w:rsid w:val="00A1460C"/>
    <w:pPr>
      <w:spacing w:before="200"/>
      <w:outlineLvl w:val="4"/>
    </w:pPr>
    <w:rPr>
      <w:rFonts w:asciiTheme="majorHAnsi" w:eastAsiaTheme="majorEastAsia" w:hAnsiTheme="majorHAnsi" w:cstheme="majorBidi"/>
      <w:b/>
      <w:bCs/>
      <w:color w:val="808080"/>
      <w:sz w:val="22"/>
      <w:szCs w:val="22"/>
    </w:rPr>
  </w:style>
  <w:style w:type="paragraph" w:styleId="Nagwek6">
    <w:name w:val="heading 6"/>
    <w:basedOn w:val="Normalny"/>
    <w:next w:val="Normalny"/>
    <w:link w:val="Nagwek6Znak"/>
    <w:uiPriority w:val="98"/>
    <w:semiHidden/>
    <w:rsid w:val="00A1460C"/>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Nagwek7">
    <w:name w:val="heading 7"/>
    <w:basedOn w:val="Normalny"/>
    <w:next w:val="Normalny"/>
    <w:link w:val="Nagwek7Znak"/>
    <w:uiPriority w:val="98"/>
    <w:semiHidden/>
    <w:qFormat/>
    <w:rsid w:val="00A1460C"/>
    <w:pPr>
      <w:outlineLvl w:val="6"/>
    </w:pPr>
    <w:rPr>
      <w:rFonts w:asciiTheme="majorHAnsi" w:eastAsiaTheme="majorEastAsia" w:hAnsiTheme="majorHAnsi" w:cstheme="majorBidi"/>
      <w:i/>
      <w:iCs/>
      <w:sz w:val="22"/>
      <w:szCs w:val="22"/>
      <w:lang w:bidi="en-US"/>
    </w:rPr>
  </w:style>
  <w:style w:type="paragraph" w:styleId="Nagwek8">
    <w:name w:val="heading 8"/>
    <w:basedOn w:val="Normalny"/>
    <w:next w:val="Normalny"/>
    <w:link w:val="Nagwek8Znak"/>
    <w:uiPriority w:val="98"/>
    <w:semiHidden/>
    <w:qFormat/>
    <w:rsid w:val="00A1460C"/>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8"/>
    <w:semiHidden/>
    <w:qFormat/>
    <w:rsid w:val="00A1460C"/>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8"/>
    <w:semiHidden/>
    <w:rsid w:val="00A1460C"/>
    <w:rPr>
      <w:rFonts w:ascii="Tahoma" w:hAnsi="Tahoma" w:cs="Tahoma"/>
      <w:sz w:val="16"/>
      <w:szCs w:val="16"/>
    </w:rPr>
  </w:style>
  <w:style w:type="character" w:customStyle="1" w:styleId="TekstdymkaZnak">
    <w:name w:val="Tekst dymka Znak"/>
    <w:basedOn w:val="Domylnaczcionkaakapitu"/>
    <w:link w:val="Tekstdymka"/>
    <w:uiPriority w:val="98"/>
    <w:semiHidden/>
    <w:rsid w:val="00A1460C"/>
    <w:rPr>
      <w:rFonts w:ascii="Tahoma" w:hAnsi="Tahoma" w:cs="Tahoma"/>
      <w:sz w:val="16"/>
      <w:szCs w:val="16"/>
      <w:lang w:val="pl-PL"/>
    </w:rPr>
  </w:style>
  <w:style w:type="character" w:styleId="Tytuksiki">
    <w:name w:val="Book Title"/>
    <w:uiPriority w:val="98"/>
    <w:semiHidden/>
    <w:qFormat/>
    <w:rsid w:val="00A1460C"/>
    <w:rPr>
      <w:i/>
      <w:iCs/>
      <w:smallCaps/>
      <w:spacing w:val="5"/>
    </w:rPr>
  </w:style>
  <w:style w:type="paragraph" w:customStyle="1" w:styleId="JuHeader">
    <w:name w:val="Ju_Header"/>
    <w:aliases w:val="_Header"/>
    <w:basedOn w:val="Nagwek"/>
    <w:uiPriority w:val="29"/>
    <w:qFormat/>
    <w:rsid w:val="00A1460C"/>
    <w:pPr>
      <w:tabs>
        <w:tab w:val="clear" w:pos="4536"/>
        <w:tab w:val="clear" w:pos="9072"/>
      </w:tabs>
      <w:jc w:val="center"/>
    </w:pPr>
    <w:rPr>
      <w:sz w:val="18"/>
    </w:rPr>
  </w:style>
  <w:style w:type="paragraph" w:customStyle="1" w:styleId="NormalJustified">
    <w:name w:val="Normal_Justified"/>
    <w:basedOn w:val="Normalny"/>
    <w:semiHidden/>
    <w:rsid w:val="00A1460C"/>
    <w:pPr>
      <w:jc w:val="both"/>
    </w:pPr>
  </w:style>
  <w:style w:type="character" w:styleId="Pogrubienie">
    <w:name w:val="Strong"/>
    <w:uiPriority w:val="98"/>
    <w:semiHidden/>
    <w:qFormat/>
    <w:rsid w:val="00A1460C"/>
    <w:rPr>
      <w:b/>
      <w:bCs/>
    </w:rPr>
  </w:style>
  <w:style w:type="paragraph" w:styleId="Bezodstpw">
    <w:name w:val="No Spacing"/>
    <w:basedOn w:val="Normalny"/>
    <w:link w:val="BezodstpwZnak"/>
    <w:uiPriority w:val="98"/>
    <w:semiHidden/>
    <w:qFormat/>
    <w:rsid w:val="00A1460C"/>
  </w:style>
  <w:style w:type="character" w:customStyle="1" w:styleId="BezodstpwZnak">
    <w:name w:val="Bez odstępów Znak"/>
    <w:basedOn w:val="Domylnaczcionkaakapitu"/>
    <w:link w:val="Bezodstpw"/>
    <w:uiPriority w:val="98"/>
    <w:rsid w:val="00A1460C"/>
    <w:rPr>
      <w:sz w:val="24"/>
      <w:szCs w:val="24"/>
      <w:lang w:val="pl-PL"/>
    </w:rPr>
  </w:style>
  <w:style w:type="paragraph" w:customStyle="1" w:styleId="JuQuot">
    <w:name w:val="Ju_Quot"/>
    <w:aliases w:val="_Quote"/>
    <w:basedOn w:val="NormalJustified"/>
    <w:uiPriority w:val="20"/>
    <w:qFormat/>
    <w:rsid w:val="00A1460C"/>
    <w:pPr>
      <w:spacing w:before="120" w:after="120"/>
      <w:ind w:left="425" w:firstLine="142"/>
    </w:pPr>
    <w:rPr>
      <w:sz w:val="20"/>
    </w:rPr>
  </w:style>
  <w:style w:type="paragraph" w:customStyle="1" w:styleId="JuList">
    <w:name w:val="Ju_List"/>
    <w:aliases w:val="_List_1"/>
    <w:basedOn w:val="NormalJustified"/>
    <w:uiPriority w:val="23"/>
    <w:qFormat/>
    <w:rsid w:val="00A1460C"/>
    <w:pPr>
      <w:numPr>
        <w:numId w:val="22"/>
      </w:numPr>
      <w:spacing w:before="280" w:after="60"/>
    </w:pPr>
  </w:style>
  <w:style w:type="paragraph" w:customStyle="1" w:styleId="JuLista">
    <w:name w:val="Ju_List_a"/>
    <w:aliases w:val="_List_2"/>
    <w:basedOn w:val="NormalJustified"/>
    <w:uiPriority w:val="23"/>
    <w:rsid w:val="00A1460C"/>
    <w:pPr>
      <w:numPr>
        <w:ilvl w:val="1"/>
        <w:numId w:val="22"/>
      </w:numPr>
    </w:pPr>
  </w:style>
  <w:style w:type="paragraph" w:customStyle="1" w:styleId="JuListi">
    <w:name w:val="Ju_List_i"/>
    <w:aliases w:val="_List_3"/>
    <w:basedOn w:val="NormalJustified"/>
    <w:uiPriority w:val="23"/>
    <w:rsid w:val="00A1460C"/>
    <w:pPr>
      <w:numPr>
        <w:ilvl w:val="2"/>
        <w:numId w:val="22"/>
      </w:numPr>
    </w:pPr>
  </w:style>
  <w:style w:type="paragraph" w:customStyle="1" w:styleId="JuHArticle">
    <w:name w:val="Ju_H_Article"/>
    <w:aliases w:val="_Title_Quote"/>
    <w:basedOn w:val="Normalny"/>
    <w:next w:val="JuQuot"/>
    <w:uiPriority w:val="19"/>
    <w:qFormat/>
    <w:rsid w:val="00A1460C"/>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A1460C"/>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A1460C"/>
    <w:pPr>
      <w:keepNext/>
      <w:keepLines/>
      <w:tabs>
        <w:tab w:val="right" w:pos="7938"/>
      </w:tabs>
      <w:ind w:firstLine="0"/>
      <w:jc w:val="center"/>
    </w:pPr>
    <w:rPr>
      <w:i/>
    </w:rPr>
  </w:style>
  <w:style w:type="paragraph" w:customStyle="1" w:styleId="JuHHead">
    <w:name w:val="Ju_H_Head"/>
    <w:aliases w:val="_Head_1"/>
    <w:basedOn w:val="Nagwek1"/>
    <w:next w:val="JuPara"/>
    <w:uiPriority w:val="17"/>
    <w:qFormat/>
    <w:rsid w:val="00A1460C"/>
    <w:pPr>
      <w:keepNext/>
      <w:keepLines/>
      <w:numPr>
        <w:numId w:val="21"/>
      </w:numPr>
      <w:spacing w:before="100" w:beforeAutospacing="1" w:after="240"/>
      <w:contextualSpacing w:val="0"/>
      <w:jc w:val="both"/>
    </w:pPr>
    <w:rPr>
      <w:b w:val="0"/>
      <w:caps/>
      <w:color w:val="auto"/>
    </w:rPr>
  </w:style>
  <w:style w:type="numbering" w:customStyle="1" w:styleId="ECHRA1StyleBulletedSquare">
    <w:name w:val="ECHR_A1_Style_Bulleted_Square"/>
    <w:basedOn w:val="Bezlisty"/>
    <w:rsid w:val="00A1460C"/>
    <w:pPr>
      <w:numPr>
        <w:numId w:val="16"/>
      </w:numPr>
    </w:pPr>
  </w:style>
  <w:style w:type="paragraph" w:customStyle="1" w:styleId="JuSigned">
    <w:name w:val="Ju_Signed"/>
    <w:aliases w:val="_Signature"/>
    <w:basedOn w:val="Normalny"/>
    <w:next w:val="JuPara"/>
    <w:uiPriority w:val="31"/>
    <w:qFormat/>
    <w:rsid w:val="00A1460C"/>
    <w:pPr>
      <w:tabs>
        <w:tab w:val="center" w:pos="1418"/>
        <w:tab w:val="center" w:pos="5954"/>
      </w:tabs>
      <w:spacing w:before="720"/>
    </w:pPr>
  </w:style>
  <w:style w:type="paragraph" w:styleId="Tytu">
    <w:name w:val="Title"/>
    <w:basedOn w:val="Normalny"/>
    <w:next w:val="Normalny"/>
    <w:link w:val="TytuZnak"/>
    <w:uiPriority w:val="98"/>
    <w:semiHidden/>
    <w:qFormat/>
    <w:rsid w:val="00A1460C"/>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8"/>
    <w:rsid w:val="00A1460C"/>
    <w:rPr>
      <w:rFonts w:asciiTheme="majorHAnsi" w:eastAsiaTheme="majorEastAsia" w:hAnsiTheme="majorHAnsi" w:cstheme="majorBidi"/>
      <w:spacing w:val="5"/>
      <w:sz w:val="52"/>
      <w:szCs w:val="52"/>
      <w:lang w:val="pl-PL" w:bidi="en-US"/>
    </w:rPr>
  </w:style>
  <w:style w:type="numbering" w:customStyle="1" w:styleId="ECHRA1StyleList">
    <w:name w:val="ECHR_A1_Style_List"/>
    <w:basedOn w:val="Bezlisty"/>
    <w:uiPriority w:val="99"/>
    <w:rsid w:val="00A1460C"/>
    <w:pPr>
      <w:numPr>
        <w:numId w:val="17"/>
      </w:numPr>
    </w:pPr>
  </w:style>
  <w:style w:type="numbering" w:customStyle="1" w:styleId="ECHRA1StyleNumberedList">
    <w:name w:val="ECHR_A1_Style_Numbered_List"/>
    <w:basedOn w:val="Bezlisty"/>
    <w:rsid w:val="00A1460C"/>
    <w:pPr>
      <w:numPr>
        <w:numId w:val="18"/>
      </w:numPr>
    </w:pPr>
  </w:style>
  <w:style w:type="table" w:customStyle="1" w:styleId="ECHRTable2019">
    <w:name w:val="ECHR_Table_2019"/>
    <w:basedOn w:val="Standardowy"/>
    <w:uiPriority w:val="99"/>
    <w:rsid w:val="00A1460C"/>
    <w:rPr>
      <w:sz w:val="24"/>
      <w:szCs w:val="24"/>
    </w:rPr>
    <w:tblPr>
      <w:tblStyleRowBandSize w:val="1"/>
      <w:tblStyleColBandSize w:val="1"/>
      <w:jc w:val="center"/>
      <w:tbl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blBorders>
    </w:tblPr>
    <w:trPr>
      <w:jc w:val="center"/>
    </w:trPr>
    <w:tblStylePr w:type="firstRow">
      <w:rPr>
        <w:rFonts w:asciiTheme="majorHAnsi" w:hAnsiTheme="majorHAnsi"/>
        <w:b/>
        <w:i w:val="0"/>
        <w:color w:val="auto"/>
        <w:sz w:val="22"/>
      </w:rPr>
      <w:tblPr/>
      <w:tcPr>
        <w:shd w:val="clear" w:color="auto" w:fill="DDDDDD" w:themeFill="accent3" w:themeFillTint="33"/>
      </w:tcPr>
    </w:tblStylePr>
    <w:tblStylePr w:type="lastRow">
      <w:rPr>
        <w:b/>
        <w:i w:val="0"/>
      </w:rPr>
      <w:tblPr/>
      <w:tcPr>
        <w:tcBorders>
          <w:top w:val="single" w:sz="8" w:space="0" w:color="595959" w:themeColor="accent3"/>
          <w:left w:val="single" w:sz="4" w:space="0" w:color="595959" w:themeColor="accent3"/>
          <w:bottom w:val="single" w:sz="8" w:space="0" w:color="595959" w:themeColor="accent3"/>
          <w:right w:val="single" w:sz="4" w:space="0" w:color="595959" w:themeColor="accent3"/>
          <w:insideH w:val="nil"/>
          <w:insideV w:val="single" w:sz="4" w:space="0" w:color="595959"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EFEFEF" w:themeFill="text2" w:themeFillTint="33"/>
      </w:tcPr>
    </w:tblStylePr>
    <w:tblStylePr w:type="lastCol">
      <w:rPr>
        <w:b/>
        <w:i w:val="0"/>
      </w:rPr>
    </w:tblStylePr>
    <w:tblStylePr w:type="band2Vert">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EFEFEF" w:themeFill="text2" w:themeFillTint="33"/>
      </w:tcPr>
    </w:tblStylePr>
    <w:tblStylePr w:type="band2Horz">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l2br w:val="nil"/>
          <w:tr2bl w:val="nil"/>
        </w:tcBorders>
        <w:shd w:val="clear" w:color="auto" w:fill="EFEFEF" w:themeFill="text2" w:themeFillTint="33"/>
      </w:tcPr>
    </w:tblStylePr>
  </w:style>
  <w:style w:type="paragraph" w:customStyle="1" w:styleId="Footer">
    <w:name w:val="_Footer"/>
    <w:aliases w:val="Footer_"/>
    <w:basedOn w:val="Stopka"/>
    <w:uiPriority w:val="57"/>
    <w:semiHidden/>
    <w:rsid w:val="007D3701"/>
    <w:rPr>
      <w:sz w:val="8"/>
    </w:rPr>
  </w:style>
  <w:style w:type="paragraph" w:customStyle="1" w:styleId="JuCourt">
    <w:name w:val="Ju_Court"/>
    <w:aliases w:val="_Court_Names"/>
    <w:basedOn w:val="Normalny"/>
    <w:next w:val="Normalny"/>
    <w:uiPriority w:val="32"/>
    <w:qFormat/>
    <w:rsid w:val="00A1460C"/>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Nagwek2"/>
    <w:next w:val="JuPara"/>
    <w:uiPriority w:val="17"/>
    <w:qFormat/>
    <w:rsid w:val="00A1460C"/>
    <w:pPr>
      <w:keepNext/>
      <w:keepLines/>
      <w:numPr>
        <w:ilvl w:val="1"/>
        <w:numId w:val="21"/>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Nagwek3"/>
    <w:next w:val="JuPara"/>
    <w:uiPriority w:val="17"/>
    <w:qFormat/>
    <w:rsid w:val="00A1460C"/>
    <w:pPr>
      <w:keepNext/>
      <w:keepLines/>
      <w:numPr>
        <w:ilvl w:val="2"/>
        <w:numId w:val="21"/>
      </w:numPr>
      <w:spacing w:before="100" w:beforeAutospacing="1" w:after="240" w:line="240" w:lineRule="auto"/>
      <w:jc w:val="both"/>
    </w:pPr>
    <w:rPr>
      <w:color w:val="auto"/>
      <w:sz w:val="24"/>
    </w:rPr>
  </w:style>
  <w:style w:type="paragraph" w:customStyle="1" w:styleId="JuH1">
    <w:name w:val="Ju_H_1."/>
    <w:aliases w:val="_Head_4"/>
    <w:basedOn w:val="Nagwek4"/>
    <w:next w:val="JuPara"/>
    <w:uiPriority w:val="17"/>
    <w:rsid w:val="00A1460C"/>
    <w:pPr>
      <w:keepNext/>
      <w:keepLines/>
      <w:numPr>
        <w:ilvl w:val="3"/>
        <w:numId w:val="21"/>
      </w:numPr>
      <w:spacing w:before="100" w:beforeAutospacing="1" w:after="120"/>
      <w:jc w:val="both"/>
    </w:pPr>
    <w:rPr>
      <w:b w:val="0"/>
      <w:color w:val="auto"/>
      <w:sz w:val="24"/>
    </w:rPr>
  </w:style>
  <w:style w:type="paragraph" w:styleId="Nagwek">
    <w:name w:val="header"/>
    <w:basedOn w:val="Normalny"/>
    <w:link w:val="NagwekZnak"/>
    <w:uiPriority w:val="98"/>
    <w:semiHidden/>
    <w:rsid w:val="00A1460C"/>
    <w:pPr>
      <w:tabs>
        <w:tab w:val="center" w:pos="4536"/>
        <w:tab w:val="right" w:pos="9072"/>
      </w:tabs>
    </w:pPr>
  </w:style>
  <w:style w:type="character" w:customStyle="1" w:styleId="NagwekZnak">
    <w:name w:val="Nagłówek Znak"/>
    <w:basedOn w:val="Domylnaczcionkaakapitu"/>
    <w:link w:val="Nagwek"/>
    <w:uiPriority w:val="98"/>
    <w:semiHidden/>
    <w:rsid w:val="00A1460C"/>
    <w:rPr>
      <w:sz w:val="24"/>
      <w:szCs w:val="24"/>
      <w:lang w:val="pl-PL"/>
    </w:rPr>
  </w:style>
  <w:style w:type="character" w:customStyle="1" w:styleId="Nagwek1Znak">
    <w:name w:val="Nagłówek 1 Znak"/>
    <w:basedOn w:val="Domylnaczcionkaakapitu"/>
    <w:link w:val="Nagwek1"/>
    <w:uiPriority w:val="98"/>
    <w:rsid w:val="00A1460C"/>
    <w:rPr>
      <w:rFonts w:asciiTheme="majorHAnsi" w:eastAsiaTheme="majorEastAsia" w:hAnsiTheme="majorHAnsi" w:cstheme="majorBidi"/>
      <w:b/>
      <w:bCs/>
      <w:color w:val="333333"/>
      <w:sz w:val="28"/>
      <w:szCs w:val="28"/>
      <w:lang w:val="pl-PL"/>
    </w:rPr>
  </w:style>
  <w:style w:type="paragraph" w:customStyle="1" w:styleId="JuHa0">
    <w:name w:val="Ju_H_a"/>
    <w:aliases w:val="_Head_5"/>
    <w:basedOn w:val="Nagwek5"/>
    <w:next w:val="JuPara"/>
    <w:uiPriority w:val="17"/>
    <w:rsid w:val="00A1460C"/>
    <w:pPr>
      <w:keepNext/>
      <w:keepLines/>
      <w:numPr>
        <w:ilvl w:val="4"/>
        <w:numId w:val="21"/>
      </w:numPr>
      <w:spacing w:before="100" w:beforeAutospacing="1" w:after="120"/>
      <w:jc w:val="both"/>
    </w:pPr>
    <w:rPr>
      <w:color w:val="auto"/>
      <w:sz w:val="20"/>
    </w:rPr>
  </w:style>
  <w:style w:type="paragraph" w:customStyle="1" w:styleId="JuHi">
    <w:name w:val="Ju_H_i"/>
    <w:aliases w:val="_Head_6"/>
    <w:basedOn w:val="Nagwek6"/>
    <w:next w:val="JuPara"/>
    <w:uiPriority w:val="17"/>
    <w:rsid w:val="00A1460C"/>
    <w:pPr>
      <w:keepNext/>
      <w:keepLines/>
      <w:numPr>
        <w:ilvl w:val="5"/>
        <w:numId w:val="21"/>
      </w:numPr>
      <w:tabs>
        <w:tab w:val="left" w:pos="1077"/>
        <w:tab w:val="left" w:pos="1134"/>
        <w:tab w:val="left" w:pos="1191"/>
        <w:tab w:val="left" w:pos="1247"/>
      </w:tabs>
      <w:spacing w:before="100" w:beforeAutospacing="1" w:after="120"/>
      <w:jc w:val="both"/>
    </w:pPr>
    <w:rPr>
      <w:b w:val="0"/>
      <w:color w:val="auto"/>
      <w:sz w:val="20"/>
    </w:rPr>
  </w:style>
  <w:style w:type="character" w:customStyle="1" w:styleId="Nagwek2Znak">
    <w:name w:val="Nagłówek 2 Znak"/>
    <w:basedOn w:val="Domylnaczcionkaakapitu"/>
    <w:link w:val="Nagwek2"/>
    <w:uiPriority w:val="98"/>
    <w:semiHidden/>
    <w:rsid w:val="00A1460C"/>
    <w:rPr>
      <w:rFonts w:asciiTheme="majorHAnsi" w:eastAsiaTheme="majorEastAsia" w:hAnsiTheme="majorHAnsi" w:cstheme="majorBidi"/>
      <w:b/>
      <w:bCs/>
      <w:color w:val="4D4D4D"/>
      <w:sz w:val="26"/>
      <w:szCs w:val="26"/>
      <w:lang w:val="pl-PL"/>
    </w:rPr>
  </w:style>
  <w:style w:type="paragraph" w:customStyle="1" w:styleId="JuHalpha">
    <w:name w:val="Ju_H_alpha"/>
    <w:aliases w:val="_Head_7"/>
    <w:basedOn w:val="Nagwek7"/>
    <w:next w:val="JuPara"/>
    <w:uiPriority w:val="17"/>
    <w:rsid w:val="00A1460C"/>
    <w:pPr>
      <w:keepNext/>
      <w:keepLines/>
      <w:numPr>
        <w:ilvl w:val="6"/>
        <w:numId w:val="21"/>
      </w:numPr>
      <w:tabs>
        <w:tab w:val="left" w:pos="1361"/>
      </w:tabs>
      <w:spacing w:before="100" w:beforeAutospacing="1" w:after="120"/>
      <w:jc w:val="both"/>
    </w:pPr>
    <w:rPr>
      <w:i w:val="0"/>
      <w:sz w:val="20"/>
    </w:rPr>
  </w:style>
  <w:style w:type="paragraph" w:customStyle="1" w:styleId="JuH">
    <w:name w:val="Ju_H_–"/>
    <w:aliases w:val="_Head_8"/>
    <w:basedOn w:val="Nagwek8"/>
    <w:next w:val="JuPara"/>
    <w:uiPriority w:val="17"/>
    <w:rsid w:val="00A1460C"/>
    <w:pPr>
      <w:keepNext/>
      <w:keepLines/>
      <w:numPr>
        <w:ilvl w:val="7"/>
        <w:numId w:val="21"/>
      </w:numPr>
      <w:spacing w:before="100" w:beforeAutospacing="1" w:after="120"/>
      <w:jc w:val="both"/>
    </w:pPr>
    <w:rPr>
      <w:i/>
    </w:rPr>
  </w:style>
  <w:style w:type="character" w:customStyle="1" w:styleId="Nagwek3Znak">
    <w:name w:val="Nagłówek 3 Znak"/>
    <w:basedOn w:val="Domylnaczcionkaakapitu"/>
    <w:link w:val="Nagwek3"/>
    <w:uiPriority w:val="98"/>
    <w:semiHidden/>
    <w:rsid w:val="00A1460C"/>
    <w:rPr>
      <w:rFonts w:asciiTheme="majorHAnsi" w:eastAsiaTheme="majorEastAsia" w:hAnsiTheme="majorHAnsi" w:cstheme="majorBidi"/>
      <w:b/>
      <w:bCs/>
      <w:color w:val="5F5F5F"/>
      <w:lang w:val="pl-PL"/>
    </w:rPr>
  </w:style>
  <w:style w:type="paragraph" w:customStyle="1" w:styleId="JuParaLast">
    <w:name w:val="Ju_Para_Last"/>
    <w:aliases w:val="_Para_Spaced"/>
    <w:basedOn w:val="NormalJustified"/>
    <w:uiPriority w:val="5"/>
    <w:qFormat/>
    <w:rsid w:val="00A1460C"/>
    <w:pPr>
      <w:keepNext/>
      <w:keepLines/>
      <w:spacing w:before="240" w:after="240"/>
      <w:ind w:firstLine="284"/>
    </w:pPr>
  </w:style>
  <w:style w:type="paragraph" w:customStyle="1" w:styleId="JuJudges">
    <w:name w:val="Ju_Judges"/>
    <w:aliases w:val="_Judges"/>
    <w:basedOn w:val="Normalny"/>
    <w:uiPriority w:val="32"/>
    <w:qFormat/>
    <w:rsid w:val="00A1460C"/>
    <w:pPr>
      <w:tabs>
        <w:tab w:val="left" w:pos="567"/>
        <w:tab w:val="left" w:pos="1134"/>
      </w:tabs>
    </w:pPr>
  </w:style>
  <w:style w:type="character" w:customStyle="1" w:styleId="Nagwek4Znak">
    <w:name w:val="Nagłówek 4 Znak"/>
    <w:basedOn w:val="Domylnaczcionkaakapitu"/>
    <w:link w:val="Nagwek4"/>
    <w:uiPriority w:val="98"/>
    <w:semiHidden/>
    <w:rsid w:val="00A1460C"/>
    <w:rPr>
      <w:rFonts w:asciiTheme="majorHAnsi" w:eastAsiaTheme="majorEastAsia" w:hAnsiTheme="majorHAnsi" w:cstheme="majorBidi"/>
      <w:b/>
      <w:bCs/>
      <w:i/>
      <w:iCs/>
      <w:color w:val="777777"/>
      <w:lang w:val="pl-PL"/>
    </w:rPr>
  </w:style>
  <w:style w:type="paragraph" w:customStyle="1" w:styleId="JuInitialled">
    <w:name w:val="Ju_Initialled"/>
    <w:aliases w:val="_Right"/>
    <w:basedOn w:val="Normalny"/>
    <w:uiPriority w:val="30"/>
    <w:qFormat/>
    <w:rsid w:val="00A1460C"/>
    <w:pPr>
      <w:tabs>
        <w:tab w:val="center" w:pos="6407"/>
      </w:tabs>
      <w:spacing w:before="720"/>
      <w:jc w:val="right"/>
    </w:pPr>
  </w:style>
  <w:style w:type="character" w:customStyle="1" w:styleId="Nagwek5Znak">
    <w:name w:val="Nagłówek 5 Znak"/>
    <w:basedOn w:val="Domylnaczcionkaakapitu"/>
    <w:link w:val="Nagwek5"/>
    <w:uiPriority w:val="98"/>
    <w:semiHidden/>
    <w:rsid w:val="00A1460C"/>
    <w:rPr>
      <w:rFonts w:asciiTheme="majorHAnsi" w:eastAsiaTheme="majorEastAsia" w:hAnsiTheme="majorHAnsi" w:cstheme="majorBidi"/>
      <w:b/>
      <w:bCs/>
      <w:color w:val="808080"/>
      <w:lang w:val="pl-PL"/>
    </w:rPr>
  </w:style>
  <w:style w:type="character" w:customStyle="1" w:styleId="JuITMark">
    <w:name w:val="Ju_ITMark"/>
    <w:aliases w:val="_ITMark"/>
    <w:basedOn w:val="Domylnaczcionkaakapitu"/>
    <w:uiPriority w:val="54"/>
    <w:qFormat/>
    <w:rsid w:val="00A1460C"/>
    <w:rPr>
      <w:vanish w:val="0"/>
      <w:color w:val="auto"/>
      <w:sz w:val="14"/>
      <w:bdr w:val="none" w:sz="0" w:space="0" w:color="auto"/>
      <w:shd w:val="clear" w:color="auto" w:fill="FFFFFF" w:themeFill="background1" w:themeFillTint="33"/>
    </w:rPr>
  </w:style>
  <w:style w:type="character" w:customStyle="1" w:styleId="JUNAMES">
    <w:name w:val="JU_NAMES"/>
    <w:aliases w:val="_Ju_Names"/>
    <w:uiPriority w:val="33"/>
    <w:qFormat/>
    <w:rsid w:val="00A1460C"/>
    <w:rPr>
      <w:caps w:val="0"/>
      <w:smallCaps/>
    </w:rPr>
  </w:style>
  <w:style w:type="character" w:styleId="Wyrnieniedelikatne">
    <w:name w:val="Subtle Emphasis"/>
    <w:uiPriority w:val="98"/>
    <w:semiHidden/>
    <w:qFormat/>
    <w:rsid w:val="00A1460C"/>
    <w:rPr>
      <w:i/>
      <w:iCs/>
    </w:rPr>
  </w:style>
  <w:style w:type="table" w:customStyle="1" w:styleId="ECHRTable">
    <w:name w:val="ECHR_Table"/>
    <w:basedOn w:val="Standardowy"/>
    <w:rsid w:val="00A1460C"/>
    <w:rPr>
      <w:rFonts w:eastAsia="Times New Roman" w:cs="Times New Roman"/>
      <w:sz w:val="20"/>
      <w:szCs w:val="20"/>
    </w:rPr>
    <w:tblPr>
      <w:tblStyleRowBandSize w:val="1"/>
      <w:tblStyleColBandSize w:val="1"/>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rFonts w:asciiTheme="majorHAnsi" w:hAnsiTheme="majorHAnsi"/>
        <w:b/>
        <w:i w:val="0"/>
        <w:color w:val="424242" w:themeColor="accent3" w:themeShade="BF"/>
        <w:sz w:val="22"/>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A1460C"/>
    <w:rPr>
      <w:rFonts w:ascii="Verdana" w:eastAsia="Times New Roman" w:hAnsi="Verdana" w:cs="Times New Roman"/>
      <w:sz w:val="20"/>
      <w:szCs w:val="20"/>
    </w:rPr>
    <w:tblPr>
      <w:tblCellMar>
        <w:top w:w="57" w:type="dxa"/>
        <w:left w:w="57" w:type="dxa"/>
        <w:bottom w:w="57" w:type="dxa"/>
        <w:right w:w="57" w:type="dxa"/>
      </w:tblCellMar>
    </w:tblPr>
    <w:tcPr>
      <w:shd w:val="clear" w:color="auto" w:fill="F8F8F8" w:themeFill="background2"/>
    </w:tcPr>
    <w:tblStylePr w:type="firstCol">
      <w:rPr>
        <w:b/>
        <w:color w:val="595959" w:themeColor="accent3"/>
      </w:rPr>
    </w:tblStylePr>
  </w:style>
  <w:style w:type="character" w:styleId="Uwydatnienie">
    <w:name w:val="Emphasis"/>
    <w:uiPriority w:val="98"/>
    <w:semiHidden/>
    <w:qFormat/>
    <w:rsid w:val="00A1460C"/>
    <w:rPr>
      <w:b/>
      <w:bCs/>
      <w:i/>
      <w:iCs/>
      <w:spacing w:val="10"/>
      <w:bdr w:val="none" w:sz="0" w:space="0" w:color="auto"/>
      <w:shd w:val="clear" w:color="auto" w:fill="auto"/>
    </w:rPr>
  </w:style>
  <w:style w:type="paragraph" w:styleId="Stopka">
    <w:name w:val="footer"/>
    <w:basedOn w:val="Normalny"/>
    <w:link w:val="StopkaZnak"/>
    <w:uiPriority w:val="98"/>
    <w:semiHidden/>
    <w:rsid w:val="00A1460C"/>
    <w:pPr>
      <w:tabs>
        <w:tab w:val="center" w:pos="3686"/>
        <w:tab w:val="right" w:pos="7371"/>
      </w:tabs>
    </w:pPr>
  </w:style>
  <w:style w:type="character" w:customStyle="1" w:styleId="StopkaZnak">
    <w:name w:val="Stopka Znak"/>
    <w:basedOn w:val="Domylnaczcionkaakapitu"/>
    <w:link w:val="Stopka"/>
    <w:uiPriority w:val="98"/>
    <w:semiHidden/>
    <w:rsid w:val="00A1460C"/>
    <w:rPr>
      <w:sz w:val="24"/>
      <w:szCs w:val="24"/>
      <w:lang w:val="pl-PL"/>
    </w:rPr>
  </w:style>
  <w:style w:type="character" w:styleId="Odwoanieprzypisudolnego">
    <w:name w:val="footnote reference"/>
    <w:basedOn w:val="Domylnaczcionkaakapitu"/>
    <w:uiPriority w:val="98"/>
    <w:semiHidden/>
    <w:rsid w:val="00A1460C"/>
    <w:rPr>
      <w:vertAlign w:val="superscript"/>
    </w:rPr>
  </w:style>
  <w:style w:type="paragraph" w:styleId="Tekstprzypisudolnego">
    <w:name w:val="footnote text"/>
    <w:basedOn w:val="NormalJustified"/>
    <w:link w:val="TekstprzypisudolnegoZnak"/>
    <w:uiPriority w:val="98"/>
    <w:semiHidden/>
    <w:rsid w:val="00A1460C"/>
    <w:rPr>
      <w:sz w:val="20"/>
      <w:szCs w:val="20"/>
    </w:rPr>
  </w:style>
  <w:style w:type="character" w:customStyle="1" w:styleId="TekstprzypisudolnegoZnak">
    <w:name w:val="Tekst przypisu dolnego Znak"/>
    <w:basedOn w:val="Domylnaczcionkaakapitu"/>
    <w:link w:val="Tekstprzypisudolnego"/>
    <w:uiPriority w:val="98"/>
    <w:semiHidden/>
    <w:rsid w:val="00A1460C"/>
    <w:rPr>
      <w:sz w:val="20"/>
      <w:szCs w:val="20"/>
      <w:lang w:val="pl-PL"/>
    </w:rPr>
  </w:style>
  <w:style w:type="character" w:customStyle="1" w:styleId="Nagwek6Znak">
    <w:name w:val="Nagłówek 6 Znak"/>
    <w:basedOn w:val="Domylnaczcionkaakapitu"/>
    <w:link w:val="Nagwek6"/>
    <w:uiPriority w:val="98"/>
    <w:semiHidden/>
    <w:rsid w:val="00A1460C"/>
    <w:rPr>
      <w:rFonts w:asciiTheme="majorHAnsi" w:eastAsiaTheme="majorEastAsia" w:hAnsiTheme="majorHAnsi" w:cstheme="majorBidi"/>
      <w:b/>
      <w:bCs/>
      <w:i/>
      <w:iCs/>
      <w:color w:val="7F7F7F" w:themeColor="text1" w:themeTint="80"/>
      <w:lang w:val="pl-PL" w:bidi="en-US"/>
    </w:rPr>
  </w:style>
  <w:style w:type="character" w:customStyle="1" w:styleId="Nagwek7Znak">
    <w:name w:val="Nagłówek 7 Znak"/>
    <w:basedOn w:val="Domylnaczcionkaakapitu"/>
    <w:link w:val="Nagwek7"/>
    <w:uiPriority w:val="98"/>
    <w:semiHidden/>
    <w:rsid w:val="00A1460C"/>
    <w:rPr>
      <w:rFonts w:asciiTheme="majorHAnsi" w:eastAsiaTheme="majorEastAsia" w:hAnsiTheme="majorHAnsi" w:cstheme="majorBidi"/>
      <w:i/>
      <w:iCs/>
      <w:lang w:val="pl-PL" w:bidi="en-US"/>
    </w:rPr>
  </w:style>
  <w:style w:type="character" w:customStyle="1" w:styleId="Nagwek8Znak">
    <w:name w:val="Nagłówek 8 Znak"/>
    <w:basedOn w:val="Domylnaczcionkaakapitu"/>
    <w:link w:val="Nagwek8"/>
    <w:uiPriority w:val="98"/>
    <w:semiHidden/>
    <w:rsid w:val="00A1460C"/>
    <w:rPr>
      <w:rFonts w:asciiTheme="majorHAnsi" w:eastAsiaTheme="majorEastAsia" w:hAnsiTheme="majorHAnsi" w:cstheme="majorBidi"/>
      <w:sz w:val="20"/>
      <w:szCs w:val="20"/>
      <w:lang w:val="pl-PL" w:bidi="en-US"/>
    </w:rPr>
  </w:style>
  <w:style w:type="character" w:customStyle="1" w:styleId="Nagwek9Znak">
    <w:name w:val="Nagłówek 9 Znak"/>
    <w:basedOn w:val="Domylnaczcionkaakapitu"/>
    <w:link w:val="Nagwek9"/>
    <w:uiPriority w:val="98"/>
    <w:semiHidden/>
    <w:rsid w:val="00A1460C"/>
    <w:rPr>
      <w:rFonts w:asciiTheme="majorHAnsi" w:eastAsiaTheme="majorEastAsia" w:hAnsiTheme="majorHAnsi" w:cstheme="majorBidi"/>
      <w:i/>
      <w:iCs/>
      <w:spacing w:val="5"/>
      <w:sz w:val="20"/>
      <w:szCs w:val="20"/>
      <w:lang w:val="pl-PL" w:bidi="en-US"/>
    </w:rPr>
  </w:style>
  <w:style w:type="character" w:styleId="Hipercze">
    <w:name w:val="Hyperlink"/>
    <w:basedOn w:val="Domylnaczcionkaakapitu"/>
    <w:uiPriority w:val="98"/>
    <w:semiHidden/>
    <w:rsid w:val="00A1460C"/>
    <w:rPr>
      <w:color w:val="0072BC" w:themeColor="hyperlink"/>
      <w:u w:val="single"/>
    </w:rPr>
  </w:style>
  <w:style w:type="character" w:styleId="Wyrnienieintensywne">
    <w:name w:val="Intense Emphasis"/>
    <w:uiPriority w:val="98"/>
    <w:semiHidden/>
    <w:qFormat/>
    <w:rsid w:val="00A1460C"/>
    <w:rPr>
      <w:b/>
      <w:bCs/>
    </w:rPr>
  </w:style>
  <w:style w:type="paragraph" w:styleId="Cytatintensywny">
    <w:name w:val="Intense Quote"/>
    <w:basedOn w:val="Normalny"/>
    <w:next w:val="Normalny"/>
    <w:link w:val="CytatintensywnyZnak"/>
    <w:uiPriority w:val="98"/>
    <w:semiHidden/>
    <w:qFormat/>
    <w:rsid w:val="00A1460C"/>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8"/>
    <w:rsid w:val="00A1460C"/>
    <w:rPr>
      <w:b/>
      <w:bCs/>
      <w:i/>
      <w:iCs/>
      <w:sz w:val="24"/>
      <w:szCs w:val="24"/>
      <w:lang w:val="pl-PL" w:bidi="en-US"/>
    </w:rPr>
  </w:style>
  <w:style w:type="character" w:styleId="Odwoanieintensywne">
    <w:name w:val="Intense Reference"/>
    <w:uiPriority w:val="98"/>
    <w:semiHidden/>
    <w:qFormat/>
    <w:rsid w:val="00A1460C"/>
    <w:rPr>
      <w:smallCaps/>
      <w:spacing w:val="5"/>
      <w:u w:val="single"/>
    </w:rPr>
  </w:style>
  <w:style w:type="paragraph" w:styleId="Akapitzlist">
    <w:name w:val="List Paragraph"/>
    <w:basedOn w:val="Normalny"/>
    <w:uiPriority w:val="98"/>
    <w:semiHidden/>
    <w:qFormat/>
    <w:rsid w:val="00A1460C"/>
    <w:pPr>
      <w:ind w:left="720"/>
      <w:contextualSpacing/>
    </w:pPr>
  </w:style>
  <w:style w:type="table" w:customStyle="1" w:styleId="LtrTableAddress">
    <w:name w:val="Ltr_Table_Address"/>
    <w:aliases w:val="ECHR_Ltr_Table_Address"/>
    <w:basedOn w:val="Standardowy"/>
    <w:uiPriority w:val="99"/>
    <w:rsid w:val="00A1460C"/>
    <w:rPr>
      <w:sz w:val="24"/>
      <w:szCs w:val="24"/>
    </w:rPr>
    <w:tblPr>
      <w:tblInd w:w="5103" w:type="dxa"/>
    </w:tblPr>
  </w:style>
  <w:style w:type="paragraph" w:styleId="Cytat">
    <w:name w:val="Quote"/>
    <w:basedOn w:val="Normalny"/>
    <w:next w:val="Normalny"/>
    <w:link w:val="CytatZnak"/>
    <w:uiPriority w:val="98"/>
    <w:semiHidden/>
    <w:qFormat/>
    <w:rsid w:val="00A1460C"/>
    <w:pPr>
      <w:spacing w:before="200"/>
      <w:ind w:left="360" w:right="360"/>
    </w:pPr>
    <w:rPr>
      <w:i/>
      <w:iCs/>
      <w:lang w:bidi="en-US"/>
    </w:rPr>
  </w:style>
  <w:style w:type="character" w:customStyle="1" w:styleId="CytatZnak">
    <w:name w:val="Cytat Znak"/>
    <w:basedOn w:val="Domylnaczcionkaakapitu"/>
    <w:link w:val="Cytat"/>
    <w:uiPriority w:val="98"/>
    <w:rsid w:val="00A1460C"/>
    <w:rPr>
      <w:i/>
      <w:iCs/>
      <w:sz w:val="24"/>
      <w:szCs w:val="24"/>
      <w:lang w:val="pl-PL" w:bidi="en-US"/>
    </w:rPr>
  </w:style>
  <w:style w:type="character" w:styleId="Odwoaniedelikatne">
    <w:name w:val="Subtle Reference"/>
    <w:uiPriority w:val="98"/>
    <w:semiHidden/>
    <w:qFormat/>
    <w:rsid w:val="00A1460C"/>
    <w:rPr>
      <w:smallCaps/>
    </w:rPr>
  </w:style>
  <w:style w:type="table" w:styleId="Tabela-Siatka">
    <w:name w:val="Table Grid"/>
    <w:basedOn w:val="Standardowy"/>
    <w:uiPriority w:val="59"/>
    <w:semiHidden/>
    <w:rsid w:val="00A1460C"/>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8"/>
    <w:semiHidden/>
    <w:rsid w:val="00A1460C"/>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8"/>
    <w:semiHidden/>
    <w:rsid w:val="00A1460C"/>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8"/>
    <w:semiHidden/>
    <w:rsid w:val="00A1460C"/>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8"/>
    <w:semiHidden/>
    <w:rsid w:val="00A1460C"/>
    <w:pPr>
      <w:keepNext/>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8"/>
    <w:semiHidden/>
    <w:rsid w:val="00A1460C"/>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8"/>
    <w:semiHidden/>
    <w:qFormat/>
    <w:rsid w:val="00A1460C"/>
    <w:pPr>
      <w:keepNext/>
      <w:keepLines/>
      <w:spacing w:before="240"/>
      <w:contextualSpacing/>
      <w:jc w:val="center"/>
    </w:pPr>
    <w:rPr>
      <w:rFonts w:asciiTheme="majorHAnsi" w:hAnsiTheme="majorHAnsi"/>
      <w:b/>
      <w:color w:val="424242" w:themeColor="accent3" w:themeShade="BF"/>
      <w:sz w:val="28"/>
    </w:rPr>
  </w:style>
  <w:style w:type="table" w:customStyle="1" w:styleId="UGTable">
    <w:name w:val="UG_Table"/>
    <w:aliases w:val="ECHR_UG_Table"/>
    <w:basedOn w:val="Standardowy"/>
    <w:uiPriority w:val="99"/>
    <w:rsid w:val="00A1460C"/>
    <w:rPr>
      <w:rFonts w:eastAsiaTheme="minorEastAsia"/>
      <w:sz w:val="20"/>
      <w:szCs w:val="24"/>
      <w:lang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Standardowy"/>
    <w:uiPriority w:val="99"/>
    <w:rsid w:val="00A1460C"/>
    <w:rPr>
      <w:rFonts w:eastAsiaTheme="minorEastAsia"/>
      <w:sz w:val="24"/>
      <w:szCs w:val="24"/>
      <w:lang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Standardowy"/>
    <w:uiPriority w:val="99"/>
    <w:rsid w:val="00A1460C"/>
    <w:rPr>
      <w:color w:val="000000" w:themeColor="text1"/>
      <w:sz w:val="18"/>
      <w:szCs w:val="24"/>
    </w:rPr>
    <w:tblPr>
      <w:tblBorders>
        <w:top w:val="single" w:sz="8" w:space="0" w:color="9B9B9B" w:themeColor="accent3" w:themeTint="99"/>
        <w:left w:val="single" w:sz="8" w:space="0" w:color="9B9B9B" w:themeColor="accent3" w:themeTint="99"/>
        <w:bottom w:val="single" w:sz="8" w:space="0" w:color="9B9B9B" w:themeColor="accent3" w:themeTint="99"/>
        <w:right w:val="single" w:sz="8" w:space="0" w:color="9B9B9B" w:themeColor="accent3" w:themeTint="99"/>
        <w:insideH w:val="single" w:sz="8" w:space="0" w:color="9B9B9B" w:themeColor="accent3" w:themeTint="99"/>
        <w:insideV w:val="single" w:sz="8" w:space="0" w:color="9B9B9B"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A1460C"/>
    <w:rPr>
      <w:color w:val="000000" w:themeColor="text1"/>
      <w:sz w:val="24"/>
      <w:szCs w:val="24"/>
    </w:rPr>
    <w:tblPr>
      <w:tblInd w:w="-680" w:type="dxa"/>
      <w:tblBorders>
        <w:insideH w:val="single" w:sz="4" w:space="0" w:color="B0B0B0" w:themeColor="text2"/>
        <w:insideV w:val="single" w:sz="4" w:space="0" w:color="B0B0B0" w:themeColor="text2"/>
      </w:tblBorders>
      <w:tblCellMar>
        <w:top w:w="142" w:type="dxa"/>
        <w:bottom w:w="142" w:type="dxa"/>
      </w:tblCellMar>
    </w:tblPr>
    <w:trPr>
      <w:cantSplit/>
    </w:trPr>
  </w:style>
  <w:style w:type="table" w:customStyle="1" w:styleId="ECHRTableMemo">
    <w:name w:val="ECHR_Table_Memo"/>
    <w:basedOn w:val="Standardowy"/>
    <w:uiPriority w:val="99"/>
    <w:rsid w:val="00A1460C"/>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838383" w:themeColor="text2" w:themeShade="BF"/>
          <w:right w:val="nil"/>
          <w:insideH w:val="nil"/>
          <w:insideV w:val="nil"/>
          <w:tl2br w:val="nil"/>
          <w:tr2bl w:val="nil"/>
        </w:tcBorders>
      </w:tcPr>
    </w:tblStylePr>
  </w:style>
  <w:style w:type="table" w:customStyle="1" w:styleId="ECHRDNTable">
    <w:name w:val="ECHR_DN_Table"/>
    <w:basedOn w:val="Standardowy"/>
    <w:uiPriority w:val="99"/>
    <w:rsid w:val="00A1460C"/>
    <w:rPr>
      <w:sz w:val="24"/>
      <w:szCs w:val="24"/>
    </w:rPr>
    <w:tblPr>
      <w:jc w:val="center"/>
      <w:tblBorders>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24242" w:themeColor="accent3" w:themeShade="BF"/>
        <w:sz w:val="24"/>
      </w:rPr>
      <w:tblPr/>
      <w:tcPr>
        <w:tcBorders>
          <w:top w:val="single" w:sz="4" w:space="0" w:color="838383" w:themeColor="text2" w:themeShade="BF"/>
          <w:left w:val="single" w:sz="4" w:space="0" w:color="838383" w:themeColor="text2" w:themeShade="BF"/>
          <w:bottom w:val="nil"/>
          <w:right w:val="single" w:sz="4" w:space="0" w:color="838383"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8"/>
    <w:semiHidden/>
    <w:rsid w:val="00A1460C"/>
    <w:pPr>
      <w:keepNext/>
      <w:keepLines/>
      <w:spacing w:before="240"/>
      <w:contextualSpacing/>
      <w:jc w:val="center"/>
    </w:pPr>
    <w:rPr>
      <w:rFonts w:asciiTheme="majorHAnsi" w:eastAsiaTheme="majorEastAsia" w:hAnsiTheme="majorHAnsi" w:cstheme="majorBidi"/>
      <w:b/>
      <w:bCs/>
      <w:color w:val="424242" w:themeColor="accent3" w:themeShade="BF"/>
      <w:sz w:val="28"/>
    </w:rPr>
  </w:style>
  <w:style w:type="paragraph" w:styleId="Podtytu">
    <w:name w:val="Subtitle"/>
    <w:basedOn w:val="Normalny"/>
    <w:next w:val="Normalny"/>
    <w:link w:val="PodtytuZnak"/>
    <w:uiPriority w:val="98"/>
    <w:semiHidden/>
    <w:qFormat/>
    <w:rsid w:val="00A1460C"/>
    <w:pPr>
      <w:spacing w:after="600"/>
    </w:pPr>
    <w:rPr>
      <w:rFonts w:asciiTheme="majorHAnsi" w:eastAsiaTheme="majorEastAsia" w:hAnsiTheme="majorHAnsi" w:cstheme="majorBidi"/>
      <w:i/>
      <w:iCs/>
      <w:spacing w:val="13"/>
      <w:lang w:bidi="en-US"/>
    </w:rPr>
  </w:style>
  <w:style w:type="character" w:customStyle="1" w:styleId="PodtytuZnak">
    <w:name w:val="Podtytuł Znak"/>
    <w:basedOn w:val="Domylnaczcionkaakapitu"/>
    <w:link w:val="Podtytu"/>
    <w:uiPriority w:val="98"/>
    <w:rsid w:val="00A1460C"/>
    <w:rPr>
      <w:rFonts w:asciiTheme="majorHAnsi" w:eastAsiaTheme="majorEastAsia" w:hAnsiTheme="majorHAnsi" w:cstheme="majorBidi"/>
      <w:i/>
      <w:iCs/>
      <w:spacing w:val="13"/>
      <w:sz w:val="24"/>
      <w:szCs w:val="24"/>
      <w:lang w:val="pl-PL" w:bidi="en-US"/>
    </w:rPr>
  </w:style>
  <w:style w:type="numbering" w:styleId="111111">
    <w:name w:val="Outline List 2"/>
    <w:basedOn w:val="Bezlisty"/>
    <w:uiPriority w:val="99"/>
    <w:semiHidden/>
    <w:unhideWhenUsed/>
    <w:rsid w:val="00A1460C"/>
    <w:pPr>
      <w:numPr>
        <w:numId w:val="3"/>
      </w:numPr>
    </w:pPr>
  </w:style>
  <w:style w:type="paragraph" w:customStyle="1" w:styleId="JuPara">
    <w:name w:val="Ju_Para"/>
    <w:aliases w:val="_Para"/>
    <w:basedOn w:val="NormalJustified"/>
    <w:link w:val="JuParaChar"/>
    <w:uiPriority w:val="4"/>
    <w:qFormat/>
    <w:rsid w:val="00A1460C"/>
    <w:pPr>
      <w:ind w:firstLine="284"/>
    </w:pPr>
  </w:style>
  <w:style w:type="numbering" w:styleId="1ai">
    <w:name w:val="Outline List 1"/>
    <w:basedOn w:val="Bezlisty"/>
    <w:uiPriority w:val="99"/>
    <w:semiHidden/>
    <w:unhideWhenUsed/>
    <w:rsid w:val="00A1460C"/>
    <w:pPr>
      <w:numPr>
        <w:numId w:val="4"/>
      </w:numPr>
    </w:pPr>
  </w:style>
  <w:style w:type="table" w:customStyle="1" w:styleId="ECHRTableSimpleBox">
    <w:name w:val="ECHR_Table_Simple_Box"/>
    <w:basedOn w:val="Standardowy"/>
    <w:uiPriority w:val="99"/>
    <w:rsid w:val="00A1460C"/>
    <w:rPr>
      <w:sz w:val="24"/>
      <w:szCs w:val="24"/>
    </w:rPr>
    <w:tblPr>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tblBorders>
      <w:tblCellMar>
        <w:top w:w="113" w:type="dxa"/>
        <w:bottom w:w="113" w:type="dxa"/>
      </w:tblCellMar>
    </w:tblPr>
  </w:style>
  <w:style w:type="table" w:customStyle="1" w:styleId="ECHRTableNoLines">
    <w:name w:val="ECHR_Table_No_Lines"/>
    <w:basedOn w:val="Standardowy"/>
    <w:uiPriority w:val="99"/>
    <w:rsid w:val="00A1460C"/>
    <w:rPr>
      <w:sz w:val="24"/>
      <w:szCs w:val="24"/>
    </w:rPr>
    <w:tblPr>
      <w:tblCellMar>
        <w:top w:w="85" w:type="dxa"/>
        <w:left w:w="142" w:type="dxa"/>
        <w:bottom w:w="28" w:type="dxa"/>
        <w:right w:w="142" w:type="dxa"/>
      </w:tblCellMar>
    </w:tblPr>
    <w:tblStylePr w:type="firstRow">
      <w:rPr>
        <w:rFonts w:asciiTheme="majorHAnsi" w:hAnsiTheme="majorHAnsi"/>
        <w:b/>
        <w:i w:val="0"/>
        <w:color w:val="424242" w:themeColor="accent3" w:themeShade="BF"/>
        <w:sz w:val="24"/>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cBorders>
      </w:tcPr>
    </w:tblStylePr>
  </w:style>
  <w:style w:type="numbering" w:styleId="Artykusekcja">
    <w:name w:val="Outline List 3"/>
    <w:basedOn w:val="Bezlisty"/>
    <w:uiPriority w:val="99"/>
    <w:semiHidden/>
    <w:unhideWhenUsed/>
    <w:rsid w:val="00A1460C"/>
    <w:pPr>
      <w:numPr>
        <w:numId w:val="5"/>
      </w:numPr>
    </w:pPr>
  </w:style>
  <w:style w:type="table" w:customStyle="1" w:styleId="ECHRTableForInternalUse">
    <w:name w:val="ECHR_Table_For_Internal_Use"/>
    <w:basedOn w:val="Standardowy"/>
    <w:uiPriority w:val="99"/>
    <w:rsid w:val="00A1460C"/>
    <w:rPr>
      <w:color w:val="585858"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tcPr>
    </w:tblStylePr>
    <w:tblStylePr w:type="band1Vert">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tcPr>
    </w:tblStylePr>
  </w:style>
  <w:style w:type="table" w:customStyle="1" w:styleId="ECHRListTable">
    <w:name w:val="ECHR_List_Table"/>
    <w:basedOn w:val="Standardowy"/>
    <w:uiPriority w:val="99"/>
    <w:rsid w:val="00A1460C"/>
    <w:rPr>
      <w:sz w:val="24"/>
      <w:szCs w:val="24"/>
    </w:rPr>
    <w:tblPr>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b/>
        <w:color w:val="424242" w:themeColor="accent3" w:themeShade="BF"/>
      </w:rPr>
      <w:tblPr/>
      <w:trPr>
        <w:tblHeader/>
      </w:tr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cBorders>
        <w:shd w:val="clear" w:color="auto" w:fill="DFDFDF" w:themeFill="background2" w:themeFillShade="E6"/>
      </w:tcPr>
    </w:tblStylePr>
  </w:style>
  <w:style w:type="paragraph" w:styleId="Bibliografia">
    <w:name w:val="Bibliography"/>
    <w:basedOn w:val="Normalny"/>
    <w:next w:val="Normalny"/>
    <w:uiPriority w:val="98"/>
    <w:semiHidden/>
    <w:rsid w:val="00A1460C"/>
  </w:style>
  <w:style w:type="paragraph" w:styleId="Tekstblokowy">
    <w:name w:val="Block Text"/>
    <w:basedOn w:val="Normalny"/>
    <w:uiPriority w:val="98"/>
    <w:semiHidden/>
    <w:rsid w:val="00A1460C"/>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Standardowy"/>
    <w:uiPriority w:val="99"/>
    <w:rsid w:val="00A1460C"/>
    <w:rPr>
      <w:sz w:val="24"/>
      <w:szCs w:val="24"/>
    </w:rPr>
    <w:tblPr>
      <w:tblInd w:w="-1474" w:type="dxa"/>
      <w:tblBorders>
        <w:bottom w:val="single" w:sz="6" w:space="0" w:color="838383"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8"/>
    <w:semiHidden/>
    <w:rsid w:val="00A1460C"/>
    <w:pPr>
      <w:spacing w:after="120"/>
    </w:pPr>
  </w:style>
  <w:style w:type="character" w:customStyle="1" w:styleId="TekstpodstawowyZnak">
    <w:name w:val="Tekst podstawowy Znak"/>
    <w:basedOn w:val="Domylnaczcionkaakapitu"/>
    <w:link w:val="Tekstpodstawowy"/>
    <w:uiPriority w:val="98"/>
    <w:semiHidden/>
    <w:rsid w:val="00A1460C"/>
    <w:rPr>
      <w:sz w:val="24"/>
      <w:szCs w:val="24"/>
      <w:lang w:val="pl-PL"/>
    </w:rPr>
  </w:style>
  <w:style w:type="table" w:customStyle="1" w:styleId="ECHRTableOddBanded">
    <w:name w:val="ECHR_Table_Odd_Banded"/>
    <w:basedOn w:val="Standardowy"/>
    <w:uiPriority w:val="99"/>
    <w:rsid w:val="00A1460C"/>
    <w:tblPr>
      <w:tblStyleRowBandSize w:val="1"/>
      <w:tblStyleColBandSize w:val="1"/>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rFonts w:asciiTheme="majorHAnsi" w:hAnsiTheme="majorHAnsi"/>
        <w:b/>
        <w:i w:val="0"/>
        <w:color w:val="424242" w:themeColor="accent3" w:themeShade="BF"/>
        <w:sz w:val="22"/>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nil"/>
          <w:insideV w:val="single" w:sz="4" w:space="0" w:color="838383"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8"/>
    <w:semiHidden/>
    <w:rsid w:val="00A1460C"/>
    <w:pPr>
      <w:spacing w:after="120" w:line="480" w:lineRule="auto"/>
    </w:pPr>
  </w:style>
  <w:style w:type="table" w:customStyle="1" w:styleId="ECHRHeaderTableReduced">
    <w:name w:val="ECHR_Header_Table_Reduced"/>
    <w:basedOn w:val="Standardowy"/>
    <w:uiPriority w:val="99"/>
    <w:rsid w:val="00A1460C"/>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838383" w:themeColor="text2" w:themeShade="BF"/>
          <w:right w:val="nil"/>
          <w:insideH w:val="nil"/>
          <w:insideV w:val="nil"/>
          <w:tl2br w:val="nil"/>
          <w:tr2bl w:val="nil"/>
        </w:tcBorders>
      </w:tcPr>
    </w:tblStylePr>
    <w:tblStylePr w:type="lastRow">
      <w:pPr>
        <w:jc w:val="right"/>
      </w:pPr>
      <w:tblPr/>
      <w:tcPr>
        <w:tcBorders>
          <w:top w:val="single" w:sz="6" w:space="0" w:color="838383"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Justified"/>
    <w:next w:val="JuPara"/>
    <w:uiPriority w:val="32"/>
    <w:rsid w:val="00A1460C"/>
    <w:pPr>
      <w:ind w:firstLine="284"/>
    </w:pPr>
    <w:rPr>
      <w:b/>
    </w:rPr>
  </w:style>
  <w:style w:type="character" w:styleId="Numerstrony">
    <w:name w:val="page number"/>
    <w:uiPriority w:val="98"/>
    <w:semiHidden/>
    <w:rsid w:val="00A1460C"/>
    <w:rPr>
      <w:sz w:val="18"/>
    </w:rPr>
  </w:style>
  <w:style w:type="paragraph" w:styleId="Listapunktowana">
    <w:name w:val="List Bullet"/>
    <w:basedOn w:val="Normalny"/>
    <w:uiPriority w:val="98"/>
    <w:semiHidden/>
    <w:rsid w:val="00A1460C"/>
    <w:pPr>
      <w:numPr>
        <w:numId w:val="6"/>
      </w:numPr>
    </w:pPr>
  </w:style>
  <w:style w:type="paragraph" w:styleId="Listapunktowana3">
    <w:name w:val="List Bullet 3"/>
    <w:basedOn w:val="Normalny"/>
    <w:uiPriority w:val="98"/>
    <w:semiHidden/>
    <w:rsid w:val="00A1460C"/>
    <w:pPr>
      <w:numPr>
        <w:numId w:val="8"/>
      </w:numPr>
      <w:contextualSpacing/>
    </w:pPr>
  </w:style>
  <w:style w:type="character" w:customStyle="1" w:styleId="Tekstpodstawowy2Znak">
    <w:name w:val="Tekst podstawowy 2 Znak"/>
    <w:basedOn w:val="Domylnaczcionkaakapitu"/>
    <w:link w:val="Tekstpodstawowy2"/>
    <w:uiPriority w:val="98"/>
    <w:semiHidden/>
    <w:rsid w:val="00A1460C"/>
    <w:rPr>
      <w:sz w:val="24"/>
      <w:szCs w:val="24"/>
      <w:lang w:val="pl-PL"/>
    </w:rPr>
  </w:style>
  <w:style w:type="paragraph" w:styleId="Tekstpodstawowy3">
    <w:name w:val="Body Text 3"/>
    <w:basedOn w:val="Normalny"/>
    <w:link w:val="Tekstpodstawowy3Znak"/>
    <w:uiPriority w:val="98"/>
    <w:semiHidden/>
    <w:rsid w:val="00A1460C"/>
    <w:pPr>
      <w:spacing w:after="120"/>
    </w:pPr>
    <w:rPr>
      <w:sz w:val="16"/>
      <w:szCs w:val="16"/>
    </w:rPr>
  </w:style>
  <w:style w:type="character" w:customStyle="1" w:styleId="Tekstpodstawowy3Znak">
    <w:name w:val="Tekst podstawowy 3 Znak"/>
    <w:basedOn w:val="Domylnaczcionkaakapitu"/>
    <w:link w:val="Tekstpodstawowy3"/>
    <w:uiPriority w:val="98"/>
    <w:semiHidden/>
    <w:rsid w:val="00A1460C"/>
    <w:rPr>
      <w:sz w:val="16"/>
      <w:szCs w:val="16"/>
      <w:lang w:val="pl-PL"/>
    </w:rPr>
  </w:style>
  <w:style w:type="paragraph" w:styleId="Tekstpodstawowyzwciciem">
    <w:name w:val="Body Text First Indent"/>
    <w:basedOn w:val="Tekstpodstawowy"/>
    <w:link w:val="TekstpodstawowyzwciciemZnak"/>
    <w:uiPriority w:val="98"/>
    <w:semiHidden/>
    <w:rsid w:val="00A1460C"/>
    <w:pPr>
      <w:spacing w:after="0"/>
      <w:ind w:firstLine="360"/>
    </w:pPr>
  </w:style>
  <w:style w:type="character" w:customStyle="1" w:styleId="TekstpodstawowyzwciciemZnak">
    <w:name w:val="Tekst podstawowy z wcięciem Znak"/>
    <w:basedOn w:val="TekstpodstawowyZnak"/>
    <w:link w:val="Tekstpodstawowyzwciciem"/>
    <w:uiPriority w:val="98"/>
    <w:semiHidden/>
    <w:rsid w:val="00A1460C"/>
    <w:rPr>
      <w:sz w:val="24"/>
      <w:szCs w:val="24"/>
      <w:lang w:val="pl-PL"/>
    </w:rPr>
  </w:style>
  <w:style w:type="paragraph" w:styleId="Tekstpodstawowywcity">
    <w:name w:val="Body Text Indent"/>
    <w:basedOn w:val="Normalny"/>
    <w:link w:val="TekstpodstawowywcityZnak"/>
    <w:uiPriority w:val="98"/>
    <w:semiHidden/>
    <w:rsid w:val="00A1460C"/>
    <w:pPr>
      <w:spacing w:after="120"/>
      <w:ind w:left="283"/>
    </w:pPr>
  </w:style>
  <w:style w:type="character" w:customStyle="1" w:styleId="TekstpodstawowywcityZnak">
    <w:name w:val="Tekst podstawowy wcięty Znak"/>
    <w:basedOn w:val="Domylnaczcionkaakapitu"/>
    <w:link w:val="Tekstpodstawowywcity"/>
    <w:uiPriority w:val="98"/>
    <w:semiHidden/>
    <w:rsid w:val="00A1460C"/>
    <w:rPr>
      <w:sz w:val="24"/>
      <w:szCs w:val="24"/>
      <w:lang w:val="pl-PL"/>
    </w:rPr>
  </w:style>
  <w:style w:type="paragraph" w:styleId="Tekstpodstawowyzwciciem2">
    <w:name w:val="Body Text First Indent 2"/>
    <w:basedOn w:val="Tekstpodstawowywcity"/>
    <w:link w:val="Tekstpodstawowyzwciciem2Znak"/>
    <w:uiPriority w:val="98"/>
    <w:semiHidden/>
    <w:rsid w:val="00A1460C"/>
    <w:pPr>
      <w:spacing w:after="0"/>
      <w:ind w:left="360" w:firstLine="360"/>
    </w:pPr>
  </w:style>
  <w:style w:type="character" w:customStyle="1" w:styleId="Tekstpodstawowyzwciciem2Znak">
    <w:name w:val="Tekst podstawowy z wcięciem 2 Znak"/>
    <w:basedOn w:val="TekstpodstawowywcityZnak"/>
    <w:link w:val="Tekstpodstawowyzwciciem2"/>
    <w:uiPriority w:val="98"/>
    <w:semiHidden/>
    <w:rsid w:val="00A1460C"/>
    <w:rPr>
      <w:sz w:val="24"/>
      <w:szCs w:val="24"/>
      <w:lang w:val="pl-PL"/>
    </w:rPr>
  </w:style>
  <w:style w:type="paragraph" w:styleId="Tekstpodstawowywcity2">
    <w:name w:val="Body Text Indent 2"/>
    <w:basedOn w:val="Normalny"/>
    <w:link w:val="Tekstpodstawowywcity2Znak"/>
    <w:uiPriority w:val="98"/>
    <w:semiHidden/>
    <w:rsid w:val="00A1460C"/>
    <w:pPr>
      <w:spacing w:after="120" w:line="480" w:lineRule="auto"/>
      <w:ind w:left="283"/>
    </w:pPr>
  </w:style>
  <w:style w:type="character" w:customStyle="1" w:styleId="Tekstpodstawowywcity2Znak">
    <w:name w:val="Tekst podstawowy wcięty 2 Znak"/>
    <w:basedOn w:val="Domylnaczcionkaakapitu"/>
    <w:link w:val="Tekstpodstawowywcity2"/>
    <w:uiPriority w:val="98"/>
    <w:semiHidden/>
    <w:rsid w:val="00A1460C"/>
    <w:rPr>
      <w:sz w:val="24"/>
      <w:szCs w:val="24"/>
      <w:lang w:val="pl-PL"/>
    </w:rPr>
  </w:style>
  <w:style w:type="paragraph" w:styleId="Tekstpodstawowywcity3">
    <w:name w:val="Body Text Indent 3"/>
    <w:basedOn w:val="Normalny"/>
    <w:link w:val="Tekstpodstawowywcity3Znak"/>
    <w:uiPriority w:val="98"/>
    <w:semiHidden/>
    <w:rsid w:val="00A1460C"/>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8"/>
    <w:semiHidden/>
    <w:rsid w:val="00A1460C"/>
    <w:rPr>
      <w:sz w:val="16"/>
      <w:szCs w:val="16"/>
      <w:lang w:val="pl-PL"/>
    </w:rPr>
  </w:style>
  <w:style w:type="paragraph" w:styleId="Legenda">
    <w:name w:val="caption"/>
    <w:basedOn w:val="Normalny"/>
    <w:next w:val="Normalny"/>
    <w:uiPriority w:val="98"/>
    <w:semiHidden/>
    <w:qFormat/>
    <w:rsid w:val="00A1460C"/>
    <w:pPr>
      <w:spacing w:after="200"/>
    </w:pPr>
    <w:rPr>
      <w:b/>
      <w:bCs/>
      <w:color w:val="0072BC" w:themeColor="accent1"/>
      <w:sz w:val="18"/>
      <w:szCs w:val="18"/>
    </w:rPr>
  </w:style>
  <w:style w:type="paragraph" w:styleId="Zwrotpoegnalny">
    <w:name w:val="Closing"/>
    <w:basedOn w:val="Normalny"/>
    <w:link w:val="ZwrotpoegnalnyZnak"/>
    <w:uiPriority w:val="98"/>
    <w:semiHidden/>
    <w:rsid w:val="00A1460C"/>
    <w:pPr>
      <w:ind w:left="4252"/>
    </w:pPr>
  </w:style>
  <w:style w:type="character" w:customStyle="1" w:styleId="ZwrotpoegnalnyZnak">
    <w:name w:val="Zwrot pożegnalny Znak"/>
    <w:basedOn w:val="Domylnaczcionkaakapitu"/>
    <w:link w:val="Zwrotpoegnalny"/>
    <w:uiPriority w:val="98"/>
    <w:semiHidden/>
    <w:rsid w:val="00A1460C"/>
    <w:rPr>
      <w:sz w:val="24"/>
      <w:szCs w:val="24"/>
      <w:lang w:val="pl-PL"/>
    </w:rPr>
  </w:style>
  <w:style w:type="table" w:styleId="Kolorowasiatka">
    <w:name w:val="Colorful Grid"/>
    <w:basedOn w:val="Standardowy"/>
    <w:uiPriority w:val="73"/>
    <w:semiHidden/>
    <w:rsid w:val="00A1460C"/>
    <w:rPr>
      <w:color w:val="000000" w:themeColor="text1"/>
      <w:sz w:val="24"/>
      <w:szCs w:val="24"/>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A1460C"/>
    <w:rPr>
      <w:color w:val="000000" w:themeColor="text1"/>
      <w:sz w:val="24"/>
      <w:szCs w:val="24"/>
    </w:rPr>
    <w:tblPr>
      <w:tblStyleRowBandSize w:val="1"/>
      <w:tblStyleColBandSize w:val="1"/>
      <w:tblBorders>
        <w:insideH w:val="single" w:sz="4" w:space="0" w:color="FFFFFF"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FFFFFF" w:themeColor="background1"/>
      </w:rPr>
      <w:tblPr/>
      <w:tcPr>
        <w:shd w:val="clear" w:color="auto" w:fill="00548C" w:themeFill="accent1" w:themeFillShade="BF"/>
      </w:tcPr>
    </w:tblStylePr>
    <w:tblStylePr w:type="lastCol">
      <w:rPr>
        <w:color w:val="FFFFFF"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A1460C"/>
    <w:rPr>
      <w:color w:val="000000" w:themeColor="text1"/>
      <w:sz w:val="24"/>
      <w:szCs w:val="24"/>
    </w:rPr>
    <w:tblPr>
      <w:tblStyleRowBandSize w:val="1"/>
      <w:tblStyleColBandSize w:val="1"/>
      <w:tblBorders>
        <w:insideH w:val="single" w:sz="4" w:space="0" w:color="FFFFFF"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FFFFFF" w:themeColor="background1"/>
      </w:rPr>
      <w:tblPr/>
      <w:tcPr>
        <w:shd w:val="clear" w:color="auto" w:fill="8F0000" w:themeFill="accent2" w:themeFillShade="BF"/>
      </w:tcPr>
    </w:tblStylePr>
    <w:tblStylePr w:type="lastCol">
      <w:rPr>
        <w:color w:val="FFFFFF"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A1460C"/>
    <w:rPr>
      <w:color w:val="000000" w:themeColor="text1"/>
      <w:sz w:val="24"/>
      <w:szCs w:val="24"/>
    </w:rPr>
    <w:tblPr>
      <w:tblStyleRowBandSize w:val="1"/>
      <w:tblStyleColBandSize w:val="1"/>
      <w:tblBorders>
        <w:insideH w:val="single" w:sz="4" w:space="0" w:color="FFFFFF" w:themeColor="background1"/>
      </w:tblBorders>
    </w:tblPr>
    <w:tcPr>
      <w:shd w:val="clear" w:color="auto" w:fill="DDDDDD" w:themeFill="accent3" w:themeFillTint="33"/>
    </w:tcPr>
    <w:tblStylePr w:type="firstRow">
      <w:rPr>
        <w:b/>
        <w:bCs/>
      </w:rPr>
      <w:tblPr/>
      <w:tcPr>
        <w:shd w:val="clear" w:color="auto" w:fill="BCBCBC" w:themeFill="accent3" w:themeFillTint="66"/>
      </w:tcPr>
    </w:tblStylePr>
    <w:tblStylePr w:type="lastRow">
      <w:rPr>
        <w:b/>
        <w:bCs/>
        <w:color w:val="000000" w:themeColor="text1"/>
      </w:rPr>
      <w:tblPr/>
      <w:tcPr>
        <w:shd w:val="clear" w:color="auto" w:fill="BCBCBC" w:themeFill="accent3" w:themeFillTint="66"/>
      </w:tcPr>
    </w:tblStylePr>
    <w:tblStylePr w:type="firstCol">
      <w:rPr>
        <w:color w:val="FFFFFF" w:themeColor="background1"/>
      </w:rPr>
      <w:tblPr/>
      <w:tcPr>
        <w:shd w:val="clear" w:color="auto" w:fill="424242" w:themeFill="accent3" w:themeFillShade="BF"/>
      </w:tcPr>
    </w:tblStylePr>
    <w:tblStylePr w:type="lastCol">
      <w:rPr>
        <w:color w:val="FFFFFF" w:themeColor="background1"/>
      </w:rPr>
      <w:tblPr/>
      <w:tcPr>
        <w:shd w:val="clear" w:color="auto" w:fill="424242" w:themeFill="accent3" w:themeFillShade="BF"/>
      </w:tcPr>
    </w:tblStylePr>
    <w:tblStylePr w:type="band1Vert">
      <w:tblPr/>
      <w:tcPr>
        <w:shd w:val="clear" w:color="auto" w:fill="ACACAC" w:themeFill="accent3" w:themeFillTint="7F"/>
      </w:tcPr>
    </w:tblStylePr>
    <w:tblStylePr w:type="band1Horz">
      <w:tblPr/>
      <w:tcPr>
        <w:shd w:val="clear" w:color="auto" w:fill="ACACAC" w:themeFill="accent3" w:themeFillTint="7F"/>
      </w:tcPr>
    </w:tblStylePr>
  </w:style>
  <w:style w:type="table" w:styleId="Kolorowasiatkaakcent4">
    <w:name w:val="Colorful Grid Accent 4"/>
    <w:basedOn w:val="Standardowy"/>
    <w:uiPriority w:val="73"/>
    <w:semiHidden/>
    <w:rsid w:val="00A1460C"/>
    <w:rPr>
      <w:color w:val="000000" w:themeColor="text1"/>
      <w:sz w:val="24"/>
      <w:szCs w:val="24"/>
    </w:rPr>
    <w:tblPr>
      <w:tblStyleRowBandSize w:val="1"/>
      <w:tblStyleColBandSize w:val="1"/>
      <w:tblBorders>
        <w:insideH w:val="single" w:sz="4" w:space="0" w:color="FFFFFF"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FFFFFF" w:themeColor="background1"/>
      </w:rPr>
      <w:tblPr/>
      <w:tcPr>
        <w:shd w:val="clear" w:color="auto" w:fill="707070" w:themeFill="accent4" w:themeFillShade="BF"/>
      </w:tcPr>
    </w:tblStylePr>
    <w:tblStylePr w:type="lastCol">
      <w:rPr>
        <w:color w:val="FFFFFF"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A1460C"/>
    <w:rPr>
      <w:color w:val="000000" w:themeColor="text1"/>
      <w:sz w:val="24"/>
      <w:szCs w:val="24"/>
    </w:rPr>
    <w:tblPr>
      <w:tblStyleRowBandSize w:val="1"/>
      <w:tblStyleColBandSize w:val="1"/>
      <w:tblBorders>
        <w:insideH w:val="single" w:sz="4" w:space="0" w:color="FFFFFF"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FFFFFF" w:themeColor="background1"/>
      </w:rPr>
      <w:tblPr/>
      <w:tcPr>
        <w:shd w:val="clear" w:color="auto" w:fill="474747" w:themeFill="accent5" w:themeFillShade="BF"/>
      </w:tcPr>
    </w:tblStylePr>
    <w:tblStylePr w:type="lastCol">
      <w:rPr>
        <w:color w:val="FFFFFF"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A1460C"/>
    <w:rPr>
      <w:color w:val="000000" w:themeColor="text1"/>
      <w:sz w:val="24"/>
      <w:szCs w:val="24"/>
    </w:rPr>
    <w:tblPr>
      <w:tblStyleRowBandSize w:val="1"/>
      <w:tblStyleColBandSize w:val="1"/>
      <w:tblBorders>
        <w:insideH w:val="single" w:sz="4" w:space="0" w:color="FFFFFF"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FFFFFF" w:themeColor="background1"/>
      </w:rPr>
      <w:tblPr/>
      <w:tcPr>
        <w:shd w:val="clear" w:color="auto" w:fill="393939" w:themeFill="accent6" w:themeFillShade="BF"/>
      </w:tcPr>
    </w:tblStylePr>
    <w:tblStylePr w:type="lastCol">
      <w:rPr>
        <w:color w:val="FFFFFF"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72"/>
    <w:semiHidden/>
    <w:rsid w:val="00A1460C"/>
    <w:rPr>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A1460C"/>
    <w:rPr>
      <w:color w:val="000000" w:themeColor="text1"/>
      <w:sz w:val="24"/>
      <w:szCs w:val="24"/>
    </w:rPr>
    <w:tblPr>
      <w:tblStyleRowBandSize w:val="1"/>
      <w:tblStyleColBandSize w:val="1"/>
    </w:tblPr>
    <w:tcPr>
      <w:shd w:val="clear" w:color="auto" w:fill="DFF2FF" w:themeFill="accent1"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A1460C"/>
    <w:rPr>
      <w:color w:val="000000" w:themeColor="text1"/>
      <w:sz w:val="24"/>
      <w:szCs w:val="24"/>
    </w:rPr>
    <w:tblPr>
      <w:tblStyleRowBandSize w:val="1"/>
      <w:tblStyleColBandSize w:val="1"/>
    </w:tblPr>
    <w:tcPr>
      <w:shd w:val="clear" w:color="auto" w:fill="FFDFDF" w:themeFill="accent2"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A1460C"/>
    <w:rPr>
      <w:color w:val="000000" w:themeColor="text1"/>
      <w:sz w:val="24"/>
      <w:szCs w:val="24"/>
    </w:rPr>
    <w:tblPr>
      <w:tblStyleRowBandSize w:val="1"/>
      <w:tblStyleColBandSize w:val="1"/>
    </w:tblPr>
    <w:tcPr>
      <w:shd w:val="clear" w:color="auto" w:fill="EEEEEE" w:themeFill="accent3" w:themeFillTint="19"/>
    </w:tcPr>
    <w:tblStylePr w:type="firstRow">
      <w:rPr>
        <w:b/>
        <w:bCs/>
        <w:color w:val="FFFFFF" w:themeColor="background1"/>
      </w:rPr>
      <w:tblPr/>
      <w:tcPr>
        <w:tcBorders>
          <w:bottom w:val="single" w:sz="12" w:space="0" w:color="FFFFFF"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5D5D5" w:themeFill="accent3" w:themeFillTint="3F"/>
      </w:tcPr>
    </w:tblStylePr>
    <w:tblStylePr w:type="band1Horz">
      <w:tblPr/>
      <w:tcPr>
        <w:shd w:val="clear" w:color="auto" w:fill="DDDDDD" w:themeFill="accent3" w:themeFillTint="33"/>
      </w:tcPr>
    </w:tblStylePr>
  </w:style>
  <w:style w:type="table" w:styleId="Kolorowalistaakcent4">
    <w:name w:val="Colorful List Accent 4"/>
    <w:basedOn w:val="Standardowy"/>
    <w:uiPriority w:val="72"/>
    <w:semiHidden/>
    <w:rsid w:val="00A1460C"/>
    <w:rPr>
      <w:color w:val="000000" w:themeColor="text1"/>
      <w:sz w:val="24"/>
      <w:szCs w:val="24"/>
    </w:rPr>
    <w:tblPr>
      <w:tblStyleRowBandSize w:val="1"/>
      <w:tblStyleColBandSize w:val="1"/>
    </w:tblPr>
    <w:tcPr>
      <w:shd w:val="clear" w:color="auto" w:fill="F4F4F4" w:themeFill="accent4" w:themeFillTint="19"/>
    </w:tcPr>
    <w:tblStylePr w:type="firstRow">
      <w:rPr>
        <w:b/>
        <w:bCs/>
        <w:color w:val="FFFFFF" w:themeColor="background1"/>
      </w:rPr>
      <w:tblPr/>
      <w:tcPr>
        <w:tcBorders>
          <w:bottom w:val="single" w:sz="12" w:space="0" w:color="FFFFFF" w:themeColor="background1"/>
        </w:tcBorders>
        <w:shd w:val="clear" w:color="auto" w:fill="474747" w:themeFill="accent3" w:themeFillShade="CC"/>
      </w:tcPr>
    </w:tblStylePr>
    <w:tblStylePr w:type="lastRow">
      <w:rPr>
        <w:b/>
        <w:bCs/>
        <w:color w:val="474747"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A1460C"/>
    <w:rPr>
      <w:color w:val="000000" w:themeColor="text1"/>
      <w:sz w:val="24"/>
      <w:szCs w:val="24"/>
    </w:rPr>
    <w:tblPr>
      <w:tblStyleRowBandSize w:val="1"/>
      <w:tblStyleColBandSize w:val="1"/>
    </w:tblPr>
    <w:tcPr>
      <w:shd w:val="clear" w:color="auto" w:fill="EFEFEF" w:themeFill="accent5" w:themeFillTint="19"/>
    </w:tcPr>
    <w:tblStylePr w:type="firstRow">
      <w:rPr>
        <w:b/>
        <w:bCs/>
        <w:color w:val="FFFFFF" w:themeColor="background1"/>
      </w:rPr>
      <w:tblPr/>
      <w:tcPr>
        <w:tcBorders>
          <w:bottom w:val="single" w:sz="12" w:space="0" w:color="FFFFFF"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A1460C"/>
    <w:rPr>
      <w:color w:val="000000" w:themeColor="text1"/>
      <w:sz w:val="24"/>
      <w:szCs w:val="24"/>
    </w:rPr>
    <w:tblPr>
      <w:tblStyleRowBandSize w:val="1"/>
      <w:tblStyleColBandSize w:val="1"/>
    </w:tblPr>
    <w:tcPr>
      <w:shd w:val="clear" w:color="auto" w:fill="EDEDED" w:themeFill="accent6" w:themeFillTint="19"/>
    </w:tcPr>
    <w:tblStylePr w:type="firstRow">
      <w:rPr>
        <w:b/>
        <w:bCs/>
        <w:color w:val="FFFFFF" w:themeColor="background1"/>
      </w:rPr>
      <w:tblPr/>
      <w:tcPr>
        <w:tcBorders>
          <w:bottom w:val="single" w:sz="12" w:space="0" w:color="FFFFFF"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71"/>
    <w:semiHidden/>
    <w:rsid w:val="00A1460C"/>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A1460C"/>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FFFFFF" w:themeColor="background1"/>
        <w:insideV w:val="single" w:sz="4" w:space="0" w:color="FFFFFF"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4470" w:themeFill="accent1" w:themeFillShade="99"/>
      </w:tcPr>
    </w:tblStylePr>
    <w:tblStylePr w:type="firstCol">
      <w:rPr>
        <w:color w:val="FFFFFF"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A1460C"/>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FFFFFF" w:themeColor="background1"/>
        <w:insideV w:val="single" w:sz="4" w:space="0" w:color="FFFFFF"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30000" w:themeFill="accent2" w:themeFillShade="99"/>
      </w:tcPr>
    </w:tblStylePr>
    <w:tblStylePr w:type="firstCol">
      <w:rPr>
        <w:color w:val="FFFFFF"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A1460C"/>
    <w:rPr>
      <w:color w:val="000000" w:themeColor="text1"/>
      <w:sz w:val="24"/>
      <w:szCs w:val="24"/>
    </w:rPr>
    <w:tblPr>
      <w:tblStyleRowBandSize w:val="1"/>
      <w:tblStyleColBandSize w:val="1"/>
      <w:tblBorders>
        <w:top w:val="single" w:sz="24" w:space="0" w:color="969696" w:themeColor="accent4"/>
        <w:left w:val="single" w:sz="4" w:space="0" w:color="595959" w:themeColor="accent3"/>
        <w:bottom w:val="single" w:sz="4" w:space="0" w:color="595959" w:themeColor="accent3"/>
        <w:right w:val="single" w:sz="4" w:space="0" w:color="595959" w:themeColor="accent3"/>
        <w:insideH w:val="single" w:sz="4" w:space="0" w:color="FFFFFF" w:themeColor="background1"/>
        <w:insideV w:val="single" w:sz="4" w:space="0" w:color="FFFFFF" w:themeColor="background1"/>
      </w:tblBorders>
    </w:tblPr>
    <w:tcPr>
      <w:shd w:val="clear" w:color="auto" w:fill="EEEEEE"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53535" w:themeFill="accent3" w:themeFillShade="99"/>
      </w:tcPr>
    </w:tblStylePr>
    <w:tblStylePr w:type="firstCol">
      <w:rPr>
        <w:color w:val="FFFFFF" w:themeColor="background1"/>
      </w:rPr>
      <w:tblPr/>
      <w:tcPr>
        <w:tcBorders>
          <w:top w:val="nil"/>
          <w:left w:val="nil"/>
          <w:bottom w:val="nil"/>
          <w:right w:val="nil"/>
          <w:insideH w:val="single" w:sz="4" w:space="0" w:color="353535" w:themeColor="accent3" w:themeShade="99"/>
          <w:insideV w:val="nil"/>
        </w:tcBorders>
        <w:shd w:val="clear" w:color="auto" w:fill="35353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353535" w:themeFill="accent3" w:themeFillShade="99"/>
      </w:tcPr>
    </w:tblStylePr>
    <w:tblStylePr w:type="band1Vert">
      <w:tblPr/>
      <w:tcPr>
        <w:shd w:val="clear" w:color="auto" w:fill="BCBCBC" w:themeFill="accent3" w:themeFillTint="66"/>
      </w:tcPr>
    </w:tblStylePr>
    <w:tblStylePr w:type="band1Horz">
      <w:tblPr/>
      <w:tcPr>
        <w:shd w:val="clear" w:color="auto" w:fill="ACACAC" w:themeFill="accent3" w:themeFillTint="7F"/>
      </w:tcPr>
    </w:tblStylePr>
  </w:style>
  <w:style w:type="table" w:styleId="Kolorowecieniowanieakcent4">
    <w:name w:val="Colorful Shading Accent 4"/>
    <w:basedOn w:val="Standardowy"/>
    <w:uiPriority w:val="71"/>
    <w:semiHidden/>
    <w:rsid w:val="00A1460C"/>
    <w:rPr>
      <w:color w:val="000000" w:themeColor="text1"/>
      <w:sz w:val="24"/>
      <w:szCs w:val="24"/>
    </w:rPr>
    <w:tblPr>
      <w:tblStyleRowBandSize w:val="1"/>
      <w:tblStyleColBandSize w:val="1"/>
      <w:tblBorders>
        <w:top w:val="single" w:sz="24" w:space="0" w:color="595959" w:themeColor="accent3"/>
        <w:left w:val="single" w:sz="4" w:space="0" w:color="969696" w:themeColor="accent4"/>
        <w:bottom w:val="single" w:sz="4" w:space="0" w:color="969696" w:themeColor="accent4"/>
        <w:right w:val="single" w:sz="4" w:space="0" w:color="969696" w:themeColor="accent4"/>
        <w:insideH w:val="single" w:sz="4" w:space="0" w:color="FFFFFF" w:themeColor="background1"/>
        <w:insideV w:val="single" w:sz="4" w:space="0" w:color="FFFFFF" w:themeColor="background1"/>
      </w:tblBorders>
    </w:tblPr>
    <w:tcPr>
      <w:shd w:val="clear" w:color="auto" w:fill="F4F4F4" w:themeFill="accent4" w:themeFillTint="19"/>
    </w:tcPr>
    <w:tblStylePr w:type="firstRow">
      <w:rPr>
        <w:b/>
        <w:bCs/>
      </w:rPr>
      <w:tblPr/>
      <w:tcPr>
        <w:tcBorders>
          <w:top w:val="nil"/>
          <w:left w:val="nil"/>
          <w:bottom w:val="single" w:sz="24" w:space="0" w:color="5959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A5A5A" w:themeFill="accent4" w:themeFillShade="99"/>
      </w:tcPr>
    </w:tblStylePr>
    <w:tblStylePr w:type="firstCol">
      <w:rPr>
        <w:color w:val="FFFFFF"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A1460C"/>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FFFFFF" w:themeColor="background1"/>
        <w:insideV w:val="single" w:sz="4" w:space="0" w:color="FFFFFF"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93939" w:themeFill="accent5" w:themeFillShade="99"/>
      </w:tcPr>
    </w:tblStylePr>
    <w:tblStylePr w:type="firstCol">
      <w:rPr>
        <w:color w:val="FFFFFF"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A1460C"/>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FFFFFF" w:themeColor="background1"/>
        <w:insideV w:val="single" w:sz="4" w:space="0" w:color="FFFFFF"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2E2E" w:themeFill="accent6" w:themeFillShade="99"/>
      </w:tcPr>
    </w:tblStylePr>
    <w:tblStylePr w:type="firstCol">
      <w:rPr>
        <w:color w:val="FFFFFF"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uiPriority w:val="98"/>
    <w:semiHidden/>
    <w:rsid w:val="00A1460C"/>
    <w:rPr>
      <w:sz w:val="16"/>
      <w:szCs w:val="16"/>
    </w:rPr>
  </w:style>
  <w:style w:type="paragraph" w:styleId="Tekstkomentarza">
    <w:name w:val="annotation text"/>
    <w:basedOn w:val="Normalny"/>
    <w:link w:val="TekstkomentarzaZnak"/>
    <w:uiPriority w:val="98"/>
    <w:semiHidden/>
    <w:rsid w:val="00A1460C"/>
    <w:rPr>
      <w:sz w:val="20"/>
      <w:szCs w:val="20"/>
    </w:rPr>
  </w:style>
  <w:style w:type="character" w:customStyle="1" w:styleId="TekstkomentarzaZnak">
    <w:name w:val="Tekst komentarza Znak"/>
    <w:basedOn w:val="Domylnaczcionkaakapitu"/>
    <w:link w:val="Tekstkomentarza"/>
    <w:uiPriority w:val="98"/>
    <w:semiHidden/>
    <w:rsid w:val="00A1460C"/>
    <w:rPr>
      <w:sz w:val="20"/>
      <w:szCs w:val="20"/>
      <w:lang w:val="pl-PL"/>
    </w:rPr>
  </w:style>
  <w:style w:type="paragraph" w:styleId="Tematkomentarza">
    <w:name w:val="annotation subject"/>
    <w:basedOn w:val="Tekstkomentarza"/>
    <w:next w:val="Tekstkomentarza"/>
    <w:link w:val="TematkomentarzaZnak"/>
    <w:uiPriority w:val="98"/>
    <w:semiHidden/>
    <w:rsid w:val="00A1460C"/>
    <w:rPr>
      <w:b/>
      <w:bCs/>
    </w:rPr>
  </w:style>
  <w:style w:type="character" w:customStyle="1" w:styleId="TematkomentarzaZnak">
    <w:name w:val="Temat komentarza Znak"/>
    <w:basedOn w:val="TekstkomentarzaZnak"/>
    <w:link w:val="Tematkomentarza"/>
    <w:uiPriority w:val="98"/>
    <w:semiHidden/>
    <w:rsid w:val="00A1460C"/>
    <w:rPr>
      <w:b/>
      <w:bCs/>
      <w:sz w:val="20"/>
      <w:szCs w:val="20"/>
      <w:lang w:val="pl-PL"/>
    </w:rPr>
  </w:style>
  <w:style w:type="table" w:styleId="Ciemnalista">
    <w:name w:val="Dark List"/>
    <w:basedOn w:val="Standardowy"/>
    <w:uiPriority w:val="70"/>
    <w:semiHidden/>
    <w:rsid w:val="00A1460C"/>
    <w:rPr>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A1460C"/>
    <w:rPr>
      <w:color w:val="FFFFFF"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0548C"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A1460C"/>
    <w:rPr>
      <w:color w:val="FFFFFF"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8F0000"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A1460C"/>
    <w:rPr>
      <w:color w:val="FFFFFF" w:themeColor="background1"/>
      <w:sz w:val="24"/>
      <w:szCs w:val="24"/>
    </w:rPr>
    <w:tblPr>
      <w:tblStyleRowBandSize w:val="1"/>
      <w:tblStyleColBandSize w:val="1"/>
    </w:tblPr>
    <w:tcPr>
      <w:shd w:val="clear" w:color="auto" w:fill="5959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C2C2C"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424242"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424242" w:themeFill="accent3" w:themeFillShade="BF"/>
      </w:tcPr>
    </w:tblStylePr>
    <w:tblStylePr w:type="band1Vert">
      <w:tblPr/>
      <w:tcPr>
        <w:tcBorders>
          <w:top w:val="nil"/>
          <w:left w:val="nil"/>
          <w:bottom w:val="nil"/>
          <w:right w:val="nil"/>
          <w:insideH w:val="nil"/>
          <w:insideV w:val="nil"/>
        </w:tcBorders>
        <w:shd w:val="clear" w:color="auto" w:fill="424242" w:themeFill="accent3" w:themeFillShade="BF"/>
      </w:tcPr>
    </w:tblStylePr>
    <w:tblStylePr w:type="band1Horz">
      <w:tblPr/>
      <w:tcPr>
        <w:tcBorders>
          <w:top w:val="nil"/>
          <w:left w:val="nil"/>
          <w:bottom w:val="nil"/>
          <w:right w:val="nil"/>
          <w:insideH w:val="nil"/>
          <w:insideV w:val="nil"/>
        </w:tcBorders>
        <w:shd w:val="clear" w:color="auto" w:fill="424242" w:themeFill="accent3" w:themeFillShade="BF"/>
      </w:tcPr>
    </w:tblStylePr>
  </w:style>
  <w:style w:type="table" w:styleId="Ciemnalistaakcent4">
    <w:name w:val="Dark List Accent 4"/>
    <w:basedOn w:val="Standardowy"/>
    <w:uiPriority w:val="70"/>
    <w:semiHidden/>
    <w:rsid w:val="00A1460C"/>
    <w:rPr>
      <w:color w:val="FFFFFF"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70707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A1460C"/>
    <w:rPr>
      <w:color w:val="FFFFFF"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474747"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A1460C"/>
    <w:rPr>
      <w:color w:val="FFFFFF"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93939"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8"/>
    <w:semiHidden/>
    <w:rsid w:val="00A1460C"/>
  </w:style>
  <w:style w:type="character" w:customStyle="1" w:styleId="DataZnak">
    <w:name w:val="Data Znak"/>
    <w:basedOn w:val="Domylnaczcionkaakapitu"/>
    <w:link w:val="Data"/>
    <w:uiPriority w:val="98"/>
    <w:semiHidden/>
    <w:rsid w:val="00A1460C"/>
    <w:rPr>
      <w:sz w:val="24"/>
      <w:szCs w:val="24"/>
      <w:lang w:val="pl-PL"/>
    </w:rPr>
  </w:style>
  <w:style w:type="paragraph" w:styleId="Mapadokumentu">
    <w:name w:val="Document Map"/>
    <w:basedOn w:val="Normalny"/>
    <w:link w:val="MapadokumentuZnak"/>
    <w:uiPriority w:val="98"/>
    <w:semiHidden/>
    <w:rsid w:val="00A1460C"/>
    <w:rPr>
      <w:rFonts w:ascii="Tahoma" w:hAnsi="Tahoma" w:cs="Tahoma"/>
      <w:sz w:val="16"/>
      <w:szCs w:val="16"/>
    </w:rPr>
  </w:style>
  <w:style w:type="character" w:customStyle="1" w:styleId="MapadokumentuZnak">
    <w:name w:val="Mapa dokumentu Znak"/>
    <w:basedOn w:val="Domylnaczcionkaakapitu"/>
    <w:link w:val="Mapadokumentu"/>
    <w:uiPriority w:val="98"/>
    <w:semiHidden/>
    <w:rsid w:val="00A1460C"/>
    <w:rPr>
      <w:rFonts w:ascii="Tahoma" w:hAnsi="Tahoma" w:cs="Tahoma"/>
      <w:sz w:val="16"/>
      <w:szCs w:val="16"/>
      <w:lang w:val="pl-PL"/>
    </w:rPr>
  </w:style>
  <w:style w:type="paragraph" w:styleId="Podpise-mail">
    <w:name w:val="E-mail Signature"/>
    <w:basedOn w:val="Normalny"/>
    <w:link w:val="Podpise-mailZnak"/>
    <w:uiPriority w:val="98"/>
    <w:semiHidden/>
    <w:rsid w:val="00A1460C"/>
  </w:style>
  <w:style w:type="character" w:customStyle="1" w:styleId="Podpise-mailZnak">
    <w:name w:val="Podpis e-mail Znak"/>
    <w:basedOn w:val="Domylnaczcionkaakapitu"/>
    <w:link w:val="Podpise-mail"/>
    <w:uiPriority w:val="98"/>
    <w:semiHidden/>
    <w:rsid w:val="00A1460C"/>
    <w:rPr>
      <w:sz w:val="24"/>
      <w:szCs w:val="24"/>
      <w:lang w:val="pl-PL"/>
    </w:rPr>
  </w:style>
  <w:style w:type="character" w:styleId="Odwoanieprzypisukocowego">
    <w:name w:val="endnote reference"/>
    <w:basedOn w:val="Domylnaczcionkaakapitu"/>
    <w:uiPriority w:val="98"/>
    <w:semiHidden/>
    <w:rsid w:val="00A1460C"/>
    <w:rPr>
      <w:vertAlign w:val="superscript"/>
    </w:rPr>
  </w:style>
  <w:style w:type="paragraph" w:styleId="Tekstprzypisukocowego">
    <w:name w:val="endnote text"/>
    <w:basedOn w:val="Normalny"/>
    <w:link w:val="TekstprzypisukocowegoZnak"/>
    <w:uiPriority w:val="98"/>
    <w:semiHidden/>
    <w:rsid w:val="00A1460C"/>
    <w:rPr>
      <w:sz w:val="20"/>
      <w:szCs w:val="20"/>
    </w:rPr>
  </w:style>
  <w:style w:type="character" w:customStyle="1" w:styleId="TekstprzypisukocowegoZnak">
    <w:name w:val="Tekst przypisu końcowego Znak"/>
    <w:basedOn w:val="Domylnaczcionkaakapitu"/>
    <w:link w:val="Tekstprzypisukocowego"/>
    <w:uiPriority w:val="98"/>
    <w:semiHidden/>
    <w:rsid w:val="00A1460C"/>
    <w:rPr>
      <w:sz w:val="20"/>
      <w:szCs w:val="20"/>
      <w:lang w:val="pl-PL"/>
    </w:rPr>
  </w:style>
  <w:style w:type="paragraph" w:styleId="Adresnakopercie">
    <w:name w:val="envelope address"/>
    <w:basedOn w:val="Normalny"/>
    <w:uiPriority w:val="98"/>
    <w:semiHidden/>
    <w:rsid w:val="00A1460C"/>
    <w:pPr>
      <w:framePr w:w="7938" w:h="1985" w:hRule="exact" w:hSpace="141" w:wrap="auto" w:hAnchor="page" w:xAlign="center" w:yAlign="bottom"/>
      <w:ind w:left="2835"/>
    </w:pPr>
    <w:rPr>
      <w:rFonts w:asciiTheme="majorHAnsi" w:eastAsiaTheme="majorEastAsia" w:hAnsiTheme="majorHAnsi" w:cstheme="majorBidi"/>
    </w:rPr>
  </w:style>
  <w:style w:type="paragraph" w:styleId="Adreszwrotnynakopercie">
    <w:name w:val="envelope return"/>
    <w:basedOn w:val="Normalny"/>
    <w:uiPriority w:val="98"/>
    <w:semiHidden/>
    <w:rsid w:val="00A1460C"/>
    <w:rPr>
      <w:rFonts w:asciiTheme="majorHAnsi" w:eastAsiaTheme="majorEastAsia" w:hAnsiTheme="majorHAnsi" w:cstheme="majorBidi"/>
      <w:sz w:val="20"/>
      <w:szCs w:val="20"/>
    </w:rPr>
  </w:style>
  <w:style w:type="character" w:styleId="UyteHipercze">
    <w:name w:val="FollowedHyperlink"/>
    <w:basedOn w:val="Domylnaczcionkaakapitu"/>
    <w:uiPriority w:val="98"/>
    <w:semiHidden/>
    <w:rsid w:val="00A1460C"/>
    <w:rPr>
      <w:color w:val="7030A0" w:themeColor="followedHyperlink"/>
      <w:u w:val="single"/>
    </w:rPr>
  </w:style>
  <w:style w:type="character" w:styleId="HTML-akronim">
    <w:name w:val="HTML Acronym"/>
    <w:basedOn w:val="Domylnaczcionkaakapitu"/>
    <w:uiPriority w:val="98"/>
    <w:semiHidden/>
    <w:rsid w:val="00A1460C"/>
  </w:style>
  <w:style w:type="paragraph" w:styleId="HTML-adres">
    <w:name w:val="HTML Address"/>
    <w:basedOn w:val="Normalny"/>
    <w:link w:val="HTML-adresZnak"/>
    <w:uiPriority w:val="98"/>
    <w:semiHidden/>
    <w:rsid w:val="00A1460C"/>
    <w:rPr>
      <w:i/>
      <w:iCs/>
    </w:rPr>
  </w:style>
  <w:style w:type="character" w:customStyle="1" w:styleId="HTML-adresZnak">
    <w:name w:val="HTML - adres Znak"/>
    <w:basedOn w:val="Domylnaczcionkaakapitu"/>
    <w:link w:val="HTML-adres"/>
    <w:uiPriority w:val="98"/>
    <w:semiHidden/>
    <w:rsid w:val="00A1460C"/>
    <w:rPr>
      <w:i/>
      <w:iCs/>
      <w:sz w:val="24"/>
      <w:szCs w:val="24"/>
      <w:lang w:val="pl-PL"/>
    </w:rPr>
  </w:style>
  <w:style w:type="character" w:styleId="HTML-cytat">
    <w:name w:val="HTML Cite"/>
    <w:basedOn w:val="Domylnaczcionkaakapitu"/>
    <w:uiPriority w:val="98"/>
    <w:semiHidden/>
    <w:rsid w:val="00A1460C"/>
    <w:rPr>
      <w:i/>
      <w:iCs/>
    </w:rPr>
  </w:style>
  <w:style w:type="character" w:styleId="HTML-kod">
    <w:name w:val="HTML Code"/>
    <w:basedOn w:val="Domylnaczcionkaakapitu"/>
    <w:uiPriority w:val="98"/>
    <w:semiHidden/>
    <w:rsid w:val="00A1460C"/>
    <w:rPr>
      <w:rFonts w:ascii="Consolas" w:hAnsi="Consolas" w:cs="Consolas"/>
      <w:sz w:val="20"/>
      <w:szCs w:val="20"/>
    </w:rPr>
  </w:style>
  <w:style w:type="character" w:styleId="HTML-definicja">
    <w:name w:val="HTML Definition"/>
    <w:basedOn w:val="Domylnaczcionkaakapitu"/>
    <w:uiPriority w:val="98"/>
    <w:semiHidden/>
    <w:rsid w:val="00A1460C"/>
    <w:rPr>
      <w:i/>
      <w:iCs/>
    </w:rPr>
  </w:style>
  <w:style w:type="character" w:styleId="HTML-klawiatura">
    <w:name w:val="HTML Keyboard"/>
    <w:basedOn w:val="Domylnaczcionkaakapitu"/>
    <w:uiPriority w:val="98"/>
    <w:semiHidden/>
    <w:rsid w:val="00A1460C"/>
    <w:rPr>
      <w:rFonts w:ascii="Consolas" w:hAnsi="Consolas" w:cs="Consolas"/>
      <w:sz w:val="20"/>
      <w:szCs w:val="20"/>
    </w:rPr>
  </w:style>
  <w:style w:type="paragraph" w:styleId="HTML-wstpniesformatowany">
    <w:name w:val="HTML Preformatted"/>
    <w:basedOn w:val="Normalny"/>
    <w:link w:val="HTML-wstpniesformatowanyZnak"/>
    <w:uiPriority w:val="98"/>
    <w:semiHidden/>
    <w:rsid w:val="00A1460C"/>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8"/>
    <w:semiHidden/>
    <w:rsid w:val="00A1460C"/>
    <w:rPr>
      <w:rFonts w:ascii="Consolas" w:hAnsi="Consolas" w:cs="Consolas"/>
      <w:sz w:val="20"/>
      <w:szCs w:val="20"/>
      <w:lang w:val="pl-PL"/>
    </w:rPr>
  </w:style>
  <w:style w:type="character" w:styleId="HTML-przykad">
    <w:name w:val="HTML Sample"/>
    <w:basedOn w:val="Domylnaczcionkaakapitu"/>
    <w:uiPriority w:val="98"/>
    <w:semiHidden/>
    <w:rsid w:val="00A1460C"/>
    <w:rPr>
      <w:rFonts w:ascii="Consolas" w:hAnsi="Consolas" w:cs="Consolas"/>
      <w:sz w:val="24"/>
      <w:szCs w:val="24"/>
    </w:rPr>
  </w:style>
  <w:style w:type="character" w:styleId="HTML-staaszeroko">
    <w:name w:val="HTML Typewriter"/>
    <w:basedOn w:val="Domylnaczcionkaakapitu"/>
    <w:uiPriority w:val="98"/>
    <w:semiHidden/>
    <w:rsid w:val="00A1460C"/>
    <w:rPr>
      <w:rFonts w:ascii="Consolas" w:hAnsi="Consolas" w:cs="Consolas"/>
      <w:sz w:val="20"/>
      <w:szCs w:val="20"/>
    </w:rPr>
  </w:style>
  <w:style w:type="character" w:styleId="HTML-zmienna">
    <w:name w:val="HTML Variable"/>
    <w:basedOn w:val="Domylnaczcionkaakapitu"/>
    <w:uiPriority w:val="98"/>
    <w:semiHidden/>
    <w:rsid w:val="00A1460C"/>
    <w:rPr>
      <w:i/>
      <w:iCs/>
    </w:rPr>
  </w:style>
  <w:style w:type="paragraph" w:styleId="Indeks1">
    <w:name w:val="index 1"/>
    <w:basedOn w:val="Normalny"/>
    <w:next w:val="Normalny"/>
    <w:autoRedefine/>
    <w:uiPriority w:val="98"/>
    <w:semiHidden/>
    <w:rsid w:val="00A1460C"/>
    <w:pPr>
      <w:ind w:left="240" w:hanging="240"/>
    </w:pPr>
  </w:style>
  <w:style w:type="paragraph" w:styleId="Indeks2">
    <w:name w:val="index 2"/>
    <w:basedOn w:val="Normalny"/>
    <w:next w:val="Normalny"/>
    <w:autoRedefine/>
    <w:uiPriority w:val="98"/>
    <w:semiHidden/>
    <w:rsid w:val="00A1460C"/>
    <w:pPr>
      <w:ind w:left="480" w:hanging="240"/>
    </w:pPr>
  </w:style>
  <w:style w:type="paragraph" w:styleId="Indeks3">
    <w:name w:val="index 3"/>
    <w:basedOn w:val="Normalny"/>
    <w:next w:val="Normalny"/>
    <w:autoRedefine/>
    <w:uiPriority w:val="98"/>
    <w:semiHidden/>
    <w:rsid w:val="00A1460C"/>
    <w:pPr>
      <w:ind w:left="720" w:hanging="240"/>
    </w:pPr>
  </w:style>
  <w:style w:type="paragraph" w:styleId="Indeks4">
    <w:name w:val="index 4"/>
    <w:basedOn w:val="Normalny"/>
    <w:next w:val="Normalny"/>
    <w:autoRedefine/>
    <w:uiPriority w:val="98"/>
    <w:semiHidden/>
    <w:rsid w:val="00A1460C"/>
    <w:pPr>
      <w:ind w:left="960" w:hanging="240"/>
    </w:pPr>
  </w:style>
  <w:style w:type="paragraph" w:styleId="Indeks5">
    <w:name w:val="index 5"/>
    <w:basedOn w:val="Normalny"/>
    <w:next w:val="Normalny"/>
    <w:autoRedefine/>
    <w:uiPriority w:val="98"/>
    <w:semiHidden/>
    <w:rsid w:val="00A1460C"/>
    <w:pPr>
      <w:ind w:left="1200" w:hanging="240"/>
    </w:pPr>
  </w:style>
  <w:style w:type="paragraph" w:styleId="Indeks6">
    <w:name w:val="index 6"/>
    <w:basedOn w:val="Normalny"/>
    <w:next w:val="Normalny"/>
    <w:autoRedefine/>
    <w:uiPriority w:val="98"/>
    <w:semiHidden/>
    <w:rsid w:val="00A1460C"/>
    <w:pPr>
      <w:ind w:left="1440" w:hanging="240"/>
    </w:pPr>
  </w:style>
  <w:style w:type="paragraph" w:styleId="Indeks7">
    <w:name w:val="index 7"/>
    <w:basedOn w:val="Normalny"/>
    <w:next w:val="Normalny"/>
    <w:autoRedefine/>
    <w:uiPriority w:val="98"/>
    <w:semiHidden/>
    <w:rsid w:val="00A1460C"/>
    <w:pPr>
      <w:ind w:left="1680" w:hanging="240"/>
    </w:pPr>
  </w:style>
  <w:style w:type="paragraph" w:styleId="Indeks8">
    <w:name w:val="index 8"/>
    <w:basedOn w:val="Normalny"/>
    <w:next w:val="Normalny"/>
    <w:autoRedefine/>
    <w:uiPriority w:val="98"/>
    <w:semiHidden/>
    <w:rsid w:val="00A1460C"/>
    <w:pPr>
      <w:ind w:left="1920" w:hanging="240"/>
    </w:pPr>
  </w:style>
  <w:style w:type="paragraph" w:styleId="Indeks9">
    <w:name w:val="index 9"/>
    <w:basedOn w:val="Normalny"/>
    <w:next w:val="Normalny"/>
    <w:autoRedefine/>
    <w:uiPriority w:val="98"/>
    <w:semiHidden/>
    <w:rsid w:val="00A1460C"/>
    <w:pPr>
      <w:ind w:left="2160" w:hanging="240"/>
    </w:pPr>
  </w:style>
  <w:style w:type="paragraph" w:styleId="Nagwekindeksu">
    <w:name w:val="index heading"/>
    <w:basedOn w:val="Normalny"/>
    <w:next w:val="Indeks1"/>
    <w:uiPriority w:val="98"/>
    <w:semiHidden/>
    <w:rsid w:val="00A1460C"/>
    <w:rPr>
      <w:rFonts w:asciiTheme="majorHAnsi" w:eastAsiaTheme="majorEastAsia" w:hAnsiTheme="majorHAnsi" w:cstheme="majorBidi"/>
      <w:b/>
      <w:bCs/>
    </w:rPr>
  </w:style>
  <w:style w:type="table" w:styleId="Jasnasiatka">
    <w:name w:val="Light Grid"/>
    <w:basedOn w:val="Standardowy"/>
    <w:uiPriority w:val="62"/>
    <w:semiHidden/>
    <w:rsid w:val="00A1460C"/>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sid w:val="00A1460C"/>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A1460C"/>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A1460C"/>
    <w:rPr>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insideH w:val="single" w:sz="8" w:space="0" w:color="595959" w:themeColor="accent3"/>
        <w:insideV w:val="single" w:sz="8" w:space="0" w:color="5959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95959" w:themeColor="accent3"/>
          <w:left w:val="single" w:sz="8" w:space="0" w:color="595959" w:themeColor="accent3"/>
          <w:bottom w:val="single" w:sz="18" w:space="0" w:color="595959" w:themeColor="accent3"/>
          <w:right w:val="single" w:sz="8" w:space="0" w:color="595959" w:themeColor="accent3"/>
          <w:insideH w:val="nil"/>
          <w:insideV w:val="single" w:sz="8" w:space="0" w:color="5959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95959" w:themeColor="accent3"/>
          <w:left w:val="single" w:sz="8" w:space="0" w:color="595959" w:themeColor="accent3"/>
          <w:bottom w:val="single" w:sz="8" w:space="0" w:color="595959" w:themeColor="accent3"/>
          <w:right w:val="single" w:sz="8" w:space="0" w:color="595959" w:themeColor="accent3"/>
          <w:insideH w:val="nil"/>
          <w:insideV w:val="single" w:sz="8" w:space="0" w:color="5959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tblStylePr w:type="band1Vert">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shd w:val="clear" w:color="auto" w:fill="D5D5D5" w:themeFill="accent3" w:themeFillTint="3F"/>
      </w:tcPr>
    </w:tblStylePr>
    <w:tblStylePr w:type="band1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insideV w:val="single" w:sz="8" w:space="0" w:color="595959" w:themeColor="accent3"/>
        </w:tcBorders>
        <w:shd w:val="clear" w:color="auto" w:fill="D5D5D5" w:themeFill="accent3" w:themeFillTint="3F"/>
      </w:tcPr>
    </w:tblStylePr>
    <w:tblStylePr w:type="band2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insideV w:val="single" w:sz="8" w:space="0" w:color="595959" w:themeColor="accent3"/>
        </w:tcBorders>
      </w:tcPr>
    </w:tblStylePr>
  </w:style>
  <w:style w:type="table" w:styleId="Jasnasiatkaakcent4">
    <w:name w:val="Light Grid Accent 4"/>
    <w:basedOn w:val="Standardowy"/>
    <w:uiPriority w:val="62"/>
    <w:semiHidden/>
    <w:rsid w:val="00A1460C"/>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A1460C"/>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A1460C"/>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61"/>
    <w:semiHidden/>
    <w:rsid w:val="00A1460C"/>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sid w:val="00A1460C"/>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FFFFFF"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A1460C"/>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FFFFFF"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A1460C"/>
    <w:rPr>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tblBorders>
    </w:tblPr>
    <w:tblStylePr w:type="firstRow">
      <w:pPr>
        <w:spacing w:before="0" w:after="0" w:line="240" w:lineRule="auto"/>
      </w:pPr>
      <w:rPr>
        <w:b/>
        <w:bCs/>
        <w:color w:val="FFFFFF" w:themeColor="background1"/>
      </w:rPr>
      <w:tblPr/>
      <w:tcPr>
        <w:shd w:val="clear" w:color="auto" w:fill="595959" w:themeFill="accent3"/>
      </w:tcPr>
    </w:tblStylePr>
    <w:tblStylePr w:type="lastRow">
      <w:pPr>
        <w:spacing w:before="0" w:after="0" w:line="240" w:lineRule="auto"/>
      </w:pPr>
      <w:rPr>
        <w:b/>
        <w:bCs/>
      </w:rPr>
      <w:tblPr/>
      <w:tcPr>
        <w:tcBorders>
          <w:top w:val="double" w:sz="6" w:space="0" w:color="595959" w:themeColor="accent3"/>
          <w:left w:val="single" w:sz="8" w:space="0" w:color="595959" w:themeColor="accent3"/>
          <w:bottom w:val="single" w:sz="8" w:space="0" w:color="595959" w:themeColor="accent3"/>
          <w:right w:val="single" w:sz="8" w:space="0" w:color="595959" w:themeColor="accent3"/>
        </w:tcBorders>
      </w:tcPr>
    </w:tblStylePr>
    <w:tblStylePr w:type="firstCol">
      <w:rPr>
        <w:b/>
        <w:bCs/>
      </w:rPr>
    </w:tblStylePr>
    <w:tblStylePr w:type="lastCol">
      <w:rPr>
        <w:b/>
        <w:bCs/>
      </w:rPr>
    </w:tblStylePr>
    <w:tblStylePr w:type="band1Vert">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tblStylePr w:type="band1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style>
  <w:style w:type="table" w:styleId="Jasnalistaakcent4">
    <w:name w:val="Light List Accent 4"/>
    <w:basedOn w:val="Standardowy"/>
    <w:uiPriority w:val="61"/>
    <w:semiHidden/>
    <w:rsid w:val="00A1460C"/>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FFFFFF"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A1460C"/>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FFFFFF"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A1460C"/>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FFFFFF"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60"/>
    <w:semiHidden/>
    <w:rsid w:val="00A1460C"/>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sid w:val="00A1460C"/>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A1460C"/>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A1460C"/>
    <w:rPr>
      <w:color w:val="424242" w:themeColor="accent3" w:themeShade="BF"/>
      <w:sz w:val="24"/>
      <w:szCs w:val="24"/>
    </w:rPr>
    <w:tblPr>
      <w:tblStyleRowBandSize w:val="1"/>
      <w:tblStyleColBandSize w:val="1"/>
      <w:tblBorders>
        <w:top w:val="single" w:sz="8" w:space="0" w:color="595959" w:themeColor="accent3"/>
        <w:bottom w:val="single" w:sz="8" w:space="0" w:color="595959" w:themeColor="accent3"/>
      </w:tblBorders>
    </w:tblPr>
    <w:tblStylePr w:type="firstRow">
      <w:pPr>
        <w:spacing w:before="0" w:after="0" w:line="240" w:lineRule="auto"/>
      </w:pPr>
      <w:rPr>
        <w:b/>
        <w:bCs/>
      </w:rPr>
      <w:tblPr/>
      <w:tcPr>
        <w:tcBorders>
          <w:top w:val="single" w:sz="8" w:space="0" w:color="595959" w:themeColor="accent3"/>
          <w:left w:val="nil"/>
          <w:bottom w:val="single" w:sz="8" w:space="0" w:color="595959" w:themeColor="accent3"/>
          <w:right w:val="nil"/>
          <w:insideH w:val="nil"/>
          <w:insideV w:val="nil"/>
        </w:tcBorders>
      </w:tcPr>
    </w:tblStylePr>
    <w:tblStylePr w:type="lastRow">
      <w:pPr>
        <w:spacing w:before="0" w:after="0" w:line="240" w:lineRule="auto"/>
      </w:pPr>
      <w:rPr>
        <w:b/>
        <w:bCs/>
      </w:rPr>
      <w:tblPr/>
      <w:tcPr>
        <w:tcBorders>
          <w:top w:val="single" w:sz="8" w:space="0" w:color="595959" w:themeColor="accent3"/>
          <w:left w:val="nil"/>
          <w:bottom w:val="single" w:sz="8" w:space="0" w:color="5959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5D5D5" w:themeFill="accent3" w:themeFillTint="3F"/>
      </w:tcPr>
    </w:tblStylePr>
    <w:tblStylePr w:type="band1Horz">
      <w:tblPr/>
      <w:tcPr>
        <w:tcBorders>
          <w:left w:val="nil"/>
          <w:right w:val="nil"/>
          <w:insideH w:val="nil"/>
          <w:insideV w:val="nil"/>
        </w:tcBorders>
        <w:shd w:val="clear" w:color="auto" w:fill="D5D5D5" w:themeFill="accent3" w:themeFillTint="3F"/>
      </w:tcPr>
    </w:tblStylePr>
  </w:style>
  <w:style w:type="table" w:styleId="Jasnecieniowanieakcent4">
    <w:name w:val="Light Shading Accent 4"/>
    <w:basedOn w:val="Standardowy"/>
    <w:uiPriority w:val="60"/>
    <w:semiHidden/>
    <w:rsid w:val="00A1460C"/>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A1460C"/>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A1460C"/>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8"/>
    <w:semiHidden/>
    <w:rsid w:val="00A1460C"/>
  </w:style>
  <w:style w:type="paragraph" w:styleId="Lista">
    <w:name w:val="List"/>
    <w:basedOn w:val="Normalny"/>
    <w:uiPriority w:val="98"/>
    <w:semiHidden/>
    <w:rsid w:val="00A1460C"/>
    <w:pPr>
      <w:ind w:left="283" w:hanging="283"/>
      <w:contextualSpacing/>
    </w:pPr>
  </w:style>
  <w:style w:type="paragraph" w:styleId="Lista2">
    <w:name w:val="List 2"/>
    <w:basedOn w:val="Normalny"/>
    <w:uiPriority w:val="98"/>
    <w:semiHidden/>
    <w:rsid w:val="00A1460C"/>
    <w:pPr>
      <w:ind w:left="566" w:hanging="283"/>
      <w:contextualSpacing/>
    </w:pPr>
  </w:style>
  <w:style w:type="paragraph" w:styleId="Lista3">
    <w:name w:val="List 3"/>
    <w:basedOn w:val="Normalny"/>
    <w:uiPriority w:val="98"/>
    <w:semiHidden/>
    <w:rsid w:val="00A1460C"/>
    <w:pPr>
      <w:ind w:left="849" w:hanging="283"/>
      <w:contextualSpacing/>
    </w:pPr>
  </w:style>
  <w:style w:type="paragraph" w:styleId="Lista4">
    <w:name w:val="List 4"/>
    <w:basedOn w:val="Normalny"/>
    <w:uiPriority w:val="98"/>
    <w:semiHidden/>
    <w:rsid w:val="00A1460C"/>
    <w:pPr>
      <w:ind w:left="1132" w:hanging="283"/>
      <w:contextualSpacing/>
    </w:pPr>
  </w:style>
  <w:style w:type="paragraph" w:styleId="Lista5">
    <w:name w:val="List 5"/>
    <w:basedOn w:val="Normalny"/>
    <w:uiPriority w:val="98"/>
    <w:semiHidden/>
    <w:rsid w:val="00A1460C"/>
    <w:pPr>
      <w:ind w:left="1415" w:hanging="283"/>
      <w:contextualSpacing/>
    </w:pPr>
  </w:style>
  <w:style w:type="paragraph" w:styleId="Listapunktowana2">
    <w:name w:val="List Bullet 2"/>
    <w:basedOn w:val="Normalny"/>
    <w:uiPriority w:val="98"/>
    <w:semiHidden/>
    <w:rsid w:val="00A1460C"/>
    <w:pPr>
      <w:numPr>
        <w:numId w:val="7"/>
      </w:numPr>
      <w:contextualSpacing/>
    </w:pPr>
  </w:style>
  <w:style w:type="paragraph" w:styleId="Listapunktowana4">
    <w:name w:val="List Bullet 4"/>
    <w:basedOn w:val="Normalny"/>
    <w:uiPriority w:val="98"/>
    <w:semiHidden/>
    <w:rsid w:val="00A1460C"/>
    <w:pPr>
      <w:numPr>
        <w:numId w:val="9"/>
      </w:numPr>
      <w:contextualSpacing/>
    </w:pPr>
  </w:style>
  <w:style w:type="paragraph" w:styleId="Listapunktowana5">
    <w:name w:val="List Bullet 5"/>
    <w:basedOn w:val="Normalny"/>
    <w:uiPriority w:val="98"/>
    <w:semiHidden/>
    <w:rsid w:val="00A1460C"/>
    <w:pPr>
      <w:numPr>
        <w:numId w:val="10"/>
      </w:numPr>
      <w:contextualSpacing/>
    </w:pPr>
  </w:style>
  <w:style w:type="paragraph" w:styleId="Lista-kontynuacja">
    <w:name w:val="List Continue"/>
    <w:basedOn w:val="Normalny"/>
    <w:uiPriority w:val="98"/>
    <w:semiHidden/>
    <w:rsid w:val="00A1460C"/>
    <w:pPr>
      <w:spacing w:after="120"/>
      <w:ind w:left="283"/>
      <w:contextualSpacing/>
    </w:pPr>
  </w:style>
  <w:style w:type="paragraph" w:styleId="Lista-kontynuacja2">
    <w:name w:val="List Continue 2"/>
    <w:basedOn w:val="Normalny"/>
    <w:uiPriority w:val="98"/>
    <w:semiHidden/>
    <w:rsid w:val="00A1460C"/>
    <w:pPr>
      <w:spacing w:after="120"/>
      <w:ind w:left="566"/>
      <w:contextualSpacing/>
    </w:pPr>
  </w:style>
  <w:style w:type="paragraph" w:styleId="Lista-kontynuacja3">
    <w:name w:val="List Continue 3"/>
    <w:basedOn w:val="Normalny"/>
    <w:uiPriority w:val="98"/>
    <w:semiHidden/>
    <w:rsid w:val="00A1460C"/>
    <w:pPr>
      <w:spacing w:after="120"/>
      <w:ind w:left="849"/>
      <w:contextualSpacing/>
    </w:pPr>
  </w:style>
  <w:style w:type="paragraph" w:styleId="Lista-kontynuacja4">
    <w:name w:val="List Continue 4"/>
    <w:basedOn w:val="Normalny"/>
    <w:uiPriority w:val="98"/>
    <w:semiHidden/>
    <w:rsid w:val="00A1460C"/>
    <w:pPr>
      <w:spacing w:after="120"/>
      <w:ind w:left="1132"/>
      <w:contextualSpacing/>
    </w:pPr>
  </w:style>
  <w:style w:type="paragraph" w:styleId="Lista-kontynuacja5">
    <w:name w:val="List Continue 5"/>
    <w:basedOn w:val="Normalny"/>
    <w:uiPriority w:val="98"/>
    <w:semiHidden/>
    <w:rsid w:val="00A1460C"/>
    <w:pPr>
      <w:spacing w:after="120"/>
      <w:ind w:left="1415"/>
      <w:contextualSpacing/>
    </w:pPr>
  </w:style>
  <w:style w:type="paragraph" w:styleId="Listanumerowana">
    <w:name w:val="List Number"/>
    <w:basedOn w:val="Normalny"/>
    <w:uiPriority w:val="98"/>
    <w:semiHidden/>
    <w:rsid w:val="00A1460C"/>
    <w:pPr>
      <w:numPr>
        <w:numId w:val="11"/>
      </w:numPr>
      <w:contextualSpacing/>
    </w:pPr>
  </w:style>
  <w:style w:type="paragraph" w:styleId="Listanumerowana2">
    <w:name w:val="List Number 2"/>
    <w:basedOn w:val="Normalny"/>
    <w:uiPriority w:val="98"/>
    <w:semiHidden/>
    <w:rsid w:val="00A1460C"/>
    <w:pPr>
      <w:numPr>
        <w:numId w:val="12"/>
      </w:numPr>
      <w:contextualSpacing/>
    </w:pPr>
  </w:style>
  <w:style w:type="paragraph" w:styleId="Listanumerowana3">
    <w:name w:val="List Number 3"/>
    <w:basedOn w:val="Normalny"/>
    <w:uiPriority w:val="98"/>
    <w:semiHidden/>
    <w:rsid w:val="00A1460C"/>
    <w:pPr>
      <w:numPr>
        <w:numId w:val="13"/>
      </w:numPr>
      <w:contextualSpacing/>
    </w:pPr>
  </w:style>
  <w:style w:type="paragraph" w:styleId="Listanumerowana4">
    <w:name w:val="List Number 4"/>
    <w:basedOn w:val="Normalny"/>
    <w:uiPriority w:val="98"/>
    <w:semiHidden/>
    <w:rsid w:val="00A1460C"/>
    <w:pPr>
      <w:numPr>
        <w:numId w:val="14"/>
      </w:numPr>
      <w:contextualSpacing/>
    </w:pPr>
  </w:style>
  <w:style w:type="paragraph" w:styleId="Listanumerowana5">
    <w:name w:val="List Number 5"/>
    <w:basedOn w:val="Normalny"/>
    <w:uiPriority w:val="98"/>
    <w:semiHidden/>
    <w:rsid w:val="00A1460C"/>
    <w:pPr>
      <w:numPr>
        <w:numId w:val="15"/>
      </w:numPr>
      <w:contextualSpacing/>
    </w:pPr>
  </w:style>
  <w:style w:type="paragraph" w:styleId="Tekstmakra">
    <w:name w:val="macro"/>
    <w:link w:val="TekstmakraZnak"/>
    <w:uiPriority w:val="98"/>
    <w:semiHidden/>
    <w:rsid w:val="00A1460C"/>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8"/>
    <w:semiHidden/>
    <w:rsid w:val="00A1460C"/>
    <w:rPr>
      <w:rFonts w:ascii="Consolas" w:eastAsiaTheme="minorEastAsia" w:hAnsi="Consolas" w:cs="Consolas"/>
      <w:sz w:val="20"/>
      <w:szCs w:val="20"/>
    </w:rPr>
  </w:style>
  <w:style w:type="table" w:styleId="redniasiatka1">
    <w:name w:val="Medium Grid 1"/>
    <w:basedOn w:val="Standardowy"/>
    <w:uiPriority w:val="67"/>
    <w:semiHidden/>
    <w:rsid w:val="00A1460C"/>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A1460C"/>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A1460C"/>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A1460C"/>
    <w:rPr>
      <w:sz w:val="24"/>
      <w:szCs w:val="24"/>
    </w:rPr>
    <w:tblPr>
      <w:tblStyleRowBandSize w:val="1"/>
      <w:tblStyleColBandSize w:val="1"/>
      <w:tbl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single" w:sz="8" w:space="0" w:color="828282" w:themeColor="accent3" w:themeTint="BF"/>
        <w:insideV w:val="single" w:sz="8" w:space="0" w:color="828282" w:themeColor="accent3" w:themeTint="BF"/>
      </w:tblBorders>
    </w:tblPr>
    <w:tcPr>
      <w:shd w:val="clear" w:color="auto" w:fill="D5D5D5" w:themeFill="accent3" w:themeFillTint="3F"/>
    </w:tcPr>
    <w:tblStylePr w:type="firstRow">
      <w:rPr>
        <w:b/>
        <w:bCs/>
      </w:rPr>
    </w:tblStylePr>
    <w:tblStylePr w:type="lastRow">
      <w:rPr>
        <w:b/>
        <w:bCs/>
      </w:rPr>
      <w:tblPr/>
      <w:tcPr>
        <w:tcBorders>
          <w:top w:val="single" w:sz="18" w:space="0" w:color="828282" w:themeColor="accent3" w:themeTint="BF"/>
        </w:tcBorders>
      </w:tcPr>
    </w:tblStylePr>
    <w:tblStylePr w:type="firstCol">
      <w:rPr>
        <w:b/>
        <w:bCs/>
      </w:rPr>
    </w:tblStylePr>
    <w:tblStylePr w:type="lastCol">
      <w:rPr>
        <w:b/>
        <w:bCs/>
      </w:rPr>
    </w:tblStylePr>
    <w:tblStylePr w:type="band1Vert">
      <w:tblPr/>
      <w:tcPr>
        <w:shd w:val="clear" w:color="auto" w:fill="ACACAC" w:themeFill="accent3" w:themeFillTint="7F"/>
      </w:tcPr>
    </w:tblStylePr>
    <w:tblStylePr w:type="band1Horz">
      <w:tblPr/>
      <w:tcPr>
        <w:shd w:val="clear" w:color="auto" w:fill="ACACAC" w:themeFill="accent3" w:themeFillTint="7F"/>
      </w:tcPr>
    </w:tblStylePr>
  </w:style>
  <w:style w:type="table" w:styleId="redniasiatka1akcent4">
    <w:name w:val="Medium Grid 1 Accent 4"/>
    <w:basedOn w:val="Standardowy"/>
    <w:uiPriority w:val="67"/>
    <w:semiHidden/>
    <w:rsid w:val="00A1460C"/>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A1460C"/>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A1460C"/>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sid w:val="00A1460C"/>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redniasiatka2akcent1">
    <w:name w:val="Medium Grid 2 Accent 1"/>
    <w:basedOn w:val="Standardowy"/>
    <w:uiPriority w:val="68"/>
    <w:semiHidden/>
    <w:rsid w:val="00A1460C"/>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FFFFFF" w:themeFill="background1"/>
      </w:tcPr>
    </w:tblStylePr>
  </w:style>
  <w:style w:type="table" w:styleId="redniasiatka2akcent2">
    <w:name w:val="Medium Grid 2 Accent 2"/>
    <w:basedOn w:val="Standardowy"/>
    <w:uiPriority w:val="68"/>
    <w:semiHidden/>
    <w:rsid w:val="00A1460C"/>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FFFFFF" w:themeFill="background1"/>
      </w:tcPr>
    </w:tblStylePr>
  </w:style>
  <w:style w:type="table" w:styleId="redniasiatka2akcent3">
    <w:name w:val="Medium Grid 2 Accent 3"/>
    <w:basedOn w:val="Standardowy"/>
    <w:uiPriority w:val="68"/>
    <w:semiHidden/>
    <w:rsid w:val="00A1460C"/>
    <w:rPr>
      <w:rFonts w:asciiTheme="majorHAnsi" w:eastAsiaTheme="majorEastAsia" w:hAnsiTheme="majorHAnsi" w:cstheme="majorBidi"/>
      <w:color w:val="000000" w:themeColor="text1"/>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insideH w:val="single" w:sz="8" w:space="0" w:color="595959" w:themeColor="accent3"/>
        <w:insideV w:val="single" w:sz="8" w:space="0" w:color="595959" w:themeColor="accent3"/>
      </w:tblBorders>
    </w:tblPr>
    <w:tcPr>
      <w:shd w:val="clear" w:color="auto" w:fill="D5D5D5" w:themeFill="accent3" w:themeFillTint="3F"/>
    </w:tcPr>
    <w:tblStylePr w:type="firstRow">
      <w:rPr>
        <w:b/>
        <w:bCs/>
        <w:color w:val="000000" w:themeColor="text1"/>
      </w:rPr>
      <w:tblPr/>
      <w:tcPr>
        <w:shd w:val="clear" w:color="auto" w:fill="EEEE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DDDDD" w:themeFill="accent3" w:themeFillTint="33"/>
      </w:tcPr>
    </w:tblStylePr>
    <w:tblStylePr w:type="band1Vert">
      <w:tblPr/>
      <w:tcPr>
        <w:shd w:val="clear" w:color="auto" w:fill="ACACAC" w:themeFill="accent3" w:themeFillTint="7F"/>
      </w:tcPr>
    </w:tblStylePr>
    <w:tblStylePr w:type="band1Horz">
      <w:tblPr/>
      <w:tcPr>
        <w:tcBorders>
          <w:insideH w:val="single" w:sz="6" w:space="0" w:color="595959" w:themeColor="accent3"/>
          <w:insideV w:val="single" w:sz="6" w:space="0" w:color="595959" w:themeColor="accent3"/>
        </w:tcBorders>
        <w:shd w:val="clear" w:color="auto" w:fill="ACACAC" w:themeFill="accent3" w:themeFillTint="7F"/>
      </w:tcPr>
    </w:tblStylePr>
    <w:tblStylePr w:type="nwCell">
      <w:tblPr/>
      <w:tcPr>
        <w:shd w:val="clear" w:color="auto" w:fill="FFFFFF" w:themeFill="background1"/>
      </w:tcPr>
    </w:tblStylePr>
  </w:style>
  <w:style w:type="table" w:styleId="redniasiatka2akcent4">
    <w:name w:val="Medium Grid 2 Accent 4"/>
    <w:basedOn w:val="Standardowy"/>
    <w:uiPriority w:val="68"/>
    <w:semiHidden/>
    <w:rsid w:val="00A1460C"/>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FFFFFF" w:themeFill="background1"/>
      </w:tcPr>
    </w:tblStylePr>
  </w:style>
  <w:style w:type="table" w:styleId="redniasiatka2akcent5">
    <w:name w:val="Medium Grid 2 Accent 5"/>
    <w:basedOn w:val="Standardowy"/>
    <w:uiPriority w:val="68"/>
    <w:semiHidden/>
    <w:rsid w:val="00A1460C"/>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FFFFFF" w:themeFill="background1"/>
      </w:tcPr>
    </w:tblStylePr>
  </w:style>
  <w:style w:type="table" w:styleId="redniasiatka2akcent6">
    <w:name w:val="Medium Grid 2 Accent 6"/>
    <w:basedOn w:val="Standardowy"/>
    <w:uiPriority w:val="68"/>
    <w:semiHidden/>
    <w:rsid w:val="00A1460C"/>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FFFFFF" w:themeFill="background1"/>
      </w:tcPr>
    </w:tblStylePr>
  </w:style>
  <w:style w:type="table" w:styleId="redniasiatka3">
    <w:name w:val="Medium Grid 3"/>
    <w:basedOn w:val="Standardowy"/>
    <w:uiPriority w:val="69"/>
    <w:semiHidden/>
    <w:rsid w:val="00A1460C"/>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redniasiatka3akcent1">
    <w:name w:val="Medium Grid 3 Accent 1"/>
    <w:basedOn w:val="Standardowy"/>
    <w:uiPriority w:val="69"/>
    <w:semiHidden/>
    <w:rsid w:val="00A1460C"/>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AFDFFF"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72BC"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72BC"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72BC"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72BC"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5EBFFF"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A1460C"/>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B0B0"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0000"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0000"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0000"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0000"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6060"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A1460C"/>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5D5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959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959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959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959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CAC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CACAC" w:themeFill="accent3" w:themeFillTint="7F"/>
      </w:tcPr>
    </w:tblStylePr>
  </w:style>
  <w:style w:type="table" w:styleId="redniasiatka3akcent4">
    <w:name w:val="Medium Grid 3 Accent 4"/>
    <w:basedOn w:val="Standardowy"/>
    <w:uiPriority w:val="69"/>
    <w:semiHidden/>
    <w:rsid w:val="00A1460C"/>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5E5E5"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69696"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69696"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69696"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69696"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ACACA"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A1460C"/>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7D7D7"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F5F5F"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F5F5F"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FAFAF"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A1460C"/>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3D3"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D4D4D"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D4D4D"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6A6A6"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6A6A6" w:themeFill="accent6" w:themeFillTint="7F"/>
      </w:tcPr>
    </w:tblStylePr>
  </w:style>
  <w:style w:type="table" w:styleId="rednialista1">
    <w:name w:val="Medium List 1"/>
    <w:basedOn w:val="Standardowy"/>
    <w:uiPriority w:val="65"/>
    <w:semiHidden/>
    <w:rsid w:val="00A1460C"/>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B0B0B0"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sid w:val="00A1460C"/>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B0B0B0"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A1460C"/>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B0B0B0"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A1460C"/>
    <w:rPr>
      <w:color w:val="000000" w:themeColor="text1"/>
      <w:sz w:val="24"/>
      <w:szCs w:val="24"/>
    </w:rPr>
    <w:tblPr>
      <w:tblStyleRowBandSize w:val="1"/>
      <w:tblStyleColBandSize w:val="1"/>
      <w:tblBorders>
        <w:top w:val="single" w:sz="8" w:space="0" w:color="595959" w:themeColor="accent3"/>
        <w:bottom w:val="single" w:sz="8" w:space="0" w:color="595959" w:themeColor="accent3"/>
      </w:tblBorders>
    </w:tblPr>
    <w:tblStylePr w:type="firstRow">
      <w:rPr>
        <w:rFonts w:asciiTheme="majorHAnsi" w:eastAsiaTheme="majorEastAsia" w:hAnsiTheme="majorHAnsi" w:cstheme="majorBidi"/>
      </w:rPr>
      <w:tblPr/>
      <w:tcPr>
        <w:tcBorders>
          <w:top w:val="nil"/>
          <w:bottom w:val="single" w:sz="8" w:space="0" w:color="595959" w:themeColor="accent3"/>
        </w:tcBorders>
      </w:tcPr>
    </w:tblStylePr>
    <w:tblStylePr w:type="lastRow">
      <w:rPr>
        <w:b/>
        <w:bCs/>
        <w:color w:val="B0B0B0" w:themeColor="text2"/>
      </w:rPr>
      <w:tblPr/>
      <w:tcPr>
        <w:tcBorders>
          <w:top w:val="single" w:sz="8" w:space="0" w:color="595959" w:themeColor="accent3"/>
          <w:bottom w:val="single" w:sz="8" w:space="0" w:color="595959" w:themeColor="accent3"/>
        </w:tcBorders>
      </w:tcPr>
    </w:tblStylePr>
    <w:tblStylePr w:type="firstCol">
      <w:rPr>
        <w:b/>
        <w:bCs/>
      </w:rPr>
    </w:tblStylePr>
    <w:tblStylePr w:type="lastCol">
      <w:rPr>
        <w:b/>
        <w:bCs/>
      </w:rPr>
      <w:tblPr/>
      <w:tcPr>
        <w:tcBorders>
          <w:top w:val="single" w:sz="8" w:space="0" w:color="595959" w:themeColor="accent3"/>
          <w:bottom w:val="single" w:sz="8" w:space="0" w:color="595959" w:themeColor="accent3"/>
        </w:tcBorders>
      </w:tcPr>
    </w:tblStylePr>
    <w:tblStylePr w:type="band1Vert">
      <w:tblPr/>
      <w:tcPr>
        <w:shd w:val="clear" w:color="auto" w:fill="D5D5D5" w:themeFill="accent3" w:themeFillTint="3F"/>
      </w:tcPr>
    </w:tblStylePr>
    <w:tblStylePr w:type="band1Horz">
      <w:tblPr/>
      <w:tcPr>
        <w:shd w:val="clear" w:color="auto" w:fill="D5D5D5" w:themeFill="accent3" w:themeFillTint="3F"/>
      </w:tcPr>
    </w:tblStylePr>
  </w:style>
  <w:style w:type="table" w:styleId="rednialista1akcent4">
    <w:name w:val="Medium List 1 Accent 4"/>
    <w:basedOn w:val="Standardowy"/>
    <w:uiPriority w:val="65"/>
    <w:semiHidden/>
    <w:rsid w:val="00A1460C"/>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B0B0B0"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A1460C"/>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B0B0B0"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A1460C"/>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B0B0B0"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sid w:val="00A1460C"/>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A1460C"/>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FFFFFF" w:themeFill="background1"/>
      </w:tcPr>
    </w:tblStylePr>
    <w:tblStylePr w:type="lastRow">
      <w:tblPr/>
      <w:tcPr>
        <w:tcBorders>
          <w:top w:val="single" w:sz="8" w:space="0" w:color="0072BC"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72BC" w:themeColor="accent1"/>
          <w:insideH w:val="nil"/>
          <w:insideV w:val="nil"/>
        </w:tcBorders>
        <w:shd w:val="clear" w:color="auto" w:fill="FFFFFF" w:themeFill="background1"/>
      </w:tcPr>
    </w:tblStylePr>
    <w:tblStylePr w:type="lastCol">
      <w:tblPr/>
      <w:tcPr>
        <w:tcBorders>
          <w:top w:val="nil"/>
          <w:left w:val="single" w:sz="8" w:space="0" w:color="0072BC"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A1460C"/>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tblPr/>
      <w:tcPr>
        <w:tcBorders>
          <w:top w:val="single" w:sz="8" w:space="0" w:color="C00000"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0000" w:themeColor="accent2"/>
          <w:insideH w:val="nil"/>
          <w:insideV w:val="nil"/>
        </w:tcBorders>
        <w:shd w:val="clear" w:color="auto" w:fill="FFFFFF" w:themeFill="background1"/>
      </w:tcPr>
    </w:tblStylePr>
    <w:tblStylePr w:type="lastCol">
      <w:tblPr/>
      <w:tcPr>
        <w:tcBorders>
          <w:top w:val="nil"/>
          <w:left w:val="single" w:sz="8" w:space="0" w:color="C00000"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A1460C"/>
    <w:rPr>
      <w:rFonts w:asciiTheme="majorHAnsi" w:eastAsiaTheme="majorEastAsia" w:hAnsiTheme="majorHAnsi" w:cstheme="majorBidi"/>
      <w:color w:val="000000" w:themeColor="text1"/>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tblBorders>
    </w:tblPr>
    <w:tblStylePr w:type="firstRow">
      <w:rPr>
        <w:sz w:val="24"/>
        <w:szCs w:val="24"/>
      </w:rPr>
      <w:tblPr/>
      <w:tcPr>
        <w:tcBorders>
          <w:top w:val="nil"/>
          <w:left w:val="nil"/>
          <w:bottom w:val="single" w:sz="24" w:space="0" w:color="595959" w:themeColor="accent3"/>
          <w:right w:val="nil"/>
          <w:insideH w:val="nil"/>
          <w:insideV w:val="nil"/>
        </w:tcBorders>
        <w:shd w:val="clear" w:color="auto" w:fill="FFFFFF" w:themeFill="background1"/>
      </w:tcPr>
    </w:tblStylePr>
    <w:tblStylePr w:type="lastRow">
      <w:tblPr/>
      <w:tcPr>
        <w:tcBorders>
          <w:top w:val="single" w:sz="8" w:space="0" w:color="5959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95959" w:themeColor="accent3"/>
          <w:insideH w:val="nil"/>
          <w:insideV w:val="nil"/>
        </w:tcBorders>
        <w:shd w:val="clear" w:color="auto" w:fill="FFFFFF" w:themeFill="background1"/>
      </w:tcPr>
    </w:tblStylePr>
    <w:tblStylePr w:type="lastCol">
      <w:tblPr/>
      <w:tcPr>
        <w:tcBorders>
          <w:top w:val="nil"/>
          <w:left w:val="single" w:sz="8" w:space="0" w:color="5959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5D5D5" w:themeFill="accent3" w:themeFillTint="3F"/>
      </w:tcPr>
    </w:tblStylePr>
    <w:tblStylePr w:type="band1Horz">
      <w:tblPr/>
      <w:tcPr>
        <w:tcBorders>
          <w:top w:val="nil"/>
          <w:bottom w:val="nil"/>
          <w:insideH w:val="nil"/>
          <w:insideV w:val="nil"/>
        </w:tcBorders>
        <w:shd w:val="clear" w:color="auto" w:fill="D5D5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A1460C"/>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FFFFFF" w:themeFill="background1"/>
      </w:tcPr>
    </w:tblStylePr>
    <w:tblStylePr w:type="lastRow">
      <w:tblPr/>
      <w:tcPr>
        <w:tcBorders>
          <w:top w:val="single" w:sz="8" w:space="0" w:color="969696"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69696" w:themeColor="accent4"/>
          <w:insideH w:val="nil"/>
          <w:insideV w:val="nil"/>
        </w:tcBorders>
        <w:shd w:val="clear" w:color="auto" w:fill="FFFFFF" w:themeFill="background1"/>
      </w:tcPr>
    </w:tblStylePr>
    <w:tblStylePr w:type="lastCol">
      <w:tblPr/>
      <w:tcPr>
        <w:tcBorders>
          <w:top w:val="nil"/>
          <w:left w:val="single" w:sz="8" w:space="0" w:color="969696"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A1460C"/>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tblPr/>
      <w:tcPr>
        <w:tcBorders>
          <w:top w:val="single" w:sz="8" w:space="0" w:color="5F5F5F"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F5F5F" w:themeColor="accent5"/>
          <w:insideH w:val="nil"/>
          <w:insideV w:val="nil"/>
        </w:tcBorders>
        <w:shd w:val="clear" w:color="auto" w:fill="FFFFFF" w:themeFill="background1"/>
      </w:tcPr>
    </w:tblStylePr>
    <w:tblStylePr w:type="lastCol">
      <w:tblPr/>
      <w:tcPr>
        <w:tcBorders>
          <w:top w:val="nil"/>
          <w:left w:val="single" w:sz="8" w:space="0" w:color="5F5F5F"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A1460C"/>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tblPr/>
      <w:tcPr>
        <w:tcBorders>
          <w:top w:val="single" w:sz="8" w:space="0" w:color="4D4D4D"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D4D4D" w:themeColor="accent6"/>
          <w:insideH w:val="nil"/>
          <w:insideV w:val="nil"/>
        </w:tcBorders>
        <w:shd w:val="clear" w:color="auto" w:fill="FFFFFF" w:themeFill="background1"/>
      </w:tcPr>
    </w:tblStylePr>
    <w:tblStylePr w:type="lastCol">
      <w:tblPr/>
      <w:tcPr>
        <w:tcBorders>
          <w:top w:val="nil"/>
          <w:left w:val="single" w:sz="8" w:space="0" w:color="4D4D4D"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redniecieniowanie1">
    <w:name w:val="Medium Shading 1"/>
    <w:basedOn w:val="Standardowy"/>
    <w:uiPriority w:val="63"/>
    <w:semiHidden/>
    <w:rsid w:val="00A1460C"/>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sid w:val="00A1460C"/>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FFFFFF"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A1460C"/>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FFFFFF"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A1460C"/>
    <w:rPr>
      <w:sz w:val="24"/>
      <w:szCs w:val="24"/>
    </w:rPr>
    <w:tblPr>
      <w:tblStyleRowBandSize w:val="1"/>
      <w:tblStyleColBandSize w:val="1"/>
      <w:tbl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single" w:sz="8" w:space="0" w:color="828282" w:themeColor="accent3" w:themeTint="BF"/>
      </w:tblBorders>
    </w:tblPr>
    <w:tblStylePr w:type="firstRow">
      <w:pPr>
        <w:spacing w:before="0" w:after="0" w:line="240" w:lineRule="auto"/>
      </w:pPr>
      <w:rPr>
        <w:b/>
        <w:bCs/>
        <w:color w:val="FFFFFF" w:themeColor="background1"/>
      </w:rPr>
      <w:tblPr/>
      <w:tcPr>
        <w:tc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nil"/>
          <w:insideV w:val="nil"/>
        </w:tcBorders>
        <w:shd w:val="clear" w:color="auto" w:fill="595959" w:themeFill="accent3"/>
      </w:tcPr>
    </w:tblStylePr>
    <w:tblStylePr w:type="lastRow">
      <w:pPr>
        <w:spacing w:before="0" w:after="0" w:line="240" w:lineRule="auto"/>
      </w:pPr>
      <w:rPr>
        <w:b/>
        <w:bCs/>
      </w:rPr>
      <w:tblPr/>
      <w:tcPr>
        <w:tcBorders>
          <w:top w:val="double" w:sz="6"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D5D5D5" w:themeFill="accent3" w:themeFillTint="3F"/>
      </w:tcPr>
    </w:tblStylePr>
    <w:tblStylePr w:type="band1Horz">
      <w:tblPr/>
      <w:tcPr>
        <w:tcBorders>
          <w:insideH w:val="nil"/>
          <w:insideV w:val="nil"/>
        </w:tcBorders>
        <w:shd w:val="clear" w:color="auto" w:fill="D5D5D5"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A1460C"/>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FFFFFF"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A1460C"/>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FFFFFF"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A1460C"/>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FFFFFF"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sid w:val="00A1460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sid w:val="00A1460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FFFFFF"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A1460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FFFFFF"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A1460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959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95959" w:themeFill="accent3"/>
      </w:tcPr>
    </w:tblStylePr>
    <w:tblStylePr w:type="lastCol">
      <w:rPr>
        <w:b/>
        <w:bCs/>
        <w:color w:val="FFFFFF" w:themeColor="background1"/>
      </w:rPr>
      <w:tblPr/>
      <w:tcPr>
        <w:tcBorders>
          <w:left w:val="nil"/>
          <w:right w:val="nil"/>
          <w:insideH w:val="nil"/>
          <w:insideV w:val="nil"/>
        </w:tcBorders>
        <w:shd w:val="clear" w:color="auto" w:fill="5959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A1460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FFFFFF"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A1460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FFFFFF"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A1460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FFFFFF"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8"/>
    <w:semiHidden/>
    <w:rsid w:val="00A1460C"/>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NagwekwiadomociZnak">
    <w:name w:val="Nagłówek wiadomości Znak"/>
    <w:basedOn w:val="Domylnaczcionkaakapitu"/>
    <w:link w:val="Nagwekwiadomoci"/>
    <w:uiPriority w:val="98"/>
    <w:semiHidden/>
    <w:rsid w:val="00A1460C"/>
    <w:rPr>
      <w:rFonts w:asciiTheme="majorHAnsi" w:eastAsiaTheme="majorEastAsia" w:hAnsiTheme="majorHAnsi" w:cstheme="majorBidi"/>
      <w:sz w:val="24"/>
      <w:szCs w:val="24"/>
      <w:shd w:val="pct20" w:color="auto" w:fill="auto"/>
      <w:lang w:val="pl-PL"/>
    </w:rPr>
  </w:style>
  <w:style w:type="paragraph" w:styleId="NormalnyWeb">
    <w:name w:val="Normal (Web)"/>
    <w:basedOn w:val="Normalny"/>
    <w:uiPriority w:val="98"/>
    <w:semiHidden/>
    <w:rsid w:val="00A1460C"/>
    <w:rPr>
      <w:rFonts w:ascii="Times New Roman" w:hAnsi="Times New Roman" w:cs="Times New Roman"/>
    </w:rPr>
  </w:style>
  <w:style w:type="paragraph" w:styleId="Wcicienormalne">
    <w:name w:val="Normal Indent"/>
    <w:basedOn w:val="Normalny"/>
    <w:uiPriority w:val="98"/>
    <w:semiHidden/>
    <w:rsid w:val="00A1460C"/>
    <w:pPr>
      <w:ind w:left="720"/>
    </w:pPr>
  </w:style>
  <w:style w:type="paragraph" w:styleId="Nagweknotatki">
    <w:name w:val="Note Heading"/>
    <w:basedOn w:val="Normalny"/>
    <w:next w:val="Normalny"/>
    <w:link w:val="NagweknotatkiZnak"/>
    <w:uiPriority w:val="98"/>
    <w:semiHidden/>
    <w:rsid w:val="00A1460C"/>
  </w:style>
  <w:style w:type="character" w:customStyle="1" w:styleId="NagweknotatkiZnak">
    <w:name w:val="Nagłówek notatki Znak"/>
    <w:basedOn w:val="Domylnaczcionkaakapitu"/>
    <w:link w:val="Nagweknotatki"/>
    <w:uiPriority w:val="98"/>
    <w:rsid w:val="00A1460C"/>
    <w:rPr>
      <w:sz w:val="24"/>
      <w:szCs w:val="24"/>
      <w:lang w:val="pl-PL"/>
    </w:rPr>
  </w:style>
  <w:style w:type="character" w:styleId="Tekstzastpczy">
    <w:name w:val="Placeholder Text"/>
    <w:basedOn w:val="Domylnaczcionkaakapitu"/>
    <w:uiPriority w:val="98"/>
    <w:semiHidden/>
    <w:rsid w:val="00A1460C"/>
    <w:rPr>
      <w:color w:val="auto"/>
      <w:bdr w:val="none" w:sz="0" w:space="0" w:color="auto"/>
      <w:shd w:val="clear" w:color="auto" w:fill="DFDFDF" w:themeFill="background2" w:themeFillShade="E6"/>
    </w:rPr>
  </w:style>
  <w:style w:type="paragraph" w:styleId="Zwykytekst">
    <w:name w:val="Plain Text"/>
    <w:basedOn w:val="Normalny"/>
    <w:link w:val="ZwykytekstZnak"/>
    <w:uiPriority w:val="98"/>
    <w:semiHidden/>
    <w:rsid w:val="00A1460C"/>
    <w:rPr>
      <w:rFonts w:ascii="Consolas" w:hAnsi="Consolas" w:cs="Consolas"/>
      <w:sz w:val="21"/>
      <w:szCs w:val="21"/>
    </w:rPr>
  </w:style>
  <w:style w:type="character" w:customStyle="1" w:styleId="ZwykytekstZnak">
    <w:name w:val="Zwykły tekst Znak"/>
    <w:basedOn w:val="Domylnaczcionkaakapitu"/>
    <w:link w:val="Zwykytekst"/>
    <w:uiPriority w:val="98"/>
    <w:semiHidden/>
    <w:rsid w:val="00A1460C"/>
    <w:rPr>
      <w:rFonts w:ascii="Consolas" w:hAnsi="Consolas" w:cs="Consolas"/>
      <w:sz w:val="21"/>
      <w:szCs w:val="21"/>
      <w:lang w:val="pl-PL"/>
    </w:rPr>
  </w:style>
  <w:style w:type="paragraph" w:styleId="Zwrotgrzecznociowy">
    <w:name w:val="Salutation"/>
    <w:basedOn w:val="Normalny"/>
    <w:next w:val="Normalny"/>
    <w:link w:val="ZwrotgrzecznociowyZnak"/>
    <w:uiPriority w:val="98"/>
    <w:semiHidden/>
    <w:rsid w:val="00A1460C"/>
  </w:style>
  <w:style w:type="character" w:customStyle="1" w:styleId="ZwrotgrzecznociowyZnak">
    <w:name w:val="Zwrot grzecznościowy Znak"/>
    <w:basedOn w:val="Domylnaczcionkaakapitu"/>
    <w:link w:val="Zwrotgrzecznociowy"/>
    <w:uiPriority w:val="98"/>
    <w:semiHidden/>
    <w:rsid w:val="00A1460C"/>
    <w:rPr>
      <w:sz w:val="24"/>
      <w:szCs w:val="24"/>
      <w:lang w:val="pl-PL"/>
    </w:rPr>
  </w:style>
  <w:style w:type="paragraph" w:styleId="Podpis">
    <w:name w:val="Signature"/>
    <w:basedOn w:val="Normalny"/>
    <w:link w:val="PodpisZnak"/>
    <w:uiPriority w:val="98"/>
    <w:semiHidden/>
    <w:rsid w:val="00A1460C"/>
    <w:pPr>
      <w:ind w:left="4252"/>
    </w:pPr>
  </w:style>
  <w:style w:type="character" w:customStyle="1" w:styleId="PodpisZnak">
    <w:name w:val="Podpis Znak"/>
    <w:basedOn w:val="Domylnaczcionkaakapitu"/>
    <w:link w:val="Podpis"/>
    <w:uiPriority w:val="98"/>
    <w:semiHidden/>
    <w:rsid w:val="00A1460C"/>
    <w:rPr>
      <w:sz w:val="24"/>
      <w:szCs w:val="24"/>
      <w:lang w:val="pl-PL"/>
    </w:rPr>
  </w:style>
  <w:style w:type="table" w:styleId="Tabela-Efekty3W1">
    <w:name w:val="Table 3D effects 1"/>
    <w:basedOn w:val="Standardowy"/>
    <w:uiPriority w:val="99"/>
    <w:semiHidden/>
    <w:unhideWhenUsed/>
    <w:rsid w:val="00A1460C"/>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unhideWhenUsed/>
    <w:rsid w:val="00A1460C"/>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unhideWhenUsed/>
    <w:rsid w:val="00A1460C"/>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A1460C"/>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A1460C"/>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A1460C"/>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A1460C"/>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A1460C"/>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A1460C"/>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A1460C"/>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A1460C"/>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A1460C"/>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A1460C"/>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A1460C"/>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A1460C"/>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A1460C"/>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A1460C"/>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A1460C"/>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A1460C"/>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A1460C"/>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A1460C"/>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A1460C"/>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A1460C"/>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A1460C"/>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A1460C"/>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A1460C"/>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A1460C"/>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A1460C"/>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A1460C"/>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A1460C"/>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A1460C"/>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A1460C"/>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A1460C"/>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8"/>
    <w:semiHidden/>
    <w:rsid w:val="00A1460C"/>
    <w:pPr>
      <w:ind w:left="240" w:hanging="240"/>
    </w:pPr>
  </w:style>
  <w:style w:type="paragraph" w:styleId="Spisilustracji">
    <w:name w:val="table of figures"/>
    <w:basedOn w:val="Normalny"/>
    <w:next w:val="Normalny"/>
    <w:uiPriority w:val="98"/>
    <w:semiHidden/>
    <w:rsid w:val="00A1460C"/>
  </w:style>
  <w:style w:type="table" w:styleId="Tabela-Profesjonalny">
    <w:name w:val="Table Professional"/>
    <w:basedOn w:val="Standardowy"/>
    <w:uiPriority w:val="99"/>
    <w:semiHidden/>
    <w:unhideWhenUsed/>
    <w:rsid w:val="00A1460C"/>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A1460C"/>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A1460C"/>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A1460C"/>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A1460C"/>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A1460C"/>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A1460C"/>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A1460C"/>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A1460C"/>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A1460C"/>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8"/>
    <w:semiHidden/>
    <w:rsid w:val="00A1460C"/>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8"/>
    <w:semiHidden/>
    <w:rsid w:val="00A1460C"/>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8"/>
    <w:semiHidden/>
    <w:rsid w:val="00A1460C"/>
    <w:pPr>
      <w:spacing w:after="100"/>
      <w:ind w:left="1680"/>
    </w:pPr>
  </w:style>
  <w:style w:type="paragraph" w:styleId="Spistreci9">
    <w:name w:val="toc 9"/>
    <w:basedOn w:val="Normalny"/>
    <w:next w:val="Normalny"/>
    <w:autoRedefine/>
    <w:uiPriority w:val="98"/>
    <w:semiHidden/>
    <w:rsid w:val="00A1460C"/>
    <w:pPr>
      <w:spacing w:after="100"/>
      <w:ind w:left="1920"/>
    </w:pPr>
  </w:style>
  <w:style w:type="paragraph" w:customStyle="1" w:styleId="ECHRFooter">
    <w:name w:val="ECHR_Footer"/>
    <w:aliases w:val="Footer_ECHR"/>
    <w:basedOn w:val="Stopka"/>
    <w:uiPriority w:val="57"/>
    <w:semiHidden/>
    <w:rsid w:val="0064393B"/>
    <w:rPr>
      <w:sz w:val="8"/>
    </w:rPr>
  </w:style>
  <w:style w:type="paragraph" w:customStyle="1" w:styleId="ECHRFooterLine">
    <w:name w:val="ECHR_Footer_Line"/>
    <w:aliases w:val="_Footer_Line"/>
    <w:basedOn w:val="Normalny"/>
    <w:next w:val="Normalny"/>
    <w:uiPriority w:val="30"/>
    <w:semiHidden/>
    <w:rsid w:val="00A1460C"/>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A1460C"/>
    <w:pPr>
      <w:keepNext/>
      <w:keepLines/>
      <w:spacing w:after="280"/>
      <w:ind w:firstLine="0"/>
      <w:jc w:val="center"/>
    </w:pPr>
    <w:rPr>
      <w:rFonts w:asciiTheme="majorHAnsi" w:hAnsiTheme="majorHAnsi"/>
    </w:rPr>
  </w:style>
  <w:style w:type="paragraph" w:customStyle="1" w:styleId="JuTitle">
    <w:name w:val="Ju_Title"/>
    <w:aliases w:val="_Title_2"/>
    <w:basedOn w:val="Normalny"/>
    <w:next w:val="JuPara"/>
    <w:uiPriority w:val="38"/>
    <w:qFormat/>
    <w:rsid w:val="00A1460C"/>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rsid w:val="00A1460C"/>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A1460C"/>
    <w:pPr>
      <w:numPr>
        <w:numId w:val="19"/>
      </w:numPr>
      <w:spacing w:before="60" w:after="60"/>
    </w:pPr>
  </w:style>
  <w:style w:type="paragraph" w:customStyle="1" w:styleId="ECHRBullet2">
    <w:name w:val="ECHR_Bullet_2"/>
    <w:aliases w:val="_Bul_2"/>
    <w:basedOn w:val="ECHRBullet1"/>
    <w:uiPriority w:val="23"/>
    <w:semiHidden/>
    <w:rsid w:val="00A1460C"/>
    <w:pPr>
      <w:numPr>
        <w:ilvl w:val="1"/>
      </w:numPr>
    </w:pPr>
  </w:style>
  <w:style w:type="paragraph" w:customStyle="1" w:styleId="ECHRBullet3">
    <w:name w:val="ECHR_Bullet_3"/>
    <w:aliases w:val="_Bul_3"/>
    <w:basedOn w:val="ECHRBullet2"/>
    <w:uiPriority w:val="23"/>
    <w:semiHidden/>
    <w:rsid w:val="00A1460C"/>
    <w:pPr>
      <w:numPr>
        <w:ilvl w:val="2"/>
      </w:numPr>
    </w:pPr>
  </w:style>
  <w:style w:type="paragraph" w:customStyle="1" w:styleId="ECHRBullet4">
    <w:name w:val="ECHR_Bullet_4"/>
    <w:aliases w:val="_Bul_4"/>
    <w:basedOn w:val="ECHRBullet3"/>
    <w:uiPriority w:val="23"/>
    <w:semiHidden/>
    <w:rsid w:val="00A1460C"/>
    <w:pPr>
      <w:numPr>
        <w:ilvl w:val="3"/>
      </w:numPr>
    </w:pPr>
  </w:style>
  <w:style w:type="paragraph" w:customStyle="1" w:styleId="ECHRConfidential">
    <w:name w:val="ECHR_Confidential"/>
    <w:aliases w:val="_Confidential"/>
    <w:basedOn w:val="Normalny"/>
    <w:next w:val="Normalny"/>
    <w:uiPriority w:val="42"/>
    <w:semiHidden/>
    <w:qFormat/>
    <w:rsid w:val="00A1460C"/>
    <w:pPr>
      <w:jc w:val="right"/>
    </w:pPr>
    <w:rPr>
      <w:color w:val="C00000"/>
      <w:sz w:val="20"/>
    </w:rPr>
  </w:style>
  <w:style w:type="paragraph" w:customStyle="1" w:styleId="ECHRDecisionBody">
    <w:name w:val="ECHR_Decision_Body"/>
    <w:aliases w:val="_Decision_Body"/>
    <w:basedOn w:val="NormalJustified"/>
    <w:uiPriority w:val="54"/>
    <w:semiHidden/>
    <w:rsid w:val="00A1460C"/>
    <w:pPr>
      <w:tabs>
        <w:tab w:val="left" w:pos="567"/>
        <w:tab w:val="left" w:pos="1134"/>
      </w:tabs>
      <w:spacing w:line="240" w:lineRule="exact"/>
      <w:jc w:val="left"/>
    </w:pPr>
  </w:style>
  <w:style w:type="paragraph" w:customStyle="1" w:styleId="ECHRDivisionName">
    <w:name w:val="ECHR_DivisionName"/>
    <w:aliases w:val="_Div_Name"/>
    <w:basedOn w:val="Normalny"/>
    <w:link w:val="ECHRDivisionNameChar"/>
    <w:uiPriority w:val="41"/>
    <w:semiHidden/>
    <w:qFormat/>
    <w:rsid w:val="00A1460C"/>
    <w:pPr>
      <w:contextualSpacing/>
      <w:jc w:val="center"/>
    </w:pPr>
    <w:rPr>
      <w:rFonts w:ascii="Arial" w:hAnsi="Arial"/>
      <w:i/>
      <w:color w:val="002856"/>
      <w:sz w:val="32"/>
    </w:rPr>
  </w:style>
  <w:style w:type="character" w:customStyle="1" w:styleId="ECHRDivisionNameChar">
    <w:name w:val="ECHR_DivisionName Char"/>
    <w:aliases w:val="_Div_Name Char"/>
    <w:basedOn w:val="Domylnaczcionkaakapitu"/>
    <w:link w:val="ECHRDivisionName"/>
    <w:uiPriority w:val="41"/>
    <w:semiHidden/>
    <w:rsid w:val="00A1460C"/>
    <w:rPr>
      <w:rFonts w:ascii="Arial" w:hAnsi="Arial"/>
      <w:i/>
      <w:color w:val="002856"/>
      <w:sz w:val="32"/>
      <w:szCs w:val="24"/>
      <w:lang w:val="pl-PL"/>
    </w:rPr>
  </w:style>
  <w:style w:type="paragraph" w:customStyle="1" w:styleId="ECHRFooterLineLandscape">
    <w:name w:val="ECHR_Footer_Line_Landscape"/>
    <w:aliases w:val="_Footer_Line_Landscape"/>
    <w:basedOn w:val="Normalny"/>
    <w:uiPriority w:val="30"/>
    <w:semiHidden/>
    <w:rsid w:val="00A1460C"/>
    <w:pPr>
      <w:pBdr>
        <w:top w:val="single" w:sz="8" w:space="1" w:color="7F7F7F" w:themeColor="text1" w:themeTint="80"/>
      </w:pBdr>
      <w:tabs>
        <w:tab w:val="center" w:pos="6146"/>
        <w:tab w:val="right" w:pos="12293"/>
      </w:tabs>
      <w:ind w:left="-1474" w:right="-1474"/>
    </w:pPr>
    <w:rPr>
      <w:color w:val="424242" w:themeColor="accent3" w:themeShade="BF"/>
      <w:sz w:val="22"/>
    </w:rPr>
  </w:style>
  <w:style w:type="paragraph" w:customStyle="1" w:styleId="ECHRHeaderDate">
    <w:name w:val="ECHR_Header_Date"/>
    <w:aliases w:val="_Ref_Date"/>
    <w:basedOn w:val="Normalny"/>
    <w:uiPriority w:val="44"/>
    <w:semiHidden/>
    <w:qFormat/>
    <w:rsid w:val="00A1460C"/>
    <w:pPr>
      <w:jc w:val="right"/>
    </w:pPr>
    <w:rPr>
      <w:sz w:val="20"/>
    </w:rPr>
  </w:style>
  <w:style w:type="paragraph" w:customStyle="1" w:styleId="ECHRHeaderRefIt">
    <w:name w:val="ECHR_Header_Ref_It"/>
    <w:aliases w:val="_Ref_Ital"/>
    <w:basedOn w:val="Normalny"/>
    <w:next w:val="ECHRHeaderDate"/>
    <w:uiPriority w:val="43"/>
    <w:qFormat/>
    <w:rsid w:val="00A1460C"/>
    <w:pPr>
      <w:jc w:val="right"/>
    </w:pPr>
    <w:rPr>
      <w:i/>
      <w:sz w:val="20"/>
    </w:rPr>
  </w:style>
  <w:style w:type="paragraph" w:customStyle="1" w:styleId="ECHRHeading9">
    <w:name w:val="ECHR_Heading_9"/>
    <w:aliases w:val="_Head_9"/>
    <w:basedOn w:val="Nagwek9"/>
    <w:uiPriority w:val="17"/>
    <w:semiHidden/>
    <w:rsid w:val="00A1460C"/>
    <w:pPr>
      <w:keepNext/>
      <w:keepLines/>
      <w:numPr>
        <w:ilvl w:val="8"/>
        <w:numId w:val="21"/>
      </w:numPr>
      <w:spacing w:before="100" w:beforeAutospacing="1"/>
      <w:contextualSpacing/>
      <w:jc w:val="both"/>
    </w:pPr>
    <w:rPr>
      <w:i w:val="0"/>
      <w:sz w:val="18"/>
    </w:rPr>
  </w:style>
  <w:style w:type="paragraph" w:customStyle="1" w:styleId="ECHRLine">
    <w:name w:val="ECHR_Line"/>
    <w:aliases w:val="_Line"/>
    <w:basedOn w:val="NormalJustified"/>
    <w:next w:val="Normalny"/>
    <w:uiPriority w:val="46"/>
    <w:semiHidden/>
    <w:rsid w:val="00A1460C"/>
    <w:pPr>
      <w:pBdr>
        <w:bottom w:val="single" w:sz="12" w:space="1" w:color="838383" w:themeColor="text2" w:themeShade="BF"/>
      </w:pBdr>
      <w:spacing w:after="120"/>
    </w:pPr>
    <w:rPr>
      <w:sz w:val="12"/>
    </w:rPr>
  </w:style>
  <w:style w:type="paragraph" w:customStyle="1" w:styleId="ECHRNumberedList1">
    <w:name w:val="ECHR_Numbered_List_1"/>
    <w:aliases w:val="_Num_1"/>
    <w:basedOn w:val="NormalJustified"/>
    <w:uiPriority w:val="23"/>
    <w:semiHidden/>
    <w:qFormat/>
    <w:rsid w:val="00A1460C"/>
    <w:pPr>
      <w:numPr>
        <w:numId w:val="20"/>
      </w:numPr>
      <w:spacing w:before="60" w:after="60"/>
    </w:pPr>
  </w:style>
  <w:style w:type="paragraph" w:customStyle="1" w:styleId="ECHRNumberedList2">
    <w:name w:val="ECHR_Numbered_List_2"/>
    <w:aliases w:val="_Num_2"/>
    <w:basedOn w:val="ECHRNumberedList1"/>
    <w:uiPriority w:val="23"/>
    <w:semiHidden/>
    <w:rsid w:val="00A1460C"/>
    <w:pPr>
      <w:numPr>
        <w:ilvl w:val="1"/>
      </w:numPr>
    </w:pPr>
  </w:style>
  <w:style w:type="paragraph" w:customStyle="1" w:styleId="ECHRNumberedList3">
    <w:name w:val="ECHR_Numbered_List_3"/>
    <w:aliases w:val="_Num_3"/>
    <w:basedOn w:val="ECHRNumberedList2"/>
    <w:uiPriority w:val="23"/>
    <w:semiHidden/>
    <w:rsid w:val="00A1460C"/>
    <w:pPr>
      <w:numPr>
        <w:ilvl w:val="2"/>
      </w:numPr>
    </w:pPr>
  </w:style>
  <w:style w:type="paragraph" w:customStyle="1" w:styleId="ECHRParaHanging">
    <w:name w:val="ECHR_Para_Hanging"/>
    <w:aliases w:val="_Hanging"/>
    <w:basedOn w:val="NormalJustified"/>
    <w:uiPriority w:val="8"/>
    <w:semiHidden/>
    <w:qFormat/>
    <w:rsid w:val="00A1460C"/>
    <w:pPr>
      <w:ind w:left="567" w:hanging="567"/>
    </w:pPr>
  </w:style>
  <w:style w:type="paragraph" w:customStyle="1" w:styleId="ECHRParaIndent">
    <w:name w:val="ECHR_Para_Indent"/>
    <w:aliases w:val="_Indent"/>
    <w:basedOn w:val="NormalJustified"/>
    <w:uiPriority w:val="7"/>
    <w:semiHidden/>
    <w:qFormat/>
    <w:rsid w:val="00A1460C"/>
    <w:pPr>
      <w:spacing w:before="120" w:after="120"/>
      <w:ind w:left="284"/>
    </w:pPr>
  </w:style>
  <w:style w:type="character" w:customStyle="1" w:styleId="ECHRRed">
    <w:name w:val="ECHR_Red"/>
    <w:aliases w:val="_Red"/>
    <w:basedOn w:val="Domylnaczcionkaakapitu"/>
    <w:uiPriority w:val="15"/>
    <w:semiHidden/>
    <w:qFormat/>
    <w:rsid w:val="00A1460C"/>
    <w:rPr>
      <w:color w:val="C00000" w:themeColor="accent2"/>
    </w:rPr>
  </w:style>
  <w:style w:type="paragraph" w:customStyle="1" w:styleId="DecList">
    <w:name w:val="Dec_List"/>
    <w:aliases w:val="_List"/>
    <w:basedOn w:val="JuList"/>
    <w:uiPriority w:val="22"/>
    <w:rsid w:val="00A1460C"/>
    <w:pPr>
      <w:numPr>
        <w:numId w:val="0"/>
      </w:numPr>
      <w:ind w:left="284"/>
    </w:pPr>
  </w:style>
  <w:style w:type="table" w:customStyle="1" w:styleId="ECHRTable2">
    <w:name w:val="ECHR_Table_2"/>
    <w:basedOn w:val="Standardowy"/>
    <w:uiPriority w:val="99"/>
    <w:rsid w:val="00A1460C"/>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Standardowy"/>
    <w:uiPriority w:val="99"/>
    <w:rsid w:val="00A1460C"/>
    <w:rPr>
      <w:sz w:val="24"/>
      <w:szCs w:val="24"/>
    </w:rPr>
    <w:tblPr>
      <w:tblStyleRowBandSize w:val="1"/>
      <w:tblStyleColBandSize w:val="1"/>
      <w:jc w:val="center"/>
      <w:tbl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F8F8F8" w:themeColor="background2"/>
          <w:tl2br w:val="nil"/>
          <w:tr2bl w:val="nil"/>
        </w:tcBorders>
        <w:shd w:val="clear" w:color="auto" w:fill="595959" w:themeFill="accent3"/>
      </w:tcPr>
    </w:tblStylePr>
    <w:tblStylePr w:type="lastRow">
      <w:rPr>
        <w:b/>
        <w:i w:val="0"/>
      </w:rPr>
      <w:tblPr/>
      <w:tcPr>
        <w:tcBorders>
          <w:top w:val="single" w:sz="8" w:space="0" w:color="595959" w:themeColor="accent3"/>
          <w:left w:val="single" w:sz="4" w:space="0" w:color="595959" w:themeColor="accent3"/>
          <w:bottom w:val="single" w:sz="8" w:space="0" w:color="595959" w:themeColor="accent3"/>
          <w:right w:val="single" w:sz="4" w:space="0" w:color="595959" w:themeColor="accent3"/>
          <w:insideH w:val="nil"/>
          <w:insideV w:val="single" w:sz="4" w:space="0" w:color="595959"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DFDFDF" w:themeFill="text2" w:themeFillTint="66"/>
      </w:tcPr>
    </w:tblStylePr>
    <w:tblStylePr w:type="lastCol">
      <w:rPr>
        <w:b/>
        <w:i w:val="0"/>
      </w:rPr>
    </w:tblStylePr>
    <w:tblStylePr w:type="band2Vert">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DFDFDF"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DFDFDF" w:themeFill="text2" w:themeFillTint="66"/>
      </w:tcPr>
    </w:tblStylePr>
  </w:style>
  <w:style w:type="paragraph" w:customStyle="1" w:styleId="ECHRTitle1">
    <w:name w:val="ECHR_Title_1"/>
    <w:aliases w:val="_Title_L_1"/>
    <w:basedOn w:val="Normalny"/>
    <w:next w:val="Normalny"/>
    <w:uiPriority w:val="28"/>
    <w:semiHidden/>
    <w:qFormat/>
    <w:rsid w:val="00A1460C"/>
    <w:pPr>
      <w:keepNext/>
      <w:keepLines/>
      <w:spacing w:before="240"/>
      <w:contextualSpacing/>
    </w:pPr>
    <w:rPr>
      <w:rFonts w:asciiTheme="majorHAnsi" w:hAnsiTheme="majorHAnsi"/>
      <w:b/>
      <w:color w:val="2C2C2C" w:themeColor="accent3" w:themeShade="80"/>
      <w:sz w:val="32"/>
    </w:rPr>
  </w:style>
  <w:style w:type="paragraph" w:customStyle="1" w:styleId="ECHRTitle2">
    <w:name w:val="ECHR_Title_2"/>
    <w:aliases w:val="_Title_L_2"/>
    <w:basedOn w:val="Normalny"/>
    <w:next w:val="Normalny"/>
    <w:uiPriority w:val="28"/>
    <w:semiHidden/>
    <w:qFormat/>
    <w:rsid w:val="00A1460C"/>
    <w:pPr>
      <w:keepNext/>
      <w:keepLines/>
      <w:spacing w:before="240"/>
      <w:contextualSpacing/>
    </w:pPr>
    <w:rPr>
      <w:rFonts w:asciiTheme="majorHAnsi" w:hAnsiTheme="majorHAnsi"/>
      <w:b/>
      <w:color w:val="424242" w:themeColor="accent3" w:themeShade="BF"/>
      <w:sz w:val="28"/>
    </w:rPr>
  </w:style>
  <w:style w:type="paragraph" w:customStyle="1" w:styleId="ECHRTitle3">
    <w:name w:val="ECHR_Title_3"/>
    <w:aliases w:val="_Title_L_3"/>
    <w:basedOn w:val="Normalny"/>
    <w:next w:val="Normalny"/>
    <w:uiPriority w:val="28"/>
    <w:semiHidden/>
    <w:qFormat/>
    <w:rsid w:val="00A1460C"/>
    <w:pPr>
      <w:keepNext/>
      <w:keepLines/>
      <w:spacing w:before="240"/>
      <w:contextualSpacing/>
    </w:pPr>
    <w:rPr>
      <w:rFonts w:asciiTheme="majorHAnsi" w:hAnsiTheme="majorHAnsi"/>
      <w:b/>
      <w:color w:val="424242" w:themeColor="accent3" w:themeShade="BF"/>
    </w:rPr>
  </w:style>
  <w:style w:type="paragraph" w:customStyle="1" w:styleId="ECHRTitleCentre1">
    <w:name w:val="ECHR_Title_Centre_1"/>
    <w:aliases w:val="_Title_C_1"/>
    <w:basedOn w:val="Normalny"/>
    <w:next w:val="Normalny"/>
    <w:uiPriority w:val="26"/>
    <w:semiHidden/>
    <w:qFormat/>
    <w:rsid w:val="00A1460C"/>
    <w:pPr>
      <w:keepNext/>
      <w:keepLines/>
      <w:spacing w:before="240"/>
      <w:contextualSpacing/>
      <w:jc w:val="center"/>
    </w:pPr>
    <w:rPr>
      <w:rFonts w:asciiTheme="majorHAnsi" w:hAnsiTheme="majorHAnsi"/>
      <w:b/>
      <w:color w:val="2C2C2C" w:themeColor="accent3" w:themeShade="80"/>
      <w:sz w:val="32"/>
    </w:rPr>
  </w:style>
  <w:style w:type="paragraph" w:customStyle="1" w:styleId="ECHRTitleCentre2">
    <w:name w:val="ECHR_Title_Centre_2"/>
    <w:aliases w:val="_Title_C_2"/>
    <w:basedOn w:val="Normalny"/>
    <w:next w:val="Normalny"/>
    <w:uiPriority w:val="26"/>
    <w:semiHidden/>
    <w:qFormat/>
    <w:rsid w:val="00A1460C"/>
    <w:pPr>
      <w:keepNext/>
      <w:keepLines/>
      <w:spacing w:before="240"/>
      <w:contextualSpacing/>
      <w:jc w:val="center"/>
    </w:pPr>
    <w:rPr>
      <w:rFonts w:asciiTheme="majorHAnsi" w:hAnsiTheme="majorHAnsi"/>
      <w:b/>
      <w:color w:val="424242" w:themeColor="accent3" w:themeShade="BF"/>
      <w:sz w:val="28"/>
    </w:rPr>
  </w:style>
  <w:style w:type="paragraph" w:customStyle="1" w:styleId="ECHRTitleCentre3">
    <w:name w:val="ECHR_Title_Centre_3"/>
    <w:aliases w:val="_Title_C_3"/>
    <w:basedOn w:val="Normalny"/>
    <w:next w:val="Normalny"/>
    <w:uiPriority w:val="26"/>
    <w:semiHidden/>
    <w:qFormat/>
    <w:rsid w:val="00A1460C"/>
    <w:pPr>
      <w:keepNext/>
      <w:keepLines/>
      <w:spacing w:before="240"/>
      <w:contextualSpacing/>
      <w:jc w:val="center"/>
    </w:pPr>
    <w:rPr>
      <w:rFonts w:asciiTheme="majorHAnsi" w:hAnsiTheme="majorHAnsi"/>
      <w:b/>
      <w:color w:val="424242" w:themeColor="accent3" w:themeShade="BF"/>
    </w:rPr>
  </w:style>
  <w:style w:type="paragraph" w:customStyle="1" w:styleId="ECHRTitleCentreTOC1">
    <w:name w:val="ECHR_Title_Centre_TOC_1"/>
    <w:aliases w:val="_Title_C_TOC"/>
    <w:basedOn w:val="ECHRTitleCentre1"/>
    <w:next w:val="Normalny"/>
    <w:uiPriority w:val="25"/>
    <w:semiHidden/>
    <w:qFormat/>
    <w:rsid w:val="00A1460C"/>
    <w:pPr>
      <w:outlineLvl w:val="0"/>
    </w:pPr>
  </w:style>
  <w:style w:type="paragraph" w:customStyle="1" w:styleId="ECHRTitleTOC1">
    <w:name w:val="ECHR_Title_TOC_1"/>
    <w:aliases w:val="_Title_L_TOC"/>
    <w:basedOn w:val="ECHRTitle1"/>
    <w:next w:val="Normalny"/>
    <w:uiPriority w:val="27"/>
    <w:semiHidden/>
    <w:qFormat/>
    <w:rsid w:val="00A1460C"/>
    <w:pPr>
      <w:outlineLvl w:val="0"/>
    </w:pPr>
  </w:style>
  <w:style w:type="paragraph" w:customStyle="1" w:styleId="ECHRPlaceholder">
    <w:name w:val="ECHR_Placeholder"/>
    <w:aliases w:val="_Placeholder"/>
    <w:basedOn w:val="JuSigned"/>
    <w:uiPriority w:val="31"/>
    <w:rsid w:val="00A1460C"/>
    <w:rPr>
      <w:color w:val="FFFFFF"/>
    </w:rPr>
  </w:style>
  <w:style w:type="paragraph" w:customStyle="1" w:styleId="ECHRSpacer">
    <w:name w:val="ECHR_Spacer"/>
    <w:aliases w:val="_Spacer"/>
    <w:basedOn w:val="Normalny"/>
    <w:uiPriority w:val="45"/>
    <w:semiHidden/>
    <w:rsid w:val="00A1460C"/>
    <w:rPr>
      <w:sz w:val="4"/>
    </w:rPr>
  </w:style>
  <w:style w:type="table" w:customStyle="1" w:styleId="ECHRTableGrey">
    <w:name w:val="ECHR_Table_Grey"/>
    <w:basedOn w:val="Standardowy"/>
    <w:uiPriority w:val="99"/>
    <w:rsid w:val="00A1460C"/>
    <w:pPr>
      <w:tabs>
        <w:tab w:val="left" w:pos="397"/>
      </w:tabs>
    </w:pPr>
    <w:tblPr>
      <w:jc w:val="center"/>
      <w:tblBorders>
        <w:top w:val="single" w:sz="4" w:space="0" w:color="585858" w:themeColor="text2" w:themeShade="80"/>
        <w:left w:val="single" w:sz="4" w:space="0" w:color="585858" w:themeColor="text2" w:themeShade="80"/>
        <w:bottom w:val="single" w:sz="4" w:space="0" w:color="585858" w:themeColor="text2" w:themeShade="80"/>
        <w:right w:val="single" w:sz="4" w:space="0" w:color="585858"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Nierozpoznanawzmianka1">
    <w:name w:val="Nierozpoznana wzmianka1"/>
    <w:basedOn w:val="Domylnaczcionkaakapitu"/>
    <w:uiPriority w:val="99"/>
    <w:semiHidden/>
    <w:unhideWhenUsed/>
    <w:rsid w:val="00A1460C"/>
    <w:rPr>
      <w:color w:val="605E5C"/>
      <w:shd w:val="clear" w:color="auto" w:fill="E1DFDD"/>
    </w:rPr>
  </w:style>
  <w:style w:type="character" w:customStyle="1" w:styleId="JuParaChar">
    <w:name w:val="Ju_Para Char"/>
    <w:aliases w:val="_Para Char"/>
    <w:link w:val="JuPara"/>
    <w:uiPriority w:val="4"/>
    <w:qFormat/>
    <w:rsid w:val="004E2A87"/>
    <w:rPr>
      <w:sz w:val="24"/>
      <w:szCs w:val="24"/>
      <w:lang w:val="pl-PL"/>
    </w:rPr>
  </w:style>
  <w:style w:type="table" w:customStyle="1" w:styleId="GridTable1Light1">
    <w:name w:val="Grid Table 1 Light1"/>
    <w:basedOn w:val="Standardowy"/>
    <w:uiPriority w:val="46"/>
    <w:semiHidden/>
    <w:rsid w:val="004E2A87"/>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JuList4">
    <w:name w:val="Ju_List_4"/>
    <w:aliases w:val="N_Bul_4"/>
    <w:basedOn w:val="JuListi"/>
    <w:uiPriority w:val="19"/>
    <w:rsid w:val="004E2A87"/>
    <w:pPr>
      <w:numPr>
        <w:ilvl w:val="0"/>
        <w:numId w:val="0"/>
      </w:numPr>
      <w:tabs>
        <w:tab w:val="num" w:pos="1701"/>
      </w:tabs>
      <w:spacing w:before="60" w:after="60" w:line="240" w:lineRule="exact"/>
      <w:ind w:left="1703" w:hanging="284"/>
      <w:contextualSpacing/>
    </w:pPr>
    <w:rPr>
      <w:sz w:val="22"/>
      <w:lang w:eastAsia="fr-FR"/>
    </w:rPr>
  </w:style>
  <w:style w:type="table" w:customStyle="1" w:styleId="GridTable1Light-Accent11">
    <w:name w:val="Grid Table 1 Light - Accent 11"/>
    <w:basedOn w:val="Standardowy"/>
    <w:uiPriority w:val="46"/>
    <w:semiHidden/>
    <w:rsid w:val="004E2A87"/>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customStyle="1" w:styleId="GridTable1Light-Accent21">
    <w:name w:val="Grid Table 1 Light - Accent 21"/>
    <w:basedOn w:val="Standardowy"/>
    <w:uiPriority w:val="46"/>
    <w:semiHidden/>
    <w:rsid w:val="004E2A87"/>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customStyle="1" w:styleId="GridTable1Light-Accent31">
    <w:name w:val="Grid Table 1 Light - Accent 31"/>
    <w:basedOn w:val="Standardowy"/>
    <w:uiPriority w:val="46"/>
    <w:semiHidden/>
    <w:rsid w:val="004E2A87"/>
    <w:tblPr>
      <w:tblStyleRowBandSize w:val="1"/>
      <w:tblStyleColBandSize w:val="1"/>
      <w:tblBorders>
        <w:top w:val="single" w:sz="4" w:space="0" w:color="BCBCBC" w:themeColor="accent3" w:themeTint="66"/>
        <w:left w:val="single" w:sz="4" w:space="0" w:color="BCBCBC" w:themeColor="accent3" w:themeTint="66"/>
        <w:bottom w:val="single" w:sz="4" w:space="0" w:color="BCBCBC" w:themeColor="accent3" w:themeTint="66"/>
        <w:right w:val="single" w:sz="4" w:space="0" w:color="BCBCBC" w:themeColor="accent3" w:themeTint="66"/>
        <w:insideH w:val="single" w:sz="4" w:space="0" w:color="BCBCBC" w:themeColor="accent3" w:themeTint="66"/>
        <w:insideV w:val="single" w:sz="4" w:space="0" w:color="BCBCBC" w:themeColor="accent3" w:themeTint="66"/>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2" w:space="0" w:color="9B9B9B" w:themeColor="accent3" w:themeTint="99"/>
        </w:tcBorders>
      </w:tcPr>
    </w:tblStylePr>
    <w:tblStylePr w:type="firstCol">
      <w:rPr>
        <w:b/>
        <w:bCs/>
      </w:rPr>
    </w:tblStylePr>
    <w:tblStylePr w:type="lastCol">
      <w:rPr>
        <w:b/>
        <w:bCs/>
      </w:rPr>
    </w:tblStylePr>
  </w:style>
  <w:style w:type="table" w:customStyle="1" w:styleId="GridTable1Light-Accent41">
    <w:name w:val="Grid Table 1 Light - Accent 41"/>
    <w:basedOn w:val="Standardowy"/>
    <w:uiPriority w:val="46"/>
    <w:semiHidden/>
    <w:rsid w:val="004E2A87"/>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customStyle="1" w:styleId="GridTable1Light-Accent51">
    <w:name w:val="Grid Table 1 Light - Accent 51"/>
    <w:basedOn w:val="Standardowy"/>
    <w:uiPriority w:val="46"/>
    <w:semiHidden/>
    <w:rsid w:val="004E2A87"/>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customStyle="1" w:styleId="GridTable1Light-Accent61">
    <w:name w:val="Grid Table 1 Light - Accent 61"/>
    <w:basedOn w:val="Standardowy"/>
    <w:uiPriority w:val="46"/>
    <w:semiHidden/>
    <w:rsid w:val="004E2A87"/>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customStyle="1" w:styleId="GridTable21">
    <w:name w:val="Grid Table 21"/>
    <w:basedOn w:val="Standardowy"/>
    <w:uiPriority w:val="47"/>
    <w:semiHidden/>
    <w:rsid w:val="004E2A87"/>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2-Accent11">
    <w:name w:val="Grid Table 2 - Accent 11"/>
    <w:basedOn w:val="Standardowy"/>
    <w:uiPriority w:val="47"/>
    <w:semiHidden/>
    <w:rsid w:val="004E2A87"/>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FFFFFF" w:themeFill="background1"/>
      </w:tcPr>
    </w:tblStylePr>
    <w:tblStylePr w:type="lastRow">
      <w:rPr>
        <w:b/>
        <w:bCs/>
      </w:rPr>
      <w:tblPr/>
      <w:tcPr>
        <w:tcBorders>
          <w:top w:val="double" w:sz="2" w:space="0" w:color="3DB2FF"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GridTable2-Accent21">
    <w:name w:val="Grid Table 2 - Accent 21"/>
    <w:basedOn w:val="Standardowy"/>
    <w:uiPriority w:val="47"/>
    <w:semiHidden/>
    <w:rsid w:val="004E2A87"/>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FFFFFF" w:themeFill="background1"/>
      </w:tcPr>
    </w:tblStylePr>
    <w:tblStylePr w:type="lastRow">
      <w:rPr>
        <w:b/>
        <w:bCs/>
      </w:rPr>
      <w:tblPr/>
      <w:tcPr>
        <w:tcBorders>
          <w:top w:val="double" w:sz="2" w:space="0" w:color="FF4040"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GridTable2-Accent31">
    <w:name w:val="Grid Table 2 - Accent 31"/>
    <w:basedOn w:val="Standardowy"/>
    <w:uiPriority w:val="47"/>
    <w:semiHidden/>
    <w:rsid w:val="004E2A87"/>
    <w:tblPr>
      <w:tblStyleRowBandSize w:val="1"/>
      <w:tblStyleColBandSize w:val="1"/>
      <w:tblBorders>
        <w:top w:val="single" w:sz="2" w:space="0" w:color="9B9B9B" w:themeColor="accent3" w:themeTint="99"/>
        <w:bottom w:val="single" w:sz="2" w:space="0" w:color="9B9B9B" w:themeColor="accent3" w:themeTint="99"/>
        <w:insideH w:val="single" w:sz="2" w:space="0" w:color="9B9B9B" w:themeColor="accent3" w:themeTint="99"/>
        <w:insideV w:val="single" w:sz="2" w:space="0" w:color="9B9B9B" w:themeColor="accent3" w:themeTint="99"/>
      </w:tblBorders>
    </w:tblPr>
    <w:tblStylePr w:type="firstRow">
      <w:rPr>
        <w:b/>
        <w:bCs/>
      </w:rPr>
      <w:tblPr/>
      <w:tcPr>
        <w:tcBorders>
          <w:top w:val="nil"/>
          <w:bottom w:val="single" w:sz="12" w:space="0" w:color="9B9B9B" w:themeColor="accent3" w:themeTint="99"/>
          <w:insideH w:val="nil"/>
          <w:insideV w:val="nil"/>
        </w:tcBorders>
        <w:shd w:val="clear" w:color="auto" w:fill="FFFFFF" w:themeFill="background1"/>
      </w:tcPr>
    </w:tblStylePr>
    <w:tblStylePr w:type="lastRow">
      <w:rPr>
        <w:b/>
        <w:bCs/>
      </w:rPr>
      <w:tblPr/>
      <w:tcPr>
        <w:tcBorders>
          <w:top w:val="double" w:sz="2" w:space="0" w:color="9B9B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customStyle="1" w:styleId="GridTable2-Accent41">
    <w:name w:val="Grid Table 2 - Accent 41"/>
    <w:basedOn w:val="Standardowy"/>
    <w:uiPriority w:val="47"/>
    <w:semiHidden/>
    <w:rsid w:val="004E2A87"/>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FFFFFF" w:themeFill="background1"/>
      </w:tcPr>
    </w:tblStylePr>
    <w:tblStylePr w:type="lastRow">
      <w:rPr>
        <w:b/>
        <w:bCs/>
      </w:rPr>
      <w:tblPr/>
      <w:tcPr>
        <w:tcBorders>
          <w:top w:val="double" w:sz="2" w:space="0" w:color="C0C0C0"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GridTable2-Accent51">
    <w:name w:val="Grid Table 2 - Accent 51"/>
    <w:basedOn w:val="Standardowy"/>
    <w:uiPriority w:val="47"/>
    <w:semiHidden/>
    <w:rsid w:val="004E2A87"/>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FFFFFF" w:themeFill="background1"/>
      </w:tcPr>
    </w:tblStylePr>
    <w:tblStylePr w:type="lastRow">
      <w:rPr>
        <w:b/>
        <w:bCs/>
      </w:rPr>
      <w:tblPr/>
      <w:tcPr>
        <w:tcBorders>
          <w:top w:val="double" w:sz="2" w:space="0" w:color="9F9F9F"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GridTable2-Accent61">
    <w:name w:val="Grid Table 2 - Accent 61"/>
    <w:basedOn w:val="Standardowy"/>
    <w:uiPriority w:val="47"/>
    <w:semiHidden/>
    <w:rsid w:val="004E2A87"/>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FFFFFF" w:themeFill="background1"/>
      </w:tcPr>
    </w:tblStylePr>
    <w:tblStylePr w:type="lastRow">
      <w:rPr>
        <w:b/>
        <w:bCs/>
      </w:rPr>
      <w:tblPr/>
      <w:tcPr>
        <w:tcBorders>
          <w:top w:val="double" w:sz="2" w:space="0" w:color="949494"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GridTable31">
    <w:name w:val="Grid Table 31"/>
    <w:basedOn w:val="Standardowy"/>
    <w:uiPriority w:val="48"/>
    <w:semiHidden/>
    <w:rsid w:val="004E2A87"/>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dTable3-Accent11">
    <w:name w:val="Grid Table 3 - Accent 11"/>
    <w:basedOn w:val="Standardowy"/>
    <w:uiPriority w:val="48"/>
    <w:semiHidden/>
    <w:rsid w:val="004E2A87"/>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customStyle="1" w:styleId="GridTable3-Accent21">
    <w:name w:val="Grid Table 3 - Accent 21"/>
    <w:basedOn w:val="Standardowy"/>
    <w:uiPriority w:val="48"/>
    <w:semiHidden/>
    <w:rsid w:val="004E2A87"/>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customStyle="1" w:styleId="GridTable3-Accent31">
    <w:name w:val="Grid Table 3 - Accent 31"/>
    <w:basedOn w:val="Standardowy"/>
    <w:uiPriority w:val="48"/>
    <w:semiHidden/>
    <w:rsid w:val="004E2A87"/>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customStyle="1" w:styleId="GridTable3-Accent41">
    <w:name w:val="Grid Table 3 - Accent 41"/>
    <w:basedOn w:val="Standardowy"/>
    <w:uiPriority w:val="48"/>
    <w:semiHidden/>
    <w:rsid w:val="004E2A87"/>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customStyle="1" w:styleId="GridTable3-Accent51">
    <w:name w:val="Grid Table 3 - Accent 51"/>
    <w:basedOn w:val="Standardowy"/>
    <w:uiPriority w:val="48"/>
    <w:semiHidden/>
    <w:rsid w:val="004E2A87"/>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customStyle="1" w:styleId="GridTable3-Accent61">
    <w:name w:val="Grid Table 3 - Accent 61"/>
    <w:basedOn w:val="Standardowy"/>
    <w:uiPriority w:val="48"/>
    <w:semiHidden/>
    <w:rsid w:val="004E2A87"/>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customStyle="1" w:styleId="GridTable41">
    <w:name w:val="Grid Table 41"/>
    <w:basedOn w:val="Standardowy"/>
    <w:uiPriority w:val="49"/>
    <w:semiHidden/>
    <w:rsid w:val="004E2A87"/>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4-Accent11">
    <w:name w:val="Grid Table 4 - Accent 11"/>
    <w:basedOn w:val="Standardowy"/>
    <w:uiPriority w:val="49"/>
    <w:semiHidden/>
    <w:rsid w:val="004E2A87"/>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GridTable4-Accent21">
    <w:name w:val="Grid Table 4 - Accent 21"/>
    <w:basedOn w:val="Standardowy"/>
    <w:uiPriority w:val="49"/>
    <w:semiHidden/>
    <w:rsid w:val="004E2A87"/>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GridTable4-Accent31">
    <w:name w:val="Grid Table 4 - Accent 31"/>
    <w:basedOn w:val="Standardowy"/>
    <w:uiPriority w:val="49"/>
    <w:semiHidden/>
    <w:rsid w:val="004E2A87"/>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cBorders>
        <w:shd w:val="clear" w:color="auto" w:fill="595959" w:themeFill="accent3"/>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customStyle="1" w:styleId="GridTable4-Accent41">
    <w:name w:val="Grid Table 4 - Accent 41"/>
    <w:basedOn w:val="Standardowy"/>
    <w:uiPriority w:val="49"/>
    <w:semiHidden/>
    <w:rsid w:val="004E2A87"/>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GridTable4-Accent51">
    <w:name w:val="Grid Table 4 - Accent 51"/>
    <w:basedOn w:val="Standardowy"/>
    <w:uiPriority w:val="49"/>
    <w:semiHidden/>
    <w:rsid w:val="004E2A87"/>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GridTable4-Accent61">
    <w:name w:val="Grid Table 4 - Accent 61"/>
    <w:basedOn w:val="Standardowy"/>
    <w:uiPriority w:val="49"/>
    <w:semiHidden/>
    <w:rsid w:val="004E2A87"/>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GridTable5Dark1">
    <w:name w:val="Grid Table 5 Dark1"/>
    <w:basedOn w:val="Standardowy"/>
    <w:uiPriority w:val="50"/>
    <w:semiHidden/>
    <w:rsid w:val="004E2A87"/>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GridTable5Dark-Accent11">
    <w:name w:val="Grid Table 5 Dark - Accent 11"/>
    <w:basedOn w:val="Standardowy"/>
    <w:uiPriority w:val="50"/>
    <w:semiHidden/>
    <w:rsid w:val="004E2A87"/>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BEE5FF"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72BC"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72BC"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72BC"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customStyle="1" w:styleId="GridTable5Dark-Accent21">
    <w:name w:val="Grid Table 5 Dark - Accent 21"/>
    <w:basedOn w:val="Standardowy"/>
    <w:uiPriority w:val="50"/>
    <w:semiHidden/>
    <w:rsid w:val="004E2A87"/>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BFBF"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0000"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0000"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0000"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customStyle="1" w:styleId="GridTable5Dark-Accent31">
    <w:name w:val="Grid Table 5 Dark - Accent 31"/>
    <w:basedOn w:val="Standardowy"/>
    <w:uiPriority w:val="50"/>
    <w:semiHidden/>
    <w:rsid w:val="004E2A87"/>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DDD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959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959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959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95959" w:themeFill="accent3"/>
      </w:tcPr>
    </w:tblStylePr>
    <w:tblStylePr w:type="band1Vert">
      <w:tblPr/>
      <w:tcPr>
        <w:shd w:val="clear" w:color="auto" w:fill="BCBCBC" w:themeFill="accent3" w:themeFillTint="66"/>
      </w:tcPr>
    </w:tblStylePr>
    <w:tblStylePr w:type="band1Horz">
      <w:tblPr/>
      <w:tcPr>
        <w:shd w:val="clear" w:color="auto" w:fill="BCBCBC" w:themeFill="accent3" w:themeFillTint="66"/>
      </w:tcPr>
    </w:tblStylePr>
  </w:style>
  <w:style w:type="table" w:customStyle="1" w:styleId="GridTable5Dark-Accent41">
    <w:name w:val="Grid Table 5 Dark - Accent 41"/>
    <w:basedOn w:val="Standardowy"/>
    <w:uiPriority w:val="50"/>
    <w:semiHidden/>
    <w:rsid w:val="004E2A87"/>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EAEA"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69696"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69696"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69696"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customStyle="1" w:styleId="GridTable5Dark-Accent51">
    <w:name w:val="Grid Table 5 Dark - Accent 51"/>
    <w:basedOn w:val="Standardowy"/>
    <w:uiPriority w:val="50"/>
    <w:semiHidden/>
    <w:rsid w:val="004E2A87"/>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FDFDF"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F5F5F"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F5F5F"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F5F5F"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customStyle="1" w:styleId="GridTable5Dark-Accent61">
    <w:name w:val="Grid Table 5 Dark - Accent 61"/>
    <w:basedOn w:val="Standardowy"/>
    <w:uiPriority w:val="50"/>
    <w:semiHidden/>
    <w:rsid w:val="004E2A87"/>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DBDB"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D4D4D"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D4D4D"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D4D4D"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customStyle="1" w:styleId="GridTable6Colorful1">
    <w:name w:val="Grid Table 6 Colorful1"/>
    <w:basedOn w:val="Standardowy"/>
    <w:uiPriority w:val="51"/>
    <w:semiHidden/>
    <w:rsid w:val="004E2A87"/>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6Colorful-Accent11">
    <w:name w:val="Grid Table 6 Colorful - Accent 11"/>
    <w:basedOn w:val="Standardowy"/>
    <w:uiPriority w:val="51"/>
    <w:semiHidden/>
    <w:rsid w:val="004E2A87"/>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GridTable6Colorful-Accent21">
    <w:name w:val="Grid Table 6 Colorful - Accent 21"/>
    <w:basedOn w:val="Standardowy"/>
    <w:uiPriority w:val="51"/>
    <w:semiHidden/>
    <w:rsid w:val="004E2A87"/>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GridTable6Colorful-Accent31">
    <w:name w:val="Grid Table 6 Colorful - Accent 31"/>
    <w:basedOn w:val="Standardowy"/>
    <w:uiPriority w:val="51"/>
    <w:semiHidden/>
    <w:rsid w:val="004E2A87"/>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customStyle="1" w:styleId="GridTable6Colorful-Accent41">
    <w:name w:val="Grid Table 6 Colorful - Accent 41"/>
    <w:basedOn w:val="Standardowy"/>
    <w:uiPriority w:val="51"/>
    <w:semiHidden/>
    <w:rsid w:val="004E2A87"/>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GridTable6Colorful-Accent51">
    <w:name w:val="Grid Table 6 Colorful - Accent 51"/>
    <w:basedOn w:val="Standardowy"/>
    <w:uiPriority w:val="51"/>
    <w:semiHidden/>
    <w:rsid w:val="004E2A87"/>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GridTable6Colorful-Accent61">
    <w:name w:val="Grid Table 6 Colorful - Accent 61"/>
    <w:basedOn w:val="Standardowy"/>
    <w:uiPriority w:val="51"/>
    <w:semiHidden/>
    <w:rsid w:val="004E2A87"/>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GridTable7Colorful1">
    <w:name w:val="Grid Table 7 Colorful1"/>
    <w:basedOn w:val="Standardowy"/>
    <w:uiPriority w:val="52"/>
    <w:semiHidden/>
    <w:rsid w:val="004E2A87"/>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dTable7Colorful-Accent11">
    <w:name w:val="Grid Table 7 Colorful - Accent 11"/>
    <w:basedOn w:val="Standardowy"/>
    <w:uiPriority w:val="52"/>
    <w:semiHidden/>
    <w:rsid w:val="004E2A87"/>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customStyle="1" w:styleId="GridTable7Colorful-Accent21">
    <w:name w:val="Grid Table 7 Colorful - Accent 21"/>
    <w:basedOn w:val="Standardowy"/>
    <w:uiPriority w:val="52"/>
    <w:semiHidden/>
    <w:rsid w:val="004E2A87"/>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customStyle="1" w:styleId="GridTable7Colorful-Accent31">
    <w:name w:val="Grid Table 7 Colorful - Accent 31"/>
    <w:basedOn w:val="Standardowy"/>
    <w:uiPriority w:val="52"/>
    <w:semiHidden/>
    <w:rsid w:val="004E2A87"/>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customStyle="1" w:styleId="GridTable7Colorful-Accent41">
    <w:name w:val="Grid Table 7 Colorful - Accent 41"/>
    <w:basedOn w:val="Standardowy"/>
    <w:uiPriority w:val="52"/>
    <w:semiHidden/>
    <w:rsid w:val="004E2A87"/>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customStyle="1" w:styleId="GridTable7Colorful-Accent51">
    <w:name w:val="Grid Table 7 Colorful - Accent 51"/>
    <w:basedOn w:val="Standardowy"/>
    <w:uiPriority w:val="52"/>
    <w:semiHidden/>
    <w:rsid w:val="004E2A87"/>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customStyle="1" w:styleId="GridTable7Colorful-Accent61">
    <w:name w:val="Grid Table 7 Colorful - Accent 61"/>
    <w:basedOn w:val="Standardowy"/>
    <w:uiPriority w:val="52"/>
    <w:semiHidden/>
    <w:rsid w:val="004E2A87"/>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customStyle="1" w:styleId="ListTable1Light1">
    <w:name w:val="List Table 1 Light1"/>
    <w:basedOn w:val="Standardowy"/>
    <w:uiPriority w:val="46"/>
    <w:semiHidden/>
    <w:rsid w:val="004E2A87"/>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1Light-Accent11">
    <w:name w:val="List Table 1 Light - Accent 11"/>
    <w:basedOn w:val="Standardowy"/>
    <w:uiPriority w:val="46"/>
    <w:semiHidden/>
    <w:rsid w:val="004E2A87"/>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ListTable1Light-Accent21">
    <w:name w:val="List Table 1 Light - Accent 21"/>
    <w:basedOn w:val="Standardowy"/>
    <w:uiPriority w:val="46"/>
    <w:semiHidden/>
    <w:rsid w:val="004E2A87"/>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ListTable1Light-Accent31">
    <w:name w:val="List Table 1 Light - Accent 31"/>
    <w:basedOn w:val="Standardowy"/>
    <w:uiPriority w:val="46"/>
    <w:semiHidden/>
    <w:rsid w:val="004E2A87"/>
    <w:tblPr>
      <w:tblStyleRowBandSize w:val="1"/>
      <w:tblStyleColBandSize w:val="1"/>
    </w:tblPr>
    <w:tblStylePr w:type="firstRow">
      <w:rPr>
        <w:b/>
        <w:bCs/>
      </w:rPr>
      <w:tblPr/>
      <w:tcPr>
        <w:tcBorders>
          <w:bottom w:val="single" w:sz="4" w:space="0" w:color="9B9B9B" w:themeColor="accent3" w:themeTint="99"/>
        </w:tcBorders>
      </w:tcPr>
    </w:tblStylePr>
    <w:tblStylePr w:type="lastRow">
      <w:rPr>
        <w:b/>
        <w:bCs/>
      </w:rPr>
      <w:tblPr/>
      <w:tcPr>
        <w:tcBorders>
          <w:top w:val="sing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customStyle="1" w:styleId="ListTable1Light-Accent41">
    <w:name w:val="List Table 1 Light - Accent 41"/>
    <w:basedOn w:val="Standardowy"/>
    <w:uiPriority w:val="46"/>
    <w:semiHidden/>
    <w:rsid w:val="004E2A87"/>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ListTable1Light-Accent51">
    <w:name w:val="List Table 1 Light - Accent 51"/>
    <w:basedOn w:val="Standardowy"/>
    <w:uiPriority w:val="46"/>
    <w:semiHidden/>
    <w:rsid w:val="004E2A87"/>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ListTable1Light-Accent61">
    <w:name w:val="List Table 1 Light - Accent 61"/>
    <w:basedOn w:val="Standardowy"/>
    <w:uiPriority w:val="46"/>
    <w:semiHidden/>
    <w:rsid w:val="004E2A87"/>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ListTable21">
    <w:name w:val="List Table 21"/>
    <w:basedOn w:val="Standardowy"/>
    <w:uiPriority w:val="47"/>
    <w:semiHidden/>
    <w:rsid w:val="004E2A87"/>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2-Accent11">
    <w:name w:val="List Table 2 - Accent 11"/>
    <w:basedOn w:val="Standardowy"/>
    <w:uiPriority w:val="47"/>
    <w:semiHidden/>
    <w:rsid w:val="004E2A87"/>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ListTable2-Accent21">
    <w:name w:val="List Table 2 - Accent 21"/>
    <w:basedOn w:val="Standardowy"/>
    <w:uiPriority w:val="47"/>
    <w:semiHidden/>
    <w:rsid w:val="004E2A87"/>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ListTable2-Accent31">
    <w:name w:val="List Table 2 - Accent 31"/>
    <w:basedOn w:val="Standardowy"/>
    <w:uiPriority w:val="47"/>
    <w:semiHidden/>
    <w:rsid w:val="004E2A87"/>
    <w:tblPr>
      <w:tblStyleRowBandSize w:val="1"/>
      <w:tblStyleColBandSize w:val="1"/>
      <w:tblBorders>
        <w:top w:val="single" w:sz="4" w:space="0" w:color="9B9B9B" w:themeColor="accent3" w:themeTint="99"/>
        <w:bottom w:val="single" w:sz="4" w:space="0" w:color="9B9B9B" w:themeColor="accent3" w:themeTint="99"/>
        <w:insideH w:val="single" w:sz="4" w:space="0" w:color="9B9B9B"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customStyle="1" w:styleId="ListTable2-Accent41">
    <w:name w:val="List Table 2 - Accent 41"/>
    <w:basedOn w:val="Standardowy"/>
    <w:uiPriority w:val="47"/>
    <w:semiHidden/>
    <w:rsid w:val="004E2A87"/>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ListTable2-Accent51">
    <w:name w:val="List Table 2 - Accent 51"/>
    <w:basedOn w:val="Standardowy"/>
    <w:uiPriority w:val="47"/>
    <w:semiHidden/>
    <w:rsid w:val="004E2A87"/>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ListTable2-Accent61">
    <w:name w:val="List Table 2 - Accent 61"/>
    <w:basedOn w:val="Standardowy"/>
    <w:uiPriority w:val="47"/>
    <w:semiHidden/>
    <w:rsid w:val="004E2A87"/>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ListTable31">
    <w:name w:val="List Table 31"/>
    <w:basedOn w:val="Standardowy"/>
    <w:uiPriority w:val="48"/>
    <w:semiHidden/>
    <w:rsid w:val="004E2A87"/>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ListTable3-Accent11">
    <w:name w:val="List Table 3 - Accent 11"/>
    <w:basedOn w:val="Standardowy"/>
    <w:uiPriority w:val="48"/>
    <w:semiHidden/>
    <w:rsid w:val="004E2A87"/>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FFFFFF"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customStyle="1" w:styleId="ListTable3-Accent21">
    <w:name w:val="List Table 3 - Accent 21"/>
    <w:basedOn w:val="Standardowy"/>
    <w:uiPriority w:val="48"/>
    <w:semiHidden/>
    <w:rsid w:val="004E2A87"/>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FFFFFF"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customStyle="1" w:styleId="ListTable3-Accent31">
    <w:name w:val="List Table 3 - Accent 31"/>
    <w:basedOn w:val="Standardowy"/>
    <w:uiPriority w:val="48"/>
    <w:semiHidden/>
    <w:rsid w:val="004E2A87"/>
    <w:tblPr>
      <w:tblStyleRowBandSize w:val="1"/>
      <w:tblStyleColBandSize w:val="1"/>
      <w:tblBorders>
        <w:top w:val="single" w:sz="4" w:space="0" w:color="595959" w:themeColor="accent3"/>
        <w:left w:val="single" w:sz="4" w:space="0" w:color="595959" w:themeColor="accent3"/>
        <w:bottom w:val="single" w:sz="4" w:space="0" w:color="595959" w:themeColor="accent3"/>
        <w:right w:val="single" w:sz="4" w:space="0" w:color="595959" w:themeColor="accent3"/>
      </w:tblBorders>
    </w:tblPr>
    <w:tblStylePr w:type="firstRow">
      <w:rPr>
        <w:b/>
        <w:bCs/>
        <w:color w:val="FFFFFF" w:themeColor="background1"/>
      </w:rPr>
      <w:tblPr/>
      <w:tcPr>
        <w:shd w:val="clear" w:color="auto" w:fill="595959" w:themeFill="accent3"/>
      </w:tcPr>
    </w:tblStylePr>
    <w:tblStylePr w:type="lastRow">
      <w:rPr>
        <w:b/>
        <w:bCs/>
      </w:rPr>
      <w:tblPr/>
      <w:tcPr>
        <w:tcBorders>
          <w:top w:val="double" w:sz="4" w:space="0" w:color="5959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95959" w:themeColor="accent3"/>
          <w:right w:val="single" w:sz="4" w:space="0" w:color="595959" w:themeColor="accent3"/>
        </w:tcBorders>
      </w:tcPr>
    </w:tblStylePr>
    <w:tblStylePr w:type="band1Horz">
      <w:tblPr/>
      <w:tcPr>
        <w:tcBorders>
          <w:top w:val="single" w:sz="4" w:space="0" w:color="595959" w:themeColor="accent3"/>
          <w:bottom w:val="single" w:sz="4" w:space="0" w:color="5959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95959" w:themeColor="accent3"/>
          <w:left w:val="nil"/>
        </w:tcBorders>
      </w:tcPr>
    </w:tblStylePr>
    <w:tblStylePr w:type="swCell">
      <w:tblPr/>
      <w:tcPr>
        <w:tcBorders>
          <w:top w:val="double" w:sz="4" w:space="0" w:color="595959" w:themeColor="accent3"/>
          <w:right w:val="nil"/>
        </w:tcBorders>
      </w:tcPr>
    </w:tblStylePr>
  </w:style>
  <w:style w:type="table" w:customStyle="1" w:styleId="ListTable3-Accent41">
    <w:name w:val="List Table 3 - Accent 41"/>
    <w:basedOn w:val="Standardowy"/>
    <w:uiPriority w:val="48"/>
    <w:semiHidden/>
    <w:rsid w:val="004E2A87"/>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FFFFFF"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customStyle="1" w:styleId="ListTable3-Accent51">
    <w:name w:val="List Table 3 - Accent 51"/>
    <w:basedOn w:val="Standardowy"/>
    <w:uiPriority w:val="48"/>
    <w:semiHidden/>
    <w:rsid w:val="004E2A87"/>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FFFFFF"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customStyle="1" w:styleId="ListTable3-Accent61">
    <w:name w:val="List Table 3 - Accent 61"/>
    <w:basedOn w:val="Standardowy"/>
    <w:uiPriority w:val="48"/>
    <w:semiHidden/>
    <w:rsid w:val="004E2A87"/>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FFFFFF"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customStyle="1" w:styleId="ListTable41">
    <w:name w:val="List Table 41"/>
    <w:basedOn w:val="Standardowy"/>
    <w:uiPriority w:val="49"/>
    <w:semiHidden/>
    <w:rsid w:val="004E2A87"/>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4-Accent11">
    <w:name w:val="List Table 4 - Accent 11"/>
    <w:basedOn w:val="Standardowy"/>
    <w:uiPriority w:val="49"/>
    <w:semiHidden/>
    <w:rsid w:val="004E2A87"/>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ListTable4-Accent21">
    <w:name w:val="List Table 4 - Accent 21"/>
    <w:basedOn w:val="Standardowy"/>
    <w:uiPriority w:val="49"/>
    <w:semiHidden/>
    <w:rsid w:val="004E2A87"/>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ListTable4-Accent31">
    <w:name w:val="List Table 4 - Accent 31"/>
    <w:basedOn w:val="Standardowy"/>
    <w:uiPriority w:val="49"/>
    <w:semiHidden/>
    <w:rsid w:val="004E2A87"/>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tcBorders>
        <w:shd w:val="clear" w:color="auto" w:fill="595959" w:themeFill="accent3"/>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customStyle="1" w:styleId="ListTable4-Accent41">
    <w:name w:val="List Table 4 - Accent 41"/>
    <w:basedOn w:val="Standardowy"/>
    <w:uiPriority w:val="49"/>
    <w:semiHidden/>
    <w:rsid w:val="004E2A87"/>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ListTable4-Accent51">
    <w:name w:val="List Table 4 - Accent 51"/>
    <w:basedOn w:val="Standardowy"/>
    <w:uiPriority w:val="49"/>
    <w:semiHidden/>
    <w:rsid w:val="004E2A87"/>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ListTable4-Accent61">
    <w:name w:val="List Table 4 - Accent 61"/>
    <w:basedOn w:val="Standardowy"/>
    <w:uiPriority w:val="49"/>
    <w:semiHidden/>
    <w:rsid w:val="004E2A87"/>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ListTable5Dark1">
    <w:name w:val="List Table 5 Dark1"/>
    <w:basedOn w:val="Standardowy"/>
    <w:uiPriority w:val="50"/>
    <w:semiHidden/>
    <w:rsid w:val="004E2A87"/>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11">
    <w:name w:val="List Table 5 Dark - Accent 11"/>
    <w:basedOn w:val="Standardowy"/>
    <w:uiPriority w:val="50"/>
    <w:semiHidden/>
    <w:rsid w:val="004E2A87"/>
    <w:rPr>
      <w:color w:val="FFFFFF"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21">
    <w:name w:val="List Table 5 Dark - Accent 21"/>
    <w:basedOn w:val="Standardowy"/>
    <w:uiPriority w:val="50"/>
    <w:semiHidden/>
    <w:rsid w:val="004E2A87"/>
    <w:rPr>
      <w:color w:val="FFFFFF"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31">
    <w:name w:val="List Table 5 Dark - Accent 31"/>
    <w:basedOn w:val="Standardowy"/>
    <w:uiPriority w:val="50"/>
    <w:semiHidden/>
    <w:rsid w:val="004E2A87"/>
    <w:rPr>
      <w:color w:val="FFFFFF" w:themeColor="background1"/>
    </w:rPr>
    <w:tblPr>
      <w:tblStyleRowBandSize w:val="1"/>
      <w:tblStyleColBandSize w:val="1"/>
      <w:tblBorders>
        <w:top w:val="single" w:sz="24" w:space="0" w:color="595959" w:themeColor="accent3"/>
        <w:left w:val="single" w:sz="24" w:space="0" w:color="595959" w:themeColor="accent3"/>
        <w:bottom w:val="single" w:sz="24" w:space="0" w:color="595959" w:themeColor="accent3"/>
        <w:right w:val="single" w:sz="24" w:space="0" w:color="595959" w:themeColor="accent3"/>
      </w:tblBorders>
    </w:tblPr>
    <w:tcPr>
      <w:shd w:val="clear" w:color="auto" w:fill="595959"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41">
    <w:name w:val="List Table 5 Dark - Accent 41"/>
    <w:basedOn w:val="Standardowy"/>
    <w:uiPriority w:val="50"/>
    <w:semiHidden/>
    <w:rsid w:val="004E2A87"/>
    <w:rPr>
      <w:color w:val="FFFFFF"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51">
    <w:name w:val="List Table 5 Dark - Accent 51"/>
    <w:basedOn w:val="Standardowy"/>
    <w:uiPriority w:val="50"/>
    <w:semiHidden/>
    <w:rsid w:val="004E2A87"/>
    <w:rPr>
      <w:color w:val="FFFFFF"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61">
    <w:name w:val="List Table 5 Dark - Accent 61"/>
    <w:basedOn w:val="Standardowy"/>
    <w:uiPriority w:val="50"/>
    <w:semiHidden/>
    <w:rsid w:val="004E2A87"/>
    <w:rPr>
      <w:color w:val="FFFFFF"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6Colorful1">
    <w:name w:val="List Table 6 Colorful1"/>
    <w:basedOn w:val="Standardowy"/>
    <w:uiPriority w:val="51"/>
    <w:semiHidden/>
    <w:rsid w:val="004E2A87"/>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6Colorful-Accent11">
    <w:name w:val="List Table 6 Colorful - Accent 11"/>
    <w:basedOn w:val="Standardowy"/>
    <w:uiPriority w:val="51"/>
    <w:semiHidden/>
    <w:rsid w:val="004E2A87"/>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ListTable6Colorful-Accent21">
    <w:name w:val="List Table 6 Colorful - Accent 21"/>
    <w:basedOn w:val="Standardowy"/>
    <w:uiPriority w:val="51"/>
    <w:semiHidden/>
    <w:rsid w:val="004E2A87"/>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ListTable6Colorful-Accent31">
    <w:name w:val="List Table 6 Colorful - Accent 31"/>
    <w:basedOn w:val="Standardowy"/>
    <w:uiPriority w:val="51"/>
    <w:semiHidden/>
    <w:rsid w:val="004E2A87"/>
    <w:rPr>
      <w:color w:val="424242" w:themeColor="accent3" w:themeShade="BF"/>
    </w:rPr>
    <w:tblPr>
      <w:tblStyleRowBandSize w:val="1"/>
      <w:tblStyleColBandSize w:val="1"/>
      <w:tblBorders>
        <w:top w:val="single" w:sz="4" w:space="0" w:color="595959" w:themeColor="accent3"/>
        <w:bottom w:val="single" w:sz="4" w:space="0" w:color="595959" w:themeColor="accent3"/>
      </w:tblBorders>
    </w:tblPr>
    <w:tblStylePr w:type="firstRow">
      <w:rPr>
        <w:b/>
        <w:bCs/>
      </w:rPr>
      <w:tblPr/>
      <w:tcPr>
        <w:tcBorders>
          <w:bottom w:val="single" w:sz="4" w:space="0" w:color="595959" w:themeColor="accent3"/>
        </w:tcBorders>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customStyle="1" w:styleId="ListTable6Colorful-Accent41">
    <w:name w:val="List Table 6 Colorful - Accent 41"/>
    <w:basedOn w:val="Standardowy"/>
    <w:uiPriority w:val="51"/>
    <w:semiHidden/>
    <w:rsid w:val="004E2A87"/>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ListTable6Colorful-Accent51">
    <w:name w:val="List Table 6 Colorful - Accent 51"/>
    <w:basedOn w:val="Standardowy"/>
    <w:uiPriority w:val="51"/>
    <w:semiHidden/>
    <w:rsid w:val="004E2A87"/>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ListTable6Colorful-Accent61">
    <w:name w:val="List Table 6 Colorful - Accent 61"/>
    <w:basedOn w:val="Standardowy"/>
    <w:uiPriority w:val="51"/>
    <w:semiHidden/>
    <w:rsid w:val="004E2A87"/>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ListTable7Colorful1">
    <w:name w:val="List Table 7 Colorful1"/>
    <w:basedOn w:val="Standardowy"/>
    <w:uiPriority w:val="52"/>
    <w:semiHidden/>
    <w:rsid w:val="004E2A87"/>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11">
    <w:name w:val="List Table 7 Colorful - Accent 11"/>
    <w:basedOn w:val="Standardowy"/>
    <w:uiPriority w:val="52"/>
    <w:semiHidden/>
    <w:rsid w:val="004E2A87"/>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21">
    <w:name w:val="List Table 7 Colorful - Accent 21"/>
    <w:basedOn w:val="Standardowy"/>
    <w:uiPriority w:val="52"/>
    <w:semiHidden/>
    <w:rsid w:val="004E2A87"/>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31">
    <w:name w:val="List Table 7 Colorful - Accent 31"/>
    <w:basedOn w:val="Standardowy"/>
    <w:uiPriority w:val="52"/>
    <w:semiHidden/>
    <w:rsid w:val="004E2A87"/>
    <w:rPr>
      <w:color w:val="424242"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95959"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95959"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95959"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95959" w:themeColor="accent3"/>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41">
    <w:name w:val="List Table 7 Colorful - Accent 41"/>
    <w:basedOn w:val="Standardowy"/>
    <w:uiPriority w:val="52"/>
    <w:semiHidden/>
    <w:rsid w:val="004E2A87"/>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51">
    <w:name w:val="List Table 7 Colorful - Accent 51"/>
    <w:basedOn w:val="Standardowy"/>
    <w:uiPriority w:val="52"/>
    <w:semiHidden/>
    <w:rsid w:val="004E2A87"/>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61">
    <w:name w:val="List Table 7 Colorful - Accent 61"/>
    <w:basedOn w:val="Standardowy"/>
    <w:uiPriority w:val="52"/>
    <w:semiHidden/>
    <w:rsid w:val="004E2A87"/>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PlainTable11">
    <w:name w:val="Plain Table 11"/>
    <w:basedOn w:val="Standardowy"/>
    <w:uiPriority w:val="41"/>
    <w:semiHidden/>
    <w:rsid w:val="004E2A87"/>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PlainTable21">
    <w:name w:val="Plain Table 21"/>
    <w:basedOn w:val="Standardowy"/>
    <w:uiPriority w:val="42"/>
    <w:semiHidden/>
    <w:rsid w:val="004E2A87"/>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PlainTable31">
    <w:name w:val="Plain Table 31"/>
    <w:basedOn w:val="Standardowy"/>
    <w:uiPriority w:val="43"/>
    <w:semiHidden/>
    <w:rsid w:val="004E2A87"/>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PlainTable41">
    <w:name w:val="Plain Table 41"/>
    <w:basedOn w:val="Standardowy"/>
    <w:uiPriority w:val="44"/>
    <w:semiHidden/>
    <w:rsid w:val="004E2A87"/>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PlainTable51">
    <w:name w:val="Plain Table 51"/>
    <w:basedOn w:val="Standardowy"/>
    <w:uiPriority w:val="45"/>
    <w:semiHidden/>
    <w:rsid w:val="004E2A87"/>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eGridLight1">
    <w:name w:val="Table Grid Light1"/>
    <w:basedOn w:val="Standardowy"/>
    <w:uiPriority w:val="40"/>
    <w:semiHidden/>
    <w:rsid w:val="004E2A87"/>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elasiatki1jasna">
    <w:name w:val="Grid Table 1 Light"/>
    <w:basedOn w:val="Standardowy"/>
    <w:uiPriority w:val="46"/>
    <w:semiHidden/>
    <w:rsid w:val="004E2A87"/>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elasiatki1jasnaakcent1">
    <w:name w:val="Grid Table 1 Light Accent 1"/>
    <w:basedOn w:val="Standardowy"/>
    <w:uiPriority w:val="46"/>
    <w:semiHidden/>
    <w:rsid w:val="004E2A87"/>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Tabelasiatki1jasnaakcent2">
    <w:name w:val="Grid Table 1 Light Accent 2"/>
    <w:basedOn w:val="Standardowy"/>
    <w:uiPriority w:val="46"/>
    <w:semiHidden/>
    <w:rsid w:val="004E2A87"/>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Tabelasiatki1jasnaakcent3">
    <w:name w:val="Grid Table 1 Light Accent 3"/>
    <w:basedOn w:val="Standardowy"/>
    <w:uiPriority w:val="46"/>
    <w:semiHidden/>
    <w:rsid w:val="004E2A87"/>
    <w:tblPr>
      <w:tblStyleRowBandSize w:val="1"/>
      <w:tblStyleColBandSize w:val="1"/>
      <w:tblBorders>
        <w:top w:val="single" w:sz="4" w:space="0" w:color="BCBCBC" w:themeColor="accent3" w:themeTint="66"/>
        <w:left w:val="single" w:sz="4" w:space="0" w:color="BCBCBC" w:themeColor="accent3" w:themeTint="66"/>
        <w:bottom w:val="single" w:sz="4" w:space="0" w:color="BCBCBC" w:themeColor="accent3" w:themeTint="66"/>
        <w:right w:val="single" w:sz="4" w:space="0" w:color="BCBCBC" w:themeColor="accent3" w:themeTint="66"/>
        <w:insideH w:val="single" w:sz="4" w:space="0" w:color="BCBCBC" w:themeColor="accent3" w:themeTint="66"/>
        <w:insideV w:val="single" w:sz="4" w:space="0" w:color="BCBCBC" w:themeColor="accent3" w:themeTint="66"/>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2" w:space="0" w:color="9B9B9B" w:themeColor="accent3" w:themeTint="99"/>
        </w:tcBorders>
      </w:tcPr>
    </w:tblStylePr>
    <w:tblStylePr w:type="firstCol">
      <w:rPr>
        <w:b/>
        <w:bCs/>
      </w:rPr>
    </w:tblStylePr>
    <w:tblStylePr w:type="lastCol">
      <w:rPr>
        <w:b/>
        <w:bCs/>
      </w:rPr>
    </w:tblStylePr>
  </w:style>
  <w:style w:type="table" w:styleId="Tabelasiatki1jasnaakcent4">
    <w:name w:val="Grid Table 1 Light Accent 4"/>
    <w:basedOn w:val="Standardowy"/>
    <w:uiPriority w:val="46"/>
    <w:semiHidden/>
    <w:rsid w:val="004E2A87"/>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Tabelasiatki1jasnaakcent5">
    <w:name w:val="Grid Table 1 Light Accent 5"/>
    <w:basedOn w:val="Standardowy"/>
    <w:uiPriority w:val="46"/>
    <w:semiHidden/>
    <w:rsid w:val="004E2A87"/>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Tabelasiatki1jasnaakcent6">
    <w:name w:val="Grid Table 1 Light Accent 6"/>
    <w:basedOn w:val="Standardowy"/>
    <w:uiPriority w:val="46"/>
    <w:semiHidden/>
    <w:rsid w:val="004E2A87"/>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Tabelasiatki2">
    <w:name w:val="Grid Table 2"/>
    <w:basedOn w:val="Standardowy"/>
    <w:uiPriority w:val="47"/>
    <w:semiHidden/>
    <w:rsid w:val="004E2A87"/>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2akcent1">
    <w:name w:val="Grid Table 2 Accent 1"/>
    <w:basedOn w:val="Standardowy"/>
    <w:uiPriority w:val="47"/>
    <w:semiHidden/>
    <w:rsid w:val="004E2A87"/>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FFFFFF" w:themeFill="background1"/>
      </w:tcPr>
    </w:tblStylePr>
    <w:tblStylePr w:type="lastRow">
      <w:rPr>
        <w:b/>
        <w:bCs/>
      </w:rPr>
      <w:tblPr/>
      <w:tcPr>
        <w:tcBorders>
          <w:top w:val="double" w:sz="2" w:space="0" w:color="3DB2FF"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2akcent2">
    <w:name w:val="Grid Table 2 Accent 2"/>
    <w:basedOn w:val="Standardowy"/>
    <w:uiPriority w:val="47"/>
    <w:semiHidden/>
    <w:rsid w:val="004E2A87"/>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FFFFFF" w:themeFill="background1"/>
      </w:tcPr>
    </w:tblStylePr>
    <w:tblStylePr w:type="lastRow">
      <w:rPr>
        <w:b/>
        <w:bCs/>
      </w:rPr>
      <w:tblPr/>
      <w:tcPr>
        <w:tcBorders>
          <w:top w:val="double" w:sz="2" w:space="0" w:color="FF4040"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2akcent3">
    <w:name w:val="Grid Table 2 Accent 3"/>
    <w:basedOn w:val="Standardowy"/>
    <w:uiPriority w:val="47"/>
    <w:semiHidden/>
    <w:rsid w:val="004E2A87"/>
    <w:tblPr>
      <w:tblStyleRowBandSize w:val="1"/>
      <w:tblStyleColBandSize w:val="1"/>
      <w:tblBorders>
        <w:top w:val="single" w:sz="2" w:space="0" w:color="9B9B9B" w:themeColor="accent3" w:themeTint="99"/>
        <w:bottom w:val="single" w:sz="2" w:space="0" w:color="9B9B9B" w:themeColor="accent3" w:themeTint="99"/>
        <w:insideH w:val="single" w:sz="2" w:space="0" w:color="9B9B9B" w:themeColor="accent3" w:themeTint="99"/>
        <w:insideV w:val="single" w:sz="2" w:space="0" w:color="9B9B9B" w:themeColor="accent3" w:themeTint="99"/>
      </w:tblBorders>
    </w:tblPr>
    <w:tblStylePr w:type="firstRow">
      <w:rPr>
        <w:b/>
        <w:bCs/>
      </w:rPr>
      <w:tblPr/>
      <w:tcPr>
        <w:tcBorders>
          <w:top w:val="nil"/>
          <w:bottom w:val="single" w:sz="12" w:space="0" w:color="9B9B9B" w:themeColor="accent3" w:themeTint="99"/>
          <w:insideH w:val="nil"/>
          <w:insideV w:val="nil"/>
        </w:tcBorders>
        <w:shd w:val="clear" w:color="auto" w:fill="FFFFFF" w:themeFill="background1"/>
      </w:tcPr>
    </w:tblStylePr>
    <w:tblStylePr w:type="lastRow">
      <w:rPr>
        <w:b/>
        <w:bCs/>
      </w:rPr>
      <w:tblPr/>
      <w:tcPr>
        <w:tcBorders>
          <w:top w:val="double" w:sz="2" w:space="0" w:color="9B9B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Tabelasiatki2akcent4">
    <w:name w:val="Grid Table 2 Accent 4"/>
    <w:basedOn w:val="Standardowy"/>
    <w:uiPriority w:val="47"/>
    <w:semiHidden/>
    <w:rsid w:val="004E2A87"/>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FFFFFF" w:themeFill="background1"/>
      </w:tcPr>
    </w:tblStylePr>
    <w:tblStylePr w:type="lastRow">
      <w:rPr>
        <w:b/>
        <w:bCs/>
      </w:rPr>
      <w:tblPr/>
      <w:tcPr>
        <w:tcBorders>
          <w:top w:val="double" w:sz="2" w:space="0" w:color="C0C0C0"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2akcent5">
    <w:name w:val="Grid Table 2 Accent 5"/>
    <w:basedOn w:val="Standardowy"/>
    <w:uiPriority w:val="47"/>
    <w:semiHidden/>
    <w:rsid w:val="004E2A87"/>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FFFFFF" w:themeFill="background1"/>
      </w:tcPr>
    </w:tblStylePr>
    <w:tblStylePr w:type="lastRow">
      <w:rPr>
        <w:b/>
        <w:bCs/>
      </w:rPr>
      <w:tblPr/>
      <w:tcPr>
        <w:tcBorders>
          <w:top w:val="double" w:sz="2" w:space="0" w:color="9F9F9F"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2akcent6">
    <w:name w:val="Grid Table 2 Accent 6"/>
    <w:basedOn w:val="Standardowy"/>
    <w:uiPriority w:val="47"/>
    <w:semiHidden/>
    <w:rsid w:val="004E2A87"/>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FFFFFF" w:themeFill="background1"/>
      </w:tcPr>
    </w:tblStylePr>
    <w:tblStylePr w:type="lastRow">
      <w:rPr>
        <w:b/>
        <w:bCs/>
      </w:rPr>
      <w:tblPr/>
      <w:tcPr>
        <w:tcBorders>
          <w:top w:val="double" w:sz="2" w:space="0" w:color="949494"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3">
    <w:name w:val="Grid Table 3"/>
    <w:basedOn w:val="Standardowy"/>
    <w:uiPriority w:val="48"/>
    <w:semiHidden/>
    <w:rsid w:val="004E2A87"/>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elasiatki3akcent1">
    <w:name w:val="Grid Table 3 Accent 1"/>
    <w:basedOn w:val="Standardowy"/>
    <w:uiPriority w:val="48"/>
    <w:semiHidden/>
    <w:rsid w:val="004E2A87"/>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Tabelasiatki3akcent2">
    <w:name w:val="Grid Table 3 Accent 2"/>
    <w:basedOn w:val="Standardowy"/>
    <w:uiPriority w:val="48"/>
    <w:semiHidden/>
    <w:rsid w:val="004E2A87"/>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Tabelasiatki3akcent3">
    <w:name w:val="Grid Table 3 Accent 3"/>
    <w:basedOn w:val="Standardowy"/>
    <w:uiPriority w:val="48"/>
    <w:semiHidden/>
    <w:rsid w:val="004E2A87"/>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styleId="Tabelasiatki3akcent4">
    <w:name w:val="Grid Table 3 Accent 4"/>
    <w:basedOn w:val="Standardowy"/>
    <w:uiPriority w:val="48"/>
    <w:semiHidden/>
    <w:rsid w:val="004E2A87"/>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Tabelasiatki3akcent5">
    <w:name w:val="Grid Table 3 Accent 5"/>
    <w:basedOn w:val="Standardowy"/>
    <w:uiPriority w:val="48"/>
    <w:semiHidden/>
    <w:rsid w:val="004E2A87"/>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Tabelasiatki3akcent6">
    <w:name w:val="Grid Table 3 Accent 6"/>
    <w:basedOn w:val="Standardowy"/>
    <w:uiPriority w:val="48"/>
    <w:semiHidden/>
    <w:rsid w:val="004E2A87"/>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Tabelasiatki4">
    <w:name w:val="Grid Table 4"/>
    <w:basedOn w:val="Standardowy"/>
    <w:uiPriority w:val="49"/>
    <w:semiHidden/>
    <w:rsid w:val="004E2A87"/>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4akcent1">
    <w:name w:val="Grid Table 4 Accent 1"/>
    <w:basedOn w:val="Standardowy"/>
    <w:uiPriority w:val="49"/>
    <w:semiHidden/>
    <w:rsid w:val="004E2A87"/>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4akcent2">
    <w:name w:val="Grid Table 4 Accent 2"/>
    <w:basedOn w:val="Standardowy"/>
    <w:uiPriority w:val="49"/>
    <w:semiHidden/>
    <w:rsid w:val="004E2A87"/>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4akcent3">
    <w:name w:val="Grid Table 4 Accent 3"/>
    <w:basedOn w:val="Standardowy"/>
    <w:uiPriority w:val="49"/>
    <w:semiHidden/>
    <w:rsid w:val="004E2A87"/>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cBorders>
        <w:shd w:val="clear" w:color="auto" w:fill="595959" w:themeFill="accent3"/>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Tabelasiatki4akcent4">
    <w:name w:val="Grid Table 4 Accent 4"/>
    <w:basedOn w:val="Standardowy"/>
    <w:uiPriority w:val="49"/>
    <w:semiHidden/>
    <w:rsid w:val="004E2A87"/>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4akcent5">
    <w:name w:val="Grid Table 4 Accent 5"/>
    <w:basedOn w:val="Standardowy"/>
    <w:uiPriority w:val="49"/>
    <w:semiHidden/>
    <w:rsid w:val="004E2A87"/>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4akcent6">
    <w:name w:val="Grid Table 4 Accent 6"/>
    <w:basedOn w:val="Standardowy"/>
    <w:uiPriority w:val="49"/>
    <w:semiHidden/>
    <w:rsid w:val="004E2A87"/>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5ciemna">
    <w:name w:val="Grid Table 5 Dark"/>
    <w:basedOn w:val="Standardowy"/>
    <w:uiPriority w:val="50"/>
    <w:semiHidden/>
    <w:rsid w:val="004E2A87"/>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Tabelasiatki5ciemnaakcent1">
    <w:name w:val="Grid Table 5 Dark Accent 1"/>
    <w:basedOn w:val="Standardowy"/>
    <w:uiPriority w:val="50"/>
    <w:semiHidden/>
    <w:rsid w:val="004E2A87"/>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BEE5FF"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72BC"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72BC"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72BC"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Tabelasiatki5ciemnaakcent2">
    <w:name w:val="Grid Table 5 Dark Accent 2"/>
    <w:basedOn w:val="Standardowy"/>
    <w:uiPriority w:val="50"/>
    <w:semiHidden/>
    <w:rsid w:val="004E2A87"/>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BFBF"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0000"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0000"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0000"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Tabelasiatki5ciemnaakcent3">
    <w:name w:val="Grid Table 5 Dark Accent 3"/>
    <w:basedOn w:val="Standardowy"/>
    <w:uiPriority w:val="50"/>
    <w:semiHidden/>
    <w:rsid w:val="004E2A87"/>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DDD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959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959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959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95959" w:themeFill="accent3"/>
      </w:tcPr>
    </w:tblStylePr>
    <w:tblStylePr w:type="band1Vert">
      <w:tblPr/>
      <w:tcPr>
        <w:shd w:val="clear" w:color="auto" w:fill="BCBCBC" w:themeFill="accent3" w:themeFillTint="66"/>
      </w:tcPr>
    </w:tblStylePr>
    <w:tblStylePr w:type="band1Horz">
      <w:tblPr/>
      <w:tcPr>
        <w:shd w:val="clear" w:color="auto" w:fill="BCBCBC" w:themeFill="accent3" w:themeFillTint="66"/>
      </w:tcPr>
    </w:tblStylePr>
  </w:style>
  <w:style w:type="table" w:styleId="Tabelasiatki5ciemnaakcent4">
    <w:name w:val="Grid Table 5 Dark Accent 4"/>
    <w:basedOn w:val="Standardowy"/>
    <w:uiPriority w:val="50"/>
    <w:semiHidden/>
    <w:rsid w:val="004E2A87"/>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EAEA"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69696"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69696"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69696"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Tabelasiatki5ciemnaakcent5">
    <w:name w:val="Grid Table 5 Dark Accent 5"/>
    <w:basedOn w:val="Standardowy"/>
    <w:uiPriority w:val="50"/>
    <w:semiHidden/>
    <w:rsid w:val="004E2A87"/>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FDFDF"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F5F5F"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F5F5F"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F5F5F"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Tabelasiatki5ciemnaakcent6">
    <w:name w:val="Grid Table 5 Dark Accent 6"/>
    <w:basedOn w:val="Standardowy"/>
    <w:uiPriority w:val="50"/>
    <w:semiHidden/>
    <w:rsid w:val="004E2A87"/>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DBDB"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D4D4D"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D4D4D"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D4D4D"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Tabelasiatki6kolorowa">
    <w:name w:val="Grid Table 6 Colorful"/>
    <w:basedOn w:val="Standardowy"/>
    <w:uiPriority w:val="51"/>
    <w:semiHidden/>
    <w:rsid w:val="004E2A87"/>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6kolorowaakcent1">
    <w:name w:val="Grid Table 6 Colorful Accent 1"/>
    <w:basedOn w:val="Standardowy"/>
    <w:uiPriority w:val="51"/>
    <w:semiHidden/>
    <w:rsid w:val="004E2A87"/>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6kolorowaakcent2">
    <w:name w:val="Grid Table 6 Colorful Accent 2"/>
    <w:basedOn w:val="Standardowy"/>
    <w:uiPriority w:val="51"/>
    <w:semiHidden/>
    <w:rsid w:val="004E2A87"/>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6kolorowaakcent3">
    <w:name w:val="Grid Table 6 Colorful Accent 3"/>
    <w:basedOn w:val="Standardowy"/>
    <w:uiPriority w:val="51"/>
    <w:semiHidden/>
    <w:rsid w:val="004E2A87"/>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Tabelasiatki6kolorowaakcent4">
    <w:name w:val="Grid Table 6 Colorful Accent 4"/>
    <w:basedOn w:val="Standardowy"/>
    <w:uiPriority w:val="51"/>
    <w:semiHidden/>
    <w:rsid w:val="004E2A87"/>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6kolorowaakcent5">
    <w:name w:val="Grid Table 6 Colorful Accent 5"/>
    <w:basedOn w:val="Standardowy"/>
    <w:uiPriority w:val="51"/>
    <w:semiHidden/>
    <w:rsid w:val="004E2A87"/>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6kolorowaakcent6">
    <w:name w:val="Grid Table 6 Colorful Accent 6"/>
    <w:basedOn w:val="Standardowy"/>
    <w:uiPriority w:val="51"/>
    <w:semiHidden/>
    <w:rsid w:val="004E2A87"/>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7kolorowa">
    <w:name w:val="Grid Table 7 Colorful"/>
    <w:basedOn w:val="Standardowy"/>
    <w:uiPriority w:val="52"/>
    <w:semiHidden/>
    <w:rsid w:val="004E2A87"/>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elasiatki7kolorowaakcent1">
    <w:name w:val="Grid Table 7 Colorful Accent 1"/>
    <w:basedOn w:val="Standardowy"/>
    <w:uiPriority w:val="52"/>
    <w:semiHidden/>
    <w:rsid w:val="004E2A87"/>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Tabelasiatki7kolorowaakcent2">
    <w:name w:val="Grid Table 7 Colorful Accent 2"/>
    <w:basedOn w:val="Standardowy"/>
    <w:uiPriority w:val="52"/>
    <w:semiHidden/>
    <w:rsid w:val="004E2A87"/>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Tabelasiatki7kolorowaakcent3">
    <w:name w:val="Grid Table 7 Colorful Accent 3"/>
    <w:basedOn w:val="Standardowy"/>
    <w:uiPriority w:val="52"/>
    <w:semiHidden/>
    <w:rsid w:val="004E2A87"/>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styleId="Tabelasiatki7kolorowaakcent4">
    <w:name w:val="Grid Table 7 Colorful Accent 4"/>
    <w:basedOn w:val="Standardowy"/>
    <w:uiPriority w:val="52"/>
    <w:semiHidden/>
    <w:rsid w:val="004E2A87"/>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Tabelasiatki7kolorowaakcent5">
    <w:name w:val="Grid Table 7 Colorful Accent 5"/>
    <w:basedOn w:val="Standardowy"/>
    <w:uiPriority w:val="52"/>
    <w:semiHidden/>
    <w:rsid w:val="004E2A87"/>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Tabelasiatki7kolorowaakcent6">
    <w:name w:val="Grid Table 7 Colorful Accent 6"/>
    <w:basedOn w:val="Standardowy"/>
    <w:uiPriority w:val="52"/>
    <w:semiHidden/>
    <w:rsid w:val="004E2A87"/>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ztag1">
    <w:name w:val="Hasztag1"/>
    <w:basedOn w:val="Domylnaczcionkaakapitu"/>
    <w:uiPriority w:val="99"/>
    <w:semiHidden/>
    <w:unhideWhenUsed/>
    <w:rsid w:val="004E2A87"/>
    <w:rPr>
      <w:color w:val="2B579A"/>
      <w:shd w:val="clear" w:color="auto" w:fill="E1DFDD"/>
    </w:rPr>
  </w:style>
  <w:style w:type="table" w:styleId="Tabelalisty1jasna">
    <w:name w:val="List Table 1 Light"/>
    <w:basedOn w:val="Standardowy"/>
    <w:uiPriority w:val="46"/>
    <w:semiHidden/>
    <w:rsid w:val="004E2A87"/>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1jasnaakcent1">
    <w:name w:val="List Table 1 Light Accent 1"/>
    <w:basedOn w:val="Standardowy"/>
    <w:uiPriority w:val="46"/>
    <w:semiHidden/>
    <w:rsid w:val="004E2A87"/>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1jasnaakcent2">
    <w:name w:val="List Table 1 Light Accent 2"/>
    <w:basedOn w:val="Standardowy"/>
    <w:uiPriority w:val="46"/>
    <w:semiHidden/>
    <w:rsid w:val="004E2A87"/>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1jasnaakcent3">
    <w:name w:val="List Table 1 Light Accent 3"/>
    <w:basedOn w:val="Standardowy"/>
    <w:uiPriority w:val="46"/>
    <w:semiHidden/>
    <w:rsid w:val="004E2A87"/>
    <w:tblPr>
      <w:tblStyleRowBandSize w:val="1"/>
      <w:tblStyleColBandSize w:val="1"/>
    </w:tblPr>
    <w:tblStylePr w:type="firstRow">
      <w:rPr>
        <w:b/>
        <w:bCs/>
      </w:rPr>
      <w:tblPr/>
      <w:tcPr>
        <w:tcBorders>
          <w:bottom w:val="single" w:sz="4" w:space="0" w:color="9B9B9B" w:themeColor="accent3" w:themeTint="99"/>
        </w:tcBorders>
      </w:tcPr>
    </w:tblStylePr>
    <w:tblStylePr w:type="lastRow">
      <w:rPr>
        <w:b/>
        <w:bCs/>
      </w:rPr>
      <w:tblPr/>
      <w:tcPr>
        <w:tcBorders>
          <w:top w:val="sing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Tabelalisty1jasnaakcent4">
    <w:name w:val="List Table 1 Light Accent 4"/>
    <w:basedOn w:val="Standardowy"/>
    <w:uiPriority w:val="46"/>
    <w:semiHidden/>
    <w:rsid w:val="004E2A87"/>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1jasnaakcent5">
    <w:name w:val="List Table 1 Light Accent 5"/>
    <w:basedOn w:val="Standardowy"/>
    <w:uiPriority w:val="46"/>
    <w:semiHidden/>
    <w:rsid w:val="004E2A87"/>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1jasnaakcent6">
    <w:name w:val="List Table 1 Light Accent 6"/>
    <w:basedOn w:val="Standardowy"/>
    <w:uiPriority w:val="46"/>
    <w:semiHidden/>
    <w:rsid w:val="004E2A87"/>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2">
    <w:name w:val="List Table 2"/>
    <w:basedOn w:val="Standardowy"/>
    <w:uiPriority w:val="47"/>
    <w:semiHidden/>
    <w:rsid w:val="004E2A87"/>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2akcent1">
    <w:name w:val="List Table 2 Accent 1"/>
    <w:basedOn w:val="Standardowy"/>
    <w:uiPriority w:val="47"/>
    <w:semiHidden/>
    <w:rsid w:val="004E2A87"/>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2akcent2">
    <w:name w:val="List Table 2 Accent 2"/>
    <w:basedOn w:val="Standardowy"/>
    <w:uiPriority w:val="47"/>
    <w:semiHidden/>
    <w:rsid w:val="004E2A87"/>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2akcent3">
    <w:name w:val="List Table 2 Accent 3"/>
    <w:basedOn w:val="Standardowy"/>
    <w:uiPriority w:val="47"/>
    <w:semiHidden/>
    <w:rsid w:val="004E2A87"/>
    <w:tblPr>
      <w:tblStyleRowBandSize w:val="1"/>
      <w:tblStyleColBandSize w:val="1"/>
      <w:tblBorders>
        <w:top w:val="single" w:sz="4" w:space="0" w:color="9B9B9B" w:themeColor="accent3" w:themeTint="99"/>
        <w:bottom w:val="single" w:sz="4" w:space="0" w:color="9B9B9B" w:themeColor="accent3" w:themeTint="99"/>
        <w:insideH w:val="single" w:sz="4" w:space="0" w:color="9B9B9B"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Tabelalisty2akcent4">
    <w:name w:val="List Table 2 Accent 4"/>
    <w:basedOn w:val="Standardowy"/>
    <w:uiPriority w:val="47"/>
    <w:semiHidden/>
    <w:rsid w:val="004E2A87"/>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2akcent5">
    <w:name w:val="List Table 2 Accent 5"/>
    <w:basedOn w:val="Standardowy"/>
    <w:uiPriority w:val="47"/>
    <w:semiHidden/>
    <w:rsid w:val="004E2A87"/>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2akcent6">
    <w:name w:val="List Table 2 Accent 6"/>
    <w:basedOn w:val="Standardowy"/>
    <w:uiPriority w:val="47"/>
    <w:semiHidden/>
    <w:rsid w:val="004E2A87"/>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3">
    <w:name w:val="List Table 3"/>
    <w:basedOn w:val="Standardowy"/>
    <w:uiPriority w:val="48"/>
    <w:semiHidden/>
    <w:rsid w:val="004E2A87"/>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Tabelalisty3akcent1">
    <w:name w:val="List Table 3 Accent 1"/>
    <w:basedOn w:val="Standardowy"/>
    <w:uiPriority w:val="48"/>
    <w:semiHidden/>
    <w:rsid w:val="004E2A87"/>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FFFFFF"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Tabelalisty3akcent2">
    <w:name w:val="List Table 3 Accent 2"/>
    <w:basedOn w:val="Standardowy"/>
    <w:uiPriority w:val="48"/>
    <w:semiHidden/>
    <w:rsid w:val="004E2A87"/>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FFFFFF"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Tabelalisty3akcent3">
    <w:name w:val="List Table 3 Accent 3"/>
    <w:basedOn w:val="Standardowy"/>
    <w:uiPriority w:val="48"/>
    <w:semiHidden/>
    <w:rsid w:val="004E2A87"/>
    <w:tblPr>
      <w:tblStyleRowBandSize w:val="1"/>
      <w:tblStyleColBandSize w:val="1"/>
      <w:tblBorders>
        <w:top w:val="single" w:sz="4" w:space="0" w:color="595959" w:themeColor="accent3"/>
        <w:left w:val="single" w:sz="4" w:space="0" w:color="595959" w:themeColor="accent3"/>
        <w:bottom w:val="single" w:sz="4" w:space="0" w:color="595959" w:themeColor="accent3"/>
        <w:right w:val="single" w:sz="4" w:space="0" w:color="595959" w:themeColor="accent3"/>
      </w:tblBorders>
    </w:tblPr>
    <w:tblStylePr w:type="firstRow">
      <w:rPr>
        <w:b/>
        <w:bCs/>
        <w:color w:val="FFFFFF" w:themeColor="background1"/>
      </w:rPr>
      <w:tblPr/>
      <w:tcPr>
        <w:shd w:val="clear" w:color="auto" w:fill="595959" w:themeFill="accent3"/>
      </w:tcPr>
    </w:tblStylePr>
    <w:tblStylePr w:type="lastRow">
      <w:rPr>
        <w:b/>
        <w:bCs/>
      </w:rPr>
      <w:tblPr/>
      <w:tcPr>
        <w:tcBorders>
          <w:top w:val="double" w:sz="4" w:space="0" w:color="5959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95959" w:themeColor="accent3"/>
          <w:right w:val="single" w:sz="4" w:space="0" w:color="595959" w:themeColor="accent3"/>
        </w:tcBorders>
      </w:tcPr>
    </w:tblStylePr>
    <w:tblStylePr w:type="band1Horz">
      <w:tblPr/>
      <w:tcPr>
        <w:tcBorders>
          <w:top w:val="single" w:sz="4" w:space="0" w:color="595959" w:themeColor="accent3"/>
          <w:bottom w:val="single" w:sz="4" w:space="0" w:color="5959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95959" w:themeColor="accent3"/>
          <w:left w:val="nil"/>
        </w:tcBorders>
      </w:tcPr>
    </w:tblStylePr>
    <w:tblStylePr w:type="swCell">
      <w:tblPr/>
      <w:tcPr>
        <w:tcBorders>
          <w:top w:val="double" w:sz="4" w:space="0" w:color="595959" w:themeColor="accent3"/>
          <w:right w:val="nil"/>
        </w:tcBorders>
      </w:tcPr>
    </w:tblStylePr>
  </w:style>
  <w:style w:type="table" w:styleId="Tabelalisty3akcent4">
    <w:name w:val="List Table 3 Accent 4"/>
    <w:basedOn w:val="Standardowy"/>
    <w:uiPriority w:val="48"/>
    <w:semiHidden/>
    <w:rsid w:val="004E2A87"/>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FFFFFF"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Tabelalisty3akcent5">
    <w:name w:val="List Table 3 Accent 5"/>
    <w:basedOn w:val="Standardowy"/>
    <w:uiPriority w:val="48"/>
    <w:semiHidden/>
    <w:rsid w:val="004E2A87"/>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FFFFFF"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Tabelalisty3akcent6">
    <w:name w:val="List Table 3 Accent 6"/>
    <w:basedOn w:val="Standardowy"/>
    <w:uiPriority w:val="48"/>
    <w:semiHidden/>
    <w:rsid w:val="004E2A87"/>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FFFFFF"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Tabelalisty4">
    <w:name w:val="List Table 4"/>
    <w:basedOn w:val="Standardowy"/>
    <w:uiPriority w:val="49"/>
    <w:semiHidden/>
    <w:rsid w:val="004E2A87"/>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4akcent1">
    <w:name w:val="List Table 4 Accent 1"/>
    <w:basedOn w:val="Standardowy"/>
    <w:uiPriority w:val="49"/>
    <w:semiHidden/>
    <w:rsid w:val="004E2A87"/>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4akcent2">
    <w:name w:val="List Table 4 Accent 2"/>
    <w:basedOn w:val="Standardowy"/>
    <w:uiPriority w:val="49"/>
    <w:semiHidden/>
    <w:rsid w:val="004E2A87"/>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4akcent3">
    <w:name w:val="List Table 4 Accent 3"/>
    <w:basedOn w:val="Standardowy"/>
    <w:uiPriority w:val="49"/>
    <w:semiHidden/>
    <w:rsid w:val="004E2A87"/>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tcBorders>
        <w:shd w:val="clear" w:color="auto" w:fill="595959" w:themeFill="accent3"/>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Tabelalisty4akcent4">
    <w:name w:val="List Table 4 Accent 4"/>
    <w:basedOn w:val="Standardowy"/>
    <w:uiPriority w:val="49"/>
    <w:semiHidden/>
    <w:rsid w:val="004E2A87"/>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4akcent5">
    <w:name w:val="List Table 4 Accent 5"/>
    <w:basedOn w:val="Standardowy"/>
    <w:uiPriority w:val="49"/>
    <w:semiHidden/>
    <w:rsid w:val="004E2A87"/>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4akcent6">
    <w:name w:val="List Table 4 Accent 6"/>
    <w:basedOn w:val="Standardowy"/>
    <w:uiPriority w:val="49"/>
    <w:semiHidden/>
    <w:rsid w:val="004E2A87"/>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5ciemna">
    <w:name w:val="List Table 5 Dark"/>
    <w:basedOn w:val="Standardowy"/>
    <w:uiPriority w:val="50"/>
    <w:semiHidden/>
    <w:rsid w:val="004E2A87"/>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1">
    <w:name w:val="List Table 5 Dark Accent 1"/>
    <w:basedOn w:val="Standardowy"/>
    <w:uiPriority w:val="50"/>
    <w:semiHidden/>
    <w:rsid w:val="004E2A87"/>
    <w:rPr>
      <w:color w:val="FFFFFF"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2">
    <w:name w:val="List Table 5 Dark Accent 2"/>
    <w:basedOn w:val="Standardowy"/>
    <w:uiPriority w:val="50"/>
    <w:semiHidden/>
    <w:rsid w:val="004E2A87"/>
    <w:rPr>
      <w:color w:val="FFFFFF"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3">
    <w:name w:val="List Table 5 Dark Accent 3"/>
    <w:basedOn w:val="Standardowy"/>
    <w:uiPriority w:val="50"/>
    <w:semiHidden/>
    <w:rsid w:val="004E2A87"/>
    <w:rPr>
      <w:color w:val="FFFFFF" w:themeColor="background1"/>
    </w:rPr>
    <w:tblPr>
      <w:tblStyleRowBandSize w:val="1"/>
      <w:tblStyleColBandSize w:val="1"/>
      <w:tblBorders>
        <w:top w:val="single" w:sz="24" w:space="0" w:color="595959" w:themeColor="accent3"/>
        <w:left w:val="single" w:sz="24" w:space="0" w:color="595959" w:themeColor="accent3"/>
        <w:bottom w:val="single" w:sz="24" w:space="0" w:color="595959" w:themeColor="accent3"/>
        <w:right w:val="single" w:sz="24" w:space="0" w:color="595959" w:themeColor="accent3"/>
      </w:tblBorders>
    </w:tblPr>
    <w:tcPr>
      <w:shd w:val="clear" w:color="auto" w:fill="595959"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4">
    <w:name w:val="List Table 5 Dark Accent 4"/>
    <w:basedOn w:val="Standardowy"/>
    <w:uiPriority w:val="50"/>
    <w:semiHidden/>
    <w:rsid w:val="004E2A87"/>
    <w:rPr>
      <w:color w:val="FFFFFF"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5">
    <w:name w:val="List Table 5 Dark Accent 5"/>
    <w:basedOn w:val="Standardowy"/>
    <w:uiPriority w:val="50"/>
    <w:semiHidden/>
    <w:rsid w:val="004E2A87"/>
    <w:rPr>
      <w:color w:val="FFFFFF"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6">
    <w:name w:val="List Table 5 Dark Accent 6"/>
    <w:basedOn w:val="Standardowy"/>
    <w:uiPriority w:val="50"/>
    <w:semiHidden/>
    <w:rsid w:val="004E2A87"/>
    <w:rPr>
      <w:color w:val="FFFFFF"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6kolorowa">
    <w:name w:val="List Table 6 Colorful"/>
    <w:basedOn w:val="Standardowy"/>
    <w:uiPriority w:val="51"/>
    <w:semiHidden/>
    <w:rsid w:val="004E2A87"/>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6kolorowaakcent1">
    <w:name w:val="List Table 6 Colorful Accent 1"/>
    <w:basedOn w:val="Standardowy"/>
    <w:uiPriority w:val="51"/>
    <w:semiHidden/>
    <w:rsid w:val="004E2A87"/>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6kolorowaakcent2">
    <w:name w:val="List Table 6 Colorful Accent 2"/>
    <w:basedOn w:val="Standardowy"/>
    <w:uiPriority w:val="51"/>
    <w:semiHidden/>
    <w:rsid w:val="004E2A87"/>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6kolorowaakcent3">
    <w:name w:val="List Table 6 Colorful Accent 3"/>
    <w:basedOn w:val="Standardowy"/>
    <w:uiPriority w:val="51"/>
    <w:semiHidden/>
    <w:rsid w:val="004E2A87"/>
    <w:rPr>
      <w:color w:val="424242" w:themeColor="accent3" w:themeShade="BF"/>
    </w:rPr>
    <w:tblPr>
      <w:tblStyleRowBandSize w:val="1"/>
      <w:tblStyleColBandSize w:val="1"/>
      <w:tblBorders>
        <w:top w:val="single" w:sz="4" w:space="0" w:color="595959" w:themeColor="accent3"/>
        <w:bottom w:val="single" w:sz="4" w:space="0" w:color="595959" w:themeColor="accent3"/>
      </w:tblBorders>
    </w:tblPr>
    <w:tblStylePr w:type="firstRow">
      <w:rPr>
        <w:b/>
        <w:bCs/>
      </w:rPr>
      <w:tblPr/>
      <w:tcPr>
        <w:tcBorders>
          <w:bottom w:val="single" w:sz="4" w:space="0" w:color="595959" w:themeColor="accent3"/>
        </w:tcBorders>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Tabelalisty6kolorowaakcent4">
    <w:name w:val="List Table 6 Colorful Accent 4"/>
    <w:basedOn w:val="Standardowy"/>
    <w:uiPriority w:val="51"/>
    <w:semiHidden/>
    <w:rsid w:val="004E2A87"/>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6kolorowaakcent5">
    <w:name w:val="List Table 6 Colorful Accent 5"/>
    <w:basedOn w:val="Standardowy"/>
    <w:uiPriority w:val="51"/>
    <w:semiHidden/>
    <w:rsid w:val="004E2A87"/>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6kolorowaakcent6">
    <w:name w:val="List Table 6 Colorful Accent 6"/>
    <w:basedOn w:val="Standardowy"/>
    <w:uiPriority w:val="51"/>
    <w:semiHidden/>
    <w:rsid w:val="004E2A87"/>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7kolorowa">
    <w:name w:val="List Table 7 Colorful"/>
    <w:basedOn w:val="Standardowy"/>
    <w:uiPriority w:val="52"/>
    <w:semiHidden/>
    <w:rsid w:val="004E2A87"/>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1">
    <w:name w:val="List Table 7 Colorful Accent 1"/>
    <w:basedOn w:val="Standardowy"/>
    <w:uiPriority w:val="52"/>
    <w:semiHidden/>
    <w:rsid w:val="004E2A87"/>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2">
    <w:name w:val="List Table 7 Colorful Accent 2"/>
    <w:basedOn w:val="Standardowy"/>
    <w:uiPriority w:val="52"/>
    <w:semiHidden/>
    <w:rsid w:val="004E2A87"/>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3">
    <w:name w:val="List Table 7 Colorful Accent 3"/>
    <w:basedOn w:val="Standardowy"/>
    <w:uiPriority w:val="52"/>
    <w:semiHidden/>
    <w:rsid w:val="004E2A87"/>
    <w:rPr>
      <w:color w:val="424242"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95959"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95959"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95959"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95959" w:themeColor="accent3"/>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4">
    <w:name w:val="List Table 7 Colorful Accent 4"/>
    <w:basedOn w:val="Standardowy"/>
    <w:uiPriority w:val="52"/>
    <w:semiHidden/>
    <w:rsid w:val="004E2A87"/>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5">
    <w:name w:val="List Table 7 Colorful Accent 5"/>
    <w:basedOn w:val="Standardowy"/>
    <w:uiPriority w:val="52"/>
    <w:semiHidden/>
    <w:rsid w:val="004E2A87"/>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6">
    <w:name w:val="List Table 7 Colorful Accent 6"/>
    <w:basedOn w:val="Standardowy"/>
    <w:uiPriority w:val="52"/>
    <w:semiHidden/>
    <w:rsid w:val="004E2A87"/>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Wzmianka1">
    <w:name w:val="Wzmianka1"/>
    <w:basedOn w:val="Domylnaczcionkaakapitu"/>
    <w:uiPriority w:val="99"/>
    <w:semiHidden/>
    <w:unhideWhenUsed/>
    <w:rsid w:val="004E2A87"/>
    <w:rPr>
      <w:color w:val="2B579A"/>
      <w:shd w:val="clear" w:color="auto" w:fill="E1DFDD"/>
    </w:rPr>
  </w:style>
  <w:style w:type="table" w:styleId="Zwykatabela1">
    <w:name w:val="Plain Table 1"/>
    <w:basedOn w:val="Standardowy"/>
    <w:uiPriority w:val="41"/>
    <w:semiHidden/>
    <w:rsid w:val="004E2A87"/>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Zwykatabela2">
    <w:name w:val="Plain Table 2"/>
    <w:basedOn w:val="Standardowy"/>
    <w:uiPriority w:val="42"/>
    <w:semiHidden/>
    <w:rsid w:val="004E2A87"/>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Zwykatabela3">
    <w:name w:val="Plain Table 3"/>
    <w:basedOn w:val="Standardowy"/>
    <w:uiPriority w:val="43"/>
    <w:semiHidden/>
    <w:rsid w:val="004E2A87"/>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Zwykatabela4">
    <w:name w:val="Plain Table 4"/>
    <w:basedOn w:val="Standardowy"/>
    <w:uiPriority w:val="44"/>
    <w:semiHidden/>
    <w:rsid w:val="004E2A87"/>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Zwykatabela5">
    <w:name w:val="Plain Table 5"/>
    <w:basedOn w:val="Standardowy"/>
    <w:uiPriority w:val="45"/>
    <w:semiHidden/>
    <w:rsid w:val="004E2A87"/>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Inteligentnyhiperlink1">
    <w:name w:val="Inteligentny hiperlink1"/>
    <w:basedOn w:val="Domylnaczcionkaakapitu"/>
    <w:uiPriority w:val="99"/>
    <w:semiHidden/>
    <w:unhideWhenUsed/>
    <w:rsid w:val="004E2A87"/>
    <w:rPr>
      <w:u w:val="dotted"/>
    </w:rPr>
  </w:style>
  <w:style w:type="character" w:customStyle="1" w:styleId="SmartLink">
    <w:name w:val="Smart Link"/>
    <w:basedOn w:val="Domylnaczcionkaakapitu"/>
    <w:uiPriority w:val="99"/>
    <w:semiHidden/>
    <w:unhideWhenUsed/>
    <w:rsid w:val="004E2A87"/>
    <w:rPr>
      <w:color w:val="0000FF"/>
      <w:u w:val="single"/>
      <w:shd w:val="clear" w:color="auto" w:fill="F3F2F1"/>
    </w:rPr>
  </w:style>
  <w:style w:type="table" w:styleId="Siatkatabelijasna">
    <w:name w:val="Grid Table Light"/>
    <w:basedOn w:val="Standardowy"/>
    <w:uiPriority w:val="40"/>
    <w:semiHidden/>
    <w:rsid w:val="004E2A87"/>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oprawka">
    <w:name w:val="Revision"/>
    <w:hidden/>
    <w:uiPriority w:val="99"/>
    <w:semiHidden/>
    <w:rsid w:val="004E2A87"/>
    <w:rPr>
      <w:sz w:val="24"/>
      <w:szCs w:val="24"/>
    </w:rPr>
  </w:style>
  <w:style w:type="character" w:customStyle="1" w:styleId="cf01">
    <w:name w:val="cf01"/>
    <w:basedOn w:val="Domylnaczcionkaakapitu"/>
    <w:rsid w:val="004E2A87"/>
    <w:rPr>
      <w:rFonts w:ascii="Segoe UI" w:hAnsi="Segoe UI" w:cs="Segoe UI" w:hint="default"/>
      <w:sz w:val="18"/>
      <w:szCs w:val="18"/>
    </w:rPr>
  </w:style>
  <w:style w:type="character" w:customStyle="1" w:styleId="cf11">
    <w:name w:val="cf11"/>
    <w:basedOn w:val="Domylnaczcionkaakapitu"/>
    <w:rsid w:val="004E2A87"/>
    <w:rPr>
      <w:rFonts w:ascii="Segoe UI" w:hAnsi="Segoe UI" w:cs="Segoe UI" w:hint="default"/>
      <w:sz w:val="18"/>
      <w:szCs w:val="18"/>
      <w:shd w:val="clear" w:color="auto" w:fill="FFFFFF"/>
    </w:rPr>
  </w:style>
  <w:style w:type="paragraph" w:customStyle="1" w:styleId="jucase0">
    <w:name w:val="jucase"/>
    <w:basedOn w:val="Normalny"/>
    <w:rsid w:val="004D3D16"/>
    <w:pPr>
      <w:ind w:firstLine="284"/>
      <w:jc w:val="both"/>
    </w:pPr>
    <w:rPr>
      <w:rFonts w:ascii="Times New Roman" w:eastAsia="Times New Roman" w:hAnsi="Times New Roman" w:cs="Times New Roman"/>
      <w:b/>
      <w:bCs/>
      <w:lang w:val="en-GB" w:eastAsia="en-GB"/>
    </w:rPr>
  </w:style>
  <w:style w:type="character" w:customStyle="1" w:styleId="sa36b60a1">
    <w:name w:val="sa36b60a1"/>
    <w:basedOn w:val="Domylnaczcionkaakapitu"/>
    <w:rsid w:val="004D3D1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ov.pl/web/sprawiedliwosc" TargetMode="External"/><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header" Target="head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gov.pl/web/sprawiedliwosc" TargetMode="External"/><Relationship Id="rId14"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_New">
      <a:dk1>
        <a:sysClr val="windowText" lastClr="000000"/>
      </a:dk1>
      <a:lt1>
        <a:srgbClr val="FFFFFF"/>
      </a:lt1>
      <a:dk2>
        <a:srgbClr val="B0B0B0"/>
      </a:dk2>
      <a:lt2>
        <a:srgbClr val="F8F8F8"/>
      </a:lt2>
      <a:accent1>
        <a:srgbClr val="0072BC"/>
      </a:accent1>
      <a:accent2>
        <a:srgbClr val="C00000"/>
      </a:accent2>
      <a:accent3>
        <a:srgbClr val="595959"/>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F42691-7414-4974-82BC-0C5EE4CA17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4928</Words>
  <Characters>29573</Characters>
  <Application>Microsoft Office Word</Application>
  <DocSecurity>0</DocSecurity>
  <Lines>246</Lines>
  <Paragraphs>68</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Company/>
  <LinksUpToDate>false</LinksUpToDate>
  <CharactersWithSpaces>34433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lastModifiedBy/>
  <cp:revision>1</cp:revision>
  <dcterms:created xsi:type="dcterms:W3CDTF">2024-11-28T12:04:00Z</dcterms:created>
  <dcterms:modified xsi:type="dcterms:W3CDTF">2025-08-04T10:17:00Z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ID">
    <vt:lpwstr>1501275</vt:lpwstr>
  </property>
  <property fmtid="{D5CDD505-2E9C-101B-9397-08002B2CF9AE}" pid="3" name="cstLanguage">
    <vt:i4>2057</vt:i4>
  </property>
  <property fmtid="{D5CDD505-2E9C-101B-9397-08002B2CF9AE}" pid="4" name="RegisteredNo">
    <vt:lpwstr>63277/19</vt:lpwstr>
  </property>
</Properties>
</file>