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CA538" w14:textId="77777777" w:rsidR="001B15D1" w:rsidRDefault="001B15D1">
      <w:pPr>
        <w:jc w:val="center"/>
        <w:rPr>
          <w:rFonts w:ascii="Times New Roman" w:hAnsi="Times New Roman" w:cs="Times New Roman"/>
        </w:rPr>
      </w:pPr>
    </w:p>
    <w:p w14:paraId="122B2871" w14:textId="77777777" w:rsidR="001B15D1" w:rsidRDefault="001B15D1">
      <w:pPr>
        <w:jc w:val="center"/>
      </w:pPr>
    </w:p>
    <w:p w14:paraId="1CBB3B63" w14:textId="77777777" w:rsidR="001B15D1" w:rsidRDefault="00A2715E">
      <w:pPr>
        <w:pStyle w:val="DecHTitle"/>
      </w:pPr>
      <w:r>
        <w:t>PIERWSZA SEKCJA</w:t>
      </w:r>
    </w:p>
    <w:p w14:paraId="55E2119E" w14:textId="77777777" w:rsidR="001B15D1" w:rsidRDefault="00A2715E">
      <w:pPr>
        <w:pStyle w:val="JuTitle"/>
      </w:pPr>
      <w:r>
        <w:rPr>
          <w:color w:val="000000" w:themeColor="text1"/>
        </w:rPr>
        <w:t xml:space="preserve">SPRAWA </w:t>
      </w:r>
      <w:r>
        <w:t>ORŁOWSKI przeciwko POLSCE</w:t>
      </w:r>
    </w:p>
    <w:p w14:paraId="5CCAAD45" w14:textId="77777777" w:rsidR="001B15D1" w:rsidRDefault="00A2715E">
      <w:pPr>
        <w:pStyle w:val="ECHRCoverTitle4"/>
      </w:pPr>
      <w:r>
        <w:t>(Skarga nr 5648/21)</w:t>
      </w:r>
    </w:p>
    <w:p w14:paraId="666605DB" w14:textId="77777777" w:rsidR="001B15D1" w:rsidRDefault="001B15D1">
      <w:pPr>
        <w:pStyle w:val="DecHCase"/>
      </w:pPr>
    </w:p>
    <w:p w14:paraId="72FBA1EF" w14:textId="77777777" w:rsidR="001B15D1" w:rsidRDefault="001B15D1">
      <w:pPr>
        <w:pStyle w:val="DecHCase"/>
      </w:pPr>
    </w:p>
    <w:p w14:paraId="3A8045EF" w14:textId="77777777" w:rsidR="001B15D1" w:rsidRDefault="001B15D1">
      <w:pPr>
        <w:pStyle w:val="DecHCase"/>
      </w:pPr>
    </w:p>
    <w:p w14:paraId="6607C241" w14:textId="77777777" w:rsidR="001B15D1" w:rsidRDefault="001B15D1">
      <w:pPr>
        <w:pStyle w:val="DecHCase"/>
      </w:pPr>
    </w:p>
    <w:p w14:paraId="52B42F0C" w14:textId="77777777" w:rsidR="001B15D1" w:rsidRDefault="001B15D1">
      <w:pPr>
        <w:pStyle w:val="DecHCase"/>
      </w:pPr>
    </w:p>
    <w:p w14:paraId="657DCDBA" w14:textId="77777777" w:rsidR="001B15D1" w:rsidRDefault="001B15D1">
      <w:pPr>
        <w:pStyle w:val="DecHCase"/>
      </w:pPr>
    </w:p>
    <w:p w14:paraId="264A47C4" w14:textId="77777777" w:rsidR="001B15D1" w:rsidRDefault="00A2715E">
      <w:pPr>
        <w:pStyle w:val="DecHCase"/>
      </w:pPr>
      <w:r>
        <w:t>WYROK</w:t>
      </w:r>
      <w:r>
        <w:br/>
      </w:r>
    </w:p>
    <w:p w14:paraId="0AAFF2F6" w14:textId="77777777" w:rsidR="001B15D1" w:rsidRDefault="00A2715E">
      <w:pPr>
        <w:pStyle w:val="DecHCase"/>
      </w:pPr>
      <w:r>
        <w:t>STRASBURG</w:t>
      </w:r>
    </w:p>
    <w:p w14:paraId="1B088928" w14:textId="77777777" w:rsidR="001B15D1" w:rsidRDefault="00A2715E">
      <w:pPr>
        <w:pStyle w:val="P68B1DB1-DecHCase1"/>
      </w:pPr>
      <w:r>
        <w:t>26 czerwca 2025 r.</w:t>
      </w:r>
    </w:p>
    <w:p w14:paraId="31828971" w14:textId="77777777" w:rsidR="001B15D1" w:rsidRDefault="001B15D1">
      <w:pPr>
        <w:pStyle w:val="JuPara"/>
      </w:pPr>
    </w:p>
    <w:p w14:paraId="77DF7995" w14:textId="77777777" w:rsidR="001B15D1" w:rsidRDefault="00A2715E">
      <w:pPr>
        <w:pStyle w:val="P68B1DB1-Normal2"/>
        <w:jc w:val="center"/>
      </w:pPr>
      <w:r>
        <w:t>Niniejszy wyrok jest ostateczny, ale może podlegać korekcie wydawniczej.</w:t>
      </w:r>
    </w:p>
    <w:p w14:paraId="5348388C" w14:textId="77777777" w:rsidR="001B15D1" w:rsidRDefault="001B15D1">
      <w:pPr>
        <w:jc w:val="center"/>
        <w:sectPr w:rsidR="001B15D1"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14AE3099" w14:textId="77777777" w:rsidR="001B15D1" w:rsidRDefault="00A2715E" w:rsidP="00A13265">
      <w:pPr>
        <w:pStyle w:val="JuCase"/>
        <w:ind w:firstLine="720"/>
      </w:pPr>
      <w:r>
        <w:lastRenderedPageBreak/>
        <w:t>W sprawie Orłowski przeciwko Polsce,</w:t>
      </w:r>
    </w:p>
    <w:p w14:paraId="798B19F9" w14:textId="77777777" w:rsidR="001B15D1" w:rsidRDefault="00A2715E" w:rsidP="00A13265">
      <w:pPr>
        <w:pStyle w:val="JuPara"/>
        <w:ind w:firstLine="720"/>
      </w:pPr>
      <w:r>
        <w:t>Europejski Trybunał Praw Człowieka (pierwsza sekcja), zasiadając jako Komitet w składzie:</w:t>
      </w:r>
    </w:p>
    <w:p w14:paraId="68704EBB" w14:textId="6A79A385" w:rsidR="001B15D1" w:rsidRDefault="00A2715E">
      <w:pPr>
        <w:pStyle w:val="JuJudges"/>
      </w:pPr>
      <w:r>
        <w:t>Alena Poláčková</w:t>
      </w:r>
      <w:r>
        <w:rPr>
          <w:i/>
        </w:rPr>
        <w:t>, Przewodnicząca</w:t>
      </w:r>
      <w:r>
        <w:t>,</w:t>
      </w:r>
      <w:r>
        <w:br/>
        <w:t>Artūrs Kučs,</w:t>
      </w:r>
      <w:r>
        <w:br/>
        <w:t>Anna Adamska-Gallant</w:t>
      </w:r>
      <w:r>
        <w:rPr>
          <w:i/>
        </w:rPr>
        <w:t>, sędziowie</w:t>
      </w:r>
      <w:r>
        <w:t>,</w:t>
      </w:r>
      <w:r>
        <w:br/>
        <w:t xml:space="preserve">oraz </w:t>
      </w:r>
      <w:r>
        <w:rPr>
          <w:rFonts w:eastAsia="PMingLiU"/>
        </w:rPr>
        <w:t>Liv Tigerstedt</w:t>
      </w:r>
      <w:r>
        <w:t xml:space="preserve">, </w:t>
      </w:r>
      <w:r>
        <w:rPr>
          <w:i/>
        </w:rPr>
        <w:t>Zastępczyni Kanclerza Sekcji,</w:t>
      </w:r>
    </w:p>
    <w:p w14:paraId="37893DB7" w14:textId="77777777" w:rsidR="001B15D1" w:rsidRDefault="00A2715E">
      <w:pPr>
        <w:pStyle w:val="JuPara"/>
      </w:pPr>
      <w:r>
        <w:t>Mając na uwadze:</w:t>
      </w:r>
    </w:p>
    <w:p w14:paraId="271170E5" w14:textId="596EFD16" w:rsidR="001B15D1" w:rsidRDefault="00A2715E">
      <w:pPr>
        <w:pStyle w:val="JuPara"/>
      </w:pPr>
      <w:r>
        <w:t>skargę (nr 5648/21) przeciwko Rzeczypospolitej Polskiej wniesioną do Trybunału na podstawie art. 34 Konwencji o ochronie praw człowieka i</w:t>
      </w:r>
      <w:r w:rsidR="00A9652D">
        <w:t> </w:t>
      </w:r>
      <w:r>
        <w:t>podstawowych wolności („Konwencja”) w dniu 29 grudnia 2020 r. przez obywatela polskiego, pana Leszka Orłowskiego („skarżący”), który urodził się w 1977 r. i odbywa karę pozbawienia wolności w Radomiu;</w:t>
      </w:r>
    </w:p>
    <w:p w14:paraId="6324CBBE" w14:textId="53D94C76" w:rsidR="001B15D1" w:rsidRDefault="00A2715E">
      <w:pPr>
        <w:pStyle w:val="JuPara"/>
      </w:pPr>
      <w:r>
        <w:t xml:space="preserve">decyzję o zakomunikowaniu skargi, wniesionej na podstawie art. 3 Konwencji i dotyczącej długotrwałego utrzymywania w stosunku do skarżącego statusu „osadzonego niebezpiecznego”, rządowi Rzeczypospolitej Polskiej („Rząd”), reprezentowanemu przez jego </w:t>
      </w:r>
      <w:r w:rsidR="00FE4280">
        <w:t>P</w:t>
      </w:r>
      <w:r>
        <w:t>ełnomocnika p. J. Sobczaka z Ministerstwa Spraw Zagranicznych, oraz o</w:t>
      </w:r>
      <w:r w:rsidR="00A9652D">
        <w:t> </w:t>
      </w:r>
      <w:r>
        <w:t>uznaniu pozostałej części skargi za niedopuszczalną;</w:t>
      </w:r>
    </w:p>
    <w:p w14:paraId="15A92DF7" w14:textId="77777777" w:rsidR="001B15D1" w:rsidRDefault="00A2715E">
      <w:pPr>
        <w:pStyle w:val="JuPara"/>
      </w:pPr>
      <w:r>
        <w:t>uwagi stron;</w:t>
      </w:r>
    </w:p>
    <w:p w14:paraId="16550C76" w14:textId="77777777" w:rsidR="001B15D1" w:rsidRDefault="00A2715E">
      <w:pPr>
        <w:pStyle w:val="JuPara"/>
      </w:pPr>
      <w:r>
        <w:t>obradując na posiedzeniu niejawnym w dniu 5 czerwca 2025 r.,</w:t>
      </w:r>
    </w:p>
    <w:p w14:paraId="57CBD964" w14:textId="5257284D" w:rsidR="001B15D1" w:rsidRDefault="00A2715E">
      <w:pPr>
        <w:pStyle w:val="JuPara"/>
      </w:pPr>
      <w:r>
        <w:t>wydaje następujący wyrok, który został przyjęty w tym dniu:</w:t>
      </w:r>
      <w:r w:rsidR="0009464E">
        <w:t xml:space="preserve"> </w:t>
      </w:r>
    </w:p>
    <w:p w14:paraId="425FB8F4" w14:textId="77777777" w:rsidR="001B15D1" w:rsidRDefault="00A2715E">
      <w:pPr>
        <w:pStyle w:val="JuHHead"/>
        <w:numPr>
          <w:ilvl w:val="0"/>
          <w:numId w:val="0"/>
        </w:numPr>
      </w:pPr>
      <w:r>
        <w:t>PRZEDMIOT SPRAWY</w:t>
      </w:r>
    </w:p>
    <w:p w14:paraId="6D474A7F" w14:textId="74B1FF37" w:rsidR="001B15D1" w:rsidRDefault="00A2715E">
      <w:pPr>
        <w:pStyle w:val="JuPara"/>
      </w:pPr>
      <w:fldSimple w:instr=" SEQ level0 \*arabic \* MERGEFORMAT ">
        <w:r>
          <w:t>1</w:t>
        </w:r>
      </w:fldSimple>
      <w:r>
        <w:t>.  Niniejsza skarga, wniesiona na podstawie art. 3 Konwencji, dotyczy długotrwałego utrzymywania w stosunku do skarżącego statusu „</w:t>
      </w:r>
      <w:r w:rsidR="00364973">
        <w:t xml:space="preserve">więźnia </w:t>
      </w:r>
      <w:r>
        <w:t>niebezpiecznego”.</w:t>
      </w:r>
    </w:p>
    <w:p w14:paraId="6301CC84" w14:textId="04600D70" w:rsidR="001B15D1" w:rsidRDefault="00A2715E">
      <w:pPr>
        <w:pStyle w:val="JuPara"/>
      </w:pPr>
      <w:r>
        <w:fldChar w:fldCharType="begin"/>
      </w:r>
      <w:r>
        <w:instrText xml:space="preserve"> SEQ level0 \*arabic </w:instrText>
      </w:r>
      <w:r>
        <w:fldChar w:fldCharType="separate"/>
      </w:r>
      <w:r>
        <w:t>2</w:t>
      </w:r>
      <w:r>
        <w:fldChar w:fldCharType="end"/>
      </w:r>
      <w:r>
        <w:t>.  Skarżący jest pozbawiony wolności od 2005 r. Został wielokrotnie skazany za różne przestępstwa, w tym rozboje z użyciem broni popełnione w</w:t>
      </w:r>
      <w:r w:rsidR="00A9652D">
        <w:t> </w:t>
      </w:r>
      <w:r>
        <w:t>ramach udziału w zorganizowanej grupie przestępczej. Zgodnie z</w:t>
      </w:r>
      <w:r w:rsidR="00A9652D">
        <w:t> </w:t>
      </w:r>
      <w:r>
        <w:t>informacjami przekazanymi przez Rząd, skarżący został skazany na</w:t>
      </w:r>
      <w:r w:rsidR="00A9652D">
        <w:t xml:space="preserve"> łączną</w:t>
      </w:r>
      <w:r>
        <w:t xml:space="preserve"> karę dziewiętnastu lat pozbawienia wolności.</w:t>
      </w:r>
    </w:p>
    <w:p w14:paraId="570FD0D3" w14:textId="30787155" w:rsidR="001B15D1" w:rsidRDefault="00A2715E">
      <w:pPr>
        <w:pStyle w:val="JuPara"/>
      </w:pPr>
      <w:r>
        <w:fldChar w:fldCharType="begin"/>
      </w:r>
      <w:r>
        <w:instrText xml:space="preserve"> SEQ level0 \*arabic </w:instrText>
      </w:r>
      <w:r>
        <w:fldChar w:fldCharType="separate"/>
      </w:r>
      <w:r>
        <w:t>3</w:t>
      </w:r>
      <w:r>
        <w:fldChar w:fldCharType="end"/>
      </w:r>
      <w:r>
        <w:t>.  W dniu 27 listopada 2009 r.</w:t>
      </w:r>
      <w:r>
        <w:rPr>
          <w:i/>
        </w:rPr>
        <w:t xml:space="preserve"> </w:t>
      </w:r>
      <w:r w:rsidRPr="00A9652D">
        <w:rPr>
          <w:iCs/>
        </w:rPr>
        <w:t xml:space="preserve">komisja penitencjarna </w:t>
      </w:r>
      <w:r w:rsidR="00A9652D">
        <w:rPr>
          <w:iCs/>
        </w:rPr>
        <w:t>w</w:t>
      </w:r>
      <w:r w:rsidRPr="00A9652D">
        <w:rPr>
          <w:iCs/>
        </w:rPr>
        <w:t xml:space="preserve"> Areszcie Śledczym</w:t>
      </w:r>
      <w:r>
        <w:rPr>
          <w:i/>
        </w:rPr>
        <w:t xml:space="preserve"> </w:t>
      </w:r>
      <w:r w:rsidRPr="00A13265">
        <w:rPr>
          <w:iCs/>
        </w:rPr>
        <w:t>w</w:t>
      </w:r>
      <w:r>
        <w:t xml:space="preserve"> Warszawie zakwalifikowała skarżącego jako „osadzonego niebezpiecznego”. W decyzji komisja stwierdziła, że skarżący jest zdemoralizowany i podejrzany o udział w zorganizowanej i uzbrojonej grupie przestępczej.</w:t>
      </w:r>
    </w:p>
    <w:bookmarkStart w:id="0" w:name="paragraph00004"/>
    <w:p w14:paraId="14CB0592" w14:textId="620C64F1" w:rsidR="001B15D1" w:rsidRDefault="00A2715E">
      <w:pPr>
        <w:pStyle w:val="JuPara"/>
      </w:pPr>
      <w:r>
        <w:fldChar w:fldCharType="begin"/>
      </w:r>
      <w:r>
        <w:instrText xml:space="preserve"> SEQ level0 \*arabic </w:instrText>
      </w:r>
      <w:r>
        <w:fldChar w:fldCharType="separate"/>
      </w:r>
      <w:r>
        <w:t>4</w:t>
      </w:r>
      <w:r>
        <w:fldChar w:fldCharType="end"/>
      </w:r>
      <w:bookmarkEnd w:id="0"/>
      <w:r>
        <w:t>.  W dniu 19 maja 2015 r. Trybunał zdecydował o skreśleniu pierwszej skargi wniesionej przez skarżącego (</w:t>
      </w:r>
      <w:r>
        <w:rPr>
          <w:i/>
        </w:rPr>
        <w:t xml:space="preserve">Leszek Orłowski przeciwko Polsce </w:t>
      </w:r>
      <w:r>
        <w:t>(dec.) [Komitet], skarga nr 35681/13, 19 maja 2015 r.)</w:t>
      </w:r>
      <w:r>
        <w:rPr>
          <w:rStyle w:val="Odwoanieprzypisudolnego"/>
        </w:rPr>
        <w:t xml:space="preserve"> </w:t>
      </w:r>
      <w:r>
        <w:t xml:space="preserve">z listy spraw po </w:t>
      </w:r>
      <w:r w:rsidR="0028326A">
        <w:t xml:space="preserve">zawarciu ugody </w:t>
      </w:r>
      <w:r>
        <w:t>między stronami. Skarga dotyczyła zarzutu na podstawie art. 3 Konwencji w odniesieniu do statusu „</w:t>
      </w:r>
      <w:r w:rsidR="00364973">
        <w:t xml:space="preserve">więźnia </w:t>
      </w:r>
      <w:r>
        <w:t>niebezpiecznego”.</w:t>
      </w:r>
    </w:p>
    <w:bookmarkStart w:id="1" w:name="paragraph00005"/>
    <w:p w14:paraId="4BA1807D" w14:textId="0079B1D9" w:rsidR="001B15D1" w:rsidRDefault="00A2715E">
      <w:pPr>
        <w:pStyle w:val="JuPara"/>
      </w:pPr>
      <w:r>
        <w:lastRenderedPageBreak/>
        <w:fldChar w:fldCharType="begin"/>
      </w:r>
      <w:r>
        <w:instrText xml:space="preserve"> SEQ level0 \*arabic \* MERGEFORMAT </w:instrText>
      </w:r>
      <w:r>
        <w:fldChar w:fldCharType="separate"/>
      </w:r>
      <w:r>
        <w:t>5</w:t>
      </w:r>
      <w:r>
        <w:fldChar w:fldCharType="end"/>
      </w:r>
      <w:bookmarkEnd w:id="1"/>
      <w:r>
        <w:t>.  W dniu 18 czerwca 2019 r. Trybunał zdecydował o skreśleniu z listy drugiej skargi wniesionej przez skarżącego, która również dotyczyła długotrwałego utrzymywania w stosunku do niego statusu „</w:t>
      </w:r>
      <w:r w:rsidR="00902FD1">
        <w:t xml:space="preserve">więźnia </w:t>
      </w:r>
      <w:r>
        <w:t>niebezpiecznego” (</w:t>
      </w:r>
      <w:r>
        <w:rPr>
          <w:i/>
        </w:rPr>
        <w:t>Leszek</w:t>
      </w:r>
      <w:r>
        <w:t xml:space="preserve"> </w:t>
      </w:r>
      <w:r>
        <w:rPr>
          <w:i/>
        </w:rPr>
        <w:t>Orlowski przeciwko Polsce</w:t>
      </w:r>
      <w:r>
        <w:t xml:space="preserve"> (dec.) [Komitet], skarga nr 60537/15, 18 czerwca 2019 r.). Trybunał przyjął jednostronne oświadczenie złożone przez Rząd uznające, że doszło do naruszenia praw skarżącego gwarantowanych przez art. 3 Konwencji w odniesieniu do stosowania statusu „</w:t>
      </w:r>
      <w:r w:rsidR="00902FD1">
        <w:t xml:space="preserve">więźnia </w:t>
      </w:r>
      <w:r>
        <w:t>niebezpiecznego” oraz art. 6 ust. 1 Konwencji w odniesieniu do czasu trwania postępowania.</w:t>
      </w:r>
    </w:p>
    <w:bookmarkStart w:id="2" w:name="paragraph00006"/>
    <w:p w14:paraId="0DCB1C12" w14:textId="73C79F22" w:rsidR="001B15D1" w:rsidRDefault="00A2715E">
      <w:pPr>
        <w:pStyle w:val="JuPara"/>
      </w:pPr>
      <w:r>
        <w:fldChar w:fldCharType="begin"/>
      </w:r>
      <w:r>
        <w:instrText xml:space="preserve"> SEQ level0 \*arabic \* MERGEFORMAT </w:instrText>
      </w:r>
      <w:r>
        <w:fldChar w:fldCharType="separate"/>
      </w:r>
      <w:r>
        <w:t>6</w:t>
      </w:r>
      <w:r>
        <w:fldChar w:fldCharType="end"/>
      </w:r>
      <w:bookmarkEnd w:id="2"/>
      <w:r>
        <w:t xml:space="preserve">.  W dniu 19 lutego 2020 r., na podstawie art. 88b § 2 Kodeksu karnego wykonawczego („Kodeks”), komisja penitencjarna w </w:t>
      </w:r>
      <w:r w:rsidR="00A9652D">
        <w:t>Z</w:t>
      </w:r>
      <w:r>
        <w:t>akł</w:t>
      </w:r>
      <w:r w:rsidR="00A9652D">
        <w:t>a</w:t>
      </w:r>
      <w:r>
        <w:t xml:space="preserve">dzie </w:t>
      </w:r>
      <w:r w:rsidR="00A9652D">
        <w:t>K</w:t>
      </w:r>
      <w:r>
        <w:t>arnym we Włocławku utrzymała kwalifikację jako „</w:t>
      </w:r>
      <w:r w:rsidR="00902FD1">
        <w:t xml:space="preserve">więźnia </w:t>
      </w:r>
      <w:r>
        <w:t>niebezpiecznego”, ale</w:t>
      </w:r>
      <w:r w:rsidR="00342954">
        <w:t> </w:t>
      </w:r>
      <w:r>
        <w:t xml:space="preserve">odstąpiła od rutynowego poddawania skarżącego kontroli osobistej przy każdorazowym wyjściu i powrocie do celi. W dniach 13 maja i 12 sierpnia 2020 r. komisja penitencjarna w </w:t>
      </w:r>
      <w:r w:rsidR="00A9652D">
        <w:t>Z</w:t>
      </w:r>
      <w:r>
        <w:t xml:space="preserve">akładzie </w:t>
      </w:r>
      <w:r w:rsidR="00A9652D">
        <w:t>K</w:t>
      </w:r>
      <w:r>
        <w:t>arnym w Lublinie również utrzymała kwalifikację i odstąpiła od stosowania rutynowych kontroli osobistych (ta ostatnia decyzja obowiązywała do 9 listopada 2020 r.).</w:t>
      </w:r>
    </w:p>
    <w:p w14:paraId="44009E27" w14:textId="728BE0A5" w:rsidR="001B15D1" w:rsidRDefault="00A2715E">
      <w:pPr>
        <w:pStyle w:val="JuPara"/>
      </w:pPr>
      <w:fldSimple w:instr=" SEQ level0 \*arabic \* MERGEFORMAT ">
        <w:r>
          <w:t>7</w:t>
        </w:r>
      </w:fldSimple>
      <w:r>
        <w:t>.  Następnie różne komisje penitencjarne regularnie przedłużały kwalifikację jako „osadzonego niebezpiecznego”, jednak bez wyraźnego odstąpienia od stosowania warunku wskazanego w art.</w:t>
      </w:r>
      <w:r w:rsidR="004C68C8" w:rsidRPr="004C68C8">
        <w:t xml:space="preserve"> 88b (5)</w:t>
      </w:r>
      <w:r w:rsidR="004C68C8">
        <w:t xml:space="preserve"> </w:t>
      </w:r>
      <w:r w:rsidR="004C68C8">
        <w:rPr>
          <w:rStyle w:val="Odwoanieprzypisudolnego"/>
        </w:rPr>
        <w:footnoteReference w:id="1"/>
      </w:r>
      <w:r>
        <w:t xml:space="preserve"> Kodeksu. </w:t>
      </w:r>
    </w:p>
    <w:p w14:paraId="66C0202C" w14:textId="4256AFCF" w:rsidR="001B15D1" w:rsidRDefault="00A2715E">
      <w:pPr>
        <w:pStyle w:val="JuPara"/>
      </w:pPr>
      <w:fldSimple w:instr=" SEQ level0 \*arabic \* MERGEFORMAT ">
        <w:r>
          <w:t>8</w:t>
        </w:r>
      </w:fldSimple>
      <w:r>
        <w:t>.  Za każdym razem, gdy komisja badała sytuację osobistą skarżącego i</w:t>
      </w:r>
      <w:r w:rsidR="00A9652D">
        <w:t> </w:t>
      </w:r>
      <w:r>
        <w:t>jego zachowanie w zakładzie karnym, stwierdzała, że utrzymanie kwalifikacji było konieczne, ponieważ skarżący stanowił zagrożenie dla bezpieczeństwa zakładu. Decyzje komisji zostały uzasadnione następująco:</w:t>
      </w:r>
    </w:p>
    <w:p w14:paraId="739F284D" w14:textId="0BCAABC6" w:rsidR="001B15D1" w:rsidRDefault="00A2715E">
      <w:pPr>
        <w:pStyle w:val="JuQuot"/>
      </w:pPr>
      <w:r>
        <w:t>„skarżący zna i rozumie zasady (</w:t>
      </w:r>
      <w:r w:rsidR="00806F4F">
        <w:t>…</w:t>
      </w:r>
      <w:r>
        <w:t xml:space="preserve">) lecz jest skłonny </w:t>
      </w:r>
      <w:r w:rsidR="009800E8">
        <w:t xml:space="preserve">ich </w:t>
      </w:r>
      <w:r w:rsidR="00806F4F">
        <w:t>naruszać</w:t>
      </w:r>
      <w:r w:rsidR="00A13265">
        <w:t xml:space="preserve"> </w:t>
      </w:r>
      <w:r>
        <w:t>i lekceważyć</w:t>
      </w:r>
      <w:r w:rsidR="00B45842">
        <w:t>,</w:t>
      </w:r>
      <w:r>
        <w:t xml:space="preserve"> </w:t>
      </w:r>
      <w:r w:rsidR="00B45842">
        <w:t>celem</w:t>
      </w:r>
      <w:r>
        <w:t xml:space="preserve"> zaspokojenia swoich doraźnych potrzeb lub uzyskania akceptacji w grupie”.</w:t>
      </w:r>
    </w:p>
    <w:p w14:paraId="3BD9F687" w14:textId="77777777" w:rsidR="001B15D1" w:rsidRDefault="00A2715E">
      <w:pPr>
        <w:pStyle w:val="JuPara"/>
      </w:pPr>
      <w:r>
        <w:t>W odniesieniu do jego zachowania komisja stwierdziła:</w:t>
      </w:r>
    </w:p>
    <w:p w14:paraId="33D369E4" w14:textId="77777777" w:rsidR="001B15D1" w:rsidRDefault="00A2715E">
      <w:pPr>
        <w:pStyle w:val="JuQuot"/>
      </w:pPr>
      <w:r>
        <w:t>„skrajna demoralizacja, wroga, agresywna postawa wobec całego wymiaru sprawiedliwości (…) wielokrotnie dopuszczał się napaści na funkcjonariuszy służby więziennej (…), nie dostrzega potrzeby przestrzegania obowiązujących przepisów, (…) reaguje nieposłuszeństwem na wszelkie działania mające na celu skorygowanie jego postawy; brak postępów w resocjalizacji, nie przyjmuje racjonalnych argumentów”.</w:t>
      </w:r>
    </w:p>
    <w:p w14:paraId="5092294B" w14:textId="77777777" w:rsidR="001B15D1" w:rsidRDefault="00A2715E">
      <w:pPr>
        <w:pStyle w:val="JuPara"/>
      </w:pPr>
      <w:fldSimple w:instr=" SEQ level0 \*arabic \* MERGEFORMAT ">
        <w:r>
          <w:t>9</w:t>
        </w:r>
      </w:fldSimple>
      <w:r>
        <w:t xml:space="preserve">.  W okresie od 25 sierpnia 2022 r. do 31 sierpnia 2023 r. skarżący przebywał w Areszcie Śledczym w Radomiu, gdzie kilkakrotnie poddawano go kontroli osobistej. Złożył na to skargę, jednakże 8 marca 2023 r. Prokuratora Rejonowa w Radomiu odmówiła wszczęcia postępowania, uznając, że przeprowadzane kontrole miały podstawę prawną. Zażalenie skarżącego zostało oddalone w dniu 27 listopada 2023 r. przez Sąd Rejonowy w Radomiu. Sąd zauważył, że chociaż skarżący był zakwalifikowany jako „niebezpieczny osadzony”, w dniu 28 lipca 2022 r. odstąpiono od stosowania rutynowych kontroli osobistych; niemniej jednak mogły być one nadal przeprowadzane przy wyjściu lub powrocie przez skarżącego do celi </w:t>
      </w:r>
      <w:r>
        <w:lastRenderedPageBreak/>
        <w:t>mieszkalnej, jeżeli istniało zagrożenie dla bezpieczeństwa zakładu lub występowała konieczność zapobieżenia popełnieniu przestępstwa.</w:t>
      </w:r>
    </w:p>
    <w:bookmarkStart w:id="3" w:name="paragraph00010"/>
    <w:p w14:paraId="1246F771" w14:textId="6BC9DC17" w:rsidR="001B15D1" w:rsidRDefault="00A2715E">
      <w:pPr>
        <w:pStyle w:val="JuPara"/>
      </w:pPr>
      <w:r>
        <w:fldChar w:fldCharType="begin"/>
      </w:r>
      <w:r>
        <w:instrText xml:space="preserve"> SEQ level0 \*arabic \* MERGEFORMAT </w:instrText>
      </w:r>
      <w:r>
        <w:fldChar w:fldCharType="separate"/>
      </w:r>
      <w:r>
        <w:t>10</w:t>
      </w:r>
      <w:r>
        <w:fldChar w:fldCharType="end"/>
      </w:r>
      <w:bookmarkEnd w:id="3"/>
      <w:r>
        <w:t>.  Skarżący podniósł zarzut o ogólnym charakterze, że długotrwałe utrzymywanie jego kwalifikacji jako „</w:t>
      </w:r>
      <w:r w:rsidR="009800E8">
        <w:t>więźnia niebezpiecznego</w:t>
      </w:r>
      <w:r>
        <w:t xml:space="preserve">”, w tym stosowanie rutynowych kontroli osobistych, stanowiło naruszenie </w:t>
      </w:r>
      <w:r w:rsidR="005E7A28">
        <w:t>art.</w:t>
      </w:r>
      <w:r>
        <w:t>3 Konwencji.</w:t>
      </w:r>
    </w:p>
    <w:p w14:paraId="478F71AF" w14:textId="77777777" w:rsidR="001B15D1" w:rsidRDefault="00A2715E">
      <w:pPr>
        <w:pStyle w:val="JuHHead"/>
      </w:pPr>
      <w:r>
        <w:t>OCENA TRYBUNAŁU</w:t>
      </w:r>
    </w:p>
    <w:p w14:paraId="650912ED" w14:textId="77777777" w:rsidR="001B15D1" w:rsidRDefault="00A2715E">
      <w:pPr>
        <w:pStyle w:val="JuHIRoman"/>
        <w:numPr>
          <w:ilvl w:val="0"/>
          <w:numId w:val="0"/>
        </w:numPr>
      </w:pPr>
      <w:r>
        <w:t>ZARZUCANE NARUSZENIE ART. 3 KONWENCJI</w:t>
      </w:r>
    </w:p>
    <w:p w14:paraId="2827EB76" w14:textId="77777777" w:rsidR="001B15D1" w:rsidRDefault="00A2715E">
      <w:pPr>
        <w:pStyle w:val="JuPara"/>
      </w:pPr>
      <w:fldSimple w:instr=" SEQ level0 \*arabic \* MERGEFORMAT ">
        <w:r>
          <w:t>11</w:t>
        </w:r>
      </w:fldSimple>
      <w:r>
        <w:t>.  Trybunał zauważa, że skarga nie jest w sposób oczywisty nieuzasadniona w rozumieniu art. 35 ust. 3 lit. a) Konwencji ani nie jest niedopuszczalna na żadnej innej podstawie. Musi ona zatem zostać uznana za dopuszczalną.</w:t>
      </w:r>
    </w:p>
    <w:p w14:paraId="1E80CDC9" w14:textId="216691CF" w:rsidR="001B15D1" w:rsidRDefault="00A2715E">
      <w:pPr>
        <w:pStyle w:val="JuPara"/>
      </w:pPr>
      <w:r>
        <w:fldChar w:fldCharType="begin"/>
      </w:r>
      <w:r>
        <w:instrText xml:space="preserve"> SEQ level0 \*arabic </w:instrText>
      </w:r>
      <w:r>
        <w:fldChar w:fldCharType="separate"/>
      </w:r>
      <w:r>
        <w:t>12</w:t>
      </w:r>
      <w:r>
        <w:fldChar w:fldCharType="end"/>
      </w:r>
      <w:r>
        <w:t xml:space="preserve">.  Odpowiednie zasady wynikające z orzecznictwa Trybunału zostały podsumowane w sprawach </w:t>
      </w:r>
      <w:bookmarkStart w:id="4" w:name="_cl34153THECOURTSASSESSMENT"/>
      <w:r>
        <w:rPr>
          <w:i/>
        </w:rPr>
        <w:t>Piechowicz przeciwko</w:t>
      </w:r>
      <w:bookmarkEnd w:id="4"/>
      <w:r>
        <w:rPr>
          <w:i/>
        </w:rPr>
        <w:t xml:space="preserve"> Polsce</w:t>
      </w:r>
      <w:r>
        <w:t xml:space="preserve"> (skarga nr</w:t>
      </w:r>
      <w:r w:rsidR="00A9652D">
        <w:t> </w:t>
      </w:r>
      <w:r>
        <w:t xml:space="preserve">20071/07, pkt 158–65, 17 kwietnia 2012 r.) i </w:t>
      </w:r>
      <w:r>
        <w:rPr>
          <w:i/>
        </w:rPr>
        <w:t>Horych przeciwko Polsce</w:t>
      </w:r>
      <w:r>
        <w:t xml:space="preserve"> (skarga nr 1362/08, pkt 85–92, 17 kwietnia 2012 r.).</w:t>
      </w:r>
    </w:p>
    <w:p w14:paraId="4E63492C" w14:textId="6BE5D609" w:rsidR="001B15D1" w:rsidRDefault="00A2715E">
      <w:pPr>
        <w:pStyle w:val="JuPara"/>
      </w:pPr>
      <w:r>
        <w:fldChar w:fldCharType="begin"/>
      </w:r>
      <w:r>
        <w:instrText xml:space="preserve"> SEQ level0 \*arabic </w:instrText>
      </w:r>
      <w:r>
        <w:fldChar w:fldCharType="separate"/>
      </w:r>
      <w:r>
        <w:t>13</w:t>
      </w:r>
      <w:r>
        <w:fldChar w:fldCharType="end"/>
      </w:r>
      <w:r>
        <w:t>.  Przechodząc do niniejszej sprawy, Trybunał zauważa, że w dniu 27 listopada 2009 r. komisja penitencjarna zakwalifikowała skarżącego jako „</w:t>
      </w:r>
      <w:r w:rsidR="009800E8">
        <w:t xml:space="preserve">więźnia </w:t>
      </w:r>
      <w:r>
        <w:t>niebezpiecznego”. Początkowy okres utrzymywania w</w:t>
      </w:r>
      <w:r w:rsidR="00342954">
        <w:t> </w:t>
      </w:r>
      <w:r>
        <w:t>stosunku do skarżącego statusu „</w:t>
      </w:r>
      <w:r w:rsidR="009800E8">
        <w:t xml:space="preserve">więźnia </w:t>
      </w:r>
      <w:r>
        <w:t>niebezpiecznego” został już dwukrotnie zbadany przez Trybunał, ostatnio w dniu 18 czerwca 2019 r. (zob.</w:t>
      </w:r>
      <w:r w:rsidR="00342954">
        <w:t> </w:t>
      </w:r>
      <w:r>
        <w:t xml:space="preserve">pkt </w:t>
      </w:r>
      <w:r>
        <w:fldChar w:fldCharType="begin"/>
      </w:r>
      <w:r>
        <w:instrText xml:space="preserve">REF paragraph00004 \h \* CharFormat </w:instrText>
      </w:r>
      <w:r>
        <w:fldChar w:fldCharType="separate"/>
      </w:r>
      <w:r>
        <w:t>4</w:t>
      </w:r>
      <w:r>
        <w:fldChar w:fldCharType="end"/>
      </w:r>
      <w:r>
        <w:t xml:space="preserve"> i pkt </w:t>
      </w:r>
      <w:r>
        <w:fldChar w:fldCharType="begin"/>
      </w:r>
      <w:r>
        <w:instrText xml:space="preserve">REF paragraph00005 \h \* CharFormat </w:instrText>
      </w:r>
      <w:r>
        <w:fldChar w:fldCharType="separate"/>
      </w:r>
      <w:r>
        <w:t>5</w:t>
      </w:r>
      <w:r>
        <w:fldChar w:fldCharType="end"/>
      </w:r>
      <w:r>
        <w:t xml:space="preserve"> powyżej). W odniesieniu do okresu po czerwcu 2019 r., który </w:t>
      </w:r>
      <w:r w:rsidR="00A9652D">
        <w:t>jest przedmiotem rozpoznania</w:t>
      </w:r>
      <w:r>
        <w:t xml:space="preserve"> w niniejszej sprawie, Trybunał zauważa, że kwalifikacja była przedłużana w regularnych odstępach czasu i</w:t>
      </w:r>
      <w:r w:rsidR="00A9652D">
        <w:t> </w:t>
      </w:r>
      <w:r>
        <w:t xml:space="preserve">najwyraźniej status ten </w:t>
      </w:r>
      <w:r w:rsidR="00A9652D">
        <w:t xml:space="preserve">w stosunku do skarżącego </w:t>
      </w:r>
      <w:r>
        <w:t>nadal obowiązuje.</w:t>
      </w:r>
    </w:p>
    <w:p w14:paraId="51FAFCD1" w14:textId="6B5102A4" w:rsidR="001B15D1" w:rsidRDefault="00A2715E">
      <w:pPr>
        <w:pStyle w:val="JuPara"/>
      </w:pPr>
      <w:r>
        <w:fldChar w:fldCharType="begin"/>
      </w:r>
      <w:r>
        <w:instrText xml:space="preserve"> SEQ level0 \*arabic </w:instrText>
      </w:r>
      <w:r>
        <w:fldChar w:fldCharType="separate"/>
      </w:r>
      <w:r>
        <w:t>14</w:t>
      </w:r>
      <w:r>
        <w:fldChar w:fldCharType="end"/>
      </w:r>
      <w:r>
        <w:t>.  Po nowelizacji przepisów prawa krajowego, która weszła w życie w</w:t>
      </w:r>
      <w:r w:rsidR="00A9652D">
        <w:t> </w:t>
      </w:r>
      <w:r>
        <w:t xml:space="preserve">dniu 24 października 2015 r., nowy art. 88b § 2 Kodeksu umożliwił komisji penitencjarnej zmianę zakresu stosowanych </w:t>
      </w:r>
      <w:r w:rsidR="00D7203C">
        <w:t>środków bezpieczeństwa</w:t>
      </w:r>
      <w:r>
        <w:t>w</w:t>
      </w:r>
      <w:r w:rsidR="00A9652D">
        <w:t> </w:t>
      </w:r>
      <w:r>
        <w:t xml:space="preserve">odniesieniu do osadzonych (zob. </w:t>
      </w:r>
      <w:r>
        <w:rPr>
          <w:i/>
        </w:rPr>
        <w:t>Bechta przeciwko Polsce</w:t>
      </w:r>
      <w:r>
        <w:t>, skarga nr</w:t>
      </w:r>
      <w:r w:rsidR="00A9652D">
        <w:t> </w:t>
      </w:r>
      <w:r>
        <w:t xml:space="preserve">39496/17, pkt 16 i 27, 20 maja 2021 r.). Działając na podstawie tego przepisu, w dniu 19 lutego 2020 r., komisja penitencjarna odstąpiła od poddawania skarżącego rutynowym kontrolom osobistym (zob. pkt </w:t>
      </w:r>
      <w:r>
        <w:fldChar w:fldCharType="begin"/>
      </w:r>
      <w:r>
        <w:instrText xml:space="preserve">REF paragraph00006 \h \* CharFormat </w:instrText>
      </w:r>
      <w:r>
        <w:fldChar w:fldCharType="separate"/>
      </w:r>
      <w:r>
        <w:t>6</w:t>
      </w:r>
      <w:r>
        <w:fldChar w:fldCharType="end"/>
      </w:r>
      <w:r>
        <w:t xml:space="preserve"> powyżej). Następnie analogiczna decyzja została podjęta w maju i sierpniu 2020 r. oraz 28 lipca 2022 r.</w:t>
      </w:r>
    </w:p>
    <w:p w14:paraId="24C1C3FB" w14:textId="16A73239" w:rsidR="001B15D1" w:rsidRDefault="00A2715E">
      <w:pPr>
        <w:pStyle w:val="JuPara"/>
      </w:pPr>
      <w:r>
        <w:fldChar w:fldCharType="begin"/>
      </w:r>
      <w:r>
        <w:instrText xml:space="preserve"> SEQ level0 \*arabic </w:instrText>
      </w:r>
      <w:r>
        <w:fldChar w:fldCharType="separate"/>
      </w:r>
      <w:r>
        <w:t>15</w:t>
      </w:r>
      <w:r>
        <w:fldChar w:fldCharType="end"/>
      </w:r>
      <w:r>
        <w:t>.  Ponadto Trybunał zauważa, że zgodnie z art. 88a § 2 Kodeksu decyzje komisji penitencjarnej oparte były na konkretnych powodach związanych z</w:t>
      </w:r>
      <w:r w:rsidR="00606595">
        <w:t> </w:t>
      </w:r>
      <w:r>
        <w:t xml:space="preserve">niedawnym zachowaniem skarżącego (zob. </w:t>
      </w:r>
      <w:r>
        <w:rPr>
          <w:i/>
        </w:rPr>
        <w:t>Bechta</w:t>
      </w:r>
      <w:r>
        <w:t>, op. cit., pkt 28 oraz por.</w:t>
      </w:r>
      <w:r w:rsidR="0068724A">
        <w:t> </w:t>
      </w:r>
      <w:r>
        <w:t xml:space="preserve">także </w:t>
      </w:r>
      <w:bookmarkStart w:id="5" w:name="_cl34567THECOURTSASSESSMENT"/>
      <w:r>
        <w:rPr>
          <w:i/>
        </w:rPr>
        <w:t>Prus przeciwko Polsce</w:t>
      </w:r>
      <w:bookmarkEnd w:id="5"/>
      <w:r>
        <w:t>, skarga nr 5136/11, pkt 37, 12 stycznia 2016 r.). Za każdym razem władze badały sytuację osobistą skarżącego, a</w:t>
      </w:r>
      <w:r w:rsidR="0068724A">
        <w:t> </w:t>
      </w:r>
      <w:r>
        <w:t xml:space="preserve">mianowicie jego </w:t>
      </w:r>
      <w:r w:rsidR="0079225C">
        <w:t>zachowanie</w:t>
      </w:r>
      <w:r>
        <w:t xml:space="preserve"> oraz oceniały potrzebę dalszego </w:t>
      </w:r>
      <w:r>
        <w:lastRenderedPageBreak/>
        <w:t>utrzymywania statusu „</w:t>
      </w:r>
      <w:r w:rsidR="00A13265">
        <w:t xml:space="preserve">więźnia </w:t>
      </w:r>
      <w:r>
        <w:t>niebezpiecznego” w świetle nowej oceny zagrożenia, jakie stanowił dla bezpieczeństwa zakładu i jego personelu.</w:t>
      </w:r>
    </w:p>
    <w:p w14:paraId="388836CC" w14:textId="77777777" w:rsidR="001B15D1" w:rsidRDefault="00A2715E">
      <w:pPr>
        <w:pStyle w:val="JuPara"/>
      </w:pPr>
      <w:fldSimple w:instr=" SEQ level0 \*arabic \* MERGEFORMAT ">
        <w:r>
          <w:t>16</w:t>
        </w:r>
      </w:fldSimple>
      <w:r>
        <w:t xml:space="preserve">.  W świetle powyższego Trybunał uznaje, że stosując znowelizowane przepisy prawa krajowego, przez część rozpatrywanego okresu, władze złagodziły warunki odbywania kary poprzez zniesienie systematycznych kontroli osobistych, biorąc pod uwagę zachowanie skarżącego (zob. </w:t>
      </w:r>
      <w:r>
        <w:rPr>
          <w:i/>
        </w:rPr>
        <w:t>Bechta</w:t>
      </w:r>
      <w:r>
        <w:t xml:space="preserve">, op. cit., pkt 29, oraz por. także </w:t>
      </w:r>
      <w:r>
        <w:rPr>
          <w:i/>
        </w:rPr>
        <w:t>Piechowicz</w:t>
      </w:r>
      <w:r>
        <w:t>, op. cit., pkt 166).</w:t>
      </w:r>
    </w:p>
    <w:p w14:paraId="5CAAF5F1" w14:textId="273E6A5C" w:rsidR="001B15D1" w:rsidRDefault="00A2715E">
      <w:pPr>
        <w:pStyle w:val="JuPara"/>
      </w:pPr>
      <w:fldSimple w:instr=" SEQ level0 \*arabic \* MERGEFORMAT ">
        <w:r>
          <w:t>17</w:t>
        </w:r>
      </w:fldSimple>
      <w:r>
        <w:t xml:space="preserve">.  Niemniej jednak w okresie od 10 listopada 2020 r. do 28 lipca 2022 r. jest oczywiste, że skarżący był poddawany </w:t>
      </w:r>
      <w:r w:rsidR="008A661C">
        <w:t xml:space="preserve">pełnej </w:t>
      </w:r>
      <w:r>
        <w:t>kontroli osobistej przy każdorazowym wyjściu i powrocie do celi. Kontrole osobiste były przeprowadzane rutynowo i nie były powiązane z żadnymi szczególnymi potrzebami bezpieczeństwa ani z żadnym konkretnym podejrzeniem dotyczącym postępowania skarżącego.</w:t>
      </w:r>
    </w:p>
    <w:p w14:paraId="25AA037B" w14:textId="104F86F7" w:rsidR="001B15D1" w:rsidRDefault="00A2715E">
      <w:pPr>
        <w:pStyle w:val="JuPara"/>
      </w:pPr>
      <w:fldSimple w:instr=" SEQ level0 \*arabic \* MERGEFORMAT ">
        <w:r>
          <w:t>18</w:t>
        </w:r>
      </w:fldSimple>
      <w:r>
        <w:t xml:space="preserve">.  Trybunał stwierdził już w sprawie </w:t>
      </w:r>
      <w:r>
        <w:rPr>
          <w:i/>
        </w:rPr>
        <w:t>Piechowicz</w:t>
      </w:r>
      <w:r>
        <w:t xml:space="preserve">, że chociaż kontrola osobista może być konieczna dla zapewnienia bezpieczeństwa zakładu lub zapobieżenia zakłóceniu porządku lub przestępstwu, to nie przekonuje go jednak argumentacja Rządu, że takie systematyczne, uciążliwe oraz wyjątkowo krępujące kontrole stosowane codziennie lub nawet kilka razy dziennie, były konieczne w celu zapewnienia bezpieczeństwa w zakładzie karnym (zob. </w:t>
      </w:r>
      <w:r>
        <w:rPr>
          <w:i/>
        </w:rPr>
        <w:t>Piechowicz</w:t>
      </w:r>
      <w:r>
        <w:t>, op. cit., pkt 176). Mając na uwadze fakt, że</w:t>
      </w:r>
      <w:r w:rsidR="0068724A">
        <w:t> </w:t>
      </w:r>
      <w:r>
        <w:t>skarżący został już poddany innym surowym środkom nadzoru, oraz że</w:t>
      </w:r>
      <w:r w:rsidR="0068724A">
        <w:t> </w:t>
      </w:r>
      <w:r>
        <w:t>władze nie oparły się na żadnych szczególnych i przekonujących przesłankach podyktowanych względami bezpieczeństwa, Trybunał uznaje, że praktyka codziennych kontroli osobistych stosowana wobec niego przez długi okres czasu musiała wywołać u niego poczucie niższości, udręki i</w:t>
      </w:r>
      <w:r w:rsidR="0068724A">
        <w:t> </w:t>
      </w:r>
      <w:r>
        <w:t>narastającego stresu, które wykraczały poza nieuniknione cierpienie i</w:t>
      </w:r>
      <w:r w:rsidR="0068724A">
        <w:t> </w:t>
      </w:r>
      <w:r>
        <w:t xml:space="preserve">upokorzenie związane z wykonywaniem kary pozbawienia wolności (zob. </w:t>
      </w:r>
      <w:r>
        <w:rPr>
          <w:i/>
        </w:rPr>
        <w:t>Horych</w:t>
      </w:r>
      <w:r>
        <w:t>, pkt 101 i </w:t>
      </w:r>
      <w:r>
        <w:rPr>
          <w:i/>
        </w:rPr>
        <w:t>Piechowicz</w:t>
      </w:r>
      <w:r>
        <w:t>, pkt 175–76, oba cyt. pow.).</w:t>
      </w:r>
    </w:p>
    <w:p w14:paraId="065452DD" w14:textId="208300FF" w:rsidR="001B15D1" w:rsidRDefault="00A2715E">
      <w:pPr>
        <w:pStyle w:val="JuPara"/>
      </w:pPr>
      <w:fldSimple w:instr=" SEQ level0 \*arabic \* MERGEFORMAT ">
        <w:r>
          <w:t>19</w:t>
        </w:r>
      </w:fldSimple>
      <w:r>
        <w:t>.  Podsumowując, biorąc pod uwagę kumulatywne skutki utrzymywania statusu skarżącego jako „</w:t>
      </w:r>
      <w:r w:rsidR="00A13265">
        <w:t>więźnia niebezpiecznego</w:t>
      </w:r>
      <w:r>
        <w:t>”, Trybunał stwierdza, że władze nie wykazały, iż kontrole osobiste, którym skarżący był poddawany, w szczególności w okresie od listopada 2020 r. do lipca 2022 r., były konieczne dla osiągnięcia uzasadnionego celu w postaci zapewnienia bezpieczeństwa zakładu karnego.</w:t>
      </w:r>
    </w:p>
    <w:p w14:paraId="6BFB9F35" w14:textId="77777777" w:rsidR="001B15D1" w:rsidRDefault="00A2715E">
      <w:pPr>
        <w:pStyle w:val="JuPara"/>
      </w:pPr>
      <w:r>
        <w:t>W związku z powyższym doszło do naruszenia art. 3 Konwencji.</w:t>
      </w:r>
    </w:p>
    <w:p w14:paraId="2F179390" w14:textId="77777777" w:rsidR="001B15D1" w:rsidRDefault="00A2715E">
      <w:pPr>
        <w:pStyle w:val="JuHHead"/>
      </w:pPr>
      <w:r>
        <w:t>ZASTOSOWANIE ART. 41 KONWENCJI</w:t>
      </w:r>
    </w:p>
    <w:p w14:paraId="3684D6F3" w14:textId="77777777" w:rsidR="001B15D1" w:rsidRDefault="00A2715E">
      <w:pPr>
        <w:pStyle w:val="JuPara"/>
      </w:pPr>
      <w:fldSimple w:instr=" SEQ level0 \*arabic \* MERGEFORMAT ">
        <w:r>
          <w:t>20</w:t>
        </w:r>
      </w:fldSimple>
      <w:r>
        <w:t>.  Skarżący nie dochodził żadnego roszczenia z tytułu słusznego zadośćuczynienia. W związku z powyższym Trybunał uważa, że nie zachodzi potrzeba przyznania mu jakiejkolwiek kwoty z tego tytułu.</w:t>
      </w:r>
    </w:p>
    <w:p w14:paraId="213707BD" w14:textId="77777777" w:rsidR="001B15D1" w:rsidRDefault="00A2715E">
      <w:pPr>
        <w:pStyle w:val="JuHHead"/>
      </w:pPr>
      <w:r>
        <w:lastRenderedPageBreak/>
        <w:t>Z TYCH PRZYCZYN TRYBUNAŁ JEDNOGŁOŚNIE</w:t>
      </w:r>
    </w:p>
    <w:p w14:paraId="5730A0DF" w14:textId="77777777" w:rsidR="001B15D1" w:rsidRDefault="00A2715E">
      <w:pPr>
        <w:pStyle w:val="JuList"/>
      </w:pPr>
      <w:r>
        <w:rPr>
          <w:i/>
        </w:rPr>
        <w:t xml:space="preserve">uznaje </w:t>
      </w:r>
      <w:r>
        <w:t>skargę za dopuszczalną;</w:t>
      </w:r>
    </w:p>
    <w:p w14:paraId="7F98623A" w14:textId="77777777" w:rsidR="001B15D1" w:rsidRDefault="00A2715E">
      <w:pPr>
        <w:pStyle w:val="JuList"/>
      </w:pPr>
      <w:r>
        <w:rPr>
          <w:i/>
        </w:rPr>
        <w:t xml:space="preserve"> orzeka</w:t>
      </w:r>
      <w:r>
        <w:t>, że doszło do naruszenia art. 3 Konwencji.</w:t>
      </w:r>
    </w:p>
    <w:p w14:paraId="13FD3566" w14:textId="7AE27F58" w:rsidR="001B15D1" w:rsidRDefault="00A2715E">
      <w:pPr>
        <w:pStyle w:val="JuParaLast"/>
      </w:pPr>
      <w:r>
        <w:t xml:space="preserve">Sporządzono w języku angielskim i obwieszczono pisemnie w dniu </w:t>
      </w:r>
      <w:r>
        <w:rPr>
          <w:rFonts w:ascii="Times New Roman" w:hAnsi="Times New Roman" w:cs="Times New Roman"/>
        </w:rPr>
        <w:t>26</w:t>
      </w:r>
      <w:r w:rsidR="0068724A">
        <w:rPr>
          <w:rFonts w:ascii="Times New Roman" w:hAnsi="Times New Roman" w:cs="Times New Roman"/>
        </w:rPr>
        <w:t> </w:t>
      </w:r>
      <w:r>
        <w:rPr>
          <w:rFonts w:ascii="Times New Roman" w:hAnsi="Times New Roman" w:cs="Times New Roman"/>
        </w:rPr>
        <w:t>czerwca 2025 r.</w:t>
      </w:r>
      <w:r>
        <w:t>, zgodnie z regułą 77 §§ 2 i 3 Regulaminu Trybunału.</w:t>
      </w:r>
    </w:p>
    <w:p w14:paraId="73F633F0" w14:textId="77777777" w:rsidR="001B15D1" w:rsidRDefault="00A2715E">
      <w:pPr>
        <w:pStyle w:val="ECHRPlaceholder"/>
      </w:pPr>
      <w:r>
        <w:tab/>
      </w:r>
    </w:p>
    <w:p w14:paraId="25330EBA" w14:textId="65252130" w:rsidR="00C729E7" w:rsidRDefault="00A2715E">
      <w:pPr>
        <w:pStyle w:val="JuSigned"/>
      </w:pPr>
      <w:r>
        <w:tab/>
        <w:t xml:space="preserve">Liv Tigerstedt </w:t>
      </w:r>
      <w:r>
        <w:tab/>
        <w:t>Alena Poláčková</w:t>
      </w:r>
    </w:p>
    <w:p w14:paraId="47336CA2" w14:textId="4E2C1266" w:rsidR="001B15D1" w:rsidRDefault="00A2715E">
      <w:pPr>
        <w:pStyle w:val="JuSigned"/>
      </w:pPr>
      <w:r>
        <w:br/>
      </w:r>
      <w:r>
        <w:tab/>
      </w:r>
      <w:r>
        <w:tab/>
      </w:r>
      <w:r w:rsidR="00C729E7">
        <w:t xml:space="preserve"> Przewodnicząca  </w:t>
      </w:r>
      <w:r>
        <w:tab/>
      </w:r>
      <w:r w:rsidR="00C729E7">
        <w:t>Zastępczyni Kanclerza</w:t>
      </w:r>
    </w:p>
    <w:sectPr w:rsidR="001B15D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DA126" w14:textId="77777777" w:rsidR="00184E96" w:rsidRDefault="00184E96">
      <w:r>
        <w:separator/>
      </w:r>
    </w:p>
  </w:endnote>
  <w:endnote w:type="continuationSeparator" w:id="0">
    <w:p w14:paraId="16A45295" w14:textId="77777777" w:rsidR="00184E96" w:rsidRDefault="00184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077A5" w14:textId="77777777" w:rsidR="001B15D1" w:rsidRDefault="00A2715E">
    <w:pPr>
      <w:jc w:val="center"/>
    </w:pPr>
    <w:r>
      <w:rPr>
        <w:noProof/>
      </w:rPr>
      <w:drawing>
        <wp:inline distT="0" distB="0" distL="0" distR="0" wp14:anchorId="3A7335A1" wp14:editId="70DD2A04">
          <wp:extent cx="771525" cy="619125"/>
          <wp:effectExtent l="0" t="0" r="9525" b="9525"/>
          <wp:docPr id="1762770965" name="Picture 176277096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770965"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128A958A" w14:textId="77777777" w:rsidR="001B15D1" w:rsidRDefault="001B15D1">
    <w:pPr>
      <w:pStyle w:val="Stopka"/>
      <w:jc w:val="center"/>
      <w:rPr>
        <w:sz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FA5C3" w14:textId="77777777" w:rsidR="001B15D1" w:rsidRDefault="00A2715E">
    <w:pPr>
      <w:jc w:val="center"/>
    </w:pPr>
    <w:r>
      <w:rPr>
        <w:noProof/>
      </w:rPr>
      <w:drawing>
        <wp:inline distT="0" distB="0" distL="0" distR="0" wp14:anchorId="3D3B8559" wp14:editId="2F777DCD">
          <wp:extent cx="771525" cy="619125"/>
          <wp:effectExtent l="0" t="0" r="9525" b="9525"/>
          <wp:docPr id="419319185" name="Picture 41931918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319185"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2086F3F2" w14:textId="77777777" w:rsidR="001B15D1" w:rsidRDefault="001B15D1">
    <w:pPr>
      <w:pStyle w:val="Stopka"/>
      <w:jc w:val="center"/>
      <w:rPr>
        <w:sz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233BF" w14:textId="77777777" w:rsidR="001B15D1" w:rsidRDefault="00A2715E">
    <w:pPr>
      <w:pStyle w:val="JuHeader"/>
    </w:pPr>
    <w:r>
      <w:fldChar w:fldCharType="begin"/>
    </w:r>
    <w:r>
      <w:instrText xml:space="preserve"> PAGE  \* MERGEFORMAT </w:instrText>
    </w:r>
    <w:r>
      <w:fldChar w:fldCharType="separate"/>
    </w:r>
    <w: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7469E" w14:textId="77777777" w:rsidR="001B15D1" w:rsidRDefault="00A2715E">
    <w:pPr>
      <w:pStyle w:val="JuHeader"/>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78672" w14:textId="77777777" w:rsidR="00184E96" w:rsidRDefault="00184E96">
      <w:r>
        <w:separator/>
      </w:r>
    </w:p>
  </w:footnote>
  <w:footnote w:type="continuationSeparator" w:id="0">
    <w:p w14:paraId="2E4B39E9" w14:textId="77777777" w:rsidR="00184E96" w:rsidRDefault="00184E96">
      <w:r>
        <w:continuationSeparator/>
      </w:r>
    </w:p>
  </w:footnote>
  <w:footnote w:id="1">
    <w:p w14:paraId="720E6393" w14:textId="4088BA43" w:rsidR="004C68C8" w:rsidRDefault="004C68C8">
      <w:pPr>
        <w:pStyle w:val="Tekstprzypisudolnego"/>
      </w:pPr>
      <w:r>
        <w:rPr>
          <w:rStyle w:val="Odwoanieprzypisudolnego"/>
        </w:rPr>
        <w:footnoteRef/>
      </w:r>
      <w:r>
        <w:t xml:space="preserve"> Najprawdopodobniej powinno być </w:t>
      </w:r>
      <w:r w:rsidRPr="004C68C8">
        <w:t>88b § 1 pkt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A50B4" w14:textId="77777777" w:rsidR="001B15D1" w:rsidRDefault="00A2715E">
    <w:pPr>
      <w:jc w:val="center"/>
    </w:pPr>
    <w:r>
      <w:rPr>
        <w:noProof/>
      </w:rPr>
      <w:drawing>
        <wp:inline distT="0" distB="0" distL="0" distR="0" wp14:anchorId="0BCD76DB" wp14:editId="645560E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44E6F1EA" w14:textId="77777777" w:rsidR="001B15D1" w:rsidRDefault="001B15D1">
    <w:pPr>
      <w:jc w:val="center"/>
      <w:rPr>
        <w:sz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EA270" w14:textId="77777777" w:rsidR="001B15D1" w:rsidRDefault="00A2715E">
    <w:pPr>
      <w:jc w:val="center"/>
    </w:pPr>
    <w:r>
      <w:rPr>
        <w:noProof/>
      </w:rPr>
      <w:drawing>
        <wp:inline distT="0" distB="0" distL="0" distR="0" wp14:anchorId="6FA1D50F" wp14:editId="2E779929">
          <wp:extent cx="2962275" cy="1219200"/>
          <wp:effectExtent l="0" t="0" r="9525" b="0"/>
          <wp:docPr id="507780609" name="Picture 50778060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780609"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1EFAA2E4" w14:textId="77777777" w:rsidR="001B15D1" w:rsidRDefault="001B15D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D0974" w14:textId="77777777" w:rsidR="001B15D1" w:rsidRDefault="00A2715E">
    <w:pPr>
      <w:pStyle w:val="JuHeader"/>
    </w:pPr>
    <w:r>
      <w:t>WYROK w sprawie ORŁOWSKI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B8623" w14:textId="77777777" w:rsidR="001B15D1" w:rsidRDefault="00A2715E">
    <w:pPr>
      <w:pStyle w:val="JuHeader"/>
    </w:pPr>
    <w:r>
      <w:t>WYROK w sprawie ORŁOWSKI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150A7C34">
      <w:start w:val="1"/>
      <w:numFmt w:val="bullet"/>
      <w:pStyle w:val="Listapunktowana"/>
      <w:lvlText w:val=""/>
      <w:lvlJc w:val="left"/>
      <w:pPr>
        <w:tabs>
          <w:tab w:val="num" w:pos="851"/>
        </w:tabs>
        <w:ind w:left="568" w:firstLine="0"/>
      </w:pPr>
      <w:rPr>
        <w:rFonts w:ascii="Wingdings" w:hAnsi="Wingdings" w:hint="default"/>
        <w:color w:val="808080"/>
        <w:sz w:val="16"/>
      </w:rPr>
    </w:lvl>
    <w:lvl w:ilvl="1" w:tplc="63067750" w:tentative="1">
      <w:start w:val="1"/>
      <w:numFmt w:val="bullet"/>
      <w:lvlText w:val="o"/>
      <w:lvlJc w:val="left"/>
      <w:pPr>
        <w:tabs>
          <w:tab w:val="num" w:pos="1724"/>
        </w:tabs>
        <w:ind w:left="1724" w:hanging="360"/>
      </w:pPr>
      <w:rPr>
        <w:rFonts w:ascii="Courier New" w:hAnsi="Courier New" w:cs="Courier New" w:hint="default"/>
      </w:rPr>
    </w:lvl>
    <w:lvl w:ilvl="2" w:tplc="AD9EF934" w:tentative="1">
      <w:start w:val="1"/>
      <w:numFmt w:val="bullet"/>
      <w:lvlText w:val=""/>
      <w:lvlJc w:val="left"/>
      <w:pPr>
        <w:tabs>
          <w:tab w:val="num" w:pos="2444"/>
        </w:tabs>
        <w:ind w:left="2444" w:hanging="360"/>
      </w:pPr>
      <w:rPr>
        <w:rFonts w:ascii="Wingdings" w:hAnsi="Wingdings" w:hint="default"/>
      </w:rPr>
    </w:lvl>
    <w:lvl w:ilvl="3" w:tplc="EFD45EFC" w:tentative="1">
      <w:start w:val="1"/>
      <w:numFmt w:val="bullet"/>
      <w:lvlText w:val=""/>
      <w:lvlJc w:val="left"/>
      <w:pPr>
        <w:tabs>
          <w:tab w:val="num" w:pos="3164"/>
        </w:tabs>
        <w:ind w:left="3164" w:hanging="360"/>
      </w:pPr>
      <w:rPr>
        <w:rFonts w:ascii="Symbol" w:hAnsi="Symbol" w:hint="default"/>
      </w:rPr>
    </w:lvl>
    <w:lvl w:ilvl="4" w:tplc="72B2A234" w:tentative="1">
      <w:start w:val="1"/>
      <w:numFmt w:val="bullet"/>
      <w:lvlText w:val="o"/>
      <w:lvlJc w:val="left"/>
      <w:pPr>
        <w:tabs>
          <w:tab w:val="num" w:pos="3884"/>
        </w:tabs>
        <w:ind w:left="3884" w:hanging="360"/>
      </w:pPr>
      <w:rPr>
        <w:rFonts w:ascii="Courier New" w:hAnsi="Courier New" w:cs="Courier New" w:hint="default"/>
      </w:rPr>
    </w:lvl>
    <w:lvl w:ilvl="5" w:tplc="43600F0A" w:tentative="1">
      <w:start w:val="1"/>
      <w:numFmt w:val="bullet"/>
      <w:lvlText w:val=""/>
      <w:lvlJc w:val="left"/>
      <w:pPr>
        <w:tabs>
          <w:tab w:val="num" w:pos="4604"/>
        </w:tabs>
        <w:ind w:left="4604" w:hanging="360"/>
      </w:pPr>
      <w:rPr>
        <w:rFonts w:ascii="Wingdings" w:hAnsi="Wingdings" w:hint="default"/>
      </w:rPr>
    </w:lvl>
    <w:lvl w:ilvl="6" w:tplc="59E0821E" w:tentative="1">
      <w:start w:val="1"/>
      <w:numFmt w:val="bullet"/>
      <w:lvlText w:val=""/>
      <w:lvlJc w:val="left"/>
      <w:pPr>
        <w:tabs>
          <w:tab w:val="num" w:pos="5324"/>
        </w:tabs>
        <w:ind w:left="5324" w:hanging="360"/>
      </w:pPr>
      <w:rPr>
        <w:rFonts w:ascii="Symbol" w:hAnsi="Symbol" w:hint="default"/>
      </w:rPr>
    </w:lvl>
    <w:lvl w:ilvl="7" w:tplc="53F0B592" w:tentative="1">
      <w:start w:val="1"/>
      <w:numFmt w:val="bullet"/>
      <w:lvlText w:val="o"/>
      <w:lvlJc w:val="left"/>
      <w:pPr>
        <w:tabs>
          <w:tab w:val="num" w:pos="6044"/>
        </w:tabs>
        <w:ind w:left="6044" w:hanging="360"/>
      </w:pPr>
      <w:rPr>
        <w:rFonts w:ascii="Courier New" w:hAnsi="Courier New" w:cs="Courier New" w:hint="default"/>
      </w:rPr>
    </w:lvl>
    <w:lvl w:ilvl="8" w:tplc="16A8ACE8" w:tentative="1">
      <w:start w:val="1"/>
      <w:numFmt w:val="bullet"/>
      <w:lvlText w:val=""/>
      <w:lvlJc w:val="left"/>
      <w:pPr>
        <w:tabs>
          <w:tab w:val="num" w:pos="6764"/>
        </w:tabs>
        <w:ind w:left="6764" w:hanging="360"/>
      </w:pPr>
      <w:rPr>
        <w:rFonts w:ascii="Wingdings" w:hAnsi="Wingdings" w:hint="default"/>
      </w:rPr>
    </w:lvl>
  </w:abstractNum>
  <w:num w:numId="1" w16cid:durableId="1042093069">
    <w:abstractNumId w:val="14"/>
  </w:num>
  <w:num w:numId="2" w16cid:durableId="1369600155">
    <w:abstractNumId w:val="12"/>
  </w:num>
  <w:num w:numId="3" w16cid:durableId="245457735">
    <w:abstractNumId w:val="11"/>
  </w:num>
  <w:num w:numId="4" w16cid:durableId="1360206968">
    <w:abstractNumId w:val="15"/>
  </w:num>
  <w:num w:numId="5" w16cid:durableId="990059707">
    <w:abstractNumId w:val="13"/>
  </w:num>
  <w:num w:numId="6" w16cid:durableId="668024603">
    <w:abstractNumId w:val="16"/>
  </w:num>
  <w:num w:numId="7" w16cid:durableId="831796477">
    <w:abstractNumId w:val="15"/>
  </w:num>
  <w:num w:numId="8" w16cid:durableId="1778480724">
    <w:abstractNumId w:val="16"/>
  </w:num>
  <w:num w:numId="9" w16cid:durableId="23602478">
    <w:abstractNumId w:val="10"/>
  </w:num>
  <w:num w:numId="10" w16cid:durableId="335617119">
    <w:abstractNumId w:val="9"/>
  </w:num>
  <w:num w:numId="11" w16cid:durableId="927352390">
    <w:abstractNumId w:val="17"/>
  </w:num>
  <w:num w:numId="12" w16cid:durableId="2079399098">
    <w:abstractNumId w:val="7"/>
  </w:num>
  <w:num w:numId="13" w16cid:durableId="2038970556">
    <w:abstractNumId w:val="6"/>
  </w:num>
  <w:num w:numId="14" w16cid:durableId="1279289675">
    <w:abstractNumId w:val="5"/>
  </w:num>
  <w:num w:numId="15" w16cid:durableId="1195462298">
    <w:abstractNumId w:val="4"/>
  </w:num>
  <w:num w:numId="16" w16cid:durableId="711542313">
    <w:abstractNumId w:val="8"/>
  </w:num>
  <w:num w:numId="17" w16cid:durableId="2143186125">
    <w:abstractNumId w:val="3"/>
  </w:num>
  <w:num w:numId="18" w16cid:durableId="1254171600">
    <w:abstractNumId w:val="2"/>
  </w:num>
  <w:num w:numId="19" w16cid:durableId="1968505928">
    <w:abstractNumId w:val="1"/>
  </w:num>
  <w:num w:numId="20" w16cid:durableId="425424324">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w:rsids>
    <w:rsidRoot w:val="00746434"/>
    <w:rsid w:val="000041F8"/>
    <w:rsid w:val="000042A8"/>
    <w:rsid w:val="00004308"/>
    <w:rsid w:val="00005BF0"/>
    <w:rsid w:val="0000617D"/>
    <w:rsid w:val="00007154"/>
    <w:rsid w:val="000103AE"/>
    <w:rsid w:val="00011D69"/>
    <w:rsid w:val="00012AD3"/>
    <w:rsid w:val="00015C2D"/>
    <w:rsid w:val="00015F00"/>
    <w:rsid w:val="0001768D"/>
    <w:rsid w:val="000222D4"/>
    <w:rsid w:val="00022C1D"/>
    <w:rsid w:val="0002592F"/>
    <w:rsid w:val="00031428"/>
    <w:rsid w:val="000336B8"/>
    <w:rsid w:val="00034987"/>
    <w:rsid w:val="00037EB9"/>
    <w:rsid w:val="00041560"/>
    <w:rsid w:val="000602DF"/>
    <w:rsid w:val="00061B05"/>
    <w:rsid w:val="00061EE3"/>
    <w:rsid w:val="000632D5"/>
    <w:rsid w:val="000644EE"/>
    <w:rsid w:val="000712E3"/>
    <w:rsid w:val="0007631B"/>
    <w:rsid w:val="0007780A"/>
    <w:rsid w:val="00085457"/>
    <w:rsid w:val="000925AD"/>
    <w:rsid w:val="0009464E"/>
    <w:rsid w:val="00096FE1"/>
    <w:rsid w:val="00097A62"/>
    <w:rsid w:val="000A24EB"/>
    <w:rsid w:val="000A345C"/>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84E96"/>
    <w:rsid w:val="001943B5"/>
    <w:rsid w:val="00195134"/>
    <w:rsid w:val="001A020C"/>
    <w:rsid w:val="001A145B"/>
    <w:rsid w:val="001A3E09"/>
    <w:rsid w:val="001A674C"/>
    <w:rsid w:val="001B15D1"/>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15C9"/>
    <w:rsid w:val="00275123"/>
    <w:rsid w:val="00281B7C"/>
    <w:rsid w:val="00282240"/>
    <w:rsid w:val="00282BD8"/>
    <w:rsid w:val="0028326A"/>
    <w:rsid w:val="002865D1"/>
    <w:rsid w:val="00287AD5"/>
    <w:rsid w:val="002934D0"/>
    <w:rsid w:val="00293676"/>
    <w:rsid w:val="00293BD9"/>
    <w:rsid w:val="002948AD"/>
    <w:rsid w:val="00294B10"/>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2954"/>
    <w:rsid w:val="00345C41"/>
    <w:rsid w:val="003506B1"/>
    <w:rsid w:val="00355877"/>
    <w:rsid w:val="00356AC7"/>
    <w:rsid w:val="003609FA"/>
    <w:rsid w:val="00364973"/>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6B7"/>
    <w:rsid w:val="004C1F56"/>
    <w:rsid w:val="004C27BC"/>
    <w:rsid w:val="004C6621"/>
    <w:rsid w:val="004C68C8"/>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A6E49"/>
    <w:rsid w:val="005B092E"/>
    <w:rsid w:val="005B152C"/>
    <w:rsid w:val="005B1EE0"/>
    <w:rsid w:val="005B2B24"/>
    <w:rsid w:val="005B4425"/>
    <w:rsid w:val="005B4B94"/>
    <w:rsid w:val="005B774F"/>
    <w:rsid w:val="005C2C62"/>
    <w:rsid w:val="005C3EE8"/>
    <w:rsid w:val="005D2F2A"/>
    <w:rsid w:val="005D34F9"/>
    <w:rsid w:val="005D4190"/>
    <w:rsid w:val="005D67A3"/>
    <w:rsid w:val="005E2988"/>
    <w:rsid w:val="005E3085"/>
    <w:rsid w:val="005E7A28"/>
    <w:rsid w:val="005F0EB3"/>
    <w:rsid w:val="005F51E1"/>
    <w:rsid w:val="00606595"/>
    <w:rsid w:val="00611713"/>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8724A"/>
    <w:rsid w:val="00691270"/>
    <w:rsid w:val="00694BA8"/>
    <w:rsid w:val="006A037C"/>
    <w:rsid w:val="006A0C84"/>
    <w:rsid w:val="006A36F4"/>
    <w:rsid w:val="006A406F"/>
    <w:rsid w:val="006A4E97"/>
    <w:rsid w:val="006A5D3A"/>
    <w:rsid w:val="006B1942"/>
    <w:rsid w:val="006B61F1"/>
    <w:rsid w:val="006C23D4"/>
    <w:rsid w:val="006C7BB0"/>
    <w:rsid w:val="006D3237"/>
    <w:rsid w:val="006E2E37"/>
    <w:rsid w:val="006E3CF1"/>
    <w:rsid w:val="006E68A3"/>
    <w:rsid w:val="006E7E80"/>
    <w:rsid w:val="006F1C2D"/>
    <w:rsid w:val="006F48CA"/>
    <w:rsid w:val="006F64DD"/>
    <w:rsid w:val="006F712D"/>
    <w:rsid w:val="00714D32"/>
    <w:rsid w:val="00715127"/>
    <w:rsid w:val="00715E8E"/>
    <w:rsid w:val="00723580"/>
    <w:rsid w:val="00723755"/>
    <w:rsid w:val="0073136C"/>
    <w:rsid w:val="00731F0F"/>
    <w:rsid w:val="00733250"/>
    <w:rsid w:val="00741404"/>
    <w:rsid w:val="007449E5"/>
    <w:rsid w:val="00746434"/>
    <w:rsid w:val="0074750E"/>
    <w:rsid w:val="00747FF0"/>
    <w:rsid w:val="00750E6A"/>
    <w:rsid w:val="00751066"/>
    <w:rsid w:val="0075566E"/>
    <w:rsid w:val="0076176C"/>
    <w:rsid w:val="0076196A"/>
    <w:rsid w:val="00763602"/>
    <w:rsid w:val="00764D4E"/>
    <w:rsid w:val="00765A1F"/>
    <w:rsid w:val="00775B6D"/>
    <w:rsid w:val="00776D68"/>
    <w:rsid w:val="00781140"/>
    <w:rsid w:val="0078323E"/>
    <w:rsid w:val="007849C2"/>
    <w:rsid w:val="007850EE"/>
    <w:rsid w:val="00785B95"/>
    <w:rsid w:val="00790E96"/>
    <w:rsid w:val="0079225C"/>
    <w:rsid w:val="007926FD"/>
    <w:rsid w:val="00793366"/>
    <w:rsid w:val="0079666C"/>
    <w:rsid w:val="007A63A2"/>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06F4F"/>
    <w:rsid w:val="00810B38"/>
    <w:rsid w:val="008204C7"/>
    <w:rsid w:val="00820992"/>
    <w:rsid w:val="00823602"/>
    <w:rsid w:val="008255F5"/>
    <w:rsid w:val="00826890"/>
    <w:rsid w:val="0083014E"/>
    <w:rsid w:val="0083214A"/>
    <w:rsid w:val="00834220"/>
    <w:rsid w:val="00835BF9"/>
    <w:rsid w:val="00845723"/>
    <w:rsid w:val="008519E7"/>
    <w:rsid w:val="00851EF9"/>
    <w:rsid w:val="008577FD"/>
    <w:rsid w:val="00860B03"/>
    <w:rsid w:val="0086497A"/>
    <w:rsid w:val="0086538E"/>
    <w:rsid w:val="00867066"/>
    <w:rsid w:val="008713A1"/>
    <w:rsid w:val="008715A6"/>
    <w:rsid w:val="00872584"/>
    <w:rsid w:val="008754AB"/>
    <w:rsid w:val="0088060C"/>
    <w:rsid w:val="00882CD5"/>
    <w:rsid w:val="00883151"/>
    <w:rsid w:val="00893576"/>
    <w:rsid w:val="00893E73"/>
    <w:rsid w:val="008A661C"/>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2FD1"/>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3B2E"/>
    <w:rsid w:val="009743B7"/>
    <w:rsid w:val="009800E8"/>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3265"/>
    <w:rsid w:val="00A15601"/>
    <w:rsid w:val="00A1726E"/>
    <w:rsid w:val="00A204CF"/>
    <w:rsid w:val="00A21D2B"/>
    <w:rsid w:val="00A22745"/>
    <w:rsid w:val="00A23D49"/>
    <w:rsid w:val="00A27004"/>
    <w:rsid w:val="00A2715E"/>
    <w:rsid w:val="00A308CE"/>
    <w:rsid w:val="00A30C29"/>
    <w:rsid w:val="00A32FBC"/>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9652D"/>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842"/>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29E7"/>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203C"/>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4F1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53D"/>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087"/>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1BD3"/>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4280"/>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79D758"/>
  <w15:docId w15:val="{5B57EC4D-07D9-4537-BFD8-F41A543D0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pl-PL" w:eastAsia="pl-PL"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2B5B43"/>
    <w:rPr>
      <w:sz w:val="24"/>
    </w:rPr>
  </w:style>
  <w:style w:type="paragraph" w:styleId="Nagwek1">
    <w:name w:val="heading 1"/>
    <w:basedOn w:val="Normalny"/>
    <w:next w:val="Normalny"/>
    <w:link w:val="Nagwek1Znak"/>
    <w:uiPriority w:val="98"/>
    <w:semiHidden/>
    <w:rsid w:val="002B5B43"/>
    <w:pPr>
      <w:spacing w:before="480"/>
      <w:contextualSpacing/>
      <w:outlineLvl w:val="0"/>
    </w:pPr>
    <w:rPr>
      <w:rFonts w:asciiTheme="majorHAnsi" w:eastAsiaTheme="majorEastAsia" w:hAnsiTheme="majorHAnsi" w:cstheme="majorBidi"/>
      <w:b/>
      <w:color w:val="333333"/>
      <w:sz w:val="28"/>
    </w:rPr>
  </w:style>
  <w:style w:type="paragraph" w:styleId="Nagwek2">
    <w:name w:val="heading 2"/>
    <w:basedOn w:val="Normalny"/>
    <w:next w:val="Normalny"/>
    <w:link w:val="Nagwek2Znak"/>
    <w:uiPriority w:val="98"/>
    <w:semiHidden/>
    <w:rsid w:val="002B5B43"/>
    <w:pPr>
      <w:spacing w:before="200"/>
      <w:outlineLvl w:val="1"/>
    </w:pPr>
    <w:rPr>
      <w:rFonts w:asciiTheme="majorHAnsi" w:eastAsiaTheme="majorEastAsia" w:hAnsiTheme="majorHAnsi" w:cstheme="majorBidi"/>
      <w:b/>
      <w:color w:val="4D4D4D"/>
      <w:sz w:val="26"/>
    </w:rPr>
  </w:style>
  <w:style w:type="paragraph" w:styleId="Nagwek3">
    <w:name w:val="heading 3"/>
    <w:basedOn w:val="Normalny"/>
    <w:next w:val="Normalny"/>
    <w:link w:val="Nagwek3Znak"/>
    <w:uiPriority w:val="98"/>
    <w:semiHidden/>
    <w:rsid w:val="002B5B43"/>
    <w:pPr>
      <w:spacing w:before="200" w:line="271" w:lineRule="auto"/>
      <w:outlineLvl w:val="2"/>
    </w:pPr>
    <w:rPr>
      <w:rFonts w:asciiTheme="majorHAnsi" w:eastAsiaTheme="majorEastAsia" w:hAnsiTheme="majorHAnsi" w:cstheme="majorBidi"/>
      <w:b/>
      <w:color w:val="5F5F5F"/>
      <w:sz w:val="22"/>
    </w:rPr>
  </w:style>
  <w:style w:type="paragraph" w:styleId="Nagwek4">
    <w:name w:val="heading 4"/>
    <w:basedOn w:val="Normalny"/>
    <w:next w:val="Normalny"/>
    <w:link w:val="Nagwek4Znak"/>
    <w:uiPriority w:val="98"/>
    <w:semiHidden/>
    <w:rsid w:val="002B5B43"/>
    <w:pPr>
      <w:spacing w:before="200"/>
      <w:outlineLvl w:val="3"/>
    </w:pPr>
    <w:rPr>
      <w:rFonts w:asciiTheme="majorHAnsi" w:eastAsiaTheme="majorEastAsia" w:hAnsiTheme="majorHAnsi" w:cstheme="majorBidi"/>
      <w:b/>
      <w:i/>
      <w:color w:val="777777"/>
      <w:sz w:val="22"/>
    </w:rPr>
  </w:style>
  <w:style w:type="paragraph" w:styleId="Nagwek5">
    <w:name w:val="heading 5"/>
    <w:basedOn w:val="Normalny"/>
    <w:next w:val="Normalny"/>
    <w:link w:val="Nagwek5Znak"/>
    <w:uiPriority w:val="98"/>
    <w:semiHidden/>
    <w:qFormat/>
    <w:rsid w:val="002B5B43"/>
    <w:pPr>
      <w:spacing w:before="200"/>
      <w:outlineLvl w:val="4"/>
    </w:pPr>
    <w:rPr>
      <w:rFonts w:asciiTheme="majorHAnsi" w:eastAsiaTheme="majorEastAsia" w:hAnsiTheme="majorHAnsi" w:cstheme="majorBidi"/>
      <w:b/>
      <w:color w:val="808080"/>
      <w:sz w:val="22"/>
    </w:rPr>
  </w:style>
  <w:style w:type="paragraph" w:styleId="Nagwek6">
    <w:name w:val="heading 6"/>
    <w:basedOn w:val="Normalny"/>
    <w:next w:val="Normalny"/>
    <w:link w:val="Nagwek6Znak"/>
    <w:uiPriority w:val="98"/>
    <w:semiHidden/>
    <w:rsid w:val="002B5B43"/>
    <w:pPr>
      <w:spacing w:line="271" w:lineRule="auto"/>
      <w:outlineLvl w:val="5"/>
    </w:pPr>
    <w:rPr>
      <w:rFonts w:asciiTheme="majorHAnsi" w:eastAsiaTheme="majorEastAsia" w:hAnsiTheme="majorHAnsi" w:cstheme="majorBidi"/>
      <w:b/>
      <w:i/>
      <w:color w:val="7F7F7F" w:themeColor="text1" w:themeTint="80"/>
      <w:sz w:val="22"/>
    </w:rPr>
  </w:style>
  <w:style w:type="paragraph" w:styleId="Nagwek7">
    <w:name w:val="heading 7"/>
    <w:basedOn w:val="Normalny"/>
    <w:next w:val="Normalny"/>
    <w:link w:val="Nagwek7Znak"/>
    <w:uiPriority w:val="98"/>
    <w:semiHidden/>
    <w:qFormat/>
    <w:rsid w:val="002B5B43"/>
    <w:pPr>
      <w:outlineLvl w:val="6"/>
    </w:pPr>
    <w:rPr>
      <w:rFonts w:asciiTheme="majorHAnsi" w:eastAsiaTheme="majorEastAsia" w:hAnsiTheme="majorHAnsi" w:cstheme="majorBidi"/>
      <w:i/>
      <w:sz w:val="22"/>
    </w:rPr>
  </w:style>
  <w:style w:type="paragraph" w:styleId="Nagwek8">
    <w:name w:val="heading 8"/>
    <w:basedOn w:val="Normalny"/>
    <w:next w:val="Normalny"/>
    <w:link w:val="Nagwek8Znak"/>
    <w:uiPriority w:val="98"/>
    <w:semiHidden/>
    <w:qFormat/>
    <w:rsid w:val="002B5B43"/>
    <w:pPr>
      <w:outlineLvl w:val="7"/>
    </w:pPr>
    <w:rPr>
      <w:rFonts w:asciiTheme="majorHAnsi" w:eastAsiaTheme="majorEastAsia" w:hAnsiTheme="majorHAnsi" w:cstheme="majorBidi"/>
      <w:sz w:val="20"/>
    </w:rPr>
  </w:style>
  <w:style w:type="paragraph" w:styleId="Nagwek9">
    <w:name w:val="heading 9"/>
    <w:basedOn w:val="Normalny"/>
    <w:next w:val="Normalny"/>
    <w:link w:val="Nagwek9Znak"/>
    <w:uiPriority w:val="98"/>
    <w:semiHidden/>
    <w:qFormat/>
    <w:rsid w:val="002B5B43"/>
    <w:pPr>
      <w:outlineLvl w:val="8"/>
    </w:pPr>
    <w:rPr>
      <w:rFonts w:asciiTheme="majorHAnsi" w:eastAsiaTheme="majorEastAsia" w:hAnsiTheme="majorHAnsi" w:cstheme="majorBidi"/>
      <w:i/>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B5B43"/>
    <w:rPr>
      <w:rFonts w:ascii="Tahoma" w:hAnsi="Tahoma" w:cs="Tahoma"/>
      <w:sz w:val="16"/>
    </w:rPr>
  </w:style>
  <w:style w:type="character" w:customStyle="1" w:styleId="TekstdymkaZnak">
    <w:name w:val="Tekst dymka Znak"/>
    <w:basedOn w:val="Domylnaczcionkaakapitu"/>
    <w:link w:val="Tekstdymka"/>
    <w:uiPriority w:val="98"/>
    <w:semiHidden/>
    <w:rsid w:val="002B5B43"/>
    <w:rPr>
      <w:rFonts w:ascii="Tahoma" w:hAnsi="Tahoma" w:cs="Tahoma"/>
      <w:sz w:val="16"/>
    </w:rPr>
  </w:style>
  <w:style w:type="character" w:styleId="Tytuksiki">
    <w:name w:val="Book Title"/>
    <w:uiPriority w:val="98"/>
    <w:semiHidden/>
    <w:qFormat/>
    <w:rsid w:val="002B5B43"/>
    <w:rPr>
      <w:i/>
      <w:smallCaps/>
    </w:rPr>
  </w:style>
  <w:style w:type="paragraph" w:customStyle="1" w:styleId="JuHeader">
    <w:name w:val="Ju_Header"/>
    <w:aliases w:val="_Header"/>
    <w:basedOn w:val="Nagwek"/>
    <w:uiPriority w:val="29"/>
    <w:qFormat/>
    <w:rsid w:val="002B5B43"/>
    <w:pPr>
      <w:tabs>
        <w:tab w:val="clear" w:pos="4536"/>
        <w:tab w:val="clear" w:pos="9072"/>
      </w:tabs>
      <w:jc w:val="center"/>
    </w:pPr>
    <w:rPr>
      <w:sz w:val="18"/>
    </w:rPr>
  </w:style>
  <w:style w:type="paragraph" w:customStyle="1" w:styleId="NormalJustified">
    <w:name w:val="Normal_Justified"/>
    <w:basedOn w:val="Normalny"/>
    <w:semiHidden/>
    <w:rsid w:val="002B5B43"/>
    <w:pPr>
      <w:jc w:val="both"/>
    </w:pPr>
  </w:style>
  <w:style w:type="character" w:styleId="Pogrubienie">
    <w:name w:val="Strong"/>
    <w:uiPriority w:val="98"/>
    <w:semiHidden/>
    <w:qFormat/>
    <w:rsid w:val="002B5B43"/>
    <w:rPr>
      <w:b/>
    </w:rPr>
  </w:style>
  <w:style w:type="paragraph" w:styleId="Bezodstpw">
    <w:name w:val="No Spacing"/>
    <w:basedOn w:val="Normalny"/>
    <w:link w:val="BezodstpwZnak"/>
    <w:uiPriority w:val="98"/>
    <w:semiHidden/>
    <w:qFormat/>
    <w:rsid w:val="002B5B43"/>
  </w:style>
  <w:style w:type="character" w:customStyle="1" w:styleId="BezodstpwZnak">
    <w:name w:val="Bez odstępów Znak"/>
    <w:basedOn w:val="Domylnaczcionkaakapitu"/>
    <w:link w:val="Bezodstpw"/>
    <w:uiPriority w:val="98"/>
    <w:semiHidden/>
    <w:rsid w:val="002B5B43"/>
    <w:rPr>
      <w:sz w:val="24"/>
    </w:rPr>
  </w:style>
  <w:style w:type="paragraph" w:customStyle="1" w:styleId="JuQuot">
    <w:name w:val="Ju_Quot"/>
    <w:aliases w:val="_Quote"/>
    <w:basedOn w:val="NormalJustified"/>
    <w:uiPriority w:val="20"/>
    <w:qFormat/>
    <w:rsid w:val="002B5B43"/>
    <w:pPr>
      <w:spacing w:before="120" w:after="120"/>
      <w:ind w:left="425" w:firstLine="142"/>
    </w:pPr>
    <w:rPr>
      <w:sz w:val="20"/>
    </w:rPr>
  </w:style>
  <w:style w:type="table" w:styleId="Tabelasiatki1jasna">
    <w:name w:val="Grid Table 1 Light"/>
    <w:basedOn w:val="Standardowy"/>
    <w:uiPriority w:val="46"/>
    <w:semiHidden/>
    <w:rsid w:val="00037EB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ny"/>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B5B43"/>
    <w:pPr>
      <w:numPr>
        <w:numId w:val="4"/>
      </w:numPr>
    </w:pPr>
  </w:style>
  <w:style w:type="paragraph" w:customStyle="1" w:styleId="JuSigned">
    <w:name w:val="Ju_Signed"/>
    <w:aliases w:val="_Signature"/>
    <w:basedOn w:val="Normalny"/>
    <w:next w:val="JuPara"/>
    <w:uiPriority w:val="31"/>
    <w:qFormat/>
    <w:rsid w:val="002B5B43"/>
    <w:pPr>
      <w:tabs>
        <w:tab w:val="center" w:pos="1418"/>
        <w:tab w:val="center" w:pos="5954"/>
      </w:tabs>
      <w:spacing w:before="720"/>
    </w:pPr>
  </w:style>
  <w:style w:type="paragraph" w:styleId="Tytu">
    <w:name w:val="Title"/>
    <w:basedOn w:val="Normalny"/>
    <w:next w:val="Normalny"/>
    <w:link w:val="TytuZnak"/>
    <w:uiPriority w:val="98"/>
    <w:semiHidden/>
    <w:qFormat/>
    <w:rsid w:val="002B5B43"/>
    <w:pPr>
      <w:pBdr>
        <w:bottom w:val="single" w:sz="4" w:space="1" w:color="auto"/>
      </w:pBdr>
      <w:contextualSpacing/>
    </w:pPr>
    <w:rPr>
      <w:rFonts w:asciiTheme="majorHAnsi" w:eastAsiaTheme="majorEastAsia" w:hAnsiTheme="majorHAnsi" w:cstheme="majorBidi"/>
      <w:sz w:val="52"/>
    </w:rPr>
  </w:style>
  <w:style w:type="character" w:customStyle="1" w:styleId="TytuZnak">
    <w:name w:val="Tytuł Znak"/>
    <w:basedOn w:val="Domylnaczcionkaakapitu"/>
    <w:link w:val="Tytu"/>
    <w:uiPriority w:val="98"/>
    <w:semiHidden/>
    <w:rsid w:val="002B5B43"/>
    <w:rPr>
      <w:rFonts w:asciiTheme="majorHAnsi" w:eastAsiaTheme="majorEastAsia" w:hAnsiTheme="majorHAnsi" w:cstheme="majorBidi"/>
      <w:sz w:val="52"/>
    </w:rPr>
  </w:style>
  <w:style w:type="numbering" w:customStyle="1" w:styleId="ECHRA1StyleList">
    <w:name w:val="ECHR_A1_Style_List"/>
    <w:basedOn w:val="Bezlisty"/>
    <w:uiPriority w:val="99"/>
    <w:rsid w:val="002B5B43"/>
    <w:pPr>
      <w:numPr>
        <w:numId w:val="5"/>
      </w:numPr>
    </w:pPr>
  </w:style>
  <w:style w:type="numbering" w:customStyle="1" w:styleId="ECHRA1StyleNumberedList">
    <w:name w:val="ECHR_A1_Style_Numbered_List"/>
    <w:basedOn w:val="Bezlisty"/>
    <w:rsid w:val="002B5B43"/>
    <w:pPr>
      <w:numPr>
        <w:numId w:val="6"/>
      </w:numPr>
    </w:pPr>
  </w:style>
  <w:style w:type="table" w:customStyle="1" w:styleId="ECHRTable2019">
    <w:name w:val="ECHR_Table_2019"/>
    <w:basedOn w:val="Standardowy"/>
    <w:uiPriority w:val="99"/>
    <w:rsid w:val="002B5B43"/>
    <w:rPr>
      <w:sz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B5B43"/>
    <w:pPr>
      <w:tabs>
        <w:tab w:val="left" w:pos="907"/>
        <w:tab w:val="left" w:pos="1701"/>
        <w:tab w:val="right" w:pos="7371"/>
      </w:tabs>
      <w:spacing w:before="240"/>
      <w:ind w:left="397" w:hanging="397"/>
    </w:pPr>
  </w:style>
  <w:style w:type="paragraph" w:customStyle="1" w:styleId="JuHIRoman">
    <w:name w:val="Ju_H_I_Roman"/>
    <w:aliases w:val="_Head_2"/>
    <w:basedOn w:val="Nagwek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B5B43"/>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2B5B43"/>
    <w:pPr>
      <w:tabs>
        <w:tab w:val="center" w:pos="4536"/>
        <w:tab w:val="right" w:pos="9072"/>
      </w:tabs>
    </w:pPr>
  </w:style>
  <w:style w:type="character" w:customStyle="1" w:styleId="NagwekZnak">
    <w:name w:val="Nagłówek Znak"/>
    <w:basedOn w:val="Domylnaczcionkaakapitu"/>
    <w:link w:val="Nagwek"/>
    <w:uiPriority w:val="98"/>
    <w:semiHidden/>
    <w:rsid w:val="002B5B43"/>
    <w:rPr>
      <w:sz w:val="24"/>
    </w:rPr>
  </w:style>
  <w:style w:type="character" w:customStyle="1" w:styleId="Nagwek1Znak">
    <w:name w:val="Nagłówek 1 Znak"/>
    <w:basedOn w:val="Domylnaczcionkaakapitu"/>
    <w:link w:val="Nagwek1"/>
    <w:uiPriority w:val="98"/>
    <w:semiHidden/>
    <w:rsid w:val="002B5B43"/>
    <w:rPr>
      <w:rFonts w:asciiTheme="majorHAnsi" w:eastAsiaTheme="majorEastAsia" w:hAnsiTheme="majorHAnsi" w:cstheme="majorBidi"/>
      <w:b/>
      <w:color w:val="333333"/>
      <w:sz w:val="28"/>
    </w:rPr>
  </w:style>
  <w:style w:type="paragraph" w:customStyle="1" w:styleId="JuHa0">
    <w:name w:val="Ju_H_a"/>
    <w:aliases w:val="_Head_5"/>
    <w:basedOn w:val="Nagwek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B5B43"/>
    <w:rPr>
      <w:rFonts w:asciiTheme="majorHAnsi" w:eastAsiaTheme="majorEastAsia" w:hAnsiTheme="majorHAnsi" w:cstheme="majorBidi"/>
      <w:b/>
      <w:color w:val="4D4D4D"/>
      <w:sz w:val="26"/>
    </w:rPr>
  </w:style>
  <w:style w:type="paragraph" w:customStyle="1" w:styleId="JuHalpha">
    <w:name w:val="Ju_H_alpha"/>
    <w:aliases w:val="_Head_7"/>
    <w:basedOn w:val="Nagwek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B5B43"/>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2B5B43"/>
    <w:rPr>
      <w:rFonts w:asciiTheme="majorHAnsi" w:eastAsiaTheme="majorEastAsia" w:hAnsiTheme="majorHAnsi" w:cstheme="majorBidi"/>
      <w:b/>
      <w:color w:val="5F5F5F"/>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ny"/>
    <w:uiPriority w:val="32"/>
    <w:qFormat/>
    <w:rsid w:val="002B5B43"/>
    <w:pPr>
      <w:tabs>
        <w:tab w:val="left" w:pos="567"/>
        <w:tab w:val="left" w:pos="1134"/>
      </w:tabs>
    </w:pPr>
  </w:style>
  <w:style w:type="character" w:customStyle="1" w:styleId="Nagwek4Znak">
    <w:name w:val="Nagłówek 4 Znak"/>
    <w:basedOn w:val="Domylnaczcionkaakapitu"/>
    <w:link w:val="Nagwek4"/>
    <w:uiPriority w:val="98"/>
    <w:semiHidden/>
    <w:rsid w:val="002B5B43"/>
    <w:rPr>
      <w:rFonts w:asciiTheme="majorHAnsi" w:eastAsiaTheme="majorEastAsia" w:hAnsiTheme="majorHAnsi" w:cstheme="majorBidi"/>
      <w:b/>
      <w:i/>
      <w:color w:val="777777"/>
    </w:rPr>
  </w:style>
  <w:style w:type="paragraph" w:customStyle="1" w:styleId="JuInitialled">
    <w:name w:val="Ju_Initialled"/>
    <w:aliases w:val="_Right"/>
    <w:basedOn w:val="Normalny"/>
    <w:uiPriority w:val="30"/>
    <w:qFormat/>
    <w:rsid w:val="002B5B43"/>
    <w:pPr>
      <w:tabs>
        <w:tab w:val="center" w:pos="6407"/>
      </w:tabs>
      <w:spacing w:before="720"/>
      <w:jc w:val="right"/>
    </w:pPr>
  </w:style>
  <w:style w:type="character" w:customStyle="1" w:styleId="Nagwek5Znak">
    <w:name w:val="Nagłówek 5 Znak"/>
    <w:basedOn w:val="Domylnaczcionkaakapitu"/>
    <w:link w:val="Nagwek5"/>
    <w:uiPriority w:val="98"/>
    <w:semiHidden/>
    <w:rsid w:val="002B5B43"/>
    <w:rPr>
      <w:rFonts w:asciiTheme="majorHAnsi" w:eastAsiaTheme="majorEastAsia" w:hAnsiTheme="majorHAnsi" w:cstheme="majorBidi"/>
      <w:b/>
      <w:color w:val="808080"/>
    </w:rPr>
  </w:style>
  <w:style w:type="character" w:customStyle="1" w:styleId="JuITMark">
    <w:name w:val="Ju_ITMark"/>
    <w:aliases w:val="_ITMark"/>
    <w:basedOn w:val="Domylnaczcionkaakapitu"/>
    <w:uiPriority w:val="54"/>
    <w:qFormat/>
    <w:rsid w:val="002B5B4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B5B43"/>
    <w:rPr>
      <w:caps w:val="0"/>
      <w:smallCaps/>
    </w:rPr>
  </w:style>
  <w:style w:type="character" w:styleId="Wyrnieniedelikatne">
    <w:name w:val="Subtle Emphasis"/>
    <w:uiPriority w:val="98"/>
    <w:semiHidden/>
    <w:qFormat/>
    <w:rsid w:val="002B5B43"/>
    <w:rPr>
      <w:i/>
    </w:rPr>
  </w:style>
  <w:style w:type="table" w:customStyle="1" w:styleId="ECHRTable">
    <w:name w:val="ECHR_Table"/>
    <w:basedOn w:val="Standardowy"/>
    <w:rsid w:val="002B5B43"/>
    <w:rPr>
      <w:rFonts w:eastAsia="Times New Roman" w:cs="Times New Roman"/>
      <w:sz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B5B43"/>
    <w:rPr>
      <w:rFonts w:ascii="Verdana" w:eastAsia="Times New Roman" w:hAnsi="Verdana" w:cs="Times New Roman"/>
      <w:sz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2B5B43"/>
    <w:rPr>
      <w:b/>
      <w:i/>
      <w:bdr w:val="none" w:sz="0" w:space="0" w:color="auto"/>
      <w:shd w:val="clear" w:color="auto" w:fill="auto"/>
    </w:rPr>
  </w:style>
  <w:style w:type="paragraph" w:styleId="Stopka">
    <w:name w:val="footer"/>
    <w:basedOn w:val="Normalny"/>
    <w:link w:val="StopkaZnak"/>
    <w:uiPriority w:val="98"/>
    <w:semiHidden/>
    <w:rsid w:val="002B5B43"/>
    <w:pPr>
      <w:tabs>
        <w:tab w:val="center" w:pos="3686"/>
        <w:tab w:val="right" w:pos="7371"/>
      </w:tabs>
    </w:pPr>
  </w:style>
  <w:style w:type="character" w:customStyle="1" w:styleId="StopkaZnak">
    <w:name w:val="Stopka Znak"/>
    <w:basedOn w:val="Domylnaczcionkaakapitu"/>
    <w:link w:val="Stopka"/>
    <w:uiPriority w:val="98"/>
    <w:semiHidden/>
    <w:rsid w:val="002B5B43"/>
    <w:rPr>
      <w:sz w:val="24"/>
    </w:rPr>
  </w:style>
  <w:style w:type="character" w:styleId="Odwoanieprzypisudolnego">
    <w:name w:val="footnote reference"/>
    <w:basedOn w:val="Domylnaczcionkaakapitu"/>
    <w:uiPriority w:val="98"/>
    <w:semiHidden/>
    <w:rsid w:val="002B5B43"/>
    <w:rPr>
      <w:vertAlign w:val="superscript"/>
    </w:rPr>
  </w:style>
  <w:style w:type="paragraph" w:styleId="Tekstprzypisudolnego">
    <w:name w:val="footnote text"/>
    <w:basedOn w:val="NormalJustified"/>
    <w:link w:val="TekstprzypisudolnegoZnak"/>
    <w:uiPriority w:val="98"/>
    <w:semiHidden/>
    <w:rsid w:val="002B5B43"/>
    <w:rPr>
      <w:sz w:val="20"/>
    </w:rPr>
  </w:style>
  <w:style w:type="character" w:customStyle="1" w:styleId="TekstprzypisudolnegoZnak">
    <w:name w:val="Tekst przypisu dolnego Znak"/>
    <w:basedOn w:val="Domylnaczcionkaakapitu"/>
    <w:link w:val="Tekstprzypisudolnego"/>
    <w:uiPriority w:val="98"/>
    <w:semiHidden/>
    <w:rsid w:val="002B5B43"/>
    <w:rPr>
      <w:sz w:val="20"/>
    </w:rPr>
  </w:style>
  <w:style w:type="character" w:customStyle="1" w:styleId="Nagwek6Znak">
    <w:name w:val="Nagłówek 6 Znak"/>
    <w:basedOn w:val="Domylnaczcionkaakapitu"/>
    <w:link w:val="Nagwek6"/>
    <w:uiPriority w:val="98"/>
    <w:semiHidden/>
    <w:rsid w:val="002B5B43"/>
    <w:rPr>
      <w:rFonts w:asciiTheme="majorHAnsi" w:eastAsiaTheme="majorEastAsia" w:hAnsiTheme="majorHAnsi" w:cstheme="majorBidi"/>
      <w:b/>
      <w:i/>
      <w:color w:val="7F7F7F" w:themeColor="text1" w:themeTint="80"/>
    </w:rPr>
  </w:style>
  <w:style w:type="character" w:customStyle="1" w:styleId="Nagwek7Znak">
    <w:name w:val="Nagłówek 7 Znak"/>
    <w:basedOn w:val="Domylnaczcionkaakapitu"/>
    <w:link w:val="Nagwek7"/>
    <w:uiPriority w:val="98"/>
    <w:semiHidden/>
    <w:rsid w:val="002B5B43"/>
    <w:rPr>
      <w:rFonts w:asciiTheme="majorHAnsi" w:eastAsiaTheme="majorEastAsia" w:hAnsiTheme="majorHAnsi" w:cstheme="majorBidi"/>
      <w:i/>
    </w:rPr>
  </w:style>
  <w:style w:type="character" w:customStyle="1" w:styleId="Nagwek8Znak">
    <w:name w:val="Nagłówek 8 Znak"/>
    <w:basedOn w:val="Domylnaczcionkaakapitu"/>
    <w:link w:val="Nagwek8"/>
    <w:uiPriority w:val="98"/>
    <w:semiHidden/>
    <w:rsid w:val="002B5B43"/>
    <w:rPr>
      <w:rFonts w:asciiTheme="majorHAnsi" w:eastAsiaTheme="majorEastAsia" w:hAnsiTheme="majorHAnsi" w:cstheme="majorBidi"/>
      <w:sz w:val="20"/>
    </w:rPr>
  </w:style>
  <w:style w:type="character" w:customStyle="1" w:styleId="Nagwek9Znak">
    <w:name w:val="Nagłówek 9 Znak"/>
    <w:basedOn w:val="Domylnaczcionkaakapitu"/>
    <w:link w:val="Nagwek9"/>
    <w:uiPriority w:val="98"/>
    <w:semiHidden/>
    <w:rsid w:val="002B5B43"/>
    <w:rPr>
      <w:rFonts w:asciiTheme="majorHAnsi" w:eastAsiaTheme="majorEastAsia" w:hAnsiTheme="majorHAnsi" w:cstheme="majorBidi"/>
      <w:i/>
      <w:sz w:val="20"/>
    </w:rPr>
  </w:style>
  <w:style w:type="character" w:styleId="Hipercze">
    <w:name w:val="Hyperlink"/>
    <w:basedOn w:val="Domylnaczcionkaakapitu"/>
    <w:uiPriority w:val="98"/>
    <w:semiHidden/>
    <w:rsid w:val="002B5B43"/>
    <w:rPr>
      <w:color w:val="0072BC" w:themeColor="hyperlink"/>
      <w:u w:val="single"/>
    </w:rPr>
  </w:style>
  <w:style w:type="character" w:styleId="Wyrnienieintensywne">
    <w:name w:val="Intense Emphasis"/>
    <w:uiPriority w:val="98"/>
    <w:semiHidden/>
    <w:qFormat/>
    <w:rsid w:val="002B5B43"/>
    <w:rPr>
      <w:b/>
    </w:rPr>
  </w:style>
  <w:style w:type="paragraph" w:styleId="Cytatintensywny">
    <w:name w:val="Intense Quote"/>
    <w:basedOn w:val="Normalny"/>
    <w:next w:val="Normalny"/>
    <w:link w:val="CytatintensywnyZnak"/>
    <w:uiPriority w:val="98"/>
    <w:semiHidden/>
    <w:qFormat/>
    <w:rsid w:val="002B5B43"/>
    <w:pPr>
      <w:pBdr>
        <w:bottom w:val="single" w:sz="4" w:space="1" w:color="auto"/>
      </w:pBdr>
      <w:spacing w:before="200" w:after="280"/>
      <w:ind w:left="1008" w:right="1152"/>
    </w:pPr>
    <w:rPr>
      <w:b/>
      <w:i/>
    </w:rPr>
  </w:style>
  <w:style w:type="character" w:customStyle="1" w:styleId="CytatintensywnyZnak">
    <w:name w:val="Cytat intensywny Znak"/>
    <w:basedOn w:val="Domylnaczcionkaakapitu"/>
    <w:link w:val="Cytatintensywny"/>
    <w:uiPriority w:val="98"/>
    <w:semiHidden/>
    <w:rsid w:val="002B5B43"/>
    <w:rPr>
      <w:b/>
      <w:i/>
      <w:sz w:val="24"/>
    </w:rPr>
  </w:style>
  <w:style w:type="character" w:styleId="Odwoanieintensywne">
    <w:name w:val="Intense Reference"/>
    <w:uiPriority w:val="98"/>
    <w:semiHidden/>
    <w:qFormat/>
    <w:rsid w:val="002B5B43"/>
    <w:rPr>
      <w:smallCaps/>
      <w:u w:val="single"/>
    </w:rPr>
  </w:style>
  <w:style w:type="paragraph" w:styleId="Akapitzlist">
    <w:name w:val="List Paragraph"/>
    <w:basedOn w:val="Normalny"/>
    <w:uiPriority w:val="98"/>
    <w:semiHidden/>
    <w:qFormat/>
    <w:rsid w:val="002B5B43"/>
    <w:pPr>
      <w:ind w:left="720"/>
      <w:contextualSpacing/>
    </w:pPr>
  </w:style>
  <w:style w:type="table" w:customStyle="1" w:styleId="LtrTableAddress">
    <w:name w:val="Ltr_Table_Address"/>
    <w:aliases w:val="ECHR_Ltr_Table_Address"/>
    <w:basedOn w:val="Standardowy"/>
    <w:uiPriority w:val="99"/>
    <w:rsid w:val="002B5B43"/>
    <w:rPr>
      <w:sz w:val="24"/>
    </w:rPr>
    <w:tblPr>
      <w:tblInd w:w="5103" w:type="dxa"/>
    </w:tblPr>
  </w:style>
  <w:style w:type="paragraph" w:styleId="Cytat">
    <w:name w:val="Quote"/>
    <w:basedOn w:val="Normalny"/>
    <w:next w:val="Normalny"/>
    <w:link w:val="CytatZnak"/>
    <w:uiPriority w:val="98"/>
    <w:semiHidden/>
    <w:qFormat/>
    <w:rsid w:val="002B5B43"/>
    <w:pPr>
      <w:spacing w:before="200"/>
      <w:ind w:left="360" w:right="360"/>
    </w:pPr>
    <w:rPr>
      <w:i/>
    </w:rPr>
  </w:style>
  <w:style w:type="character" w:customStyle="1" w:styleId="CytatZnak">
    <w:name w:val="Cytat Znak"/>
    <w:basedOn w:val="Domylnaczcionkaakapitu"/>
    <w:link w:val="Cytat"/>
    <w:uiPriority w:val="98"/>
    <w:semiHidden/>
    <w:rsid w:val="002B5B43"/>
    <w:rPr>
      <w:i/>
      <w:sz w:val="24"/>
    </w:rPr>
  </w:style>
  <w:style w:type="character" w:styleId="Odwoaniedelikatne">
    <w:name w:val="Subtle Reference"/>
    <w:uiPriority w:val="98"/>
    <w:semiHidden/>
    <w:qFormat/>
    <w:rsid w:val="002B5B43"/>
    <w:rPr>
      <w:smallCaps/>
    </w:rPr>
  </w:style>
  <w:style w:type="table" w:styleId="Tabela-Siatka">
    <w:name w:val="Table Grid"/>
    <w:basedOn w:val="Standardowy"/>
    <w:uiPriority w:val="59"/>
    <w:semiHidden/>
    <w:rsid w:val="002B5B43"/>
    <w:rPr>
      <w:rFonts w:eastAsiaTheme="minorEastAsia"/>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B5B4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B5B4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B5B43"/>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B5B4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B5B4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2B5B43"/>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B5B43"/>
    <w:rPr>
      <w:rFonts w:eastAsiaTheme="minorEastAsia"/>
      <w:sz w:val="24"/>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B5B43"/>
    <w:rPr>
      <w:color w:val="000000" w:themeColor="text1"/>
      <w:sz w:val="18"/>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B5B43"/>
    <w:rPr>
      <w:color w:val="000000" w:themeColor="text1"/>
      <w:sz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2B5B43"/>
    <w:rPr>
      <w:sz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B5B43"/>
    <w:rPr>
      <w:sz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B5B43"/>
    <w:pPr>
      <w:keepNext/>
      <w:keepLines/>
      <w:spacing w:before="240"/>
      <w:contextualSpacing/>
      <w:jc w:val="center"/>
    </w:pPr>
    <w:rPr>
      <w:rFonts w:asciiTheme="majorHAnsi" w:eastAsiaTheme="majorEastAsia" w:hAnsiTheme="majorHAnsi" w:cstheme="majorBidi"/>
      <w:b/>
      <w:color w:val="424242" w:themeColor="accent3" w:themeShade="BF"/>
      <w:sz w:val="28"/>
    </w:rPr>
  </w:style>
  <w:style w:type="paragraph" w:styleId="Podtytu">
    <w:name w:val="Subtitle"/>
    <w:basedOn w:val="Normalny"/>
    <w:next w:val="Normalny"/>
    <w:link w:val="PodtytuZnak"/>
    <w:uiPriority w:val="98"/>
    <w:semiHidden/>
    <w:qFormat/>
    <w:rsid w:val="002B5B43"/>
    <w:pPr>
      <w:spacing w:after="600"/>
    </w:pPr>
    <w:rPr>
      <w:rFonts w:asciiTheme="majorHAnsi" w:eastAsiaTheme="majorEastAsia" w:hAnsiTheme="majorHAnsi" w:cstheme="majorBidi"/>
      <w:i/>
    </w:rPr>
  </w:style>
  <w:style w:type="character" w:customStyle="1" w:styleId="PodtytuZnak">
    <w:name w:val="Podtytuł Znak"/>
    <w:basedOn w:val="Domylnaczcionkaakapitu"/>
    <w:link w:val="Podtytu"/>
    <w:uiPriority w:val="98"/>
    <w:semiHidden/>
    <w:rsid w:val="002B5B43"/>
    <w:rPr>
      <w:rFonts w:asciiTheme="majorHAnsi" w:eastAsiaTheme="majorEastAsia" w:hAnsiTheme="majorHAnsi" w:cstheme="majorBidi"/>
      <w:i/>
      <w:sz w:val="24"/>
    </w:rPr>
  </w:style>
  <w:style w:type="numbering" w:styleId="111111">
    <w:name w:val="Outline List 2"/>
    <w:basedOn w:val="Bezlisty"/>
    <w:uiPriority w:val="99"/>
    <w:semiHidden/>
    <w:unhideWhenUsed/>
    <w:rsid w:val="002B5B43"/>
    <w:pPr>
      <w:numPr>
        <w:numId w:val="1"/>
      </w:numPr>
    </w:pPr>
  </w:style>
  <w:style w:type="paragraph" w:customStyle="1" w:styleId="JuPara">
    <w:name w:val="Ju_Para"/>
    <w:aliases w:val="_Para"/>
    <w:basedOn w:val="NormalJustified"/>
    <w:link w:val="JuParaChar"/>
    <w:uiPriority w:val="12"/>
    <w:qFormat/>
    <w:rsid w:val="002B5B43"/>
    <w:pPr>
      <w:ind w:firstLine="284"/>
    </w:pPr>
  </w:style>
  <w:style w:type="numbering" w:styleId="1ai">
    <w:name w:val="Outline List 1"/>
    <w:basedOn w:val="Bezlisty"/>
    <w:uiPriority w:val="99"/>
    <w:semiHidden/>
    <w:unhideWhenUsed/>
    <w:rsid w:val="002B5B43"/>
    <w:pPr>
      <w:numPr>
        <w:numId w:val="2"/>
      </w:numPr>
    </w:pPr>
  </w:style>
  <w:style w:type="table" w:customStyle="1" w:styleId="ECHRTableSimpleBox">
    <w:name w:val="ECHR_Table_Simple_Box"/>
    <w:basedOn w:val="Standardowy"/>
    <w:uiPriority w:val="99"/>
    <w:rsid w:val="002B5B43"/>
    <w:rPr>
      <w:sz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2B5B43"/>
    <w:rPr>
      <w:sz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2B5B43"/>
    <w:pPr>
      <w:numPr>
        <w:numId w:val="3"/>
      </w:numPr>
    </w:pPr>
  </w:style>
  <w:style w:type="table" w:customStyle="1" w:styleId="ECHRTableForInternalUse">
    <w:name w:val="ECHR_Table_For_Internal_Use"/>
    <w:basedOn w:val="Standardowy"/>
    <w:uiPriority w:val="99"/>
    <w:rsid w:val="002B5B43"/>
    <w:rPr>
      <w:color w:val="585858"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2B5B43"/>
    <w:rPr>
      <w:sz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B5B43"/>
  </w:style>
  <w:style w:type="paragraph" w:styleId="Tekstblokowy">
    <w:name w:val="Block Text"/>
    <w:basedOn w:val="Normalny"/>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color w:val="0072BC" w:themeColor="accent1"/>
    </w:rPr>
  </w:style>
  <w:style w:type="table" w:customStyle="1" w:styleId="ECHRHeaderTable">
    <w:name w:val="ECHR_Header_Table"/>
    <w:basedOn w:val="Standardowy"/>
    <w:uiPriority w:val="99"/>
    <w:rsid w:val="002B5B43"/>
    <w:rPr>
      <w:sz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B5B43"/>
    <w:pPr>
      <w:spacing w:after="120"/>
    </w:pPr>
  </w:style>
  <w:style w:type="character" w:customStyle="1" w:styleId="TekstpodstawowyZnak">
    <w:name w:val="Tekst podstawowy Znak"/>
    <w:basedOn w:val="Domylnaczcionkaakapitu"/>
    <w:link w:val="Tekstpodstawowy"/>
    <w:uiPriority w:val="98"/>
    <w:semiHidden/>
    <w:rsid w:val="002B5B43"/>
    <w:rPr>
      <w:sz w:val="24"/>
    </w:rPr>
  </w:style>
  <w:style w:type="table" w:customStyle="1" w:styleId="ECHRTableOddBanded">
    <w:name w:val="ECHR_Table_Odd_Banded"/>
    <w:basedOn w:val="Standardowy"/>
    <w:uiPriority w:val="99"/>
    <w:rsid w:val="002B5B4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B5B43"/>
    <w:pPr>
      <w:spacing w:after="120" w:line="480" w:lineRule="auto"/>
    </w:pPr>
  </w:style>
  <w:style w:type="table" w:customStyle="1" w:styleId="ECHRHeaderTableReduced">
    <w:name w:val="ECHR_Header_Table_Reduced"/>
    <w:basedOn w:val="Standardowy"/>
    <w:uiPriority w:val="99"/>
    <w:rsid w:val="002B5B43"/>
    <w:rPr>
      <w:sz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Numerstrony">
    <w:name w:val="page number"/>
    <w:uiPriority w:val="98"/>
    <w:semiHidden/>
    <w:rsid w:val="002B5B43"/>
    <w:rPr>
      <w:sz w:val="18"/>
    </w:rPr>
  </w:style>
  <w:style w:type="paragraph" w:styleId="Listapunktowana">
    <w:name w:val="List Bullet"/>
    <w:basedOn w:val="Normalny"/>
    <w:uiPriority w:val="98"/>
    <w:semiHidden/>
    <w:rsid w:val="002B5B43"/>
    <w:pPr>
      <w:numPr>
        <w:numId w:val="11"/>
      </w:numPr>
    </w:pPr>
  </w:style>
  <w:style w:type="paragraph" w:styleId="Listapunktowana3">
    <w:name w:val="List Bullet 3"/>
    <w:basedOn w:val="Normalny"/>
    <w:uiPriority w:val="98"/>
    <w:semiHidden/>
    <w:rsid w:val="002B5B43"/>
    <w:pPr>
      <w:numPr>
        <w:numId w:val="13"/>
      </w:numPr>
      <w:contextualSpacing/>
    </w:pPr>
  </w:style>
  <w:style w:type="character" w:customStyle="1" w:styleId="Tekstpodstawowy2Znak">
    <w:name w:val="Tekst podstawowy 2 Znak"/>
    <w:basedOn w:val="Domylnaczcionkaakapitu"/>
    <w:link w:val="Tekstpodstawowy2"/>
    <w:uiPriority w:val="98"/>
    <w:semiHidden/>
    <w:rsid w:val="002B5B43"/>
    <w:rPr>
      <w:sz w:val="24"/>
    </w:rPr>
  </w:style>
  <w:style w:type="paragraph" w:styleId="Tekstpodstawowy3">
    <w:name w:val="Body Text 3"/>
    <w:basedOn w:val="Normalny"/>
    <w:link w:val="Tekstpodstawowy3Znak"/>
    <w:uiPriority w:val="98"/>
    <w:semiHidden/>
    <w:rsid w:val="002B5B43"/>
    <w:pPr>
      <w:spacing w:after="120"/>
    </w:pPr>
    <w:rPr>
      <w:sz w:val="16"/>
    </w:rPr>
  </w:style>
  <w:style w:type="character" w:customStyle="1" w:styleId="Tekstpodstawowy3Znak">
    <w:name w:val="Tekst podstawowy 3 Znak"/>
    <w:basedOn w:val="Domylnaczcionkaakapitu"/>
    <w:link w:val="Tekstpodstawowy3"/>
    <w:uiPriority w:val="98"/>
    <w:semiHidden/>
    <w:rsid w:val="002B5B43"/>
    <w:rPr>
      <w:sz w:val="16"/>
    </w:rPr>
  </w:style>
  <w:style w:type="paragraph" w:styleId="Tekstpodstawowyzwciciem">
    <w:name w:val="Body Text First Indent"/>
    <w:basedOn w:val="Tekstpodstawowy"/>
    <w:link w:val="TekstpodstawowyzwciciemZnak"/>
    <w:uiPriority w:val="98"/>
    <w:semiHidden/>
    <w:rsid w:val="002B5B43"/>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B5B43"/>
    <w:rPr>
      <w:sz w:val="24"/>
    </w:rPr>
  </w:style>
  <w:style w:type="paragraph" w:styleId="Tekstpodstawowywcity">
    <w:name w:val="Body Text Indent"/>
    <w:basedOn w:val="Normalny"/>
    <w:link w:val="TekstpodstawowywcityZnak"/>
    <w:uiPriority w:val="98"/>
    <w:semiHidden/>
    <w:rsid w:val="002B5B43"/>
    <w:pPr>
      <w:spacing w:after="120"/>
      <w:ind w:left="283"/>
    </w:pPr>
  </w:style>
  <w:style w:type="character" w:customStyle="1" w:styleId="TekstpodstawowywcityZnak">
    <w:name w:val="Tekst podstawowy wcięty Znak"/>
    <w:basedOn w:val="Domylnaczcionkaakapitu"/>
    <w:link w:val="Tekstpodstawowywcity"/>
    <w:uiPriority w:val="98"/>
    <w:semiHidden/>
    <w:rsid w:val="002B5B43"/>
    <w:rPr>
      <w:sz w:val="24"/>
    </w:rPr>
  </w:style>
  <w:style w:type="paragraph" w:styleId="Tekstpodstawowyzwciciem2">
    <w:name w:val="Body Text First Indent 2"/>
    <w:basedOn w:val="Tekstpodstawowywcity"/>
    <w:link w:val="Tekstpodstawowyzwciciem2Znak"/>
    <w:uiPriority w:val="98"/>
    <w:semiHidden/>
    <w:rsid w:val="002B5B43"/>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B5B43"/>
    <w:rPr>
      <w:sz w:val="24"/>
    </w:rPr>
  </w:style>
  <w:style w:type="paragraph" w:styleId="Tekstpodstawowywcity2">
    <w:name w:val="Body Text Indent 2"/>
    <w:basedOn w:val="Normalny"/>
    <w:link w:val="Tekstpodstawowywcity2Znak"/>
    <w:uiPriority w:val="98"/>
    <w:semiHidden/>
    <w:rsid w:val="002B5B43"/>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B5B43"/>
    <w:rPr>
      <w:sz w:val="24"/>
    </w:rPr>
  </w:style>
  <w:style w:type="paragraph" w:styleId="Tekstpodstawowywcity3">
    <w:name w:val="Body Text Indent 3"/>
    <w:basedOn w:val="Normalny"/>
    <w:link w:val="Tekstpodstawowywcity3Znak"/>
    <w:uiPriority w:val="98"/>
    <w:semiHidden/>
    <w:rsid w:val="002B5B43"/>
    <w:pPr>
      <w:spacing w:after="120"/>
      <w:ind w:left="283"/>
    </w:pPr>
    <w:rPr>
      <w:sz w:val="16"/>
    </w:rPr>
  </w:style>
  <w:style w:type="character" w:customStyle="1" w:styleId="Tekstpodstawowywcity3Znak">
    <w:name w:val="Tekst podstawowy wcięty 3 Znak"/>
    <w:basedOn w:val="Domylnaczcionkaakapitu"/>
    <w:link w:val="Tekstpodstawowywcity3"/>
    <w:uiPriority w:val="98"/>
    <w:semiHidden/>
    <w:rsid w:val="002B5B43"/>
    <w:rPr>
      <w:sz w:val="16"/>
    </w:rPr>
  </w:style>
  <w:style w:type="paragraph" w:styleId="Legenda">
    <w:name w:val="caption"/>
    <w:basedOn w:val="Normalny"/>
    <w:next w:val="Normalny"/>
    <w:uiPriority w:val="98"/>
    <w:semiHidden/>
    <w:qFormat/>
    <w:rsid w:val="002B5B43"/>
    <w:pPr>
      <w:spacing w:after="200"/>
    </w:pPr>
    <w:rPr>
      <w:b/>
      <w:color w:val="0072BC" w:themeColor="accent1"/>
      <w:sz w:val="18"/>
    </w:rPr>
  </w:style>
  <w:style w:type="paragraph" w:styleId="Zwrotpoegnalny">
    <w:name w:val="Closing"/>
    <w:basedOn w:val="Normalny"/>
    <w:link w:val="ZwrotpoegnalnyZnak"/>
    <w:uiPriority w:val="98"/>
    <w:semiHidden/>
    <w:rsid w:val="002B5B43"/>
    <w:pPr>
      <w:ind w:left="4252"/>
    </w:pPr>
  </w:style>
  <w:style w:type="character" w:customStyle="1" w:styleId="ZwrotpoegnalnyZnak">
    <w:name w:val="Zwrot pożegnalny Znak"/>
    <w:basedOn w:val="Domylnaczcionkaakapitu"/>
    <w:link w:val="Zwrotpoegnalny"/>
    <w:uiPriority w:val="98"/>
    <w:semiHidden/>
    <w:rsid w:val="002B5B43"/>
    <w:rPr>
      <w:sz w:val="24"/>
    </w:rPr>
  </w:style>
  <w:style w:type="table" w:styleId="Kolorowasiatka">
    <w:name w:val="Colorful Grid"/>
    <w:basedOn w:val="Standardowy"/>
    <w:uiPriority w:val="73"/>
    <w:semiHidden/>
    <w:rsid w:val="002B5B43"/>
    <w:rPr>
      <w:color w:val="000000" w:themeColor="text1"/>
      <w:sz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B5B43"/>
    <w:rPr>
      <w:color w:val="000000" w:themeColor="text1"/>
      <w:sz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B5B43"/>
    <w:rPr>
      <w:color w:val="000000" w:themeColor="text1"/>
      <w:sz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B5B43"/>
    <w:rPr>
      <w:color w:val="000000" w:themeColor="text1"/>
      <w:sz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2B5B43"/>
    <w:rPr>
      <w:color w:val="000000" w:themeColor="text1"/>
      <w:sz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B5B43"/>
    <w:rPr>
      <w:color w:val="000000" w:themeColor="text1"/>
      <w:sz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B5B43"/>
    <w:rPr>
      <w:color w:val="000000" w:themeColor="text1"/>
      <w:sz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B5B43"/>
    <w:rPr>
      <w:color w:val="000000" w:themeColor="text1"/>
      <w:sz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B5B43"/>
    <w:rPr>
      <w:color w:val="000000" w:themeColor="text1"/>
      <w:sz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B5B43"/>
    <w:rPr>
      <w:color w:val="000000" w:themeColor="text1"/>
      <w:sz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B5B43"/>
    <w:rPr>
      <w:color w:val="000000" w:themeColor="text1"/>
      <w:sz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2B5B43"/>
    <w:rPr>
      <w:color w:val="000000" w:themeColor="text1"/>
      <w:sz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B5B43"/>
    <w:rPr>
      <w:color w:val="000000" w:themeColor="text1"/>
      <w:sz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B5B43"/>
    <w:rPr>
      <w:color w:val="000000" w:themeColor="text1"/>
      <w:sz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B5B43"/>
    <w:rPr>
      <w:color w:val="000000" w:themeColor="text1"/>
      <w:sz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B5B43"/>
    <w:rPr>
      <w:color w:val="000000" w:themeColor="text1"/>
      <w:sz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B5B43"/>
    <w:rPr>
      <w:color w:val="000000" w:themeColor="text1"/>
      <w:sz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B5B43"/>
    <w:rPr>
      <w:color w:val="000000" w:themeColor="text1"/>
      <w:sz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2B5B43"/>
    <w:rPr>
      <w:color w:val="000000" w:themeColor="text1"/>
      <w:sz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B5B43"/>
    <w:rPr>
      <w:color w:val="000000" w:themeColor="text1"/>
      <w:sz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B5B43"/>
    <w:rPr>
      <w:color w:val="000000" w:themeColor="text1"/>
      <w:sz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B5B43"/>
    <w:rPr>
      <w:sz w:val="16"/>
    </w:rPr>
  </w:style>
  <w:style w:type="paragraph" w:styleId="Tekstkomentarza">
    <w:name w:val="annotation text"/>
    <w:basedOn w:val="Normalny"/>
    <w:link w:val="TekstkomentarzaZnak"/>
    <w:uiPriority w:val="98"/>
    <w:semiHidden/>
    <w:rsid w:val="002B5B43"/>
    <w:rPr>
      <w:sz w:val="20"/>
    </w:rPr>
  </w:style>
  <w:style w:type="character" w:customStyle="1" w:styleId="TekstkomentarzaZnak">
    <w:name w:val="Tekst komentarza Znak"/>
    <w:basedOn w:val="Domylnaczcionkaakapitu"/>
    <w:link w:val="Tekstkomentarza"/>
    <w:uiPriority w:val="98"/>
    <w:semiHidden/>
    <w:rsid w:val="002B5B43"/>
    <w:rPr>
      <w:sz w:val="20"/>
    </w:rPr>
  </w:style>
  <w:style w:type="paragraph" w:styleId="Tematkomentarza">
    <w:name w:val="annotation subject"/>
    <w:basedOn w:val="Tekstkomentarza"/>
    <w:next w:val="Tekstkomentarza"/>
    <w:link w:val="TematkomentarzaZnak"/>
    <w:uiPriority w:val="98"/>
    <w:semiHidden/>
    <w:rsid w:val="002B5B43"/>
    <w:rPr>
      <w:b/>
    </w:rPr>
  </w:style>
  <w:style w:type="character" w:customStyle="1" w:styleId="TematkomentarzaZnak">
    <w:name w:val="Temat komentarza Znak"/>
    <w:basedOn w:val="TekstkomentarzaZnak"/>
    <w:link w:val="Tematkomentarza"/>
    <w:uiPriority w:val="98"/>
    <w:semiHidden/>
    <w:rsid w:val="002B5B43"/>
    <w:rPr>
      <w:b/>
      <w:sz w:val="20"/>
    </w:rPr>
  </w:style>
  <w:style w:type="table" w:styleId="Ciemnalista">
    <w:name w:val="Dark List"/>
    <w:basedOn w:val="Standardowy"/>
    <w:uiPriority w:val="70"/>
    <w:semiHidden/>
    <w:rsid w:val="002B5B43"/>
    <w:rPr>
      <w:color w:val="FFFFFF" w:themeColor="background1"/>
      <w:sz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B5B43"/>
    <w:rPr>
      <w:color w:val="FFFFFF" w:themeColor="background1"/>
      <w:sz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B5B43"/>
    <w:rPr>
      <w:color w:val="FFFFFF" w:themeColor="background1"/>
      <w:sz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B5B43"/>
    <w:rPr>
      <w:color w:val="FFFFFF" w:themeColor="background1"/>
      <w:sz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2B5B43"/>
    <w:rPr>
      <w:color w:val="FFFFFF" w:themeColor="background1"/>
      <w:sz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B5B43"/>
    <w:rPr>
      <w:color w:val="FFFFFF" w:themeColor="background1"/>
      <w:sz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B5B43"/>
    <w:rPr>
      <w:color w:val="FFFFFF" w:themeColor="background1"/>
      <w:sz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B5B43"/>
  </w:style>
  <w:style w:type="character" w:customStyle="1" w:styleId="DataZnak">
    <w:name w:val="Data Znak"/>
    <w:basedOn w:val="Domylnaczcionkaakapitu"/>
    <w:link w:val="Data"/>
    <w:uiPriority w:val="98"/>
    <w:semiHidden/>
    <w:rsid w:val="002B5B43"/>
    <w:rPr>
      <w:sz w:val="24"/>
    </w:rPr>
  </w:style>
  <w:style w:type="paragraph" w:styleId="Mapadokumentu">
    <w:name w:val="Document Map"/>
    <w:basedOn w:val="Normalny"/>
    <w:link w:val="MapadokumentuZnak"/>
    <w:uiPriority w:val="98"/>
    <w:semiHidden/>
    <w:rsid w:val="002B5B43"/>
    <w:rPr>
      <w:rFonts w:ascii="Tahoma" w:hAnsi="Tahoma" w:cs="Tahoma"/>
      <w:sz w:val="16"/>
    </w:rPr>
  </w:style>
  <w:style w:type="character" w:customStyle="1" w:styleId="MapadokumentuZnak">
    <w:name w:val="Mapa dokumentu Znak"/>
    <w:basedOn w:val="Domylnaczcionkaakapitu"/>
    <w:link w:val="Mapadokumentu"/>
    <w:uiPriority w:val="98"/>
    <w:semiHidden/>
    <w:rsid w:val="002B5B43"/>
    <w:rPr>
      <w:rFonts w:ascii="Tahoma" w:hAnsi="Tahoma" w:cs="Tahoma"/>
      <w:sz w:val="16"/>
    </w:rPr>
  </w:style>
  <w:style w:type="paragraph" w:styleId="Podpise-mail">
    <w:name w:val="E-mail Signature"/>
    <w:basedOn w:val="Normalny"/>
    <w:link w:val="Podpise-mailZnak"/>
    <w:uiPriority w:val="98"/>
    <w:semiHidden/>
    <w:rsid w:val="002B5B43"/>
  </w:style>
  <w:style w:type="character" w:customStyle="1" w:styleId="Podpise-mailZnak">
    <w:name w:val="Podpis e-mail Znak"/>
    <w:basedOn w:val="Domylnaczcionkaakapitu"/>
    <w:link w:val="Podpise-mail"/>
    <w:uiPriority w:val="98"/>
    <w:semiHidden/>
    <w:rsid w:val="002B5B43"/>
    <w:rPr>
      <w:sz w:val="24"/>
    </w:rPr>
  </w:style>
  <w:style w:type="character" w:styleId="Odwoanieprzypisukocowego">
    <w:name w:val="endnote reference"/>
    <w:basedOn w:val="Domylnaczcionkaakapitu"/>
    <w:uiPriority w:val="98"/>
    <w:semiHidden/>
    <w:rsid w:val="002B5B43"/>
    <w:rPr>
      <w:vertAlign w:val="superscript"/>
    </w:rPr>
  </w:style>
  <w:style w:type="paragraph" w:styleId="Tekstprzypisukocowego">
    <w:name w:val="endnote text"/>
    <w:basedOn w:val="Normalny"/>
    <w:link w:val="TekstprzypisukocowegoZnak"/>
    <w:uiPriority w:val="98"/>
    <w:semiHidden/>
    <w:rsid w:val="002B5B43"/>
    <w:rPr>
      <w:sz w:val="20"/>
    </w:rPr>
  </w:style>
  <w:style w:type="character" w:customStyle="1" w:styleId="TekstprzypisukocowegoZnak">
    <w:name w:val="Tekst przypisu końcowego Znak"/>
    <w:basedOn w:val="Domylnaczcionkaakapitu"/>
    <w:link w:val="Tekstprzypisukocowego"/>
    <w:uiPriority w:val="98"/>
    <w:semiHidden/>
    <w:rsid w:val="002B5B43"/>
    <w:rPr>
      <w:sz w:val="20"/>
    </w:rPr>
  </w:style>
  <w:style w:type="paragraph" w:styleId="Adresnakopercie">
    <w:name w:val="envelope address"/>
    <w:basedOn w:val="Normalny"/>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B5B43"/>
    <w:rPr>
      <w:rFonts w:asciiTheme="majorHAnsi" w:eastAsiaTheme="majorEastAsia" w:hAnsiTheme="majorHAnsi" w:cstheme="majorBidi"/>
      <w:sz w:val="20"/>
    </w:rPr>
  </w:style>
  <w:style w:type="character" w:styleId="UyteHipercze">
    <w:name w:val="FollowedHyperlink"/>
    <w:basedOn w:val="Domylnaczcionkaakapitu"/>
    <w:uiPriority w:val="98"/>
    <w:semiHidden/>
    <w:rsid w:val="002B5B43"/>
    <w:rPr>
      <w:color w:val="7030A0" w:themeColor="followedHyperlink"/>
      <w:u w:val="single"/>
    </w:rPr>
  </w:style>
  <w:style w:type="character" w:styleId="HTML-akronim">
    <w:name w:val="HTML Acronym"/>
    <w:basedOn w:val="Domylnaczcionkaakapitu"/>
    <w:uiPriority w:val="98"/>
    <w:semiHidden/>
    <w:rsid w:val="002B5B43"/>
  </w:style>
  <w:style w:type="paragraph" w:styleId="HTML-adres">
    <w:name w:val="HTML Address"/>
    <w:basedOn w:val="Normalny"/>
    <w:link w:val="HTML-adresZnak"/>
    <w:uiPriority w:val="98"/>
    <w:semiHidden/>
    <w:rsid w:val="002B5B43"/>
    <w:rPr>
      <w:i/>
    </w:rPr>
  </w:style>
  <w:style w:type="character" w:customStyle="1" w:styleId="HTML-adresZnak">
    <w:name w:val="HTML - adres Znak"/>
    <w:basedOn w:val="Domylnaczcionkaakapitu"/>
    <w:link w:val="HTML-adres"/>
    <w:uiPriority w:val="98"/>
    <w:semiHidden/>
    <w:rsid w:val="002B5B43"/>
    <w:rPr>
      <w:i/>
      <w:sz w:val="24"/>
    </w:rPr>
  </w:style>
  <w:style w:type="character" w:styleId="HTML-cytat">
    <w:name w:val="HTML Cite"/>
    <w:basedOn w:val="Domylnaczcionkaakapitu"/>
    <w:uiPriority w:val="98"/>
    <w:semiHidden/>
    <w:rsid w:val="002B5B43"/>
    <w:rPr>
      <w:i/>
    </w:rPr>
  </w:style>
  <w:style w:type="character" w:styleId="HTML-kod">
    <w:name w:val="HTML Code"/>
    <w:basedOn w:val="Domylnaczcionkaakapitu"/>
    <w:uiPriority w:val="98"/>
    <w:semiHidden/>
    <w:rsid w:val="002B5B43"/>
    <w:rPr>
      <w:rFonts w:ascii="Consolas" w:hAnsi="Consolas" w:cs="Consolas"/>
      <w:sz w:val="20"/>
    </w:rPr>
  </w:style>
  <w:style w:type="character" w:styleId="HTML-definicja">
    <w:name w:val="HTML Definition"/>
    <w:basedOn w:val="Domylnaczcionkaakapitu"/>
    <w:uiPriority w:val="98"/>
    <w:semiHidden/>
    <w:rsid w:val="002B5B43"/>
    <w:rPr>
      <w:i/>
    </w:rPr>
  </w:style>
  <w:style w:type="character" w:styleId="HTML-klawiatura">
    <w:name w:val="HTML Keyboard"/>
    <w:basedOn w:val="Domylnaczcionkaakapitu"/>
    <w:uiPriority w:val="98"/>
    <w:semiHidden/>
    <w:rsid w:val="002B5B43"/>
    <w:rPr>
      <w:rFonts w:ascii="Consolas" w:hAnsi="Consolas" w:cs="Consolas"/>
      <w:sz w:val="20"/>
    </w:rPr>
  </w:style>
  <w:style w:type="paragraph" w:styleId="HTML-wstpniesformatowany">
    <w:name w:val="HTML Preformatted"/>
    <w:basedOn w:val="Normalny"/>
    <w:link w:val="HTML-wstpniesformatowanyZnak"/>
    <w:uiPriority w:val="98"/>
    <w:semiHidden/>
    <w:rsid w:val="002B5B43"/>
    <w:rPr>
      <w:rFonts w:ascii="Consolas" w:hAnsi="Consolas" w:cs="Consolas"/>
      <w:sz w:val="20"/>
    </w:rPr>
  </w:style>
  <w:style w:type="character" w:customStyle="1" w:styleId="HTML-wstpniesformatowanyZnak">
    <w:name w:val="HTML - wstępnie sformatowany Znak"/>
    <w:basedOn w:val="Domylnaczcionkaakapitu"/>
    <w:link w:val="HTML-wstpniesformatowany"/>
    <w:uiPriority w:val="98"/>
    <w:semiHidden/>
    <w:rsid w:val="002B5B43"/>
    <w:rPr>
      <w:rFonts w:ascii="Consolas" w:hAnsi="Consolas" w:cs="Consolas"/>
      <w:sz w:val="20"/>
    </w:rPr>
  </w:style>
  <w:style w:type="character" w:styleId="HTML-przykad">
    <w:name w:val="HTML Sample"/>
    <w:basedOn w:val="Domylnaczcionkaakapitu"/>
    <w:uiPriority w:val="98"/>
    <w:semiHidden/>
    <w:rsid w:val="002B5B43"/>
    <w:rPr>
      <w:rFonts w:ascii="Consolas" w:hAnsi="Consolas" w:cs="Consolas"/>
      <w:sz w:val="24"/>
    </w:rPr>
  </w:style>
  <w:style w:type="character" w:styleId="HTML-staaszeroko">
    <w:name w:val="HTML Typewriter"/>
    <w:basedOn w:val="Domylnaczcionkaakapitu"/>
    <w:uiPriority w:val="98"/>
    <w:semiHidden/>
    <w:rsid w:val="002B5B43"/>
    <w:rPr>
      <w:rFonts w:ascii="Consolas" w:hAnsi="Consolas" w:cs="Consolas"/>
      <w:sz w:val="20"/>
    </w:rPr>
  </w:style>
  <w:style w:type="character" w:styleId="HTML-zmienna">
    <w:name w:val="HTML Variable"/>
    <w:basedOn w:val="Domylnaczcionkaakapitu"/>
    <w:uiPriority w:val="98"/>
    <w:semiHidden/>
    <w:rsid w:val="002B5B43"/>
    <w:rPr>
      <w:i/>
    </w:rPr>
  </w:style>
  <w:style w:type="paragraph" w:styleId="Indeks1">
    <w:name w:val="index 1"/>
    <w:basedOn w:val="Normalny"/>
    <w:next w:val="Normalny"/>
    <w:autoRedefine/>
    <w:uiPriority w:val="98"/>
    <w:semiHidden/>
    <w:rsid w:val="002B5B43"/>
    <w:pPr>
      <w:ind w:left="240" w:hanging="240"/>
    </w:pPr>
  </w:style>
  <w:style w:type="paragraph" w:styleId="Indeks2">
    <w:name w:val="index 2"/>
    <w:basedOn w:val="Normalny"/>
    <w:next w:val="Normalny"/>
    <w:autoRedefine/>
    <w:uiPriority w:val="98"/>
    <w:semiHidden/>
    <w:rsid w:val="002B5B43"/>
    <w:pPr>
      <w:ind w:left="480" w:hanging="240"/>
    </w:pPr>
  </w:style>
  <w:style w:type="paragraph" w:styleId="Indeks3">
    <w:name w:val="index 3"/>
    <w:basedOn w:val="Normalny"/>
    <w:next w:val="Normalny"/>
    <w:autoRedefine/>
    <w:uiPriority w:val="98"/>
    <w:semiHidden/>
    <w:rsid w:val="002B5B43"/>
    <w:pPr>
      <w:ind w:left="720" w:hanging="240"/>
    </w:pPr>
  </w:style>
  <w:style w:type="paragraph" w:styleId="Indeks4">
    <w:name w:val="index 4"/>
    <w:basedOn w:val="Normalny"/>
    <w:next w:val="Normalny"/>
    <w:autoRedefine/>
    <w:uiPriority w:val="98"/>
    <w:semiHidden/>
    <w:rsid w:val="002B5B43"/>
    <w:pPr>
      <w:ind w:left="960" w:hanging="240"/>
    </w:pPr>
  </w:style>
  <w:style w:type="paragraph" w:styleId="Indeks5">
    <w:name w:val="index 5"/>
    <w:basedOn w:val="Normalny"/>
    <w:next w:val="Normalny"/>
    <w:autoRedefine/>
    <w:uiPriority w:val="98"/>
    <w:semiHidden/>
    <w:rsid w:val="002B5B43"/>
    <w:pPr>
      <w:ind w:left="1200" w:hanging="240"/>
    </w:pPr>
  </w:style>
  <w:style w:type="paragraph" w:styleId="Indeks6">
    <w:name w:val="index 6"/>
    <w:basedOn w:val="Normalny"/>
    <w:next w:val="Normalny"/>
    <w:autoRedefine/>
    <w:uiPriority w:val="98"/>
    <w:semiHidden/>
    <w:rsid w:val="002B5B43"/>
    <w:pPr>
      <w:ind w:left="1440" w:hanging="240"/>
    </w:pPr>
  </w:style>
  <w:style w:type="paragraph" w:styleId="Indeks7">
    <w:name w:val="index 7"/>
    <w:basedOn w:val="Normalny"/>
    <w:next w:val="Normalny"/>
    <w:autoRedefine/>
    <w:uiPriority w:val="98"/>
    <w:semiHidden/>
    <w:rsid w:val="002B5B43"/>
    <w:pPr>
      <w:ind w:left="1680" w:hanging="240"/>
    </w:pPr>
  </w:style>
  <w:style w:type="paragraph" w:styleId="Indeks8">
    <w:name w:val="index 8"/>
    <w:basedOn w:val="Normalny"/>
    <w:next w:val="Normalny"/>
    <w:autoRedefine/>
    <w:uiPriority w:val="98"/>
    <w:semiHidden/>
    <w:rsid w:val="002B5B43"/>
    <w:pPr>
      <w:ind w:left="1920" w:hanging="240"/>
    </w:pPr>
  </w:style>
  <w:style w:type="paragraph" w:styleId="Indeks9">
    <w:name w:val="index 9"/>
    <w:basedOn w:val="Normalny"/>
    <w:next w:val="Normalny"/>
    <w:autoRedefine/>
    <w:uiPriority w:val="98"/>
    <w:semiHidden/>
    <w:rsid w:val="002B5B43"/>
    <w:pPr>
      <w:ind w:left="2160" w:hanging="240"/>
    </w:pPr>
  </w:style>
  <w:style w:type="paragraph" w:styleId="Nagwekindeksu">
    <w:name w:val="index heading"/>
    <w:basedOn w:val="Normalny"/>
    <w:next w:val="Indeks1"/>
    <w:uiPriority w:val="98"/>
    <w:semiHidden/>
    <w:rsid w:val="002B5B43"/>
    <w:rPr>
      <w:rFonts w:asciiTheme="majorHAnsi" w:eastAsiaTheme="majorEastAsia" w:hAnsiTheme="majorHAnsi" w:cstheme="majorBidi"/>
      <w:b/>
    </w:rPr>
  </w:style>
  <w:style w:type="table" w:styleId="Jasnasiatka">
    <w:name w:val="Light Grid"/>
    <w:basedOn w:val="Standardowy"/>
    <w:uiPriority w:val="62"/>
    <w:semiHidden/>
    <w:rsid w:val="002B5B43"/>
    <w:rPr>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B5B43"/>
    <w:rPr>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B5B43"/>
    <w:rPr>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B5B43"/>
    <w:rPr>
      <w:sz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2B5B43"/>
    <w:rPr>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B5B43"/>
    <w:rPr>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B5B43"/>
    <w:rPr>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B5B43"/>
    <w:rPr>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B5B43"/>
    <w:rPr>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B5B43"/>
    <w:rPr>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B5B43"/>
    <w:rPr>
      <w:sz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2B5B43"/>
    <w:rPr>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B5B43"/>
    <w:rPr>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B5B43"/>
    <w:rPr>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B5B43"/>
    <w:rPr>
      <w:color w:val="000000" w:themeColor="text1" w:themeShade="BF"/>
      <w:sz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B5B43"/>
    <w:rPr>
      <w:color w:val="00548C" w:themeColor="accent1" w:themeShade="BF"/>
      <w:sz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B5B43"/>
    <w:rPr>
      <w:color w:val="8F0000" w:themeColor="accent2" w:themeShade="BF"/>
      <w:sz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B5B43"/>
    <w:rPr>
      <w:color w:val="424242" w:themeColor="accent3" w:themeShade="BF"/>
      <w:sz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2B5B43"/>
    <w:rPr>
      <w:color w:val="707070" w:themeColor="accent4" w:themeShade="BF"/>
      <w:sz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B5B43"/>
    <w:rPr>
      <w:color w:val="474747" w:themeColor="accent5" w:themeShade="BF"/>
      <w:sz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B5B43"/>
    <w:rPr>
      <w:color w:val="393939" w:themeColor="accent6" w:themeShade="BF"/>
      <w:sz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B5B43"/>
  </w:style>
  <w:style w:type="paragraph" w:styleId="Lista">
    <w:name w:val="List"/>
    <w:basedOn w:val="Normalny"/>
    <w:uiPriority w:val="98"/>
    <w:semiHidden/>
    <w:rsid w:val="002B5B43"/>
    <w:pPr>
      <w:ind w:left="283" w:hanging="283"/>
      <w:contextualSpacing/>
    </w:pPr>
  </w:style>
  <w:style w:type="paragraph" w:styleId="Lista2">
    <w:name w:val="List 2"/>
    <w:basedOn w:val="Normalny"/>
    <w:uiPriority w:val="98"/>
    <w:semiHidden/>
    <w:rsid w:val="002B5B43"/>
    <w:pPr>
      <w:ind w:left="566" w:hanging="283"/>
      <w:contextualSpacing/>
    </w:pPr>
  </w:style>
  <w:style w:type="paragraph" w:styleId="Lista3">
    <w:name w:val="List 3"/>
    <w:basedOn w:val="Normalny"/>
    <w:uiPriority w:val="98"/>
    <w:semiHidden/>
    <w:rsid w:val="002B5B43"/>
    <w:pPr>
      <w:ind w:left="849" w:hanging="283"/>
      <w:contextualSpacing/>
    </w:pPr>
  </w:style>
  <w:style w:type="paragraph" w:styleId="Lista4">
    <w:name w:val="List 4"/>
    <w:basedOn w:val="Normalny"/>
    <w:uiPriority w:val="98"/>
    <w:semiHidden/>
    <w:rsid w:val="002B5B43"/>
    <w:pPr>
      <w:ind w:left="1132" w:hanging="283"/>
      <w:contextualSpacing/>
    </w:pPr>
  </w:style>
  <w:style w:type="paragraph" w:styleId="Lista5">
    <w:name w:val="List 5"/>
    <w:basedOn w:val="Normalny"/>
    <w:uiPriority w:val="98"/>
    <w:semiHidden/>
    <w:rsid w:val="002B5B43"/>
    <w:pPr>
      <w:ind w:left="1415" w:hanging="283"/>
      <w:contextualSpacing/>
    </w:pPr>
  </w:style>
  <w:style w:type="paragraph" w:styleId="Listapunktowana2">
    <w:name w:val="List Bullet 2"/>
    <w:basedOn w:val="Normalny"/>
    <w:uiPriority w:val="98"/>
    <w:semiHidden/>
    <w:rsid w:val="002B5B43"/>
    <w:pPr>
      <w:numPr>
        <w:numId w:val="12"/>
      </w:numPr>
      <w:contextualSpacing/>
    </w:pPr>
  </w:style>
  <w:style w:type="paragraph" w:styleId="Listapunktowana4">
    <w:name w:val="List Bullet 4"/>
    <w:basedOn w:val="Normalny"/>
    <w:uiPriority w:val="98"/>
    <w:semiHidden/>
    <w:rsid w:val="002B5B43"/>
    <w:pPr>
      <w:numPr>
        <w:numId w:val="14"/>
      </w:numPr>
      <w:contextualSpacing/>
    </w:pPr>
  </w:style>
  <w:style w:type="paragraph" w:styleId="Listapunktowana5">
    <w:name w:val="List Bullet 5"/>
    <w:basedOn w:val="Normalny"/>
    <w:uiPriority w:val="98"/>
    <w:semiHidden/>
    <w:rsid w:val="002B5B43"/>
    <w:pPr>
      <w:numPr>
        <w:numId w:val="15"/>
      </w:numPr>
      <w:contextualSpacing/>
    </w:pPr>
  </w:style>
  <w:style w:type="paragraph" w:styleId="Lista-kontynuacja">
    <w:name w:val="List Continue"/>
    <w:basedOn w:val="Normalny"/>
    <w:uiPriority w:val="98"/>
    <w:semiHidden/>
    <w:rsid w:val="002B5B43"/>
    <w:pPr>
      <w:spacing w:after="120"/>
      <w:ind w:left="283"/>
      <w:contextualSpacing/>
    </w:pPr>
  </w:style>
  <w:style w:type="paragraph" w:styleId="Lista-kontynuacja2">
    <w:name w:val="List Continue 2"/>
    <w:basedOn w:val="Normalny"/>
    <w:uiPriority w:val="98"/>
    <w:semiHidden/>
    <w:rsid w:val="002B5B43"/>
    <w:pPr>
      <w:spacing w:after="120"/>
      <w:ind w:left="566"/>
      <w:contextualSpacing/>
    </w:pPr>
  </w:style>
  <w:style w:type="paragraph" w:styleId="Lista-kontynuacja3">
    <w:name w:val="List Continue 3"/>
    <w:basedOn w:val="Normalny"/>
    <w:uiPriority w:val="98"/>
    <w:semiHidden/>
    <w:rsid w:val="002B5B43"/>
    <w:pPr>
      <w:spacing w:after="120"/>
      <w:ind w:left="849"/>
      <w:contextualSpacing/>
    </w:pPr>
  </w:style>
  <w:style w:type="paragraph" w:styleId="Lista-kontynuacja4">
    <w:name w:val="List Continue 4"/>
    <w:basedOn w:val="Normalny"/>
    <w:uiPriority w:val="98"/>
    <w:semiHidden/>
    <w:rsid w:val="002B5B43"/>
    <w:pPr>
      <w:spacing w:after="120"/>
      <w:ind w:left="1132"/>
      <w:contextualSpacing/>
    </w:pPr>
  </w:style>
  <w:style w:type="paragraph" w:styleId="Lista-kontynuacja5">
    <w:name w:val="List Continue 5"/>
    <w:basedOn w:val="Normalny"/>
    <w:uiPriority w:val="98"/>
    <w:semiHidden/>
    <w:rsid w:val="002B5B43"/>
    <w:pPr>
      <w:spacing w:after="120"/>
      <w:ind w:left="1415"/>
      <w:contextualSpacing/>
    </w:pPr>
  </w:style>
  <w:style w:type="paragraph" w:styleId="Listanumerowana">
    <w:name w:val="List Number"/>
    <w:basedOn w:val="Normalny"/>
    <w:uiPriority w:val="98"/>
    <w:semiHidden/>
    <w:rsid w:val="002B5B43"/>
    <w:pPr>
      <w:numPr>
        <w:numId w:val="16"/>
      </w:numPr>
      <w:contextualSpacing/>
    </w:pPr>
  </w:style>
  <w:style w:type="paragraph" w:styleId="Listanumerowana2">
    <w:name w:val="List Number 2"/>
    <w:basedOn w:val="Normalny"/>
    <w:uiPriority w:val="98"/>
    <w:semiHidden/>
    <w:rsid w:val="002B5B43"/>
    <w:pPr>
      <w:numPr>
        <w:numId w:val="17"/>
      </w:numPr>
      <w:contextualSpacing/>
    </w:pPr>
  </w:style>
  <w:style w:type="paragraph" w:styleId="Listanumerowana3">
    <w:name w:val="List Number 3"/>
    <w:basedOn w:val="Normalny"/>
    <w:uiPriority w:val="98"/>
    <w:semiHidden/>
    <w:rsid w:val="002B5B43"/>
    <w:pPr>
      <w:numPr>
        <w:numId w:val="18"/>
      </w:numPr>
      <w:contextualSpacing/>
    </w:pPr>
  </w:style>
  <w:style w:type="paragraph" w:styleId="Listanumerowana4">
    <w:name w:val="List Number 4"/>
    <w:basedOn w:val="Normalny"/>
    <w:uiPriority w:val="98"/>
    <w:semiHidden/>
    <w:rsid w:val="002B5B43"/>
    <w:pPr>
      <w:numPr>
        <w:numId w:val="19"/>
      </w:numPr>
      <w:contextualSpacing/>
    </w:pPr>
  </w:style>
  <w:style w:type="paragraph" w:styleId="Listanumerowana5">
    <w:name w:val="List Number 5"/>
    <w:basedOn w:val="Normalny"/>
    <w:uiPriority w:val="98"/>
    <w:semiHidden/>
    <w:rsid w:val="002B5B43"/>
    <w:pPr>
      <w:numPr>
        <w:numId w:val="20"/>
      </w:numPr>
      <w:contextualSpacing/>
    </w:pPr>
  </w:style>
  <w:style w:type="paragraph" w:styleId="Tekstmakra">
    <w:name w:val="macro"/>
    <w:link w:val="TekstmakraZnak"/>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rPr>
  </w:style>
  <w:style w:type="character" w:customStyle="1" w:styleId="TekstmakraZnak">
    <w:name w:val="Tekst makra Znak"/>
    <w:basedOn w:val="Domylnaczcionkaakapitu"/>
    <w:link w:val="Tekstmakra"/>
    <w:uiPriority w:val="98"/>
    <w:semiHidden/>
    <w:rsid w:val="002B5B43"/>
    <w:rPr>
      <w:rFonts w:ascii="Consolas" w:eastAsiaTheme="minorEastAsia" w:hAnsi="Consolas" w:cs="Consolas"/>
      <w:sz w:val="20"/>
    </w:rPr>
  </w:style>
  <w:style w:type="table" w:styleId="redniasiatka1">
    <w:name w:val="Medium Grid 1"/>
    <w:basedOn w:val="Standardowy"/>
    <w:uiPriority w:val="67"/>
    <w:semiHidden/>
    <w:rsid w:val="002B5B43"/>
    <w:rPr>
      <w:sz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B5B43"/>
    <w:rPr>
      <w:sz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B5B43"/>
    <w:rPr>
      <w:sz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B5B43"/>
    <w:rPr>
      <w:sz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2B5B43"/>
    <w:rPr>
      <w:sz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B5B43"/>
    <w:rPr>
      <w:sz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B5B43"/>
    <w:rPr>
      <w:sz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B5B43"/>
    <w:rPr>
      <w:rFonts w:asciiTheme="majorHAnsi" w:eastAsiaTheme="majorEastAsia" w:hAnsiTheme="majorHAnsi" w:cstheme="majorBidi"/>
      <w:color w:val="000000" w:themeColor="text1"/>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2B5B43"/>
    <w:rPr>
      <w:rFonts w:asciiTheme="majorHAnsi" w:eastAsiaTheme="majorEastAsia" w:hAnsiTheme="majorHAnsi" w:cstheme="majorBidi"/>
      <w:color w:val="000000" w:themeColor="text1"/>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2B5B43"/>
    <w:rPr>
      <w:rFonts w:asciiTheme="majorHAnsi" w:eastAsiaTheme="majorEastAsia" w:hAnsiTheme="majorHAnsi" w:cstheme="majorBidi"/>
      <w:color w:val="000000" w:themeColor="text1"/>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2B5B43"/>
    <w:rPr>
      <w:rFonts w:asciiTheme="majorHAnsi" w:eastAsiaTheme="majorEastAsia" w:hAnsiTheme="majorHAnsi" w:cstheme="majorBidi"/>
      <w:color w:val="000000" w:themeColor="text1"/>
      <w:sz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2B5B43"/>
    <w:rPr>
      <w:rFonts w:asciiTheme="majorHAnsi" w:eastAsiaTheme="majorEastAsia" w:hAnsiTheme="majorHAnsi" w:cstheme="majorBidi"/>
      <w:color w:val="000000" w:themeColor="text1"/>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2B5B43"/>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2B5B43"/>
    <w:rPr>
      <w:rFonts w:asciiTheme="majorHAnsi" w:eastAsiaTheme="majorEastAsia" w:hAnsiTheme="majorHAnsi" w:cstheme="majorBidi"/>
      <w:color w:val="000000" w:themeColor="text1"/>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2B5B43"/>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B5B43"/>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B5B43"/>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B5B43"/>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2B5B43"/>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B5B43"/>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B5B43"/>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2B5B43"/>
    <w:rPr>
      <w:color w:val="000000" w:themeColor="text1"/>
      <w:sz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B5B43"/>
    <w:rPr>
      <w:color w:val="000000" w:themeColor="text1"/>
      <w:sz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B5B43"/>
    <w:rPr>
      <w:color w:val="000000" w:themeColor="text1"/>
      <w:sz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B5B43"/>
    <w:rPr>
      <w:color w:val="000000" w:themeColor="text1"/>
      <w:sz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2B5B43"/>
    <w:rPr>
      <w:color w:val="000000" w:themeColor="text1"/>
      <w:sz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B5B43"/>
    <w:rPr>
      <w:color w:val="000000" w:themeColor="text1"/>
      <w:sz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B5B43"/>
    <w:rPr>
      <w:color w:val="000000" w:themeColor="text1"/>
      <w:sz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B5B43"/>
    <w:rPr>
      <w:rFonts w:asciiTheme="majorHAnsi" w:eastAsiaTheme="majorEastAsia" w:hAnsiTheme="majorHAnsi" w:cstheme="majorBidi"/>
      <w:color w:val="000000" w:themeColor="text1"/>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B5B43"/>
    <w:rPr>
      <w:rFonts w:asciiTheme="majorHAnsi" w:eastAsiaTheme="majorEastAsia" w:hAnsiTheme="majorHAnsi" w:cstheme="majorBidi"/>
      <w:color w:val="000000" w:themeColor="text1"/>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B5B43"/>
    <w:rPr>
      <w:rFonts w:asciiTheme="majorHAnsi" w:eastAsiaTheme="majorEastAsia" w:hAnsiTheme="majorHAnsi" w:cstheme="majorBidi"/>
      <w:color w:val="000000" w:themeColor="text1"/>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B5B43"/>
    <w:rPr>
      <w:rFonts w:asciiTheme="majorHAnsi" w:eastAsiaTheme="majorEastAsia" w:hAnsiTheme="majorHAnsi" w:cstheme="majorBidi"/>
      <w:color w:val="000000" w:themeColor="text1"/>
      <w:sz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B5B43"/>
    <w:rPr>
      <w:rFonts w:asciiTheme="majorHAnsi" w:eastAsiaTheme="majorEastAsia" w:hAnsiTheme="majorHAnsi" w:cstheme="majorBidi"/>
      <w:color w:val="000000" w:themeColor="text1"/>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B5B43"/>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B5B43"/>
    <w:rPr>
      <w:rFonts w:asciiTheme="majorHAnsi" w:eastAsiaTheme="majorEastAsia" w:hAnsiTheme="majorHAnsi" w:cstheme="majorBidi"/>
      <w:color w:val="000000" w:themeColor="text1"/>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2B5B43"/>
    <w:rPr>
      <w:sz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B5B43"/>
    <w:rPr>
      <w:sz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B5B43"/>
    <w:rPr>
      <w:sz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B5B43"/>
    <w:rPr>
      <w:sz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B5B43"/>
    <w:rPr>
      <w:sz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B5B43"/>
    <w:rPr>
      <w:sz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B5B43"/>
    <w:rPr>
      <w:sz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B5B43"/>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B5B43"/>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B5B43"/>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B5B43"/>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B5B43"/>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B5B43"/>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B5B43"/>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B5B43"/>
    <w:rPr>
      <w:rFonts w:asciiTheme="majorHAnsi" w:eastAsiaTheme="majorEastAsia" w:hAnsiTheme="majorHAnsi" w:cstheme="majorBidi"/>
      <w:sz w:val="24"/>
      <w:shd w:val="pct20" w:color="auto" w:fill="auto"/>
    </w:rPr>
  </w:style>
  <w:style w:type="paragraph" w:styleId="NormalnyWeb">
    <w:name w:val="Normal (Web)"/>
    <w:basedOn w:val="Normalny"/>
    <w:uiPriority w:val="98"/>
    <w:semiHidden/>
    <w:rsid w:val="002B5B43"/>
    <w:rPr>
      <w:rFonts w:ascii="Times New Roman" w:hAnsi="Times New Roman" w:cs="Times New Roman"/>
    </w:rPr>
  </w:style>
  <w:style w:type="paragraph" w:styleId="Wcicienormalne">
    <w:name w:val="Normal Indent"/>
    <w:basedOn w:val="Normalny"/>
    <w:uiPriority w:val="98"/>
    <w:semiHidden/>
    <w:rsid w:val="002B5B43"/>
    <w:pPr>
      <w:ind w:left="720"/>
    </w:pPr>
  </w:style>
  <w:style w:type="paragraph" w:styleId="Nagweknotatki">
    <w:name w:val="Note Heading"/>
    <w:basedOn w:val="Normalny"/>
    <w:next w:val="Normalny"/>
    <w:link w:val="NagweknotatkiZnak"/>
    <w:uiPriority w:val="98"/>
    <w:semiHidden/>
    <w:rsid w:val="002B5B43"/>
  </w:style>
  <w:style w:type="character" w:customStyle="1" w:styleId="NagweknotatkiZnak">
    <w:name w:val="Nagłówek notatki Znak"/>
    <w:basedOn w:val="Domylnaczcionkaakapitu"/>
    <w:link w:val="Nagweknotatki"/>
    <w:uiPriority w:val="98"/>
    <w:semiHidden/>
    <w:rsid w:val="002B5B43"/>
    <w:rPr>
      <w:sz w:val="24"/>
    </w:rPr>
  </w:style>
  <w:style w:type="character" w:styleId="Tekstzastpczy">
    <w:name w:val="Placeholder Text"/>
    <w:basedOn w:val="Domylnaczcionkaakapitu"/>
    <w:uiPriority w:val="98"/>
    <w:semiHidden/>
    <w:rsid w:val="002B5B43"/>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B5B43"/>
    <w:rPr>
      <w:rFonts w:ascii="Consolas" w:hAnsi="Consolas" w:cs="Consolas"/>
      <w:sz w:val="21"/>
    </w:rPr>
  </w:style>
  <w:style w:type="character" w:customStyle="1" w:styleId="ZwykytekstZnak">
    <w:name w:val="Zwykły tekst Znak"/>
    <w:basedOn w:val="Domylnaczcionkaakapitu"/>
    <w:link w:val="Zwykytekst"/>
    <w:uiPriority w:val="98"/>
    <w:semiHidden/>
    <w:rsid w:val="002B5B43"/>
    <w:rPr>
      <w:rFonts w:ascii="Consolas" w:hAnsi="Consolas" w:cs="Consolas"/>
      <w:sz w:val="21"/>
    </w:rPr>
  </w:style>
  <w:style w:type="paragraph" w:styleId="Zwrotgrzecznociowy">
    <w:name w:val="Salutation"/>
    <w:basedOn w:val="Normalny"/>
    <w:next w:val="Normalny"/>
    <w:link w:val="ZwrotgrzecznociowyZnak"/>
    <w:uiPriority w:val="98"/>
    <w:semiHidden/>
    <w:rsid w:val="002B5B43"/>
  </w:style>
  <w:style w:type="character" w:customStyle="1" w:styleId="ZwrotgrzecznociowyZnak">
    <w:name w:val="Zwrot grzecznościowy Znak"/>
    <w:basedOn w:val="Domylnaczcionkaakapitu"/>
    <w:link w:val="Zwrotgrzecznociowy"/>
    <w:uiPriority w:val="98"/>
    <w:semiHidden/>
    <w:rsid w:val="002B5B43"/>
    <w:rPr>
      <w:sz w:val="24"/>
    </w:rPr>
  </w:style>
  <w:style w:type="paragraph" w:styleId="Podpis">
    <w:name w:val="Signature"/>
    <w:basedOn w:val="Normalny"/>
    <w:link w:val="PodpisZnak"/>
    <w:uiPriority w:val="98"/>
    <w:semiHidden/>
    <w:rsid w:val="002B5B43"/>
    <w:pPr>
      <w:ind w:left="4252"/>
    </w:pPr>
  </w:style>
  <w:style w:type="character" w:customStyle="1" w:styleId="PodpisZnak">
    <w:name w:val="Podpis Znak"/>
    <w:basedOn w:val="Domylnaczcionkaakapitu"/>
    <w:link w:val="Podpis"/>
    <w:uiPriority w:val="98"/>
    <w:semiHidden/>
    <w:rsid w:val="002B5B43"/>
    <w:rPr>
      <w:sz w:val="24"/>
    </w:rPr>
  </w:style>
  <w:style w:type="table" w:styleId="Tabela-Efekty3D1">
    <w:name w:val="Table 3D effects 1"/>
    <w:basedOn w:val="Standardowy"/>
    <w:uiPriority w:val="99"/>
    <w:semiHidden/>
    <w:unhideWhenUsed/>
    <w:rsid w:val="002B5B43"/>
    <w:pPr>
      <w:jc w:val="both"/>
    </w:pPr>
    <w:rPr>
      <w:sz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B5B43"/>
    <w:pPr>
      <w:jc w:val="both"/>
    </w:pPr>
    <w:rPr>
      <w:sz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B5B43"/>
    <w:pPr>
      <w:jc w:val="both"/>
    </w:pPr>
    <w:rPr>
      <w:sz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B5B43"/>
    <w:pPr>
      <w:jc w:val="both"/>
    </w:pPr>
    <w:rPr>
      <w:sz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B5B43"/>
    <w:pPr>
      <w:jc w:val="both"/>
    </w:pPr>
    <w:rPr>
      <w:sz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B5B43"/>
    <w:pPr>
      <w:jc w:val="both"/>
    </w:pPr>
    <w:rPr>
      <w:color w:val="000080"/>
      <w:sz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B5B43"/>
    <w:pPr>
      <w:jc w:val="both"/>
    </w:pPr>
    <w:rPr>
      <w:sz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B5B43"/>
    <w:pPr>
      <w:jc w:val="both"/>
    </w:pPr>
    <w:rPr>
      <w:color w:val="FFFFFF"/>
      <w:sz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B5B43"/>
    <w:pPr>
      <w:jc w:val="both"/>
    </w:pPr>
    <w:rPr>
      <w:sz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B5B43"/>
    <w:pPr>
      <w:jc w:val="both"/>
    </w:pPr>
    <w:rPr>
      <w:sz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B5B43"/>
    <w:pPr>
      <w:jc w:val="both"/>
    </w:pPr>
    <w:rPr>
      <w:b/>
      <w:sz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B5B43"/>
    <w:pPr>
      <w:jc w:val="both"/>
    </w:pPr>
    <w:rPr>
      <w:b/>
      <w:sz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B5B43"/>
    <w:pPr>
      <w:jc w:val="both"/>
    </w:pPr>
    <w:rPr>
      <w:b/>
      <w:sz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B5B43"/>
    <w:pPr>
      <w:jc w:val="both"/>
    </w:pPr>
    <w:rPr>
      <w:sz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B5B43"/>
    <w:pPr>
      <w:jc w:val="both"/>
    </w:pPr>
    <w:rPr>
      <w:sz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B5B43"/>
    <w:pPr>
      <w:jc w:val="both"/>
    </w:pPr>
    <w:rPr>
      <w:sz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B5B43"/>
    <w:pPr>
      <w:jc w:val="both"/>
    </w:pPr>
    <w:rPr>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B5B43"/>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B5B43"/>
    <w:pPr>
      <w:jc w:val="both"/>
    </w:pPr>
    <w:rPr>
      <w:sz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B5B43"/>
    <w:pPr>
      <w:jc w:val="both"/>
    </w:pPr>
    <w:rPr>
      <w:sz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B5B43"/>
    <w:pPr>
      <w:jc w:val="both"/>
    </w:pPr>
    <w:rPr>
      <w:sz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B5B43"/>
    <w:pPr>
      <w:jc w:val="both"/>
    </w:pPr>
    <w:rPr>
      <w:sz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B5B43"/>
    <w:pPr>
      <w:jc w:val="both"/>
    </w:pPr>
    <w:rPr>
      <w:sz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B5B43"/>
    <w:pPr>
      <w:jc w:val="both"/>
    </w:pPr>
    <w:rPr>
      <w:b/>
      <w:sz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B5B43"/>
    <w:pPr>
      <w:jc w:val="both"/>
    </w:pPr>
    <w:rPr>
      <w:sz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B5B43"/>
    <w:pPr>
      <w:jc w:val="both"/>
    </w:pPr>
    <w:rPr>
      <w:sz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B5B43"/>
    <w:pPr>
      <w:jc w:val="both"/>
    </w:pPr>
    <w:rPr>
      <w:sz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B5B43"/>
    <w:pPr>
      <w:jc w:val="both"/>
    </w:pPr>
    <w:rPr>
      <w:sz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B5B43"/>
    <w:pPr>
      <w:jc w:val="both"/>
    </w:pPr>
    <w:rPr>
      <w:sz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B5B43"/>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B5B43"/>
    <w:pPr>
      <w:jc w:val="both"/>
    </w:pPr>
    <w:rPr>
      <w:sz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B5B43"/>
    <w:pPr>
      <w:jc w:val="both"/>
    </w:pPr>
    <w:rPr>
      <w:sz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B5B43"/>
    <w:pPr>
      <w:jc w:val="both"/>
    </w:pPr>
    <w:rPr>
      <w:sz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B5B43"/>
    <w:pPr>
      <w:ind w:left="240" w:hanging="240"/>
    </w:pPr>
  </w:style>
  <w:style w:type="paragraph" w:styleId="Spisilustracji">
    <w:name w:val="table of figures"/>
    <w:basedOn w:val="Normalny"/>
    <w:next w:val="Normalny"/>
    <w:uiPriority w:val="98"/>
    <w:semiHidden/>
    <w:rsid w:val="002B5B43"/>
  </w:style>
  <w:style w:type="table" w:styleId="Tabela-Profesjonalny">
    <w:name w:val="Table Professional"/>
    <w:basedOn w:val="Standardowy"/>
    <w:uiPriority w:val="99"/>
    <w:semiHidden/>
    <w:unhideWhenUsed/>
    <w:rsid w:val="002B5B43"/>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B5B43"/>
    <w:pPr>
      <w:jc w:val="both"/>
    </w:pPr>
    <w:rPr>
      <w:sz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B5B43"/>
    <w:pPr>
      <w:jc w:val="both"/>
    </w:pPr>
    <w:rPr>
      <w:sz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B5B43"/>
    <w:pPr>
      <w:jc w:val="both"/>
    </w:pPr>
    <w:rPr>
      <w:sz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B5B43"/>
    <w:pPr>
      <w:jc w:val="both"/>
    </w:pPr>
    <w:rPr>
      <w:sz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B5B43"/>
    <w:pPr>
      <w:jc w:val="both"/>
    </w:pPr>
    <w:rPr>
      <w:sz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B5B43"/>
    <w:pPr>
      <w:jc w:val="both"/>
    </w:pPr>
    <w:rPr>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B5B43"/>
    <w:pPr>
      <w:jc w:val="both"/>
    </w:pPr>
    <w:rPr>
      <w:sz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B5B43"/>
    <w:pPr>
      <w:jc w:val="both"/>
    </w:pPr>
    <w:rPr>
      <w:sz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B5B43"/>
    <w:pPr>
      <w:jc w:val="both"/>
    </w:pPr>
    <w:rPr>
      <w:sz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B5B4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B5B4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B5B43"/>
    <w:pPr>
      <w:spacing w:after="100"/>
      <w:ind w:left="1680"/>
    </w:pPr>
  </w:style>
  <w:style w:type="paragraph" w:styleId="Spistreci9">
    <w:name w:val="toc 9"/>
    <w:basedOn w:val="Normalny"/>
    <w:next w:val="Normalny"/>
    <w:autoRedefine/>
    <w:uiPriority w:val="98"/>
    <w:semiHidden/>
    <w:rsid w:val="002B5B43"/>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ny"/>
    <w:next w:val="Normalny"/>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B5B43"/>
    <w:rPr>
      <w:rFonts w:ascii="Arial" w:hAnsi="Arial"/>
      <w:i/>
      <w:color w:val="002856"/>
      <w:sz w:val="32"/>
    </w:rPr>
  </w:style>
  <w:style w:type="paragraph" w:customStyle="1" w:styleId="ECHRFooterLineLandscape">
    <w:name w:val="ECHR_Footer_Line_Landscape"/>
    <w:aliases w:val="_Footer_Line_Landscape"/>
    <w:basedOn w:val="Normalny"/>
    <w:uiPriority w:val="30"/>
    <w:semiHidden/>
    <w:rsid w:val="002B5B4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2B5B43"/>
    <w:pPr>
      <w:jc w:val="right"/>
    </w:pPr>
    <w:rPr>
      <w:sz w:val="20"/>
    </w:rPr>
  </w:style>
  <w:style w:type="paragraph" w:customStyle="1" w:styleId="ECHRHeaderRefIt">
    <w:name w:val="ECHR_Header_Ref_It"/>
    <w:aliases w:val="_Ref_Ital"/>
    <w:basedOn w:val="Normalny"/>
    <w:next w:val="ECHRHeaderDate"/>
    <w:uiPriority w:val="43"/>
    <w:semiHidden/>
    <w:qFormat/>
    <w:rsid w:val="002B5B43"/>
    <w:pPr>
      <w:jc w:val="right"/>
    </w:pPr>
    <w:rPr>
      <w:i/>
      <w:sz w:val="20"/>
    </w:rPr>
  </w:style>
  <w:style w:type="paragraph" w:customStyle="1" w:styleId="ECHRHeading9">
    <w:name w:val="ECHR_Heading_9"/>
    <w:aliases w:val="_Head_9"/>
    <w:basedOn w:val="Nagwek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B5B4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omylnaczcionkaakapitu"/>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Standardowy"/>
    <w:uiPriority w:val="99"/>
    <w:rsid w:val="002B5B43"/>
    <w:pPr>
      <w:tabs>
        <w:tab w:val="left" w:pos="567"/>
        <w:tab w:val="left" w:pos="851"/>
        <w:tab w:val="right" w:pos="5273"/>
      </w:tabs>
    </w:pPr>
    <w:rPr>
      <w:color w:val="262626" w:themeColor="text1" w:themeTint="D9"/>
      <w:sz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B5B43"/>
    <w:rPr>
      <w:sz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2B5B4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2B5B4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2B5B4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2B5B4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2B5B4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2B5B4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2B5B43"/>
    <w:pPr>
      <w:outlineLvl w:val="0"/>
    </w:pPr>
  </w:style>
  <w:style w:type="paragraph" w:customStyle="1" w:styleId="ECHRTitleTOC1">
    <w:name w:val="ECHR_Title_TOC_1"/>
    <w:aliases w:val="_Title_L_TOC"/>
    <w:basedOn w:val="ECHRTitle1"/>
    <w:next w:val="Normalny"/>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ny"/>
    <w:uiPriority w:val="45"/>
    <w:semiHidden/>
    <w:rsid w:val="002B5B43"/>
    <w:rPr>
      <w:sz w:val="4"/>
    </w:rPr>
  </w:style>
  <w:style w:type="table" w:customStyle="1" w:styleId="ECHRTableGrey">
    <w:name w:val="ECHR_Table_Grey"/>
    <w:basedOn w:val="Standardowy"/>
    <w:uiPriority w:val="99"/>
    <w:rsid w:val="002B5B4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2B5B43"/>
    <w:rPr>
      <w:color w:val="605E5C"/>
      <w:shd w:val="clear" w:color="auto" w:fill="E1DFDD"/>
    </w:rPr>
  </w:style>
  <w:style w:type="character" w:customStyle="1" w:styleId="JuParaChar">
    <w:name w:val="Ju_Para Char"/>
    <w:aliases w:val="_Para Char"/>
    <w:link w:val="JuPara"/>
    <w:uiPriority w:val="12"/>
    <w:rsid w:val="00746434"/>
    <w:rPr>
      <w:sz w:val="24"/>
    </w:rPr>
  </w:style>
  <w:style w:type="table" w:styleId="Tabelasiatki1jasnaakcent1">
    <w:name w:val="Grid Table 1 Light Accent 1"/>
    <w:basedOn w:val="Standardowy"/>
    <w:uiPriority w:val="46"/>
    <w:semiHidden/>
    <w:rsid w:val="00037EB9"/>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037EB9"/>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037EB9"/>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037EB9"/>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037EB9"/>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037EB9"/>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037EB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037EB9"/>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037EB9"/>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037EB9"/>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037EB9"/>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037EB9"/>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037EB9"/>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037EB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037EB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037EB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037EB9"/>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037EB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037EB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037EB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037EB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037EB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037EB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037EB9"/>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037EB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037EB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037EB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037E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037E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037E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037E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037E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037E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037E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037EB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037EB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037EB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037EB9"/>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037EB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037EB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037EB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037EB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037EB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037EB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037EB9"/>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037EB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037EB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037EB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037EB9"/>
    <w:rPr>
      <w:color w:val="2B579A"/>
      <w:shd w:val="clear" w:color="auto" w:fill="E1DFDD"/>
    </w:rPr>
  </w:style>
  <w:style w:type="table" w:styleId="Tabelalisty1jasna">
    <w:name w:val="List Table 1 Light"/>
    <w:basedOn w:val="Standardowy"/>
    <w:uiPriority w:val="46"/>
    <w:semiHidden/>
    <w:rsid w:val="00037EB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037EB9"/>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037EB9"/>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037EB9"/>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037EB9"/>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037EB9"/>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037EB9"/>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037EB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037EB9"/>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037EB9"/>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037EB9"/>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037EB9"/>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037EB9"/>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037EB9"/>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037EB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037EB9"/>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037EB9"/>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037EB9"/>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037EB9"/>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037EB9"/>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037EB9"/>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037EB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037EB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037EB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037EB9"/>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037EB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037EB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037EB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037EB9"/>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037EB9"/>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037EB9"/>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037EB9"/>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037EB9"/>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037EB9"/>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037EB9"/>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037EB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037EB9"/>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037EB9"/>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037EB9"/>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037EB9"/>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037EB9"/>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037EB9"/>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037EB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037EB9"/>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037EB9"/>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037EB9"/>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037EB9"/>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037EB9"/>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037EB9"/>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037EB9"/>
    <w:rPr>
      <w:color w:val="2B579A"/>
      <w:shd w:val="clear" w:color="auto" w:fill="E1DFDD"/>
    </w:rPr>
  </w:style>
  <w:style w:type="table" w:styleId="Zwykatabela1">
    <w:name w:val="Plain Table 1"/>
    <w:basedOn w:val="Standardowy"/>
    <w:uiPriority w:val="41"/>
    <w:semiHidden/>
    <w:rsid w:val="00037EB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037EB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037EB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037EB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037EB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037EB9"/>
    <w:rPr>
      <w:u w:val="dotted"/>
    </w:rPr>
  </w:style>
  <w:style w:type="character" w:styleId="Inteligentnylink">
    <w:name w:val="Smart Link"/>
    <w:basedOn w:val="Domylnaczcionkaakapitu"/>
    <w:uiPriority w:val="99"/>
    <w:semiHidden/>
    <w:unhideWhenUsed/>
    <w:rsid w:val="00037EB9"/>
    <w:rPr>
      <w:color w:val="0000FF"/>
      <w:u w:val="single"/>
      <w:shd w:val="clear" w:color="auto" w:fill="F3F2F1"/>
    </w:rPr>
  </w:style>
  <w:style w:type="table" w:styleId="Siatkatabelijasna">
    <w:name w:val="Grid Table Light"/>
    <w:basedOn w:val="Standardowy"/>
    <w:uiPriority w:val="40"/>
    <w:semiHidden/>
    <w:rsid w:val="00037EB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68B1DB1-DecHCase1">
    <w:name w:val="P68B1DB1-DecHCase1"/>
    <w:basedOn w:val="DecHCase"/>
    <w:rPr>
      <w:rFonts w:ascii="Times New Roman" w:hAnsi="Times New Roman" w:cs="Times New Roman"/>
    </w:rPr>
  </w:style>
  <w:style w:type="paragraph" w:customStyle="1" w:styleId="P68B1DB1-Normal2">
    <w:name w:val="P68B1DB1-Normal2"/>
    <w:basedOn w:val="Normalny"/>
    <w:rPr>
      <w:i/>
      <w:sz w:val="22"/>
    </w:rPr>
  </w:style>
  <w:style w:type="paragraph" w:styleId="Poprawka">
    <w:name w:val="Revision"/>
    <w:hidden/>
    <w:uiPriority w:val="99"/>
    <w:semiHidden/>
    <w:rsid w:val="0009464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1656</Words>
  <Characters>9938</Characters>
  <Application>Microsoft Office Word</Application>
  <DocSecurity>0</DocSecurity>
  <Lines>82</Lines>
  <Paragraphs>23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Company/>
  <LinksUpToDate>false</LinksUpToDate>
  <CharactersWithSpaces>11571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Szponar Paweł  (DWMPC)</cp:lastModifiedBy>
  <cp:revision>4</cp:revision>
  <dcterms:created xsi:type="dcterms:W3CDTF">2025-07-16T12:49:00Z</dcterms:created>
  <dcterms:modified xsi:type="dcterms:W3CDTF">2025-07-17T11:11:00Z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1605155</vt:lpwstr>
  </property>
  <property fmtid="{D5CDD505-2E9C-101B-9397-08002B2CF9AE}" pid="3" name="cstLanguage">
    <vt:i4>2057</vt:i4>
  </property>
  <property fmtid="{D5CDD505-2E9C-101B-9397-08002B2CF9AE}" pid="4" name="RegisteredNo">
    <vt:lpwstr>5648/21</vt:lpwstr>
  </property>
  <property fmtid="{D5CDD505-2E9C-101B-9397-08002B2CF9AE}" pid="5" name="GrammarlyDocumentId">
    <vt:lpwstr>e76660b3-d74b-4ff5-95ea-dd6ce2282bb7</vt:lpwstr>
  </property>
</Properties>
</file>