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A23C" w14:textId="77777777" w:rsidR="00236883" w:rsidRPr="00DB136B" w:rsidRDefault="00236883" w:rsidP="00DB136B">
      <w:pPr>
        <w:jc w:val="center"/>
        <w:rPr>
          <w:rFonts w:ascii="Times New Roman" w:hAnsi="Times New Roman" w:cs="Times New Roman"/>
          <w:noProof/>
        </w:rPr>
      </w:pPr>
    </w:p>
    <w:p w14:paraId="2E3BA3A0" w14:textId="77777777" w:rsidR="0098410D" w:rsidRPr="00DB136B" w:rsidRDefault="0098410D" w:rsidP="00DB136B">
      <w:pPr>
        <w:jc w:val="center"/>
      </w:pPr>
    </w:p>
    <w:p w14:paraId="41010412" w14:textId="49202C75" w:rsidR="0098410D" w:rsidRPr="00DB136B" w:rsidRDefault="00000000" w:rsidP="00DB136B">
      <w:pPr>
        <w:pStyle w:val="DecHTitle"/>
      </w:pPr>
      <w:r>
        <w:t>PIERWSZA</w:t>
      </w:r>
      <w:r w:rsidR="00126439">
        <w:t xml:space="preserve"> SEKCJA</w:t>
      </w:r>
    </w:p>
    <w:p w14:paraId="5F06034C" w14:textId="293C8B36" w:rsidR="008E6217" w:rsidRPr="00DB136B" w:rsidRDefault="00000000" w:rsidP="00DB136B">
      <w:pPr>
        <w:pStyle w:val="JuTitle"/>
      </w:pPr>
      <w:r>
        <w:rPr>
          <w:color w:val="000000" w:themeColor="text1"/>
        </w:rPr>
        <w:t xml:space="preserve">SPRAWA </w:t>
      </w:r>
      <w:r w:rsidR="00126439">
        <w:t>SZYPUŁA</w:t>
      </w:r>
      <w:r>
        <w:t xml:space="preserve"> I INNI przeciwko POLSCE</w:t>
      </w:r>
    </w:p>
    <w:p w14:paraId="04B975DF" w14:textId="77777777" w:rsidR="00D74888" w:rsidRPr="00DB136B" w:rsidRDefault="00000000" w:rsidP="00DB136B">
      <w:pPr>
        <w:pStyle w:val="ECHRCoverTitle4"/>
      </w:pPr>
      <w:r>
        <w:t>(Skargi nr 78030/14 oraz 23669/16)</w:t>
      </w:r>
    </w:p>
    <w:p w14:paraId="59EB97C5" w14:textId="77777777" w:rsidR="0098410D" w:rsidRPr="00DB136B" w:rsidRDefault="0098410D" w:rsidP="00DB136B">
      <w:pPr>
        <w:pStyle w:val="DecHCase"/>
      </w:pPr>
    </w:p>
    <w:p w14:paraId="3E2A3D67" w14:textId="77777777" w:rsidR="0054716E" w:rsidRPr="00DB136B" w:rsidRDefault="0054716E" w:rsidP="00DB136B">
      <w:pPr>
        <w:pStyle w:val="DecHCase"/>
      </w:pPr>
    </w:p>
    <w:p w14:paraId="75827447" w14:textId="77777777" w:rsidR="0054716E" w:rsidRPr="00DB136B" w:rsidRDefault="0054716E" w:rsidP="00DB136B">
      <w:pPr>
        <w:pStyle w:val="DecHCase"/>
      </w:pPr>
    </w:p>
    <w:p w14:paraId="28B3BC29" w14:textId="77777777" w:rsidR="0098410D" w:rsidRPr="00DB136B" w:rsidRDefault="0098410D" w:rsidP="00DB136B">
      <w:pPr>
        <w:pStyle w:val="DecHCase"/>
      </w:pPr>
    </w:p>
    <w:p w14:paraId="124627D2" w14:textId="77777777" w:rsidR="00AC4CD4" w:rsidRPr="00DB136B" w:rsidRDefault="00AC4CD4" w:rsidP="00DB136B">
      <w:pPr>
        <w:pStyle w:val="DecHCase"/>
      </w:pPr>
    </w:p>
    <w:p w14:paraId="28725C3D" w14:textId="77777777" w:rsidR="0098410D" w:rsidRPr="00DB136B" w:rsidRDefault="0098410D" w:rsidP="00DB136B">
      <w:pPr>
        <w:pStyle w:val="DecHCase"/>
      </w:pPr>
    </w:p>
    <w:p w14:paraId="4649456F" w14:textId="77777777" w:rsidR="0098410D" w:rsidRPr="00DB136B" w:rsidRDefault="00000000" w:rsidP="00DB136B">
      <w:pPr>
        <w:pStyle w:val="DecHCase"/>
      </w:pPr>
      <w:r>
        <w:t>WYROK</w:t>
      </w:r>
      <w:r>
        <w:br/>
      </w:r>
    </w:p>
    <w:p w14:paraId="03F992C9" w14:textId="77777777" w:rsidR="0098410D" w:rsidRPr="00DB136B" w:rsidRDefault="00000000" w:rsidP="00DB136B">
      <w:pPr>
        <w:pStyle w:val="DecHCase"/>
      </w:pPr>
      <w:r>
        <w:t>STRASBURG</w:t>
      </w:r>
    </w:p>
    <w:p w14:paraId="1880EC3C" w14:textId="725671F9" w:rsidR="0098410D" w:rsidRPr="00DB136B" w:rsidRDefault="00000000" w:rsidP="00DB136B">
      <w:pPr>
        <w:pStyle w:val="DecHCase"/>
      </w:pPr>
      <w:r>
        <w:rPr>
          <w:rFonts w:ascii="Times New Roman" w:hAnsi="Times New Roman"/>
        </w:rPr>
        <w:t>27 lutego 2025 r.</w:t>
      </w:r>
    </w:p>
    <w:p w14:paraId="24F36AA7" w14:textId="77777777" w:rsidR="00AC4CD4" w:rsidRPr="00DB136B" w:rsidRDefault="00AC4CD4" w:rsidP="00DB136B">
      <w:pPr>
        <w:pStyle w:val="JuPara"/>
      </w:pPr>
    </w:p>
    <w:p w14:paraId="294F4CA1" w14:textId="77777777" w:rsidR="002422B6" w:rsidRPr="00DB136B" w:rsidRDefault="00000000" w:rsidP="00DB136B">
      <w:pPr>
        <w:jc w:val="center"/>
        <w:rPr>
          <w:i/>
          <w:sz w:val="22"/>
        </w:rPr>
      </w:pPr>
      <w:r>
        <w:rPr>
          <w:i/>
          <w:sz w:val="22"/>
        </w:rPr>
        <w:t>Wyrok ten stał się ostateczny, lecz może podlegać korekcie wydawniczej.</w:t>
      </w:r>
    </w:p>
    <w:p w14:paraId="623B8CA9" w14:textId="77777777" w:rsidR="0098410D" w:rsidRPr="00DB136B" w:rsidRDefault="0098410D" w:rsidP="00DB136B">
      <w:pPr>
        <w:sectPr w:rsidR="0098410D" w:rsidRPr="00DB136B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219016DF" w14:textId="6207CBB4" w:rsidR="0098410D" w:rsidRPr="00DB136B" w:rsidRDefault="00000000" w:rsidP="00DB136B">
      <w:pPr>
        <w:pStyle w:val="JuCase"/>
      </w:pPr>
      <w:r>
        <w:lastRenderedPageBreak/>
        <w:t xml:space="preserve">W sprawie </w:t>
      </w:r>
      <w:r w:rsidR="00126439">
        <w:t>Szypuła</w:t>
      </w:r>
      <w:r>
        <w:t xml:space="preserve"> i Inni przeciwko Polsce</w:t>
      </w:r>
    </w:p>
    <w:p w14:paraId="2FCA3CEF" w14:textId="3BE93C55" w:rsidR="009F4C8F" w:rsidRPr="00DB136B" w:rsidRDefault="00000000" w:rsidP="00DB136B">
      <w:pPr>
        <w:pStyle w:val="JuPara"/>
      </w:pPr>
      <w:r>
        <w:t>Europejski Trybunał Praw Człowieka (pierwsza</w:t>
      </w:r>
      <w:r w:rsidR="00126439">
        <w:t xml:space="preserve"> sekcja</w:t>
      </w:r>
      <w:r>
        <w:t>), zasiadając jako Komitet w składzie:</w:t>
      </w:r>
    </w:p>
    <w:p w14:paraId="440898CE" w14:textId="27A0E651" w:rsidR="00F46949" w:rsidRDefault="00126439" w:rsidP="00F46949">
      <w:pPr>
        <w:pStyle w:val="JuJudges"/>
        <w:ind w:left="567"/>
      </w:pPr>
      <w:r w:rsidRPr="00DB136B">
        <w:t xml:space="preserve">Erik </w:t>
      </w:r>
      <w:proofErr w:type="spellStart"/>
      <w:r w:rsidRPr="00DB136B">
        <w:t>Wennerström</w:t>
      </w:r>
      <w:proofErr w:type="spellEnd"/>
      <w:r>
        <w:rPr>
          <w:i/>
        </w:rPr>
        <w:t>, Przewodniczący</w:t>
      </w:r>
      <w:r>
        <w:t>,</w:t>
      </w:r>
      <w:r>
        <w:br/>
      </w:r>
      <w:proofErr w:type="spellStart"/>
      <w:r w:rsidRPr="00DB136B">
        <w:t>Raffaele</w:t>
      </w:r>
      <w:proofErr w:type="spellEnd"/>
      <w:r w:rsidRPr="00DB136B">
        <w:t xml:space="preserve"> </w:t>
      </w:r>
      <w:proofErr w:type="spellStart"/>
      <w:r w:rsidRPr="00DB136B">
        <w:t>Sabato</w:t>
      </w:r>
      <w:proofErr w:type="spellEnd"/>
      <w:r>
        <w:t>,</w:t>
      </w:r>
      <w:r>
        <w:br/>
      </w:r>
      <w:proofErr w:type="spellStart"/>
      <w:r w:rsidRPr="00DB136B">
        <w:t>Artūrs</w:t>
      </w:r>
      <w:proofErr w:type="spellEnd"/>
      <w:r w:rsidRPr="00DB136B">
        <w:t xml:space="preserve"> </w:t>
      </w:r>
      <w:proofErr w:type="spellStart"/>
      <w:r w:rsidRPr="00DB136B">
        <w:t>Kučs</w:t>
      </w:r>
      <w:proofErr w:type="spellEnd"/>
      <w:r>
        <w:t xml:space="preserve">, </w:t>
      </w:r>
      <w:r>
        <w:rPr>
          <w:i/>
        </w:rPr>
        <w:t>sędziowie</w:t>
      </w:r>
      <w:r>
        <w:t>,</w:t>
      </w:r>
    </w:p>
    <w:p w14:paraId="7C906115" w14:textId="62B07024" w:rsidR="00A92625" w:rsidRPr="00DB136B" w:rsidRDefault="00000000" w:rsidP="00F46949">
      <w:pPr>
        <w:pStyle w:val="JuJudges"/>
      </w:pPr>
      <w:r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 w:rsidR="00126439">
        <w:rPr>
          <w:i/>
        </w:rPr>
        <w:t>Z</w:t>
      </w:r>
      <w:r>
        <w:rPr>
          <w:i/>
        </w:rPr>
        <w:t xml:space="preserve">astępca </w:t>
      </w:r>
      <w:r w:rsidR="00126439">
        <w:rPr>
          <w:i/>
          <w:iCs/>
        </w:rPr>
        <w:t>K</w:t>
      </w:r>
      <w:r>
        <w:rPr>
          <w:i/>
          <w:iCs/>
        </w:rPr>
        <w:t xml:space="preserve">anclerza </w:t>
      </w:r>
      <w:r w:rsidR="00126439">
        <w:rPr>
          <w:i/>
        </w:rPr>
        <w:t>S</w:t>
      </w:r>
      <w:r>
        <w:rPr>
          <w:i/>
        </w:rPr>
        <w:t>ekcji</w:t>
      </w:r>
      <w:r>
        <w:t>,</w:t>
      </w:r>
    </w:p>
    <w:p w14:paraId="49E94EAD" w14:textId="25CAF031" w:rsidR="00236883" w:rsidRPr="00DB136B" w:rsidRDefault="00F46949" w:rsidP="00DB136B">
      <w:pPr>
        <w:pStyle w:val="JuPara"/>
      </w:pPr>
      <w:r>
        <w:t>mając na uwadze:</w:t>
      </w:r>
    </w:p>
    <w:p w14:paraId="167C19FE" w14:textId="115B3D9C" w:rsidR="00236883" w:rsidRPr="00DB136B" w:rsidRDefault="00000000" w:rsidP="00DB136B">
      <w:pPr>
        <w:pStyle w:val="JuPara"/>
      </w:pPr>
      <w:r>
        <w:t>skarg</w:t>
      </w:r>
      <w:r w:rsidR="00126439">
        <w:t>i</w:t>
      </w:r>
      <w:r>
        <w:t xml:space="preserve"> przeciwko Rzeczypospolitej Polskiej wniesion</w:t>
      </w:r>
      <w:r w:rsidR="00126439">
        <w:t>e</w:t>
      </w:r>
      <w:r>
        <w:t xml:space="preserve"> do Trybunału w</w:t>
      </w:r>
      <w:r w:rsidR="00F46949">
        <w:t> </w:t>
      </w:r>
      <w:r w:rsidR="00126439">
        <w:t>różnych terminach w nich skazanych</w:t>
      </w:r>
      <w:r>
        <w:t xml:space="preserve"> na podstawie art. 34 Konwencji </w:t>
      </w:r>
      <w:r w:rsidR="00BD5F60">
        <w:t>o Ochronie Praw Człowieka i Podstawowych Wolności</w:t>
      </w:r>
      <w:r>
        <w:t xml:space="preserve"> („Konwencja”) przez obywatel</w:t>
      </w:r>
      <w:r w:rsidR="00126439">
        <w:t>i wymienionych w załączonej tabeli</w:t>
      </w:r>
      <w:r>
        <w:t xml:space="preserve"> („skarżący”);</w:t>
      </w:r>
    </w:p>
    <w:p w14:paraId="31FDE244" w14:textId="441A1A44" w:rsidR="00236883" w:rsidRPr="00DB136B" w:rsidRDefault="00126439" w:rsidP="00DB136B">
      <w:pPr>
        <w:pStyle w:val="JuPara"/>
      </w:pPr>
      <w:r w:rsidRPr="00126439">
        <w:t xml:space="preserve">decyzję o </w:t>
      </w:r>
      <w:r w:rsidR="00F46949">
        <w:t>zakomunikowaniu sprawy</w:t>
      </w:r>
      <w:r w:rsidRPr="00126439">
        <w:t xml:space="preserve"> rząd</w:t>
      </w:r>
      <w:r w:rsidR="00F46949">
        <w:t>owi</w:t>
      </w:r>
      <w:r w:rsidRPr="00126439">
        <w:t xml:space="preserve"> polskie</w:t>
      </w:r>
      <w:r w:rsidR="00F46949">
        <w:t>mu</w:t>
      </w:r>
      <w:r w:rsidRPr="00126439">
        <w:t xml:space="preserve"> („Rząd”)</w:t>
      </w:r>
      <w:r w:rsidR="00F46949">
        <w:t>,</w:t>
      </w:r>
      <w:r w:rsidRPr="00126439">
        <w:t xml:space="preserve"> reprezentowane</w:t>
      </w:r>
      <w:r w:rsidR="00F46949">
        <w:t>mu</w:t>
      </w:r>
      <w:r w:rsidRPr="00126439">
        <w:t xml:space="preserve"> </w:t>
      </w:r>
      <w:r>
        <w:t>przez swojego pełnomocnika J. Sobczaka z Ministerstwa Spraw Zagranicznych.</w:t>
      </w:r>
    </w:p>
    <w:p w14:paraId="73DE1EFF" w14:textId="77777777" w:rsidR="00236883" w:rsidRPr="00DB136B" w:rsidRDefault="00000000" w:rsidP="00DB136B">
      <w:pPr>
        <w:pStyle w:val="JuPara"/>
      </w:pPr>
      <w:r>
        <w:t>uwagi stron;</w:t>
      </w:r>
    </w:p>
    <w:p w14:paraId="2B5803BD" w14:textId="4F4ED80B" w:rsidR="00236883" w:rsidRPr="00DB136B" w:rsidRDefault="00126439" w:rsidP="00DB136B">
      <w:pPr>
        <w:pStyle w:val="JuPara"/>
      </w:pPr>
      <w:r w:rsidRPr="00126439">
        <w:t xml:space="preserve">uwagi przedstawione przez następujące organizacje, z których wszystkie uzyskały zgodę </w:t>
      </w:r>
      <w:r w:rsidR="00F46949">
        <w:t>P</w:t>
      </w:r>
      <w:r w:rsidRPr="00126439">
        <w:t>rzewodniczącego sekcji na przystąpienie do sprawy w</w:t>
      </w:r>
      <w:r w:rsidR="00565D05">
        <w:t> </w:t>
      </w:r>
      <w:r w:rsidRPr="00126439">
        <w:t>charakterze interweni</w:t>
      </w:r>
      <w:r w:rsidR="00F46949">
        <w:t>ujących stron trzecich</w:t>
      </w:r>
      <w:r>
        <w:t>;</w:t>
      </w:r>
    </w:p>
    <w:p w14:paraId="6A944119" w14:textId="34400492" w:rsidR="00236883" w:rsidRPr="00DB136B" w:rsidRDefault="00126439" w:rsidP="00DB136B">
      <w:pPr>
        <w:pStyle w:val="JuPara"/>
      </w:pPr>
      <w:r>
        <w:t xml:space="preserve">- </w:t>
      </w:r>
      <w:r w:rsidR="00440B46">
        <w:t xml:space="preserve">     </w:t>
      </w:r>
      <w:r>
        <w:t>Rzecznik Praw Obywatelskich RP</w:t>
      </w:r>
      <w:r w:rsidR="00F46949">
        <w:t>;</w:t>
      </w:r>
    </w:p>
    <w:p w14:paraId="54925B4F" w14:textId="4C39E0E1" w:rsidR="00236883" w:rsidRPr="00DB136B" w:rsidRDefault="00000000" w:rsidP="00DB136B">
      <w:pPr>
        <w:pStyle w:val="JuPara"/>
      </w:pPr>
      <w:r>
        <w:t>-</w:t>
      </w:r>
      <w:r w:rsidR="00440B46">
        <w:t xml:space="preserve"> </w:t>
      </w:r>
      <w:r w:rsidR="00126439" w:rsidRPr="00126439">
        <w:t xml:space="preserve">Międzynarodowe Stowarzyszenie Lesbijek, Gejów, Osób Biseksualnych, Osób Transpłciowych i Interpłciowych (ILGA) w imieniu </w:t>
      </w:r>
      <w:proofErr w:type="spellStart"/>
      <w:r w:rsidR="001D1564">
        <w:t>F</w:t>
      </w:r>
      <w:r w:rsidR="001D1564">
        <w:rPr>
          <w:rFonts w:cstheme="minorHAnsi"/>
        </w:rPr>
        <w:t>é</w:t>
      </w:r>
      <w:r w:rsidR="001D1564">
        <w:t>d</w:t>
      </w:r>
      <w:r w:rsidR="001D1564">
        <w:rPr>
          <w:rFonts w:cstheme="minorHAnsi"/>
        </w:rPr>
        <w:t>é</w:t>
      </w:r>
      <w:r w:rsidR="001D1564">
        <w:t>ration</w:t>
      </w:r>
      <w:proofErr w:type="spellEnd"/>
      <w:r w:rsidR="001D1564">
        <w:t xml:space="preserve"> </w:t>
      </w:r>
      <w:proofErr w:type="spellStart"/>
      <w:r w:rsidR="001D1564">
        <w:t>Internationale</w:t>
      </w:r>
      <w:proofErr w:type="spellEnd"/>
      <w:r w:rsidR="001D1564">
        <w:t xml:space="preserve"> </w:t>
      </w:r>
      <w:proofErr w:type="spellStart"/>
      <w:r w:rsidR="001D1564">
        <w:t>pour</w:t>
      </w:r>
      <w:proofErr w:type="spellEnd"/>
      <w:r w:rsidR="001D1564">
        <w:t xml:space="preserve"> </w:t>
      </w:r>
      <w:proofErr w:type="spellStart"/>
      <w:r w:rsidR="001D1564">
        <w:t>les</w:t>
      </w:r>
      <w:proofErr w:type="spellEnd"/>
      <w:r w:rsidR="001D1564">
        <w:t xml:space="preserve"> </w:t>
      </w:r>
      <w:proofErr w:type="spellStart"/>
      <w:r w:rsidR="001D1564">
        <w:t>Droits</w:t>
      </w:r>
      <w:proofErr w:type="spellEnd"/>
      <w:r w:rsidR="001D1564">
        <w:t xml:space="preserve"> </w:t>
      </w:r>
      <w:proofErr w:type="spellStart"/>
      <w:r w:rsidR="001D1564">
        <w:t>Humains</w:t>
      </w:r>
      <w:proofErr w:type="spellEnd"/>
      <w:r w:rsidR="00126439" w:rsidRPr="00126439">
        <w:t xml:space="preserve"> (FIDH), Europejski</w:t>
      </w:r>
      <w:r w:rsidR="00F46949">
        <w:t>ego</w:t>
      </w:r>
      <w:r w:rsidR="00126439" w:rsidRPr="00126439">
        <w:t xml:space="preserve"> Region</w:t>
      </w:r>
      <w:r w:rsidR="00F46949">
        <w:t>u</w:t>
      </w:r>
      <w:r w:rsidR="00126439" w:rsidRPr="00126439">
        <w:t xml:space="preserve"> Międzynarodowego Stowarzyszenia Lesbijek, Gejów, Osób Biseksualnych, Osób Transpłciowych i Interpłciowych (ILGA-Europe), Sie</w:t>
      </w:r>
      <w:r w:rsidR="00F46949">
        <w:t>ci</w:t>
      </w:r>
      <w:r w:rsidR="00126439" w:rsidRPr="00126439">
        <w:t xml:space="preserve"> Europejskich Stowarzyszeń Rodzin LGBTIQ* (NELFA) oraz Europejsk</w:t>
      </w:r>
      <w:r w:rsidR="00CF40AE">
        <w:t>iej</w:t>
      </w:r>
      <w:r w:rsidR="00126439" w:rsidRPr="00126439">
        <w:t xml:space="preserve"> Komisj</w:t>
      </w:r>
      <w:r w:rsidR="00CF40AE">
        <w:t>i</w:t>
      </w:r>
      <w:r w:rsidR="00126439" w:rsidRPr="00126439">
        <w:t xml:space="preserve"> Prawa Orientacji Seksualnej (ECSOL)</w:t>
      </w:r>
      <w:r>
        <w:t>;</w:t>
      </w:r>
    </w:p>
    <w:p w14:paraId="0DC5CFE0" w14:textId="266FF57C" w:rsidR="00236883" w:rsidRPr="00DB136B" w:rsidRDefault="00000000" w:rsidP="00DB136B">
      <w:pPr>
        <w:pStyle w:val="JuPara"/>
      </w:pPr>
      <w:r>
        <w:t xml:space="preserve">- </w:t>
      </w:r>
      <w:r w:rsidR="00AD41D5" w:rsidRPr="00AD41D5">
        <w:t>Instytut Psychologii Polskiej Akademii Nauk</w:t>
      </w:r>
      <w:r>
        <w:t>;</w:t>
      </w:r>
    </w:p>
    <w:p w14:paraId="78C4869C" w14:textId="451D65A9" w:rsidR="00236883" w:rsidRPr="00DB136B" w:rsidRDefault="00AD41D5" w:rsidP="00DB136B">
      <w:pPr>
        <w:pStyle w:val="JuPara"/>
      </w:pPr>
      <w:r>
        <w:t xml:space="preserve">- </w:t>
      </w:r>
      <w:r w:rsidRPr="00AD41D5">
        <w:t>Centrum Praw Człowieka Uniwersytetu w Gandawie</w:t>
      </w:r>
      <w:r>
        <w:t>;</w:t>
      </w:r>
    </w:p>
    <w:p w14:paraId="266CFE64" w14:textId="27E95934" w:rsidR="00236883" w:rsidRPr="00DB136B" w:rsidRDefault="00000000" w:rsidP="00DB136B">
      <w:pPr>
        <w:pStyle w:val="JuPara"/>
      </w:pPr>
      <w:r>
        <w:t xml:space="preserve">- </w:t>
      </w:r>
      <w:r w:rsidR="00AD41D5">
        <w:t xml:space="preserve">Fundacja na rzecz </w:t>
      </w:r>
      <w:r w:rsidR="00AD41D5" w:rsidRPr="00AD41D5">
        <w:t>Kultury Prawnej Ordo Iuris</w:t>
      </w:r>
      <w:r w:rsidR="00CF40AE">
        <w:t>,</w:t>
      </w:r>
    </w:p>
    <w:p w14:paraId="3E681593" w14:textId="652C31C4" w:rsidR="009F4C8F" w:rsidRPr="00DB136B" w:rsidRDefault="00000000" w:rsidP="00DB136B">
      <w:pPr>
        <w:pStyle w:val="JuPara"/>
      </w:pPr>
      <w:r>
        <w:t>obradując na posiedzeniu niejawnym w dniu 30 stycznia 2025 r.,</w:t>
      </w:r>
    </w:p>
    <w:p w14:paraId="3A107AAD" w14:textId="77777777" w:rsidR="009F4C8F" w:rsidRPr="00DB136B" w:rsidRDefault="00000000" w:rsidP="00DB136B">
      <w:pPr>
        <w:pStyle w:val="JuPara"/>
      </w:pPr>
      <w:r>
        <w:t>wydaje następujący wyrok, który został przyjęty w tym dniu:</w:t>
      </w:r>
    </w:p>
    <w:p w14:paraId="253F0342" w14:textId="77777777" w:rsidR="00236883" w:rsidRPr="00DB136B" w:rsidRDefault="00000000" w:rsidP="00DB136B">
      <w:pPr>
        <w:pStyle w:val="JuHHead"/>
        <w:numPr>
          <w:ilvl w:val="0"/>
          <w:numId w:val="0"/>
        </w:numPr>
      </w:pPr>
      <w:r>
        <w:t>PRZEDMIOT SPRAWY</w:t>
      </w:r>
    </w:p>
    <w:p w14:paraId="7D6CCE98" w14:textId="440E4730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 w:rsidR="00236883">
        <w:t>.  </w:t>
      </w:r>
      <w:r w:rsidR="0020336C" w:rsidRPr="0020336C">
        <w:t xml:space="preserve">Skarżący, pozostający w związkach jednopłciowych, </w:t>
      </w:r>
      <w:r w:rsidR="003056FD">
        <w:t xml:space="preserve">zarzucili </w:t>
      </w:r>
      <w:r w:rsidR="0020336C" w:rsidRPr="0020336C">
        <w:t>głównie na podstawie art. 8 Konwencji, że Polska nie dostarczyła im zaświadczenia umożliwiającego zawarcie związku małżeńskiego w Hiszpanii,</w:t>
      </w:r>
      <w:r w:rsidR="007008C3">
        <w:t xml:space="preserve"> podczas</w:t>
      </w:r>
      <w:r w:rsidR="0020336C" w:rsidRPr="0020336C">
        <w:t xml:space="preserve"> gdy w Polsce nie istniała żadna forma prawnego uznania i ochrony ich związków</w:t>
      </w:r>
      <w:r w:rsidR="00236883">
        <w:t>.</w:t>
      </w:r>
    </w:p>
    <w:p w14:paraId="523E9255" w14:textId="0345EB21" w:rsidR="00236883" w:rsidRPr="00DB136B" w:rsidRDefault="00000000" w:rsidP="00DF009D">
      <w:pPr>
        <w:pStyle w:val="JuHIRoman"/>
      </w:pPr>
      <w:r>
        <w:t xml:space="preserve">Skarżący ze skargi nr </w:t>
      </w:r>
      <w:bookmarkStart w:id="0" w:name="ListStart"/>
      <w:bookmarkEnd w:id="0"/>
      <w:r w:rsidR="003056FD">
        <w:t>78030/14</w:t>
      </w:r>
    </w:p>
    <w:p w14:paraId="45809D1F" w14:textId="394D51BB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r w:rsidR="00236883">
        <w:t>.  </w:t>
      </w:r>
      <w:r w:rsidR="005638D1" w:rsidRPr="005638D1">
        <w:t xml:space="preserve">W dniu 20 października 2010 r. skarżący złożył wniosek o wydanie zaświadczenia </w:t>
      </w:r>
      <w:r w:rsidR="003056FD">
        <w:t>stwierdzającego</w:t>
      </w:r>
      <w:r w:rsidR="003056FD" w:rsidRPr="005638D1">
        <w:t xml:space="preserve"> </w:t>
      </w:r>
      <w:r w:rsidR="005638D1" w:rsidRPr="005638D1">
        <w:t xml:space="preserve">brak </w:t>
      </w:r>
      <w:r w:rsidR="003056FD">
        <w:t>okoliczności wyłączających</w:t>
      </w:r>
      <w:r w:rsidR="005638D1" w:rsidRPr="005638D1">
        <w:t xml:space="preserve"> </w:t>
      </w:r>
      <w:r w:rsidR="00007D52">
        <w:t xml:space="preserve">możliwość </w:t>
      </w:r>
      <w:r w:rsidR="00007D52">
        <w:lastRenderedPageBreak/>
        <w:t>zawarcia</w:t>
      </w:r>
      <w:r w:rsidR="005638D1" w:rsidRPr="005638D1">
        <w:t xml:space="preserve"> małżeństwa za granicą przez obywatela polskiego. Wskazał, że zamierza zawrzeć </w:t>
      </w:r>
      <w:r w:rsidR="00007D52">
        <w:t xml:space="preserve">w Hiszpanii </w:t>
      </w:r>
      <w:r w:rsidR="005638D1" w:rsidRPr="005638D1">
        <w:t>związek małżeński ze swoim partnerem tej samej płci</w:t>
      </w:r>
      <w:r w:rsidR="00236883">
        <w:t>.</w:t>
      </w:r>
    </w:p>
    <w:p w14:paraId="72188AB8" w14:textId="10A9CDB6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 w:rsidR="00236883">
        <w:t>.  </w:t>
      </w:r>
      <w:r w:rsidR="0091490D" w:rsidRPr="0091490D">
        <w:t>W dniu 27 grudnia 2010 r. Urząd Stanu Cywilnego w Warszawie odmówił wydania zaświadczenia, uznając, że byłoby to sprzeczne z polskim prawem, zgodnie z którym małżeństwo może zostać zawarte wyłącznie pomiędzy mężczyzną i kobietą</w:t>
      </w:r>
      <w:r w:rsidR="00236883">
        <w:t>.</w:t>
      </w:r>
    </w:p>
    <w:p w14:paraId="328EBA98" w14:textId="66453BD6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  <w:r w:rsidR="00236883">
        <w:t>.  </w:t>
      </w:r>
      <w:r w:rsidR="0091490D" w:rsidRPr="0091490D">
        <w:t xml:space="preserve">W dniu 5 stycznia 2012 r. Sąd </w:t>
      </w:r>
      <w:r w:rsidR="0091490D">
        <w:t>Rejonowy</w:t>
      </w:r>
      <w:r w:rsidR="0091490D" w:rsidRPr="0091490D">
        <w:t xml:space="preserve"> </w:t>
      </w:r>
      <w:r w:rsidR="00565D05">
        <w:t xml:space="preserve">dla </w:t>
      </w:r>
      <w:r w:rsidR="0091490D" w:rsidRPr="0091490D">
        <w:t>Warszaw</w:t>
      </w:r>
      <w:r w:rsidR="00565D05">
        <w:t>y</w:t>
      </w:r>
      <w:r w:rsidR="007008C3">
        <w:t xml:space="preserve"> </w:t>
      </w:r>
      <w:r w:rsidR="0091490D" w:rsidRPr="0091490D">
        <w:t>Prag</w:t>
      </w:r>
      <w:r w:rsidR="00565D05">
        <w:t>i</w:t>
      </w:r>
      <w:r w:rsidR="0091490D" w:rsidRPr="0091490D">
        <w:t xml:space="preserve"> </w:t>
      </w:r>
      <w:r w:rsidR="00DB2381">
        <w:t xml:space="preserve">– Południe </w:t>
      </w:r>
      <w:r w:rsidR="0091490D" w:rsidRPr="0091490D">
        <w:t xml:space="preserve">utrzymał decyzję w mocy, a w dniu 6 marca 2013 r. Sąd Okręgowy w Warszawie oddalił </w:t>
      </w:r>
      <w:r w:rsidR="00DB2381">
        <w:t>apelację</w:t>
      </w:r>
      <w:r w:rsidR="0091490D">
        <w:t xml:space="preserve"> </w:t>
      </w:r>
      <w:r w:rsidR="0091490D" w:rsidRPr="0091490D">
        <w:t>skarżącego</w:t>
      </w:r>
      <w:r w:rsidR="00236883">
        <w:t>.</w:t>
      </w:r>
    </w:p>
    <w:p w14:paraId="2899158A" w14:textId="0C00C3B6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  <w:r w:rsidR="00236883">
        <w:t xml:space="preserve">.  W dniu 24 czerwca 2014 r. Sąd Najwyższy oddalił skargę kasacyjną skarżącego. </w:t>
      </w:r>
      <w:r w:rsidR="0091490D">
        <w:t>S</w:t>
      </w:r>
      <w:r w:rsidR="0091490D" w:rsidRPr="0091490D">
        <w:t>ąd przeanalizował prawo krajowe i praktykę i stwierdził, że</w:t>
      </w:r>
      <w:r w:rsidR="00565D05">
        <w:t> </w:t>
      </w:r>
      <w:r w:rsidR="0091490D" w:rsidRPr="0091490D">
        <w:t xml:space="preserve">skarga kasacyjna nie </w:t>
      </w:r>
      <w:r w:rsidR="0091490D">
        <w:t>przysługiwała</w:t>
      </w:r>
      <w:r w:rsidR="0091490D" w:rsidRPr="0091490D">
        <w:t xml:space="preserve"> w tego rodzaju sprawach. W</w:t>
      </w:r>
      <w:r w:rsidR="00565D05">
        <w:t> </w:t>
      </w:r>
      <w:r w:rsidR="0091490D" w:rsidRPr="0091490D">
        <w:t xml:space="preserve">szczególności nie zgodził się z argumentami przedstawionymi w skardze kasacyjnej skarżącego, że sprawa dotyczyła praw osobistych, w których skarga kasacyjna </w:t>
      </w:r>
      <w:r w:rsidR="0091490D">
        <w:t>przysługiwała</w:t>
      </w:r>
      <w:r w:rsidR="00236883">
        <w:t xml:space="preserve">. Orzeczenie </w:t>
      </w:r>
      <w:r w:rsidR="007008C3">
        <w:t>doręczono</w:t>
      </w:r>
      <w:r w:rsidR="00236883">
        <w:t xml:space="preserve"> skarżącemu w dniu 5</w:t>
      </w:r>
      <w:r w:rsidR="00565D05">
        <w:t> </w:t>
      </w:r>
      <w:r w:rsidR="00236883">
        <w:t>sierpnia 2014 r.</w:t>
      </w:r>
    </w:p>
    <w:p w14:paraId="13DC0B14" w14:textId="4BDD6E77" w:rsidR="00236883" w:rsidRPr="00DB136B" w:rsidRDefault="00000000" w:rsidP="00DB136B">
      <w:pPr>
        <w:pStyle w:val="JuHIRoman"/>
      </w:pPr>
      <w:r>
        <w:t xml:space="preserve">Skarżący ze skargi nr </w:t>
      </w:r>
      <w:r w:rsidR="00DF009D">
        <w:t>23669/16</w:t>
      </w:r>
    </w:p>
    <w:p w14:paraId="7BA1BDBA" w14:textId="091576D5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  <w:r w:rsidR="00236883">
        <w:t>.  </w:t>
      </w:r>
      <w:r w:rsidR="00DF009D" w:rsidRPr="00DF009D">
        <w:t xml:space="preserve">W dniu 24 lipca 2015 r. pierwszy skarżący złożył wniosek o wydanie </w:t>
      </w:r>
      <w:r w:rsidR="00565D05" w:rsidRPr="005638D1">
        <w:t xml:space="preserve">zaświadczenia </w:t>
      </w:r>
      <w:r w:rsidR="00565D05">
        <w:t>stwierdzającego</w:t>
      </w:r>
      <w:r w:rsidR="00565D05" w:rsidRPr="005638D1">
        <w:t xml:space="preserve"> brak </w:t>
      </w:r>
      <w:r w:rsidR="00565D05">
        <w:t>okoliczności wyłączających</w:t>
      </w:r>
      <w:r w:rsidR="00565D05" w:rsidRPr="00DF009D" w:rsidDel="00565D05">
        <w:t xml:space="preserve"> </w:t>
      </w:r>
      <w:r w:rsidR="00DF009D" w:rsidRPr="00DF009D">
        <w:t>zawarci</w:t>
      </w:r>
      <w:r w:rsidR="00565D05">
        <w:t>e</w:t>
      </w:r>
      <w:r w:rsidR="00DF009D" w:rsidRPr="00DF009D">
        <w:t xml:space="preserve"> małżeństwa za granicą przez obywatela polskiego. Wskazał on, że zamierza zawrzeć </w:t>
      </w:r>
      <w:r w:rsidR="007C27A4">
        <w:t xml:space="preserve">w Hiszpanii </w:t>
      </w:r>
      <w:r w:rsidR="00DF009D" w:rsidRPr="00DF009D">
        <w:t>związek małżeński ze swo</w:t>
      </w:r>
      <w:r w:rsidR="00DF009D">
        <w:t>im</w:t>
      </w:r>
      <w:r w:rsidR="00DF009D" w:rsidRPr="00DF009D">
        <w:t xml:space="preserve"> partner</w:t>
      </w:r>
      <w:r w:rsidR="00DF009D">
        <w:t>em</w:t>
      </w:r>
      <w:r w:rsidR="00DF009D" w:rsidRPr="00DF009D">
        <w:t xml:space="preserve"> tej samej płci</w:t>
      </w:r>
      <w:r w:rsidR="007008C3">
        <w:t xml:space="preserve"> -</w:t>
      </w:r>
      <w:r w:rsidR="00DF009D" w:rsidRPr="00DF009D">
        <w:t xml:space="preserve"> drug</w:t>
      </w:r>
      <w:r w:rsidR="00DF009D">
        <w:t>im</w:t>
      </w:r>
      <w:r w:rsidR="00DF009D" w:rsidRPr="00DF009D">
        <w:t xml:space="preserve"> skarżąc</w:t>
      </w:r>
      <w:r w:rsidR="00DF009D">
        <w:t>ym</w:t>
      </w:r>
      <w:r w:rsidR="007008C3">
        <w:t>.</w:t>
      </w:r>
      <w:r w:rsidR="00236883">
        <w:t>.</w:t>
      </w:r>
    </w:p>
    <w:p w14:paraId="06F88302" w14:textId="2785A43B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  <w:r w:rsidR="00236883">
        <w:t>.  </w:t>
      </w:r>
      <w:r w:rsidR="00DF009D" w:rsidRPr="00DF009D">
        <w:t>W dniu 7 sierpnia 2014 r. Urząd Stanu Cywilnego w Warszawie odmówił wydania zaświadczenia. W dniu 17 marca 2015 r. Sąd Rejonowy dla Warszawy-Śródmieścia</w:t>
      </w:r>
      <w:r w:rsidR="007008C3">
        <w:t xml:space="preserve"> w Warszawie</w:t>
      </w:r>
      <w:r w:rsidR="00DF009D" w:rsidRPr="00DF009D">
        <w:t xml:space="preserve"> utrzymał w mocy decyzję Urzędu Stanu Cywilnego</w:t>
      </w:r>
      <w:r w:rsidR="00236883">
        <w:t>.</w:t>
      </w:r>
    </w:p>
    <w:p w14:paraId="06C68FB7" w14:textId="177C870C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  <w:r w:rsidR="00236883">
        <w:t>.  </w:t>
      </w:r>
      <w:r w:rsidR="00985C28" w:rsidRPr="00985C28">
        <w:t xml:space="preserve">W dniu 28 października 2015 r. Sąd Okręgowy w Warszawie oddalił </w:t>
      </w:r>
      <w:r w:rsidR="00DB2381">
        <w:t>apelację</w:t>
      </w:r>
      <w:r w:rsidR="007C27A4">
        <w:t xml:space="preserve"> </w:t>
      </w:r>
      <w:r w:rsidR="00985C28" w:rsidRPr="00985C28">
        <w:t>skarżące</w:t>
      </w:r>
      <w:r w:rsidR="00985C28">
        <w:t>go</w:t>
      </w:r>
      <w:r w:rsidR="00985C28" w:rsidRPr="00985C28">
        <w:t>. Powtórzył, że zaświadczenie może być wydane tylko wtedy, gdy dana osoba była uprawniona do zawarcia małżeństwa z inną określoną osobą zgodnie z polskim prawem</w:t>
      </w:r>
      <w:r w:rsidR="00236883">
        <w:t>.</w:t>
      </w:r>
    </w:p>
    <w:p w14:paraId="0A840480" w14:textId="03711AAB" w:rsidR="00236883" w:rsidRPr="00DB136B" w:rsidRDefault="00985C28" w:rsidP="00DB136B">
      <w:pPr>
        <w:pStyle w:val="JuHIRoman"/>
      </w:pPr>
      <w:r>
        <w:t>SKARGI</w:t>
      </w:r>
    </w:p>
    <w:p w14:paraId="05AD4BA4" w14:textId="1F559DA5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  <w:r w:rsidR="00236883">
        <w:t>.  </w:t>
      </w:r>
      <w:r w:rsidR="00985C28" w:rsidRPr="00985C28">
        <w:t xml:space="preserve">Skarżący </w:t>
      </w:r>
      <w:r w:rsidR="00565D05">
        <w:t>zarzucili</w:t>
      </w:r>
      <w:r w:rsidR="00985C28" w:rsidRPr="00985C28">
        <w:t xml:space="preserve"> na podstawie art. 8 Konwencji</w:t>
      </w:r>
      <w:r w:rsidR="00565D05">
        <w:t xml:space="preserve"> </w:t>
      </w:r>
      <w:r w:rsidR="00985C28" w:rsidRPr="00985C28">
        <w:t xml:space="preserve">całkowity brak uznania ich związków jako par w Polsce, </w:t>
      </w:r>
      <w:r w:rsidR="00DB2381">
        <w:t>z uwagi na to, że</w:t>
      </w:r>
      <w:r w:rsidR="00985C28" w:rsidRPr="00985C28">
        <w:t xml:space="preserve"> nie mogli zawrzeć razem żadnego rodzaju prawnie uznanego związku. Skarżący zarzucili ponadto, że</w:t>
      </w:r>
      <w:r w:rsidR="00565D05">
        <w:t> </w:t>
      </w:r>
      <w:r w:rsidR="00985C28" w:rsidRPr="00985C28">
        <w:t xml:space="preserve">zamierzali zawrzeć związek małżeński za granicą, </w:t>
      </w:r>
      <w:r w:rsidR="00442369">
        <w:t>lecz</w:t>
      </w:r>
      <w:r w:rsidR="00985C28" w:rsidRPr="00985C28">
        <w:t xml:space="preserve"> odmówiono im</w:t>
      </w:r>
      <w:r w:rsidR="00565D05">
        <w:t> </w:t>
      </w:r>
      <w:r w:rsidR="00985C28" w:rsidRPr="00985C28">
        <w:t>wydania zaświadczeń o zdolności do zawarcia małżeństwa, co</w:t>
      </w:r>
      <w:r w:rsidR="00E111B2">
        <w:t> </w:t>
      </w:r>
      <w:r w:rsidR="00985C28" w:rsidRPr="00985C28">
        <w:t>uniemożliwiło im zawarcie związku małżeńskiego w Hiszpanii, z</w:t>
      </w:r>
      <w:r w:rsidR="00E111B2">
        <w:t> </w:t>
      </w:r>
      <w:r w:rsidR="00985C28" w:rsidRPr="00985C28">
        <w:t>naruszeniem art. 8 i 12 Konwencji</w:t>
      </w:r>
      <w:r w:rsidR="00236883">
        <w:t>.</w:t>
      </w:r>
    </w:p>
    <w:p w14:paraId="643B7B56" w14:textId="77777777" w:rsidR="00236883" w:rsidRPr="00DB136B" w:rsidRDefault="00000000" w:rsidP="00DB136B">
      <w:pPr>
        <w:pStyle w:val="JuHHead"/>
      </w:pPr>
      <w:r>
        <w:lastRenderedPageBreak/>
        <w:t>OCENA TRYBUNAŁU</w:t>
      </w:r>
    </w:p>
    <w:p w14:paraId="58F78B40" w14:textId="77777777" w:rsidR="00236883" w:rsidRPr="00DB136B" w:rsidRDefault="00000000" w:rsidP="00DB136B">
      <w:pPr>
        <w:pStyle w:val="JuHIRoman"/>
      </w:pPr>
      <w:r>
        <w:t>POŁĄCZENIE SKARG</w:t>
      </w:r>
    </w:p>
    <w:p w14:paraId="2BA5FD81" w14:textId="647DE460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  <w:r w:rsidR="00236883">
        <w:t>.  Mając na uwadze podobieństwo przedmiotu skarg, Trybunał uznaje za stosowne rozstrzygnąć je łącznie w jednym wyroku.</w:t>
      </w:r>
    </w:p>
    <w:p w14:paraId="19FAFCE1" w14:textId="77777777" w:rsidR="00236883" w:rsidRPr="00DB136B" w:rsidRDefault="00000000" w:rsidP="00DB136B">
      <w:pPr>
        <w:pStyle w:val="JuHIRoman"/>
      </w:pPr>
      <w:r>
        <w:t>ZARZUCANE NARUSZENIE ART. 8 KONWENCJI</w:t>
      </w:r>
    </w:p>
    <w:p w14:paraId="4CC4145C" w14:textId="18113672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 w:rsidR="00236883">
        <w:t>.  </w:t>
      </w:r>
      <w:r w:rsidR="00985C28" w:rsidRPr="00985C28">
        <w:t>Trybunał uważa, że główną kwestią podnoszoną przez skarżących na</w:t>
      </w:r>
      <w:r w:rsidR="00E111B2">
        <w:t> </w:t>
      </w:r>
      <w:r w:rsidR="00985C28" w:rsidRPr="00985C28">
        <w:t xml:space="preserve">podstawie art. 8 Konwencji było to, że w Polsce nie </w:t>
      </w:r>
      <w:r w:rsidR="00E111B2">
        <w:t>przysługiwały im </w:t>
      </w:r>
      <w:r w:rsidR="00985C28" w:rsidRPr="00985C28">
        <w:t>podstawow</w:t>
      </w:r>
      <w:r w:rsidR="00E111B2">
        <w:t>e</w:t>
      </w:r>
      <w:r w:rsidR="00985C28" w:rsidRPr="00985C28">
        <w:t xml:space="preserve"> praw</w:t>
      </w:r>
      <w:r w:rsidR="00E111B2">
        <w:t>a</w:t>
      </w:r>
      <w:r w:rsidR="00985C28" w:rsidRPr="00985C28">
        <w:t xml:space="preserve">, istotne dla każdej pary </w:t>
      </w:r>
      <w:r w:rsidR="00985C28">
        <w:t xml:space="preserve">pozostającej </w:t>
      </w:r>
      <w:r w:rsidR="00985C28" w:rsidRPr="00985C28">
        <w:t>w sta</w:t>
      </w:r>
      <w:r w:rsidR="00E111B2">
        <w:t>ły</w:t>
      </w:r>
      <w:r w:rsidR="00985C28" w:rsidRPr="00985C28">
        <w:t>m i</w:t>
      </w:r>
      <w:r w:rsidR="00E111B2">
        <w:t> </w:t>
      </w:r>
      <w:r w:rsidR="00985C28" w:rsidRPr="00985C28">
        <w:t>zaangażowanym związku</w:t>
      </w:r>
      <w:r w:rsidR="00236883">
        <w:t>.</w:t>
      </w:r>
    </w:p>
    <w:p w14:paraId="194DF859" w14:textId="77777777" w:rsidR="00236883" w:rsidRPr="00DB136B" w:rsidRDefault="00000000" w:rsidP="00DB136B">
      <w:pPr>
        <w:pStyle w:val="JuHA"/>
      </w:pPr>
      <w:r>
        <w:t>Dopuszczalność</w:t>
      </w:r>
    </w:p>
    <w:bookmarkStart w:id="1" w:name="paragraph00012"/>
    <w:p w14:paraId="5F3D2986" w14:textId="19253B13" w:rsidR="00236883" w:rsidRPr="00DB136B" w:rsidRDefault="00000000" w:rsidP="00DB136B">
      <w:pPr>
        <w:pStyle w:val="JuPara"/>
      </w:pPr>
      <w:r w:rsidRPr="00DB136B">
        <w:fldChar w:fldCharType="begin"/>
      </w:r>
      <w:r w:rsidRPr="00DB136B">
        <w:instrText xml:space="preserve"> SEQ level0 \*arabic \* MERGEFORMAT </w:instrText>
      </w:r>
      <w:r w:rsidRPr="00DB136B">
        <w:fldChar w:fldCharType="separate"/>
      </w:r>
      <w:r w:rsidR="00126439">
        <w:rPr>
          <w:noProof/>
        </w:rPr>
        <w:t>12</w:t>
      </w:r>
      <w:r w:rsidRPr="00DB136B">
        <w:fldChar w:fldCharType="end"/>
      </w:r>
      <w:bookmarkEnd w:id="1"/>
      <w:r>
        <w:t>.  </w:t>
      </w:r>
      <w:r w:rsidR="00985C28" w:rsidRPr="00985C28">
        <w:t>Rząd przedstawił wstępn</w:t>
      </w:r>
      <w:r w:rsidR="00E111B2">
        <w:t>e zastrzeżenie</w:t>
      </w:r>
      <w:r w:rsidR="00985C28" w:rsidRPr="00985C28">
        <w:t xml:space="preserve">, </w:t>
      </w:r>
      <w:r w:rsidR="00E111B2">
        <w:t>iż</w:t>
      </w:r>
      <w:r w:rsidR="00985C28" w:rsidRPr="00985C28">
        <w:t xml:space="preserve"> skarżący nie </w:t>
      </w:r>
      <w:r w:rsidR="00E111B2">
        <w:t>doznali znaczącego uszczerbku</w:t>
      </w:r>
      <w:r w:rsidR="00985C28" w:rsidRPr="00985C28">
        <w:t xml:space="preserve">, ponieważ nadal żyli razem w swoich związkach i nie ponieśli żadnej szkody z powodu decyzji krajowych. Skarżący zakwestionowali </w:t>
      </w:r>
      <w:r w:rsidR="00E111B2">
        <w:t>to zastrzeżenie</w:t>
      </w:r>
      <w:r w:rsidR="00985C28" w:rsidRPr="00985C28">
        <w:t>, powtarzając, że nie mieli dostępu do</w:t>
      </w:r>
      <w:r w:rsidR="00E111B2">
        <w:t> </w:t>
      </w:r>
      <w:r w:rsidR="00985C28" w:rsidRPr="00985C28">
        <w:t>podstawowych praw</w:t>
      </w:r>
      <w:r w:rsidR="00E111B2">
        <w:t xml:space="preserve"> </w:t>
      </w:r>
      <w:r w:rsidR="00985C28" w:rsidRPr="00985C28">
        <w:t>istotn</w:t>
      </w:r>
      <w:r w:rsidR="00E111B2">
        <w:t>ych</w:t>
      </w:r>
      <w:r w:rsidR="00985C28" w:rsidRPr="00985C28">
        <w:t xml:space="preserve"> dla każdej pary w </w:t>
      </w:r>
      <w:r w:rsidR="00E111B2" w:rsidRPr="00985C28">
        <w:t>sta</w:t>
      </w:r>
      <w:r w:rsidR="00E111B2">
        <w:t>łym</w:t>
      </w:r>
      <w:r w:rsidR="00E111B2" w:rsidRPr="00985C28">
        <w:t xml:space="preserve"> </w:t>
      </w:r>
      <w:r w:rsidR="00985C28" w:rsidRPr="00985C28">
        <w:t>związku</w:t>
      </w:r>
      <w:r>
        <w:t>.</w:t>
      </w:r>
    </w:p>
    <w:p w14:paraId="486EE68D" w14:textId="04463CAF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 w:rsidR="00236883">
        <w:t>.  </w:t>
      </w:r>
      <w:r w:rsidR="00985C28" w:rsidRPr="00985C28">
        <w:t xml:space="preserve">Trybunał stwierdza, że </w:t>
      </w:r>
      <w:r w:rsidR="00E111B2" w:rsidRPr="00985C28">
        <w:t>za</w:t>
      </w:r>
      <w:r w:rsidR="00E111B2">
        <w:t>strzeżenie to</w:t>
      </w:r>
      <w:r w:rsidR="00985C28" w:rsidRPr="00985C28">
        <w:t xml:space="preserve"> jest ściśle związan</w:t>
      </w:r>
      <w:r w:rsidR="00E111B2">
        <w:t>e</w:t>
      </w:r>
      <w:r w:rsidR="00985C28" w:rsidRPr="00985C28">
        <w:t xml:space="preserve"> z</w:t>
      </w:r>
      <w:r w:rsidR="00E111B2">
        <w:t> </w:t>
      </w:r>
      <w:r w:rsidR="00985C28">
        <w:t>przedmiotem</w:t>
      </w:r>
      <w:r w:rsidR="00985C28" w:rsidRPr="00985C28">
        <w:t xml:space="preserve"> skargi, zgodnie z którym prawa skarżących wynikające z</w:t>
      </w:r>
      <w:r w:rsidR="00BF1EC8">
        <w:t> </w:t>
      </w:r>
      <w:r w:rsidR="00985C28" w:rsidRPr="00985C28">
        <w:t>Konwencji zostały naruszone przez brak prawnego uznania związków osób tej samej płci. W</w:t>
      </w:r>
      <w:r w:rsidR="00E111B2">
        <w:t> </w:t>
      </w:r>
      <w:r w:rsidR="00985C28" w:rsidRPr="00985C28">
        <w:t xml:space="preserve">związku z tym dołącza go do </w:t>
      </w:r>
      <w:r w:rsidR="00985C28">
        <w:t>przedmiotu</w:t>
      </w:r>
      <w:r w:rsidR="00985C28" w:rsidRPr="00985C28">
        <w:t xml:space="preserve"> sprawy</w:t>
      </w:r>
      <w:r w:rsidR="00236883">
        <w:t>.</w:t>
      </w:r>
    </w:p>
    <w:p w14:paraId="618F8623" w14:textId="1592A619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 w:rsidR="00236883">
        <w:t>.  </w:t>
      </w:r>
      <w:r w:rsidR="00985C28">
        <w:t>Z powyższego wynika</w:t>
      </w:r>
      <w:r w:rsidR="00236883">
        <w:t>, że skarga nie jest w sposób oczywisty nieuzasadniona w rozumieniu art. 35 ust. 3 lit.</w:t>
      </w:r>
      <w:r w:rsidR="00BF1EC8">
        <w:t xml:space="preserve"> </w:t>
      </w:r>
      <w:r w:rsidR="00236883">
        <w:t>a Konwencji, ani nie jest niedopuszczalna z jakichkolwiek innych względów. Tym samym należy uznać ją za dopuszczalną.</w:t>
      </w:r>
    </w:p>
    <w:p w14:paraId="5A19E187" w14:textId="77777777" w:rsidR="00236883" w:rsidRPr="00DB136B" w:rsidRDefault="00000000" w:rsidP="00DB136B">
      <w:pPr>
        <w:pStyle w:val="JuHA"/>
      </w:pPr>
      <w:r>
        <w:t>Przedmiot skargi</w:t>
      </w:r>
    </w:p>
    <w:p w14:paraId="2DEDD8B4" w14:textId="156A6B88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 w:rsidR="00236883">
        <w:t>.  </w:t>
      </w:r>
      <w:r w:rsidR="00461E31" w:rsidRPr="00461E31">
        <w:t xml:space="preserve">Ogólne zasady potwierdzające, że zgodnie z pozytywnymi </w:t>
      </w:r>
      <w:r w:rsidR="005748E4">
        <w:t>obowiązkami</w:t>
      </w:r>
      <w:r w:rsidR="005748E4" w:rsidRPr="00461E31">
        <w:t xml:space="preserve"> </w:t>
      </w:r>
      <w:r w:rsidR="00461E31" w:rsidRPr="00461E31">
        <w:t>wynikającymi z art. 8 Konwencji państwa członkowskie są</w:t>
      </w:r>
      <w:r w:rsidR="00BF1EC8">
        <w:t> </w:t>
      </w:r>
      <w:r w:rsidR="00461E31" w:rsidRPr="00461E31">
        <w:t xml:space="preserve">zobowiązane do zapewnienia ram prawnych </w:t>
      </w:r>
      <w:r w:rsidR="00DB2381">
        <w:t>umożliwiających</w:t>
      </w:r>
      <w:r w:rsidR="00461E31" w:rsidRPr="00461E31">
        <w:t xml:space="preserve"> parom osób tej samej płci odpowiednie uznanie i ochronę ich związku, zostały określone w </w:t>
      </w:r>
      <w:r w:rsidR="00BF1EC8">
        <w:t xml:space="preserve">wyroku w </w:t>
      </w:r>
      <w:r w:rsidR="00461E31" w:rsidRPr="00461E31">
        <w:t xml:space="preserve">sprawie </w:t>
      </w:r>
      <w:proofErr w:type="spellStart"/>
      <w:r w:rsidR="00461E31" w:rsidRPr="00461E31">
        <w:rPr>
          <w:i/>
          <w:iCs/>
        </w:rPr>
        <w:t>Fedotova</w:t>
      </w:r>
      <w:proofErr w:type="spellEnd"/>
      <w:r w:rsidR="00461E31" w:rsidRPr="00461E31">
        <w:rPr>
          <w:i/>
          <w:iCs/>
        </w:rPr>
        <w:t xml:space="preserve"> i Inni przeciwko Rosji</w:t>
      </w:r>
      <w:r w:rsidR="00461E31" w:rsidRPr="00461E31">
        <w:t xml:space="preserve"> ([</w:t>
      </w:r>
      <w:r w:rsidR="00461E31">
        <w:t>WI</w:t>
      </w:r>
      <w:r w:rsidR="00461E31" w:rsidRPr="00461E31">
        <w:t>],</w:t>
      </w:r>
      <w:r w:rsidR="00BF1EC8">
        <w:t xml:space="preserve"> skargi</w:t>
      </w:r>
      <w:r w:rsidR="00461E31" w:rsidRPr="00461E31">
        <w:t xml:space="preserve"> </w:t>
      </w:r>
      <w:r w:rsidR="00461E31" w:rsidRPr="00BF1EC8">
        <w:t>nr</w:t>
      </w:r>
      <w:r w:rsidR="00BF1EC8">
        <w:t> </w:t>
      </w:r>
      <w:r w:rsidR="00461E31" w:rsidRPr="00BF1EC8">
        <w:t>40792</w:t>
      </w:r>
      <w:r w:rsidR="00461E31" w:rsidRPr="00461E31">
        <w:t>/10 i 2 inne, §§ 152</w:t>
      </w:r>
      <w:r w:rsidR="00461E31">
        <w:t>-</w:t>
      </w:r>
      <w:r w:rsidR="00BF1EC8">
        <w:t>1</w:t>
      </w:r>
      <w:r w:rsidR="00461E31" w:rsidRPr="00461E31">
        <w:t>65 i 178, 17 stycznia 2023 r.).</w:t>
      </w:r>
    </w:p>
    <w:p w14:paraId="61338B3D" w14:textId="328D84F4" w:rsidR="00461E31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 w:rsidR="00236883">
        <w:t>.  </w:t>
      </w:r>
      <w:bookmarkStart w:id="2" w:name="paragraph00017"/>
      <w:r w:rsidR="00461E31" w:rsidRPr="00461E31">
        <w:t>Stosując te zasady, Trybunał stwierdził w</w:t>
      </w:r>
      <w:r w:rsidR="005748E4">
        <w:t xml:space="preserve"> wyroku w</w:t>
      </w:r>
      <w:r w:rsidR="00461E31" w:rsidRPr="00461E31">
        <w:t xml:space="preserve"> sprawie </w:t>
      </w:r>
      <w:r w:rsidR="00461E31" w:rsidRPr="00461E31">
        <w:rPr>
          <w:i/>
          <w:iCs/>
        </w:rPr>
        <w:t>Przybyszewska i</w:t>
      </w:r>
      <w:r w:rsidR="005748E4">
        <w:rPr>
          <w:i/>
          <w:iCs/>
        </w:rPr>
        <w:t> </w:t>
      </w:r>
      <w:r w:rsidR="00461E31" w:rsidRPr="00461E31">
        <w:rPr>
          <w:i/>
          <w:iCs/>
        </w:rPr>
        <w:t>Inni przeciwko Polsce</w:t>
      </w:r>
      <w:r w:rsidR="00461E31" w:rsidRPr="00461E31">
        <w:t xml:space="preserve"> (</w:t>
      </w:r>
      <w:r w:rsidR="005748E4">
        <w:t xml:space="preserve">skargi </w:t>
      </w:r>
      <w:r w:rsidR="00461E31" w:rsidRPr="00461E31">
        <w:t xml:space="preserve">nr 11454/17 i 9 innych, § 122, 12 grudnia 2023 r.), że Polska nie wywiązała się ze swojego pozytywnego obowiązku zapewnienia skarżącym w tej sprawie konkretnych ram prawnych przewidujących uznanie i ochronę ich związków </w:t>
      </w:r>
      <w:r w:rsidR="00E62833">
        <w:t>jednopłciowych</w:t>
      </w:r>
      <w:r w:rsidR="00461E31" w:rsidRPr="00461E31">
        <w:t>, co</w:t>
      </w:r>
      <w:r w:rsidR="00B01174">
        <w:t> </w:t>
      </w:r>
      <w:r w:rsidR="00461E31" w:rsidRPr="00461E31">
        <w:t>stanowiło naruszenie art. 8 Konwencji (zob. także</w:t>
      </w:r>
      <w:r w:rsidR="00B01174">
        <w:t xml:space="preserve"> wyrok w sprawie</w:t>
      </w:r>
      <w:r w:rsidR="00461E31" w:rsidRPr="00461E31">
        <w:t xml:space="preserve"> </w:t>
      </w:r>
      <w:proofErr w:type="spellStart"/>
      <w:r w:rsidR="00461E31" w:rsidRPr="00461E31">
        <w:rPr>
          <w:i/>
          <w:iCs/>
        </w:rPr>
        <w:lastRenderedPageBreak/>
        <w:t>Formela</w:t>
      </w:r>
      <w:proofErr w:type="spellEnd"/>
      <w:r w:rsidR="00461E31" w:rsidRPr="00461E31">
        <w:rPr>
          <w:i/>
          <w:iCs/>
        </w:rPr>
        <w:t xml:space="preserve"> i Inni przeciwko Polsce</w:t>
      </w:r>
      <w:r w:rsidR="00461E31" w:rsidRPr="00461E31">
        <w:t xml:space="preserve"> [Komitet], </w:t>
      </w:r>
      <w:r w:rsidR="00B01174">
        <w:t xml:space="preserve">skargi </w:t>
      </w:r>
      <w:r w:rsidR="00461E31" w:rsidRPr="00461E31">
        <w:t>nr 58828/12 i 4 inne, § 25, 19 września 2024 r.).</w:t>
      </w:r>
    </w:p>
    <w:p w14:paraId="2E27D55F" w14:textId="4EF5BFA5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bookmarkEnd w:id="2"/>
      <w:r>
        <w:t>.  </w:t>
      </w:r>
      <w:r w:rsidR="00461E31" w:rsidRPr="00461E31">
        <w:t xml:space="preserve">W przedmiotowej sprawie skarżący nie </w:t>
      </w:r>
      <w:r w:rsidR="00B01174">
        <w:t>zarzucili</w:t>
      </w:r>
      <w:r w:rsidR="00461E31" w:rsidRPr="00461E31">
        <w:t xml:space="preserve"> brak</w:t>
      </w:r>
      <w:r w:rsidR="00B01174">
        <w:t>u</w:t>
      </w:r>
      <w:r w:rsidR="00461E31" w:rsidRPr="00461E31">
        <w:t xml:space="preserve"> możliwości zawarcia związku małżeńskiego w Polsce, a Trybunał zauważa, że art. 8, 12 i 14 Konwencji nie były dotychczas interpretowane jako nakładające na</w:t>
      </w:r>
      <w:r w:rsidR="00B01174">
        <w:t> </w:t>
      </w:r>
      <w:r w:rsidR="00461E31" w:rsidRPr="00461E31">
        <w:t xml:space="preserve">Państwa-Strony pozytywny obowiązek </w:t>
      </w:r>
      <w:r w:rsidR="00461E31">
        <w:t>umożliwienia zawarcia</w:t>
      </w:r>
      <w:r w:rsidR="00461E31" w:rsidRPr="00461E31">
        <w:t xml:space="preserve"> małżeństwa parom tej samej płci (</w:t>
      </w:r>
      <w:r w:rsidR="00461E31" w:rsidRPr="00461E31">
        <w:rPr>
          <w:i/>
          <w:iCs/>
        </w:rPr>
        <w:t>Przybyszewska i Inni</w:t>
      </w:r>
      <w:r w:rsidR="00461E31" w:rsidRPr="00461E31">
        <w:t>, cyt. powyżej, §</w:t>
      </w:r>
      <w:r w:rsidR="00B01174">
        <w:t> </w:t>
      </w:r>
      <w:r w:rsidR="00461E31" w:rsidRPr="00461E31">
        <w:t>165</w:t>
      </w:r>
      <w:r>
        <w:t>).</w:t>
      </w:r>
    </w:p>
    <w:p w14:paraId="49316777" w14:textId="613D1E95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 w:rsidR="00236883">
        <w:t>.  </w:t>
      </w:r>
      <w:r w:rsidR="00461E31">
        <w:t>Poza sporem pozostawała kwestia tego</w:t>
      </w:r>
      <w:r w:rsidR="00461E31" w:rsidRPr="00461E31">
        <w:t xml:space="preserve">, że polskie prawo nadal przewiduje tylko jedną formę związku rodzinnego </w:t>
      </w:r>
      <w:r w:rsidR="00B01174">
        <w:t>–</w:t>
      </w:r>
      <w:r w:rsidR="00461E31" w:rsidRPr="00461E31">
        <w:t xml:space="preserve"> małżeństwo osób </w:t>
      </w:r>
      <w:r w:rsidR="00E62833">
        <w:t>przeciwnych</w:t>
      </w:r>
      <w:r w:rsidR="00461E31" w:rsidRPr="00461E31">
        <w:t xml:space="preserve"> płci </w:t>
      </w:r>
      <w:r w:rsidR="00B01174">
        <w:t xml:space="preserve">– </w:t>
      </w:r>
      <w:r w:rsidR="00461E31" w:rsidRPr="00461E31">
        <w:t>i nie zezwala na żadną formę prawnego uznania</w:t>
      </w:r>
      <w:r w:rsidR="00B01174">
        <w:t xml:space="preserve"> związków</w:t>
      </w:r>
      <w:r w:rsidR="00461E31" w:rsidRPr="00461E31">
        <w:t xml:space="preserve"> osób tej samej płci (zob. ibid., § 105). Sytuacja ta różni się zatem znacząco od sytuacji bardzo dużej liczby państw członkowskich, które zobowiązały się do zmiany swojego prawa krajowego w celu zapewnienia osobom tej samej płci skutecznej ochrony ich życia prywatnego i rodzinnego (zob.</w:t>
      </w:r>
      <w:r w:rsidR="00B01174">
        <w:t xml:space="preserve"> wyrok w sprawie</w:t>
      </w:r>
      <w:r w:rsidR="00461E31" w:rsidRPr="00461E31">
        <w:t xml:space="preserve"> </w:t>
      </w:r>
      <w:proofErr w:type="spellStart"/>
      <w:r w:rsidR="00461E31" w:rsidRPr="00461E31">
        <w:rPr>
          <w:i/>
          <w:iCs/>
        </w:rPr>
        <w:t>Koilova</w:t>
      </w:r>
      <w:proofErr w:type="spellEnd"/>
      <w:r w:rsidR="00461E31" w:rsidRPr="00461E31">
        <w:rPr>
          <w:i/>
          <w:iCs/>
        </w:rPr>
        <w:t xml:space="preserve"> i</w:t>
      </w:r>
      <w:r w:rsidR="00B01174">
        <w:rPr>
          <w:i/>
          <w:iCs/>
        </w:rPr>
        <w:t> </w:t>
      </w:r>
      <w:proofErr w:type="spellStart"/>
      <w:r w:rsidR="00461E31" w:rsidRPr="00461E31">
        <w:rPr>
          <w:i/>
          <w:iCs/>
        </w:rPr>
        <w:t>Babulkova</w:t>
      </w:r>
      <w:proofErr w:type="spellEnd"/>
      <w:r w:rsidR="00461E31" w:rsidRPr="00461E31">
        <w:rPr>
          <w:i/>
          <w:iCs/>
        </w:rPr>
        <w:t xml:space="preserve"> przeciwko Bułgarii</w:t>
      </w:r>
      <w:r w:rsidR="00461E31" w:rsidRPr="00461E31">
        <w:t xml:space="preserve">, </w:t>
      </w:r>
      <w:r w:rsidR="00B01174">
        <w:t xml:space="preserve">skarga </w:t>
      </w:r>
      <w:r w:rsidR="00461E31" w:rsidRPr="00461E31">
        <w:t>nr 40209/20, § 46, 5 września 2023 r.</w:t>
      </w:r>
      <w:r w:rsidR="00236883">
        <w:t>).</w:t>
      </w:r>
    </w:p>
    <w:p w14:paraId="075B24CA" w14:textId="00CB27C1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 w:rsidR="00236883">
        <w:t>.  </w:t>
      </w:r>
      <w:r w:rsidR="00461E31" w:rsidRPr="00461E31">
        <w:t xml:space="preserve">Jak podnieśli skarżący w swoich uwagach, </w:t>
      </w:r>
      <w:r w:rsidR="00D9077A">
        <w:t>ni</w:t>
      </w:r>
      <w:r w:rsidR="00AE27A4">
        <w:t>e jest dla nich</w:t>
      </w:r>
      <w:r w:rsidR="00D9077A">
        <w:t xml:space="preserve"> możliwe</w:t>
      </w:r>
      <w:r w:rsidR="00B01174">
        <w:t> </w:t>
      </w:r>
      <w:r w:rsidR="00461E31" w:rsidRPr="00461E31">
        <w:t>wzięcie urlopu w celu opieki nad chorym partnerem, nie mog</w:t>
      </w:r>
      <w:r w:rsidR="00461E31">
        <w:t xml:space="preserve">ą </w:t>
      </w:r>
      <w:r w:rsidR="00B01174">
        <w:t>objąć</w:t>
      </w:r>
      <w:r w:rsidR="00B01174" w:rsidRPr="00461E31">
        <w:t xml:space="preserve"> </w:t>
      </w:r>
      <w:r w:rsidR="00461E31" w:rsidRPr="00461E31">
        <w:t>ubezpieczeni</w:t>
      </w:r>
      <w:r w:rsidR="00B01174">
        <w:t>em</w:t>
      </w:r>
      <w:r w:rsidR="00461E31" w:rsidRPr="00461E31">
        <w:t xml:space="preserve"> zdrowotn</w:t>
      </w:r>
      <w:r w:rsidR="00B01174">
        <w:t>ym</w:t>
      </w:r>
      <w:r w:rsidR="00461E31" w:rsidRPr="00461E31">
        <w:t xml:space="preserve"> swojego partnera, </w:t>
      </w:r>
      <w:r w:rsidR="00461E31">
        <w:t>są</w:t>
      </w:r>
      <w:r w:rsidR="00461E31" w:rsidRPr="00461E31">
        <w:t xml:space="preserve"> traktowani jako </w:t>
      </w:r>
      <w:r w:rsidR="00461E31">
        <w:t xml:space="preserve">osoby </w:t>
      </w:r>
      <w:r w:rsidR="00461E31" w:rsidRPr="00461E31">
        <w:t>niespokrewni</w:t>
      </w:r>
      <w:r w:rsidR="00461E31">
        <w:t>one</w:t>
      </w:r>
      <w:r w:rsidR="00461E31" w:rsidRPr="00461E31">
        <w:t xml:space="preserve"> w </w:t>
      </w:r>
      <w:r w:rsidR="00461E31">
        <w:t xml:space="preserve">zakresie </w:t>
      </w:r>
      <w:r w:rsidR="00461E31" w:rsidRPr="00461E31">
        <w:t>opodatkowania i nie mog</w:t>
      </w:r>
      <w:r w:rsidR="00461E31">
        <w:t>ą</w:t>
      </w:r>
      <w:r w:rsidR="00461E31" w:rsidRPr="00461E31">
        <w:t xml:space="preserve"> skorzystać ze</w:t>
      </w:r>
      <w:r w:rsidR="008A300E">
        <w:t> </w:t>
      </w:r>
      <w:r w:rsidR="00461E31" w:rsidRPr="00461E31">
        <w:t>zwolnienia z podatku od darowizn przyzna</w:t>
      </w:r>
      <w:r w:rsidR="00B01174">
        <w:t>wa</w:t>
      </w:r>
      <w:r w:rsidR="00461E31" w:rsidRPr="00461E31">
        <w:t>nego najbliższym krewnym lub z prawa do złożenia wspólne</w:t>
      </w:r>
      <w:r w:rsidR="00461E31">
        <w:t>go</w:t>
      </w:r>
      <w:r w:rsidR="00461E31" w:rsidRPr="00461E31">
        <w:t xml:space="preserve"> </w:t>
      </w:r>
      <w:r w:rsidR="00461E31">
        <w:t xml:space="preserve">zeznania </w:t>
      </w:r>
      <w:r w:rsidR="00461E31" w:rsidRPr="00461E31">
        <w:t>podatkowe</w:t>
      </w:r>
      <w:r w:rsidR="00461E31">
        <w:t>go</w:t>
      </w:r>
      <w:r w:rsidR="00461E31" w:rsidRPr="00461E31">
        <w:t>. Skarżący podkreślili, że partnerzy tej samej płci nie mog</w:t>
      </w:r>
      <w:r w:rsidR="00461E31">
        <w:t>ą</w:t>
      </w:r>
      <w:r w:rsidR="00461E31" w:rsidRPr="00461E31">
        <w:t xml:space="preserve"> po sobie dziedziczyć, chyba że zostało to wyraźnie wskazane w testamencie, ani otrzymać alimentów w</w:t>
      </w:r>
      <w:r w:rsidR="008A300E">
        <w:t> </w:t>
      </w:r>
      <w:r w:rsidR="00461E31" w:rsidRPr="00461E31">
        <w:t>przypadku separacji lub śmierci</w:t>
      </w:r>
      <w:r w:rsidR="00236883">
        <w:t>.</w:t>
      </w:r>
    </w:p>
    <w:p w14:paraId="4E9F03B7" w14:textId="0CC0C0A1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 w:rsidR="00236883">
        <w:t>.  </w:t>
      </w:r>
      <w:r w:rsidR="00461E31" w:rsidRPr="00461E31">
        <w:t xml:space="preserve">Trybunał zauważa, że w Polsce </w:t>
      </w:r>
      <w:r w:rsidR="008A300E">
        <w:t>związki</w:t>
      </w:r>
      <w:r w:rsidR="00461E31" w:rsidRPr="00461E31">
        <w:t xml:space="preserve"> osób tej samej płci, przy braku oficjalnego</w:t>
      </w:r>
      <w:r w:rsidR="008A300E">
        <w:t xml:space="preserve"> ich</w:t>
      </w:r>
      <w:r w:rsidR="00461E31" w:rsidRPr="00461E31">
        <w:t xml:space="preserve"> uznania, są jedynie związkami</w:t>
      </w:r>
      <w:r w:rsidR="00AE27A4">
        <w:t xml:space="preserve"> </w:t>
      </w:r>
      <w:r w:rsidR="00AE27A4" w:rsidRPr="00440B46">
        <w:rPr>
          <w:i/>
          <w:iCs/>
        </w:rPr>
        <w:t>de facto</w:t>
      </w:r>
      <w:r w:rsidR="00461E31" w:rsidRPr="00461E31">
        <w:t xml:space="preserve">. Partnerzy tej samej płci nie mogą powoływać się na istnienie ich związku w kontaktach z władzami sądowymi lub administracyjnymi (zob. </w:t>
      </w:r>
      <w:r w:rsidR="00461E31" w:rsidRPr="005B7F17">
        <w:rPr>
          <w:i/>
          <w:iCs/>
        </w:rPr>
        <w:t>Przybyszewska i Inni</w:t>
      </w:r>
      <w:r w:rsidR="00461E31" w:rsidRPr="00461E31">
        <w:t xml:space="preserve">, cyt. powyżej, § 113). Trybunał powtarza, że konieczność zwracania się do sądów krajowych o ochronę zwykłych potrzeb pary sama w sobie </w:t>
      </w:r>
      <w:r w:rsidR="005B7F17">
        <w:t xml:space="preserve">stanowi </w:t>
      </w:r>
      <w:r w:rsidR="00461E31" w:rsidRPr="00461E31">
        <w:t>przeszkod</w:t>
      </w:r>
      <w:r w:rsidR="005B7F17">
        <w:t>ę</w:t>
      </w:r>
      <w:r w:rsidR="00461E31" w:rsidRPr="00461E31">
        <w:t xml:space="preserve"> w poszanowaniu życia prywatnego i rodzinnego</w:t>
      </w:r>
      <w:r w:rsidR="00953420">
        <w:t xml:space="preserve"> partnerów.</w:t>
      </w:r>
    </w:p>
    <w:p w14:paraId="455E755F" w14:textId="7E8FD3A1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 w:rsidR="00236883">
        <w:t>.  </w:t>
      </w:r>
      <w:r w:rsidR="007B262B" w:rsidRPr="007B262B">
        <w:t xml:space="preserve">Odnosząc się do ustaleń </w:t>
      </w:r>
      <w:r w:rsidR="007B262B">
        <w:t xml:space="preserve">już </w:t>
      </w:r>
      <w:r w:rsidR="007B262B" w:rsidRPr="007B262B">
        <w:t>dokonanych przez Trybunał w</w:t>
      </w:r>
      <w:r w:rsidR="008A300E">
        <w:t> </w:t>
      </w:r>
      <w:r w:rsidR="007B262B" w:rsidRPr="007B262B">
        <w:t xml:space="preserve">odniesieniu do Polski w sprawach wskazanych powyżej, Trybunał stwierdza zatem, że nie zapewniając skarżącym konkretnych ram prawnych zapewniających uznanie i ochronę, polskie władze pozostawiły ich w próżni prawnej i nie zapewniły podstawowych potrzeb w zakresie uznania i ochrony par osób tej samej płci pozostających w </w:t>
      </w:r>
      <w:r w:rsidR="008A300E" w:rsidRPr="007B262B">
        <w:t>sta</w:t>
      </w:r>
      <w:r w:rsidR="008A300E">
        <w:t>łyc</w:t>
      </w:r>
      <w:r w:rsidR="008A300E" w:rsidRPr="007B262B">
        <w:t xml:space="preserve">h </w:t>
      </w:r>
      <w:r w:rsidR="007B262B" w:rsidRPr="007B262B">
        <w:t>i zaangażowanych związkach. Trybunał stwierdza, że żadna z przesłanek interesu publicznego przedstawionych przez Rząd nie przeważa nad interesem skarżących w</w:t>
      </w:r>
      <w:r w:rsidR="008A300E">
        <w:t> </w:t>
      </w:r>
      <w:r w:rsidR="007B262B" w:rsidRPr="007B262B">
        <w:t>odpowiednim uznaniu i ochronie prawnej ich związków</w:t>
      </w:r>
      <w:r w:rsidR="00236883">
        <w:t>.</w:t>
      </w:r>
    </w:p>
    <w:p w14:paraId="53C99AF2" w14:textId="59AA85BA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  <w:r w:rsidR="00236883">
        <w:t>.  </w:t>
      </w:r>
      <w:r w:rsidR="007B262B" w:rsidRPr="007B262B">
        <w:t>Trybunał zauważył, że państwa członkowskie mają szerszy margines oceny przy określaniu dokładnego charakteru systemu prawnego, który ma</w:t>
      </w:r>
      <w:r w:rsidR="008A300E">
        <w:t> </w:t>
      </w:r>
      <w:r w:rsidR="007B262B" w:rsidRPr="007B262B">
        <w:t xml:space="preserve">być dostępny dla par tej samej płci. Ważne jest jednak, aby ochrona </w:t>
      </w:r>
      <w:r w:rsidR="007B262B" w:rsidRPr="007B262B">
        <w:lastRenderedPageBreak/>
        <w:t xml:space="preserve">przyznana przez państwa parom tej samej płci była odpowiednia. </w:t>
      </w:r>
      <w:r w:rsidR="008A300E">
        <w:t>To w</w:t>
      </w:r>
      <w:r w:rsidR="007B262B" w:rsidRPr="007B262B">
        <w:t xml:space="preserve"> tym </w:t>
      </w:r>
      <w:r w:rsidR="00DE7977">
        <w:t xml:space="preserve">drugim </w:t>
      </w:r>
      <w:r w:rsidR="007B262B" w:rsidRPr="007B262B">
        <w:t>kontekście można wziąć pod uwagę kontekst społeczny i kulturowy Polski</w:t>
      </w:r>
      <w:r w:rsidR="00236883">
        <w:t>.</w:t>
      </w:r>
    </w:p>
    <w:p w14:paraId="784A2328" w14:textId="3E8D9796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  <w:r w:rsidR="00236883">
        <w:t>.  </w:t>
      </w:r>
      <w:r w:rsidR="007B262B" w:rsidRPr="007B262B">
        <w:t>Trybunał doszedł do wniosku, że pozwane państwo przekroczyło swój margines oceny i nie wywiązało się ze swojego pozytywnego obowiązku zapewnienia skarżącym konkretnych ram prawnych przewidujących uznanie i ochronę ich związków jednopłciowych. Stanowi to</w:t>
      </w:r>
      <w:r w:rsidR="008A300E">
        <w:t> </w:t>
      </w:r>
      <w:r w:rsidR="007B262B" w:rsidRPr="007B262B">
        <w:t>naruszenie prawa skarżących do poszanowania ich życia prywatnego i</w:t>
      </w:r>
      <w:r w:rsidR="008A300E">
        <w:t> </w:t>
      </w:r>
      <w:r w:rsidR="007B262B" w:rsidRPr="007B262B">
        <w:t xml:space="preserve">rodzinnego. W związku z tym </w:t>
      </w:r>
      <w:r w:rsidR="007B262B">
        <w:t xml:space="preserve">należy oddalić </w:t>
      </w:r>
      <w:r w:rsidR="007B262B" w:rsidRPr="007B262B">
        <w:t>wstępn</w:t>
      </w:r>
      <w:r w:rsidR="008A300E">
        <w:t xml:space="preserve">e zastrzeżenie </w:t>
      </w:r>
      <w:r w:rsidR="007B262B" w:rsidRPr="007B262B">
        <w:t>Rządu dotycząc</w:t>
      </w:r>
      <w:r w:rsidR="008A300E">
        <w:t>e</w:t>
      </w:r>
      <w:r w:rsidR="007B262B" w:rsidRPr="007B262B">
        <w:t xml:space="preserve"> </w:t>
      </w:r>
      <w:r w:rsidR="008A300E">
        <w:t>niedoznania</w:t>
      </w:r>
      <w:r w:rsidR="007B262B" w:rsidRPr="007B262B">
        <w:t xml:space="preserve"> znaczącego uszczerbku </w:t>
      </w:r>
      <w:r w:rsidR="008A300E">
        <w:t>przez</w:t>
      </w:r>
      <w:r w:rsidR="007B262B" w:rsidRPr="007B262B">
        <w:t xml:space="preserve"> skarżących (zob. paragraf 12 powyżej)</w:t>
      </w:r>
      <w:r w:rsidR="00236883">
        <w:t>.</w:t>
      </w:r>
    </w:p>
    <w:p w14:paraId="4F33AF4A" w14:textId="62853484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  <w:r w:rsidR="00236883">
        <w:t>.  W związku z powyższym doszło do naruszenia art. 8 Konwencji.</w:t>
      </w:r>
    </w:p>
    <w:p w14:paraId="0CD88A2B" w14:textId="58FD3D1E" w:rsidR="00236883" w:rsidRPr="00DB136B" w:rsidRDefault="003D29CC" w:rsidP="00DB136B">
      <w:pPr>
        <w:pStyle w:val="JuHIRoman"/>
      </w:pPr>
      <w:r>
        <w:t xml:space="preserve">POZOSTAŁE </w:t>
      </w:r>
      <w:r w:rsidR="008A300E">
        <w:t>ZARZUTY</w:t>
      </w:r>
    </w:p>
    <w:p w14:paraId="6A3956C1" w14:textId="7DD92079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  <w:r w:rsidR="00236883">
        <w:t>.  </w:t>
      </w:r>
      <w:r w:rsidR="003D29CC" w:rsidRPr="003D29CC">
        <w:t xml:space="preserve">Skarżący </w:t>
      </w:r>
      <w:r w:rsidR="008A300E">
        <w:t>zarzucili</w:t>
      </w:r>
      <w:r w:rsidR="003D29CC" w:rsidRPr="003D29CC">
        <w:t xml:space="preserve"> również na podstawie art. 8 i 12 Konwencji, że nie wydano im zaświadczenia o zdolności do zawarcia małżeństwa, które pozwoliłoby im zawrzeć związek małżeński w Hiszpanii, </w:t>
      </w:r>
      <w:r w:rsidR="00DE7977">
        <w:t xml:space="preserve">nawet jeśli </w:t>
      </w:r>
      <w:r w:rsidR="003D29CC" w:rsidRPr="003D29CC">
        <w:t xml:space="preserve">takie małżeństwo nie </w:t>
      </w:r>
      <w:r w:rsidR="003D29CC">
        <w:t>wywołałoby</w:t>
      </w:r>
      <w:r w:rsidR="003D29CC" w:rsidRPr="003D29CC">
        <w:t xml:space="preserve"> skutków prawnych w Polsce. Rząd wskazał, że</w:t>
      </w:r>
      <w:r w:rsidR="008051E1">
        <w:t> </w:t>
      </w:r>
      <w:r w:rsidR="003D29CC" w:rsidRPr="003D29CC">
        <w:t>od 2015 r</w:t>
      </w:r>
      <w:r w:rsidR="008051E1">
        <w:t>.</w:t>
      </w:r>
      <w:r w:rsidR="003D29CC" w:rsidRPr="003D29CC">
        <w:t xml:space="preserve"> mogą oni uzyskać zaświadczenie o stanie cywilnym, które może ułatwić im zawarcie związku małżeńskiego za granicą</w:t>
      </w:r>
      <w:r w:rsidR="00236883">
        <w:t>.</w:t>
      </w:r>
    </w:p>
    <w:p w14:paraId="34C220BA" w14:textId="0F439F55" w:rsidR="00236883" w:rsidRPr="00B2631C" w:rsidRDefault="00126439" w:rsidP="008051E1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  <w:r w:rsidR="00236883">
        <w:t>.  </w:t>
      </w:r>
      <w:r w:rsidR="003D29CC" w:rsidRPr="003D29CC">
        <w:t xml:space="preserve">Trybunał uważa, że odmowa wydania przez polskie władze zaświadczenia potwierdzającego </w:t>
      </w:r>
      <w:r w:rsidR="008051E1">
        <w:t>zdolność</w:t>
      </w:r>
      <w:r w:rsidR="008051E1" w:rsidRPr="003D29CC">
        <w:t xml:space="preserve"> </w:t>
      </w:r>
      <w:r w:rsidR="003D29CC" w:rsidRPr="003D29CC">
        <w:t xml:space="preserve">skarżących do zawarcia małżeństwa z ich partnerami tej samej płci była konsekwencją </w:t>
      </w:r>
      <w:r w:rsidR="00DE7977">
        <w:t xml:space="preserve">okoliczności stanowiących </w:t>
      </w:r>
      <w:r w:rsidR="003D29CC" w:rsidRPr="003D29CC">
        <w:t xml:space="preserve">sedno sprawy </w:t>
      </w:r>
      <w:r w:rsidR="008051E1">
        <w:t>–</w:t>
      </w:r>
      <w:r w:rsidR="003D29CC" w:rsidRPr="003D29CC">
        <w:t xml:space="preserve"> braku ram prawnych zapewniających uznanie i</w:t>
      </w:r>
      <w:r w:rsidR="008051E1">
        <w:t xml:space="preserve"> </w:t>
      </w:r>
      <w:r w:rsidR="003D29CC" w:rsidRPr="003D29CC">
        <w:t xml:space="preserve">ochronę </w:t>
      </w:r>
      <w:r w:rsidR="00DB7AAF">
        <w:t xml:space="preserve">jednopłciowych </w:t>
      </w:r>
      <w:r w:rsidR="003D29CC" w:rsidRPr="003D29CC">
        <w:t xml:space="preserve">związków skarżących w Polsce </w:t>
      </w:r>
      <w:r w:rsidR="008051E1">
        <w:t>–</w:t>
      </w:r>
      <w:r w:rsidR="003D29CC" w:rsidRPr="003D29CC">
        <w:t xml:space="preserve"> skutkującej naruszeniem Konwencji stwierdzonym powyżej</w:t>
      </w:r>
      <w:r w:rsidR="00236883">
        <w:t xml:space="preserve">. </w:t>
      </w:r>
      <w:r w:rsidR="003D29CC" w:rsidRPr="003D29CC">
        <w:t>Trybunał uznaje zatem, że zajął się głównymi kwestiami prawnymi podniesionymi w</w:t>
      </w:r>
      <w:r w:rsidR="008051E1">
        <w:t> </w:t>
      </w:r>
      <w:r w:rsidR="003D29CC" w:rsidRPr="003D29CC">
        <w:t>sprawie i że nie ma potrzeby rozpatrywania te</w:t>
      </w:r>
      <w:r w:rsidR="008051E1">
        <w:t xml:space="preserve">go zarzutu </w:t>
      </w:r>
      <w:r w:rsidR="003D29CC" w:rsidRPr="003D29CC">
        <w:t>(zob.</w:t>
      </w:r>
      <w:r w:rsidR="008051E1">
        <w:t xml:space="preserve"> wyrok w sprawie</w:t>
      </w:r>
      <w:r w:rsidR="003D29CC" w:rsidRPr="003D29CC">
        <w:t xml:space="preserve"> </w:t>
      </w:r>
      <w:r w:rsidR="008051E1" w:rsidRPr="00B2631C">
        <w:rPr>
          <w:i/>
          <w:iCs/>
        </w:rPr>
        <w:t>Ośrodek Działań Prawnych w Imieniu</w:t>
      </w:r>
      <w:r w:rsidR="008051E1">
        <w:t xml:space="preserve"> </w:t>
      </w:r>
      <w:r w:rsidR="003D29CC" w:rsidRPr="00B2631C">
        <w:rPr>
          <w:i/>
          <w:iCs/>
        </w:rPr>
        <w:t xml:space="preserve">Valentina </w:t>
      </w:r>
      <w:proofErr w:type="spellStart"/>
      <w:r w:rsidR="003D29CC" w:rsidRPr="00B2631C">
        <w:rPr>
          <w:i/>
          <w:iCs/>
        </w:rPr>
        <w:t>Câmpeanu</w:t>
      </w:r>
      <w:proofErr w:type="spellEnd"/>
      <w:r w:rsidR="003D29CC" w:rsidRPr="00B2631C">
        <w:rPr>
          <w:i/>
          <w:iCs/>
        </w:rPr>
        <w:t xml:space="preserve"> przeciwko Rumunii</w:t>
      </w:r>
      <w:r w:rsidR="003D29CC" w:rsidRPr="00B2631C">
        <w:t xml:space="preserve"> [WI], </w:t>
      </w:r>
      <w:r w:rsidR="008051E1">
        <w:t xml:space="preserve">skarga </w:t>
      </w:r>
      <w:r w:rsidR="003D29CC" w:rsidRPr="00B2631C">
        <w:t>nr 47848/08, § 156, ETPC 2014)</w:t>
      </w:r>
      <w:r w:rsidR="00236883" w:rsidRPr="00B2631C">
        <w:t>.</w:t>
      </w:r>
    </w:p>
    <w:p w14:paraId="166E47A7" w14:textId="098792CD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  <w:r w:rsidR="00236883">
        <w:t>.  </w:t>
      </w:r>
      <w:r w:rsidR="003D29CC" w:rsidRPr="003D29CC">
        <w:t xml:space="preserve">W zakresie, w jakim skarżący zarzucają, że nie mogli zawrzeć związku małżeńskiego w Hiszpanii, Trybunał zauważa, że niniejsza skarga jest skierowana wyłącznie przeciwko Polsce. </w:t>
      </w:r>
      <w:r w:rsidR="008051E1">
        <w:t>Zarzut ten</w:t>
      </w:r>
      <w:r w:rsidR="003D29CC" w:rsidRPr="003D29CC">
        <w:t xml:space="preserve"> jest zatem </w:t>
      </w:r>
      <w:r w:rsidR="00953420">
        <w:t>niezgodny</w:t>
      </w:r>
      <w:r w:rsidR="0073227A">
        <w:t xml:space="preserve"> </w:t>
      </w:r>
      <w:proofErr w:type="spellStart"/>
      <w:r w:rsidR="003D29CC" w:rsidRPr="003D29CC">
        <w:rPr>
          <w:i/>
          <w:iCs/>
        </w:rPr>
        <w:t>ratione</w:t>
      </w:r>
      <w:proofErr w:type="spellEnd"/>
      <w:r w:rsidR="003D29CC" w:rsidRPr="003D29CC">
        <w:rPr>
          <w:i/>
          <w:iCs/>
        </w:rPr>
        <w:t xml:space="preserve"> </w:t>
      </w:r>
      <w:proofErr w:type="spellStart"/>
      <w:r w:rsidR="003D29CC" w:rsidRPr="003D29CC">
        <w:rPr>
          <w:i/>
          <w:iCs/>
        </w:rPr>
        <w:t>loci</w:t>
      </w:r>
      <w:proofErr w:type="spellEnd"/>
      <w:r w:rsidR="00236883">
        <w:t>.</w:t>
      </w:r>
    </w:p>
    <w:p w14:paraId="1FBFA178" w14:textId="773E152F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  <w:r w:rsidR="00236883">
        <w:t>.  </w:t>
      </w:r>
      <w:r w:rsidR="003D29CC" w:rsidRPr="003D29CC">
        <w:t xml:space="preserve">Wreszcie, mając na uwadze swoje ustalenia </w:t>
      </w:r>
      <w:r w:rsidR="003D29CC">
        <w:t xml:space="preserve">dokonane </w:t>
      </w:r>
      <w:r w:rsidR="003D29CC" w:rsidRPr="003D29CC">
        <w:t xml:space="preserve">na podstawie art. 8, Trybunał uważa, że nie jest konieczne oddzielne </w:t>
      </w:r>
      <w:r w:rsidR="008B0218">
        <w:t>z</w:t>
      </w:r>
      <w:r w:rsidR="003D29CC" w:rsidRPr="003D29CC">
        <w:t>badanie, czy w</w:t>
      </w:r>
      <w:r w:rsidR="008B0218">
        <w:t> </w:t>
      </w:r>
      <w:r w:rsidR="007226F4">
        <w:t>niniejszej</w:t>
      </w:r>
      <w:r w:rsidR="003D29CC" w:rsidRPr="003D29CC">
        <w:t xml:space="preserve"> sprawie fakt, </w:t>
      </w:r>
      <w:r w:rsidR="008B0218">
        <w:t>iż skarżący</w:t>
      </w:r>
      <w:r w:rsidR="003D29CC" w:rsidRPr="003D29CC">
        <w:t xml:space="preserve"> nie byli w stanie zapewnić </w:t>
      </w:r>
      <w:r w:rsidR="008B0218">
        <w:t xml:space="preserve">sobie </w:t>
      </w:r>
      <w:r w:rsidR="003D29CC" w:rsidRPr="003D29CC">
        <w:t xml:space="preserve">prawnego uznania </w:t>
      </w:r>
      <w:r w:rsidR="008B0218">
        <w:t>swoich</w:t>
      </w:r>
      <w:r w:rsidR="003D29CC" w:rsidRPr="003D29CC">
        <w:t xml:space="preserve"> związków, stanowił dyskryminację ze względu na</w:t>
      </w:r>
      <w:r w:rsidR="008B0218">
        <w:t> </w:t>
      </w:r>
      <w:r w:rsidR="003D29CC" w:rsidRPr="003D29CC">
        <w:t xml:space="preserve">orientację seksualną z naruszeniem art. 14 w związku z art. 8 (zob. </w:t>
      </w:r>
      <w:r w:rsidR="003D29CC" w:rsidRPr="007226F4">
        <w:rPr>
          <w:i/>
          <w:iCs/>
        </w:rPr>
        <w:t>Przybyszewska i Inni</w:t>
      </w:r>
      <w:r w:rsidR="003D29CC" w:rsidRPr="003D29CC">
        <w:t>, cyt. powyżej, § 126).</w:t>
      </w:r>
    </w:p>
    <w:p w14:paraId="15A23D3B" w14:textId="77777777" w:rsidR="00236883" w:rsidRPr="00DB136B" w:rsidRDefault="00000000" w:rsidP="00DB136B">
      <w:pPr>
        <w:pStyle w:val="JuHHead"/>
      </w:pPr>
      <w:r>
        <w:lastRenderedPageBreak/>
        <w:t>ZASTOSOWANIE ART. 41 KONWENCJI</w:t>
      </w:r>
    </w:p>
    <w:p w14:paraId="0C13C299" w14:textId="7D7ABE7A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  <w:r w:rsidR="00236883">
        <w:t>.  </w:t>
      </w:r>
      <w:r w:rsidR="007226F4" w:rsidRPr="007226F4">
        <w:t xml:space="preserve">Skarżący w pierwszej </w:t>
      </w:r>
      <w:r w:rsidR="008B0218">
        <w:t>skardze</w:t>
      </w:r>
      <w:r w:rsidR="008B0218" w:rsidRPr="007226F4">
        <w:t xml:space="preserve"> </w:t>
      </w:r>
      <w:r w:rsidR="0037005E">
        <w:t>domagał się kwoty</w:t>
      </w:r>
      <w:r w:rsidR="007226F4" w:rsidRPr="007226F4">
        <w:t xml:space="preserve"> nie </w:t>
      </w:r>
      <w:r w:rsidR="0037005E">
        <w:t>niższej</w:t>
      </w:r>
      <w:r w:rsidR="007226F4" w:rsidRPr="007226F4">
        <w:t xml:space="preserve"> niż 3.000 euro (EUR) </w:t>
      </w:r>
      <w:r w:rsidR="0037005E">
        <w:t xml:space="preserve">tytułem zadośćuczynienia </w:t>
      </w:r>
      <w:r w:rsidR="007226F4" w:rsidRPr="007226F4">
        <w:t>za szkodę niemajątkową. Skarżący w</w:t>
      </w:r>
      <w:r w:rsidR="008B0218">
        <w:t> </w:t>
      </w:r>
      <w:r w:rsidR="007226F4" w:rsidRPr="007226F4">
        <w:t xml:space="preserve">drugiej skardze domagali się, również </w:t>
      </w:r>
      <w:r w:rsidR="0037005E">
        <w:t>tytułem zadośćuczynienia za</w:t>
      </w:r>
      <w:r w:rsidR="007226F4" w:rsidRPr="007226F4">
        <w:t xml:space="preserve"> szkod</w:t>
      </w:r>
      <w:r w:rsidR="0037005E">
        <w:t>ę</w:t>
      </w:r>
      <w:r w:rsidR="007226F4" w:rsidRPr="007226F4">
        <w:t xml:space="preserve"> niemajątkow</w:t>
      </w:r>
      <w:r w:rsidR="0037005E">
        <w:t>ą</w:t>
      </w:r>
      <w:r w:rsidR="007226F4" w:rsidRPr="007226F4">
        <w:t>, po 5.000 euro</w:t>
      </w:r>
      <w:r w:rsidR="008B0218">
        <w:t xml:space="preserve"> każdy</w:t>
      </w:r>
      <w:r w:rsidR="007226F4" w:rsidRPr="007226F4">
        <w:t xml:space="preserve">. Skarżący nie </w:t>
      </w:r>
      <w:r w:rsidR="008B0218">
        <w:t>domagali się</w:t>
      </w:r>
      <w:r w:rsidR="007226F4" w:rsidRPr="007226F4">
        <w:t xml:space="preserve"> </w:t>
      </w:r>
      <w:r w:rsidR="0037005E">
        <w:t xml:space="preserve">zwrotu </w:t>
      </w:r>
      <w:r w:rsidR="007226F4" w:rsidRPr="007226F4">
        <w:t>kosztów i wydatków</w:t>
      </w:r>
      <w:r w:rsidR="00236883">
        <w:t>. Rząd zakwestionował t</w:t>
      </w:r>
      <w:r w:rsidR="0037005E">
        <w:t>e</w:t>
      </w:r>
      <w:r w:rsidR="00236883">
        <w:t xml:space="preserve"> żądani</w:t>
      </w:r>
      <w:r w:rsidR="0037005E">
        <w:t>a</w:t>
      </w:r>
      <w:r w:rsidR="00236883">
        <w:t>.</w:t>
      </w:r>
    </w:p>
    <w:p w14:paraId="6D1D29F7" w14:textId="7CBF9FDC" w:rsidR="00236883" w:rsidRPr="00DB136B" w:rsidRDefault="00126439" w:rsidP="00DB136B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  <w:r w:rsidR="00236883">
        <w:t>.  </w:t>
      </w:r>
      <w:r w:rsidR="0037005E" w:rsidRPr="0037005E">
        <w:t>Mając na uwadze okoliczności sprawy, Trybunał uważa, że</w:t>
      </w:r>
      <w:r w:rsidR="008B0218">
        <w:t> </w:t>
      </w:r>
      <w:r w:rsidR="0037005E" w:rsidRPr="0037005E">
        <w:t xml:space="preserve">stwierdzenie naruszenia samo w sobie stanowi wystarczające </w:t>
      </w:r>
      <w:r w:rsidR="008B0218">
        <w:t xml:space="preserve">słuszne </w:t>
      </w:r>
      <w:r w:rsidR="0037005E" w:rsidRPr="0037005E">
        <w:t xml:space="preserve">zadośćuczynienie za wszelkie szkody niemajątkowe, poniesione przez skarżących (zob. </w:t>
      </w:r>
      <w:proofErr w:type="spellStart"/>
      <w:r w:rsidR="0037005E" w:rsidRPr="0037005E">
        <w:rPr>
          <w:i/>
          <w:iCs/>
        </w:rPr>
        <w:t>Fedotova</w:t>
      </w:r>
      <w:proofErr w:type="spellEnd"/>
      <w:r w:rsidR="0037005E" w:rsidRPr="0037005E">
        <w:rPr>
          <w:i/>
          <w:iCs/>
        </w:rPr>
        <w:t xml:space="preserve"> i Inni</w:t>
      </w:r>
      <w:r w:rsidR="0037005E" w:rsidRPr="0037005E">
        <w:t>, cyt. powyżej, § 235).</w:t>
      </w:r>
    </w:p>
    <w:p w14:paraId="12DFE663" w14:textId="77777777" w:rsidR="00236883" w:rsidRPr="00DB136B" w:rsidRDefault="00000000" w:rsidP="00DB136B">
      <w:pPr>
        <w:pStyle w:val="JuHHead"/>
      </w:pPr>
      <w:r>
        <w:t>Z POWYŻSZYCH WZGLĘDÓW TRYBUNAŁ JEDNOGŁOŚNIE</w:t>
      </w:r>
    </w:p>
    <w:p w14:paraId="32962EF8" w14:textId="77777777" w:rsidR="00236883" w:rsidRPr="00DB136B" w:rsidRDefault="00000000" w:rsidP="00DB136B">
      <w:pPr>
        <w:pStyle w:val="JuList"/>
      </w:pPr>
      <w:r>
        <w:rPr>
          <w:i/>
          <w:iCs/>
        </w:rPr>
        <w:t>postanawia</w:t>
      </w:r>
      <w:r>
        <w:t xml:space="preserve"> połączyć skargi;</w:t>
      </w:r>
    </w:p>
    <w:p w14:paraId="4694B31D" w14:textId="588447A4" w:rsidR="00236883" w:rsidRPr="0037005E" w:rsidRDefault="0037005E" w:rsidP="00DB136B">
      <w:pPr>
        <w:pStyle w:val="JuList"/>
        <w:rPr>
          <w:iCs/>
        </w:rPr>
      </w:pPr>
      <w:r w:rsidRPr="0037005E">
        <w:rPr>
          <w:i/>
        </w:rPr>
        <w:t>postanawia</w:t>
      </w:r>
      <w:r w:rsidRPr="0037005E">
        <w:rPr>
          <w:iCs/>
        </w:rPr>
        <w:t xml:space="preserve"> </w:t>
      </w:r>
      <w:r>
        <w:rPr>
          <w:iCs/>
        </w:rPr>
        <w:t>objąć przedmiotem skargi</w:t>
      </w:r>
      <w:r w:rsidRPr="0037005E">
        <w:rPr>
          <w:iCs/>
        </w:rPr>
        <w:t xml:space="preserve"> </w:t>
      </w:r>
      <w:r w:rsidR="008B0218" w:rsidRPr="0037005E">
        <w:rPr>
          <w:iCs/>
        </w:rPr>
        <w:t>za</w:t>
      </w:r>
      <w:r w:rsidR="008B0218">
        <w:rPr>
          <w:iCs/>
        </w:rPr>
        <w:t>strzeżenie</w:t>
      </w:r>
      <w:r w:rsidR="008B0218" w:rsidRPr="0037005E">
        <w:rPr>
          <w:iCs/>
        </w:rPr>
        <w:t xml:space="preserve"> </w:t>
      </w:r>
      <w:r w:rsidRPr="0037005E">
        <w:rPr>
          <w:iCs/>
        </w:rPr>
        <w:t>wstępn</w:t>
      </w:r>
      <w:r w:rsidR="008B0218">
        <w:rPr>
          <w:iCs/>
        </w:rPr>
        <w:t>e</w:t>
      </w:r>
      <w:r w:rsidRPr="0037005E">
        <w:rPr>
          <w:iCs/>
        </w:rPr>
        <w:t xml:space="preserve"> dotycząc</w:t>
      </w:r>
      <w:r w:rsidR="008B0218">
        <w:rPr>
          <w:iCs/>
        </w:rPr>
        <w:t>e</w:t>
      </w:r>
      <w:r w:rsidRPr="0037005E">
        <w:rPr>
          <w:iCs/>
        </w:rPr>
        <w:t xml:space="preserve"> </w:t>
      </w:r>
      <w:r w:rsidR="008B0218">
        <w:rPr>
          <w:iCs/>
        </w:rPr>
        <w:t>niedoznania</w:t>
      </w:r>
      <w:r w:rsidR="008B0218" w:rsidRPr="0037005E">
        <w:rPr>
          <w:iCs/>
        </w:rPr>
        <w:t xml:space="preserve"> </w:t>
      </w:r>
      <w:r w:rsidR="008B0218">
        <w:rPr>
          <w:iCs/>
        </w:rPr>
        <w:t xml:space="preserve">znaczącego </w:t>
      </w:r>
      <w:r>
        <w:rPr>
          <w:iCs/>
        </w:rPr>
        <w:t>uszczerbku</w:t>
      </w:r>
      <w:r w:rsidRPr="0037005E">
        <w:rPr>
          <w:iCs/>
        </w:rPr>
        <w:t xml:space="preserve"> i </w:t>
      </w:r>
      <w:r w:rsidRPr="0037005E">
        <w:rPr>
          <w:i/>
        </w:rPr>
        <w:t>oddala</w:t>
      </w:r>
      <w:r w:rsidRPr="0037005E">
        <w:rPr>
          <w:iCs/>
        </w:rPr>
        <w:t xml:space="preserve"> </w:t>
      </w:r>
      <w:r w:rsidR="008B0218">
        <w:rPr>
          <w:iCs/>
        </w:rPr>
        <w:t>je</w:t>
      </w:r>
      <w:r w:rsidRPr="0037005E">
        <w:rPr>
          <w:iCs/>
        </w:rPr>
        <w:t>;</w:t>
      </w:r>
    </w:p>
    <w:p w14:paraId="51A84344" w14:textId="665E8FDA" w:rsidR="00236883" w:rsidRPr="0037005E" w:rsidRDefault="0037005E" w:rsidP="00DB136B">
      <w:pPr>
        <w:pStyle w:val="JuList"/>
        <w:rPr>
          <w:iCs/>
        </w:rPr>
      </w:pPr>
      <w:r>
        <w:rPr>
          <w:i/>
        </w:rPr>
        <w:t>u</w:t>
      </w:r>
      <w:r w:rsidRPr="0037005E">
        <w:rPr>
          <w:i/>
        </w:rPr>
        <w:t>znaje</w:t>
      </w:r>
      <w:r w:rsidRPr="0037005E">
        <w:rPr>
          <w:iCs/>
        </w:rPr>
        <w:t xml:space="preserve"> </w:t>
      </w:r>
      <w:r w:rsidR="008B0218">
        <w:rPr>
          <w:iCs/>
        </w:rPr>
        <w:t>zarzut</w:t>
      </w:r>
      <w:r w:rsidRPr="0037005E">
        <w:rPr>
          <w:iCs/>
        </w:rPr>
        <w:t xml:space="preserve"> dotycząc</w:t>
      </w:r>
      <w:r w:rsidR="008B0218">
        <w:rPr>
          <w:iCs/>
        </w:rPr>
        <w:t>y</w:t>
      </w:r>
      <w:r w:rsidRPr="0037005E">
        <w:rPr>
          <w:iCs/>
        </w:rPr>
        <w:t xml:space="preserve"> braku ram prawnych zapewniających uznanie i</w:t>
      </w:r>
      <w:r w:rsidR="00EE6967">
        <w:rPr>
          <w:iCs/>
        </w:rPr>
        <w:t> </w:t>
      </w:r>
      <w:r w:rsidRPr="0037005E">
        <w:rPr>
          <w:iCs/>
        </w:rPr>
        <w:t>ochronę związków osób tej samej płci skarżących w Polsce za</w:t>
      </w:r>
      <w:r w:rsidR="00EE6967">
        <w:rPr>
          <w:iCs/>
        </w:rPr>
        <w:t> </w:t>
      </w:r>
      <w:r w:rsidRPr="0037005E">
        <w:rPr>
          <w:iCs/>
        </w:rPr>
        <w:t>dopuszczaln</w:t>
      </w:r>
      <w:r w:rsidR="00EE6967">
        <w:rPr>
          <w:iCs/>
        </w:rPr>
        <w:t>y</w:t>
      </w:r>
      <w:r w:rsidRPr="0037005E">
        <w:rPr>
          <w:iCs/>
        </w:rPr>
        <w:t xml:space="preserve">, a </w:t>
      </w:r>
      <w:r w:rsidR="00EE6967">
        <w:rPr>
          <w:iCs/>
        </w:rPr>
        <w:t>zarzut</w:t>
      </w:r>
      <w:r w:rsidR="00EE6967" w:rsidRPr="0037005E">
        <w:rPr>
          <w:iCs/>
        </w:rPr>
        <w:t xml:space="preserve"> </w:t>
      </w:r>
      <w:r w:rsidRPr="0037005E">
        <w:rPr>
          <w:iCs/>
        </w:rPr>
        <w:t>dotycząc</w:t>
      </w:r>
      <w:r w:rsidR="00EE6967">
        <w:rPr>
          <w:iCs/>
        </w:rPr>
        <w:t>y</w:t>
      </w:r>
      <w:r w:rsidRPr="0037005E">
        <w:rPr>
          <w:iCs/>
        </w:rPr>
        <w:t xml:space="preserve"> braku możliwości zawarcia małżeństwa w Hiszpanii za niedopuszczaln</w:t>
      </w:r>
      <w:r w:rsidR="00EE6967">
        <w:rPr>
          <w:iCs/>
        </w:rPr>
        <w:t>y</w:t>
      </w:r>
      <w:r w:rsidRPr="0037005E">
        <w:rPr>
          <w:iCs/>
        </w:rPr>
        <w:t>;</w:t>
      </w:r>
    </w:p>
    <w:p w14:paraId="3F29587A" w14:textId="6A6A5389" w:rsidR="00236883" w:rsidRPr="0037005E" w:rsidRDefault="0037005E" w:rsidP="00DB136B">
      <w:pPr>
        <w:pStyle w:val="JuList"/>
        <w:rPr>
          <w:iCs/>
        </w:rPr>
      </w:pPr>
      <w:r>
        <w:rPr>
          <w:i/>
        </w:rPr>
        <w:t>s</w:t>
      </w:r>
      <w:r w:rsidRPr="0037005E">
        <w:rPr>
          <w:i/>
        </w:rPr>
        <w:t>twierdza</w:t>
      </w:r>
      <w:r w:rsidRPr="0037005E">
        <w:rPr>
          <w:iCs/>
        </w:rPr>
        <w:t>, że doszło do naruszenia art. 8 Konwencji z powodu braku ram prawnych zapewniających uznanie i ochronę</w:t>
      </w:r>
      <w:r w:rsidR="00440B46">
        <w:rPr>
          <w:iCs/>
        </w:rPr>
        <w:t xml:space="preserve"> skarżących, pozostających w związku osób tej samej płci;</w:t>
      </w:r>
    </w:p>
    <w:p w14:paraId="303412D1" w14:textId="54C192B5" w:rsidR="00236883" w:rsidRPr="0037005E" w:rsidRDefault="0037005E" w:rsidP="00DB136B">
      <w:pPr>
        <w:pStyle w:val="JuList"/>
        <w:rPr>
          <w:iCs/>
        </w:rPr>
      </w:pPr>
      <w:r w:rsidRPr="0037005E">
        <w:rPr>
          <w:i/>
        </w:rPr>
        <w:t>stwierdza</w:t>
      </w:r>
      <w:r w:rsidRPr="0037005E">
        <w:rPr>
          <w:iCs/>
        </w:rPr>
        <w:t xml:space="preserve">, że nie ma potrzeby </w:t>
      </w:r>
      <w:r w:rsidR="00EE6967">
        <w:rPr>
          <w:iCs/>
        </w:rPr>
        <w:t>z</w:t>
      </w:r>
      <w:r w:rsidRPr="0037005E">
        <w:rPr>
          <w:iCs/>
        </w:rPr>
        <w:t>badania pozostałych skarg na podstawie art. 8 i 12 Konwencji, jak również na podstawie art. 14 Konwencji w</w:t>
      </w:r>
      <w:r w:rsidR="00EE6967">
        <w:rPr>
          <w:iCs/>
        </w:rPr>
        <w:t> </w:t>
      </w:r>
      <w:r w:rsidRPr="0037005E">
        <w:rPr>
          <w:iCs/>
        </w:rPr>
        <w:t>związku z art. 8;</w:t>
      </w:r>
    </w:p>
    <w:p w14:paraId="58C2B53D" w14:textId="7074322A" w:rsidR="00236883" w:rsidRPr="00DB136B" w:rsidRDefault="00000000" w:rsidP="00DB136B">
      <w:pPr>
        <w:pStyle w:val="JuList"/>
      </w:pPr>
      <w:r>
        <w:rPr>
          <w:i/>
          <w:iCs/>
        </w:rPr>
        <w:t>uznaje</w:t>
      </w:r>
      <w:r>
        <w:t>, że stwierdzenie naruszenia stanowi samo w sobie wystarczające słuszne zadośćuczynienie za wszelkie szkody niemajątkowe poniesione przez skarżąc</w:t>
      </w:r>
      <w:r w:rsidR="0037005E">
        <w:t>ych</w:t>
      </w:r>
      <w:r>
        <w:t>;</w:t>
      </w:r>
    </w:p>
    <w:p w14:paraId="40AFD2C8" w14:textId="212614E7" w:rsidR="004D0EC7" w:rsidRPr="00DB136B" w:rsidRDefault="0037005E" w:rsidP="00DB136B">
      <w:pPr>
        <w:pStyle w:val="JuList"/>
      </w:pPr>
      <w:r>
        <w:rPr>
          <w:i/>
        </w:rPr>
        <w:t xml:space="preserve">oddala </w:t>
      </w:r>
      <w:r>
        <w:t>roszczenia skarżąc</w:t>
      </w:r>
      <w:r w:rsidR="00EE6967">
        <w:t>ych</w:t>
      </w:r>
      <w:r>
        <w:t xml:space="preserve"> o słuszne zadośćuczynienie.</w:t>
      </w:r>
    </w:p>
    <w:p w14:paraId="34361288" w14:textId="4CFCB204" w:rsidR="008E3A08" w:rsidRPr="00DB136B" w:rsidRDefault="00000000" w:rsidP="00DB136B">
      <w:pPr>
        <w:pStyle w:val="JuParaLast"/>
      </w:pPr>
      <w:r>
        <w:lastRenderedPageBreak/>
        <w:t>Sporządzono w języku angielskim i obwieszczono pisemnie w dniu 27</w:t>
      </w:r>
      <w:r w:rsidR="00EE6967">
        <w:t> </w:t>
      </w:r>
      <w:r>
        <w:t>lutego 2025 r. zgodnie z Regułą 77 §§ 2 i 3 Regulaminu Trybunału.</w:t>
      </w:r>
    </w:p>
    <w:p w14:paraId="1971B703" w14:textId="7F2CA1C4" w:rsidR="007E79A4" w:rsidRPr="00DB136B" w:rsidRDefault="00000000" w:rsidP="00DB136B">
      <w:pPr>
        <w:pStyle w:val="JuSigned"/>
      </w:pPr>
      <w:r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ab/>
      </w:r>
      <w:r w:rsidR="0037005E" w:rsidRPr="00DB136B">
        <w:rPr>
          <w:noProof/>
          <w:lang w:val="nb-NO"/>
        </w:rPr>
        <w:t>Erik Wennerström</w:t>
      </w:r>
      <w:r>
        <w:br/>
      </w:r>
      <w:r w:rsidR="00EE6967">
        <w:t xml:space="preserve">        </w:t>
      </w:r>
      <w:r>
        <w:t xml:space="preserve">Zastępca Kanclerza </w:t>
      </w:r>
      <w:r w:rsidR="0037005E">
        <w:tab/>
      </w:r>
      <w:r>
        <w:t>Przewodnicząc</w:t>
      </w:r>
      <w:r w:rsidR="0037005E">
        <w:t>y</w:t>
      </w:r>
    </w:p>
    <w:p w14:paraId="3A86AC22" w14:textId="77777777" w:rsidR="00675AF2" w:rsidRPr="00DB136B" w:rsidRDefault="00675AF2" w:rsidP="00DB136B">
      <w:pPr>
        <w:pStyle w:val="JuPara"/>
        <w:rPr>
          <w:lang w:val="nb-NO"/>
        </w:rPr>
      </w:pPr>
    </w:p>
    <w:p w14:paraId="5B86571C" w14:textId="77777777" w:rsidR="000817F2" w:rsidRPr="00DB136B" w:rsidRDefault="000817F2" w:rsidP="00DB136B">
      <w:pPr>
        <w:pStyle w:val="DecHTitle"/>
        <w:rPr>
          <w:noProof/>
          <w:lang w:val="nb-NO"/>
        </w:rPr>
      </w:pPr>
    </w:p>
    <w:p w14:paraId="4BC8C74E" w14:textId="77777777" w:rsidR="00DF295A" w:rsidRPr="00DB136B" w:rsidRDefault="00000000" w:rsidP="00DB136B">
      <w:pPr>
        <w:pStyle w:val="DecHTitle"/>
        <w:rPr>
          <w:noProof/>
        </w:rPr>
      </w:pPr>
      <w:r>
        <w:t>ZAŁĄCZNIK</w:t>
      </w:r>
    </w:p>
    <w:p w14:paraId="7092D805" w14:textId="77777777" w:rsidR="00DF295A" w:rsidRPr="00DB136B" w:rsidRDefault="00000000" w:rsidP="00DB136B">
      <w:pPr>
        <w:pStyle w:val="JuPara"/>
      </w:pPr>
      <w:r>
        <w:t>Lista spraw:</w:t>
      </w:r>
    </w:p>
    <w:tbl>
      <w:tblPr>
        <w:tblStyle w:val="ECHRListTable"/>
        <w:tblpPr w:leftFromText="141" w:rightFromText="141" w:vertAnchor="text" w:horzAnchor="page" w:tblpX="1333" w:tblpY="574"/>
        <w:tblW w:w="9351" w:type="dxa"/>
        <w:tblLook w:val="0420" w:firstRow="1" w:lastRow="0" w:firstColumn="0" w:lastColumn="0" w:noHBand="0" w:noVBand="1"/>
      </w:tblPr>
      <w:tblGrid>
        <w:gridCol w:w="570"/>
        <w:gridCol w:w="1403"/>
        <w:gridCol w:w="1673"/>
        <w:gridCol w:w="1496"/>
        <w:gridCol w:w="2243"/>
        <w:gridCol w:w="1966"/>
      </w:tblGrid>
      <w:tr w:rsidR="003D6126" w14:paraId="5C30D8A7" w14:textId="77777777" w:rsidTr="003D6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hideMark/>
          </w:tcPr>
          <w:p w14:paraId="4C762C1B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Lp.</w:t>
            </w:r>
          </w:p>
        </w:tc>
        <w:tc>
          <w:tcPr>
            <w:tcW w:w="1417" w:type="dxa"/>
            <w:hideMark/>
          </w:tcPr>
          <w:p w14:paraId="6C86DE0C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Nr skargi</w:t>
            </w:r>
          </w:p>
        </w:tc>
        <w:tc>
          <w:tcPr>
            <w:tcW w:w="1694" w:type="dxa"/>
            <w:hideMark/>
          </w:tcPr>
          <w:p w14:paraId="0D017530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Nazwa sprawy</w:t>
            </w:r>
          </w:p>
        </w:tc>
        <w:tc>
          <w:tcPr>
            <w:tcW w:w="1417" w:type="dxa"/>
            <w:hideMark/>
          </w:tcPr>
          <w:p w14:paraId="0BF96B9C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Złożona w dniu</w:t>
            </w:r>
          </w:p>
        </w:tc>
        <w:tc>
          <w:tcPr>
            <w:tcW w:w="2268" w:type="dxa"/>
            <w:hideMark/>
          </w:tcPr>
          <w:p w14:paraId="4B69B5E2" w14:textId="77777777" w:rsidR="003D1F00" w:rsidRDefault="00000000" w:rsidP="00DB136B">
            <w:pPr>
              <w:rPr>
                <w:b w:val="0"/>
              </w:rPr>
            </w:pPr>
            <w:r>
              <w:t>Skarżący</w:t>
            </w:r>
            <w:r>
              <w:br/>
              <w:t>Rok urodzenia</w:t>
            </w:r>
          </w:p>
          <w:p w14:paraId="7AA209D9" w14:textId="5BEBFA6D" w:rsidR="00DF295A" w:rsidRPr="00DB136B" w:rsidRDefault="003D1F00" w:rsidP="00DB136B">
            <w:pPr>
              <w:rPr>
                <w:rFonts w:eastAsia="Times New Roman"/>
              </w:rPr>
            </w:pPr>
            <w:r>
              <w:t>Miejsce zamieszkania</w:t>
            </w:r>
            <w:r>
              <w:br/>
              <w:t>Obywatelstwo</w:t>
            </w:r>
          </w:p>
        </w:tc>
        <w:tc>
          <w:tcPr>
            <w:tcW w:w="1985" w:type="dxa"/>
            <w:hideMark/>
          </w:tcPr>
          <w:p w14:paraId="3560C34B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Pełnomocnik procesowy</w:t>
            </w:r>
          </w:p>
        </w:tc>
      </w:tr>
      <w:tr w:rsidR="003D6126" w14:paraId="272FB918" w14:textId="77777777" w:rsidTr="003D6126">
        <w:tc>
          <w:tcPr>
            <w:tcW w:w="0" w:type="auto"/>
            <w:hideMark/>
          </w:tcPr>
          <w:p w14:paraId="58F478A6" w14:textId="154623F7" w:rsidR="00DF295A" w:rsidRPr="00DB136B" w:rsidRDefault="00000000" w:rsidP="00DB136B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417" w:type="dxa"/>
            <w:hideMark/>
          </w:tcPr>
          <w:p w14:paraId="35C56D6B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78030/14</w:t>
            </w:r>
          </w:p>
        </w:tc>
        <w:tc>
          <w:tcPr>
            <w:tcW w:w="1694" w:type="dxa"/>
            <w:hideMark/>
          </w:tcPr>
          <w:p w14:paraId="72037809" w14:textId="33DBB6D2" w:rsidR="00DF295A" w:rsidRPr="00DB136B" w:rsidRDefault="0037005E" w:rsidP="00DB136B">
            <w:pPr>
              <w:rPr>
                <w:rFonts w:eastAsia="Times New Roman"/>
              </w:rPr>
            </w:pPr>
            <w:r>
              <w:t>Szypuła przeciwko Polsce</w:t>
            </w:r>
          </w:p>
        </w:tc>
        <w:tc>
          <w:tcPr>
            <w:tcW w:w="1417" w:type="dxa"/>
            <w:hideMark/>
          </w:tcPr>
          <w:p w14:paraId="0A20ED21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11.12.2014 r.</w:t>
            </w:r>
          </w:p>
        </w:tc>
        <w:tc>
          <w:tcPr>
            <w:tcW w:w="2268" w:type="dxa"/>
            <w:hideMark/>
          </w:tcPr>
          <w:p w14:paraId="2C35C835" w14:textId="1C87F04F" w:rsidR="00DF295A" w:rsidRPr="00DB136B" w:rsidRDefault="00000000" w:rsidP="00DB136B">
            <w:pPr>
              <w:rPr>
                <w:rFonts w:eastAsia="Times New Roman"/>
              </w:rPr>
            </w:pPr>
            <w:r>
              <w:rPr>
                <w:b/>
                <w:bCs/>
              </w:rPr>
              <w:t>Tomasz SZYPUŁA</w:t>
            </w:r>
            <w:r>
              <w:br/>
              <w:t>1980</w:t>
            </w:r>
            <w:r w:rsidR="00EE6967">
              <w:t xml:space="preserve"> r.</w:t>
            </w:r>
            <w:r>
              <w:br/>
              <w:t>Wars</w:t>
            </w:r>
            <w:r w:rsidR="003D1F00">
              <w:t>zawa</w:t>
            </w:r>
            <w:r>
              <w:br/>
            </w:r>
            <w:r w:rsidR="003D1F00">
              <w:rPr>
                <w:rFonts w:eastAsia="Times New Roman"/>
              </w:rPr>
              <w:t>polskie</w:t>
            </w:r>
          </w:p>
        </w:tc>
        <w:tc>
          <w:tcPr>
            <w:tcW w:w="1985" w:type="dxa"/>
            <w:hideMark/>
          </w:tcPr>
          <w:p w14:paraId="264E5C18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Marcin GÓRSKI</w:t>
            </w:r>
          </w:p>
        </w:tc>
      </w:tr>
      <w:tr w:rsidR="003D6126" w14:paraId="711189D2" w14:textId="77777777" w:rsidTr="003D6126">
        <w:tc>
          <w:tcPr>
            <w:tcW w:w="0" w:type="auto"/>
            <w:hideMark/>
          </w:tcPr>
          <w:p w14:paraId="6CDCA648" w14:textId="3EDE6C69" w:rsidR="00DF295A" w:rsidRPr="00DB136B" w:rsidRDefault="00000000" w:rsidP="00DB136B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417" w:type="dxa"/>
            <w:hideMark/>
          </w:tcPr>
          <w:p w14:paraId="67E40CD1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23669/16</w:t>
            </w:r>
          </w:p>
        </w:tc>
        <w:tc>
          <w:tcPr>
            <w:tcW w:w="1694" w:type="dxa"/>
            <w:hideMark/>
          </w:tcPr>
          <w:p w14:paraId="32CCA716" w14:textId="72CF92E3" w:rsidR="00DF295A" w:rsidRPr="00DB136B" w:rsidRDefault="00000000" w:rsidP="00DB136B">
            <w:pPr>
              <w:rPr>
                <w:rFonts w:eastAsia="Times New Roman"/>
              </w:rPr>
            </w:pPr>
            <w:r>
              <w:t xml:space="preserve">Urbanik </w:t>
            </w:r>
            <w:r w:rsidR="003D1F00">
              <w:t>i</w:t>
            </w:r>
            <w:r>
              <w:t xml:space="preserve"> Alonso Rodriguez </w:t>
            </w:r>
            <w:r w:rsidR="003D1F00">
              <w:t>przeciwko Polsce</w:t>
            </w:r>
          </w:p>
        </w:tc>
        <w:tc>
          <w:tcPr>
            <w:tcW w:w="1417" w:type="dxa"/>
            <w:hideMark/>
          </w:tcPr>
          <w:p w14:paraId="7032C5D0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22.04.2016 r.</w:t>
            </w:r>
          </w:p>
        </w:tc>
        <w:tc>
          <w:tcPr>
            <w:tcW w:w="2268" w:type="dxa"/>
            <w:hideMark/>
          </w:tcPr>
          <w:p w14:paraId="66DBC00F" w14:textId="75F1BC07" w:rsidR="00DF295A" w:rsidRPr="00DB136B" w:rsidRDefault="00000000" w:rsidP="00DB136B">
            <w:pPr>
              <w:rPr>
                <w:rFonts w:eastAsia="Times New Roman"/>
              </w:rPr>
            </w:pPr>
            <w:r>
              <w:rPr>
                <w:b/>
                <w:bCs/>
              </w:rPr>
              <w:t>Jakub URBANIK</w:t>
            </w:r>
            <w:r>
              <w:br/>
              <w:t>1975</w:t>
            </w:r>
            <w:r w:rsidR="00EE6967">
              <w:t xml:space="preserve"> r.</w:t>
            </w:r>
            <w:r>
              <w:br/>
              <w:t>War</w:t>
            </w:r>
            <w:r w:rsidR="003D1F00">
              <w:t>szawa</w:t>
            </w:r>
            <w:r>
              <w:br/>
            </w:r>
            <w:r w:rsidR="003D1F00">
              <w:t>polskie</w:t>
            </w:r>
            <w:r>
              <w:br/>
            </w:r>
            <w:r>
              <w:br/>
            </w:r>
            <w:r>
              <w:rPr>
                <w:b/>
                <w:bCs/>
              </w:rPr>
              <w:t>José Luis ALONSO RODRIGUEZ</w:t>
            </w:r>
            <w:r>
              <w:br/>
              <w:t>1969</w:t>
            </w:r>
            <w:r w:rsidR="00EE6967">
              <w:t xml:space="preserve"> r.</w:t>
            </w:r>
            <w:r>
              <w:br/>
              <w:t xml:space="preserve">San </w:t>
            </w:r>
            <w:proofErr w:type="spellStart"/>
            <w:r>
              <w:t>Sebasti</w:t>
            </w:r>
            <w:r w:rsidR="00EE6967">
              <w:t>á</w:t>
            </w:r>
            <w:r>
              <w:t>n</w:t>
            </w:r>
            <w:proofErr w:type="spellEnd"/>
            <w:r>
              <w:br/>
            </w:r>
            <w:r w:rsidR="003D1F00">
              <w:t>hiszpańskie</w:t>
            </w:r>
          </w:p>
        </w:tc>
        <w:tc>
          <w:tcPr>
            <w:tcW w:w="1985" w:type="dxa"/>
            <w:hideMark/>
          </w:tcPr>
          <w:p w14:paraId="1763F743" w14:textId="77777777" w:rsidR="00DF295A" w:rsidRPr="00DB136B" w:rsidRDefault="00000000" w:rsidP="00DB136B">
            <w:pPr>
              <w:rPr>
                <w:rFonts w:eastAsia="Times New Roman"/>
              </w:rPr>
            </w:pPr>
            <w:r>
              <w:t>Paweł MARCISZ</w:t>
            </w:r>
          </w:p>
        </w:tc>
      </w:tr>
    </w:tbl>
    <w:p w14:paraId="48E13E3E" w14:textId="77777777" w:rsidR="00DF295A" w:rsidRPr="00DB136B" w:rsidRDefault="00DF295A" w:rsidP="00DB136B"/>
    <w:sectPr w:rsidR="00DF295A" w:rsidRPr="00DB136B" w:rsidSect="007D3701">
      <w:headerReference w:type="even" r:id="rId12"/>
      <w:headerReference w:type="default" r:id="rId13"/>
      <w:footerReference w:type="even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7CB60" w14:textId="77777777" w:rsidR="001D21DA" w:rsidRDefault="001D21DA">
      <w:r>
        <w:separator/>
      </w:r>
    </w:p>
  </w:endnote>
  <w:endnote w:type="continuationSeparator" w:id="0">
    <w:p w14:paraId="778FA83C" w14:textId="77777777" w:rsidR="001D21DA" w:rsidRDefault="001D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51B17" w14:textId="77777777" w:rsidR="00236883" w:rsidRPr="00150BFA" w:rsidRDefault="00000000" w:rsidP="0020718E">
    <w:pPr>
      <w:jc w:val="center"/>
    </w:pPr>
    <w:r>
      <w:rPr>
        <w:noProof/>
      </w:rPr>
      <w:drawing>
        <wp:inline distT="0" distB="0" distL="0" distR="0" wp14:anchorId="5CCB31E5" wp14:editId="7A4608E3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6CF68F" w14:textId="77777777" w:rsidR="0098410D" w:rsidRPr="00236883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D0D0B" w14:textId="77777777" w:rsidR="00236883" w:rsidRPr="00150BFA" w:rsidRDefault="00000000" w:rsidP="0020718E">
    <w:pPr>
      <w:jc w:val="center"/>
    </w:pPr>
    <w:r>
      <w:rPr>
        <w:noProof/>
      </w:rPr>
      <w:drawing>
        <wp:inline distT="0" distB="0" distL="0" distR="0" wp14:anchorId="17FEB154" wp14:editId="20E59904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EA5B9B" w14:textId="77777777" w:rsidR="009E7A6F" w:rsidRPr="00236883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0FFCB" w14:textId="77777777" w:rsidR="00182EBA" w:rsidRDefault="00000000" w:rsidP="009A115C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9AC05" w14:textId="77777777" w:rsidR="00182EBA" w:rsidRPr="000B7195" w:rsidRDefault="00000000" w:rsidP="007D3701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12872" w14:textId="77777777" w:rsidR="001D21DA" w:rsidRDefault="001D21DA">
      <w:r>
        <w:separator/>
      </w:r>
    </w:p>
  </w:footnote>
  <w:footnote w:type="continuationSeparator" w:id="0">
    <w:p w14:paraId="08B0A32E" w14:textId="77777777" w:rsidR="001D21DA" w:rsidRDefault="001D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5C580" w14:textId="77777777" w:rsidR="00236883" w:rsidRPr="00A45145" w:rsidRDefault="00000000" w:rsidP="00A45145">
    <w:pPr>
      <w:jc w:val="center"/>
    </w:pPr>
    <w:r>
      <w:rPr>
        <w:noProof/>
      </w:rPr>
      <w:drawing>
        <wp:inline distT="0" distB="0" distL="0" distR="0" wp14:anchorId="03FC96E0" wp14:editId="0C34B332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A6AA0D" w14:textId="77777777" w:rsidR="0098410D" w:rsidRPr="00236883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08C99" w14:textId="77777777" w:rsidR="00236883" w:rsidRPr="00A45145" w:rsidRDefault="00000000" w:rsidP="00A45145">
    <w:pPr>
      <w:jc w:val="center"/>
    </w:pPr>
    <w:r>
      <w:rPr>
        <w:noProof/>
      </w:rPr>
      <w:drawing>
        <wp:inline distT="0" distB="0" distL="0" distR="0" wp14:anchorId="6BCFDF7A" wp14:editId="20BD44A2">
          <wp:extent cx="2962275" cy="1219200"/>
          <wp:effectExtent l="0" t="0" r="9525" b="0"/>
          <wp:docPr id="40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FEA06E" w14:textId="77777777" w:rsidR="0098410D" w:rsidRPr="00236883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DF80A" w14:textId="7406E813" w:rsidR="00182EBA" w:rsidRPr="004D0EC7" w:rsidRDefault="00000000" w:rsidP="004D0EC7">
    <w:pPr>
      <w:pStyle w:val="JuHeader"/>
    </w:pPr>
    <w:r>
      <w:t>WYROK W SPRAWIE</w:t>
    </w:r>
    <w:r w:rsidR="00B2631C">
      <w:t xml:space="preserve"> SZYPUŁA </w:t>
    </w:r>
    <w:r>
      <w:t>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D7AD3" w14:textId="0107E521" w:rsidR="00182EBA" w:rsidRPr="00882CD5" w:rsidRDefault="00000000" w:rsidP="007D3701">
    <w:pPr>
      <w:pStyle w:val="JuHeader"/>
    </w:pPr>
    <w:r>
      <w:t>WYROK W SPRAWIE</w:t>
    </w:r>
    <w:r w:rsidR="00B2631C">
      <w:t xml:space="preserve"> SZYPUŁA</w:t>
    </w:r>
    <w:r>
      <w:t xml:space="preserve"> I 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3230DA1E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279857B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7E1C6A8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D18A1DA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CD4A38B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846721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3DDCB0B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DE9C87E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8A7634C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5DC85C8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56052507">
    <w:abstractNumId w:val="14"/>
  </w:num>
  <w:num w:numId="2" w16cid:durableId="1755123048">
    <w:abstractNumId w:val="12"/>
  </w:num>
  <w:num w:numId="3" w16cid:durableId="131483526">
    <w:abstractNumId w:val="11"/>
  </w:num>
  <w:num w:numId="4" w16cid:durableId="805245267">
    <w:abstractNumId w:val="15"/>
  </w:num>
  <w:num w:numId="5" w16cid:durableId="46803999">
    <w:abstractNumId w:val="13"/>
  </w:num>
  <w:num w:numId="6" w16cid:durableId="590940898">
    <w:abstractNumId w:val="16"/>
  </w:num>
  <w:num w:numId="7" w16cid:durableId="582909232">
    <w:abstractNumId w:val="17"/>
  </w:num>
  <w:num w:numId="8" w16cid:durableId="1472867171">
    <w:abstractNumId w:val="7"/>
  </w:num>
  <w:num w:numId="9" w16cid:durableId="1804226425">
    <w:abstractNumId w:val="6"/>
  </w:num>
  <w:num w:numId="10" w16cid:durableId="750008587">
    <w:abstractNumId w:val="5"/>
  </w:num>
  <w:num w:numId="11" w16cid:durableId="719204546">
    <w:abstractNumId w:val="4"/>
  </w:num>
  <w:num w:numId="12" w16cid:durableId="1423524135">
    <w:abstractNumId w:val="8"/>
  </w:num>
  <w:num w:numId="13" w16cid:durableId="161507248">
    <w:abstractNumId w:val="3"/>
  </w:num>
  <w:num w:numId="14" w16cid:durableId="950864843">
    <w:abstractNumId w:val="2"/>
  </w:num>
  <w:num w:numId="15" w16cid:durableId="550533214">
    <w:abstractNumId w:val="1"/>
  </w:num>
  <w:num w:numId="16" w16cid:durableId="1884055716">
    <w:abstractNumId w:val="0"/>
  </w:num>
  <w:num w:numId="17" w16cid:durableId="1237664003">
    <w:abstractNumId w:val="15"/>
  </w:num>
  <w:num w:numId="18" w16cid:durableId="2088729040">
    <w:abstractNumId w:val="16"/>
  </w:num>
  <w:num w:numId="19" w16cid:durableId="166017392">
    <w:abstractNumId w:val="10"/>
  </w:num>
  <w:num w:numId="20" w16cid:durableId="12266925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LW_DocType" w:val="NORMAL"/>
    <w:docVar w:name="NBEMMDOC" w:val="0"/>
    <w:docVar w:name="P3" w:val="P3"/>
    <w:docVar w:name="Plural" w:val="2"/>
    <w:docVar w:name="SecondCaseNumber" w:val="23669/16"/>
    <w:docVar w:name="SignForeName" w:val="0"/>
    <w:docVar w:name="SndCaseNumber" w:val="23669/16"/>
  </w:docVars>
  <w:rsids>
    <w:rsidRoot w:val="00236883"/>
    <w:rsid w:val="000041F8"/>
    <w:rsid w:val="000042A8"/>
    <w:rsid w:val="00004308"/>
    <w:rsid w:val="00005BF0"/>
    <w:rsid w:val="0000617D"/>
    <w:rsid w:val="00007154"/>
    <w:rsid w:val="00007D52"/>
    <w:rsid w:val="000103AE"/>
    <w:rsid w:val="00011D69"/>
    <w:rsid w:val="00012AD3"/>
    <w:rsid w:val="00015C2D"/>
    <w:rsid w:val="00015F00"/>
    <w:rsid w:val="0001768D"/>
    <w:rsid w:val="00022C1D"/>
    <w:rsid w:val="0002592F"/>
    <w:rsid w:val="00031428"/>
    <w:rsid w:val="00034987"/>
    <w:rsid w:val="00041560"/>
    <w:rsid w:val="000602DF"/>
    <w:rsid w:val="00061B05"/>
    <w:rsid w:val="000632D5"/>
    <w:rsid w:val="000644EE"/>
    <w:rsid w:val="00065CD4"/>
    <w:rsid w:val="000712E3"/>
    <w:rsid w:val="0007780A"/>
    <w:rsid w:val="000817F2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B0C"/>
    <w:rsid w:val="00120D6C"/>
    <w:rsid w:val="001257EC"/>
    <w:rsid w:val="00126439"/>
    <w:rsid w:val="00133D33"/>
    <w:rsid w:val="00134B6A"/>
    <w:rsid w:val="00134D64"/>
    <w:rsid w:val="00135A30"/>
    <w:rsid w:val="0013612C"/>
    <w:rsid w:val="00137FF6"/>
    <w:rsid w:val="00141650"/>
    <w:rsid w:val="00150BFA"/>
    <w:rsid w:val="001561B6"/>
    <w:rsid w:val="00162A12"/>
    <w:rsid w:val="00166530"/>
    <w:rsid w:val="00170027"/>
    <w:rsid w:val="00182EBA"/>
    <w:rsid w:val="001832BD"/>
    <w:rsid w:val="00185640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1564"/>
    <w:rsid w:val="001D21DA"/>
    <w:rsid w:val="001D63ED"/>
    <w:rsid w:val="001D7348"/>
    <w:rsid w:val="001E035B"/>
    <w:rsid w:val="001E0961"/>
    <w:rsid w:val="001E3EAE"/>
    <w:rsid w:val="001E6857"/>
    <w:rsid w:val="001E6F32"/>
    <w:rsid w:val="001F2145"/>
    <w:rsid w:val="001F30A1"/>
    <w:rsid w:val="001F6262"/>
    <w:rsid w:val="001F67B0"/>
    <w:rsid w:val="001F7B3D"/>
    <w:rsid w:val="00202752"/>
    <w:rsid w:val="0020335A"/>
    <w:rsid w:val="0020336C"/>
    <w:rsid w:val="002052BC"/>
    <w:rsid w:val="00205F9F"/>
    <w:rsid w:val="0020718E"/>
    <w:rsid w:val="00210338"/>
    <w:rsid w:val="002115FC"/>
    <w:rsid w:val="0021423C"/>
    <w:rsid w:val="00226C89"/>
    <w:rsid w:val="00230D00"/>
    <w:rsid w:val="00231DF7"/>
    <w:rsid w:val="00231FD1"/>
    <w:rsid w:val="002339E0"/>
    <w:rsid w:val="00233CF8"/>
    <w:rsid w:val="0023575D"/>
    <w:rsid w:val="00236883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557DC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056FD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672FD"/>
    <w:rsid w:val="0037005E"/>
    <w:rsid w:val="003710C8"/>
    <w:rsid w:val="003750BE"/>
    <w:rsid w:val="00380399"/>
    <w:rsid w:val="0038333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D1F00"/>
    <w:rsid w:val="003D29CC"/>
    <w:rsid w:val="003D6126"/>
    <w:rsid w:val="003E6D80"/>
    <w:rsid w:val="003E7BCC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4B6A"/>
    <w:rsid w:val="00425C67"/>
    <w:rsid w:val="00427E7A"/>
    <w:rsid w:val="004355AC"/>
    <w:rsid w:val="00436C49"/>
    <w:rsid w:val="00440B46"/>
    <w:rsid w:val="00442369"/>
    <w:rsid w:val="00443D98"/>
    <w:rsid w:val="00445366"/>
    <w:rsid w:val="00447F5B"/>
    <w:rsid w:val="00461DB0"/>
    <w:rsid w:val="00461E31"/>
    <w:rsid w:val="00463926"/>
    <w:rsid w:val="00464AB7"/>
    <w:rsid w:val="00464C9A"/>
    <w:rsid w:val="00473B68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05F69"/>
    <w:rsid w:val="00511C07"/>
    <w:rsid w:val="005125CB"/>
    <w:rsid w:val="00512EC4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16E"/>
    <w:rsid w:val="00547353"/>
    <w:rsid w:val="005474E7"/>
    <w:rsid w:val="005512A3"/>
    <w:rsid w:val="005578CE"/>
    <w:rsid w:val="00562781"/>
    <w:rsid w:val="00562B6C"/>
    <w:rsid w:val="005638D1"/>
    <w:rsid w:val="00565D05"/>
    <w:rsid w:val="0057271C"/>
    <w:rsid w:val="00572845"/>
    <w:rsid w:val="005748E4"/>
    <w:rsid w:val="005879A2"/>
    <w:rsid w:val="00592772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B7F17"/>
    <w:rsid w:val="005C2C62"/>
    <w:rsid w:val="005C3EE8"/>
    <w:rsid w:val="005D2F2A"/>
    <w:rsid w:val="005D34F9"/>
    <w:rsid w:val="005D4190"/>
    <w:rsid w:val="005D67A3"/>
    <w:rsid w:val="005D7728"/>
    <w:rsid w:val="005E2988"/>
    <w:rsid w:val="005E3085"/>
    <w:rsid w:val="005F0EB3"/>
    <w:rsid w:val="005F51E1"/>
    <w:rsid w:val="005F54C5"/>
    <w:rsid w:val="00611C80"/>
    <w:rsid w:val="00620692"/>
    <w:rsid w:val="00623885"/>
    <w:rsid w:val="006242CA"/>
    <w:rsid w:val="00627507"/>
    <w:rsid w:val="00633717"/>
    <w:rsid w:val="006344E1"/>
    <w:rsid w:val="00643524"/>
    <w:rsid w:val="0064393B"/>
    <w:rsid w:val="00645CF2"/>
    <w:rsid w:val="00653BED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0C57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008C3"/>
    <w:rsid w:val="00715127"/>
    <w:rsid w:val="00715E8E"/>
    <w:rsid w:val="007226F4"/>
    <w:rsid w:val="00723580"/>
    <w:rsid w:val="00723755"/>
    <w:rsid w:val="0073136C"/>
    <w:rsid w:val="00731F0F"/>
    <w:rsid w:val="0073227A"/>
    <w:rsid w:val="00733250"/>
    <w:rsid w:val="00741404"/>
    <w:rsid w:val="007449E5"/>
    <w:rsid w:val="0074750E"/>
    <w:rsid w:val="00747FF0"/>
    <w:rsid w:val="00751066"/>
    <w:rsid w:val="0075566E"/>
    <w:rsid w:val="00763602"/>
    <w:rsid w:val="00764D4E"/>
    <w:rsid w:val="00765A1F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716F"/>
    <w:rsid w:val="007B262B"/>
    <w:rsid w:val="007B270A"/>
    <w:rsid w:val="007B4182"/>
    <w:rsid w:val="007B751B"/>
    <w:rsid w:val="007C0695"/>
    <w:rsid w:val="007C27A4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E79A4"/>
    <w:rsid w:val="007F1905"/>
    <w:rsid w:val="007F27E4"/>
    <w:rsid w:val="007F3437"/>
    <w:rsid w:val="00802C64"/>
    <w:rsid w:val="008051E1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538E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A300E"/>
    <w:rsid w:val="008B0218"/>
    <w:rsid w:val="008B02DC"/>
    <w:rsid w:val="008B092C"/>
    <w:rsid w:val="008B57CE"/>
    <w:rsid w:val="008C26DE"/>
    <w:rsid w:val="008D16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2C99"/>
    <w:rsid w:val="0090506B"/>
    <w:rsid w:val="009050C9"/>
    <w:rsid w:val="009066FC"/>
    <w:rsid w:val="009140A3"/>
    <w:rsid w:val="009144A2"/>
    <w:rsid w:val="0091490D"/>
    <w:rsid w:val="0091510C"/>
    <w:rsid w:val="00920379"/>
    <w:rsid w:val="00925155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5C66"/>
    <w:rsid w:val="00947AFB"/>
    <w:rsid w:val="00951AA3"/>
    <w:rsid w:val="00951D7D"/>
    <w:rsid w:val="00953420"/>
    <w:rsid w:val="00956D0C"/>
    <w:rsid w:val="009630C7"/>
    <w:rsid w:val="00972B55"/>
    <w:rsid w:val="009743B7"/>
    <w:rsid w:val="0098228B"/>
    <w:rsid w:val="009828DA"/>
    <w:rsid w:val="0098410D"/>
    <w:rsid w:val="00985BAB"/>
    <w:rsid w:val="00985C28"/>
    <w:rsid w:val="00986B3C"/>
    <w:rsid w:val="009A115C"/>
    <w:rsid w:val="009A7FC1"/>
    <w:rsid w:val="009B1606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7C10"/>
    <w:rsid w:val="00A90BCD"/>
    <w:rsid w:val="00A924F6"/>
    <w:rsid w:val="00A92625"/>
    <w:rsid w:val="00A94C20"/>
    <w:rsid w:val="00A95D81"/>
    <w:rsid w:val="00AA1B09"/>
    <w:rsid w:val="00AA227F"/>
    <w:rsid w:val="00AA3BC7"/>
    <w:rsid w:val="00AA754A"/>
    <w:rsid w:val="00AB099E"/>
    <w:rsid w:val="00AB4328"/>
    <w:rsid w:val="00AC38DE"/>
    <w:rsid w:val="00AC4CD4"/>
    <w:rsid w:val="00AD41D5"/>
    <w:rsid w:val="00AE0A2E"/>
    <w:rsid w:val="00AE27A4"/>
    <w:rsid w:val="00AE2B40"/>
    <w:rsid w:val="00AE354C"/>
    <w:rsid w:val="00AF12C5"/>
    <w:rsid w:val="00AF4B07"/>
    <w:rsid w:val="00AF6186"/>
    <w:rsid w:val="00AF7A3A"/>
    <w:rsid w:val="00B01174"/>
    <w:rsid w:val="00B02587"/>
    <w:rsid w:val="00B049D1"/>
    <w:rsid w:val="00B14793"/>
    <w:rsid w:val="00B153A0"/>
    <w:rsid w:val="00B160DB"/>
    <w:rsid w:val="00B20836"/>
    <w:rsid w:val="00B235BB"/>
    <w:rsid w:val="00B2631C"/>
    <w:rsid w:val="00B264E9"/>
    <w:rsid w:val="00B27A44"/>
    <w:rsid w:val="00B30BBF"/>
    <w:rsid w:val="00B33C03"/>
    <w:rsid w:val="00B4421F"/>
    <w:rsid w:val="00B44E56"/>
    <w:rsid w:val="00B45917"/>
    <w:rsid w:val="00B46543"/>
    <w:rsid w:val="00B47D33"/>
    <w:rsid w:val="00B52BD1"/>
    <w:rsid w:val="00B52BE0"/>
    <w:rsid w:val="00B54133"/>
    <w:rsid w:val="00B55A8D"/>
    <w:rsid w:val="00B57041"/>
    <w:rsid w:val="00B701ED"/>
    <w:rsid w:val="00B748F7"/>
    <w:rsid w:val="00B8086C"/>
    <w:rsid w:val="00B81C58"/>
    <w:rsid w:val="00B8212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56A7"/>
    <w:rsid w:val="00BC6BBF"/>
    <w:rsid w:val="00BD0791"/>
    <w:rsid w:val="00BD1572"/>
    <w:rsid w:val="00BD5F60"/>
    <w:rsid w:val="00BE14E3"/>
    <w:rsid w:val="00BE3774"/>
    <w:rsid w:val="00BE41E5"/>
    <w:rsid w:val="00BE4CE2"/>
    <w:rsid w:val="00BF118F"/>
    <w:rsid w:val="00BF1EC8"/>
    <w:rsid w:val="00BF4109"/>
    <w:rsid w:val="00BF44D0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64BB3"/>
    <w:rsid w:val="00C71424"/>
    <w:rsid w:val="00C74810"/>
    <w:rsid w:val="00C90D68"/>
    <w:rsid w:val="00C939FE"/>
    <w:rsid w:val="00CA24E0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CF40AE"/>
    <w:rsid w:val="00D00ABB"/>
    <w:rsid w:val="00D02EEC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669D4"/>
    <w:rsid w:val="00D70641"/>
    <w:rsid w:val="00D74888"/>
    <w:rsid w:val="00D7488B"/>
    <w:rsid w:val="00D75E28"/>
    <w:rsid w:val="00D772C2"/>
    <w:rsid w:val="00D8008E"/>
    <w:rsid w:val="00D82C45"/>
    <w:rsid w:val="00D9077A"/>
    <w:rsid w:val="00D908A8"/>
    <w:rsid w:val="00D977B6"/>
    <w:rsid w:val="00DA1223"/>
    <w:rsid w:val="00DA4A31"/>
    <w:rsid w:val="00DA7B04"/>
    <w:rsid w:val="00DB136B"/>
    <w:rsid w:val="00DB2381"/>
    <w:rsid w:val="00DB36C2"/>
    <w:rsid w:val="00DB7AAF"/>
    <w:rsid w:val="00DC00A8"/>
    <w:rsid w:val="00DC1671"/>
    <w:rsid w:val="00DC169B"/>
    <w:rsid w:val="00DC2AB9"/>
    <w:rsid w:val="00DC63F0"/>
    <w:rsid w:val="00DD37EA"/>
    <w:rsid w:val="00DD6EE5"/>
    <w:rsid w:val="00DE386C"/>
    <w:rsid w:val="00DE4D35"/>
    <w:rsid w:val="00DE7977"/>
    <w:rsid w:val="00DF009D"/>
    <w:rsid w:val="00DF098B"/>
    <w:rsid w:val="00DF11C4"/>
    <w:rsid w:val="00DF210C"/>
    <w:rsid w:val="00DF295A"/>
    <w:rsid w:val="00DF4B6A"/>
    <w:rsid w:val="00E004C0"/>
    <w:rsid w:val="00E02C09"/>
    <w:rsid w:val="00E04D59"/>
    <w:rsid w:val="00E07DA1"/>
    <w:rsid w:val="00E111B2"/>
    <w:rsid w:val="00E123CB"/>
    <w:rsid w:val="00E135B8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57AA"/>
    <w:rsid w:val="00E62833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38A6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A7A63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E6967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46949"/>
    <w:rsid w:val="00F56A6F"/>
    <w:rsid w:val="00F5709C"/>
    <w:rsid w:val="00F60B85"/>
    <w:rsid w:val="00F64EF1"/>
    <w:rsid w:val="00F72498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80CB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0817F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0817F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0817F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0817F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0817F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0817F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0817F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0817F2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0817F2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0817F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0817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0817F2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0817F2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0817F2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0817F2"/>
    <w:pPr>
      <w:jc w:val="both"/>
    </w:pPr>
  </w:style>
  <w:style w:type="character" w:styleId="Pogrubienie">
    <w:name w:val="Strong"/>
    <w:uiPriority w:val="98"/>
    <w:semiHidden/>
    <w:qFormat/>
    <w:rsid w:val="000817F2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0817F2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0817F2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0817F2"/>
    <w:pPr>
      <w:spacing w:before="120" w:after="120"/>
      <w:ind w:left="425" w:firstLine="142"/>
    </w:pPr>
    <w:rPr>
      <w:sz w:val="20"/>
    </w:rPr>
  </w:style>
  <w:style w:type="table" w:styleId="Tabelasiatki1jasna">
    <w:name w:val="Grid Table 1 Light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0817F2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0817F2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0817F2"/>
    <w:pPr>
      <w:numPr>
        <w:ilvl w:val="2"/>
        <w:numId w:val="2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0817F2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0817F2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0817F2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0817F2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0817F2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0817F2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0817F2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0817F2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0817F2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0817F2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0817F2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0817F2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0817F2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0817F2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0817F2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0817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0817F2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0817F2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0817F2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0817F2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0817F2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0817F2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0817F2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0817F2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0817F2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0817F2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0817F2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0817F2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0817F2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0817F2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0817F2"/>
    <w:rPr>
      <w:caps w:val="0"/>
      <w:smallCaps/>
    </w:rPr>
  </w:style>
  <w:style w:type="character" w:styleId="Wyrnieniedelikatne">
    <w:name w:val="Subtle Emphasis"/>
    <w:uiPriority w:val="98"/>
    <w:semiHidden/>
    <w:qFormat/>
    <w:rsid w:val="000817F2"/>
    <w:rPr>
      <w:i/>
      <w:iCs/>
    </w:rPr>
  </w:style>
  <w:style w:type="table" w:customStyle="1" w:styleId="ECHRTable">
    <w:name w:val="ECHR_Table"/>
    <w:basedOn w:val="Standardowy"/>
    <w:rsid w:val="000817F2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0817F2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0817F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0817F2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0817F2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0817F2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0817F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0817F2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0817F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0817F2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0817F2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0817F2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0817F2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0817F2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0817F2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0817F2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0817F2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0817F2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0817F2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0817F2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0817F2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0817F2"/>
    <w:rPr>
      <w:smallCaps/>
    </w:rPr>
  </w:style>
  <w:style w:type="table" w:styleId="Tabela-Siatka">
    <w:name w:val="Table Grid"/>
    <w:basedOn w:val="Standardowy"/>
    <w:uiPriority w:val="59"/>
    <w:semiHidden/>
    <w:rsid w:val="000817F2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0817F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0817F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0817F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0817F2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0817F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0817F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0817F2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0817F2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0817F2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0817F2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0817F2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0817F2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0817F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0817F2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0817F2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0817F2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0817F2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0817F2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0817F2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0817F2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0817F2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0817F2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817F2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0817F2"/>
  </w:style>
  <w:style w:type="paragraph" w:styleId="Tekstblokowy">
    <w:name w:val="Block Text"/>
    <w:basedOn w:val="Normalny"/>
    <w:uiPriority w:val="98"/>
    <w:semiHidden/>
    <w:rsid w:val="000817F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0817F2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081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0817F2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0817F2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0817F2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0817F2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0817F2"/>
    <w:pPr>
      <w:ind w:firstLine="284"/>
    </w:pPr>
    <w:rPr>
      <w:b/>
    </w:rPr>
  </w:style>
  <w:style w:type="character" w:styleId="Numerstrony">
    <w:name w:val="page number"/>
    <w:uiPriority w:val="98"/>
    <w:semiHidden/>
    <w:rsid w:val="000817F2"/>
    <w:rPr>
      <w:sz w:val="18"/>
    </w:rPr>
  </w:style>
  <w:style w:type="paragraph" w:styleId="Listapunktowana">
    <w:name w:val="List Bullet"/>
    <w:basedOn w:val="Normalny"/>
    <w:uiPriority w:val="98"/>
    <w:semiHidden/>
    <w:rsid w:val="000817F2"/>
    <w:pPr>
      <w:numPr>
        <w:numId w:val="7"/>
      </w:numPr>
    </w:pPr>
  </w:style>
  <w:style w:type="paragraph" w:styleId="Listapunktowana3">
    <w:name w:val="List Bullet 3"/>
    <w:basedOn w:val="Normalny"/>
    <w:uiPriority w:val="98"/>
    <w:semiHidden/>
    <w:rsid w:val="000817F2"/>
    <w:pPr>
      <w:numPr>
        <w:numId w:val="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0817F2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0817F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0817F2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0817F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0817F2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0817F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0817F2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0817F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0817F2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0817F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0817F2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0817F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0817F2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0817F2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0817F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0817F2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0817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0817F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0817F2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0817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0817F2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0817F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0817F2"/>
  </w:style>
  <w:style w:type="character" w:customStyle="1" w:styleId="DataZnak">
    <w:name w:val="Data Znak"/>
    <w:basedOn w:val="Domylnaczcionkaakapitu"/>
    <w:link w:val="Data"/>
    <w:uiPriority w:val="98"/>
    <w:semiHidden/>
    <w:rsid w:val="000817F2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0817F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0817F2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0817F2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0817F2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0817F2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0817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0817F2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0817F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0817F2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0817F2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0817F2"/>
  </w:style>
  <w:style w:type="paragraph" w:styleId="HTML-adres">
    <w:name w:val="HTML Address"/>
    <w:basedOn w:val="Normalny"/>
    <w:link w:val="HTML-adresZnak"/>
    <w:uiPriority w:val="98"/>
    <w:semiHidden/>
    <w:rsid w:val="000817F2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0817F2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0817F2"/>
    <w:rPr>
      <w:i/>
      <w:iCs/>
    </w:rPr>
  </w:style>
  <w:style w:type="character" w:styleId="HTML-kod">
    <w:name w:val="HTML Code"/>
    <w:basedOn w:val="Domylnaczcionkaakapitu"/>
    <w:uiPriority w:val="98"/>
    <w:semiHidden/>
    <w:rsid w:val="000817F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0817F2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0817F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0817F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0817F2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0817F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0817F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0817F2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0817F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0817F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0817F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0817F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0817F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0817F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0817F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0817F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0817F2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0817F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0817F2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0817F2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0817F2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0817F2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0817F2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0817F2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0817F2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0817F2"/>
  </w:style>
  <w:style w:type="paragraph" w:styleId="Lista">
    <w:name w:val="List"/>
    <w:basedOn w:val="Normalny"/>
    <w:uiPriority w:val="98"/>
    <w:semiHidden/>
    <w:rsid w:val="000817F2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0817F2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0817F2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0817F2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0817F2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0817F2"/>
    <w:pPr>
      <w:numPr>
        <w:numId w:val="8"/>
      </w:numPr>
      <w:contextualSpacing/>
    </w:pPr>
  </w:style>
  <w:style w:type="paragraph" w:styleId="Listapunktowana4">
    <w:name w:val="List Bullet 4"/>
    <w:basedOn w:val="Normalny"/>
    <w:uiPriority w:val="98"/>
    <w:semiHidden/>
    <w:rsid w:val="000817F2"/>
    <w:pPr>
      <w:numPr>
        <w:numId w:val="10"/>
      </w:numPr>
      <w:contextualSpacing/>
    </w:pPr>
  </w:style>
  <w:style w:type="paragraph" w:styleId="Listapunktowana5">
    <w:name w:val="List Bullet 5"/>
    <w:basedOn w:val="Normalny"/>
    <w:uiPriority w:val="98"/>
    <w:semiHidden/>
    <w:rsid w:val="000817F2"/>
    <w:pPr>
      <w:numPr>
        <w:numId w:val="11"/>
      </w:numPr>
      <w:contextualSpacing/>
    </w:pPr>
  </w:style>
  <w:style w:type="paragraph" w:styleId="Lista-kontynuacja">
    <w:name w:val="List Continue"/>
    <w:basedOn w:val="Normalny"/>
    <w:uiPriority w:val="98"/>
    <w:semiHidden/>
    <w:rsid w:val="000817F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0817F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0817F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0817F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0817F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0817F2"/>
    <w:pPr>
      <w:numPr>
        <w:numId w:val="12"/>
      </w:numPr>
      <w:contextualSpacing/>
    </w:pPr>
  </w:style>
  <w:style w:type="paragraph" w:styleId="Listanumerowana2">
    <w:name w:val="List Number 2"/>
    <w:basedOn w:val="Normalny"/>
    <w:uiPriority w:val="98"/>
    <w:semiHidden/>
    <w:rsid w:val="000817F2"/>
    <w:pPr>
      <w:numPr>
        <w:numId w:val="13"/>
      </w:numPr>
      <w:contextualSpacing/>
    </w:pPr>
  </w:style>
  <w:style w:type="paragraph" w:styleId="Listanumerowana3">
    <w:name w:val="List Number 3"/>
    <w:basedOn w:val="Normalny"/>
    <w:uiPriority w:val="98"/>
    <w:semiHidden/>
    <w:rsid w:val="000817F2"/>
    <w:pPr>
      <w:numPr>
        <w:numId w:val="14"/>
      </w:numPr>
      <w:contextualSpacing/>
    </w:pPr>
  </w:style>
  <w:style w:type="paragraph" w:styleId="Listanumerowana4">
    <w:name w:val="List Number 4"/>
    <w:basedOn w:val="Normalny"/>
    <w:uiPriority w:val="98"/>
    <w:semiHidden/>
    <w:rsid w:val="000817F2"/>
    <w:pPr>
      <w:numPr>
        <w:numId w:val="15"/>
      </w:numPr>
      <w:contextualSpacing/>
    </w:pPr>
  </w:style>
  <w:style w:type="paragraph" w:styleId="Listanumerowana5">
    <w:name w:val="List Number 5"/>
    <w:basedOn w:val="Normalny"/>
    <w:uiPriority w:val="98"/>
    <w:semiHidden/>
    <w:rsid w:val="000817F2"/>
    <w:pPr>
      <w:numPr>
        <w:numId w:val="16"/>
      </w:numPr>
      <w:contextualSpacing/>
    </w:pPr>
  </w:style>
  <w:style w:type="paragraph" w:styleId="Tekstmakra">
    <w:name w:val="macro"/>
    <w:link w:val="TekstmakraZnak"/>
    <w:uiPriority w:val="98"/>
    <w:semiHidden/>
    <w:rsid w:val="000817F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0817F2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0817F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0817F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0817F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0817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0817F2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0817F2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0817F2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0817F2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0817F2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0817F2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0817F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0817F2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0817F2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0817F2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0817F2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0817F2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0817F2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0817F2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0817F2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0817F2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0817F2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0817F2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0817F2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0817F2"/>
  </w:style>
  <w:style w:type="table" w:styleId="Tabela-Profesjonalny">
    <w:name w:val="Table Professional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0817F2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0817F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0817F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0817F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0817F2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0817F2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0817F2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0817F2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0817F2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0817F2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0817F2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0817F2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0817F2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0817F2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0817F2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0817F2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0817F2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0817F2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0817F2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0817F2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rsid w:val="000817F2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0817F2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0817F2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0817F2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0817F2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0817F2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0817F2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0817F2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0817F2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0817F2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0817F2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0817F2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0817F2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0817F2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0817F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0817F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0817F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0817F2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0817F2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0817F2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0817F2"/>
    <w:rPr>
      <w:sz w:val="4"/>
    </w:rPr>
  </w:style>
  <w:style w:type="table" w:customStyle="1" w:styleId="ECHRTableGrey">
    <w:name w:val="ECHR_Table_Grey"/>
    <w:basedOn w:val="Standardowy"/>
    <w:uiPriority w:val="99"/>
    <w:rsid w:val="000817F2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817F2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qFormat/>
    <w:rsid w:val="00236883"/>
    <w:rPr>
      <w:sz w:val="24"/>
      <w:szCs w:val="24"/>
      <w:lang w:val="pl-PL"/>
    </w:rPr>
  </w:style>
  <w:style w:type="table" w:styleId="Tabelasiatki1jasnaakcent1">
    <w:name w:val="Grid Table 1 Light Accent 1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38333E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38333E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38333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38333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38333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38333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38333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38333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38333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38333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38333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38333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38333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38333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38333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38333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38333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38333E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38333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38333E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38333E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38333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38333E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38333E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38333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38333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38333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38333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38333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38333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38333E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38333E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38333E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38333E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38333E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38333E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38333E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38333E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38333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38333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38333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38333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38333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38333E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38333E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38333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sid w:val="000817F2"/>
    <w:rPr>
      <w:color w:val="00B050"/>
      <w:sz w:val="22"/>
    </w:rPr>
  </w:style>
  <w:style w:type="paragraph" w:styleId="Poprawka">
    <w:name w:val="Revision"/>
    <w:hidden/>
    <w:uiPriority w:val="99"/>
    <w:semiHidden/>
    <w:rsid w:val="00F469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2200</Words>
  <Characters>13205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2025-03-13T12:48:00Z</dcterms:created>
  <dcterms:modified xsi:type="dcterms:W3CDTF">2025-03-14T12:53:00Z</dcterms:modified>
  <cp:category/>
</cp:coreProperties>
</file>