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B136B" w:rsidR="00236883" w:rsidP="00DB136B" w14:paraId="725D00BA" w14:textId="77777777">
      <w:pPr>
        <w:jc w:val="center"/>
        <w:rPr>
          <w:rFonts w:ascii="Times New Roman" w:hAnsi="Times New Roman" w:cs="Times New Roman"/>
          <w:noProof/>
        </w:rPr>
      </w:pPr>
    </w:p>
    <w:p w:rsidRPr="00DB136B" w:rsidR="0098410D" w:rsidP="00DB136B" w14:paraId="3679C7B6" w14:textId="77777777">
      <w:pPr>
        <w:jc w:val="center"/>
      </w:pPr>
    </w:p>
    <w:p w:rsidRPr="00DB136B" w:rsidR="0098410D" w:rsidP="00DB136B" w14:paraId="78EF55D3" w14:textId="32A3270B">
      <w:pPr>
        <w:pStyle w:val="DecHTitle"/>
      </w:pPr>
      <w:r w:rsidRPr="00DB136B">
        <w:t>FIRST SECTION</w:t>
      </w:r>
    </w:p>
    <w:p w:rsidRPr="00DB136B" w:rsidR="008E6217" w:rsidP="00DB136B" w14:paraId="10BC6F26" w14:textId="2D496416">
      <w:pPr>
        <w:pStyle w:val="JuTitle"/>
      </w:pPr>
      <w:r w:rsidRPr="00DB136B">
        <w:rPr>
          <w:color w:val="000000" w:themeColor="text1"/>
        </w:rPr>
        <w:t xml:space="preserve">CASE OF </w:t>
      </w:r>
      <w:r w:rsidRPr="00DB136B" w:rsidR="00236883">
        <w:t xml:space="preserve">SZYPUŁA </w:t>
      </w:r>
      <w:r w:rsidRPr="00DB136B" w:rsidR="00424B6A">
        <w:t xml:space="preserve">AND OTHERS </w:t>
      </w:r>
      <w:r w:rsidRPr="00DB136B" w:rsidR="00236883">
        <w:t>v. POLAND</w:t>
      </w:r>
    </w:p>
    <w:p w:rsidRPr="00DB136B" w:rsidR="00D74888" w:rsidP="00DB136B" w14:paraId="40486135" w14:textId="0EC8DFD1">
      <w:pPr>
        <w:pStyle w:val="ECHRCoverTitle4"/>
      </w:pPr>
      <w:r w:rsidRPr="00DB136B">
        <w:t>(</w:t>
      </w:r>
      <w:r w:rsidRPr="00DB136B" w:rsidR="00236883">
        <w:rPr>
          <w:noProof/>
        </w:rPr>
        <w:t>Applications nos.</w:t>
      </w:r>
      <w:r w:rsidRPr="00DB136B">
        <w:t xml:space="preserve"> </w:t>
      </w:r>
      <w:r w:rsidRPr="00DB136B" w:rsidR="00236883">
        <w:t>78030/14</w:t>
      </w:r>
      <w:r w:rsidRPr="00DB136B" w:rsidR="00236883">
        <w:rPr>
          <w:noProof/>
        </w:rPr>
        <w:t xml:space="preserve"> and 23669/16</w:t>
      </w:r>
      <w:r w:rsidRPr="00DB136B">
        <w:t>)</w:t>
      </w:r>
    </w:p>
    <w:p w:rsidRPr="00DB136B" w:rsidR="0098410D" w:rsidP="00DB136B" w14:paraId="33C5F5A9" w14:textId="77777777">
      <w:pPr>
        <w:pStyle w:val="DecHCase"/>
      </w:pPr>
    </w:p>
    <w:p w:rsidRPr="00DB136B" w:rsidR="0054716E" w:rsidP="00DB136B" w14:paraId="4C6E3234" w14:textId="77777777">
      <w:pPr>
        <w:pStyle w:val="DecHCase"/>
      </w:pPr>
    </w:p>
    <w:p w:rsidRPr="00DB136B" w:rsidR="0054716E" w:rsidP="00DB136B" w14:paraId="3A88DE9D" w14:textId="77777777">
      <w:pPr>
        <w:pStyle w:val="DecHCase"/>
      </w:pPr>
    </w:p>
    <w:p w:rsidRPr="00DB136B" w:rsidR="0098410D" w:rsidP="00DB136B" w14:paraId="2FD11231" w14:textId="77777777">
      <w:pPr>
        <w:pStyle w:val="DecHCase"/>
      </w:pPr>
    </w:p>
    <w:p w:rsidRPr="00DB136B" w:rsidR="00AC4CD4" w:rsidP="00DB136B" w14:paraId="02B39D86" w14:textId="77777777">
      <w:pPr>
        <w:pStyle w:val="DecHCase"/>
      </w:pPr>
    </w:p>
    <w:p w:rsidRPr="00DB136B" w:rsidR="0098410D" w:rsidP="00DB136B" w14:paraId="3FAEC83D" w14:textId="77777777">
      <w:pPr>
        <w:pStyle w:val="DecHCase"/>
      </w:pPr>
    </w:p>
    <w:p w:rsidRPr="00DB136B" w:rsidR="0098410D" w:rsidP="00DB136B" w14:paraId="2F44AC99" w14:textId="569CF756">
      <w:pPr>
        <w:pStyle w:val="DecHCase"/>
      </w:pPr>
      <w:r w:rsidRPr="00DB136B">
        <w:t>JUDGMENT</w:t>
      </w:r>
      <w:r w:rsidRPr="00DB136B" w:rsidR="00AC4CD4">
        <w:br/>
      </w:r>
    </w:p>
    <w:p w:rsidRPr="00DB136B" w:rsidR="0098410D" w:rsidP="00DB136B" w14:paraId="789E2B4B" w14:textId="77777777">
      <w:pPr>
        <w:pStyle w:val="DecHCase"/>
      </w:pPr>
      <w:r w:rsidRPr="00DB136B">
        <w:t>STRASBOURG</w:t>
      </w:r>
    </w:p>
    <w:p w:rsidRPr="00DB136B" w:rsidR="0098410D" w:rsidP="00DB136B" w14:paraId="66EFC18C" w14:textId="74BCB085">
      <w:pPr>
        <w:pStyle w:val="DecHCase"/>
      </w:pPr>
      <w:r w:rsidRPr="00DB136B">
        <w:rPr>
          <w:rFonts w:ascii="Times New Roman" w:hAnsi="Times New Roman" w:cs="Times New Roman"/>
        </w:rPr>
        <w:t>27 February 2025</w:t>
      </w:r>
    </w:p>
    <w:p w:rsidRPr="00DB136B" w:rsidR="00AC4CD4" w:rsidP="00DB136B" w14:paraId="16E107E1" w14:textId="77777777">
      <w:pPr>
        <w:pStyle w:val="JuPara"/>
      </w:pPr>
    </w:p>
    <w:p w:rsidRPr="00DB136B" w:rsidR="002422B6" w:rsidP="00DB136B" w14:paraId="51F80B6B" w14:textId="29590D27">
      <w:pPr>
        <w:jc w:val="center"/>
        <w:rPr>
          <w:i/>
          <w:sz w:val="22"/>
        </w:rPr>
      </w:pPr>
      <w:r w:rsidRPr="00DB136B">
        <w:rPr>
          <w:i/>
          <w:sz w:val="22"/>
        </w:rPr>
        <w:t xml:space="preserve">This judgment </w:t>
      </w:r>
      <w:r w:rsidRPr="00DB136B" w:rsidR="00236883">
        <w:rPr>
          <w:i/>
          <w:noProof/>
          <w:sz w:val="22"/>
        </w:rPr>
        <w:t>is final but it</w:t>
      </w:r>
      <w:r w:rsidRPr="00DB136B">
        <w:rPr>
          <w:i/>
          <w:sz w:val="22"/>
        </w:rPr>
        <w:t xml:space="preserve"> may be subject to editorial revision.</w:t>
      </w:r>
    </w:p>
    <w:p w:rsidRPr="00DB136B" w:rsidR="0098410D" w:rsidP="00DB136B" w14:paraId="33DAE90E"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B136B" w:rsidR="0098410D" w:rsidP="00DB136B" w14:paraId="702B881D" w14:textId="63B8AEAE">
      <w:pPr>
        <w:pStyle w:val="JuCase"/>
      </w:pPr>
      <w:r w:rsidRPr="00DB136B">
        <w:t xml:space="preserve">In the case of </w:t>
      </w:r>
      <w:r w:rsidRPr="00DB136B" w:rsidR="00236883">
        <w:t>Szypuła</w:t>
      </w:r>
      <w:r w:rsidRPr="00DB136B" w:rsidR="00AE2B40">
        <w:t xml:space="preserve"> and Others</w:t>
      </w:r>
      <w:r w:rsidRPr="00DB136B" w:rsidR="00236883">
        <w:t xml:space="preserve"> v. Poland</w:t>
      </w:r>
      <w:r w:rsidRPr="00DB136B">
        <w:t>,</w:t>
      </w:r>
    </w:p>
    <w:p w:rsidRPr="00DB136B" w:rsidR="009F4C8F" w:rsidP="00DB136B" w14:paraId="5111AC0E" w14:textId="032A8885">
      <w:pPr>
        <w:pStyle w:val="JuPara"/>
      </w:pPr>
      <w:r w:rsidRPr="00DB136B">
        <w:t>The European Court of Human Rights (</w:t>
      </w:r>
      <w:r w:rsidRPr="00DB136B" w:rsidR="00236883">
        <w:t>First Section</w:t>
      </w:r>
      <w:r w:rsidRPr="00DB136B">
        <w:t>), sitting as a</w:t>
      </w:r>
      <w:r w:rsidRPr="00DB136B" w:rsidR="00E135B8">
        <w:t> </w:t>
      </w:r>
      <w:r w:rsidRPr="00DB136B" w:rsidR="00236883">
        <w:rPr>
          <w:noProof/>
        </w:rPr>
        <w:t>Committee</w:t>
      </w:r>
      <w:r w:rsidRPr="00DB136B">
        <w:t xml:space="preserve"> composed of:</w:t>
      </w:r>
    </w:p>
    <w:p w:rsidRPr="00DB136B" w:rsidR="00A92625" w:rsidP="00DB136B" w14:paraId="2E02881A" w14:textId="78436581">
      <w:pPr>
        <w:pStyle w:val="JuJudges"/>
      </w:pPr>
      <w:r w:rsidRPr="00DB136B">
        <w:tab/>
        <w:t xml:space="preserve">Erik </w:t>
      </w:r>
      <w:r w:rsidRPr="00DB136B">
        <w:t>Wennerström</w:t>
      </w:r>
      <w:r w:rsidRPr="00DB136B">
        <w:rPr>
          <w:i/>
        </w:rPr>
        <w:t>, President</w:t>
      </w:r>
      <w:r w:rsidRPr="00DB136B">
        <w:t>,</w:t>
      </w:r>
      <w:r w:rsidRPr="00DB136B">
        <w:br/>
      </w:r>
      <w:r w:rsidRPr="00DB136B">
        <w:tab/>
        <w:t>Raffaele Sabato,</w:t>
      </w:r>
      <w:r w:rsidRPr="00DB136B">
        <w:br/>
      </w:r>
      <w:r w:rsidRPr="00DB136B">
        <w:tab/>
      </w:r>
      <w:r w:rsidRPr="00DB136B">
        <w:t>Artūrs</w:t>
      </w:r>
      <w:r w:rsidRPr="00DB136B">
        <w:t xml:space="preserve"> </w:t>
      </w:r>
      <w:r w:rsidRPr="00DB136B">
        <w:t>Kučs</w:t>
      </w:r>
      <w:r w:rsidRPr="00DB136B">
        <w:rPr>
          <w:i/>
        </w:rPr>
        <w:t>, judges</w:t>
      </w:r>
      <w:r w:rsidRPr="00DB136B">
        <w:t>,</w:t>
      </w:r>
      <w:r w:rsidRPr="00DB136B" w:rsidR="009F4C8F">
        <w:br/>
        <w:t>and</w:t>
      </w:r>
      <w:r w:rsidRPr="00DB136B" w:rsidR="005C2C62">
        <w:t xml:space="preserve"> </w:t>
      </w:r>
      <w:r w:rsidRPr="00DB136B" w:rsidR="00236883">
        <w:rPr>
          <w:rFonts w:eastAsia="PMingLiU"/>
          <w:noProof/>
        </w:rPr>
        <w:t>Liv Tigerstedt</w:t>
      </w:r>
      <w:r w:rsidRPr="00DB136B">
        <w:t xml:space="preserve">, </w:t>
      </w:r>
      <w:r w:rsidRPr="00DB136B" w:rsidR="00236883">
        <w:rPr>
          <w:i/>
          <w:iCs/>
          <w:noProof/>
        </w:rPr>
        <w:t xml:space="preserve">Deputy </w:t>
      </w:r>
      <w:r w:rsidRPr="00DB136B" w:rsidR="00E744E0">
        <w:rPr>
          <w:i/>
        </w:rPr>
        <w:t xml:space="preserve">Section </w:t>
      </w:r>
      <w:r w:rsidRPr="00DB136B" w:rsidR="00E744E0">
        <w:rPr>
          <w:i/>
          <w:iCs/>
        </w:rPr>
        <w:t>Registrar</w:t>
      </w:r>
      <w:r w:rsidRPr="00DB136B" w:rsidR="008F2465">
        <w:rPr>
          <w:i/>
        </w:rPr>
        <w:t>,</w:t>
      </w:r>
    </w:p>
    <w:p w:rsidRPr="00DB136B" w:rsidR="00236883" w:rsidP="00DB136B" w14:paraId="322C2051" w14:textId="77777777">
      <w:pPr>
        <w:pStyle w:val="JuPara"/>
      </w:pPr>
      <w:r w:rsidRPr="00DB136B">
        <w:t>Having regard to:</w:t>
      </w:r>
    </w:p>
    <w:p w:rsidRPr="00DB136B" w:rsidR="00236883" w:rsidP="00DB136B" w14:paraId="61E09938" w14:textId="77777777">
      <w:pPr>
        <w:pStyle w:val="JuPara"/>
      </w:pPr>
      <w:r w:rsidRPr="00DB136B">
        <w:t xml:space="preserve">the applications against the Republic of Poland lodged with the Court under Article 34 of the Convention for the Protection of Human Rights and Fundamental Freedoms (“the Convention”) by the applicants listed in the appended table, (“the applicants”), on the </w:t>
      </w:r>
      <w:r w:rsidRPr="00DB136B">
        <w:rPr>
          <w:rFonts w:eastAsia="PMingLiU"/>
        </w:rPr>
        <w:t xml:space="preserve">various dates indicated </w:t>
      </w:r>
      <w:r w:rsidRPr="00DB136B">
        <w:rPr>
          <w:rFonts w:eastAsia="PMingLiU"/>
        </w:rPr>
        <w:t>therein</w:t>
      </w:r>
      <w:r w:rsidRPr="00DB136B">
        <w:t>;</w:t>
      </w:r>
    </w:p>
    <w:p w:rsidRPr="00DB136B" w:rsidR="00236883" w:rsidP="00DB136B" w14:paraId="0062D25D" w14:textId="77777777">
      <w:pPr>
        <w:pStyle w:val="JuPara"/>
      </w:pPr>
      <w:r w:rsidRPr="00DB136B">
        <w:t xml:space="preserve">the decision to give notice of the applications to the Polish Government (“the Government”) represented by their Agent, Mr J. </w:t>
      </w:r>
      <w:r w:rsidRPr="00DB136B">
        <w:t>Sobczak</w:t>
      </w:r>
      <w:r w:rsidRPr="00DB136B">
        <w:t xml:space="preserve">, of the Ministry of Foreign </w:t>
      </w:r>
      <w:r w:rsidRPr="00DB136B">
        <w:t>Affairs;</w:t>
      </w:r>
    </w:p>
    <w:p w:rsidRPr="00DB136B" w:rsidR="00236883" w:rsidP="00DB136B" w14:paraId="6A2CE52B" w14:textId="3C782BE7">
      <w:pPr>
        <w:pStyle w:val="JuPara"/>
      </w:pPr>
      <w:r w:rsidRPr="00DB136B">
        <w:t>the parties</w:t>
      </w:r>
      <w:r w:rsidRPr="00DB136B" w:rsidR="00DB136B">
        <w:t>’</w:t>
      </w:r>
      <w:r w:rsidRPr="00DB136B">
        <w:t xml:space="preserve"> </w:t>
      </w:r>
      <w:r w:rsidRPr="00DB136B">
        <w:t>observations;</w:t>
      </w:r>
    </w:p>
    <w:p w:rsidRPr="00DB136B" w:rsidR="00236883" w:rsidP="00DB136B" w14:paraId="576082FB" w14:textId="77777777">
      <w:pPr>
        <w:pStyle w:val="JuPara"/>
      </w:pPr>
      <w:r w:rsidRPr="00DB136B">
        <w:t>the comments submitted by the following organisations, all of which had been granted leave to intervene by the President of the Section:</w:t>
      </w:r>
    </w:p>
    <w:p w:rsidRPr="00DB136B" w:rsidR="00236883" w:rsidP="00DB136B" w14:paraId="2C8DAFAD" w14:textId="77777777">
      <w:pPr>
        <w:pStyle w:val="JuPara"/>
      </w:pPr>
      <w:r w:rsidRPr="00DB136B">
        <w:t xml:space="preserve">- the Commissioner for Human Rights of the Republic of </w:t>
      </w:r>
      <w:r w:rsidRPr="00DB136B">
        <w:t>Poland;</w:t>
      </w:r>
    </w:p>
    <w:p w:rsidRPr="00DB136B" w:rsidR="00236883" w:rsidP="00DB136B" w14:paraId="5299472E" w14:textId="77777777">
      <w:pPr>
        <w:pStyle w:val="JuPara"/>
      </w:pPr>
      <w:r w:rsidRPr="00DB136B">
        <w:t xml:space="preserve">- the International Lesbian, Gay, Bisexual, Trans and Intersex Association (ILGA) on behalf of the Fédération Internationale pour les Droits </w:t>
      </w:r>
      <w:r w:rsidRPr="00DB136B">
        <w:t>Humains</w:t>
      </w:r>
      <w:r w:rsidRPr="00DB136B">
        <w:t xml:space="preserve"> (FIDH), European Region of the International Lesbian, Gay, Bisexual, Trans and Intersex Association (ILGA-Europe), Network of European LGBTIQ* Families Associations (NELFA) and the European Commission on Sexual Orientation Law (ECSOL</w:t>
      </w:r>
      <w:r w:rsidRPr="00DB136B">
        <w:t>);</w:t>
      </w:r>
    </w:p>
    <w:p w:rsidRPr="00DB136B" w:rsidR="00236883" w:rsidP="00DB136B" w14:paraId="5D4C868D" w14:textId="77777777">
      <w:pPr>
        <w:pStyle w:val="JuPara"/>
      </w:pPr>
      <w:r w:rsidRPr="00DB136B">
        <w:t xml:space="preserve">- the Institute of Psychology, Polish Academy of </w:t>
      </w:r>
      <w:r w:rsidRPr="00DB136B">
        <w:t>Sciences;</w:t>
      </w:r>
    </w:p>
    <w:p w:rsidRPr="00DB136B" w:rsidR="00236883" w:rsidP="00DB136B" w14:paraId="5BD2BD11" w14:textId="77777777">
      <w:pPr>
        <w:pStyle w:val="JuPara"/>
      </w:pPr>
      <w:r w:rsidRPr="00DB136B">
        <w:t xml:space="preserve">- the Human Rights Centre of Ghent </w:t>
      </w:r>
      <w:r w:rsidRPr="00DB136B">
        <w:t>University;</w:t>
      </w:r>
    </w:p>
    <w:p w:rsidRPr="00DB136B" w:rsidR="00236883" w:rsidP="00DB136B" w14:paraId="3EAC19F4" w14:textId="77777777">
      <w:pPr>
        <w:pStyle w:val="JuPara"/>
      </w:pPr>
      <w:r w:rsidRPr="00DB136B">
        <w:t xml:space="preserve">- the Ordo </w:t>
      </w:r>
      <w:r w:rsidRPr="00DB136B">
        <w:t>Iuris</w:t>
      </w:r>
      <w:r w:rsidRPr="00DB136B">
        <w:t xml:space="preserve"> Institute for Legal Culture.</w:t>
      </w:r>
    </w:p>
    <w:p w:rsidRPr="00DB136B" w:rsidR="009F4C8F" w:rsidP="00DB136B" w14:paraId="3E26AF0D" w14:textId="4F2FCCC0">
      <w:pPr>
        <w:pStyle w:val="JuPara"/>
      </w:pPr>
      <w:r w:rsidRPr="00DB136B">
        <w:t xml:space="preserve">Having deliberated in private on </w:t>
      </w:r>
      <w:r w:rsidRPr="00DB136B" w:rsidR="00236883">
        <w:t>30 January 2025</w:t>
      </w:r>
      <w:r w:rsidRPr="00DB136B">
        <w:t>,</w:t>
      </w:r>
    </w:p>
    <w:p w:rsidRPr="00DB136B" w:rsidR="009F4C8F" w:rsidP="00DB136B" w14:paraId="6D16645B" w14:textId="77777777">
      <w:pPr>
        <w:pStyle w:val="JuPara"/>
      </w:pPr>
      <w:r w:rsidRPr="00DB136B">
        <w:t>Delivers the following judgment, which was adopted on that date:</w:t>
      </w:r>
    </w:p>
    <w:p w:rsidRPr="00DB136B" w:rsidR="00236883" w:rsidP="00DB136B" w14:paraId="0F14E0B6" w14:textId="3A654844">
      <w:pPr>
        <w:pStyle w:val="JuHHead"/>
        <w:numPr>
          <w:ilvl w:val="0"/>
          <w:numId w:val="0"/>
        </w:numPr>
      </w:pPr>
      <w:r w:rsidRPr="00DB136B">
        <w:t>SUBJECT MATTER OF THE CASE</w:t>
      </w:r>
    </w:p>
    <w:p w:rsidRPr="00DB136B" w:rsidR="00236883" w:rsidP="00DB136B" w14:paraId="2EFD5E17" w14:textId="5CB8B5F2">
      <w:pPr>
        <w:pStyle w:val="JuPara"/>
      </w:pPr>
      <w:r w:rsidRPr="00DB136B">
        <w:fldChar w:fldCharType="begin"/>
      </w:r>
      <w:r w:rsidRPr="00DB136B">
        <w:instrText xml:space="preserve"> SEQ level0 \*arabic \* MERGEFORMAT </w:instrText>
      </w:r>
      <w:r w:rsidRPr="00DB136B">
        <w:fldChar w:fldCharType="separate"/>
      </w:r>
      <w:r w:rsidRPr="00DB136B">
        <w:rPr>
          <w:noProof/>
        </w:rPr>
        <w:t>1</w:t>
      </w:r>
      <w:r w:rsidRPr="00DB136B">
        <w:rPr>
          <w:noProof/>
        </w:rPr>
        <w:fldChar w:fldCharType="end"/>
      </w:r>
      <w:r w:rsidRPr="00DB136B">
        <w:t>.  The applicants, who are in same-sex couples, complained principally under Article</w:t>
      </w:r>
      <w:r w:rsidRPr="00DB136B" w:rsidR="0038333E">
        <w:t xml:space="preserve"> </w:t>
      </w:r>
      <w:r w:rsidRPr="00DB136B">
        <w:t>8 of the Convention that Poland failed to provide them with a</w:t>
      </w:r>
      <w:r w:rsidRPr="00DB136B" w:rsidR="00E135B8">
        <w:t> </w:t>
      </w:r>
      <w:r w:rsidRPr="00DB136B">
        <w:t>certificate allowing them to get married in Spain while in Poland there had been no form of legal recognition and protection for their respective relationships.</w:t>
      </w:r>
    </w:p>
    <w:p w:rsidRPr="00DB136B" w:rsidR="00236883" w:rsidP="00DB136B" w14:paraId="490F6621" w14:textId="37DA043F">
      <w:pPr>
        <w:pStyle w:val="JuHIRoman"/>
      </w:pPr>
      <w:r w:rsidRPr="00DB136B">
        <w:t>THE APPLICANT IN APPLICATION N</w:t>
      </w:r>
      <w:r w:rsidRPr="00DB136B" w:rsidR="00AE2B40">
        <w:rPr>
          <w:caps w:val="0"/>
          <w:smallCaps/>
        </w:rPr>
        <w:t>o</w:t>
      </w:r>
      <w:r w:rsidRPr="00DB136B">
        <w:t>. 78030/14</w:t>
      </w:r>
      <w:bookmarkStart w:name="ListStart" w:id="0"/>
      <w:bookmarkEnd w:id="0"/>
    </w:p>
    <w:p w:rsidRPr="00DB136B" w:rsidR="00236883" w:rsidP="00DB136B" w14:paraId="6ECDEEA8" w14:textId="5A91839F">
      <w:pPr>
        <w:pStyle w:val="JuPara"/>
      </w:pPr>
      <w:r w:rsidRPr="00DB136B">
        <w:fldChar w:fldCharType="begin"/>
      </w:r>
      <w:r w:rsidRPr="00DB136B">
        <w:instrText xml:space="preserve"> SEQ level0 \*arabic \* MERGEFO</w:instrText>
      </w:r>
      <w:r w:rsidRPr="00DB136B">
        <w:instrText xml:space="preserve">RMAT </w:instrText>
      </w:r>
      <w:r w:rsidRPr="00DB136B">
        <w:fldChar w:fldCharType="separate"/>
      </w:r>
      <w:r w:rsidRPr="00DB136B">
        <w:rPr>
          <w:noProof/>
        </w:rPr>
        <w:t>2</w:t>
      </w:r>
      <w:r w:rsidRPr="00DB136B">
        <w:rPr>
          <w:noProof/>
        </w:rPr>
        <w:fldChar w:fldCharType="end"/>
      </w:r>
      <w:r w:rsidRPr="00DB136B">
        <w:t xml:space="preserve">.  On 20 October 2010 the applicant applied for a marriage eligibility certificate confirming lack of impediments for a Polish national to conclude </w:t>
      </w:r>
      <w:r w:rsidRPr="00DB136B">
        <w:t>a marriage abroad. He indicated that he intended to marry his same-sex partner in Spain.</w:t>
      </w:r>
    </w:p>
    <w:p w:rsidRPr="00DB136B" w:rsidR="00236883" w:rsidP="00DB136B" w14:paraId="6D4987BC" w14:textId="1F765199">
      <w:pPr>
        <w:pStyle w:val="JuPara"/>
      </w:pPr>
      <w:r w:rsidRPr="00DB136B">
        <w:fldChar w:fldCharType="begin"/>
      </w:r>
      <w:r w:rsidRPr="00DB136B">
        <w:instrText xml:space="preserve"> SEQ level</w:instrText>
      </w:r>
      <w:r w:rsidRPr="00DB136B">
        <w:instrText xml:space="preserve">0 \*arabic \* MERGEFORMAT </w:instrText>
      </w:r>
      <w:r w:rsidRPr="00DB136B">
        <w:fldChar w:fldCharType="separate"/>
      </w:r>
      <w:r w:rsidRPr="00DB136B">
        <w:rPr>
          <w:noProof/>
        </w:rPr>
        <w:t>3</w:t>
      </w:r>
      <w:r w:rsidRPr="00DB136B">
        <w:rPr>
          <w:noProof/>
        </w:rPr>
        <w:fldChar w:fldCharType="end"/>
      </w:r>
      <w:r w:rsidRPr="00DB136B">
        <w:t>.  On 27 December 2010 the Warsaw Civil Status Office refused to issue the certificate finding that it would be contrary to the Polish law according to which marriage could only be concluded between a man and a woman.</w:t>
      </w:r>
    </w:p>
    <w:p w:rsidRPr="00DB136B" w:rsidR="00236883" w:rsidP="00DB136B" w14:paraId="38E915EF" w14:textId="4DFA0459">
      <w:pPr>
        <w:pStyle w:val="JuPara"/>
      </w:pPr>
      <w:r w:rsidRPr="00DB136B">
        <w:fldChar w:fldCharType="begin"/>
      </w:r>
      <w:r w:rsidRPr="00DB136B">
        <w:instrText xml:space="preserve"> SEQ lev</w:instrText>
      </w:r>
      <w:r w:rsidRPr="00DB136B">
        <w:instrText xml:space="preserve">el0 \*arabic \* MERGEFORMAT </w:instrText>
      </w:r>
      <w:r w:rsidRPr="00DB136B">
        <w:fldChar w:fldCharType="separate"/>
      </w:r>
      <w:r w:rsidRPr="00DB136B">
        <w:rPr>
          <w:noProof/>
        </w:rPr>
        <w:t>4</w:t>
      </w:r>
      <w:r w:rsidRPr="00DB136B">
        <w:rPr>
          <w:noProof/>
        </w:rPr>
        <w:fldChar w:fldCharType="end"/>
      </w:r>
      <w:r w:rsidRPr="00DB136B">
        <w:t>.  On 5 January 2012 the Warsaw-</w:t>
      </w:r>
      <w:r w:rsidRPr="00DB136B">
        <w:t>Praga</w:t>
      </w:r>
      <w:r w:rsidRPr="00DB136B">
        <w:t xml:space="preserve"> District Court upheld the decision, and on 6 March 2013 the Warsaw Regional Court dismissed the applicant</w:t>
      </w:r>
      <w:r w:rsidRPr="00DB136B">
        <w:t>’</w:t>
      </w:r>
      <w:r w:rsidRPr="00DB136B">
        <w:t>s appeal.</w:t>
      </w:r>
    </w:p>
    <w:p w:rsidRPr="00DB136B" w:rsidR="00236883" w:rsidP="00DB136B" w14:paraId="60FB352F" w14:textId="1EFE0D33">
      <w:pPr>
        <w:pStyle w:val="JuPara"/>
      </w:pPr>
      <w:r w:rsidRPr="00DB136B">
        <w:fldChar w:fldCharType="begin"/>
      </w:r>
      <w:r w:rsidRPr="00DB136B">
        <w:instrText xml:space="preserve"> SEQ level0 \*arabic \* MERGEFORMAT </w:instrText>
      </w:r>
      <w:r w:rsidRPr="00DB136B">
        <w:fldChar w:fldCharType="separate"/>
      </w:r>
      <w:r w:rsidRPr="00DB136B">
        <w:rPr>
          <w:noProof/>
        </w:rPr>
        <w:t>5</w:t>
      </w:r>
      <w:r w:rsidRPr="00DB136B">
        <w:rPr>
          <w:noProof/>
        </w:rPr>
        <w:fldChar w:fldCharType="end"/>
      </w:r>
      <w:r w:rsidRPr="00DB136B">
        <w:t>.  On 24 June 2014 the Supreme Court rejected the applicant</w:t>
      </w:r>
      <w:r w:rsidRPr="00DB136B">
        <w:t>’</w:t>
      </w:r>
      <w:r w:rsidRPr="00DB136B">
        <w:t xml:space="preserve">s cassation appeal. The court analysed domestic law and practice and concluded that the cassation appeal had not been available in cases of this kind. </w:t>
      </w:r>
      <w:r w:rsidRPr="00DB136B">
        <w:t>In particular, it</w:t>
      </w:r>
      <w:r w:rsidRPr="00DB136B">
        <w:t xml:space="preserve"> disagreed with the arguments presented in the applicant</w:t>
      </w:r>
      <w:r w:rsidRPr="00DB136B">
        <w:t>’</w:t>
      </w:r>
      <w:r w:rsidRPr="00DB136B">
        <w:t>s cassation appeal that the case concerned personal rights law where cassation appeal had been available. The decision was sent to the applicant on 5 August 2014.</w:t>
      </w:r>
    </w:p>
    <w:p w:rsidRPr="00DB136B" w:rsidR="00236883" w:rsidP="00DB136B" w14:paraId="2034313B" w14:textId="523ABC4B">
      <w:pPr>
        <w:pStyle w:val="JuHIRoman"/>
      </w:pPr>
      <w:r w:rsidRPr="00DB136B">
        <w:t xml:space="preserve">THE APPLICANTS IN APPLICATION </w:t>
      </w:r>
      <w:r w:rsidRPr="00DB136B" w:rsidR="00AE2B40">
        <w:t>n</w:t>
      </w:r>
      <w:r w:rsidRPr="00DB136B" w:rsidR="00AE2B40">
        <w:rPr>
          <w:caps w:val="0"/>
          <w:smallCaps/>
        </w:rPr>
        <w:t>o</w:t>
      </w:r>
      <w:r w:rsidRPr="00DB136B">
        <w:t>. 23669/16</w:t>
      </w:r>
    </w:p>
    <w:p w:rsidRPr="00DB136B" w:rsidR="00236883" w:rsidP="00DB136B" w14:paraId="0D516028" w14:textId="6BDB5AA9">
      <w:pPr>
        <w:pStyle w:val="JuPara"/>
      </w:pPr>
      <w:r w:rsidRPr="00DB136B">
        <w:fldChar w:fldCharType="begin"/>
      </w:r>
      <w:r w:rsidRPr="00DB136B">
        <w:instrText xml:space="preserve"> SEQ level0 \*arabic \* MERGEFORMAT </w:instrText>
      </w:r>
      <w:r w:rsidRPr="00DB136B">
        <w:fldChar w:fldCharType="separate"/>
      </w:r>
      <w:r w:rsidRPr="00DB136B">
        <w:rPr>
          <w:noProof/>
        </w:rPr>
        <w:t>6</w:t>
      </w:r>
      <w:r w:rsidRPr="00DB136B">
        <w:rPr>
          <w:noProof/>
        </w:rPr>
        <w:fldChar w:fldCharType="end"/>
      </w:r>
      <w:r w:rsidRPr="00DB136B">
        <w:t>.  On 24 July 2015 the first applicant applied for a marriage eligibility certificate confirming lack of impediments for a Polish national to conclude a marriage abroad. He indicated that he intended to marry his same-sex partner, the second applicant, in Spain.</w:t>
      </w:r>
    </w:p>
    <w:p w:rsidRPr="00DB136B" w:rsidR="00236883" w:rsidP="00DB136B" w14:paraId="05E28918" w14:textId="3EED2774">
      <w:pPr>
        <w:pStyle w:val="JuPara"/>
      </w:pPr>
      <w:r w:rsidRPr="00DB136B">
        <w:fldChar w:fldCharType="begin"/>
      </w:r>
      <w:r w:rsidRPr="00DB136B">
        <w:instrText xml:space="preserve"> SEQ</w:instrText>
      </w:r>
      <w:r w:rsidRPr="00DB136B">
        <w:instrText xml:space="preserve"> level0 \*arabic \* MERGEFORMAT </w:instrText>
      </w:r>
      <w:r w:rsidRPr="00DB136B">
        <w:fldChar w:fldCharType="separate"/>
      </w:r>
      <w:r w:rsidRPr="00DB136B">
        <w:rPr>
          <w:noProof/>
        </w:rPr>
        <w:t>7</w:t>
      </w:r>
      <w:r w:rsidRPr="00DB136B">
        <w:rPr>
          <w:noProof/>
        </w:rPr>
        <w:fldChar w:fldCharType="end"/>
      </w:r>
      <w:r w:rsidRPr="00DB136B">
        <w:t>.  On 7 August 2014 the Warsaw Civil Status Office refused to issue the certificate. On 17 March 2015 the Warsaw-</w:t>
      </w:r>
      <w:r w:rsidRPr="00DB136B">
        <w:t>Śródmieście</w:t>
      </w:r>
      <w:r w:rsidRPr="00DB136B">
        <w:t xml:space="preserve"> District Court upheld the decision of the civil status office.</w:t>
      </w:r>
    </w:p>
    <w:p w:rsidRPr="00DB136B" w:rsidR="00236883" w:rsidP="00DB136B" w14:paraId="5EB217C9" w14:textId="109D4D80">
      <w:pPr>
        <w:pStyle w:val="JuPara"/>
      </w:pPr>
      <w:r w:rsidRPr="00DB136B">
        <w:fldChar w:fldCharType="begin"/>
      </w:r>
      <w:r w:rsidRPr="00DB136B">
        <w:instrText xml:space="preserve"> SEQ level0 \*arabic \* MERGEFORMAT </w:instrText>
      </w:r>
      <w:r w:rsidRPr="00DB136B">
        <w:fldChar w:fldCharType="separate"/>
      </w:r>
      <w:r w:rsidRPr="00DB136B">
        <w:rPr>
          <w:noProof/>
        </w:rPr>
        <w:t>8</w:t>
      </w:r>
      <w:r w:rsidRPr="00DB136B">
        <w:rPr>
          <w:noProof/>
        </w:rPr>
        <w:fldChar w:fldCharType="end"/>
      </w:r>
      <w:r w:rsidRPr="00DB136B">
        <w:t>.  On 28 October 2015 the Warsaw Regional Court dismissed the applicant</w:t>
      </w:r>
      <w:r w:rsidRPr="00DB136B">
        <w:t>’</w:t>
      </w:r>
      <w:r w:rsidRPr="00DB136B">
        <w:t xml:space="preserve">s appeal. It reiterated that the certificate may only be issued if a given person had been eligible to </w:t>
      </w:r>
      <w:r w:rsidRPr="00DB136B">
        <w:t>enter into</w:t>
      </w:r>
      <w:r w:rsidRPr="00DB136B">
        <w:t xml:space="preserve"> marriage with another specified person in accordance with the Polish law.</w:t>
      </w:r>
    </w:p>
    <w:p w:rsidRPr="00DB136B" w:rsidR="00236883" w:rsidP="00DB136B" w14:paraId="71477174" w14:textId="77777777">
      <w:pPr>
        <w:pStyle w:val="JuHIRoman"/>
      </w:pPr>
      <w:r w:rsidRPr="00DB136B">
        <w:t>COMPLAINTS</w:t>
      </w:r>
    </w:p>
    <w:p w:rsidRPr="00DB136B" w:rsidR="00236883" w:rsidP="00DB136B" w14:paraId="5CD85D82" w14:textId="3740ED14">
      <w:pPr>
        <w:pStyle w:val="JuPara"/>
      </w:pPr>
      <w:r w:rsidRPr="00DB136B">
        <w:fldChar w:fldCharType="begin"/>
      </w:r>
      <w:r w:rsidRPr="00DB136B">
        <w:instrText xml:space="preserve"> SEQ level0 \*arabic \* MERGEFORMAT </w:instrText>
      </w:r>
      <w:r w:rsidRPr="00DB136B">
        <w:fldChar w:fldCharType="separate"/>
      </w:r>
      <w:r w:rsidRPr="00DB136B">
        <w:rPr>
          <w:noProof/>
        </w:rPr>
        <w:t>9</w:t>
      </w:r>
      <w:r w:rsidRPr="00DB136B">
        <w:rPr>
          <w:noProof/>
        </w:rPr>
        <w:fldChar w:fldCharType="end"/>
      </w:r>
      <w:r w:rsidRPr="00DB136B">
        <w:t xml:space="preserve">.  The applicants </w:t>
      </w:r>
      <w:r w:rsidRPr="00DB136B">
        <w:rPr>
          <w:bCs/>
        </w:rPr>
        <w:t>complained under Article 8 of the Convention of a total lack of recognition of their relationships as couples in Poland, in that it was impossible for them to enter together into any type of legally recognised union. The applicants further complained that they had intended to marry abroad but were refused marriage eligibility certificates, which prevented them from marrying in Spain, in breach of Articles 8 and 12 of the Convention.</w:t>
      </w:r>
    </w:p>
    <w:p w:rsidRPr="00DB136B" w:rsidR="00236883" w:rsidP="00DB136B" w14:paraId="7388337E" w14:textId="540B5D86">
      <w:pPr>
        <w:pStyle w:val="JuHHead"/>
      </w:pPr>
      <w:r w:rsidRPr="00DB136B">
        <w:t>THE COURT</w:t>
      </w:r>
      <w:r w:rsidRPr="00DB136B" w:rsidR="00DB136B">
        <w:t>’</w:t>
      </w:r>
      <w:r w:rsidRPr="00DB136B">
        <w:t>S ASSESSMENT</w:t>
      </w:r>
    </w:p>
    <w:p w:rsidRPr="00DB136B" w:rsidR="00236883" w:rsidP="00DB136B" w14:paraId="4B2C5EDC" w14:textId="77777777">
      <w:pPr>
        <w:pStyle w:val="JuHIRoman"/>
      </w:pPr>
      <w:r w:rsidRPr="00DB136B">
        <w:t>JOINDER OF THE APPLICATIONS</w:t>
      </w:r>
    </w:p>
    <w:p w:rsidRPr="00DB136B" w:rsidR="00236883" w:rsidP="00DB136B" w14:paraId="004001F5" w14:textId="5ADC6EB3">
      <w:pPr>
        <w:pStyle w:val="JuPara"/>
      </w:pPr>
      <w:r w:rsidRPr="00DB136B">
        <w:fldChar w:fldCharType="begin"/>
      </w:r>
      <w:r w:rsidRPr="00DB136B">
        <w:instrText xml:space="preserve"> SEQ level0 \*arabic \* MERGEFORMAT </w:instrText>
      </w:r>
      <w:r w:rsidRPr="00DB136B">
        <w:fldChar w:fldCharType="separate"/>
      </w:r>
      <w:r w:rsidRPr="00DB136B">
        <w:rPr>
          <w:noProof/>
        </w:rPr>
        <w:t>10</w:t>
      </w:r>
      <w:r w:rsidRPr="00DB136B">
        <w:rPr>
          <w:noProof/>
        </w:rPr>
        <w:fldChar w:fldCharType="end"/>
      </w:r>
      <w:r w:rsidRPr="00DB136B">
        <w:t>.  Having regard to the similar subject matter of the applications, the Court finds it appropriate to examine them jointly in a single judgment.</w:t>
      </w:r>
    </w:p>
    <w:p w:rsidRPr="00DB136B" w:rsidR="00236883" w:rsidP="00DB136B" w14:paraId="3297B3ED" w14:textId="77777777">
      <w:pPr>
        <w:pStyle w:val="JuHIRoman"/>
      </w:pPr>
      <w:r w:rsidRPr="00DB136B">
        <w:t>ALLEGED VIOLATION OF ARTICLE 8 OF THE CONVENTION</w:t>
      </w:r>
    </w:p>
    <w:p w:rsidRPr="00DB136B" w:rsidR="00236883" w:rsidP="00DB136B" w14:paraId="00DE4D1D" w14:textId="10C0C422">
      <w:pPr>
        <w:pStyle w:val="JuPara"/>
      </w:pPr>
      <w:r w:rsidRPr="00DB136B">
        <w:fldChar w:fldCharType="begin"/>
      </w:r>
      <w:r w:rsidRPr="00DB136B">
        <w:instrText xml:space="preserve"> SEQ level0 \*arabic \* MERGEFORMAT </w:instrText>
      </w:r>
      <w:r w:rsidRPr="00DB136B">
        <w:fldChar w:fldCharType="separate"/>
      </w:r>
      <w:r w:rsidRPr="00DB136B">
        <w:rPr>
          <w:noProof/>
        </w:rPr>
        <w:t>11</w:t>
      </w:r>
      <w:r w:rsidRPr="00DB136B">
        <w:rPr>
          <w:noProof/>
        </w:rPr>
        <w:fldChar w:fldCharType="end"/>
      </w:r>
      <w:r w:rsidRPr="00DB136B">
        <w:t>.  The Court considers that the principal issue raised by the applicants under Article 8 of the Convention was that in Poland they did not have core rights which were relevant for any couple in a stable and committed relationship.</w:t>
      </w:r>
    </w:p>
    <w:p w:rsidRPr="00DB136B" w:rsidR="00236883" w:rsidP="00DB136B" w14:paraId="6B41145E" w14:textId="77777777">
      <w:pPr>
        <w:pStyle w:val="JuHA"/>
      </w:pPr>
      <w:r w:rsidRPr="00DB136B">
        <w:t>Admissibility</w:t>
      </w:r>
    </w:p>
    <w:bookmarkStart w:name="paragraph00012" w:id="1"/>
    <w:p w:rsidRPr="00DB136B" w:rsidR="00236883" w:rsidP="00DB136B" w14:paraId="3AB75B40" w14:textId="558DE88C">
      <w:pPr>
        <w:pStyle w:val="JuPara"/>
      </w:pPr>
      <w:r w:rsidRPr="00DB136B">
        <w:fldChar w:fldCharType="begin"/>
      </w:r>
      <w:r w:rsidRPr="00DB136B">
        <w:instrText xml:space="preserve"> SEQ level0 \*arabic \* MERGEFORMAT </w:instrText>
      </w:r>
      <w:r w:rsidRPr="00DB136B">
        <w:fldChar w:fldCharType="separate"/>
      </w:r>
      <w:r w:rsidRPr="00DB136B" w:rsidR="00DB136B">
        <w:rPr>
          <w:noProof/>
        </w:rPr>
        <w:t>12</w:t>
      </w:r>
      <w:r w:rsidRPr="00DB136B">
        <w:fldChar w:fldCharType="end"/>
      </w:r>
      <w:bookmarkEnd w:id="1"/>
      <w:r w:rsidRPr="00DB136B">
        <w:t>.  The Government submitted a preliminary objection that no significant disadvantage had been suffered by the applicants since they continued to live together in their respective relationships and did not suffer any damage on account of the domestic decisions. The applicants contested the objection, reiterating that they had no access to core rights that were relevant to any couple in a stable relationship.</w:t>
      </w:r>
    </w:p>
    <w:p w:rsidRPr="00DB136B" w:rsidR="00236883" w:rsidP="00DB136B" w14:paraId="27348A6E" w14:textId="1C98BFA5">
      <w:pPr>
        <w:pStyle w:val="JuPara"/>
      </w:pPr>
      <w:r w:rsidRPr="00DB136B">
        <w:fldChar w:fldCharType="begin"/>
      </w:r>
      <w:r w:rsidRPr="00DB136B">
        <w:instrText xml:space="preserve"> SEQ level0 \*arabic \* MERGEFORMAT </w:instrText>
      </w:r>
      <w:r w:rsidRPr="00DB136B">
        <w:fldChar w:fldCharType="separate"/>
      </w:r>
      <w:r w:rsidRPr="00DB136B">
        <w:rPr>
          <w:noProof/>
        </w:rPr>
        <w:t>13</w:t>
      </w:r>
      <w:r w:rsidRPr="00DB136B">
        <w:rPr>
          <w:noProof/>
        </w:rPr>
        <w:fldChar w:fldCharType="end"/>
      </w:r>
      <w:r w:rsidRPr="00DB136B">
        <w:t>.  The Court finds that the objection is closely linked to the merits of the complaint that the applicants</w:t>
      </w:r>
      <w:r w:rsidRPr="00DB136B">
        <w:t>’</w:t>
      </w:r>
      <w:r w:rsidRPr="00DB136B">
        <w:t xml:space="preserve"> Convention rights were breached by the lack of legal recognition of same-sex unions. Accordingly, it</w:t>
      </w:r>
      <w:r w:rsidRPr="00DB136B" w:rsidR="0038333E">
        <w:t xml:space="preserve"> </w:t>
      </w:r>
      <w:r w:rsidRPr="00DB136B">
        <w:t>joins it to the merits.</w:t>
      </w:r>
    </w:p>
    <w:p w:rsidRPr="00DB136B" w:rsidR="00236883" w:rsidP="00DB136B" w14:paraId="25AF722F" w14:textId="1029A8C5">
      <w:pPr>
        <w:pStyle w:val="JuPara"/>
      </w:pPr>
      <w:r w:rsidRPr="00DB136B">
        <w:fldChar w:fldCharType="begin"/>
      </w:r>
      <w:r w:rsidRPr="00DB136B">
        <w:instrText xml:space="preserve"> SEQ level0 \*arabic \* MERGEFORMAT </w:instrText>
      </w:r>
      <w:r w:rsidRPr="00DB136B">
        <w:fldChar w:fldCharType="separate"/>
      </w:r>
      <w:r w:rsidRPr="00DB136B">
        <w:rPr>
          <w:noProof/>
        </w:rPr>
        <w:t>14</w:t>
      </w:r>
      <w:r w:rsidRPr="00DB136B">
        <w:rPr>
          <w:noProof/>
        </w:rPr>
        <w:fldChar w:fldCharType="end"/>
      </w:r>
      <w:r w:rsidRPr="00DB136B">
        <w:t>.  It follows that this complaint is not manifestly ill-founded within the meaning of Article 35 § 3 (a) of the Convention or inadmissible on any other grounds. It must therefore be declared admissible.</w:t>
      </w:r>
    </w:p>
    <w:p w:rsidRPr="00DB136B" w:rsidR="00236883" w:rsidP="00DB136B" w14:paraId="56BC2ED8" w14:textId="77777777">
      <w:pPr>
        <w:pStyle w:val="JuHA"/>
      </w:pPr>
      <w:r w:rsidRPr="00DB136B">
        <w:t>Merits</w:t>
      </w:r>
    </w:p>
    <w:p w:rsidRPr="00DB136B" w:rsidR="00236883" w:rsidP="00DB136B" w14:paraId="0C5DF009" w14:textId="189224F7">
      <w:pPr>
        <w:pStyle w:val="JuPara"/>
      </w:pPr>
      <w:r w:rsidRPr="00DB136B">
        <w:fldChar w:fldCharType="begin"/>
      </w:r>
      <w:r w:rsidRPr="00DB136B">
        <w:instrText xml:space="preserve"> SEQ level0 \*arabic \* MERGEFORMAT </w:instrText>
      </w:r>
      <w:r w:rsidRPr="00DB136B">
        <w:fldChar w:fldCharType="separate"/>
      </w:r>
      <w:r w:rsidRPr="00DB136B">
        <w:rPr>
          <w:noProof/>
        </w:rPr>
        <w:t>15</w:t>
      </w:r>
      <w:r w:rsidRPr="00DB136B">
        <w:rPr>
          <w:noProof/>
        </w:rPr>
        <w:fldChar w:fldCharType="end"/>
      </w:r>
      <w:r w:rsidRPr="00DB136B">
        <w:t>.  The general principles confirming that, in accordance with their positive obligations under Article 8 of the Convention, member States are required to provide a legal framework allowing same</w:t>
      </w:r>
      <w:r w:rsidRPr="00DB136B">
        <w:noBreakHyphen/>
        <w:t xml:space="preserve">sex couples to be granted adequate recognition and protection of their relationship, are set out in </w:t>
      </w:r>
      <w:r w:rsidRPr="00DB136B">
        <w:rPr>
          <w:i/>
          <w:iCs/>
        </w:rPr>
        <w:t>Fedotova and Others v. Russia</w:t>
      </w:r>
      <w:r w:rsidRPr="00DB136B">
        <w:rPr>
          <w:iCs/>
        </w:rPr>
        <w:t xml:space="preserve"> ([GC], nos. 40792/10 and 2</w:t>
      </w:r>
      <w:r w:rsidRPr="00DB136B" w:rsidR="0038333E">
        <w:rPr>
          <w:iCs/>
        </w:rPr>
        <w:t xml:space="preserve"> </w:t>
      </w:r>
      <w:r w:rsidRPr="00DB136B">
        <w:rPr>
          <w:iCs/>
        </w:rPr>
        <w:t>others,</w:t>
      </w:r>
      <w:r w:rsidRPr="00DB136B">
        <w:t xml:space="preserve"> §§ 152</w:t>
      </w:r>
      <w:r w:rsidRPr="00DB136B">
        <w:noBreakHyphen/>
        <w:t>65 and 178,</w:t>
      </w:r>
      <w:r w:rsidRPr="00DB136B">
        <w:rPr>
          <w:iCs/>
        </w:rPr>
        <w:t xml:space="preserve"> 17 January 2023)</w:t>
      </w:r>
      <w:r w:rsidRPr="00DB136B">
        <w:t>.</w:t>
      </w:r>
    </w:p>
    <w:p w:rsidRPr="00DB136B" w:rsidR="00236883" w:rsidP="00DB136B" w14:paraId="0ACE3B66" w14:textId="0A4A12EC">
      <w:pPr>
        <w:pStyle w:val="JuPara"/>
      </w:pPr>
      <w:r w:rsidRPr="00DB136B">
        <w:fldChar w:fldCharType="begin"/>
      </w:r>
      <w:r w:rsidRPr="00DB136B">
        <w:instrText xml:space="preserve"> SEQ level0</w:instrText>
      </w:r>
      <w:r w:rsidRPr="00DB136B">
        <w:instrText xml:space="preserve"> \*arabic \* MERGEFORMAT </w:instrText>
      </w:r>
      <w:r w:rsidRPr="00DB136B">
        <w:fldChar w:fldCharType="separate"/>
      </w:r>
      <w:r w:rsidRPr="00DB136B">
        <w:rPr>
          <w:noProof/>
        </w:rPr>
        <w:t>16</w:t>
      </w:r>
      <w:r w:rsidRPr="00DB136B">
        <w:rPr>
          <w:noProof/>
        </w:rPr>
        <w:fldChar w:fldCharType="end"/>
      </w:r>
      <w:r w:rsidRPr="00DB136B">
        <w:t xml:space="preserve">.  In the application of those principles, the Court found in </w:t>
      </w:r>
      <w:r w:rsidRPr="00DB136B">
        <w:rPr>
          <w:i/>
          <w:iCs/>
        </w:rPr>
        <w:t>Przybyszewska</w:t>
      </w:r>
      <w:r w:rsidRPr="00DB136B">
        <w:rPr>
          <w:i/>
          <w:iCs/>
        </w:rPr>
        <w:t xml:space="preserve"> and Others</w:t>
      </w:r>
      <w:r w:rsidRPr="00DB136B">
        <w:t xml:space="preserve"> </w:t>
      </w:r>
      <w:r w:rsidRPr="00DB136B">
        <w:rPr>
          <w:i/>
          <w:iCs/>
        </w:rPr>
        <w:t>v. Poland</w:t>
      </w:r>
      <w:r w:rsidRPr="00DB136B">
        <w:t xml:space="preserve"> (nos. 11454/17 and 9 others, § 122, 12 December 2023) that Poland had failed to comply with its positive obligation to ensure that the applicants in that case had a specific legal framework providing for the recognition and protection of their same-sex unions, in breach of Article 8 of the Convention (compare also, </w:t>
      </w:r>
      <w:r w:rsidRPr="00DB136B">
        <w:rPr>
          <w:i/>
          <w:iCs/>
        </w:rPr>
        <w:t>Formela</w:t>
      </w:r>
      <w:r w:rsidRPr="00DB136B">
        <w:rPr>
          <w:i/>
          <w:iCs/>
        </w:rPr>
        <w:t xml:space="preserve"> </w:t>
      </w:r>
      <w:r w:rsidRPr="00DB136B">
        <w:rPr>
          <w:i/>
          <w:iCs/>
        </w:rPr>
        <w:t>and</w:t>
      </w:r>
      <w:r w:rsidRPr="00DB136B" w:rsidR="00E135B8">
        <w:rPr>
          <w:i/>
          <w:iCs/>
        </w:rPr>
        <w:t> </w:t>
      </w:r>
      <w:r w:rsidRPr="00DB136B">
        <w:rPr>
          <w:i/>
          <w:iCs/>
        </w:rPr>
        <w:t>Others v. Poland</w:t>
      </w:r>
      <w:r w:rsidRPr="00DB136B">
        <w:t xml:space="preserve"> [Committee], nos. 58828/12 and 4 others, § 25, 19</w:t>
      </w:r>
      <w:r w:rsidRPr="00DB136B" w:rsidR="00E135B8">
        <w:t> </w:t>
      </w:r>
      <w:r w:rsidRPr="00DB136B">
        <w:t>September 2024).</w:t>
      </w:r>
    </w:p>
    <w:bookmarkStart w:name="paragraph00017" w:id="2"/>
    <w:p w:rsidRPr="00DB136B" w:rsidR="00236883" w:rsidP="00DB136B" w14:paraId="24C97F63" w14:textId="6E6940A6">
      <w:pPr>
        <w:pStyle w:val="JuPara"/>
      </w:pPr>
      <w:r w:rsidRPr="00DB136B">
        <w:fldChar w:fldCharType="begin"/>
      </w:r>
      <w:r w:rsidRPr="00DB136B">
        <w:instrText xml:space="preserve"> SEQ level0 \*arabic \* MERGEFORMAT </w:instrText>
      </w:r>
      <w:r w:rsidRPr="00DB136B">
        <w:fldChar w:fldCharType="separate"/>
      </w:r>
      <w:r w:rsidRPr="00DB136B" w:rsidR="00DB136B">
        <w:rPr>
          <w:noProof/>
        </w:rPr>
        <w:t>17</w:t>
      </w:r>
      <w:r w:rsidRPr="00DB136B">
        <w:rPr>
          <w:noProof/>
        </w:rPr>
        <w:fldChar w:fldCharType="end"/>
      </w:r>
      <w:bookmarkEnd w:id="2"/>
      <w:r w:rsidRPr="00DB136B">
        <w:t>.  In the case at hand, the applicants did not complain that it was impossible for them to get married in Poland and the Court notes that Articles 8, 12 and 14 of the Convention have to date not been interpreted as imposing a positive obligation on the States Parties to make marriage available to same</w:t>
      </w:r>
      <w:r w:rsidRPr="00DB136B">
        <w:noBreakHyphen/>
        <w:t>sex couples (</w:t>
      </w:r>
      <w:r w:rsidRPr="00DB136B">
        <w:rPr>
          <w:i/>
          <w:iCs/>
        </w:rPr>
        <w:t>Przybyszewska</w:t>
      </w:r>
      <w:r w:rsidRPr="00DB136B">
        <w:rPr>
          <w:i/>
          <w:iCs/>
        </w:rPr>
        <w:t xml:space="preserve"> and Others</w:t>
      </w:r>
      <w:r w:rsidRPr="00DB136B">
        <w:t>, cited above, § 165).</w:t>
      </w:r>
    </w:p>
    <w:p w:rsidRPr="00DB136B" w:rsidR="00236883" w:rsidP="00DB136B" w14:paraId="6128CFCE" w14:textId="772114C3">
      <w:pPr>
        <w:pStyle w:val="JuPara"/>
      </w:pPr>
      <w:r w:rsidRPr="00DB136B">
        <w:fldChar w:fldCharType="begin"/>
      </w:r>
      <w:r w:rsidRPr="00DB136B">
        <w:instrText xml:space="preserve"> SEQ level0 \*arabic \* MERGEFORMAT </w:instrText>
      </w:r>
      <w:r w:rsidRPr="00DB136B">
        <w:fldChar w:fldCharType="separate"/>
      </w:r>
      <w:r w:rsidRPr="00DB136B">
        <w:rPr>
          <w:noProof/>
        </w:rPr>
        <w:t>18</w:t>
      </w:r>
      <w:r w:rsidRPr="00DB136B">
        <w:rPr>
          <w:noProof/>
        </w:rPr>
        <w:fldChar w:fldCharType="end"/>
      </w:r>
      <w:r w:rsidRPr="00DB136B">
        <w:t>.  It has not been disputed that Polish law still provides for only one form of family union – an opposite-sex marriage – and does not allow for any form of legal recognition for same-sex couples (see ibid.</w:t>
      </w:r>
      <w:r w:rsidRPr="00DB136B">
        <w:rPr>
          <w:i/>
          <w:iCs/>
        </w:rPr>
        <w:t>,</w:t>
      </w:r>
      <w:r w:rsidRPr="00DB136B">
        <w:t xml:space="preserve"> § 105). The situation therefore differs significantly from that of a very large number of member States which have undertaken to amend their domestic law with a view to ensuring that persons of the same sex enjoy effective protection of their private and family life (see </w:t>
      </w:r>
      <w:bookmarkStart w:name="_cl42727" w:id="3"/>
      <w:r w:rsidRPr="00DB136B">
        <w:rPr>
          <w:i/>
          <w:iCs/>
        </w:rPr>
        <w:t>Koilova</w:t>
      </w:r>
      <w:r w:rsidRPr="00DB136B">
        <w:rPr>
          <w:i/>
          <w:iCs/>
        </w:rPr>
        <w:t xml:space="preserve"> and </w:t>
      </w:r>
      <w:r w:rsidRPr="00DB136B">
        <w:rPr>
          <w:i/>
          <w:iCs/>
        </w:rPr>
        <w:t>Babulkova</w:t>
      </w:r>
      <w:r w:rsidRPr="00DB136B">
        <w:rPr>
          <w:i/>
          <w:iCs/>
        </w:rPr>
        <w:t xml:space="preserve"> v. Bulgaria</w:t>
      </w:r>
      <w:r w:rsidRPr="00DB136B">
        <w:t>, no. 40209/20, § 46, 5 September 2023</w:t>
      </w:r>
      <w:bookmarkEnd w:id="3"/>
      <w:r w:rsidRPr="00DB136B">
        <w:t>).</w:t>
      </w:r>
    </w:p>
    <w:p w:rsidRPr="00DB136B" w:rsidR="00236883" w:rsidP="00DB136B" w14:paraId="75B8FFAE" w14:textId="33F8EF40">
      <w:pPr>
        <w:pStyle w:val="JuPara"/>
      </w:pPr>
      <w:r w:rsidRPr="00DB136B">
        <w:fldChar w:fldCharType="begin"/>
      </w:r>
      <w:r w:rsidRPr="00DB136B">
        <w:instrText xml:space="preserve"> SEQ level0 \*arabic \* MERGEFORMAT </w:instrText>
      </w:r>
      <w:r w:rsidRPr="00DB136B">
        <w:fldChar w:fldCharType="separate"/>
      </w:r>
      <w:r w:rsidRPr="00DB136B">
        <w:rPr>
          <w:noProof/>
        </w:rPr>
        <w:t>19</w:t>
      </w:r>
      <w:r w:rsidRPr="00DB136B">
        <w:rPr>
          <w:noProof/>
        </w:rPr>
        <w:fldChar w:fldCharType="end"/>
      </w:r>
      <w:r w:rsidRPr="00DB136B">
        <w:t>.  As submitted by the applicants in their observations, they were prevented from taking leave to care for their ill partner, could not extend health insurance to cover their partner, were treated as being unrelated in the field of taxation and could not benefit from an exemption from donation tax granted to next-of-kin or from the right to submit a joint tax declaration. The</w:t>
      </w:r>
      <w:r w:rsidRPr="00DB136B" w:rsidR="00E135B8">
        <w:t> </w:t>
      </w:r>
      <w:r w:rsidRPr="00DB136B">
        <w:t xml:space="preserve">applicants underlined that same-sex partners could not inherit from each other unless expressly indicated in a </w:t>
      </w:r>
      <w:r w:rsidRPr="00DB136B">
        <w:t>will, or</w:t>
      </w:r>
      <w:r w:rsidRPr="00DB136B">
        <w:t xml:space="preserve"> be awarded maintenance in the event of separation or death.</w:t>
      </w:r>
    </w:p>
    <w:p w:rsidRPr="00DB136B" w:rsidR="00236883" w:rsidP="00DB136B" w14:paraId="55359AFD" w14:textId="44BF71E6">
      <w:pPr>
        <w:pStyle w:val="JuPara"/>
      </w:pPr>
      <w:r w:rsidRPr="00DB136B">
        <w:fldChar w:fldCharType="begin"/>
      </w:r>
      <w:r w:rsidRPr="00DB136B">
        <w:instrText xml:space="preserve"> SEQ level0 \*arabic \* MERGEFORMAT </w:instrText>
      </w:r>
      <w:r w:rsidRPr="00DB136B">
        <w:fldChar w:fldCharType="separate"/>
      </w:r>
      <w:r w:rsidRPr="00DB136B">
        <w:rPr>
          <w:noProof/>
        </w:rPr>
        <w:t>20</w:t>
      </w:r>
      <w:r w:rsidRPr="00DB136B">
        <w:rPr>
          <w:noProof/>
        </w:rPr>
        <w:fldChar w:fldCharType="end"/>
      </w:r>
      <w:r w:rsidRPr="00DB136B">
        <w:t xml:space="preserve">.  The Court notes that, in Poland, same-sex couples, in the absence of official recognition, are mere </w:t>
      </w:r>
      <w:r w:rsidRPr="00DB136B">
        <w:rPr>
          <w:i/>
          <w:iCs/>
        </w:rPr>
        <w:t>de facto</w:t>
      </w:r>
      <w:r w:rsidRPr="00DB136B">
        <w:t xml:space="preserve"> unions. Same-sex partners are not able to rely on the existence of their relationship in dealings with the judicial or administrative authorities (see </w:t>
      </w:r>
      <w:r w:rsidRPr="00DB136B">
        <w:rPr>
          <w:i/>
          <w:iCs/>
        </w:rPr>
        <w:t>Przybyszewska</w:t>
      </w:r>
      <w:r w:rsidRPr="00DB136B">
        <w:rPr>
          <w:i/>
          <w:iCs/>
        </w:rPr>
        <w:t xml:space="preserve"> and Others</w:t>
      </w:r>
      <w:r w:rsidRPr="00DB136B">
        <w:t>, cited above, § 113). The Court reiterates that the need to apply to the domestic courts for protection of their couple</w:t>
      </w:r>
      <w:r w:rsidRPr="00DB136B">
        <w:t>’</w:t>
      </w:r>
      <w:r w:rsidRPr="00DB136B">
        <w:t xml:space="preserve">s ordinary needs is </w:t>
      </w:r>
      <w:r w:rsidRPr="00DB136B">
        <w:t>in itself an</w:t>
      </w:r>
      <w:r w:rsidRPr="00DB136B">
        <w:t xml:space="preserve"> obstacle to respect for their private and family life.</w:t>
      </w:r>
    </w:p>
    <w:p w:rsidRPr="00DB136B" w:rsidR="00236883" w:rsidP="00DB136B" w14:paraId="0487C198" w14:textId="20B31E81">
      <w:pPr>
        <w:pStyle w:val="JuPara"/>
      </w:pPr>
      <w:r w:rsidRPr="00DB136B">
        <w:fldChar w:fldCharType="begin"/>
      </w:r>
      <w:r w:rsidRPr="00DB136B">
        <w:instrText xml:space="preserve"> SEQ level0 \*arabic \* MERGEFORMAT </w:instrText>
      </w:r>
      <w:r w:rsidRPr="00DB136B">
        <w:fldChar w:fldCharType="separate"/>
      </w:r>
      <w:r w:rsidRPr="00DB136B">
        <w:rPr>
          <w:noProof/>
        </w:rPr>
        <w:t>21</w:t>
      </w:r>
      <w:r w:rsidRPr="00DB136B">
        <w:rPr>
          <w:noProof/>
        </w:rPr>
        <w:fldChar w:fldCharType="end"/>
      </w:r>
      <w:r w:rsidRPr="00DB136B">
        <w:t>.  Referring to the findings already established by the Court in respect of Poland in the cases indicated above, it thus concludes that by failing to ensure that the applicants have a specific legal framework providing for recognition and protection, the Polish authorities have left them in a legal vacuum and have not provided for the core needs of recognition and protection of same-sex couples in a stable and committed relationship. The</w:t>
      </w:r>
      <w:r w:rsidRPr="00DB136B" w:rsidR="00E135B8">
        <w:t> </w:t>
      </w:r>
      <w:r w:rsidRPr="00DB136B">
        <w:t>Court finds that none of the public interest grounds put forward by the Government prevail over the applicants</w:t>
      </w:r>
      <w:r w:rsidRPr="00DB136B">
        <w:t>’</w:t>
      </w:r>
      <w:r w:rsidRPr="00DB136B">
        <w:t xml:space="preserve"> interest in having their respective relationships adequately recognised and protected by law.</w:t>
      </w:r>
    </w:p>
    <w:p w:rsidRPr="00DB136B" w:rsidR="00236883" w:rsidP="00DB136B" w14:paraId="671A83FC" w14:textId="052DB4D4">
      <w:pPr>
        <w:pStyle w:val="JuPara"/>
      </w:pPr>
      <w:r w:rsidRPr="00DB136B">
        <w:fldChar w:fldCharType="begin"/>
      </w:r>
      <w:r w:rsidRPr="00DB136B">
        <w:instrText xml:space="preserve"> SEQ level0 \*arabic \* MERGEFORMAT </w:instrText>
      </w:r>
      <w:r w:rsidRPr="00DB136B">
        <w:fldChar w:fldCharType="separate"/>
      </w:r>
      <w:r w:rsidRPr="00DB136B">
        <w:rPr>
          <w:noProof/>
        </w:rPr>
        <w:t>22</w:t>
      </w:r>
      <w:r w:rsidRPr="00DB136B">
        <w:rPr>
          <w:noProof/>
        </w:rPr>
        <w:fldChar w:fldCharType="end"/>
      </w:r>
      <w:r w:rsidRPr="00DB136B">
        <w:t>.  The Court notes that member States have a more extensive margin of appreciation in determining the exact nature of the legal regime to be made available to same-sex couples. However, it is important that the protection afforded by the States to same</w:t>
      </w:r>
      <w:r w:rsidRPr="00DB136B">
        <w:noBreakHyphen/>
        <w:t xml:space="preserve">sex couples should be adequate. It is in the </w:t>
      </w:r>
      <w:r w:rsidRPr="00DB136B">
        <w:t>latter context that Poland</w:t>
      </w:r>
      <w:r w:rsidRPr="00DB136B">
        <w:t>’</w:t>
      </w:r>
      <w:r w:rsidRPr="00DB136B">
        <w:t xml:space="preserve">s social and cultural background may be </w:t>
      </w:r>
      <w:r w:rsidRPr="00DB136B">
        <w:t>taken into account</w:t>
      </w:r>
      <w:r w:rsidRPr="00DB136B">
        <w:t>.</w:t>
      </w:r>
    </w:p>
    <w:p w:rsidRPr="00DB136B" w:rsidR="00236883" w:rsidP="00DB136B" w14:paraId="7F465B58" w14:textId="4A04FEF7">
      <w:pPr>
        <w:pStyle w:val="JuPara"/>
      </w:pPr>
      <w:r w:rsidRPr="00DB136B">
        <w:fldChar w:fldCharType="begin"/>
      </w:r>
      <w:r w:rsidRPr="00DB136B">
        <w:instrText xml:space="preserve"> SEQ le</w:instrText>
      </w:r>
      <w:r w:rsidRPr="00DB136B">
        <w:instrText xml:space="preserve">vel0 \*arabic \* MERGEFORMAT </w:instrText>
      </w:r>
      <w:r w:rsidRPr="00DB136B">
        <w:fldChar w:fldCharType="separate"/>
      </w:r>
      <w:r w:rsidRPr="00DB136B">
        <w:rPr>
          <w:noProof/>
        </w:rPr>
        <w:t>23</w:t>
      </w:r>
      <w:r w:rsidRPr="00DB136B">
        <w:rPr>
          <w:noProof/>
        </w:rPr>
        <w:fldChar w:fldCharType="end"/>
      </w:r>
      <w:r w:rsidRPr="00DB136B">
        <w:t>.  The Court concludes that the respondent State has overstepped its margin of appreciation and has failed to comply with its positive obligation to ensure that the applicants had a specific legal framework providing for the recognition and protection of their same-sex unions. This amounts to a breach of the applicants</w:t>
      </w:r>
      <w:r w:rsidRPr="00DB136B">
        <w:t>’</w:t>
      </w:r>
      <w:r w:rsidRPr="00DB136B">
        <w:t xml:space="preserve"> right to respect for their private and family life. The</w:t>
      </w:r>
      <w:r w:rsidRPr="00DB136B" w:rsidR="00E135B8">
        <w:t> </w:t>
      </w:r>
      <w:r w:rsidRPr="00DB136B">
        <w:t>Government</w:t>
      </w:r>
      <w:r w:rsidRPr="00DB136B">
        <w:t>’</w:t>
      </w:r>
      <w:r w:rsidRPr="00DB136B">
        <w:t xml:space="preserve">s preliminary objection regarding them suffering no significant disadvantage (see paragraph </w:t>
      </w:r>
      <w:r w:rsidRPr="00DB136B">
        <w:fldChar w:fldCharType="begin"/>
      </w:r>
      <w:r w:rsidRPr="00DB136B" w:rsidR="0038333E">
        <w:instrText xml:space="preserve">REF paragraph00012 \h \* CharFormat </w:instrText>
      </w:r>
      <w:r w:rsidRPr="00DB136B">
        <w:fldChar w:fldCharType="separate"/>
      </w:r>
      <w:r w:rsidRPr="00DB136B">
        <w:t>12</w:t>
      </w:r>
      <w:r w:rsidRPr="00DB136B">
        <w:fldChar w:fldCharType="end"/>
      </w:r>
      <w:r w:rsidRPr="00DB136B">
        <w:t xml:space="preserve"> above) must therefore be dismissed.</w:t>
      </w:r>
    </w:p>
    <w:p w:rsidRPr="00DB136B" w:rsidR="00236883" w:rsidP="00DB136B" w14:paraId="492B4863" w14:textId="71EBBAE8">
      <w:pPr>
        <w:pStyle w:val="JuPara"/>
      </w:pPr>
      <w:r w:rsidRPr="00DB136B">
        <w:fldChar w:fldCharType="begin"/>
      </w:r>
      <w:r w:rsidRPr="00DB136B">
        <w:instrText xml:space="preserve"> SEQ level0 \*arabic \* MERGEFORMAT </w:instrText>
      </w:r>
      <w:r w:rsidRPr="00DB136B">
        <w:fldChar w:fldCharType="separate"/>
      </w:r>
      <w:r w:rsidRPr="00DB136B">
        <w:rPr>
          <w:noProof/>
        </w:rPr>
        <w:t>24</w:t>
      </w:r>
      <w:r w:rsidRPr="00DB136B">
        <w:rPr>
          <w:noProof/>
        </w:rPr>
        <w:fldChar w:fldCharType="end"/>
      </w:r>
      <w:r w:rsidRPr="00DB136B">
        <w:t>.  There has accordingly been a violation of Article 8 of the Convention.</w:t>
      </w:r>
    </w:p>
    <w:p w:rsidRPr="00DB136B" w:rsidR="00236883" w:rsidP="00DB136B" w14:paraId="1C84DCE7" w14:textId="77777777">
      <w:pPr>
        <w:pStyle w:val="JuHIRoman"/>
      </w:pPr>
      <w:r w:rsidRPr="00DB136B">
        <w:t>OTHER COMPLAINTS</w:t>
      </w:r>
    </w:p>
    <w:p w:rsidRPr="00DB136B" w:rsidR="00236883" w:rsidP="00DB136B" w14:paraId="301B42B7" w14:textId="3A18EA06">
      <w:pPr>
        <w:pStyle w:val="JuPara"/>
      </w:pPr>
      <w:r w:rsidRPr="00DB136B">
        <w:fldChar w:fldCharType="begin"/>
      </w:r>
      <w:r w:rsidRPr="00DB136B">
        <w:instrText xml:space="preserve"> SEQ level0 \*arabic \* MERGEFORMAT </w:instrText>
      </w:r>
      <w:r w:rsidRPr="00DB136B">
        <w:fldChar w:fldCharType="separate"/>
      </w:r>
      <w:r w:rsidRPr="00DB136B">
        <w:rPr>
          <w:noProof/>
        </w:rPr>
        <w:t>25</w:t>
      </w:r>
      <w:r w:rsidRPr="00DB136B">
        <w:rPr>
          <w:noProof/>
        </w:rPr>
        <w:fldChar w:fldCharType="end"/>
      </w:r>
      <w:r w:rsidRPr="00DB136B">
        <w:t>.  The applicants also complained under Article 8 and 12 of the Convention that they were not issued a marriage eligibility certificate which would allow them to get married in Spain although such marriage would have no legal consequences in Poland. The Government pointed out that as of 2015 they could obtain a civil status certificate which could facilitate them marrying abroad.</w:t>
      </w:r>
    </w:p>
    <w:p w:rsidRPr="00DB136B" w:rsidR="00236883" w:rsidP="00DB136B" w14:paraId="20DB342F" w14:textId="3217EE5E">
      <w:pPr>
        <w:pStyle w:val="JuPara"/>
      </w:pPr>
      <w:r w:rsidRPr="00DB136B">
        <w:fldChar w:fldCharType="begin"/>
      </w:r>
      <w:r w:rsidRPr="00DB136B">
        <w:instrText xml:space="preserve"> SEQ level0 \*arabic \* MERGEFORMAT </w:instrText>
      </w:r>
      <w:r w:rsidRPr="00DB136B">
        <w:fldChar w:fldCharType="separate"/>
      </w:r>
      <w:r w:rsidRPr="00DB136B">
        <w:rPr>
          <w:noProof/>
        </w:rPr>
        <w:t>26</w:t>
      </w:r>
      <w:r w:rsidRPr="00DB136B">
        <w:rPr>
          <w:noProof/>
        </w:rPr>
        <w:fldChar w:fldCharType="end"/>
      </w:r>
      <w:r w:rsidRPr="00DB136B">
        <w:t>.  The Court considers that the refusal of the Polish authorities to issue a certificate confirming the eligibility of the applicants to marry their respective same-sex partners was a consequence of the situation at the heart of the case – lack of a legal framework providing for the recognition and protection of the applicants</w:t>
      </w:r>
      <w:r w:rsidRPr="00DB136B">
        <w:t>’</w:t>
      </w:r>
      <w:r w:rsidRPr="00DB136B">
        <w:t xml:space="preserve"> same-sex unions in Poland – resulting in the violation of the Convention established above. The Court thus considers that it has dealt with the main legal questions raised by the case and that there is no need to examine this complaint (see </w:t>
      </w:r>
      <w:r w:rsidRPr="00DB136B">
        <w:rPr>
          <w:i/>
          <w:iCs/>
        </w:rPr>
        <w:t xml:space="preserve">Centre for Legal Resources on behalf of Valentin </w:t>
      </w:r>
      <w:r w:rsidRPr="00DB136B">
        <w:rPr>
          <w:i/>
          <w:iCs/>
        </w:rPr>
        <w:t>Câmpeanu</w:t>
      </w:r>
      <w:r w:rsidRPr="00DB136B">
        <w:rPr>
          <w:i/>
          <w:iCs/>
        </w:rPr>
        <w:t xml:space="preserve"> v. Romania</w:t>
      </w:r>
      <w:r w:rsidRPr="00DB136B">
        <w:t xml:space="preserve"> [GC], no.</w:t>
      </w:r>
      <w:r w:rsidRPr="00DB136B" w:rsidR="00185640">
        <w:t xml:space="preserve"> </w:t>
      </w:r>
      <w:r w:rsidRPr="00DB136B">
        <w:t>47848/08, § 156, ECHR 2014).</w:t>
      </w:r>
    </w:p>
    <w:p w:rsidRPr="00DB136B" w:rsidR="00236883" w:rsidP="00DB136B" w14:paraId="795BDD89" w14:textId="6C8AC017">
      <w:pPr>
        <w:pStyle w:val="JuPara"/>
      </w:pPr>
      <w:r w:rsidRPr="00DB136B">
        <w:fldChar w:fldCharType="begin"/>
      </w:r>
      <w:r w:rsidRPr="00DB136B">
        <w:instrText xml:space="preserve"> SEQ level0 \*arabic \* MERGEFORMAT </w:instrText>
      </w:r>
      <w:r w:rsidRPr="00DB136B">
        <w:fldChar w:fldCharType="separate"/>
      </w:r>
      <w:r w:rsidRPr="00DB136B">
        <w:rPr>
          <w:noProof/>
        </w:rPr>
        <w:t>27</w:t>
      </w:r>
      <w:r w:rsidRPr="00DB136B">
        <w:rPr>
          <w:noProof/>
        </w:rPr>
        <w:fldChar w:fldCharType="end"/>
      </w:r>
      <w:r w:rsidRPr="00DB136B">
        <w:t xml:space="preserve">.  In so far as the applicants complain that they could not get married in Spain the Court notes that the present application is directed solely against Poland. This complaint is therefore incompatible </w:t>
      </w:r>
      <w:r w:rsidRPr="00DB136B">
        <w:rPr>
          <w:i/>
          <w:iCs/>
        </w:rPr>
        <w:t>ratione</w:t>
      </w:r>
      <w:r w:rsidRPr="00DB136B">
        <w:rPr>
          <w:i/>
          <w:iCs/>
        </w:rPr>
        <w:t xml:space="preserve"> loci</w:t>
      </w:r>
      <w:r w:rsidRPr="00DB136B">
        <w:t>.</w:t>
      </w:r>
    </w:p>
    <w:p w:rsidRPr="00DB136B" w:rsidR="00236883" w:rsidP="00DB136B" w14:paraId="4F1594F8" w14:textId="7106FDEE">
      <w:pPr>
        <w:pStyle w:val="JuPara"/>
      </w:pPr>
      <w:r w:rsidRPr="00DB136B">
        <w:fldChar w:fldCharType="begin"/>
      </w:r>
      <w:r w:rsidRPr="00DB136B">
        <w:instrText xml:space="preserve"> SEQ level0 \*arabic \* MERGEFORMAT </w:instrText>
      </w:r>
      <w:r w:rsidRPr="00DB136B">
        <w:fldChar w:fldCharType="separate"/>
      </w:r>
      <w:r w:rsidRPr="00DB136B">
        <w:rPr>
          <w:noProof/>
        </w:rPr>
        <w:t>28</w:t>
      </w:r>
      <w:r w:rsidRPr="00DB136B">
        <w:rPr>
          <w:noProof/>
        </w:rPr>
        <w:fldChar w:fldCharType="end"/>
      </w:r>
      <w:r w:rsidRPr="00DB136B">
        <w:t>.  Finally, having regard to its finding under Article 8, the Court considers that it is not necessary to examine separately whether, in this case, the fact that they were unable to secure legal recognition of their relationships amounted to discrimination on grounds of sexual orientation in breach of Article 14 in conjunction with Article 8 (see</w:t>
      </w:r>
      <w:r w:rsidRPr="00DB136B">
        <w:rPr>
          <w:i/>
          <w:iCs/>
        </w:rPr>
        <w:t> </w:t>
      </w:r>
      <w:r w:rsidRPr="00DB136B">
        <w:rPr>
          <w:i/>
          <w:iCs/>
        </w:rPr>
        <w:t>Przybyszewska</w:t>
      </w:r>
      <w:r w:rsidRPr="00DB136B">
        <w:rPr>
          <w:i/>
          <w:iCs/>
        </w:rPr>
        <w:t xml:space="preserve"> and Others</w:t>
      </w:r>
      <w:r w:rsidRPr="00DB136B">
        <w:t>, cited above, § 126).</w:t>
      </w:r>
    </w:p>
    <w:p w:rsidRPr="00DB136B" w:rsidR="00236883" w:rsidP="00DB136B" w14:paraId="0A00CC5B" w14:textId="77777777">
      <w:pPr>
        <w:pStyle w:val="JuHHead"/>
      </w:pPr>
      <w:r w:rsidRPr="00DB136B">
        <w:t>APPLICATION OF ARTICLE 41 OF THE CONVENTION</w:t>
      </w:r>
    </w:p>
    <w:p w:rsidRPr="00DB136B" w:rsidR="00236883" w:rsidP="00DB136B" w14:paraId="5BAC85DD" w14:textId="082230B1">
      <w:pPr>
        <w:pStyle w:val="JuPara"/>
      </w:pPr>
      <w:r w:rsidRPr="00DB136B">
        <w:fldChar w:fldCharType="begin"/>
      </w:r>
      <w:r w:rsidRPr="00DB136B">
        <w:instrText xml:space="preserve"> SEQ level0 \*arabic \* MERGEFORMAT </w:instrText>
      </w:r>
      <w:r w:rsidRPr="00DB136B">
        <w:fldChar w:fldCharType="separate"/>
      </w:r>
      <w:r w:rsidRPr="00DB136B">
        <w:rPr>
          <w:noProof/>
        </w:rPr>
        <w:t>29</w:t>
      </w:r>
      <w:r w:rsidRPr="00DB136B">
        <w:rPr>
          <w:noProof/>
        </w:rPr>
        <w:fldChar w:fldCharType="end"/>
      </w:r>
      <w:r w:rsidRPr="00DB136B">
        <w:t xml:space="preserve">.  The applicant in the first case sought not less than 3,000 euros (EUR) for non-pecuniary damage. The applicants in the second application claimed, also in respect of non-pecuniary damage, EUR 5,000 each. No claim for costs </w:t>
      </w:r>
      <w:r w:rsidRPr="00DB136B">
        <w:t>and expenses was made by the applicants. The Government contested the claims.</w:t>
      </w:r>
    </w:p>
    <w:p w:rsidRPr="00DB136B" w:rsidR="00236883" w:rsidP="00DB136B" w14:paraId="04986214" w14:textId="1750E00C">
      <w:pPr>
        <w:pStyle w:val="JuPara"/>
      </w:pPr>
      <w:r w:rsidRPr="00DB136B">
        <w:fldChar w:fldCharType="begin"/>
      </w:r>
      <w:r w:rsidRPr="00DB136B">
        <w:instrText xml:space="preserve"> SEQ level0 \*arabic \* MERGEFORMAT </w:instrText>
      </w:r>
      <w:r w:rsidRPr="00DB136B">
        <w:fldChar w:fldCharType="separate"/>
      </w:r>
      <w:r w:rsidRPr="00DB136B">
        <w:rPr>
          <w:noProof/>
        </w:rPr>
        <w:t>30</w:t>
      </w:r>
      <w:r w:rsidRPr="00DB136B">
        <w:rPr>
          <w:noProof/>
        </w:rPr>
        <w:fldChar w:fldCharType="end"/>
      </w:r>
      <w:r w:rsidRPr="00DB136B">
        <w:t xml:space="preserve">.  Having regard to the circumstances of the case, the Court considers that the finding of a violation constitutes </w:t>
      </w:r>
      <w:r w:rsidRPr="00DB136B">
        <w:t>in itself sufficient</w:t>
      </w:r>
      <w:r w:rsidRPr="00DB136B">
        <w:t xml:space="preserve"> just satisfaction for any non-pecuniary damage that may have been sustained by the applicants (see </w:t>
      </w:r>
      <w:r w:rsidRPr="00DB136B">
        <w:rPr>
          <w:i/>
          <w:iCs/>
        </w:rPr>
        <w:t>Fedotova and Others</w:t>
      </w:r>
      <w:r w:rsidRPr="00DB136B">
        <w:t>, cited above, § 235).</w:t>
      </w:r>
    </w:p>
    <w:p w:rsidRPr="00DB136B" w:rsidR="00236883" w:rsidP="00DB136B" w14:paraId="64F7573B" w14:textId="40F6473E">
      <w:pPr>
        <w:pStyle w:val="JuHHead"/>
      </w:pPr>
      <w:r w:rsidRPr="00DB136B">
        <w:t>FOR THESE REASONS, THE COURT, UNANIMOUSLY,</w:t>
      </w:r>
    </w:p>
    <w:p w:rsidRPr="00DB136B" w:rsidR="00236883" w:rsidP="00DB136B" w14:paraId="7FDA5496" w14:textId="77777777">
      <w:pPr>
        <w:pStyle w:val="JuList"/>
      </w:pPr>
      <w:r w:rsidRPr="00DB136B">
        <w:rPr>
          <w:i/>
          <w:iCs/>
        </w:rPr>
        <w:t>Decides</w:t>
      </w:r>
      <w:r w:rsidRPr="00DB136B">
        <w:rPr>
          <w:i/>
        </w:rPr>
        <w:t xml:space="preserve"> </w:t>
      </w:r>
      <w:r w:rsidRPr="00DB136B">
        <w:t xml:space="preserve">to join the </w:t>
      </w:r>
      <w:r w:rsidRPr="00DB136B">
        <w:t>applications;</w:t>
      </w:r>
    </w:p>
    <w:p w:rsidRPr="00DB136B" w:rsidR="00236883" w:rsidP="00DB136B" w14:paraId="75EBFCBE" w14:textId="77777777">
      <w:pPr>
        <w:pStyle w:val="JuList"/>
      </w:pPr>
      <w:r w:rsidRPr="00DB136B">
        <w:rPr>
          <w:i/>
        </w:rPr>
        <w:t xml:space="preserve">Decides </w:t>
      </w:r>
      <w:r w:rsidRPr="00DB136B">
        <w:t xml:space="preserve">to join to the merits the preliminary objection on lack of significant disadvantage and </w:t>
      </w:r>
      <w:r w:rsidRPr="00DB136B">
        <w:rPr>
          <w:i/>
          <w:iCs/>
        </w:rPr>
        <w:t>dismisses</w:t>
      </w:r>
      <w:r w:rsidRPr="00DB136B">
        <w:t xml:space="preserve"> </w:t>
      </w:r>
      <w:r w:rsidRPr="00DB136B">
        <w:t>it;</w:t>
      </w:r>
    </w:p>
    <w:p w:rsidRPr="00DB136B" w:rsidR="00236883" w:rsidP="00DB136B" w14:paraId="794C07C5" w14:textId="0420B628">
      <w:pPr>
        <w:pStyle w:val="JuList"/>
      </w:pPr>
      <w:r w:rsidRPr="00DB136B">
        <w:rPr>
          <w:i/>
        </w:rPr>
        <w:t>Declares</w:t>
      </w:r>
      <w:r w:rsidRPr="00DB136B">
        <w:t xml:space="preserve"> the complaint concerning lack of legal framework providing for the recognition and protection of the applicants</w:t>
      </w:r>
      <w:r w:rsidRPr="00DB136B" w:rsidR="00DB136B">
        <w:t>’</w:t>
      </w:r>
      <w:r w:rsidRPr="00DB136B">
        <w:t xml:space="preserve"> same-sex unions in Poland admissible, and the complaint about the impossibility to marry in Spain </w:t>
      </w:r>
      <w:r w:rsidRPr="00DB136B">
        <w:t>inadmissible;</w:t>
      </w:r>
    </w:p>
    <w:p w:rsidRPr="00DB136B" w:rsidR="00236883" w:rsidP="00DB136B" w14:paraId="74D30F6B" w14:textId="64F4B289">
      <w:pPr>
        <w:pStyle w:val="JuList"/>
      </w:pPr>
      <w:r w:rsidRPr="00DB136B">
        <w:rPr>
          <w:i/>
        </w:rPr>
        <w:t>Holds</w:t>
      </w:r>
      <w:r w:rsidRPr="00DB136B">
        <w:t xml:space="preserve"> that there has been a violation of Article 8 of the Convention on account of lack of legal framework providing for the recognition and protection of the applicants</w:t>
      </w:r>
      <w:r w:rsidRPr="00DB136B" w:rsidR="00DB136B">
        <w:t>’</w:t>
      </w:r>
      <w:r w:rsidRPr="00DB136B">
        <w:t xml:space="preserve"> </w:t>
      </w:r>
      <w:r w:rsidRPr="00DB136B">
        <w:t>same-sex</w:t>
      </w:r>
      <w:r w:rsidRPr="00DB136B">
        <w:t xml:space="preserve"> unions;</w:t>
      </w:r>
    </w:p>
    <w:p w:rsidRPr="00DB136B" w:rsidR="00236883" w:rsidP="00DB136B" w14:paraId="600369A4" w14:textId="77777777">
      <w:pPr>
        <w:pStyle w:val="JuList"/>
      </w:pPr>
      <w:r w:rsidRPr="00DB136B">
        <w:rPr>
          <w:i/>
        </w:rPr>
        <w:t xml:space="preserve">Holds </w:t>
      </w:r>
      <w:r w:rsidRPr="00DB136B">
        <w:t xml:space="preserve">that there is no need to examine the remaining complaints under Articles 8 and 12 of the Convention as well under as Article 14 of the Convention taken in conjunction with Article </w:t>
      </w:r>
      <w:r w:rsidRPr="00DB136B">
        <w:t>8;</w:t>
      </w:r>
    </w:p>
    <w:p w:rsidRPr="00DB136B" w:rsidR="00236883" w:rsidP="00DB136B" w14:paraId="7DF89676" w14:textId="77777777">
      <w:pPr>
        <w:pStyle w:val="JuList"/>
      </w:pPr>
      <w:r w:rsidRPr="00DB136B">
        <w:rPr>
          <w:i/>
        </w:rPr>
        <w:t>Holds</w:t>
      </w:r>
      <w:r w:rsidRPr="00DB136B">
        <w:t xml:space="preserve"> that the finding of a violation constitutes in itself sufficient just satisfaction for any non-pecuniary damage sustained by the </w:t>
      </w:r>
      <w:r w:rsidRPr="00DB136B">
        <w:t>applicants;</w:t>
      </w:r>
    </w:p>
    <w:p w:rsidRPr="00DB136B" w:rsidR="004D0EC7" w:rsidP="00DB136B" w14:paraId="44B11D8F" w14:textId="26AC94E5">
      <w:pPr>
        <w:pStyle w:val="JuList"/>
      </w:pPr>
      <w:r w:rsidRPr="00DB136B">
        <w:rPr>
          <w:i/>
        </w:rPr>
        <w:t xml:space="preserve">Dismisses </w:t>
      </w:r>
      <w:r w:rsidRPr="00DB136B">
        <w:t>the applicants</w:t>
      </w:r>
      <w:r w:rsidRPr="00DB136B" w:rsidR="00DB136B">
        <w:t>’</w:t>
      </w:r>
      <w:r w:rsidRPr="00DB136B">
        <w:t xml:space="preserve"> claims for just satisfaction.</w:t>
      </w:r>
    </w:p>
    <w:p w:rsidRPr="00DB136B" w:rsidR="008E3A08" w:rsidP="00DB136B" w14:paraId="59C7D7FB" w14:textId="4F2AD69B">
      <w:pPr>
        <w:pStyle w:val="JuParaLast"/>
      </w:pPr>
      <w:r w:rsidRPr="00DB136B">
        <w:t xml:space="preserve">Done in English, and notified in writing on </w:t>
      </w:r>
      <w:r w:rsidRPr="00DB136B" w:rsidR="00236883">
        <w:rPr>
          <w:rFonts w:ascii="Times New Roman" w:hAnsi="Times New Roman" w:cs="Times New Roman"/>
        </w:rPr>
        <w:t>27 February 2025</w:t>
      </w:r>
      <w:r w:rsidRPr="00DB136B">
        <w:t>, pursuant to Rule 77 §§ 2 and 3 of the Rules of Court.</w:t>
      </w:r>
    </w:p>
    <w:p w:rsidRPr="00DB136B" w:rsidR="007E79A4" w:rsidP="00DB136B" w14:paraId="6BFA52FA" w14:textId="567A94BA">
      <w:pPr>
        <w:pStyle w:val="JuSigned"/>
        <w:rPr>
          <w:lang w:val="nb-NO"/>
        </w:rPr>
      </w:pPr>
      <w:r w:rsidRPr="00DB136B">
        <w:tab/>
      </w:r>
      <w:r w:rsidRPr="00DB136B" w:rsidR="00236883">
        <w:rPr>
          <w:noProof/>
          <w:lang w:val="nb-NO"/>
        </w:rPr>
        <w:t>Liv Tigerstedt</w:t>
      </w:r>
      <w:r w:rsidRPr="00DB136B">
        <w:rPr>
          <w:lang w:val="nb-NO"/>
        </w:rPr>
        <w:tab/>
      </w:r>
      <w:r w:rsidRPr="00DB136B" w:rsidR="00236883">
        <w:rPr>
          <w:noProof/>
          <w:lang w:val="nb-NO"/>
        </w:rPr>
        <w:t>Erik Wennerström</w:t>
      </w:r>
      <w:r w:rsidRPr="00DB136B">
        <w:rPr>
          <w:lang w:val="nb-NO"/>
        </w:rPr>
        <w:br/>
      </w:r>
      <w:r w:rsidRPr="00DB136B">
        <w:rPr>
          <w:lang w:val="nb-NO"/>
        </w:rPr>
        <w:tab/>
      </w:r>
      <w:r w:rsidRPr="00DB136B" w:rsidR="00236883">
        <w:rPr>
          <w:noProof/>
          <w:lang w:val="nb-NO"/>
        </w:rPr>
        <w:t>Deputy Registrar</w:t>
      </w:r>
      <w:r w:rsidRPr="00DB136B">
        <w:rPr>
          <w:lang w:val="nb-NO"/>
        </w:rPr>
        <w:tab/>
        <w:t>President</w:t>
      </w:r>
    </w:p>
    <w:p w:rsidRPr="00DB136B" w:rsidR="00675AF2" w:rsidP="00DB136B" w14:paraId="7D4E3302" w14:textId="77777777">
      <w:pPr>
        <w:pStyle w:val="JuPara"/>
        <w:rPr>
          <w:lang w:val="nb-NO"/>
        </w:rPr>
      </w:pPr>
    </w:p>
    <w:p w:rsidRPr="00DB136B" w:rsidR="000817F2" w:rsidP="00DB136B" w14:paraId="5719E9B2" w14:textId="77777777">
      <w:pPr>
        <w:pStyle w:val="DecHTitle"/>
        <w:rPr>
          <w:noProof/>
          <w:lang w:val="nb-NO"/>
        </w:rPr>
      </w:pPr>
    </w:p>
    <w:p w:rsidRPr="00DB136B" w:rsidR="00DF295A" w:rsidP="00DB136B" w14:paraId="3F5E54C8" w14:textId="4E7E1C8B">
      <w:pPr>
        <w:pStyle w:val="DecHTitle"/>
        <w:rPr>
          <w:noProof/>
          <w:lang w:val="nb-NO"/>
        </w:rPr>
      </w:pPr>
      <w:r w:rsidRPr="00DB136B">
        <w:rPr>
          <w:noProof/>
          <w:lang w:val="nb-NO"/>
        </w:rPr>
        <w:t>APPENDIX</w:t>
      </w:r>
    </w:p>
    <w:p w:rsidRPr="00DB136B" w:rsidR="00DF295A" w:rsidP="00DB136B" w14:paraId="20E75693" w14:textId="77777777">
      <w:pPr>
        <w:pStyle w:val="JuPara"/>
      </w:pPr>
      <w:r w:rsidRPr="00DB136B">
        <w:t>List of cases:</w:t>
      </w:r>
    </w:p>
    <w:tbl>
      <w:tblPr>
        <w:tblStyle w:val="ECHRListTable"/>
        <w:tblpPr w:leftFromText="141" w:rightFromText="141" w:vertAnchor="text" w:horzAnchor="page" w:tblpX="1333" w:tblpY="574"/>
        <w:tblW w:w="9351" w:type="dxa"/>
        <w:tblLook w:val="0420"/>
      </w:tblPr>
      <w:tblGrid>
        <w:gridCol w:w="570"/>
        <w:gridCol w:w="1417"/>
        <w:gridCol w:w="1694"/>
        <w:gridCol w:w="1417"/>
        <w:gridCol w:w="2268"/>
        <w:gridCol w:w="1985"/>
      </w:tblGrid>
      <w:tr w:rsidTr="00693CBD" w14:paraId="522B23BF" w14:textId="77777777">
        <w:tblPrEx>
          <w:tblW w:w="9351" w:type="dxa"/>
          <w:tblLook w:val="0420"/>
        </w:tblPrEx>
        <w:tc>
          <w:tcPr>
            <w:tcW w:w="0" w:type="auto"/>
            <w:hideMark/>
          </w:tcPr>
          <w:p w:rsidRPr="00DB136B" w:rsidR="00DF295A" w:rsidP="00DB136B" w14:paraId="65F0F7AD" w14:textId="77777777">
            <w:pPr>
              <w:rPr>
                <w:rFonts w:eastAsia="Times New Roman"/>
              </w:rPr>
            </w:pPr>
            <w:r w:rsidRPr="00DB136B">
              <w:rPr>
                <w:rFonts w:eastAsia="Times New Roman"/>
              </w:rPr>
              <w:t>No.</w:t>
            </w:r>
          </w:p>
        </w:tc>
        <w:tc>
          <w:tcPr>
            <w:tcW w:w="1417" w:type="dxa"/>
            <w:hideMark/>
          </w:tcPr>
          <w:p w:rsidRPr="00DB136B" w:rsidR="00DF295A" w:rsidP="00DB136B" w14:paraId="685AA37A" w14:textId="77777777">
            <w:pPr>
              <w:rPr>
                <w:rFonts w:eastAsia="Times New Roman"/>
              </w:rPr>
            </w:pPr>
            <w:r w:rsidRPr="00DB136B">
              <w:rPr>
                <w:rFonts w:eastAsia="Times New Roman"/>
              </w:rPr>
              <w:t>Application no.</w:t>
            </w:r>
          </w:p>
        </w:tc>
        <w:tc>
          <w:tcPr>
            <w:tcW w:w="1694" w:type="dxa"/>
            <w:hideMark/>
          </w:tcPr>
          <w:p w:rsidRPr="00DB136B" w:rsidR="00DF295A" w:rsidP="00DB136B" w14:paraId="783E7448" w14:textId="77777777">
            <w:pPr>
              <w:rPr>
                <w:rFonts w:eastAsia="Times New Roman"/>
              </w:rPr>
            </w:pPr>
            <w:r w:rsidRPr="00DB136B">
              <w:rPr>
                <w:rFonts w:eastAsia="Times New Roman"/>
              </w:rPr>
              <w:t>Case name</w:t>
            </w:r>
          </w:p>
        </w:tc>
        <w:tc>
          <w:tcPr>
            <w:tcW w:w="1417" w:type="dxa"/>
            <w:hideMark/>
          </w:tcPr>
          <w:p w:rsidRPr="00DB136B" w:rsidR="00DF295A" w:rsidP="00DB136B" w14:paraId="0EFFDCC1" w14:textId="77777777">
            <w:pPr>
              <w:rPr>
                <w:rFonts w:eastAsia="Times New Roman"/>
              </w:rPr>
            </w:pPr>
            <w:r w:rsidRPr="00DB136B">
              <w:rPr>
                <w:rFonts w:eastAsia="Times New Roman"/>
              </w:rPr>
              <w:t>Lodged on</w:t>
            </w:r>
          </w:p>
        </w:tc>
        <w:tc>
          <w:tcPr>
            <w:tcW w:w="2268" w:type="dxa"/>
            <w:hideMark/>
          </w:tcPr>
          <w:p w:rsidRPr="00DB136B" w:rsidR="00DF295A" w:rsidP="00DB136B" w14:paraId="08C48F7D" w14:textId="77777777">
            <w:pPr>
              <w:rPr>
                <w:rFonts w:eastAsia="Times New Roman"/>
              </w:rPr>
            </w:pPr>
            <w:r w:rsidRPr="00DB136B">
              <w:rPr>
                <w:rFonts w:eastAsia="Times New Roman"/>
              </w:rPr>
              <w:t>Applicant</w:t>
            </w:r>
            <w:r w:rsidRPr="00DB136B">
              <w:rPr>
                <w:rFonts w:eastAsia="Times New Roman"/>
              </w:rPr>
              <w:br/>
              <w:t>Year of Birth</w:t>
            </w:r>
            <w:r w:rsidRPr="00DB136B">
              <w:rPr>
                <w:rFonts w:eastAsia="Times New Roman"/>
              </w:rPr>
              <w:br/>
              <w:t>Place of Residence</w:t>
            </w:r>
            <w:r w:rsidRPr="00DB136B">
              <w:rPr>
                <w:rFonts w:eastAsia="Times New Roman"/>
              </w:rPr>
              <w:br/>
              <w:t>Nationality</w:t>
            </w:r>
          </w:p>
        </w:tc>
        <w:tc>
          <w:tcPr>
            <w:tcW w:w="1985" w:type="dxa"/>
            <w:hideMark/>
          </w:tcPr>
          <w:p w:rsidRPr="00DB136B" w:rsidR="00DF295A" w:rsidP="00DB136B" w14:paraId="77C16ACD" w14:textId="77777777">
            <w:pPr>
              <w:rPr>
                <w:rFonts w:eastAsia="Times New Roman"/>
              </w:rPr>
            </w:pPr>
            <w:r w:rsidRPr="00DB136B">
              <w:rPr>
                <w:rFonts w:eastAsia="Times New Roman"/>
              </w:rPr>
              <w:t>Represented by</w:t>
            </w:r>
          </w:p>
        </w:tc>
      </w:tr>
      <w:tr w:rsidTr="00693CBD" w14:paraId="3C6F6E48" w14:textId="77777777">
        <w:tblPrEx>
          <w:tblW w:w="9351" w:type="dxa"/>
          <w:tblLook w:val="0420"/>
        </w:tblPrEx>
        <w:tc>
          <w:tcPr>
            <w:tcW w:w="0" w:type="auto"/>
            <w:hideMark/>
          </w:tcPr>
          <w:p w:rsidRPr="00DB136B" w:rsidR="00DF295A" w:rsidP="00DB136B" w14:paraId="5C07382B" w14:textId="77777777">
            <w:pPr>
              <w:rPr>
                <w:rFonts w:eastAsia="Times New Roman"/>
              </w:rPr>
            </w:pPr>
            <w:r w:rsidRPr="00DB136B">
              <w:rPr>
                <w:rFonts w:eastAsia="Times New Roman"/>
              </w:rPr>
              <w:t>1.</w:t>
            </w:r>
          </w:p>
        </w:tc>
        <w:tc>
          <w:tcPr>
            <w:tcW w:w="1417" w:type="dxa"/>
            <w:hideMark/>
          </w:tcPr>
          <w:p w:rsidRPr="00DB136B" w:rsidR="00DF295A" w:rsidP="00DB136B" w14:paraId="1C02A509" w14:textId="77777777">
            <w:pPr>
              <w:rPr>
                <w:rFonts w:eastAsia="Times New Roman"/>
              </w:rPr>
            </w:pPr>
            <w:r w:rsidRPr="00DB136B">
              <w:rPr>
                <w:rFonts w:eastAsia="Times New Roman"/>
              </w:rPr>
              <w:t>78030/14</w:t>
            </w:r>
          </w:p>
        </w:tc>
        <w:tc>
          <w:tcPr>
            <w:tcW w:w="1694" w:type="dxa"/>
            <w:hideMark/>
          </w:tcPr>
          <w:p w:rsidRPr="00DB136B" w:rsidR="00DF295A" w:rsidP="00DB136B" w14:paraId="2C8214D3" w14:textId="77777777">
            <w:pPr>
              <w:rPr>
                <w:rFonts w:eastAsia="Times New Roman"/>
              </w:rPr>
            </w:pPr>
            <w:r w:rsidRPr="00DB136B">
              <w:rPr>
                <w:rFonts w:eastAsia="Times New Roman"/>
              </w:rPr>
              <w:t>Szypuła</w:t>
            </w:r>
            <w:r w:rsidRPr="00DB136B">
              <w:rPr>
                <w:rFonts w:eastAsia="Times New Roman"/>
              </w:rPr>
              <w:t xml:space="preserve"> v. Poland</w:t>
            </w:r>
          </w:p>
        </w:tc>
        <w:tc>
          <w:tcPr>
            <w:tcW w:w="1417" w:type="dxa"/>
            <w:hideMark/>
          </w:tcPr>
          <w:p w:rsidRPr="00DB136B" w:rsidR="00DF295A" w:rsidP="00DB136B" w14:paraId="1565B23B" w14:textId="77777777">
            <w:pPr>
              <w:rPr>
                <w:rFonts w:eastAsia="Times New Roman"/>
              </w:rPr>
            </w:pPr>
            <w:r w:rsidRPr="00DB136B">
              <w:rPr>
                <w:rFonts w:eastAsia="Times New Roman"/>
              </w:rPr>
              <w:t>11/12/2014</w:t>
            </w:r>
          </w:p>
        </w:tc>
        <w:tc>
          <w:tcPr>
            <w:tcW w:w="2268" w:type="dxa"/>
            <w:hideMark/>
          </w:tcPr>
          <w:p w:rsidRPr="00DB136B" w:rsidR="00DF295A" w:rsidP="00DB136B" w14:paraId="79733129" w14:textId="77777777">
            <w:pPr>
              <w:rPr>
                <w:rFonts w:eastAsia="Times New Roman"/>
              </w:rPr>
            </w:pPr>
            <w:r w:rsidRPr="00DB136B">
              <w:rPr>
                <w:rFonts w:eastAsia="Times New Roman"/>
                <w:b/>
                <w:bCs/>
              </w:rPr>
              <w:t>Tomasz SZYPUŁA</w:t>
            </w:r>
            <w:r w:rsidRPr="00DB136B">
              <w:rPr>
                <w:rFonts w:eastAsia="Times New Roman"/>
              </w:rPr>
              <w:br/>
              <w:t>1980</w:t>
            </w:r>
            <w:r w:rsidRPr="00DB136B">
              <w:rPr>
                <w:rFonts w:eastAsia="Times New Roman"/>
              </w:rPr>
              <w:br/>
              <w:t>Warsaw</w:t>
            </w:r>
            <w:r w:rsidRPr="00DB136B">
              <w:rPr>
                <w:rFonts w:eastAsia="Times New Roman"/>
              </w:rPr>
              <w:br/>
              <w:t>Polish</w:t>
            </w:r>
          </w:p>
        </w:tc>
        <w:tc>
          <w:tcPr>
            <w:tcW w:w="1985" w:type="dxa"/>
            <w:hideMark/>
          </w:tcPr>
          <w:p w:rsidRPr="00DB136B" w:rsidR="00DF295A" w:rsidP="00DB136B" w14:paraId="5331E6C8" w14:textId="77777777">
            <w:pPr>
              <w:rPr>
                <w:rFonts w:eastAsia="Times New Roman"/>
              </w:rPr>
            </w:pPr>
            <w:r w:rsidRPr="00DB136B">
              <w:rPr>
                <w:rFonts w:eastAsia="Times New Roman"/>
              </w:rPr>
              <w:t>Marcin GÓRSKI</w:t>
            </w:r>
          </w:p>
        </w:tc>
      </w:tr>
      <w:tr w:rsidTr="00693CBD" w14:paraId="379E92C0" w14:textId="77777777">
        <w:tblPrEx>
          <w:tblW w:w="9351" w:type="dxa"/>
          <w:tblLook w:val="0420"/>
        </w:tblPrEx>
        <w:tc>
          <w:tcPr>
            <w:tcW w:w="0" w:type="auto"/>
            <w:hideMark/>
          </w:tcPr>
          <w:p w:rsidRPr="00DB136B" w:rsidR="00DF295A" w:rsidP="00DB136B" w14:paraId="19E6A204" w14:textId="77777777">
            <w:pPr>
              <w:rPr>
                <w:rFonts w:eastAsia="Times New Roman"/>
              </w:rPr>
            </w:pPr>
            <w:r w:rsidRPr="00DB136B">
              <w:rPr>
                <w:rFonts w:eastAsia="Times New Roman"/>
              </w:rPr>
              <w:t>2.</w:t>
            </w:r>
          </w:p>
        </w:tc>
        <w:tc>
          <w:tcPr>
            <w:tcW w:w="1417" w:type="dxa"/>
            <w:hideMark/>
          </w:tcPr>
          <w:p w:rsidRPr="00DB136B" w:rsidR="00DF295A" w:rsidP="00DB136B" w14:paraId="3FE22F79" w14:textId="77777777">
            <w:pPr>
              <w:rPr>
                <w:rFonts w:eastAsia="Times New Roman"/>
              </w:rPr>
            </w:pPr>
            <w:r w:rsidRPr="00DB136B">
              <w:rPr>
                <w:rFonts w:eastAsia="Times New Roman"/>
              </w:rPr>
              <w:t>23669/16</w:t>
            </w:r>
          </w:p>
        </w:tc>
        <w:tc>
          <w:tcPr>
            <w:tcW w:w="1694" w:type="dxa"/>
            <w:hideMark/>
          </w:tcPr>
          <w:p w:rsidRPr="00DB136B" w:rsidR="00DF295A" w:rsidP="00DB136B" w14:paraId="6343FB63" w14:textId="77777777">
            <w:pPr>
              <w:rPr>
                <w:rFonts w:eastAsia="Times New Roman"/>
              </w:rPr>
            </w:pPr>
            <w:r w:rsidRPr="00DB136B">
              <w:rPr>
                <w:rFonts w:eastAsia="Times New Roman"/>
              </w:rPr>
              <w:t>Urbanik</w:t>
            </w:r>
            <w:r w:rsidRPr="00DB136B">
              <w:rPr>
                <w:rFonts w:eastAsia="Times New Roman"/>
              </w:rPr>
              <w:t xml:space="preserve"> and Alonso Rodriguez v. Poland</w:t>
            </w:r>
          </w:p>
        </w:tc>
        <w:tc>
          <w:tcPr>
            <w:tcW w:w="1417" w:type="dxa"/>
            <w:hideMark/>
          </w:tcPr>
          <w:p w:rsidRPr="00DB136B" w:rsidR="00DF295A" w:rsidP="00DB136B" w14:paraId="420FFB47" w14:textId="77777777">
            <w:pPr>
              <w:rPr>
                <w:rFonts w:eastAsia="Times New Roman"/>
              </w:rPr>
            </w:pPr>
            <w:r w:rsidRPr="00DB136B">
              <w:rPr>
                <w:rFonts w:eastAsia="Times New Roman"/>
              </w:rPr>
              <w:t>22/04/2016</w:t>
            </w:r>
          </w:p>
        </w:tc>
        <w:tc>
          <w:tcPr>
            <w:tcW w:w="2268" w:type="dxa"/>
            <w:hideMark/>
          </w:tcPr>
          <w:p w:rsidRPr="00DB136B" w:rsidR="00DF295A" w:rsidP="00DB136B" w14:paraId="7A27A55C" w14:textId="77777777">
            <w:pPr>
              <w:rPr>
                <w:rFonts w:eastAsia="Times New Roman"/>
              </w:rPr>
            </w:pPr>
            <w:r w:rsidRPr="00DB136B">
              <w:rPr>
                <w:rFonts w:eastAsia="Times New Roman"/>
                <w:b/>
                <w:bCs/>
              </w:rPr>
              <w:t>Jakub URBANIK</w:t>
            </w:r>
            <w:r w:rsidRPr="00DB136B">
              <w:rPr>
                <w:rFonts w:eastAsia="Times New Roman"/>
              </w:rPr>
              <w:br/>
              <w:t>1975</w:t>
            </w:r>
            <w:r w:rsidRPr="00DB136B">
              <w:rPr>
                <w:rFonts w:eastAsia="Times New Roman"/>
              </w:rPr>
              <w:br/>
              <w:t>Warsaw</w:t>
            </w:r>
            <w:r w:rsidRPr="00DB136B">
              <w:rPr>
                <w:rFonts w:eastAsia="Times New Roman"/>
              </w:rPr>
              <w:br/>
              <w:t>Polish</w:t>
            </w:r>
            <w:r w:rsidRPr="00DB136B">
              <w:rPr>
                <w:rFonts w:eastAsia="Times New Roman"/>
              </w:rPr>
              <w:br/>
            </w:r>
            <w:r w:rsidRPr="00DB136B">
              <w:rPr>
                <w:rFonts w:eastAsia="Times New Roman"/>
              </w:rPr>
              <w:br/>
            </w:r>
            <w:r w:rsidRPr="00DB136B">
              <w:rPr>
                <w:rFonts w:eastAsia="Times New Roman"/>
                <w:b/>
                <w:bCs/>
              </w:rPr>
              <w:t>José Luis ALONSO RODRIGUEZ</w:t>
            </w:r>
            <w:r w:rsidRPr="00DB136B">
              <w:rPr>
                <w:rFonts w:eastAsia="Times New Roman"/>
              </w:rPr>
              <w:br/>
              <w:t>1969</w:t>
            </w:r>
            <w:r w:rsidRPr="00DB136B">
              <w:rPr>
                <w:rFonts w:eastAsia="Times New Roman"/>
              </w:rPr>
              <w:br/>
              <w:t>San Sebastian</w:t>
            </w:r>
            <w:r w:rsidRPr="00DB136B">
              <w:rPr>
                <w:rFonts w:eastAsia="Times New Roman"/>
              </w:rPr>
              <w:br/>
              <w:t>Spanish</w:t>
            </w:r>
          </w:p>
        </w:tc>
        <w:tc>
          <w:tcPr>
            <w:tcW w:w="1985" w:type="dxa"/>
            <w:hideMark/>
          </w:tcPr>
          <w:p w:rsidRPr="00DB136B" w:rsidR="00DF295A" w:rsidP="00DB136B" w14:paraId="5DFFC111" w14:textId="77777777">
            <w:pPr>
              <w:rPr>
                <w:rFonts w:eastAsia="Times New Roman"/>
              </w:rPr>
            </w:pPr>
            <w:r w:rsidRPr="00DB136B">
              <w:rPr>
                <w:rFonts w:eastAsia="Times New Roman"/>
              </w:rPr>
              <w:t>Paweł</w:t>
            </w:r>
            <w:r w:rsidRPr="00DB136B">
              <w:rPr>
                <w:rFonts w:eastAsia="Times New Roman"/>
              </w:rPr>
              <w:t xml:space="preserve"> MARCISZ</w:t>
            </w:r>
          </w:p>
        </w:tc>
      </w:tr>
    </w:tbl>
    <w:p w:rsidRPr="00DB136B" w:rsidR="00DF295A" w:rsidP="00DB136B" w14:paraId="0DC360EA" w14:textId="77777777"/>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817F2" w14:paraId="4AA5892E"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6883" w:rsidRPr="00150BFA" w:rsidP="0020718E" w14:paraId="365A7634" w14:textId="716D496C">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236883" w:rsidP="00AF12C5" w14:paraId="0D85A7B2" w14:textId="470DA48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6883" w:rsidRPr="00150BFA" w:rsidP="0020718E" w14:paraId="5B2DF39B" w14:textId="2D003C0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236883" w:rsidP="009E7A6F" w14:paraId="5385E174" w14:textId="2F9CCA0E">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AD0C60C" w14:textId="0B8E966E">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96014F4" w14:textId="14715E9C">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817F2" w14:paraId="4D58DCB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6883" w:rsidRPr="00A45145" w:rsidP="00A45145" w14:paraId="73500D8B" w14:textId="03EC267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236883" w:rsidP="00B14793" w14:paraId="300DCED7" w14:textId="295D860B">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6883" w:rsidRPr="00A45145" w:rsidP="00A45145" w14:paraId="23088E0E" w14:textId="50D12968">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236883" w14:paraId="27542E26" w14:textId="156B4F6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4C10918A" w14:textId="1B7AD4D0">
    <w:pPr>
      <w:pStyle w:val="JuHeader"/>
    </w:pPr>
    <w:r>
      <w:t xml:space="preserve">SZYPUŁA </w:t>
    </w:r>
    <w:r w:rsidR="00DF295A">
      <w:t xml:space="preserve">AND OTHERS </w:t>
    </w:r>
    <w:r>
      <w:t>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6A96167" w14:textId="357AA267">
    <w:pPr>
      <w:pStyle w:val="JuHeader"/>
    </w:pPr>
    <w:r>
      <w:t xml:space="preserve">SZYPUŁA </w:t>
    </w:r>
    <w:r w:rsidR="00424B6A">
      <w:t xml:space="preserve">AND OTHERS </w:t>
    </w:r>
    <w:r>
      <w:t>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883"/>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65CD4"/>
    <w:rsid w:val="000712E3"/>
    <w:rsid w:val="0007780A"/>
    <w:rsid w:val="000817F2"/>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85640"/>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6883"/>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0399"/>
    <w:rsid w:val="0038333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4B6A"/>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2C99"/>
    <w:rsid w:val="0090506B"/>
    <w:rsid w:val="009050C9"/>
    <w:rsid w:val="009066FC"/>
    <w:rsid w:val="009140A3"/>
    <w:rsid w:val="009144A2"/>
    <w:rsid w:val="0091510C"/>
    <w:rsid w:val="00920379"/>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2B40"/>
    <w:rsid w:val="00AE354C"/>
    <w:rsid w:val="00AF12C5"/>
    <w:rsid w:val="00AF4B07"/>
    <w:rsid w:val="00AF6186"/>
    <w:rsid w:val="00AF7A3A"/>
    <w:rsid w:val="00B02587"/>
    <w:rsid w:val="00B049D1"/>
    <w:rsid w:val="00B14793"/>
    <w:rsid w:val="00B153A0"/>
    <w:rsid w:val="00B160DB"/>
    <w:rsid w:val="00B20836"/>
    <w:rsid w:val="00B235BB"/>
    <w:rsid w:val="00B264E9"/>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136B"/>
    <w:rsid w:val="00DB36C2"/>
    <w:rsid w:val="00DC00A8"/>
    <w:rsid w:val="00DC169B"/>
    <w:rsid w:val="00DC2AB9"/>
    <w:rsid w:val="00DC63F0"/>
    <w:rsid w:val="00DD37EA"/>
    <w:rsid w:val="00DD6EE5"/>
    <w:rsid w:val="00DE386C"/>
    <w:rsid w:val="00DE4D35"/>
    <w:rsid w:val="00DF098B"/>
    <w:rsid w:val="00DF11C4"/>
    <w:rsid w:val="00DF210C"/>
    <w:rsid w:val="00DF295A"/>
    <w:rsid w:val="00DF4B6A"/>
    <w:rsid w:val="00E004C0"/>
    <w:rsid w:val="00E02C09"/>
    <w:rsid w:val="00E04D59"/>
    <w:rsid w:val="00E07DA1"/>
    <w:rsid w:val="00E123CB"/>
    <w:rsid w:val="00E135B8"/>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2"/>
    <w:docVar w:name="AppNatAutre" w:val="0"/>
    <w:docVar w:name="DocVarPREMATURE" w:val="0"/>
    <w:docVar w:name="EMM" w:val="0"/>
    <w:docVar w:name="ETRANSMISSION" w:val="BY E-TRANSMISSION ONLY"/>
    <w:docVar w:name="L4_1Annex" w:val="0"/>
    <w:docVar w:name="L4_1Anonymity" w:val="0"/>
    <w:docVar w:name="NBEMMDOC" w:val="0"/>
    <w:docVar w:name="P3" w:val="P3"/>
    <w:docVar w:name="Plural" w:val="2"/>
    <w:docVar w:name="SecondCaseNumber" w:val="23669/16"/>
    <w:docVar w:name="SignForeName" w:val="0"/>
    <w:docVar w:name="SndCaseNumber" w:val="23669/16"/>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376C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0817F2"/>
    <w:rPr>
      <w:sz w:val="24"/>
      <w:szCs w:val="24"/>
      <w:lang w:val="en-GB"/>
    </w:rPr>
  </w:style>
  <w:style w:type="paragraph" w:styleId="Heading1">
    <w:name w:val="heading 1"/>
    <w:basedOn w:val="Normal"/>
    <w:next w:val="Normal"/>
    <w:link w:val="Heading1Char"/>
    <w:uiPriority w:val="98"/>
    <w:semiHidden/>
    <w:rsid w:val="000817F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817F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817F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817F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817F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817F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817F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817F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817F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817F2"/>
    <w:rPr>
      <w:rFonts w:ascii="Tahoma" w:hAnsi="Tahoma" w:cs="Tahoma"/>
      <w:sz w:val="16"/>
      <w:szCs w:val="16"/>
    </w:rPr>
  </w:style>
  <w:style w:type="character" w:customStyle="1" w:styleId="BalloonTextChar">
    <w:name w:val="Balloon Text Char"/>
    <w:basedOn w:val="DefaultParagraphFont"/>
    <w:link w:val="BalloonText"/>
    <w:uiPriority w:val="98"/>
    <w:semiHidden/>
    <w:rsid w:val="000817F2"/>
    <w:rPr>
      <w:rFonts w:ascii="Tahoma" w:hAnsi="Tahoma" w:cs="Tahoma"/>
      <w:sz w:val="16"/>
      <w:szCs w:val="16"/>
      <w:lang w:val="en-GB"/>
    </w:rPr>
  </w:style>
  <w:style w:type="character" w:styleId="BookTitle">
    <w:name w:val="Book Title"/>
    <w:uiPriority w:val="98"/>
    <w:semiHidden/>
    <w:qFormat/>
    <w:rsid w:val="000817F2"/>
    <w:rPr>
      <w:i/>
      <w:iCs/>
      <w:smallCaps/>
      <w:spacing w:val="5"/>
    </w:rPr>
  </w:style>
  <w:style w:type="paragraph" w:customStyle="1" w:styleId="JuHeader">
    <w:name w:val="Ju_Header"/>
    <w:aliases w:val="_Header"/>
    <w:basedOn w:val="Header0"/>
    <w:uiPriority w:val="29"/>
    <w:qFormat/>
    <w:rsid w:val="000817F2"/>
    <w:pPr>
      <w:tabs>
        <w:tab w:val="clear" w:pos="4536"/>
        <w:tab w:val="clear" w:pos="9072"/>
      </w:tabs>
      <w:jc w:val="center"/>
    </w:pPr>
    <w:rPr>
      <w:sz w:val="18"/>
    </w:rPr>
  </w:style>
  <w:style w:type="paragraph" w:customStyle="1" w:styleId="NormalJustified">
    <w:name w:val="Normal_Justified"/>
    <w:basedOn w:val="Normal"/>
    <w:semiHidden/>
    <w:rsid w:val="000817F2"/>
    <w:pPr>
      <w:jc w:val="both"/>
    </w:pPr>
  </w:style>
  <w:style w:type="character" w:styleId="Strong">
    <w:name w:val="Strong"/>
    <w:uiPriority w:val="98"/>
    <w:semiHidden/>
    <w:qFormat/>
    <w:rsid w:val="000817F2"/>
    <w:rPr>
      <w:b/>
      <w:bCs/>
    </w:rPr>
  </w:style>
  <w:style w:type="paragraph" w:styleId="NoSpacing">
    <w:name w:val="No Spacing"/>
    <w:basedOn w:val="Normal"/>
    <w:link w:val="NoSpacingChar"/>
    <w:uiPriority w:val="98"/>
    <w:semiHidden/>
    <w:qFormat/>
    <w:rsid w:val="000817F2"/>
  </w:style>
  <w:style w:type="character" w:customStyle="1" w:styleId="NoSpacingChar">
    <w:name w:val="No Spacing Char"/>
    <w:basedOn w:val="DefaultParagraphFont"/>
    <w:link w:val="NoSpacing"/>
    <w:uiPriority w:val="98"/>
    <w:semiHidden/>
    <w:rsid w:val="000817F2"/>
    <w:rPr>
      <w:sz w:val="24"/>
      <w:szCs w:val="24"/>
      <w:lang w:val="en-GB"/>
    </w:rPr>
  </w:style>
  <w:style w:type="paragraph" w:customStyle="1" w:styleId="JuQuot">
    <w:name w:val="Ju_Quot"/>
    <w:aliases w:val="_Quote"/>
    <w:basedOn w:val="NormalJustified"/>
    <w:uiPriority w:val="20"/>
    <w:qFormat/>
    <w:rsid w:val="000817F2"/>
    <w:pPr>
      <w:spacing w:before="120" w:after="120"/>
      <w:ind w:left="425" w:firstLine="142"/>
    </w:pPr>
    <w:rPr>
      <w:sz w:val="20"/>
    </w:rPr>
  </w:style>
  <w:style w:type="table" w:styleId="GridTable1Light">
    <w:name w:val="Grid Table 1 Light"/>
    <w:basedOn w:val="TableNormal"/>
    <w:uiPriority w:val="46"/>
    <w:semiHidden/>
    <w:rsid w:val="0038333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0817F2"/>
    <w:pPr>
      <w:numPr>
        <w:numId w:val="90"/>
      </w:numPr>
      <w:spacing w:before="280" w:after="60"/>
    </w:pPr>
  </w:style>
  <w:style w:type="paragraph" w:customStyle="1" w:styleId="JuLista">
    <w:name w:val="Ju_List_a"/>
    <w:aliases w:val="_List_2"/>
    <w:basedOn w:val="NormalJustified"/>
    <w:uiPriority w:val="23"/>
    <w:rsid w:val="000817F2"/>
    <w:pPr>
      <w:numPr>
        <w:ilvl w:val="1"/>
        <w:numId w:val="90"/>
      </w:numPr>
    </w:pPr>
  </w:style>
  <w:style w:type="paragraph" w:customStyle="1" w:styleId="JuListi">
    <w:name w:val="Ju_List_i"/>
    <w:aliases w:val="_List_3"/>
    <w:basedOn w:val="NormalJustified"/>
    <w:uiPriority w:val="23"/>
    <w:rsid w:val="000817F2"/>
    <w:pPr>
      <w:numPr>
        <w:ilvl w:val="2"/>
        <w:numId w:val="90"/>
      </w:numPr>
    </w:pPr>
  </w:style>
  <w:style w:type="paragraph" w:customStyle="1" w:styleId="JuHArticle">
    <w:name w:val="Ju_H_Article"/>
    <w:aliases w:val="_Title_Quote"/>
    <w:basedOn w:val="Normal"/>
    <w:next w:val="JuQuot"/>
    <w:uiPriority w:val="19"/>
    <w:qFormat/>
    <w:rsid w:val="000817F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817F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817F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817F2"/>
    <w:pPr>
      <w:keepNext/>
      <w:keepLines/>
      <w:numPr>
        <w:numId w:val="87"/>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0817F2"/>
    <w:pPr>
      <w:numPr>
        <w:numId w:val="4"/>
      </w:numPr>
    </w:pPr>
  </w:style>
  <w:style w:type="paragraph" w:customStyle="1" w:styleId="JuSigned">
    <w:name w:val="Ju_Signed"/>
    <w:aliases w:val="_Signature"/>
    <w:basedOn w:val="Normal"/>
    <w:next w:val="JuPara"/>
    <w:uiPriority w:val="31"/>
    <w:qFormat/>
    <w:rsid w:val="000817F2"/>
    <w:pPr>
      <w:tabs>
        <w:tab w:val="center" w:pos="1418"/>
        <w:tab w:val="center" w:pos="5954"/>
      </w:tabs>
      <w:spacing w:before="720"/>
    </w:pPr>
  </w:style>
  <w:style w:type="paragraph" w:styleId="Title">
    <w:name w:val="Title"/>
    <w:basedOn w:val="Normal"/>
    <w:next w:val="Normal"/>
    <w:link w:val="TitleChar"/>
    <w:uiPriority w:val="98"/>
    <w:semiHidden/>
    <w:qFormat/>
    <w:rsid w:val="000817F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817F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817F2"/>
    <w:pPr>
      <w:numPr>
        <w:numId w:val="5"/>
      </w:numPr>
    </w:pPr>
  </w:style>
  <w:style w:type="numbering" w:customStyle="1" w:styleId="ECHRA1StyleNumberedList">
    <w:name w:val="ECHR_A1_Style_Numbered_List"/>
    <w:basedOn w:val="NoList"/>
    <w:rsid w:val="000817F2"/>
    <w:pPr>
      <w:numPr>
        <w:numId w:val="6"/>
      </w:numPr>
    </w:pPr>
  </w:style>
  <w:style w:type="table" w:customStyle="1" w:styleId="ECHRTable2019">
    <w:name w:val="ECHR_Table_2019"/>
    <w:basedOn w:val="TableNormal"/>
    <w:uiPriority w:val="99"/>
    <w:rsid w:val="000817F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0817F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817F2"/>
    <w:pPr>
      <w:keepNext/>
      <w:keepLines/>
      <w:numPr>
        <w:ilvl w:val="1"/>
        <w:numId w:val="8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817F2"/>
    <w:pPr>
      <w:keepNext/>
      <w:keepLines/>
      <w:numPr>
        <w:ilvl w:val="2"/>
        <w:numId w:val="8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817F2"/>
    <w:pPr>
      <w:keepNext/>
      <w:keepLines/>
      <w:numPr>
        <w:ilvl w:val="3"/>
        <w:numId w:val="87"/>
      </w:numPr>
      <w:spacing w:before="100" w:beforeAutospacing="1" w:after="120"/>
      <w:jc w:val="both"/>
    </w:pPr>
    <w:rPr>
      <w:b w:val="0"/>
      <w:color w:val="auto"/>
      <w:sz w:val="24"/>
    </w:rPr>
  </w:style>
  <w:style w:type="paragraph" w:styleId="Header0">
    <w:name w:val="header"/>
    <w:basedOn w:val="Normal"/>
    <w:link w:val="HeaderChar"/>
    <w:uiPriority w:val="98"/>
    <w:semiHidden/>
    <w:rsid w:val="000817F2"/>
    <w:pPr>
      <w:tabs>
        <w:tab w:val="center" w:pos="4536"/>
        <w:tab w:val="right" w:pos="9072"/>
      </w:tabs>
    </w:pPr>
  </w:style>
  <w:style w:type="character" w:customStyle="1" w:styleId="HeaderChar">
    <w:name w:val="Header Char"/>
    <w:basedOn w:val="DefaultParagraphFont"/>
    <w:link w:val="Header0"/>
    <w:uiPriority w:val="98"/>
    <w:semiHidden/>
    <w:rsid w:val="000817F2"/>
    <w:rPr>
      <w:sz w:val="24"/>
      <w:szCs w:val="24"/>
      <w:lang w:val="en-GB"/>
    </w:rPr>
  </w:style>
  <w:style w:type="character" w:customStyle="1" w:styleId="Heading1Char">
    <w:name w:val="Heading 1 Char"/>
    <w:basedOn w:val="DefaultParagraphFont"/>
    <w:link w:val="Heading1"/>
    <w:uiPriority w:val="98"/>
    <w:semiHidden/>
    <w:rsid w:val="000817F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817F2"/>
    <w:pPr>
      <w:keepNext/>
      <w:keepLines/>
      <w:numPr>
        <w:ilvl w:val="4"/>
        <w:numId w:val="87"/>
      </w:numPr>
      <w:spacing w:before="100" w:beforeAutospacing="1" w:after="120"/>
      <w:jc w:val="both"/>
    </w:pPr>
    <w:rPr>
      <w:color w:val="auto"/>
      <w:sz w:val="20"/>
    </w:rPr>
  </w:style>
  <w:style w:type="paragraph" w:customStyle="1" w:styleId="JuHi">
    <w:name w:val="Ju_H_i"/>
    <w:aliases w:val="_Head_6"/>
    <w:basedOn w:val="Heading6"/>
    <w:next w:val="JuPara"/>
    <w:uiPriority w:val="17"/>
    <w:rsid w:val="000817F2"/>
    <w:pPr>
      <w:keepNext/>
      <w:keepLines/>
      <w:numPr>
        <w:ilvl w:val="5"/>
        <w:numId w:val="87"/>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817F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817F2"/>
    <w:pPr>
      <w:keepNext/>
      <w:keepLines/>
      <w:numPr>
        <w:ilvl w:val="6"/>
        <w:numId w:val="87"/>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817F2"/>
    <w:pPr>
      <w:keepNext/>
      <w:keepLines/>
      <w:numPr>
        <w:ilvl w:val="7"/>
        <w:numId w:val="87"/>
      </w:numPr>
      <w:spacing w:before="100" w:beforeAutospacing="1" w:after="120"/>
      <w:jc w:val="both"/>
    </w:pPr>
    <w:rPr>
      <w:i/>
    </w:rPr>
  </w:style>
  <w:style w:type="character" w:customStyle="1" w:styleId="Heading3Char">
    <w:name w:val="Heading 3 Char"/>
    <w:basedOn w:val="DefaultParagraphFont"/>
    <w:link w:val="Heading3"/>
    <w:uiPriority w:val="98"/>
    <w:semiHidden/>
    <w:rsid w:val="000817F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817F2"/>
    <w:pPr>
      <w:keepNext/>
      <w:keepLines/>
      <w:spacing w:before="240" w:after="240"/>
      <w:ind w:firstLine="284"/>
    </w:pPr>
  </w:style>
  <w:style w:type="paragraph" w:customStyle="1" w:styleId="JuJudges">
    <w:name w:val="Ju_Judges"/>
    <w:aliases w:val="_Judges"/>
    <w:basedOn w:val="Normal"/>
    <w:uiPriority w:val="32"/>
    <w:qFormat/>
    <w:rsid w:val="000817F2"/>
    <w:pPr>
      <w:tabs>
        <w:tab w:val="left" w:pos="567"/>
        <w:tab w:val="left" w:pos="1134"/>
      </w:tabs>
    </w:pPr>
  </w:style>
  <w:style w:type="character" w:customStyle="1" w:styleId="Heading4Char">
    <w:name w:val="Heading 4 Char"/>
    <w:basedOn w:val="DefaultParagraphFont"/>
    <w:link w:val="Heading4"/>
    <w:uiPriority w:val="98"/>
    <w:semiHidden/>
    <w:rsid w:val="000817F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0817F2"/>
    <w:pPr>
      <w:tabs>
        <w:tab w:val="center" w:pos="6407"/>
      </w:tabs>
      <w:spacing w:before="720"/>
      <w:jc w:val="right"/>
    </w:pPr>
  </w:style>
  <w:style w:type="character" w:customStyle="1" w:styleId="Heading5Char">
    <w:name w:val="Heading 5 Char"/>
    <w:basedOn w:val="DefaultParagraphFont"/>
    <w:link w:val="Heading5"/>
    <w:uiPriority w:val="98"/>
    <w:semiHidden/>
    <w:rsid w:val="000817F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0817F2"/>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0817F2"/>
    <w:rPr>
      <w:caps w:val="0"/>
      <w:smallCaps/>
    </w:rPr>
  </w:style>
  <w:style w:type="character" w:styleId="SubtleEmphasis">
    <w:name w:val="Subtle Emphasis"/>
    <w:uiPriority w:val="98"/>
    <w:semiHidden/>
    <w:qFormat/>
    <w:rsid w:val="000817F2"/>
    <w:rPr>
      <w:i/>
      <w:iCs/>
    </w:rPr>
  </w:style>
  <w:style w:type="table" w:customStyle="1" w:styleId="ECHRTable">
    <w:name w:val="ECHR_Table"/>
    <w:basedOn w:val="TableNormal"/>
    <w:rsid w:val="000817F2"/>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817F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0817F2"/>
    <w:rPr>
      <w:b/>
      <w:bCs/>
      <w:i/>
      <w:iCs/>
      <w:spacing w:val="10"/>
      <w:bdr w:val="none" w:sz="0" w:space="0" w:color="auto"/>
      <w:shd w:val="clear" w:color="auto" w:fill="auto"/>
    </w:rPr>
  </w:style>
  <w:style w:type="paragraph" w:styleId="Footer1">
    <w:name w:val="footer"/>
    <w:basedOn w:val="Normal"/>
    <w:link w:val="FooterChar"/>
    <w:uiPriority w:val="98"/>
    <w:semiHidden/>
    <w:rsid w:val="000817F2"/>
    <w:pPr>
      <w:tabs>
        <w:tab w:val="center" w:pos="3686"/>
        <w:tab w:val="right" w:pos="7371"/>
      </w:tabs>
    </w:pPr>
  </w:style>
  <w:style w:type="character" w:customStyle="1" w:styleId="FooterChar">
    <w:name w:val="Footer Char"/>
    <w:basedOn w:val="DefaultParagraphFont"/>
    <w:link w:val="Footer1"/>
    <w:uiPriority w:val="98"/>
    <w:semiHidden/>
    <w:rsid w:val="000817F2"/>
    <w:rPr>
      <w:sz w:val="24"/>
      <w:szCs w:val="24"/>
      <w:lang w:val="en-GB"/>
    </w:rPr>
  </w:style>
  <w:style w:type="character" w:styleId="FootnoteReference">
    <w:name w:val="footnote reference"/>
    <w:basedOn w:val="DefaultParagraphFont"/>
    <w:uiPriority w:val="98"/>
    <w:semiHidden/>
    <w:rsid w:val="000817F2"/>
    <w:rPr>
      <w:vertAlign w:val="superscript"/>
    </w:rPr>
  </w:style>
  <w:style w:type="paragraph" w:styleId="FootnoteText">
    <w:name w:val="footnote text"/>
    <w:basedOn w:val="NormalJustified"/>
    <w:link w:val="FootnoteTextChar"/>
    <w:uiPriority w:val="98"/>
    <w:semiHidden/>
    <w:rsid w:val="000817F2"/>
    <w:rPr>
      <w:sz w:val="20"/>
      <w:szCs w:val="20"/>
    </w:rPr>
  </w:style>
  <w:style w:type="character" w:customStyle="1" w:styleId="FootnoteTextChar">
    <w:name w:val="Footnote Text Char"/>
    <w:basedOn w:val="DefaultParagraphFont"/>
    <w:link w:val="FootnoteText"/>
    <w:uiPriority w:val="98"/>
    <w:semiHidden/>
    <w:rsid w:val="000817F2"/>
    <w:rPr>
      <w:sz w:val="20"/>
      <w:szCs w:val="20"/>
      <w:lang w:val="en-GB"/>
    </w:rPr>
  </w:style>
  <w:style w:type="character" w:customStyle="1" w:styleId="Heading6Char">
    <w:name w:val="Heading 6 Char"/>
    <w:basedOn w:val="DefaultParagraphFont"/>
    <w:link w:val="Heading6"/>
    <w:uiPriority w:val="98"/>
    <w:semiHidden/>
    <w:rsid w:val="000817F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817F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817F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817F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817F2"/>
    <w:rPr>
      <w:color w:val="0072BC" w:themeColor="hyperlink"/>
      <w:u w:val="single"/>
    </w:rPr>
  </w:style>
  <w:style w:type="character" w:styleId="IntenseEmphasis">
    <w:name w:val="Intense Emphasis"/>
    <w:uiPriority w:val="98"/>
    <w:semiHidden/>
    <w:qFormat/>
    <w:rsid w:val="000817F2"/>
    <w:rPr>
      <w:b/>
      <w:bCs/>
    </w:rPr>
  </w:style>
  <w:style w:type="paragraph" w:styleId="IntenseQuote">
    <w:name w:val="Intense Quote"/>
    <w:basedOn w:val="Normal"/>
    <w:next w:val="Normal"/>
    <w:link w:val="IntenseQuoteChar"/>
    <w:uiPriority w:val="98"/>
    <w:semiHidden/>
    <w:qFormat/>
    <w:rsid w:val="000817F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817F2"/>
    <w:rPr>
      <w:b/>
      <w:bCs/>
      <w:i/>
      <w:iCs/>
      <w:sz w:val="24"/>
      <w:szCs w:val="24"/>
      <w:lang w:val="en-GB" w:bidi="en-US"/>
    </w:rPr>
  </w:style>
  <w:style w:type="character" w:styleId="IntenseReference">
    <w:name w:val="Intense Reference"/>
    <w:uiPriority w:val="98"/>
    <w:semiHidden/>
    <w:qFormat/>
    <w:rsid w:val="000817F2"/>
    <w:rPr>
      <w:smallCaps/>
      <w:spacing w:val="5"/>
      <w:u w:val="single"/>
    </w:rPr>
  </w:style>
  <w:style w:type="paragraph" w:styleId="ListParagraph">
    <w:name w:val="List Paragraph"/>
    <w:basedOn w:val="Normal"/>
    <w:uiPriority w:val="98"/>
    <w:semiHidden/>
    <w:qFormat/>
    <w:rsid w:val="000817F2"/>
    <w:pPr>
      <w:ind w:left="720"/>
      <w:contextualSpacing/>
    </w:pPr>
  </w:style>
  <w:style w:type="table" w:customStyle="1" w:styleId="LtrTableAddress">
    <w:name w:val="Ltr_Table_Address"/>
    <w:aliases w:val="ECHR_Ltr_Table_Address"/>
    <w:basedOn w:val="TableNormal"/>
    <w:uiPriority w:val="99"/>
    <w:rsid w:val="000817F2"/>
    <w:rPr>
      <w:sz w:val="24"/>
      <w:szCs w:val="24"/>
    </w:rPr>
    <w:tblPr>
      <w:tblInd w:w="5103" w:type="dxa"/>
    </w:tblPr>
  </w:style>
  <w:style w:type="paragraph" w:styleId="Quote0">
    <w:name w:val="Quote"/>
    <w:basedOn w:val="Normal"/>
    <w:next w:val="Normal"/>
    <w:link w:val="QuoteChar"/>
    <w:uiPriority w:val="98"/>
    <w:semiHidden/>
    <w:qFormat/>
    <w:rsid w:val="000817F2"/>
    <w:pPr>
      <w:spacing w:before="200"/>
      <w:ind w:left="360" w:right="360"/>
    </w:pPr>
    <w:rPr>
      <w:i/>
      <w:iCs/>
      <w:lang w:bidi="en-US"/>
    </w:rPr>
  </w:style>
  <w:style w:type="character" w:customStyle="1" w:styleId="QuoteChar">
    <w:name w:val="Quote Char"/>
    <w:basedOn w:val="DefaultParagraphFont"/>
    <w:link w:val="Quote0"/>
    <w:uiPriority w:val="98"/>
    <w:semiHidden/>
    <w:rsid w:val="000817F2"/>
    <w:rPr>
      <w:i/>
      <w:iCs/>
      <w:sz w:val="24"/>
      <w:szCs w:val="24"/>
      <w:lang w:val="en-GB" w:bidi="en-US"/>
    </w:rPr>
  </w:style>
  <w:style w:type="character" w:styleId="SubtleReference">
    <w:name w:val="Subtle Reference"/>
    <w:uiPriority w:val="98"/>
    <w:semiHidden/>
    <w:qFormat/>
    <w:rsid w:val="000817F2"/>
    <w:rPr>
      <w:smallCaps/>
    </w:rPr>
  </w:style>
  <w:style w:type="table" w:styleId="TableGrid">
    <w:name w:val="Table Grid"/>
    <w:basedOn w:val="TableNormal"/>
    <w:uiPriority w:val="59"/>
    <w:semiHidden/>
    <w:rsid w:val="000817F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817F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817F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817F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817F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817F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817F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0817F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817F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817F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817F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0817F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817F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817F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0817F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817F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817F2"/>
    <w:pPr>
      <w:numPr>
        <w:numId w:val="1"/>
      </w:numPr>
    </w:pPr>
  </w:style>
  <w:style w:type="paragraph" w:customStyle="1" w:styleId="JuPara">
    <w:name w:val="Ju_Para"/>
    <w:aliases w:val="_Para"/>
    <w:basedOn w:val="NormalJustified"/>
    <w:link w:val="JuParaChar"/>
    <w:uiPriority w:val="4"/>
    <w:qFormat/>
    <w:rsid w:val="000817F2"/>
    <w:pPr>
      <w:ind w:firstLine="284"/>
    </w:pPr>
  </w:style>
  <w:style w:type="numbering" w:styleId="1ai">
    <w:name w:val="Outline List 1"/>
    <w:basedOn w:val="NoList"/>
    <w:uiPriority w:val="99"/>
    <w:semiHidden/>
    <w:unhideWhenUsed/>
    <w:rsid w:val="000817F2"/>
    <w:pPr>
      <w:numPr>
        <w:numId w:val="2"/>
      </w:numPr>
    </w:pPr>
  </w:style>
  <w:style w:type="table" w:customStyle="1" w:styleId="ECHRTableSimpleBox">
    <w:name w:val="ECHR_Table_Simple_Box"/>
    <w:basedOn w:val="TableNormal"/>
    <w:uiPriority w:val="99"/>
    <w:rsid w:val="000817F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0817F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0817F2"/>
    <w:pPr>
      <w:numPr>
        <w:numId w:val="3"/>
      </w:numPr>
    </w:pPr>
  </w:style>
  <w:style w:type="table" w:customStyle="1" w:styleId="ECHRTableForInternalUse">
    <w:name w:val="ECHR_Table_For_Internal_Use"/>
    <w:basedOn w:val="TableNormal"/>
    <w:uiPriority w:val="99"/>
    <w:rsid w:val="000817F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0817F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817F2"/>
  </w:style>
  <w:style w:type="paragraph" w:styleId="BlockText">
    <w:name w:val="Block Text"/>
    <w:basedOn w:val="Normal"/>
    <w:uiPriority w:val="98"/>
    <w:semiHidden/>
    <w:rsid w:val="000817F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817F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817F2"/>
    <w:pPr>
      <w:spacing w:after="120"/>
    </w:pPr>
  </w:style>
  <w:style w:type="character" w:customStyle="1" w:styleId="BodyTextChar">
    <w:name w:val="Body Text Char"/>
    <w:basedOn w:val="DefaultParagraphFont"/>
    <w:link w:val="BodyText"/>
    <w:uiPriority w:val="98"/>
    <w:semiHidden/>
    <w:rsid w:val="000817F2"/>
    <w:rPr>
      <w:sz w:val="24"/>
      <w:szCs w:val="24"/>
      <w:lang w:val="en-GB"/>
    </w:rPr>
  </w:style>
  <w:style w:type="table" w:customStyle="1" w:styleId="ECHRTableOddBanded">
    <w:name w:val="ECHR_Table_Odd_Banded"/>
    <w:basedOn w:val="TableNormal"/>
    <w:uiPriority w:val="99"/>
    <w:rsid w:val="000817F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817F2"/>
    <w:pPr>
      <w:spacing w:after="120" w:line="480" w:lineRule="auto"/>
    </w:pPr>
  </w:style>
  <w:style w:type="table" w:customStyle="1" w:styleId="ECHRHeaderTableReduced">
    <w:name w:val="ECHR_Header_Table_Reduced"/>
    <w:basedOn w:val="TableNormal"/>
    <w:uiPriority w:val="99"/>
    <w:rsid w:val="000817F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0817F2"/>
    <w:pPr>
      <w:ind w:firstLine="284"/>
    </w:pPr>
    <w:rPr>
      <w:b/>
    </w:rPr>
  </w:style>
  <w:style w:type="character" w:styleId="PageNumber">
    <w:name w:val="page number"/>
    <w:uiPriority w:val="98"/>
    <w:semiHidden/>
    <w:rsid w:val="000817F2"/>
    <w:rPr>
      <w:sz w:val="18"/>
    </w:rPr>
  </w:style>
  <w:style w:type="paragraph" w:styleId="ListBullet">
    <w:name w:val="List Bullet"/>
    <w:basedOn w:val="Normal"/>
    <w:uiPriority w:val="98"/>
    <w:semiHidden/>
    <w:rsid w:val="000817F2"/>
    <w:pPr>
      <w:numPr>
        <w:numId w:val="59"/>
      </w:numPr>
    </w:pPr>
  </w:style>
  <w:style w:type="paragraph" w:styleId="ListBullet3">
    <w:name w:val="List Bullet 3"/>
    <w:basedOn w:val="Normal"/>
    <w:uiPriority w:val="98"/>
    <w:semiHidden/>
    <w:rsid w:val="000817F2"/>
    <w:pPr>
      <w:numPr>
        <w:numId w:val="61"/>
      </w:numPr>
      <w:contextualSpacing/>
    </w:pPr>
  </w:style>
  <w:style w:type="character" w:customStyle="1" w:styleId="BodyText2Char">
    <w:name w:val="Body Text 2 Char"/>
    <w:basedOn w:val="DefaultParagraphFont"/>
    <w:link w:val="BodyText2"/>
    <w:uiPriority w:val="98"/>
    <w:semiHidden/>
    <w:rsid w:val="000817F2"/>
    <w:rPr>
      <w:sz w:val="24"/>
      <w:szCs w:val="24"/>
      <w:lang w:val="en-GB"/>
    </w:rPr>
  </w:style>
  <w:style w:type="paragraph" w:styleId="BodyText3">
    <w:name w:val="Body Text 3"/>
    <w:basedOn w:val="Normal"/>
    <w:link w:val="BodyText3Char"/>
    <w:uiPriority w:val="98"/>
    <w:semiHidden/>
    <w:rsid w:val="000817F2"/>
    <w:pPr>
      <w:spacing w:after="120"/>
    </w:pPr>
    <w:rPr>
      <w:sz w:val="16"/>
      <w:szCs w:val="16"/>
    </w:rPr>
  </w:style>
  <w:style w:type="character" w:customStyle="1" w:styleId="BodyText3Char">
    <w:name w:val="Body Text 3 Char"/>
    <w:basedOn w:val="DefaultParagraphFont"/>
    <w:link w:val="BodyText3"/>
    <w:uiPriority w:val="98"/>
    <w:semiHidden/>
    <w:rsid w:val="000817F2"/>
    <w:rPr>
      <w:sz w:val="16"/>
      <w:szCs w:val="16"/>
      <w:lang w:val="en-GB"/>
    </w:rPr>
  </w:style>
  <w:style w:type="paragraph" w:styleId="BodyTextFirstIndent">
    <w:name w:val="Body Text First Indent"/>
    <w:basedOn w:val="BodyText"/>
    <w:link w:val="BodyTextFirstIndentChar"/>
    <w:uiPriority w:val="98"/>
    <w:semiHidden/>
    <w:rsid w:val="000817F2"/>
    <w:pPr>
      <w:spacing w:after="0"/>
      <w:ind w:firstLine="360"/>
    </w:pPr>
  </w:style>
  <w:style w:type="character" w:customStyle="1" w:styleId="BodyTextFirstIndentChar">
    <w:name w:val="Body Text First Indent Char"/>
    <w:basedOn w:val="BodyTextChar"/>
    <w:link w:val="BodyTextFirstIndent"/>
    <w:uiPriority w:val="98"/>
    <w:semiHidden/>
    <w:rsid w:val="000817F2"/>
    <w:rPr>
      <w:sz w:val="24"/>
      <w:szCs w:val="24"/>
      <w:lang w:val="en-GB"/>
    </w:rPr>
  </w:style>
  <w:style w:type="paragraph" w:styleId="BodyTextIndent">
    <w:name w:val="Body Text Indent"/>
    <w:basedOn w:val="Normal"/>
    <w:link w:val="BodyTextIndentChar"/>
    <w:uiPriority w:val="98"/>
    <w:semiHidden/>
    <w:rsid w:val="000817F2"/>
    <w:pPr>
      <w:spacing w:after="120"/>
      <w:ind w:left="283"/>
    </w:pPr>
  </w:style>
  <w:style w:type="character" w:customStyle="1" w:styleId="BodyTextIndentChar">
    <w:name w:val="Body Text Indent Char"/>
    <w:basedOn w:val="DefaultParagraphFont"/>
    <w:link w:val="BodyTextIndent"/>
    <w:uiPriority w:val="98"/>
    <w:semiHidden/>
    <w:rsid w:val="000817F2"/>
    <w:rPr>
      <w:sz w:val="24"/>
      <w:szCs w:val="24"/>
      <w:lang w:val="en-GB"/>
    </w:rPr>
  </w:style>
  <w:style w:type="paragraph" w:styleId="BodyTextFirstIndent2">
    <w:name w:val="Body Text First Indent 2"/>
    <w:basedOn w:val="BodyTextIndent"/>
    <w:link w:val="BodyTextFirstIndent2Char"/>
    <w:uiPriority w:val="98"/>
    <w:semiHidden/>
    <w:rsid w:val="000817F2"/>
    <w:pPr>
      <w:spacing w:after="0"/>
      <w:ind w:left="360" w:firstLine="360"/>
    </w:pPr>
  </w:style>
  <w:style w:type="character" w:customStyle="1" w:styleId="BodyTextFirstIndent2Char">
    <w:name w:val="Body Text First Indent 2 Char"/>
    <w:basedOn w:val="BodyTextIndentChar"/>
    <w:link w:val="BodyTextFirstIndent2"/>
    <w:uiPriority w:val="98"/>
    <w:semiHidden/>
    <w:rsid w:val="000817F2"/>
    <w:rPr>
      <w:sz w:val="24"/>
      <w:szCs w:val="24"/>
      <w:lang w:val="en-GB"/>
    </w:rPr>
  </w:style>
  <w:style w:type="paragraph" w:styleId="BodyTextIndent2">
    <w:name w:val="Body Text Indent 2"/>
    <w:basedOn w:val="Normal"/>
    <w:link w:val="BodyTextIndent2Char"/>
    <w:uiPriority w:val="98"/>
    <w:semiHidden/>
    <w:rsid w:val="000817F2"/>
    <w:pPr>
      <w:spacing w:after="120" w:line="480" w:lineRule="auto"/>
      <w:ind w:left="283"/>
    </w:pPr>
  </w:style>
  <w:style w:type="character" w:customStyle="1" w:styleId="BodyTextIndent2Char">
    <w:name w:val="Body Text Indent 2 Char"/>
    <w:basedOn w:val="DefaultParagraphFont"/>
    <w:link w:val="BodyTextIndent2"/>
    <w:uiPriority w:val="98"/>
    <w:semiHidden/>
    <w:rsid w:val="000817F2"/>
    <w:rPr>
      <w:sz w:val="24"/>
      <w:szCs w:val="24"/>
      <w:lang w:val="en-GB"/>
    </w:rPr>
  </w:style>
  <w:style w:type="paragraph" w:styleId="BodyTextIndent3">
    <w:name w:val="Body Text Indent 3"/>
    <w:basedOn w:val="Normal"/>
    <w:link w:val="BodyTextIndent3Char"/>
    <w:uiPriority w:val="98"/>
    <w:semiHidden/>
    <w:rsid w:val="000817F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817F2"/>
    <w:rPr>
      <w:sz w:val="16"/>
      <w:szCs w:val="16"/>
      <w:lang w:val="en-GB"/>
    </w:rPr>
  </w:style>
  <w:style w:type="paragraph" w:styleId="Caption">
    <w:name w:val="caption"/>
    <w:basedOn w:val="Normal"/>
    <w:next w:val="Normal"/>
    <w:uiPriority w:val="98"/>
    <w:semiHidden/>
    <w:qFormat/>
    <w:rsid w:val="000817F2"/>
    <w:pPr>
      <w:spacing w:after="200"/>
    </w:pPr>
    <w:rPr>
      <w:b/>
      <w:bCs/>
      <w:color w:val="0072BC" w:themeColor="accent1"/>
      <w:sz w:val="18"/>
      <w:szCs w:val="18"/>
    </w:rPr>
  </w:style>
  <w:style w:type="paragraph" w:styleId="Closing">
    <w:name w:val="Closing"/>
    <w:basedOn w:val="Normal"/>
    <w:link w:val="ClosingChar"/>
    <w:uiPriority w:val="98"/>
    <w:semiHidden/>
    <w:rsid w:val="000817F2"/>
    <w:pPr>
      <w:ind w:left="4252"/>
    </w:pPr>
  </w:style>
  <w:style w:type="character" w:customStyle="1" w:styleId="ClosingChar">
    <w:name w:val="Closing Char"/>
    <w:basedOn w:val="DefaultParagraphFont"/>
    <w:link w:val="Closing"/>
    <w:uiPriority w:val="98"/>
    <w:semiHidden/>
    <w:rsid w:val="000817F2"/>
    <w:rPr>
      <w:sz w:val="24"/>
      <w:szCs w:val="24"/>
      <w:lang w:val="en-GB"/>
    </w:rPr>
  </w:style>
  <w:style w:type="table" w:styleId="ColorfulGrid">
    <w:name w:val="Colorful Grid"/>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817F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817F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817F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817F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817F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0817F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817F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817F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817F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817F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817F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817F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0817F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817F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817F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817F2"/>
    <w:rPr>
      <w:sz w:val="16"/>
      <w:szCs w:val="16"/>
    </w:rPr>
  </w:style>
  <w:style w:type="paragraph" w:styleId="CommentText">
    <w:name w:val="annotation text"/>
    <w:basedOn w:val="Normal"/>
    <w:link w:val="CommentTextChar"/>
    <w:uiPriority w:val="98"/>
    <w:semiHidden/>
    <w:rsid w:val="000817F2"/>
    <w:rPr>
      <w:sz w:val="20"/>
      <w:szCs w:val="20"/>
    </w:rPr>
  </w:style>
  <w:style w:type="character" w:customStyle="1" w:styleId="CommentTextChar">
    <w:name w:val="Comment Text Char"/>
    <w:basedOn w:val="DefaultParagraphFont"/>
    <w:link w:val="CommentText"/>
    <w:uiPriority w:val="98"/>
    <w:semiHidden/>
    <w:rsid w:val="000817F2"/>
    <w:rPr>
      <w:sz w:val="20"/>
      <w:szCs w:val="20"/>
      <w:lang w:val="en-GB"/>
    </w:rPr>
  </w:style>
  <w:style w:type="paragraph" w:styleId="CommentSubject">
    <w:name w:val="annotation subject"/>
    <w:basedOn w:val="CommentText"/>
    <w:next w:val="CommentText"/>
    <w:link w:val="CommentSubjectChar"/>
    <w:uiPriority w:val="98"/>
    <w:semiHidden/>
    <w:rsid w:val="000817F2"/>
    <w:rPr>
      <w:b/>
      <w:bCs/>
    </w:rPr>
  </w:style>
  <w:style w:type="character" w:customStyle="1" w:styleId="CommentSubjectChar">
    <w:name w:val="Comment Subject Char"/>
    <w:basedOn w:val="CommentTextChar"/>
    <w:link w:val="CommentSubject"/>
    <w:uiPriority w:val="98"/>
    <w:semiHidden/>
    <w:rsid w:val="000817F2"/>
    <w:rPr>
      <w:b/>
      <w:bCs/>
      <w:sz w:val="20"/>
      <w:szCs w:val="20"/>
      <w:lang w:val="en-GB"/>
    </w:rPr>
  </w:style>
  <w:style w:type="table" w:styleId="DarkList">
    <w:name w:val="Dark List"/>
    <w:basedOn w:val="TableNormal"/>
    <w:uiPriority w:val="70"/>
    <w:semiHidden/>
    <w:rsid w:val="000817F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817F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817F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817F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0817F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817F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817F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817F2"/>
  </w:style>
  <w:style w:type="character" w:customStyle="1" w:styleId="DateChar">
    <w:name w:val="Date Char"/>
    <w:basedOn w:val="DefaultParagraphFont"/>
    <w:link w:val="Date"/>
    <w:uiPriority w:val="98"/>
    <w:semiHidden/>
    <w:rsid w:val="000817F2"/>
    <w:rPr>
      <w:sz w:val="24"/>
      <w:szCs w:val="24"/>
      <w:lang w:val="en-GB"/>
    </w:rPr>
  </w:style>
  <w:style w:type="paragraph" w:styleId="DocumentMap">
    <w:name w:val="Document Map"/>
    <w:basedOn w:val="Normal"/>
    <w:link w:val="DocumentMapChar"/>
    <w:uiPriority w:val="98"/>
    <w:semiHidden/>
    <w:rsid w:val="000817F2"/>
    <w:rPr>
      <w:rFonts w:ascii="Tahoma" w:hAnsi="Tahoma" w:cs="Tahoma"/>
      <w:sz w:val="16"/>
      <w:szCs w:val="16"/>
    </w:rPr>
  </w:style>
  <w:style w:type="character" w:customStyle="1" w:styleId="DocumentMapChar">
    <w:name w:val="Document Map Char"/>
    <w:basedOn w:val="DefaultParagraphFont"/>
    <w:link w:val="DocumentMap"/>
    <w:uiPriority w:val="98"/>
    <w:semiHidden/>
    <w:rsid w:val="000817F2"/>
    <w:rPr>
      <w:rFonts w:ascii="Tahoma" w:hAnsi="Tahoma" w:cs="Tahoma"/>
      <w:sz w:val="16"/>
      <w:szCs w:val="16"/>
      <w:lang w:val="en-GB"/>
    </w:rPr>
  </w:style>
  <w:style w:type="paragraph" w:styleId="E-mailSignature">
    <w:name w:val="E-mail Signature"/>
    <w:basedOn w:val="Normal"/>
    <w:link w:val="E-mailSignatureChar"/>
    <w:uiPriority w:val="98"/>
    <w:semiHidden/>
    <w:rsid w:val="000817F2"/>
  </w:style>
  <w:style w:type="character" w:customStyle="1" w:styleId="E-mailSignatureChar">
    <w:name w:val="E-mail Signature Char"/>
    <w:basedOn w:val="DefaultParagraphFont"/>
    <w:link w:val="E-mailSignature"/>
    <w:uiPriority w:val="98"/>
    <w:semiHidden/>
    <w:rsid w:val="000817F2"/>
    <w:rPr>
      <w:sz w:val="24"/>
      <w:szCs w:val="24"/>
      <w:lang w:val="en-GB"/>
    </w:rPr>
  </w:style>
  <w:style w:type="character" w:styleId="EndnoteReference">
    <w:name w:val="endnote reference"/>
    <w:basedOn w:val="DefaultParagraphFont"/>
    <w:uiPriority w:val="98"/>
    <w:semiHidden/>
    <w:rsid w:val="000817F2"/>
    <w:rPr>
      <w:vertAlign w:val="superscript"/>
    </w:rPr>
  </w:style>
  <w:style w:type="paragraph" w:styleId="EndnoteText">
    <w:name w:val="endnote text"/>
    <w:basedOn w:val="Normal"/>
    <w:link w:val="EndnoteTextChar"/>
    <w:uiPriority w:val="98"/>
    <w:semiHidden/>
    <w:rsid w:val="000817F2"/>
    <w:rPr>
      <w:sz w:val="20"/>
      <w:szCs w:val="20"/>
    </w:rPr>
  </w:style>
  <w:style w:type="character" w:customStyle="1" w:styleId="EndnoteTextChar">
    <w:name w:val="Endnote Text Char"/>
    <w:basedOn w:val="DefaultParagraphFont"/>
    <w:link w:val="EndnoteText"/>
    <w:uiPriority w:val="98"/>
    <w:semiHidden/>
    <w:rsid w:val="000817F2"/>
    <w:rPr>
      <w:sz w:val="20"/>
      <w:szCs w:val="20"/>
      <w:lang w:val="en-GB"/>
    </w:rPr>
  </w:style>
  <w:style w:type="paragraph" w:styleId="EnvelopeAddress">
    <w:name w:val="envelope address"/>
    <w:basedOn w:val="Normal"/>
    <w:uiPriority w:val="98"/>
    <w:semiHidden/>
    <w:rsid w:val="000817F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817F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817F2"/>
    <w:rPr>
      <w:color w:val="7030A0" w:themeColor="followedHyperlink"/>
      <w:u w:val="single"/>
    </w:rPr>
  </w:style>
  <w:style w:type="character" w:styleId="HTMLAcronym">
    <w:name w:val="HTML Acronym"/>
    <w:basedOn w:val="DefaultParagraphFont"/>
    <w:uiPriority w:val="98"/>
    <w:semiHidden/>
    <w:rsid w:val="000817F2"/>
  </w:style>
  <w:style w:type="paragraph" w:styleId="HTMLAddress">
    <w:name w:val="HTML Address"/>
    <w:basedOn w:val="Normal"/>
    <w:link w:val="HTMLAddressChar"/>
    <w:uiPriority w:val="98"/>
    <w:semiHidden/>
    <w:rsid w:val="000817F2"/>
    <w:rPr>
      <w:i/>
      <w:iCs/>
    </w:rPr>
  </w:style>
  <w:style w:type="character" w:customStyle="1" w:styleId="HTMLAddressChar">
    <w:name w:val="HTML Address Char"/>
    <w:basedOn w:val="DefaultParagraphFont"/>
    <w:link w:val="HTMLAddress"/>
    <w:uiPriority w:val="98"/>
    <w:semiHidden/>
    <w:rsid w:val="000817F2"/>
    <w:rPr>
      <w:i/>
      <w:iCs/>
      <w:sz w:val="24"/>
      <w:szCs w:val="24"/>
      <w:lang w:val="en-GB"/>
    </w:rPr>
  </w:style>
  <w:style w:type="character" w:styleId="HTMLCite">
    <w:name w:val="HTML Cite"/>
    <w:basedOn w:val="DefaultParagraphFont"/>
    <w:uiPriority w:val="98"/>
    <w:semiHidden/>
    <w:rsid w:val="000817F2"/>
    <w:rPr>
      <w:i/>
      <w:iCs/>
    </w:rPr>
  </w:style>
  <w:style w:type="character" w:styleId="HTMLCode">
    <w:name w:val="HTML Code"/>
    <w:basedOn w:val="DefaultParagraphFont"/>
    <w:uiPriority w:val="98"/>
    <w:semiHidden/>
    <w:rsid w:val="000817F2"/>
    <w:rPr>
      <w:rFonts w:ascii="Consolas" w:hAnsi="Consolas" w:cs="Consolas"/>
      <w:sz w:val="20"/>
      <w:szCs w:val="20"/>
    </w:rPr>
  </w:style>
  <w:style w:type="character" w:styleId="HTMLDefinition">
    <w:name w:val="HTML Definition"/>
    <w:basedOn w:val="DefaultParagraphFont"/>
    <w:uiPriority w:val="98"/>
    <w:semiHidden/>
    <w:rsid w:val="000817F2"/>
    <w:rPr>
      <w:i/>
      <w:iCs/>
    </w:rPr>
  </w:style>
  <w:style w:type="character" w:styleId="HTMLKeyboard">
    <w:name w:val="HTML Keyboard"/>
    <w:basedOn w:val="DefaultParagraphFont"/>
    <w:uiPriority w:val="98"/>
    <w:semiHidden/>
    <w:rsid w:val="000817F2"/>
    <w:rPr>
      <w:rFonts w:ascii="Consolas" w:hAnsi="Consolas" w:cs="Consolas"/>
      <w:sz w:val="20"/>
      <w:szCs w:val="20"/>
    </w:rPr>
  </w:style>
  <w:style w:type="paragraph" w:styleId="HTMLPreformatted">
    <w:name w:val="HTML Preformatted"/>
    <w:basedOn w:val="Normal"/>
    <w:link w:val="HTMLPreformattedChar"/>
    <w:uiPriority w:val="98"/>
    <w:semiHidden/>
    <w:rsid w:val="000817F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817F2"/>
    <w:rPr>
      <w:rFonts w:ascii="Consolas" w:hAnsi="Consolas" w:cs="Consolas"/>
      <w:sz w:val="20"/>
      <w:szCs w:val="20"/>
      <w:lang w:val="en-GB"/>
    </w:rPr>
  </w:style>
  <w:style w:type="character" w:styleId="HTMLSample">
    <w:name w:val="HTML Sample"/>
    <w:basedOn w:val="DefaultParagraphFont"/>
    <w:uiPriority w:val="98"/>
    <w:semiHidden/>
    <w:rsid w:val="000817F2"/>
    <w:rPr>
      <w:rFonts w:ascii="Consolas" w:hAnsi="Consolas" w:cs="Consolas"/>
      <w:sz w:val="24"/>
      <w:szCs w:val="24"/>
    </w:rPr>
  </w:style>
  <w:style w:type="character" w:styleId="HTMLTypewriter">
    <w:name w:val="HTML Typewriter"/>
    <w:basedOn w:val="DefaultParagraphFont"/>
    <w:uiPriority w:val="98"/>
    <w:semiHidden/>
    <w:rsid w:val="000817F2"/>
    <w:rPr>
      <w:rFonts w:ascii="Consolas" w:hAnsi="Consolas" w:cs="Consolas"/>
      <w:sz w:val="20"/>
      <w:szCs w:val="20"/>
    </w:rPr>
  </w:style>
  <w:style w:type="character" w:styleId="HTMLVariable">
    <w:name w:val="HTML Variable"/>
    <w:basedOn w:val="DefaultParagraphFont"/>
    <w:uiPriority w:val="98"/>
    <w:semiHidden/>
    <w:rsid w:val="000817F2"/>
    <w:rPr>
      <w:i/>
      <w:iCs/>
    </w:rPr>
  </w:style>
  <w:style w:type="paragraph" w:styleId="Index1">
    <w:name w:val="index 1"/>
    <w:basedOn w:val="Normal"/>
    <w:next w:val="Normal"/>
    <w:autoRedefine/>
    <w:uiPriority w:val="98"/>
    <w:semiHidden/>
    <w:rsid w:val="000817F2"/>
    <w:pPr>
      <w:ind w:left="240" w:hanging="240"/>
    </w:pPr>
  </w:style>
  <w:style w:type="paragraph" w:styleId="Index2">
    <w:name w:val="index 2"/>
    <w:basedOn w:val="Normal"/>
    <w:next w:val="Normal"/>
    <w:autoRedefine/>
    <w:uiPriority w:val="98"/>
    <w:semiHidden/>
    <w:rsid w:val="000817F2"/>
    <w:pPr>
      <w:ind w:left="480" w:hanging="240"/>
    </w:pPr>
  </w:style>
  <w:style w:type="paragraph" w:styleId="Index3">
    <w:name w:val="index 3"/>
    <w:basedOn w:val="Normal"/>
    <w:next w:val="Normal"/>
    <w:autoRedefine/>
    <w:uiPriority w:val="98"/>
    <w:semiHidden/>
    <w:rsid w:val="000817F2"/>
    <w:pPr>
      <w:ind w:left="720" w:hanging="240"/>
    </w:pPr>
  </w:style>
  <w:style w:type="paragraph" w:styleId="Index4">
    <w:name w:val="index 4"/>
    <w:basedOn w:val="Normal"/>
    <w:next w:val="Normal"/>
    <w:autoRedefine/>
    <w:uiPriority w:val="98"/>
    <w:semiHidden/>
    <w:rsid w:val="000817F2"/>
    <w:pPr>
      <w:ind w:left="960" w:hanging="240"/>
    </w:pPr>
  </w:style>
  <w:style w:type="paragraph" w:styleId="Index5">
    <w:name w:val="index 5"/>
    <w:basedOn w:val="Normal"/>
    <w:next w:val="Normal"/>
    <w:autoRedefine/>
    <w:uiPriority w:val="98"/>
    <w:semiHidden/>
    <w:rsid w:val="000817F2"/>
    <w:pPr>
      <w:ind w:left="1200" w:hanging="240"/>
    </w:pPr>
  </w:style>
  <w:style w:type="paragraph" w:styleId="Index6">
    <w:name w:val="index 6"/>
    <w:basedOn w:val="Normal"/>
    <w:next w:val="Normal"/>
    <w:autoRedefine/>
    <w:uiPriority w:val="98"/>
    <w:semiHidden/>
    <w:rsid w:val="000817F2"/>
    <w:pPr>
      <w:ind w:left="1440" w:hanging="240"/>
    </w:pPr>
  </w:style>
  <w:style w:type="paragraph" w:styleId="Index7">
    <w:name w:val="index 7"/>
    <w:basedOn w:val="Normal"/>
    <w:next w:val="Normal"/>
    <w:autoRedefine/>
    <w:uiPriority w:val="98"/>
    <w:semiHidden/>
    <w:rsid w:val="000817F2"/>
    <w:pPr>
      <w:ind w:left="1680" w:hanging="240"/>
    </w:pPr>
  </w:style>
  <w:style w:type="paragraph" w:styleId="Index8">
    <w:name w:val="index 8"/>
    <w:basedOn w:val="Normal"/>
    <w:next w:val="Normal"/>
    <w:autoRedefine/>
    <w:uiPriority w:val="98"/>
    <w:semiHidden/>
    <w:rsid w:val="000817F2"/>
    <w:pPr>
      <w:ind w:left="1920" w:hanging="240"/>
    </w:pPr>
  </w:style>
  <w:style w:type="paragraph" w:styleId="Index9">
    <w:name w:val="index 9"/>
    <w:basedOn w:val="Normal"/>
    <w:next w:val="Normal"/>
    <w:autoRedefine/>
    <w:uiPriority w:val="98"/>
    <w:semiHidden/>
    <w:rsid w:val="000817F2"/>
    <w:pPr>
      <w:ind w:left="2160" w:hanging="240"/>
    </w:pPr>
  </w:style>
  <w:style w:type="paragraph" w:styleId="IndexHeading">
    <w:name w:val="index heading"/>
    <w:basedOn w:val="Normal"/>
    <w:next w:val="Index1"/>
    <w:uiPriority w:val="98"/>
    <w:semiHidden/>
    <w:rsid w:val="000817F2"/>
    <w:rPr>
      <w:rFonts w:asciiTheme="majorHAnsi" w:eastAsiaTheme="majorEastAsia" w:hAnsiTheme="majorHAnsi" w:cstheme="majorBidi"/>
      <w:b/>
      <w:bCs/>
    </w:rPr>
  </w:style>
  <w:style w:type="table" w:styleId="LightGrid">
    <w:name w:val="Light Grid"/>
    <w:basedOn w:val="TableNormal"/>
    <w:uiPriority w:val="62"/>
    <w:semiHidden/>
    <w:rsid w:val="000817F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817F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817F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817F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0817F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817F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817F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817F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817F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817F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817F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0817F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817F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817F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817F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817F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817F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817F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0817F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817F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817F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817F2"/>
  </w:style>
  <w:style w:type="paragraph" w:styleId="List">
    <w:name w:val="List"/>
    <w:basedOn w:val="Normal"/>
    <w:uiPriority w:val="98"/>
    <w:semiHidden/>
    <w:rsid w:val="000817F2"/>
    <w:pPr>
      <w:ind w:left="283" w:hanging="283"/>
      <w:contextualSpacing/>
    </w:pPr>
  </w:style>
  <w:style w:type="paragraph" w:styleId="List20">
    <w:name w:val="List 2"/>
    <w:basedOn w:val="Normal"/>
    <w:uiPriority w:val="98"/>
    <w:semiHidden/>
    <w:rsid w:val="000817F2"/>
    <w:pPr>
      <w:ind w:left="566" w:hanging="283"/>
      <w:contextualSpacing/>
    </w:pPr>
  </w:style>
  <w:style w:type="paragraph" w:styleId="List30">
    <w:name w:val="List 3"/>
    <w:basedOn w:val="Normal"/>
    <w:uiPriority w:val="98"/>
    <w:semiHidden/>
    <w:rsid w:val="000817F2"/>
    <w:pPr>
      <w:ind w:left="849" w:hanging="283"/>
      <w:contextualSpacing/>
    </w:pPr>
  </w:style>
  <w:style w:type="paragraph" w:styleId="List4">
    <w:name w:val="List 4"/>
    <w:basedOn w:val="Normal"/>
    <w:uiPriority w:val="98"/>
    <w:semiHidden/>
    <w:rsid w:val="000817F2"/>
    <w:pPr>
      <w:ind w:left="1132" w:hanging="283"/>
      <w:contextualSpacing/>
    </w:pPr>
  </w:style>
  <w:style w:type="paragraph" w:styleId="List5">
    <w:name w:val="List 5"/>
    <w:basedOn w:val="Normal"/>
    <w:uiPriority w:val="98"/>
    <w:semiHidden/>
    <w:rsid w:val="000817F2"/>
    <w:pPr>
      <w:ind w:left="1415" w:hanging="283"/>
      <w:contextualSpacing/>
    </w:pPr>
  </w:style>
  <w:style w:type="paragraph" w:styleId="ListBullet2">
    <w:name w:val="List Bullet 2"/>
    <w:basedOn w:val="Normal"/>
    <w:uiPriority w:val="98"/>
    <w:semiHidden/>
    <w:rsid w:val="000817F2"/>
    <w:pPr>
      <w:numPr>
        <w:numId w:val="60"/>
      </w:numPr>
      <w:contextualSpacing/>
    </w:pPr>
  </w:style>
  <w:style w:type="paragraph" w:styleId="ListBullet4">
    <w:name w:val="List Bullet 4"/>
    <w:basedOn w:val="Normal"/>
    <w:uiPriority w:val="98"/>
    <w:semiHidden/>
    <w:rsid w:val="000817F2"/>
    <w:pPr>
      <w:numPr>
        <w:numId w:val="62"/>
      </w:numPr>
      <w:contextualSpacing/>
    </w:pPr>
  </w:style>
  <w:style w:type="paragraph" w:styleId="ListBullet5">
    <w:name w:val="List Bullet 5"/>
    <w:basedOn w:val="Normal"/>
    <w:uiPriority w:val="98"/>
    <w:semiHidden/>
    <w:rsid w:val="000817F2"/>
    <w:pPr>
      <w:numPr>
        <w:numId w:val="63"/>
      </w:numPr>
      <w:contextualSpacing/>
    </w:pPr>
  </w:style>
  <w:style w:type="paragraph" w:styleId="ListContinue">
    <w:name w:val="List Continue"/>
    <w:basedOn w:val="Normal"/>
    <w:uiPriority w:val="98"/>
    <w:semiHidden/>
    <w:rsid w:val="000817F2"/>
    <w:pPr>
      <w:spacing w:after="120"/>
      <w:ind w:left="283"/>
      <w:contextualSpacing/>
    </w:pPr>
  </w:style>
  <w:style w:type="paragraph" w:styleId="ListContinue2">
    <w:name w:val="List Continue 2"/>
    <w:basedOn w:val="Normal"/>
    <w:uiPriority w:val="98"/>
    <w:semiHidden/>
    <w:rsid w:val="000817F2"/>
    <w:pPr>
      <w:spacing w:after="120"/>
      <w:ind w:left="566"/>
      <w:contextualSpacing/>
    </w:pPr>
  </w:style>
  <w:style w:type="paragraph" w:styleId="ListContinue3">
    <w:name w:val="List Continue 3"/>
    <w:basedOn w:val="Normal"/>
    <w:uiPriority w:val="98"/>
    <w:semiHidden/>
    <w:rsid w:val="000817F2"/>
    <w:pPr>
      <w:spacing w:after="120"/>
      <w:ind w:left="849"/>
      <w:contextualSpacing/>
    </w:pPr>
  </w:style>
  <w:style w:type="paragraph" w:styleId="ListContinue4">
    <w:name w:val="List Continue 4"/>
    <w:basedOn w:val="Normal"/>
    <w:uiPriority w:val="98"/>
    <w:semiHidden/>
    <w:rsid w:val="000817F2"/>
    <w:pPr>
      <w:spacing w:after="120"/>
      <w:ind w:left="1132"/>
      <w:contextualSpacing/>
    </w:pPr>
  </w:style>
  <w:style w:type="paragraph" w:styleId="ListContinue5">
    <w:name w:val="List Continue 5"/>
    <w:basedOn w:val="Normal"/>
    <w:uiPriority w:val="98"/>
    <w:semiHidden/>
    <w:rsid w:val="000817F2"/>
    <w:pPr>
      <w:spacing w:after="120"/>
      <w:ind w:left="1415"/>
      <w:contextualSpacing/>
    </w:pPr>
  </w:style>
  <w:style w:type="paragraph" w:styleId="ListNumber">
    <w:name w:val="List Number"/>
    <w:basedOn w:val="Normal"/>
    <w:uiPriority w:val="98"/>
    <w:semiHidden/>
    <w:rsid w:val="000817F2"/>
    <w:pPr>
      <w:numPr>
        <w:numId w:val="64"/>
      </w:numPr>
      <w:contextualSpacing/>
    </w:pPr>
  </w:style>
  <w:style w:type="paragraph" w:styleId="ListNumber2">
    <w:name w:val="List Number 2"/>
    <w:basedOn w:val="Normal"/>
    <w:uiPriority w:val="98"/>
    <w:semiHidden/>
    <w:rsid w:val="000817F2"/>
    <w:pPr>
      <w:numPr>
        <w:numId w:val="65"/>
      </w:numPr>
      <w:contextualSpacing/>
    </w:pPr>
  </w:style>
  <w:style w:type="paragraph" w:styleId="ListNumber3">
    <w:name w:val="List Number 3"/>
    <w:basedOn w:val="Normal"/>
    <w:uiPriority w:val="98"/>
    <w:semiHidden/>
    <w:rsid w:val="000817F2"/>
    <w:pPr>
      <w:numPr>
        <w:numId w:val="66"/>
      </w:numPr>
      <w:contextualSpacing/>
    </w:pPr>
  </w:style>
  <w:style w:type="paragraph" w:styleId="ListNumber4">
    <w:name w:val="List Number 4"/>
    <w:basedOn w:val="Normal"/>
    <w:uiPriority w:val="98"/>
    <w:semiHidden/>
    <w:rsid w:val="000817F2"/>
    <w:pPr>
      <w:numPr>
        <w:numId w:val="67"/>
      </w:numPr>
      <w:contextualSpacing/>
    </w:pPr>
  </w:style>
  <w:style w:type="paragraph" w:styleId="ListNumber5">
    <w:name w:val="List Number 5"/>
    <w:basedOn w:val="Normal"/>
    <w:uiPriority w:val="98"/>
    <w:semiHidden/>
    <w:rsid w:val="000817F2"/>
    <w:pPr>
      <w:numPr>
        <w:numId w:val="68"/>
      </w:numPr>
      <w:contextualSpacing/>
    </w:pPr>
  </w:style>
  <w:style w:type="paragraph" w:styleId="Macro">
    <w:name w:val="macro"/>
    <w:link w:val="MacroTextChar"/>
    <w:uiPriority w:val="98"/>
    <w:semiHidden/>
    <w:rsid w:val="000817F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817F2"/>
    <w:rPr>
      <w:rFonts w:ascii="Consolas" w:hAnsi="Consolas" w:eastAsiaTheme="minorEastAsia" w:cs="Consolas"/>
      <w:sz w:val="20"/>
      <w:szCs w:val="20"/>
    </w:rPr>
  </w:style>
  <w:style w:type="table" w:styleId="MediumGrid1">
    <w:name w:val="Medium Grid 1"/>
    <w:basedOn w:val="TableNormal"/>
    <w:uiPriority w:val="67"/>
    <w:semiHidden/>
    <w:rsid w:val="000817F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817F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817F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817F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0817F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817F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817F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817F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0817F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817F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817F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817F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0817F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817F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817F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817F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0817F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817F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817F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817F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817F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817F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817F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817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817F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817F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817F2"/>
    <w:rPr>
      <w:rFonts w:ascii="Times New Roman" w:hAnsi="Times New Roman" w:cs="Times New Roman"/>
    </w:rPr>
  </w:style>
  <w:style w:type="paragraph" w:styleId="NormalIndent">
    <w:name w:val="Normal Indent"/>
    <w:basedOn w:val="Normal"/>
    <w:uiPriority w:val="98"/>
    <w:semiHidden/>
    <w:rsid w:val="000817F2"/>
    <w:pPr>
      <w:ind w:left="720"/>
    </w:pPr>
  </w:style>
  <w:style w:type="paragraph" w:styleId="NoteHeading">
    <w:name w:val="Note Heading"/>
    <w:basedOn w:val="Normal"/>
    <w:next w:val="Normal"/>
    <w:link w:val="NoteHeadingChar"/>
    <w:uiPriority w:val="98"/>
    <w:semiHidden/>
    <w:rsid w:val="000817F2"/>
  </w:style>
  <w:style w:type="character" w:customStyle="1" w:styleId="NoteHeadingChar">
    <w:name w:val="Note Heading Char"/>
    <w:basedOn w:val="DefaultParagraphFont"/>
    <w:link w:val="NoteHeading"/>
    <w:uiPriority w:val="98"/>
    <w:semiHidden/>
    <w:rsid w:val="000817F2"/>
    <w:rPr>
      <w:sz w:val="24"/>
      <w:szCs w:val="24"/>
      <w:lang w:val="en-GB"/>
    </w:rPr>
  </w:style>
  <w:style w:type="character" w:styleId="PlaceholderText">
    <w:name w:val="Placeholder Text"/>
    <w:basedOn w:val="DefaultParagraphFont"/>
    <w:uiPriority w:val="98"/>
    <w:semiHidden/>
    <w:rsid w:val="000817F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817F2"/>
    <w:rPr>
      <w:rFonts w:ascii="Consolas" w:hAnsi="Consolas" w:cs="Consolas"/>
      <w:sz w:val="21"/>
      <w:szCs w:val="21"/>
    </w:rPr>
  </w:style>
  <w:style w:type="character" w:customStyle="1" w:styleId="PlainTextChar">
    <w:name w:val="Plain Text Char"/>
    <w:basedOn w:val="DefaultParagraphFont"/>
    <w:link w:val="PlainText"/>
    <w:uiPriority w:val="98"/>
    <w:semiHidden/>
    <w:rsid w:val="000817F2"/>
    <w:rPr>
      <w:rFonts w:ascii="Consolas" w:hAnsi="Consolas" w:cs="Consolas"/>
      <w:sz w:val="21"/>
      <w:szCs w:val="21"/>
      <w:lang w:val="en-GB"/>
    </w:rPr>
  </w:style>
  <w:style w:type="paragraph" w:styleId="Salutation">
    <w:name w:val="Salutation"/>
    <w:basedOn w:val="Normal"/>
    <w:next w:val="Normal"/>
    <w:link w:val="SalutationChar"/>
    <w:uiPriority w:val="98"/>
    <w:semiHidden/>
    <w:rsid w:val="000817F2"/>
  </w:style>
  <w:style w:type="character" w:customStyle="1" w:styleId="SalutationChar">
    <w:name w:val="Salutation Char"/>
    <w:basedOn w:val="DefaultParagraphFont"/>
    <w:link w:val="Salutation"/>
    <w:uiPriority w:val="98"/>
    <w:semiHidden/>
    <w:rsid w:val="000817F2"/>
    <w:rPr>
      <w:sz w:val="24"/>
      <w:szCs w:val="24"/>
      <w:lang w:val="en-GB"/>
    </w:rPr>
  </w:style>
  <w:style w:type="paragraph" w:styleId="Signature0">
    <w:name w:val="Signature"/>
    <w:basedOn w:val="Normal"/>
    <w:link w:val="SignatureChar"/>
    <w:uiPriority w:val="98"/>
    <w:semiHidden/>
    <w:rsid w:val="000817F2"/>
    <w:pPr>
      <w:ind w:left="4252"/>
    </w:pPr>
  </w:style>
  <w:style w:type="character" w:customStyle="1" w:styleId="SignatureChar">
    <w:name w:val="Signature Char"/>
    <w:basedOn w:val="DefaultParagraphFont"/>
    <w:link w:val="Signature0"/>
    <w:uiPriority w:val="98"/>
    <w:semiHidden/>
    <w:rsid w:val="000817F2"/>
    <w:rPr>
      <w:sz w:val="24"/>
      <w:szCs w:val="24"/>
      <w:lang w:val="en-GB"/>
    </w:rPr>
  </w:style>
  <w:style w:type="table" w:styleId="Table3Deffects1">
    <w:name w:val="Table 3D effects 1"/>
    <w:basedOn w:val="TableNormal"/>
    <w:uiPriority w:val="99"/>
    <w:semiHidden/>
    <w:unhideWhenUsed/>
    <w:rsid w:val="000817F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817F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817F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817F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817F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817F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817F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817F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817F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817F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817F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817F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817F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817F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817F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817F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817F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817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817F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817F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817F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817F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817F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817F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817F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817F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817F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817F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817F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817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817F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817F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817F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817F2"/>
    <w:pPr>
      <w:ind w:left="240" w:hanging="240"/>
    </w:pPr>
  </w:style>
  <w:style w:type="paragraph" w:styleId="TableofFigures">
    <w:name w:val="table of figures"/>
    <w:basedOn w:val="Normal"/>
    <w:next w:val="Normal"/>
    <w:uiPriority w:val="98"/>
    <w:semiHidden/>
    <w:rsid w:val="000817F2"/>
  </w:style>
  <w:style w:type="table" w:styleId="TableProfessional">
    <w:name w:val="Table Professional"/>
    <w:basedOn w:val="TableNormal"/>
    <w:uiPriority w:val="99"/>
    <w:semiHidden/>
    <w:unhideWhenUsed/>
    <w:rsid w:val="000817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817F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817F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817F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817F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817F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817F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817F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817F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817F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817F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817F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817F2"/>
    <w:pPr>
      <w:spacing w:after="100"/>
      <w:ind w:left="1680"/>
    </w:pPr>
  </w:style>
  <w:style w:type="paragraph" w:styleId="TOC9">
    <w:name w:val="toc 9"/>
    <w:basedOn w:val="Normal"/>
    <w:next w:val="Normal"/>
    <w:autoRedefine/>
    <w:uiPriority w:val="98"/>
    <w:semiHidden/>
    <w:rsid w:val="000817F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0817F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817F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817F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817F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817F2"/>
    <w:pPr>
      <w:numPr>
        <w:numId w:val="75"/>
      </w:numPr>
      <w:spacing w:before="60" w:after="60"/>
    </w:pPr>
  </w:style>
  <w:style w:type="paragraph" w:customStyle="1" w:styleId="ECHRBullet2">
    <w:name w:val="ECHR_Bullet_2"/>
    <w:aliases w:val="_Bul_2"/>
    <w:basedOn w:val="ECHRBullet1"/>
    <w:uiPriority w:val="23"/>
    <w:semiHidden/>
    <w:rsid w:val="000817F2"/>
    <w:pPr>
      <w:numPr>
        <w:ilvl w:val="1"/>
      </w:numPr>
    </w:pPr>
  </w:style>
  <w:style w:type="paragraph" w:customStyle="1" w:styleId="ECHRBullet3">
    <w:name w:val="ECHR_Bullet_3"/>
    <w:aliases w:val="_Bul_3"/>
    <w:basedOn w:val="ECHRBullet2"/>
    <w:uiPriority w:val="23"/>
    <w:semiHidden/>
    <w:rsid w:val="000817F2"/>
    <w:pPr>
      <w:numPr>
        <w:ilvl w:val="2"/>
      </w:numPr>
    </w:pPr>
  </w:style>
  <w:style w:type="paragraph" w:customStyle="1" w:styleId="ECHRBullet4">
    <w:name w:val="ECHR_Bullet_4"/>
    <w:aliases w:val="_Bul_4"/>
    <w:basedOn w:val="ECHRBullet3"/>
    <w:uiPriority w:val="23"/>
    <w:semiHidden/>
    <w:rsid w:val="000817F2"/>
    <w:pPr>
      <w:numPr>
        <w:ilvl w:val="3"/>
      </w:numPr>
    </w:pPr>
  </w:style>
  <w:style w:type="paragraph" w:customStyle="1" w:styleId="ECHRConfidential">
    <w:name w:val="ECHR_Confidential"/>
    <w:aliases w:val="_Confidential"/>
    <w:basedOn w:val="Normal"/>
    <w:next w:val="Normal"/>
    <w:uiPriority w:val="42"/>
    <w:semiHidden/>
    <w:qFormat/>
    <w:rsid w:val="000817F2"/>
    <w:pPr>
      <w:jc w:val="right"/>
    </w:pPr>
    <w:rPr>
      <w:color w:val="C00000"/>
      <w:sz w:val="20"/>
    </w:rPr>
  </w:style>
  <w:style w:type="paragraph" w:customStyle="1" w:styleId="ECHRDecisionBody">
    <w:name w:val="ECHR_Decision_Body"/>
    <w:aliases w:val="_Decision_Body"/>
    <w:basedOn w:val="NormalJustified"/>
    <w:uiPriority w:val="54"/>
    <w:semiHidden/>
    <w:rsid w:val="000817F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817F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817F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817F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0817F2"/>
    <w:pPr>
      <w:jc w:val="right"/>
    </w:pPr>
    <w:rPr>
      <w:sz w:val="20"/>
    </w:rPr>
  </w:style>
  <w:style w:type="paragraph" w:customStyle="1" w:styleId="ECHRHeaderRefIt">
    <w:name w:val="ECHR_Header_Ref_It"/>
    <w:aliases w:val="_Ref_Ital"/>
    <w:basedOn w:val="Normal"/>
    <w:next w:val="ECHRHeaderDate"/>
    <w:uiPriority w:val="43"/>
    <w:semiHidden/>
    <w:qFormat/>
    <w:rsid w:val="000817F2"/>
    <w:pPr>
      <w:jc w:val="right"/>
    </w:pPr>
    <w:rPr>
      <w:i/>
      <w:sz w:val="20"/>
    </w:rPr>
  </w:style>
  <w:style w:type="paragraph" w:customStyle="1" w:styleId="ECHRHeading9">
    <w:name w:val="ECHR_Heading_9"/>
    <w:aliases w:val="_Head_9"/>
    <w:basedOn w:val="Heading9"/>
    <w:uiPriority w:val="17"/>
    <w:rsid w:val="000817F2"/>
    <w:pPr>
      <w:keepNext/>
      <w:keepLines/>
      <w:numPr>
        <w:ilvl w:val="8"/>
        <w:numId w:val="8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0817F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0817F2"/>
    <w:pPr>
      <w:numPr>
        <w:numId w:val="79"/>
      </w:numPr>
      <w:spacing w:before="60" w:after="60"/>
    </w:pPr>
  </w:style>
  <w:style w:type="paragraph" w:customStyle="1" w:styleId="ECHRNumberedList2">
    <w:name w:val="ECHR_Numbered_List_2"/>
    <w:aliases w:val="_Num_2"/>
    <w:basedOn w:val="ECHRNumberedList1"/>
    <w:uiPriority w:val="23"/>
    <w:semiHidden/>
    <w:rsid w:val="000817F2"/>
    <w:pPr>
      <w:numPr>
        <w:ilvl w:val="1"/>
      </w:numPr>
    </w:pPr>
  </w:style>
  <w:style w:type="paragraph" w:customStyle="1" w:styleId="ECHRNumberedList3">
    <w:name w:val="ECHR_Numbered_List_3"/>
    <w:aliases w:val="_Num_3"/>
    <w:basedOn w:val="ECHRNumberedList2"/>
    <w:uiPriority w:val="23"/>
    <w:semiHidden/>
    <w:rsid w:val="000817F2"/>
    <w:pPr>
      <w:numPr>
        <w:ilvl w:val="2"/>
      </w:numPr>
    </w:pPr>
  </w:style>
  <w:style w:type="paragraph" w:customStyle="1" w:styleId="ECHRParaHanging">
    <w:name w:val="ECHR_Para_Hanging"/>
    <w:aliases w:val="_Hanging"/>
    <w:basedOn w:val="NormalJustified"/>
    <w:uiPriority w:val="8"/>
    <w:semiHidden/>
    <w:qFormat/>
    <w:rsid w:val="000817F2"/>
    <w:pPr>
      <w:ind w:left="567" w:hanging="567"/>
    </w:pPr>
  </w:style>
  <w:style w:type="paragraph" w:customStyle="1" w:styleId="ECHRParaIndent">
    <w:name w:val="ECHR_Para_Indent"/>
    <w:aliases w:val="_Indent"/>
    <w:basedOn w:val="NormalJustified"/>
    <w:uiPriority w:val="7"/>
    <w:semiHidden/>
    <w:qFormat/>
    <w:rsid w:val="000817F2"/>
    <w:pPr>
      <w:spacing w:before="120" w:after="120"/>
      <w:ind w:left="284"/>
    </w:pPr>
  </w:style>
  <w:style w:type="character" w:customStyle="1" w:styleId="ECHRRed">
    <w:name w:val="ECHR_Red"/>
    <w:aliases w:val="_Red"/>
    <w:basedOn w:val="DefaultParagraphFont"/>
    <w:uiPriority w:val="15"/>
    <w:semiHidden/>
    <w:qFormat/>
    <w:rsid w:val="000817F2"/>
    <w:rPr>
      <w:color w:val="C00000" w:themeColor="accent2"/>
    </w:rPr>
  </w:style>
  <w:style w:type="paragraph" w:customStyle="1" w:styleId="DecList">
    <w:name w:val="Dec_List"/>
    <w:aliases w:val="_List"/>
    <w:basedOn w:val="JuList"/>
    <w:uiPriority w:val="22"/>
    <w:rsid w:val="000817F2"/>
    <w:pPr>
      <w:numPr>
        <w:numId w:val="0"/>
      </w:numPr>
      <w:ind w:left="284"/>
    </w:pPr>
  </w:style>
  <w:style w:type="table" w:customStyle="1" w:styleId="ECHRTable2">
    <w:name w:val="ECHR_Table_2"/>
    <w:basedOn w:val="TableNormal"/>
    <w:uiPriority w:val="99"/>
    <w:rsid w:val="000817F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817F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0817F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0817F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0817F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0817F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0817F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0817F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0817F2"/>
    <w:pPr>
      <w:outlineLvl w:val="0"/>
    </w:pPr>
  </w:style>
  <w:style w:type="paragraph" w:customStyle="1" w:styleId="ECHRTitleTOC1">
    <w:name w:val="ECHR_Title_TOC_1"/>
    <w:aliases w:val="_Title_L_TOC"/>
    <w:basedOn w:val="ECHRTitle1"/>
    <w:next w:val="Normal"/>
    <w:uiPriority w:val="27"/>
    <w:semiHidden/>
    <w:qFormat/>
    <w:rsid w:val="000817F2"/>
    <w:pPr>
      <w:outlineLvl w:val="0"/>
    </w:pPr>
  </w:style>
  <w:style w:type="paragraph" w:customStyle="1" w:styleId="ECHRPlaceholder">
    <w:name w:val="ECHR_Placeholder"/>
    <w:aliases w:val="_Placeholder"/>
    <w:basedOn w:val="JuSigned"/>
    <w:uiPriority w:val="31"/>
    <w:rsid w:val="000817F2"/>
    <w:rPr>
      <w:color w:val="FFFFFF"/>
    </w:rPr>
  </w:style>
  <w:style w:type="paragraph" w:customStyle="1" w:styleId="ECHRSpacer">
    <w:name w:val="ECHR_Spacer"/>
    <w:aliases w:val="_Spacer"/>
    <w:basedOn w:val="Normal"/>
    <w:uiPriority w:val="45"/>
    <w:semiHidden/>
    <w:rsid w:val="000817F2"/>
    <w:rPr>
      <w:sz w:val="4"/>
    </w:rPr>
  </w:style>
  <w:style w:type="table" w:customStyle="1" w:styleId="ECHRTableGrey">
    <w:name w:val="ECHR_Table_Grey"/>
    <w:basedOn w:val="TableNormal"/>
    <w:uiPriority w:val="99"/>
    <w:rsid w:val="000817F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0817F2"/>
    <w:rPr>
      <w:color w:val="605E5C"/>
      <w:shd w:val="clear" w:color="auto" w:fill="E1DFDD"/>
    </w:rPr>
  </w:style>
  <w:style w:type="character" w:customStyle="1" w:styleId="JuParaChar">
    <w:name w:val="Ju_Para Char"/>
    <w:aliases w:val="_Para Char"/>
    <w:link w:val="JuPara"/>
    <w:uiPriority w:val="4"/>
    <w:qFormat/>
    <w:rsid w:val="00236883"/>
    <w:rPr>
      <w:sz w:val="24"/>
      <w:szCs w:val="24"/>
      <w:lang w:val="en-GB"/>
    </w:rPr>
  </w:style>
  <w:style w:type="table" w:styleId="GridTable1LightAccent1">
    <w:name w:val="Grid Table 1 Light Accent 1"/>
    <w:basedOn w:val="TableNormal"/>
    <w:uiPriority w:val="46"/>
    <w:semiHidden/>
    <w:rsid w:val="0038333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8333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8333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8333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8333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8333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8333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8333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8333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8333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38333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8333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8333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8333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8333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8333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8333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38333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8333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8333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8333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8333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8333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8333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38333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8333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8333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8333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8333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8333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8333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8333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38333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8333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8333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8333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8333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8333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8333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38333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8333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8333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8333E"/>
    <w:rPr>
      <w:color w:val="2B579A"/>
      <w:shd w:val="clear" w:color="auto" w:fill="E1DFDD"/>
    </w:rPr>
  </w:style>
  <w:style w:type="table" w:styleId="ListTable1Light">
    <w:name w:val="List Table 1 Light"/>
    <w:basedOn w:val="TableNormal"/>
    <w:uiPriority w:val="46"/>
    <w:semiHidden/>
    <w:rsid w:val="0038333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8333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8333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8333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38333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8333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8333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8333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8333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8333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8333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38333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8333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8333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8333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8333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8333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8333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38333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8333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8333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8333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8333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8333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8333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38333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8333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8333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8333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8333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8333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8333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8333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8333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8333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8333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8333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8333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8333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38333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8333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8333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8333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8333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8333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8333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8333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8333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8333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8333E"/>
    <w:rPr>
      <w:color w:val="2B579A"/>
      <w:shd w:val="clear" w:color="auto" w:fill="E1DFDD"/>
    </w:rPr>
  </w:style>
  <w:style w:type="table" w:styleId="PlainTable1">
    <w:name w:val="Plain Table 1"/>
    <w:basedOn w:val="TableNormal"/>
    <w:uiPriority w:val="41"/>
    <w:semiHidden/>
    <w:rsid w:val="0038333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38333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8333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8333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38333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8333E"/>
    <w:rPr>
      <w:u w:val="dotted"/>
    </w:rPr>
  </w:style>
  <w:style w:type="character" w:styleId="SmartLink">
    <w:name w:val="Smart Link"/>
    <w:basedOn w:val="DefaultParagraphFont"/>
    <w:uiPriority w:val="99"/>
    <w:semiHidden/>
    <w:unhideWhenUsed/>
    <w:rsid w:val="0038333E"/>
    <w:rPr>
      <w:color w:val="0000FF"/>
      <w:u w:val="single"/>
      <w:shd w:val="clear" w:color="auto" w:fill="F3F2F1"/>
    </w:rPr>
  </w:style>
  <w:style w:type="table" w:styleId="GridTableLight">
    <w:name w:val="Grid Table Light"/>
    <w:basedOn w:val="TableNormal"/>
    <w:uiPriority w:val="40"/>
    <w:semiHidden/>
    <w:rsid w:val="0038333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0817F2"/>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2288</Words>
  <Characters>13181</Characters>
  <Application>Microsoft Office Word</Application>
  <DocSecurity>0</DocSecurity>
  <Lines>313</Lines>
  <Paragraphs>119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2025-02-25T15:27:00Z</dcterms:created>
  <dcterms:modified xsi:type="dcterms:W3CDTF">2025-02-26T16:28:00Z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1099685</vt:lpwstr>
  </property>
  <property fmtid="{D5CDD505-2E9C-101B-9397-08002B2CF9AE}" pid="3" name="cstLanguage">
    <vt:i4>2057</vt:i4>
  </property>
  <property fmtid="{D5CDD505-2E9C-101B-9397-08002B2CF9AE}" pid="4" name="RegisteredNo">
    <vt:lpwstr>78030/14</vt:lpwstr>
  </property>
</Properties>
</file>