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BD633F" w:rsidR="001416E8" w:rsidP="00BD633F" w14:paraId="40616973" w14:textId="77777777">
      <w:pPr>
        <w:jc w:val="center"/>
        <w:rPr>
          <w:rFonts w:ascii="Times New Roman" w:hAnsi="Times New Roman" w:cs="Times New Roman"/>
          <w:noProof/>
          <w:lang w:val="el-GR"/>
        </w:rPr>
      </w:pPr>
    </w:p>
    <w:p w:rsidRPr="00BD633F" w:rsidR="0098410D" w:rsidP="00BD633F" w14:paraId="60A42809" w14:textId="77777777">
      <w:pPr>
        <w:jc w:val="center"/>
      </w:pPr>
    </w:p>
    <w:p w:rsidRPr="00BD633F" w:rsidR="0098410D" w:rsidP="00BD633F" w14:paraId="14A0C4B4" w14:textId="7BABE708">
      <w:pPr>
        <w:pStyle w:val="DecHTitle"/>
      </w:pPr>
      <w:r w:rsidRPr="00BD633F">
        <w:t>FIRST SECTION</w:t>
      </w:r>
    </w:p>
    <w:p w:rsidRPr="00BD633F" w:rsidR="008E6217" w:rsidP="00BD633F" w14:paraId="76A6E249" w14:textId="657D3EDE">
      <w:pPr>
        <w:pStyle w:val="JuTitle"/>
      </w:pPr>
      <w:r w:rsidRPr="00BD633F">
        <w:rPr>
          <w:color w:val="000000" w:themeColor="text1"/>
        </w:rPr>
        <w:t xml:space="preserve">CASE OF </w:t>
      </w:r>
      <w:r w:rsidRPr="00BD633F" w:rsidR="001416E8">
        <w:t>TOBIJAŃSKI v. POLAND</w:t>
      </w:r>
    </w:p>
    <w:p w:rsidRPr="00BD633F" w:rsidR="00D74888" w:rsidP="00BD633F" w14:paraId="7DBADD2C" w14:textId="642FE2CB">
      <w:pPr>
        <w:pStyle w:val="ECHRCoverTitle4"/>
      </w:pPr>
      <w:r w:rsidRPr="00BD633F">
        <w:t>(</w:t>
      </w:r>
      <w:r w:rsidRPr="00BD633F" w:rsidR="001416E8">
        <w:rPr>
          <w:noProof/>
        </w:rPr>
        <w:t>Application no.</w:t>
      </w:r>
      <w:r w:rsidRPr="00BD633F">
        <w:t xml:space="preserve"> </w:t>
      </w:r>
      <w:r w:rsidRPr="00BD633F" w:rsidR="001416E8">
        <w:t>72520/17</w:t>
      </w:r>
      <w:r w:rsidRPr="00BD633F">
        <w:t>)</w:t>
      </w:r>
    </w:p>
    <w:p w:rsidRPr="00BD633F" w:rsidR="0098410D" w:rsidP="00BD633F" w14:paraId="04C3E3BD" w14:textId="77777777">
      <w:pPr>
        <w:pStyle w:val="DecHCase"/>
      </w:pPr>
    </w:p>
    <w:p w:rsidRPr="00BD633F" w:rsidR="0054716E" w:rsidP="00BD633F" w14:paraId="6A047BC9" w14:textId="77777777">
      <w:pPr>
        <w:pStyle w:val="DecHCase"/>
      </w:pPr>
    </w:p>
    <w:p w:rsidRPr="00BD633F" w:rsidR="0054716E" w:rsidP="00BD633F" w14:paraId="490DBBB7" w14:textId="77777777">
      <w:pPr>
        <w:pStyle w:val="DecHCase"/>
      </w:pPr>
    </w:p>
    <w:p w:rsidRPr="00BD633F" w:rsidR="0098410D" w:rsidP="00BD633F" w14:paraId="2EE73253" w14:textId="77777777">
      <w:pPr>
        <w:pStyle w:val="DecHCase"/>
      </w:pPr>
    </w:p>
    <w:p w:rsidRPr="00BD633F" w:rsidR="00AC4CD4" w:rsidP="00BD633F" w14:paraId="768261A2" w14:textId="77777777">
      <w:pPr>
        <w:pStyle w:val="DecHCase"/>
      </w:pPr>
    </w:p>
    <w:p w:rsidRPr="00BD633F" w:rsidR="0098410D" w:rsidP="00BD633F" w14:paraId="02E868A2" w14:textId="77777777">
      <w:pPr>
        <w:pStyle w:val="DecHCase"/>
      </w:pPr>
    </w:p>
    <w:p w:rsidRPr="00BD633F" w:rsidR="0098410D" w:rsidP="00BD633F" w14:paraId="2902CE2B" w14:textId="5D723F2B">
      <w:pPr>
        <w:pStyle w:val="DecHCase"/>
      </w:pPr>
      <w:r w:rsidRPr="00BD633F">
        <w:t>JUDGMENT</w:t>
      </w:r>
      <w:r w:rsidRPr="00BD633F" w:rsidR="00AC4CD4">
        <w:br/>
      </w:r>
    </w:p>
    <w:p w:rsidRPr="00BD633F" w:rsidR="0098410D" w:rsidP="00BD633F" w14:paraId="6BAC0DC1" w14:textId="77777777">
      <w:pPr>
        <w:pStyle w:val="DecHCase"/>
      </w:pPr>
      <w:r w:rsidRPr="00BD633F">
        <w:t>STRASBOURG</w:t>
      </w:r>
    </w:p>
    <w:p w:rsidRPr="00BD633F" w:rsidR="0098410D" w:rsidP="00BD633F" w14:paraId="4298968E" w14:textId="0805E4B2">
      <w:pPr>
        <w:pStyle w:val="DecHCase"/>
      </w:pPr>
      <w:r w:rsidRPr="00BD633F">
        <w:rPr>
          <w:rFonts w:ascii="Times New Roman" w:hAnsi="Times New Roman" w:cs="Times New Roman"/>
        </w:rPr>
        <w:t>23 January 2025</w:t>
      </w:r>
    </w:p>
    <w:p w:rsidRPr="00BD633F" w:rsidR="00AC4CD4" w:rsidP="00BD633F" w14:paraId="72D49FB9" w14:textId="77777777">
      <w:pPr>
        <w:pStyle w:val="JuPara"/>
      </w:pPr>
    </w:p>
    <w:p w:rsidRPr="00BD633F" w:rsidR="002422B6" w:rsidP="00BD633F" w14:paraId="620069C0" w14:textId="00317B49">
      <w:pPr>
        <w:rPr>
          <w:i/>
          <w:sz w:val="22"/>
        </w:rPr>
      </w:pPr>
      <w:r w:rsidRPr="00BD633F">
        <w:rPr>
          <w:i/>
          <w:sz w:val="22"/>
        </w:rPr>
        <w:t xml:space="preserve">This judgment </w:t>
      </w:r>
      <w:r w:rsidRPr="00BD633F" w:rsidR="001416E8">
        <w:rPr>
          <w:i/>
          <w:noProof/>
          <w:sz w:val="22"/>
        </w:rPr>
        <w:t>is final but it</w:t>
      </w:r>
      <w:r w:rsidRPr="00BD633F">
        <w:rPr>
          <w:i/>
          <w:sz w:val="22"/>
        </w:rPr>
        <w:t xml:space="preserve"> may be subject to editorial revision.</w:t>
      </w:r>
    </w:p>
    <w:p w:rsidRPr="00BD633F" w:rsidR="0098410D" w:rsidP="00BD633F" w14:paraId="44E5DA2B" w14:textId="77777777">
      <w:pPr>
        <w:sectPr w:rsidSect="00D66471">
          <w:headerReference w:type="default" r:id="rId6"/>
          <w:footerReference w:type="default" r:id="rId7"/>
          <w:headerReference w:type="first" r:id="rId8"/>
          <w:footerReference w:type="first" r:id="rId9"/>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BD633F" w:rsidR="0098410D" w:rsidP="00BD633F" w14:paraId="40EF8148" w14:textId="6ADCF8B4">
      <w:pPr>
        <w:pStyle w:val="JuCase"/>
      </w:pPr>
      <w:r w:rsidRPr="00BD633F">
        <w:t xml:space="preserve">In the case of </w:t>
      </w:r>
      <w:r w:rsidRPr="00BD633F" w:rsidR="001416E8">
        <w:t>Tobijański</w:t>
      </w:r>
      <w:r w:rsidRPr="00BD633F" w:rsidR="001416E8">
        <w:t xml:space="preserve"> v. Poland</w:t>
      </w:r>
      <w:r w:rsidRPr="00BD633F">
        <w:t>,</w:t>
      </w:r>
    </w:p>
    <w:p w:rsidRPr="00BD633F" w:rsidR="009F4C8F" w:rsidP="00BD633F" w14:paraId="3F3F82F2" w14:textId="3FD23E33">
      <w:pPr>
        <w:pStyle w:val="JuPara"/>
      </w:pPr>
      <w:r w:rsidRPr="00BD633F">
        <w:t>The European Court of Human Rights (</w:t>
      </w:r>
      <w:r w:rsidRPr="00BD633F" w:rsidR="001416E8">
        <w:t>First Section</w:t>
      </w:r>
      <w:r w:rsidRPr="00BD633F">
        <w:t xml:space="preserve">), sitting as a </w:t>
      </w:r>
      <w:r w:rsidRPr="00BD633F" w:rsidR="001416E8">
        <w:rPr>
          <w:noProof/>
        </w:rPr>
        <w:t>Committee</w:t>
      </w:r>
      <w:r w:rsidRPr="00BD633F">
        <w:t xml:space="preserve"> composed of:</w:t>
      </w:r>
    </w:p>
    <w:p w:rsidRPr="00BD633F" w:rsidR="00A92625" w:rsidP="00BD633F" w14:paraId="028F44F3" w14:textId="62A3EFED">
      <w:pPr>
        <w:pStyle w:val="JuJudges"/>
      </w:pPr>
      <w:r w:rsidRPr="00BD633F">
        <w:tab/>
        <w:t xml:space="preserve">Alena </w:t>
      </w:r>
      <w:r w:rsidRPr="00BD633F">
        <w:t>Poláčková</w:t>
      </w:r>
      <w:r w:rsidRPr="00BD633F">
        <w:rPr>
          <w:i/>
        </w:rPr>
        <w:t>, President</w:t>
      </w:r>
      <w:r w:rsidRPr="00BD633F">
        <w:t>,</w:t>
      </w:r>
      <w:r w:rsidRPr="00BD633F">
        <w:br/>
      </w:r>
      <w:r w:rsidRPr="00BD633F">
        <w:tab/>
        <w:t xml:space="preserve">Krzysztof </w:t>
      </w:r>
      <w:r w:rsidRPr="00BD633F">
        <w:t>Wojtyczek</w:t>
      </w:r>
      <w:r w:rsidRPr="00BD633F">
        <w:t>,</w:t>
      </w:r>
      <w:r w:rsidRPr="00BD633F">
        <w:br/>
      </w:r>
      <w:r w:rsidRPr="00BD633F">
        <w:tab/>
      </w:r>
      <w:r w:rsidRPr="00BD633F">
        <w:t>Artūrs</w:t>
      </w:r>
      <w:r w:rsidRPr="00BD633F">
        <w:t xml:space="preserve"> </w:t>
      </w:r>
      <w:r w:rsidRPr="00BD633F">
        <w:t>Kučs</w:t>
      </w:r>
      <w:r w:rsidRPr="00BD633F">
        <w:rPr>
          <w:i/>
        </w:rPr>
        <w:t>, judges</w:t>
      </w:r>
      <w:r w:rsidRPr="00BD633F">
        <w:t>,</w:t>
      </w:r>
      <w:r w:rsidRPr="00BD633F" w:rsidR="009F4C8F">
        <w:br/>
        <w:t>and</w:t>
      </w:r>
      <w:r w:rsidRPr="00BD633F" w:rsidR="005C2C62">
        <w:t xml:space="preserve"> </w:t>
      </w:r>
      <w:r w:rsidRPr="00BD633F" w:rsidR="001416E8">
        <w:rPr>
          <w:rFonts w:eastAsia="PMingLiU"/>
          <w:noProof/>
        </w:rPr>
        <w:t>Liv Tigerstedt</w:t>
      </w:r>
      <w:r w:rsidRPr="00BD633F">
        <w:t xml:space="preserve">, </w:t>
      </w:r>
      <w:r w:rsidRPr="00BD633F" w:rsidR="001416E8">
        <w:rPr>
          <w:i/>
          <w:iCs/>
          <w:noProof/>
        </w:rPr>
        <w:t xml:space="preserve">Deputy </w:t>
      </w:r>
      <w:r w:rsidRPr="00BD633F" w:rsidR="00E744E0">
        <w:rPr>
          <w:i/>
        </w:rPr>
        <w:t xml:space="preserve">Section </w:t>
      </w:r>
      <w:r w:rsidRPr="00BD633F" w:rsidR="00E744E0">
        <w:rPr>
          <w:i/>
          <w:iCs/>
        </w:rPr>
        <w:t>Registrar</w:t>
      </w:r>
      <w:r w:rsidRPr="00BD633F" w:rsidR="008F2465">
        <w:rPr>
          <w:i/>
        </w:rPr>
        <w:t>,</w:t>
      </w:r>
    </w:p>
    <w:p w:rsidRPr="00BD633F" w:rsidR="001416E8" w:rsidP="00BD633F" w14:paraId="4D54D93F" w14:textId="77777777">
      <w:pPr>
        <w:pStyle w:val="JuPara"/>
      </w:pPr>
      <w:r w:rsidRPr="00BD633F">
        <w:t>Having regard to:</w:t>
      </w:r>
    </w:p>
    <w:p w:rsidRPr="00BD633F" w:rsidR="001416E8" w:rsidP="00BD633F" w14:paraId="4B1F1DDB" w14:textId="395C99B4">
      <w:pPr>
        <w:pStyle w:val="JuPara"/>
      </w:pPr>
      <w:r w:rsidRPr="00BD633F">
        <w:t>the application (no. 72520/17) against the Republic of Poland lodged with the Court under Article 34 of the Convention for the Protection of Human Rights and Fundamental Freedoms (“the Convention”) on 29</w:t>
      </w:r>
      <w:r w:rsidRPr="00BD633F" w:rsidR="003C1E88">
        <w:t> </w:t>
      </w:r>
      <w:r w:rsidRPr="00BD633F">
        <w:t xml:space="preserve">September 2017 by a Polish national, Mr Janusz </w:t>
      </w:r>
      <w:r w:rsidRPr="00BD633F">
        <w:t>Tobijański</w:t>
      </w:r>
      <w:r w:rsidRPr="00BD633F">
        <w:t xml:space="preserve"> (“the applicant”), who was born in 1960, lives </w:t>
      </w:r>
      <w:r w:rsidRPr="00BD633F">
        <w:rPr>
          <w:rFonts w:cstheme="minorHAnsi"/>
        </w:rPr>
        <w:t xml:space="preserve">in </w:t>
      </w:r>
      <w:r w:rsidRPr="00BD633F">
        <w:rPr>
          <w:rFonts w:cstheme="minorHAnsi"/>
        </w:rPr>
        <w:t>Częstochowa</w:t>
      </w:r>
      <w:r w:rsidRPr="00BD633F">
        <w:rPr>
          <w:rFonts w:cstheme="minorHAnsi"/>
        </w:rPr>
        <w:t xml:space="preserve"> and was represented by Ms</w:t>
      </w:r>
      <w:r w:rsidRPr="00BD633F" w:rsidR="003C1E88">
        <w:rPr>
          <w:rFonts w:cstheme="minorHAnsi"/>
        </w:rPr>
        <w:t> </w:t>
      </w:r>
      <w:r w:rsidRPr="00BD633F">
        <w:rPr>
          <w:rFonts w:cstheme="minorHAnsi"/>
        </w:rPr>
        <w:t>M.</w:t>
      </w:r>
      <w:r w:rsidRPr="00BD633F" w:rsidR="003C1E88">
        <w:rPr>
          <w:rFonts w:cstheme="minorHAnsi"/>
        </w:rPr>
        <w:t> </w:t>
      </w:r>
      <w:r w:rsidRPr="00BD633F">
        <w:rPr>
          <w:rFonts w:cstheme="minorHAnsi"/>
        </w:rPr>
        <w:t>Dunder</w:t>
      </w:r>
      <w:r w:rsidRPr="00BD633F">
        <w:rPr>
          <w:rFonts w:cstheme="minorHAnsi"/>
        </w:rPr>
        <w:t xml:space="preserve">, a lawyer practising in </w:t>
      </w:r>
      <w:r w:rsidRPr="00BD633F">
        <w:rPr>
          <w:rFonts w:cstheme="minorHAnsi"/>
        </w:rPr>
        <w:t>Częstochowa</w:t>
      </w:r>
      <w:r w:rsidRPr="00BD633F">
        <w:rPr>
          <w:rFonts w:cstheme="minorHAnsi"/>
        </w:rPr>
        <w:t>;</w:t>
      </w:r>
    </w:p>
    <w:p w:rsidRPr="00BD633F" w:rsidR="001416E8" w:rsidP="00BD633F" w14:paraId="03C92E7B" w14:textId="77777777">
      <w:pPr>
        <w:pStyle w:val="JuPara"/>
      </w:pPr>
      <w:r w:rsidRPr="00BD633F">
        <w:t xml:space="preserve">the decision to give notice of the application to the Polish Government (“the Government”), represented by their Agent, Mr J. Sobczak of the Ministry of Foreign </w:t>
      </w:r>
      <w:r w:rsidRPr="00BD633F">
        <w:t>Affairs;</w:t>
      </w:r>
    </w:p>
    <w:p w:rsidRPr="00BD633F" w:rsidR="001416E8" w:rsidP="00BD633F" w14:paraId="5808E8F1" w14:textId="66B31906">
      <w:pPr>
        <w:pStyle w:val="JuPara"/>
      </w:pPr>
      <w:r w:rsidRPr="00BD633F">
        <w:t>the parties</w:t>
      </w:r>
      <w:r w:rsidRPr="00BD633F" w:rsidR="00BD633F">
        <w:t>’</w:t>
      </w:r>
      <w:r w:rsidRPr="00BD633F">
        <w:t xml:space="preserve"> </w:t>
      </w:r>
      <w:r w:rsidRPr="00BD633F">
        <w:t>observations;</w:t>
      </w:r>
    </w:p>
    <w:p w:rsidRPr="00BD633F" w:rsidR="009F4C8F" w:rsidP="00BD633F" w14:paraId="0D903194" w14:textId="79C03265">
      <w:pPr>
        <w:pStyle w:val="JuPara"/>
      </w:pPr>
      <w:r w:rsidRPr="00BD633F">
        <w:t xml:space="preserve">Having deliberated in private on </w:t>
      </w:r>
      <w:r w:rsidRPr="00BD633F" w:rsidR="001416E8">
        <w:t>12 December 2024</w:t>
      </w:r>
      <w:r w:rsidRPr="00BD633F">
        <w:t>,</w:t>
      </w:r>
    </w:p>
    <w:p w:rsidRPr="00BD633F" w:rsidR="009F4C8F" w:rsidP="00BD633F" w14:paraId="6FCAA9D1" w14:textId="77777777">
      <w:pPr>
        <w:pStyle w:val="JuPara"/>
      </w:pPr>
      <w:r w:rsidRPr="00BD633F">
        <w:t>Delivers the following judgment, which was adopted on that date:</w:t>
      </w:r>
    </w:p>
    <w:p w:rsidRPr="00BD633F" w:rsidR="001416E8" w:rsidP="00BD633F" w14:paraId="4CE1B9D3" w14:textId="25EB617A">
      <w:pPr>
        <w:pStyle w:val="JuHHead"/>
        <w:numPr>
          <w:ilvl w:val="0"/>
          <w:numId w:val="0"/>
        </w:numPr>
      </w:pPr>
      <w:r w:rsidRPr="00BD633F">
        <w:t>SUBJECT MATTER OF THE CASE</w:t>
      </w:r>
    </w:p>
    <w:p w:rsidRPr="00BD633F" w:rsidR="001416E8" w:rsidP="00BD633F" w14:paraId="15AB3283" w14:textId="0D52CBA0">
      <w:pPr>
        <w:pStyle w:val="JuPara"/>
      </w:pPr>
      <w:r>
        <w:fldChar w:fldCharType="begin"/>
      </w:r>
      <w:r>
        <w:instrText xml:space="preserve"> SEQ level0 \*arabic \* MERGEFORMAT </w:instrText>
      </w:r>
      <w:r>
        <w:fldChar w:fldCharType="separate"/>
      </w:r>
      <w:r w:rsidRPr="00BD633F" w:rsidR="00BD633F">
        <w:rPr>
          <w:noProof/>
        </w:rPr>
        <w:t>1</w:t>
      </w:r>
      <w:r w:rsidRPr="00BD633F" w:rsidR="00BD633F">
        <w:rPr>
          <w:noProof/>
        </w:rPr>
        <w:fldChar w:fldCharType="end"/>
      </w:r>
      <w:r w:rsidRPr="00BD633F">
        <w:t xml:space="preserve">.  The application concerns the alleged unfairness of the criminal proceedings against the applicant </w:t>
      </w:r>
      <w:r w:rsidRPr="00BD633F">
        <w:t>owing to the fact that</w:t>
      </w:r>
      <w:r w:rsidRPr="00BD633F">
        <w:t xml:space="preserve"> he could not attend the only hearing held before the Court of Appeal.</w:t>
      </w:r>
    </w:p>
    <w:p w:rsidRPr="00BD633F" w:rsidR="001416E8" w:rsidP="00BD633F" w14:paraId="7AF0DC1E" w14:textId="25ADEEBD">
      <w:pPr>
        <w:pStyle w:val="JuPara"/>
      </w:pPr>
      <w:r>
        <w:fldChar w:fldCharType="begin"/>
      </w:r>
      <w:r>
        <w:instrText xml:space="preserve"> SEQ level0 \*arabic \* MERGEFORMAT </w:instrText>
      </w:r>
      <w:r>
        <w:fldChar w:fldCharType="separate"/>
      </w:r>
      <w:r w:rsidRPr="00BD633F" w:rsidR="00BD633F">
        <w:rPr>
          <w:noProof/>
        </w:rPr>
        <w:t>2</w:t>
      </w:r>
      <w:r w:rsidRPr="00BD633F" w:rsidR="00BD633F">
        <w:rPr>
          <w:noProof/>
        </w:rPr>
        <w:fldChar w:fldCharType="end"/>
      </w:r>
      <w:r w:rsidRPr="00BD633F">
        <w:t>.  On 29 June 2010 the applicant together with three other persons was charged with fraud in relation to an object of significant value.</w:t>
      </w:r>
    </w:p>
    <w:p w:rsidRPr="00BD633F" w:rsidR="001416E8" w:rsidP="00BD633F" w14:paraId="03D1F899" w14:textId="0FB8F5DF">
      <w:pPr>
        <w:pStyle w:val="JuPara"/>
      </w:pPr>
      <w:r>
        <w:fldChar w:fldCharType="begin"/>
      </w:r>
      <w:r>
        <w:instrText xml:space="preserve"> SEQ level0 \*arabic \* MERGEFORMAT </w:instrText>
      </w:r>
      <w:r>
        <w:fldChar w:fldCharType="separate"/>
      </w:r>
      <w:r w:rsidRPr="00BD633F" w:rsidR="00BD633F">
        <w:rPr>
          <w:noProof/>
        </w:rPr>
        <w:t>3</w:t>
      </w:r>
      <w:r w:rsidRPr="00BD633F" w:rsidR="00BD633F">
        <w:rPr>
          <w:noProof/>
        </w:rPr>
        <w:fldChar w:fldCharType="end"/>
      </w:r>
      <w:r w:rsidRPr="00BD633F">
        <w:t xml:space="preserve">.  On 20 February 2012 the </w:t>
      </w:r>
      <w:r w:rsidRPr="00BD633F">
        <w:t>Częstochowa</w:t>
      </w:r>
      <w:r w:rsidRPr="00BD633F">
        <w:t xml:space="preserve"> Regional Court convicted the applicant of the use of a document attesting untruth (</w:t>
      </w:r>
      <w:r w:rsidRPr="00BD633F">
        <w:rPr>
          <w:i/>
          <w:iCs/>
        </w:rPr>
        <w:t>po</w:t>
      </w:r>
      <w:r w:rsidRPr="00BD633F">
        <w:rPr>
          <w:rFonts w:cstheme="minorHAnsi"/>
          <w:i/>
          <w:iCs/>
        </w:rPr>
        <w:t>ś</w:t>
      </w:r>
      <w:r w:rsidRPr="00BD633F">
        <w:rPr>
          <w:i/>
          <w:iCs/>
        </w:rPr>
        <w:t>wiadczenie</w:t>
      </w:r>
      <w:r w:rsidRPr="00BD633F">
        <w:rPr>
          <w:i/>
          <w:iCs/>
        </w:rPr>
        <w:t xml:space="preserve"> </w:t>
      </w:r>
      <w:r w:rsidRPr="00BD633F">
        <w:rPr>
          <w:i/>
          <w:iCs/>
        </w:rPr>
        <w:t>nieprawdy</w:t>
      </w:r>
      <w:r w:rsidRPr="00BD633F">
        <w:t>) and forgery.</w:t>
      </w:r>
    </w:p>
    <w:p w:rsidRPr="00BD633F" w:rsidR="001416E8" w:rsidP="00BD633F" w14:paraId="4B61B710" w14:textId="0270EF80">
      <w:pPr>
        <w:pStyle w:val="JuPara"/>
      </w:pPr>
      <w:r>
        <w:fldChar w:fldCharType="begin"/>
      </w:r>
      <w:r>
        <w:instrText xml:space="preserve"> SEQ level0 \*arabic \* MERGEFORMAT </w:instrText>
      </w:r>
      <w:r>
        <w:fldChar w:fldCharType="separate"/>
      </w:r>
      <w:r w:rsidRPr="00BD633F" w:rsidR="00BD633F">
        <w:rPr>
          <w:noProof/>
        </w:rPr>
        <w:t>4</w:t>
      </w:r>
      <w:r w:rsidRPr="00BD633F" w:rsidR="00BD633F">
        <w:rPr>
          <w:noProof/>
        </w:rPr>
        <w:fldChar w:fldCharType="end"/>
      </w:r>
      <w:r w:rsidRPr="00BD633F">
        <w:t>.  On 8 November 2012, on the applicant</w:t>
      </w:r>
      <w:r w:rsidRPr="00BD633F" w:rsidR="00BD633F">
        <w:t>’</w:t>
      </w:r>
      <w:r w:rsidRPr="00BD633F">
        <w:t>s appeal, the Katowice Court of Appeal quashed the first-instance judgment and remitted the case.</w:t>
      </w:r>
    </w:p>
    <w:p w:rsidRPr="00BD633F" w:rsidR="001416E8" w:rsidP="00BD633F" w14:paraId="5B3EFA8E" w14:textId="2B89CD8C">
      <w:pPr>
        <w:pStyle w:val="JuPara"/>
      </w:pPr>
      <w:r>
        <w:fldChar w:fldCharType="begin"/>
      </w:r>
      <w:r>
        <w:instrText xml:space="preserve"> SEQ level0 \*arabic \* MERGEFORMAT </w:instrText>
      </w:r>
      <w:r>
        <w:fldChar w:fldCharType="separate"/>
      </w:r>
      <w:r w:rsidRPr="00BD633F" w:rsidR="00BD633F">
        <w:rPr>
          <w:noProof/>
        </w:rPr>
        <w:t>5</w:t>
      </w:r>
      <w:r w:rsidRPr="00BD633F" w:rsidR="00BD633F">
        <w:rPr>
          <w:noProof/>
        </w:rPr>
        <w:fldChar w:fldCharType="end"/>
      </w:r>
      <w:r w:rsidRPr="00BD633F">
        <w:t xml:space="preserve">.  On 12 March 2015 the </w:t>
      </w:r>
      <w:r w:rsidRPr="00BD633F">
        <w:t>Częstochowa</w:t>
      </w:r>
      <w:r w:rsidRPr="00BD633F">
        <w:t xml:space="preserve"> Regional Court convicted the applicant as charged and ordered him to pay a fine in the total amount of 20,000 Polish zlotys (approximately 5,000 euros).</w:t>
      </w:r>
    </w:p>
    <w:p w:rsidRPr="00BD633F" w:rsidR="001416E8" w:rsidP="00BD633F" w14:paraId="10368655" w14:textId="4F4595BC">
      <w:pPr>
        <w:pStyle w:val="JuPara"/>
      </w:pPr>
      <w:r>
        <w:fldChar w:fldCharType="begin"/>
      </w:r>
      <w:r>
        <w:instrText xml:space="preserve"> SEQ level0 \*arabic \* MERGEFORMAT </w:instrText>
      </w:r>
      <w:r>
        <w:fldChar w:fldCharType="separate"/>
      </w:r>
      <w:r w:rsidRPr="00BD633F" w:rsidR="00BD633F">
        <w:rPr>
          <w:noProof/>
        </w:rPr>
        <w:t>6</w:t>
      </w:r>
      <w:r w:rsidRPr="00BD633F" w:rsidR="00BD633F">
        <w:rPr>
          <w:noProof/>
        </w:rPr>
        <w:fldChar w:fldCharType="end"/>
      </w:r>
      <w:r w:rsidRPr="00BD633F">
        <w:t>.  On 14 April 2015 the applicant</w:t>
      </w:r>
      <w:r w:rsidRPr="00BD633F" w:rsidR="00BD633F">
        <w:t>’</w:t>
      </w:r>
      <w:r w:rsidRPr="00BD633F">
        <w:t>s lawyer lodged an appeal against this judgment.</w:t>
      </w:r>
      <w:r w:rsidRPr="00BD633F" w:rsidR="00CF7C1D">
        <w:rPr>
          <w:i/>
          <w:iCs/>
        </w:rPr>
        <w:t xml:space="preserve"> </w:t>
      </w:r>
      <w:r w:rsidRPr="00BD633F">
        <w:t>The appeal referred to the assessment of evidence and the fact that the court of first instance had not heard the evidence from certain witnesses.</w:t>
      </w:r>
    </w:p>
    <w:p w:rsidRPr="00BD633F" w:rsidR="001416E8" w:rsidP="00BD633F" w14:paraId="3380EF05" w14:textId="09D48D52">
      <w:pPr>
        <w:pStyle w:val="JuPara"/>
      </w:pPr>
      <w:r>
        <w:fldChar w:fldCharType="begin"/>
      </w:r>
      <w:r>
        <w:instrText xml:space="preserve"> SEQ level0 \*arabic \* MERGEFORMAT </w:instrText>
      </w:r>
      <w:r>
        <w:fldChar w:fldCharType="separate"/>
      </w:r>
      <w:r w:rsidRPr="00BD633F" w:rsidR="00BD633F">
        <w:rPr>
          <w:noProof/>
        </w:rPr>
        <w:t>7</w:t>
      </w:r>
      <w:r w:rsidRPr="00BD633F" w:rsidR="00BD633F">
        <w:rPr>
          <w:noProof/>
        </w:rPr>
        <w:fldChar w:fldCharType="end"/>
      </w:r>
      <w:r w:rsidRPr="00BD633F">
        <w:t>.  The hearing before the Katowice Court of Appeal was set for 2 October</w:t>
      </w:r>
      <w:r w:rsidRPr="00BD633F" w:rsidR="00BD633F">
        <w:t xml:space="preserve"> </w:t>
      </w:r>
      <w:r w:rsidRPr="00BD633F">
        <w:t>2015 and the parties were notified thereof.</w:t>
      </w:r>
    </w:p>
    <w:p w:rsidRPr="00BD633F" w:rsidR="001416E8" w:rsidP="00BD633F" w14:paraId="63A3CFE9" w14:textId="55ABB077">
      <w:pPr>
        <w:pStyle w:val="JuPara"/>
      </w:pPr>
      <w:r>
        <w:fldChar w:fldCharType="begin"/>
      </w:r>
      <w:r>
        <w:instrText xml:space="preserve"> SEQ level0 \*arabic \* MERGEFORMAT </w:instrText>
      </w:r>
      <w:r>
        <w:fldChar w:fldCharType="separate"/>
      </w:r>
      <w:r w:rsidRPr="00BD633F" w:rsidR="00BD633F">
        <w:rPr>
          <w:noProof/>
        </w:rPr>
        <w:t>8</w:t>
      </w:r>
      <w:r w:rsidRPr="00BD633F" w:rsidR="00BD633F">
        <w:rPr>
          <w:noProof/>
        </w:rPr>
        <w:fldChar w:fldCharType="end"/>
      </w:r>
      <w:r w:rsidRPr="00BD633F">
        <w:t>.  On 14 September 2015 the applicant</w:t>
      </w:r>
      <w:r w:rsidRPr="00BD633F" w:rsidR="00BD633F">
        <w:t>’</w:t>
      </w:r>
      <w:r w:rsidRPr="00BD633F">
        <w:t>s defence lawyer informed the court that he was not authorised to represent the applicant at the appeal hearing.</w:t>
      </w:r>
    </w:p>
    <w:p w:rsidRPr="00BD633F" w:rsidR="001416E8" w:rsidP="00BD633F" w14:paraId="7080FEB3" w14:textId="3BEDB512">
      <w:pPr>
        <w:pStyle w:val="JuPara"/>
      </w:pPr>
      <w:r>
        <w:fldChar w:fldCharType="begin"/>
      </w:r>
      <w:r>
        <w:instrText xml:space="preserve"> SEQ level0 \*arabic \* MERGEFORMAT </w:instrText>
      </w:r>
      <w:r>
        <w:fldChar w:fldCharType="separate"/>
      </w:r>
      <w:r w:rsidRPr="00BD633F" w:rsidR="00BD633F">
        <w:rPr>
          <w:noProof/>
        </w:rPr>
        <w:t>9</w:t>
      </w:r>
      <w:r w:rsidRPr="00BD633F" w:rsidR="00BD633F">
        <w:rPr>
          <w:noProof/>
        </w:rPr>
        <w:fldChar w:fldCharType="end"/>
      </w:r>
      <w:r w:rsidRPr="00BD633F">
        <w:t>.  On 1 October 2015 the applicant sent a letter to the Court of Appeal asking to adjourn the hearing on the grounds that he had been urgently admitted to hospital the day before. He stated that the expected period of his stay in the hospital was seven days. He also stressed that he was not represented by a lawyer in the appeal proceedings. His submission was supported by a certificate issued by the hospital and a statement from a medical consultant.</w:t>
      </w:r>
    </w:p>
    <w:p w:rsidRPr="00BD633F" w:rsidR="001416E8" w:rsidP="00BD633F" w14:paraId="3282F95F" w14:textId="5AC9463B">
      <w:pPr>
        <w:pStyle w:val="JuPara"/>
      </w:pPr>
      <w:r>
        <w:fldChar w:fldCharType="begin"/>
      </w:r>
      <w:r>
        <w:instrText xml:space="preserve"> SEQ level0 \*arabic \* MERGEFORMAT </w:instrText>
      </w:r>
      <w:r>
        <w:fldChar w:fldCharType="separate"/>
      </w:r>
      <w:r w:rsidRPr="00BD633F" w:rsidR="00BD633F">
        <w:rPr>
          <w:noProof/>
        </w:rPr>
        <w:t>10</w:t>
      </w:r>
      <w:r w:rsidRPr="00BD633F" w:rsidR="00BD633F">
        <w:rPr>
          <w:noProof/>
        </w:rPr>
        <w:fldChar w:fldCharType="end"/>
      </w:r>
      <w:r w:rsidRPr="00BD633F">
        <w:t>.  The president of the Criminal Division of the Court of Appeal sent a fax to the hospital requesting information on the applicant</w:t>
      </w:r>
      <w:r w:rsidRPr="00BD633F" w:rsidR="00BD633F">
        <w:t>’</w:t>
      </w:r>
      <w:r w:rsidRPr="00BD633F">
        <w:t>s illness. In reply, on the same day, the head of the internal medicine division of the Czestochowa Hospital stated that the applicant could not travel to the hearing scheduled for 2 October 2015.</w:t>
      </w:r>
    </w:p>
    <w:p w:rsidRPr="00BD633F" w:rsidR="001416E8" w:rsidP="00BD633F" w14:paraId="17D7B04A" w14:textId="036B0A7F">
      <w:pPr>
        <w:pStyle w:val="JuPara"/>
      </w:pPr>
      <w:r>
        <w:fldChar w:fldCharType="begin"/>
      </w:r>
      <w:r>
        <w:instrText xml:space="preserve"> SEQ level0 \*arabic \* MERGEFORMAT </w:instrText>
      </w:r>
      <w:r>
        <w:fldChar w:fldCharType="separate"/>
      </w:r>
      <w:r w:rsidRPr="00BD633F" w:rsidR="00BD633F">
        <w:rPr>
          <w:noProof/>
        </w:rPr>
        <w:t>11</w:t>
      </w:r>
      <w:r w:rsidRPr="00BD633F" w:rsidR="00BD633F">
        <w:rPr>
          <w:noProof/>
        </w:rPr>
        <w:fldChar w:fldCharType="end"/>
      </w:r>
      <w:r w:rsidRPr="00BD633F">
        <w:t>.  At the hearing held on 2 October 2015 the judge read out the applicant</w:t>
      </w:r>
      <w:r w:rsidRPr="00BD633F" w:rsidR="00BD633F">
        <w:t>’</w:t>
      </w:r>
      <w:r w:rsidRPr="00BD633F">
        <w:t>s letter. The prosecutor asked the court to dismiss the applicant</w:t>
      </w:r>
      <w:r w:rsidRPr="00BD633F" w:rsidR="00BD633F">
        <w:t>’</w:t>
      </w:r>
      <w:r w:rsidRPr="00BD633F">
        <w:t>s request as he had failed to justify his absence in accordance with the law. Subsequently, the court dismissed the applicant</w:t>
      </w:r>
      <w:r w:rsidRPr="00BD633F" w:rsidR="00BD633F">
        <w:t>’</w:t>
      </w:r>
      <w:r w:rsidRPr="00BD633F">
        <w:t>s request on the grounds that he had not submitted a certificate prepared by a court</w:t>
      </w:r>
      <w:r w:rsidRPr="00BD633F">
        <w:noBreakHyphen/>
        <w:t>appointed doctor (Article</w:t>
      </w:r>
      <w:r w:rsidRPr="00BD633F" w:rsidR="0030066F">
        <w:t> </w:t>
      </w:r>
      <w:r w:rsidRPr="00BD633F">
        <w:t>117 § 2a of the Code of the Criminal Procedure – “CCP”). It also observed that it did not appear that the applicant</w:t>
      </w:r>
      <w:r w:rsidRPr="00BD633F" w:rsidR="00BD633F">
        <w:t>’</w:t>
      </w:r>
      <w:r w:rsidRPr="00BD633F">
        <w:t>s failure to appear had been caused by extraordinary impediment. It further upheld the first-instance judgment amending only the legal qualification of the offence in question.</w:t>
      </w:r>
    </w:p>
    <w:p w:rsidRPr="00BD633F" w:rsidR="001416E8" w:rsidP="00BD633F" w14:paraId="3FF8AD9D" w14:textId="56084B26">
      <w:pPr>
        <w:pStyle w:val="JuPara"/>
      </w:pPr>
      <w:r>
        <w:fldChar w:fldCharType="begin"/>
      </w:r>
      <w:r>
        <w:instrText xml:space="preserve"> SEQ level0 \*arabic \* MERGEFORMAT </w:instrText>
      </w:r>
      <w:r>
        <w:fldChar w:fldCharType="separate"/>
      </w:r>
      <w:r w:rsidRPr="00BD633F" w:rsidR="00BD633F">
        <w:rPr>
          <w:noProof/>
        </w:rPr>
        <w:t>12</w:t>
      </w:r>
      <w:r w:rsidRPr="00BD633F" w:rsidR="00BD633F">
        <w:rPr>
          <w:noProof/>
        </w:rPr>
        <w:fldChar w:fldCharType="end"/>
      </w:r>
      <w:r w:rsidRPr="00BD633F">
        <w:t>.  On 2 November 2015 the Polish Commissioner for Human Rights (“the Commissioner”) informed the Regional Court that the case files had been sent to the Supreme Court in connection with a cassation appeal which the Commissioner had lodged on the applicant</w:t>
      </w:r>
      <w:r w:rsidRPr="00BD633F" w:rsidR="00BD633F">
        <w:t>’</w:t>
      </w:r>
      <w:r w:rsidRPr="00BD633F">
        <w:t>s behalf.</w:t>
      </w:r>
    </w:p>
    <w:p w:rsidRPr="00BD633F" w:rsidR="001416E8" w:rsidP="00BD633F" w14:paraId="3F457E96" w14:textId="516BD8DD">
      <w:pPr>
        <w:pStyle w:val="JuPara"/>
      </w:pPr>
      <w:r>
        <w:fldChar w:fldCharType="begin"/>
      </w:r>
      <w:r>
        <w:instrText xml:space="preserve"> SEQ level0 \*arabic \* MERGEFORMAT </w:instrText>
      </w:r>
      <w:r>
        <w:fldChar w:fldCharType="separate"/>
      </w:r>
      <w:r w:rsidRPr="00BD633F" w:rsidR="00BD633F">
        <w:rPr>
          <w:noProof/>
        </w:rPr>
        <w:t>13</w:t>
      </w:r>
      <w:r w:rsidRPr="00BD633F" w:rsidR="00BD633F">
        <w:rPr>
          <w:noProof/>
        </w:rPr>
        <w:fldChar w:fldCharType="end"/>
      </w:r>
      <w:r w:rsidRPr="00BD633F">
        <w:t>.  In the cassation appeal the Commissioner alleged a gross breach of the criminal proceedings since the Court of Appeal had conducted the appeal hearing in the applicant</w:t>
      </w:r>
      <w:r w:rsidRPr="00BD633F" w:rsidR="00BD633F">
        <w:t>’</w:t>
      </w:r>
      <w:r w:rsidRPr="00BD633F">
        <w:t xml:space="preserve">s absence, </w:t>
      </w:r>
      <w:r w:rsidRPr="00BD633F">
        <w:t>despite the fact that</w:t>
      </w:r>
      <w:r w:rsidRPr="00BD633F">
        <w:t xml:space="preserve"> the applicant had been hospitalised and had expressed a wish to provide additional explanations.</w:t>
      </w:r>
    </w:p>
    <w:p w:rsidRPr="00BD633F" w:rsidR="001416E8" w:rsidP="00BD633F" w14:paraId="32FD008D" w14:textId="331CE563">
      <w:pPr>
        <w:pStyle w:val="JuPara"/>
      </w:pPr>
      <w:r>
        <w:fldChar w:fldCharType="begin"/>
      </w:r>
      <w:r>
        <w:instrText xml:space="preserve"> SEQ level0 \*arabic \* MERGEFORMAT </w:instrText>
      </w:r>
      <w:r>
        <w:fldChar w:fldCharType="separate"/>
      </w:r>
      <w:r w:rsidRPr="00BD633F" w:rsidR="00BD633F">
        <w:rPr>
          <w:noProof/>
        </w:rPr>
        <w:t>14</w:t>
      </w:r>
      <w:r w:rsidRPr="00BD633F" w:rsidR="00BD633F">
        <w:rPr>
          <w:noProof/>
        </w:rPr>
        <w:fldChar w:fldCharType="end"/>
      </w:r>
      <w:r w:rsidRPr="00BD633F">
        <w:t>.  The cassation appeal was dismissed by the Supreme Court on 29 March</w:t>
      </w:r>
      <w:r w:rsidRPr="00BD633F" w:rsidR="00BD633F">
        <w:t xml:space="preserve"> </w:t>
      </w:r>
      <w:r w:rsidRPr="00BD633F">
        <w:t>2017 (served on the applicant on 14 April 2017). Pursuant to the relevant provisions of the CCP that decision did not contain any written reasoning.</w:t>
      </w:r>
    </w:p>
    <w:p w:rsidRPr="00BD633F" w:rsidR="001416E8" w:rsidP="00BD633F" w14:paraId="533D2742" w14:textId="2FB632AF">
      <w:pPr>
        <w:pStyle w:val="JuPara"/>
      </w:pPr>
      <w:r>
        <w:fldChar w:fldCharType="begin"/>
      </w:r>
      <w:r>
        <w:instrText xml:space="preserve"> SEQ level0 \*arabic \* MERGEFORMAT </w:instrText>
      </w:r>
      <w:r>
        <w:fldChar w:fldCharType="separate"/>
      </w:r>
      <w:r w:rsidRPr="00BD633F" w:rsidR="00BD633F">
        <w:rPr>
          <w:noProof/>
        </w:rPr>
        <w:t>15</w:t>
      </w:r>
      <w:r w:rsidRPr="00BD633F" w:rsidR="00BD633F">
        <w:rPr>
          <w:noProof/>
        </w:rPr>
        <w:fldChar w:fldCharType="end"/>
      </w:r>
      <w:r w:rsidRPr="00BD633F">
        <w:t>.  The applicant complained under Article 6 §§ 1 and 3</w:t>
      </w:r>
      <w:r w:rsidRPr="00BD633F" w:rsidR="0030066F">
        <w:t xml:space="preserve"> </w:t>
      </w:r>
      <w:r w:rsidRPr="00BD633F">
        <w:t xml:space="preserve">(c) of the Convention that his right to a fair trial </w:t>
      </w:r>
      <w:r w:rsidRPr="00BD633F">
        <w:t>had been breached because the Court of Appeal had examined an appeal against his conviction in his absence.</w:t>
      </w:r>
    </w:p>
    <w:p w:rsidRPr="00BD633F" w:rsidR="001416E8" w:rsidP="00BD633F" w14:paraId="3207B809" w14:textId="03A4D730">
      <w:pPr>
        <w:pStyle w:val="JuHHead"/>
      </w:pPr>
      <w:r w:rsidRPr="00BD633F">
        <w:t>THE COURT</w:t>
      </w:r>
      <w:r w:rsidRPr="00BD633F" w:rsidR="00BD633F">
        <w:t>’</w:t>
      </w:r>
      <w:r w:rsidRPr="00BD633F">
        <w:t>S ASSESSMENT</w:t>
      </w:r>
    </w:p>
    <w:p w:rsidRPr="00BD633F" w:rsidR="001416E8" w:rsidP="00BD633F" w14:paraId="6D2BF8D3" w14:textId="5A7359DA">
      <w:pPr>
        <w:pStyle w:val="JuHIRoman"/>
      </w:pPr>
      <w:r w:rsidRPr="00BD633F">
        <w:t>A</w:t>
      </w:r>
      <w:r w:rsidRPr="00BD633F">
        <w:t>dmissibility</w:t>
      </w:r>
    </w:p>
    <w:p w:rsidRPr="00BD633F" w:rsidR="001416E8" w:rsidP="00BD633F" w14:paraId="6FEEC1B2" w14:textId="5B38FEE6">
      <w:pPr>
        <w:pStyle w:val="JuPara"/>
      </w:pPr>
      <w:r>
        <w:fldChar w:fldCharType="begin"/>
      </w:r>
      <w:r>
        <w:instrText xml:space="preserve"> SEQ level0 \*arabic \* MERGEFORMAT </w:instrText>
      </w:r>
      <w:r>
        <w:fldChar w:fldCharType="separate"/>
      </w:r>
      <w:r w:rsidRPr="00BD633F" w:rsidR="00BD633F">
        <w:rPr>
          <w:noProof/>
        </w:rPr>
        <w:t>16</w:t>
      </w:r>
      <w:r w:rsidRPr="00BD633F" w:rsidR="00BD633F">
        <w:rPr>
          <w:noProof/>
        </w:rPr>
        <w:fldChar w:fldCharType="end"/>
      </w:r>
      <w:r w:rsidRPr="00BD633F">
        <w:t>. </w:t>
      </w:r>
      <w:r w:rsidRPr="00BD633F" w:rsidR="0030066F">
        <w:t> </w:t>
      </w:r>
      <w:r w:rsidRPr="00BD633F">
        <w:t>The Government argued that the application had been lodged outside the six-month time-limit. They noted that the final judgment had been delivered on 2 October 2015 while the application had been lodged on 29 September 2017. The cassation appeal proceedings instituted by the Commissioner should be regarded as extraordinary proceedings which the applicant had not been required to exhaust. The applicant disagreed, noting that the Commissioner lodged a cassation appeal on his behalf alleging a serious breach of the applicant</w:t>
      </w:r>
      <w:r w:rsidRPr="00BD633F" w:rsidR="00BD633F">
        <w:t>’</w:t>
      </w:r>
      <w:r w:rsidRPr="00BD633F">
        <w:t>s rights caused by the fact that the Court of Appeal had held an appeal hearing without his participation.</w:t>
      </w:r>
    </w:p>
    <w:p w:rsidRPr="00BD633F" w:rsidR="00E33B89" w:rsidP="00BD633F" w14:paraId="2727B8CD" w14:textId="5AD39A4B">
      <w:pPr>
        <w:pStyle w:val="JuPara"/>
      </w:pPr>
      <w:r>
        <w:fldChar w:fldCharType="begin"/>
      </w:r>
      <w:r>
        <w:instrText xml:space="preserve"> SEQ level0 \*arabic \* MERGEFORMAT </w:instrText>
      </w:r>
      <w:r>
        <w:fldChar w:fldCharType="separate"/>
      </w:r>
      <w:r w:rsidRPr="00BD633F" w:rsidR="00BD633F">
        <w:rPr>
          <w:noProof/>
        </w:rPr>
        <w:t>17</w:t>
      </w:r>
      <w:r w:rsidRPr="00BD633F" w:rsidR="00BD633F">
        <w:rPr>
          <w:noProof/>
        </w:rPr>
        <w:fldChar w:fldCharType="end"/>
      </w:r>
      <w:r w:rsidRPr="00BD633F" w:rsidR="001416E8">
        <w:t>.  The Court reiterates that for the purposes of Article 35 §</w:t>
      </w:r>
      <w:r w:rsidRPr="00BD633F" w:rsidR="0030066F">
        <w:t xml:space="preserve"> </w:t>
      </w:r>
      <w:r w:rsidRPr="00BD633F" w:rsidR="001416E8">
        <w:t>1 of the Convention, the six-month time-period</w:t>
      </w:r>
      <w:r>
        <w:rPr>
          <w:rStyle w:val="FootnoteReference"/>
        </w:rPr>
        <w:footnoteReference w:id="2"/>
      </w:r>
      <w:r w:rsidRPr="00BD633F" w:rsidR="001416E8">
        <w:t xml:space="preserve"> runs from the date of the final decision in the process of exhaustion of domestic remedies (see </w:t>
      </w:r>
      <w:r w:rsidRPr="00BD633F" w:rsidR="001416E8">
        <w:rPr>
          <w:i/>
          <w:iCs/>
        </w:rPr>
        <w:t>Blokhin v. Russia</w:t>
      </w:r>
      <w:r w:rsidRPr="00BD633F" w:rsidR="001416E8">
        <w:t xml:space="preserve"> [GC], no. 47152/06, § 106, ECHR 2016). It is true that in principle remedies of a discretionary nature could not be considered effective and could not restart the running of the six-month limit (see</w:t>
      </w:r>
      <w:bookmarkStart w:name="_cl34087THECOURTSASSESSMENT" w:id="0"/>
      <w:r w:rsidRPr="00BD633F" w:rsidR="001416E8">
        <w:t xml:space="preserve"> </w:t>
      </w:r>
      <w:r w:rsidRPr="00BD633F" w:rsidR="001416E8">
        <w:rPr>
          <w:i/>
          <w:iCs/>
        </w:rPr>
        <w:t>Petrović</w:t>
      </w:r>
      <w:r w:rsidRPr="00BD633F" w:rsidR="001416E8">
        <w:rPr>
          <w:i/>
          <w:iCs/>
        </w:rPr>
        <w:t xml:space="preserve"> v. Serbia</w:t>
      </w:r>
      <w:bookmarkEnd w:id="0"/>
      <w:r w:rsidRPr="00BD633F" w:rsidR="001416E8">
        <w:t xml:space="preserve">, no. 40485/08, § 59, 15 July 2014). Nevertheless, situations in which a request to reopen the proceedings </w:t>
      </w:r>
      <w:r w:rsidRPr="00BD633F" w:rsidR="001416E8">
        <w:t>actually results</w:t>
      </w:r>
      <w:r w:rsidRPr="00BD633F" w:rsidR="001416E8">
        <w:t xml:space="preserve"> in a reopening, or in which a request for extraordinary review is successful, may constitute an exception to this rule (see </w:t>
      </w:r>
      <w:r w:rsidRPr="00BD633F" w:rsidR="001416E8">
        <w:rPr>
          <w:i/>
          <w:iCs/>
        </w:rPr>
        <w:t>Gasparyan v. Armenia</w:t>
      </w:r>
      <w:r w:rsidRPr="00BD633F" w:rsidR="001416E8">
        <w:t xml:space="preserve"> </w:t>
      </w:r>
      <w:r w:rsidRPr="00BD633F" w:rsidR="001416E8">
        <w:rPr>
          <w:i/>
          <w:iCs/>
        </w:rPr>
        <w:t>(no. 1)</w:t>
      </w:r>
      <w:r w:rsidRPr="00BD633F" w:rsidR="001416E8">
        <w:t xml:space="preserve">, no. 35944/03, § 30, 13 January 2009 with further references and </w:t>
      </w:r>
      <w:r w:rsidRPr="00BD633F" w:rsidR="001416E8">
        <w:rPr>
          <w:i/>
          <w:iCs/>
        </w:rPr>
        <w:t>Petrović</w:t>
      </w:r>
      <w:r w:rsidRPr="00BD633F" w:rsidR="001416E8">
        <w:rPr>
          <w:i/>
          <w:iCs/>
        </w:rPr>
        <w:t>,</w:t>
      </w:r>
      <w:r w:rsidRPr="00BD633F" w:rsidR="001416E8">
        <w:t xml:space="preserve"> § 59, cited above).</w:t>
      </w:r>
    </w:p>
    <w:p w:rsidRPr="00BD633F" w:rsidR="001416E8" w:rsidP="00BD633F" w14:paraId="7EBE8561" w14:textId="285B381B">
      <w:pPr>
        <w:pStyle w:val="JuPara"/>
      </w:pPr>
      <w:r>
        <w:fldChar w:fldCharType="begin"/>
      </w:r>
      <w:r>
        <w:instrText xml:space="preserve"> SEQ level0 \*arabic \* MERGEFORMAT </w:instrText>
      </w:r>
      <w:r>
        <w:fldChar w:fldCharType="separate"/>
      </w:r>
      <w:r w:rsidRPr="00BD633F" w:rsidR="00BD633F">
        <w:rPr>
          <w:noProof/>
        </w:rPr>
        <w:t>18</w:t>
      </w:r>
      <w:r w:rsidRPr="00BD633F" w:rsidR="00BD633F">
        <w:rPr>
          <w:noProof/>
        </w:rPr>
        <w:fldChar w:fldCharType="end"/>
      </w:r>
      <w:r w:rsidRPr="00BD633F">
        <w:t>.  In the Court</w:t>
      </w:r>
      <w:r w:rsidRPr="00BD633F" w:rsidR="00BD633F">
        <w:t>’</w:t>
      </w:r>
      <w:r w:rsidRPr="00BD633F">
        <w:t>s view, the situation in the present case falls within the category of exceptional cases. Article 35 § 1 cannot be interpreted in a manner which would require an applicant to lodge his complaint with the Court before his position in connection with the matter has been finally settled at the domestic level. The Commissioner lodged a cassation appeal on the applicant</w:t>
      </w:r>
      <w:r w:rsidRPr="00BD633F" w:rsidR="00BD633F">
        <w:t>’</w:t>
      </w:r>
      <w:r w:rsidRPr="00BD633F">
        <w:t>s behalf immediately following the judgment of the Court of Appeal. Moreover, in his cassation appeal the Commissioner criticised the fact that the appeal hearing had been held in the applicant</w:t>
      </w:r>
      <w:r w:rsidRPr="00BD633F" w:rsidR="00BD633F">
        <w:t>’</w:t>
      </w:r>
      <w:r w:rsidRPr="00BD633F">
        <w:t xml:space="preserve">s absence noting explicitly that this was a grave breach of the rules of the criminal procedure. It was thus perfectly reasonable </w:t>
      </w:r>
      <w:r w:rsidRPr="00BD633F">
        <w:t>for the applicant to await the Supreme Court</w:t>
      </w:r>
      <w:r w:rsidRPr="00BD633F" w:rsidR="00BD633F">
        <w:t>’</w:t>
      </w:r>
      <w:r w:rsidRPr="00BD633F">
        <w:t>s decision on the Commissioner</w:t>
      </w:r>
      <w:r w:rsidRPr="00BD633F" w:rsidR="00BD633F">
        <w:t>’</w:t>
      </w:r>
      <w:r w:rsidRPr="00BD633F">
        <w:t xml:space="preserve">s cassation appeal. Consequently, in the </w:t>
      </w:r>
      <w:r w:rsidRPr="00BD633F">
        <w:t>particular circumstances</w:t>
      </w:r>
      <w:r w:rsidRPr="00BD633F">
        <w:t xml:space="preserve"> of the present case, the Supreme Court</w:t>
      </w:r>
      <w:r w:rsidRPr="00BD633F" w:rsidR="00BD633F">
        <w:t>’</w:t>
      </w:r>
      <w:r w:rsidRPr="00BD633F">
        <w:t>s decision of 29 March 2017 was the final decision for the purposes of Article</w:t>
      </w:r>
      <w:r w:rsidRPr="00BD633F" w:rsidR="003C1E88">
        <w:t> </w:t>
      </w:r>
      <w:r w:rsidRPr="00BD633F">
        <w:t>35 §</w:t>
      </w:r>
      <w:r w:rsidRPr="00BD633F" w:rsidR="003C1E88">
        <w:t> </w:t>
      </w:r>
      <w:r w:rsidRPr="00BD633F">
        <w:t>1 of the Convention and the Government</w:t>
      </w:r>
      <w:r w:rsidRPr="00BD633F" w:rsidR="00BD633F">
        <w:t>’</w:t>
      </w:r>
      <w:r w:rsidRPr="00BD633F">
        <w:t>s objection should be dismissed.</w:t>
      </w:r>
    </w:p>
    <w:p w:rsidRPr="00BD633F" w:rsidR="001416E8" w:rsidP="00BD633F" w14:paraId="1681324E" w14:textId="1F09609B">
      <w:pPr>
        <w:pStyle w:val="JuPara"/>
      </w:pPr>
      <w:r>
        <w:fldChar w:fldCharType="begin"/>
      </w:r>
      <w:r>
        <w:instrText xml:space="preserve"> SEQ level0 \*arabic \* MERGEFORMAT </w:instrText>
      </w:r>
      <w:r>
        <w:fldChar w:fldCharType="separate"/>
      </w:r>
      <w:r w:rsidRPr="00BD633F" w:rsidR="00BD633F">
        <w:rPr>
          <w:noProof/>
        </w:rPr>
        <w:t>19</w:t>
      </w:r>
      <w:r w:rsidRPr="00BD633F" w:rsidR="00BD633F">
        <w:rPr>
          <w:noProof/>
        </w:rPr>
        <w:fldChar w:fldCharType="end"/>
      </w:r>
      <w:r w:rsidRPr="00BD633F">
        <w:t>.  The Court notes that this complaint is not manifestly ill</w:t>
      </w:r>
      <w:r w:rsidRPr="00BD633F" w:rsidR="003C1E88">
        <w:noBreakHyphen/>
      </w:r>
      <w:r w:rsidRPr="00BD633F">
        <w:t>founded within the meaning of Article 35 § 3 (a) of the Convention or inadmissible on any other grounds. It must therefore be declared admissible.</w:t>
      </w:r>
    </w:p>
    <w:p w:rsidRPr="00BD633F" w:rsidR="001416E8" w:rsidP="00BD633F" w14:paraId="7573A928" w14:textId="50DD79F7">
      <w:pPr>
        <w:pStyle w:val="JuHIRoman"/>
      </w:pPr>
      <w:r w:rsidRPr="00BD633F">
        <w:t>M</w:t>
      </w:r>
      <w:r w:rsidRPr="00BD633F">
        <w:t>erits</w:t>
      </w:r>
    </w:p>
    <w:p w:rsidRPr="00BD633F" w:rsidR="001416E8" w:rsidP="00BD633F" w14:paraId="712D6707" w14:textId="4FFA64F8">
      <w:pPr>
        <w:pStyle w:val="JuPara"/>
      </w:pPr>
      <w:r>
        <w:fldChar w:fldCharType="begin"/>
      </w:r>
      <w:r>
        <w:instrText xml:space="preserve"> SEQ level0 \*arabic \* MERGEFORMAT </w:instrText>
      </w:r>
      <w:r>
        <w:fldChar w:fldCharType="separate"/>
      </w:r>
      <w:r w:rsidRPr="00BD633F" w:rsidR="00BD633F">
        <w:rPr>
          <w:noProof/>
        </w:rPr>
        <w:t>20</w:t>
      </w:r>
      <w:r w:rsidRPr="00BD633F" w:rsidR="00BD633F">
        <w:rPr>
          <w:noProof/>
        </w:rPr>
        <w:fldChar w:fldCharType="end"/>
      </w:r>
      <w:r w:rsidRPr="00BD633F">
        <w:t>.  The general principles concerning personal attendance of the defendant before the appeal courts have been summarised in</w:t>
      </w:r>
      <w:bookmarkStart w:name="_cl36111THECOURTSASSESSMENT" w:id="1"/>
      <w:r w:rsidRPr="00BD633F">
        <w:t xml:space="preserve"> </w:t>
      </w:r>
      <w:bookmarkStart w:name="_cl40442THECOURTSASSESSMENT" w:id="2"/>
      <w:r w:rsidRPr="00BD633F">
        <w:rPr>
          <w:i/>
          <w:iCs/>
        </w:rPr>
        <w:t>Mtchedlishvili</w:t>
      </w:r>
      <w:r w:rsidRPr="00BD633F">
        <w:rPr>
          <w:i/>
          <w:iCs/>
        </w:rPr>
        <w:t xml:space="preserve"> v. Georgia</w:t>
      </w:r>
      <w:bookmarkEnd w:id="2"/>
      <w:r w:rsidRPr="00BD633F">
        <w:t xml:space="preserve">, no. 894/12, §§ 30-33, 25 February 2021, and </w:t>
      </w:r>
      <w:r w:rsidRPr="00BD633F">
        <w:rPr>
          <w:i/>
          <w:iCs/>
        </w:rPr>
        <w:t>Seliwiak</w:t>
      </w:r>
      <w:r w:rsidRPr="00BD633F">
        <w:rPr>
          <w:i/>
          <w:iCs/>
        </w:rPr>
        <w:t xml:space="preserve"> v. Poland</w:t>
      </w:r>
      <w:bookmarkEnd w:id="1"/>
      <w:r w:rsidRPr="00BD633F">
        <w:t>, no. 3818/04, §§ 54-59, 21 July 2009.</w:t>
      </w:r>
    </w:p>
    <w:p w:rsidRPr="00BD633F" w:rsidR="001416E8" w:rsidP="00BD633F" w14:paraId="6FE8C20E" w14:textId="4263394C">
      <w:pPr>
        <w:pStyle w:val="JuPara"/>
      </w:pPr>
      <w:r>
        <w:fldChar w:fldCharType="begin"/>
      </w:r>
      <w:r>
        <w:instrText xml:space="preserve"> SEQ level0 \*arabic \* MERGEFORMAT </w:instrText>
      </w:r>
      <w:r>
        <w:fldChar w:fldCharType="separate"/>
      </w:r>
      <w:r w:rsidRPr="00BD633F" w:rsidR="00BD633F">
        <w:rPr>
          <w:noProof/>
        </w:rPr>
        <w:t>21</w:t>
      </w:r>
      <w:r w:rsidRPr="00BD633F" w:rsidR="00BD633F">
        <w:rPr>
          <w:noProof/>
        </w:rPr>
        <w:fldChar w:fldCharType="end"/>
      </w:r>
      <w:r w:rsidRPr="00BD633F">
        <w:t>.  The Court firstly observes that, in accordance with the procedural legislation in force at the material time, an appellate court was empowered to hold a full retrial of a case on the law as well as on the facts and make a full assessment of the applicant</w:t>
      </w:r>
      <w:r w:rsidRPr="00BD633F" w:rsidR="00BD633F">
        <w:t>’</w:t>
      </w:r>
      <w:r w:rsidRPr="00BD633F">
        <w:t>s guilt or innocence. This has not been disputed by the parties.</w:t>
      </w:r>
    </w:p>
    <w:p w:rsidRPr="00BD633F" w:rsidR="001416E8" w:rsidP="00BD633F" w14:paraId="3E7ABA9E" w14:textId="327599F0">
      <w:pPr>
        <w:pStyle w:val="JuPara"/>
      </w:pPr>
      <w:r>
        <w:fldChar w:fldCharType="begin"/>
      </w:r>
      <w:r>
        <w:instrText xml:space="preserve"> SEQ level0 \*arabic \* MERGEFORMAT </w:instrText>
      </w:r>
      <w:r>
        <w:fldChar w:fldCharType="separate"/>
      </w:r>
      <w:r w:rsidRPr="00BD633F" w:rsidR="00BD633F">
        <w:rPr>
          <w:noProof/>
        </w:rPr>
        <w:t>22</w:t>
      </w:r>
      <w:r w:rsidRPr="00BD633F" w:rsidR="00BD633F">
        <w:rPr>
          <w:noProof/>
        </w:rPr>
        <w:fldChar w:fldCharType="end"/>
      </w:r>
      <w:r w:rsidRPr="00BD633F">
        <w:t>.  The Court further notes that the applicant was not represented by a defence lawyer in the appeal proceedings (see paragraphs 8 and 9 above) and had expressly requested a postponement of the appeal hearing on account of his medical condition (see paragraph 9 above). The Court must therefore examine whether the Court of Appeal could hold that those reasons were not valid.</w:t>
      </w:r>
    </w:p>
    <w:p w:rsidRPr="00BD633F" w:rsidR="001416E8" w:rsidP="00BD633F" w14:paraId="1F6419B8" w14:textId="16DB4857">
      <w:pPr>
        <w:pStyle w:val="JuPara"/>
      </w:pPr>
      <w:r>
        <w:fldChar w:fldCharType="begin"/>
      </w:r>
      <w:r>
        <w:instrText xml:space="preserve"> SEQ level0 \*arabic \* MERGEFORMAT </w:instrText>
      </w:r>
      <w:r>
        <w:fldChar w:fldCharType="separate"/>
      </w:r>
      <w:r w:rsidRPr="00BD633F" w:rsidR="00BD633F">
        <w:rPr>
          <w:noProof/>
        </w:rPr>
        <w:t>23</w:t>
      </w:r>
      <w:r w:rsidRPr="00BD633F" w:rsidR="00BD633F">
        <w:rPr>
          <w:noProof/>
        </w:rPr>
        <w:fldChar w:fldCharType="end"/>
      </w:r>
      <w:r w:rsidRPr="00BD633F">
        <w:t>.  The Government argued that the applicant had not exercised the right to personal participation in the appeal hearing because of his own negligence. While he had informed the court of his inability to participate in the hearing, he had not submitted a certificate from a court-appointed doctor as required by law (Article 117 § 2a of the CCP, which stated that non-appearance due to illness of defendants, witnesses, defence counsel, attorneys and other participants in the proceedings whose presence was compulsory or who requested to be present required a certificate issued by a court</w:t>
      </w:r>
      <w:r w:rsidRPr="00BD633F" w:rsidR="003C1E88">
        <w:noBreakHyphen/>
      </w:r>
      <w:r w:rsidRPr="00BD633F">
        <w:t>appointed doctor). They stressed that the applicant had been clearly aware of the relevant rules, as during the proceedings in his case he had submitted three applications for adjournment of the hearings on each occasion supported by a certificate issued by a court-appointed doctor.</w:t>
      </w:r>
    </w:p>
    <w:p w:rsidRPr="00BD633F" w:rsidR="001416E8" w:rsidP="00BD633F" w14:paraId="2952E61F" w14:textId="719E327A">
      <w:pPr>
        <w:pStyle w:val="JuPara"/>
      </w:pPr>
      <w:r>
        <w:fldChar w:fldCharType="begin"/>
      </w:r>
      <w:r>
        <w:instrText xml:space="preserve"> SEQ level0 \*arabic \* MERGEFORMAT </w:instrText>
      </w:r>
      <w:r>
        <w:fldChar w:fldCharType="separate"/>
      </w:r>
      <w:r w:rsidRPr="00BD633F" w:rsidR="00BD633F">
        <w:rPr>
          <w:noProof/>
        </w:rPr>
        <w:t>24</w:t>
      </w:r>
      <w:r w:rsidRPr="00BD633F" w:rsidR="00BD633F">
        <w:rPr>
          <w:noProof/>
        </w:rPr>
        <w:fldChar w:fldCharType="end"/>
      </w:r>
      <w:r w:rsidRPr="00BD633F">
        <w:t xml:space="preserve">.  The applicant disagreed noting that he could not have provided a certificate issued by a court-appointed doctor given that he had been urgently admitted to the hospital. He submitted that he had provided a medical certificate stating that he could not </w:t>
      </w:r>
      <w:r w:rsidRPr="00BD633F">
        <w:t>have travelled to the hearing. This had been explicitly confirmed by the doctors of the Czestochowa Hospital in reply to the Court of Appeal</w:t>
      </w:r>
      <w:r w:rsidRPr="00BD633F" w:rsidR="00BD633F">
        <w:t>’</w:t>
      </w:r>
      <w:r w:rsidRPr="00BD633F">
        <w:t xml:space="preserve">s question. Lastly, the applicant referred to the case law of the Supreme Court, which had already held in some cases in the context of Article 117 § 2a of the CCP that the lack of a formal medical certificate of inability to appear in court could be justified by random circumstances </w:t>
      </w:r>
      <w:r w:rsidRPr="00BD633F">
        <w:t>i.e.</w:t>
      </w:r>
      <w:r w:rsidRPr="00BD633F">
        <w:t xml:space="preserve"> sudden illness. Furthermore, it had also stated that sometimes even though the medical certificate did not meet the relevant requirements it could clearly indicate that due to the nature of the medical condition the person concerned had been unable to appear at the hearing (for example: judgment of 24 October 2018, VKK 483/18; judgment of 18 May</w:t>
      </w:r>
      <w:r w:rsidRPr="00BD633F" w:rsidR="00BD633F">
        <w:t xml:space="preserve"> </w:t>
      </w:r>
      <w:r w:rsidRPr="00BD633F">
        <w:t>2021, IIIK 121/21, and judgment of 1</w:t>
      </w:r>
      <w:r w:rsidRPr="00BD633F" w:rsidR="0030066F">
        <w:t xml:space="preserve"> </w:t>
      </w:r>
      <w:r w:rsidRPr="00BD633F">
        <w:t>September</w:t>
      </w:r>
      <w:r w:rsidRPr="00BD633F" w:rsidR="003C1E88">
        <w:t xml:space="preserve"> </w:t>
      </w:r>
      <w:r w:rsidRPr="00BD633F">
        <w:t>2020, VKK 241/19).</w:t>
      </w:r>
    </w:p>
    <w:p w:rsidRPr="00BD633F" w:rsidR="001416E8" w:rsidP="00BD633F" w14:paraId="48081D2E" w14:textId="442DF81E">
      <w:pPr>
        <w:pStyle w:val="JuPara"/>
      </w:pPr>
      <w:r>
        <w:fldChar w:fldCharType="begin"/>
      </w:r>
      <w:r>
        <w:instrText xml:space="preserve"> SEQ level0 \*arabic \* MERGEFORMAT </w:instrText>
      </w:r>
      <w:r>
        <w:fldChar w:fldCharType="separate"/>
      </w:r>
      <w:r w:rsidRPr="00BD633F" w:rsidR="00BD633F">
        <w:rPr>
          <w:noProof/>
        </w:rPr>
        <w:t>25</w:t>
      </w:r>
      <w:r w:rsidRPr="00BD633F" w:rsidR="00BD633F">
        <w:rPr>
          <w:noProof/>
        </w:rPr>
        <w:fldChar w:fldCharType="end"/>
      </w:r>
      <w:r w:rsidRPr="00BD633F">
        <w:t>.  The Court notes in that regard that the Court of Appeal when dismissing the applicant</w:t>
      </w:r>
      <w:r w:rsidRPr="00BD633F" w:rsidR="00BD633F">
        <w:t>’</w:t>
      </w:r>
      <w:r w:rsidRPr="00BD633F">
        <w:t xml:space="preserve">s request had not analysed the medical certificates in the file </w:t>
      </w:r>
      <w:r w:rsidRPr="00BD633F">
        <w:t>in order to</w:t>
      </w:r>
      <w:r w:rsidRPr="00BD633F">
        <w:t xml:space="preserve"> determine whether the applicant was indeed unable to attend the hearing or whether his illness was sudden. On the contrary, the Court of Appeal dismissed the applicant</w:t>
      </w:r>
      <w:r w:rsidRPr="00BD633F" w:rsidR="00BD633F">
        <w:t>’</w:t>
      </w:r>
      <w:r w:rsidRPr="00BD633F">
        <w:t xml:space="preserve">s request stating that he had failed to justify his absence in accordance with the law (see paragraph 11 above). It is true that the Court has already held that it is open to the national authorities to assess whether the accused showed good cause for his absence, or whether there was anything in the case file to warrant finding that he had been absent for reasons beyond his control (see </w:t>
      </w:r>
      <w:r w:rsidRPr="00BD633F">
        <w:rPr>
          <w:i/>
          <w:iCs/>
        </w:rPr>
        <w:t>Sejdovic</w:t>
      </w:r>
      <w:r w:rsidRPr="00BD633F">
        <w:rPr>
          <w:i/>
          <w:iCs/>
        </w:rPr>
        <w:t xml:space="preserve"> v. Italy</w:t>
      </w:r>
      <w:r w:rsidRPr="00BD633F">
        <w:t xml:space="preserve"> [GC], no. 56581/00, § 88, ECHR 2006‑II). However, in the present case the Court of Appeal had not considered the merits of the justification provided by the applicant but merely noted that the certificate should have been issued by a court-appointed doctor (compare </w:t>
      </w:r>
      <w:bookmarkStart w:name="_cl27473THECOURTSASSESSMENT" w:id="3"/>
      <w:r w:rsidRPr="00BD633F">
        <w:rPr>
          <w:i/>
          <w:iCs/>
        </w:rPr>
        <w:t>Henri Rivière and Others v. France</w:t>
      </w:r>
      <w:bookmarkEnd w:id="3"/>
      <w:r w:rsidRPr="00BD633F">
        <w:t>, no.</w:t>
      </w:r>
      <w:r w:rsidRPr="00BD633F" w:rsidR="0030066F">
        <w:t xml:space="preserve"> </w:t>
      </w:r>
      <w:r w:rsidRPr="00BD633F">
        <w:t>46460/10, §§ 32</w:t>
      </w:r>
      <w:r w:rsidRPr="00BD633F">
        <w:t>-</w:t>
      </w:r>
      <w:r w:rsidRPr="00BD633F">
        <w:t>33, 25 July 2013).</w:t>
      </w:r>
    </w:p>
    <w:p w:rsidRPr="00BD633F" w:rsidR="001416E8" w:rsidP="00BD633F" w14:paraId="34DAF6E1" w14:textId="031D7B31">
      <w:pPr>
        <w:pStyle w:val="JuPara"/>
      </w:pPr>
      <w:r>
        <w:fldChar w:fldCharType="begin"/>
      </w:r>
      <w:r>
        <w:instrText xml:space="preserve"> SEQ level0 \*arabic \* MERGEFORMAT </w:instrText>
      </w:r>
      <w:r>
        <w:fldChar w:fldCharType="separate"/>
      </w:r>
      <w:r w:rsidRPr="00BD633F" w:rsidR="00BD633F">
        <w:rPr>
          <w:noProof/>
        </w:rPr>
        <w:t>26</w:t>
      </w:r>
      <w:r w:rsidRPr="00BD633F" w:rsidR="00BD633F">
        <w:rPr>
          <w:noProof/>
        </w:rPr>
        <w:fldChar w:fldCharType="end"/>
      </w:r>
      <w:r w:rsidRPr="00BD633F">
        <w:t>.  In view of the above considerations, the Court cannot be satisfied that the Court of Appeal had in fact considered the question whether the justification provided by the applicant was valid and whether he had shown good cause for his absence. Thus, in the Court</w:t>
      </w:r>
      <w:r w:rsidRPr="00BD633F" w:rsidR="00BD633F">
        <w:t>’</w:t>
      </w:r>
      <w:r w:rsidRPr="00BD633F">
        <w:t>s view, the proceedings did not comply with the requirements of fairness and there has accordingly been a violation of Article</w:t>
      </w:r>
      <w:r w:rsidRPr="00BD633F" w:rsidR="0030066F">
        <w:t xml:space="preserve"> </w:t>
      </w:r>
      <w:r w:rsidRPr="00BD633F">
        <w:t>6</w:t>
      </w:r>
      <w:r w:rsidRPr="00BD633F" w:rsidR="0030066F">
        <w:t xml:space="preserve"> </w:t>
      </w:r>
      <w:r w:rsidRPr="00BD633F">
        <w:t>§</w:t>
      </w:r>
      <w:r w:rsidRPr="00BD633F" w:rsidR="009300D0">
        <w:t>§</w:t>
      </w:r>
      <w:r w:rsidRPr="00BD633F" w:rsidR="0030066F">
        <w:t xml:space="preserve"> </w:t>
      </w:r>
      <w:r w:rsidRPr="00BD633F">
        <w:t>1</w:t>
      </w:r>
      <w:r w:rsidRPr="00BD633F" w:rsidR="00CF7C1D">
        <w:t xml:space="preserve"> </w:t>
      </w:r>
      <w:r w:rsidRPr="00BD633F">
        <w:t>and</w:t>
      </w:r>
      <w:r w:rsidRPr="00BD633F" w:rsidR="00CF7C1D">
        <w:t xml:space="preserve"> </w:t>
      </w:r>
      <w:r w:rsidRPr="00BD633F">
        <w:t>3 (c) of the Convention.</w:t>
      </w:r>
    </w:p>
    <w:p w:rsidRPr="00BD633F" w:rsidR="001416E8" w:rsidP="00BD633F" w14:paraId="4F3DF2E0" w14:textId="77777777">
      <w:pPr>
        <w:pStyle w:val="JuHHead"/>
      </w:pPr>
      <w:r w:rsidRPr="00BD633F">
        <w:t>APPLICATION OF ARTICLE 41 OF THE CONVENTION</w:t>
      </w:r>
    </w:p>
    <w:p w:rsidRPr="00BD633F" w:rsidR="001416E8" w:rsidP="00BD633F" w14:paraId="0D5E0881" w14:textId="73D4C832">
      <w:pPr>
        <w:pStyle w:val="JuPara"/>
      </w:pPr>
      <w:r>
        <w:fldChar w:fldCharType="begin"/>
      </w:r>
      <w:r>
        <w:instrText xml:space="preserve"> SEQ level0 \*arabic \* MERGEFORMAT </w:instrText>
      </w:r>
      <w:r>
        <w:fldChar w:fldCharType="separate"/>
      </w:r>
      <w:r w:rsidRPr="00BD633F" w:rsidR="00BD633F">
        <w:rPr>
          <w:noProof/>
        </w:rPr>
        <w:t>27</w:t>
      </w:r>
      <w:r w:rsidRPr="00BD633F" w:rsidR="00BD633F">
        <w:rPr>
          <w:noProof/>
        </w:rPr>
        <w:fldChar w:fldCharType="end"/>
      </w:r>
      <w:r w:rsidRPr="00BD633F">
        <w:t>.  The applicant claimed 24,767.60 Polish zlotys (PLN) (approximately 6,000 euros (EUR)) in respect of pecuniary damage. That sum represented a fine imposed by the court of first instance and paid by the applicant in the amount of PLN 20,000 as well as the court fees related to the first and second instance proceedings. The applicant also claimed PLN 8,610 (approximately EUR</w:t>
      </w:r>
      <w:r w:rsidRPr="00BD633F" w:rsidR="003C1E88">
        <w:t> </w:t>
      </w:r>
      <w:r w:rsidRPr="00BD633F">
        <w:t xml:space="preserve">2,000) for the </w:t>
      </w:r>
      <w:r w:rsidRPr="00BD633F">
        <w:t>reimbursement of costs and expenses incurred before the Court. The applicant did not submit any documents in support of the latter claim.</w:t>
      </w:r>
    </w:p>
    <w:p w:rsidRPr="00BD633F" w:rsidR="001416E8" w:rsidP="00BD633F" w14:paraId="187E18BB" w14:textId="0CD3B679">
      <w:pPr>
        <w:pStyle w:val="JuPara"/>
      </w:pPr>
      <w:r>
        <w:fldChar w:fldCharType="begin"/>
      </w:r>
      <w:r>
        <w:instrText xml:space="preserve"> SEQ level0 \*arabic \* MERGEFORMAT </w:instrText>
      </w:r>
      <w:r>
        <w:fldChar w:fldCharType="separate"/>
      </w:r>
      <w:r w:rsidRPr="00BD633F" w:rsidR="00BD633F">
        <w:rPr>
          <w:noProof/>
        </w:rPr>
        <w:t>28</w:t>
      </w:r>
      <w:r w:rsidRPr="00BD633F" w:rsidR="00BD633F">
        <w:rPr>
          <w:noProof/>
        </w:rPr>
        <w:fldChar w:fldCharType="end"/>
      </w:r>
      <w:r w:rsidRPr="00BD633F">
        <w:t>.  The Government maintained that the claims were unfounded. They noted that there was no direct causal link between the pecuniary damage claimed and the alleged violation. They further submitted that the claims relating to the expenses incurred before the Court were unsubstantiated.</w:t>
      </w:r>
    </w:p>
    <w:p w:rsidRPr="00BD633F" w:rsidR="001416E8" w:rsidP="00BD633F" w14:paraId="3DA8526A" w14:textId="2248AF1D">
      <w:pPr>
        <w:pStyle w:val="JuPara"/>
      </w:pPr>
      <w:r>
        <w:fldChar w:fldCharType="begin"/>
      </w:r>
      <w:r>
        <w:instrText xml:space="preserve"> SEQ level0 \*arabic \* MERGEFORMAT </w:instrText>
      </w:r>
      <w:r>
        <w:fldChar w:fldCharType="separate"/>
      </w:r>
      <w:r w:rsidRPr="00BD633F" w:rsidR="00BD633F">
        <w:rPr>
          <w:noProof/>
        </w:rPr>
        <w:t>29</w:t>
      </w:r>
      <w:r w:rsidRPr="00BD633F" w:rsidR="00BD633F">
        <w:rPr>
          <w:noProof/>
        </w:rPr>
        <w:fldChar w:fldCharType="end"/>
      </w:r>
      <w:r w:rsidRPr="00BD633F">
        <w:t xml:space="preserve">.  The Court does not discern any causal link between the breaches of Article 6 of the Convention and the pecuniary damage alleged; it therefore rejects this claim (compare </w:t>
      </w:r>
      <w:bookmarkStart w:name="_cl26400APPLICATIONOFARTICLE41OFTHECONVE" w:id="4"/>
      <w:r w:rsidRPr="00BD633F">
        <w:rPr>
          <w:i/>
          <w:iCs/>
        </w:rPr>
        <w:t>Gerovska</w:t>
      </w:r>
      <w:r w:rsidRPr="00BD633F">
        <w:rPr>
          <w:i/>
          <w:iCs/>
        </w:rPr>
        <w:t xml:space="preserve"> </w:t>
      </w:r>
      <w:r w:rsidRPr="00BD633F">
        <w:rPr>
          <w:i/>
          <w:iCs/>
        </w:rPr>
        <w:t>Popčevska</w:t>
      </w:r>
      <w:r w:rsidRPr="00BD633F">
        <w:rPr>
          <w:i/>
          <w:iCs/>
        </w:rPr>
        <w:t xml:space="preserve"> v.</w:t>
      </w:r>
      <w:r w:rsidRPr="00BD633F" w:rsidR="003C1E88">
        <w:rPr>
          <w:i/>
          <w:iCs/>
        </w:rPr>
        <w:t> </w:t>
      </w:r>
      <w:r w:rsidRPr="00BD633F">
        <w:rPr>
          <w:i/>
          <w:iCs/>
        </w:rPr>
        <w:t>the former Yugoslav Republic of Macedonia</w:t>
      </w:r>
      <w:bookmarkEnd w:id="4"/>
      <w:r w:rsidRPr="00BD633F">
        <w:t xml:space="preserve">, no. 48783/07, § 65, 7 January 2016). It also notes that the applicant did not make any claims for non-pecuniary damage. It thus considers that the finding of a violation under Article 6 of the Convention constitutes </w:t>
      </w:r>
      <w:r w:rsidRPr="00BD633F">
        <w:t>in itself sufficient</w:t>
      </w:r>
      <w:r w:rsidRPr="00BD633F">
        <w:t xml:space="preserve"> just satisfaction for any non</w:t>
      </w:r>
      <w:r w:rsidRPr="00BD633F">
        <w:noBreakHyphen/>
        <w:t>pecuniary damage sustained by the applicant.</w:t>
      </w:r>
    </w:p>
    <w:p w:rsidRPr="00BD633F" w:rsidR="001416E8" w:rsidP="00BD633F" w14:paraId="40080FF4" w14:textId="05F629CC">
      <w:pPr>
        <w:pStyle w:val="JuPara"/>
      </w:pPr>
      <w:r>
        <w:fldChar w:fldCharType="begin"/>
      </w:r>
      <w:r>
        <w:instrText xml:space="preserve"> SEQ level0 \*arabic \* MERGEFORMAT </w:instrText>
      </w:r>
      <w:r>
        <w:fldChar w:fldCharType="separate"/>
      </w:r>
      <w:r w:rsidRPr="00BD633F" w:rsidR="00BD633F">
        <w:rPr>
          <w:noProof/>
        </w:rPr>
        <w:t>30</w:t>
      </w:r>
      <w:r w:rsidRPr="00BD633F" w:rsidR="00BD633F">
        <w:rPr>
          <w:noProof/>
        </w:rPr>
        <w:fldChar w:fldCharType="end"/>
      </w:r>
      <w:r w:rsidRPr="00BD633F">
        <w:t>.  The Court further observes that the applicant did not substantiate his claim for the costs of legal services with any relevant supporting documents. Accordingly, the Court does not award any sum on this account.</w:t>
      </w:r>
    </w:p>
    <w:p w:rsidRPr="00BD633F" w:rsidR="001416E8" w:rsidP="00BD633F" w14:paraId="11CEF0E8" w14:textId="388777B4">
      <w:pPr>
        <w:pStyle w:val="JuHHead"/>
      </w:pPr>
      <w:r w:rsidRPr="00BD633F">
        <w:t>FOR THESE REASONS, THE COURT, UNANIMOUSLY,</w:t>
      </w:r>
    </w:p>
    <w:p w:rsidRPr="00BD633F" w:rsidR="001416E8" w:rsidP="00BD633F" w14:paraId="4AFCB4A5" w14:textId="77777777">
      <w:pPr>
        <w:pStyle w:val="JuList"/>
      </w:pPr>
      <w:r w:rsidRPr="00BD633F">
        <w:rPr>
          <w:i/>
        </w:rPr>
        <w:t>Declares</w:t>
      </w:r>
      <w:r w:rsidRPr="00BD633F">
        <w:t xml:space="preserve"> the application </w:t>
      </w:r>
      <w:r w:rsidRPr="00BD633F">
        <w:t>admissible;</w:t>
      </w:r>
    </w:p>
    <w:p w:rsidRPr="00BD633F" w:rsidR="001416E8" w:rsidP="00BD633F" w14:paraId="5BAAF8E7" w14:textId="39288365">
      <w:pPr>
        <w:pStyle w:val="JuList"/>
      </w:pPr>
      <w:r w:rsidRPr="00BD633F">
        <w:rPr>
          <w:i/>
        </w:rPr>
        <w:t>Holds</w:t>
      </w:r>
      <w:r w:rsidRPr="00BD633F">
        <w:t xml:space="preserve"> that there has been a violation of Article 6 §§ 1 and 3 (c) of the </w:t>
      </w:r>
      <w:r w:rsidRPr="00BD633F">
        <w:t>Convention;</w:t>
      </w:r>
    </w:p>
    <w:p w:rsidRPr="00BD633F" w:rsidR="001416E8" w:rsidP="00BD633F" w14:paraId="491BA363" w14:textId="77777777">
      <w:pPr>
        <w:pStyle w:val="JuList"/>
      </w:pPr>
      <w:r w:rsidRPr="00BD633F">
        <w:rPr>
          <w:i/>
        </w:rPr>
        <w:t>Holds</w:t>
      </w:r>
      <w:r w:rsidRPr="00BD633F">
        <w:rPr>
          <w:color w:val="000000"/>
        </w:rPr>
        <w:t xml:space="preserve"> </w:t>
      </w:r>
      <w:r w:rsidRPr="00BD633F">
        <w:t xml:space="preserve">that the finding of a violation constitutes in itself sufficient just satisfaction for any non-pecuniary damage sustained by the </w:t>
      </w:r>
      <w:r w:rsidRPr="00BD633F">
        <w:t>applicant;</w:t>
      </w:r>
    </w:p>
    <w:p w:rsidRPr="00BD633F" w:rsidR="004D0EC7" w:rsidP="00BD633F" w14:paraId="4457F544" w14:textId="64217C8C">
      <w:pPr>
        <w:pStyle w:val="JuList"/>
      </w:pPr>
      <w:r w:rsidRPr="00BD633F">
        <w:rPr>
          <w:i/>
        </w:rPr>
        <w:t xml:space="preserve">Dismisses </w:t>
      </w:r>
      <w:r w:rsidRPr="00BD633F">
        <w:t>the applicant</w:t>
      </w:r>
      <w:r w:rsidRPr="00BD633F" w:rsidR="00BD633F">
        <w:t>’</w:t>
      </w:r>
      <w:r w:rsidRPr="00BD633F">
        <w:t>s claim for just satisfaction.</w:t>
      </w:r>
    </w:p>
    <w:p w:rsidRPr="00BD633F" w:rsidR="008E3A08" w:rsidP="00BD633F" w14:paraId="7D69058B" w14:textId="6BD1C41C">
      <w:pPr>
        <w:pStyle w:val="JuParaLast"/>
      </w:pPr>
      <w:r w:rsidRPr="00BD633F">
        <w:t xml:space="preserve">Done in English, and notified in writing on </w:t>
      </w:r>
      <w:r w:rsidRPr="00BD633F" w:rsidR="001416E8">
        <w:rPr>
          <w:rFonts w:ascii="Times New Roman" w:hAnsi="Times New Roman" w:cs="Times New Roman"/>
        </w:rPr>
        <w:t>23 January 2025</w:t>
      </w:r>
      <w:r w:rsidRPr="00BD633F">
        <w:t>, pursuant to Rule 77 §§ 2 and 3 of the Rules of Court.</w:t>
      </w:r>
    </w:p>
    <w:p w:rsidRPr="00BD633F" w:rsidR="007E79A4" w:rsidP="00BD633F" w14:paraId="388824E8" w14:textId="2960E074">
      <w:pPr>
        <w:pStyle w:val="JuSigned"/>
      </w:pPr>
      <w:r w:rsidRPr="00BD633F">
        <w:tab/>
      </w:r>
      <w:r w:rsidRPr="00BD633F" w:rsidR="001416E8">
        <w:rPr>
          <w:noProof/>
        </w:rPr>
        <w:t>Liv Tigerstedt</w:t>
      </w:r>
      <w:r w:rsidRPr="00BD633F">
        <w:tab/>
      </w:r>
      <w:r w:rsidRPr="00BD633F" w:rsidR="001416E8">
        <w:rPr>
          <w:noProof/>
        </w:rPr>
        <w:t>Alena Poláčková</w:t>
      </w:r>
      <w:r w:rsidRPr="00BD633F">
        <w:br/>
      </w:r>
      <w:r w:rsidRPr="00BD633F">
        <w:tab/>
      </w:r>
      <w:r w:rsidRPr="00BD633F" w:rsidR="001416E8">
        <w:rPr>
          <w:noProof/>
        </w:rPr>
        <w:t>Deputy Registrar</w:t>
      </w:r>
      <w:r w:rsidRPr="00BD633F">
        <w:tab/>
        <w:t>President</w:t>
      </w:r>
    </w:p>
    <w:sectPr w:rsidSect="007D3701">
      <w:headerReference w:type="even" r:id="rId10"/>
      <w:headerReference w:type="default" r:id="rId11"/>
      <w:footerReference w:type="even" r:id="rId12"/>
      <w:footerReference w:type="default" r:id="rId13"/>
      <w:footnotePr>
        <w:numRestart w:val="eachSect"/>
      </w:footnotePr>
      <w:pgSz w:w="11906" w:h="16838" w:code="9"/>
      <w:pgMar w:top="2274" w:right="2274" w:bottom="2274" w:left="2274" w:header="1701" w:footer="720"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416E8" w:rsidRPr="00150BFA" w:rsidP="0020718E" w14:paraId="20E31078" w14:textId="4A9C0AD0">
    <w:pPr>
      <w:jc w:val="center"/>
    </w:pPr>
    <w:r>
      <w:rPr>
        <w:noProof/>
        <w:lang w:val="en-US"/>
      </w:rPr>
      <w:drawing>
        <wp:inline distT="0" distB="0" distL="0" distR="0">
          <wp:extent cx="771525" cy="619125"/>
          <wp:effectExtent l="0" t="0" r="9525" b="9525"/>
          <wp:docPr id="58" name="Picture 58"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8410D" w:rsidRPr="001416E8" w:rsidP="00AF12C5" w14:paraId="73AB8434" w14:textId="6999C15D">
    <w:pPr>
      <w:pStyle w:val="Footer1"/>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416E8" w:rsidRPr="00150BFA" w:rsidP="0020718E" w14:paraId="73E7CA9A" w14:textId="43199189">
    <w:pPr>
      <w:jc w:val="center"/>
    </w:pPr>
    <w:r>
      <w:rPr>
        <w:noProof/>
        <w:lang w:val="en-US"/>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E7A6F" w:rsidRPr="001416E8" w:rsidP="009E7A6F" w14:paraId="02078662" w14:textId="03508561">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P="009A115C" w14:paraId="7649091F" w14:textId="5524FFE5">
    <w:pPr>
      <w:pStyle w:val="JuHeader"/>
    </w:pPr>
    <w:r>
      <w:fldChar w:fldCharType="begin"/>
    </w:r>
    <w:r>
      <w:instrText xml:space="preserve"> PAGE  \* MERGEFORMAT </w:instrText>
    </w:r>
    <w:r>
      <w:fldChar w:fldCharType="separate"/>
    </w:r>
    <w:r>
      <w:rPr>
        <w:noProof/>
      </w:rPr>
      <w:t>2</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0B7195" w:rsidP="007D3701" w14:paraId="0E4268BE" w14:textId="38336CEF">
    <w:pPr>
      <w:pStyle w:val="JuHeader"/>
    </w:pPr>
    <w:r>
      <w:fldChar w:fldCharType="begin"/>
    </w:r>
    <w:r>
      <w:instrText xml:space="preserve"> PAGE  \* MERGEFORMAT </w:instrText>
    </w:r>
    <w:r>
      <w:fldChar w:fldCharType="separate"/>
    </w:r>
    <w:r>
      <w:rPr>
        <w:noProof/>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footnote w:type="separator" w:id="0">
    <w:p w:rsidR="001416E8" w:rsidRPr="001416E8" w:rsidP="0098410D" w14:paraId="37977598" w14:textId="77777777">
      <w:r w:rsidRPr="001416E8">
        <w:separator/>
      </w:r>
    </w:p>
  </w:footnote>
  <w:footnote w:type="continuationSeparator" w:id="1">
    <w:p w:rsidR="001416E8" w:rsidRPr="001416E8" w:rsidP="0098410D" w14:paraId="047CFC41" w14:textId="77777777">
      <w:r w:rsidRPr="001416E8">
        <w:continuationSeparator/>
      </w:r>
    </w:p>
  </w:footnote>
  <w:footnote w:id="2">
    <w:p w:rsidR="001416E8" w:rsidRPr="001416E8" w:rsidP="001416E8" w14:paraId="7C2738FC" w14:textId="0D43A342">
      <w:pPr>
        <w:pStyle w:val="FootnoteText"/>
      </w:pPr>
      <w:r w:rsidRPr="00CF7C1D">
        <w:rPr>
          <w:rStyle w:val="FootnoteReference"/>
        </w:rPr>
        <w:footnoteRef/>
      </w:r>
      <w:r w:rsidRPr="00CF7C1D">
        <w:rPr>
          <w:rStyle w:val="FootnoteReference"/>
        </w:rPr>
        <w:t xml:space="preserve"> </w:t>
      </w:r>
      <w:r w:rsidRPr="00CF7C1D">
        <w:t>Protocol No. 15 to the Convention has shortened to four months from the final domestic decision the time-limit provided for by Article 35 § 1 of the Convention. However, in the present case the six-month period still applies, given that the final domestic decisions were taken prior to 1 February 2022, date of entry into force of the new rule (pursuant to Article </w:t>
      </w:r>
      <w:r w:rsidRPr="00CF7C1D">
        <w:t>8 </w:t>
      </w:r>
      <w:r w:rsidRPr="00CF7C1D" w:rsidR="0030066F">
        <w:t xml:space="preserve"> </w:t>
      </w:r>
      <w:r w:rsidRPr="00CF7C1D">
        <w:t>§</w:t>
      </w:r>
      <w:r w:rsidRPr="00CF7C1D" w:rsidR="0030066F">
        <w:t> </w:t>
      </w:r>
      <w:r w:rsidRPr="00CF7C1D">
        <w:t xml:space="preserve">3 of Protocol No. 15 to the Convention).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416E8" w:rsidRPr="00A45145" w:rsidP="00A45145" w14:paraId="25FA1918" w14:textId="2F2D7A43">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1416E8" w:rsidP="00B14793" w14:paraId="29B612AF" w14:textId="60FEEF41">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416E8" w:rsidRPr="00A45145" w:rsidP="00A45145" w14:paraId="72304096" w14:textId="6DC939E0">
    <w:pPr>
      <w:jc w:val="center"/>
    </w:pPr>
    <w:r>
      <w:rPr>
        <w:noProof/>
        <w:lang w:val="en-US"/>
      </w:rPr>
      <w:drawing>
        <wp:inline distT="0" distB="0" distL="0" distR="0">
          <wp:extent cx="2962275" cy="1219200"/>
          <wp:effectExtent l="0" t="0" r="9525" b="0"/>
          <wp:docPr id="51" name="Picture 5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1416E8" w14:paraId="484A6B17" w14:textId="4E31F678"/>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4D0EC7" w:rsidP="004D0EC7" w14:paraId="10FCC85A" w14:textId="3920350A">
    <w:pPr>
      <w:pStyle w:val="JuHeader"/>
    </w:pPr>
    <w:r>
      <w:t>TOBIJAŃSKI v. POLAND</w:t>
    </w:r>
    <w:r w:rsidRPr="004D0EC7">
      <w:t xml:space="preserve"> </w:t>
    </w:r>
    <w:r>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882CD5" w:rsidP="007D3701" w14:paraId="0519FEB0" w14:textId="527C3213">
    <w:pPr>
      <w:pStyle w:val="JuHeader"/>
    </w:pPr>
    <w:r>
      <w:t>TOBIJAŃSKI v. POLAND</w:t>
    </w:r>
    <w:r w:rsidRPr="00882CD5">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abstractNumId w:val="14"/>
  </w:num>
  <w:num w:numId="2">
    <w:abstractNumId w:val="12"/>
  </w:num>
  <w:num w:numId="3">
    <w:abstractNumId w:val="11"/>
  </w:num>
  <w:num w:numId="4">
    <w:abstractNumId w:val="15"/>
  </w:num>
  <w:num w:numId="5">
    <w:abstractNumId w:val="13"/>
  </w:num>
  <w:num w:numId="6">
    <w:abstractNumId w:val="16"/>
  </w:num>
  <w:num w:numId="7">
    <w:abstractNumId w:val="15"/>
  </w:num>
  <w:num w:numId="8">
    <w:abstractNumId w:val="16"/>
  </w:num>
  <w:num w:numId="9">
    <w:abstractNumId w:val="10"/>
  </w:num>
  <w:num w:numId="10">
    <w:abstractNumId w:val="9"/>
  </w:num>
  <w:num w:numId="11">
    <w:abstractNumId w:val="17"/>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grammar="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0"/>
    <w:footnote w:id="1"/>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16E8"/>
    <w:rsid w:val="000041F8"/>
    <w:rsid w:val="000042A8"/>
    <w:rsid w:val="00004308"/>
    <w:rsid w:val="00005BF0"/>
    <w:rsid w:val="0000617D"/>
    <w:rsid w:val="00007154"/>
    <w:rsid w:val="000103AE"/>
    <w:rsid w:val="00011D69"/>
    <w:rsid w:val="00012AD3"/>
    <w:rsid w:val="00015C2D"/>
    <w:rsid w:val="00015F00"/>
    <w:rsid w:val="0001768D"/>
    <w:rsid w:val="00022C1D"/>
    <w:rsid w:val="0002592F"/>
    <w:rsid w:val="00031428"/>
    <w:rsid w:val="00034987"/>
    <w:rsid w:val="00041560"/>
    <w:rsid w:val="000602DF"/>
    <w:rsid w:val="00061B05"/>
    <w:rsid w:val="000632D5"/>
    <w:rsid w:val="000644EE"/>
    <w:rsid w:val="000712E3"/>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52F4"/>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416E8"/>
    <w:rsid w:val="00150BFA"/>
    <w:rsid w:val="001561B6"/>
    <w:rsid w:val="00162A12"/>
    <w:rsid w:val="00166530"/>
    <w:rsid w:val="00170027"/>
    <w:rsid w:val="00182EBA"/>
    <w:rsid w:val="001832BD"/>
    <w:rsid w:val="001943B5"/>
    <w:rsid w:val="00195134"/>
    <w:rsid w:val="001A020C"/>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0718E"/>
    <w:rsid w:val="00210338"/>
    <w:rsid w:val="002115FC"/>
    <w:rsid w:val="0021423C"/>
    <w:rsid w:val="00226C89"/>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439A"/>
    <w:rsid w:val="0026540E"/>
    <w:rsid w:val="00275123"/>
    <w:rsid w:val="00281B7C"/>
    <w:rsid w:val="00282240"/>
    <w:rsid w:val="00282BD8"/>
    <w:rsid w:val="00287AD5"/>
    <w:rsid w:val="002934D0"/>
    <w:rsid w:val="00293676"/>
    <w:rsid w:val="00293BD9"/>
    <w:rsid w:val="002948AD"/>
    <w:rsid w:val="002A01CC"/>
    <w:rsid w:val="002A613A"/>
    <w:rsid w:val="002A61B1"/>
    <w:rsid w:val="002A663C"/>
    <w:rsid w:val="002B444B"/>
    <w:rsid w:val="002B5887"/>
    <w:rsid w:val="002B5B43"/>
    <w:rsid w:val="002C0E27"/>
    <w:rsid w:val="002C3040"/>
    <w:rsid w:val="002C4433"/>
    <w:rsid w:val="002C5ADD"/>
    <w:rsid w:val="002C7826"/>
    <w:rsid w:val="002D022D"/>
    <w:rsid w:val="002D24BB"/>
    <w:rsid w:val="002D2FA7"/>
    <w:rsid w:val="002D47BA"/>
    <w:rsid w:val="002D77B9"/>
    <w:rsid w:val="002E46DA"/>
    <w:rsid w:val="002E7764"/>
    <w:rsid w:val="002F2AF7"/>
    <w:rsid w:val="002F69C4"/>
    <w:rsid w:val="002F7D9E"/>
    <w:rsid w:val="002F7E1C"/>
    <w:rsid w:val="0030066F"/>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40C"/>
    <w:rsid w:val="00387B9D"/>
    <w:rsid w:val="00387C70"/>
    <w:rsid w:val="00390294"/>
    <w:rsid w:val="0039364F"/>
    <w:rsid w:val="00396686"/>
    <w:rsid w:val="0039778E"/>
    <w:rsid w:val="003B4941"/>
    <w:rsid w:val="003C1E88"/>
    <w:rsid w:val="003C5714"/>
    <w:rsid w:val="003C6B9F"/>
    <w:rsid w:val="003C6E2A"/>
    <w:rsid w:val="003D0299"/>
    <w:rsid w:val="003D7E11"/>
    <w:rsid w:val="003E6D80"/>
    <w:rsid w:val="003E7BCC"/>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05F69"/>
    <w:rsid w:val="00511C07"/>
    <w:rsid w:val="005125CB"/>
    <w:rsid w:val="00512EC4"/>
    <w:rsid w:val="0051725A"/>
    <w:rsid w:val="005173A6"/>
    <w:rsid w:val="00517BB8"/>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16E"/>
    <w:rsid w:val="00547353"/>
    <w:rsid w:val="005474E7"/>
    <w:rsid w:val="005512A3"/>
    <w:rsid w:val="005578CE"/>
    <w:rsid w:val="00562781"/>
    <w:rsid w:val="00562B6C"/>
    <w:rsid w:val="0057271C"/>
    <w:rsid w:val="00572845"/>
    <w:rsid w:val="005879A2"/>
    <w:rsid w:val="00592772"/>
    <w:rsid w:val="0059574A"/>
    <w:rsid w:val="005A1B9B"/>
    <w:rsid w:val="005A2221"/>
    <w:rsid w:val="005A2E79"/>
    <w:rsid w:val="005A6751"/>
    <w:rsid w:val="005B092E"/>
    <w:rsid w:val="005B152C"/>
    <w:rsid w:val="005B1EE0"/>
    <w:rsid w:val="005B2B24"/>
    <w:rsid w:val="005B4425"/>
    <w:rsid w:val="005B4B94"/>
    <w:rsid w:val="005C2C62"/>
    <w:rsid w:val="005C3EE8"/>
    <w:rsid w:val="005D2F2A"/>
    <w:rsid w:val="005D34F9"/>
    <w:rsid w:val="005D4190"/>
    <w:rsid w:val="005D67A3"/>
    <w:rsid w:val="005E2988"/>
    <w:rsid w:val="005E3085"/>
    <w:rsid w:val="005F0EB3"/>
    <w:rsid w:val="005F51E1"/>
    <w:rsid w:val="00611C80"/>
    <w:rsid w:val="00620692"/>
    <w:rsid w:val="00623885"/>
    <w:rsid w:val="006242CA"/>
    <w:rsid w:val="00627507"/>
    <w:rsid w:val="00633717"/>
    <w:rsid w:val="006344E1"/>
    <w:rsid w:val="00643524"/>
    <w:rsid w:val="0064393B"/>
    <w:rsid w:val="00645CF2"/>
    <w:rsid w:val="00653BED"/>
    <w:rsid w:val="006545C4"/>
    <w:rsid w:val="00661971"/>
    <w:rsid w:val="00661CE8"/>
    <w:rsid w:val="006623D9"/>
    <w:rsid w:val="006642A5"/>
    <w:rsid w:val="0066550C"/>
    <w:rsid w:val="00665BD2"/>
    <w:rsid w:val="006716F2"/>
    <w:rsid w:val="00675AF2"/>
    <w:rsid w:val="00682BF2"/>
    <w:rsid w:val="0068573E"/>
    <w:rsid w:val="006859CE"/>
    <w:rsid w:val="00691270"/>
    <w:rsid w:val="00694BA8"/>
    <w:rsid w:val="006A037C"/>
    <w:rsid w:val="006A0C84"/>
    <w:rsid w:val="006A36F4"/>
    <w:rsid w:val="006A406F"/>
    <w:rsid w:val="006A4E97"/>
    <w:rsid w:val="006A5D3A"/>
    <w:rsid w:val="006B1942"/>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1066"/>
    <w:rsid w:val="0075566E"/>
    <w:rsid w:val="00763602"/>
    <w:rsid w:val="00764D4E"/>
    <w:rsid w:val="00765A1F"/>
    <w:rsid w:val="00775B6D"/>
    <w:rsid w:val="00776D68"/>
    <w:rsid w:val="00781140"/>
    <w:rsid w:val="0078323E"/>
    <w:rsid w:val="007849C2"/>
    <w:rsid w:val="007850EE"/>
    <w:rsid w:val="00785B95"/>
    <w:rsid w:val="00790E96"/>
    <w:rsid w:val="007926FD"/>
    <w:rsid w:val="00793366"/>
    <w:rsid w:val="0079666C"/>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E79A4"/>
    <w:rsid w:val="007F1087"/>
    <w:rsid w:val="007F1905"/>
    <w:rsid w:val="007F27E4"/>
    <w:rsid w:val="007F3437"/>
    <w:rsid w:val="00802C64"/>
    <w:rsid w:val="00805E52"/>
    <w:rsid w:val="008061D0"/>
    <w:rsid w:val="00810B38"/>
    <w:rsid w:val="008204C7"/>
    <w:rsid w:val="00820992"/>
    <w:rsid w:val="00823602"/>
    <w:rsid w:val="008255F5"/>
    <w:rsid w:val="00826890"/>
    <w:rsid w:val="0083014E"/>
    <w:rsid w:val="0083214A"/>
    <w:rsid w:val="00834220"/>
    <w:rsid w:val="00845723"/>
    <w:rsid w:val="008519E7"/>
    <w:rsid w:val="00851EF9"/>
    <w:rsid w:val="008577FD"/>
    <w:rsid w:val="00860B03"/>
    <w:rsid w:val="0086497A"/>
    <w:rsid w:val="0086538E"/>
    <w:rsid w:val="00867066"/>
    <w:rsid w:val="008713A1"/>
    <w:rsid w:val="00872584"/>
    <w:rsid w:val="008754AB"/>
    <w:rsid w:val="0088060C"/>
    <w:rsid w:val="00882CD5"/>
    <w:rsid w:val="00883151"/>
    <w:rsid w:val="00893576"/>
    <w:rsid w:val="00893E73"/>
    <w:rsid w:val="008B02DC"/>
    <w:rsid w:val="008B092C"/>
    <w:rsid w:val="008B57CE"/>
    <w:rsid w:val="008C26DE"/>
    <w:rsid w:val="008D1668"/>
    <w:rsid w:val="008D2225"/>
    <w:rsid w:val="008D4752"/>
    <w:rsid w:val="008D5A13"/>
    <w:rsid w:val="008E271C"/>
    <w:rsid w:val="008E3A08"/>
    <w:rsid w:val="008E418E"/>
    <w:rsid w:val="008E5BC6"/>
    <w:rsid w:val="008E6217"/>
    <w:rsid w:val="008E6A25"/>
    <w:rsid w:val="008F246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00D0"/>
    <w:rsid w:val="009333DC"/>
    <w:rsid w:val="00934301"/>
    <w:rsid w:val="00936CD1"/>
    <w:rsid w:val="0094131C"/>
    <w:rsid w:val="00941747"/>
    <w:rsid w:val="00941EFB"/>
    <w:rsid w:val="00947AFB"/>
    <w:rsid w:val="00951AA3"/>
    <w:rsid w:val="00951D7D"/>
    <w:rsid w:val="00956D0C"/>
    <w:rsid w:val="009630C7"/>
    <w:rsid w:val="00963E91"/>
    <w:rsid w:val="00972B55"/>
    <w:rsid w:val="009743B7"/>
    <w:rsid w:val="0098228B"/>
    <w:rsid w:val="009828DA"/>
    <w:rsid w:val="0098410D"/>
    <w:rsid w:val="00985BAB"/>
    <w:rsid w:val="00986B3C"/>
    <w:rsid w:val="009A115C"/>
    <w:rsid w:val="009A7FC1"/>
    <w:rsid w:val="009B1606"/>
    <w:rsid w:val="009B1B5F"/>
    <w:rsid w:val="009B6673"/>
    <w:rsid w:val="009C191B"/>
    <w:rsid w:val="009C2BD6"/>
    <w:rsid w:val="009D57AA"/>
    <w:rsid w:val="009E1F32"/>
    <w:rsid w:val="009E2CC2"/>
    <w:rsid w:val="009E47A2"/>
    <w:rsid w:val="009E776C"/>
    <w:rsid w:val="009E7A6F"/>
    <w:rsid w:val="009F4C8F"/>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45145"/>
    <w:rsid w:val="00A51D0F"/>
    <w:rsid w:val="00A54192"/>
    <w:rsid w:val="00A57147"/>
    <w:rsid w:val="00A6035E"/>
    <w:rsid w:val="00A6144C"/>
    <w:rsid w:val="00A66617"/>
    <w:rsid w:val="00A671F8"/>
    <w:rsid w:val="00A673A4"/>
    <w:rsid w:val="00A724AE"/>
    <w:rsid w:val="00A73329"/>
    <w:rsid w:val="00A82359"/>
    <w:rsid w:val="00A865D2"/>
    <w:rsid w:val="00A87C10"/>
    <w:rsid w:val="00A90BCD"/>
    <w:rsid w:val="00A92625"/>
    <w:rsid w:val="00A94C20"/>
    <w:rsid w:val="00A95D81"/>
    <w:rsid w:val="00AA1B09"/>
    <w:rsid w:val="00AA227F"/>
    <w:rsid w:val="00AA3BC7"/>
    <w:rsid w:val="00AA754A"/>
    <w:rsid w:val="00AB099E"/>
    <w:rsid w:val="00AB4328"/>
    <w:rsid w:val="00AC38DE"/>
    <w:rsid w:val="00AC4CD4"/>
    <w:rsid w:val="00AE0A2E"/>
    <w:rsid w:val="00AE354C"/>
    <w:rsid w:val="00AF12C5"/>
    <w:rsid w:val="00AF4B07"/>
    <w:rsid w:val="00AF6186"/>
    <w:rsid w:val="00AF7A3A"/>
    <w:rsid w:val="00B02587"/>
    <w:rsid w:val="00B049D1"/>
    <w:rsid w:val="00B14793"/>
    <w:rsid w:val="00B153A0"/>
    <w:rsid w:val="00B160DB"/>
    <w:rsid w:val="00B20836"/>
    <w:rsid w:val="00B235BB"/>
    <w:rsid w:val="00B27A44"/>
    <w:rsid w:val="00B30BBF"/>
    <w:rsid w:val="00B33C03"/>
    <w:rsid w:val="00B4421F"/>
    <w:rsid w:val="00B44E56"/>
    <w:rsid w:val="00B45917"/>
    <w:rsid w:val="00B46543"/>
    <w:rsid w:val="00B47D33"/>
    <w:rsid w:val="00B52BE0"/>
    <w:rsid w:val="00B54133"/>
    <w:rsid w:val="00B55A8D"/>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56A7"/>
    <w:rsid w:val="00BC6BBF"/>
    <w:rsid w:val="00BD1572"/>
    <w:rsid w:val="00BD633F"/>
    <w:rsid w:val="00BE14E3"/>
    <w:rsid w:val="00BE3774"/>
    <w:rsid w:val="00BE41E5"/>
    <w:rsid w:val="00BE4CE2"/>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1424"/>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CF7C1D"/>
    <w:rsid w:val="00D00ABB"/>
    <w:rsid w:val="00D02EEC"/>
    <w:rsid w:val="00D03551"/>
    <w:rsid w:val="00D04315"/>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576B"/>
    <w:rsid w:val="00D566BD"/>
    <w:rsid w:val="00D57A4D"/>
    <w:rsid w:val="00D60AA7"/>
    <w:rsid w:val="00D6435F"/>
    <w:rsid w:val="00D66471"/>
    <w:rsid w:val="00D669D4"/>
    <w:rsid w:val="00D70641"/>
    <w:rsid w:val="00D74888"/>
    <w:rsid w:val="00D7488B"/>
    <w:rsid w:val="00D75E28"/>
    <w:rsid w:val="00D772C2"/>
    <w:rsid w:val="00D8008E"/>
    <w:rsid w:val="00D82C45"/>
    <w:rsid w:val="00D908A8"/>
    <w:rsid w:val="00D977B6"/>
    <w:rsid w:val="00DA1223"/>
    <w:rsid w:val="00DA4A31"/>
    <w:rsid w:val="00DA7B04"/>
    <w:rsid w:val="00DB36C2"/>
    <w:rsid w:val="00DC00A8"/>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3B89"/>
    <w:rsid w:val="00E36C71"/>
    <w:rsid w:val="00E40404"/>
    <w:rsid w:val="00E4126A"/>
    <w:rsid w:val="00E42A06"/>
    <w:rsid w:val="00E459C6"/>
    <w:rsid w:val="00E47589"/>
    <w:rsid w:val="00E557AA"/>
    <w:rsid w:val="00E63EC7"/>
    <w:rsid w:val="00E64915"/>
    <w:rsid w:val="00E64D3A"/>
    <w:rsid w:val="00E661D4"/>
    <w:rsid w:val="00E67565"/>
    <w:rsid w:val="00E70091"/>
    <w:rsid w:val="00E70D2E"/>
    <w:rsid w:val="00E720F5"/>
    <w:rsid w:val="00E744E0"/>
    <w:rsid w:val="00E76D47"/>
    <w:rsid w:val="00E827BC"/>
    <w:rsid w:val="00E838A6"/>
    <w:rsid w:val="00E849F7"/>
    <w:rsid w:val="00E90302"/>
    <w:rsid w:val="00E91D05"/>
    <w:rsid w:val="00E9262D"/>
    <w:rsid w:val="00E9424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2498"/>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w:docVars>
    <w:docVar w:name="ApplicationsApp" w:val="1"/>
    <w:docVar w:name="AppNatAutre" w:val="0"/>
    <w:docVar w:name="DocVarPREMATURE" w:val="0"/>
    <w:docVar w:name="EMM" w:val="0"/>
    <w:docVar w:name="ETRANSMISSION" w:val="BY E-TRANSMISSION ONLY"/>
    <w:docVar w:name="L4_1Annex" w:val="0"/>
    <w:docVar w:name="L4_1Anonymity" w:val="0"/>
    <w:docVar w:name="NBEMMDOC" w:val="0"/>
    <w:docVar w:name="Plural" w:val="0"/>
    <w:docVar w:name="SignForeName" w:val="0"/>
    <w:docVar w:name="SndCaseNumber" w:val="Error!Nodocumentvariablesupplied."/>
  </w:docVars>
  <m:mathPr>
    <m:mathFont m:val="Cambria Math"/>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14:docId w14:val="16C26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2B5B43"/>
    <w:rPr>
      <w:sz w:val="24"/>
      <w:szCs w:val="24"/>
      <w:lang w:val="en-GB"/>
    </w:rPr>
  </w:style>
  <w:style w:type="paragraph" w:styleId="Heading1">
    <w:name w:val="heading 1"/>
    <w:basedOn w:val="Normal"/>
    <w:next w:val="Normal"/>
    <w:link w:val="Heading1Char"/>
    <w:uiPriority w:val="98"/>
    <w:semiHidden/>
    <w:rsid w:val="002B5B43"/>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2B5B43"/>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2B5B43"/>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2B5B43"/>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2B5B43"/>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2B5B43"/>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2B5B43"/>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2B5B43"/>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2B5B43"/>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2B5B43"/>
    <w:rPr>
      <w:rFonts w:ascii="Tahoma" w:hAnsi="Tahoma" w:cs="Tahoma"/>
      <w:sz w:val="16"/>
      <w:szCs w:val="16"/>
    </w:rPr>
  </w:style>
  <w:style w:type="character" w:customStyle="1" w:styleId="BalloonTextChar">
    <w:name w:val="Balloon Text Char"/>
    <w:basedOn w:val="DefaultParagraphFont"/>
    <w:link w:val="BalloonText"/>
    <w:uiPriority w:val="98"/>
    <w:semiHidden/>
    <w:rsid w:val="002B5B43"/>
    <w:rPr>
      <w:rFonts w:ascii="Tahoma" w:hAnsi="Tahoma" w:cs="Tahoma"/>
      <w:sz w:val="16"/>
      <w:szCs w:val="16"/>
      <w:lang w:val="en-GB"/>
    </w:rPr>
  </w:style>
  <w:style w:type="character" w:styleId="BookTitle">
    <w:name w:val="Book Title"/>
    <w:uiPriority w:val="98"/>
    <w:semiHidden/>
    <w:qFormat/>
    <w:rsid w:val="002B5B43"/>
    <w:rPr>
      <w:i/>
      <w:iCs/>
      <w:smallCaps/>
      <w:spacing w:val="5"/>
    </w:rPr>
  </w:style>
  <w:style w:type="paragraph" w:customStyle="1" w:styleId="JuHeader">
    <w:name w:val="Ju_Header"/>
    <w:aliases w:val="_Header"/>
    <w:basedOn w:val="Header0"/>
    <w:uiPriority w:val="29"/>
    <w:qFormat/>
    <w:rsid w:val="002B5B43"/>
    <w:pPr>
      <w:tabs>
        <w:tab w:val="clear" w:pos="4536"/>
        <w:tab w:val="clear" w:pos="9072"/>
      </w:tabs>
      <w:jc w:val="center"/>
    </w:pPr>
    <w:rPr>
      <w:sz w:val="18"/>
    </w:rPr>
  </w:style>
  <w:style w:type="paragraph" w:customStyle="1" w:styleId="NormalJustified">
    <w:name w:val="Normal_Justified"/>
    <w:basedOn w:val="Normal"/>
    <w:semiHidden/>
    <w:rsid w:val="002B5B43"/>
    <w:pPr>
      <w:jc w:val="both"/>
    </w:pPr>
  </w:style>
  <w:style w:type="character" w:styleId="Strong">
    <w:name w:val="Strong"/>
    <w:uiPriority w:val="98"/>
    <w:semiHidden/>
    <w:qFormat/>
    <w:rsid w:val="002B5B43"/>
    <w:rPr>
      <w:b/>
      <w:bCs/>
    </w:rPr>
  </w:style>
  <w:style w:type="paragraph" w:styleId="NoSpacing">
    <w:name w:val="No Spacing"/>
    <w:basedOn w:val="Normal"/>
    <w:link w:val="NoSpacingChar"/>
    <w:uiPriority w:val="98"/>
    <w:semiHidden/>
    <w:qFormat/>
    <w:rsid w:val="002B5B43"/>
  </w:style>
  <w:style w:type="character" w:customStyle="1" w:styleId="NoSpacingChar">
    <w:name w:val="No Spacing Char"/>
    <w:basedOn w:val="DefaultParagraphFont"/>
    <w:link w:val="NoSpacing"/>
    <w:uiPriority w:val="98"/>
    <w:semiHidden/>
    <w:rsid w:val="002B5B43"/>
    <w:rPr>
      <w:sz w:val="24"/>
      <w:szCs w:val="24"/>
      <w:lang w:val="en-GB"/>
    </w:rPr>
  </w:style>
  <w:style w:type="paragraph" w:customStyle="1" w:styleId="JuQuot">
    <w:name w:val="Ju_Quot"/>
    <w:aliases w:val="_Quote"/>
    <w:basedOn w:val="NormalJustified"/>
    <w:uiPriority w:val="20"/>
    <w:qFormat/>
    <w:rsid w:val="002B5B43"/>
    <w:pPr>
      <w:spacing w:before="120" w:after="120"/>
      <w:ind w:left="425" w:firstLine="142"/>
    </w:pPr>
    <w:rPr>
      <w:sz w:val="20"/>
    </w:rPr>
  </w:style>
  <w:style w:type="table" w:styleId="GridTable1Light">
    <w:name w:val="Grid Table 1 Light"/>
    <w:basedOn w:val="TableNormal"/>
    <w:uiPriority w:val="46"/>
    <w:semiHidden/>
    <w:rsid w:val="00E33B89"/>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
    <w:name w:val="Ju_List"/>
    <w:aliases w:val="_List_1"/>
    <w:basedOn w:val="NormalJustified"/>
    <w:uiPriority w:val="23"/>
    <w:qFormat/>
    <w:rsid w:val="002B5B43"/>
    <w:pPr>
      <w:numPr>
        <w:numId w:val="10"/>
      </w:numPr>
      <w:spacing w:before="280" w:after="60"/>
    </w:pPr>
  </w:style>
  <w:style w:type="paragraph" w:customStyle="1" w:styleId="JuLista">
    <w:name w:val="Ju_List_a"/>
    <w:aliases w:val="_List_2"/>
    <w:basedOn w:val="NormalJustified"/>
    <w:uiPriority w:val="23"/>
    <w:rsid w:val="002B5B43"/>
    <w:pPr>
      <w:numPr>
        <w:ilvl w:val="1"/>
        <w:numId w:val="10"/>
      </w:numPr>
    </w:pPr>
  </w:style>
  <w:style w:type="paragraph" w:customStyle="1" w:styleId="JuListi">
    <w:name w:val="Ju_List_i"/>
    <w:aliases w:val="_List_3"/>
    <w:basedOn w:val="NormalJustified"/>
    <w:uiPriority w:val="23"/>
    <w:rsid w:val="002B5B43"/>
    <w:pPr>
      <w:numPr>
        <w:ilvl w:val="2"/>
        <w:numId w:val="10"/>
      </w:numPr>
    </w:pPr>
  </w:style>
  <w:style w:type="paragraph" w:customStyle="1" w:styleId="JuHArticle">
    <w:name w:val="Ju_H_Article"/>
    <w:aliases w:val="_Title_Quote"/>
    <w:basedOn w:val="Normal"/>
    <w:next w:val="JuQuot"/>
    <w:uiPriority w:val="19"/>
    <w:qFormat/>
    <w:rsid w:val="002B5B43"/>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2B5B43"/>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2B5B43"/>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2B5B43"/>
    <w:pPr>
      <w:keepNext/>
      <w:keepLines/>
      <w:numPr>
        <w:numId w:val="9"/>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2B5B43"/>
    <w:pPr>
      <w:numPr>
        <w:numId w:val="4"/>
      </w:numPr>
    </w:pPr>
  </w:style>
  <w:style w:type="paragraph" w:customStyle="1" w:styleId="JuSigned">
    <w:name w:val="Ju_Signed"/>
    <w:aliases w:val="_Signature"/>
    <w:basedOn w:val="Normal"/>
    <w:next w:val="JuPara"/>
    <w:uiPriority w:val="31"/>
    <w:qFormat/>
    <w:rsid w:val="002B5B43"/>
    <w:pPr>
      <w:tabs>
        <w:tab w:val="center" w:pos="1418"/>
        <w:tab w:val="center" w:pos="5954"/>
      </w:tabs>
      <w:spacing w:before="720"/>
    </w:pPr>
  </w:style>
  <w:style w:type="paragraph" w:styleId="Title">
    <w:name w:val="Title"/>
    <w:basedOn w:val="Normal"/>
    <w:next w:val="Normal"/>
    <w:link w:val="TitleChar"/>
    <w:uiPriority w:val="98"/>
    <w:semiHidden/>
    <w:qFormat/>
    <w:rsid w:val="002B5B43"/>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2B5B43"/>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2B5B43"/>
    <w:pPr>
      <w:numPr>
        <w:numId w:val="5"/>
      </w:numPr>
    </w:pPr>
  </w:style>
  <w:style w:type="numbering" w:customStyle="1" w:styleId="ECHRA1StyleNumberedList">
    <w:name w:val="ECHR_A1_Style_Numbered_List"/>
    <w:basedOn w:val="NoList"/>
    <w:rsid w:val="002B5B43"/>
    <w:pPr>
      <w:numPr>
        <w:numId w:val="6"/>
      </w:numPr>
    </w:pPr>
  </w:style>
  <w:style w:type="table" w:customStyle="1" w:styleId="ECHRTable2019">
    <w:name w:val="ECHR_Table_2019"/>
    <w:basedOn w:val="TableNormal"/>
    <w:uiPriority w:val="99"/>
    <w:rsid w:val="002B5B43"/>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Footer">
    <w:name w:val="_Footer"/>
    <w:aliases w:val="Footer_"/>
    <w:basedOn w:val="Footer1"/>
    <w:uiPriority w:val="57"/>
    <w:semiHidden/>
    <w:rsid w:val="007D3701"/>
    <w:rPr>
      <w:sz w:val="8"/>
    </w:rPr>
  </w:style>
  <w:style w:type="paragraph" w:customStyle="1" w:styleId="JuCourt">
    <w:name w:val="Ju_Court"/>
    <w:aliases w:val="_Court_Names"/>
    <w:basedOn w:val="Normal"/>
    <w:next w:val="Normal"/>
    <w:uiPriority w:val="32"/>
    <w:qFormat/>
    <w:rsid w:val="002B5B43"/>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2B5B43"/>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2B5B43"/>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2B5B43"/>
    <w:pPr>
      <w:keepNext/>
      <w:keepLines/>
      <w:numPr>
        <w:ilvl w:val="3"/>
        <w:numId w:val="9"/>
      </w:numPr>
      <w:spacing w:before="100" w:beforeAutospacing="1" w:after="120"/>
      <w:jc w:val="both"/>
    </w:pPr>
    <w:rPr>
      <w:b w:val="0"/>
      <w:color w:val="auto"/>
      <w:sz w:val="24"/>
    </w:rPr>
  </w:style>
  <w:style w:type="paragraph" w:styleId="Header0">
    <w:name w:val="header"/>
    <w:basedOn w:val="Normal"/>
    <w:link w:val="HeaderChar"/>
    <w:uiPriority w:val="98"/>
    <w:semiHidden/>
    <w:rsid w:val="002B5B43"/>
    <w:pPr>
      <w:tabs>
        <w:tab w:val="center" w:pos="4536"/>
        <w:tab w:val="right" w:pos="9072"/>
      </w:tabs>
    </w:pPr>
  </w:style>
  <w:style w:type="character" w:customStyle="1" w:styleId="HeaderChar">
    <w:name w:val="Header Char"/>
    <w:basedOn w:val="DefaultParagraphFont"/>
    <w:link w:val="Header0"/>
    <w:uiPriority w:val="98"/>
    <w:semiHidden/>
    <w:rsid w:val="002B5B43"/>
    <w:rPr>
      <w:sz w:val="24"/>
      <w:szCs w:val="24"/>
      <w:lang w:val="en-GB"/>
    </w:rPr>
  </w:style>
  <w:style w:type="character" w:customStyle="1" w:styleId="Heading1Char">
    <w:name w:val="Heading 1 Char"/>
    <w:basedOn w:val="DefaultParagraphFont"/>
    <w:link w:val="Heading1"/>
    <w:uiPriority w:val="98"/>
    <w:semiHidden/>
    <w:rsid w:val="002B5B43"/>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2B5B43"/>
    <w:pPr>
      <w:keepNext/>
      <w:keepLines/>
      <w:numPr>
        <w:ilvl w:val="4"/>
        <w:numId w:val="9"/>
      </w:numPr>
      <w:spacing w:before="100" w:beforeAutospacing="1" w:after="120"/>
      <w:jc w:val="both"/>
    </w:pPr>
    <w:rPr>
      <w:color w:val="auto"/>
      <w:sz w:val="20"/>
    </w:rPr>
  </w:style>
  <w:style w:type="paragraph" w:customStyle="1" w:styleId="JuHi">
    <w:name w:val="Ju_H_i"/>
    <w:aliases w:val="_Head_6"/>
    <w:basedOn w:val="Heading6"/>
    <w:next w:val="JuPara"/>
    <w:uiPriority w:val="17"/>
    <w:rsid w:val="002B5B43"/>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2B5B43"/>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2B5B43"/>
    <w:pPr>
      <w:keepNext/>
      <w:keepLines/>
      <w:numPr>
        <w:ilvl w:val="6"/>
        <w:numId w:val="9"/>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2B5B43"/>
    <w:pPr>
      <w:keepNext/>
      <w:keepLines/>
      <w:numPr>
        <w:ilvl w:val="7"/>
        <w:numId w:val="9"/>
      </w:numPr>
      <w:spacing w:before="100" w:beforeAutospacing="1" w:after="120"/>
      <w:jc w:val="both"/>
    </w:pPr>
    <w:rPr>
      <w:i/>
    </w:rPr>
  </w:style>
  <w:style w:type="character" w:customStyle="1" w:styleId="Heading3Char">
    <w:name w:val="Heading 3 Char"/>
    <w:basedOn w:val="DefaultParagraphFont"/>
    <w:link w:val="Heading3"/>
    <w:uiPriority w:val="98"/>
    <w:semiHidden/>
    <w:rsid w:val="002B5B43"/>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2B5B43"/>
    <w:pPr>
      <w:keepNext/>
      <w:keepLines/>
      <w:spacing w:before="240" w:after="240"/>
      <w:ind w:firstLine="284"/>
    </w:pPr>
  </w:style>
  <w:style w:type="paragraph" w:customStyle="1" w:styleId="JuJudges">
    <w:name w:val="Ju_Judges"/>
    <w:aliases w:val="_Judges"/>
    <w:basedOn w:val="Normal"/>
    <w:uiPriority w:val="32"/>
    <w:qFormat/>
    <w:rsid w:val="002B5B43"/>
    <w:pPr>
      <w:tabs>
        <w:tab w:val="left" w:pos="567"/>
        <w:tab w:val="left" w:pos="1134"/>
      </w:tabs>
    </w:pPr>
  </w:style>
  <w:style w:type="character" w:customStyle="1" w:styleId="Heading4Char">
    <w:name w:val="Heading 4 Char"/>
    <w:basedOn w:val="DefaultParagraphFont"/>
    <w:link w:val="Heading4"/>
    <w:uiPriority w:val="98"/>
    <w:semiHidden/>
    <w:rsid w:val="002B5B43"/>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2B5B43"/>
    <w:pPr>
      <w:tabs>
        <w:tab w:val="center" w:pos="6407"/>
      </w:tabs>
      <w:spacing w:before="720"/>
      <w:jc w:val="right"/>
    </w:pPr>
  </w:style>
  <w:style w:type="character" w:customStyle="1" w:styleId="Heading5Char">
    <w:name w:val="Heading 5 Char"/>
    <w:basedOn w:val="DefaultParagraphFont"/>
    <w:link w:val="Heading5"/>
    <w:uiPriority w:val="98"/>
    <w:semiHidden/>
    <w:rsid w:val="002B5B43"/>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2B5B43"/>
    <w:rPr>
      <w:vanish w:val="0"/>
      <w:color w:val="auto"/>
      <w:sz w:val="14"/>
      <w:bdr w:val="none" w:sz="0" w:space="0" w:color="auto"/>
      <w:shd w:val="clear" w:color="auto" w:fill="FFFFFF" w:themeFill="background1" w:themeFillTint="33"/>
    </w:rPr>
  </w:style>
  <w:style w:type="character" w:customStyle="1" w:styleId="JUNAMES">
    <w:name w:val="JU_NAMES"/>
    <w:aliases w:val="_Ju_Names"/>
    <w:uiPriority w:val="33"/>
    <w:qFormat/>
    <w:rsid w:val="002B5B43"/>
    <w:rPr>
      <w:caps w:val="0"/>
      <w:smallCaps/>
    </w:rPr>
  </w:style>
  <w:style w:type="character" w:styleId="SubtleEmphasis">
    <w:name w:val="Subtle Emphasis"/>
    <w:uiPriority w:val="98"/>
    <w:semiHidden/>
    <w:qFormat/>
    <w:rsid w:val="002B5B43"/>
    <w:rPr>
      <w:i/>
      <w:iCs/>
    </w:rPr>
  </w:style>
  <w:style w:type="table" w:customStyle="1" w:styleId="ECHRTable">
    <w:name w:val="ECHR_Table"/>
    <w:basedOn w:val="TableNormal"/>
    <w:rsid w:val="002B5B43"/>
    <w:rPr>
      <w:rFonts w:eastAsia="Times New Roman" w:cs="Times New Roman"/>
      <w:sz w:val="20"/>
      <w:szCs w:val="20"/>
      <w:lang w:val="en-GB"/>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2B5B43"/>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character" w:styleId="Emphasis">
    <w:name w:val="Emphasis"/>
    <w:uiPriority w:val="98"/>
    <w:semiHidden/>
    <w:qFormat/>
    <w:rsid w:val="002B5B43"/>
    <w:rPr>
      <w:b/>
      <w:bCs/>
      <w:i/>
      <w:iCs/>
      <w:spacing w:val="10"/>
      <w:bdr w:val="none" w:sz="0" w:space="0" w:color="auto"/>
      <w:shd w:val="clear" w:color="auto" w:fill="auto"/>
    </w:rPr>
  </w:style>
  <w:style w:type="paragraph" w:styleId="Footer1">
    <w:name w:val="footer"/>
    <w:basedOn w:val="Normal"/>
    <w:link w:val="FooterChar"/>
    <w:uiPriority w:val="98"/>
    <w:semiHidden/>
    <w:rsid w:val="002B5B43"/>
    <w:pPr>
      <w:tabs>
        <w:tab w:val="center" w:pos="3686"/>
        <w:tab w:val="right" w:pos="7371"/>
      </w:tabs>
    </w:pPr>
  </w:style>
  <w:style w:type="character" w:customStyle="1" w:styleId="FooterChar">
    <w:name w:val="Footer Char"/>
    <w:basedOn w:val="DefaultParagraphFont"/>
    <w:link w:val="Footer1"/>
    <w:uiPriority w:val="98"/>
    <w:semiHidden/>
    <w:rsid w:val="002B5B43"/>
    <w:rPr>
      <w:sz w:val="24"/>
      <w:szCs w:val="24"/>
      <w:lang w:val="en-GB"/>
    </w:rPr>
  </w:style>
  <w:style w:type="character" w:styleId="FootnoteReference">
    <w:name w:val="footnote reference"/>
    <w:basedOn w:val="DefaultParagraphFont"/>
    <w:uiPriority w:val="98"/>
    <w:semiHidden/>
    <w:rsid w:val="002B5B43"/>
    <w:rPr>
      <w:vertAlign w:val="superscript"/>
    </w:rPr>
  </w:style>
  <w:style w:type="paragraph" w:styleId="FootnoteText">
    <w:name w:val="footnote text"/>
    <w:basedOn w:val="NormalJustified"/>
    <w:link w:val="FootnoteTextChar"/>
    <w:uiPriority w:val="98"/>
    <w:semiHidden/>
    <w:rsid w:val="002B5B43"/>
    <w:rPr>
      <w:sz w:val="20"/>
      <w:szCs w:val="20"/>
    </w:rPr>
  </w:style>
  <w:style w:type="character" w:customStyle="1" w:styleId="FootnoteTextChar">
    <w:name w:val="Footnote Text Char"/>
    <w:basedOn w:val="DefaultParagraphFont"/>
    <w:link w:val="FootnoteText"/>
    <w:uiPriority w:val="98"/>
    <w:semiHidden/>
    <w:rsid w:val="002B5B43"/>
    <w:rPr>
      <w:sz w:val="20"/>
      <w:szCs w:val="20"/>
      <w:lang w:val="en-GB"/>
    </w:rPr>
  </w:style>
  <w:style w:type="character" w:customStyle="1" w:styleId="Heading6Char">
    <w:name w:val="Heading 6 Char"/>
    <w:basedOn w:val="DefaultParagraphFont"/>
    <w:link w:val="Heading6"/>
    <w:uiPriority w:val="98"/>
    <w:semiHidden/>
    <w:rsid w:val="002B5B43"/>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2B5B43"/>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2B5B43"/>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2B5B43"/>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2B5B43"/>
    <w:rPr>
      <w:color w:val="0072BC" w:themeColor="hyperlink"/>
      <w:u w:val="single"/>
    </w:rPr>
  </w:style>
  <w:style w:type="character" w:styleId="IntenseEmphasis">
    <w:name w:val="Intense Emphasis"/>
    <w:uiPriority w:val="98"/>
    <w:semiHidden/>
    <w:qFormat/>
    <w:rsid w:val="002B5B43"/>
    <w:rPr>
      <w:b/>
      <w:bCs/>
    </w:rPr>
  </w:style>
  <w:style w:type="paragraph" w:styleId="IntenseQuote">
    <w:name w:val="Intense Quote"/>
    <w:basedOn w:val="Normal"/>
    <w:next w:val="Normal"/>
    <w:link w:val="IntenseQuoteChar"/>
    <w:uiPriority w:val="98"/>
    <w:semiHidden/>
    <w:qFormat/>
    <w:rsid w:val="002B5B43"/>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2B5B43"/>
    <w:rPr>
      <w:b/>
      <w:bCs/>
      <w:i/>
      <w:iCs/>
      <w:sz w:val="24"/>
      <w:szCs w:val="24"/>
      <w:lang w:val="en-GB" w:bidi="en-US"/>
    </w:rPr>
  </w:style>
  <w:style w:type="character" w:styleId="IntenseReference">
    <w:name w:val="Intense Reference"/>
    <w:uiPriority w:val="98"/>
    <w:semiHidden/>
    <w:qFormat/>
    <w:rsid w:val="002B5B43"/>
    <w:rPr>
      <w:smallCaps/>
      <w:spacing w:val="5"/>
      <w:u w:val="single"/>
    </w:rPr>
  </w:style>
  <w:style w:type="paragraph" w:styleId="ListParagraph">
    <w:name w:val="List Paragraph"/>
    <w:basedOn w:val="Normal"/>
    <w:uiPriority w:val="98"/>
    <w:semiHidden/>
    <w:qFormat/>
    <w:rsid w:val="002B5B43"/>
    <w:pPr>
      <w:ind w:left="720"/>
      <w:contextualSpacing/>
    </w:pPr>
  </w:style>
  <w:style w:type="table" w:customStyle="1" w:styleId="LtrTableAddress">
    <w:name w:val="Ltr_Table_Address"/>
    <w:aliases w:val="ECHR_Ltr_Table_Address"/>
    <w:basedOn w:val="TableNormal"/>
    <w:uiPriority w:val="99"/>
    <w:rsid w:val="002B5B43"/>
    <w:rPr>
      <w:sz w:val="24"/>
      <w:szCs w:val="24"/>
    </w:rPr>
    <w:tblPr>
      <w:tblInd w:w="5103" w:type="dxa"/>
    </w:tblPr>
  </w:style>
  <w:style w:type="paragraph" w:styleId="Quote0">
    <w:name w:val="Quote"/>
    <w:basedOn w:val="Normal"/>
    <w:next w:val="Normal"/>
    <w:link w:val="QuoteChar"/>
    <w:uiPriority w:val="98"/>
    <w:semiHidden/>
    <w:qFormat/>
    <w:rsid w:val="002B5B43"/>
    <w:pPr>
      <w:spacing w:before="200"/>
      <w:ind w:left="360" w:right="360"/>
    </w:pPr>
    <w:rPr>
      <w:i/>
      <w:iCs/>
      <w:lang w:bidi="en-US"/>
    </w:rPr>
  </w:style>
  <w:style w:type="character" w:customStyle="1" w:styleId="QuoteChar">
    <w:name w:val="Quote Char"/>
    <w:basedOn w:val="DefaultParagraphFont"/>
    <w:link w:val="Quote0"/>
    <w:uiPriority w:val="98"/>
    <w:semiHidden/>
    <w:rsid w:val="002B5B43"/>
    <w:rPr>
      <w:i/>
      <w:iCs/>
      <w:sz w:val="24"/>
      <w:szCs w:val="24"/>
      <w:lang w:val="en-GB" w:bidi="en-US"/>
    </w:rPr>
  </w:style>
  <w:style w:type="character" w:styleId="SubtleReference">
    <w:name w:val="Subtle Reference"/>
    <w:uiPriority w:val="98"/>
    <w:semiHidden/>
    <w:qFormat/>
    <w:rsid w:val="002B5B43"/>
    <w:rPr>
      <w:smallCaps/>
    </w:rPr>
  </w:style>
  <w:style w:type="table" w:styleId="TableGrid">
    <w:name w:val="Table Grid"/>
    <w:basedOn w:val="TableNormal"/>
    <w:uiPriority w:val="59"/>
    <w:semiHidden/>
    <w:rsid w:val="002B5B43"/>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2B5B43"/>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2B5B43"/>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2B5B43"/>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2B5B43"/>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2B5B43"/>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2B5B43"/>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TableNormal"/>
    <w:uiPriority w:val="99"/>
    <w:rsid w:val="002B5B43"/>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2B5B43"/>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2B5B43"/>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2B5B43"/>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TableNormal"/>
    <w:uiPriority w:val="99"/>
    <w:rsid w:val="002B5B43"/>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TableNormal"/>
    <w:uiPriority w:val="99"/>
    <w:rsid w:val="002B5B43"/>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2B5B43"/>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paragraph" w:styleId="Subtitle">
    <w:name w:val="Subtitle"/>
    <w:basedOn w:val="Normal"/>
    <w:next w:val="Normal"/>
    <w:link w:val="SubtitleChar"/>
    <w:uiPriority w:val="98"/>
    <w:semiHidden/>
    <w:qFormat/>
    <w:rsid w:val="002B5B43"/>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2B5B43"/>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2B5B43"/>
    <w:pPr>
      <w:numPr>
        <w:numId w:val="1"/>
      </w:numPr>
    </w:pPr>
  </w:style>
  <w:style w:type="paragraph" w:customStyle="1" w:styleId="JuPara">
    <w:name w:val="Ju_Para"/>
    <w:aliases w:val="_Para"/>
    <w:basedOn w:val="NormalJustified"/>
    <w:link w:val="JuParaChar"/>
    <w:uiPriority w:val="8"/>
    <w:qFormat/>
    <w:rsid w:val="002B5B43"/>
    <w:pPr>
      <w:ind w:firstLine="284"/>
    </w:pPr>
  </w:style>
  <w:style w:type="numbering" w:styleId="1ai">
    <w:name w:val="Outline List 1"/>
    <w:basedOn w:val="NoList"/>
    <w:uiPriority w:val="99"/>
    <w:semiHidden/>
    <w:unhideWhenUsed/>
    <w:rsid w:val="002B5B43"/>
    <w:pPr>
      <w:numPr>
        <w:numId w:val="2"/>
      </w:numPr>
    </w:pPr>
  </w:style>
  <w:style w:type="table" w:customStyle="1" w:styleId="ECHRTableSimpleBox">
    <w:name w:val="ECHR_Table_Simple_Box"/>
    <w:basedOn w:val="TableNormal"/>
    <w:uiPriority w:val="99"/>
    <w:rsid w:val="002B5B43"/>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TableNormal"/>
    <w:uiPriority w:val="99"/>
    <w:rsid w:val="002B5B43"/>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numbering" w:styleId="ArticleSection">
    <w:name w:val="Outline List 3"/>
    <w:basedOn w:val="NoList"/>
    <w:uiPriority w:val="99"/>
    <w:semiHidden/>
    <w:unhideWhenUsed/>
    <w:rsid w:val="002B5B43"/>
    <w:pPr>
      <w:numPr>
        <w:numId w:val="3"/>
      </w:numPr>
    </w:pPr>
  </w:style>
  <w:style w:type="table" w:customStyle="1" w:styleId="ECHRTableForInternalUse">
    <w:name w:val="ECHR_Table_For_Internal_Use"/>
    <w:basedOn w:val="TableNormal"/>
    <w:uiPriority w:val="99"/>
    <w:rsid w:val="002B5B43"/>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TableNormal"/>
    <w:uiPriority w:val="99"/>
    <w:rsid w:val="002B5B43"/>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2B5B43"/>
  </w:style>
  <w:style w:type="paragraph" w:styleId="BlockText">
    <w:name w:val="Block Text"/>
    <w:basedOn w:val="Normal"/>
    <w:uiPriority w:val="98"/>
    <w:semiHidden/>
    <w:rsid w:val="002B5B43"/>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2B5B43"/>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2B5B43"/>
    <w:pPr>
      <w:spacing w:after="120"/>
    </w:pPr>
  </w:style>
  <w:style w:type="character" w:customStyle="1" w:styleId="BodyTextChar">
    <w:name w:val="Body Text Char"/>
    <w:basedOn w:val="DefaultParagraphFont"/>
    <w:link w:val="BodyText"/>
    <w:uiPriority w:val="98"/>
    <w:semiHidden/>
    <w:rsid w:val="002B5B43"/>
    <w:rPr>
      <w:sz w:val="24"/>
      <w:szCs w:val="24"/>
      <w:lang w:val="en-GB"/>
    </w:rPr>
  </w:style>
  <w:style w:type="table" w:customStyle="1" w:styleId="ECHRTableOddBanded">
    <w:name w:val="ECHR_Table_Odd_Banded"/>
    <w:basedOn w:val="TableNormal"/>
    <w:uiPriority w:val="99"/>
    <w:rsid w:val="002B5B43"/>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2B5B43"/>
    <w:pPr>
      <w:spacing w:after="120" w:line="480" w:lineRule="auto"/>
    </w:pPr>
  </w:style>
  <w:style w:type="table" w:customStyle="1" w:styleId="ECHRHeaderTableReduced">
    <w:name w:val="ECHR_Header_Table_Reduced"/>
    <w:basedOn w:val="TableNormal"/>
    <w:uiPriority w:val="99"/>
    <w:rsid w:val="002B5B43"/>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2B5B43"/>
    <w:pPr>
      <w:ind w:firstLine="284"/>
    </w:pPr>
    <w:rPr>
      <w:b/>
    </w:rPr>
  </w:style>
  <w:style w:type="character" w:styleId="PageNumber">
    <w:name w:val="page number"/>
    <w:uiPriority w:val="98"/>
    <w:semiHidden/>
    <w:rsid w:val="002B5B43"/>
    <w:rPr>
      <w:sz w:val="18"/>
    </w:rPr>
  </w:style>
  <w:style w:type="paragraph" w:styleId="ListBullet">
    <w:name w:val="List Bullet"/>
    <w:basedOn w:val="Normal"/>
    <w:uiPriority w:val="98"/>
    <w:semiHidden/>
    <w:rsid w:val="002B5B43"/>
    <w:pPr>
      <w:numPr>
        <w:numId w:val="11"/>
      </w:numPr>
    </w:pPr>
  </w:style>
  <w:style w:type="paragraph" w:styleId="ListBullet3">
    <w:name w:val="List Bullet 3"/>
    <w:basedOn w:val="Normal"/>
    <w:uiPriority w:val="98"/>
    <w:semiHidden/>
    <w:rsid w:val="002B5B43"/>
    <w:pPr>
      <w:numPr>
        <w:numId w:val="13"/>
      </w:numPr>
      <w:contextualSpacing/>
    </w:pPr>
  </w:style>
  <w:style w:type="character" w:customStyle="1" w:styleId="BodyText2Char">
    <w:name w:val="Body Text 2 Char"/>
    <w:basedOn w:val="DefaultParagraphFont"/>
    <w:link w:val="BodyText2"/>
    <w:uiPriority w:val="98"/>
    <w:semiHidden/>
    <w:rsid w:val="002B5B43"/>
    <w:rPr>
      <w:sz w:val="24"/>
      <w:szCs w:val="24"/>
      <w:lang w:val="en-GB"/>
    </w:rPr>
  </w:style>
  <w:style w:type="paragraph" w:styleId="BodyText3">
    <w:name w:val="Body Text 3"/>
    <w:basedOn w:val="Normal"/>
    <w:link w:val="BodyText3Char"/>
    <w:uiPriority w:val="98"/>
    <w:semiHidden/>
    <w:rsid w:val="002B5B43"/>
    <w:pPr>
      <w:spacing w:after="120"/>
    </w:pPr>
    <w:rPr>
      <w:sz w:val="16"/>
      <w:szCs w:val="16"/>
    </w:rPr>
  </w:style>
  <w:style w:type="character" w:customStyle="1" w:styleId="BodyText3Char">
    <w:name w:val="Body Text 3 Char"/>
    <w:basedOn w:val="DefaultParagraphFont"/>
    <w:link w:val="BodyText3"/>
    <w:uiPriority w:val="98"/>
    <w:semiHidden/>
    <w:rsid w:val="002B5B43"/>
    <w:rPr>
      <w:sz w:val="16"/>
      <w:szCs w:val="16"/>
      <w:lang w:val="en-GB"/>
    </w:rPr>
  </w:style>
  <w:style w:type="paragraph" w:styleId="BodyTextFirstIndent">
    <w:name w:val="Body Text First Indent"/>
    <w:basedOn w:val="BodyText"/>
    <w:link w:val="BodyTextFirstIndentChar"/>
    <w:uiPriority w:val="98"/>
    <w:semiHidden/>
    <w:rsid w:val="002B5B43"/>
    <w:pPr>
      <w:spacing w:after="0"/>
      <w:ind w:firstLine="360"/>
    </w:pPr>
  </w:style>
  <w:style w:type="character" w:customStyle="1" w:styleId="BodyTextFirstIndentChar">
    <w:name w:val="Body Text First Indent Char"/>
    <w:basedOn w:val="BodyTextChar"/>
    <w:link w:val="BodyTextFirstIndent"/>
    <w:uiPriority w:val="98"/>
    <w:semiHidden/>
    <w:rsid w:val="002B5B43"/>
    <w:rPr>
      <w:sz w:val="24"/>
      <w:szCs w:val="24"/>
      <w:lang w:val="en-GB"/>
    </w:rPr>
  </w:style>
  <w:style w:type="paragraph" w:styleId="BodyTextIndent">
    <w:name w:val="Body Text Indent"/>
    <w:basedOn w:val="Normal"/>
    <w:link w:val="BodyTextIndentChar"/>
    <w:uiPriority w:val="98"/>
    <w:semiHidden/>
    <w:rsid w:val="002B5B43"/>
    <w:pPr>
      <w:spacing w:after="120"/>
      <w:ind w:left="283"/>
    </w:pPr>
  </w:style>
  <w:style w:type="character" w:customStyle="1" w:styleId="BodyTextIndentChar">
    <w:name w:val="Body Text Indent Char"/>
    <w:basedOn w:val="DefaultParagraphFont"/>
    <w:link w:val="BodyTextIndent"/>
    <w:uiPriority w:val="98"/>
    <w:semiHidden/>
    <w:rsid w:val="002B5B43"/>
    <w:rPr>
      <w:sz w:val="24"/>
      <w:szCs w:val="24"/>
      <w:lang w:val="en-GB"/>
    </w:rPr>
  </w:style>
  <w:style w:type="paragraph" w:styleId="BodyTextFirstIndent2">
    <w:name w:val="Body Text First Indent 2"/>
    <w:basedOn w:val="BodyTextIndent"/>
    <w:link w:val="BodyTextFirstIndent2Char"/>
    <w:uiPriority w:val="98"/>
    <w:semiHidden/>
    <w:rsid w:val="002B5B43"/>
    <w:pPr>
      <w:spacing w:after="0"/>
      <w:ind w:left="360" w:firstLine="360"/>
    </w:pPr>
  </w:style>
  <w:style w:type="character" w:customStyle="1" w:styleId="BodyTextFirstIndent2Char">
    <w:name w:val="Body Text First Indent 2 Char"/>
    <w:basedOn w:val="BodyTextIndentChar"/>
    <w:link w:val="BodyTextFirstIndent2"/>
    <w:uiPriority w:val="98"/>
    <w:semiHidden/>
    <w:rsid w:val="002B5B43"/>
    <w:rPr>
      <w:sz w:val="24"/>
      <w:szCs w:val="24"/>
      <w:lang w:val="en-GB"/>
    </w:rPr>
  </w:style>
  <w:style w:type="paragraph" w:styleId="BodyTextIndent2">
    <w:name w:val="Body Text Indent 2"/>
    <w:basedOn w:val="Normal"/>
    <w:link w:val="BodyTextIndent2Char"/>
    <w:uiPriority w:val="98"/>
    <w:semiHidden/>
    <w:rsid w:val="002B5B43"/>
    <w:pPr>
      <w:spacing w:after="120" w:line="480" w:lineRule="auto"/>
      <w:ind w:left="283"/>
    </w:pPr>
  </w:style>
  <w:style w:type="character" w:customStyle="1" w:styleId="BodyTextIndent2Char">
    <w:name w:val="Body Text Indent 2 Char"/>
    <w:basedOn w:val="DefaultParagraphFont"/>
    <w:link w:val="BodyTextIndent2"/>
    <w:uiPriority w:val="98"/>
    <w:semiHidden/>
    <w:rsid w:val="002B5B43"/>
    <w:rPr>
      <w:sz w:val="24"/>
      <w:szCs w:val="24"/>
      <w:lang w:val="en-GB"/>
    </w:rPr>
  </w:style>
  <w:style w:type="paragraph" w:styleId="BodyTextIndent3">
    <w:name w:val="Body Text Indent 3"/>
    <w:basedOn w:val="Normal"/>
    <w:link w:val="BodyTextIndent3Char"/>
    <w:uiPriority w:val="98"/>
    <w:semiHidden/>
    <w:rsid w:val="002B5B43"/>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2B5B43"/>
    <w:rPr>
      <w:sz w:val="16"/>
      <w:szCs w:val="16"/>
      <w:lang w:val="en-GB"/>
    </w:rPr>
  </w:style>
  <w:style w:type="paragraph" w:styleId="Caption">
    <w:name w:val="caption"/>
    <w:basedOn w:val="Normal"/>
    <w:next w:val="Normal"/>
    <w:uiPriority w:val="98"/>
    <w:semiHidden/>
    <w:qFormat/>
    <w:rsid w:val="002B5B43"/>
    <w:pPr>
      <w:spacing w:after="200"/>
    </w:pPr>
    <w:rPr>
      <w:b/>
      <w:bCs/>
      <w:color w:val="0072BC" w:themeColor="accent1"/>
      <w:sz w:val="18"/>
      <w:szCs w:val="18"/>
    </w:rPr>
  </w:style>
  <w:style w:type="paragraph" w:styleId="Closing">
    <w:name w:val="Closing"/>
    <w:basedOn w:val="Normal"/>
    <w:link w:val="ClosingChar"/>
    <w:uiPriority w:val="98"/>
    <w:semiHidden/>
    <w:rsid w:val="002B5B43"/>
    <w:pPr>
      <w:ind w:left="4252"/>
    </w:pPr>
  </w:style>
  <w:style w:type="character" w:customStyle="1" w:styleId="ClosingChar">
    <w:name w:val="Closing Char"/>
    <w:basedOn w:val="DefaultParagraphFont"/>
    <w:link w:val="Closing"/>
    <w:uiPriority w:val="98"/>
    <w:semiHidden/>
    <w:rsid w:val="002B5B43"/>
    <w:rPr>
      <w:sz w:val="24"/>
      <w:szCs w:val="24"/>
      <w:lang w:val="en-GB"/>
    </w:rPr>
  </w:style>
  <w:style w:type="table" w:styleId="ColorfulGrid">
    <w:name w:val="Colorful Grid"/>
    <w:basedOn w:val="TableNormal"/>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ColorfulGridAccent4">
    <w:name w:val="Colorful Grid Accent 4"/>
    <w:basedOn w:val="TableNormal"/>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2B5B43"/>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2B5B43"/>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2B5B43"/>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2B5B43"/>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ColorfulListAccent4">
    <w:name w:val="Colorful List Accent 4"/>
    <w:basedOn w:val="TableNormal"/>
    <w:uiPriority w:val="72"/>
    <w:semiHidden/>
    <w:rsid w:val="002B5B43"/>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2B5B43"/>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2B5B43"/>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2B5B43"/>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2B5B43"/>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2B5B43"/>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2B5B43"/>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ColorfulShadingAccent4">
    <w:name w:val="Colorful Shading Accent 4"/>
    <w:basedOn w:val="TableNormal"/>
    <w:uiPriority w:val="71"/>
    <w:semiHidden/>
    <w:rsid w:val="002B5B43"/>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2B5B43"/>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2B5B43"/>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2B5B43"/>
    <w:rPr>
      <w:sz w:val="16"/>
      <w:szCs w:val="16"/>
    </w:rPr>
  </w:style>
  <w:style w:type="paragraph" w:styleId="CommentText">
    <w:name w:val="annotation text"/>
    <w:basedOn w:val="Normal"/>
    <w:link w:val="CommentTextChar"/>
    <w:uiPriority w:val="98"/>
    <w:semiHidden/>
    <w:rsid w:val="002B5B43"/>
    <w:rPr>
      <w:sz w:val="20"/>
      <w:szCs w:val="20"/>
    </w:rPr>
  </w:style>
  <w:style w:type="character" w:customStyle="1" w:styleId="CommentTextChar">
    <w:name w:val="Comment Text Char"/>
    <w:basedOn w:val="DefaultParagraphFont"/>
    <w:link w:val="CommentText"/>
    <w:uiPriority w:val="98"/>
    <w:semiHidden/>
    <w:rsid w:val="002B5B43"/>
    <w:rPr>
      <w:sz w:val="20"/>
      <w:szCs w:val="20"/>
      <w:lang w:val="en-GB"/>
    </w:rPr>
  </w:style>
  <w:style w:type="paragraph" w:styleId="CommentSubject">
    <w:name w:val="annotation subject"/>
    <w:basedOn w:val="CommentText"/>
    <w:next w:val="CommentText"/>
    <w:link w:val="CommentSubjectChar"/>
    <w:uiPriority w:val="98"/>
    <w:semiHidden/>
    <w:rsid w:val="002B5B43"/>
    <w:rPr>
      <w:b/>
      <w:bCs/>
    </w:rPr>
  </w:style>
  <w:style w:type="character" w:customStyle="1" w:styleId="CommentSubjectChar">
    <w:name w:val="Comment Subject Char"/>
    <w:basedOn w:val="CommentTextChar"/>
    <w:link w:val="CommentSubject"/>
    <w:uiPriority w:val="98"/>
    <w:semiHidden/>
    <w:rsid w:val="002B5B43"/>
    <w:rPr>
      <w:b/>
      <w:bCs/>
      <w:sz w:val="20"/>
      <w:szCs w:val="20"/>
      <w:lang w:val="en-GB"/>
    </w:rPr>
  </w:style>
  <w:style w:type="table" w:styleId="DarkList">
    <w:name w:val="Dark List"/>
    <w:basedOn w:val="TableNormal"/>
    <w:uiPriority w:val="70"/>
    <w:semiHidden/>
    <w:rsid w:val="002B5B43"/>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2B5B43"/>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2B5B43"/>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2B5B43"/>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DarkListAccent4">
    <w:name w:val="Dark List Accent 4"/>
    <w:basedOn w:val="TableNormal"/>
    <w:uiPriority w:val="70"/>
    <w:semiHidden/>
    <w:rsid w:val="002B5B43"/>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2B5B43"/>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2B5B43"/>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2B5B43"/>
  </w:style>
  <w:style w:type="character" w:customStyle="1" w:styleId="DateChar">
    <w:name w:val="Date Char"/>
    <w:basedOn w:val="DefaultParagraphFont"/>
    <w:link w:val="Date"/>
    <w:uiPriority w:val="98"/>
    <w:semiHidden/>
    <w:rsid w:val="002B5B43"/>
    <w:rPr>
      <w:sz w:val="24"/>
      <w:szCs w:val="24"/>
      <w:lang w:val="en-GB"/>
    </w:rPr>
  </w:style>
  <w:style w:type="paragraph" w:styleId="DocumentMap">
    <w:name w:val="Document Map"/>
    <w:basedOn w:val="Normal"/>
    <w:link w:val="DocumentMapChar"/>
    <w:uiPriority w:val="98"/>
    <w:semiHidden/>
    <w:rsid w:val="002B5B43"/>
    <w:rPr>
      <w:rFonts w:ascii="Tahoma" w:hAnsi="Tahoma" w:cs="Tahoma"/>
      <w:sz w:val="16"/>
      <w:szCs w:val="16"/>
    </w:rPr>
  </w:style>
  <w:style w:type="character" w:customStyle="1" w:styleId="DocumentMapChar">
    <w:name w:val="Document Map Char"/>
    <w:basedOn w:val="DefaultParagraphFont"/>
    <w:link w:val="DocumentMap"/>
    <w:uiPriority w:val="98"/>
    <w:semiHidden/>
    <w:rsid w:val="002B5B43"/>
    <w:rPr>
      <w:rFonts w:ascii="Tahoma" w:hAnsi="Tahoma" w:cs="Tahoma"/>
      <w:sz w:val="16"/>
      <w:szCs w:val="16"/>
      <w:lang w:val="en-GB"/>
    </w:rPr>
  </w:style>
  <w:style w:type="paragraph" w:styleId="E-mailSignature">
    <w:name w:val="E-mail Signature"/>
    <w:basedOn w:val="Normal"/>
    <w:link w:val="E-mailSignatureChar"/>
    <w:uiPriority w:val="98"/>
    <w:semiHidden/>
    <w:rsid w:val="002B5B43"/>
  </w:style>
  <w:style w:type="character" w:customStyle="1" w:styleId="E-mailSignatureChar">
    <w:name w:val="E-mail Signature Char"/>
    <w:basedOn w:val="DefaultParagraphFont"/>
    <w:link w:val="E-mailSignature"/>
    <w:uiPriority w:val="98"/>
    <w:semiHidden/>
    <w:rsid w:val="002B5B43"/>
    <w:rPr>
      <w:sz w:val="24"/>
      <w:szCs w:val="24"/>
      <w:lang w:val="en-GB"/>
    </w:rPr>
  </w:style>
  <w:style w:type="character" w:styleId="EndnoteReference">
    <w:name w:val="endnote reference"/>
    <w:basedOn w:val="DefaultParagraphFont"/>
    <w:uiPriority w:val="98"/>
    <w:semiHidden/>
    <w:rsid w:val="002B5B43"/>
    <w:rPr>
      <w:vertAlign w:val="superscript"/>
    </w:rPr>
  </w:style>
  <w:style w:type="paragraph" w:styleId="EndnoteText">
    <w:name w:val="endnote text"/>
    <w:basedOn w:val="Normal"/>
    <w:link w:val="EndnoteTextChar"/>
    <w:uiPriority w:val="98"/>
    <w:semiHidden/>
    <w:rsid w:val="002B5B43"/>
    <w:rPr>
      <w:sz w:val="20"/>
      <w:szCs w:val="20"/>
    </w:rPr>
  </w:style>
  <w:style w:type="character" w:customStyle="1" w:styleId="EndnoteTextChar">
    <w:name w:val="Endnote Text Char"/>
    <w:basedOn w:val="DefaultParagraphFont"/>
    <w:link w:val="EndnoteText"/>
    <w:uiPriority w:val="98"/>
    <w:semiHidden/>
    <w:rsid w:val="002B5B43"/>
    <w:rPr>
      <w:sz w:val="20"/>
      <w:szCs w:val="20"/>
      <w:lang w:val="en-GB"/>
    </w:rPr>
  </w:style>
  <w:style w:type="paragraph" w:styleId="EnvelopeAddress">
    <w:name w:val="envelope address"/>
    <w:basedOn w:val="Normal"/>
    <w:uiPriority w:val="98"/>
    <w:semiHidden/>
    <w:rsid w:val="002B5B43"/>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2B5B43"/>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2B5B43"/>
    <w:rPr>
      <w:color w:val="7030A0" w:themeColor="followedHyperlink"/>
      <w:u w:val="single"/>
    </w:rPr>
  </w:style>
  <w:style w:type="character" w:styleId="HTMLAcronym">
    <w:name w:val="HTML Acronym"/>
    <w:basedOn w:val="DefaultParagraphFont"/>
    <w:uiPriority w:val="98"/>
    <w:semiHidden/>
    <w:rsid w:val="002B5B43"/>
  </w:style>
  <w:style w:type="paragraph" w:styleId="HTMLAddress">
    <w:name w:val="HTML Address"/>
    <w:basedOn w:val="Normal"/>
    <w:link w:val="HTMLAddressChar"/>
    <w:uiPriority w:val="98"/>
    <w:semiHidden/>
    <w:rsid w:val="002B5B43"/>
    <w:rPr>
      <w:i/>
      <w:iCs/>
    </w:rPr>
  </w:style>
  <w:style w:type="character" w:customStyle="1" w:styleId="HTMLAddressChar">
    <w:name w:val="HTML Address Char"/>
    <w:basedOn w:val="DefaultParagraphFont"/>
    <w:link w:val="HTMLAddress"/>
    <w:uiPriority w:val="98"/>
    <w:semiHidden/>
    <w:rsid w:val="002B5B43"/>
    <w:rPr>
      <w:i/>
      <w:iCs/>
      <w:sz w:val="24"/>
      <w:szCs w:val="24"/>
      <w:lang w:val="en-GB"/>
    </w:rPr>
  </w:style>
  <w:style w:type="character" w:styleId="HTMLCite">
    <w:name w:val="HTML Cite"/>
    <w:basedOn w:val="DefaultParagraphFont"/>
    <w:uiPriority w:val="98"/>
    <w:semiHidden/>
    <w:rsid w:val="002B5B43"/>
    <w:rPr>
      <w:i/>
      <w:iCs/>
    </w:rPr>
  </w:style>
  <w:style w:type="character" w:styleId="HTMLCode">
    <w:name w:val="HTML Code"/>
    <w:basedOn w:val="DefaultParagraphFont"/>
    <w:uiPriority w:val="98"/>
    <w:semiHidden/>
    <w:rsid w:val="002B5B43"/>
    <w:rPr>
      <w:rFonts w:ascii="Consolas" w:hAnsi="Consolas" w:cs="Consolas"/>
      <w:sz w:val="20"/>
      <w:szCs w:val="20"/>
    </w:rPr>
  </w:style>
  <w:style w:type="character" w:styleId="HTMLDefinition">
    <w:name w:val="HTML Definition"/>
    <w:basedOn w:val="DefaultParagraphFont"/>
    <w:uiPriority w:val="98"/>
    <w:semiHidden/>
    <w:rsid w:val="002B5B43"/>
    <w:rPr>
      <w:i/>
      <w:iCs/>
    </w:rPr>
  </w:style>
  <w:style w:type="character" w:styleId="HTMLKeyboard">
    <w:name w:val="HTML Keyboard"/>
    <w:basedOn w:val="DefaultParagraphFont"/>
    <w:uiPriority w:val="98"/>
    <w:semiHidden/>
    <w:rsid w:val="002B5B43"/>
    <w:rPr>
      <w:rFonts w:ascii="Consolas" w:hAnsi="Consolas" w:cs="Consolas"/>
      <w:sz w:val="20"/>
      <w:szCs w:val="20"/>
    </w:rPr>
  </w:style>
  <w:style w:type="paragraph" w:styleId="HTMLPreformatted">
    <w:name w:val="HTML Preformatted"/>
    <w:basedOn w:val="Normal"/>
    <w:link w:val="HTMLPreformattedChar"/>
    <w:uiPriority w:val="98"/>
    <w:semiHidden/>
    <w:rsid w:val="002B5B43"/>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2B5B43"/>
    <w:rPr>
      <w:rFonts w:ascii="Consolas" w:hAnsi="Consolas" w:cs="Consolas"/>
      <w:sz w:val="20"/>
      <w:szCs w:val="20"/>
      <w:lang w:val="en-GB"/>
    </w:rPr>
  </w:style>
  <w:style w:type="character" w:styleId="HTMLSample">
    <w:name w:val="HTML Sample"/>
    <w:basedOn w:val="DefaultParagraphFont"/>
    <w:uiPriority w:val="98"/>
    <w:semiHidden/>
    <w:rsid w:val="002B5B43"/>
    <w:rPr>
      <w:rFonts w:ascii="Consolas" w:hAnsi="Consolas" w:cs="Consolas"/>
      <w:sz w:val="24"/>
      <w:szCs w:val="24"/>
    </w:rPr>
  </w:style>
  <w:style w:type="character" w:styleId="HTMLTypewriter">
    <w:name w:val="HTML Typewriter"/>
    <w:basedOn w:val="DefaultParagraphFont"/>
    <w:uiPriority w:val="98"/>
    <w:semiHidden/>
    <w:rsid w:val="002B5B43"/>
    <w:rPr>
      <w:rFonts w:ascii="Consolas" w:hAnsi="Consolas" w:cs="Consolas"/>
      <w:sz w:val="20"/>
      <w:szCs w:val="20"/>
    </w:rPr>
  </w:style>
  <w:style w:type="character" w:styleId="HTMLVariable">
    <w:name w:val="HTML Variable"/>
    <w:basedOn w:val="DefaultParagraphFont"/>
    <w:uiPriority w:val="98"/>
    <w:semiHidden/>
    <w:rsid w:val="002B5B43"/>
    <w:rPr>
      <w:i/>
      <w:iCs/>
    </w:rPr>
  </w:style>
  <w:style w:type="paragraph" w:styleId="Index1">
    <w:name w:val="index 1"/>
    <w:basedOn w:val="Normal"/>
    <w:next w:val="Normal"/>
    <w:autoRedefine/>
    <w:uiPriority w:val="98"/>
    <w:semiHidden/>
    <w:rsid w:val="002B5B43"/>
    <w:pPr>
      <w:ind w:left="240" w:hanging="240"/>
    </w:pPr>
  </w:style>
  <w:style w:type="paragraph" w:styleId="Index2">
    <w:name w:val="index 2"/>
    <w:basedOn w:val="Normal"/>
    <w:next w:val="Normal"/>
    <w:autoRedefine/>
    <w:uiPriority w:val="98"/>
    <w:semiHidden/>
    <w:rsid w:val="002B5B43"/>
    <w:pPr>
      <w:ind w:left="480" w:hanging="240"/>
    </w:pPr>
  </w:style>
  <w:style w:type="paragraph" w:styleId="Index3">
    <w:name w:val="index 3"/>
    <w:basedOn w:val="Normal"/>
    <w:next w:val="Normal"/>
    <w:autoRedefine/>
    <w:uiPriority w:val="98"/>
    <w:semiHidden/>
    <w:rsid w:val="002B5B43"/>
    <w:pPr>
      <w:ind w:left="720" w:hanging="240"/>
    </w:pPr>
  </w:style>
  <w:style w:type="paragraph" w:styleId="Index4">
    <w:name w:val="index 4"/>
    <w:basedOn w:val="Normal"/>
    <w:next w:val="Normal"/>
    <w:autoRedefine/>
    <w:uiPriority w:val="98"/>
    <w:semiHidden/>
    <w:rsid w:val="002B5B43"/>
    <w:pPr>
      <w:ind w:left="960" w:hanging="240"/>
    </w:pPr>
  </w:style>
  <w:style w:type="paragraph" w:styleId="Index5">
    <w:name w:val="index 5"/>
    <w:basedOn w:val="Normal"/>
    <w:next w:val="Normal"/>
    <w:autoRedefine/>
    <w:uiPriority w:val="98"/>
    <w:semiHidden/>
    <w:rsid w:val="002B5B43"/>
    <w:pPr>
      <w:ind w:left="1200" w:hanging="240"/>
    </w:pPr>
  </w:style>
  <w:style w:type="paragraph" w:styleId="Index6">
    <w:name w:val="index 6"/>
    <w:basedOn w:val="Normal"/>
    <w:next w:val="Normal"/>
    <w:autoRedefine/>
    <w:uiPriority w:val="98"/>
    <w:semiHidden/>
    <w:rsid w:val="002B5B43"/>
    <w:pPr>
      <w:ind w:left="1440" w:hanging="240"/>
    </w:pPr>
  </w:style>
  <w:style w:type="paragraph" w:styleId="Index7">
    <w:name w:val="index 7"/>
    <w:basedOn w:val="Normal"/>
    <w:next w:val="Normal"/>
    <w:autoRedefine/>
    <w:uiPriority w:val="98"/>
    <w:semiHidden/>
    <w:rsid w:val="002B5B43"/>
    <w:pPr>
      <w:ind w:left="1680" w:hanging="240"/>
    </w:pPr>
  </w:style>
  <w:style w:type="paragraph" w:styleId="Index8">
    <w:name w:val="index 8"/>
    <w:basedOn w:val="Normal"/>
    <w:next w:val="Normal"/>
    <w:autoRedefine/>
    <w:uiPriority w:val="98"/>
    <w:semiHidden/>
    <w:rsid w:val="002B5B43"/>
    <w:pPr>
      <w:ind w:left="1920" w:hanging="240"/>
    </w:pPr>
  </w:style>
  <w:style w:type="paragraph" w:styleId="Index9">
    <w:name w:val="index 9"/>
    <w:basedOn w:val="Normal"/>
    <w:next w:val="Normal"/>
    <w:autoRedefine/>
    <w:uiPriority w:val="98"/>
    <w:semiHidden/>
    <w:rsid w:val="002B5B43"/>
    <w:pPr>
      <w:ind w:left="2160" w:hanging="240"/>
    </w:pPr>
  </w:style>
  <w:style w:type="paragraph" w:styleId="IndexHeading">
    <w:name w:val="index heading"/>
    <w:basedOn w:val="Normal"/>
    <w:next w:val="Index1"/>
    <w:uiPriority w:val="98"/>
    <w:semiHidden/>
    <w:rsid w:val="002B5B43"/>
    <w:rPr>
      <w:rFonts w:asciiTheme="majorHAnsi" w:eastAsiaTheme="majorEastAsia" w:hAnsiTheme="majorHAnsi" w:cstheme="majorBidi"/>
      <w:b/>
      <w:bCs/>
    </w:rPr>
  </w:style>
  <w:style w:type="table" w:styleId="LightGrid">
    <w:name w:val="Light Grid"/>
    <w:basedOn w:val="TableNormal"/>
    <w:uiPriority w:val="62"/>
    <w:semiHidden/>
    <w:rsid w:val="002B5B43"/>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2B5B43"/>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2B5B43"/>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2B5B43"/>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LightGridAccent4">
    <w:name w:val="Light Grid Accent 4"/>
    <w:basedOn w:val="TableNormal"/>
    <w:uiPriority w:val="62"/>
    <w:semiHidden/>
    <w:rsid w:val="002B5B43"/>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2B5B43"/>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2B5B43"/>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2B5B43"/>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2B5B43"/>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2B5B43"/>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2B5B43"/>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LightListAccent4">
    <w:name w:val="Light List Accent 4"/>
    <w:basedOn w:val="TableNormal"/>
    <w:uiPriority w:val="61"/>
    <w:semiHidden/>
    <w:rsid w:val="002B5B43"/>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2B5B43"/>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2B5B43"/>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2B5B43"/>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2B5B43"/>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2B5B43"/>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2B5B43"/>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LightShadingAccent4">
    <w:name w:val="Light Shading Accent 4"/>
    <w:basedOn w:val="TableNormal"/>
    <w:uiPriority w:val="60"/>
    <w:semiHidden/>
    <w:rsid w:val="002B5B43"/>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2B5B43"/>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2B5B43"/>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2B5B43"/>
  </w:style>
  <w:style w:type="paragraph" w:styleId="List">
    <w:name w:val="List"/>
    <w:basedOn w:val="Normal"/>
    <w:uiPriority w:val="98"/>
    <w:semiHidden/>
    <w:rsid w:val="002B5B43"/>
    <w:pPr>
      <w:ind w:left="283" w:hanging="283"/>
      <w:contextualSpacing/>
    </w:pPr>
  </w:style>
  <w:style w:type="paragraph" w:styleId="List20">
    <w:name w:val="List 2"/>
    <w:basedOn w:val="Normal"/>
    <w:uiPriority w:val="98"/>
    <w:semiHidden/>
    <w:rsid w:val="002B5B43"/>
    <w:pPr>
      <w:ind w:left="566" w:hanging="283"/>
      <w:contextualSpacing/>
    </w:pPr>
  </w:style>
  <w:style w:type="paragraph" w:styleId="List30">
    <w:name w:val="List 3"/>
    <w:basedOn w:val="Normal"/>
    <w:uiPriority w:val="98"/>
    <w:semiHidden/>
    <w:rsid w:val="002B5B43"/>
    <w:pPr>
      <w:ind w:left="849" w:hanging="283"/>
      <w:contextualSpacing/>
    </w:pPr>
  </w:style>
  <w:style w:type="paragraph" w:styleId="List4">
    <w:name w:val="List 4"/>
    <w:basedOn w:val="Normal"/>
    <w:uiPriority w:val="98"/>
    <w:semiHidden/>
    <w:rsid w:val="002B5B43"/>
    <w:pPr>
      <w:ind w:left="1132" w:hanging="283"/>
      <w:contextualSpacing/>
    </w:pPr>
  </w:style>
  <w:style w:type="paragraph" w:styleId="List5">
    <w:name w:val="List 5"/>
    <w:basedOn w:val="Normal"/>
    <w:uiPriority w:val="98"/>
    <w:semiHidden/>
    <w:rsid w:val="002B5B43"/>
    <w:pPr>
      <w:ind w:left="1415" w:hanging="283"/>
      <w:contextualSpacing/>
    </w:pPr>
  </w:style>
  <w:style w:type="paragraph" w:styleId="ListBullet2">
    <w:name w:val="List Bullet 2"/>
    <w:basedOn w:val="Normal"/>
    <w:uiPriority w:val="98"/>
    <w:semiHidden/>
    <w:rsid w:val="002B5B43"/>
    <w:pPr>
      <w:numPr>
        <w:numId w:val="12"/>
      </w:numPr>
      <w:contextualSpacing/>
    </w:pPr>
  </w:style>
  <w:style w:type="paragraph" w:styleId="ListBullet4">
    <w:name w:val="List Bullet 4"/>
    <w:basedOn w:val="Normal"/>
    <w:uiPriority w:val="98"/>
    <w:semiHidden/>
    <w:rsid w:val="002B5B43"/>
    <w:pPr>
      <w:numPr>
        <w:numId w:val="14"/>
      </w:numPr>
      <w:contextualSpacing/>
    </w:pPr>
  </w:style>
  <w:style w:type="paragraph" w:styleId="ListBullet5">
    <w:name w:val="List Bullet 5"/>
    <w:basedOn w:val="Normal"/>
    <w:uiPriority w:val="98"/>
    <w:semiHidden/>
    <w:rsid w:val="002B5B43"/>
    <w:pPr>
      <w:numPr>
        <w:numId w:val="15"/>
      </w:numPr>
      <w:contextualSpacing/>
    </w:pPr>
  </w:style>
  <w:style w:type="paragraph" w:styleId="ListContinue">
    <w:name w:val="List Continue"/>
    <w:basedOn w:val="Normal"/>
    <w:uiPriority w:val="98"/>
    <w:semiHidden/>
    <w:rsid w:val="002B5B43"/>
    <w:pPr>
      <w:spacing w:after="120"/>
      <w:ind w:left="283"/>
      <w:contextualSpacing/>
    </w:pPr>
  </w:style>
  <w:style w:type="paragraph" w:styleId="ListContinue2">
    <w:name w:val="List Continue 2"/>
    <w:basedOn w:val="Normal"/>
    <w:uiPriority w:val="98"/>
    <w:semiHidden/>
    <w:rsid w:val="002B5B43"/>
    <w:pPr>
      <w:spacing w:after="120"/>
      <w:ind w:left="566"/>
      <w:contextualSpacing/>
    </w:pPr>
  </w:style>
  <w:style w:type="paragraph" w:styleId="ListContinue3">
    <w:name w:val="List Continue 3"/>
    <w:basedOn w:val="Normal"/>
    <w:uiPriority w:val="98"/>
    <w:semiHidden/>
    <w:rsid w:val="002B5B43"/>
    <w:pPr>
      <w:spacing w:after="120"/>
      <w:ind w:left="849"/>
      <w:contextualSpacing/>
    </w:pPr>
  </w:style>
  <w:style w:type="paragraph" w:styleId="ListContinue4">
    <w:name w:val="List Continue 4"/>
    <w:basedOn w:val="Normal"/>
    <w:uiPriority w:val="98"/>
    <w:semiHidden/>
    <w:rsid w:val="002B5B43"/>
    <w:pPr>
      <w:spacing w:after="120"/>
      <w:ind w:left="1132"/>
      <w:contextualSpacing/>
    </w:pPr>
  </w:style>
  <w:style w:type="paragraph" w:styleId="ListContinue5">
    <w:name w:val="List Continue 5"/>
    <w:basedOn w:val="Normal"/>
    <w:uiPriority w:val="98"/>
    <w:semiHidden/>
    <w:rsid w:val="002B5B43"/>
    <w:pPr>
      <w:spacing w:after="120"/>
      <w:ind w:left="1415"/>
      <w:contextualSpacing/>
    </w:pPr>
  </w:style>
  <w:style w:type="paragraph" w:styleId="ListNumber">
    <w:name w:val="List Number"/>
    <w:basedOn w:val="Normal"/>
    <w:uiPriority w:val="98"/>
    <w:semiHidden/>
    <w:rsid w:val="002B5B43"/>
    <w:pPr>
      <w:numPr>
        <w:numId w:val="16"/>
      </w:numPr>
      <w:contextualSpacing/>
    </w:pPr>
  </w:style>
  <w:style w:type="paragraph" w:styleId="ListNumber2">
    <w:name w:val="List Number 2"/>
    <w:basedOn w:val="Normal"/>
    <w:uiPriority w:val="98"/>
    <w:semiHidden/>
    <w:rsid w:val="002B5B43"/>
    <w:pPr>
      <w:numPr>
        <w:numId w:val="17"/>
      </w:numPr>
      <w:contextualSpacing/>
    </w:pPr>
  </w:style>
  <w:style w:type="paragraph" w:styleId="ListNumber3">
    <w:name w:val="List Number 3"/>
    <w:basedOn w:val="Normal"/>
    <w:uiPriority w:val="98"/>
    <w:semiHidden/>
    <w:rsid w:val="002B5B43"/>
    <w:pPr>
      <w:numPr>
        <w:numId w:val="18"/>
      </w:numPr>
      <w:contextualSpacing/>
    </w:pPr>
  </w:style>
  <w:style w:type="paragraph" w:styleId="ListNumber4">
    <w:name w:val="List Number 4"/>
    <w:basedOn w:val="Normal"/>
    <w:uiPriority w:val="98"/>
    <w:semiHidden/>
    <w:rsid w:val="002B5B43"/>
    <w:pPr>
      <w:numPr>
        <w:numId w:val="19"/>
      </w:numPr>
      <w:contextualSpacing/>
    </w:pPr>
  </w:style>
  <w:style w:type="paragraph" w:styleId="ListNumber5">
    <w:name w:val="List Number 5"/>
    <w:basedOn w:val="Normal"/>
    <w:uiPriority w:val="98"/>
    <w:semiHidden/>
    <w:rsid w:val="002B5B43"/>
    <w:pPr>
      <w:numPr>
        <w:numId w:val="20"/>
      </w:numPr>
      <w:contextualSpacing/>
    </w:pPr>
  </w:style>
  <w:style w:type="paragraph" w:styleId="Macro">
    <w:name w:val="macro"/>
    <w:link w:val="MacroTextChar"/>
    <w:uiPriority w:val="98"/>
    <w:semiHidden/>
    <w:rsid w:val="002B5B43"/>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2B5B43"/>
    <w:rPr>
      <w:rFonts w:ascii="Consolas" w:hAnsi="Consolas" w:eastAsiaTheme="minorEastAsia" w:cs="Consolas"/>
      <w:sz w:val="20"/>
      <w:szCs w:val="20"/>
    </w:rPr>
  </w:style>
  <w:style w:type="table" w:styleId="MediumGrid1">
    <w:name w:val="Medium Grid 1"/>
    <w:basedOn w:val="TableNormal"/>
    <w:uiPriority w:val="67"/>
    <w:semiHidden/>
    <w:rsid w:val="002B5B43"/>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2B5B43"/>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2B5B43"/>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2B5B43"/>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MediumGrid1Accent4">
    <w:name w:val="Medium Grid 1 Accent 4"/>
    <w:basedOn w:val="TableNormal"/>
    <w:uiPriority w:val="67"/>
    <w:semiHidden/>
    <w:rsid w:val="002B5B43"/>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2B5B43"/>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2B5B43"/>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MediumGrid3Accent2">
    <w:name w:val="Medium Grid 3 Accent 2"/>
    <w:basedOn w:val="TableNormal"/>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MediumGrid3Accent3">
    <w:name w:val="Medium Grid 3 Accent 3"/>
    <w:basedOn w:val="TableNormal"/>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MediumGrid3Accent4">
    <w:name w:val="Medium Grid 3 Accent 4"/>
    <w:basedOn w:val="TableNormal"/>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MediumGrid3Accent5">
    <w:name w:val="Medium Grid 3 Accent 5"/>
    <w:basedOn w:val="TableNormal"/>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MediumGrid3Accent6">
    <w:name w:val="Medium Grid 3 Accent 6"/>
    <w:basedOn w:val="TableNormal"/>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MediumList1">
    <w:name w:val="Medium List 1"/>
    <w:basedOn w:val="TableNormal"/>
    <w:uiPriority w:val="65"/>
    <w:semiHidden/>
    <w:rsid w:val="002B5B43"/>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2B5B43"/>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2B5B43"/>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2B5B43"/>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MediumList1Accent4">
    <w:name w:val="Medium List 1 Accent 4"/>
    <w:basedOn w:val="TableNormal"/>
    <w:uiPriority w:val="65"/>
    <w:semiHidden/>
    <w:rsid w:val="002B5B43"/>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2B5B43"/>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2B5B43"/>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rsid w:val="002B5B43"/>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2B5B43"/>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2B5B43"/>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2B5B43"/>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2B5B43"/>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2B5B43"/>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2B5B43"/>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2B5B4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2B5B43"/>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2B5B43"/>
    <w:rPr>
      <w:rFonts w:ascii="Times New Roman" w:hAnsi="Times New Roman" w:cs="Times New Roman"/>
    </w:rPr>
  </w:style>
  <w:style w:type="paragraph" w:styleId="NormalIndent">
    <w:name w:val="Normal Indent"/>
    <w:basedOn w:val="Normal"/>
    <w:uiPriority w:val="98"/>
    <w:semiHidden/>
    <w:rsid w:val="002B5B43"/>
    <w:pPr>
      <w:ind w:left="720"/>
    </w:pPr>
  </w:style>
  <w:style w:type="paragraph" w:styleId="NoteHeading">
    <w:name w:val="Note Heading"/>
    <w:basedOn w:val="Normal"/>
    <w:next w:val="Normal"/>
    <w:link w:val="NoteHeadingChar"/>
    <w:uiPriority w:val="98"/>
    <w:semiHidden/>
    <w:rsid w:val="002B5B43"/>
  </w:style>
  <w:style w:type="character" w:customStyle="1" w:styleId="NoteHeadingChar">
    <w:name w:val="Note Heading Char"/>
    <w:basedOn w:val="DefaultParagraphFont"/>
    <w:link w:val="NoteHeading"/>
    <w:uiPriority w:val="98"/>
    <w:semiHidden/>
    <w:rsid w:val="002B5B43"/>
    <w:rPr>
      <w:sz w:val="24"/>
      <w:szCs w:val="24"/>
      <w:lang w:val="en-GB"/>
    </w:rPr>
  </w:style>
  <w:style w:type="character" w:styleId="PlaceholderText">
    <w:name w:val="Placeholder Text"/>
    <w:basedOn w:val="DefaultParagraphFont"/>
    <w:uiPriority w:val="98"/>
    <w:semiHidden/>
    <w:rsid w:val="002B5B43"/>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2B5B43"/>
    <w:rPr>
      <w:rFonts w:ascii="Consolas" w:hAnsi="Consolas" w:cs="Consolas"/>
      <w:sz w:val="21"/>
      <w:szCs w:val="21"/>
    </w:rPr>
  </w:style>
  <w:style w:type="character" w:customStyle="1" w:styleId="PlainTextChar">
    <w:name w:val="Plain Text Char"/>
    <w:basedOn w:val="DefaultParagraphFont"/>
    <w:link w:val="PlainText"/>
    <w:uiPriority w:val="98"/>
    <w:semiHidden/>
    <w:rsid w:val="002B5B43"/>
    <w:rPr>
      <w:rFonts w:ascii="Consolas" w:hAnsi="Consolas" w:cs="Consolas"/>
      <w:sz w:val="21"/>
      <w:szCs w:val="21"/>
      <w:lang w:val="en-GB"/>
    </w:rPr>
  </w:style>
  <w:style w:type="paragraph" w:styleId="Salutation">
    <w:name w:val="Salutation"/>
    <w:basedOn w:val="Normal"/>
    <w:next w:val="Normal"/>
    <w:link w:val="SalutationChar"/>
    <w:uiPriority w:val="98"/>
    <w:semiHidden/>
    <w:rsid w:val="002B5B43"/>
  </w:style>
  <w:style w:type="character" w:customStyle="1" w:styleId="SalutationChar">
    <w:name w:val="Salutation Char"/>
    <w:basedOn w:val="DefaultParagraphFont"/>
    <w:link w:val="Salutation"/>
    <w:uiPriority w:val="98"/>
    <w:semiHidden/>
    <w:rsid w:val="002B5B43"/>
    <w:rPr>
      <w:sz w:val="24"/>
      <w:szCs w:val="24"/>
      <w:lang w:val="en-GB"/>
    </w:rPr>
  </w:style>
  <w:style w:type="paragraph" w:styleId="Signature0">
    <w:name w:val="Signature"/>
    <w:basedOn w:val="Normal"/>
    <w:link w:val="SignatureChar"/>
    <w:uiPriority w:val="98"/>
    <w:semiHidden/>
    <w:rsid w:val="002B5B43"/>
    <w:pPr>
      <w:ind w:left="4252"/>
    </w:pPr>
  </w:style>
  <w:style w:type="character" w:customStyle="1" w:styleId="SignatureChar">
    <w:name w:val="Signature Char"/>
    <w:basedOn w:val="DefaultParagraphFont"/>
    <w:link w:val="Signature0"/>
    <w:uiPriority w:val="98"/>
    <w:semiHidden/>
    <w:rsid w:val="002B5B43"/>
    <w:rPr>
      <w:sz w:val="24"/>
      <w:szCs w:val="24"/>
      <w:lang w:val="en-GB"/>
    </w:rPr>
  </w:style>
  <w:style w:type="table" w:styleId="Table3Deffects1">
    <w:name w:val="Table 3D effects 1"/>
    <w:basedOn w:val="TableNormal"/>
    <w:uiPriority w:val="99"/>
    <w:semiHidden/>
    <w:unhideWhenUsed/>
    <w:rsid w:val="002B5B43"/>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B5B43"/>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B5B43"/>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B5B43"/>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B5B43"/>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B5B43"/>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B5B43"/>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B5B43"/>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B5B43"/>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B5B43"/>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B5B43"/>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B5B43"/>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B5B43"/>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B5B43"/>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B5B43"/>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B5B43"/>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B5B43"/>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B5B4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B5B43"/>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B5B43"/>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B5B43"/>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B5B43"/>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B5B43"/>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2B5B43"/>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B5B43"/>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B5B43"/>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B5B4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B5B43"/>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B5B43"/>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B5B43"/>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2B5B43"/>
    <w:pPr>
      <w:ind w:left="240" w:hanging="240"/>
    </w:pPr>
  </w:style>
  <w:style w:type="paragraph" w:styleId="TableofFigures">
    <w:name w:val="table of figures"/>
    <w:basedOn w:val="Normal"/>
    <w:next w:val="Normal"/>
    <w:uiPriority w:val="98"/>
    <w:semiHidden/>
    <w:rsid w:val="002B5B43"/>
  </w:style>
  <w:style w:type="table" w:styleId="TableProfessional">
    <w:name w:val="Table Professional"/>
    <w:basedOn w:val="TableNormal"/>
    <w:uiPriority w:val="99"/>
    <w:semiHidden/>
    <w:unhideWhenUsed/>
    <w:rsid w:val="002B5B4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B5B43"/>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B5B43"/>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B5B43"/>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B5B43"/>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B5B43"/>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B5B43"/>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B5B43"/>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B5B43"/>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2B5B43"/>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2B5B43"/>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2B5B43"/>
    <w:pPr>
      <w:spacing w:after="100"/>
      <w:ind w:left="1680"/>
    </w:pPr>
  </w:style>
  <w:style w:type="paragraph" w:styleId="TOC9">
    <w:name w:val="toc 9"/>
    <w:basedOn w:val="Normal"/>
    <w:next w:val="Normal"/>
    <w:autoRedefine/>
    <w:uiPriority w:val="98"/>
    <w:semiHidden/>
    <w:rsid w:val="002B5B43"/>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ECHRFooterLine">
    <w:name w:val="ECHR_Footer_Line"/>
    <w:aliases w:val="_Footer_Line"/>
    <w:basedOn w:val="Normal"/>
    <w:next w:val="Normal"/>
    <w:uiPriority w:val="30"/>
    <w:semiHidden/>
    <w:rsid w:val="002B5B43"/>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2B5B43"/>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2B5B43"/>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2B5B43"/>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2B5B43"/>
    <w:pPr>
      <w:numPr>
        <w:numId w:val="7"/>
      </w:numPr>
      <w:spacing w:before="60" w:after="60"/>
    </w:pPr>
  </w:style>
  <w:style w:type="paragraph" w:customStyle="1" w:styleId="ECHRBullet2">
    <w:name w:val="ECHR_Bullet_2"/>
    <w:aliases w:val="_Bul_2"/>
    <w:basedOn w:val="ECHRBullet1"/>
    <w:uiPriority w:val="23"/>
    <w:semiHidden/>
    <w:rsid w:val="002B5B43"/>
    <w:pPr>
      <w:numPr>
        <w:ilvl w:val="1"/>
      </w:numPr>
    </w:pPr>
  </w:style>
  <w:style w:type="paragraph" w:customStyle="1" w:styleId="ECHRBullet3">
    <w:name w:val="ECHR_Bullet_3"/>
    <w:aliases w:val="_Bul_3"/>
    <w:basedOn w:val="ECHRBullet2"/>
    <w:uiPriority w:val="23"/>
    <w:semiHidden/>
    <w:rsid w:val="002B5B43"/>
    <w:pPr>
      <w:numPr>
        <w:ilvl w:val="2"/>
      </w:numPr>
    </w:pPr>
  </w:style>
  <w:style w:type="paragraph" w:customStyle="1" w:styleId="ECHRBullet4">
    <w:name w:val="ECHR_Bullet_4"/>
    <w:aliases w:val="_Bul_4"/>
    <w:basedOn w:val="ECHRBullet3"/>
    <w:uiPriority w:val="23"/>
    <w:semiHidden/>
    <w:rsid w:val="002B5B43"/>
    <w:pPr>
      <w:numPr>
        <w:ilvl w:val="3"/>
      </w:numPr>
    </w:pPr>
  </w:style>
  <w:style w:type="paragraph" w:customStyle="1" w:styleId="ECHRConfidential">
    <w:name w:val="ECHR_Confidential"/>
    <w:aliases w:val="_Confidential"/>
    <w:basedOn w:val="Normal"/>
    <w:next w:val="Normal"/>
    <w:uiPriority w:val="42"/>
    <w:semiHidden/>
    <w:qFormat/>
    <w:rsid w:val="002B5B43"/>
    <w:pPr>
      <w:jc w:val="right"/>
    </w:pPr>
    <w:rPr>
      <w:color w:val="C00000"/>
      <w:sz w:val="20"/>
    </w:rPr>
  </w:style>
  <w:style w:type="paragraph" w:customStyle="1" w:styleId="ECHRDecisionBody">
    <w:name w:val="ECHR_Decision_Body"/>
    <w:aliases w:val="_Decision_Body"/>
    <w:basedOn w:val="NormalJustified"/>
    <w:uiPriority w:val="54"/>
    <w:semiHidden/>
    <w:rsid w:val="002B5B43"/>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2B5B43"/>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2B5B43"/>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2B5B43"/>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
    <w:uiPriority w:val="44"/>
    <w:semiHidden/>
    <w:qFormat/>
    <w:rsid w:val="002B5B43"/>
    <w:pPr>
      <w:jc w:val="right"/>
    </w:pPr>
    <w:rPr>
      <w:sz w:val="20"/>
    </w:rPr>
  </w:style>
  <w:style w:type="paragraph" w:customStyle="1" w:styleId="ECHRHeaderRefIt">
    <w:name w:val="ECHR_Header_Ref_It"/>
    <w:aliases w:val="_Ref_Ital"/>
    <w:basedOn w:val="Normal"/>
    <w:next w:val="ECHRHeaderDate"/>
    <w:uiPriority w:val="43"/>
    <w:semiHidden/>
    <w:qFormat/>
    <w:rsid w:val="002B5B43"/>
    <w:pPr>
      <w:jc w:val="right"/>
    </w:pPr>
    <w:rPr>
      <w:i/>
      <w:sz w:val="20"/>
    </w:rPr>
  </w:style>
  <w:style w:type="paragraph" w:customStyle="1" w:styleId="ECHRHeading9">
    <w:name w:val="ECHR_Heading_9"/>
    <w:aliases w:val="_Head_9"/>
    <w:basedOn w:val="Heading9"/>
    <w:uiPriority w:val="17"/>
    <w:semiHidden/>
    <w:rsid w:val="002B5B43"/>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2B5B43"/>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2B5B43"/>
    <w:pPr>
      <w:numPr>
        <w:numId w:val="8"/>
      </w:numPr>
      <w:spacing w:before="60" w:after="60"/>
    </w:pPr>
  </w:style>
  <w:style w:type="paragraph" w:customStyle="1" w:styleId="ECHRNumberedList2">
    <w:name w:val="ECHR_Numbered_List_2"/>
    <w:aliases w:val="_Num_2"/>
    <w:basedOn w:val="ECHRNumberedList1"/>
    <w:uiPriority w:val="23"/>
    <w:semiHidden/>
    <w:rsid w:val="002B5B43"/>
    <w:pPr>
      <w:numPr>
        <w:ilvl w:val="1"/>
      </w:numPr>
    </w:pPr>
  </w:style>
  <w:style w:type="paragraph" w:customStyle="1" w:styleId="ECHRNumberedList3">
    <w:name w:val="ECHR_Numbered_List_3"/>
    <w:aliases w:val="_Num_3"/>
    <w:basedOn w:val="ECHRNumberedList2"/>
    <w:uiPriority w:val="23"/>
    <w:semiHidden/>
    <w:rsid w:val="002B5B43"/>
    <w:pPr>
      <w:numPr>
        <w:ilvl w:val="2"/>
      </w:numPr>
    </w:pPr>
  </w:style>
  <w:style w:type="paragraph" w:customStyle="1" w:styleId="ECHRParaHanging">
    <w:name w:val="ECHR_Para_Hanging"/>
    <w:aliases w:val="_Hanging"/>
    <w:basedOn w:val="NormalJustified"/>
    <w:uiPriority w:val="8"/>
    <w:semiHidden/>
    <w:qFormat/>
    <w:rsid w:val="002B5B43"/>
    <w:pPr>
      <w:ind w:left="567" w:hanging="567"/>
    </w:pPr>
  </w:style>
  <w:style w:type="paragraph" w:customStyle="1" w:styleId="ECHRParaIndent">
    <w:name w:val="ECHR_Para_Indent"/>
    <w:aliases w:val="_Indent"/>
    <w:basedOn w:val="NormalJustified"/>
    <w:uiPriority w:val="7"/>
    <w:semiHidden/>
    <w:qFormat/>
    <w:rsid w:val="002B5B43"/>
    <w:pPr>
      <w:spacing w:before="120" w:after="120"/>
      <w:ind w:left="284"/>
    </w:pPr>
  </w:style>
  <w:style w:type="character" w:customStyle="1" w:styleId="ECHRRed">
    <w:name w:val="ECHR_Red"/>
    <w:aliases w:val="_Red"/>
    <w:basedOn w:val="DefaultParagraphFont"/>
    <w:uiPriority w:val="15"/>
    <w:semiHidden/>
    <w:qFormat/>
    <w:rsid w:val="002B5B43"/>
    <w:rPr>
      <w:color w:val="C00000" w:themeColor="accent2"/>
    </w:rPr>
  </w:style>
  <w:style w:type="paragraph" w:customStyle="1" w:styleId="DecList">
    <w:name w:val="Dec_List"/>
    <w:aliases w:val="_List"/>
    <w:basedOn w:val="JuList"/>
    <w:uiPriority w:val="22"/>
    <w:rsid w:val="002B5B43"/>
    <w:pPr>
      <w:numPr>
        <w:numId w:val="0"/>
      </w:numPr>
      <w:ind w:left="284"/>
    </w:pPr>
  </w:style>
  <w:style w:type="table" w:customStyle="1" w:styleId="ECHRTable2">
    <w:name w:val="ECHR_Table_2"/>
    <w:basedOn w:val="TableNormal"/>
    <w:uiPriority w:val="99"/>
    <w:rsid w:val="002B5B43"/>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2B5B43"/>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
    <w:next w:val="Normal"/>
    <w:uiPriority w:val="28"/>
    <w:semiHidden/>
    <w:qFormat/>
    <w:rsid w:val="002B5B43"/>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
    <w:next w:val="Normal"/>
    <w:uiPriority w:val="28"/>
    <w:semiHidden/>
    <w:qFormat/>
    <w:rsid w:val="002B5B43"/>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
    <w:next w:val="Normal"/>
    <w:uiPriority w:val="28"/>
    <w:semiHidden/>
    <w:qFormat/>
    <w:rsid w:val="002B5B43"/>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
    <w:next w:val="Normal"/>
    <w:uiPriority w:val="26"/>
    <w:semiHidden/>
    <w:qFormat/>
    <w:rsid w:val="002B5B43"/>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
    <w:next w:val="Normal"/>
    <w:uiPriority w:val="26"/>
    <w:semiHidden/>
    <w:qFormat/>
    <w:rsid w:val="002B5B43"/>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
    <w:next w:val="Normal"/>
    <w:uiPriority w:val="26"/>
    <w:semiHidden/>
    <w:qFormat/>
    <w:rsid w:val="002B5B43"/>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
    <w:uiPriority w:val="25"/>
    <w:semiHidden/>
    <w:qFormat/>
    <w:rsid w:val="002B5B43"/>
    <w:pPr>
      <w:outlineLvl w:val="0"/>
    </w:pPr>
  </w:style>
  <w:style w:type="paragraph" w:customStyle="1" w:styleId="ECHRTitleTOC1">
    <w:name w:val="ECHR_Title_TOC_1"/>
    <w:aliases w:val="_Title_L_TOC"/>
    <w:basedOn w:val="ECHRTitle1"/>
    <w:next w:val="Normal"/>
    <w:uiPriority w:val="27"/>
    <w:semiHidden/>
    <w:qFormat/>
    <w:rsid w:val="002B5B43"/>
    <w:pPr>
      <w:outlineLvl w:val="0"/>
    </w:pPr>
  </w:style>
  <w:style w:type="paragraph" w:customStyle="1" w:styleId="ECHRPlaceholder">
    <w:name w:val="ECHR_Placeholder"/>
    <w:aliases w:val="_Placeholder"/>
    <w:basedOn w:val="JuSigned"/>
    <w:uiPriority w:val="31"/>
    <w:rsid w:val="002B5B43"/>
    <w:rPr>
      <w:color w:val="FFFFFF"/>
    </w:rPr>
  </w:style>
  <w:style w:type="paragraph" w:customStyle="1" w:styleId="ECHRSpacer">
    <w:name w:val="ECHR_Spacer"/>
    <w:aliases w:val="_Spacer"/>
    <w:basedOn w:val="Normal"/>
    <w:uiPriority w:val="45"/>
    <w:semiHidden/>
    <w:rsid w:val="002B5B43"/>
    <w:rPr>
      <w:sz w:val="4"/>
    </w:rPr>
  </w:style>
  <w:style w:type="table" w:customStyle="1" w:styleId="ECHRTableGrey">
    <w:name w:val="ECHR_Table_Grey"/>
    <w:basedOn w:val="TableNormal"/>
    <w:uiPriority w:val="99"/>
    <w:rsid w:val="002B5B43"/>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2B5B43"/>
    <w:rPr>
      <w:color w:val="605E5C"/>
      <w:shd w:val="clear" w:color="auto" w:fill="E1DFDD"/>
    </w:rPr>
  </w:style>
  <w:style w:type="character" w:customStyle="1" w:styleId="JuParaChar">
    <w:name w:val="Ju_Para Char"/>
    <w:aliases w:val="_Para Char"/>
    <w:link w:val="JuPara"/>
    <w:uiPriority w:val="8"/>
    <w:rsid w:val="001416E8"/>
    <w:rPr>
      <w:sz w:val="24"/>
      <w:szCs w:val="24"/>
      <w:lang w:val="en-GB"/>
    </w:rPr>
  </w:style>
  <w:style w:type="table" w:styleId="GridTable1LightAccent1">
    <w:name w:val="Grid Table 1 Light Accent 1"/>
    <w:basedOn w:val="TableNormal"/>
    <w:uiPriority w:val="46"/>
    <w:semiHidden/>
    <w:rsid w:val="00E33B89"/>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E33B89"/>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E33B89"/>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E33B89"/>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E33B89"/>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E33B89"/>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E33B89"/>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E33B89"/>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E33B89"/>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E33B89"/>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2Accent4">
    <w:name w:val="Grid Table 2 Accent 4"/>
    <w:basedOn w:val="TableNormal"/>
    <w:uiPriority w:val="47"/>
    <w:semiHidden/>
    <w:rsid w:val="00E33B89"/>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E33B89"/>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E33B89"/>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E33B89"/>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E33B89"/>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E33B89"/>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E33B89"/>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3Accent4">
    <w:name w:val="Grid Table 3 Accent 4"/>
    <w:basedOn w:val="TableNormal"/>
    <w:uiPriority w:val="48"/>
    <w:semiHidden/>
    <w:rsid w:val="00E33B89"/>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E33B89"/>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E33B89"/>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E33B89"/>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E33B89"/>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E33B89"/>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E33B89"/>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4Accent4">
    <w:name w:val="Grid Table 4 Accent 4"/>
    <w:basedOn w:val="TableNormal"/>
    <w:uiPriority w:val="49"/>
    <w:semiHidden/>
    <w:rsid w:val="00E33B89"/>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E33B89"/>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E33B89"/>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E33B8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E33B8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E33B8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E33B8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GridTable5DarkAccent4">
    <w:name w:val="Grid Table 5 Dark Accent 4"/>
    <w:basedOn w:val="TableNormal"/>
    <w:uiPriority w:val="50"/>
    <w:semiHidden/>
    <w:rsid w:val="00E33B8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E33B8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E33B8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E33B89"/>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E33B89"/>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E33B89"/>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E33B89"/>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6ColorfulAccent4">
    <w:name w:val="Grid Table 6 Colorful Accent 4"/>
    <w:basedOn w:val="TableNormal"/>
    <w:uiPriority w:val="51"/>
    <w:semiHidden/>
    <w:rsid w:val="00E33B89"/>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E33B89"/>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E33B89"/>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E33B89"/>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E33B89"/>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E33B89"/>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E33B89"/>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7ColorfulAccent4">
    <w:name w:val="Grid Table 7 Colorful Accent 4"/>
    <w:basedOn w:val="TableNormal"/>
    <w:uiPriority w:val="52"/>
    <w:semiHidden/>
    <w:rsid w:val="00E33B89"/>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E33B89"/>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E33B89"/>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E33B89"/>
    <w:rPr>
      <w:color w:val="2B579A"/>
      <w:shd w:val="clear" w:color="auto" w:fill="E1DFDD"/>
    </w:rPr>
  </w:style>
  <w:style w:type="table" w:styleId="ListTable1Light">
    <w:name w:val="List Table 1 Light"/>
    <w:basedOn w:val="TableNormal"/>
    <w:uiPriority w:val="46"/>
    <w:semiHidden/>
    <w:rsid w:val="00E33B89"/>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E33B89"/>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E33B89"/>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E33B89"/>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1LightAccent4">
    <w:name w:val="List Table 1 Light Accent 4"/>
    <w:basedOn w:val="TableNormal"/>
    <w:uiPriority w:val="46"/>
    <w:semiHidden/>
    <w:rsid w:val="00E33B89"/>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E33B89"/>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E33B89"/>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E33B89"/>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E33B89"/>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E33B89"/>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E33B89"/>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2Accent4">
    <w:name w:val="List Table 2 Accent 4"/>
    <w:basedOn w:val="TableNormal"/>
    <w:uiPriority w:val="47"/>
    <w:semiHidden/>
    <w:rsid w:val="00E33B89"/>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E33B89"/>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E33B89"/>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E33B8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E33B89"/>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E33B89"/>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E33B89"/>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ListTable3Accent4">
    <w:name w:val="List Table 3 Accent 4"/>
    <w:basedOn w:val="TableNormal"/>
    <w:uiPriority w:val="48"/>
    <w:semiHidden/>
    <w:rsid w:val="00E33B89"/>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E33B89"/>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E33B89"/>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E33B89"/>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E33B89"/>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E33B89"/>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E33B89"/>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4Accent4">
    <w:name w:val="List Table 4 Accent 4"/>
    <w:basedOn w:val="TableNormal"/>
    <w:uiPriority w:val="49"/>
    <w:semiHidden/>
    <w:rsid w:val="00E33B89"/>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E33B89"/>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E33B89"/>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E33B89"/>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E33B89"/>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E33B89"/>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E33B89"/>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E33B89"/>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E33B89"/>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E33B89"/>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E33B89"/>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E33B89"/>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E33B89"/>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E33B89"/>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6ColorfulAccent4">
    <w:name w:val="List Table 6 Colorful Accent 4"/>
    <w:basedOn w:val="TableNormal"/>
    <w:uiPriority w:val="51"/>
    <w:semiHidden/>
    <w:rsid w:val="00E33B89"/>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E33B89"/>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E33B89"/>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E33B89"/>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E33B89"/>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E33B89"/>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E33B89"/>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E33B89"/>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E33B89"/>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E33B89"/>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E33B89"/>
    <w:rPr>
      <w:color w:val="2B579A"/>
      <w:shd w:val="clear" w:color="auto" w:fill="E1DFDD"/>
    </w:rPr>
  </w:style>
  <w:style w:type="table" w:styleId="PlainTable1">
    <w:name w:val="Plain Table 1"/>
    <w:basedOn w:val="TableNormal"/>
    <w:uiPriority w:val="41"/>
    <w:semiHidden/>
    <w:rsid w:val="00E33B89"/>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semiHidden/>
    <w:rsid w:val="00E33B89"/>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E33B89"/>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E33B89"/>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semiHidden/>
    <w:rsid w:val="00E33B89"/>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E33B89"/>
    <w:rPr>
      <w:u w:val="dotted"/>
    </w:rPr>
  </w:style>
  <w:style w:type="character" w:styleId="SmartLink">
    <w:name w:val="Smart Link"/>
    <w:basedOn w:val="DefaultParagraphFont"/>
    <w:uiPriority w:val="99"/>
    <w:semiHidden/>
    <w:unhideWhenUsed/>
    <w:rsid w:val="00E33B89"/>
    <w:rPr>
      <w:color w:val="0000FF"/>
      <w:u w:val="single"/>
      <w:shd w:val="clear" w:color="auto" w:fill="F3F2F1"/>
    </w:rPr>
  </w:style>
  <w:style w:type="table" w:styleId="GridTableLight">
    <w:name w:val="Grid Table Light"/>
    <w:basedOn w:val="TableNormal"/>
    <w:uiPriority w:val="40"/>
    <w:semiHidden/>
    <w:rsid w:val="00E33B89"/>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theme" Target="theme/theme1.xml" /><Relationship Id="rId15" Type="http://schemas.openxmlformats.org/officeDocument/2006/relationships/numbering" Target="numbering.xml" /><Relationship Id="rId16"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header" Target="header2.xml" /><Relationship Id="rId9" Type="http://schemas.openxmlformats.org/officeDocument/2006/relationships/footer" Target="footer2.xml" /></Relationships>
</file>

<file path=word/_rels/footer1.xml.rels><?xml version="1.0" encoding="utf-8" standalone="yes"?><Relationships xmlns="http://schemas.openxmlformats.org/package/2006/relationships"><Relationship Id="rId1" Type="http://schemas.openxmlformats.org/officeDocument/2006/relationships/image" Target="media/image2.png"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2358</Words>
  <Characters>13169</Characters>
  <Application>Microsoft Office Word</Application>
  <DocSecurity>0</DocSecurity>
  <Lines>258</Lines>
  <Paragraphs>75</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15452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2025-01-21T08:50:00Z</dcterms:created>
  <dcterms:modified xsi:type="dcterms:W3CDTF">2025-01-21T08:57:00Z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1345779</vt:lpwstr>
  </property>
  <property fmtid="{D5CDD505-2E9C-101B-9397-08002B2CF9AE}" pid="3" name="cstLanguage">
    <vt:i4>2057</vt:i4>
  </property>
  <property fmtid="{D5CDD505-2E9C-101B-9397-08002B2CF9AE}" pid="4" name="RegisteredNo">
    <vt:lpwstr>72520/17</vt:lpwstr>
  </property>
</Properties>
</file>