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033" w:rsidRPr="00221033" w:rsidRDefault="00221033" w:rsidP="00221033">
      <w:pPr>
        <w:jc w:val="center"/>
        <w:rPr>
          <w:rFonts w:ascii="Arial" w:hAnsi="Arial" w:cs="Arial"/>
          <w:szCs w:val="20"/>
          <w:lang w:val="pl-PL"/>
        </w:rPr>
      </w:pPr>
      <w:r w:rsidRPr="002D7E70">
        <w:rPr>
          <w:rStyle w:val="s4f807e54"/>
          <w:rFonts w:ascii="Arial" w:hAnsi="Arial" w:cs="Arial"/>
          <w:szCs w:val="20"/>
          <w:lang w:val="pl-PL"/>
        </w:rPr>
        <w:t xml:space="preserve">© </w:t>
      </w:r>
      <w:r w:rsidRPr="002D7E70">
        <w:rPr>
          <w:rFonts w:ascii="Arial" w:hAnsi="Arial" w:cs="Arial"/>
          <w:szCs w:val="20"/>
          <w:lang w:val="pl-PL"/>
        </w:rPr>
        <w:t>Copyright for the Polish translation by Mi</w:t>
      </w:r>
      <w:r w:rsidRPr="00221033">
        <w:rPr>
          <w:rFonts w:ascii="Arial" w:hAnsi="Arial" w:cs="Arial"/>
          <w:szCs w:val="20"/>
          <w:lang w:val="pl-PL"/>
        </w:rPr>
        <w:t>nisterstwo Spraw Zagranicznych</w:t>
      </w:r>
    </w:p>
    <w:p w:rsidR="00221033" w:rsidRPr="002D7E70" w:rsidRDefault="00221033" w:rsidP="00221033">
      <w:pPr>
        <w:jc w:val="center"/>
        <w:rPr>
          <w:rFonts w:ascii="Arial" w:hAnsi="Arial" w:cs="Arial"/>
          <w:szCs w:val="20"/>
          <w:lang w:val="pl-PL"/>
        </w:rPr>
      </w:pPr>
    </w:p>
    <w:p w:rsidR="00221033" w:rsidRPr="002D7E70" w:rsidRDefault="00221033" w:rsidP="00221033">
      <w:pPr>
        <w:jc w:val="center"/>
        <w:rPr>
          <w:rFonts w:ascii="Arial" w:hAnsi="Arial" w:cs="Arial"/>
          <w:szCs w:val="20"/>
          <w:lang w:val="pl-PL"/>
        </w:rPr>
      </w:pPr>
      <w:r w:rsidRPr="002D7E70">
        <w:rPr>
          <w:rStyle w:val="s4f807e54"/>
          <w:rFonts w:ascii="Arial" w:hAnsi="Arial" w:cs="Arial"/>
          <w:szCs w:val="20"/>
          <w:lang w:val="pl-PL"/>
        </w:rPr>
        <w:t xml:space="preserve">© Właścicielem praw autorskich do tłumaczenia na język polski jest </w:t>
      </w:r>
      <w:r w:rsidRPr="002D7E70">
        <w:rPr>
          <w:rFonts w:ascii="Arial" w:hAnsi="Arial" w:cs="Arial"/>
          <w:szCs w:val="20"/>
          <w:lang w:val="pl-PL"/>
        </w:rPr>
        <w:t>Ministerstwo Spraw Zagranicznych</w:t>
      </w:r>
    </w:p>
    <w:p w:rsidR="00221033" w:rsidRDefault="00221033" w:rsidP="00C117B9">
      <w:pPr>
        <w:pStyle w:val="ClinEditionNumber"/>
        <w:jc w:val="center"/>
        <w:rPr>
          <w:lang w:val="pl-PL"/>
        </w:rPr>
      </w:pPr>
    </w:p>
    <w:p w:rsidR="00C117B9" w:rsidRDefault="00C117B9" w:rsidP="00C117B9">
      <w:pPr>
        <w:pStyle w:val="ClinEditionNumber"/>
        <w:jc w:val="center"/>
        <w:rPr>
          <w:lang w:val="pl-PL"/>
        </w:rPr>
      </w:pPr>
      <w:bookmarkStart w:id="0" w:name="_GoBack"/>
      <w:bookmarkEnd w:id="0"/>
      <w:r>
        <w:rPr>
          <w:lang w:val="pl-PL"/>
        </w:rPr>
        <w:t>EUROPEJSKI TRYBUNAŁ PRAW CZŁOWIEKA</w:t>
      </w:r>
    </w:p>
    <w:p w:rsidR="008E6491" w:rsidRPr="00C117B9" w:rsidRDefault="00C117B9" w:rsidP="00C117B9">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w:t>
      </w:r>
      <w:r w:rsidRPr="00557F20">
        <w:rPr>
          <w:lang w:val="pl-PL"/>
        </w:rPr>
        <w:t xml:space="preserve">rzecznictwa Trybunału nr </w:t>
      </w:r>
      <w:r w:rsidR="00E84062" w:rsidRPr="00C117B9">
        <w:rPr>
          <w:lang w:val="pl-PL"/>
        </w:rPr>
        <w:t>197</w:t>
      </w:r>
    </w:p>
    <w:p w:rsidR="008E6491" w:rsidRPr="00B85F9E" w:rsidRDefault="00C117B9">
      <w:pPr>
        <w:pStyle w:val="ClinEditionMonth"/>
        <w:rPr>
          <w:lang w:val="pl-PL"/>
        </w:rPr>
      </w:pPr>
      <w:r w:rsidRPr="00B85F9E">
        <w:rPr>
          <w:lang w:val="pl-PL"/>
        </w:rPr>
        <w:t xml:space="preserve">Czerwiec </w:t>
      </w:r>
      <w:r w:rsidR="00E84062" w:rsidRPr="00B85F9E">
        <w:rPr>
          <w:lang w:val="pl-PL"/>
        </w:rPr>
        <w:t>2016</w:t>
      </w:r>
      <w:r w:rsidRPr="00B85F9E">
        <w:rPr>
          <w:lang w:val="pl-PL"/>
        </w:rPr>
        <w:t xml:space="preserve"> r.</w:t>
      </w:r>
    </w:p>
    <w:p w:rsidR="008E6491" w:rsidRPr="00B85F9E" w:rsidRDefault="00E84062">
      <w:pPr>
        <w:rPr>
          <w:lang w:val="pl-PL"/>
        </w:rPr>
      </w:pPr>
      <w:r w:rsidRPr="00B85F9E">
        <w:rPr>
          <w:rStyle w:val="ClinCaseTitle"/>
          <w:lang w:val="pl-PL"/>
        </w:rPr>
        <w:t xml:space="preserve">Baka </w:t>
      </w:r>
      <w:r w:rsidR="00B85F9E" w:rsidRPr="00B85F9E">
        <w:rPr>
          <w:rStyle w:val="ClinCaseTitle"/>
          <w:lang w:val="pl-PL"/>
        </w:rPr>
        <w:t>p.</w:t>
      </w:r>
      <w:r w:rsidRPr="00B85F9E">
        <w:rPr>
          <w:rStyle w:val="ClinCaseTitle"/>
          <w:lang w:val="pl-PL"/>
        </w:rPr>
        <w:t xml:space="preserve"> </w:t>
      </w:r>
      <w:r w:rsidR="00B85F9E">
        <w:rPr>
          <w:rStyle w:val="ClinCaseTitle"/>
          <w:lang w:val="pl-PL"/>
        </w:rPr>
        <w:t>Węgrom</w:t>
      </w:r>
      <w:r w:rsidRPr="00B85F9E">
        <w:rPr>
          <w:rStyle w:val="ClinCaseTitle"/>
          <w:lang w:val="pl-PL"/>
        </w:rPr>
        <w:t xml:space="preserve"> </w:t>
      </w:r>
      <w:r w:rsidR="00B85F9E">
        <w:rPr>
          <w:rStyle w:val="ClinCaseTitle"/>
          <w:lang w:val="pl-PL"/>
        </w:rPr>
        <w:t>[Wielka Izba]</w:t>
      </w:r>
      <w:r w:rsidRPr="00B85F9E">
        <w:rPr>
          <w:rStyle w:val="ClinApplicationNumber"/>
          <w:lang w:val="pl-PL"/>
        </w:rPr>
        <w:t xml:space="preserve"> </w:t>
      </w:r>
      <w:r w:rsidR="00B85F9E">
        <w:rPr>
          <w:rStyle w:val="ClinApplicationNumber"/>
          <w:lang w:val="pl-PL"/>
        </w:rPr>
        <w:t>–</w:t>
      </w:r>
      <w:r w:rsidRPr="00B85F9E">
        <w:rPr>
          <w:rStyle w:val="ClinApplicationNumber"/>
          <w:lang w:val="pl-PL"/>
        </w:rPr>
        <w:t xml:space="preserve"> </w:t>
      </w:r>
      <w:r w:rsidR="00B85F9E">
        <w:rPr>
          <w:rStyle w:val="ClinApplicationNumber"/>
          <w:lang w:val="pl-PL"/>
        </w:rPr>
        <w:t xml:space="preserve">skarga nr </w:t>
      </w:r>
      <w:r w:rsidRPr="00B85F9E">
        <w:rPr>
          <w:rStyle w:val="ClinApplicationNumber"/>
          <w:lang w:val="pl-PL"/>
        </w:rPr>
        <w:t>20261/12</w:t>
      </w:r>
    </w:p>
    <w:p w:rsidR="008E6491" w:rsidRPr="00190F1E" w:rsidRDefault="00B85F9E">
      <w:pPr>
        <w:rPr>
          <w:lang w:val="pl-PL"/>
        </w:rPr>
      </w:pPr>
      <w:r w:rsidRPr="00190F1E">
        <w:rPr>
          <w:rStyle w:val="ClinHudocDocumentTitle"/>
          <w:lang w:val="pl-PL"/>
        </w:rPr>
        <w:t xml:space="preserve">Wyrok z </w:t>
      </w:r>
      <w:r w:rsidR="00E84062" w:rsidRPr="00190F1E">
        <w:rPr>
          <w:rStyle w:val="ClinHudocDocumentTitle"/>
          <w:lang w:val="pl-PL"/>
        </w:rPr>
        <w:t>23.</w:t>
      </w:r>
      <w:r w:rsidR="001E543A">
        <w:rPr>
          <w:rStyle w:val="ClinHudocDocumentTitle"/>
          <w:lang w:val="pl-PL"/>
        </w:rPr>
        <w:t>0</w:t>
      </w:r>
      <w:r w:rsidR="00E84062" w:rsidRPr="00190F1E">
        <w:rPr>
          <w:rStyle w:val="ClinHudocDocumentTitle"/>
          <w:lang w:val="pl-PL"/>
        </w:rPr>
        <w:t>6.2016</w:t>
      </w:r>
      <w:r w:rsidRPr="00190F1E">
        <w:rPr>
          <w:rStyle w:val="ClinHudocDocumentTitle"/>
          <w:lang w:val="pl-PL"/>
        </w:rPr>
        <w:t xml:space="preserve"> r.</w:t>
      </w:r>
      <w:r w:rsidR="00E84062" w:rsidRPr="00190F1E">
        <w:rPr>
          <w:rStyle w:val="ClinSectionName"/>
          <w:lang w:val="pl-PL"/>
        </w:rPr>
        <w:t xml:space="preserve"> </w:t>
      </w:r>
      <w:r w:rsidRPr="00190F1E">
        <w:rPr>
          <w:rStyle w:val="ClinSectionName"/>
          <w:lang w:val="pl-PL"/>
        </w:rPr>
        <w:t>[Wielka Izba]</w:t>
      </w:r>
    </w:p>
    <w:p w:rsidR="008E6491" w:rsidRPr="00190F1E" w:rsidRDefault="00E84062">
      <w:pPr>
        <w:pStyle w:val="ClinMainKeywordCode"/>
        <w:rPr>
          <w:lang w:val="pl-PL"/>
        </w:rPr>
      </w:pPr>
      <w:r w:rsidRPr="00190F1E">
        <w:rPr>
          <w:lang w:val="pl-PL"/>
        </w:rPr>
        <w:t>Art</w:t>
      </w:r>
      <w:r w:rsidR="00B85F9E" w:rsidRPr="00190F1E">
        <w:rPr>
          <w:lang w:val="pl-PL"/>
        </w:rPr>
        <w:t>.</w:t>
      </w:r>
      <w:r w:rsidRPr="00190F1E">
        <w:rPr>
          <w:lang w:val="pl-PL"/>
        </w:rPr>
        <w:t xml:space="preserve"> 6</w:t>
      </w:r>
    </w:p>
    <w:p w:rsidR="008E6491" w:rsidRPr="00190F1E" w:rsidRDefault="00B85F9E">
      <w:pPr>
        <w:pStyle w:val="ClinKeyword"/>
        <w:rPr>
          <w:lang w:val="pl-PL"/>
        </w:rPr>
      </w:pPr>
      <w:r w:rsidRPr="00190F1E">
        <w:rPr>
          <w:lang w:val="pl-PL"/>
        </w:rPr>
        <w:t>Postępowanie cywilne</w:t>
      </w:r>
    </w:p>
    <w:p w:rsidR="008E6491" w:rsidRPr="00B85F9E" w:rsidRDefault="00E84062">
      <w:pPr>
        <w:pStyle w:val="ClinChildKeywordCode"/>
        <w:rPr>
          <w:lang w:val="pl-PL"/>
        </w:rPr>
      </w:pPr>
      <w:r w:rsidRPr="00B85F9E">
        <w:rPr>
          <w:lang w:val="pl-PL"/>
        </w:rPr>
        <w:t>Art</w:t>
      </w:r>
      <w:r w:rsidR="00B85F9E" w:rsidRPr="00B85F9E">
        <w:rPr>
          <w:lang w:val="pl-PL"/>
        </w:rPr>
        <w:t xml:space="preserve">. </w:t>
      </w:r>
      <w:r w:rsidRPr="00B85F9E">
        <w:rPr>
          <w:lang w:val="pl-PL"/>
        </w:rPr>
        <w:t>6</w:t>
      </w:r>
      <w:r w:rsidR="00B85F9E" w:rsidRPr="00B85F9E">
        <w:rPr>
          <w:lang w:val="pl-PL"/>
        </w:rPr>
        <w:t xml:space="preserve"> ust. </w:t>
      </w:r>
      <w:r w:rsidRPr="00B85F9E">
        <w:rPr>
          <w:lang w:val="pl-PL"/>
        </w:rPr>
        <w:t>1</w:t>
      </w:r>
    </w:p>
    <w:p w:rsidR="008E6491" w:rsidRPr="00B85F9E" w:rsidRDefault="00B85F9E">
      <w:pPr>
        <w:pStyle w:val="ClinKeyword"/>
        <w:rPr>
          <w:lang w:val="pl-PL"/>
        </w:rPr>
      </w:pPr>
      <w:r w:rsidRPr="00B85F9E">
        <w:rPr>
          <w:lang w:val="pl-PL"/>
        </w:rPr>
        <w:t>Dostęp do sądu</w:t>
      </w:r>
    </w:p>
    <w:p w:rsidR="008E6491" w:rsidRPr="00B85F9E" w:rsidRDefault="00B85F9E">
      <w:pPr>
        <w:pStyle w:val="ClinKeyword"/>
        <w:rPr>
          <w:lang w:val="pl-PL"/>
        </w:rPr>
      </w:pPr>
      <w:r w:rsidRPr="00B85F9E">
        <w:rPr>
          <w:lang w:val="pl-PL"/>
        </w:rPr>
        <w:t xml:space="preserve">Prawa i obowiązki o charakterze cywilnym </w:t>
      </w:r>
    </w:p>
    <w:p w:rsidR="00B85F9E" w:rsidRPr="00B85F9E" w:rsidRDefault="00190F1E" w:rsidP="006B262D">
      <w:pPr>
        <w:jc w:val="both"/>
        <w:rPr>
          <w:rStyle w:val="ClinHeadNote"/>
          <w:lang w:val="pl-PL"/>
        </w:rPr>
      </w:pPr>
      <w:r w:rsidRPr="00B85F9E">
        <w:rPr>
          <w:rStyle w:val="ClinHeadNote"/>
          <w:lang w:val="pl-PL"/>
        </w:rPr>
        <w:t xml:space="preserve">Brak </w:t>
      </w:r>
      <w:r w:rsidR="00B85F9E" w:rsidRPr="00B85F9E">
        <w:rPr>
          <w:rStyle w:val="ClinHeadNote"/>
          <w:lang w:val="pl-PL"/>
        </w:rPr>
        <w:t>możliwości kwestionowania przez skarżącego przedwczesnego zakończenia jego mandatu jako Prezesa Sądu Najwyższego</w:t>
      </w:r>
      <w:r w:rsidR="00B85F9E">
        <w:rPr>
          <w:rStyle w:val="ClinHeadNote"/>
          <w:lang w:val="pl-PL"/>
        </w:rPr>
        <w:t xml:space="preserve">: </w:t>
      </w:r>
      <w:r w:rsidR="00B85F9E" w:rsidRPr="00B85F9E">
        <w:rPr>
          <w:rStyle w:val="ClinHeadNote"/>
          <w:i/>
          <w:lang w:val="pl-PL"/>
        </w:rPr>
        <w:t>zastosowalność art. 6, naruszenie</w:t>
      </w:r>
    </w:p>
    <w:p w:rsidR="008E6491" w:rsidRPr="00190F1E" w:rsidRDefault="00E84062">
      <w:pPr>
        <w:pStyle w:val="ClinMainKeywordCode"/>
        <w:rPr>
          <w:lang w:val="pl-PL"/>
        </w:rPr>
      </w:pPr>
      <w:r w:rsidRPr="00190F1E">
        <w:rPr>
          <w:lang w:val="pl-PL"/>
        </w:rPr>
        <w:t>Art</w:t>
      </w:r>
      <w:r w:rsidR="00B85F9E" w:rsidRPr="00190F1E">
        <w:rPr>
          <w:lang w:val="pl-PL"/>
        </w:rPr>
        <w:t>.</w:t>
      </w:r>
      <w:r w:rsidRPr="00190F1E">
        <w:rPr>
          <w:lang w:val="pl-PL"/>
        </w:rPr>
        <w:t xml:space="preserve"> 10</w:t>
      </w:r>
    </w:p>
    <w:p w:rsidR="008E6491" w:rsidRPr="00190F1E" w:rsidRDefault="00E84062">
      <w:pPr>
        <w:pStyle w:val="ClinChildKeywordCode"/>
        <w:rPr>
          <w:lang w:val="pl-PL"/>
        </w:rPr>
      </w:pPr>
      <w:r w:rsidRPr="00190F1E">
        <w:rPr>
          <w:lang w:val="pl-PL"/>
        </w:rPr>
        <w:t>Art</w:t>
      </w:r>
      <w:r w:rsidR="00B85F9E" w:rsidRPr="00190F1E">
        <w:rPr>
          <w:lang w:val="pl-PL"/>
        </w:rPr>
        <w:t>.</w:t>
      </w:r>
      <w:r w:rsidRPr="00190F1E">
        <w:rPr>
          <w:lang w:val="pl-PL"/>
        </w:rPr>
        <w:t xml:space="preserve"> 10</w:t>
      </w:r>
      <w:r w:rsidR="00B85F9E" w:rsidRPr="00190F1E">
        <w:rPr>
          <w:lang w:val="pl-PL"/>
        </w:rPr>
        <w:t xml:space="preserve"> ust. 1</w:t>
      </w:r>
    </w:p>
    <w:p w:rsidR="008E6491" w:rsidRPr="00190F1E" w:rsidRDefault="00B85F9E">
      <w:pPr>
        <w:pStyle w:val="ClinKeyword"/>
        <w:rPr>
          <w:lang w:val="pl-PL"/>
        </w:rPr>
      </w:pPr>
      <w:r w:rsidRPr="00190F1E">
        <w:rPr>
          <w:lang w:val="pl-PL"/>
        </w:rPr>
        <w:t xml:space="preserve">Wolność wyrażania opinii </w:t>
      </w:r>
    </w:p>
    <w:p w:rsidR="00B85F9E" w:rsidRPr="00B85F9E" w:rsidRDefault="00B85F9E" w:rsidP="00E3375A">
      <w:pPr>
        <w:jc w:val="both"/>
        <w:rPr>
          <w:lang w:val="pl-PL"/>
        </w:rPr>
      </w:pPr>
      <w:r>
        <w:rPr>
          <w:lang w:val="pl-PL"/>
        </w:rPr>
        <w:t>Przedwczesne zakończenie</w:t>
      </w:r>
      <w:r w:rsidRPr="00B85F9E">
        <w:rPr>
          <w:lang w:val="pl-PL"/>
        </w:rPr>
        <w:t xml:space="preserve"> mandatu Prezesa Sądu Najwyższego na skutek wyrażania przez niego publicznie poglądów w ramach swoich obowiązków zawodowych</w:t>
      </w:r>
      <w:r>
        <w:rPr>
          <w:lang w:val="pl-PL"/>
        </w:rPr>
        <w:t xml:space="preserve">: </w:t>
      </w:r>
      <w:r w:rsidRPr="00B85F9E">
        <w:rPr>
          <w:i/>
          <w:lang w:val="pl-PL"/>
        </w:rPr>
        <w:t>naruszenie</w:t>
      </w:r>
    </w:p>
    <w:p w:rsidR="00E3375A" w:rsidRPr="00E3375A" w:rsidRDefault="00E3375A">
      <w:pPr>
        <w:pStyle w:val="ClinContent"/>
        <w:rPr>
          <w:lang w:val="pl-PL"/>
        </w:rPr>
      </w:pPr>
      <w:r w:rsidRPr="00E3375A">
        <w:rPr>
          <w:i/>
          <w:lang w:val="pl-PL"/>
        </w:rPr>
        <w:t>Fakty</w:t>
      </w:r>
      <w:r w:rsidRPr="00E3375A">
        <w:rPr>
          <w:lang w:val="pl-PL"/>
        </w:rPr>
        <w:t xml:space="preserve"> – Skarżący, były sędzia Europejskiego Trybunału Praw Człowieka, został wybrany na Prezesa węgierskiego Sądu Najwyższego na sześcioletnią kadencję kończącą się w 2015 r. </w:t>
      </w:r>
      <w:r>
        <w:rPr>
          <w:lang w:val="pl-PL"/>
        </w:rPr>
        <w:t xml:space="preserve">Jako prezes tego sądu oraz Krajowej Rady Sądownictwa wyrażał opinie na temat różnych reform ustawodawczych wpływających na sądownictwo. Przepisy przejściowe nowej Konstytucji (węgierska Ustawa zasadnicza z 2011 r.) przewidywały, że następcą prawnym Sądu Najwyższego będzie </w:t>
      </w:r>
      <w:r w:rsidRPr="00E3375A">
        <w:rPr>
          <w:lang w:val="pl-PL"/>
        </w:rPr>
        <w:t>Kúria</w:t>
      </w:r>
      <w:r w:rsidR="00E66AB7">
        <w:rPr>
          <w:lang w:val="pl-PL"/>
        </w:rPr>
        <w:t>,</w:t>
      </w:r>
      <w:r>
        <w:rPr>
          <w:lang w:val="pl-PL"/>
        </w:rPr>
        <w:t xml:space="preserve"> </w:t>
      </w:r>
      <w:r w:rsidR="00190F1E">
        <w:rPr>
          <w:lang w:val="pl-PL"/>
        </w:rPr>
        <w:t>a</w:t>
      </w:r>
      <w:r>
        <w:rPr>
          <w:lang w:val="pl-PL"/>
        </w:rPr>
        <w:t xml:space="preserve"> mandat prezesa Sądu Najwyższego zakończy się po wejściu w życie nowej Konstytucji. W rezultacie, mandat skarżącego jako </w:t>
      </w:r>
      <w:r w:rsidR="00190F1E">
        <w:rPr>
          <w:lang w:val="pl-PL"/>
        </w:rPr>
        <w:t xml:space="preserve">Prezesa </w:t>
      </w:r>
      <w:r>
        <w:rPr>
          <w:lang w:val="pl-PL"/>
        </w:rPr>
        <w:t>Sądu Najwyższego zakończył się</w:t>
      </w:r>
      <w:r w:rsidR="00190F1E">
        <w:rPr>
          <w:lang w:val="pl-PL"/>
        </w:rPr>
        <w:t xml:space="preserve"> </w:t>
      </w:r>
      <w:r>
        <w:rPr>
          <w:lang w:val="pl-PL"/>
        </w:rPr>
        <w:t xml:space="preserve">1 </w:t>
      </w:r>
      <w:r w:rsidR="00190F1E">
        <w:rPr>
          <w:lang w:val="pl-PL"/>
        </w:rPr>
        <w:t>stycznia 2012 r. Zgodnie z nowymi kryteriami</w:t>
      </w:r>
      <w:r>
        <w:rPr>
          <w:lang w:val="pl-PL"/>
        </w:rPr>
        <w:t xml:space="preserve"> wyboru prezesa nowej </w:t>
      </w:r>
      <w:r w:rsidRPr="00E3375A">
        <w:rPr>
          <w:lang w:val="pl-PL"/>
        </w:rPr>
        <w:t>Kúri</w:t>
      </w:r>
      <w:r>
        <w:rPr>
          <w:lang w:val="pl-PL"/>
        </w:rPr>
        <w:t xml:space="preserve">i od kandydatów </w:t>
      </w:r>
      <w:r w:rsidR="00190F1E">
        <w:rPr>
          <w:lang w:val="pl-PL"/>
        </w:rPr>
        <w:t xml:space="preserve">wymagano </w:t>
      </w:r>
      <w:r>
        <w:rPr>
          <w:lang w:val="pl-PL"/>
        </w:rPr>
        <w:t xml:space="preserve">co najmniej pięciu lat doświadczenia jako sędzia na Węgrzech. Czas sprawowania funkcji sędziego w sądzie międzynarodowym nie był wliczany. Spowodowało to, że skarżący nie spełniał wymogów, by być wybranym na stanowisko prezesa nowej </w:t>
      </w:r>
      <w:r w:rsidRPr="00E3375A">
        <w:rPr>
          <w:lang w:val="pl-PL"/>
        </w:rPr>
        <w:t>Kúri</w:t>
      </w:r>
      <w:r>
        <w:rPr>
          <w:lang w:val="pl-PL"/>
        </w:rPr>
        <w:t>i</w:t>
      </w:r>
      <w:r w:rsidR="00190F1E">
        <w:rPr>
          <w:lang w:val="pl-PL"/>
        </w:rPr>
        <w:t>.</w:t>
      </w:r>
    </w:p>
    <w:p w:rsidR="00E3375A" w:rsidRPr="00893FDE" w:rsidRDefault="005D1AB5">
      <w:pPr>
        <w:pStyle w:val="ClinContent"/>
        <w:rPr>
          <w:lang w:val="pl-PL"/>
        </w:rPr>
      </w:pPr>
      <w:r w:rsidRPr="005D1AB5">
        <w:rPr>
          <w:lang w:val="pl-PL"/>
        </w:rPr>
        <w:lastRenderedPageBreak/>
        <w:t xml:space="preserve">W wyroku </w:t>
      </w:r>
      <w:r w:rsidR="00E3375A" w:rsidRPr="00E3375A">
        <w:rPr>
          <w:lang w:val="pl-PL"/>
        </w:rPr>
        <w:t xml:space="preserve">z 27 maja 2014 r. </w:t>
      </w:r>
      <w:r w:rsidR="00E3375A">
        <w:rPr>
          <w:lang w:val="pl-PL"/>
        </w:rPr>
        <w:t xml:space="preserve">(zobacz </w:t>
      </w:r>
      <w:hyperlink r:id="rId6" w:history="1">
        <w:r w:rsidR="00893FDE" w:rsidRPr="00893FDE">
          <w:rPr>
            <w:rStyle w:val="Hipercze"/>
            <w:lang w:val="pl-PL"/>
          </w:rPr>
          <w:t>Nota informacyjna nr 174</w:t>
        </w:r>
      </w:hyperlink>
      <w:r w:rsidR="00893FDE" w:rsidRPr="00893FDE">
        <w:rPr>
          <w:lang w:val="pl-PL"/>
        </w:rPr>
        <w:t>),</w:t>
      </w:r>
      <w:r w:rsidR="00893FDE">
        <w:rPr>
          <w:lang w:val="pl-PL"/>
        </w:rPr>
        <w:t xml:space="preserve"> Izba Trybunału jednomyślnie stwierdziła, że doszło do naruszenia art. 6 ust. 1 Konwencji (prawo dostępu do sądu), ponieważ skarżący nie miał możliwości kwestionowania przedwczesnego zakończenia jego mandatu. Stwierdziła również naruszenie prawa skarżącego do wolności wyrażania opinii na podstawie art. 10, </w:t>
      </w:r>
      <w:r w:rsidR="009836D3">
        <w:rPr>
          <w:lang w:val="pl-PL"/>
        </w:rPr>
        <w:t>po ustaleniu</w:t>
      </w:r>
      <w:r w:rsidR="00893FDE">
        <w:rPr>
          <w:lang w:val="pl-PL"/>
        </w:rPr>
        <w:t xml:space="preserve">, że przedwczesne zakończenie mandatu skarżącego było skutkiem opinii wyrażanych przez niego publicznie </w:t>
      </w:r>
      <w:r w:rsidR="00893FDE" w:rsidRPr="00B85F9E">
        <w:rPr>
          <w:lang w:val="pl-PL"/>
        </w:rPr>
        <w:t>w ramach obowiązków zawodowych</w:t>
      </w:r>
      <w:r w:rsidR="00893FDE">
        <w:rPr>
          <w:lang w:val="pl-PL"/>
        </w:rPr>
        <w:t>.</w:t>
      </w:r>
    </w:p>
    <w:p w:rsidR="00893FDE" w:rsidRPr="00893FDE" w:rsidRDefault="00893FDE">
      <w:pPr>
        <w:pStyle w:val="ClinContent"/>
        <w:rPr>
          <w:lang w:val="pl-PL"/>
        </w:rPr>
      </w:pPr>
      <w:r w:rsidRPr="00893FDE">
        <w:rPr>
          <w:lang w:val="pl-PL"/>
        </w:rPr>
        <w:t xml:space="preserve">W dniu 15 grudnia 2014 r. sprawa została przekazana do Wielkiej Izby na wniosek </w:t>
      </w:r>
      <w:r w:rsidR="00190F1E">
        <w:rPr>
          <w:lang w:val="pl-PL"/>
        </w:rPr>
        <w:t>r</w:t>
      </w:r>
      <w:r w:rsidRPr="00893FDE">
        <w:rPr>
          <w:lang w:val="pl-PL"/>
        </w:rPr>
        <w:t>ządu.</w:t>
      </w:r>
    </w:p>
    <w:p w:rsidR="008E6491" w:rsidRPr="00190F1E" w:rsidRDefault="00893FDE">
      <w:pPr>
        <w:pStyle w:val="ClinContent"/>
        <w:rPr>
          <w:lang w:val="pl-PL"/>
        </w:rPr>
      </w:pPr>
      <w:r w:rsidRPr="00190F1E">
        <w:rPr>
          <w:i/>
          <w:lang w:val="pl-PL"/>
        </w:rPr>
        <w:t xml:space="preserve">Prawo </w:t>
      </w:r>
      <w:r w:rsidR="00E84062" w:rsidRPr="00190F1E">
        <w:rPr>
          <w:lang w:val="pl-PL"/>
        </w:rPr>
        <w:t xml:space="preserve">– </w:t>
      </w:r>
      <w:r w:rsidRPr="00190F1E">
        <w:rPr>
          <w:lang w:val="pl-PL"/>
        </w:rPr>
        <w:t xml:space="preserve">art. 6 ust. 1 </w:t>
      </w:r>
    </w:p>
    <w:p w:rsidR="00893FDE" w:rsidRPr="00190F1E" w:rsidRDefault="00893FDE" w:rsidP="00893FDE">
      <w:pPr>
        <w:pStyle w:val="ClinContent"/>
        <w:rPr>
          <w:lang w:val="pl-PL"/>
        </w:rPr>
      </w:pPr>
      <w:r w:rsidRPr="00190F1E">
        <w:rPr>
          <w:lang w:val="pl-PL"/>
        </w:rPr>
        <w:t>(a)  </w:t>
      </w:r>
      <w:r w:rsidRPr="00F36337">
        <w:rPr>
          <w:i/>
          <w:lang w:val="pl-PL"/>
        </w:rPr>
        <w:t>Zastosowalność</w:t>
      </w:r>
      <w:r w:rsidRPr="00190F1E">
        <w:rPr>
          <w:i/>
          <w:lang w:val="pl-PL"/>
        </w:rPr>
        <w:t xml:space="preserve"> </w:t>
      </w:r>
    </w:p>
    <w:p w:rsidR="00893FDE" w:rsidRPr="00893FDE" w:rsidRDefault="00893FDE">
      <w:pPr>
        <w:pStyle w:val="ClinContent"/>
        <w:rPr>
          <w:lang w:val="pl-PL"/>
        </w:rPr>
      </w:pPr>
      <w:r w:rsidRPr="00893FDE">
        <w:rPr>
          <w:lang w:val="pl-PL"/>
        </w:rPr>
        <w:t>(i)</w:t>
      </w:r>
      <w:r w:rsidRPr="00893FDE">
        <w:rPr>
          <w:i/>
          <w:lang w:val="pl-PL"/>
        </w:rPr>
        <w:t>  Istnienie prawa</w:t>
      </w:r>
      <w:r w:rsidRPr="00893FDE">
        <w:rPr>
          <w:lang w:val="pl-PL"/>
        </w:rPr>
        <w:t xml:space="preserve"> –</w:t>
      </w:r>
      <w:r w:rsidR="00190F1E">
        <w:rPr>
          <w:lang w:val="pl-PL"/>
        </w:rPr>
        <w:t xml:space="preserve"> </w:t>
      </w:r>
      <w:r w:rsidRPr="00893FDE">
        <w:rPr>
          <w:lang w:val="pl-PL"/>
        </w:rPr>
        <w:t xml:space="preserve">Zgodnie z prawem krajowym, </w:t>
      </w:r>
      <w:r>
        <w:rPr>
          <w:lang w:val="pl-PL"/>
        </w:rPr>
        <w:t>mandat</w:t>
      </w:r>
      <w:r w:rsidRPr="00893FDE">
        <w:rPr>
          <w:lang w:val="pl-PL"/>
        </w:rPr>
        <w:t xml:space="preserve"> skarżącego jako prezesa </w:t>
      </w:r>
      <w:r>
        <w:rPr>
          <w:lang w:val="pl-PL"/>
        </w:rPr>
        <w:t>Sądu Najwyższego miał trwać sześć lat, chyba że zostałby zakończony na mocy wzajemnego porozumienia, rezygnacji lub odwołania. Istniało zatem po stronie skarżącego prawo do odbycia jego kadencji do upływu tego terminu lub do zakończenia jego mandatu sędziowskiego. Pogląd ten wspierały również konstytucyjne zasady niezależności sędziowskiej oraz nieusuwalności sędziów. A zatem, skarżący m</w:t>
      </w:r>
      <w:r w:rsidR="00190F1E">
        <w:rPr>
          <w:lang w:val="pl-PL"/>
        </w:rPr>
        <w:t>ógł</w:t>
      </w:r>
      <w:r>
        <w:rPr>
          <w:lang w:val="pl-PL"/>
        </w:rPr>
        <w:t xml:space="preserve"> w sposób dający się </w:t>
      </w:r>
      <w:r w:rsidR="00190F1E">
        <w:rPr>
          <w:lang w:val="pl-PL"/>
        </w:rPr>
        <w:t>uzasadnić</w:t>
      </w:r>
      <w:r>
        <w:rPr>
          <w:lang w:val="pl-PL"/>
        </w:rPr>
        <w:t xml:space="preserve"> twierdzić, że był uprawniony do ochrony przed usunięciem z urzędu w czasie sprawowania </w:t>
      </w:r>
      <w:r w:rsidR="00190F1E">
        <w:rPr>
          <w:lang w:val="pl-PL"/>
        </w:rPr>
        <w:t xml:space="preserve">swojego </w:t>
      </w:r>
      <w:r>
        <w:rPr>
          <w:lang w:val="pl-PL"/>
        </w:rPr>
        <w:t xml:space="preserve">mandatu. Fakt, że jego mandat został zakończony </w:t>
      </w:r>
      <w:r>
        <w:rPr>
          <w:i/>
          <w:lang w:val="pl-PL"/>
        </w:rPr>
        <w:t xml:space="preserve">ex lege </w:t>
      </w:r>
      <w:r>
        <w:rPr>
          <w:lang w:val="pl-PL"/>
        </w:rPr>
        <w:t>przez nowe ustawodawstwo</w:t>
      </w:r>
      <w:r w:rsidR="004C03DE">
        <w:rPr>
          <w:lang w:val="pl-PL"/>
        </w:rPr>
        <w:t>,</w:t>
      </w:r>
      <w:r>
        <w:rPr>
          <w:lang w:val="pl-PL"/>
        </w:rPr>
        <w:t xml:space="preserve"> nie może </w:t>
      </w:r>
      <w:r w:rsidR="004C03DE">
        <w:rPr>
          <w:lang w:val="pl-PL"/>
        </w:rPr>
        <w:t>usuwać</w:t>
      </w:r>
      <w:r>
        <w:rPr>
          <w:lang w:val="pl-PL"/>
        </w:rPr>
        <w:t xml:space="preserve"> z mocą wsteczną </w:t>
      </w:r>
      <w:r w:rsidR="00190F1E">
        <w:rPr>
          <w:lang w:val="pl-PL"/>
        </w:rPr>
        <w:t>faktu</w:t>
      </w:r>
      <w:r w:rsidR="00190F1E" w:rsidRPr="00190F1E">
        <w:rPr>
          <w:lang w:val="pl-PL"/>
        </w:rPr>
        <w:t>, że prawo</w:t>
      </w:r>
      <w:r w:rsidRPr="00190F1E">
        <w:rPr>
          <w:lang w:val="pl-PL"/>
        </w:rPr>
        <w:t xml:space="preserve"> </w:t>
      </w:r>
      <w:r w:rsidR="00190F1E" w:rsidRPr="00190F1E">
        <w:rPr>
          <w:lang w:val="pl-PL"/>
        </w:rPr>
        <w:t xml:space="preserve">to dało się uzasadnić </w:t>
      </w:r>
      <w:r w:rsidRPr="00190F1E">
        <w:rPr>
          <w:lang w:val="pl-PL"/>
        </w:rPr>
        <w:t>na podstawie regulacji mających zastosowanie w czasie wyboru</w:t>
      </w:r>
      <w:r>
        <w:rPr>
          <w:lang w:val="pl-PL"/>
        </w:rPr>
        <w:t xml:space="preserve">. </w:t>
      </w:r>
    </w:p>
    <w:p w:rsidR="00893FDE" w:rsidRPr="007A5C77" w:rsidRDefault="00893FDE">
      <w:pPr>
        <w:pStyle w:val="ClinContent"/>
        <w:rPr>
          <w:lang w:val="pl-PL"/>
        </w:rPr>
      </w:pPr>
      <w:r w:rsidRPr="00893FDE">
        <w:rPr>
          <w:lang w:val="pl-PL"/>
        </w:rPr>
        <w:t>(ii) </w:t>
      </w:r>
      <w:r w:rsidRPr="00893FDE">
        <w:rPr>
          <w:i/>
          <w:lang w:val="pl-PL"/>
        </w:rPr>
        <w:t> Cywilny charakter prawa</w:t>
      </w:r>
      <w:r>
        <w:rPr>
          <w:i/>
          <w:lang w:val="pl-PL"/>
        </w:rPr>
        <w:t xml:space="preserve"> </w:t>
      </w:r>
      <w:r w:rsidRPr="00893FDE">
        <w:rPr>
          <w:lang w:val="pl-PL"/>
        </w:rPr>
        <w:t xml:space="preserve">– </w:t>
      </w:r>
      <w:r>
        <w:rPr>
          <w:lang w:val="pl-PL"/>
        </w:rPr>
        <w:t xml:space="preserve">W celu </w:t>
      </w:r>
      <w:r w:rsidR="00190F1E">
        <w:rPr>
          <w:lang w:val="pl-PL"/>
        </w:rPr>
        <w:t>rozstrzygnięcia</w:t>
      </w:r>
      <w:r>
        <w:rPr>
          <w:lang w:val="pl-PL"/>
        </w:rPr>
        <w:t xml:space="preserve">, czy prawo, na które powoływał się skarżący, miało charakter „cywilny”, Trybunał zastosował kryteria wypracowane w wyroku w sprawie </w:t>
      </w:r>
      <w:r w:rsidRPr="00893FDE">
        <w:rPr>
          <w:i/>
          <w:lang w:val="pl-PL"/>
        </w:rPr>
        <w:t xml:space="preserve">Vilho Eskelinen </w:t>
      </w:r>
      <w:r>
        <w:rPr>
          <w:i/>
          <w:lang w:val="pl-PL"/>
        </w:rPr>
        <w:t xml:space="preserve">i Inni </w:t>
      </w:r>
      <w:r w:rsidRPr="00893FDE">
        <w:rPr>
          <w:i/>
          <w:lang w:val="pl-PL"/>
        </w:rPr>
        <w:t>p. Finland</w:t>
      </w:r>
      <w:r>
        <w:rPr>
          <w:i/>
          <w:lang w:val="pl-PL"/>
        </w:rPr>
        <w:t>ii</w:t>
      </w:r>
      <w:r w:rsidRPr="00893FDE">
        <w:rPr>
          <w:lang w:val="pl-PL"/>
        </w:rPr>
        <w:t xml:space="preserve"> ([Wielka Izba], </w:t>
      </w:r>
      <w:r>
        <w:rPr>
          <w:lang w:val="pl-PL"/>
        </w:rPr>
        <w:t xml:space="preserve">skarga nr </w:t>
      </w:r>
      <w:r w:rsidRPr="00893FDE">
        <w:rPr>
          <w:lang w:val="pl-PL"/>
        </w:rPr>
        <w:t>63235/00, 19 </w:t>
      </w:r>
      <w:r>
        <w:rPr>
          <w:lang w:val="pl-PL"/>
        </w:rPr>
        <w:t>kwietnia</w:t>
      </w:r>
      <w:r w:rsidRPr="00893FDE">
        <w:rPr>
          <w:lang w:val="pl-PL"/>
        </w:rPr>
        <w:t xml:space="preserve"> 2007</w:t>
      </w:r>
      <w:r>
        <w:rPr>
          <w:lang w:val="pl-PL"/>
        </w:rPr>
        <w:t xml:space="preserve"> r.</w:t>
      </w:r>
      <w:r w:rsidRPr="00893FDE">
        <w:rPr>
          <w:lang w:val="pl-PL"/>
        </w:rPr>
        <w:t xml:space="preserve">, </w:t>
      </w:r>
      <w:hyperlink r:id="rId7" w:history="1">
        <w:r w:rsidRPr="00893FDE">
          <w:rPr>
            <w:rStyle w:val="Hipercze"/>
            <w:lang w:val="pl-PL"/>
          </w:rPr>
          <w:t>Nota informacyjna nr 96</w:t>
        </w:r>
      </w:hyperlink>
      <w:r w:rsidRPr="00893FDE">
        <w:rPr>
          <w:lang w:val="pl-PL"/>
        </w:rPr>
        <w:t>).</w:t>
      </w:r>
      <w:r>
        <w:rPr>
          <w:lang w:val="pl-PL"/>
        </w:rPr>
        <w:t xml:space="preserve"> W odniesieniu do pierwszego warunku testu </w:t>
      </w:r>
      <w:r w:rsidRPr="00893FDE">
        <w:rPr>
          <w:i/>
          <w:lang w:val="pl-PL"/>
        </w:rPr>
        <w:t xml:space="preserve">Vilho Eskelinen – </w:t>
      </w:r>
      <w:r w:rsidRPr="00893FDE">
        <w:rPr>
          <w:lang w:val="pl-PL"/>
        </w:rPr>
        <w:t xml:space="preserve">czy prawo </w:t>
      </w:r>
      <w:r w:rsidR="00190F1E">
        <w:rPr>
          <w:lang w:val="pl-PL"/>
        </w:rPr>
        <w:t>k</w:t>
      </w:r>
      <w:r w:rsidRPr="00893FDE">
        <w:rPr>
          <w:lang w:val="pl-PL"/>
        </w:rPr>
        <w:t>rajowe wyraźnie wy</w:t>
      </w:r>
      <w:r w:rsidR="007A5C77">
        <w:rPr>
          <w:lang w:val="pl-PL"/>
        </w:rPr>
        <w:t>łącza</w:t>
      </w:r>
      <w:r w:rsidR="00190F1E">
        <w:rPr>
          <w:lang w:val="pl-PL"/>
        </w:rPr>
        <w:t>ło</w:t>
      </w:r>
      <w:r w:rsidRPr="00893FDE">
        <w:rPr>
          <w:lang w:val="pl-PL"/>
        </w:rPr>
        <w:t xml:space="preserve"> dostęp do sądu w odniesieniu do </w:t>
      </w:r>
      <w:r>
        <w:rPr>
          <w:lang w:val="pl-PL"/>
        </w:rPr>
        <w:t xml:space="preserve">danego </w:t>
      </w:r>
      <w:r w:rsidRPr="00893FDE">
        <w:rPr>
          <w:lang w:val="pl-PL"/>
        </w:rPr>
        <w:t xml:space="preserve">stanowiska lub kategorii pracowników </w:t>
      </w:r>
      <w:r>
        <w:rPr>
          <w:lang w:val="pl-PL"/>
        </w:rPr>
        <w:t>– Trybunał zauważył, że w kilku sprawach, w których stwierdził, że warunek ten był spełniony</w:t>
      </w:r>
      <w:r w:rsidR="007A5C77">
        <w:rPr>
          <w:lang w:val="pl-PL"/>
        </w:rPr>
        <w:t>, przedmiotowe wyłączenie było jasne i wyraźne.</w:t>
      </w:r>
      <w:r w:rsidR="007A5C77" w:rsidRPr="007A5C77">
        <w:rPr>
          <w:lang w:val="pl-PL"/>
        </w:rPr>
        <w:t>*</w:t>
      </w:r>
      <w:r w:rsidR="007A5C77">
        <w:rPr>
          <w:lang w:val="pl-PL"/>
        </w:rPr>
        <w:t xml:space="preserve"> Jednakże, w obecnej sprawie wobec skarżącego nie wyłączono w sposób wyraźny prawa dostępu do sądu; zamiast tego, jego dostęp do sądu został uniemożliwiony przez fakt, </w:t>
      </w:r>
      <w:r w:rsidR="00190F1E">
        <w:rPr>
          <w:lang w:val="pl-PL"/>
        </w:rPr>
        <w:t>ż</w:t>
      </w:r>
      <w:r w:rsidR="007A5C77">
        <w:rPr>
          <w:lang w:val="pl-PL"/>
        </w:rPr>
        <w:t>e przedwczesne zakończenie jego mandatu zostało zawarte w przepisach przejściowych nowego ustawodawstwa, które weszło w życie w 2012 r. Uniemożliwiło mu to kwestionowanie tego środka przed Trybunałem ds. Służby Publicznej, do czego byłby uprawniony w razie odwołania na podstawie wcześniej obowiązujących regulacji prawnych. Trybunał był więc zdania, że w szczególnych okolicznościach tej sprawy musi ustalić, czy dostęp do sądu został wyłączony przez prawo krajowe przed</w:t>
      </w:r>
      <w:r w:rsidR="00ED0F3D">
        <w:rPr>
          <w:lang w:val="pl-PL"/>
        </w:rPr>
        <w:t>,</w:t>
      </w:r>
      <w:r w:rsidR="007A5C77">
        <w:rPr>
          <w:lang w:val="pl-PL"/>
        </w:rPr>
        <w:t xml:space="preserve"> czy raczej w momencie przyjęcia zaskarżonego środka dotyczącego skarżącego.</w:t>
      </w:r>
      <w:r w:rsidR="007A5C77" w:rsidRPr="007A5C77">
        <w:rPr>
          <w:lang w:val="pl-PL"/>
        </w:rPr>
        <w:t>**</w:t>
      </w:r>
      <w:r w:rsidR="007A5C77">
        <w:rPr>
          <w:lang w:val="pl-PL"/>
        </w:rPr>
        <w:t xml:space="preserve"> Trybunał zauważył ponadto, że aby ustawodawstwo krajowe wyłączające dostęp do sądu miało jakikolwiek skutek na gruncie art. 6 ust. 1 w konkretnej sprawie, musi być ono zgodne z zasadą praworządności, która zakazuje ustaw skierowanych przeciwko określonej osobie, jak to miało miejsce w sprawie skarżącego. W świetle powyższych względów, nie można uznać, że prawo krajowe wyraźnie wyłączało dostęp do sądu względem roszczenia opartego na zarzucanej bezprawności zakończenia mandatu skarżącego. Nie został zatem spełniony pierwszy warunek testu </w:t>
      </w:r>
      <w:r w:rsidR="007A5C77" w:rsidRPr="00893FDE">
        <w:rPr>
          <w:i/>
          <w:lang w:val="pl-PL"/>
        </w:rPr>
        <w:t>Vilho Eskelinen</w:t>
      </w:r>
      <w:r w:rsidR="007A5C77">
        <w:rPr>
          <w:i/>
          <w:lang w:val="pl-PL"/>
        </w:rPr>
        <w:t xml:space="preserve">, </w:t>
      </w:r>
      <w:r w:rsidR="007A5C77" w:rsidRPr="007A5C77">
        <w:rPr>
          <w:lang w:val="pl-PL"/>
        </w:rPr>
        <w:t>a a</w:t>
      </w:r>
      <w:r w:rsidR="007A5C77">
        <w:rPr>
          <w:lang w:val="pl-PL"/>
        </w:rPr>
        <w:t xml:space="preserve">rt. 6 miał zastosowanie w jego aspekcie </w:t>
      </w:r>
      <w:r w:rsidR="004C03DE">
        <w:rPr>
          <w:lang w:val="pl-PL"/>
        </w:rPr>
        <w:t>prawno</w:t>
      </w:r>
      <w:r w:rsidR="007A5C77">
        <w:rPr>
          <w:lang w:val="pl-PL"/>
        </w:rPr>
        <w:t xml:space="preserve">cywilnym. </w:t>
      </w:r>
    </w:p>
    <w:p w:rsidR="007A5C77" w:rsidRPr="009C717B" w:rsidRDefault="007A5C77">
      <w:pPr>
        <w:pStyle w:val="ClinContent"/>
        <w:rPr>
          <w:lang w:val="pl-PL"/>
        </w:rPr>
      </w:pPr>
      <w:r w:rsidRPr="009C717B">
        <w:rPr>
          <w:lang w:val="pl-PL"/>
        </w:rPr>
        <w:t>(b)  </w:t>
      </w:r>
      <w:r w:rsidRPr="009C717B">
        <w:rPr>
          <w:i/>
          <w:lang w:val="pl-PL"/>
        </w:rPr>
        <w:t>Zgodność</w:t>
      </w:r>
      <w:r w:rsidRPr="009C717B">
        <w:rPr>
          <w:lang w:val="pl-PL"/>
        </w:rPr>
        <w:t xml:space="preserve"> </w:t>
      </w:r>
      <w:r w:rsidRPr="009C717B">
        <w:rPr>
          <w:i/>
          <w:lang w:val="pl-PL"/>
        </w:rPr>
        <w:t>–</w:t>
      </w:r>
      <w:r w:rsidR="009C717B" w:rsidRPr="009C717B">
        <w:rPr>
          <w:i/>
          <w:lang w:val="pl-PL"/>
        </w:rPr>
        <w:t xml:space="preserve"> </w:t>
      </w:r>
      <w:r w:rsidR="009C717B" w:rsidRPr="009C717B">
        <w:rPr>
          <w:lang w:val="pl-PL"/>
        </w:rPr>
        <w:t>Na skutek</w:t>
      </w:r>
      <w:r w:rsidR="009C717B">
        <w:rPr>
          <w:i/>
          <w:lang w:val="pl-PL"/>
        </w:rPr>
        <w:t xml:space="preserve"> </w:t>
      </w:r>
      <w:r w:rsidR="009C717B" w:rsidRPr="009C717B">
        <w:rPr>
          <w:lang w:val="pl-PL"/>
        </w:rPr>
        <w:t>ustawodawstwa, którego zgodność z wymogami praworządności by</w:t>
      </w:r>
      <w:r w:rsidR="009C717B">
        <w:rPr>
          <w:lang w:val="pl-PL"/>
        </w:rPr>
        <w:t xml:space="preserve">ła wątpliwa, przedwczesne zakończenie mandatu skarżącego nie było przedmiotem kontroli ani nie podlegało kontroli ze strony jakichkolwiek podmiotów wykonujących władzę sądową. Odnotowując rosnące znaczenie przypisywane przez instrumenty międzynarodowe oraz </w:t>
      </w:r>
      <w:r w:rsidR="009C7278">
        <w:rPr>
          <w:lang w:val="pl-PL"/>
        </w:rPr>
        <w:t xml:space="preserve">instrumenty </w:t>
      </w:r>
      <w:r w:rsidR="009C717B">
        <w:rPr>
          <w:lang w:val="pl-PL"/>
        </w:rPr>
        <w:t>Rady Europy</w:t>
      </w:r>
      <w:r w:rsidR="00ED0F3D">
        <w:rPr>
          <w:lang w:val="pl-PL"/>
        </w:rPr>
        <w:t>,</w:t>
      </w:r>
      <w:r w:rsidR="009C717B">
        <w:rPr>
          <w:lang w:val="pl-PL"/>
        </w:rPr>
        <w:t xml:space="preserve"> a także przez orzecznictwo sądów międzynarodowych i praktykę innych organów międzynarodowych, </w:t>
      </w:r>
      <w:r w:rsidR="009C7278">
        <w:rPr>
          <w:lang w:val="pl-PL"/>
        </w:rPr>
        <w:t xml:space="preserve">kwestii </w:t>
      </w:r>
      <w:r w:rsidR="009C7278">
        <w:rPr>
          <w:lang w:val="pl-PL"/>
        </w:rPr>
        <w:lastRenderedPageBreak/>
        <w:t>rzetelności</w:t>
      </w:r>
      <w:r w:rsidR="009C717B">
        <w:rPr>
          <w:lang w:val="pl-PL"/>
        </w:rPr>
        <w:t xml:space="preserve"> proceduralnej w sprawach dotyczących usunięcia lub odwołania sędziów, Trybunał uznał, że państwo naruszyło samą istotę prawa dostępu skarżącego do sądu. </w:t>
      </w:r>
    </w:p>
    <w:p w:rsidR="009C717B" w:rsidRPr="009C717B" w:rsidRDefault="009C717B">
      <w:pPr>
        <w:pStyle w:val="ClinContent"/>
        <w:rPr>
          <w:lang w:val="pl-PL"/>
        </w:rPr>
      </w:pPr>
      <w:r w:rsidRPr="009C717B">
        <w:rPr>
          <w:i/>
          <w:lang w:val="pl-PL"/>
        </w:rPr>
        <w:t>Rozstrzygnięcie</w:t>
      </w:r>
      <w:r w:rsidRPr="009C717B">
        <w:rPr>
          <w:lang w:val="pl-PL"/>
        </w:rPr>
        <w:t>: naruszenie (piętnastoma głosami do dwóch)</w:t>
      </w:r>
    </w:p>
    <w:p w:rsidR="008E6491" w:rsidRPr="005D1AB5" w:rsidRDefault="00E84062">
      <w:pPr>
        <w:pStyle w:val="ClinContent"/>
        <w:rPr>
          <w:lang w:val="pl-PL"/>
        </w:rPr>
      </w:pPr>
      <w:r w:rsidRPr="005D1AB5">
        <w:rPr>
          <w:lang w:val="pl-PL"/>
        </w:rPr>
        <w:t>Art</w:t>
      </w:r>
      <w:r w:rsidR="0012157F" w:rsidRPr="005D1AB5">
        <w:rPr>
          <w:lang w:val="pl-PL"/>
        </w:rPr>
        <w:t>.</w:t>
      </w:r>
      <w:r w:rsidRPr="005D1AB5">
        <w:rPr>
          <w:lang w:val="pl-PL"/>
        </w:rPr>
        <w:t xml:space="preserve"> 10</w:t>
      </w:r>
    </w:p>
    <w:p w:rsidR="0012157F" w:rsidRPr="006F5CE4" w:rsidRDefault="0012157F">
      <w:pPr>
        <w:pStyle w:val="ClinContent"/>
        <w:rPr>
          <w:lang w:val="pl-PL"/>
        </w:rPr>
      </w:pPr>
      <w:r w:rsidRPr="0012157F">
        <w:rPr>
          <w:lang w:val="pl-PL"/>
        </w:rPr>
        <w:t xml:space="preserve">(a) </w:t>
      </w:r>
      <w:r w:rsidRPr="0012157F">
        <w:rPr>
          <w:i/>
          <w:lang w:val="pl-PL"/>
        </w:rPr>
        <w:t>Istnienie ingerencji</w:t>
      </w:r>
      <w:r w:rsidRPr="0012157F">
        <w:rPr>
          <w:lang w:val="pl-PL"/>
        </w:rPr>
        <w:t xml:space="preserve"> – W poprzednich sprawach dotyczących postępowań dyscyplinarnych lub usunięcia </w:t>
      </w:r>
      <w:r>
        <w:rPr>
          <w:lang w:val="pl-PL"/>
        </w:rPr>
        <w:t>albo mianowania sędziów Trybunał uznał, że art. 10 ma zastosowanie</w:t>
      </w:r>
      <w:r w:rsidR="006F5CE4">
        <w:rPr>
          <w:lang w:val="pl-PL"/>
        </w:rPr>
        <w:t xml:space="preserve">, gdy zaskarżone środki były spowodowane wypowiedziami skarżących na pewne tematy i nie </w:t>
      </w:r>
      <w:r w:rsidR="00ED0F3D">
        <w:rPr>
          <w:lang w:val="pl-PL"/>
        </w:rPr>
        <w:t xml:space="preserve">dotyczyły wypełniania </w:t>
      </w:r>
      <w:r w:rsidR="006F5CE4">
        <w:rPr>
          <w:lang w:val="pl-PL"/>
        </w:rPr>
        <w:t xml:space="preserve">przez nich </w:t>
      </w:r>
      <w:r w:rsidR="00ED0F3D">
        <w:rPr>
          <w:lang w:val="pl-PL"/>
        </w:rPr>
        <w:t xml:space="preserve">kryteriów </w:t>
      </w:r>
      <w:r w:rsidR="006F5CE4">
        <w:rPr>
          <w:lang w:val="pl-PL"/>
        </w:rPr>
        <w:t xml:space="preserve">do wykonywania służby publicznej lub ich </w:t>
      </w:r>
      <w:r w:rsidR="00AF6314">
        <w:rPr>
          <w:lang w:val="pl-PL"/>
        </w:rPr>
        <w:t>kwalifikacji</w:t>
      </w:r>
      <w:r w:rsidR="009C7278">
        <w:rPr>
          <w:lang w:val="pl-PL"/>
        </w:rPr>
        <w:t xml:space="preserve"> zawodowych do</w:t>
      </w:r>
      <w:r w:rsidR="006F5CE4">
        <w:rPr>
          <w:lang w:val="pl-PL"/>
        </w:rPr>
        <w:t xml:space="preserve"> wykonywania funkcji sędziowskich.</w:t>
      </w:r>
      <w:r w:rsidR="006F5CE4" w:rsidRPr="006F5CE4">
        <w:rPr>
          <w:lang w:val="pl-PL"/>
        </w:rPr>
        <w:t>*** W innych sprawach Trybunał</w:t>
      </w:r>
      <w:r w:rsidR="000F2D0C">
        <w:rPr>
          <w:lang w:val="pl-PL"/>
        </w:rPr>
        <w:t xml:space="preserve"> </w:t>
      </w:r>
      <w:r w:rsidR="006F5CE4" w:rsidRPr="006F5CE4">
        <w:rPr>
          <w:lang w:val="pl-PL"/>
        </w:rPr>
        <w:t xml:space="preserve">stwierdzał, że zaskarżony środek nie był związany z wykonywaniem wolności wyrażania opinii. </w:t>
      </w:r>
    </w:p>
    <w:p w:rsidR="000F2D0C" w:rsidRPr="005D1AB5" w:rsidRDefault="000F2D0C">
      <w:pPr>
        <w:pStyle w:val="ClinContent"/>
        <w:rPr>
          <w:lang w:val="pl-PL"/>
        </w:rPr>
      </w:pPr>
      <w:r w:rsidRPr="000F2D0C">
        <w:rPr>
          <w:lang w:val="pl-PL"/>
        </w:rPr>
        <w:t>W obecnej sprawie żaden sąd krajowy nie zbadał kiedykolwiek zarzutów skarżącego lub powodów zakończenia jego mandat</w:t>
      </w:r>
      <w:r>
        <w:rPr>
          <w:lang w:val="pl-PL"/>
        </w:rPr>
        <w:t>u</w:t>
      </w:r>
      <w:r w:rsidRPr="000F2D0C">
        <w:rPr>
          <w:lang w:val="pl-PL"/>
        </w:rPr>
        <w:t xml:space="preserve">. </w:t>
      </w:r>
      <w:r>
        <w:rPr>
          <w:lang w:val="pl-PL"/>
        </w:rPr>
        <w:t xml:space="preserve">Fakty tej sprawy muszą zatem zostać poddane ocenie i rozważeniu „w całości”, a przy ocenie dowodów Trybunał przyjął standard dowodu „poza uzasadnioną wątpliwością”. W tym względzie, Trybunał zauważył, że w 2011 r. skarżący, w ramach swych obowiązków zawodowych jako </w:t>
      </w:r>
      <w:r w:rsidR="00AF6314">
        <w:rPr>
          <w:lang w:val="pl-PL"/>
        </w:rPr>
        <w:t xml:space="preserve">Prezes </w:t>
      </w:r>
      <w:r>
        <w:rPr>
          <w:lang w:val="pl-PL"/>
        </w:rPr>
        <w:t>Sądu Najwyższego i Krajowej Rady Sądownictwa, wyraził publiczną krytykę w sprawie różnych reform ustawowych dotykających sądownictwa. Pomimo zapewnień udzielanych przez dwóch członków większości parlamentarnej i rząd w tym samym roku, iż wprowadzane ustawodawstwo nie zostanie wykorzystane do nienależytego zakończenia mandatów osób wybranych na podstawie wcześniej obowiązujących przepisów prawa, propozycje zakończenia mandatu skarżącego zostały upublicznione i przedłożone Parlament</w:t>
      </w:r>
      <w:r w:rsidR="00867F38">
        <w:rPr>
          <w:lang w:val="pl-PL"/>
        </w:rPr>
        <w:t>owi</w:t>
      </w:r>
      <w:r>
        <w:rPr>
          <w:lang w:val="pl-PL"/>
        </w:rPr>
        <w:t xml:space="preserve"> wkrótce po jego przemówieniu w </w:t>
      </w:r>
      <w:r w:rsidR="00AF6314">
        <w:rPr>
          <w:lang w:val="pl-PL"/>
        </w:rPr>
        <w:t xml:space="preserve">Parlamencie </w:t>
      </w:r>
      <w:r>
        <w:rPr>
          <w:lang w:val="pl-PL"/>
        </w:rPr>
        <w:t xml:space="preserve">w listopadzie 2011 r. i </w:t>
      </w:r>
      <w:r w:rsidR="00AF6314">
        <w:rPr>
          <w:lang w:val="pl-PL"/>
        </w:rPr>
        <w:t xml:space="preserve">zostały </w:t>
      </w:r>
      <w:r>
        <w:rPr>
          <w:lang w:val="pl-PL"/>
        </w:rPr>
        <w:t xml:space="preserve">przyjęte w zaskakująco krótkim czasie. Mając na względzie sekwencję wszystkich wydarzeń, istniał dowód </w:t>
      </w:r>
      <w:r w:rsidRPr="000F2D0C">
        <w:rPr>
          <w:i/>
          <w:lang w:val="pl-PL"/>
        </w:rPr>
        <w:t>prima facie</w:t>
      </w:r>
      <w:r>
        <w:rPr>
          <w:lang w:val="pl-PL"/>
        </w:rPr>
        <w:t xml:space="preserve"> związku przyczynowego między wykonywaniem przez skarżącego jego wolności wyrażania opinii a zakończeniem jego mandatu. </w:t>
      </w:r>
      <w:r w:rsidRPr="005D1AB5">
        <w:rPr>
          <w:lang w:val="pl-PL"/>
        </w:rPr>
        <w:t xml:space="preserve">A zatem, ciężar dowodu jest przeniesiony na rząd. </w:t>
      </w:r>
    </w:p>
    <w:p w:rsidR="000F2D0C" w:rsidRPr="000F2D0C" w:rsidRDefault="000F2D0C">
      <w:pPr>
        <w:pStyle w:val="ClinContent"/>
        <w:rPr>
          <w:lang w:val="pl-PL"/>
        </w:rPr>
      </w:pPr>
      <w:r w:rsidRPr="000F2D0C">
        <w:rPr>
          <w:lang w:val="pl-PL"/>
        </w:rPr>
        <w:t xml:space="preserve">W odniesieniu do powodów wskazanych przez rząd w celu uzasadnienia zaskarżonego środka, nie wydaje się, by </w:t>
      </w:r>
      <w:r>
        <w:rPr>
          <w:lang w:val="pl-PL"/>
        </w:rPr>
        <w:t xml:space="preserve">zmiany wprowadzone w funkcjach najwyższej władzy sądowniczej lub zadaniach jej prezesa miały tak fundamentalny charakter, że mogły lub powinny były </w:t>
      </w:r>
      <w:r w:rsidR="00AF6314">
        <w:rPr>
          <w:lang w:val="pl-PL"/>
        </w:rPr>
        <w:t>powodować przedwczesne zakończenie</w:t>
      </w:r>
      <w:r>
        <w:rPr>
          <w:lang w:val="pl-PL"/>
        </w:rPr>
        <w:t xml:space="preserve"> mandatu skarżącego. W konsekwencji, rząd nie wykazał w sposób przekonujący, że zaskarżony środek był powiązany z likwidacją stanowiska lub funkcji skarżącego w kontekście reformy najwyższej władzy sądowej. </w:t>
      </w:r>
      <w:r w:rsidR="00676613">
        <w:rPr>
          <w:lang w:val="pl-PL"/>
        </w:rPr>
        <w:t>Stosownie do powyższego</w:t>
      </w:r>
      <w:r>
        <w:rPr>
          <w:lang w:val="pl-PL"/>
        </w:rPr>
        <w:t xml:space="preserve">, można domniemywać, że przedwczesne zakończenie mandatu skarżącego zostało spowodowane wyrażeniem przez niego publicznie opinii i krytyki w ramach wykonywania jego obowiązków zawodowych, a zatem stanowiło ingerencję w wykonywanie przez niego prawa do wolności wyrażania opinii. </w:t>
      </w:r>
    </w:p>
    <w:p w:rsidR="00676613" w:rsidRPr="00676613" w:rsidRDefault="00676613">
      <w:pPr>
        <w:pStyle w:val="ClinContent"/>
        <w:rPr>
          <w:lang w:val="pl-PL"/>
        </w:rPr>
      </w:pPr>
      <w:r w:rsidRPr="00676613">
        <w:rPr>
          <w:lang w:val="pl-PL"/>
        </w:rPr>
        <w:t>(b)  </w:t>
      </w:r>
      <w:r w:rsidRPr="00676613">
        <w:rPr>
          <w:i/>
          <w:lang w:val="pl-PL"/>
        </w:rPr>
        <w:t>Czy ingerencja była uzasadniona</w:t>
      </w:r>
      <w:r w:rsidRPr="00676613">
        <w:rPr>
          <w:lang w:val="pl-PL"/>
        </w:rPr>
        <w:t xml:space="preserve"> – Choć wątpliwe było, czy przedmiotowe ustawodawstwo było zgodne z wymogiem praworządności, Trybunał działał w o</w:t>
      </w:r>
      <w:r>
        <w:rPr>
          <w:lang w:val="pl-PL"/>
        </w:rPr>
        <w:t>parciu o założenie, że ingerencja była przewidziana przez ustawę. Państwa Strony nie mogą w sposób uprawniony powoływać się na niezależność sędziowską, by uzasadnić środek taki</w:t>
      </w:r>
      <w:r w:rsidR="00ED0F3D">
        <w:rPr>
          <w:lang w:val="pl-PL"/>
        </w:rPr>
        <w:t>,</w:t>
      </w:r>
      <w:r>
        <w:rPr>
          <w:lang w:val="pl-PL"/>
        </w:rPr>
        <w:t xml:space="preserve"> jak przedwczesne zakończenie mandatu prezesa sądu z powodów, które nie zostały </w:t>
      </w:r>
      <w:r w:rsidR="00AF6314">
        <w:rPr>
          <w:lang w:val="pl-PL"/>
        </w:rPr>
        <w:t xml:space="preserve">ustalone </w:t>
      </w:r>
      <w:r>
        <w:rPr>
          <w:lang w:val="pl-PL"/>
        </w:rPr>
        <w:t xml:space="preserve">prawem i które nie dotyczyły jakichkolwiek względów </w:t>
      </w:r>
      <w:r w:rsidR="00AF6314">
        <w:rPr>
          <w:lang w:val="pl-PL"/>
        </w:rPr>
        <w:t>niekompetencji zawodowej</w:t>
      </w:r>
      <w:r>
        <w:rPr>
          <w:lang w:val="pl-PL"/>
        </w:rPr>
        <w:t xml:space="preserve"> lub niewłaściwego postępowania. W tych okolicznościach, zaskarżony środek wydawał się niezgodny z celem utrzymania niezależności sądownictwa. </w:t>
      </w:r>
    </w:p>
    <w:p w:rsidR="00676613" w:rsidRPr="00676613" w:rsidRDefault="00676613">
      <w:pPr>
        <w:pStyle w:val="ClinContent"/>
        <w:rPr>
          <w:lang w:val="pl-PL"/>
        </w:rPr>
      </w:pPr>
      <w:r w:rsidRPr="00676613">
        <w:rPr>
          <w:lang w:val="pl-PL"/>
        </w:rPr>
        <w:t xml:space="preserve">W obecnej sprawie, zaskarżona ingerencja została spowodowana krytyką wyrażoną publicznie przez skarżącego </w:t>
      </w:r>
      <w:r>
        <w:rPr>
          <w:lang w:val="pl-PL"/>
        </w:rPr>
        <w:t xml:space="preserve">w ramach jego obowiązków zawodowych jako </w:t>
      </w:r>
      <w:r w:rsidR="00AF6314">
        <w:rPr>
          <w:lang w:val="pl-PL"/>
        </w:rPr>
        <w:t xml:space="preserve">Prezesa </w:t>
      </w:r>
      <w:r>
        <w:rPr>
          <w:lang w:val="pl-PL"/>
        </w:rPr>
        <w:t xml:space="preserve">Sądu Najwyższego oraz Krajowej Rady Sądownictwa. Wyrażanie opinii na temat reform ustawowych, które mogły mieć wpływ na sądownictwo i jego niezależność, było nie tylko </w:t>
      </w:r>
      <w:r>
        <w:rPr>
          <w:lang w:val="pl-PL"/>
        </w:rPr>
        <w:lastRenderedPageBreak/>
        <w:t xml:space="preserve">jego prawem, ale </w:t>
      </w:r>
      <w:r w:rsidR="00B17A97">
        <w:rPr>
          <w:lang w:val="pl-PL"/>
        </w:rPr>
        <w:t xml:space="preserve">także </w:t>
      </w:r>
      <w:r>
        <w:rPr>
          <w:lang w:val="pl-PL"/>
        </w:rPr>
        <w:t xml:space="preserve">obowiązkiem. Skarżący wyraził swe poglądy i krytykę w sprawach o znaczeniu publicznym, a jego wypowiedzi </w:t>
      </w:r>
      <w:r w:rsidR="00B17A97">
        <w:rPr>
          <w:lang w:val="pl-PL"/>
        </w:rPr>
        <w:t xml:space="preserve">nie wykraczały poza </w:t>
      </w:r>
      <w:r w:rsidR="00293B1C" w:rsidRPr="00867F38">
        <w:rPr>
          <w:lang w:val="pl-PL"/>
        </w:rPr>
        <w:t>zwykłą</w:t>
      </w:r>
      <w:r w:rsidR="00B17A97">
        <w:rPr>
          <w:lang w:val="pl-PL"/>
        </w:rPr>
        <w:t xml:space="preserve"> krytykę</w:t>
      </w:r>
      <w:r>
        <w:rPr>
          <w:lang w:val="pl-PL"/>
        </w:rPr>
        <w:t xml:space="preserve"> ściśle z punktu widzenia zawodowego. Stosownie do powyższego, jego stanowisko oraz wypowiedzi wymagały wysokiego stopnia ochrony jego wolności wyrażania opinii i dokładnego zbadania wszelkiej ingerencji, a zakres marginesu oceny przyznany władzom krajowym </w:t>
      </w:r>
      <w:r w:rsidR="0004149A">
        <w:rPr>
          <w:lang w:val="pl-PL"/>
        </w:rPr>
        <w:t xml:space="preserve">był </w:t>
      </w:r>
      <w:r>
        <w:rPr>
          <w:lang w:val="pl-PL"/>
        </w:rPr>
        <w:t xml:space="preserve">wąski. </w:t>
      </w:r>
      <w:r w:rsidR="009924A4">
        <w:rPr>
          <w:lang w:val="pl-PL"/>
        </w:rPr>
        <w:t>Ponadto, usunięto go ze stanowiska</w:t>
      </w:r>
      <w:r>
        <w:rPr>
          <w:lang w:val="pl-PL"/>
        </w:rPr>
        <w:t xml:space="preserve"> </w:t>
      </w:r>
      <w:r w:rsidR="009924A4">
        <w:rPr>
          <w:lang w:val="pl-PL"/>
        </w:rPr>
        <w:t xml:space="preserve">ponad trzy lata przed zakończeniem jego kadencji ustalonej na podstawie ustawodawstwa </w:t>
      </w:r>
      <w:r w:rsidR="00293B1C">
        <w:rPr>
          <w:lang w:val="pl-PL"/>
        </w:rPr>
        <w:t xml:space="preserve">mającego zastosowanie </w:t>
      </w:r>
      <w:r w:rsidR="009924A4">
        <w:rPr>
          <w:lang w:val="pl-PL"/>
        </w:rPr>
        <w:t>w c</w:t>
      </w:r>
      <w:r w:rsidR="00293B1C">
        <w:rPr>
          <w:lang w:val="pl-PL"/>
        </w:rPr>
        <w:t xml:space="preserve">hwil </w:t>
      </w:r>
      <w:r w:rsidR="009924A4">
        <w:rPr>
          <w:lang w:val="pl-PL"/>
        </w:rPr>
        <w:t xml:space="preserve"> jego wyboru. </w:t>
      </w:r>
      <w:r w:rsidR="00B17A97">
        <w:rPr>
          <w:lang w:val="pl-PL"/>
        </w:rPr>
        <w:t xml:space="preserve">Trudno to </w:t>
      </w:r>
      <w:r w:rsidR="009924A4">
        <w:rPr>
          <w:lang w:val="pl-PL"/>
        </w:rPr>
        <w:t>pogodzić z potrzebą szczególnego uwzględnienia charakteru funkcji sędziowskiej jako niezależnej części władzy państwowej i zasady nieusuwalności sędziów, która jest kluczowym elementem utrzymania niezależności sędziowskiej. Przedwczesne zakończenie mandatu skarżącego niewątpliwie miało skutek mrożący, jako że musiało zniechęcić nie tylko jego, ale również innych sędziów i prezesów sądów na przyszłość do uczestniczenia w debacie publicznej na temat reform ustawowych dotykających sądownictwa i bardziej ogólnie na temat kwestii dotyczących niezależności sądownictwa. Wreszcie, w świetle stwierdzeń Trybunału na podstawie art. 6 ust. 1 Konwencji, zaskarżonym ograniczeniom nie towarzyszyły skuteczne i odpowiednie gwarancje przeciwko nadużyciom. W sumie, powody, na które powołało się Pozwane Państwo</w:t>
      </w:r>
      <w:r w:rsidR="00B17A97">
        <w:rPr>
          <w:lang w:val="pl-PL"/>
        </w:rPr>
        <w:t>,</w:t>
      </w:r>
      <w:r w:rsidR="009924A4">
        <w:rPr>
          <w:lang w:val="pl-PL"/>
        </w:rPr>
        <w:t xml:space="preserve"> nie mogą być uznane za wystarczające, by wykazać, że zaskarżona ingerencja była konieczna w społeczeństwie demokratycznym. </w:t>
      </w:r>
    </w:p>
    <w:p w:rsidR="009924A4" w:rsidRPr="009924A4" w:rsidRDefault="009924A4">
      <w:pPr>
        <w:pStyle w:val="ClinContent"/>
        <w:rPr>
          <w:lang w:val="pl-PL"/>
        </w:rPr>
      </w:pPr>
      <w:r w:rsidRPr="009924A4">
        <w:rPr>
          <w:i/>
          <w:lang w:val="pl-PL"/>
        </w:rPr>
        <w:t>Rozstrzygnięcie</w:t>
      </w:r>
      <w:r>
        <w:rPr>
          <w:lang w:val="pl-PL"/>
        </w:rPr>
        <w:t>: naruszenie (piętnastoma</w:t>
      </w:r>
      <w:r w:rsidRPr="009924A4">
        <w:rPr>
          <w:lang w:val="pl-PL"/>
        </w:rPr>
        <w:t xml:space="preserve"> głosów do dwóch)</w:t>
      </w:r>
    </w:p>
    <w:p w:rsidR="008E6491" w:rsidRPr="009924A4" w:rsidRDefault="00E84062">
      <w:pPr>
        <w:pStyle w:val="ClinContent"/>
        <w:rPr>
          <w:lang w:val="pl-PL"/>
        </w:rPr>
      </w:pPr>
      <w:r w:rsidRPr="009924A4">
        <w:rPr>
          <w:lang w:val="pl-PL"/>
        </w:rPr>
        <w:t>Art</w:t>
      </w:r>
      <w:r w:rsidR="009924A4" w:rsidRPr="009924A4">
        <w:rPr>
          <w:lang w:val="pl-PL"/>
        </w:rPr>
        <w:t>.</w:t>
      </w:r>
      <w:r w:rsidRPr="009924A4">
        <w:rPr>
          <w:lang w:val="pl-PL"/>
        </w:rPr>
        <w:t xml:space="preserve"> 41: 70</w:t>
      </w:r>
      <w:r w:rsidR="009924A4" w:rsidRPr="009924A4">
        <w:rPr>
          <w:lang w:val="pl-PL"/>
        </w:rPr>
        <w:t>.</w:t>
      </w:r>
      <w:r w:rsidRPr="009924A4">
        <w:rPr>
          <w:lang w:val="pl-PL"/>
        </w:rPr>
        <w:t xml:space="preserve">000 </w:t>
      </w:r>
      <w:r w:rsidR="009924A4" w:rsidRPr="009924A4">
        <w:rPr>
          <w:lang w:val="pl-PL"/>
        </w:rPr>
        <w:t>euro z tytułu szkody majątkowej i niemajątkowej</w:t>
      </w:r>
      <w:r w:rsidRPr="009924A4">
        <w:rPr>
          <w:lang w:val="pl-PL"/>
        </w:rPr>
        <w:t>.</w:t>
      </w:r>
    </w:p>
    <w:p w:rsidR="00416497" w:rsidRDefault="00E84062">
      <w:pPr>
        <w:pStyle w:val="ClinContent"/>
        <w:rPr>
          <w:lang w:val="pl-PL"/>
        </w:rPr>
      </w:pPr>
      <w:r w:rsidRPr="009924A4">
        <w:rPr>
          <w:i/>
          <w:lang w:val="pl-PL"/>
        </w:rPr>
        <w:t xml:space="preserve">* Suküt </w:t>
      </w:r>
      <w:r w:rsidR="00B85F9E" w:rsidRPr="009924A4">
        <w:rPr>
          <w:i/>
          <w:lang w:val="pl-PL"/>
        </w:rPr>
        <w:t>p.</w:t>
      </w:r>
      <w:r w:rsidRPr="009924A4">
        <w:rPr>
          <w:i/>
          <w:lang w:val="pl-PL"/>
        </w:rPr>
        <w:t xml:space="preserve"> Tur</w:t>
      </w:r>
      <w:r w:rsidR="009924A4" w:rsidRPr="009924A4">
        <w:rPr>
          <w:i/>
          <w:lang w:val="pl-PL"/>
        </w:rPr>
        <w:t>cji</w:t>
      </w:r>
      <w:r w:rsidRPr="009924A4">
        <w:rPr>
          <w:lang w:val="pl-PL"/>
        </w:rPr>
        <w:t xml:space="preserve"> (dec</w:t>
      </w:r>
      <w:r w:rsidR="009924A4" w:rsidRPr="009924A4">
        <w:rPr>
          <w:lang w:val="pl-PL"/>
        </w:rPr>
        <w:t>yzja</w:t>
      </w:r>
      <w:r w:rsidRPr="009924A4">
        <w:rPr>
          <w:lang w:val="pl-PL"/>
        </w:rPr>
        <w:t xml:space="preserve">, </w:t>
      </w:r>
      <w:r w:rsidR="00B85F9E" w:rsidRPr="009924A4">
        <w:rPr>
          <w:lang w:val="pl-PL"/>
        </w:rPr>
        <w:t xml:space="preserve">skarga nr </w:t>
      </w:r>
      <w:r w:rsidRPr="009924A4">
        <w:rPr>
          <w:lang w:val="pl-PL"/>
        </w:rPr>
        <w:t xml:space="preserve">59773/00, 11 </w:t>
      </w:r>
      <w:r w:rsidR="009924A4" w:rsidRPr="009924A4">
        <w:rPr>
          <w:lang w:val="pl-PL"/>
        </w:rPr>
        <w:t xml:space="preserve">września </w:t>
      </w:r>
      <w:r w:rsidRPr="009924A4">
        <w:rPr>
          <w:lang w:val="pl-PL"/>
        </w:rPr>
        <w:t>2007</w:t>
      </w:r>
      <w:r w:rsidR="009924A4" w:rsidRPr="009924A4">
        <w:rPr>
          <w:lang w:val="pl-PL"/>
        </w:rPr>
        <w:t xml:space="preserve"> r.</w:t>
      </w:r>
      <w:r w:rsidRPr="009924A4">
        <w:rPr>
          <w:lang w:val="pl-PL"/>
        </w:rPr>
        <w:t xml:space="preserve">, </w:t>
      </w:r>
      <w:hyperlink r:id="rId8" w:history="1">
        <w:r w:rsidR="00B85F9E" w:rsidRPr="009924A4">
          <w:rPr>
            <w:rStyle w:val="Hipercze"/>
            <w:lang w:val="pl-PL"/>
          </w:rPr>
          <w:t>Nota informacyjna nr</w:t>
        </w:r>
        <w:r w:rsidRPr="009924A4">
          <w:rPr>
            <w:rStyle w:val="Hipercze"/>
            <w:lang w:val="pl-PL"/>
          </w:rPr>
          <w:t xml:space="preserve"> 100</w:t>
        </w:r>
      </w:hyperlink>
      <w:r w:rsidRPr="009924A4">
        <w:rPr>
          <w:lang w:val="pl-PL"/>
        </w:rPr>
        <w:t xml:space="preserve">; </w:t>
      </w:r>
      <w:r w:rsidR="009924A4" w:rsidRPr="009924A4">
        <w:rPr>
          <w:lang w:val="pl-PL"/>
        </w:rPr>
        <w:t xml:space="preserve">oraz </w:t>
      </w:r>
      <w:r w:rsidRPr="009924A4">
        <w:rPr>
          <w:i/>
          <w:lang w:val="pl-PL"/>
        </w:rPr>
        <w:t xml:space="preserve">Nedeltcho Popov </w:t>
      </w:r>
      <w:r w:rsidR="00B85F9E" w:rsidRPr="009924A4">
        <w:rPr>
          <w:i/>
          <w:lang w:val="pl-PL"/>
        </w:rPr>
        <w:t>p.</w:t>
      </w:r>
      <w:r w:rsidR="009924A4" w:rsidRPr="009924A4">
        <w:rPr>
          <w:i/>
          <w:lang w:val="pl-PL"/>
        </w:rPr>
        <w:t xml:space="preserve"> Bułgarii</w:t>
      </w:r>
      <w:r w:rsidRPr="009924A4">
        <w:rPr>
          <w:lang w:val="pl-PL"/>
        </w:rPr>
        <w:t xml:space="preserve">, </w:t>
      </w:r>
      <w:r w:rsidR="00B85F9E" w:rsidRPr="009924A4">
        <w:rPr>
          <w:lang w:val="pl-PL"/>
        </w:rPr>
        <w:t xml:space="preserve">skarga nr </w:t>
      </w:r>
      <w:hyperlink r:id="rId9" w:history="1">
        <w:r w:rsidRPr="009924A4">
          <w:rPr>
            <w:rStyle w:val="Hipercze"/>
            <w:lang w:val="pl-PL"/>
          </w:rPr>
          <w:t>61360/00</w:t>
        </w:r>
      </w:hyperlink>
      <w:r w:rsidRPr="009924A4">
        <w:rPr>
          <w:lang w:val="pl-PL"/>
        </w:rPr>
        <w:t xml:space="preserve">, 22 </w:t>
      </w:r>
      <w:r w:rsidR="009924A4" w:rsidRPr="009924A4">
        <w:rPr>
          <w:lang w:val="pl-PL"/>
        </w:rPr>
        <w:t xml:space="preserve"> </w:t>
      </w:r>
      <w:r w:rsidR="00B17A97" w:rsidRPr="009924A4">
        <w:rPr>
          <w:lang w:val="pl-PL"/>
        </w:rPr>
        <w:t>listopada</w:t>
      </w:r>
      <w:r w:rsidR="009924A4" w:rsidRPr="009924A4">
        <w:rPr>
          <w:lang w:val="pl-PL"/>
        </w:rPr>
        <w:t xml:space="preserve"> </w:t>
      </w:r>
      <w:r w:rsidRPr="009924A4">
        <w:rPr>
          <w:lang w:val="pl-PL"/>
        </w:rPr>
        <w:t>2007</w:t>
      </w:r>
      <w:r w:rsidR="009924A4" w:rsidRPr="009924A4">
        <w:rPr>
          <w:lang w:val="pl-PL"/>
        </w:rPr>
        <w:t xml:space="preserve"> r</w:t>
      </w:r>
      <w:r w:rsidRPr="009924A4">
        <w:rPr>
          <w:lang w:val="pl-PL"/>
        </w:rPr>
        <w:t>.</w:t>
      </w:r>
      <w:r w:rsidRPr="009924A4">
        <w:rPr>
          <w:lang w:val="pl-PL"/>
        </w:rPr>
        <w:br/>
      </w:r>
    </w:p>
    <w:p w:rsidR="009924A4" w:rsidRPr="009924A4" w:rsidRDefault="00E84062">
      <w:pPr>
        <w:pStyle w:val="ClinContent"/>
        <w:rPr>
          <w:i/>
          <w:lang w:val="pl-PL"/>
        </w:rPr>
      </w:pPr>
      <w:r w:rsidRPr="009924A4">
        <w:rPr>
          <w:lang w:val="pl-PL"/>
        </w:rPr>
        <w:t>** </w:t>
      </w:r>
      <w:r w:rsidR="009924A4" w:rsidRPr="009924A4">
        <w:rPr>
          <w:lang w:val="pl-PL"/>
        </w:rPr>
        <w:t xml:space="preserve">Trybunał zauważał, że przyjęcie odmiennego poglądu oznaczałoby, że sam zaskarżony środek, który stanowił zarzucaną ingerencję w </w:t>
      </w:r>
      <w:r w:rsidR="009924A4">
        <w:rPr>
          <w:lang w:val="pl-PL"/>
        </w:rPr>
        <w:t>„</w:t>
      </w:r>
      <w:r w:rsidR="009924A4" w:rsidRPr="009924A4">
        <w:rPr>
          <w:lang w:val="pl-PL"/>
        </w:rPr>
        <w:t>prawo”</w:t>
      </w:r>
      <w:r w:rsidR="009924A4">
        <w:rPr>
          <w:lang w:val="pl-PL"/>
        </w:rPr>
        <w:t xml:space="preserve"> skarżącego, mógłby jednocześnie stanowić podstawę prawną do wyłączenia roszczenia skarżącego spod dostępu do sądu. Otworzyłoby to drogę do nadużyć, umożliwiając Układającym się Państwom za</w:t>
      </w:r>
      <w:r w:rsidR="00B17A97">
        <w:rPr>
          <w:lang w:val="pl-PL"/>
        </w:rPr>
        <w:t>mknięcie</w:t>
      </w:r>
      <w:r w:rsidR="009924A4">
        <w:rPr>
          <w:lang w:val="pl-PL"/>
        </w:rPr>
        <w:t xml:space="preserve"> dostępu do sądu w odniesieniu do środków indywidualnych dotyczących ich urzędników</w:t>
      </w:r>
      <w:r w:rsidR="00B17A97">
        <w:rPr>
          <w:lang w:val="pl-PL"/>
        </w:rPr>
        <w:t>,</w:t>
      </w:r>
      <w:r w:rsidR="009924A4">
        <w:rPr>
          <w:lang w:val="pl-PL"/>
        </w:rPr>
        <w:t xml:space="preserve"> po prostu włączając te środki do uregulowań ustawowych o charakterze </w:t>
      </w:r>
      <w:r w:rsidR="009924A4" w:rsidRPr="009924A4">
        <w:rPr>
          <w:i/>
          <w:lang w:val="pl-PL"/>
        </w:rPr>
        <w:t>ad hoc</w:t>
      </w:r>
      <w:r w:rsidR="009924A4">
        <w:rPr>
          <w:lang w:val="pl-PL"/>
        </w:rPr>
        <w:t xml:space="preserve"> nie podlegających kontroli sądowej. </w:t>
      </w:r>
    </w:p>
    <w:p w:rsidR="00B85F9E" w:rsidRPr="00B17A97" w:rsidRDefault="00E84062">
      <w:pPr>
        <w:pStyle w:val="ClinContent"/>
        <w:rPr>
          <w:lang w:val="pl-PL"/>
        </w:rPr>
      </w:pPr>
      <w:r w:rsidRPr="00B17A97">
        <w:rPr>
          <w:i/>
          <w:lang w:val="pl-PL"/>
        </w:rPr>
        <w:t xml:space="preserve">*** Wille </w:t>
      </w:r>
      <w:r w:rsidR="00B85F9E" w:rsidRPr="00B17A97">
        <w:rPr>
          <w:i/>
          <w:lang w:val="pl-PL"/>
        </w:rPr>
        <w:t>p.</w:t>
      </w:r>
      <w:r w:rsidR="009924A4" w:rsidRPr="00B17A97">
        <w:rPr>
          <w:i/>
          <w:lang w:val="pl-PL"/>
        </w:rPr>
        <w:t xml:space="preserve"> Lic</w:t>
      </w:r>
      <w:r w:rsidRPr="00B17A97">
        <w:rPr>
          <w:i/>
          <w:lang w:val="pl-PL"/>
        </w:rPr>
        <w:t>htenstein</w:t>
      </w:r>
      <w:r w:rsidR="009924A4" w:rsidRPr="00B17A97">
        <w:rPr>
          <w:i/>
          <w:lang w:val="pl-PL"/>
        </w:rPr>
        <w:t>owi</w:t>
      </w:r>
      <w:r w:rsidRPr="00B17A97">
        <w:rPr>
          <w:lang w:val="pl-PL"/>
        </w:rPr>
        <w:t xml:space="preserve"> </w:t>
      </w:r>
      <w:r w:rsidR="00B85F9E" w:rsidRPr="00B17A97">
        <w:rPr>
          <w:lang w:val="pl-PL"/>
        </w:rPr>
        <w:t>[Wielka Izba]</w:t>
      </w:r>
      <w:r w:rsidRPr="00B17A97">
        <w:rPr>
          <w:lang w:val="pl-PL"/>
        </w:rPr>
        <w:t xml:space="preserve">, </w:t>
      </w:r>
      <w:r w:rsidR="00B85F9E" w:rsidRPr="00B17A97">
        <w:rPr>
          <w:lang w:val="pl-PL"/>
        </w:rPr>
        <w:t xml:space="preserve">skarga nr </w:t>
      </w:r>
      <w:r w:rsidRPr="00B17A97">
        <w:rPr>
          <w:lang w:val="pl-PL"/>
        </w:rPr>
        <w:t xml:space="preserve">28396/95, 28 </w:t>
      </w:r>
      <w:r w:rsidR="009924A4" w:rsidRPr="00B17A97">
        <w:rPr>
          <w:lang w:val="pl-PL"/>
        </w:rPr>
        <w:t xml:space="preserve">października </w:t>
      </w:r>
      <w:r w:rsidRPr="00B17A97">
        <w:rPr>
          <w:lang w:val="pl-PL"/>
        </w:rPr>
        <w:t>1999</w:t>
      </w:r>
      <w:r w:rsidR="009924A4" w:rsidRPr="00B17A97">
        <w:rPr>
          <w:lang w:val="pl-PL"/>
        </w:rPr>
        <w:t xml:space="preserve"> r.</w:t>
      </w:r>
      <w:r w:rsidRPr="00B17A97">
        <w:rPr>
          <w:lang w:val="pl-PL"/>
        </w:rPr>
        <w:t xml:space="preserve">, </w:t>
      </w:r>
      <w:hyperlink r:id="rId10" w:history="1">
        <w:r w:rsidR="00B85F9E" w:rsidRPr="00B17A97">
          <w:rPr>
            <w:rStyle w:val="Hipercze"/>
            <w:lang w:val="pl-PL"/>
          </w:rPr>
          <w:t>Nota informacyjna nr</w:t>
        </w:r>
        <w:r w:rsidRPr="00B17A97">
          <w:rPr>
            <w:rStyle w:val="Hipercze"/>
            <w:lang w:val="pl-PL"/>
          </w:rPr>
          <w:t xml:space="preserve"> 11</w:t>
        </w:r>
      </w:hyperlink>
      <w:r w:rsidRPr="00B17A97">
        <w:rPr>
          <w:lang w:val="pl-PL"/>
        </w:rPr>
        <w:t xml:space="preserve">; </w:t>
      </w:r>
      <w:r w:rsidR="009924A4" w:rsidRPr="00B17A97">
        <w:rPr>
          <w:lang w:val="pl-PL"/>
        </w:rPr>
        <w:t xml:space="preserve">oraz </w:t>
      </w:r>
      <w:r w:rsidRPr="00B17A97">
        <w:rPr>
          <w:i/>
          <w:lang w:val="pl-PL"/>
        </w:rPr>
        <w:t xml:space="preserve">Kudeshkina </w:t>
      </w:r>
      <w:r w:rsidR="00B85F9E" w:rsidRPr="00B17A97">
        <w:rPr>
          <w:i/>
          <w:lang w:val="pl-PL"/>
        </w:rPr>
        <w:t>p.</w:t>
      </w:r>
      <w:r w:rsidRPr="00B17A97">
        <w:rPr>
          <w:i/>
          <w:lang w:val="pl-PL"/>
        </w:rPr>
        <w:t xml:space="preserve"> R</w:t>
      </w:r>
      <w:r w:rsidR="009924A4" w:rsidRPr="00B17A97">
        <w:rPr>
          <w:i/>
          <w:lang w:val="pl-PL"/>
        </w:rPr>
        <w:t>osji</w:t>
      </w:r>
      <w:r w:rsidRPr="00B17A97">
        <w:rPr>
          <w:lang w:val="pl-PL"/>
        </w:rPr>
        <w:t xml:space="preserve">, </w:t>
      </w:r>
      <w:r w:rsidR="00B85F9E" w:rsidRPr="00B17A97">
        <w:rPr>
          <w:lang w:val="pl-PL"/>
        </w:rPr>
        <w:t xml:space="preserve">skarga nr </w:t>
      </w:r>
      <w:r w:rsidRPr="00B17A97">
        <w:rPr>
          <w:lang w:val="pl-PL"/>
        </w:rPr>
        <w:t xml:space="preserve">29492/05, 26 </w:t>
      </w:r>
      <w:r w:rsidR="009924A4" w:rsidRPr="00B17A97">
        <w:rPr>
          <w:lang w:val="pl-PL"/>
        </w:rPr>
        <w:t xml:space="preserve">lutego </w:t>
      </w:r>
      <w:r w:rsidRPr="00B17A97">
        <w:rPr>
          <w:lang w:val="pl-PL"/>
        </w:rPr>
        <w:t>2009</w:t>
      </w:r>
      <w:r w:rsidR="009924A4" w:rsidRPr="00B17A97">
        <w:rPr>
          <w:lang w:val="pl-PL"/>
        </w:rPr>
        <w:t xml:space="preserve"> r.</w:t>
      </w:r>
      <w:r w:rsidRPr="00B17A97">
        <w:rPr>
          <w:lang w:val="pl-PL"/>
        </w:rPr>
        <w:t xml:space="preserve">, </w:t>
      </w:r>
      <w:hyperlink r:id="rId11" w:history="1">
        <w:r w:rsidR="00B85F9E" w:rsidRPr="00B17A97">
          <w:rPr>
            <w:rStyle w:val="Hipercze"/>
            <w:lang w:val="pl-PL"/>
          </w:rPr>
          <w:t>Nota informacyjna nr</w:t>
        </w:r>
        <w:r w:rsidRPr="00B17A97">
          <w:rPr>
            <w:rStyle w:val="Hipercze"/>
            <w:lang w:val="pl-PL"/>
          </w:rPr>
          <w:t xml:space="preserve"> 116</w:t>
        </w:r>
      </w:hyperlink>
      <w:r w:rsidRPr="00B17A97">
        <w:rPr>
          <w:lang w:val="pl-PL"/>
        </w:rPr>
        <w:t>.</w:t>
      </w:r>
    </w:p>
    <w:p w:rsidR="008E6491" w:rsidRPr="009924A4" w:rsidRDefault="00E84062">
      <w:pPr>
        <w:pStyle w:val="ClinContent"/>
        <w:rPr>
          <w:lang w:val="pl-PL"/>
        </w:rPr>
      </w:pPr>
      <w:r w:rsidRPr="009924A4">
        <w:rPr>
          <w:lang w:val="pl-PL"/>
        </w:rPr>
        <w:t>****  </w:t>
      </w:r>
      <w:r w:rsidRPr="009924A4">
        <w:rPr>
          <w:i/>
          <w:lang w:val="pl-PL"/>
        </w:rPr>
        <w:t xml:space="preserve">Harabin </w:t>
      </w:r>
      <w:r w:rsidR="00B85F9E" w:rsidRPr="009924A4">
        <w:rPr>
          <w:i/>
          <w:lang w:val="pl-PL"/>
        </w:rPr>
        <w:t>p.</w:t>
      </w:r>
      <w:r w:rsidRPr="009924A4">
        <w:rPr>
          <w:i/>
          <w:lang w:val="pl-PL"/>
        </w:rPr>
        <w:t xml:space="preserve"> </w:t>
      </w:r>
      <w:r w:rsidR="009924A4" w:rsidRPr="009924A4">
        <w:rPr>
          <w:i/>
          <w:lang w:val="pl-PL"/>
        </w:rPr>
        <w:t xml:space="preserve">Słowacji </w:t>
      </w:r>
      <w:r w:rsidRPr="009924A4">
        <w:rPr>
          <w:lang w:val="pl-PL"/>
        </w:rPr>
        <w:t>(dec</w:t>
      </w:r>
      <w:r w:rsidR="009924A4" w:rsidRPr="009924A4">
        <w:rPr>
          <w:lang w:val="pl-PL"/>
        </w:rPr>
        <w:t>yzja</w:t>
      </w:r>
      <w:r w:rsidRPr="009924A4">
        <w:rPr>
          <w:lang w:val="pl-PL"/>
        </w:rPr>
        <w:t xml:space="preserve">), </w:t>
      </w:r>
      <w:r w:rsidR="00B85F9E" w:rsidRPr="009924A4">
        <w:rPr>
          <w:lang w:val="pl-PL"/>
        </w:rPr>
        <w:t xml:space="preserve">skarga nr </w:t>
      </w:r>
      <w:hyperlink r:id="rId12" w:history="1">
        <w:r w:rsidRPr="009924A4">
          <w:rPr>
            <w:rStyle w:val="Hipercze"/>
            <w:lang w:val="pl-PL"/>
          </w:rPr>
          <w:t>58688/11</w:t>
        </w:r>
      </w:hyperlink>
      <w:r w:rsidRPr="009924A4">
        <w:rPr>
          <w:lang w:val="pl-PL"/>
        </w:rPr>
        <w:t xml:space="preserve">, 29 </w:t>
      </w:r>
      <w:r w:rsidR="009924A4" w:rsidRPr="009924A4">
        <w:rPr>
          <w:lang w:val="pl-PL"/>
        </w:rPr>
        <w:t xml:space="preserve">czerwca </w:t>
      </w:r>
      <w:r w:rsidRPr="009924A4">
        <w:rPr>
          <w:lang w:val="pl-PL"/>
        </w:rPr>
        <w:t>2004</w:t>
      </w:r>
      <w:r w:rsidR="009924A4" w:rsidRPr="009924A4">
        <w:rPr>
          <w:lang w:val="pl-PL"/>
        </w:rPr>
        <w:t xml:space="preserve"> r.</w:t>
      </w:r>
      <w:r w:rsidRPr="009924A4">
        <w:rPr>
          <w:lang w:val="pl-PL"/>
        </w:rPr>
        <w:t xml:space="preserve">; </w:t>
      </w:r>
      <w:r w:rsidR="009924A4" w:rsidRPr="009924A4">
        <w:rPr>
          <w:lang w:val="pl-PL"/>
        </w:rPr>
        <w:t xml:space="preserve">oraz </w:t>
      </w:r>
      <w:r w:rsidRPr="009924A4">
        <w:rPr>
          <w:i/>
          <w:lang w:val="pl-PL"/>
        </w:rPr>
        <w:t xml:space="preserve">Harabin </w:t>
      </w:r>
      <w:r w:rsidR="00B85F9E" w:rsidRPr="009924A4">
        <w:rPr>
          <w:i/>
          <w:lang w:val="pl-PL"/>
        </w:rPr>
        <w:t>p.</w:t>
      </w:r>
      <w:r w:rsidR="009924A4">
        <w:rPr>
          <w:i/>
          <w:lang w:val="pl-PL"/>
        </w:rPr>
        <w:t xml:space="preserve"> Słowacji</w:t>
      </w:r>
      <w:r w:rsidRPr="009924A4">
        <w:rPr>
          <w:lang w:val="pl-PL"/>
        </w:rPr>
        <w:t xml:space="preserve">, </w:t>
      </w:r>
      <w:r w:rsidR="00B85F9E" w:rsidRPr="009924A4">
        <w:rPr>
          <w:lang w:val="pl-PL"/>
        </w:rPr>
        <w:t xml:space="preserve">skarga nr </w:t>
      </w:r>
      <w:r w:rsidRPr="009924A4">
        <w:rPr>
          <w:lang w:val="pl-PL"/>
        </w:rPr>
        <w:t xml:space="preserve">58688/11, 20 </w:t>
      </w:r>
      <w:r w:rsidR="009924A4">
        <w:rPr>
          <w:lang w:val="pl-PL"/>
        </w:rPr>
        <w:t xml:space="preserve">listopada </w:t>
      </w:r>
      <w:r w:rsidRPr="009924A4">
        <w:rPr>
          <w:lang w:val="pl-PL"/>
        </w:rPr>
        <w:t>2012</w:t>
      </w:r>
      <w:r w:rsidR="009924A4">
        <w:rPr>
          <w:lang w:val="pl-PL"/>
        </w:rPr>
        <w:t xml:space="preserve"> r.</w:t>
      </w:r>
      <w:r w:rsidRPr="009924A4">
        <w:rPr>
          <w:lang w:val="pl-PL"/>
        </w:rPr>
        <w:t xml:space="preserve">, </w:t>
      </w:r>
      <w:hyperlink r:id="rId13" w:history="1">
        <w:r w:rsidR="00B85F9E" w:rsidRPr="009924A4">
          <w:rPr>
            <w:rStyle w:val="Hipercze"/>
            <w:lang w:val="pl-PL"/>
          </w:rPr>
          <w:t>Nota informacyjna nr</w:t>
        </w:r>
        <w:r w:rsidRPr="009924A4">
          <w:rPr>
            <w:rStyle w:val="Hipercze"/>
            <w:lang w:val="pl-PL"/>
          </w:rPr>
          <w:t xml:space="preserve"> 157</w:t>
        </w:r>
      </w:hyperlink>
      <w:r w:rsidRPr="009924A4">
        <w:rPr>
          <w:lang w:val="pl-PL"/>
        </w:rPr>
        <w:t>.</w:t>
      </w:r>
    </w:p>
    <w:p w:rsidR="008E6491" w:rsidRPr="009924A4" w:rsidRDefault="008E6491">
      <w:pPr>
        <w:pBdr>
          <w:bottom w:val="single" w:sz="8" w:space="1" w:color="auto"/>
        </w:pBdr>
        <w:rPr>
          <w:lang w:val="pl-PL"/>
        </w:rPr>
      </w:pPr>
    </w:p>
    <w:p w:rsidR="00C117B9" w:rsidRPr="00190F1E" w:rsidRDefault="00C117B9" w:rsidP="00C117B9">
      <w:pPr>
        <w:pStyle w:val="ClinFooter"/>
        <w:rPr>
          <w:lang w:val="pl-PL"/>
        </w:rPr>
      </w:pPr>
      <w:r w:rsidRPr="00190F1E">
        <w:rPr>
          <w:lang w:val="pl-PL"/>
        </w:rPr>
        <w:t>© Council of Europe/European Court of Human Rights</w:t>
      </w:r>
      <w:r w:rsidRPr="00190F1E">
        <w:rPr>
          <w:lang w:val="pl-PL"/>
        </w:rPr>
        <w:br/>
        <w:t xml:space="preserve">Niniejsze streszczenie przygotowane przez Kancelarię nie wiąże Trybunału.  </w:t>
      </w:r>
    </w:p>
    <w:p w:rsidR="00C117B9" w:rsidRPr="001D0852" w:rsidRDefault="00C117B9" w:rsidP="00C117B9">
      <w:pPr>
        <w:pStyle w:val="ClinFooter"/>
        <w:rPr>
          <w:lang w:val="pl-PL"/>
        </w:rPr>
      </w:pPr>
      <w:r w:rsidRPr="0074070E">
        <w:rPr>
          <w:lang w:val="pl-PL"/>
        </w:rPr>
        <w:t xml:space="preserve">Link do </w:t>
      </w:r>
      <w:hyperlink r:id="rId14" w:history="1">
        <w:r w:rsidRPr="001D0852">
          <w:rPr>
            <w:rStyle w:val="Hipercze"/>
            <w:lang w:val="pl-PL"/>
          </w:rPr>
          <w:t>Not informacyjnych nt. orzecznictwa</w:t>
        </w:r>
      </w:hyperlink>
    </w:p>
    <w:sectPr w:rsidR="00C117B9" w:rsidRPr="001D0852" w:rsidSect="004A5B5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B71" w:rsidRDefault="00755B71" w:rsidP="00C63262">
      <w:r>
        <w:separator/>
      </w:r>
    </w:p>
  </w:endnote>
  <w:endnote w:type="continuationSeparator" w:id="0">
    <w:p w:rsidR="00755B71" w:rsidRDefault="00755B71"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0F" w:rsidRDefault="00626D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0F" w:rsidRDefault="00626D0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13D814DB" wp14:editId="63A4C5F6">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B71" w:rsidRDefault="00755B71" w:rsidP="00C63262">
      <w:r>
        <w:separator/>
      </w:r>
    </w:p>
  </w:footnote>
  <w:footnote w:type="continuationSeparator" w:id="0">
    <w:p w:rsidR="00755B71" w:rsidRDefault="00755B71" w:rsidP="00C63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0F" w:rsidRDefault="00626D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221033">
          <w:rPr>
            <w:noProof/>
          </w:rPr>
          <w:t>2</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3F" w:rsidRDefault="004A5B52" w:rsidP="004A5B52">
    <w:pPr>
      <w:pStyle w:val="Nagwek"/>
    </w:pPr>
    <w:r>
      <w:tab/>
    </w:r>
    <w:r w:rsidR="0071773F">
      <w:rPr>
        <w:noProof/>
        <w:lang w:val="pl-PL" w:eastAsia="pl-PL"/>
      </w:rPr>
      <w:drawing>
        <wp:inline distT="0" distB="0" distL="0" distR="0" wp14:anchorId="6F94CAE1" wp14:editId="3A38105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17C71"/>
    <w:rsid w:val="00037CCC"/>
    <w:rsid w:val="0004149A"/>
    <w:rsid w:val="00044B0B"/>
    <w:rsid w:val="00097888"/>
    <w:rsid w:val="000F13B5"/>
    <w:rsid w:val="000F2D0C"/>
    <w:rsid w:val="00107377"/>
    <w:rsid w:val="0012157F"/>
    <w:rsid w:val="00143602"/>
    <w:rsid w:val="001769E4"/>
    <w:rsid w:val="00186560"/>
    <w:rsid w:val="00190F1E"/>
    <w:rsid w:val="001E543A"/>
    <w:rsid w:val="00212E83"/>
    <w:rsid w:val="00221033"/>
    <w:rsid w:val="00225D3C"/>
    <w:rsid w:val="00293B1C"/>
    <w:rsid w:val="002966E7"/>
    <w:rsid w:val="002E088D"/>
    <w:rsid w:val="00301673"/>
    <w:rsid w:val="0030264F"/>
    <w:rsid w:val="003450B3"/>
    <w:rsid w:val="00386958"/>
    <w:rsid w:val="003A64A6"/>
    <w:rsid w:val="003D7BB3"/>
    <w:rsid w:val="00416497"/>
    <w:rsid w:val="0046453F"/>
    <w:rsid w:val="0046476A"/>
    <w:rsid w:val="0046766B"/>
    <w:rsid w:val="004A3C11"/>
    <w:rsid w:val="004A5B52"/>
    <w:rsid w:val="004C03DE"/>
    <w:rsid w:val="004D568D"/>
    <w:rsid w:val="004E1037"/>
    <w:rsid w:val="0052092D"/>
    <w:rsid w:val="00522A50"/>
    <w:rsid w:val="00526BBE"/>
    <w:rsid w:val="00540D75"/>
    <w:rsid w:val="005514E5"/>
    <w:rsid w:val="00556033"/>
    <w:rsid w:val="00587305"/>
    <w:rsid w:val="005C67C0"/>
    <w:rsid w:val="005D1AB5"/>
    <w:rsid w:val="006028A1"/>
    <w:rsid w:val="00626D0F"/>
    <w:rsid w:val="00631A28"/>
    <w:rsid w:val="00676613"/>
    <w:rsid w:val="006A36AD"/>
    <w:rsid w:val="006B262D"/>
    <w:rsid w:val="006B4CEF"/>
    <w:rsid w:val="006C1D96"/>
    <w:rsid w:val="006F5CE4"/>
    <w:rsid w:val="0071773F"/>
    <w:rsid w:val="00755B71"/>
    <w:rsid w:val="00774515"/>
    <w:rsid w:val="007A5C77"/>
    <w:rsid w:val="007B4228"/>
    <w:rsid w:val="00867F38"/>
    <w:rsid w:val="00893FDE"/>
    <w:rsid w:val="00895EF3"/>
    <w:rsid w:val="008C64D5"/>
    <w:rsid w:val="008E6491"/>
    <w:rsid w:val="00903D38"/>
    <w:rsid w:val="0093047A"/>
    <w:rsid w:val="009836D3"/>
    <w:rsid w:val="009924A4"/>
    <w:rsid w:val="009B3B2C"/>
    <w:rsid w:val="009C717B"/>
    <w:rsid w:val="009C7278"/>
    <w:rsid w:val="009E3EF0"/>
    <w:rsid w:val="00A01052"/>
    <w:rsid w:val="00A04D9C"/>
    <w:rsid w:val="00A258BB"/>
    <w:rsid w:val="00A33541"/>
    <w:rsid w:val="00A45616"/>
    <w:rsid w:val="00A657D2"/>
    <w:rsid w:val="00AC7726"/>
    <w:rsid w:val="00AF6314"/>
    <w:rsid w:val="00B17A97"/>
    <w:rsid w:val="00B57589"/>
    <w:rsid w:val="00B80CA0"/>
    <w:rsid w:val="00B85770"/>
    <w:rsid w:val="00B85F9E"/>
    <w:rsid w:val="00BA1FB7"/>
    <w:rsid w:val="00BF1CD9"/>
    <w:rsid w:val="00C07F86"/>
    <w:rsid w:val="00C117B9"/>
    <w:rsid w:val="00C37433"/>
    <w:rsid w:val="00C63262"/>
    <w:rsid w:val="00C72355"/>
    <w:rsid w:val="00C85499"/>
    <w:rsid w:val="00C93CFB"/>
    <w:rsid w:val="00CF7BA6"/>
    <w:rsid w:val="00D42086"/>
    <w:rsid w:val="00D425B3"/>
    <w:rsid w:val="00DF0F9A"/>
    <w:rsid w:val="00E3375A"/>
    <w:rsid w:val="00E4159F"/>
    <w:rsid w:val="00E55491"/>
    <w:rsid w:val="00E66AB7"/>
    <w:rsid w:val="00E83DB6"/>
    <w:rsid w:val="00E84062"/>
    <w:rsid w:val="00EA53E7"/>
    <w:rsid w:val="00ED0F3D"/>
    <w:rsid w:val="00F217C1"/>
    <w:rsid w:val="00F36337"/>
    <w:rsid w:val="00F508C9"/>
    <w:rsid w:val="00F50CCD"/>
    <w:rsid w:val="00F5247C"/>
    <w:rsid w:val="00F972EF"/>
    <w:rsid w:val="00FA29ED"/>
    <w:rsid w:val="00FF0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9A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character" w:styleId="Odwoaniedokomentarza">
    <w:name w:val="annotation reference"/>
    <w:basedOn w:val="Domylnaczcionkaakapitu"/>
    <w:semiHidden/>
    <w:rsid w:val="00587305"/>
    <w:rPr>
      <w:sz w:val="16"/>
      <w:szCs w:val="16"/>
    </w:rPr>
  </w:style>
  <w:style w:type="paragraph" w:styleId="Tekstkomentarza">
    <w:name w:val="annotation text"/>
    <w:basedOn w:val="Normalny"/>
    <w:link w:val="TekstkomentarzaZnak"/>
    <w:semiHidden/>
    <w:rsid w:val="00587305"/>
    <w:rPr>
      <w:szCs w:val="20"/>
    </w:rPr>
  </w:style>
  <w:style w:type="character" w:customStyle="1" w:styleId="TekstkomentarzaZnak">
    <w:name w:val="Tekst komentarza Znak"/>
    <w:basedOn w:val="Domylnaczcionkaakapitu"/>
    <w:link w:val="Tekstkomentarza"/>
    <w:semiHidden/>
    <w:rsid w:val="00587305"/>
    <w:rPr>
      <w:rFonts w:ascii="Verdana" w:hAnsi="Verdana"/>
    </w:rPr>
  </w:style>
  <w:style w:type="paragraph" w:styleId="Tematkomentarza">
    <w:name w:val="annotation subject"/>
    <w:basedOn w:val="Tekstkomentarza"/>
    <w:next w:val="Tekstkomentarza"/>
    <w:link w:val="TematkomentarzaZnak"/>
    <w:semiHidden/>
    <w:rsid w:val="00587305"/>
    <w:rPr>
      <w:b/>
      <w:bCs/>
    </w:rPr>
  </w:style>
  <w:style w:type="character" w:customStyle="1" w:styleId="TematkomentarzaZnak">
    <w:name w:val="Temat komentarza Znak"/>
    <w:basedOn w:val="TekstkomentarzaZnak"/>
    <w:link w:val="Tematkomentarza"/>
    <w:semiHidden/>
    <w:rsid w:val="00587305"/>
    <w:rPr>
      <w:rFonts w:ascii="Verdana" w:hAnsi="Verdana"/>
      <w:b/>
      <w:bCs/>
    </w:rPr>
  </w:style>
  <w:style w:type="paragraph" w:customStyle="1" w:styleId="s746c8714">
    <w:name w:val="s746c8714"/>
    <w:basedOn w:val="Normalny"/>
    <w:rsid w:val="00301673"/>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301673"/>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uiPriority w:val="99"/>
    <w:rsid w:val="00301673"/>
  </w:style>
  <w:style w:type="character" w:customStyle="1" w:styleId="object">
    <w:name w:val="object"/>
    <w:basedOn w:val="Domylnaczcionkaakapitu"/>
    <w:rsid w:val="00301673"/>
  </w:style>
  <w:style w:type="character" w:styleId="UyteHipercze">
    <w:name w:val="FollowedHyperlink"/>
    <w:basedOn w:val="Domylnaczcionkaakapitu"/>
    <w:semiHidden/>
    <w:rsid w:val="004C03DE"/>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340321">
      <w:bodyDiv w:val="1"/>
      <w:marLeft w:val="0"/>
      <w:marRight w:val="0"/>
      <w:marTop w:val="0"/>
      <w:marBottom w:val="0"/>
      <w:divBdr>
        <w:top w:val="none" w:sz="0" w:space="0" w:color="auto"/>
        <w:left w:val="none" w:sz="0" w:space="0" w:color="auto"/>
        <w:bottom w:val="none" w:sz="0" w:space="0" w:color="auto"/>
        <w:right w:val="none" w:sz="0" w:space="0" w:color="auto"/>
      </w:divBdr>
    </w:div>
    <w:div w:id="1409421600">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i=002-2511" TargetMode="External"/><Relationship Id="rId13" Type="http://schemas.openxmlformats.org/officeDocument/2006/relationships/hyperlink" Target="http://hudoc.echr.coe.int/eng?i=002-7292"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hudoc.echr.coe.int/eng?i=002-2753" TargetMode="External"/><Relationship Id="rId12" Type="http://schemas.openxmlformats.org/officeDocument/2006/relationships/hyperlink" Target="http://hudoc.echr.coe.int/eng?i=001-24031"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hudoc.echr.coe.int/sites/eng/pages/search.aspx?i=002-9473" TargetMode="External"/><Relationship Id="rId11" Type="http://schemas.openxmlformats.org/officeDocument/2006/relationships/hyperlink" Target="http://hudoc.echr.coe.int/eng?i=002-1675"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hudoc.echr.coe.int/eng?i=002-6664"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hudoc.echr.coe.int/eng?i=001-83411" TargetMode="External"/><Relationship Id="rId14" Type="http://schemas.openxmlformats.org/officeDocument/2006/relationships/hyperlink" Target="http://www.echr.coe.int/NoteInformation/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1839</Words>
  <Characters>11039</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2017-04-05T12:26:00Z</dcterms:created>
  <dcterms:modified xsi:type="dcterms:W3CDTF">2024-12-16T16:50:00Z</dcterms:modified>
</cp:coreProperties>
</file>