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header5.xml" ContentType="application/vnd.openxmlformats-officedocument.wordprocessingml.header+xml"/>
  <Override PartName="/word/footer4.xml" ContentType="application/vnd.openxmlformats-officedocument.wordprocessingml.footer+xml"/>
  <Override PartName="/word/header6.xml" ContentType="application/vnd.openxmlformats-officedocument.wordprocessingml.header+xml"/>
  <Override PartName="/word/header7.xml" ContentType="application/vnd.openxmlformats-officedocument.wordprocessingml.header+xml"/>
  <Override PartName="/word/footer5.xml" ContentType="application/vnd.openxmlformats-officedocument.wordprocessingml.footer+xml"/>
  <Override PartName="/word/footer6.xml" ContentType="application/vnd.openxmlformats-officedocument.wordprocessingml.footer+xml"/>
  <Override PartName="/word/header8.xml" ContentType="application/vnd.openxmlformats-officedocument.wordprocessingml.header+xml"/>
  <Override PartName="/word/footer7.xml" ContentType="application/vnd.openxmlformats-officedocument.wordprocessingml.footer+xml"/>
  <Override PartName="/word/header9.xml" ContentType="application/vnd.openxmlformats-officedocument.wordprocessingml.header+xml"/>
  <Override PartName="/word/header10.xml" ContentType="application/vnd.openxmlformats-officedocument.wordprocessingml.header+xml"/>
  <Override PartName="/word/footer8.xml" ContentType="application/vnd.openxmlformats-officedocument.wordprocessingml.footer+xml"/>
  <Override PartName="/word/footer9.xml" ContentType="application/vnd.openxmlformats-officedocument.wordprocessingml.footer+xml"/>
  <Override PartName="/word/header11.xml" ContentType="application/vnd.openxmlformats-officedocument.wordprocessingml.header+xml"/>
  <Override PartName="/word/footer10.xml" ContentType="application/vnd.openxmlformats-officedocument.wordprocessingml.footer+xml"/>
  <Override PartName="/word/header12.xml" ContentType="application/vnd.openxmlformats-officedocument.wordprocessingml.header+xml"/>
  <Override PartName="/word/header13.xml" ContentType="application/vnd.openxmlformats-officedocument.wordprocessingml.header+xml"/>
  <Override PartName="/word/footer11.xml" ContentType="application/vnd.openxmlformats-officedocument.wordprocessingml.footer+xml"/>
  <Override PartName="/word/footer12.xml" ContentType="application/vnd.openxmlformats-officedocument.wordprocessingml.footer+xml"/>
  <Override PartName="/word/header14.xml" ContentType="application/vnd.openxmlformats-officedocument.wordprocessingml.header+xml"/>
  <Override PartName="/word/footer1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1979C25" w14:textId="77777777" w:rsidR="004779A4" w:rsidRPr="00DA7FD4" w:rsidRDefault="004779A4" w:rsidP="004779A4">
      <w:pPr>
        <w:jc w:val="center"/>
        <w:rPr>
          <w:rFonts w:ascii="Arial" w:hAnsi="Arial" w:cs="Arial"/>
          <w:sz w:val="20"/>
          <w:szCs w:val="20"/>
          <w:lang w:val="pl-PL"/>
        </w:rPr>
      </w:pPr>
      <w:r w:rsidRPr="00DA7FD4">
        <w:rPr>
          <w:rStyle w:val="s4f807e54"/>
          <w:rFonts w:ascii="Arial" w:hAnsi="Arial" w:cs="Arial"/>
          <w:sz w:val="20"/>
          <w:szCs w:val="20"/>
          <w:lang w:val="pl-PL"/>
        </w:rPr>
        <w:t xml:space="preserve">© </w:t>
      </w:r>
      <w:r w:rsidRPr="00DA7FD4">
        <w:rPr>
          <w:rFonts w:ascii="Arial" w:hAnsi="Arial" w:cs="Arial"/>
          <w:sz w:val="20"/>
          <w:szCs w:val="20"/>
          <w:lang w:val="pl-PL"/>
        </w:rPr>
        <w:t>Copyright for the Polish translation by Ministerstwo Spraw Zagranicznych</w:t>
      </w:r>
    </w:p>
    <w:p w14:paraId="604E1A1F" w14:textId="77777777" w:rsidR="004779A4" w:rsidRPr="00DA7FD4" w:rsidRDefault="004779A4" w:rsidP="004779A4">
      <w:pPr>
        <w:jc w:val="center"/>
        <w:rPr>
          <w:rFonts w:ascii="Arial" w:hAnsi="Arial" w:cs="Arial"/>
          <w:sz w:val="20"/>
          <w:szCs w:val="20"/>
          <w:lang w:val="pl-PL"/>
        </w:rPr>
      </w:pPr>
    </w:p>
    <w:p w14:paraId="2F4CF9A5" w14:textId="77777777" w:rsidR="004779A4" w:rsidRPr="00DA7FD4" w:rsidRDefault="004779A4" w:rsidP="004779A4">
      <w:pPr>
        <w:jc w:val="center"/>
        <w:rPr>
          <w:rFonts w:ascii="Arial" w:hAnsi="Arial" w:cs="Arial"/>
          <w:sz w:val="20"/>
          <w:szCs w:val="20"/>
          <w:lang w:val="pl-PL"/>
        </w:rPr>
      </w:pPr>
      <w:r w:rsidRPr="00DA7FD4">
        <w:rPr>
          <w:rStyle w:val="s4f807e54"/>
          <w:rFonts w:ascii="Arial" w:hAnsi="Arial" w:cs="Arial"/>
          <w:sz w:val="20"/>
          <w:szCs w:val="20"/>
          <w:lang w:val="pl-PL"/>
        </w:rPr>
        <w:t xml:space="preserve">© Właścicielem praw autorskich do tłumaczenia na język polski jest </w:t>
      </w:r>
      <w:r w:rsidRPr="00DA7FD4">
        <w:rPr>
          <w:rFonts w:ascii="Arial" w:hAnsi="Arial" w:cs="Arial"/>
          <w:sz w:val="20"/>
          <w:szCs w:val="20"/>
          <w:lang w:val="pl-PL"/>
        </w:rPr>
        <w:t>Ministerstwo Spraw Zagranicznych</w:t>
      </w:r>
    </w:p>
    <w:p w14:paraId="6F73DBBA" w14:textId="77777777" w:rsidR="00BB4691" w:rsidRPr="00A9362E" w:rsidRDefault="00BB4691" w:rsidP="002B30B4">
      <w:pPr>
        <w:jc w:val="center"/>
        <w:rPr>
          <w:lang w:val="pl-PL"/>
        </w:rPr>
      </w:pPr>
      <w:bookmarkStart w:id="0" w:name="_GoBack"/>
      <w:bookmarkEnd w:id="0"/>
    </w:p>
    <w:p w14:paraId="75BE61F9" w14:textId="77777777" w:rsidR="00BB4691" w:rsidRPr="00A9362E" w:rsidRDefault="00BB4691" w:rsidP="002B30B4">
      <w:pPr>
        <w:jc w:val="center"/>
        <w:rPr>
          <w:lang w:val="pl-PL"/>
        </w:rPr>
      </w:pPr>
    </w:p>
    <w:p w14:paraId="23C17F5A" w14:textId="06175E60" w:rsidR="00BB4691" w:rsidRPr="00E1456C" w:rsidRDefault="001943E4" w:rsidP="002B30B4">
      <w:pPr>
        <w:tabs>
          <w:tab w:val="left" w:pos="5529"/>
        </w:tabs>
        <w:jc w:val="center"/>
        <w:rPr>
          <w:lang w:val="pl-PL"/>
        </w:rPr>
      </w:pPr>
      <w:r w:rsidRPr="00E1456C">
        <w:rPr>
          <w:lang w:val="pl-PL"/>
        </w:rPr>
        <w:t>SEKCJA TRZECIA</w:t>
      </w:r>
    </w:p>
    <w:p w14:paraId="513F56C4" w14:textId="77777777" w:rsidR="00BB4691" w:rsidRPr="00E1456C" w:rsidRDefault="00BB4691" w:rsidP="002B30B4">
      <w:pPr>
        <w:jc w:val="center"/>
        <w:rPr>
          <w:lang w:val="pl-PL"/>
        </w:rPr>
      </w:pPr>
    </w:p>
    <w:p w14:paraId="5D24D03F" w14:textId="77777777" w:rsidR="00BB4691" w:rsidRPr="00E1456C" w:rsidRDefault="00BB4691" w:rsidP="002B30B4">
      <w:pPr>
        <w:jc w:val="center"/>
        <w:rPr>
          <w:lang w:val="pl-PL"/>
        </w:rPr>
      </w:pPr>
    </w:p>
    <w:p w14:paraId="6855EEF4" w14:textId="77777777" w:rsidR="00BB4691" w:rsidRPr="00E1456C" w:rsidRDefault="00BB4691" w:rsidP="002B30B4">
      <w:pPr>
        <w:jc w:val="center"/>
        <w:rPr>
          <w:lang w:val="pl-PL"/>
        </w:rPr>
      </w:pPr>
    </w:p>
    <w:p w14:paraId="43BD0053" w14:textId="77777777" w:rsidR="00BB4691" w:rsidRPr="00E1456C" w:rsidRDefault="00BB4691" w:rsidP="002B30B4">
      <w:pPr>
        <w:jc w:val="center"/>
        <w:rPr>
          <w:lang w:val="pl-PL"/>
        </w:rPr>
      </w:pPr>
    </w:p>
    <w:p w14:paraId="44C24964" w14:textId="77777777" w:rsidR="00BB4691" w:rsidRPr="00E1456C" w:rsidRDefault="00BB4691" w:rsidP="002B30B4">
      <w:pPr>
        <w:jc w:val="center"/>
        <w:rPr>
          <w:lang w:val="pl-PL"/>
        </w:rPr>
      </w:pPr>
    </w:p>
    <w:p w14:paraId="6C8667FA" w14:textId="6B4B7615" w:rsidR="00BB4691" w:rsidRPr="00E1456C" w:rsidRDefault="001943E4" w:rsidP="002B30B4">
      <w:pPr>
        <w:jc w:val="center"/>
        <w:outlineLvl w:val="0"/>
        <w:rPr>
          <w:b/>
          <w:lang w:val="pl-PL"/>
        </w:rPr>
      </w:pPr>
      <w:r w:rsidRPr="00E1456C">
        <w:rPr>
          <w:b/>
          <w:lang w:val="pl-PL"/>
        </w:rPr>
        <w:t>SPRAWA</w:t>
      </w:r>
      <w:r w:rsidR="00BB4691" w:rsidRPr="00E1456C">
        <w:rPr>
          <w:b/>
          <w:lang w:val="pl-PL"/>
        </w:rPr>
        <w:t xml:space="preserve"> MAZEPA </w:t>
      </w:r>
      <w:r w:rsidRPr="00E1456C">
        <w:rPr>
          <w:b/>
          <w:lang w:val="pl-PL"/>
        </w:rPr>
        <w:t>I INNI p</w:t>
      </w:r>
      <w:r w:rsidR="00F46D13" w:rsidRPr="00E1456C">
        <w:rPr>
          <w:b/>
          <w:lang w:val="pl-PL"/>
        </w:rPr>
        <w:t>rzeciwko</w:t>
      </w:r>
      <w:r w:rsidR="00BB4691" w:rsidRPr="00E1456C">
        <w:rPr>
          <w:b/>
          <w:lang w:val="pl-PL"/>
        </w:rPr>
        <w:t xml:space="preserve"> R</w:t>
      </w:r>
      <w:r w:rsidRPr="00E1456C">
        <w:rPr>
          <w:b/>
          <w:lang w:val="pl-PL"/>
        </w:rPr>
        <w:t>OSJI</w:t>
      </w:r>
    </w:p>
    <w:p w14:paraId="7B4FDC2D" w14:textId="77777777" w:rsidR="00BB4691" w:rsidRPr="00E1456C" w:rsidRDefault="00BB4691" w:rsidP="002B30B4">
      <w:pPr>
        <w:jc w:val="center"/>
        <w:rPr>
          <w:lang w:val="pl-PL"/>
        </w:rPr>
      </w:pPr>
    </w:p>
    <w:p w14:paraId="41BE9C04" w14:textId="1AB164A8" w:rsidR="00BB4691" w:rsidRPr="00E1456C" w:rsidRDefault="00C6565F" w:rsidP="002B30B4">
      <w:pPr>
        <w:jc w:val="center"/>
        <w:rPr>
          <w:i/>
          <w:lang w:val="pl-PL"/>
        </w:rPr>
      </w:pPr>
      <w:r w:rsidRPr="00E1456C">
        <w:rPr>
          <w:i/>
          <w:lang w:val="pl-PL"/>
        </w:rPr>
        <w:t>(Skarga nr</w:t>
      </w:r>
      <w:r w:rsidR="00BB4691" w:rsidRPr="00E1456C">
        <w:rPr>
          <w:i/>
          <w:lang w:val="pl-PL"/>
        </w:rPr>
        <w:t xml:space="preserve"> 15086/07)</w:t>
      </w:r>
    </w:p>
    <w:p w14:paraId="48740E0F" w14:textId="77777777" w:rsidR="00BB4691" w:rsidRPr="00E1456C" w:rsidRDefault="00BB4691" w:rsidP="002B30B4">
      <w:pPr>
        <w:jc w:val="center"/>
        <w:rPr>
          <w:lang w:val="pl-PL"/>
        </w:rPr>
      </w:pPr>
    </w:p>
    <w:p w14:paraId="274C2FAA" w14:textId="77777777" w:rsidR="00BB4691" w:rsidRPr="00E1456C" w:rsidRDefault="00BB4691" w:rsidP="002B30B4">
      <w:pPr>
        <w:jc w:val="center"/>
        <w:rPr>
          <w:lang w:val="pl-PL"/>
        </w:rPr>
      </w:pPr>
    </w:p>
    <w:p w14:paraId="30CD5AE9" w14:textId="77777777" w:rsidR="00BB4691" w:rsidRPr="00E1456C" w:rsidRDefault="00BB4691" w:rsidP="002B30B4">
      <w:pPr>
        <w:jc w:val="center"/>
        <w:rPr>
          <w:lang w:val="pl-PL"/>
        </w:rPr>
      </w:pPr>
    </w:p>
    <w:p w14:paraId="5125616E" w14:textId="77777777" w:rsidR="00BB4691" w:rsidRPr="00E1456C" w:rsidRDefault="00BB4691" w:rsidP="002B30B4">
      <w:pPr>
        <w:jc w:val="center"/>
        <w:rPr>
          <w:lang w:val="pl-PL"/>
        </w:rPr>
      </w:pPr>
    </w:p>
    <w:p w14:paraId="22178910" w14:textId="77777777" w:rsidR="00BB4691" w:rsidRPr="00E1456C" w:rsidRDefault="00BB4691" w:rsidP="002B30B4">
      <w:pPr>
        <w:jc w:val="center"/>
        <w:rPr>
          <w:lang w:val="pl-PL"/>
        </w:rPr>
      </w:pPr>
    </w:p>
    <w:p w14:paraId="7BF1E4F4" w14:textId="77777777" w:rsidR="00BB4691" w:rsidRPr="00E1456C" w:rsidRDefault="00BB4691" w:rsidP="002B30B4">
      <w:pPr>
        <w:jc w:val="center"/>
        <w:rPr>
          <w:lang w:val="pl-PL"/>
        </w:rPr>
      </w:pPr>
    </w:p>
    <w:p w14:paraId="09E9630C" w14:textId="59E28FE0" w:rsidR="00BB4691" w:rsidRPr="00E1456C" w:rsidRDefault="00C6565F" w:rsidP="002B30B4">
      <w:pPr>
        <w:jc w:val="center"/>
        <w:outlineLvl w:val="0"/>
        <w:rPr>
          <w:lang w:val="pl-PL"/>
        </w:rPr>
      </w:pPr>
      <w:r w:rsidRPr="00E1456C">
        <w:rPr>
          <w:lang w:val="pl-PL"/>
        </w:rPr>
        <w:t>WYROK</w:t>
      </w:r>
    </w:p>
    <w:p w14:paraId="59898751" w14:textId="77777777" w:rsidR="00BB4691" w:rsidRPr="005E174D" w:rsidRDefault="00BB4691" w:rsidP="002B30B4">
      <w:pPr>
        <w:jc w:val="center"/>
        <w:rPr>
          <w:highlight w:val="cyan"/>
          <w:lang w:val="pl-PL"/>
        </w:rPr>
      </w:pPr>
    </w:p>
    <w:p w14:paraId="0C1924F7" w14:textId="77777777" w:rsidR="00BB4691" w:rsidRPr="005E174D" w:rsidRDefault="00BB4691" w:rsidP="002B30B4">
      <w:pPr>
        <w:jc w:val="center"/>
        <w:rPr>
          <w:highlight w:val="cyan"/>
          <w:lang w:val="pl-PL"/>
        </w:rPr>
      </w:pPr>
    </w:p>
    <w:p w14:paraId="3BABD8D8" w14:textId="77777777" w:rsidR="00BB4691" w:rsidRPr="005E174D" w:rsidRDefault="00BB4691" w:rsidP="002B30B4">
      <w:pPr>
        <w:jc w:val="center"/>
        <w:rPr>
          <w:highlight w:val="cyan"/>
          <w:lang w:val="pl-PL"/>
        </w:rPr>
      </w:pPr>
    </w:p>
    <w:p w14:paraId="4AAAAA63" w14:textId="77777777" w:rsidR="00BB4691" w:rsidRPr="005E174D" w:rsidRDefault="00BB4691" w:rsidP="002B30B4">
      <w:pPr>
        <w:jc w:val="center"/>
        <w:rPr>
          <w:i/>
          <w:highlight w:val="cyan"/>
          <w:lang w:val="pl-PL"/>
        </w:rPr>
      </w:pPr>
    </w:p>
    <w:p w14:paraId="10578297" w14:textId="18F18126" w:rsidR="00BB4691" w:rsidRPr="005E174D" w:rsidRDefault="00C6565F" w:rsidP="002B30B4">
      <w:pPr>
        <w:jc w:val="center"/>
        <w:outlineLvl w:val="0"/>
        <w:rPr>
          <w:lang w:val="pl-PL"/>
        </w:rPr>
      </w:pPr>
      <w:r w:rsidRPr="005E174D">
        <w:rPr>
          <w:lang w:val="pl-PL"/>
        </w:rPr>
        <w:t>STRASB</w:t>
      </w:r>
      <w:r w:rsidR="00BB4691" w:rsidRPr="005E174D">
        <w:rPr>
          <w:lang w:val="pl-PL"/>
        </w:rPr>
        <w:t>URG</w:t>
      </w:r>
    </w:p>
    <w:p w14:paraId="0839A08B" w14:textId="77777777" w:rsidR="00BB4691" w:rsidRPr="005E174D" w:rsidRDefault="00BB4691" w:rsidP="002B30B4">
      <w:pPr>
        <w:jc w:val="center"/>
        <w:rPr>
          <w:lang w:val="pl-PL"/>
        </w:rPr>
      </w:pPr>
    </w:p>
    <w:p w14:paraId="25D0A520" w14:textId="6820B18E" w:rsidR="00BB4691" w:rsidRPr="005E174D" w:rsidRDefault="00BB4691" w:rsidP="002B30B4">
      <w:pPr>
        <w:jc w:val="center"/>
        <w:rPr>
          <w:lang w:val="pl-PL"/>
        </w:rPr>
      </w:pPr>
      <w:r w:rsidRPr="005E174D">
        <w:rPr>
          <w:lang w:val="pl-PL"/>
        </w:rPr>
        <w:t xml:space="preserve">17 </w:t>
      </w:r>
      <w:r w:rsidR="005E174D" w:rsidRPr="005E174D">
        <w:rPr>
          <w:lang w:val="pl-PL"/>
        </w:rPr>
        <w:t>lipca</w:t>
      </w:r>
      <w:r w:rsidRPr="005E174D">
        <w:rPr>
          <w:lang w:val="pl-PL"/>
        </w:rPr>
        <w:t xml:space="preserve"> 2018</w:t>
      </w:r>
    </w:p>
    <w:p w14:paraId="505B920B" w14:textId="77777777" w:rsidR="00BB4691" w:rsidRPr="005E174D" w:rsidRDefault="00BB4691" w:rsidP="002B30B4">
      <w:pPr>
        <w:jc w:val="center"/>
        <w:rPr>
          <w:lang w:val="pl-PL"/>
        </w:rPr>
      </w:pPr>
    </w:p>
    <w:p w14:paraId="63FE8C88" w14:textId="54A318F7" w:rsidR="002B30B4" w:rsidRPr="003A3109" w:rsidRDefault="005E174D" w:rsidP="002B30B4">
      <w:pPr>
        <w:pStyle w:val="jucase0"/>
        <w:ind w:firstLine="0"/>
        <w:jc w:val="center"/>
        <w:rPr>
          <w:color w:val="FF0000"/>
          <w:sz w:val="28"/>
          <w:szCs w:val="28"/>
          <w:u w:val="single"/>
          <w:lang w:val="pl-PL"/>
        </w:rPr>
      </w:pPr>
      <w:r w:rsidRPr="003A3109">
        <w:rPr>
          <w:color w:val="FF0000"/>
          <w:sz w:val="28"/>
          <w:szCs w:val="28"/>
          <w:u w:val="single"/>
          <w:lang w:val="pl-PL"/>
        </w:rPr>
        <w:t>OSTATECZNY</w:t>
      </w:r>
    </w:p>
    <w:p w14:paraId="376223C2" w14:textId="77777777" w:rsidR="002B30B4" w:rsidRPr="003A3109" w:rsidRDefault="002B30B4" w:rsidP="002B30B4">
      <w:pPr>
        <w:pStyle w:val="jupara"/>
        <w:tabs>
          <w:tab w:val="left" w:pos="4650"/>
        </w:tabs>
        <w:ind w:firstLine="0"/>
        <w:jc w:val="center"/>
        <w:rPr>
          <w:color w:val="FF0000"/>
          <w:sz w:val="28"/>
          <w:szCs w:val="28"/>
          <w:lang w:val="pl-PL"/>
        </w:rPr>
      </w:pPr>
    </w:p>
    <w:p w14:paraId="4B02A7F6" w14:textId="0E8AB5EF" w:rsidR="002B30B4" w:rsidRPr="003A3109" w:rsidRDefault="002B30B4" w:rsidP="002B30B4">
      <w:pPr>
        <w:pStyle w:val="jupara"/>
        <w:ind w:firstLine="0"/>
        <w:jc w:val="center"/>
        <w:rPr>
          <w:color w:val="FF0000"/>
          <w:sz w:val="28"/>
          <w:szCs w:val="28"/>
          <w:lang w:val="pl-PL"/>
        </w:rPr>
      </w:pPr>
      <w:r w:rsidRPr="003A3109">
        <w:rPr>
          <w:color w:val="FF0000"/>
          <w:sz w:val="28"/>
          <w:szCs w:val="28"/>
          <w:lang w:val="pl-PL"/>
        </w:rPr>
        <w:t>17/10/2018</w:t>
      </w:r>
    </w:p>
    <w:p w14:paraId="3FF26414" w14:textId="77777777" w:rsidR="002B30B4" w:rsidRPr="003A3109" w:rsidRDefault="002B30B4" w:rsidP="002B30B4">
      <w:pPr>
        <w:pStyle w:val="jupara"/>
        <w:ind w:firstLine="0"/>
        <w:jc w:val="center"/>
        <w:rPr>
          <w:lang w:val="pl-PL"/>
        </w:rPr>
      </w:pPr>
    </w:p>
    <w:p w14:paraId="020A101E" w14:textId="47BC7D97" w:rsidR="007632EF" w:rsidRDefault="0080178D" w:rsidP="002B30B4">
      <w:pPr>
        <w:jc w:val="center"/>
        <w:rPr>
          <w:i/>
          <w:iCs/>
          <w:sz w:val="22"/>
          <w:lang w:val="pl-PL"/>
        </w:rPr>
      </w:pPr>
      <w:r w:rsidRPr="0080178D">
        <w:rPr>
          <w:i/>
          <w:iCs/>
          <w:sz w:val="22"/>
          <w:lang w:val="pl-PL"/>
        </w:rPr>
        <w:t xml:space="preserve">Niniejszy wyrok stał się ostateczny zgodnie z artykułem 44 </w:t>
      </w:r>
      <w:r w:rsidR="00E1456C">
        <w:rPr>
          <w:i/>
          <w:iCs/>
          <w:sz w:val="22"/>
          <w:lang w:val="pl-PL"/>
        </w:rPr>
        <w:t>ust.</w:t>
      </w:r>
      <w:r w:rsidR="002B30B4" w:rsidRPr="0080178D">
        <w:rPr>
          <w:i/>
          <w:iCs/>
          <w:sz w:val="22"/>
          <w:lang w:val="pl-PL"/>
        </w:rPr>
        <w:t xml:space="preserve"> 2 </w:t>
      </w:r>
      <w:r>
        <w:rPr>
          <w:i/>
          <w:iCs/>
          <w:sz w:val="22"/>
          <w:lang w:val="pl-PL"/>
        </w:rPr>
        <w:t xml:space="preserve">Konwencji. </w:t>
      </w:r>
    </w:p>
    <w:p w14:paraId="50F639B1" w14:textId="71987D41" w:rsidR="002B30B4" w:rsidRPr="00510613" w:rsidRDefault="0080178D" w:rsidP="002B30B4">
      <w:pPr>
        <w:jc w:val="center"/>
        <w:rPr>
          <w:i/>
          <w:iCs/>
          <w:sz w:val="22"/>
          <w:lang w:val="pl-PL"/>
        </w:rPr>
      </w:pPr>
      <w:r>
        <w:rPr>
          <w:i/>
          <w:iCs/>
          <w:sz w:val="22"/>
          <w:lang w:val="pl-PL"/>
        </w:rPr>
        <w:t xml:space="preserve">Może podlegać </w:t>
      </w:r>
      <w:r w:rsidR="007632EF">
        <w:rPr>
          <w:i/>
          <w:iCs/>
          <w:sz w:val="22"/>
          <w:lang w:val="pl-PL"/>
        </w:rPr>
        <w:t>korekcie redakcyjnej.</w:t>
      </w:r>
    </w:p>
    <w:p w14:paraId="111020C2" w14:textId="77777777" w:rsidR="006D3A41" w:rsidRPr="00510613" w:rsidRDefault="006D3A41" w:rsidP="002B30B4">
      <w:pPr>
        <w:rPr>
          <w:lang w:val="pl-PL"/>
        </w:rPr>
        <w:sectPr w:rsidR="006D3A41" w:rsidRPr="00510613">
          <w:headerReference w:type="default" r:id="rId11"/>
          <w:footerReference w:type="default" r:id="rId12"/>
          <w:headerReference w:type="first" r:id="rId13"/>
          <w:footnotePr>
            <w:numRestart w:val="eachSect"/>
          </w:footnotePr>
          <w:pgSz w:w="11906" w:h="16838" w:code="9"/>
          <w:pgMar w:top="2274" w:right="2274" w:bottom="2274" w:left="2274" w:header="1701" w:footer="720" w:gutter="0"/>
          <w:pgNumType w:start="1"/>
          <w:cols w:space="720"/>
          <w:noEndnote/>
        </w:sectPr>
      </w:pPr>
    </w:p>
    <w:p w14:paraId="21972B6C" w14:textId="708B69FC" w:rsidR="00510613" w:rsidRPr="000B69F3" w:rsidRDefault="00510613" w:rsidP="002B30B4">
      <w:pPr>
        <w:pStyle w:val="JuCase"/>
        <w:rPr>
          <w:lang w:val="pl-PL"/>
        </w:rPr>
      </w:pPr>
      <w:r w:rsidRPr="000B69F3">
        <w:rPr>
          <w:lang w:val="pl-PL"/>
        </w:rPr>
        <w:lastRenderedPageBreak/>
        <w:t>W sprawie Mazepa i Inni p. Rosji,</w:t>
      </w:r>
    </w:p>
    <w:p w14:paraId="1B2A6C67" w14:textId="2A83865F" w:rsidR="00510613" w:rsidRPr="000B69F3" w:rsidRDefault="00510613" w:rsidP="002B30B4">
      <w:pPr>
        <w:pStyle w:val="ECHRPara"/>
        <w:rPr>
          <w:lang w:val="pl-PL"/>
        </w:rPr>
      </w:pPr>
      <w:r w:rsidRPr="000B69F3">
        <w:rPr>
          <w:lang w:val="pl-PL"/>
        </w:rPr>
        <w:t>Europejski Trybuna</w:t>
      </w:r>
      <w:r w:rsidR="00F46D13" w:rsidRPr="000B69F3">
        <w:rPr>
          <w:lang w:val="pl-PL"/>
        </w:rPr>
        <w:t>ł Praw Cz</w:t>
      </w:r>
      <w:r w:rsidR="00776479" w:rsidRPr="000B69F3">
        <w:rPr>
          <w:lang w:val="pl-PL"/>
        </w:rPr>
        <w:t>łowieka (Trzecia S</w:t>
      </w:r>
      <w:r w:rsidR="00F46D13" w:rsidRPr="000B69F3">
        <w:rPr>
          <w:lang w:val="pl-PL"/>
        </w:rPr>
        <w:t>ekcja</w:t>
      </w:r>
      <w:r w:rsidRPr="000B69F3">
        <w:rPr>
          <w:lang w:val="pl-PL"/>
        </w:rPr>
        <w:t xml:space="preserve">), </w:t>
      </w:r>
      <w:r w:rsidR="00F46D13" w:rsidRPr="000B69F3">
        <w:rPr>
          <w:lang w:val="pl-PL"/>
        </w:rPr>
        <w:t xml:space="preserve">zasiadając jako Izba </w:t>
      </w:r>
      <w:r w:rsidRPr="000B69F3">
        <w:rPr>
          <w:lang w:val="pl-PL"/>
        </w:rPr>
        <w:t>w składzie</w:t>
      </w:r>
      <w:r w:rsidR="00F458AB" w:rsidRPr="000B69F3">
        <w:rPr>
          <w:lang w:val="pl-PL"/>
        </w:rPr>
        <w:t>:</w:t>
      </w:r>
    </w:p>
    <w:p w14:paraId="57E254BB" w14:textId="71D7BA4F" w:rsidR="00014566" w:rsidRPr="000B69F3" w:rsidRDefault="006D3A41" w:rsidP="002B30B4">
      <w:pPr>
        <w:pStyle w:val="ECHRDecisionBody"/>
        <w:rPr>
          <w:lang w:val="pl-PL"/>
        </w:rPr>
      </w:pPr>
      <w:r w:rsidRPr="000B69F3">
        <w:rPr>
          <w:lang w:val="pl-PL"/>
        </w:rPr>
        <w:tab/>
        <w:t>Helena Jäderblom,</w:t>
      </w:r>
      <w:r w:rsidRPr="000B69F3">
        <w:rPr>
          <w:i/>
          <w:lang w:val="pl-PL"/>
        </w:rPr>
        <w:t xml:space="preserve"> </w:t>
      </w:r>
      <w:r w:rsidR="00510613" w:rsidRPr="000B69F3">
        <w:rPr>
          <w:i/>
          <w:lang w:val="pl-PL"/>
        </w:rPr>
        <w:t>Przewodnicząca</w:t>
      </w:r>
      <w:r w:rsidRPr="000B69F3">
        <w:rPr>
          <w:i/>
          <w:lang w:val="pl-PL"/>
        </w:rPr>
        <w:t>,</w:t>
      </w:r>
      <w:r w:rsidRPr="000B69F3">
        <w:rPr>
          <w:i/>
          <w:lang w:val="pl-PL"/>
        </w:rPr>
        <w:br/>
      </w:r>
      <w:r w:rsidRPr="000B69F3">
        <w:rPr>
          <w:lang w:val="pl-PL"/>
        </w:rPr>
        <w:tab/>
        <w:t>Branko Lubarda,</w:t>
      </w:r>
      <w:r w:rsidRPr="000B69F3">
        <w:rPr>
          <w:i/>
          <w:lang w:val="pl-PL"/>
        </w:rPr>
        <w:br/>
      </w:r>
      <w:r w:rsidRPr="000B69F3">
        <w:rPr>
          <w:lang w:val="pl-PL"/>
        </w:rPr>
        <w:tab/>
        <w:t>Helen Keller,</w:t>
      </w:r>
      <w:r w:rsidRPr="000B69F3">
        <w:rPr>
          <w:i/>
          <w:lang w:val="pl-PL"/>
        </w:rPr>
        <w:br/>
      </w:r>
      <w:r w:rsidRPr="000B69F3">
        <w:rPr>
          <w:lang w:val="pl-PL"/>
        </w:rPr>
        <w:tab/>
        <w:t>Dmitry Dedov,</w:t>
      </w:r>
      <w:r w:rsidRPr="000B69F3">
        <w:rPr>
          <w:i/>
          <w:lang w:val="pl-PL"/>
        </w:rPr>
        <w:br/>
      </w:r>
      <w:r w:rsidRPr="000B69F3">
        <w:rPr>
          <w:lang w:val="pl-PL"/>
        </w:rPr>
        <w:tab/>
        <w:t>Alena Poláčková,</w:t>
      </w:r>
      <w:r w:rsidRPr="000B69F3">
        <w:rPr>
          <w:i/>
          <w:lang w:val="pl-PL"/>
        </w:rPr>
        <w:br/>
      </w:r>
      <w:r w:rsidRPr="000B69F3">
        <w:rPr>
          <w:lang w:val="pl-PL"/>
        </w:rPr>
        <w:tab/>
        <w:t>Georgios A. Serghides,</w:t>
      </w:r>
      <w:r w:rsidRPr="000B69F3">
        <w:rPr>
          <w:i/>
          <w:lang w:val="pl-PL"/>
        </w:rPr>
        <w:br/>
      </w:r>
      <w:r w:rsidRPr="000B69F3">
        <w:rPr>
          <w:lang w:val="pl-PL"/>
        </w:rPr>
        <w:tab/>
        <w:t>Jolien Schukking,</w:t>
      </w:r>
      <w:r w:rsidRPr="000B69F3">
        <w:rPr>
          <w:i/>
          <w:lang w:val="pl-PL"/>
        </w:rPr>
        <w:t xml:space="preserve"> </w:t>
      </w:r>
      <w:r w:rsidR="00510613" w:rsidRPr="000B69F3">
        <w:rPr>
          <w:i/>
          <w:lang w:val="pl-PL"/>
        </w:rPr>
        <w:t>sędziowie</w:t>
      </w:r>
      <w:r w:rsidRPr="000B69F3">
        <w:rPr>
          <w:i/>
          <w:lang w:val="pl-PL"/>
        </w:rPr>
        <w:t>,</w:t>
      </w:r>
      <w:r w:rsidR="00014566" w:rsidRPr="000B69F3">
        <w:rPr>
          <w:szCs w:val="24"/>
          <w:lang w:val="pl-PL"/>
        </w:rPr>
        <w:br/>
      </w:r>
      <w:r w:rsidR="00055FDE" w:rsidRPr="000B69F3">
        <w:rPr>
          <w:lang w:val="pl-PL"/>
        </w:rPr>
        <w:t>oraz</w:t>
      </w:r>
      <w:r w:rsidR="00014566" w:rsidRPr="000B69F3">
        <w:rPr>
          <w:lang w:val="pl-PL"/>
        </w:rPr>
        <w:t xml:space="preserve"> </w:t>
      </w:r>
      <w:r w:rsidR="00FC4960" w:rsidRPr="000B69F3">
        <w:rPr>
          <w:lang w:val="pl-PL"/>
        </w:rPr>
        <w:t>Stephen Phillips</w:t>
      </w:r>
      <w:r w:rsidR="00014566" w:rsidRPr="000B69F3">
        <w:rPr>
          <w:lang w:val="pl-PL"/>
        </w:rPr>
        <w:t xml:space="preserve">, </w:t>
      </w:r>
      <w:r w:rsidR="00F458AB" w:rsidRPr="000B69F3">
        <w:rPr>
          <w:i/>
          <w:lang w:val="pl-PL"/>
        </w:rPr>
        <w:t>Kanclerz Sekcji</w:t>
      </w:r>
      <w:r w:rsidR="00014566" w:rsidRPr="000B69F3">
        <w:rPr>
          <w:i/>
          <w:lang w:val="pl-PL"/>
        </w:rPr>
        <w:t>,</w:t>
      </w:r>
    </w:p>
    <w:p w14:paraId="20D97349" w14:textId="1E4233CE" w:rsidR="00014566" w:rsidRPr="000B69F3" w:rsidRDefault="00055FDE" w:rsidP="002B30B4">
      <w:pPr>
        <w:pStyle w:val="ECHRPara"/>
        <w:rPr>
          <w:lang w:val="pl-PL"/>
        </w:rPr>
      </w:pPr>
      <w:r w:rsidRPr="000B69F3">
        <w:rPr>
          <w:lang w:val="pl-PL"/>
        </w:rPr>
        <w:t>obradując na posiedzeniu niejawnym w dniu 19 czerwca 2018 r.,</w:t>
      </w:r>
    </w:p>
    <w:p w14:paraId="512879D5" w14:textId="3E4571C7" w:rsidR="00014566" w:rsidRPr="000B69F3" w:rsidRDefault="00055FDE" w:rsidP="002B30B4">
      <w:pPr>
        <w:pStyle w:val="ECHRPara"/>
        <w:rPr>
          <w:lang w:val="pl-PL"/>
        </w:rPr>
      </w:pPr>
      <w:r w:rsidRPr="000B69F3">
        <w:rPr>
          <w:lang w:val="pl-PL"/>
        </w:rPr>
        <w:t>wydaje następujący wyrok, który został przyjęty w tym dniu:</w:t>
      </w:r>
    </w:p>
    <w:p w14:paraId="18D6B0B4" w14:textId="49FF1641" w:rsidR="00014566" w:rsidRPr="000B69F3" w:rsidRDefault="00055FDE" w:rsidP="002B30B4">
      <w:pPr>
        <w:pStyle w:val="ECHRTitle1"/>
        <w:rPr>
          <w:lang w:val="pl-PL"/>
        </w:rPr>
      </w:pPr>
      <w:r w:rsidRPr="000B69F3">
        <w:rPr>
          <w:lang w:val="pl-PL"/>
        </w:rPr>
        <w:t>POSTĘPOWANIE</w:t>
      </w:r>
    </w:p>
    <w:p w14:paraId="34BEE52B" w14:textId="445BDC8A" w:rsidR="00055FDE" w:rsidRPr="000B69F3" w:rsidRDefault="00FC4960" w:rsidP="002B30B4">
      <w:pPr>
        <w:pStyle w:val="ECHRPara"/>
        <w:rPr>
          <w:lang w:val="pl-PL"/>
        </w:rPr>
      </w:pPr>
      <w:r w:rsidRPr="000B69F3">
        <w:rPr>
          <w:lang w:val="pl-PL"/>
        </w:rPr>
        <w:fldChar w:fldCharType="begin"/>
      </w:r>
      <w:r w:rsidRPr="000B69F3">
        <w:rPr>
          <w:lang w:val="pl-PL"/>
        </w:rPr>
        <w:instrText xml:space="preserve"> SEQ level0 \*arabic </w:instrText>
      </w:r>
      <w:r w:rsidRPr="000B69F3">
        <w:rPr>
          <w:lang w:val="pl-PL"/>
        </w:rPr>
        <w:fldChar w:fldCharType="separate"/>
      </w:r>
      <w:r w:rsidR="002F52FF" w:rsidRPr="000B69F3">
        <w:rPr>
          <w:noProof/>
          <w:lang w:val="pl-PL"/>
        </w:rPr>
        <w:t>1</w:t>
      </w:r>
      <w:r w:rsidRPr="000B69F3">
        <w:rPr>
          <w:lang w:val="pl-PL"/>
        </w:rPr>
        <w:fldChar w:fldCharType="end"/>
      </w:r>
      <w:r w:rsidR="00014566" w:rsidRPr="000B69F3">
        <w:rPr>
          <w:lang w:val="pl-PL"/>
        </w:rPr>
        <w:t>.  </w:t>
      </w:r>
      <w:r w:rsidR="00055FDE" w:rsidRPr="000B69F3">
        <w:rPr>
          <w:lang w:val="pl-PL"/>
        </w:rPr>
        <w:t>Sprawa wywodzi się ze skargi (nr 15086/07) przeciwko Federacji Rosyjskiej wniesionej do Trybunału w dniu 6 kwietnia 2007</w:t>
      </w:r>
      <w:r w:rsidR="00026E80">
        <w:rPr>
          <w:lang w:val="pl-PL"/>
        </w:rPr>
        <w:t xml:space="preserve"> r.</w:t>
      </w:r>
      <w:r w:rsidR="00055FDE" w:rsidRPr="000B69F3">
        <w:rPr>
          <w:lang w:val="pl-PL"/>
        </w:rPr>
        <w:t xml:space="preserve"> na podstawie artykułu 34 </w:t>
      </w:r>
      <w:r w:rsidR="00055FDE" w:rsidRPr="000B69F3">
        <w:rPr>
          <w:rFonts w:cstheme="minorHAnsi"/>
          <w:lang w:val="pl-PL"/>
        </w:rPr>
        <w:t xml:space="preserve">Konwencji o </w:t>
      </w:r>
      <w:r w:rsidR="00026E80">
        <w:rPr>
          <w:rFonts w:cstheme="minorHAnsi"/>
          <w:lang w:val="pl-PL"/>
        </w:rPr>
        <w:t>o</w:t>
      </w:r>
      <w:r w:rsidR="00055FDE" w:rsidRPr="000B69F3">
        <w:rPr>
          <w:rFonts w:cstheme="minorHAnsi"/>
          <w:lang w:val="pl-PL"/>
        </w:rPr>
        <w:t xml:space="preserve">chronie </w:t>
      </w:r>
      <w:r w:rsidR="00026E80">
        <w:rPr>
          <w:rFonts w:cstheme="minorHAnsi"/>
          <w:lang w:val="pl-PL"/>
        </w:rPr>
        <w:t>p</w:t>
      </w:r>
      <w:r w:rsidR="00055FDE" w:rsidRPr="000B69F3">
        <w:rPr>
          <w:rFonts w:cstheme="minorHAnsi"/>
          <w:lang w:val="pl-PL"/>
        </w:rPr>
        <w:t xml:space="preserve">raw </w:t>
      </w:r>
      <w:r w:rsidR="00026E80">
        <w:rPr>
          <w:rFonts w:cstheme="minorHAnsi"/>
          <w:lang w:val="pl-PL"/>
        </w:rPr>
        <w:t>c</w:t>
      </w:r>
      <w:r w:rsidR="00055FDE" w:rsidRPr="000B69F3">
        <w:rPr>
          <w:rFonts w:cstheme="minorHAnsi"/>
          <w:lang w:val="pl-PL"/>
        </w:rPr>
        <w:t xml:space="preserve">złowieka i </w:t>
      </w:r>
      <w:r w:rsidR="00026E80">
        <w:rPr>
          <w:rFonts w:cstheme="minorHAnsi"/>
          <w:lang w:val="pl-PL"/>
        </w:rPr>
        <w:t>p</w:t>
      </w:r>
      <w:r w:rsidR="00055FDE" w:rsidRPr="000B69F3">
        <w:rPr>
          <w:rFonts w:cstheme="minorHAnsi"/>
          <w:lang w:val="pl-PL"/>
        </w:rPr>
        <w:t xml:space="preserve">odstawowych </w:t>
      </w:r>
      <w:r w:rsidR="00026E80">
        <w:rPr>
          <w:rFonts w:cstheme="minorHAnsi"/>
          <w:lang w:val="pl-PL"/>
        </w:rPr>
        <w:t>w</w:t>
      </w:r>
      <w:r w:rsidR="00055FDE" w:rsidRPr="000B69F3">
        <w:rPr>
          <w:rFonts w:cstheme="minorHAnsi"/>
          <w:lang w:val="pl-PL"/>
        </w:rPr>
        <w:t>olności („Konwencja”) przez czworo obywateli rosyjskich, których nazwiska i daty urodzenia podano w załączniku („skarżący”).</w:t>
      </w:r>
    </w:p>
    <w:p w14:paraId="55D18496" w14:textId="111838E2" w:rsidR="00055FDE" w:rsidRPr="000B69F3" w:rsidRDefault="00FC4960" w:rsidP="00B647C9">
      <w:pPr>
        <w:pStyle w:val="ECHRPara"/>
        <w:rPr>
          <w:lang w:val="pl-PL"/>
        </w:rPr>
      </w:pPr>
      <w:r w:rsidRPr="000B69F3">
        <w:rPr>
          <w:lang w:val="pl-PL"/>
        </w:rPr>
        <w:fldChar w:fldCharType="begin"/>
      </w:r>
      <w:r w:rsidRPr="000B69F3">
        <w:rPr>
          <w:lang w:val="pl-PL"/>
        </w:rPr>
        <w:instrText xml:space="preserve"> SEQ level0 \*arabic </w:instrText>
      </w:r>
      <w:r w:rsidRPr="000B69F3">
        <w:rPr>
          <w:lang w:val="pl-PL"/>
        </w:rPr>
        <w:fldChar w:fldCharType="separate"/>
      </w:r>
      <w:r w:rsidR="002F52FF" w:rsidRPr="000B69F3">
        <w:rPr>
          <w:noProof/>
          <w:lang w:val="pl-PL"/>
        </w:rPr>
        <w:t>2</w:t>
      </w:r>
      <w:r w:rsidRPr="000B69F3">
        <w:rPr>
          <w:lang w:val="pl-PL"/>
        </w:rPr>
        <w:fldChar w:fldCharType="end"/>
      </w:r>
      <w:r w:rsidR="00014566" w:rsidRPr="000B69F3">
        <w:rPr>
          <w:lang w:val="pl-PL"/>
        </w:rPr>
        <w:t>.  </w:t>
      </w:r>
      <w:r w:rsidR="00055FDE" w:rsidRPr="000B69F3">
        <w:rPr>
          <w:lang w:val="pl-PL"/>
        </w:rPr>
        <w:t xml:space="preserve">Skarżący zamieszkują w Moskwie. Ich </w:t>
      </w:r>
      <w:r w:rsidR="00480EAE" w:rsidRPr="000B69F3">
        <w:rPr>
          <w:lang w:val="pl-PL"/>
        </w:rPr>
        <w:t xml:space="preserve">pełnomocnikami procesowymi były Panie K. Moskalenko i A. </w:t>
      </w:r>
      <w:r w:rsidR="00B647C9" w:rsidRPr="00B647C9">
        <w:rPr>
          <w:lang w:val="pl-PL"/>
        </w:rPr>
        <w:t>Stawicka</w:t>
      </w:r>
      <w:r w:rsidR="00B647C9">
        <w:rPr>
          <w:lang w:val="pl-PL"/>
        </w:rPr>
        <w:t xml:space="preserve"> (</w:t>
      </w:r>
      <w:r w:rsidR="00480EAE" w:rsidRPr="000B69F3">
        <w:rPr>
          <w:lang w:val="pl-PL"/>
        </w:rPr>
        <w:t>Stavitskaya</w:t>
      </w:r>
      <w:r w:rsidR="00B647C9">
        <w:rPr>
          <w:lang w:val="pl-PL"/>
        </w:rPr>
        <w:t>)</w:t>
      </w:r>
      <w:r w:rsidR="00480EAE" w:rsidRPr="000B69F3">
        <w:rPr>
          <w:lang w:val="pl-PL"/>
        </w:rPr>
        <w:t xml:space="preserve"> praktykujące odpowiednio w Strasburgu i Moskwie. Rząd rosyjski („Rząd”) reprezentował </w:t>
      </w:r>
      <w:r w:rsidR="00215392" w:rsidRPr="000B69F3">
        <w:rPr>
          <w:lang w:val="pl-PL"/>
        </w:rPr>
        <w:t xml:space="preserve">Pan G. Matyushkin, </w:t>
      </w:r>
      <w:r w:rsidR="003D3AE0" w:rsidRPr="000B69F3">
        <w:rPr>
          <w:lang w:val="pl-PL"/>
        </w:rPr>
        <w:t>Przedstawiciel Federacji Rosyjskiej przed Europejskim Trybunale Praw Człowieka, a następnie jego następca na tym stanowisku Pan M. Galperin.</w:t>
      </w:r>
    </w:p>
    <w:p w14:paraId="779E7034" w14:textId="3C4723BB" w:rsidR="004F0224" w:rsidRPr="000B69F3" w:rsidRDefault="00FC4960" w:rsidP="00EB20EB">
      <w:pPr>
        <w:pStyle w:val="ECHRPara"/>
        <w:rPr>
          <w:lang w:val="pl-PL"/>
        </w:rPr>
      </w:pPr>
      <w:r w:rsidRPr="000B69F3">
        <w:rPr>
          <w:lang w:val="pl-PL"/>
        </w:rPr>
        <w:fldChar w:fldCharType="begin"/>
      </w:r>
      <w:r w:rsidRPr="000B69F3">
        <w:rPr>
          <w:lang w:val="pl-PL"/>
        </w:rPr>
        <w:instrText xml:space="preserve"> SEQ level0 \*arabic </w:instrText>
      </w:r>
      <w:r w:rsidRPr="000B69F3">
        <w:rPr>
          <w:lang w:val="pl-PL"/>
        </w:rPr>
        <w:fldChar w:fldCharType="separate"/>
      </w:r>
      <w:r w:rsidR="002F52FF" w:rsidRPr="000B69F3">
        <w:rPr>
          <w:noProof/>
          <w:lang w:val="pl-PL"/>
        </w:rPr>
        <w:t>3</w:t>
      </w:r>
      <w:r w:rsidRPr="000B69F3">
        <w:rPr>
          <w:lang w:val="pl-PL"/>
        </w:rPr>
        <w:fldChar w:fldCharType="end"/>
      </w:r>
      <w:r w:rsidRPr="000B69F3">
        <w:rPr>
          <w:lang w:val="pl-PL"/>
        </w:rPr>
        <w:t>.  </w:t>
      </w:r>
      <w:r w:rsidR="004F0224" w:rsidRPr="000B69F3">
        <w:rPr>
          <w:lang w:val="pl-PL"/>
        </w:rPr>
        <w:t>Skarżący zarzucili w szczególności, że śledztwo w postępowaniu karnym w sprawie zabójstwa ich bliskiej krewnej, Pani Anny Politkowskiej</w:t>
      </w:r>
      <w:r w:rsidR="00B647C9">
        <w:rPr>
          <w:lang w:val="pl-PL"/>
        </w:rPr>
        <w:t xml:space="preserve"> (</w:t>
      </w:r>
      <w:r w:rsidR="00EB20EB" w:rsidRPr="00045A18">
        <w:rPr>
          <w:lang w:val="pl-PL"/>
        </w:rPr>
        <w:t>Politkovskaya)</w:t>
      </w:r>
      <w:r w:rsidR="004F0224" w:rsidRPr="000B69F3">
        <w:rPr>
          <w:lang w:val="pl-PL"/>
        </w:rPr>
        <w:t>, nie było skuteczne, wbrew gwarancji zapisanej w art. 2 Konwencji.</w:t>
      </w:r>
    </w:p>
    <w:bookmarkStart w:id="1" w:name="SJ"/>
    <w:p w14:paraId="12CB110C" w14:textId="1033205B" w:rsidR="004F0224" w:rsidRPr="000B69F3" w:rsidRDefault="00FC4960" w:rsidP="002B30B4">
      <w:pPr>
        <w:pStyle w:val="ECHRPara"/>
        <w:rPr>
          <w:lang w:val="pl-PL"/>
        </w:rPr>
      </w:pPr>
      <w:r w:rsidRPr="000B69F3">
        <w:rPr>
          <w:lang w:val="pl-PL"/>
        </w:rPr>
        <w:fldChar w:fldCharType="begin"/>
      </w:r>
      <w:r w:rsidRPr="000B69F3">
        <w:rPr>
          <w:lang w:val="pl-PL"/>
        </w:rPr>
        <w:instrText xml:space="preserve"> SEQ level0 \*arabic </w:instrText>
      </w:r>
      <w:r w:rsidRPr="000B69F3">
        <w:rPr>
          <w:lang w:val="pl-PL"/>
        </w:rPr>
        <w:fldChar w:fldCharType="separate"/>
      </w:r>
      <w:r w:rsidR="002F52FF" w:rsidRPr="000B69F3">
        <w:rPr>
          <w:noProof/>
          <w:lang w:val="pl-PL"/>
        </w:rPr>
        <w:t>4</w:t>
      </w:r>
      <w:r w:rsidRPr="000B69F3">
        <w:rPr>
          <w:lang w:val="pl-PL"/>
        </w:rPr>
        <w:fldChar w:fldCharType="end"/>
      </w:r>
      <w:bookmarkEnd w:id="1"/>
      <w:r w:rsidR="00014566" w:rsidRPr="000B69F3">
        <w:rPr>
          <w:lang w:val="pl-PL"/>
        </w:rPr>
        <w:t>.  </w:t>
      </w:r>
      <w:r w:rsidR="004F0224" w:rsidRPr="000B69F3">
        <w:rPr>
          <w:lang w:val="pl-PL"/>
        </w:rPr>
        <w:t xml:space="preserve">Dnia 2 listopada 2015 r. </w:t>
      </w:r>
      <w:r w:rsidR="00776479" w:rsidRPr="000B69F3">
        <w:rPr>
          <w:lang w:val="pl-PL"/>
        </w:rPr>
        <w:t xml:space="preserve">skarga w zakresie niezwłocznego przeprowadzenia śledztwa z rozsądną szybkością została </w:t>
      </w:r>
      <w:r w:rsidR="00AE5F22">
        <w:rPr>
          <w:lang w:val="pl-PL"/>
        </w:rPr>
        <w:t>zakomunikowana</w:t>
      </w:r>
      <w:r w:rsidR="00776479" w:rsidRPr="000B69F3">
        <w:rPr>
          <w:lang w:val="pl-PL"/>
        </w:rPr>
        <w:t xml:space="preserve"> Rządowi, a w pozostałym zakresie uznana za niedopuszczalną zgodnie z regułą 54 § 3 Regulaminu Trybunału.</w:t>
      </w:r>
    </w:p>
    <w:p w14:paraId="48C91D83" w14:textId="56AAE1B5" w:rsidR="00014566" w:rsidRPr="000B69F3" w:rsidRDefault="00776479" w:rsidP="00AE5F22">
      <w:pPr>
        <w:pStyle w:val="ECHRTitle1"/>
        <w:tabs>
          <w:tab w:val="center" w:pos="3679"/>
        </w:tabs>
        <w:rPr>
          <w:lang w:val="pl-PL"/>
        </w:rPr>
      </w:pPr>
      <w:r w:rsidRPr="000B69F3">
        <w:rPr>
          <w:lang w:val="pl-PL"/>
        </w:rPr>
        <w:lastRenderedPageBreak/>
        <w:t>FAKTY</w:t>
      </w:r>
      <w:r w:rsidR="00AE5F22">
        <w:rPr>
          <w:lang w:val="pl-PL"/>
        </w:rPr>
        <w:tab/>
      </w:r>
    </w:p>
    <w:p w14:paraId="667E0480" w14:textId="6AB602B2" w:rsidR="00014566" w:rsidRPr="000B69F3" w:rsidRDefault="00C87235" w:rsidP="002B30B4">
      <w:pPr>
        <w:pStyle w:val="ECHRHeading1"/>
        <w:ind w:left="0" w:firstLine="0"/>
        <w:rPr>
          <w:lang w:val="pl-PL"/>
        </w:rPr>
      </w:pPr>
      <w:r w:rsidRPr="000B69F3">
        <w:rPr>
          <w:lang w:val="pl-PL"/>
        </w:rPr>
        <w:t>  </w:t>
      </w:r>
      <w:r w:rsidR="00776479" w:rsidRPr="000B69F3">
        <w:rPr>
          <w:lang w:val="pl-PL"/>
        </w:rPr>
        <w:t>OKOLICZNOŚCI SPRAWY</w:t>
      </w:r>
    </w:p>
    <w:p w14:paraId="5DB0D06F" w14:textId="08F86329" w:rsidR="00776479" w:rsidRPr="000B69F3" w:rsidRDefault="00FC4960" w:rsidP="002B30B4">
      <w:pPr>
        <w:pStyle w:val="ECHRPara"/>
        <w:rPr>
          <w:lang w:val="pl-PL"/>
        </w:rPr>
      </w:pPr>
      <w:r w:rsidRPr="000B69F3">
        <w:rPr>
          <w:lang w:val="pl-PL"/>
        </w:rPr>
        <w:fldChar w:fldCharType="begin"/>
      </w:r>
      <w:r w:rsidRPr="000B69F3">
        <w:rPr>
          <w:lang w:val="pl-PL"/>
        </w:rPr>
        <w:instrText xml:space="preserve"> SEQ level0 \*arabic </w:instrText>
      </w:r>
      <w:r w:rsidRPr="000B69F3">
        <w:rPr>
          <w:lang w:val="pl-PL"/>
        </w:rPr>
        <w:fldChar w:fldCharType="separate"/>
      </w:r>
      <w:r w:rsidR="002F52FF" w:rsidRPr="000B69F3">
        <w:rPr>
          <w:noProof/>
          <w:lang w:val="pl-PL"/>
        </w:rPr>
        <w:t>5</w:t>
      </w:r>
      <w:r w:rsidRPr="000B69F3">
        <w:rPr>
          <w:lang w:val="pl-PL"/>
        </w:rPr>
        <w:fldChar w:fldCharType="end"/>
      </w:r>
      <w:r w:rsidR="00014566" w:rsidRPr="000B69F3">
        <w:rPr>
          <w:lang w:val="pl-PL"/>
        </w:rPr>
        <w:t>.  </w:t>
      </w:r>
      <w:r w:rsidR="00776479" w:rsidRPr="000B69F3">
        <w:rPr>
          <w:lang w:val="pl-PL"/>
        </w:rPr>
        <w:t>Skarżący zamieszkują w Moskwie. Pierwsza ze skarżących jest matką drugiej skarżącej i Pani Anny Politkowskiej, urodzonej w 1958 r., zmarłej w 2006 r. Trzecia i czwarta osoba skarżąca to dzieci Anny Politkowskiej</w:t>
      </w:r>
      <w:r w:rsidR="001449AD" w:rsidRPr="000B69F3">
        <w:rPr>
          <w:lang w:val="pl-PL"/>
        </w:rPr>
        <w:t>.</w:t>
      </w:r>
    </w:p>
    <w:p w14:paraId="3A63A722" w14:textId="43F9CFFC" w:rsidR="00B22646" w:rsidRPr="000B69F3" w:rsidRDefault="00B22646" w:rsidP="002B30B4">
      <w:pPr>
        <w:pStyle w:val="ECHRHeading2"/>
        <w:rPr>
          <w:lang w:val="pl-PL"/>
        </w:rPr>
      </w:pPr>
      <w:r w:rsidRPr="000B69F3">
        <w:rPr>
          <w:lang w:val="pl-PL"/>
        </w:rPr>
        <w:t>A.  </w:t>
      </w:r>
      <w:r w:rsidR="001449AD" w:rsidRPr="000B69F3">
        <w:rPr>
          <w:lang w:val="pl-PL"/>
        </w:rPr>
        <w:t>Zabójstwo Anny Politkowskiej i wstępne śledztwo w tej sprawie</w:t>
      </w:r>
    </w:p>
    <w:p w14:paraId="26471C2D" w14:textId="52D33DFC" w:rsidR="001449AD" w:rsidRPr="000B69F3" w:rsidRDefault="00AA7541" w:rsidP="002B30B4">
      <w:pPr>
        <w:pStyle w:val="ECHRPara"/>
        <w:rPr>
          <w:lang w:val="pl-PL"/>
        </w:rPr>
      </w:pPr>
      <w:r w:rsidRPr="000B69F3">
        <w:rPr>
          <w:lang w:val="pl-PL"/>
        </w:rPr>
        <w:fldChar w:fldCharType="begin"/>
      </w:r>
      <w:r w:rsidRPr="000B69F3">
        <w:rPr>
          <w:lang w:val="pl-PL"/>
        </w:rPr>
        <w:instrText xml:space="preserve"> SEQ level0 \*arabic </w:instrText>
      </w:r>
      <w:r w:rsidRPr="000B69F3">
        <w:rPr>
          <w:lang w:val="pl-PL"/>
        </w:rPr>
        <w:fldChar w:fldCharType="separate"/>
      </w:r>
      <w:r w:rsidR="002F52FF" w:rsidRPr="000B69F3">
        <w:rPr>
          <w:noProof/>
          <w:lang w:val="pl-PL"/>
        </w:rPr>
        <w:t>6</w:t>
      </w:r>
      <w:r w:rsidRPr="000B69F3">
        <w:rPr>
          <w:lang w:val="pl-PL"/>
        </w:rPr>
        <w:fldChar w:fldCharType="end"/>
      </w:r>
      <w:r w:rsidR="001449AD" w:rsidRPr="000B69F3">
        <w:rPr>
          <w:lang w:val="pl-PL"/>
        </w:rPr>
        <w:t xml:space="preserve">.  Anna Politkowska była znaną dziennikarką śledczą, która zyskała powszechne uznanie relacjonując przypadki domniemanego łamania praw człowieka w Republice Czeczenii </w:t>
      </w:r>
      <w:r w:rsidR="00515A8C" w:rsidRPr="000B69F3">
        <w:rPr>
          <w:lang w:val="pl-PL"/>
        </w:rPr>
        <w:t>w trakcie operacji antyterrorystycznej w regionie, znanej szerzej jako „druga wojna czeczeńska”. Pani Politkowska była również stanowczym krytykiem polityki prezydenta Putina.</w:t>
      </w:r>
    </w:p>
    <w:p w14:paraId="681397E6" w14:textId="5F6FBF1B" w:rsidR="00515A8C" w:rsidRPr="000B69F3" w:rsidRDefault="00AA7541" w:rsidP="00011C97">
      <w:pPr>
        <w:pStyle w:val="ECHRPara"/>
        <w:rPr>
          <w:lang w:val="pl-PL"/>
        </w:rPr>
      </w:pPr>
      <w:r w:rsidRPr="000B69F3">
        <w:rPr>
          <w:lang w:val="pl-PL"/>
        </w:rPr>
        <w:fldChar w:fldCharType="begin"/>
      </w:r>
      <w:r w:rsidRPr="000B69F3">
        <w:rPr>
          <w:lang w:val="pl-PL"/>
        </w:rPr>
        <w:instrText xml:space="preserve"> SEQ level0 \*arabic </w:instrText>
      </w:r>
      <w:r w:rsidRPr="000B69F3">
        <w:rPr>
          <w:lang w:val="pl-PL"/>
        </w:rPr>
        <w:fldChar w:fldCharType="separate"/>
      </w:r>
      <w:r w:rsidR="002F52FF" w:rsidRPr="000B69F3">
        <w:rPr>
          <w:noProof/>
          <w:lang w:val="pl-PL"/>
        </w:rPr>
        <w:t>7</w:t>
      </w:r>
      <w:r w:rsidRPr="000B69F3">
        <w:rPr>
          <w:lang w:val="pl-PL"/>
        </w:rPr>
        <w:fldChar w:fldCharType="end"/>
      </w:r>
      <w:r w:rsidRPr="000B69F3">
        <w:rPr>
          <w:lang w:val="pl-PL"/>
        </w:rPr>
        <w:t>.  </w:t>
      </w:r>
      <w:r w:rsidR="00515A8C" w:rsidRPr="000B69F3">
        <w:rPr>
          <w:lang w:val="pl-PL"/>
        </w:rPr>
        <w:t xml:space="preserve">Dnia 7 października 2006 r. Anna Politkowska została śmiertelnie postrzelona w windzie </w:t>
      </w:r>
      <w:r w:rsidR="00011C97">
        <w:rPr>
          <w:lang w:val="pl-PL"/>
        </w:rPr>
        <w:t xml:space="preserve">swojego moskiewskiego </w:t>
      </w:r>
      <w:r w:rsidR="00515A8C" w:rsidRPr="000B69F3">
        <w:rPr>
          <w:lang w:val="pl-PL"/>
        </w:rPr>
        <w:t xml:space="preserve">bloku. Na schodach znaleziono pistolet typu Makarow </w:t>
      </w:r>
      <w:r w:rsidR="00011C97">
        <w:rPr>
          <w:lang w:val="pl-PL"/>
        </w:rPr>
        <w:t xml:space="preserve">z tłumikiem </w:t>
      </w:r>
      <w:r w:rsidR="00515A8C" w:rsidRPr="000B69F3">
        <w:rPr>
          <w:lang w:val="pl-PL"/>
        </w:rPr>
        <w:t xml:space="preserve">i </w:t>
      </w:r>
      <w:r w:rsidR="00045A18">
        <w:rPr>
          <w:lang w:val="pl-PL"/>
        </w:rPr>
        <w:t>łuski</w:t>
      </w:r>
      <w:r w:rsidR="00515A8C" w:rsidRPr="000B69F3">
        <w:rPr>
          <w:lang w:val="pl-PL"/>
        </w:rPr>
        <w:t>.</w:t>
      </w:r>
    </w:p>
    <w:bookmarkStart w:id="2" w:name="open"/>
    <w:bookmarkStart w:id="3" w:name="invopened"/>
    <w:p w14:paraId="33E72EC9" w14:textId="78D6670D" w:rsidR="00515A8C" w:rsidRPr="000B69F3" w:rsidRDefault="00AA7541" w:rsidP="002B30B4">
      <w:pPr>
        <w:pStyle w:val="ECHRPara"/>
        <w:rPr>
          <w:lang w:val="pl-PL"/>
        </w:rPr>
      </w:pPr>
      <w:r w:rsidRPr="000B69F3">
        <w:rPr>
          <w:lang w:val="pl-PL"/>
        </w:rPr>
        <w:fldChar w:fldCharType="begin"/>
      </w:r>
      <w:r w:rsidRPr="000B69F3">
        <w:rPr>
          <w:lang w:val="pl-PL"/>
        </w:rPr>
        <w:instrText xml:space="preserve"> SEQ level0 \*arabic </w:instrText>
      </w:r>
      <w:r w:rsidRPr="000B69F3">
        <w:rPr>
          <w:lang w:val="pl-PL"/>
        </w:rPr>
        <w:fldChar w:fldCharType="separate"/>
      </w:r>
      <w:r w:rsidR="002F52FF" w:rsidRPr="000B69F3">
        <w:rPr>
          <w:noProof/>
          <w:lang w:val="pl-PL"/>
        </w:rPr>
        <w:t>8</w:t>
      </w:r>
      <w:r w:rsidRPr="000B69F3">
        <w:rPr>
          <w:lang w:val="pl-PL"/>
        </w:rPr>
        <w:fldChar w:fldCharType="end"/>
      </w:r>
      <w:bookmarkEnd w:id="2"/>
      <w:bookmarkEnd w:id="3"/>
      <w:r w:rsidRPr="000B69F3">
        <w:rPr>
          <w:lang w:val="pl-PL"/>
        </w:rPr>
        <w:t>.  </w:t>
      </w:r>
      <w:r w:rsidR="00515A8C" w:rsidRPr="000B69F3">
        <w:rPr>
          <w:lang w:val="pl-PL"/>
        </w:rPr>
        <w:t>Tego samego dnia moskiewska prokuratura wszczęła śledztwo</w:t>
      </w:r>
      <w:r w:rsidR="00C803B3" w:rsidRPr="000B69F3">
        <w:rPr>
          <w:lang w:val="pl-PL"/>
        </w:rPr>
        <w:t xml:space="preserve"> </w:t>
      </w:r>
      <w:r w:rsidR="00515A8C" w:rsidRPr="000B69F3">
        <w:rPr>
          <w:lang w:val="pl-PL"/>
        </w:rPr>
        <w:t>w sprawie</w:t>
      </w:r>
      <w:r w:rsidR="00AE5F22">
        <w:rPr>
          <w:lang w:val="pl-PL"/>
        </w:rPr>
        <w:t xml:space="preserve"> karnej</w:t>
      </w:r>
      <w:r w:rsidR="00C803B3" w:rsidRPr="000B69F3">
        <w:rPr>
          <w:lang w:val="pl-PL"/>
        </w:rPr>
        <w:t xml:space="preserve"> o sygnaturze 18/377485-06 na podstawie art. 105 § 2 lit. (b) rosyjskiego Kodeksu karnego („zabójstwo osoby motywowane jej działalnością zawodową lub obywatelską”)</w:t>
      </w:r>
      <w:r w:rsidR="0075390C" w:rsidRPr="000B69F3">
        <w:rPr>
          <w:lang w:val="pl-PL"/>
        </w:rPr>
        <w:t>. Następnie śledztwo przekazano do wydziału Prokuratury Generalnej zajmującego się prowadzeniem szczególnie ważnych śledztw, w celu jego kontynuowania.</w:t>
      </w:r>
    </w:p>
    <w:bookmarkStart w:id="4" w:name="invmeasures"/>
    <w:p w14:paraId="5C96FB21" w14:textId="6F40D2F3" w:rsidR="0075390C" w:rsidRPr="000B69F3" w:rsidRDefault="00DC4641" w:rsidP="00CF095B">
      <w:pPr>
        <w:pStyle w:val="ECHRPara"/>
        <w:rPr>
          <w:lang w:val="pl-PL"/>
        </w:rPr>
      </w:pPr>
      <w:r w:rsidRPr="000B69F3">
        <w:rPr>
          <w:lang w:val="pl-PL"/>
        </w:rPr>
        <w:fldChar w:fldCharType="begin"/>
      </w:r>
      <w:r w:rsidRPr="000B69F3">
        <w:rPr>
          <w:lang w:val="pl-PL"/>
        </w:rPr>
        <w:instrText xml:space="preserve"> SEQ level0 \*arabic </w:instrText>
      </w:r>
      <w:r w:rsidRPr="000B69F3">
        <w:rPr>
          <w:lang w:val="pl-PL"/>
        </w:rPr>
        <w:fldChar w:fldCharType="separate"/>
      </w:r>
      <w:r w:rsidR="002F52FF" w:rsidRPr="000B69F3">
        <w:rPr>
          <w:noProof/>
          <w:lang w:val="pl-PL"/>
        </w:rPr>
        <w:t>9</w:t>
      </w:r>
      <w:r w:rsidRPr="000B69F3">
        <w:rPr>
          <w:lang w:val="pl-PL"/>
        </w:rPr>
        <w:fldChar w:fldCharType="end"/>
      </w:r>
      <w:bookmarkEnd w:id="4"/>
      <w:r w:rsidRPr="000B69F3">
        <w:rPr>
          <w:lang w:val="pl-PL"/>
        </w:rPr>
        <w:t>.  </w:t>
      </w:r>
      <w:r w:rsidR="0075390C" w:rsidRPr="000B69F3">
        <w:rPr>
          <w:lang w:val="pl-PL"/>
        </w:rPr>
        <w:t>We wstępnym etapie śledztwa śledczy przeprowadzili oględziny miejsca zbrodni, zabezpieczyli nagrania z okolicznych kamer monitoringu</w:t>
      </w:r>
      <w:r w:rsidR="007A27FB" w:rsidRPr="000B69F3">
        <w:rPr>
          <w:lang w:val="pl-PL"/>
        </w:rPr>
        <w:t xml:space="preserve"> oraz przeanalizowali </w:t>
      </w:r>
      <w:r w:rsidR="00B054AA">
        <w:rPr>
          <w:lang w:val="pl-PL"/>
        </w:rPr>
        <w:t>rejestry</w:t>
      </w:r>
      <w:r w:rsidR="00B054AA" w:rsidRPr="000B69F3">
        <w:rPr>
          <w:lang w:val="pl-PL"/>
        </w:rPr>
        <w:t xml:space="preserve"> </w:t>
      </w:r>
      <w:r w:rsidR="00602A8A" w:rsidRPr="000B69F3">
        <w:rPr>
          <w:lang w:val="pl-PL"/>
        </w:rPr>
        <w:t xml:space="preserve">połączeń telefonicznych wykonanych w okolicy około </w:t>
      </w:r>
      <w:r w:rsidR="00AE5F22">
        <w:rPr>
          <w:lang w:val="pl-PL"/>
        </w:rPr>
        <w:t>momentu</w:t>
      </w:r>
      <w:r w:rsidR="00602A8A" w:rsidRPr="000B69F3">
        <w:rPr>
          <w:lang w:val="pl-PL"/>
        </w:rPr>
        <w:t xml:space="preserve"> zabójstwa.</w:t>
      </w:r>
    </w:p>
    <w:p w14:paraId="101D2814" w14:textId="01F76C87" w:rsidR="00602A8A" w:rsidRPr="000B69F3" w:rsidRDefault="00AA7541" w:rsidP="002B30B4">
      <w:pPr>
        <w:pStyle w:val="ECHRPara"/>
        <w:rPr>
          <w:lang w:val="pl-PL"/>
        </w:rPr>
      </w:pPr>
      <w:r w:rsidRPr="000B69F3">
        <w:rPr>
          <w:lang w:val="pl-PL"/>
        </w:rPr>
        <w:fldChar w:fldCharType="begin"/>
      </w:r>
      <w:r w:rsidRPr="000B69F3">
        <w:rPr>
          <w:lang w:val="pl-PL"/>
        </w:rPr>
        <w:instrText xml:space="preserve"> SEQ level0 \*arabic </w:instrText>
      </w:r>
      <w:r w:rsidRPr="000B69F3">
        <w:rPr>
          <w:lang w:val="pl-PL"/>
        </w:rPr>
        <w:fldChar w:fldCharType="separate"/>
      </w:r>
      <w:r w:rsidR="002F52FF" w:rsidRPr="000B69F3">
        <w:rPr>
          <w:noProof/>
          <w:lang w:val="pl-PL"/>
        </w:rPr>
        <w:t>10</w:t>
      </w:r>
      <w:r w:rsidRPr="000B69F3">
        <w:rPr>
          <w:lang w:val="pl-PL"/>
        </w:rPr>
        <w:fldChar w:fldCharType="end"/>
      </w:r>
      <w:r w:rsidRPr="000B69F3">
        <w:rPr>
          <w:lang w:val="pl-PL"/>
        </w:rPr>
        <w:t>.  </w:t>
      </w:r>
      <w:r w:rsidR="00602A8A" w:rsidRPr="000B69F3">
        <w:rPr>
          <w:lang w:val="pl-PL"/>
        </w:rPr>
        <w:t xml:space="preserve">Dnia 9 października 2006 r. biegli ustalili, że przyczyną śmierci ofiary były rany postrzałowe głowy, klatki piersiowej i prawej nogi. Tego samego dnia wystawiono akt zgonu. </w:t>
      </w:r>
    </w:p>
    <w:p w14:paraId="2F563A23" w14:textId="1CED27A6" w:rsidR="00602A8A" w:rsidRPr="000B69F3" w:rsidRDefault="00AA7541" w:rsidP="002B30B4">
      <w:pPr>
        <w:pStyle w:val="ECHRPara"/>
        <w:rPr>
          <w:lang w:val="pl-PL"/>
        </w:rPr>
      </w:pPr>
      <w:r w:rsidRPr="000B69F3">
        <w:rPr>
          <w:lang w:val="pl-PL"/>
        </w:rPr>
        <w:fldChar w:fldCharType="begin"/>
      </w:r>
      <w:r w:rsidRPr="000B69F3">
        <w:rPr>
          <w:lang w:val="pl-PL"/>
        </w:rPr>
        <w:instrText xml:space="preserve"> SEQ level0 \*arabic </w:instrText>
      </w:r>
      <w:r w:rsidRPr="000B69F3">
        <w:rPr>
          <w:lang w:val="pl-PL"/>
        </w:rPr>
        <w:fldChar w:fldCharType="separate"/>
      </w:r>
      <w:r w:rsidR="002F52FF" w:rsidRPr="000B69F3">
        <w:rPr>
          <w:noProof/>
          <w:lang w:val="pl-PL"/>
        </w:rPr>
        <w:t>11</w:t>
      </w:r>
      <w:r w:rsidRPr="000B69F3">
        <w:rPr>
          <w:lang w:val="pl-PL"/>
        </w:rPr>
        <w:fldChar w:fldCharType="end"/>
      </w:r>
      <w:r w:rsidRPr="000B69F3">
        <w:rPr>
          <w:lang w:val="pl-PL"/>
        </w:rPr>
        <w:t>.  </w:t>
      </w:r>
      <w:r w:rsidR="00602A8A" w:rsidRPr="000B69F3">
        <w:rPr>
          <w:lang w:val="pl-PL"/>
        </w:rPr>
        <w:t xml:space="preserve">Dnia 12 października 2006 r. czwarty skarżący uzyskał status </w:t>
      </w:r>
      <w:r w:rsidR="00AE5F22">
        <w:rPr>
          <w:lang w:val="pl-PL"/>
        </w:rPr>
        <w:t>pokrzywdzonego</w:t>
      </w:r>
      <w:r w:rsidR="00602A8A" w:rsidRPr="000B69F3">
        <w:rPr>
          <w:lang w:val="pl-PL"/>
        </w:rPr>
        <w:t>. Później otrzymała go również trzecia skarżąca.</w:t>
      </w:r>
    </w:p>
    <w:p w14:paraId="1E39E581" w14:textId="13119B08" w:rsidR="00602A8A" w:rsidRPr="000B69F3" w:rsidRDefault="00926435" w:rsidP="002B30B4">
      <w:pPr>
        <w:pStyle w:val="ECHRPara"/>
        <w:rPr>
          <w:lang w:val="pl-PL"/>
        </w:rPr>
      </w:pPr>
      <w:r w:rsidRPr="000B69F3">
        <w:rPr>
          <w:lang w:val="pl-PL"/>
        </w:rPr>
        <w:fldChar w:fldCharType="begin"/>
      </w:r>
      <w:r w:rsidRPr="000B69F3">
        <w:rPr>
          <w:lang w:val="pl-PL"/>
        </w:rPr>
        <w:instrText xml:space="preserve"> SEQ level0 \*arabic </w:instrText>
      </w:r>
      <w:r w:rsidRPr="000B69F3">
        <w:rPr>
          <w:lang w:val="pl-PL"/>
        </w:rPr>
        <w:fldChar w:fldCharType="separate"/>
      </w:r>
      <w:r w:rsidR="002F52FF" w:rsidRPr="000B69F3">
        <w:rPr>
          <w:noProof/>
          <w:lang w:val="pl-PL"/>
        </w:rPr>
        <w:t>12</w:t>
      </w:r>
      <w:r w:rsidRPr="000B69F3">
        <w:rPr>
          <w:lang w:val="pl-PL"/>
        </w:rPr>
        <w:fldChar w:fldCharType="end"/>
      </w:r>
      <w:r w:rsidRPr="000B69F3">
        <w:rPr>
          <w:lang w:val="pl-PL"/>
        </w:rPr>
        <w:t>.  </w:t>
      </w:r>
      <w:r w:rsidR="00602A8A" w:rsidRPr="000B69F3">
        <w:rPr>
          <w:lang w:val="pl-PL"/>
        </w:rPr>
        <w:t>Dążąc do ustalenia motywu zbrodni, w ramach śledztwa przestudiowano krytyczne publikacje Politkowskiej w celu ustalenia przeciwko komu były skierowane. [Śledczy] przesłuchali również</w:t>
      </w:r>
      <w:r w:rsidR="00CF78DA" w:rsidRPr="000B69F3">
        <w:rPr>
          <w:lang w:val="pl-PL"/>
        </w:rPr>
        <w:t xml:space="preserve"> w charakterze świadków</w:t>
      </w:r>
      <w:r w:rsidR="00602A8A" w:rsidRPr="000B69F3">
        <w:rPr>
          <w:lang w:val="pl-PL"/>
        </w:rPr>
        <w:t xml:space="preserve"> </w:t>
      </w:r>
      <w:r w:rsidR="00CF78DA" w:rsidRPr="000B69F3">
        <w:rPr>
          <w:lang w:val="pl-PL"/>
        </w:rPr>
        <w:t xml:space="preserve">kolegów Politkowskiej, jej przyjaciół i rodzinę. </w:t>
      </w:r>
      <w:r w:rsidR="001657EB" w:rsidRPr="000B69F3">
        <w:rPr>
          <w:lang w:val="pl-PL"/>
        </w:rPr>
        <w:t xml:space="preserve">Zgodnie ze stanowiskiem Rządu, powyższe działania śledcze doprowadziły do ustalenia, że Anna Politkowska spotkała się w Londynie z „byłym znanym politykiem rosyjskim” i ta niewymieniona z nazwiska osoba zaproponowała jej opublikowanie artykułów „w celu </w:t>
      </w:r>
      <w:r w:rsidR="00C42C17" w:rsidRPr="000B69F3">
        <w:rPr>
          <w:lang w:val="pl-PL"/>
        </w:rPr>
        <w:t>zdyskredytowania kierownictwa państwa rosyjskiego, czego ona odmówiła, ku niezadowoleniu swojego rozmówcy”.</w:t>
      </w:r>
    </w:p>
    <w:p w14:paraId="6D6B97F1" w14:textId="669D59B8" w:rsidR="002F5B29" w:rsidRPr="000B69F3" w:rsidRDefault="00AA7541" w:rsidP="002F5B29">
      <w:pPr>
        <w:pStyle w:val="ECHRPara"/>
        <w:rPr>
          <w:lang w:val="pl-PL"/>
        </w:rPr>
      </w:pPr>
      <w:r w:rsidRPr="000B69F3">
        <w:rPr>
          <w:lang w:val="pl-PL"/>
        </w:rPr>
        <w:lastRenderedPageBreak/>
        <w:fldChar w:fldCharType="begin"/>
      </w:r>
      <w:r w:rsidRPr="000B69F3">
        <w:rPr>
          <w:lang w:val="pl-PL"/>
        </w:rPr>
        <w:instrText xml:space="preserve"> SEQ level0 \*arabic </w:instrText>
      </w:r>
      <w:r w:rsidRPr="000B69F3">
        <w:rPr>
          <w:lang w:val="pl-PL"/>
        </w:rPr>
        <w:fldChar w:fldCharType="separate"/>
      </w:r>
      <w:r w:rsidR="002F52FF" w:rsidRPr="000B69F3">
        <w:rPr>
          <w:noProof/>
          <w:lang w:val="pl-PL"/>
        </w:rPr>
        <w:t>13</w:t>
      </w:r>
      <w:r w:rsidRPr="000B69F3">
        <w:rPr>
          <w:lang w:val="pl-PL"/>
        </w:rPr>
        <w:fldChar w:fldCharType="end"/>
      </w:r>
      <w:r w:rsidRPr="000B69F3">
        <w:rPr>
          <w:lang w:val="pl-PL"/>
        </w:rPr>
        <w:t>.  </w:t>
      </w:r>
      <w:r w:rsidR="00D2470D" w:rsidRPr="000B69F3">
        <w:rPr>
          <w:lang w:val="pl-PL"/>
        </w:rPr>
        <w:t xml:space="preserve">Dnia 27 sierpnia 2007 </w:t>
      </w:r>
      <w:r w:rsidR="00CE586E" w:rsidRPr="000B69F3">
        <w:rPr>
          <w:lang w:val="pl-PL"/>
        </w:rPr>
        <w:t>r.</w:t>
      </w:r>
      <w:r w:rsidR="00D2470D" w:rsidRPr="000B69F3">
        <w:rPr>
          <w:lang w:val="pl-PL"/>
        </w:rPr>
        <w:t xml:space="preserve"> Prokurator Generalny podczas konferencji prasowej oświadczył, że w śledztwie prowadzonym w sprawie zabójstwa p. Politkowskiej </w:t>
      </w:r>
      <w:r w:rsidR="00940617" w:rsidRPr="000B69F3">
        <w:rPr>
          <w:lang w:val="pl-PL"/>
        </w:rPr>
        <w:t>odnotowano znaczący postęp oraz że w ramach tegoż śledztwa aresztowano dziesięć osób.</w:t>
      </w:r>
      <w:r w:rsidR="009876B5" w:rsidRPr="000B69F3">
        <w:rPr>
          <w:lang w:val="pl-PL"/>
        </w:rPr>
        <w:t xml:space="preserve"> Inny urzędnik Prokuratury Generalnej </w:t>
      </w:r>
      <w:r w:rsidR="002F5B29" w:rsidRPr="000B69F3">
        <w:rPr>
          <w:lang w:val="pl-PL"/>
        </w:rPr>
        <w:t>stwierdził</w:t>
      </w:r>
      <w:r w:rsidR="009876B5" w:rsidRPr="000B69F3">
        <w:rPr>
          <w:lang w:val="pl-PL"/>
        </w:rPr>
        <w:t>, że aresztowano niejakiego P.R. W dniu 28 sierpnia 2007</w:t>
      </w:r>
      <w:r w:rsidR="00CE586E" w:rsidRPr="000B69F3">
        <w:rPr>
          <w:lang w:val="pl-PL"/>
        </w:rPr>
        <w:t xml:space="preserve"> r.</w:t>
      </w:r>
      <w:r w:rsidR="009876B5" w:rsidRPr="000B69F3">
        <w:rPr>
          <w:lang w:val="pl-PL"/>
        </w:rPr>
        <w:t xml:space="preserve"> gazeta</w:t>
      </w:r>
      <w:r w:rsidR="002F5B29" w:rsidRPr="000B69F3">
        <w:rPr>
          <w:lang w:val="pl-PL"/>
        </w:rPr>
        <w:t xml:space="preserve"> </w:t>
      </w:r>
      <w:r w:rsidR="002F5B29" w:rsidRPr="000B69F3">
        <w:rPr>
          <w:i/>
          <w:lang w:val="pl-PL"/>
        </w:rPr>
        <w:t>„Twoj Den”</w:t>
      </w:r>
      <w:r w:rsidR="002F5B29" w:rsidRPr="000B69F3">
        <w:rPr>
          <w:lang w:val="pl-PL"/>
        </w:rPr>
        <w:t xml:space="preserve"> (</w:t>
      </w:r>
      <w:r w:rsidR="002F5B29" w:rsidRPr="000B69F3">
        <w:rPr>
          <w:i/>
          <w:lang w:val="pl-PL"/>
        </w:rPr>
        <w:t>„Твой День”</w:t>
      </w:r>
      <w:r w:rsidR="002F5B29" w:rsidRPr="000B69F3">
        <w:rPr>
          <w:lang w:val="pl-PL"/>
        </w:rPr>
        <w:t xml:space="preserve">) opublikowała listę osób aresztowanych w związku z zabójstwem Anny Politkowskiej oraz zauważyła, że wśród zatrzymanych znajdują się znani płatni mordercy. 29 sierpnia 2007 </w:t>
      </w:r>
      <w:r w:rsidR="00CE586E" w:rsidRPr="000B69F3">
        <w:rPr>
          <w:lang w:val="pl-PL"/>
        </w:rPr>
        <w:t xml:space="preserve">r. </w:t>
      </w:r>
      <w:r w:rsidR="002F5B29" w:rsidRPr="000B69F3">
        <w:rPr>
          <w:lang w:val="pl-PL"/>
        </w:rPr>
        <w:t>rzecznik prasowy Sądu Okręgowego w Moskwie („Sąd Okręgowy”) upublicznił listę dziesięciu osób zatrzymanych w związku z zabójstwem Anny Politkowskiej.</w:t>
      </w:r>
    </w:p>
    <w:p w14:paraId="61C3CE8E" w14:textId="3342C6EA" w:rsidR="00CE586E" w:rsidRPr="000B69F3" w:rsidRDefault="00AA7541" w:rsidP="002B30B4">
      <w:pPr>
        <w:pStyle w:val="ECHRPara"/>
        <w:rPr>
          <w:lang w:val="pl-PL"/>
        </w:rPr>
      </w:pPr>
      <w:r w:rsidRPr="000B69F3">
        <w:rPr>
          <w:lang w:val="pl-PL"/>
        </w:rPr>
        <w:fldChar w:fldCharType="begin"/>
      </w:r>
      <w:r w:rsidRPr="000B69F3">
        <w:rPr>
          <w:lang w:val="pl-PL"/>
        </w:rPr>
        <w:instrText xml:space="preserve"> SEQ level0 \*arabic </w:instrText>
      </w:r>
      <w:r w:rsidRPr="000B69F3">
        <w:rPr>
          <w:lang w:val="pl-PL"/>
        </w:rPr>
        <w:fldChar w:fldCharType="separate"/>
      </w:r>
      <w:r w:rsidR="002F52FF" w:rsidRPr="000B69F3">
        <w:rPr>
          <w:noProof/>
          <w:lang w:val="pl-PL"/>
        </w:rPr>
        <w:t>14</w:t>
      </w:r>
      <w:r w:rsidRPr="000B69F3">
        <w:rPr>
          <w:lang w:val="pl-PL"/>
        </w:rPr>
        <w:fldChar w:fldCharType="end"/>
      </w:r>
      <w:r w:rsidRPr="000B69F3">
        <w:rPr>
          <w:lang w:val="pl-PL"/>
        </w:rPr>
        <w:t>.  </w:t>
      </w:r>
      <w:r w:rsidR="00CE586E" w:rsidRPr="000B69F3">
        <w:rPr>
          <w:lang w:val="pl-PL"/>
        </w:rPr>
        <w:t xml:space="preserve">W sierpniu 2007 r. w związku z zabójstwem aresztowano cztery osoby: D.M., I.M., S.Kh. i P.R. Dwaj bracia, D.M. i I.M., wykonywali </w:t>
      </w:r>
      <w:r w:rsidR="003A3109" w:rsidRPr="000B69F3">
        <w:rPr>
          <w:lang w:val="pl-PL"/>
        </w:rPr>
        <w:t>połączenia</w:t>
      </w:r>
      <w:r w:rsidR="00CE586E" w:rsidRPr="000B69F3">
        <w:rPr>
          <w:lang w:val="pl-PL"/>
        </w:rPr>
        <w:t xml:space="preserve"> telefoniczne z okolicy domu Politkowskiej</w:t>
      </w:r>
      <w:r w:rsidR="00B054AA">
        <w:rPr>
          <w:lang w:val="pl-PL"/>
        </w:rPr>
        <w:t>,</w:t>
      </w:r>
      <w:r w:rsidR="00CE586E" w:rsidRPr="000B69F3">
        <w:rPr>
          <w:lang w:val="pl-PL"/>
        </w:rPr>
        <w:t xml:space="preserve"> a ich samochód był widziany gdy opuszczał tę okolicę w dniu zdarzenia. W toku późniejszego śledztwa ustalono, że włókna znalezione w ich samochodzie były identyczne z pozostawionymi na użytej broni.</w:t>
      </w:r>
      <w:r w:rsidR="00486419" w:rsidRPr="000B69F3">
        <w:rPr>
          <w:lang w:val="pl-PL"/>
        </w:rPr>
        <w:t xml:space="preserve"> S.Kh., funkcjonariusz policji, został aresztowany w oparciu o zeznania świadka D.P., także policjanta. P.R. był funkcjonariuszem FSB (Federalnej Służby Bezpieczeństwa), który znał S.Kh. od dawna.</w:t>
      </w:r>
    </w:p>
    <w:p w14:paraId="7E170A52" w14:textId="70491576" w:rsidR="00486419" w:rsidRPr="000B69F3" w:rsidRDefault="00AA7541" w:rsidP="002B30B4">
      <w:pPr>
        <w:pStyle w:val="ECHRPara"/>
        <w:rPr>
          <w:lang w:val="pl-PL"/>
        </w:rPr>
      </w:pPr>
      <w:r w:rsidRPr="000B69F3">
        <w:rPr>
          <w:lang w:val="pl-PL"/>
        </w:rPr>
        <w:fldChar w:fldCharType="begin"/>
      </w:r>
      <w:r w:rsidRPr="000B69F3">
        <w:rPr>
          <w:lang w:val="pl-PL"/>
        </w:rPr>
        <w:instrText xml:space="preserve"> SEQ level0 \*arabic </w:instrText>
      </w:r>
      <w:r w:rsidRPr="000B69F3">
        <w:rPr>
          <w:lang w:val="pl-PL"/>
        </w:rPr>
        <w:fldChar w:fldCharType="separate"/>
      </w:r>
      <w:r w:rsidR="002F52FF" w:rsidRPr="000B69F3">
        <w:rPr>
          <w:noProof/>
          <w:lang w:val="pl-PL"/>
        </w:rPr>
        <w:t>15</w:t>
      </w:r>
      <w:r w:rsidRPr="000B69F3">
        <w:rPr>
          <w:lang w:val="pl-PL"/>
        </w:rPr>
        <w:fldChar w:fldCharType="end"/>
      </w:r>
      <w:r w:rsidRPr="000B69F3">
        <w:rPr>
          <w:lang w:val="pl-PL"/>
        </w:rPr>
        <w:t>.  </w:t>
      </w:r>
      <w:r w:rsidR="00486419" w:rsidRPr="000B69F3">
        <w:rPr>
          <w:lang w:val="pl-PL"/>
        </w:rPr>
        <w:t xml:space="preserve">W czerwcu 2008 r. D.M., I.M. i S.Kh. zostali formalnie oskarżeni o dokonanie zabójstwa na zlecenie we współpracy z innymi osobami. Za przywódcę zorganizowanej grupy przestępczej uznano S.Kh. W ramach tego samego postępowania P.R. postawiono zarzuty nadużycia władzy i wymuszenia. </w:t>
      </w:r>
    </w:p>
    <w:p w14:paraId="1D3C0CED" w14:textId="53CB807D" w:rsidR="003A3109" w:rsidRPr="000B69F3" w:rsidRDefault="00AA7541" w:rsidP="002B30B4">
      <w:pPr>
        <w:pStyle w:val="ECHRPara"/>
        <w:rPr>
          <w:lang w:val="pl-PL"/>
        </w:rPr>
      </w:pPr>
      <w:r w:rsidRPr="000B69F3">
        <w:rPr>
          <w:lang w:val="pl-PL"/>
        </w:rPr>
        <w:fldChar w:fldCharType="begin"/>
      </w:r>
      <w:r w:rsidRPr="000B69F3">
        <w:rPr>
          <w:lang w:val="pl-PL"/>
        </w:rPr>
        <w:instrText xml:space="preserve"> SEQ level0 \*arabic </w:instrText>
      </w:r>
      <w:r w:rsidRPr="000B69F3">
        <w:rPr>
          <w:lang w:val="pl-PL"/>
        </w:rPr>
        <w:fldChar w:fldCharType="separate"/>
      </w:r>
      <w:r w:rsidR="002F52FF" w:rsidRPr="000B69F3">
        <w:rPr>
          <w:noProof/>
          <w:lang w:val="pl-PL"/>
        </w:rPr>
        <w:t>16</w:t>
      </w:r>
      <w:r w:rsidRPr="000B69F3">
        <w:rPr>
          <w:lang w:val="pl-PL"/>
        </w:rPr>
        <w:fldChar w:fldCharType="end"/>
      </w:r>
      <w:r w:rsidRPr="000B69F3">
        <w:rPr>
          <w:lang w:val="pl-PL"/>
        </w:rPr>
        <w:t>.  </w:t>
      </w:r>
      <w:r w:rsidR="003A3109" w:rsidRPr="000B69F3">
        <w:rPr>
          <w:lang w:val="pl-PL"/>
        </w:rPr>
        <w:t>W nieozn</w:t>
      </w:r>
      <w:r w:rsidR="00DA5917" w:rsidRPr="000B69F3">
        <w:rPr>
          <w:lang w:val="pl-PL"/>
        </w:rPr>
        <w:t>aczonym czasie R.M., brat D.M. i</w:t>
      </w:r>
      <w:r w:rsidR="003A3109" w:rsidRPr="000B69F3">
        <w:rPr>
          <w:lang w:val="pl-PL"/>
        </w:rPr>
        <w:t xml:space="preserve"> I.M., który w ramach toczącego się śledztwa był podejrzewany o związek z dokonanym zabójstwem, uciekł z Rosji</w:t>
      </w:r>
      <w:r w:rsidR="00B054AA">
        <w:rPr>
          <w:lang w:val="pl-PL"/>
        </w:rPr>
        <w:t>,</w:t>
      </w:r>
      <w:r w:rsidR="003A3109" w:rsidRPr="000B69F3">
        <w:rPr>
          <w:lang w:val="pl-PL"/>
        </w:rPr>
        <w:t xml:space="preserve"> posługując się sfałszowanym paszportem. </w:t>
      </w:r>
      <w:r w:rsidR="00DA5917" w:rsidRPr="000B69F3">
        <w:rPr>
          <w:lang w:val="pl-PL"/>
        </w:rPr>
        <w:t xml:space="preserve">Zgodnie z </w:t>
      </w:r>
      <w:r w:rsidR="00045A18">
        <w:rPr>
          <w:lang w:val="pl-PL"/>
        </w:rPr>
        <w:t>oświadczeniami</w:t>
      </w:r>
      <w:r w:rsidR="00045A18" w:rsidRPr="000B69F3">
        <w:rPr>
          <w:lang w:val="pl-PL"/>
        </w:rPr>
        <w:t xml:space="preserve"> </w:t>
      </w:r>
      <w:r w:rsidR="00AE0C68" w:rsidRPr="000B69F3">
        <w:rPr>
          <w:lang w:val="pl-PL"/>
        </w:rPr>
        <w:t xml:space="preserve">składanymi przez </w:t>
      </w:r>
      <w:r w:rsidR="00DA5917" w:rsidRPr="000B69F3">
        <w:rPr>
          <w:lang w:val="pl-PL"/>
        </w:rPr>
        <w:t>s</w:t>
      </w:r>
      <w:r w:rsidR="00AE0C68" w:rsidRPr="000B69F3">
        <w:rPr>
          <w:lang w:val="pl-PL"/>
        </w:rPr>
        <w:t>karżących i Rząd</w:t>
      </w:r>
      <w:r w:rsidR="00DA5917" w:rsidRPr="000B69F3">
        <w:rPr>
          <w:lang w:val="pl-PL"/>
        </w:rPr>
        <w:t xml:space="preserve"> sfałszowany paszport został wydany przez pracownika</w:t>
      </w:r>
      <w:r w:rsidR="00AE0C68" w:rsidRPr="000B69F3">
        <w:rPr>
          <w:lang w:val="pl-PL"/>
        </w:rPr>
        <w:t xml:space="preserve"> departamentu spraw wewnętrznych</w:t>
      </w:r>
      <w:r w:rsidR="00B054AA">
        <w:rPr>
          <w:lang w:val="pl-PL"/>
        </w:rPr>
        <w:t>.</w:t>
      </w:r>
    </w:p>
    <w:p w14:paraId="2C6A6D56" w14:textId="149B8330" w:rsidR="00770189" w:rsidRPr="000B69F3" w:rsidRDefault="0025771B" w:rsidP="002B30B4">
      <w:pPr>
        <w:pStyle w:val="ECHRPara"/>
        <w:rPr>
          <w:lang w:val="pl-PL"/>
        </w:rPr>
      </w:pPr>
      <w:r w:rsidRPr="000B69F3">
        <w:rPr>
          <w:lang w:val="pl-PL"/>
        </w:rPr>
        <w:fldChar w:fldCharType="begin"/>
      </w:r>
      <w:r w:rsidRPr="000B69F3">
        <w:rPr>
          <w:lang w:val="pl-PL"/>
        </w:rPr>
        <w:instrText xml:space="preserve"> SEQ level0 \*arabic </w:instrText>
      </w:r>
      <w:r w:rsidRPr="000B69F3">
        <w:rPr>
          <w:lang w:val="pl-PL"/>
        </w:rPr>
        <w:fldChar w:fldCharType="separate"/>
      </w:r>
      <w:r w:rsidR="002F52FF" w:rsidRPr="000B69F3">
        <w:rPr>
          <w:noProof/>
          <w:lang w:val="pl-PL"/>
        </w:rPr>
        <w:t>17</w:t>
      </w:r>
      <w:r w:rsidRPr="000B69F3">
        <w:rPr>
          <w:lang w:val="pl-PL"/>
        </w:rPr>
        <w:fldChar w:fldCharType="end"/>
      </w:r>
      <w:r w:rsidRPr="000B69F3">
        <w:rPr>
          <w:lang w:val="pl-PL"/>
        </w:rPr>
        <w:t>.  </w:t>
      </w:r>
      <w:r w:rsidR="00BA3BCF" w:rsidRPr="000B69F3">
        <w:rPr>
          <w:lang w:val="pl-PL"/>
        </w:rPr>
        <w:t xml:space="preserve">W pewnym momencie nazwisko R.M. pojawiło się na </w:t>
      </w:r>
      <w:r w:rsidR="00770189" w:rsidRPr="000B69F3">
        <w:rPr>
          <w:lang w:val="pl-PL"/>
        </w:rPr>
        <w:t>międzynarodowej</w:t>
      </w:r>
      <w:r w:rsidR="00BA3BCF" w:rsidRPr="000B69F3">
        <w:rPr>
          <w:lang w:val="pl-PL"/>
        </w:rPr>
        <w:t xml:space="preserve"> </w:t>
      </w:r>
      <w:r w:rsidR="00173D9E" w:rsidRPr="000B69F3">
        <w:rPr>
          <w:lang w:val="pl-PL"/>
        </w:rPr>
        <w:t>liście</w:t>
      </w:r>
      <w:r w:rsidR="00BA3BCF" w:rsidRPr="000B69F3">
        <w:rPr>
          <w:lang w:val="pl-PL"/>
        </w:rPr>
        <w:t xml:space="preserve"> osób poszukiwanych. </w:t>
      </w:r>
      <w:r w:rsidR="00770189" w:rsidRPr="000B69F3">
        <w:rPr>
          <w:lang w:val="pl-PL"/>
        </w:rPr>
        <w:t>16 czerwca 2008 r. sprawa karna</w:t>
      </w:r>
      <w:r w:rsidR="00173D9E" w:rsidRPr="000B69F3">
        <w:rPr>
          <w:lang w:val="pl-PL"/>
        </w:rPr>
        <w:t xml:space="preserve"> została przeciwko R.M. została wyłączona z postępowania przeciwko S.Kh., P.R., D.M. i I.M.</w:t>
      </w:r>
    </w:p>
    <w:p w14:paraId="578F2FE0" w14:textId="752A182A" w:rsidR="00173D9E" w:rsidRPr="000B69F3" w:rsidRDefault="00AA7541" w:rsidP="002B30B4">
      <w:pPr>
        <w:pStyle w:val="ECHRPara"/>
        <w:rPr>
          <w:lang w:val="pl-PL"/>
        </w:rPr>
      </w:pPr>
      <w:r w:rsidRPr="000B69F3">
        <w:rPr>
          <w:lang w:val="pl-PL"/>
        </w:rPr>
        <w:fldChar w:fldCharType="begin"/>
      </w:r>
      <w:r w:rsidRPr="000B69F3">
        <w:rPr>
          <w:lang w:val="pl-PL"/>
        </w:rPr>
        <w:instrText xml:space="preserve"> SEQ level0 \*arabic </w:instrText>
      </w:r>
      <w:r w:rsidRPr="000B69F3">
        <w:rPr>
          <w:lang w:val="pl-PL"/>
        </w:rPr>
        <w:fldChar w:fldCharType="separate"/>
      </w:r>
      <w:r w:rsidR="002F52FF" w:rsidRPr="000B69F3">
        <w:rPr>
          <w:noProof/>
          <w:lang w:val="pl-PL"/>
        </w:rPr>
        <w:t>18</w:t>
      </w:r>
      <w:r w:rsidRPr="000B69F3">
        <w:rPr>
          <w:lang w:val="pl-PL"/>
        </w:rPr>
        <w:fldChar w:fldCharType="end"/>
      </w:r>
      <w:r w:rsidRPr="000B69F3">
        <w:rPr>
          <w:lang w:val="pl-PL"/>
        </w:rPr>
        <w:t>.  </w:t>
      </w:r>
      <w:r w:rsidR="00173D9E" w:rsidRPr="000B69F3">
        <w:rPr>
          <w:lang w:val="pl-PL"/>
        </w:rPr>
        <w:t>W czerwcu 2008 r. śledczy przygotowali sprawę S.Kh., P.R., D.M. i I.M. do przekazania do sądu. Skarżący wnosili o zatrzymanie akt sprawy w prokuraturze. Ich zdaniem śledztwo było niekompletne, a przekazanie akt do sądu byłoby przedwczesne.</w:t>
      </w:r>
      <w:r w:rsidR="00554D0C" w:rsidRPr="000B69F3">
        <w:rPr>
          <w:lang w:val="pl-PL"/>
        </w:rPr>
        <w:t xml:space="preserve"> Mimo tego akta sprawy trafiły do </w:t>
      </w:r>
      <w:r w:rsidR="000649F7" w:rsidRPr="000B69F3">
        <w:rPr>
          <w:lang w:val="pl-PL"/>
        </w:rPr>
        <w:t xml:space="preserve">Wojskowego Sądu </w:t>
      </w:r>
      <w:r w:rsidR="00AC4529" w:rsidRPr="000B69F3">
        <w:rPr>
          <w:lang w:val="pl-PL"/>
        </w:rPr>
        <w:t>Okręgowego</w:t>
      </w:r>
      <w:r w:rsidR="000649F7" w:rsidRPr="000B69F3">
        <w:rPr>
          <w:lang w:val="pl-PL"/>
        </w:rPr>
        <w:t xml:space="preserve"> w Moskwie</w:t>
      </w:r>
      <w:r w:rsidR="00AC4529" w:rsidRPr="000B69F3">
        <w:rPr>
          <w:lang w:val="pl-PL"/>
        </w:rPr>
        <w:t xml:space="preserve"> (dalej: „Sądu Okręgowego”)</w:t>
      </w:r>
      <w:r w:rsidR="000649F7" w:rsidRPr="000B69F3">
        <w:rPr>
          <w:lang w:val="pl-PL"/>
        </w:rPr>
        <w:t xml:space="preserve"> celem rozpoznania w procesie z udziałem ławy przysięgłych.</w:t>
      </w:r>
    </w:p>
    <w:p w14:paraId="65766DBF" w14:textId="54559F03" w:rsidR="002629D3" w:rsidRPr="000B69F3" w:rsidRDefault="002629D3" w:rsidP="002B30B4">
      <w:pPr>
        <w:pStyle w:val="ECHRHeading2"/>
        <w:rPr>
          <w:lang w:val="pl-PL"/>
        </w:rPr>
      </w:pPr>
      <w:r w:rsidRPr="000B69F3">
        <w:rPr>
          <w:lang w:val="pl-PL"/>
        </w:rPr>
        <w:lastRenderedPageBreak/>
        <w:t>B.  </w:t>
      </w:r>
      <w:r w:rsidR="000649F7" w:rsidRPr="000B69F3">
        <w:rPr>
          <w:lang w:val="pl-PL"/>
        </w:rPr>
        <w:t>Pierwszy cykl postępowań sądowych</w:t>
      </w:r>
    </w:p>
    <w:p w14:paraId="1B8A48D3" w14:textId="1A65361F" w:rsidR="000649F7" w:rsidRPr="000B69F3" w:rsidRDefault="00AA7541" w:rsidP="002B30B4">
      <w:pPr>
        <w:pStyle w:val="ECHRPara"/>
        <w:rPr>
          <w:lang w:val="pl-PL"/>
        </w:rPr>
      </w:pPr>
      <w:r w:rsidRPr="000B69F3">
        <w:rPr>
          <w:lang w:val="pl-PL"/>
        </w:rPr>
        <w:fldChar w:fldCharType="begin"/>
      </w:r>
      <w:r w:rsidRPr="000B69F3">
        <w:rPr>
          <w:lang w:val="pl-PL"/>
        </w:rPr>
        <w:instrText xml:space="preserve"> SEQ level0 \*arabic </w:instrText>
      </w:r>
      <w:r w:rsidRPr="000B69F3">
        <w:rPr>
          <w:lang w:val="pl-PL"/>
        </w:rPr>
        <w:fldChar w:fldCharType="separate"/>
      </w:r>
      <w:r w:rsidR="002F52FF" w:rsidRPr="000B69F3">
        <w:rPr>
          <w:noProof/>
          <w:lang w:val="pl-PL"/>
        </w:rPr>
        <w:t>19</w:t>
      </w:r>
      <w:r w:rsidRPr="000B69F3">
        <w:rPr>
          <w:lang w:val="pl-PL"/>
        </w:rPr>
        <w:fldChar w:fldCharType="end"/>
      </w:r>
      <w:r w:rsidRPr="000B69F3">
        <w:rPr>
          <w:lang w:val="pl-PL"/>
        </w:rPr>
        <w:t>.  </w:t>
      </w:r>
      <w:r w:rsidR="000649F7" w:rsidRPr="000B69F3">
        <w:rPr>
          <w:lang w:val="pl-PL"/>
        </w:rPr>
        <w:t>W trakcie post</w:t>
      </w:r>
      <w:r w:rsidR="00C51E58">
        <w:rPr>
          <w:lang w:val="pl-PL"/>
        </w:rPr>
        <w:t>ę</w:t>
      </w:r>
      <w:r w:rsidR="000649F7" w:rsidRPr="000B69F3">
        <w:rPr>
          <w:lang w:val="pl-PL"/>
        </w:rPr>
        <w:t>powania w latach 2008-2009 D.P., wysoki urzędnik Departamentu Spraw Wewnętrznych Miasta Moskwy</w:t>
      </w:r>
      <w:r w:rsidR="00C51E58">
        <w:rPr>
          <w:lang w:val="pl-PL"/>
        </w:rPr>
        <w:t>,</w:t>
      </w:r>
      <w:r w:rsidR="000649F7" w:rsidRPr="000B69F3">
        <w:rPr>
          <w:lang w:val="pl-PL"/>
        </w:rPr>
        <w:t xml:space="preserve"> został przesłuchany w charakterze świadka oskarżenia. Zeznał, że działając w ramach obowiązków służbowych zorganizował i prowadził </w:t>
      </w:r>
      <w:r w:rsidR="006B278F" w:rsidRPr="000B69F3">
        <w:rPr>
          <w:lang w:val="pl-PL"/>
        </w:rPr>
        <w:t>inwigilację A. Politkowskiej na krótko przed jej zabójstwem.</w:t>
      </w:r>
      <w:r w:rsidR="00DB0097" w:rsidRPr="000B69F3">
        <w:rPr>
          <w:lang w:val="pl-PL"/>
        </w:rPr>
        <w:t xml:space="preserve"> Jako świadka przesłuchano również L.-A.G.</w:t>
      </w:r>
    </w:p>
    <w:p w14:paraId="0DE51329" w14:textId="04AAD6AD" w:rsidR="00DB0097" w:rsidRPr="000B69F3" w:rsidRDefault="00461672" w:rsidP="002B30B4">
      <w:pPr>
        <w:pStyle w:val="ECHRPara"/>
        <w:rPr>
          <w:lang w:val="pl-PL"/>
        </w:rPr>
      </w:pPr>
      <w:r w:rsidRPr="000B69F3">
        <w:rPr>
          <w:lang w:val="pl-PL"/>
        </w:rPr>
        <w:fldChar w:fldCharType="begin"/>
      </w:r>
      <w:r w:rsidRPr="000B69F3">
        <w:rPr>
          <w:lang w:val="pl-PL"/>
        </w:rPr>
        <w:instrText xml:space="preserve"> SEQ level0 \*arabic </w:instrText>
      </w:r>
      <w:r w:rsidRPr="000B69F3">
        <w:rPr>
          <w:lang w:val="pl-PL"/>
        </w:rPr>
        <w:fldChar w:fldCharType="separate"/>
      </w:r>
      <w:r w:rsidR="002F52FF" w:rsidRPr="000B69F3">
        <w:rPr>
          <w:noProof/>
          <w:lang w:val="pl-PL"/>
        </w:rPr>
        <w:t>20</w:t>
      </w:r>
      <w:r w:rsidRPr="000B69F3">
        <w:rPr>
          <w:lang w:val="pl-PL"/>
        </w:rPr>
        <w:fldChar w:fldCharType="end"/>
      </w:r>
      <w:r w:rsidRPr="000B69F3">
        <w:rPr>
          <w:lang w:val="pl-PL"/>
        </w:rPr>
        <w:t>.  </w:t>
      </w:r>
      <w:r w:rsidR="00AA6C90" w:rsidRPr="000B69F3">
        <w:rPr>
          <w:lang w:val="pl-PL"/>
        </w:rPr>
        <w:t>W nieoznaczonej dacie</w:t>
      </w:r>
      <w:r w:rsidR="00DB0097" w:rsidRPr="000B69F3">
        <w:rPr>
          <w:lang w:val="pl-PL"/>
        </w:rPr>
        <w:t xml:space="preserve"> w latach 2008-2009 do materiałów sprawy włączono podsumowanie informacji zgromadzonych w śledztwie, które to podsumowanie skarżący nazwali „prezentacją”. Podsumowanie zawierało szczegółowe dane dotyczące A. Politkowskiej</w:t>
      </w:r>
      <w:r w:rsidR="00F930D4">
        <w:rPr>
          <w:lang w:val="pl-PL"/>
        </w:rPr>
        <w:t>,</w:t>
      </w:r>
      <w:r w:rsidR="00DB0097" w:rsidRPr="000B69F3">
        <w:rPr>
          <w:lang w:val="pl-PL"/>
        </w:rPr>
        <w:t xml:space="preserve"> w tym informację o posiadaniu przez nią amerykańskiego obywatelstwa. Owa „prezentacja” nie była nigdy pokazana ławie przysięgłych.</w:t>
      </w:r>
    </w:p>
    <w:p w14:paraId="2D843044" w14:textId="46FE1246" w:rsidR="003D555D" w:rsidRPr="000B69F3" w:rsidRDefault="00AA7541" w:rsidP="002B30B4">
      <w:pPr>
        <w:pStyle w:val="ECHRPara"/>
        <w:rPr>
          <w:lang w:val="pl-PL"/>
        </w:rPr>
      </w:pPr>
      <w:r w:rsidRPr="000B69F3">
        <w:rPr>
          <w:lang w:val="pl-PL"/>
        </w:rPr>
        <w:fldChar w:fldCharType="begin"/>
      </w:r>
      <w:r w:rsidRPr="000B69F3">
        <w:rPr>
          <w:lang w:val="pl-PL"/>
        </w:rPr>
        <w:instrText xml:space="preserve"> SEQ level0 \*arabic </w:instrText>
      </w:r>
      <w:r w:rsidRPr="000B69F3">
        <w:rPr>
          <w:lang w:val="pl-PL"/>
        </w:rPr>
        <w:fldChar w:fldCharType="separate"/>
      </w:r>
      <w:r w:rsidR="002F52FF" w:rsidRPr="000B69F3">
        <w:rPr>
          <w:noProof/>
          <w:lang w:val="pl-PL"/>
        </w:rPr>
        <w:t>21</w:t>
      </w:r>
      <w:r w:rsidRPr="000B69F3">
        <w:rPr>
          <w:lang w:val="pl-PL"/>
        </w:rPr>
        <w:fldChar w:fldCharType="end"/>
      </w:r>
      <w:r w:rsidRPr="000B69F3">
        <w:rPr>
          <w:lang w:val="pl-PL"/>
        </w:rPr>
        <w:t>.  </w:t>
      </w:r>
      <w:r w:rsidR="003D555D" w:rsidRPr="000B69F3">
        <w:rPr>
          <w:lang w:val="pl-PL"/>
        </w:rPr>
        <w:t xml:space="preserve">Dnia 19 lutego 2009 r., po wysłuchaniu stanowisk oskarżenia i obrony, ława przysięgłych wydała </w:t>
      </w:r>
      <w:r w:rsidR="009B5B14" w:rsidRPr="000B69F3">
        <w:rPr>
          <w:lang w:val="pl-PL"/>
        </w:rPr>
        <w:t>werdykt</w:t>
      </w:r>
      <w:r w:rsidR="003D555D" w:rsidRPr="000B69F3">
        <w:rPr>
          <w:lang w:val="pl-PL"/>
        </w:rPr>
        <w:t xml:space="preserve"> uniewinniający w stosunku do </w:t>
      </w:r>
      <w:r w:rsidR="00AA6C90" w:rsidRPr="000B69F3">
        <w:rPr>
          <w:lang w:val="pl-PL"/>
        </w:rPr>
        <w:t>S.Kh., P.R., D.M. i</w:t>
      </w:r>
      <w:r w:rsidR="003D555D" w:rsidRPr="000B69F3">
        <w:rPr>
          <w:lang w:val="pl-PL"/>
        </w:rPr>
        <w:t xml:space="preserve"> I.M.</w:t>
      </w:r>
    </w:p>
    <w:p w14:paraId="6C745299" w14:textId="448385D7" w:rsidR="00A84A3C" w:rsidRPr="000B69F3" w:rsidRDefault="00AA7541" w:rsidP="00A84A3C">
      <w:pPr>
        <w:pStyle w:val="ECHRPara"/>
        <w:rPr>
          <w:lang w:val="pl-PL"/>
        </w:rPr>
      </w:pPr>
      <w:r w:rsidRPr="000B69F3">
        <w:rPr>
          <w:lang w:val="pl-PL"/>
        </w:rPr>
        <w:fldChar w:fldCharType="begin"/>
      </w:r>
      <w:r w:rsidRPr="000B69F3">
        <w:rPr>
          <w:lang w:val="pl-PL"/>
        </w:rPr>
        <w:instrText xml:space="preserve"> SEQ level0 \*arabic </w:instrText>
      </w:r>
      <w:r w:rsidRPr="000B69F3">
        <w:rPr>
          <w:lang w:val="pl-PL"/>
        </w:rPr>
        <w:fldChar w:fldCharType="separate"/>
      </w:r>
      <w:r w:rsidR="002F52FF" w:rsidRPr="000B69F3">
        <w:rPr>
          <w:noProof/>
          <w:lang w:val="pl-PL"/>
        </w:rPr>
        <w:t>22</w:t>
      </w:r>
      <w:r w:rsidRPr="000B69F3">
        <w:rPr>
          <w:lang w:val="pl-PL"/>
        </w:rPr>
        <w:fldChar w:fldCharType="end"/>
      </w:r>
      <w:r w:rsidRPr="000B69F3">
        <w:rPr>
          <w:lang w:val="pl-PL"/>
        </w:rPr>
        <w:t>.  </w:t>
      </w:r>
      <w:r w:rsidR="00A84A3C" w:rsidRPr="000B69F3">
        <w:rPr>
          <w:lang w:val="pl-PL"/>
        </w:rPr>
        <w:t xml:space="preserve">Dnia 20 lutego 2009 r. Sąd </w:t>
      </w:r>
      <w:r w:rsidR="00AC4529" w:rsidRPr="000B69F3">
        <w:rPr>
          <w:lang w:val="pl-PL"/>
        </w:rPr>
        <w:t>Okręgowy</w:t>
      </w:r>
      <w:r w:rsidR="003D555D" w:rsidRPr="000B69F3">
        <w:rPr>
          <w:lang w:val="pl-PL"/>
        </w:rPr>
        <w:t xml:space="preserve"> uniewinnił</w:t>
      </w:r>
      <w:r w:rsidR="00A84A3C" w:rsidRPr="000B69F3">
        <w:rPr>
          <w:lang w:val="pl-PL"/>
        </w:rPr>
        <w:t xml:space="preserve"> S.Kh, P.R., D.M. i I.M. Prokuratura złożyła apelację. Trzeci i czwarty skarżący postanowili nie odwoływać się od wyroku uniewinniającego.</w:t>
      </w:r>
    </w:p>
    <w:p w14:paraId="55865A60" w14:textId="65D30263" w:rsidR="00E61BE1" w:rsidRPr="000B69F3" w:rsidRDefault="00D16FB4" w:rsidP="00E61BE1">
      <w:pPr>
        <w:pStyle w:val="ECHRPara"/>
        <w:rPr>
          <w:lang w:val="pl-PL"/>
        </w:rPr>
      </w:pPr>
      <w:r w:rsidRPr="000B69F3">
        <w:rPr>
          <w:lang w:val="pl-PL"/>
        </w:rPr>
        <w:fldChar w:fldCharType="begin"/>
      </w:r>
      <w:r w:rsidRPr="000B69F3">
        <w:rPr>
          <w:lang w:val="pl-PL"/>
        </w:rPr>
        <w:instrText xml:space="preserve"> SEQ level0 \*arabic </w:instrText>
      </w:r>
      <w:r w:rsidRPr="000B69F3">
        <w:rPr>
          <w:lang w:val="pl-PL"/>
        </w:rPr>
        <w:fldChar w:fldCharType="separate"/>
      </w:r>
      <w:r w:rsidR="002F52FF" w:rsidRPr="000B69F3">
        <w:rPr>
          <w:noProof/>
          <w:lang w:val="pl-PL"/>
        </w:rPr>
        <w:t>23</w:t>
      </w:r>
      <w:r w:rsidRPr="000B69F3">
        <w:rPr>
          <w:lang w:val="pl-PL"/>
        </w:rPr>
        <w:fldChar w:fldCharType="end"/>
      </w:r>
      <w:r w:rsidRPr="000B69F3">
        <w:rPr>
          <w:lang w:val="pl-PL"/>
        </w:rPr>
        <w:t>.  </w:t>
      </w:r>
      <w:r w:rsidR="00A84A3C" w:rsidRPr="000B69F3">
        <w:rPr>
          <w:lang w:val="pl-PL"/>
        </w:rPr>
        <w:t>Dnia 25 czerwca 2009 r. w ramach postepowania odwoławczego, Sąd Najwyższy Rosji uchylił wyrok z dnia 20 lutego 2009 r.</w:t>
      </w:r>
      <w:r w:rsidR="00E61BE1" w:rsidRPr="000B69F3">
        <w:rPr>
          <w:lang w:val="pl-PL"/>
        </w:rPr>
        <w:t xml:space="preserve"> i zwrócił sprawę do Sądu </w:t>
      </w:r>
      <w:r w:rsidR="00AC4529" w:rsidRPr="000B69F3">
        <w:rPr>
          <w:lang w:val="pl-PL"/>
        </w:rPr>
        <w:t>Okręgowego</w:t>
      </w:r>
      <w:r w:rsidR="00E61BE1" w:rsidRPr="000B69F3">
        <w:rPr>
          <w:lang w:val="pl-PL"/>
        </w:rPr>
        <w:t xml:space="preserve"> celem ponownego rozpatrzenia.</w:t>
      </w:r>
    </w:p>
    <w:p w14:paraId="4727CF27" w14:textId="5C9B0D2C" w:rsidR="00E61BE1" w:rsidRPr="000B69F3" w:rsidRDefault="00DC2E2C" w:rsidP="00E61BE1">
      <w:pPr>
        <w:pStyle w:val="ECHRPara"/>
        <w:rPr>
          <w:lang w:val="pl-PL"/>
        </w:rPr>
      </w:pPr>
      <w:r w:rsidRPr="000B69F3">
        <w:rPr>
          <w:lang w:val="pl-PL"/>
        </w:rPr>
        <w:fldChar w:fldCharType="begin"/>
      </w:r>
      <w:r w:rsidRPr="000B69F3">
        <w:rPr>
          <w:lang w:val="pl-PL"/>
        </w:rPr>
        <w:instrText xml:space="preserve"> SEQ level0 \*arabic </w:instrText>
      </w:r>
      <w:r w:rsidRPr="000B69F3">
        <w:rPr>
          <w:lang w:val="pl-PL"/>
        </w:rPr>
        <w:fldChar w:fldCharType="separate"/>
      </w:r>
      <w:r w:rsidR="002F52FF" w:rsidRPr="000B69F3">
        <w:rPr>
          <w:noProof/>
          <w:lang w:val="pl-PL"/>
        </w:rPr>
        <w:t>24</w:t>
      </w:r>
      <w:r w:rsidRPr="000B69F3">
        <w:rPr>
          <w:lang w:val="pl-PL"/>
        </w:rPr>
        <w:fldChar w:fldCharType="end"/>
      </w:r>
      <w:r w:rsidRPr="000B69F3">
        <w:rPr>
          <w:lang w:val="pl-PL"/>
        </w:rPr>
        <w:t>.  </w:t>
      </w:r>
      <w:r w:rsidR="00E61BE1" w:rsidRPr="000B69F3">
        <w:rPr>
          <w:lang w:val="pl-PL"/>
        </w:rPr>
        <w:t xml:space="preserve">Dnia 5 sierpnia 2009 r. trzeci i czwarty skarżący złożyli wniosek o zwrócenie sprawy przez Sąd </w:t>
      </w:r>
      <w:r w:rsidR="00AC4529" w:rsidRPr="000B69F3">
        <w:rPr>
          <w:lang w:val="pl-PL"/>
        </w:rPr>
        <w:t xml:space="preserve">Okręgowy </w:t>
      </w:r>
      <w:r w:rsidR="00E61BE1" w:rsidRPr="000B69F3">
        <w:rPr>
          <w:lang w:val="pl-PL"/>
        </w:rPr>
        <w:t xml:space="preserve">do prokuratury celem kontynuowania śledztwa. 7 sierpnia 2009 r. Sąd </w:t>
      </w:r>
      <w:r w:rsidR="00AC4529" w:rsidRPr="000B69F3">
        <w:rPr>
          <w:lang w:val="pl-PL"/>
        </w:rPr>
        <w:t xml:space="preserve">Okręgowy </w:t>
      </w:r>
      <w:r w:rsidR="00E61BE1" w:rsidRPr="000B69F3">
        <w:rPr>
          <w:lang w:val="pl-PL"/>
        </w:rPr>
        <w:t>wniosek odrzucił. Skarżący odwołali się.</w:t>
      </w:r>
    </w:p>
    <w:p w14:paraId="74FFE441" w14:textId="2DB91E5A" w:rsidR="00E61BE1" w:rsidRPr="000B69F3" w:rsidRDefault="002A7D65" w:rsidP="002B30B4">
      <w:pPr>
        <w:pStyle w:val="ECHRPara"/>
        <w:rPr>
          <w:lang w:val="pl-PL"/>
        </w:rPr>
      </w:pPr>
      <w:r w:rsidRPr="000B69F3">
        <w:rPr>
          <w:lang w:val="pl-PL"/>
        </w:rPr>
        <w:fldChar w:fldCharType="begin"/>
      </w:r>
      <w:r w:rsidRPr="000B69F3">
        <w:rPr>
          <w:lang w:val="pl-PL"/>
        </w:rPr>
        <w:instrText xml:space="preserve"> SEQ level0 \*arabic </w:instrText>
      </w:r>
      <w:r w:rsidRPr="000B69F3">
        <w:rPr>
          <w:lang w:val="pl-PL"/>
        </w:rPr>
        <w:fldChar w:fldCharType="separate"/>
      </w:r>
      <w:r w:rsidR="002F52FF" w:rsidRPr="000B69F3">
        <w:rPr>
          <w:noProof/>
          <w:lang w:val="pl-PL"/>
        </w:rPr>
        <w:t>25</w:t>
      </w:r>
      <w:r w:rsidRPr="000B69F3">
        <w:rPr>
          <w:lang w:val="pl-PL"/>
        </w:rPr>
        <w:fldChar w:fldCharType="end"/>
      </w:r>
      <w:r w:rsidRPr="000B69F3">
        <w:rPr>
          <w:lang w:val="pl-PL"/>
        </w:rPr>
        <w:t>.  </w:t>
      </w:r>
      <w:r w:rsidR="00E61BE1" w:rsidRPr="000B69F3">
        <w:rPr>
          <w:lang w:val="pl-PL"/>
        </w:rPr>
        <w:t>Dnia 3 września 2009 Sąd Najwyższy przychylił się do wniosku trzeciego i czwartego skarżącego i przekazał sprawę do prokuratury celem kontynuowania śledztwa.</w:t>
      </w:r>
    </w:p>
    <w:p w14:paraId="11DFCA2D" w14:textId="4A5888A7" w:rsidR="00BE6336" w:rsidRPr="000B69F3" w:rsidRDefault="00BE6336" w:rsidP="002B30B4">
      <w:pPr>
        <w:pStyle w:val="ECHRHeading2"/>
        <w:rPr>
          <w:lang w:val="pl-PL"/>
        </w:rPr>
      </w:pPr>
      <w:r w:rsidRPr="000B69F3">
        <w:rPr>
          <w:lang w:val="pl-PL"/>
        </w:rPr>
        <w:t>C.  </w:t>
      </w:r>
      <w:r w:rsidR="00E61BE1" w:rsidRPr="000B69F3">
        <w:rPr>
          <w:lang w:val="pl-PL"/>
        </w:rPr>
        <w:t>Kontynuacja śledztwa i jego konsekwencje</w:t>
      </w:r>
    </w:p>
    <w:p w14:paraId="515BEB6D" w14:textId="1B4E38B6" w:rsidR="00AA7541" w:rsidRPr="000B69F3" w:rsidRDefault="00D16FB4" w:rsidP="002B30B4">
      <w:pPr>
        <w:pStyle w:val="ECHRPara"/>
        <w:rPr>
          <w:lang w:val="pl-PL"/>
        </w:rPr>
      </w:pPr>
      <w:r w:rsidRPr="000B69F3">
        <w:rPr>
          <w:lang w:val="pl-PL"/>
        </w:rPr>
        <w:fldChar w:fldCharType="begin"/>
      </w:r>
      <w:r w:rsidRPr="000B69F3">
        <w:rPr>
          <w:lang w:val="pl-PL"/>
        </w:rPr>
        <w:instrText xml:space="preserve"> SEQ level0 \*arabic </w:instrText>
      </w:r>
      <w:r w:rsidRPr="000B69F3">
        <w:rPr>
          <w:lang w:val="pl-PL"/>
        </w:rPr>
        <w:fldChar w:fldCharType="separate"/>
      </w:r>
      <w:r w:rsidR="002F52FF" w:rsidRPr="000B69F3">
        <w:rPr>
          <w:noProof/>
          <w:lang w:val="pl-PL"/>
        </w:rPr>
        <w:t>26</w:t>
      </w:r>
      <w:r w:rsidRPr="000B69F3">
        <w:rPr>
          <w:lang w:val="pl-PL"/>
        </w:rPr>
        <w:fldChar w:fldCharType="end"/>
      </w:r>
      <w:r w:rsidR="002A7D65" w:rsidRPr="000B69F3">
        <w:rPr>
          <w:lang w:val="pl-PL"/>
        </w:rPr>
        <w:t>.  </w:t>
      </w:r>
      <w:r w:rsidR="00AA6C90" w:rsidRPr="000B69F3">
        <w:rPr>
          <w:lang w:val="pl-PL"/>
        </w:rPr>
        <w:t xml:space="preserve">W nieoznaczonej dacie </w:t>
      </w:r>
      <w:r w:rsidR="00EF00D1" w:rsidRPr="000B69F3">
        <w:rPr>
          <w:lang w:val="pl-PL"/>
        </w:rPr>
        <w:t>od zarzutów przeciwko P.R. odstąpiono</w:t>
      </w:r>
      <w:r w:rsidR="006C5263" w:rsidRPr="000B69F3">
        <w:rPr>
          <w:lang w:val="pl-PL"/>
        </w:rPr>
        <w:t>;</w:t>
      </w:r>
      <w:r w:rsidR="002A7D65" w:rsidRPr="000B69F3">
        <w:rPr>
          <w:lang w:val="pl-PL"/>
        </w:rPr>
        <w:t xml:space="preserve"> L.</w:t>
      </w:r>
      <w:r w:rsidR="002A7D65" w:rsidRPr="000B69F3">
        <w:rPr>
          <w:lang w:val="pl-PL"/>
        </w:rPr>
        <w:noBreakHyphen/>
      </w:r>
      <w:r w:rsidR="00AA6C90" w:rsidRPr="000B69F3">
        <w:rPr>
          <w:lang w:val="pl-PL"/>
        </w:rPr>
        <w:t>A.G. został skazany</w:t>
      </w:r>
      <w:r w:rsidR="00AA7541" w:rsidRPr="000B69F3">
        <w:rPr>
          <w:lang w:val="pl-PL"/>
        </w:rPr>
        <w:t>.</w:t>
      </w:r>
    </w:p>
    <w:p w14:paraId="1FE677F9" w14:textId="1EC0E5DE" w:rsidR="00AA6C90" w:rsidRPr="000B69F3" w:rsidRDefault="00BE6336" w:rsidP="002B30B4">
      <w:pPr>
        <w:pStyle w:val="ECHRPara"/>
        <w:rPr>
          <w:lang w:val="pl-PL"/>
        </w:rPr>
      </w:pPr>
      <w:r w:rsidRPr="000B69F3">
        <w:rPr>
          <w:lang w:val="pl-PL"/>
        </w:rPr>
        <w:fldChar w:fldCharType="begin"/>
      </w:r>
      <w:r w:rsidRPr="000B69F3">
        <w:rPr>
          <w:lang w:val="pl-PL"/>
        </w:rPr>
        <w:instrText xml:space="preserve"> SEQ level0 \*arabic </w:instrText>
      </w:r>
      <w:r w:rsidRPr="000B69F3">
        <w:rPr>
          <w:lang w:val="pl-PL"/>
        </w:rPr>
        <w:fldChar w:fldCharType="separate"/>
      </w:r>
      <w:r w:rsidR="002F52FF" w:rsidRPr="000B69F3">
        <w:rPr>
          <w:noProof/>
          <w:lang w:val="pl-PL"/>
        </w:rPr>
        <w:t>27</w:t>
      </w:r>
      <w:r w:rsidRPr="000B69F3">
        <w:rPr>
          <w:lang w:val="pl-PL"/>
        </w:rPr>
        <w:fldChar w:fldCharType="end"/>
      </w:r>
      <w:r w:rsidRPr="000B69F3">
        <w:rPr>
          <w:lang w:val="pl-PL"/>
        </w:rPr>
        <w:t>.  </w:t>
      </w:r>
      <w:r w:rsidR="00AA6C90" w:rsidRPr="000B69F3">
        <w:rPr>
          <w:lang w:val="pl-PL"/>
        </w:rPr>
        <w:t>Dnia 31 maja 2011 r. R.M., który przez pewien czas ukrywał się na terytorium Belgii, zosta</w:t>
      </w:r>
      <w:r w:rsidR="00DB29E7" w:rsidRPr="000B69F3">
        <w:rPr>
          <w:lang w:val="pl-PL"/>
        </w:rPr>
        <w:t>ł aresztowany w Republice Czecze</w:t>
      </w:r>
      <w:r w:rsidR="009D1A1C">
        <w:rPr>
          <w:lang w:val="pl-PL"/>
        </w:rPr>
        <w:t>nii</w:t>
      </w:r>
      <w:r w:rsidR="00AA6C90" w:rsidRPr="000B69F3">
        <w:rPr>
          <w:lang w:val="pl-PL"/>
        </w:rPr>
        <w:t>.</w:t>
      </w:r>
    </w:p>
    <w:p w14:paraId="3062D42F" w14:textId="739BA827" w:rsidR="00DB29E7" w:rsidRPr="000B69F3" w:rsidRDefault="00BE6336" w:rsidP="00DB29E7">
      <w:pPr>
        <w:pStyle w:val="ECHRPara"/>
        <w:rPr>
          <w:lang w:val="pl-PL"/>
        </w:rPr>
      </w:pPr>
      <w:r w:rsidRPr="000B69F3">
        <w:rPr>
          <w:lang w:val="pl-PL"/>
        </w:rPr>
        <w:fldChar w:fldCharType="begin"/>
      </w:r>
      <w:r w:rsidRPr="000B69F3">
        <w:rPr>
          <w:lang w:val="pl-PL"/>
        </w:rPr>
        <w:instrText xml:space="preserve"> SEQ level0 \*arabic </w:instrText>
      </w:r>
      <w:r w:rsidRPr="000B69F3">
        <w:rPr>
          <w:lang w:val="pl-PL"/>
        </w:rPr>
        <w:fldChar w:fldCharType="separate"/>
      </w:r>
      <w:r w:rsidR="002F52FF" w:rsidRPr="000B69F3">
        <w:rPr>
          <w:noProof/>
          <w:lang w:val="pl-PL"/>
        </w:rPr>
        <w:t>28</w:t>
      </w:r>
      <w:r w:rsidRPr="000B69F3">
        <w:rPr>
          <w:lang w:val="pl-PL"/>
        </w:rPr>
        <w:fldChar w:fldCharType="end"/>
      </w:r>
      <w:r w:rsidRPr="000B69F3">
        <w:rPr>
          <w:lang w:val="pl-PL"/>
        </w:rPr>
        <w:t>.  </w:t>
      </w:r>
      <w:r w:rsidR="00DB29E7" w:rsidRPr="000B69F3">
        <w:rPr>
          <w:lang w:val="pl-PL"/>
        </w:rPr>
        <w:t xml:space="preserve">Według skarżących, w nieoznaczonej dacie niejaki O.G. poinformował ich, że posiada informacje ważne z punktu widzenia śledztwa i jest gotów złożyć zeznania w charakterze świadka. Śledczy przesłuchał go na wniosek skarżących. O.G. zeznał, że w zabójstwo był </w:t>
      </w:r>
      <w:r w:rsidR="009D1A1C">
        <w:rPr>
          <w:lang w:val="pl-PL"/>
        </w:rPr>
        <w:t>za</w:t>
      </w:r>
      <w:r w:rsidR="00DB29E7" w:rsidRPr="000B69F3">
        <w:rPr>
          <w:lang w:val="pl-PL"/>
        </w:rPr>
        <w:t xml:space="preserve">mieszany D.P. </w:t>
      </w:r>
      <w:r w:rsidR="0071140E" w:rsidRPr="000B69F3">
        <w:rPr>
          <w:lang w:val="pl-PL"/>
        </w:rPr>
        <w:t>Według Rządu śledczy prowadzący postępowanie</w:t>
      </w:r>
      <w:r w:rsidR="0031164F" w:rsidRPr="000B69F3">
        <w:rPr>
          <w:lang w:val="pl-PL"/>
        </w:rPr>
        <w:t xml:space="preserve"> podjął próbę odnalezienia O.G.</w:t>
      </w:r>
      <w:r w:rsidR="00531EEE">
        <w:rPr>
          <w:lang w:val="pl-PL"/>
        </w:rPr>
        <w:t>,</w:t>
      </w:r>
      <w:r w:rsidR="0031164F" w:rsidRPr="000B69F3">
        <w:rPr>
          <w:lang w:val="pl-PL"/>
        </w:rPr>
        <w:t xml:space="preserve"> jednak był w stanie go przesłuchać dopiero po ustaleniu jego miejsca pobytu na Ukrainie.</w:t>
      </w:r>
    </w:p>
    <w:p w14:paraId="43B13ABB" w14:textId="712125B6" w:rsidR="0031164F" w:rsidRPr="000B69F3" w:rsidRDefault="00BE6336" w:rsidP="002B30B4">
      <w:pPr>
        <w:pStyle w:val="ECHRPara"/>
        <w:rPr>
          <w:lang w:val="pl-PL"/>
        </w:rPr>
      </w:pPr>
      <w:r w:rsidRPr="000B69F3">
        <w:rPr>
          <w:lang w:val="pl-PL"/>
        </w:rPr>
        <w:lastRenderedPageBreak/>
        <w:fldChar w:fldCharType="begin"/>
      </w:r>
      <w:r w:rsidRPr="000B69F3">
        <w:rPr>
          <w:lang w:val="pl-PL"/>
        </w:rPr>
        <w:instrText xml:space="preserve"> SEQ level0 \*arabic </w:instrText>
      </w:r>
      <w:r w:rsidRPr="000B69F3">
        <w:rPr>
          <w:lang w:val="pl-PL"/>
        </w:rPr>
        <w:fldChar w:fldCharType="separate"/>
      </w:r>
      <w:r w:rsidR="002F52FF" w:rsidRPr="000B69F3">
        <w:rPr>
          <w:noProof/>
          <w:lang w:val="pl-PL"/>
        </w:rPr>
        <w:t>29</w:t>
      </w:r>
      <w:r w:rsidRPr="000B69F3">
        <w:rPr>
          <w:lang w:val="pl-PL"/>
        </w:rPr>
        <w:fldChar w:fldCharType="end"/>
      </w:r>
      <w:r w:rsidRPr="000B69F3">
        <w:rPr>
          <w:lang w:val="pl-PL"/>
        </w:rPr>
        <w:t>.  </w:t>
      </w:r>
      <w:r w:rsidR="0031164F" w:rsidRPr="000B69F3">
        <w:rPr>
          <w:lang w:val="pl-PL"/>
        </w:rPr>
        <w:t xml:space="preserve">Dnia 26 sierpnia 2011 r. </w:t>
      </w:r>
      <w:r w:rsidR="00562BA7" w:rsidRPr="000B69F3">
        <w:rPr>
          <w:lang w:val="pl-PL"/>
        </w:rPr>
        <w:t>Sąd Rejonowy</w:t>
      </w:r>
      <w:r w:rsidR="00AC4529" w:rsidRPr="000B69F3">
        <w:rPr>
          <w:lang w:val="pl-PL"/>
        </w:rPr>
        <w:t xml:space="preserve"> Moskwa</w:t>
      </w:r>
      <w:r w:rsidR="00562BA7" w:rsidRPr="000B69F3">
        <w:rPr>
          <w:lang w:val="pl-PL"/>
        </w:rPr>
        <w:t xml:space="preserve"> </w:t>
      </w:r>
      <w:r w:rsidR="00155C60" w:rsidRPr="000B69F3">
        <w:rPr>
          <w:lang w:val="pl-PL"/>
        </w:rPr>
        <w:t>–</w:t>
      </w:r>
      <w:r w:rsidR="00562BA7" w:rsidRPr="000B69F3">
        <w:rPr>
          <w:lang w:val="pl-PL"/>
        </w:rPr>
        <w:t xml:space="preserve"> Basmannyj</w:t>
      </w:r>
      <w:r w:rsidR="00155C60" w:rsidRPr="000B69F3">
        <w:rPr>
          <w:lang w:val="pl-PL"/>
        </w:rPr>
        <w:t xml:space="preserve"> </w:t>
      </w:r>
      <w:r w:rsidR="00AC4529" w:rsidRPr="000B69F3">
        <w:rPr>
          <w:lang w:val="pl-PL"/>
        </w:rPr>
        <w:t xml:space="preserve">(dalej: „Sąd Rejonowy”) </w:t>
      </w:r>
      <w:r w:rsidR="00155C60" w:rsidRPr="000B69F3">
        <w:rPr>
          <w:lang w:val="pl-PL"/>
        </w:rPr>
        <w:t>wydał decyzję o aresztowaniu D.P.</w:t>
      </w:r>
    </w:p>
    <w:p w14:paraId="7408DC9D" w14:textId="46907410" w:rsidR="008F4064" w:rsidRPr="000B69F3" w:rsidRDefault="00D16FB4" w:rsidP="008F4064">
      <w:pPr>
        <w:pStyle w:val="ECHRPara"/>
        <w:rPr>
          <w:lang w:val="pl-PL"/>
        </w:rPr>
      </w:pPr>
      <w:r w:rsidRPr="000B69F3">
        <w:rPr>
          <w:lang w:val="pl-PL"/>
        </w:rPr>
        <w:fldChar w:fldCharType="begin"/>
      </w:r>
      <w:r w:rsidRPr="000B69F3">
        <w:rPr>
          <w:lang w:val="pl-PL"/>
        </w:rPr>
        <w:instrText xml:space="preserve"> SEQ level0 \*arabic </w:instrText>
      </w:r>
      <w:r w:rsidRPr="000B69F3">
        <w:rPr>
          <w:lang w:val="pl-PL"/>
        </w:rPr>
        <w:fldChar w:fldCharType="separate"/>
      </w:r>
      <w:r w:rsidR="002F52FF" w:rsidRPr="000B69F3">
        <w:rPr>
          <w:noProof/>
          <w:lang w:val="pl-PL"/>
        </w:rPr>
        <w:t>30</w:t>
      </w:r>
      <w:r w:rsidRPr="000B69F3">
        <w:rPr>
          <w:lang w:val="pl-PL"/>
        </w:rPr>
        <w:fldChar w:fldCharType="end"/>
      </w:r>
      <w:r w:rsidRPr="000B69F3">
        <w:rPr>
          <w:lang w:val="pl-PL"/>
        </w:rPr>
        <w:t>.  </w:t>
      </w:r>
      <w:r w:rsidR="00155C60" w:rsidRPr="000B69F3">
        <w:rPr>
          <w:lang w:val="pl-PL"/>
        </w:rPr>
        <w:t xml:space="preserve">Dnia 30 sierpnia 2011 r. D.P. przyznał się do winy przed organem śledczym. Stwierdził, że </w:t>
      </w:r>
      <w:r w:rsidR="005C7EC7" w:rsidRPr="000B69F3">
        <w:rPr>
          <w:lang w:val="pl-PL"/>
        </w:rPr>
        <w:t xml:space="preserve">jego znajomi, L.-A.G. i S.Kh. zaproponowali mu zorganizowanie bezprawnej inwigilacji Politkowskiej. L.-A.G. wyraził zamiar zabicia dziennikarki i powiedział, że D.P. mógłby wziąć udział w przygotowaniach do zamachu w zamian za zapłatę, na które to warunki D.P. się zgodził. Otrzymawszy znaczną kwotę i instrukcje od L.-A.G., D.P. nabył od nieznajomej osoby pistolet z tłumikiem i przekazał go R.M. </w:t>
      </w:r>
      <w:r w:rsidR="008F4064" w:rsidRPr="000B69F3">
        <w:rPr>
          <w:lang w:val="pl-PL"/>
        </w:rPr>
        <w:t>Według materiałów Rządu, L.-A.G. nie wskazał motywów zabójstwa, ale „wspomniał, że zbrodnia została zlecona przez znaną osobę mieszkającą w Zjednoczonym Królestwie”.</w:t>
      </w:r>
    </w:p>
    <w:p w14:paraId="7E9D24C4" w14:textId="361C56FF" w:rsidR="008F4064" w:rsidRPr="000B69F3" w:rsidRDefault="00BE6336" w:rsidP="002B30B4">
      <w:pPr>
        <w:pStyle w:val="ECHRPara"/>
        <w:rPr>
          <w:lang w:val="pl-PL"/>
        </w:rPr>
      </w:pPr>
      <w:r w:rsidRPr="000B69F3">
        <w:rPr>
          <w:lang w:val="pl-PL"/>
        </w:rPr>
        <w:fldChar w:fldCharType="begin"/>
      </w:r>
      <w:r w:rsidRPr="000B69F3">
        <w:rPr>
          <w:lang w:val="pl-PL"/>
        </w:rPr>
        <w:instrText xml:space="preserve"> SEQ level0 \*arabic </w:instrText>
      </w:r>
      <w:r w:rsidRPr="000B69F3">
        <w:rPr>
          <w:lang w:val="pl-PL"/>
        </w:rPr>
        <w:fldChar w:fldCharType="separate"/>
      </w:r>
      <w:r w:rsidR="002F52FF" w:rsidRPr="000B69F3">
        <w:rPr>
          <w:noProof/>
          <w:lang w:val="pl-PL"/>
        </w:rPr>
        <w:t>31</w:t>
      </w:r>
      <w:r w:rsidRPr="000B69F3">
        <w:rPr>
          <w:lang w:val="pl-PL"/>
        </w:rPr>
        <w:fldChar w:fldCharType="end"/>
      </w:r>
      <w:r w:rsidRPr="000B69F3">
        <w:rPr>
          <w:lang w:val="pl-PL"/>
        </w:rPr>
        <w:t>.  </w:t>
      </w:r>
      <w:r w:rsidR="008F4064" w:rsidRPr="000B69F3">
        <w:rPr>
          <w:lang w:val="pl-PL"/>
        </w:rPr>
        <w:t xml:space="preserve">Dnia 29 sierpnia 2012 r. sprawa karna przeciwko D.P. została wyłączona do osobnego postępowania i wszczęto osobne śledztwo. </w:t>
      </w:r>
      <w:r w:rsidR="002F52FF" w:rsidRPr="000B69F3">
        <w:rPr>
          <w:lang w:val="pl-PL"/>
        </w:rPr>
        <w:t>Skarżący nie zgodzili się z tą decyzją. W dniu 14 grudnia 2012</w:t>
      </w:r>
      <w:r w:rsidR="00AC4529" w:rsidRPr="000B69F3">
        <w:rPr>
          <w:lang w:val="pl-PL"/>
        </w:rPr>
        <w:t xml:space="preserve"> r.</w:t>
      </w:r>
      <w:r w:rsidR="002F52FF" w:rsidRPr="000B69F3">
        <w:rPr>
          <w:lang w:val="pl-PL"/>
        </w:rPr>
        <w:t xml:space="preserve"> Sąd Miejski Moskwy (</w:t>
      </w:r>
      <w:r w:rsidR="00AC4529" w:rsidRPr="000B69F3">
        <w:rPr>
          <w:lang w:val="pl-PL"/>
        </w:rPr>
        <w:t xml:space="preserve">dalej: </w:t>
      </w:r>
      <w:r w:rsidR="00DF5D96">
        <w:rPr>
          <w:lang w:val="pl-PL"/>
        </w:rPr>
        <w:t>„</w:t>
      </w:r>
      <w:r w:rsidR="00AC4529" w:rsidRPr="000B69F3">
        <w:rPr>
          <w:lang w:val="pl-PL"/>
        </w:rPr>
        <w:t>Sąd Miejski”)</w:t>
      </w:r>
      <w:r w:rsidR="00DF5D96">
        <w:rPr>
          <w:lang w:val="pl-PL"/>
        </w:rPr>
        <w:t xml:space="preserve"> </w:t>
      </w:r>
      <w:r w:rsidR="00AC4529" w:rsidRPr="000B69F3">
        <w:rPr>
          <w:lang w:val="pl-PL"/>
        </w:rPr>
        <w:t>skazał D.P. na karę 11 lat pozbawienia wolności. Skarżący wnieśli apelację</w:t>
      </w:r>
      <w:r w:rsidR="00DF5D96">
        <w:rPr>
          <w:lang w:val="pl-PL"/>
        </w:rPr>
        <w:t>,</w:t>
      </w:r>
      <w:r w:rsidR="00AC4529" w:rsidRPr="000B69F3">
        <w:rPr>
          <w:lang w:val="pl-PL"/>
        </w:rPr>
        <w:t xml:space="preserve"> twierdząc, że wyrok był zbyt łagodny. W nieoznaczonej dacie, wskutek apelacji wyrok wobec D.P. został podtrzymany.</w:t>
      </w:r>
    </w:p>
    <w:p w14:paraId="02A9A023" w14:textId="7CB87276" w:rsidR="00AC4529" w:rsidRPr="000B69F3" w:rsidRDefault="00D16FB4" w:rsidP="002B30B4">
      <w:pPr>
        <w:pStyle w:val="ECHRPara"/>
        <w:rPr>
          <w:lang w:val="pl-PL"/>
        </w:rPr>
      </w:pPr>
      <w:r w:rsidRPr="000B69F3">
        <w:rPr>
          <w:lang w:val="pl-PL"/>
        </w:rPr>
        <w:fldChar w:fldCharType="begin"/>
      </w:r>
      <w:r w:rsidRPr="000B69F3">
        <w:rPr>
          <w:lang w:val="pl-PL"/>
        </w:rPr>
        <w:instrText xml:space="preserve"> SEQ level0 \*arabic </w:instrText>
      </w:r>
      <w:r w:rsidRPr="000B69F3">
        <w:rPr>
          <w:lang w:val="pl-PL"/>
        </w:rPr>
        <w:fldChar w:fldCharType="separate"/>
      </w:r>
      <w:r w:rsidR="002F52FF" w:rsidRPr="000B69F3">
        <w:rPr>
          <w:noProof/>
          <w:lang w:val="pl-PL"/>
        </w:rPr>
        <w:t>32</w:t>
      </w:r>
      <w:r w:rsidRPr="000B69F3">
        <w:rPr>
          <w:lang w:val="pl-PL"/>
        </w:rPr>
        <w:fldChar w:fldCharType="end"/>
      </w:r>
      <w:r w:rsidRPr="000B69F3">
        <w:rPr>
          <w:lang w:val="pl-PL"/>
        </w:rPr>
        <w:t>.  </w:t>
      </w:r>
      <w:r w:rsidR="00AC4529" w:rsidRPr="000B69F3">
        <w:rPr>
          <w:lang w:val="pl-PL"/>
        </w:rPr>
        <w:t xml:space="preserve">Na pewnym etapie akta sprawy przeciwko S.Kh., R.M., D.M., I.M. oraz L.-A.G. zostały przekazane do </w:t>
      </w:r>
      <w:r w:rsidR="009E1765" w:rsidRPr="000B69F3">
        <w:rPr>
          <w:lang w:val="pl-PL"/>
        </w:rPr>
        <w:t>Sądu Miejskiego celem przeprowadzenia procesu.</w:t>
      </w:r>
    </w:p>
    <w:p w14:paraId="6DA0717D" w14:textId="33538DB9" w:rsidR="00B73141" w:rsidRPr="000B69F3" w:rsidRDefault="00B73141" w:rsidP="002B30B4">
      <w:pPr>
        <w:pStyle w:val="ECHRHeading2"/>
        <w:rPr>
          <w:lang w:val="pl-PL"/>
        </w:rPr>
      </w:pPr>
      <w:r w:rsidRPr="000B69F3">
        <w:rPr>
          <w:lang w:val="pl-PL"/>
        </w:rPr>
        <w:t>D.  </w:t>
      </w:r>
      <w:r w:rsidR="009E1765" w:rsidRPr="000B69F3">
        <w:rPr>
          <w:lang w:val="pl-PL"/>
        </w:rPr>
        <w:t>Drugi cykl postępowań sądowych</w:t>
      </w:r>
    </w:p>
    <w:p w14:paraId="556445BC" w14:textId="48FDD3F9" w:rsidR="009E1765" w:rsidRPr="000B69F3" w:rsidRDefault="00D16FB4" w:rsidP="002B30B4">
      <w:pPr>
        <w:pStyle w:val="ECHRPara"/>
        <w:rPr>
          <w:lang w:val="pl-PL"/>
        </w:rPr>
      </w:pPr>
      <w:r w:rsidRPr="000B69F3">
        <w:rPr>
          <w:lang w:val="pl-PL"/>
        </w:rPr>
        <w:fldChar w:fldCharType="begin"/>
      </w:r>
      <w:r w:rsidRPr="000B69F3">
        <w:rPr>
          <w:lang w:val="pl-PL"/>
        </w:rPr>
        <w:instrText xml:space="preserve"> SEQ level0 \*arabic </w:instrText>
      </w:r>
      <w:r w:rsidRPr="000B69F3">
        <w:rPr>
          <w:lang w:val="pl-PL"/>
        </w:rPr>
        <w:fldChar w:fldCharType="separate"/>
      </w:r>
      <w:r w:rsidR="002F52FF" w:rsidRPr="000B69F3">
        <w:rPr>
          <w:noProof/>
          <w:lang w:val="pl-PL"/>
        </w:rPr>
        <w:t>33</w:t>
      </w:r>
      <w:r w:rsidRPr="000B69F3">
        <w:rPr>
          <w:lang w:val="pl-PL"/>
        </w:rPr>
        <w:fldChar w:fldCharType="end"/>
      </w:r>
      <w:r w:rsidRPr="000B69F3">
        <w:rPr>
          <w:lang w:val="pl-PL"/>
        </w:rPr>
        <w:t>.  </w:t>
      </w:r>
      <w:r w:rsidR="009E1765" w:rsidRPr="000B69F3">
        <w:rPr>
          <w:lang w:val="pl-PL"/>
        </w:rPr>
        <w:t>Dnia 20 czerwca 2013 r. w Sądzie Miejskim rozpoczął się proces S.Kh., R.M., D.M., I.M. i L.-A.G. z udziałem ławy przysięgłych.</w:t>
      </w:r>
    </w:p>
    <w:p w14:paraId="031E48CC" w14:textId="2324DF08" w:rsidR="009E1765" w:rsidRPr="000B69F3" w:rsidRDefault="00D16FB4" w:rsidP="002B30B4">
      <w:pPr>
        <w:pStyle w:val="ECHRPara"/>
        <w:rPr>
          <w:lang w:val="pl-PL"/>
        </w:rPr>
      </w:pPr>
      <w:r w:rsidRPr="000B69F3">
        <w:rPr>
          <w:lang w:val="pl-PL"/>
        </w:rPr>
        <w:fldChar w:fldCharType="begin"/>
      </w:r>
      <w:r w:rsidRPr="000B69F3">
        <w:rPr>
          <w:lang w:val="pl-PL"/>
        </w:rPr>
        <w:instrText xml:space="preserve"> SEQ level0 \*arabic </w:instrText>
      </w:r>
      <w:r w:rsidRPr="000B69F3">
        <w:rPr>
          <w:lang w:val="pl-PL"/>
        </w:rPr>
        <w:fldChar w:fldCharType="separate"/>
      </w:r>
      <w:r w:rsidR="002F52FF" w:rsidRPr="000B69F3">
        <w:rPr>
          <w:noProof/>
          <w:lang w:val="pl-PL"/>
        </w:rPr>
        <w:t>34</w:t>
      </w:r>
      <w:r w:rsidRPr="000B69F3">
        <w:rPr>
          <w:lang w:val="pl-PL"/>
        </w:rPr>
        <w:fldChar w:fldCharType="end"/>
      </w:r>
      <w:r w:rsidRPr="000B69F3">
        <w:rPr>
          <w:lang w:val="pl-PL"/>
        </w:rPr>
        <w:t>.  </w:t>
      </w:r>
      <w:r w:rsidR="009E1765" w:rsidRPr="000B69F3">
        <w:rPr>
          <w:lang w:val="pl-PL"/>
        </w:rPr>
        <w:t>Dnia 14 listopada 2013 r. ława przysięgłych została rozwiązana z powodu stawienia się na rozprawie tylko jedenastu z dwunastu przysięgłych.</w:t>
      </w:r>
    </w:p>
    <w:p w14:paraId="00B033CD" w14:textId="7897AA63" w:rsidR="00335883" w:rsidRPr="000B69F3" w:rsidRDefault="00D16FB4" w:rsidP="002B30B4">
      <w:pPr>
        <w:pStyle w:val="ECHRPara"/>
        <w:rPr>
          <w:lang w:val="pl-PL"/>
        </w:rPr>
      </w:pPr>
      <w:r w:rsidRPr="000B69F3">
        <w:rPr>
          <w:lang w:val="pl-PL"/>
        </w:rPr>
        <w:fldChar w:fldCharType="begin"/>
      </w:r>
      <w:r w:rsidRPr="000B69F3">
        <w:rPr>
          <w:lang w:val="pl-PL"/>
        </w:rPr>
        <w:instrText xml:space="preserve"> SEQ level0 \*arabic </w:instrText>
      </w:r>
      <w:r w:rsidRPr="000B69F3">
        <w:rPr>
          <w:lang w:val="pl-PL"/>
        </w:rPr>
        <w:fldChar w:fldCharType="separate"/>
      </w:r>
      <w:r w:rsidR="002F52FF" w:rsidRPr="000B69F3">
        <w:rPr>
          <w:noProof/>
          <w:lang w:val="pl-PL"/>
        </w:rPr>
        <w:t>35</w:t>
      </w:r>
      <w:r w:rsidRPr="000B69F3">
        <w:rPr>
          <w:lang w:val="pl-PL"/>
        </w:rPr>
        <w:fldChar w:fldCharType="end"/>
      </w:r>
      <w:r w:rsidRPr="000B69F3">
        <w:rPr>
          <w:lang w:val="pl-PL"/>
        </w:rPr>
        <w:t>.  </w:t>
      </w:r>
      <w:r w:rsidR="00335883" w:rsidRPr="000B69F3">
        <w:rPr>
          <w:lang w:val="pl-PL"/>
        </w:rPr>
        <w:t>Dnia 14 stycznia 2014 r. rozpoczęły się przesłuchania przez ławą przysięgłych w nowym składzie.</w:t>
      </w:r>
    </w:p>
    <w:p w14:paraId="2717C0CC" w14:textId="3EEBCB98" w:rsidR="00335883" w:rsidRPr="000B69F3" w:rsidRDefault="00D16FB4" w:rsidP="002B30B4">
      <w:pPr>
        <w:pStyle w:val="ECHRPara"/>
        <w:rPr>
          <w:lang w:val="pl-PL"/>
        </w:rPr>
      </w:pPr>
      <w:r w:rsidRPr="000B69F3">
        <w:rPr>
          <w:lang w:val="pl-PL"/>
        </w:rPr>
        <w:fldChar w:fldCharType="begin"/>
      </w:r>
      <w:r w:rsidRPr="000B69F3">
        <w:rPr>
          <w:lang w:val="pl-PL"/>
        </w:rPr>
        <w:instrText xml:space="preserve"> SEQ level0 \*arabic </w:instrText>
      </w:r>
      <w:r w:rsidRPr="000B69F3">
        <w:rPr>
          <w:lang w:val="pl-PL"/>
        </w:rPr>
        <w:fldChar w:fldCharType="separate"/>
      </w:r>
      <w:r w:rsidR="002F52FF" w:rsidRPr="000B69F3">
        <w:rPr>
          <w:noProof/>
          <w:lang w:val="pl-PL"/>
        </w:rPr>
        <w:t>36</w:t>
      </w:r>
      <w:r w:rsidRPr="000B69F3">
        <w:rPr>
          <w:lang w:val="pl-PL"/>
        </w:rPr>
        <w:fldChar w:fldCharType="end"/>
      </w:r>
      <w:r w:rsidRPr="000B69F3">
        <w:rPr>
          <w:lang w:val="pl-PL"/>
        </w:rPr>
        <w:t>.  </w:t>
      </w:r>
      <w:r w:rsidR="00335883" w:rsidRPr="000B69F3">
        <w:rPr>
          <w:lang w:val="pl-PL"/>
        </w:rPr>
        <w:t>Dnia 29 maja 2014 r. ława przysięgłych wydała werdykt</w:t>
      </w:r>
      <w:r w:rsidR="00DF5D96">
        <w:rPr>
          <w:lang w:val="pl-PL"/>
        </w:rPr>
        <w:t>,</w:t>
      </w:r>
      <w:r w:rsidR="00335883" w:rsidRPr="000B69F3">
        <w:rPr>
          <w:lang w:val="pl-PL"/>
        </w:rPr>
        <w:t xml:space="preserve"> uznając wszystkich pięciu współoskarżonych winnymi zabójstwa Anny Politkowskiej. Uznali również R.M. winnym uprowadzenia osoby trzeciej w październiku 1996 r.</w:t>
      </w:r>
    </w:p>
    <w:bookmarkStart w:id="5" w:name="sentence"/>
    <w:p w14:paraId="45133B9C" w14:textId="456A1E05" w:rsidR="00335883" w:rsidRPr="000B69F3" w:rsidRDefault="00A77835" w:rsidP="00482DD5">
      <w:pPr>
        <w:pStyle w:val="ECHRPara"/>
        <w:rPr>
          <w:lang w:val="pl-PL"/>
        </w:rPr>
      </w:pPr>
      <w:r w:rsidRPr="000B69F3">
        <w:rPr>
          <w:lang w:val="pl-PL"/>
        </w:rPr>
        <w:fldChar w:fldCharType="begin"/>
      </w:r>
      <w:r w:rsidRPr="000B69F3">
        <w:rPr>
          <w:lang w:val="pl-PL"/>
        </w:rPr>
        <w:instrText xml:space="preserve"> SEQ level0 \*arabic </w:instrText>
      </w:r>
      <w:r w:rsidRPr="000B69F3">
        <w:rPr>
          <w:lang w:val="pl-PL"/>
        </w:rPr>
        <w:fldChar w:fldCharType="separate"/>
      </w:r>
      <w:r w:rsidR="002F52FF" w:rsidRPr="000B69F3">
        <w:rPr>
          <w:noProof/>
          <w:lang w:val="pl-PL"/>
        </w:rPr>
        <w:t>37</w:t>
      </w:r>
      <w:r w:rsidRPr="000B69F3">
        <w:rPr>
          <w:lang w:val="pl-PL"/>
        </w:rPr>
        <w:fldChar w:fldCharType="end"/>
      </w:r>
      <w:bookmarkEnd w:id="5"/>
      <w:r w:rsidRPr="000B69F3">
        <w:rPr>
          <w:lang w:val="pl-PL"/>
        </w:rPr>
        <w:t>.  </w:t>
      </w:r>
      <w:r w:rsidR="00335883" w:rsidRPr="000B69F3">
        <w:rPr>
          <w:lang w:val="pl-PL"/>
        </w:rPr>
        <w:t>Dnia 9 czerwca 2014 r. Sąd Miejski wydał wyrok, w którym uznał, że L.-A.G. „przyjął</w:t>
      </w:r>
      <w:r w:rsidR="004D6A71" w:rsidRPr="000B69F3">
        <w:rPr>
          <w:lang w:val="pl-PL"/>
        </w:rPr>
        <w:t xml:space="preserve"> propozycję od niezidentyfikowanej osoby niezadowolonej z publikacji autorstwa Anny Politkowskiej w piśmie </w:t>
      </w:r>
      <w:r w:rsidR="004D6A71" w:rsidRPr="000B69F3">
        <w:rPr>
          <w:i/>
          <w:lang w:val="pl-PL"/>
        </w:rPr>
        <w:t>Nowaja Gazieta</w:t>
      </w:r>
      <w:r w:rsidR="004D6A71" w:rsidRPr="000B69F3">
        <w:rPr>
          <w:lang w:val="pl-PL"/>
        </w:rPr>
        <w:t xml:space="preserve"> opisujących łamanie praw człowieka, sprzeniewierzanie majątku państwowego oraz nadużywanie stanowiska przez urzędnika” – propozycję </w:t>
      </w:r>
      <w:r w:rsidR="0099308F" w:rsidRPr="000B69F3">
        <w:rPr>
          <w:lang w:val="pl-PL"/>
        </w:rPr>
        <w:t>zorganizowania zabójstwa dziennikarki w zamian za wynagrodzenie w kwocie co najmniej 150 000 USD. L.</w:t>
      </w:r>
      <w:r w:rsidR="0099308F" w:rsidRPr="000B69F3">
        <w:rPr>
          <w:lang w:val="pl-PL"/>
        </w:rPr>
        <w:noBreakHyphen/>
        <w:t xml:space="preserve">A.G. następnie zaangażował w przygotowania do zabójstwa swoich siostrzeńców, R.M., D.M. oraz I.M. jak również „osobę, postępowanie karne wobec której wyłączono do odrębnego </w:t>
      </w:r>
      <w:r w:rsidR="0099308F" w:rsidRPr="000B69F3">
        <w:rPr>
          <w:lang w:val="pl-PL"/>
        </w:rPr>
        <w:lastRenderedPageBreak/>
        <w:t xml:space="preserve">postępowania” i jej znajomego S.Kh. </w:t>
      </w:r>
      <w:r w:rsidR="00482DD5">
        <w:rPr>
          <w:lang w:val="pl-PL"/>
        </w:rPr>
        <w:t>O</w:t>
      </w:r>
      <w:r w:rsidR="0099308F" w:rsidRPr="000B69F3">
        <w:rPr>
          <w:lang w:val="pl-PL"/>
        </w:rPr>
        <w:t>p</w:t>
      </w:r>
      <w:r w:rsidR="00482DD5">
        <w:rPr>
          <w:lang w:val="pl-PL"/>
        </w:rPr>
        <w:t>ierając się na</w:t>
      </w:r>
      <w:r w:rsidR="0099308F" w:rsidRPr="000B69F3">
        <w:rPr>
          <w:lang w:val="pl-PL"/>
        </w:rPr>
        <w:t xml:space="preserve"> werdyk</w:t>
      </w:r>
      <w:r w:rsidR="00482DD5">
        <w:rPr>
          <w:lang w:val="pl-PL"/>
        </w:rPr>
        <w:t>cie</w:t>
      </w:r>
      <w:r w:rsidR="0099308F" w:rsidRPr="000B69F3">
        <w:rPr>
          <w:lang w:val="pl-PL"/>
        </w:rPr>
        <w:t xml:space="preserve"> ławy przysięgłych, Sąd Miejski określił morderstwo jako czyn popełniony przez zorganizowan</w:t>
      </w:r>
      <w:r w:rsidR="00482DD5">
        <w:rPr>
          <w:lang w:val="pl-PL"/>
        </w:rPr>
        <w:t>ą</w:t>
      </w:r>
      <w:r w:rsidR="0099308F" w:rsidRPr="000B69F3">
        <w:rPr>
          <w:lang w:val="pl-PL"/>
        </w:rPr>
        <w:t xml:space="preserve"> grupę za wynagrodzeniem</w:t>
      </w:r>
      <w:r w:rsidR="007E0533" w:rsidRPr="000B69F3">
        <w:rPr>
          <w:lang w:val="pl-PL"/>
        </w:rPr>
        <w:t xml:space="preserve"> w związku z wypełnianiem przez ofiarę obowiązków zawodowych i obywatelskich. Sąd uznał również L.</w:t>
      </w:r>
      <w:r w:rsidR="007E0533" w:rsidRPr="000B69F3">
        <w:rPr>
          <w:lang w:val="pl-PL"/>
        </w:rPr>
        <w:noBreakHyphen/>
        <w:t xml:space="preserve">A.G., R.M. i D.M. winnymi nielegalnego posługiwania się bronią. Sąd nie zgodził się na umorzenie postępowania przeciwko R.M. odnośnie </w:t>
      </w:r>
      <w:r w:rsidR="00BA0943">
        <w:rPr>
          <w:lang w:val="pl-PL"/>
        </w:rPr>
        <w:t xml:space="preserve">do </w:t>
      </w:r>
      <w:r w:rsidR="007E0533" w:rsidRPr="000B69F3">
        <w:rPr>
          <w:lang w:val="pl-PL"/>
        </w:rPr>
        <w:t>zajść z 1996 r. z tytułu przedawnienia</w:t>
      </w:r>
      <w:r w:rsidR="00BA0943">
        <w:rPr>
          <w:lang w:val="pl-PL"/>
        </w:rPr>
        <w:t>,</w:t>
      </w:r>
      <w:r w:rsidR="007E0533" w:rsidRPr="000B69F3">
        <w:rPr>
          <w:lang w:val="pl-PL"/>
        </w:rPr>
        <w:t xml:space="preserve"> ponieważ oskarżony był od 1997 r. ścigany listem gończym w związku z tymi wydarzeniami oraz uznał go winnym uprowadzenia i wymuszenia. Sąd Miejski skazał L.-</w:t>
      </w:r>
      <w:r w:rsidR="00204D67" w:rsidRPr="000B69F3">
        <w:rPr>
          <w:lang w:val="pl-PL"/>
        </w:rPr>
        <w:t xml:space="preserve">A.G., </w:t>
      </w:r>
      <w:r w:rsidR="007E0533" w:rsidRPr="000B69F3">
        <w:rPr>
          <w:lang w:val="pl-PL"/>
        </w:rPr>
        <w:t>uznanego za organizatora</w:t>
      </w:r>
      <w:r w:rsidR="00204D67" w:rsidRPr="000B69F3">
        <w:rPr>
          <w:lang w:val="pl-PL"/>
        </w:rPr>
        <w:t xml:space="preserve"> zabójstwa, i R.M., uznanego za jego wykonawcę, na kar</w:t>
      </w:r>
      <w:r w:rsidR="009D1A1C">
        <w:rPr>
          <w:lang w:val="pl-PL"/>
        </w:rPr>
        <w:t>y</w:t>
      </w:r>
      <w:r w:rsidR="00204D67" w:rsidRPr="000B69F3">
        <w:rPr>
          <w:lang w:val="pl-PL"/>
        </w:rPr>
        <w:t xml:space="preserve"> dożywotniego pozbawienia wolności. D.M. i I.M. zostali skazani na odpowiednio czternaście i dwanaście lat więzienia. S.Kh wymierzono karę dwudziestu pięciu lat pozbawienia wolności. Roszczenia cywilne zgłoszone przez trzeciego i czwartego skarżącego uwzględniono w następującym zakresie. </w:t>
      </w:r>
      <w:r w:rsidR="00354174" w:rsidRPr="000B69F3">
        <w:rPr>
          <w:lang w:val="pl-PL"/>
        </w:rPr>
        <w:t xml:space="preserve">Na rzecz każdego z </w:t>
      </w:r>
      <w:r w:rsidR="009328B3" w:rsidRPr="000B69F3">
        <w:rPr>
          <w:lang w:val="pl-PL"/>
        </w:rPr>
        <w:t>nich zasądzono kwotę 70</w:t>
      </w:r>
      <w:r w:rsidR="0082335A" w:rsidRPr="000B69F3">
        <w:rPr>
          <w:lang w:val="pl-PL"/>
        </w:rPr>
        <w:t>0 000 rubli (ok. 14 790 euro)</w:t>
      </w:r>
      <w:r w:rsidR="009328B3" w:rsidRPr="000B69F3">
        <w:rPr>
          <w:lang w:val="pl-PL"/>
        </w:rPr>
        <w:t xml:space="preserve"> odpowiednio</w:t>
      </w:r>
      <w:r w:rsidR="0082335A" w:rsidRPr="000B69F3">
        <w:rPr>
          <w:lang w:val="pl-PL"/>
        </w:rPr>
        <w:t xml:space="preserve"> od</w:t>
      </w:r>
      <w:r w:rsidR="009328B3" w:rsidRPr="000B69F3">
        <w:rPr>
          <w:lang w:val="pl-PL"/>
        </w:rPr>
        <w:t xml:space="preserve"> L.-A.G. </w:t>
      </w:r>
      <w:r w:rsidR="0082335A" w:rsidRPr="000B69F3">
        <w:rPr>
          <w:lang w:val="pl-PL"/>
        </w:rPr>
        <w:t>i R. M., 500 000 rubli (ok. 10 570 euro) od S.Kh i 300 000 rubli (ok. 6 340 euro) odpowiednio od D.M i I.M.</w:t>
      </w:r>
    </w:p>
    <w:p w14:paraId="4A18E104" w14:textId="06DA9621" w:rsidR="00AA7541" w:rsidRPr="000B69F3" w:rsidRDefault="00256F7F" w:rsidP="002B30B4">
      <w:pPr>
        <w:pStyle w:val="ECHRPara"/>
        <w:rPr>
          <w:lang w:val="pl-PL"/>
        </w:rPr>
      </w:pPr>
      <w:r w:rsidRPr="000B69F3">
        <w:rPr>
          <w:lang w:val="pl-PL"/>
        </w:rPr>
        <w:fldChar w:fldCharType="begin"/>
      </w:r>
      <w:r w:rsidRPr="000B69F3">
        <w:rPr>
          <w:lang w:val="pl-PL"/>
        </w:rPr>
        <w:instrText xml:space="preserve"> SEQ level0 \*arabic </w:instrText>
      </w:r>
      <w:r w:rsidRPr="000B69F3">
        <w:rPr>
          <w:lang w:val="pl-PL"/>
        </w:rPr>
        <w:fldChar w:fldCharType="separate"/>
      </w:r>
      <w:r w:rsidR="002F52FF" w:rsidRPr="000B69F3">
        <w:rPr>
          <w:noProof/>
          <w:lang w:val="pl-PL"/>
        </w:rPr>
        <w:t>38</w:t>
      </w:r>
      <w:r w:rsidRPr="000B69F3">
        <w:rPr>
          <w:lang w:val="pl-PL"/>
        </w:rPr>
        <w:fldChar w:fldCharType="end"/>
      </w:r>
      <w:r w:rsidRPr="000B69F3">
        <w:rPr>
          <w:lang w:val="pl-PL"/>
        </w:rPr>
        <w:t>.  </w:t>
      </w:r>
      <w:r w:rsidR="0082335A" w:rsidRPr="000B69F3">
        <w:rPr>
          <w:lang w:val="pl-PL"/>
        </w:rPr>
        <w:t>Oskarżeni odwołali się od wyroku skazującego.</w:t>
      </w:r>
    </w:p>
    <w:p w14:paraId="4D34A499" w14:textId="44BD079E" w:rsidR="0082335A" w:rsidRPr="000B69F3" w:rsidRDefault="00B73141" w:rsidP="002B30B4">
      <w:pPr>
        <w:pStyle w:val="ECHRPara"/>
        <w:rPr>
          <w:lang w:val="pl-PL"/>
        </w:rPr>
      </w:pPr>
      <w:r w:rsidRPr="000B69F3">
        <w:rPr>
          <w:lang w:val="pl-PL"/>
        </w:rPr>
        <w:fldChar w:fldCharType="begin"/>
      </w:r>
      <w:r w:rsidRPr="000B69F3">
        <w:rPr>
          <w:lang w:val="pl-PL"/>
        </w:rPr>
        <w:instrText xml:space="preserve"> SEQ level0 \*arabic </w:instrText>
      </w:r>
      <w:r w:rsidRPr="000B69F3">
        <w:rPr>
          <w:lang w:val="pl-PL"/>
        </w:rPr>
        <w:fldChar w:fldCharType="separate"/>
      </w:r>
      <w:r w:rsidR="002F52FF" w:rsidRPr="000B69F3">
        <w:rPr>
          <w:noProof/>
          <w:lang w:val="pl-PL"/>
        </w:rPr>
        <w:t>39</w:t>
      </w:r>
      <w:r w:rsidRPr="000B69F3">
        <w:rPr>
          <w:lang w:val="pl-PL"/>
        </w:rPr>
        <w:fldChar w:fldCharType="end"/>
      </w:r>
      <w:r w:rsidRPr="000B69F3">
        <w:rPr>
          <w:lang w:val="pl-PL"/>
        </w:rPr>
        <w:t>.  </w:t>
      </w:r>
      <w:r w:rsidR="0082335A" w:rsidRPr="000B69F3">
        <w:rPr>
          <w:lang w:val="pl-PL"/>
        </w:rPr>
        <w:t>Dnia 26 czerwca 2015 r. w ramach postępowania odwoławczego Sąd Najwyższy Rosji uznał, że werdykt orzekający o winie został</w:t>
      </w:r>
      <w:r w:rsidR="001B71BD" w:rsidRPr="000B69F3">
        <w:rPr>
          <w:lang w:val="pl-PL"/>
        </w:rPr>
        <w:t xml:space="preserve"> wydany na podstawie dogłębnego zbadania materiału dowodowego</w:t>
      </w:r>
      <w:r w:rsidR="00FB5567" w:rsidRPr="000B69F3">
        <w:rPr>
          <w:lang w:val="pl-PL"/>
        </w:rPr>
        <w:t>.</w:t>
      </w:r>
      <w:r w:rsidR="002C51E1" w:rsidRPr="000B69F3">
        <w:rPr>
          <w:lang w:val="pl-PL"/>
        </w:rPr>
        <w:t xml:space="preserve"> Podtrzymując wyrok w całości, Sąd Najwyższy nieznacznie złagodził wyrok wobec L.-A.G., R.M. i D.M. za nielegalne posługiwanie się bronią. Jednak zgodnie z zasadami łączenia wyroków za wielokrotne przestępstwa, nie miało to wpływu na kary dożywocia zasądzone wobec L.-A.G. i R.M. Karę pozbawienia wolności dla D.M. obniżono do 13 lat i 9 miesięcy.</w:t>
      </w:r>
    </w:p>
    <w:bookmarkStart w:id="6" w:name="forty"/>
    <w:p w14:paraId="52FC50AF" w14:textId="145D6E1E" w:rsidR="002C51E1" w:rsidRPr="000B69F3" w:rsidRDefault="00B73141" w:rsidP="002B30B4">
      <w:pPr>
        <w:pStyle w:val="ECHRPara"/>
        <w:rPr>
          <w:lang w:val="pl-PL"/>
        </w:rPr>
      </w:pPr>
      <w:r w:rsidRPr="000B69F3">
        <w:rPr>
          <w:lang w:val="pl-PL"/>
        </w:rPr>
        <w:fldChar w:fldCharType="begin"/>
      </w:r>
      <w:r w:rsidRPr="000B69F3">
        <w:rPr>
          <w:lang w:val="pl-PL"/>
        </w:rPr>
        <w:instrText xml:space="preserve"> SEQ level0 \*arabic </w:instrText>
      </w:r>
      <w:r w:rsidRPr="000B69F3">
        <w:rPr>
          <w:lang w:val="pl-PL"/>
        </w:rPr>
        <w:fldChar w:fldCharType="separate"/>
      </w:r>
      <w:r w:rsidR="002F52FF" w:rsidRPr="000B69F3">
        <w:rPr>
          <w:noProof/>
          <w:lang w:val="pl-PL"/>
        </w:rPr>
        <w:t>40</w:t>
      </w:r>
      <w:r w:rsidRPr="000B69F3">
        <w:rPr>
          <w:lang w:val="pl-PL"/>
        </w:rPr>
        <w:fldChar w:fldCharType="end"/>
      </w:r>
      <w:bookmarkEnd w:id="6"/>
      <w:r w:rsidRPr="000B69F3">
        <w:rPr>
          <w:lang w:val="pl-PL"/>
        </w:rPr>
        <w:t>.  </w:t>
      </w:r>
      <w:r w:rsidR="002C51E1" w:rsidRPr="000B69F3">
        <w:rPr>
          <w:lang w:val="pl-PL"/>
        </w:rPr>
        <w:t xml:space="preserve">Według stanowiska przyjętego przez Rząd śledztwo dotyczące zabójstwa Anny Politkowskiej nie </w:t>
      </w:r>
      <w:r w:rsidR="00F87A4B" w:rsidRPr="000B69F3">
        <w:rPr>
          <w:lang w:val="pl-PL"/>
        </w:rPr>
        <w:t>zostało umorzone. Rząd przedłożył kopie wyroku Sądu Miejskiego z dnia 9 czerwca 2014</w:t>
      </w:r>
      <w:r w:rsidR="00BA0943">
        <w:rPr>
          <w:lang w:val="pl-PL"/>
        </w:rPr>
        <w:t xml:space="preserve"> r.</w:t>
      </w:r>
      <w:r w:rsidR="00F87A4B" w:rsidRPr="000B69F3">
        <w:rPr>
          <w:lang w:val="pl-PL"/>
        </w:rPr>
        <w:t xml:space="preserve"> i</w:t>
      </w:r>
      <w:r w:rsidR="00DC4724" w:rsidRPr="000B69F3">
        <w:rPr>
          <w:lang w:val="pl-PL"/>
        </w:rPr>
        <w:t xml:space="preserve"> wyroku apelacyjnego</w:t>
      </w:r>
      <w:r w:rsidR="00F87A4B" w:rsidRPr="000B69F3">
        <w:rPr>
          <w:lang w:val="pl-PL"/>
        </w:rPr>
        <w:t xml:space="preserve"> Sądu Najwyższego z dnia </w:t>
      </w:r>
      <w:r w:rsidR="00DC4724" w:rsidRPr="000B69F3">
        <w:rPr>
          <w:lang w:val="pl-PL"/>
        </w:rPr>
        <w:t>26 czerwca 2015</w:t>
      </w:r>
      <w:r w:rsidR="00BA0943">
        <w:rPr>
          <w:lang w:val="pl-PL"/>
        </w:rPr>
        <w:t xml:space="preserve"> r</w:t>
      </w:r>
      <w:r w:rsidR="00DC4724" w:rsidRPr="000B69F3">
        <w:rPr>
          <w:lang w:val="pl-PL"/>
        </w:rPr>
        <w:t>.</w:t>
      </w:r>
    </w:p>
    <w:p w14:paraId="2F0A7054" w14:textId="7ECF06D6" w:rsidR="00014566" w:rsidRPr="000B69F3" w:rsidRDefault="00DC4724" w:rsidP="002B30B4">
      <w:pPr>
        <w:pStyle w:val="ECHRTitle1"/>
        <w:rPr>
          <w:lang w:val="pl-PL"/>
        </w:rPr>
      </w:pPr>
      <w:r w:rsidRPr="000B69F3">
        <w:rPr>
          <w:lang w:val="pl-PL"/>
        </w:rPr>
        <w:t>PRAWO</w:t>
      </w:r>
    </w:p>
    <w:p w14:paraId="3E841FD5" w14:textId="0C7EF11C" w:rsidR="00014566" w:rsidRPr="000B69F3" w:rsidRDefault="00014566" w:rsidP="002B30B4">
      <w:pPr>
        <w:pStyle w:val="ECHRHeading1"/>
        <w:rPr>
          <w:lang w:val="pl-PL"/>
        </w:rPr>
      </w:pPr>
      <w:r w:rsidRPr="000B69F3">
        <w:rPr>
          <w:lang w:val="pl-PL"/>
        </w:rPr>
        <w:t>I.  </w:t>
      </w:r>
      <w:r w:rsidR="00DC4724" w:rsidRPr="000B69F3">
        <w:rPr>
          <w:lang w:val="pl-PL"/>
        </w:rPr>
        <w:t>DOMNIEMANE NARUSZENIE ARTYKUŁU 2 KONWENCJI</w:t>
      </w:r>
    </w:p>
    <w:p w14:paraId="5CCC0919" w14:textId="7CB92BEC" w:rsidR="00747733" w:rsidRPr="000B69F3" w:rsidRDefault="00FC4960" w:rsidP="002B30B4">
      <w:pPr>
        <w:pStyle w:val="ECHRPara"/>
        <w:rPr>
          <w:lang w:val="pl-PL"/>
        </w:rPr>
      </w:pPr>
      <w:r w:rsidRPr="000B69F3">
        <w:rPr>
          <w:lang w:val="pl-PL"/>
        </w:rPr>
        <w:fldChar w:fldCharType="begin"/>
      </w:r>
      <w:r w:rsidRPr="000B69F3">
        <w:rPr>
          <w:lang w:val="pl-PL"/>
        </w:rPr>
        <w:instrText xml:space="preserve"> SEQ level0 \*arabic </w:instrText>
      </w:r>
      <w:r w:rsidRPr="000B69F3">
        <w:rPr>
          <w:lang w:val="pl-PL"/>
        </w:rPr>
        <w:fldChar w:fldCharType="separate"/>
      </w:r>
      <w:r w:rsidR="002F52FF" w:rsidRPr="000B69F3">
        <w:rPr>
          <w:noProof/>
          <w:lang w:val="pl-PL"/>
        </w:rPr>
        <w:t>41</w:t>
      </w:r>
      <w:r w:rsidRPr="000B69F3">
        <w:rPr>
          <w:lang w:val="pl-PL"/>
        </w:rPr>
        <w:fldChar w:fldCharType="end"/>
      </w:r>
      <w:r w:rsidR="00014566" w:rsidRPr="000B69F3">
        <w:rPr>
          <w:lang w:val="pl-PL"/>
        </w:rPr>
        <w:t>.  </w:t>
      </w:r>
      <w:r w:rsidR="00E63118" w:rsidRPr="000B69F3">
        <w:rPr>
          <w:lang w:val="pl-PL"/>
        </w:rPr>
        <w:t xml:space="preserve">W kontekście aspektu proceduralnego </w:t>
      </w:r>
      <w:r w:rsidR="00B63432">
        <w:rPr>
          <w:lang w:val="pl-PL"/>
        </w:rPr>
        <w:t>art.</w:t>
      </w:r>
      <w:r w:rsidR="007830EC" w:rsidRPr="000B69F3">
        <w:rPr>
          <w:lang w:val="pl-PL"/>
        </w:rPr>
        <w:t xml:space="preserve"> 2 K</w:t>
      </w:r>
      <w:r w:rsidR="00B63432">
        <w:rPr>
          <w:lang w:val="pl-PL"/>
        </w:rPr>
        <w:t>onwencji s</w:t>
      </w:r>
      <w:r w:rsidR="00E63118" w:rsidRPr="000B69F3">
        <w:rPr>
          <w:lang w:val="pl-PL"/>
        </w:rPr>
        <w:t xml:space="preserve">karżący podnieśli, że </w:t>
      </w:r>
      <w:r w:rsidR="00C77C88" w:rsidRPr="000B69F3">
        <w:rPr>
          <w:lang w:val="pl-PL"/>
        </w:rPr>
        <w:t>śledztwo w sprawie zabójstwa Anny Politkowskiej było nieskuteczne, ponieważ toczyło się od 2006 r.</w:t>
      </w:r>
      <w:r w:rsidR="006F182A">
        <w:rPr>
          <w:lang w:val="pl-PL"/>
        </w:rPr>
        <w:t>,</w:t>
      </w:r>
      <w:r w:rsidR="00C77C88" w:rsidRPr="000B69F3">
        <w:rPr>
          <w:lang w:val="pl-PL"/>
        </w:rPr>
        <w:t xml:space="preserve"> a mimo tego nie doprowadziło do wskazania osób odpowiedzialnych za zlecenie i opłacenie zbrodni.</w:t>
      </w:r>
      <w:r w:rsidR="007830EC" w:rsidRPr="000B69F3">
        <w:rPr>
          <w:lang w:val="pl-PL"/>
        </w:rPr>
        <w:t xml:space="preserve"> Odnośny fr</w:t>
      </w:r>
      <w:r w:rsidR="00B63432">
        <w:rPr>
          <w:lang w:val="pl-PL"/>
        </w:rPr>
        <w:t>agment przywołanego a</w:t>
      </w:r>
      <w:r w:rsidR="007830EC" w:rsidRPr="000B69F3">
        <w:rPr>
          <w:lang w:val="pl-PL"/>
        </w:rPr>
        <w:t>rtykułu brzmi:</w:t>
      </w:r>
    </w:p>
    <w:p w14:paraId="5E6D3E16" w14:textId="0F256301" w:rsidR="00256F7F" w:rsidRPr="000B69F3" w:rsidRDefault="007830EC" w:rsidP="002B30B4">
      <w:pPr>
        <w:pStyle w:val="ECHRParaQuote"/>
        <w:rPr>
          <w:lang w:val="pl-PL"/>
        </w:rPr>
      </w:pPr>
      <w:r w:rsidRPr="000B69F3">
        <w:rPr>
          <w:lang w:val="pl-PL"/>
        </w:rPr>
        <w:t xml:space="preserve"> „</w:t>
      </w:r>
      <w:r w:rsidR="00256F7F" w:rsidRPr="000B69F3">
        <w:rPr>
          <w:lang w:val="pl-PL"/>
        </w:rPr>
        <w:t>1</w:t>
      </w:r>
      <w:r w:rsidRPr="000B69F3">
        <w:rPr>
          <w:lang w:val="pl-PL"/>
        </w:rPr>
        <w:t>. Prawo każdego człowieka do życia jest chronione przez ustawę</w:t>
      </w:r>
      <w:r w:rsidR="00256F7F" w:rsidRPr="000B69F3">
        <w:rPr>
          <w:lang w:val="pl-PL"/>
        </w:rPr>
        <w:t>.”</w:t>
      </w:r>
    </w:p>
    <w:p w14:paraId="1FF3C41C" w14:textId="2409B680" w:rsidR="006E4987" w:rsidRPr="000B69F3" w:rsidRDefault="00B0200C" w:rsidP="002B30B4">
      <w:pPr>
        <w:pStyle w:val="ECHRHeading2"/>
        <w:rPr>
          <w:lang w:val="pl-PL"/>
        </w:rPr>
      </w:pPr>
      <w:r w:rsidRPr="000B69F3">
        <w:rPr>
          <w:lang w:val="pl-PL"/>
        </w:rPr>
        <w:lastRenderedPageBreak/>
        <w:t>A.  Stanowiska stron</w:t>
      </w:r>
    </w:p>
    <w:p w14:paraId="65B73226" w14:textId="601FB731" w:rsidR="006E4987" w:rsidRPr="000B69F3" w:rsidRDefault="00B0200C" w:rsidP="002B30B4">
      <w:pPr>
        <w:pStyle w:val="ECHRHeading3"/>
        <w:rPr>
          <w:lang w:val="pl-PL"/>
        </w:rPr>
      </w:pPr>
      <w:r w:rsidRPr="000B69F3">
        <w:rPr>
          <w:lang w:val="pl-PL"/>
        </w:rPr>
        <w:t>1.  Rząd</w:t>
      </w:r>
    </w:p>
    <w:bookmarkStart w:id="7" w:name="OBSG_victim"/>
    <w:p w14:paraId="67B9B5C2" w14:textId="13C4D708" w:rsidR="00B0200C" w:rsidRPr="000B69F3" w:rsidRDefault="00FC4960" w:rsidP="002B30B4">
      <w:pPr>
        <w:pStyle w:val="ECHRPara"/>
        <w:rPr>
          <w:lang w:val="pl-PL"/>
        </w:rPr>
      </w:pPr>
      <w:r w:rsidRPr="000B69F3">
        <w:rPr>
          <w:lang w:val="pl-PL"/>
        </w:rPr>
        <w:fldChar w:fldCharType="begin"/>
      </w:r>
      <w:r w:rsidRPr="000B69F3">
        <w:rPr>
          <w:lang w:val="pl-PL"/>
        </w:rPr>
        <w:instrText xml:space="preserve"> SEQ level0 \*arabic </w:instrText>
      </w:r>
      <w:r w:rsidRPr="000B69F3">
        <w:rPr>
          <w:lang w:val="pl-PL"/>
        </w:rPr>
        <w:fldChar w:fldCharType="separate"/>
      </w:r>
      <w:r w:rsidR="002F52FF" w:rsidRPr="000B69F3">
        <w:rPr>
          <w:noProof/>
          <w:lang w:val="pl-PL"/>
        </w:rPr>
        <w:t>42</w:t>
      </w:r>
      <w:r w:rsidRPr="000B69F3">
        <w:rPr>
          <w:lang w:val="pl-PL"/>
        </w:rPr>
        <w:fldChar w:fldCharType="end"/>
      </w:r>
      <w:bookmarkEnd w:id="7"/>
      <w:r w:rsidR="00014566" w:rsidRPr="000B69F3">
        <w:rPr>
          <w:lang w:val="pl-PL"/>
        </w:rPr>
        <w:t>.  </w:t>
      </w:r>
      <w:r w:rsidR="00B0200C" w:rsidRPr="000B69F3">
        <w:rPr>
          <w:lang w:val="pl-PL"/>
        </w:rPr>
        <w:t>Na początku postępowania Rząd zajął stanowisko</w:t>
      </w:r>
      <w:r w:rsidR="004F1823">
        <w:rPr>
          <w:lang w:val="pl-PL"/>
        </w:rPr>
        <w:t>,</w:t>
      </w:r>
      <w:r w:rsidR="00B0200C" w:rsidRPr="000B69F3">
        <w:rPr>
          <w:lang w:val="pl-PL"/>
        </w:rPr>
        <w:t xml:space="preserve"> zgodnie z którym skarżącym nie przysługiwał już status ofiary domniemanego naruszenia. Po pierwsze, skarżący nie przedłożyli Trybunałowi odpisu wyroku sądu pierwszej instancji skazującego winnych ani kolejnych</w:t>
      </w:r>
      <w:r w:rsidR="00132F2D" w:rsidRPr="000B69F3">
        <w:rPr>
          <w:lang w:val="pl-PL"/>
        </w:rPr>
        <w:t xml:space="preserve"> jego</w:t>
      </w:r>
      <w:r w:rsidR="00B0200C" w:rsidRPr="000B69F3">
        <w:rPr>
          <w:lang w:val="pl-PL"/>
        </w:rPr>
        <w:t xml:space="preserve"> orzeczeń</w:t>
      </w:r>
      <w:r w:rsidR="00132F2D" w:rsidRPr="000B69F3">
        <w:rPr>
          <w:lang w:val="pl-PL"/>
        </w:rPr>
        <w:t>. Po drugie, trzeci i czwarty skarżący, którym na etapie krajowym nadano status pokrzywdzonych, nie poinformowali Trybunału, że ich roszczenia zgłaszane na drodze cywilnej w związku z przedmiotową zbrodnią zostały uwzględnione. Podsumowując swoje stanowisko</w:t>
      </w:r>
      <w:r w:rsidR="004F1823">
        <w:rPr>
          <w:lang w:val="pl-PL"/>
        </w:rPr>
        <w:t>,</w:t>
      </w:r>
      <w:r w:rsidR="00132F2D" w:rsidRPr="000B69F3">
        <w:rPr>
          <w:lang w:val="pl-PL"/>
        </w:rPr>
        <w:t xml:space="preserve"> Rząd </w:t>
      </w:r>
      <w:r w:rsidR="00717CEB" w:rsidRPr="000B69F3">
        <w:rPr>
          <w:lang w:val="pl-PL"/>
        </w:rPr>
        <w:t xml:space="preserve">stwierdził, że skarżący utracili status </w:t>
      </w:r>
      <w:r w:rsidR="005C5618" w:rsidRPr="000B69F3">
        <w:rPr>
          <w:lang w:val="pl-PL"/>
        </w:rPr>
        <w:t>pokrzywdzonych, ponieważ postępowanie zakończyło się wyrokami skazującymi, a na rzecz skarżących zasądzono odszkodowania w postępowaniu cywilnym.</w:t>
      </w:r>
    </w:p>
    <w:bookmarkStart w:id="8" w:name="OBSG_never"/>
    <w:p w14:paraId="56211D1F" w14:textId="17739321" w:rsidR="005C5618" w:rsidRPr="000B69F3" w:rsidRDefault="00175B28" w:rsidP="007A45D4">
      <w:pPr>
        <w:pStyle w:val="ECHRPara"/>
        <w:rPr>
          <w:lang w:val="pl-PL"/>
        </w:rPr>
      </w:pPr>
      <w:r w:rsidRPr="000B69F3">
        <w:rPr>
          <w:lang w:val="pl-PL"/>
        </w:rPr>
        <w:fldChar w:fldCharType="begin"/>
      </w:r>
      <w:r w:rsidRPr="000B69F3">
        <w:rPr>
          <w:lang w:val="pl-PL"/>
        </w:rPr>
        <w:instrText xml:space="preserve"> SEQ level0 \*arabic </w:instrText>
      </w:r>
      <w:r w:rsidRPr="000B69F3">
        <w:rPr>
          <w:lang w:val="pl-PL"/>
        </w:rPr>
        <w:fldChar w:fldCharType="separate"/>
      </w:r>
      <w:r w:rsidR="002F52FF" w:rsidRPr="000B69F3">
        <w:rPr>
          <w:noProof/>
          <w:lang w:val="pl-PL"/>
        </w:rPr>
        <w:t>43</w:t>
      </w:r>
      <w:r w:rsidRPr="000B69F3">
        <w:rPr>
          <w:lang w:val="pl-PL"/>
        </w:rPr>
        <w:fldChar w:fldCharType="end"/>
      </w:r>
      <w:bookmarkEnd w:id="8"/>
      <w:r w:rsidRPr="000B69F3">
        <w:rPr>
          <w:lang w:val="pl-PL"/>
        </w:rPr>
        <w:t>.  </w:t>
      </w:r>
      <w:r w:rsidR="005C5618" w:rsidRPr="000B69F3">
        <w:rPr>
          <w:lang w:val="pl-PL"/>
        </w:rPr>
        <w:t xml:space="preserve">Odnośnie </w:t>
      </w:r>
      <w:r w:rsidR="004F1823">
        <w:rPr>
          <w:lang w:val="pl-PL"/>
        </w:rPr>
        <w:t xml:space="preserve">do </w:t>
      </w:r>
      <w:r w:rsidR="005C5618" w:rsidRPr="000B69F3">
        <w:rPr>
          <w:lang w:val="pl-PL"/>
        </w:rPr>
        <w:t xml:space="preserve">przedmiotu skargi, Rząd podniósł, że władze krajowe spełniły obowiązek przeprowadzenia skutecznego śledztwa w sprawie zabójstwa Anny Politkowskiej. Postępowanie karne wszczęto w dniu zabójstwa i było </w:t>
      </w:r>
      <w:r w:rsidR="007A45D4">
        <w:rPr>
          <w:lang w:val="pl-PL"/>
        </w:rPr>
        <w:t xml:space="preserve">ono </w:t>
      </w:r>
      <w:r w:rsidR="005C5618" w:rsidRPr="000B69F3">
        <w:rPr>
          <w:lang w:val="pl-PL"/>
        </w:rPr>
        <w:t>prowadzone przez wydział Prokuratury Generalnej do spraw badania szczególnie ważnych przypadków.</w:t>
      </w:r>
      <w:r w:rsidR="00517685" w:rsidRPr="000B69F3">
        <w:rPr>
          <w:lang w:val="pl-PL"/>
        </w:rPr>
        <w:t xml:space="preserve"> Trzeci i czwarty skarżący otrzymali status pokrzywdzonych. Prawnicy skarżących zostali dopuszczeni do udziału w śledztwie na etapie przedsądowym. Trzeci i czwarty skarżący byli włączeni w śledztwo, ich wnioski były uwzględniane zgodnie z prawem oraz mieli faktyczną możliwość zgłaszania sprzeciwów od decyzji śledczych.</w:t>
      </w:r>
      <w:r w:rsidR="00FF569F" w:rsidRPr="000B69F3">
        <w:rPr>
          <w:lang w:val="pl-PL"/>
        </w:rPr>
        <w:t xml:space="preserve"> Od momentu wszczęcia śledztwo nigdy nie zostało zawieszone ani umorzone.</w:t>
      </w:r>
    </w:p>
    <w:bookmarkStart w:id="9" w:name="OBSG_activities"/>
    <w:p w14:paraId="29766A35" w14:textId="25A73C87" w:rsidR="00FF569F" w:rsidRPr="000B69F3" w:rsidRDefault="003118EB" w:rsidP="002B30B4">
      <w:pPr>
        <w:pStyle w:val="ECHRPara"/>
        <w:rPr>
          <w:lang w:val="pl-PL"/>
        </w:rPr>
      </w:pPr>
      <w:r w:rsidRPr="000B69F3">
        <w:rPr>
          <w:lang w:val="pl-PL"/>
        </w:rPr>
        <w:fldChar w:fldCharType="begin"/>
      </w:r>
      <w:r w:rsidRPr="000B69F3">
        <w:rPr>
          <w:lang w:val="pl-PL"/>
        </w:rPr>
        <w:instrText xml:space="preserve"> SEQ level0 \*arabic </w:instrText>
      </w:r>
      <w:r w:rsidRPr="000B69F3">
        <w:rPr>
          <w:lang w:val="pl-PL"/>
        </w:rPr>
        <w:fldChar w:fldCharType="separate"/>
      </w:r>
      <w:r w:rsidR="002F52FF" w:rsidRPr="000B69F3">
        <w:rPr>
          <w:noProof/>
          <w:lang w:val="pl-PL"/>
        </w:rPr>
        <w:t>44</w:t>
      </w:r>
      <w:r w:rsidRPr="000B69F3">
        <w:rPr>
          <w:lang w:val="pl-PL"/>
        </w:rPr>
        <w:fldChar w:fldCharType="end"/>
      </w:r>
      <w:bookmarkEnd w:id="9"/>
      <w:r w:rsidRPr="000B69F3">
        <w:rPr>
          <w:lang w:val="pl-PL"/>
        </w:rPr>
        <w:t>.  </w:t>
      </w:r>
      <w:r w:rsidR="00FF569F" w:rsidRPr="000B69F3">
        <w:rPr>
          <w:lang w:val="pl-PL"/>
        </w:rPr>
        <w:t>Następnie Rząd podniósł, że śledztwo w sprawie zabójstwa Anny Politkowskiej było szczególnie skomplikowane z kilku powodów, głównie za względu na samą naturę przestępstwa zabójstwa na zlecenie</w:t>
      </w:r>
      <w:r w:rsidR="000351D9" w:rsidRPr="000B69F3">
        <w:rPr>
          <w:lang w:val="pl-PL"/>
        </w:rPr>
        <w:t xml:space="preserve">. W przestępstwo zamieszanych było wiele osób, które usiłowały ukryć swoją działalność. Władze przesłuchały 1500 świadków i </w:t>
      </w:r>
      <w:r w:rsidR="00B113CE" w:rsidRPr="000B69F3">
        <w:rPr>
          <w:lang w:val="pl-PL"/>
        </w:rPr>
        <w:t>zleciły kilkadziesiąt ekspertyz i rekonstrukcji. Akta sprawy obejmowa</w:t>
      </w:r>
      <w:r w:rsidR="007A45D4">
        <w:rPr>
          <w:lang w:val="pl-PL"/>
        </w:rPr>
        <w:t>ł</w:t>
      </w:r>
      <w:r w:rsidR="00B113CE" w:rsidRPr="000B69F3">
        <w:rPr>
          <w:lang w:val="pl-PL"/>
        </w:rPr>
        <w:t>y ponad sto tomów. R.M. ukrywał się w Belgii przez kilka lat, co miało wpływ na łączny czas trwania śledztwa.</w:t>
      </w:r>
    </w:p>
    <w:bookmarkStart w:id="10" w:name="OBSG_organiser"/>
    <w:p w14:paraId="55667251" w14:textId="2F43C9B6" w:rsidR="00B113CE" w:rsidRPr="000B69F3" w:rsidRDefault="00F662BE" w:rsidP="002B30B4">
      <w:pPr>
        <w:pStyle w:val="ECHRPara"/>
        <w:rPr>
          <w:lang w:val="pl-PL"/>
        </w:rPr>
      </w:pPr>
      <w:r w:rsidRPr="000B69F3">
        <w:rPr>
          <w:lang w:val="pl-PL"/>
        </w:rPr>
        <w:fldChar w:fldCharType="begin"/>
      </w:r>
      <w:r w:rsidRPr="000B69F3">
        <w:rPr>
          <w:lang w:val="pl-PL"/>
        </w:rPr>
        <w:instrText xml:space="preserve"> SEQ level0 \*arabic </w:instrText>
      </w:r>
      <w:r w:rsidRPr="000B69F3">
        <w:rPr>
          <w:lang w:val="pl-PL"/>
        </w:rPr>
        <w:fldChar w:fldCharType="separate"/>
      </w:r>
      <w:r w:rsidR="002F52FF" w:rsidRPr="000B69F3">
        <w:rPr>
          <w:noProof/>
          <w:lang w:val="pl-PL"/>
        </w:rPr>
        <w:t>45</w:t>
      </w:r>
      <w:r w:rsidRPr="000B69F3">
        <w:rPr>
          <w:lang w:val="pl-PL"/>
        </w:rPr>
        <w:fldChar w:fldCharType="end"/>
      </w:r>
      <w:bookmarkEnd w:id="10"/>
      <w:r w:rsidRPr="000B69F3">
        <w:rPr>
          <w:lang w:val="pl-PL"/>
        </w:rPr>
        <w:t>.  </w:t>
      </w:r>
      <w:r w:rsidR="00B113CE" w:rsidRPr="000B69F3">
        <w:rPr>
          <w:lang w:val="pl-PL"/>
        </w:rPr>
        <w:t>Śledztwo nie doprowadziło do wskazania z pewnością osoby stojącej za zleceniem zabójstwa z kilku powodów, w szczególności ze względu na niepełne uwzględnianie wniosków o międzynarodową pomoc prawną i zgon w 2013 r. podejrzanego zamieszkałego w Wielkiej Brytanii, którego oskarżeni określali jako „znanego byłego polityka rosyjskiego” i „organizatora zabójstwa”. Ponadto śledztwa w sprawach o zabójstwo na zlecenie były szczególnie trudne do prowadzenia</w:t>
      </w:r>
      <w:r w:rsidR="0097743C">
        <w:rPr>
          <w:lang w:val="pl-PL"/>
        </w:rPr>
        <w:t>,</w:t>
      </w:r>
      <w:r w:rsidR="00B113CE" w:rsidRPr="000B69F3">
        <w:rPr>
          <w:lang w:val="pl-PL"/>
        </w:rPr>
        <w:t xml:space="preserve"> ponieważ osoby zleca</w:t>
      </w:r>
      <w:r w:rsidR="00791083" w:rsidRPr="000B69F3">
        <w:rPr>
          <w:lang w:val="pl-PL"/>
        </w:rPr>
        <w:t>jące zabójstwo rzadko kontaktowa</w:t>
      </w:r>
      <w:r w:rsidR="0097743C">
        <w:rPr>
          <w:lang w:val="pl-PL"/>
        </w:rPr>
        <w:t>ły</w:t>
      </w:r>
      <w:r w:rsidR="00B113CE" w:rsidRPr="000B69F3">
        <w:rPr>
          <w:lang w:val="pl-PL"/>
        </w:rPr>
        <w:t xml:space="preserve"> się bezpośrednio z </w:t>
      </w:r>
      <w:r w:rsidR="00791083" w:rsidRPr="000B69F3">
        <w:rPr>
          <w:lang w:val="pl-PL"/>
        </w:rPr>
        <w:t xml:space="preserve">jego wykonawcami, ale korzystali z pośredników. „Ważną cechą śledztw prowadzonych w sprawach </w:t>
      </w:r>
      <w:r w:rsidR="00463A1F" w:rsidRPr="000B69F3">
        <w:rPr>
          <w:lang w:val="pl-PL"/>
        </w:rPr>
        <w:t xml:space="preserve">o zabójstwo na zlecenie jest ich wielotorowe prowadzenie. Potrzeba rozważania kilku teorii pociąga za sobą obowiązkowe i jednoczesne badanie </w:t>
      </w:r>
      <w:r w:rsidR="00463A1F" w:rsidRPr="000B69F3">
        <w:rPr>
          <w:lang w:val="pl-PL"/>
        </w:rPr>
        <w:lastRenderedPageBreak/>
        <w:t xml:space="preserve">ich wszystkich.” </w:t>
      </w:r>
      <w:r w:rsidR="00667412" w:rsidRPr="000B69F3">
        <w:rPr>
          <w:lang w:val="pl-PL"/>
        </w:rPr>
        <w:t>Jednak w pierwszej kolejności weryfikowano najbardziej prawdopodobne teorie, co do których było najwięcej informacji. Nierzadko pomimo zidentyfikowania sprawcy takie postępowania nie doprowadzały do ustalenia zleceniodawcy zabójstwa</w:t>
      </w:r>
      <w:r w:rsidR="00467FA4" w:rsidRPr="000B69F3">
        <w:rPr>
          <w:lang w:val="pl-PL"/>
        </w:rPr>
        <w:t>.</w:t>
      </w:r>
    </w:p>
    <w:p w14:paraId="49C6FA38" w14:textId="77777777" w:rsidR="00467FA4" w:rsidRPr="000B69F3" w:rsidRDefault="00EA3C51" w:rsidP="00467FA4">
      <w:pPr>
        <w:pStyle w:val="ECHRPara"/>
        <w:rPr>
          <w:lang w:val="pl-PL"/>
        </w:rPr>
      </w:pPr>
      <w:r w:rsidRPr="000B69F3">
        <w:rPr>
          <w:lang w:val="pl-PL"/>
        </w:rPr>
        <w:fldChar w:fldCharType="begin"/>
      </w:r>
      <w:r w:rsidRPr="000B69F3">
        <w:rPr>
          <w:lang w:val="pl-PL"/>
        </w:rPr>
        <w:instrText xml:space="preserve"> SEQ level0 \*arabic </w:instrText>
      </w:r>
      <w:r w:rsidRPr="000B69F3">
        <w:rPr>
          <w:lang w:val="pl-PL"/>
        </w:rPr>
        <w:fldChar w:fldCharType="separate"/>
      </w:r>
      <w:r w:rsidR="002F52FF" w:rsidRPr="000B69F3">
        <w:rPr>
          <w:noProof/>
          <w:lang w:val="pl-PL"/>
        </w:rPr>
        <w:t>46</w:t>
      </w:r>
      <w:r w:rsidRPr="000B69F3">
        <w:rPr>
          <w:lang w:val="pl-PL"/>
        </w:rPr>
        <w:fldChar w:fldCharType="end"/>
      </w:r>
      <w:r w:rsidRPr="000B69F3">
        <w:rPr>
          <w:lang w:val="pl-PL"/>
        </w:rPr>
        <w:t>.  </w:t>
      </w:r>
      <w:r w:rsidR="00467FA4" w:rsidRPr="000B69F3">
        <w:rPr>
          <w:lang w:val="pl-PL"/>
        </w:rPr>
        <w:t>Motywacja bezpośrednich sprawców była czysto materialna, ponieważ chcieli wyłącznie otrzymać zapłatę za popełnioną zbrodnię i nie kierowali się “programem politycznym czy opacznie rozumianym interesem państwa”.</w:t>
      </w:r>
    </w:p>
    <w:p w14:paraId="7B6B5084" w14:textId="7F1321F6" w:rsidR="00870B62" w:rsidRPr="000B69F3" w:rsidRDefault="007B5F03" w:rsidP="00870B62">
      <w:pPr>
        <w:pStyle w:val="ECHRPara"/>
        <w:rPr>
          <w:lang w:val="pl-PL"/>
        </w:rPr>
      </w:pPr>
      <w:r w:rsidRPr="000B69F3">
        <w:rPr>
          <w:lang w:val="pl-PL"/>
        </w:rPr>
        <w:fldChar w:fldCharType="begin"/>
      </w:r>
      <w:r w:rsidRPr="000B69F3">
        <w:rPr>
          <w:lang w:val="pl-PL"/>
        </w:rPr>
        <w:instrText xml:space="preserve"> SEQ level0 \*arabic </w:instrText>
      </w:r>
      <w:r w:rsidRPr="000B69F3">
        <w:rPr>
          <w:lang w:val="pl-PL"/>
        </w:rPr>
        <w:fldChar w:fldCharType="separate"/>
      </w:r>
      <w:r w:rsidR="002F52FF" w:rsidRPr="000B69F3">
        <w:rPr>
          <w:noProof/>
          <w:lang w:val="pl-PL"/>
        </w:rPr>
        <w:t>47</w:t>
      </w:r>
      <w:r w:rsidRPr="000B69F3">
        <w:rPr>
          <w:lang w:val="pl-PL"/>
        </w:rPr>
        <w:fldChar w:fldCharType="end"/>
      </w:r>
      <w:r w:rsidRPr="000B69F3">
        <w:rPr>
          <w:lang w:val="pl-PL"/>
        </w:rPr>
        <w:t>.  </w:t>
      </w:r>
      <w:r w:rsidR="00467FA4" w:rsidRPr="000B69F3">
        <w:rPr>
          <w:lang w:val="pl-PL"/>
        </w:rPr>
        <w:t xml:space="preserve">Rząd stwierdził, że w toku śledztwa w sprawie wydania R.M. sfałszowanego paszportu ustalono, że </w:t>
      </w:r>
      <w:r w:rsidR="003C05A7">
        <w:rPr>
          <w:lang w:val="pl-PL"/>
        </w:rPr>
        <w:t>„</w:t>
      </w:r>
      <w:r w:rsidR="00467FA4" w:rsidRPr="000B69F3">
        <w:rPr>
          <w:lang w:val="pl-PL"/>
        </w:rPr>
        <w:t>pewni urzędnicy</w:t>
      </w:r>
      <w:r w:rsidR="007D7DE4" w:rsidRPr="000B69F3">
        <w:rPr>
          <w:lang w:val="pl-PL"/>
        </w:rPr>
        <w:t xml:space="preserve"> regionalnych departamentów spraw wewnętrznych</w:t>
      </w:r>
      <w:r w:rsidR="00870B62" w:rsidRPr="000B69F3">
        <w:rPr>
          <w:lang w:val="pl-PL"/>
        </w:rPr>
        <w:t xml:space="preserve"> (…) bezprawnie wydali R.M. paszporty wewnętrzne i zagraniczne innej osoby” oraz że informacje o tych działaniach </w:t>
      </w:r>
      <w:r w:rsidR="00EF00D1" w:rsidRPr="000B69F3">
        <w:rPr>
          <w:lang w:val="pl-PL"/>
        </w:rPr>
        <w:t>zostały przekazane szefom regionalnych departamentów spraw wewnętrznych</w:t>
      </w:r>
      <w:r w:rsidR="0054065F" w:rsidRPr="000B69F3">
        <w:rPr>
          <w:lang w:val="pl-PL"/>
        </w:rPr>
        <w:t xml:space="preserve">. </w:t>
      </w:r>
      <w:r w:rsidR="00870B62" w:rsidRPr="000B69F3">
        <w:rPr>
          <w:lang w:val="pl-PL"/>
        </w:rPr>
        <w:t>Rząd nie określił, czy wobec wspomnianych „pewnych urzędników” zastosowano jakiekolwiek sankcje. Rząd poinformował, że funkcjonariusze, którzy na polecenie D.P. śledzili Annę Politkowską</w:t>
      </w:r>
      <w:r w:rsidR="003C05A7">
        <w:rPr>
          <w:lang w:val="pl-PL"/>
        </w:rPr>
        <w:t>,</w:t>
      </w:r>
      <w:r w:rsidR="00870B62" w:rsidRPr="000B69F3">
        <w:rPr>
          <w:lang w:val="pl-PL"/>
        </w:rPr>
        <w:t xml:space="preserve"> zostali następnie zwolnieni ze służby. Wobec braku dowodów na ich udział w zabójstwie nie postawiono im zarzutów.</w:t>
      </w:r>
    </w:p>
    <w:p w14:paraId="658F6230" w14:textId="1EBA4DE9" w:rsidR="00A01001" w:rsidRPr="000B69F3" w:rsidRDefault="0080332A" w:rsidP="00A01001">
      <w:pPr>
        <w:pStyle w:val="ECHRPara"/>
        <w:rPr>
          <w:lang w:val="pl-PL"/>
        </w:rPr>
      </w:pPr>
      <w:r w:rsidRPr="000B69F3">
        <w:rPr>
          <w:lang w:val="pl-PL"/>
        </w:rPr>
        <w:fldChar w:fldCharType="begin"/>
      </w:r>
      <w:r w:rsidRPr="000B69F3">
        <w:rPr>
          <w:lang w:val="pl-PL"/>
        </w:rPr>
        <w:instrText xml:space="preserve"> SEQ level0 \*arabic </w:instrText>
      </w:r>
      <w:r w:rsidRPr="000B69F3">
        <w:rPr>
          <w:lang w:val="pl-PL"/>
        </w:rPr>
        <w:fldChar w:fldCharType="separate"/>
      </w:r>
      <w:r w:rsidR="002F52FF" w:rsidRPr="000B69F3">
        <w:rPr>
          <w:noProof/>
          <w:lang w:val="pl-PL"/>
        </w:rPr>
        <w:t>48</w:t>
      </w:r>
      <w:r w:rsidRPr="000B69F3">
        <w:rPr>
          <w:lang w:val="pl-PL"/>
        </w:rPr>
        <w:fldChar w:fldCharType="end"/>
      </w:r>
      <w:r w:rsidRPr="000B69F3">
        <w:rPr>
          <w:lang w:val="pl-PL"/>
        </w:rPr>
        <w:t>.  </w:t>
      </w:r>
      <w:r w:rsidR="00A01001" w:rsidRPr="000B69F3">
        <w:rPr>
          <w:lang w:val="pl-PL"/>
        </w:rPr>
        <w:t xml:space="preserve">Rząd zaznaczył, że organy krajowe wypełniły obowiązek przeprowadzenia skutecznego śledztwa w sprawie </w:t>
      </w:r>
      <w:r w:rsidR="005C411B" w:rsidRPr="000B69F3">
        <w:rPr>
          <w:lang w:val="pl-PL"/>
        </w:rPr>
        <w:t>zabójstwa. Śledztwo było przeprowadzone całościowo, dogłębnie i niezwłocznie, z uwzględnieniem złożonego charakteru przestępstwa, oraz doprowadziło do skazania w procesie karnym pięciu osób związanych z popełnioną zbrodnią.</w:t>
      </w:r>
    </w:p>
    <w:p w14:paraId="6F4AC6FB" w14:textId="4571B6F9" w:rsidR="006E4987" w:rsidRPr="000B69F3" w:rsidRDefault="005C411B" w:rsidP="002B30B4">
      <w:pPr>
        <w:pStyle w:val="ECHRHeading3"/>
        <w:rPr>
          <w:lang w:val="pl-PL"/>
        </w:rPr>
      </w:pPr>
      <w:r w:rsidRPr="000B69F3">
        <w:rPr>
          <w:lang w:val="pl-PL"/>
        </w:rPr>
        <w:t>2.  Skarżący</w:t>
      </w:r>
    </w:p>
    <w:bookmarkStart w:id="11" w:name="OBSR_recom"/>
    <w:p w14:paraId="3F2D73AA" w14:textId="0F283879" w:rsidR="00CA0CF2" w:rsidRPr="000B69F3" w:rsidRDefault="00FC4960" w:rsidP="00CA0CF2">
      <w:pPr>
        <w:pStyle w:val="ECHRPara"/>
        <w:rPr>
          <w:lang w:val="pl-PL"/>
        </w:rPr>
      </w:pPr>
      <w:r w:rsidRPr="000B69F3">
        <w:rPr>
          <w:lang w:val="pl-PL"/>
        </w:rPr>
        <w:fldChar w:fldCharType="begin"/>
      </w:r>
      <w:r w:rsidRPr="000B69F3">
        <w:rPr>
          <w:lang w:val="pl-PL"/>
        </w:rPr>
        <w:instrText xml:space="preserve"> SEQ level0 \*arabic </w:instrText>
      </w:r>
      <w:r w:rsidRPr="000B69F3">
        <w:rPr>
          <w:lang w:val="pl-PL"/>
        </w:rPr>
        <w:fldChar w:fldCharType="separate"/>
      </w:r>
      <w:r w:rsidR="002F52FF" w:rsidRPr="000B69F3">
        <w:rPr>
          <w:noProof/>
          <w:lang w:val="pl-PL"/>
        </w:rPr>
        <w:t>49</w:t>
      </w:r>
      <w:r w:rsidRPr="000B69F3">
        <w:rPr>
          <w:lang w:val="pl-PL"/>
        </w:rPr>
        <w:fldChar w:fldCharType="end"/>
      </w:r>
      <w:bookmarkEnd w:id="11"/>
      <w:r w:rsidR="00014566" w:rsidRPr="000B69F3">
        <w:rPr>
          <w:lang w:val="pl-PL"/>
        </w:rPr>
        <w:t>.  </w:t>
      </w:r>
      <w:r w:rsidR="00CA0CF2" w:rsidRPr="000B69F3">
        <w:rPr>
          <w:lang w:val="pl-PL"/>
        </w:rPr>
        <w:t>Ponawiając argumenty zgłaszane jeszcze przed zakomunikowaniem sprawy Rządowi, skarżący utrzymywali, że władze krajowe nie ochroniły prawa Anny Politkowskiej do życia. Twierdzili także, że</w:t>
      </w:r>
      <w:r w:rsidR="0035098E" w:rsidRPr="000B69F3">
        <w:rPr>
          <w:lang w:val="pl-PL"/>
        </w:rPr>
        <w:t xml:space="preserve"> </w:t>
      </w:r>
      <w:r w:rsidR="0096675D" w:rsidRPr="000B69F3">
        <w:rPr>
          <w:lang w:val="pl-PL"/>
        </w:rPr>
        <w:t>„Federacja Rosyjska nie wywiązała się w tej sprawie z ciążącego na niej negatywnego obowiązku na mocy art. 2 Konwencji, ponieważ wielu funkcjonariuszy Federalnej Służby Bezpieczeństwa i policji brało udział w inwigilacji ofiary, jak również pomogło sprawcom w przeprowadzeniu zabójstwa</w:t>
      </w:r>
      <w:r w:rsidR="00C02257" w:rsidRPr="000B69F3">
        <w:rPr>
          <w:lang w:val="pl-PL"/>
        </w:rPr>
        <w:t>”.</w:t>
      </w:r>
      <w:r w:rsidR="00CA0CF2" w:rsidRPr="000B69F3">
        <w:rPr>
          <w:lang w:val="pl-PL"/>
        </w:rPr>
        <w:t xml:space="preserve"> </w:t>
      </w:r>
      <w:r w:rsidR="002808E4" w:rsidRPr="000B69F3">
        <w:rPr>
          <w:lang w:val="pl-PL"/>
        </w:rPr>
        <w:t>W związku z tym skarżący wnieśli o ponowne zakomunikowanie sprawy Rządowi i dodali pytania do tegoż dotyczące pozytywnego obowiązku ochrony życia i negatywnego obowiązku powstrzymania się od odbierania życia zgodnie z art. 2 Konwencji.</w:t>
      </w:r>
    </w:p>
    <w:p w14:paraId="6F30EEDE" w14:textId="1284E370" w:rsidR="002808E4" w:rsidRPr="000B69F3" w:rsidRDefault="00E15688" w:rsidP="002B30B4">
      <w:pPr>
        <w:pStyle w:val="ECHRPara"/>
        <w:rPr>
          <w:lang w:val="pl-PL"/>
        </w:rPr>
      </w:pPr>
      <w:r w:rsidRPr="000B69F3">
        <w:rPr>
          <w:lang w:val="pl-PL"/>
        </w:rPr>
        <w:fldChar w:fldCharType="begin"/>
      </w:r>
      <w:r w:rsidRPr="000B69F3">
        <w:rPr>
          <w:lang w:val="pl-PL"/>
        </w:rPr>
        <w:instrText xml:space="preserve"> SEQ level0 \*arabic </w:instrText>
      </w:r>
      <w:r w:rsidRPr="000B69F3">
        <w:rPr>
          <w:lang w:val="pl-PL"/>
        </w:rPr>
        <w:fldChar w:fldCharType="separate"/>
      </w:r>
      <w:r w:rsidR="002F52FF" w:rsidRPr="000B69F3">
        <w:rPr>
          <w:noProof/>
          <w:lang w:val="pl-PL"/>
        </w:rPr>
        <w:t>50</w:t>
      </w:r>
      <w:r w:rsidRPr="000B69F3">
        <w:rPr>
          <w:lang w:val="pl-PL"/>
        </w:rPr>
        <w:fldChar w:fldCharType="end"/>
      </w:r>
      <w:r w:rsidRPr="000B69F3">
        <w:rPr>
          <w:lang w:val="pl-PL"/>
        </w:rPr>
        <w:t>.  </w:t>
      </w:r>
      <w:r w:rsidR="00590078" w:rsidRPr="000B69F3">
        <w:rPr>
          <w:lang w:val="pl-PL"/>
        </w:rPr>
        <w:t xml:space="preserve">Odnośnie </w:t>
      </w:r>
      <w:r w:rsidR="003C05A7">
        <w:rPr>
          <w:lang w:val="pl-PL"/>
        </w:rPr>
        <w:t xml:space="preserve">do </w:t>
      </w:r>
      <w:r w:rsidR="00590078" w:rsidRPr="000B69F3">
        <w:rPr>
          <w:lang w:val="pl-PL"/>
        </w:rPr>
        <w:t>zastrzeżeń Rządu co do statusu ofiary, skarżący podnosili, że wyroki skazujące wobec pięciu sprawców mogą zostać wzruszone w ramach apelacji lub na późniejszym etapie, w następstwie postępowania przed Trybunałem</w:t>
      </w:r>
      <w:r w:rsidR="0021090B" w:rsidRPr="000B69F3">
        <w:rPr>
          <w:lang w:val="pl-PL"/>
        </w:rPr>
        <w:t xml:space="preserve">, ponieważ skazani mężczyźni złożyli do Trybunału w Strasburgu własne skargi. Zdaniem skarżących, skazanie tych mężczyzn nie wystarczyło do wypełnienia obowiązku przeprowadzenia skutecznego śledztwa, ponieważ nie zidentyfikowano </w:t>
      </w:r>
      <w:r w:rsidR="00773864" w:rsidRPr="000B69F3">
        <w:rPr>
          <w:lang w:val="pl-PL"/>
        </w:rPr>
        <w:t>osób, które zleciły im dokonanie</w:t>
      </w:r>
      <w:r w:rsidR="0021090B" w:rsidRPr="000B69F3">
        <w:rPr>
          <w:lang w:val="pl-PL"/>
        </w:rPr>
        <w:t xml:space="preserve"> tego zabójstwa.</w:t>
      </w:r>
      <w:r w:rsidR="00773864" w:rsidRPr="000B69F3">
        <w:rPr>
          <w:lang w:val="pl-PL"/>
        </w:rPr>
        <w:t xml:space="preserve"> Ponadto skarżący utrzymywali, że pomimo </w:t>
      </w:r>
      <w:r w:rsidR="00773864" w:rsidRPr="000B69F3">
        <w:rPr>
          <w:lang w:val="pl-PL"/>
        </w:rPr>
        <w:lastRenderedPageBreak/>
        <w:t>zasądzenia na ich rzecz znacznych kwot odszkodowania, nigdy nie zostaną</w:t>
      </w:r>
      <w:r w:rsidR="003C05A7">
        <w:rPr>
          <w:lang w:val="pl-PL"/>
        </w:rPr>
        <w:t xml:space="preserve"> one </w:t>
      </w:r>
      <w:r w:rsidR="00773864" w:rsidRPr="000B69F3">
        <w:rPr>
          <w:lang w:val="pl-PL"/>
        </w:rPr>
        <w:t xml:space="preserve"> wyegzekwowane, ponieważ osoby zobowiązane do ich zapłaty skazano na dożywocie i z tego powodu są niewypłacalne.</w:t>
      </w:r>
    </w:p>
    <w:p w14:paraId="24165F8A" w14:textId="10E9D34A" w:rsidR="00DD493E" w:rsidRPr="000B69F3" w:rsidRDefault="00871608" w:rsidP="002B30B4">
      <w:pPr>
        <w:pStyle w:val="ECHRPara"/>
        <w:rPr>
          <w:lang w:val="pl-PL"/>
        </w:rPr>
      </w:pPr>
      <w:r w:rsidRPr="000B69F3">
        <w:rPr>
          <w:lang w:val="pl-PL"/>
        </w:rPr>
        <w:fldChar w:fldCharType="begin"/>
      </w:r>
      <w:r w:rsidRPr="000B69F3">
        <w:rPr>
          <w:lang w:val="pl-PL"/>
        </w:rPr>
        <w:instrText xml:space="preserve"> SEQ level0 \*arabic </w:instrText>
      </w:r>
      <w:r w:rsidRPr="000B69F3">
        <w:rPr>
          <w:lang w:val="pl-PL"/>
        </w:rPr>
        <w:fldChar w:fldCharType="separate"/>
      </w:r>
      <w:r w:rsidR="002F52FF" w:rsidRPr="000B69F3">
        <w:rPr>
          <w:noProof/>
          <w:lang w:val="pl-PL"/>
        </w:rPr>
        <w:t>51</w:t>
      </w:r>
      <w:r w:rsidRPr="000B69F3">
        <w:rPr>
          <w:lang w:val="pl-PL"/>
        </w:rPr>
        <w:fldChar w:fldCharType="end"/>
      </w:r>
      <w:r w:rsidRPr="000B69F3">
        <w:rPr>
          <w:lang w:val="pl-PL"/>
        </w:rPr>
        <w:t>.  </w:t>
      </w:r>
      <w:r w:rsidR="00773864" w:rsidRPr="000B69F3">
        <w:rPr>
          <w:lang w:val="pl-PL"/>
        </w:rPr>
        <w:t xml:space="preserve">Według skarżących śledczy </w:t>
      </w:r>
      <w:r w:rsidR="00AA2CD2" w:rsidRPr="000B69F3">
        <w:rPr>
          <w:lang w:val="pl-PL"/>
        </w:rPr>
        <w:t>„bezpośrednio starali się zatuszować rolę i udział funkcjonariuszy państwowych w tej zbrodni</w:t>
      </w:r>
      <w:r w:rsidR="00A76723" w:rsidRPr="000B69F3">
        <w:rPr>
          <w:lang w:val="pl-PL"/>
        </w:rPr>
        <w:t>”</w:t>
      </w:r>
      <w:r w:rsidR="00773864" w:rsidRPr="000B69F3">
        <w:rPr>
          <w:lang w:val="pl-PL"/>
        </w:rPr>
        <w:t xml:space="preserve"> oraz że</w:t>
      </w:r>
      <w:r w:rsidR="00AA2CD2" w:rsidRPr="000B69F3">
        <w:rPr>
          <w:lang w:val="pl-PL"/>
        </w:rPr>
        <w:t xml:space="preserve"> „przeciągające się śledztwo umożliwiło uniknięcie sprawiedliwości osobom w nią zamieszanym</w:t>
      </w:r>
      <w:r w:rsidR="00A76723" w:rsidRPr="000B69F3">
        <w:rPr>
          <w:lang w:val="pl-PL"/>
        </w:rPr>
        <w:t>”.</w:t>
      </w:r>
    </w:p>
    <w:bookmarkStart w:id="12" w:name="OBSR_employer"/>
    <w:p w14:paraId="3E294135" w14:textId="4F8AF104" w:rsidR="005E785E" w:rsidRPr="000B69F3" w:rsidRDefault="00DA46E8" w:rsidP="002B30B4">
      <w:pPr>
        <w:pStyle w:val="ECHRPara"/>
        <w:rPr>
          <w:lang w:val="pl-PL"/>
        </w:rPr>
      </w:pPr>
      <w:r w:rsidRPr="000B69F3">
        <w:rPr>
          <w:lang w:val="pl-PL"/>
        </w:rPr>
        <w:fldChar w:fldCharType="begin"/>
      </w:r>
      <w:r w:rsidRPr="000B69F3">
        <w:rPr>
          <w:lang w:val="pl-PL"/>
        </w:rPr>
        <w:instrText xml:space="preserve"> SEQ level0 \*arabic </w:instrText>
      </w:r>
      <w:r w:rsidRPr="000B69F3">
        <w:rPr>
          <w:lang w:val="pl-PL"/>
        </w:rPr>
        <w:fldChar w:fldCharType="separate"/>
      </w:r>
      <w:r w:rsidR="002F52FF" w:rsidRPr="000B69F3">
        <w:rPr>
          <w:noProof/>
          <w:lang w:val="pl-PL"/>
        </w:rPr>
        <w:t>52</w:t>
      </w:r>
      <w:r w:rsidRPr="000B69F3">
        <w:rPr>
          <w:lang w:val="pl-PL"/>
        </w:rPr>
        <w:fldChar w:fldCharType="end"/>
      </w:r>
      <w:bookmarkEnd w:id="12"/>
      <w:r w:rsidRPr="000B69F3">
        <w:rPr>
          <w:lang w:val="pl-PL"/>
        </w:rPr>
        <w:t>.  </w:t>
      </w:r>
      <w:r w:rsidR="005E785E" w:rsidRPr="000B69F3">
        <w:rPr>
          <w:lang w:val="pl-PL"/>
        </w:rPr>
        <w:t>Ponadto skarżący</w:t>
      </w:r>
      <w:r w:rsidR="006D535A" w:rsidRPr="000B69F3">
        <w:rPr>
          <w:lang w:val="pl-PL"/>
        </w:rPr>
        <w:t xml:space="preserve"> dalej</w:t>
      </w:r>
      <w:r w:rsidR="005E785E" w:rsidRPr="000B69F3">
        <w:rPr>
          <w:lang w:val="pl-PL"/>
        </w:rPr>
        <w:t xml:space="preserve"> </w:t>
      </w:r>
      <w:r w:rsidR="006D535A" w:rsidRPr="000B69F3">
        <w:rPr>
          <w:lang w:val="pl-PL"/>
        </w:rPr>
        <w:t>wskazywali</w:t>
      </w:r>
      <w:r w:rsidR="005E785E" w:rsidRPr="000B69F3">
        <w:rPr>
          <w:lang w:val="pl-PL"/>
        </w:rPr>
        <w:t xml:space="preserve">, że pomimo trwającego blisko dziesięć lat śledztwa, nie udało się ustalić tożsamości osób </w:t>
      </w:r>
      <w:r w:rsidR="006D535A" w:rsidRPr="000B69F3">
        <w:rPr>
          <w:lang w:val="pl-PL"/>
        </w:rPr>
        <w:t xml:space="preserve">stojących za zabójstwem, które </w:t>
      </w:r>
      <w:r w:rsidR="00081E22" w:rsidRPr="000B69F3">
        <w:rPr>
          <w:lang w:val="pl-PL"/>
        </w:rPr>
        <w:t>zatrudniły</w:t>
      </w:r>
      <w:r w:rsidR="006D535A" w:rsidRPr="000B69F3">
        <w:rPr>
          <w:lang w:val="pl-PL"/>
        </w:rPr>
        <w:t xml:space="preserve"> zabójcę i opłaciły zamach.</w:t>
      </w:r>
    </w:p>
    <w:bookmarkStart w:id="13" w:name="OBSR_versions"/>
    <w:p w14:paraId="24D62451" w14:textId="1CA71337" w:rsidR="00081E22" w:rsidRPr="000B69F3" w:rsidRDefault="004574AC" w:rsidP="002B30B4">
      <w:pPr>
        <w:pStyle w:val="ECHRPara"/>
        <w:rPr>
          <w:lang w:val="pl-PL"/>
        </w:rPr>
      </w:pPr>
      <w:r w:rsidRPr="000B69F3">
        <w:rPr>
          <w:lang w:val="pl-PL"/>
        </w:rPr>
        <w:fldChar w:fldCharType="begin"/>
      </w:r>
      <w:r w:rsidRPr="000B69F3">
        <w:rPr>
          <w:lang w:val="pl-PL"/>
        </w:rPr>
        <w:instrText xml:space="preserve"> SEQ level0 \*arabic </w:instrText>
      </w:r>
      <w:r w:rsidRPr="000B69F3">
        <w:rPr>
          <w:lang w:val="pl-PL"/>
        </w:rPr>
        <w:fldChar w:fldCharType="separate"/>
      </w:r>
      <w:r w:rsidR="002F52FF" w:rsidRPr="000B69F3">
        <w:rPr>
          <w:noProof/>
          <w:lang w:val="pl-PL"/>
        </w:rPr>
        <w:t>53</w:t>
      </w:r>
      <w:r w:rsidRPr="000B69F3">
        <w:rPr>
          <w:lang w:val="pl-PL"/>
        </w:rPr>
        <w:fldChar w:fldCharType="end"/>
      </w:r>
      <w:bookmarkEnd w:id="13"/>
      <w:r w:rsidRPr="000B69F3">
        <w:rPr>
          <w:lang w:val="pl-PL"/>
        </w:rPr>
        <w:t>.  </w:t>
      </w:r>
      <w:r w:rsidR="00081E22" w:rsidRPr="000B69F3">
        <w:rPr>
          <w:lang w:val="pl-PL"/>
        </w:rPr>
        <w:t>Skarżący podnieśli, że</w:t>
      </w:r>
      <w:r w:rsidR="00F54295" w:rsidRPr="000B69F3">
        <w:rPr>
          <w:lang w:val="pl-PL"/>
        </w:rPr>
        <w:t xml:space="preserve"> Rząd, odnosząc się w swoich pismach do niewymienionej z nazwiska osoby zamieszkującej w Wielkiej Brytanii, miał na myśli B.B. Zdaniem skarżących hipoteza o zaangażowaniu B.B. w zabójstwo jest niewiarygodna. W ramach śledztwa nie zbadano co najmniej trzech</w:t>
      </w:r>
      <w:r w:rsidR="00944861" w:rsidRPr="000B69F3">
        <w:rPr>
          <w:lang w:val="pl-PL"/>
        </w:rPr>
        <w:t xml:space="preserve"> hipotez, które skarżący uważali za prawdopodobne: udział przyjaciela funkcjonariusza policji, który dopuścił się spowodowania poważnych obrażeń </w:t>
      </w:r>
      <w:r w:rsidR="009D29EF" w:rsidRPr="000B69F3">
        <w:rPr>
          <w:lang w:val="pl-PL"/>
        </w:rPr>
        <w:t>u czeczeńskiego więźnia po publikacji A. Politkowskiej; udział Ramzana Kadyrowa, prezydenta Republiki Czecze</w:t>
      </w:r>
      <w:r w:rsidR="009D1A1C">
        <w:rPr>
          <w:lang w:val="pl-PL"/>
        </w:rPr>
        <w:t>nii</w:t>
      </w:r>
      <w:r w:rsidR="009D29EF" w:rsidRPr="000B69F3">
        <w:rPr>
          <w:lang w:val="pl-PL"/>
        </w:rPr>
        <w:t>; oraz możliwość udziału D.M.</w:t>
      </w:r>
      <w:r w:rsidR="00E2135F" w:rsidRPr="000B69F3">
        <w:rPr>
          <w:lang w:val="pl-PL"/>
        </w:rPr>
        <w:t xml:space="preserve"> </w:t>
      </w:r>
      <w:r w:rsidR="009D29EF" w:rsidRPr="000B69F3">
        <w:rPr>
          <w:lang w:val="pl-PL"/>
        </w:rPr>
        <w:t>i I.M. – których działania skarżący określili jako amatorskie – w chara</w:t>
      </w:r>
      <w:r w:rsidR="00E2135F" w:rsidRPr="000B69F3">
        <w:rPr>
          <w:lang w:val="pl-PL"/>
        </w:rPr>
        <w:t>kterze zasłony dymnej użytej do odwrócenia uwagi</w:t>
      </w:r>
      <w:r w:rsidR="009D29EF" w:rsidRPr="000B69F3">
        <w:rPr>
          <w:lang w:val="pl-PL"/>
        </w:rPr>
        <w:t xml:space="preserve"> kamer monitoringu </w:t>
      </w:r>
      <w:r w:rsidR="00E2135F" w:rsidRPr="000B69F3">
        <w:rPr>
          <w:lang w:val="pl-PL"/>
        </w:rPr>
        <w:t>aby „umożliwić profesjonalnym zamachowcom” zabójstwo Politkowskiej.</w:t>
      </w:r>
    </w:p>
    <w:bookmarkStart w:id="14" w:name="OBSR_defects"/>
    <w:p w14:paraId="1889760A" w14:textId="53B53665" w:rsidR="00E2135F" w:rsidRPr="000B69F3" w:rsidRDefault="00EE346E" w:rsidP="002B30B4">
      <w:pPr>
        <w:pStyle w:val="ECHRPara"/>
        <w:rPr>
          <w:lang w:val="pl-PL"/>
        </w:rPr>
      </w:pPr>
      <w:r w:rsidRPr="000B69F3">
        <w:rPr>
          <w:lang w:val="pl-PL"/>
        </w:rPr>
        <w:fldChar w:fldCharType="begin"/>
      </w:r>
      <w:r w:rsidRPr="000B69F3">
        <w:rPr>
          <w:lang w:val="pl-PL"/>
        </w:rPr>
        <w:instrText xml:space="preserve"> SEQ level0 \*arabic </w:instrText>
      </w:r>
      <w:r w:rsidRPr="000B69F3">
        <w:rPr>
          <w:lang w:val="pl-PL"/>
        </w:rPr>
        <w:fldChar w:fldCharType="separate"/>
      </w:r>
      <w:r w:rsidR="002F52FF" w:rsidRPr="000B69F3">
        <w:rPr>
          <w:noProof/>
          <w:lang w:val="pl-PL"/>
        </w:rPr>
        <w:t>54</w:t>
      </w:r>
      <w:r w:rsidRPr="000B69F3">
        <w:rPr>
          <w:lang w:val="pl-PL"/>
        </w:rPr>
        <w:fldChar w:fldCharType="end"/>
      </w:r>
      <w:bookmarkEnd w:id="14"/>
      <w:r w:rsidRPr="000B69F3">
        <w:rPr>
          <w:lang w:val="pl-PL"/>
        </w:rPr>
        <w:t>.  </w:t>
      </w:r>
      <w:r w:rsidR="00E2135F" w:rsidRPr="000B69F3">
        <w:rPr>
          <w:lang w:val="pl-PL"/>
        </w:rPr>
        <w:t>W szczególności skarżący wymienili następujące domniemane braki w śledztwie.</w:t>
      </w:r>
    </w:p>
    <w:p w14:paraId="2271537F" w14:textId="0F483A9C" w:rsidR="00130C29" w:rsidRPr="000B69F3" w:rsidRDefault="00E2135F" w:rsidP="002B30B4">
      <w:pPr>
        <w:pStyle w:val="ECHRPara"/>
        <w:rPr>
          <w:lang w:val="pl-PL"/>
        </w:rPr>
      </w:pPr>
      <w:r w:rsidRPr="000B69F3">
        <w:rPr>
          <w:lang w:val="pl-PL"/>
        </w:rPr>
        <w:t xml:space="preserve"> </w:t>
      </w:r>
      <w:r w:rsidR="00A17803" w:rsidRPr="000B69F3">
        <w:rPr>
          <w:lang w:val="pl-PL"/>
        </w:rPr>
        <w:t>(a)  </w:t>
      </w:r>
      <w:r w:rsidR="00EE346E" w:rsidRPr="000B69F3">
        <w:rPr>
          <w:lang w:val="pl-PL"/>
        </w:rPr>
        <w:t xml:space="preserve">R.M. </w:t>
      </w:r>
      <w:r w:rsidR="00E04974" w:rsidRPr="000B69F3">
        <w:rPr>
          <w:lang w:val="pl-PL"/>
        </w:rPr>
        <w:t>przebywał na wolności</w:t>
      </w:r>
      <w:r w:rsidR="00510AB2">
        <w:rPr>
          <w:lang w:val="pl-PL"/>
        </w:rPr>
        <w:t>,</w:t>
      </w:r>
      <w:r w:rsidR="00E04974" w:rsidRPr="000B69F3">
        <w:rPr>
          <w:lang w:val="pl-PL"/>
        </w:rPr>
        <w:t xml:space="preserve"> ponieważ otrzymał fałszywy paszport od „</w:t>
      </w:r>
      <w:r w:rsidR="00EF00D1" w:rsidRPr="000B69F3">
        <w:rPr>
          <w:lang w:val="pl-PL"/>
        </w:rPr>
        <w:t>przedstawicieli władz rosyjskich</w:t>
      </w:r>
      <w:r w:rsidR="00EE346E" w:rsidRPr="000B69F3">
        <w:rPr>
          <w:lang w:val="pl-PL"/>
        </w:rPr>
        <w:t>”</w:t>
      </w:r>
      <w:r w:rsidR="008B2601" w:rsidRPr="000B69F3">
        <w:rPr>
          <w:lang w:val="pl-PL"/>
        </w:rPr>
        <w:t>.</w:t>
      </w:r>
    </w:p>
    <w:p w14:paraId="709CFFFB" w14:textId="1945EAEB" w:rsidR="00130C29" w:rsidRPr="000B69F3" w:rsidRDefault="00A17803" w:rsidP="002B30B4">
      <w:pPr>
        <w:pStyle w:val="ECHRPara"/>
        <w:rPr>
          <w:lang w:val="pl-PL"/>
        </w:rPr>
      </w:pPr>
      <w:r w:rsidRPr="000B69F3">
        <w:rPr>
          <w:lang w:val="pl-PL"/>
        </w:rPr>
        <w:t>(b)  </w:t>
      </w:r>
      <w:r w:rsidR="00E04974" w:rsidRPr="000B69F3">
        <w:rPr>
          <w:lang w:val="pl-PL"/>
        </w:rPr>
        <w:t>W toku postępowania sądowego ustalono, że R.M. i D.M byli wcześniej agentami FSB, jednak śledztwo tego nie zweryfikowało.</w:t>
      </w:r>
    </w:p>
    <w:p w14:paraId="0D00B6C8" w14:textId="6A5F50D5" w:rsidR="00E04974" w:rsidRPr="000B69F3" w:rsidRDefault="00A17803" w:rsidP="002B30B4">
      <w:pPr>
        <w:pStyle w:val="ECHRPara"/>
        <w:rPr>
          <w:lang w:val="pl-PL"/>
        </w:rPr>
      </w:pPr>
      <w:r w:rsidRPr="000B69F3">
        <w:rPr>
          <w:lang w:val="pl-PL"/>
        </w:rPr>
        <w:t>(c)  </w:t>
      </w:r>
      <w:r w:rsidR="00E04974" w:rsidRPr="000B69F3">
        <w:rPr>
          <w:lang w:val="pl-PL"/>
        </w:rPr>
        <w:t>Sześć wymienionych osób i kilka „innych” zostało aresztowanych wraz z D.M. i I.M., jednak zwolniono ich bez postawienia zarzutów i bez konsultacji z pokrzywdzonymi.</w:t>
      </w:r>
    </w:p>
    <w:p w14:paraId="5DE07F54" w14:textId="535EB087" w:rsidR="00E04974" w:rsidRPr="000B69F3" w:rsidRDefault="00E04974" w:rsidP="002B30B4">
      <w:pPr>
        <w:pStyle w:val="ECHRPara"/>
        <w:rPr>
          <w:lang w:val="pl-PL"/>
        </w:rPr>
      </w:pPr>
      <w:r w:rsidRPr="000B69F3">
        <w:rPr>
          <w:lang w:val="pl-PL"/>
        </w:rPr>
        <w:t xml:space="preserve"> </w:t>
      </w:r>
      <w:r w:rsidR="00A17803" w:rsidRPr="000B69F3">
        <w:rPr>
          <w:lang w:val="pl-PL"/>
        </w:rPr>
        <w:t>(d)  </w:t>
      </w:r>
      <w:r w:rsidRPr="000B69F3">
        <w:rPr>
          <w:lang w:val="pl-PL"/>
        </w:rPr>
        <w:t>Tajne służby dokonały przecieku ważnych i</w:t>
      </w:r>
      <w:r w:rsidR="006A0095" w:rsidRPr="000B69F3">
        <w:rPr>
          <w:lang w:val="pl-PL"/>
        </w:rPr>
        <w:t>nformacji w sprawie do prasy, co –</w:t>
      </w:r>
      <w:r w:rsidRPr="000B69F3">
        <w:rPr>
          <w:lang w:val="pl-PL"/>
        </w:rPr>
        <w:t xml:space="preserve"> zdaniem </w:t>
      </w:r>
      <w:r w:rsidR="006A0095" w:rsidRPr="000B69F3">
        <w:rPr>
          <w:lang w:val="pl-PL"/>
        </w:rPr>
        <w:t>skarżących – negatywnie wpłynęło na skuteczność śledztwa i dowodzi udziału „służb bezpieczeństwa</w:t>
      </w:r>
      <w:r w:rsidR="00A95AB9" w:rsidRPr="000B69F3">
        <w:rPr>
          <w:lang w:val="pl-PL"/>
        </w:rPr>
        <w:t>, w takiej czy innej formie,</w:t>
      </w:r>
      <w:r w:rsidR="006A0095" w:rsidRPr="000B69F3">
        <w:rPr>
          <w:lang w:val="pl-PL"/>
        </w:rPr>
        <w:t xml:space="preserve"> w organizacji i przeprowadzeniu zamachu”.</w:t>
      </w:r>
    </w:p>
    <w:p w14:paraId="5B4F5FE4" w14:textId="22F89CCE" w:rsidR="001B7468" w:rsidRPr="000B69F3" w:rsidRDefault="001B7468" w:rsidP="002B30B4">
      <w:pPr>
        <w:pStyle w:val="ECHRPara"/>
        <w:rPr>
          <w:lang w:val="pl-PL"/>
        </w:rPr>
      </w:pPr>
      <w:r w:rsidRPr="000B69F3">
        <w:rPr>
          <w:lang w:val="pl-PL"/>
        </w:rPr>
        <w:t xml:space="preserve"> </w:t>
      </w:r>
      <w:r w:rsidR="00A17803" w:rsidRPr="000B69F3">
        <w:rPr>
          <w:lang w:val="pl-PL"/>
        </w:rPr>
        <w:t>(e)  </w:t>
      </w:r>
      <w:r w:rsidRPr="000B69F3">
        <w:rPr>
          <w:lang w:val="pl-PL"/>
        </w:rPr>
        <w:t xml:space="preserve">Podczas pierwszego procesu z udziałem ławy przysięgłych </w:t>
      </w:r>
      <w:r w:rsidR="00AE3C2F" w:rsidRPr="000B69F3">
        <w:rPr>
          <w:lang w:val="pl-PL"/>
        </w:rPr>
        <w:t xml:space="preserve">D.P. </w:t>
      </w:r>
      <w:r w:rsidRPr="000B69F3">
        <w:rPr>
          <w:lang w:val="pl-PL"/>
        </w:rPr>
        <w:t>i</w:t>
      </w:r>
      <w:r w:rsidR="00AE3C2F" w:rsidRPr="000B69F3">
        <w:rPr>
          <w:lang w:val="pl-PL"/>
        </w:rPr>
        <w:t xml:space="preserve"> L.-A.G. </w:t>
      </w:r>
      <w:r w:rsidRPr="000B69F3">
        <w:rPr>
          <w:lang w:val="pl-PL"/>
        </w:rPr>
        <w:t>występowali tylko w charakterze świadków oskarżenia, jednak później zostały im postawione zarzuty udziału w przestępstwie.</w:t>
      </w:r>
    </w:p>
    <w:p w14:paraId="62863A2D" w14:textId="3732D3B4" w:rsidR="00034304" w:rsidRPr="000B69F3" w:rsidRDefault="001B7468" w:rsidP="002B30B4">
      <w:pPr>
        <w:pStyle w:val="ECHRPara"/>
        <w:rPr>
          <w:lang w:val="pl-PL"/>
        </w:rPr>
      </w:pPr>
      <w:r w:rsidRPr="000B69F3">
        <w:rPr>
          <w:lang w:val="pl-PL"/>
        </w:rPr>
        <w:t xml:space="preserve"> </w:t>
      </w:r>
      <w:r w:rsidR="00A17803" w:rsidRPr="000B69F3">
        <w:rPr>
          <w:lang w:val="pl-PL"/>
        </w:rPr>
        <w:t>(f)  </w:t>
      </w:r>
      <w:r w:rsidR="00034304" w:rsidRPr="000B69F3">
        <w:rPr>
          <w:lang w:val="pl-PL"/>
        </w:rPr>
        <w:t>W toku pierwszego procesu prze</w:t>
      </w:r>
      <w:r w:rsidR="00510AB2">
        <w:rPr>
          <w:lang w:val="pl-PL"/>
        </w:rPr>
        <w:t>d</w:t>
      </w:r>
      <w:r w:rsidR="00034304" w:rsidRPr="000B69F3">
        <w:rPr>
          <w:lang w:val="pl-PL"/>
        </w:rPr>
        <w:t xml:space="preserve"> ławą przysięgłych oskarżenie przedstawiło słabe dowody, w szczególności źle wyliczając czas potrzebny na przeprowadzenie zamachu. Uniewinnienie z dnia 20 lutego 2009</w:t>
      </w:r>
      <w:r w:rsidR="00510AB2">
        <w:rPr>
          <w:lang w:val="pl-PL"/>
        </w:rPr>
        <w:t xml:space="preserve"> r.</w:t>
      </w:r>
      <w:r w:rsidR="00034304" w:rsidRPr="000B69F3">
        <w:rPr>
          <w:lang w:val="pl-PL"/>
        </w:rPr>
        <w:t xml:space="preserve"> było „konsekwenc</w:t>
      </w:r>
      <w:r w:rsidR="003C2C01" w:rsidRPr="000B69F3">
        <w:rPr>
          <w:lang w:val="pl-PL"/>
        </w:rPr>
        <w:t>ją celowego włączania do akt sprawy dowodów fałszywych lub niskiej jakości” i skutkowało przeciągającym się śledztwem.</w:t>
      </w:r>
    </w:p>
    <w:p w14:paraId="5E638697" w14:textId="691C6691" w:rsidR="003C2C01" w:rsidRPr="000B69F3" w:rsidRDefault="00A17803" w:rsidP="002B30B4">
      <w:pPr>
        <w:pStyle w:val="ECHRPara"/>
        <w:rPr>
          <w:lang w:val="pl-PL"/>
        </w:rPr>
      </w:pPr>
      <w:r w:rsidRPr="000B69F3">
        <w:rPr>
          <w:lang w:val="pl-PL"/>
        </w:rPr>
        <w:lastRenderedPageBreak/>
        <w:t>(g)  </w:t>
      </w:r>
      <w:r w:rsidR="00A91797" w:rsidRPr="000B69F3">
        <w:rPr>
          <w:lang w:val="pl-PL"/>
        </w:rPr>
        <w:t>D.P.</w:t>
      </w:r>
      <w:r w:rsidR="003C2C01" w:rsidRPr="000B69F3">
        <w:rPr>
          <w:lang w:val="pl-PL"/>
        </w:rPr>
        <w:t xml:space="preserve"> znalazł się w kręgu podejrzanych wyłącznie wskutek wysiłków skarżących, którzy zwracali uwagę śledczych na zeznania świadka O.G, w których przewijało się jego nazwisko.</w:t>
      </w:r>
    </w:p>
    <w:p w14:paraId="478CFFE5" w14:textId="6F78E62D" w:rsidR="00556618" w:rsidRPr="000B69F3" w:rsidRDefault="00A17803" w:rsidP="00267F6F">
      <w:pPr>
        <w:pStyle w:val="ECHRPara"/>
        <w:rPr>
          <w:lang w:val="pl-PL"/>
        </w:rPr>
      </w:pPr>
      <w:r w:rsidRPr="000B69F3">
        <w:rPr>
          <w:lang w:val="pl-PL"/>
        </w:rPr>
        <w:t>(h)  </w:t>
      </w:r>
      <w:r w:rsidR="00556618" w:rsidRPr="000B69F3">
        <w:rPr>
          <w:lang w:val="pl-PL"/>
        </w:rPr>
        <w:t>Skarżący zdecydowanie sprzeciwiali się wnioskowi złożonemu przez D.P. i wydzieleniu sprawy przeciwko niemu z głównego śledztwa. D.P. nie mówił prawdy podając, w trakcie pierwszych przesłuchań w charakterze oskarżonego, nazwiska dwóch mężczyzn – B.B. i A.Z. – jako zleceniodawców zamachu.</w:t>
      </w:r>
      <w:r w:rsidR="00267F6F" w:rsidRPr="000B69F3">
        <w:rPr>
          <w:lang w:val="pl-PL"/>
        </w:rPr>
        <w:t xml:space="preserve"> W trakcie śledztwa D.P. odmówił podania nazwisk zleceniodawców zabójstwa, rzekomo z obawy o swoje bezpieczeństwo.</w:t>
      </w:r>
    </w:p>
    <w:p w14:paraId="12FB758A" w14:textId="321D43A3" w:rsidR="00267F6F" w:rsidRPr="000B69F3" w:rsidRDefault="00A17803" w:rsidP="00510AB2">
      <w:pPr>
        <w:pStyle w:val="ECHRPara"/>
        <w:rPr>
          <w:lang w:val="pl-PL"/>
        </w:rPr>
      </w:pPr>
      <w:r w:rsidRPr="000B69F3">
        <w:rPr>
          <w:lang w:val="pl-PL"/>
        </w:rPr>
        <w:t>(i)  </w:t>
      </w:r>
      <w:r w:rsidR="00267F6F" w:rsidRPr="000B69F3">
        <w:rPr>
          <w:lang w:val="pl-PL"/>
        </w:rPr>
        <w:t>Podczas kompletowania ławy przysięgłych na drugi proces z jej udziałem sędzia rozpatrujący sprawę odmówił odroczenia rozprawy z uwagi na niemożność stawiennictwa trzeciego i czwartego skarżącego, w ten sposób naruszając prawa pokrzywdzonych</w:t>
      </w:r>
      <w:r w:rsidR="002F32B3" w:rsidRPr="000B69F3">
        <w:rPr>
          <w:lang w:val="pl-PL"/>
        </w:rPr>
        <w:t xml:space="preserve">. </w:t>
      </w:r>
      <w:r w:rsidR="00510AB2">
        <w:rPr>
          <w:lang w:val="pl-PL"/>
        </w:rPr>
        <w:t>N</w:t>
      </w:r>
      <w:r w:rsidR="00510AB2" w:rsidRPr="00510AB2">
        <w:rPr>
          <w:lang w:val="pl-PL"/>
        </w:rPr>
        <w:t>a długość postępowania</w:t>
      </w:r>
      <w:r w:rsidR="00510AB2">
        <w:rPr>
          <w:lang w:val="pl-PL"/>
        </w:rPr>
        <w:t xml:space="preserve"> </w:t>
      </w:r>
      <w:r w:rsidR="00510AB2" w:rsidRPr="00510AB2">
        <w:rPr>
          <w:lang w:val="pl-PL"/>
        </w:rPr>
        <w:t>miało również  wpływ</w:t>
      </w:r>
      <w:r w:rsidR="00510AB2">
        <w:rPr>
          <w:lang w:val="pl-PL"/>
        </w:rPr>
        <w:t xml:space="preserve"> r</w:t>
      </w:r>
      <w:r w:rsidR="002F32B3" w:rsidRPr="000B69F3">
        <w:rPr>
          <w:lang w:val="pl-PL"/>
        </w:rPr>
        <w:t>ozwiązanie ławy przysięgłych.</w:t>
      </w:r>
    </w:p>
    <w:p w14:paraId="2FE8225F" w14:textId="597423B1" w:rsidR="00A91797" w:rsidRPr="000B69F3" w:rsidRDefault="00A17803" w:rsidP="002B30B4">
      <w:pPr>
        <w:pStyle w:val="ECHRPara"/>
        <w:rPr>
          <w:lang w:val="pl-PL"/>
        </w:rPr>
      </w:pPr>
      <w:r w:rsidRPr="000B69F3">
        <w:rPr>
          <w:lang w:val="pl-PL"/>
        </w:rPr>
        <w:t>(j)  </w:t>
      </w:r>
      <w:r w:rsidR="002F32B3" w:rsidRPr="000B69F3">
        <w:rPr>
          <w:lang w:val="pl-PL"/>
        </w:rPr>
        <w:t xml:space="preserve">Sądy krajowe naruszyły prawo pokrzywdzonych i sprawców do sprawiedliwego procesu. </w:t>
      </w:r>
    </w:p>
    <w:p w14:paraId="175FB5F3" w14:textId="35925CC7" w:rsidR="00CE727A" w:rsidRPr="000B69F3" w:rsidRDefault="004574AC" w:rsidP="00CE727A">
      <w:pPr>
        <w:pStyle w:val="ECHRPara"/>
        <w:rPr>
          <w:lang w:val="pl-PL"/>
        </w:rPr>
      </w:pPr>
      <w:r w:rsidRPr="000B69F3">
        <w:rPr>
          <w:lang w:val="pl-PL"/>
        </w:rPr>
        <w:fldChar w:fldCharType="begin"/>
      </w:r>
      <w:r w:rsidRPr="000B69F3">
        <w:rPr>
          <w:lang w:val="pl-PL"/>
        </w:rPr>
        <w:instrText xml:space="preserve"> SEQ level0 \*arabic </w:instrText>
      </w:r>
      <w:r w:rsidRPr="000B69F3">
        <w:rPr>
          <w:lang w:val="pl-PL"/>
        </w:rPr>
        <w:fldChar w:fldCharType="separate"/>
      </w:r>
      <w:r w:rsidR="002F52FF" w:rsidRPr="000B69F3">
        <w:rPr>
          <w:noProof/>
          <w:lang w:val="pl-PL"/>
        </w:rPr>
        <w:t>55</w:t>
      </w:r>
      <w:r w:rsidRPr="000B69F3">
        <w:rPr>
          <w:lang w:val="pl-PL"/>
        </w:rPr>
        <w:fldChar w:fldCharType="end"/>
      </w:r>
      <w:r w:rsidRPr="000B69F3">
        <w:rPr>
          <w:lang w:val="pl-PL"/>
        </w:rPr>
        <w:t>.  </w:t>
      </w:r>
      <w:r w:rsidR="002F32B3" w:rsidRPr="000B69F3">
        <w:rPr>
          <w:lang w:val="pl-PL"/>
        </w:rPr>
        <w:t xml:space="preserve">W ciągu pierwszych miesięcy śledztwa pokrzywdzeni wskutek </w:t>
      </w:r>
      <w:r w:rsidR="00CE727A" w:rsidRPr="000B69F3">
        <w:rPr>
          <w:lang w:val="pl-PL"/>
        </w:rPr>
        <w:t xml:space="preserve">tego </w:t>
      </w:r>
      <w:r w:rsidR="002F32B3" w:rsidRPr="000B69F3">
        <w:rPr>
          <w:lang w:val="pl-PL"/>
        </w:rPr>
        <w:t xml:space="preserve">przestępstwa nie </w:t>
      </w:r>
      <w:r w:rsidR="00CE727A" w:rsidRPr="000B69F3">
        <w:rPr>
          <w:lang w:val="pl-PL"/>
        </w:rPr>
        <w:t>mieli dostępu do materiałów sprawy, a wszystkie wnioski były odrzucane.</w:t>
      </w:r>
    </w:p>
    <w:bookmarkStart w:id="15" w:name="OBSR_impartiality"/>
    <w:p w14:paraId="3919E460" w14:textId="2415E5FB" w:rsidR="00CE727A" w:rsidRPr="000B69F3" w:rsidRDefault="00AC518B" w:rsidP="002B30B4">
      <w:pPr>
        <w:pStyle w:val="ECHRPara"/>
        <w:rPr>
          <w:lang w:val="pl-PL"/>
        </w:rPr>
      </w:pPr>
      <w:r w:rsidRPr="000B69F3">
        <w:rPr>
          <w:lang w:val="pl-PL"/>
        </w:rPr>
        <w:fldChar w:fldCharType="begin"/>
      </w:r>
      <w:r w:rsidRPr="000B69F3">
        <w:rPr>
          <w:lang w:val="pl-PL"/>
        </w:rPr>
        <w:instrText xml:space="preserve"> SEQ level0 \*arabic </w:instrText>
      </w:r>
      <w:r w:rsidRPr="000B69F3">
        <w:rPr>
          <w:lang w:val="pl-PL"/>
        </w:rPr>
        <w:fldChar w:fldCharType="separate"/>
      </w:r>
      <w:r w:rsidR="002F52FF" w:rsidRPr="000B69F3">
        <w:rPr>
          <w:noProof/>
          <w:lang w:val="pl-PL"/>
        </w:rPr>
        <w:t>56</w:t>
      </w:r>
      <w:r w:rsidRPr="000B69F3">
        <w:rPr>
          <w:lang w:val="pl-PL"/>
        </w:rPr>
        <w:fldChar w:fldCharType="end"/>
      </w:r>
      <w:bookmarkEnd w:id="15"/>
      <w:r w:rsidRPr="000B69F3">
        <w:rPr>
          <w:lang w:val="pl-PL"/>
        </w:rPr>
        <w:t>.  </w:t>
      </w:r>
      <w:r w:rsidR="00CE727A" w:rsidRPr="000B69F3">
        <w:rPr>
          <w:lang w:val="pl-PL"/>
        </w:rPr>
        <w:t>Skarżący podnosili również, że śledztwo nie było prowadzone bezstronnie, co argumentowali następująco.</w:t>
      </w:r>
    </w:p>
    <w:p w14:paraId="50572F97" w14:textId="4912B562" w:rsidR="00CE727A" w:rsidRPr="000B69F3" w:rsidRDefault="00CE727A" w:rsidP="002B30B4">
      <w:pPr>
        <w:pStyle w:val="ECHRPara"/>
        <w:rPr>
          <w:lang w:val="pl-PL"/>
        </w:rPr>
      </w:pPr>
      <w:r w:rsidRPr="000B69F3">
        <w:rPr>
          <w:lang w:val="pl-PL"/>
        </w:rPr>
        <w:t xml:space="preserve"> </w:t>
      </w:r>
      <w:r w:rsidR="00A17803" w:rsidRPr="000B69F3">
        <w:rPr>
          <w:lang w:val="pl-PL"/>
        </w:rPr>
        <w:t>(a)  </w:t>
      </w:r>
      <w:r w:rsidRPr="000B69F3">
        <w:rPr>
          <w:lang w:val="pl-PL"/>
        </w:rPr>
        <w:t>D.P. i</w:t>
      </w:r>
      <w:r w:rsidR="00AC518B" w:rsidRPr="000B69F3">
        <w:rPr>
          <w:lang w:val="pl-PL"/>
        </w:rPr>
        <w:t xml:space="preserve"> L.-A.G., </w:t>
      </w:r>
      <w:r w:rsidRPr="000B69F3">
        <w:rPr>
          <w:lang w:val="pl-PL"/>
        </w:rPr>
        <w:t xml:space="preserve">funkcjonariusz policji i funkcjonariusz FSB, </w:t>
      </w:r>
      <w:r w:rsidR="00D17507" w:rsidRPr="000B69F3">
        <w:rPr>
          <w:lang w:val="pl-PL"/>
        </w:rPr>
        <w:t>byli ścigani wyłącznie wskutek nalegań pokrzywdzonych.</w:t>
      </w:r>
    </w:p>
    <w:p w14:paraId="61CAE4C4" w14:textId="6A2304D4" w:rsidR="00B21B99" w:rsidRPr="000B69F3" w:rsidRDefault="00A17803" w:rsidP="000B2CCA">
      <w:pPr>
        <w:pStyle w:val="ECHRPara"/>
        <w:rPr>
          <w:lang w:val="pl-PL"/>
        </w:rPr>
      </w:pPr>
      <w:r w:rsidRPr="000B69F3">
        <w:rPr>
          <w:lang w:val="pl-PL"/>
        </w:rPr>
        <w:t>(b)  </w:t>
      </w:r>
      <w:r w:rsidR="00B54CAA" w:rsidRPr="000B69F3">
        <w:rPr>
          <w:lang w:val="pl-PL"/>
        </w:rPr>
        <w:t>P.R.</w:t>
      </w:r>
      <w:r w:rsidR="006C1702" w:rsidRPr="000B69F3">
        <w:rPr>
          <w:lang w:val="pl-PL"/>
        </w:rPr>
        <w:t xml:space="preserve">, </w:t>
      </w:r>
      <w:r w:rsidR="000B2CCA" w:rsidRPr="000B69F3">
        <w:rPr>
          <w:lang w:val="pl-PL"/>
        </w:rPr>
        <w:t>funkcjonariusz FSB, po uniewinnieniu nie odszedł na emeryturę.</w:t>
      </w:r>
    </w:p>
    <w:p w14:paraId="12D4DBF5" w14:textId="793CF997" w:rsidR="000B2CCA" w:rsidRPr="000B69F3" w:rsidRDefault="00A17803" w:rsidP="002B30B4">
      <w:pPr>
        <w:pStyle w:val="ECHRPara"/>
        <w:rPr>
          <w:lang w:val="pl-PL"/>
        </w:rPr>
      </w:pPr>
      <w:r w:rsidRPr="000B69F3">
        <w:rPr>
          <w:lang w:val="pl-PL"/>
        </w:rPr>
        <w:t>(c)  </w:t>
      </w:r>
      <w:r w:rsidR="000B2CCA" w:rsidRPr="000B69F3">
        <w:rPr>
          <w:lang w:val="pl-PL"/>
        </w:rPr>
        <w:t>W latach 2008-2009 materiały sprawy zawierały podsumowanie ustaleń poczynionych w śledztwie zwane „prezentacją” przygotowane przez organy śledcze. Zdaniem skarżących dokument ten przedstawiał A. Politkowską w niekorzystnym świetle</w:t>
      </w:r>
      <w:r w:rsidR="001F2413">
        <w:rPr>
          <w:lang w:val="pl-PL"/>
        </w:rPr>
        <w:t>,</w:t>
      </w:r>
      <w:r w:rsidR="000B2CCA" w:rsidRPr="000B69F3">
        <w:rPr>
          <w:lang w:val="pl-PL"/>
        </w:rPr>
        <w:t xml:space="preserve"> ponieważ wspominał o jej </w:t>
      </w:r>
      <w:r w:rsidR="00C30BCF" w:rsidRPr="000B69F3">
        <w:rPr>
          <w:lang w:val="pl-PL"/>
        </w:rPr>
        <w:t xml:space="preserve">amerykańskim obywatelstwie, rzekomo aby </w:t>
      </w:r>
      <w:r w:rsidR="006B5AED" w:rsidRPr="000B69F3">
        <w:rPr>
          <w:lang w:val="pl-PL"/>
        </w:rPr>
        <w:t xml:space="preserve">zapobiec współczuciu ofierze ze strony ławy przysięgłych. Skarżący twierdzili, że „zważywszy na szczególne cechy tego </w:t>
      </w:r>
      <w:r w:rsidR="001F2413">
        <w:rPr>
          <w:lang w:val="pl-PL"/>
        </w:rPr>
        <w:t>,</w:t>
      </w:r>
      <w:r w:rsidR="006B5AED" w:rsidRPr="000B69F3">
        <w:rPr>
          <w:lang w:val="pl-PL"/>
        </w:rPr>
        <w:t>dzieła’ był to najwyraźniej wytwór tajnych służb (…) zamieszanych w jakiś sposób w to zabójstwo”.</w:t>
      </w:r>
    </w:p>
    <w:p w14:paraId="6EFA53F4" w14:textId="2880FF27" w:rsidR="00F96F93" w:rsidRPr="000B69F3" w:rsidRDefault="00F96F93" w:rsidP="00DB5088">
      <w:pPr>
        <w:pStyle w:val="ECHRPara"/>
        <w:rPr>
          <w:lang w:val="pl-PL"/>
        </w:rPr>
      </w:pPr>
      <w:r w:rsidRPr="000B69F3">
        <w:rPr>
          <w:lang w:val="pl-PL"/>
        </w:rPr>
        <w:fldChar w:fldCharType="begin"/>
      </w:r>
      <w:r w:rsidRPr="000B69F3">
        <w:rPr>
          <w:lang w:val="pl-PL"/>
        </w:rPr>
        <w:instrText xml:space="preserve"> SEQ level0 \*arabic </w:instrText>
      </w:r>
      <w:r w:rsidRPr="000B69F3">
        <w:rPr>
          <w:lang w:val="pl-PL"/>
        </w:rPr>
        <w:fldChar w:fldCharType="separate"/>
      </w:r>
      <w:r w:rsidR="002F52FF" w:rsidRPr="000B69F3">
        <w:rPr>
          <w:noProof/>
          <w:lang w:val="pl-PL"/>
        </w:rPr>
        <w:t>57</w:t>
      </w:r>
      <w:r w:rsidRPr="000B69F3">
        <w:rPr>
          <w:lang w:val="pl-PL"/>
        </w:rPr>
        <w:fldChar w:fldCharType="end"/>
      </w:r>
      <w:r w:rsidRPr="000B69F3">
        <w:rPr>
          <w:lang w:val="pl-PL"/>
        </w:rPr>
        <w:t>.  </w:t>
      </w:r>
      <w:r w:rsidR="006B5AED" w:rsidRPr="000B69F3">
        <w:rPr>
          <w:lang w:val="pl-PL"/>
        </w:rPr>
        <w:t xml:space="preserve">Sprzeciwiając się </w:t>
      </w:r>
      <w:r w:rsidR="00DB5088" w:rsidRPr="000B69F3">
        <w:rPr>
          <w:lang w:val="pl-PL"/>
        </w:rPr>
        <w:t>twierdzeniom Rządu o szczególnej złożoności śledztwa, skarżący stwierdzili, że „największą przeszkodą w zbadaniu sprawy był brak woli przeprowadzenia [śledztwa] skutecznie i szybko”.</w:t>
      </w:r>
    </w:p>
    <w:p w14:paraId="525DA7D9" w14:textId="573383E2" w:rsidR="00DB5088" w:rsidRPr="000B69F3" w:rsidRDefault="00DC6B6D" w:rsidP="002B30B4">
      <w:pPr>
        <w:pStyle w:val="ECHRPara"/>
        <w:rPr>
          <w:lang w:val="pl-PL"/>
        </w:rPr>
      </w:pPr>
      <w:r w:rsidRPr="000B69F3">
        <w:rPr>
          <w:lang w:val="pl-PL"/>
        </w:rPr>
        <w:fldChar w:fldCharType="begin"/>
      </w:r>
      <w:r w:rsidRPr="000B69F3">
        <w:rPr>
          <w:lang w:val="pl-PL"/>
        </w:rPr>
        <w:instrText xml:space="preserve"> SEQ level0 \*arabic </w:instrText>
      </w:r>
      <w:r w:rsidRPr="000B69F3">
        <w:rPr>
          <w:lang w:val="pl-PL"/>
        </w:rPr>
        <w:fldChar w:fldCharType="separate"/>
      </w:r>
      <w:r w:rsidR="002F52FF" w:rsidRPr="000B69F3">
        <w:rPr>
          <w:noProof/>
          <w:lang w:val="pl-PL"/>
        </w:rPr>
        <w:t>58</w:t>
      </w:r>
      <w:r w:rsidRPr="000B69F3">
        <w:rPr>
          <w:lang w:val="pl-PL"/>
        </w:rPr>
        <w:fldChar w:fldCharType="end"/>
      </w:r>
      <w:r w:rsidRPr="000B69F3">
        <w:rPr>
          <w:lang w:val="pl-PL"/>
        </w:rPr>
        <w:t>.  </w:t>
      </w:r>
      <w:r w:rsidR="00DB5088" w:rsidRPr="000B69F3">
        <w:rPr>
          <w:lang w:val="pl-PL"/>
        </w:rPr>
        <w:t>Podsumowując, skarżący utrzymywali, że śledztwa nie można uznać za „skuteczne”, ponieważ osoby stojące za zabójstwem nigdy nie zostały zidentyfikowane ani osądzone.</w:t>
      </w:r>
    </w:p>
    <w:p w14:paraId="7943C254" w14:textId="77777777" w:rsidR="00DB5088" w:rsidRPr="000B69F3" w:rsidRDefault="00DB5088" w:rsidP="002B30B4">
      <w:pPr>
        <w:pStyle w:val="ECHRPara"/>
        <w:rPr>
          <w:lang w:val="pl-PL"/>
        </w:rPr>
      </w:pPr>
    </w:p>
    <w:p w14:paraId="372FA1E8" w14:textId="0EB643FA" w:rsidR="006E4987" w:rsidRPr="000B69F3" w:rsidRDefault="00DB5088" w:rsidP="002B30B4">
      <w:pPr>
        <w:pStyle w:val="ECHRHeading2"/>
        <w:rPr>
          <w:lang w:val="pl-PL"/>
        </w:rPr>
      </w:pPr>
      <w:r w:rsidRPr="000B69F3">
        <w:rPr>
          <w:lang w:val="pl-PL"/>
        </w:rPr>
        <w:lastRenderedPageBreak/>
        <w:t>B.  Ocena Trybunału</w:t>
      </w:r>
    </w:p>
    <w:p w14:paraId="39630577" w14:textId="3071965A" w:rsidR="00014566" w:rsidRPr="000B69F3" w:rsidRDefault="006E4987" w:rsidP="002B30B4">
      <w:pPr>
        <w:pStyle w:val="ECHRHeading3"/>
        <w:rPr>
          <w:lang w:val="pl-PL"/>
        </w:rPr>
      </w:pPr>
      <w:r w:rsidRPr="000B69F3">
        <w:rPr>
          <w:lang w:val="pl-PL"/>
        </w:rPr>
        <w:t>1</w:t>
      </w:r>
      <w:r w:rsidR="00014566" w:rsidRPr="000B69F3">
        <w:rPr>
          <w:lang w:val="pl-PL"/>
        </w:rPr>
        <w:t>.  </w:t>
      </w:r>
      <w:r w:rsidR="00106516" w:rsidRPr="000B69F3">
        <w:rPr>
          <w:lang w:val="pl-PL"/>
        </w:rPr>
        <w:t>Dopuszczalność</w:t>
      </w:r>
    </w:p>
    <w:p w14:paraId="26D58B50" w14:textId="0223677C" w:rsidR="003F4F72" w:rsidRPr="000B69F3" w:rsidRDefault="003F4F72" w:rsidP="002B30B4">
      <w:pPr>
        <w:pStyle w:val="ECHRHeading4"/>
        <w:rPr>
          <w:lang w:val="pl-PL"/>
        </w:rPr>
      </w:pPr>
      <w:r w:rsidRPr="000B69F3">
        <w:rPr>
          <w:lang w:val="pl-PL"/>
        </w:rPr>
        <w:t>(a)  </w:t>
      </w:r>
      <w:r w:rsidR="00106516" w:rsidRPr="000B69F3">
        <w:rPr>
          <w:lang w:val="pl-PL"/>
        </w:rPr>
        <w:t>Zakres sprawy</w:t>
      </w:r>
    </w:p>
    <w:p w14:paraId="6845F234" w14:textId="18FCF015" w:rsidR="00106516" w:rsidRPr="000B69F3" w:rsidRDefault="00067844" w:rsidP="002B30B4">
      <w:pPr>
        <w:pStyle w:val="ECHRPara"/>
        <w:rPr>
          <w:lang w:val="pl-PL"/>
        </w:rPr>
      </w:pPr>
      <w:r w:rsidRPr="000B69F3">
        <w:rPr>
          <w:lang w:val="pl-PL"/>
        </w:rPr>
        <w:fldChar w:fldCharType="begin"/>
      </w:r>
      <w:r w:rsidRPr="000B69F3">
        <w:rPr>
          <w:lang w:val="pl-PL"/>
        </w:rPr>
        <w:instrText xml:space="preserve"> SEQ level0 \*arabic </w:instrText>
      </w:r>
      <w:r w:rsidRPr="000B69F3">
        <w:rPr>
          <w:lang w:val="pl-PL"/>
        </w:rPr>
        <w:fldChar w:fldCharType="separate"/>
      </w:r>
      <w:r w:rsidR="002F52FF" w:rsidRPr="000B69F3">
        <w:rPr>
          <w:noProof/>
          <w:lang w:val="pl-PL"/>
        </w:rPr>
        <w:t>59</w:t>
      </w:r>
      <w:r w:rsidRPr="000B69F3">
        <w:rPr>
          <w:lang w:val="pl-PL"/>
        </w:rPr>
        <w:fldChar w:fldCharType="end"/>
      </w:r>
      <w:r w:rsidRPr="000B69F3">
        <w:rPr>
          <w:lang w:val="pl-PL"/>
        </w:rPr>
        <w:t>.  </w:t>
      </w:r>
      <w:r w:rsidR="00106516" w:rsidRPr="000B69F3">
        <w:rPr>
          <w:lang w:val="pl-PL"/>
        </w:rPr>
        <w:t>W pierwszej kolejności Trybunał ustosunkowuje się do uwag skarżącyc</w:t>
      </w:r>
      <w:r w:rsidR="00295569" w:rsidRPr="000B69F3">
        <w:rPr>
          <w:lang w:val="pl-PL"/>
        </w:rPr>
        <w:t xml:space="preserve">h odnośnie </w:t>
      </w:r>
      <w:r w:rsidR="007E6E81">
        <w:rPr>
          <w:lang w:val="pl-PL"/>
        </w:rPr>
        <w:t xml:space="preserve">do </w:t>
      </w:r>
      <w:r w:rsidR="00295569" w:rsidRPr="000B69F3">
        <w:rPr>
          <w:lang w:val="pl-PL"/>
        </w:rPr>
        <w:t>zakresu sprawy (zob.</w:t>
      </w:r>
      <w:r w:rsidR="00106516" w:rsidRPr="000B69F3">
        <w:rPr>
          <w:lang w:val="pl-PL"/>
        </w:rPr>
        <w:t xml:space="preserve"> paragraf 49 powyżej)</w:t>
      </w:r>
      <w:r w:rsidR="0061334A" w:rsidRPr="000B69F3">
        <w:rPr>
          <w:lang w:val="pl-PL"/>
        </w:rPr>
        <w:t>: skarżący utrzymywali, że powinien on obejmować nie tylko</w:t>
      </w:r>
      <w:r w:rsidR="00E6000B" w:rsidRPr="000B69F3">
        <w:rPr>
          <w:lang w:val="pl-PL"/>
        </w:rPr>
        <w:t xml:space="preserve"> proceduralny obowiązek przeprowadzenia śledztwa w sprawie gwałtownej śmierci, ale także dwa inne obowiązki zawarte w art. 2 Konwencji, mianowicie pozytywny obowiązek ochrony życia i materialny obowiązek powstrzymania się od jego odbierania.</w:t>
      </w:r>
    </w:p>
    <w:p w14:paraId="40B406E5" w14:textId="0881ABEA" w:rsidR="00AA6BF1" w:rsidRPr="000B69F3" w:rsidRDefault="00A84040" w:rsidP="002B30B4">
      <w:pPr>
        <w:pStyle w:val="ECHRPara"/>
        <w:rPr>
          <w:lang w:val="pl-PL"/>
        </w:rPr>
      </w:pPr>
      <w:r w:rsidRPr="000B69F3">
        <w:rPr>
          <w:lang w:val="pl-PL"/>
        </w:rPr>
        <w:fldChar w:fldCharType="begin"/>
      </w:r>
      <w:r w:rsidRPr="000B69F3">
        <w:rPr>
          <w:lang w:val="pl-PL"/>
        </w:rPr>
        <w:instrText xml:space="preserve"> SEQ level0 \*arabic </w:instrText>
      </w:r>
      <w:r w:rsidRPr="000B69F3">
        <w:rPr>
          <w:lang w:val="pl-PL"/>
        </w:rPr>
        <w:fldChar w:fldCharType="separate"/>
      </w:r>
      <w:r w:rsidR="002F52FF" w:rsidRPr="000B69F3">
        <w:rPr>
          <w:noProof/>
          <w:lang w:val="pl-PL"/>
        </w:rPr>
        <w:t>60</w:t>
      </w:r>
      <w:r w:rsidRPr="000B69F3">
        <w:rPr>
          <w:lang w:val="pl-PL"/>
        </w:rPr>
        <w:fldChar w:fldCharType="end"/>
      </w:r>
      <w:r w:rsidRPr="000B69F3">
        <w:rPr>
          <w:lang w:val="pl-PL"/>
        </w:rPr>
        <w:t>.  </w:t>
      </w:r>
      <w:r w:rsidR="00AA6BF1" w:rsidRPr="000B69F3">
        <w:rPr>
          <w:lang w:val="pl-PL"/>
        </w:rPr>
        <w:t>W związku z tym Trybunał ponownie zauważa, że spoczywający na Państwie obowiązek przeprowadzenia skutecznego śledztwa jest w orzecznictwie Trybunału u</w:t>
      </w:r>
      <w:r w:rsidR="00905A42" w:rsidRPr="000B69F3">
        <w:rPr>
          <w:lang w:val="pl-PL"/>
        </w:rPr>
        <w:t>znawany za obowiązek wpisany w art.</w:t>
      </w:r>
      <w:r w:rsidR="00AA6BF1" w:rsidRPr="000B69F3">
        <w:rPr>
          <w:lang w:val="pl-PL"/>
        </w:rPr>
        <w:t xml:space="preserve"> 2, który </w:t>
      </w:r>
      <w:r w:rsidR="00905A42" w:rsidRPr="000B69F3">
        <w:rPr>
          <w:lang w:val="pl-PL"/>
        </w:rPr>
        <w:t>wymaga</w:t>
      </w:r>
      <w:r w:rsidR="00AA6BF1" w:rsidRPr="000B69F3">
        <w:rPr>
          <w:lang w:val="pl-PL"/>
        </w:rPr>
        <w:t>, między innymi, aby prawo do życia było „chronione przez ustawę”. Chociaż niewywiązanie się z tego obowiązku</w:t>
      </w:r>
      <w:r w:rsidR="00905A42" w:rsidRPr="000B69F3">
        <w:rPr>
          <w:lang w:val="pl-PL"/>
        </w:rPr>
        <w:t xml:space="preserve"> może rodzić konsekwencje dla prawa chronionego przez art. 13, to obowiązek proceduralny z art. 2</w:t>
      </w:r>
      <w:r w:rsidR="00255FF3" w:rsidRPr="000B69F3">
        <w:rPr>
          <w:lang w:val="pl-PL"/>
        </w:rPr>
        <w:t xml:space="preserve"> postrzega się jako obowiązek odrębny. Może to skutkować uznaniem osobnej i niezależnej „ingerencji” (zob.: </w:t>
      </w:r>
      <w:r w:rsidR="00255FF3" w:rsidRPr="000B69F3">
        <w:rPr>
          <w:i/>
          <w:lang w:val="pl-PL"/>
        </w:rPr>
        <w:t xml:space="preserve">Armani Da Silva p. Zjednoczonemu Królestwu </w:t>
      </w:r>
      <w:r w:rsidR="00255FF3" w:rsidRPr="000B69F3">
        <w:rPr>
          <w:lang w:val="pl-PL"/>
        </w:rPr>
        <w:t>[WI], nr 5878/08, § 231, ETPCz 2016).</w:t>
      </w:r>
    </w:p>
    <w:bookmarkStart w:id="16" w:name="SJ60"/>
    <w:p w14:paraId="4FCCCA1D" w14:textId="7D023FED" w:rsidR="00255FF3" w:rsidRPr="000B69F3" w:rsidRDefault="003F4F72" w:rsidP="00255FF3">
      <w:pPr>
        <w:pStyle w:val="ECHRPara"/>
        <w:rPr>
          <w:lang w:val="pl-PL"/>
        </w:rPr>
      </w:pPr>
      <w:r w:rsidRPr="000B69F3">
        <w:rPr>
          <w:lang w:val="pl-PL"/>
        </w:rPr>
        <w:fldChar w:fldCharType="begin"/>
      </w:r>
      <w:r w:rsidRPr="000B69F3">
        <w:rPr>
          <w:lang w:val="pl-PL"/>
        </w:rPr>
        <w:instrText xml:space="preserve"> SEQ level0 \*arabic </w:instrText>
      </w:r>
      <w:r w:rsidRPr="000B69F3">
        <w:rPr>
          <w:lang w:val="pl-PL"/>
        </w:rPr>
        <w:fldChar w:fldCharType="separate"/>
      </w:r>
      <w:r w:rsidR="002F52FF" w:rsidRPr="000B69F3">
        <w:rPr>
          <w:noProof/>
          <w:lang w:val="pl-PL"/>
        </w:rPr>
        <w:t>61</w:t>
      </w:r>
      <w:r w:rsidRPr="000B69F3">
        <w:rPr>
          <w:lang w:val="pl-PL"/>
        </w:rPr>
        <w:fldChar w:fldCharType="end"/>
      </w:r>
      <w:bookmarkEnd w:id="16"/>
      <w:r w:rsidRPr="000B69F3">
        <w:rPr>
          <w:lang w:val="pl-PL"/>
        </w:rPr>
        <w:t>.  </w:t>
      </w:r>
      <w:r w:rsidR="00255FF3" w:rsidRPr="000B69F3">
        <w:rPr>
          <w:lang w:val="pl-PL"/>
        </w:rPr>
        <w:t>Podczas komunikowania skargi w przedmiotowej sprawie pozwanemu Rządowi, Trybunał zwrócił się do stron z zapytaniem dotyczącym wyłącznie proceduralnego obowiązku przeprowadzenia skutecznego śledztwa. Przewodniczący Sekcji jednoosobowo orzekł o niedopuszczalności pozostałej części skargi (</w:t>
      </w:r>
      <w:r w:rsidR="00E87E77" w:rsidRPr="000B69F3">
        <w:rPr>
          <w:lang w:val="pl-PL"/>
        </w:rPr>
        <w:t>zob.</w:t>
      </w:r>
      <w:r w:rsidR="00255FF3" w:rsidRPr="000B69F3">
        <w:rPr>
          <w:lang w:val="pl-PL"/>
        </w:rPr>
        <w:t xml:space="preserve"> paragraf 4 powyżej)</w:t>
      </w:r>
    </w:p>
    <w:p w14:paraId="79379824" w14:textId="305F1C0B" w:rsidR="000D1706" w:rsidRPr="000B69F3" w:rsidRDefault="006B6F77" w:rsidP="002B30B4">
      <w:pPr>
        <w:pStyle w:val="ECHRPara"/>
        <w:rPr>
          <w:lang w:val="pl-PL"/>
        </w:rPr>
      </w:pPr>
      <w:r w:rsidRPr="000B69F3">
        <w:rPr>
          <w:lang w:val="pl-PL"/>
        </w:rPr>
        <w:fldChar w:fldCharType="begin"/>
      </w:r>
      <w:r w:rsidRPr="000B69F3">
        <w:rPr>
          <w:lang w:val="pl-PL"/>
        </w:rPr>
        <w:instrText xml:space="preserve"> SEQ level0 \*arabic </w:instrText>
      </w:r>
      <w:r w:rsidRPr="000B69F3">
        <w:rPr>
          <w:lang w:val="pl-PL"/>
        </w:rPr>
        <w:fldChar w:fldCharType="separate"/>
      </w:r>
      <w:r w:rsidR="002F52FF" w:rsidRPr="000B69F3">
        <w:rPr>
          <w:noProof/>
          <w:lang w:val="pl-PL"/>
        </w:rPr>
        <w:t>62</w:t>
      </w:r>
      <w:r w:rsidRPr="000B69F3">
        <w:rPr>
          <w:lang w:val="pl-PL"/>
        </w:rPr>
        <w:fldChar w:fldCharType="end"/>
      </w:r>
      <w:r w:rsidRPr="000B69F3">
        <w:rPr>
          <w:lang w:val="pl-PL"/>
        </w:rPr>
        <w:t>.  </w:t>
      </w:r>
      <w:r w:rsidR="000D1706" w:rsidRPr="000B69F3">
        <w:rPr>
          <w:lang w:val="pl-PL"/>
        </w:rPr>
        <w:t>Podkreślając, że jednoosobowa decyzja sędziego w przedmiocie niedopuszczalności skargi jest ostateczna zgodnie z art. 27 § 2 Konwencji, Trybunał uznaje, że wniosek skarżących o zadanie Rządowi dodatkowych pytań, jako zmierzający do rozszerzenia przedmiotu sprawy, podlega oddaleniu.</w:t>
      </w:r>
    </w:p>
    <w:p w14:paraId="29CA461D" w14:textId="3FC4CC63" w:rsidR="000D1706" w:rsidRPr="000B69F3" w:rsidRDefault="000D1706" w:rsidP="000D1706">
      <w:pPr>
        <w:pStyle w:val="ECHRHeading4"/>
        <w:rPr>
          <w:lang w:val="pl-PL"/>
        </w:rPr>
      </w:pPr>
      <w:r w:rsidRPr="000B69F3">
        <w:rPr>
          <w:lang w:val="pl-PL"/>
        </w:rPr>
        <w:t xml:space="preserve"> </w:t>
      </w:r>
      <w:r w:rsidR="003F4F72" w:rsidRPr="000B69F3">
        <w:rPr>
          <w:lang w:val="pl-PL"/>
        </w:rPr>
        <w:t>(b)  </w:t>
      </w:r>
      <w:r w:rsidRPr="000B69F3">
        <w:rPr>
          <w:lang w:val="pl-PL"/>
        </w:rPr>
        <w:t xml:space="preserve">Domniemana utrata statusu </w:t>
      </w:r>
      <w:r w:rsidR="00457A6C">
        <w:rPr>
          <w:lang w:val="pl-PL"/>
        </w:rPr>
        <w:t>ofiary</w:t>
      </w:r>
    </w:p>
    <w:p w14:paraId="2590840A" w14:textId="556EDC04" w:rsidR="000D1706" w:rsidRPr="000B69F3" w:rsidRDefault="00175B28" w:rsidP="002B30B4">
      <w:pPr>
        <w:pStyle w:val="ECHRPara"/>
        <w:rPr>
          <w:lang w:val="pl-PL"/>
        </w:rPr>
      </w:pPr>
      <w:r w:rsidRPr="000B69F3">
        <w:rPr>
          <w:lang w:val="pl-PL"/>
        </w:rPr>
        <w:fldChar w:fldCharType="begin"/>
      </w:r>
      <w:r w:rsidRPr="000B69F3">
        <w:rPr>
          <w:lang w:val="pl-PL"/>
        </w:rPr>
        <w:instrText xml:space="preserve"> SEQ level0 \*arabic </w:instrText>
      </w:r>
      <w:r w:rsidRPr="000B69F3">
        <w:rPr>
          <w:lang w:val="pl-PL"/>
        </w:rPr>
        <w:fldChar w:fldCharType="separate"/>
      </w:r>
      <w:r w:rsidR="002F52FF" w:rsidRPr="000B69F3">
        <w:rPr>
          <w:noProof/>
          <w:lang w:val="pl-PL"/>
        </w:rPr>
        <w:t>63</w:t>
      </w:r>
      <w:r w:rsidRPr="000B69F3">
        <w:rPr>
          <w:lang w:val="pl-PL"/>
        </w:rPr>
        <w:fldChar w:fldCharType="end"/>
      </w:r>
      <w:r w:rsidRPr="000B69F3">
        <w:rPr>
          <w:lang w:val="pl-PL"/>
        </w:rPr>
        <w:t>.  </w:t>
      </w:r>
      <w:r w:rsidR="000D1706" w:rsidRPr="000B69F3">
        <w:rPr>
          <w:lang w:val="pl-PL"/>
        </w:rPr>
        <w:t>Następnie Trybunał rozpatruje zarzut Rządu dotyczący rzekomej utraty przez skarżących status</w:t>
      </w:r>
      <w:r w:rsidR="00C001FE" w:rsidRPr="000B69F3">
        <w:rPr>
          <w:lang w:val="pl-PL"/>
        </w:rPr>
        <w:t>u</w:t>
      </w:r>
      <w:r w:rsidR="000D1706" w:rsidRPr="000B69F3">
        <w:rPr>
          <w:lang w:val="pl-PL"/>
        </w:rPr>
        <w:t xml:space="preserve"> </w:t>
      </w:r>
      <w:r w:rsidR="008928F6" w:rsidRPr="000B69F3">
        <w:rPr>
          <w:lang w:val="pl-PL"/>
        </w:rPr>
        <w:t>ofiary</w:t>
      </w:r>
      <w:r w:rsidR="000D1706" w:rsidRPr="000B69F3">
        <w:rPr>
          <w:lang w:val="pl-PL"/>
        </w:rPr>
        <w:t xml:space="preserve"> </w:t>
      </w:r>
      <w:r w:rsidR="00F91FF2" w:rsidRPr="000B69F3">
        <w:rPr>
          <w:lang w:val="pl-PL"/>
        </w:rPr>
        <w:t xml:space="preserve">(zob. paragraf 42 powyżej). Rząd argumentuje dwojako: po pierwsze, skarżący utracili status </w:t>
      </w:r>
      <w:r w:rsidR="008928F6" w:rsidRPr="000B69F3">
        <w:rPr>
          <w:lang w:val="pl-PL"/>
        </w:rPr>
        <w:t>ofiary</w:t>
      </w:r>
      <w:r w:rsidR="00F91FF2" w:rsidRPr="000B69F3">
        <w:rPr>
          <w:lang w:val="pl-PL"/>
        </w:rPr>
        <w:t xml:space="preserve"> z powodu niedostarczenia sądowi pewnych dokumentów; po drugie, skarżącym przyznano odszkodowanie w ramach krajowego postępowania karnego przeciwko sprawcom.</w:t>
      </w:r>
    </w:p>
    <w:p w14:paraId="7D80C032" w14:textId="4A1C9884" w:rsidR="008928F6" w:rsidRPr="000B69F3" w:rsidRDefault="00D7374B" w:rsidP="002B30B4">
      <w:pPr>
        <w:pStyle w:val="ECHRPara"/>
        <w:rPr>
          <w:lang w:val="pl-PL"/>
        </w:rPr>
      </w:pPr>
      <w:r w:rsidRPr="000B69F3">
        <w:rPr>
          <w:lang w:val="pl-PL"/>
        </w:rPr>
        <w:fldChar w:fldCharType="begin"/>
      </w:r>
      <w:r w:rsidRPr="000B69F3">
        <w:rPr>
          <w:lang w:val="pl-PL"/>
        </w:rPr>
        <w:instrText xml:space="preserve"> SEQ level0 \*arabic </w:instrText>
      </w:r>
      <w:r w:rsidRPr="000B69F3">
        <w:rPr>
          <w:lang w:val="pl-PL"/>
        </w:rPr>
        <w:fldChar w:fldCharType="separate"/>
      </w:r>
      <w:r w:rsidR="002F52FF" w:rsidRPr="000B69F3">
        <w:rPr>
          <w:noProof/>
          <w:lang w:val="pl-PL"/>
        </w:rPr>
        <w:t>64</w:t>
      </w:r>
      <w:r w:rsidRPr="000B69F3">
        <w:rPr>
          <w:lang w:val="pl-PL"/>
        </w:rPr>
        <w:fldChar w:fldCharType="end"/>
      </w:r>
      <w:r w:rsidRPr="000B69F3">
        <w:rPr>
          <w:lang w:val="pl-PL"/>
        </w:rPr>
        <w:t>.  </w:t>
      </w:r>
      <w:r w:rsidR="008928F6" w:rsidRPr="000B69F3">
        <w:rPr>
          <w:lang w:val="pl-PL"/>
        </w:rPr>
        <w:t xml:space="preserve">Odnośnie </w:t>
      </w:r>
      <w:r w:rsidR="00611F76">
        <w:rPr>
          <w:lang w:val="pl-PL"/>
        </w:rPr>
        <w:t xml:space="preserve">do </w:t>
      </w:r>
      <w:r w:rsidR="008928F6" w:rsidRPr="000B69F3">
        <w:rPr>
          <w:lang w:val="pl-PL"/>
        </w:rPr>
        <w:t>pierwszej części argumentacji, Trybunał nie zgadza się, że niedostarczenie mu pewnych materiałów może mieć wpływ na jego ocenę w sprawie utraty przez skarżącego statusu ofiary.</w:t>
      </w:r>
    </w:p>
    <w:p w14:paraId="09E60680" w14:textId="2DDE8EE0" w:rsidR="008928F6" w:rsidRPr="000B69F3" w:rsidRDefault="00465B94" w:rsidP="008928F6">
      <w:pPr>
        <w:pStyle w:val="ECHRPara"/>
        <w:rPr>
          <w:lang w:val="pl-PL"/>
        </w:rPr>
      </w:pPr>
      <w:r w:rsidRPr="000B69F3">
        <w:rPr>
          <w:lang w:val="pl-PL"/>
        </w:rPr>
        <w:fldChar w:fldCharType="begin"/>
      </w:r>
      <w:r w:rsidRPr="000B69F3">
        <w:rPr>
          <w:lang w:val="pl-PL"/>
        </w:rPr>
        <w:instrText xml:space="preserve"> SEQ level0 \*arabic </w:instrText>
      </w:r>
      <w:r w:rsidRPr="000B69F3">
        <w:rPr>
          <w:lang w:val="pl-PL"/>
        </w:rPr>
        <w:fldChar w:fldCharType="separate"/>
      </w:r>
      <w:r w:rsidR="002F52FF" w:rsidRPr="000B69F3">
        <w:rPr>
          <w:noProof/>
          <w:lang w:val="pl-PL"/>
        </w:rPr>
        <w:t>65</w:t>
      </w:r>
      <w:r w:rsidRPr="000B69F3">
        <w:rPr>
          <w:lang w:val="pl-PL"/>
        </w:rPr>
        <w:fldChar w:fldCharType="end"/>
      </w:r>
      <w:r w:rsidRPr="000B69F3">
        <w:rPr>
          <w:lang w:val="pl-PL"/>
        </w:rPr>
        <w:t>.  </w:t>
      </w:r>
      <w:r w:rsidR="008928F6" w:rsidRPr="000B69F3">
        <w:rPr>
          <w:lang w:val="pl-PL"/>
        </w:rPr>
        <w:t xml:space="preserve">Odnośnie </w:t>
      </w:r>
      <w:r w:rsidR="00611F76">
        <w:rPr>
          <w:lang w:val="pl-PL"/>
        </w:rPr>
        <w:t xml:space="preserve">do </w:t>
      </w:r>
      <w:r w:rsidR="008928F6" w:rsidRPr="000B69F3">
        <w:rPr>
          <w:lang w:val="pl-PL"/>
        </w:rPr>
        <w:t xml:space="preserve">drugiej części argumentacji, Trybunał </w:t>
      </w:r>
      <w:r w:rsidR="009275F4" w:rsidRPr="000B69F3">
        <w:rPr>
          <w:lang w:val="pl-PL"/>
        </w:rPr>
        <w:t>pon</w:t>
      </w:r>
      <w:r w:rsidR="00CF065F" w:rsidRPr="000B69F3">
        <w:rPr>
          <w:lang w:val="pl-PL"/>
        </w:rPr>
        <w:t>ownie zaznacza, że</w:t>
      </w:r>
      <w:r w:rsidR="004E5086" w:rsidRPr="000B69F3">
        <w:rPr>
          <w:lang w:val="pl-PL"/>
        </w:rPr>
        <w:t xml:space="preserve"> decyzja lub środek korzystny dla skarżącego nie jest co do zasady wystarczający, aby pozbawić go statusu „ofiary”, chyba że władze </w:t>
      </w:r>
      <w:r w:rsidR="004E5086" w:rsidRPr="000B69F3">
        <w:rPr>
          <w:lang w:val="pl-PL"/>
        </w:rPr>
        <w:lastRenderedPageBreak/>
        <w:t xml:space="preserve">krajowe </w:t>
      </w:r>
      <w:r w:rsidR="003069CB" w:rsidRPr="000B69F3">
        <w:rPr>
          <w:lang w:val="pl-PL"/>
        </w:rPr>
        <w:t>uznały</w:t>
      </w:r>
      <w:r w:rsidR="004E5086" w:rsidRPr="000B69F3">
        <w:rPr>
          <w:lang w:val="pl-PL"/>
        </w:rPr>
        <w:t xml:space="preserve">, </w:t>
      </w:r>
      <w:r w:rsidR="000702FA" w:rsidRPr="000B69F3">
        <w:rPr>
          <w:lang w:val="pl-PL"/>
        </w:rPr>
        <w:t>w sposób wyraźny lub co do istoty,</w:t>
      </w:r>
      <w:r w:rsidR="003069CB" w:rsidRPr="000B69F3">
        <w:rPr>
          <w:lang w:val="pl-PL"/>
        </w:rPr>
        <w:t xml:space="preserve"> naruszenie Konwencji</w:t>
      </w:r>
      <w:r w:rsidR="002B0F87" w:rsidRPr="000B69F3">
        <w:rPr>
          <w:lang w:val="pl-PL"/>
        </w:rPr>
        <w:t>,</w:t>
      </w:r>
      <w:r w:rsidR="003069CB" w:rsidRPr="000B69F3">
        <w:rPr>
          <w:lang w:val="pl-PL"/>
        </w:rPr>
        <w:t xml:space="preserve"> a następnie przyznały za nie zadośćuczynienie (patrz: </w:t>
      </w:r>
      <w:r w:rsidR="003069CB" w:rsidRPr="000B69F3">
        <w:rPr>
          <w:i/>
          <w:lang w:val="pl-PL"/>
        </w:rPr>
        <w:t>Nikolova i Velichkova p. Bułgarii</w:t>
      </w:r>
      <w:r w:rsidR="003069CB" w:rsidRPr="000B69F3">
        <w:rPr>
          <w:lang w:val="pl-PL"/>
        </w:rPr>
        <w:t>, nr 7888/03, § 49, 20 grudnia 2007</w:t>
      </w:r>
      <w:r w:rsidR="00611F76">
        <w:rPr>
          <w:lang w:val="pl-PL"/>
        </w:rPr>
        <w:t xml:space="preserve"> r.</w:t>
      </w:r>
      <w:r w:rsidR="003069CB" w:rsidRPr="000B69F3">
        <w:rPr>
          <w:lang w:val="pl-PL"/>
        </w:rPr>
        <w:t>).</w:t>
      </w:r>
    </w:p>
    <w:p w14:paraId="096F8199" w14:textId="69DC4961" w:rsidR="006D2A2A" w:rsidRPr="000B69F3" w:rsidRDefault="00172AE4" w:rsidP="002B30B4">
      <w:pPr>
        <w:pStyle w:val="ECHRPara"/>
        <w:rPr>
          <w:lang w:val="pl-PL"/>
        </w:rPr>
      </w:pPr>
      <w:r w:rsidRPr="000B69F3">
        <w:rPr>
          <w:lang w:val="pl-PL"/>
        </w:rPr>
        <w:fldChar w:fldCharType="begin"/>
      </w:r>
      <w:r w:rsidRPr="000B69F3">
        <w:rPr>
          <w:lang w:val="pl-PL"/>
        </w:rPr>
        <w:instrText xml:space="preserve"> SEQ level0 \*arabic </w:instrText>
      </w:r>
      <w:r w:rsidRPr="000B69F3">
        <w:rPr>
          <w:lang w:val="pl-PL"/>
        </w:rPr>
        <w:fldChar w:fldCharType="separate"/>
      </w:r>
      <w:r w:rsidR="002F52FF" w:rsidRPr="000B69F3">
        <w:rPr>
          <w:noProof/>
          <w:lang w:val="pl-PL"/>
        </w:rPr>
        <w:t>66</w:t>
      </w:r>
      <w:r w:rsidRPr="000B69F3">
        <w:rPr>
          <w:lang w:val="pl-PL"/>
        </w:rPr>
        <w:fldChar w:fldCharType="end"/>
      </w:r>
      <w:r w:rsidRPr="000B69F3">
        <w:rPr>
          <w:lang w:val="pl-PL"/>
        </w:rPr>
        <w:t>.  </w:t>
      </w:r>
      <w:r w:rsidR="006D2A2A" w:rsidRPr="000B69F3">
        <w:rPr>
          <w:lang w:val="pl-PL"/>
        </w:rPr>
        <w:t>Trybunał zauważył, że zadośćuczynienie przyznane przez Sąd Miejski objęło wyłącznie trzeciego i czwartego skarżącego, zaś pierwszy i drugi skarżący takiego zadośćuczynienia nie otrzymali. Co ważniejsze, Trybunał ponownie zazna</w:t>
      </w:r>
      <w:r w:rsidR="000702FA" w:rsidRPr="000B69F3">
        <w:rPr>
          <w:lang w:val="pl-PL"/>
        </w:rPr>
        <w:t>cza, że ten aspekt skargi, która</w:t>
      </w:r>
      <w:r w:rsidR="006D2A2A" w:rsidRPr="000B69F3">
        <w:rPr>
          <w:lang w:val="pl-PL"/>
        </w:rPr>
        <w:t xml:space="preserve"> został</w:t>
      </w:r>
      <w:r w:rsidR="000702FA" w:rsidRPr="000B69F3">
        <w:rPr>
          <w:lang w:val="pl-PL"/>
        </w:rPr>
        <w:t>a zakomunikowana Rządowi</w:t>
      </w:r>
      <w:r w:rsidR="001C73E5">
        <w:rPr>
          <w:lang w:val="pl-PL"/>
        </w:rPr>
        <w:t>,</w:t>
      </w:r>
      <w:r w:rsidR="000702FA" w:rsidRPr="000B69F3">
        <w:rPr>
          <w:lang w:val="pl-PL"/>
        </w:rPr>
        <w:t xml:space="preserve"> dotyczy w szczególności ciążącego na Państwie obowiązku przeprowadzenia skutecznego śledztwa.</w:t>
      </w:r>
      <w:r w:rsidR="00B536A3" w:rsidRPr="000B69F3">
        <w:rPr>
          <w:lang w:val="pl-PL"/>
        </w:rPr>
        <w:t xml:space="preserve"> Zauważa jednak, że władze </w:t>
      </w:r>
      <w:r w:rsidR="002B0F87" w:rsidRPr="000B69F3">
        <w:rPr>
          <w:lang w:val="pl-PL"/>
        </w:rPr>
        <w:t xml:space="preserve">rosyjskie nigdy nie uznały, w sposób wyraźny lub co do istoty, naruszenia praw skarżących wynikających z art. 2 Konwencji w jego aspekcie proceduralnym. Zadośćuczynienie przyznane </w:t>
      </w:r>
      <w:r w:rsidR="00D22F93" w:rsidRPr="000B69F3">
        <w:rPr>
          <w:lang w:val="pl-PL"/>
        </w:rPr>
        <w:t>trzeciemu i czwartemu skarżącemu występuj</w:t>
      </w:r>
      <w:r w:rsidR="00EE0F46" w:rsidRPr="000B69F3">
        <w:rPr>
          <w:lang w:val="pl-PL"/>
        </w:rPr>
        <w:t xml:space="preserve">ącym w charakterze powodów cywilnych w postępowaniu karnym przeciwko pięciu mężczyznom oskarżonym o zabójstwo Anny Politkowskiej nie może być traktowane jako zadośćuczynienie z tytułu </w:t>
      </w:r>
      <w:r w:rsidR="00DE3198" w:rsidRPr="000B69F3">
        <w:rPr>
          <w:lang w:val="pl-PL"/>
        </w:rPr>
        <w:t xml:space="preserve">proceduralnego </w:t>
      </w:r>
      <w:r w:rsidR="00EE0F46" w:rsidRPr="000B69F3">
        <w:rPr>
          <w:lang w:val="pl-PL"/>
        </w:rPr>
        <w:t xml:space="preserve">naruszenia </w:t>
      </w:r>
      <w:r w:rsidR="00DE3198" w:rsidRPr="000B69F3">
        <w:rPr>
          <w:lang w:val="pl-PL"/>
        </w:rPr>
        <w:t xml:space="preserve">art. 2 Konwencji. </w:t>
      </w:r>
      <w:r w:rsidR="009A0242" w:rsidRPr="000B69F3">
        <w:rPr>
          <w:lang w:val="pl-PL"/>
        </w:rPr>
        <w:t>W ramach wspomnianego postępowania karnego w żaden sposób nie rozpatrywano skuteczności śledztwa w sprawie zabójstwa jako kwestii pozostającej jednoznacznie poza przedmiotem postępowania.</w:t>
      </w:r>
    </w:p>
    <w:p w14:paraId="10A372BE" w14:textId="3B97E1AB" w:rsidR="009A0242" w:rsidRPr="000B69F3" w:rsidRDefault="003529DD" w:rsidP="002B30B4">
      <w:pPr>
        <w:pStyle w:val="ECHRPara"/>
        <w:rPr>
          <w:lang w:val="pl-PL"/>
        </w:rPr>
      </w:pPr>
      <w:r w:rsidRPr="000B69F3">
        <w:rPr>
          <w:lang w:val="pl-PL"/>
        </w:rPr>
        <w:fldChar w:fldCharType="begin"/>
      </w:r>
      <w:r w:rsidRPr="000B69F3">
        <w:rPr>
          <w:lang w:val="pl-PL"/>
        </w:rPr>
        <w:instrText xml:space="preserve"> SEQ level0 \*arabic </w:instrText>
      </w:r>
      <w:r w:rsidRPr="000B69F3">
        <w:rPr>
          <w:lang w:val="pl-PL"/>
        </w:rPr>
        <w:fldChar w:fldCharType="separate"/>
      </w:r>
      <w:r w:rsidR="002F52FF" w:rsidRPr="000B69F3">
        <w:rPr>
          <w:noProof/>
          <w:lang w:val="pl-PL"/>
        </w:rPr>
        <w:t>67</w:t>
      </w:r>
      <w:r w:rsidRPr="000B69F3">
        <w:rPr>
          <w:lang w:val="pl-PL"/>
        </w:rPr>
        <w:fldChar w:fldCharType="end"/>
      </w:r>
      <w:r w:rsidRPr="000B69F3">
        <w:rPr>
          <w:lang w:val="pl-PL"/>
        </w:rPr>
        <w:t>.  </w:t>
      </w:r>
      <w:r w:rsidR="009A0242" w:rsidRPr="000B69F3">
        <w:rPr>
          <w:lang w:val="pl-PL"/>
        </w:rPr>
        <w:t>Dlatego Trybunał uznał, że zarzut R</w:t>
      </w:r>
      <w:r w:rsidR="00CE6920" w:rsidRPr="000B69F3">
        <w:rPr>
          <w:lang w:val="pl-PL"/>
        </w:rPr>
        <w:t>ządu o domniemanym</w:t>
      </w:r>
      <w:r w:rsidR="009A0242" w:rsidRPr="000B69F3">
        <w:rPr>
          <w:lang w:val="pl-PL"/>
        </w:rPr>
        <w:t xml:space="preserve"> braku statusu of</w:t>
      </w:r>
      <w:r w:rsidR="000B69F3">
        <w:rPr>
          <w:lang w:val="pl-PL"/>
        </w:rPr>
        <w:t>iary należy odrzucić (zob</w:t>
      </w:r>
      <w:r w:rsidR="009A0242" w:rsidRPr="000B69F3">
        <w:rPr>
          <w:lang w:val="pl-PL"/>
        </w:rPr>
        <w:t xml:space="preserve">. </w:t>
      </w:r>
      <w:r w:rsidR="009A0242" w:rsidRPr="000B69F3">
        <w:rPr>
          <w:i/>
          <w:lang w:val="pl-PL"/>
        </w:rPr>
        <w:t>mutatis mutandis</w:t>
      </w:r>
      <w:r w:rsidR="009A0242" w:rsidRPr="000B69F3">
        <w:rPr>
          <w:lang w:val="pl-PL"/>
        </w:rPr>
        <w:t xml:space="preserve">, </w:t>
      </w:r>
      <w:r w:rsidR="009A0242" w:rsidRPr="000B69F3">
        <w:rPr>
          <w:i/>
          <w:lang w:val="pl-PL"/>
        </w:rPr>
        <w:t xml:space="preserve">Gerasimenko </w:t>
      </w:r>
      <w:r w:rsidR="00CE6920" w:rsidRPr="000B69F3">
        <w:rPr>
          <w:i/>
          <w:lang w:val="pl-PL"/>
        </w:rPr>
        <w:t>i Inni p.</w:t>
      </w:r>
      <w:r w:rsidR="009A0242" w:rsidRPr="000B69F3">
        <w:rPr>
          <w:i/>
          <w:lang w:val="pl-PL"/>
        </w:rPr>
        <w:t xml:space="preserve"> </w:t>
      </w:r>
      <w:r w:rsidR="00CE6920" w:rsidRPr="000B69F3">
        <w:rPr>
          <w:i/>
          <w:lang w:val="pl-PL"/>
        </w:rPr>
        <w:t>Rosji</w:t>
      </w:r>
      <w:r w:rsidR="00CE6920" w:rsidRPr="000B69F3">
        <w:rPr>
          <w:lang w:val="pl-PL"/>
        </w:rPr>
        <w:t>, nr 5821/10 i</w:t>
      </w:r>
      <w:r w:rsidR="009A0242" w:rsidRPr="000B69F3">
        <w:rPr>
          <w:lang w:val="pl-PL"/>
        </w:rPr>
        <w:t xml:space="preserve"> 65523/12, §§ 82-83, 1 </w:t>
      </w:r>
      <w:r w:rsidR="00CE6920" w:rsidRPr="000B69F3">
        <w:rPr>
          <w:lang w:val="pl-PL"/>
        </w:rPr>
        <w:t>grudnia</w:t>
      </w:r>
      <w:r w:rsidR="009A0242" w:rsidRPr="000B69F3">
        <w:rPr>
          <w:lang w:val="pl-PL"/>
        </w:rPr>
        <w:t xml:space="preserve"> 2016</w:t>
      </w:r>
      <w:r w:rsidR="00815B97">
        <w:rPr>
          <w:lang w:val="pl-PL"/>
        </w:rPr>
        <w:t xml:space="preserve"> r.</w:t>
      </w:r>
      <w:r w:rsidR="009A0242" w:rsidRPr="000B69F3">
        <w:rPr>
          <w:lang w:val="pl-PL"/>
        </w:rPr>
        <w:t>).</w:t>
      </w:r>
    </w:p>
    <w:p w14:paraId="554D0B63" w14:textId="3D6A2615" w:rsidR="00DD5F7A" w:rsidRPr="000B69F3" w:rsidRDefault="00CE6920" w:rsidP="002B30B4">
      <w:pPr>
        <w:pStyle w:val="ECHRHeading4"/>
        <w:rPr>
          <w:lang w:val="pl-PL"/>
        </w:rPr>
      </w:pPr>
      <w:r w:rsidRPr="000B69F3">
        <w:rPr>
          <w:lang w:val="pl-PL"/>
        </w:rPr>
        <w:t xml:space="preserve"> </w:t>
      </w:r>
      <w:r w:rsidR="003F4F72" w:rsidRPr="000B69F3">
        <w:rPr>
          <w:lang w:val="pl-PL"/>
        </w:rPr>
        <w:t>(c)</w:t>
      </w:r>
      <w:r w:rsidRPr="000B69F3">
        <w:rPr>
          <w:lang w:val="pl-PL"/>
        </w:rPr>
        <w:t>  Decyzja o dopuszczalności</w:t>
      </w:r>
    </w:p>
    <w:p w14:paraId="3DD0C832" w14:textId="5904B2FD" w:rsidR="00CE6920" w:rsidRPr="000B69F3" w:rsidRDefault="00FC4960" w:rsidP="002B30B4">
      <w:pPr>
        <w:pStyle w:val="ECHRPara"/>
        <w:rPr>
          <w:lang w:val="pl-PL"/>
        </w:rPr>
      </w:pPr>
      <w:r w:rsidRPr="000B69F3">
        <w:rPr>
          <w:lang w:val="pl-PL"/>
        </w:rPr>
        <w:fldChar w:fldCharType="begin"/>
      </w:r>
      <w:r w:rsidRPr="000B69F3">
        <w:rPr>
          <w:lang w:val="pl-PL"/>
        </w:rPr>
        <w:instrText xml:space="preserve"> SEQ level0 \*arabic </w:instrText>
      </w:r>
      <w:r w:rsidRPr="000B69F3">
        <w:rPr>
          <w:lang w:val="pl-PL"/>
        </w:rPr>
        <w:fldChar w:fldCharType="separate"/>
      </w:r>
      <w:r w:rsidR="002F52FF" w:rsidRPr="000B69F3">
        <w:rPr>
          <w:noProof/>
          <w:lang w:val="pl-PL"/>
        </w:rPr>
        <w:t>68</w:t>
      </w:r>
      <w:r w:rsidRPr="000B69F3">
        <w:rPr>
          <w:lang w:val="pl-PL"/>
        </w:rPr>
        <w:fldChar w:fldCharType="end"/>
      </w:r>
      <w:r w:rsidR="00014566" w:rsidRPr="000B69F3">
        <w:rPr>
          <w:lang w:val="pl-PL"/>
        </w:rPr>
        <w:t>.  </w:t>
      </w:r>
      <w:r w:rsidR="00CE6920" w:rsidRPr="000B69F3">
        <w:rPr>
          <w:lang w:val="pl-PL"/>
        </w:rPr>
        <w:t xml:space="preserve">Trybunał </w:t>
      </w:r>
      <w:r w:rsidR="00616854" w:rsidRPr="000B69F3">
        <w:rPr>
          <w:lang w:val="pl-PL"/>
        </w:rPr>
        <w:t>stwierdza</w:t>
      </w:r>
      <w:r w:rsidR="00CE6920" w:rsidRPr="000B69F3">
        <w:rPr>
          <w:lang w:val="pl-PL"/>
        </w:rPr>
        <w:t xml:space="preserve">, że skarga na podstawie art. 2 Konwencji w jego aspekcie proceduralnym nie jest w sposób oczywisty nieuzasadniona w rozumieniu art. </w:t>
      </w:r>
      <w:r w:rsidR="00616854" w:rsidRPr="000B69F3">
        <w:rPr>
          <w:lang w:val="pl-PL"/>
        </w:rPr>
        <w:t>35 ust.</w:t>
      </w:r>
      <w:r w:rsidR="00CE6920" w:rsidRPr="000B69F3">
        <w:rPr>
          <w:lang w:val="pl-PL"/>
        </w:rPr>
        <w:t xml:space="preserve"> 3 </w:t>
      </w:r>
      <w:r w:rsidR="00616854" w:rsidRPr="000B69F3">
        <w:rPr>
          <w:lang w:val="pl-PL"/>
        </w:rPr>
        <w:t xml:space="preserve">lit. </w:t>
      </w:r>
      <w:r w:rsidR="00CE6920" w:rsidRPr="000B69F3">
        <w:rPr>
          <w:lang w:val="pl-PL"/>
        </w:rPr>
        <w:t>a) Konwencji</w:t>
      </w:r>
      <w:r w:rsidR="00616854" w:rsidRPr="000B69F3">
        <w:rPr>
          <w:lang w:val="pl-PL"/>
        </w:rPr>
        <w:t xml:space="preserve"> oraz że nie jest niedopuszczalna z jakiegokolwiek innego powodu. Wobec powyższego należy stwierdzić jej dopuszczalność.</w:t>
      </w:r>
    </w:p>
    <w:p w14:paraId="22BC44E3" w14:textId="4120C8C3" w:rsidR="00823FB0" w:rsidRPr="000B69F3" w:rsidRDefault="006E4987" w:rsidP="002B30B4">
      <w:pPr>
        <w:pStyle w:val="ECHRHeading3"/>
        <w:rPr>
          <w:lang w:val="pl-PL"/>
        </w:rPr>
      </w:pPr>
      <w:r w:rsidRPr="000B69F3">
        <w:rPr>
          <w:lang w:val="pl-PL"/>
        </w:rPr>
        <w:t>2</w:t>
      </w:r>
      <w:r w:rsidR="00014566" w:rsidRPr="000B69F3">
        <w:rPr>
          <w:lang w:val="pl-PL"/>
        </w:rPr>
        <w:t>.  </w:t>
      </w:r>
      <w:r w:rsidR="009558CD" w:rsidRPr="000B69F3">
        <w:rPr>
          <w:lang w:val="pl-PL"/>
        </w:rPr>
        <w:t>Przedmiot skargi</w:t>
      </w:r>
    </w:p>
    <w:p w14:paraId="2BAB6E31" w14:textId="52172398" w:rsidR="003A4439" w:rsidRPr="003B472B" w:rsidRDefault="00DD493E" w:rsidP="006B4473">
      <w:pPr>
        <w:pStyle w:val="ECHRPara"/>
        <w:rPr>
          <w:i/>
          <w:lang w:val="pl-PL"/>
        </w:rPr>
      </w:pPr>
      <w:r w:rsidRPr="000B69F3">
        <w:rPr>
          <w:lang w:val="pl-PL"/>
        </w:rPr>
        <w:fldChar w:fldCharType="begin"/>
      </w:r>
      <w:r w:rsidRPr="000B69F3">
        <w:rPr>
          <w:lang w:val="pl-PL"/>
        </w:rPr>
        <w:instrText xml:space="preserve"> SEQ level0 \*arabic </w:instrText>
      </w:r>
      <w:r w:rsidRPr="000B69F3">
        <w:rPr>
          <w:lang w:val="pl-PL"/>
        </w:rPr>
        <w:fldChar w:fldCharType="separate"/>
      </w:r>
      <w:r w:rsidR="002F52FF" w:rsidRPr="000B69F3">
        <w:rPr>
          <w:noProof/>
          <w:lang w:val="pl-PL"/>
        </w:rPr>
        <w:t>69</w:t>
      </w:r>
      <w:r w:rsidRPr="000B69F3">
        <w:rPr>
          <w:noProof/>
          <w:lang w:val="pl-PL"/>
        </w:rPr>
        <w:fldChar w:fldCharType="end"/>
      </w:r>
      <w:r w:rsidR="003A4439" w:rsidRPr="000B69F3">
        <w:rPr>
          <w:lang w:val="pl-PL"/>
        </w:rPr>
        <w:t>.  </w:t>
      </w:r>
      <w:r w:rsidR="009558CD" w:rsidRPr="000B69F3">
        <w:rPr>
          <w:lang w:val="pl-PL"/>
        </w:rPr>
        <w:t>Na wstępie Trybunał ponownie przypomina, że zawarty w art. 2 Konwencji obowiązek ochrony życia wymaga przeprowadzenia jakiejś formy skutecznego oficjalnego śledztwa w przypadku zgonu osoby wskutek użycia siły przez funkcjonariuszy</w:t>
      </w:r>
      <w:r w:rsidR="000B69F3">
        <w:rPr>
          <w:lang w:val="pl-PL"/>
        </w:rPr>
        <w:t xml:space="preserve"> państwa lub osoby prywatne (zob</w:t>
      </w:r>
      <w:r w:rsidR="009558CD" w:rsidRPr="000B69F3">
        <w:rPr>
          <w:lang w:val="pl-PL"/>
        </w:rPr>
        <w:t>.</w:t>
      </w:r>
      <w:r w:rsidR="001E08AE">
        <w:rPr>
          <w:i/>
          <w:lang w:val="pl-PL"/>
        </w:rPr>
        <w:t xml:space="preserve"> Branko Tomašić i</w:t>
      </w:r>
      <w:r w:rsidR="009558CD" w:rsidRPr="000B69F3">
        <w:rPr>
          <w:i/>
          <w:lang w:val="pl-PL"/>
        </w:rPr>
        <w:t xml:space="preserve"> Inni p. Chorwacji</w:t>
      </w:r>
      <w:r w:rsidR="009558CD" w:rsidRPr="000B69F3">
        <w:rPr>
          <w:lang w:val="pl-PL"/>
        </w:rPr>
        <w:t>, nr. 46598/06, § 62, 15 stycznia 2009</w:t>
      </w:r>
      <w:r w:rsidR="00C57537">
        <w:rPr>
          <w:lang w:val="pl-PL"/>
        </w:rPr>
        <w:t xml:space="preserve"> r.</w:t>
      </w:r>
      <w:r w:rsidR="009558CD" w:rsidRPr="000B69F3">
        <w:rPr>
          <w:lang w:val="pl-PL"/>
        </w:rPr>
        <w:t xml:space="preserve">). Zasadniczym celem śledztwa jest </w:t>
      </w:r>
      <w:r w:rsidR="00267867">
        <w:rPr>
          <w:lang w:val="pl-PL"/>
        </w:rPr>
        <w:t>„</w:t>
      </w:r>
      <w:r w:rsidR="009558CD" w:rsidRPr="000B69F3">
        <w:rPr>
          <w:lang w:val="pl-PL"/>
        </w:rPr>
        <w:t>zapewnienie skutecznego st</w:t>
      </w:r>
      <w:r w:rsidR="00AF04CD" w:rsidRPr="000B69F3">
        <w:rPr>
          <w:lang w:val="pl-PL"/>
        </w:rPr>
        <w:t>osowania prawa krajowego chronią</w:t>
      </w:r>
      <w:r w:rsidR="009558CD" w:rsidRPr="000B69F3">
        <w:rPr>
          <w:lang w:val="pl-PL"/>
        </w:rPr>
        <w:t>cego prawo do życia</w:t>
      </w:r>
      <w:r w:rsidR="00AF04CD" w:rsidRPr="000B69F3">
        <w:rPr>
          <w:lang w:val="pl-PL"/>
        </w:rPr>
        <w:t xml:space="preserve">” oraz doprowadzenie do poniesienia odpowiedzialności przez osoby winne. </w:t>
      </w:r>
      <w:r w:rsidR="00E219F3" w:rsidRPr="000B69F3">
        <w:rPr>
          <w:lang w:val="pl-PL"/>
        </w:rPr>
        <w:t xml:space="preserve">Aby śledztwo było skuteczne musi </w:t>
      </w:r>
      <w:r w:rsidR="00AB165C" w:rsidRPr="000B69F3">
        <w:rPr>
          <w:lang w:val="pl-PL"/>
        </w:rPr>
        <w:t xml:space="preserve">ono </w:t>
      </w:r>
      <w:r w:rsidR="00E219F3" w:rsidRPr="000B69F3">
        <w:rPr>
          <w:lang w:val="pl-PL"/>
        </w:rPr>
        <w:t>być przede wszystkim od</w:t>
      </w:r>
      <w:r w:rsidR="00AB165C" w:rsidRPr="000B69F3">
        <w:rPr>
          <w:lang w:val="pl-PL"/>
        </w:rPr>
        <w:t>powiedni</w:t>
      </w:r>
      <w:r w:rsidR="000B69F3">
        <w:rPr>
          <w:lang w:val="pl-PL"/>
        </w:rPr>
        <w:t>e, tzn. móc</w:t>
      </w:r>
      <w:r w:rsidR="000B69F3" w:rsidRPr="000B69F3">
        <w:rPr>
          <w:lang w:val="pl-PL"/>
        </w:rPr>
        <w:t xml:space="preserve"> doprowadzić do ustalenia faktów oraz – w stosownych przypadkach – tożsamości osób odpowiedzialnych i do ich ukarania. Obowiązek przeprowadzenia </w:t>
      </w:r>
      <w:r w:rsidR="000B69F3">
        <w:rPr>
          <w:lang w:val="pl-PL"/>
        </w:rPr>
        <w:t>skutecznego śledztwa odnosi się do środków, nie zaś do wyników (zob.</w:t>
      </w:r>
      <w:r w:rsidR="00742E8B" w:rsidRPr="001E08AE">
        <w:rPr>
          <w:i/>
          <w:lang w:val="pl-PL"/>
        </w:rPr>
        <w:t xml:space="preserve"> Mustafa Tunç i Fecire Tunç</w:t>
      </w:r>
      <w:r w:rsidR="00742E8B" w:rsidRPr="001E08AE">
        <w:rPr>
          <w:lang w:val="pl-PL"/>
        </w:rPr>
        <w:t xml:space="preserve"> </w:t>
      </w:r>
      <w:r w:rsidR="00742E8B" w:rsidRPr="001E08AE">
        <w:rPr>
          <w:i/>
          <w:lang w:val="pl-PL"/>
        </w:rPr>
        <w:t xml:space="preserve">p. Turcji </w:t>
      </w:r>
      <w:r w:rsidR="00742E8B" w:rsidRPr="001E08AE">
        <w:rPr>
          <w:lang w:val="pl-PL"/>
        </w:rPr>
        <w:t xml:space="preserve">[WI], nr 24014/05, §§ </w:t>
      </w:r>
      <w:r w:rsidR="00742E8B" w:rsidRPr="001E08AE">
        <w:rPr>
          <w:lang w:val="pl-PL"/>
        </w:rPr>
        <w:lastRenderedPageBreak/>
        <w:t>172-73, 14 kwietnia</w:t>
      </w:r>
      <w:r w:rsidR="00273E14">
        <w:rPr>
          <w:lang w:val="pl-PL"/>
        </w:rPr>
        <w:t xml:space="preserve"> 2015</w:t>
      </w:r>
      <w:r w:rsidR="007C00D2">
        <w:rPr>
          <w:lang w:val="pl-PL"/>
        </w:rPr>
        <w:t xml:space="preserve"> r.</w:t>
      </w:r>
      <w:r w:rsidR="00273E14">
        <w:rPr>
          <w:lang w:val="pl-PL"/>
        </w:rPr>
        <w:t>). Każdy brak w śledztwie, który</w:t>
      </w:r>
      <w:r w:rsidR="001E08AE">
        <w:rPr>
          <w:lang w:val="pl-PL"/>
        </w:rPr>
        <w:t xml:space="preserve"> rzutuje na jego zdolność do ustalenia okoliczności s</w:t>
      </w:r>
      <w:r w:rsidR="00273E14">
        <w:rPr>
          <w:lang w:val="pl-PL"/>
        </w:rPr>
        <w:t xml:space="preserve">prawy lub osób odpowiedzialnych, jest obarczony </w:t>
      </w:r>
      <w:r w:rsidR="00273E14" w:rsidRPr="00273E14">
        <w:rPr>
          <w:lang w:val="pl-PL"/>
        </w:rPr>
        <w:t xml:space="preserve">ryzykiem uchybienia wymaganemu standardowi skuteczności (zob. </w:t>
      </w:r>
      <w:r w:rsidR="00273E14" w:rsidRPr="00273E14">
        <w:rPr>
          <w:i/>
          <w:lang w:val="pl-PL"/>
        </w:rPr>
        <w:t xml:space="preserve">Armani Da Silva, </w:t>
      </w:r>
      <w:r w:rsidR="00273E14" w:rsidRPr="00273E14">
        <w:rPr>
          <w:lang w:val="pl-PL"/>
        </w:rPr>
        <w:t>cytowany powyżej</w:t>
      </w:r>
      <w:r w:rsidR="00273E14" w:rsidRPr="00273E14">
        <w:rPr>
          <w:i/>
          <w:lang w:val="pl-PL"/>
        </w:rPr>
        <w:t xml:space="preserve">, </w:t>
      </w:r>
      <w:r w:rsidR="00273E14" w:rsidRPr="00273E14">
        <w:rPr>
          <w:lang w:val="pl-PL"/>
        </w:rPr>
        <w:t>§ 233</w:t>
      </w:r>
      <w:r w:rsidR="00273E14">
        <w:rPr>
          <w:lang w:val="pl-PL"/>
        </w:rPr>
        <w:t>). W szczególności wnioski ze śledztwa winne być oparte na dogłębnej, obiektywnej i bezstronnej analizie</w:t>
      </w:r>
      <w:r w:rsidR="00F6628D">
        <w:rPr>
          <w:lang w:val="pl-PL"/>
        </w:rPr>
        <w:t xml:space="preserve"> wszelkich elementów istotnych dla </w:t>
      </w:r>
      <w:r w:rsidR="00F6628D" w:rsidRPr="00F6628D">
        <w:rPr>
          <w:lang w:val="pl-PL"/>
        </w:rPr>
        <w:t>sprawy. Niepod</w:t>
      </w:r>
      <w:r w:rsidR="00F6628D">
        <w:rPr>
          <w:lang w:val="pl-PL"/>
        </w:rPr>
        <w:t>jęcie oczywistego wątku w śledztwie</w:t>
      </w:r>
      <w:r w:rsidR="00F6628D" w:rsidRPr="00F6628D">
        <w:rPr>
          <w:lang w:val="pl-PL"/>
        </w:rPr>
        <w:t xml:space="preserve"> w sposób decydujący rzutuje na </w:t>
      </w:r>
      <w:r w:rsidR="00F6628D">
        <w:rPr>
          <w:lang w:val="pl-PL"/>
        </w:rPr>
        <w:t xml:space="preserve">zdolność śledztwa do ustalenia okoliczności sprawy i tożsamości osób odpowiedzialnych. Charakter i stopień analizy, które </w:t>
      </w:r>
      <w:r w:rsidR="0019019B">
        <w:rPr>
          <w:lang w:val="pl-PL"/>
        </w:rPr>
        <w:t>wystarczają do wypełnienia kryterium skutecznego</w:t>
      </w:r>
      <w:r w:rsidR="00F6628D">
        <w:rPr>
          <w:lang w:val="pl-PL"/>
        </w:rPr>
        <w:t xml:space="preserve"> śledztwa, zależą od okoliczności konkretnej sprawy i winne być oceniane na podstawie wszelkich faktów posiadających znaczenie dla sprawy oraz z uwzględnieniem praktycznych uwarunkowań pracy śledczej</w:t>
      </w:r>
      <w:r w:rsidR="0019019B">
        <w:rPr>
          <w:lang w:val="pl-PL"/>
        </w:rPr>
        <w:t xml:space="preserve"> </w:t>
      </w:r>
      <w:r w:rsidR="0019019B" w:rsidRPr="0019019B">
        <w:rPr>
          <w:lang w:val="pl-PL"/>
        </w:rPr>
        <w:t>(</w:t>
      </w:r>
      <w:r w:rsidR="0019019B" w:rsidRPr="0019019B">
        <w:rPr>
          <w:i/>
          <w:lang w:val="pl-PL"/>
        </w:rPr>
        <w:t>ibid</w:t>
      </w:r>
      <w:r w:rsidR="0019019B" w:rsidRPr="0019019B">
        <w:rPr>
          <w:lang w:val="pl-PL"/>
        </w:rPr>
        <w:t>., § 234)</w:t>
      </w:r>
      <w:r w:rsidR="00F6628D">
        <w:rPr>
          <w:lang w:val="pl-PL"/>
        </w:rPr>
        <w:t>.</w:t>
      </w:r>
      <w:r w:rsidR="0019019B" w:rsidRPr="0019019B">
        <w:rPr>
          <w:lang w:val="pl-PL"/>
        </w:rPr>
        <w:t xml:space="preserve"> </w:t>
      </w:r>
      <w:r w:rsidR="00390364">
        <w:rPr>
          <w:lang w:val="pl-PL"/>
        </w:rPr>
        <w:t xml:space="preserve">W przypadkach, w których oficjalne śledztwa doprowadziły do wszczęcia postępowań w sądach krajowych, całość postępowania – w tym etap </w:t>
      </w:r>
      <w:r w:rsidR="004F2AAD">
        <w:rPr>
          <w:lang w:val="pl-PL"/>
        </w:rPr>
        <w:t>procesu sądowego</w:t>
      </w:r>
      <w:r w:rsidR="00390364">
        <w:rPr>
          <w:lang w:val="pl-PL"/>
        </w:rPr>
        <w:t xml:space="preserve"> – musi </w:t>
      </w:r>
      <w:r w:rsidR="004F2AAD">
        <w:rPr>
          <w:lang w:val="pl-PL"/>
        </w:rPr>
        <w:t xml:space="preserve">wypełniać pozytywne zobowiązanie </w:t>
      </w:r>
      <w:r w:rsidR="00B63432">
        <w:rPr>
          <w:lang w:val="pl-PL"/>
        </w:rPr>
        <w:t xml:space="preserve">do </w:t>
      </w:r>
      <w:r w:rsidR="004F2AAD">
        <w:rPr>
          <w:lang w:val="pl-PL"/>
        </w:rPr>
        <w:t>ochrony życia przez ustawę.</w:t>
      </w:r>
      <w:r w:rsidR="00B63432">
        <w:rPr>
          <w:lang w:val="pl-PL"/>
        </w:rPr>
        <w:t xml:space="preserve"> Nie należy z powyższego wywodzić, że </w:t>
      </w:r>
      <w:r w:rsidR="000D3F10">
        <w:rPr>
          <w:lang w:val="pl-PL"/>
        </w:rPr>
        <w:t>art. 2 daje skarżącemu prawo do</w:t>
      </w:r>
      <w:r w:rsidR="00FB274A">
        <w:rPr>
          <w:lang w:val="pl-PL"/>
        </w:rPr>
        <w:t xml:space="preserve"> żądania</w:t>
      </w:r>
      <w:r w:rsidR="000D3F10">
        <w:rPr>
          <w:lang w:val="pl-PL"/>
        </w:rPr>
        <w:t xml:space="preserve"> </w:t>
      </w:r>
      <w:r w:rsidR="00FB274A">
        <w:rPr>
          <w:lang w:val="pl-PL"/>
        </w:rPr>
        <w:t>wszczęcia</w:t>
      </w:r>
      <w:r w:rsidR="000D3F10">
        <w:rPr>
          <w:lang w:val="pl-PL"/>
        </w:rPr>
        <w:t xml:space="preserve"> postępowania karnego wobec osób trzecich lub ich skazania za czyn przestępczy lub że nakłada bezwzględny obowiązek </w:t>
      </w:r>
      <w:r w:rsidR="00FB274A">
        <w:rPr>
          <w:lang w:val="pl-PL"/>
        </w:rPr>
        <w:t>kończenia</w:t>
      </w:r>
      <w:r w:rsidR="000D3F10">
        <w:rPr>
          <w:lang w:val="pl-PL"/>
        </w:rPr>
        <w:t xml:space="preserve"> wszelkich </w:t>
      </w:r>
      <w:r w:rsidR="00FB274A">
        <w:rPr>
          <w:lang w:val="pl-PL"/>
        </w:rPr>
        <w:t>postę</w:t>
      </w:r>
      <w:r w:rsidR="000D3F10">
        <w:rPr>
          <w:lang w:val="pl-PL"/>
        </w:rPr>
        <w:t>powań wyrokam</w:t>
      </w:r>
      <w:r w:rsidR="00FB274A">
        <w:rPr>
          <w:lang w:val="pl-PL"/>
        </w:rPr>
        <w:t xml:space="preserve">i skazującymi, tym bardziej konkretnymi wyrokami. Z drugiej strony, sądom krajowym pod żadnym pozorem nie wolno dopuszczać, aby przestępstwa zagrażające życiu uchodziły bezkarnie (por. </w:t>
      </w:r>
      <w:r w:rsidR="00FB274A" w:rsidRPr="003B472B">
        <w:rPr>
          <w:i/>
          <w:lang w:val="pl-PL"/>
        </w:rPr>
        <w:t>Öneryıldız p. Turcji</w:t>
      </w:r>
      <w:r w:rsidR="00FB274A" w:rsidRPr="003B472B">
        <w:rPr>
          <w:lang w:val="pl-PL"/>
        </w:rPr>
        <w:t xml:space="preserve"> [WI], nr. 48939/99, §§ 95-96, ETPCz 2004</w:t>
      </w:r>
      <w:r w:rsidR="00FB274A" w:rsidRPr="003B472B">
        <w:rPr>
          <w:lang w:val="pl-PL"/>
        </w:rPr>
        <w:noBreakHyphen/>
        <w:t>XII).</w:t>
      </w:r>
    </w:p>
    <w:p w14:paraId="72D1019E" w14:textId="54B19EC0" w:rsidR="003B472B" w:rsidRPr="003B472B" w:rsidRDefault="00DD493E" w:rsidP="001D0C3F">
      <w:pPr>
        <w:pStyle w:val="ECHRPara"/>
        <w:rPr>
          <w:lang w:val="pl-PL"/>
        </w:rPr>
      </w:pPr>
      <w:r w:rsidRPr="004D5EB3">
        <w:fldChar w:fldCharType="begin"/>
      </w:r>
      <w:r w:rsidRPr="003B472B">
        <w:rPr>
          <w:lang w:val="pl-PL"/>
        </w:rPr>
        <w:instrText xml:space="preserve"> SEQ level0 \*arabic </w:instrText>
      </w:r>
      <w:r w:rsidRPr="004D5EB3">
        <w:fldChar w:fldCharType="separate"/>
      </w:r>
      <w:r w:rsidR="002F52FF" w:rsidRPr="003B472B">
        <w:rPr>
          <w:noProof/>
          <w:lang w:val="pl-PL"/>
        </w:rPr>
        <w:t>70</w:t>
      </w:r>
      <w:r w:rsidRPr="004D5EB3">
        <w:rPr>
          <w:noProof/>
        </w:rPr>
        <w:fldChar w:fldCharType="end"/>
      </w:r>
      <w:r w:rsidR="00CF31EA" w:rsidRPr="003B472B">
        <w:rPr>
          <w:lang w:val="pl-PL"/>
        </w:rPr>
        <w:t>.  </w:t>
      </w:r>
      <w:r w:rsidR="003B472B" w:rsidRPr="003B472B">
        <w:rPr>
          <w:lang w:val="pl-PL"/>
        </w:rPr>
        <w:t xml:space="preserve">Ponadto Trybunał ponownie zaznacza, że </w:t>
      </w:r>
      <w:r w:rsidR="003B472B">
        <w:rPr>
          <w:lang w:val="pl-PL"/>
        </w:rPr>
        <w:t>ocenę zgodności z wymogiem proceduralnym zawartym w art. 2 ocenia na podstawie kilku kluczowych parametrów:</w:t>
      </w:r>
      <w:r w:rsidR="001C1702">
        <w:rPr>
          <w:lang w:val="pl-PL"/>
        </w:rPr>
        <w:t xml:space="preserve"> adekwatności</w:t>
      </w:r>
      <w:r w:rsidR="003B472B">
        <w:rPr>
          <w:lang w:val="pl-PL"/>
        </w:rPr>
        <w:t xml:space="preserve"> metod śledczych</w:t>
      </w:r>
      <w:r w:rsidR="00731FB6">
        <w:rPr>
          <w:lang w:val="pl-PL"/>
        </w:rPr>
        <w:t xml:space="preserve">, niezwłocznego podjęcia śledztwa i jego rozsądnej szybkości, zaangażowania rodziny zmarłej i niezależności śledztwa. Elementy te są ze sobą powiązane i </w:t>
      </w:r>
      <w:r w:rsidR="00C7533B">
        <w:rPr>
          <w:lang w:val="pl-PL"/>
        </w:rPr>
        <w:t>żaden</w:t>
      </w:r>
      <w:r w:rsidR="00731FB6">
        <w:rPr>
          <w:lang w:val="pl-PL"/>
        </w:rPr>
        <w:t xml:space="preserve"> z nich rozpatrywany osobno nie jest wyczerpujący. </w:t>
      </w:r>
      <w:r w:rsidR="00C7533B">
        <w:rPr>
          <w:lang w:val="pl-PL"/>
        </w:rPr>
        <w:t>Są to kryteria, które, rozpatrywane łącznie, umożliwiają ocen</w:t>
      </w:r>
      <w:r w:rsidR="001D0C3F">
        <w:rPr>
          <w:lang w:val="pl-PL"/>
        </w:rPr>
        <w:t xml:space="preserve">ę stopnia skuteczności śledztwa </w:t>
      </w:r>
      <w:r w:rsidR="001D0C3F" w:rsidRPr="001D0C3F">
        <w:rPr>
          <w:lang w:val="pl-PL"/>
        </w:rPr>
        <w:t>(</w:t>
      </w:r>
      <w:r w:rsidR="001D0C3F">
        <w:rPr>
          <w:lang w:val="pl-PL"/>
        </w:rPr>
        <w:t>por.</w:t>
      </w:r>
      <w:r w:rsidR="001D0C3F" w:rsidRPr="001D0C3F">
        <w:rPr>
          <w:lang w:val="pl-PL"/>
        </w:rPr>
        <w:t xml:space="preserve"> </w:t>
      </w:r>
      <w:r w:rsidR="001D0C3F" w:rsidRPr="001D0C3F">
        <w:rPr>
          <w:i/>
          <w:lang w:val="pl-PL"/>
        </w:rPr>
        <w:t>mutatis mutandis</w:t>
      </w:r>
      <w:r w:rsidR="001D0C3F" w:rsidRPr="001D0C3F">
        <w:rPr>
          <w:lang w:val="pl-PL"/>
        </w:rPr>
        <w:t xml:space="preserve">, </w:t>
      </w:r>
      <w:r w:rsidR="001D0C3F">
        <w:rPr>
          <w:i/>
          <w:lang w:val="pl-PL"/>
        </w:rPr>
        <w:t>Mustafa Tunç i</w:t>
      </w:r>
      <w:r w:rsidR="001D0C3F" w:rsidRPr="001D0C3F">
        <w:rPr>
          <w:i/>
          <w:lang w:val="pl-PL"/>
        </w:rPr>
        <w:t xml:space="preserve"> Fecire Tunç</w:t>
      </w:r>
      <w:r w:rsidR="001D0C3F" w:rsidRPr="001D0C3F">
        <w:rPr>
          <w:lang w:val="pl-PL"/>
        </w:rPr>
        <w:t xml:space="preserve">, </w:t>
      </w:r>
      <w:r w:rsidR="001D0C3F">
        <w:rPr>
          <w:lang w:val="pl-PL"/>
        </w:rPr>
        <w:t>cytowane powyżej</w:t>
      </w:r>
      <w:r w:rsidR="001D0C3F" w:rsidRPr="001D0C3F">
        <w:rPr>
          <w:lang w:val="pl-PL"/>
        </w:rPr>
        <w:t>, § 225).</w:t>
      </w:r>
    </w:p>
    <w:p w14:paraId="0FC462F2" w14:textId="77777777" w:rsidR="006442E0" w:rsidRDefault="00DD493E" w:rsidP="006442E0">
      <w:pPr>
        <w:pStyle w:val="ECHRPara"/>
        <w:rPr>
          <w:lang w:val="pl-PL"/>
        </w:rPr>
      </w:pPr>
      <w:r w:rsidRPr="004D5EB3">
        <w:fldChar w:fldCharType="begin"/>
      </w:r>
      <w:r w:rsidRPr="001D0C3F">
        <w:rPr>
          <w:lang w:val="pl-PL"/>
        </w:rPr>
        <w:instrText xml:space="preserve"> SEQ level0 \*arabic </w:instrText>
      </w:r>
      <w:r w:rsidRPr="004D5EB3">
        <w:fldChar w:fldCharType="separate"/>
      </w:r>
      <w:r w:rsidR="002F52FF" w:rsidRPr="001D0C3F">
        <w:rPr>
          <w:noProof/>
          <w:lang w:val="pl-PL"/>
        </w:rPr>
        <w:t>71</w:t>
      </w:r>
      <w:r w:rsidRPr="004D5EB3">
        <w:rPr>
          <w:noProof/>
        </w:rPr>
        <w:fldChar w:fldCharType="end"/>
      </w:r>
      <w:r w:rsidR="00125A17" w:rsidRPr="001D0C3F">
        <w:rPr>
          <w:lang w:val="pl-PL"/>
        </w:rPr>
        <w:t>.  </w:t>
      </w:r>
      <w:r w:rsidR="001D0C3F" w:rsidRPr="001D0C3F">
        <w:rPr>
          <w:lang w:val="pl-PL"/>
        </w:rPr>
        <w:t xml:space="preserve">Trybunał rozważy następnie, czy </w:t>
      </w:r>
      <w:r w:rsidR="001D0C3F">
        <w:rPr>
          <w:lang w:val="pl-PL"/>
        </w:rPr>
        <w:t>śledztwo w sprawie zabójstwa A</w:t>
      </w:r>
      <w:r w:rsidR="001D0C3F" w:rsidRPr="001D0C3F">
        <w:rPr>
          <w:lang w:val="pl-PL"/>
        </w:rPr>
        <w:t>nny Politkowskiej spełniało te wymagania.</w:t>
      </w:r>
    </w:p>
    <w:p w14:paraId="436F0564" w14:textId="5BD79F3E" w:rsidR="00AE531C" w:rsidRPr="00EB3ED9" w:rsidRDefault="00410E5B" w:rsidP="00223037">
      <w:pPr>
        <w:pStyle w:val="ECHRPara"/>
        <w:rPr>
          <w:lang w:val="pl-PL"/>
        </w:rPr>
      </w:pPr>
      <w:r w:rsidRPr="004D5EB3">
        <w:fldChar w:fldCharType="begin"/>
      </w:r>
      <w:r w:rsidRPr="00D746F4">
        <w:rPr>
          <w:lang w:val="pl-PL"/>
        </w:rPr>
        <w:instrText xml:space="preserve"> SEQ level0 \*arabic </w:instrText>
      </w:r>
      <w:r w:rsidRPr="004D5EB3">
        <w:fldChar w:fldCharType="separate"/>
      </w:r>
      <w:r w:rsidR="002F52FF" w:rsidRPr="00D746F4">
        <w:rPr>
          <w:noProof/>
          <w:lang w:val="pl-PL"/>
        </w:rPr>
        <w:t>72</w:t>
      </w:r>
      <w:r w:rsidRPr="004D5EB3">
        <w:fldChar w:fldCharType="end"/>
      </w:r>
      <w:r w:rsidRPr="00D746F4">
        <w:rPr>
          <w:lang w:val="pl-PL"/>
        </w:rPr>
        <w:t>.  </w:t>
      </w:r>
      <w:r w:rsidR="006442E0" w:rsidRPr="00D746F4">
        <w:rPr>
          <w:lang w:val="pl-PL"/>
        </w:rPr>
        <w:t xml:space="preserve">Na wstępie Trybunał </w:t>
      </w:r>
      <w:r w:rsidR="00D746F4" w:rsidRPr="00D746F4">
        <w:rPr>
          <w:lang w:val="pl-PL"/>
        </w:rPr>
        <w:t>zaznacza</w:t>
      </w:r>
      <w:r w:rsidR="006442E0" w:rsidRPr="00D746F4">
        <w:rPr>
          <w:lang w:val="pl-PL"/>
        </w:rPr>
        <w:t>, że</w:t>
      </w:r>
      <w:r w:rsidR="00D746F4">
        <w:rPr>
          <w:lang w:val="pl-PL"/>
        </w:rPr>
        <w:t xml:space="preserve">, oceniając postępowanie całościowo, nie jest przekonany jakoby krewni A. Politkowskiej byli wyłączeni ze śledztwa w takim stopniu, że pozbawiono ich możliwości skutecznego uczestnictwa w postępowaniu. </w:t>
      </w:r>
      <w:r w:rsidR="00D746F4" w:rsidRPr="00223037">
        <w:rPr>
          <w:lang w:val="pl-PL"/>
        </w:rPr>
        <w:t xml:space="preserve">W związku z tym Trybunał ponownie wskazuje, że art. 2 Konwencji </w:t>
      </w:r>
      <w:r w:rsidR="00223037" w:rsidRPr="00223037">
        <w:rPr>
          <w:lang w:val="pl-PL"/>
        </w:rPr>
        <w:t>nie nakła</w:t>
      </w:r>
      <w:r w:rsidR="00223037">
        <w:rPr>
          <w:lang w:val="pl-PL"/>
        </w:rPr>
        <w:t>da na organy śledcze obowiązku przychylania się do każdego wniosku o zastosowanie konkretnej metody śledczej składanego przez rodzinę w toku śledztwa (por.</w:t>
      </w:r>
      <w:r w:rsidR="00AE531C" w:rsidRPr="00223037">
        <w:rPr>
          <w:lang w:val="pl-PL"/>
        </w:rPr>
        <w:t xml:space="preserve"> </w:t>
      </w:r>
      <w:r w:rsidR="00223037" w:rsidRPr="00EB3ED9">
        <w:rPr>
          <w:i/>
          <w:lang w:val="pl-PL"/>
        </w:rPr>
        <w:t xml:space="preserve">Ramsahai i Inni p. </w:t>
      </w:r>
      <w:r w:rsidR="00B00C99" w:rsidRPr="00EB3ED9">
        <w:rPr>
          <w:i/>
          <w:lang w:val="pl-PL"/>
        </w:rPr>
        <w:t>Holandii</w:t>
      </w:r>
      <w:r w:rsidR="00B00C99" w:rsidRPr="00EB3ED9">
        <w:rPr>
          <w:lang w:val="pl-PL"/>
        </w:rPr>
        <w:t xml:space="preserve"> [WI], nr 52391/99, § 348, ETPCz</w:t>
      </w:r>
      <w:r w:rsidR="00AE531C" w:rsidRPr="00EB3ED9">
        <w:rPr>
          <w:lang w:val="pl-PL"/>
        </w:rPr>
        <w:t xml:space="preserve"> 2007</w:t>
      </w:r>
      <w:r w:rsidR="00AE531C" w:rsidRPr="00EB3ED9">
        <w:rPr>
          <w:lang w:val="pl-PL"/>
        </w:rPr>
        <w:noBreakHyphen/>
        <w:t>II).</w:t>
      </w:r>
    </w:p>
    <w:p w14:paraId="023A438E" w14:textId="180A86DD" w:rsidR="00B00C99" w:rsidRPr="00B00C99" w:rsidRDefault="00EE01D6" w:rsidP="002B30B4">
      <w:pPr>
        <w:pStyle w:val="ECHRPara"/>
        <w:rPr>
          <w:lang w:val="pl-PL"/>
        </w:rPr>
      </w:pPr>
      <w:r w:rsidRPr="004D5EB3">
        <w:fldChar w:fldCharType="begin"/>
      </w:r>
      <w:r w:rsidRPr="00EB3ED9">
        <w:rPr>
          <w:lang w:val="pl-PL"/>
        </w:rPr>
        <w:instrText xml:space="preserve"> SEQ level0 \*arabic </w:instrText>
      </w:r>
      <w:r w:rsidRPr="004D5EB3">
        <w:fldChar w:fldCharType="separate"/>
      </w:r>
      <w:r w:rsidR="002F52FF" w:rsidRPr="00EB3ED9">
        <w:rPr>
          <w:noProof/>
          <w:lang w:val="pl-PL"/>
        </w:rPr>
        <w:t>73</w:t>
      </w:r>
      <w:r w:rsidRPr="004D5EB3">
        <w:fldChar w:fldCharType="end"/>
      </w:r>
      <w:r w:rsidRPr="00EB3ED9">
        <w:rPr>
          <w:lang w:val="pl-PL"/>
        </w:rPr>
        <w:t>.  </w:t>
      </w:r>
      <w:r w:rsidR="00B00C99" w:rsidRPr="00B00C99">
        <w:rPr>
          <w:lang w:val="pl-PL"/>
        </w:rPr>
        <w:t>Trybunał dostrzega, że kluczowym zagadnieniem w rozpatrywanej sprawie jest</w:t>
      </w:r>
      <w:r w:rsidR="00B00C99">
        <w:rPr>
          <w:lang w:val="pl-PL"/>
        </w:rPr>
        <w:t xml:space="preserve"> wypełnienie przez pozwane Państwo obowiązku przeprowadzenia skutecznego śledztwa w sprawie płatnego zabójstwa </w:t>
      </w:r>
      <w:r w:rsidR="00B00C99">
        <w:rPr>
          <w:lang w:val="pl-PL"/>
        </w:rPr>
        <w:lastRenderedPageBreak/>
        <w:t xml:space="preserve">dziennikarki śledczej. Trybunał pragnie powtórzyć, że w przypadku gdy ofiarą </w:t>
      </w:r>
      <w:r w:rsidR="00D44C9C">
        <w:rPr>
          <w:lang w:val="pl-PL"/>
        </w:rPr>
        <w:t xml:space="preserve">zabójstwa pada dziennikarz, niezmiernie ważne jest ustalenie ewentualnego związku śmierci z działalnością zawodową tego dziennikarza. W związku z powyższym Trybunał przywołuje także </w:t>
      </w:r>
      <w:r w:rsidR="00FE6126">
        <w:rPr>
          <w:lang w:val="pl-PL"/>
        </w:rPr>
        <w:t>zalecenie</w:t>
      </w:r>
      <w:r w:rsidR="00D44C9C">
        <w:rPr>
          <w:lang w:val="pl-PL"/>
        </w:rPr>
        <w:t xml:space="preserve"> CM/Rec (2016)4 w sprawie </w:t>
      </w:r>
      <w:r w:rsidR="00FE6126">
        <w:rPr>
          <w:lang w:val="pl-PL"/>
        </w:rPr>
        <w:t>ochrony dziennikarstwa i bezpieczeństwa dziennikarzy i innych podmiotów medialnych, w której Komitet Ministrów zaleca w art. 19</w:t>
      </w:r>
      <w:r w:rsidR="00A50E71">
        <w:rPr>
          <w:lang w:val="pl-PL"/>
        </w:rPr>
        <w:t>,</w:t>
      </w:r>
      <w:r w:rsidR="00FE6126">
        <w:rPr>
          <w:lang w:val="pl-PL"/>
        </w:rPr>
        <w:t xml:space="preserve"> aby wnioski ze śledztwa były oparte na dogłębnej, obiektywnej</w:t>
      </w:r>
      <w:r w:rsidR="00AC6ED4">
        <w:rPr>
          <w:lang w:val="pl-PL"/>
        </w:rPr>
        <w:t xml:space="preserve"> i bezstronnej analizie wszystkich istotnych elementów, w tym na ustaleniu, czy istnieje związek </w:t>
      </w:r>
      <w:r w:rsidR="000B4825" w:rsidRPr="000B4825">
        <w:rPr>
          <w:lang w:val="pl-PL"/>
        </w:rPr>
        <w:t xml:space="preserve">pomiędzy groźbami użycia przemocy i przemocą używaną wobec dziennikarzy i innych </w:t>
      </w:r>
      <w:r w:rsidR="000B4825">
        <w:rPr>
          <w:lang w:val="pl-PL"/>
        </w:rPr>
        <w:t>podmiotów</w:t>
      </w:r>
      <w:r w:rsidR="000B4825" w:rsidRPr="000B4825">
        <w:rPr>
          <w:lang w:val="pl-PL"/>
        </w:rPr>
        <w:t xml:space="preserve"> medialnych a wykonywaniem zawodu dziennikarza bądź zawodów, które w podobny sposób przyczyniają się do debaty publicznej.</w:t>
      </w:r>
    </w:p>
    <w:p w14:paraId="083D9B41" w14:textId="47C6B635" w:rsidR="00457A6C" w:rsidRPr="00884930" w:rsidRDefault="00457A6C" w:rsidP="00457A6C">
      <w:pPr>
        <w:pStyle w:val="ECHRPara"/>
        <w:rPr>
          <w:rFonts w:cstheme="minorHAnsi"/>
          <w:lang w:val="pl-PL"/>
        </w:rPr>
      </w:pPr>
      <w:r w:rsidRPr="00884930">
        <w:rPr>
          <w:rFonts w:cstheme="minorHAnsi"/>
        </w:rPr>
        <w:fldChar w:fldCharType="begin"/>
      </w:r>
      <w:r w:rsidRPr="00884930">
        <w:rPr>
          <w:rFonts w:cstheme="minorHAnsi"/>
          <w:lang w:val="pl-PL"/>
        </w:rPr>
        <w:instrText xml:space="preserve"> SEQ level0 \*arabic </w:instrText>
      </w:r>
      <w:r w:rsidRPr="00884930">
        <w:rPr>
          <w:rFonts w:cstheme="minorHAnsi"/>
        </w:rPr>
        <w:fldChar w:fldCharType="separate"/>
      </w:r>
      <w:r w:rsidRPr="00884930">
        <w:rPr>
          <w:rFonts w:cstheme="minorHAnsi"/>
          <w:noProof/>
          <w:lang w:val="pl-PL"/>
        </w:rPr>
        <w:t>74</w:t>
      </w:r>
      <w:r w:rsidRPr="00884930">
        <w:rPr>
          <w:rFonts w:cstheme="minorHAnsi"/>
        </w:rPr>
        <w:fldChar w:fldCharType="end"/>
      </w:r>
      <w:r w:rsidRPr="00884930">
        <w:rPr>
          <w:rFonts w:cstheme="minorHAnsi"/>
          <w:lang w:val="pl-PL"/>
        </w:rPr>
        <w:t xml:space="preserve">.  Jeżeli chodzi o rzetelność śledztwa w sprawie zabójstwa Anny Politkowskiej, Trybunał zauważa, co następuje. Jak Trybunał wielokrotnie już stwierdził w sprawach dotyczących zgonów mających miejsce w różnych okolicznościach, obowiązek proceduralny na mocy art. 2 Konwencji nie jest obowiązkiem dotyczącym wyników, lecz środków (np. w kontekście rzekomego zaniedbania medycznego zob. </w:t>
      </w:r>
      <w:r w:rsidRPr="00884930">
        <w:rPr>
          <w:rFonts w:cstheme="minorHAnsi"/>
          <w:i/>
          <w:lang w:val="pl-PL"/>
        </w:rPr>
        <w:t>Lopes de Sousa Fernandes</w:t>
      </w:r>
      <w:r w:rsidRPr="00884930">
        <w:rPr>
          <w:rFonts w:cstheme="minorHAnsi"/>
          <w:lang w:val="pl-PL"/>
        </w:rPr>
        <w:t xml:space="preserve"> </w:t>
      </w:r>
      <w:r w:rsidRPr="00884930">
        <w:rPr>
          <w:rFonts w:cstheme="minorHAnsi"/>
          <w:i/>
          <w:lang w:val="pl-PL"/>
        </w:rPr>
        <w:t>p. Portugalii</w:t>
      </w:r>
      <w:r w:rsidRPr="00884930">
        <w:rPr>
          <w:rFonts w:cstheme="minorHAnsi"/>
          <w:lang w:val="pl-PL"/>
        </w:rPr>
        <w:t xml:space="preserve"> [WI], nr 56080/13, § 221, ETPCz 2017; konfliktu zbrojnego – </w:t>
      </w:r>
      <w:r w:rsidRPr="00884930">
        <w:rPr>
          <w:rFonts w:cstheme="minorHAnsi"/>
          <w:i/>
          <w:lang w:val="pl-PL"/>
        </w:rPr>
        <w:t xml:space="preserve">Jaloud p. </w:t>
      </w:r>
      <w:r w:rsidR="001E389F">
        <w:rPr>
          <w:rFonts w:cstheme="minorHAnsi"/>
          <w:i/>
          <w:lang w:val="pl-PL"/>
        </w:rPr>
        <w:t>Holandii</w:t>
      </w:r>
      <w:r w:rsidR="001E389F" w:rsidRPr="00884930">
        <w:rPr>
          <w:rFonts w:cstheme="minorHAnsi"/>
          <w:i/>
          <w:lang w:val="pl-PL"/>
        </w:rPr>
        <w:t xml:space="preserve"> </w:t>
      </w:r>
      <w:r w:rsidRPr="00884930">
        <w:rPr>
          <w:rFonts w:cstheme="minorHAnsi"/>
          <w:lang w:val="pl-PL"/>
        </w:rPr>
        <w:t>[WI]</w:t>
      </w:r>
      <w:r w:rsidRPr="00884930">
        <w:rPr>
          <w:rFonts w:cstheme="minorHAnsi"/>
          <w:snapToGrid w:val="0"/>
          <w:lang w:val="pl-PL"/>
        </w:rPr>
        <w:t xml:space="preserve">, </w:t>
      </w:r>
      <w:r w:rsidRPr="00884930">
        <w:rPr>
          <w:rFonts w:cstheme="minorHAnsi"/>
          <w:lang w:val="pl-PL"/>
        </w:rPr>
        <w:t xml:space="preserve">nr 47708/08, § 186, ETPCz 2014 oraz </w:t>
      </w:r>
      <w:r w:rsidRPr="00884930">
        <w:rPr>
          <w:rFonts w:cstheme="minorHAnsi"/>
          <w:i/>
          <w:lang w:val="pl-PL"/>
        </w:rPr>
        <w:t>Al-Skeini i Inni p. Zjednoczonemu</w:t>
      </w:r>
      <w:r w:rsidRPr="00884930">
        <w:rPr>
          <w:rFonts w:cstheme="minorHAnsi"/>
          <w:lang w:val="pl-PL"/>
        </w:rPr>
        <w:t xml:space="preserve"> </w:t>
      </w:r>
      <w:r w:rsidRPr="00884930">
        <w:rPr>
          <w:rFonts w:cstheme="minorHAnsi"/>
          <w:i/>
          <w:iCs/>
          <w:lang w:val="pl-PL"/>
        </w:rPr>
        <w:t>Królestwu</w:t>
      </w:r>
      <w:r w:rsidRPr="00884930">
        <w:rPr>
          <w:rFonts w:cstheme="minorHAnsi"/>
          <w:lang w:val="pl-PL"/>
        </w:rPr>
        <w:t xml:space="preserve"> [WI], nr 55721/07, § 166, ETPCz 2011; bezprawnego zabójstwa przez funkcjonariuszy państwowych, </w:t>
      </w:r>
      <w:r w:rsidRPr="00884930">
        <w:rPr>
          <w:rFonts w:cstheme="minorHAnsi"/>
          <w:i/>
          <w:lang w:val="pl-PL"/>
        </w:rPr>
        <w:t>Tahsin Acar p. Turcji</w:t>
      </w:r>
      <w:r w:rsidRPr="00884930">
        <w:rPr>
          <w:rFonts w:cstheme="minorHAnsi"/>
          <w:lang w:val="pl-PL"/>
        </w:rPr>
        <w:t xml:space="preserve"> [WI], nr 26307/95, § 223, ETPCz 2004</w:t>
      </w:r>
      <w:r w:rsidRPr="00884930">
        <w:rPr>
          <w:rFonts w:cstheme="minorHAnsi"/>
          <w:lang w:val="pl-PL"/>
        </w:rPr>
        <w:noBreakHyphen/>
        <w:t>III).</w:t>
      </w:r>
    </w:p>
    <w:p w14:paraId="3E79B872" w14:textId="77777777" w:rsidR="00457A6C" w:rsidRPr="00884930" w:rsidRDefault="00457A6C" w:rsidP="00457A6C">
      <w:pPr>
        <w:pStyle w:val="ECHRPara"/>
        <w:rPr>
          <w:rFonts w:cstheme="minorHAnsi"/>
          <w:lang w:val="pt-PT"/>
        </w:rPr>
      </w:pPr>
      <w:r w:rsidRPr="00884930">
        <w:rPr>
          <w:rFonts w:cstheme="minorHAnsi"/>
        </w:rPr>
        <w:fldChar w:fldCharType="begin"/>
      </w:r>
      <w:r w:rsidRPr="00884930">
        <w:rPr>
          <w:rFonts w:cstheme="minorHAnsi"/>
          <w:lang w:val="pl-PL"/>
        </w:rPr>
        <w:instrText xml:space="preserve"> SEQ level0 \*arabic </w:instrText>
      </w:r>
      <w:r w:rsidRPr="00884930">
        <w:rPr>
          <w:rFonts w:cstheme="minorHAnsi"/>
        </w:rPr>
        <w:fldChar w:fldCharType="separate"/>
      </w:r>
      <w:r w:rsidRPr="00884930">
        <w:rPr>
          <w:rFonts w:cstheme="minorHAnsi"/>
          <w:noProof/>
          <w:lang w:val="pl-PL"/>
        </w:rPr>
        <w:t>75</w:t>
      </w:r>
      <w:r w:rsidRPr="00884930">
        <w:rPr>
          <w:rFonts w:cstheme="minorHAnsi"/>
        </w:rPr>
        <w:fldChar w:fldCharType="end"/>
      </w:r>
      <w:r w:rsidRPr="00884930">
        <w:rPr>
          <w:rFonts w:cstheme="minorHAnsi"/>
          <w:lang w:val="pl-PL"/>
        </w:rPr>
        <w:t xml:space="preserve">.  Trybunał podkreśla, że śledztwo w niniejszej sprawie przyniosło wymierne rezultaty, ponieważ doprowadziło do skazania pięciu osób bezpośrednio odpowiedzialnych za zabójstwo. Trybunał jednocześnie uważa, że śledztwo w sprawie zabójstwa na zlecenie nie może być uznane za rzetelne w zakresie wykonania obowiązku dorozumianego w aspekcie proceduralnym art. 2, wobec braku rzeczywistych i poważnych działań śledczych podjętych w celu zidentyfikowania pomysłodawcy przestępstwa, tj. osoby lub osób, które zleciły zabójstwo. Kontrola sprawowana przez organy krajowe w sprawie dotyczącej zabójstwa na zlecenie powinna mieć na celu pójście dalej niż samo tylko ustalenie zabójcy, a na Trybunale spoczywa obowiązek upewnienia się, że w śledztwie w niniejszej sprawie zajęto się tą ważną kwestią (zob. na przykład: </w:t>
      </w:r>
      <w:r w:rsidRPr="00884930">
        <w:rPr>
          <w:rFonts w:cstheme="minorHAnsi"/>
          <w:i/>
          <w:iCs/>
          <w:lang w:val="pl-PL"/>
        </w:rPr>
        <w:t>Gongadze p. Ukrainie</w:t>
      </w:r>
      <w:r w:rsidRPr="00884930">
        <w:rPr>
          <w:rFonts w:cstheme="minorHAnsi"/>
          <w:lang w:val="pl-PL"/>
        </w:rPr>
        <w:t xml:space="preserve">, nr 34056/02, § 176, ETPCz 2005-XI oraz </w:t>
      </w:r>
      <w:r w:rsidRPr="00884930">
        <w:rPr>
          <w:rFonts w:cstheme="minorHAnsi"/>
          <w:i/>
          <w:iCs/>
          <w:lang w:val="pl-PL"/>
        </w:rPr>
        <w:t>Huseynova p. Azerbejdżanowi</w:t>
      </w:r>
      <w:r w:rsidRPr="00884930">
        <w:rPr>
          <w:rFonts w:cstheme="minorHAnsi"/>
          <w:lang w:val="pl-PL"/>
        </w:rPr>
        <w:t>, nr 10653/10, §§ 115-16, 13 kwietnia 2017 r.).</w:t>
      </w:r>
    </w:p>
    <w:p w14:paraId="5EA5D138" w14:textId="77777777" w:rsidR="00457A6C" w:rsidRPr="00884930" w:rsidRDefault="00457A6C" w:rsidP="00457A6C">
      <w:pPr>
        <w:pStyle w:val="ECHRPara"/>
        <w:rPr>
          <w:rFonts w:cstheme="minorHAnsi"/>
          <w:lang w:val="pl-PL"/>
        </w:rPr>
      </w:pPr>
      <w:r w:rsidRPr="00884930">
        <w:rPr>
          <w:rFonts w:cstheme="minorHAnsi"/>
        </w:rPr>
        <w:fldChar w:fldCharType="begin"/>
      </w:r>
      <w:r w:rsidRPr="00884930">
        <w:rPr>
          <w:rFonts w:cstheme="minorHAnsi"/>
          <w:lang w:val="pl-PL"/>
        </w:rPr>
        <w:instrText xml:space="preserve"> SEQ level0 \*arabic </w:instrText>
      </w:r>
      <w:r w:rsidRPr="00884930">
        <w:rPr>
          <w:rFonts w:cstheme="minorHAnsi"/>
        </w:rPr>
        <w:fldChar w:fldCharType="separate"/>
      </w:r>
      <w:r w:rsidRPr="00884930">
        <w:rPr>
          <w:rFonts w:cstheme="minorHAnsi"/>
          <w:noProof/>
          <w:lang w:val="pl-PL"/>
        </w:rPr>
        <w:t>76</w:t>
      </w:r>
      <w:r w:rsidRPr="00884930">
        <w:rPr>
          <w:rFonts w:cstheme="minorHAnsi"/>
        </w:rPr>
        <w:fldChar w:fldCharType="end"/>
      </w:r>
      <w:r w:rsidRPr="00884930">
        <w:rPr>
          <w:rFonts w:cstheme="minorHAnsi"/>
          <w:lang w:val="pl-PL"/>
        </w:rPr>
        <w:t xml:space="preserve">.  Trybunał stwierdza, że w niniejszej sprawie nie posiada prawie żadnych informacji na temat śledztwa w zakresie, w jakim dotyczyło ono identyfikacji osób, które zleciły przestępstwo. Rząd rosyjski nie przedstawił Trybunałowi żadnych dokumentów z akt śledztwa. Jedynymi udostępnionymi materiałami były kopie wyroków sądów krajowych skazujące pięciu sprawców po drugiej turze postępowania sądowego (zob. paragraf </w:t>
      </w:r>
      <w:r w:rsidRPr="00884930">
        <w:rPr>
          <w:rFonts w:cstheme="minorHAnsi"/>
          <w:lang w:val="pl-PL"/>
        </w:rPr>
        <w:fldChar w:fldCharType="begin"/>
      </w:r>
      <w:r w:rsidRPr="00884930">
        <w:rPr>
          <w:rFonts w:cstheme="minorHAnsi"/>
          <w:lang w:val="pl-PL"/>
        </w:rPr>
        <w:instrText xml:space="preserve"> REF  forty  \* MERGEFORMAT </w:instrText>
      </w:r>
      <w:r w:rsidRPr="00884930">
        <w:rPr>
          <w:rFonts w:cstheme="minorHAnsi"/>
          <w:lang w:val="pl-PL"/>
        </w:rPr>
        <w:fldChar w:fldCharType="separate"/>
      </w:r>
      <w:r w:rsidRPr="00884930">
        <w:rPr>
          <w:rFonts w:cstheme="minorHAnsi"/>
          <w:lang w:val="pl-PL"/>
        </w:rPr>
        <w:t>40</w:t>
      </w:r>
      <w:r w:rsidRPr="00884930">
        <w:rPr>
          <w:rFonts w:cstheme="minorHAnsi"/>
          <w:lang w:val="pl-PL"/>
        </w:rPr>
        <w:fldChar w:fldCharType="end"/>
      </w:r>
      <w:r w:rsidRPr="00884930">
        <w:rPr>
          <w:rFonts w:cstheme="minorHAnsi"/>
          <w:lang w:val="pl-PL"/>
        </w:rPr>
        <w:t xml:space="preserve"> powyżej). Rząd stwierdził jedynie, że śledztwo nie zostało </w:t>
      </w:r>
      <w:r w:rsidRPr="00884930">
        <w:rPr>
          <w:rFonts w:cstheme="minorHAnsi"/>
          <w:lang w:val="pl-PL"/>
        </w:rPr>
        <w:lastRenderedPageBreak/>
        <w:t xml:space="preserve">zawieszone ani zakończone od momentu jego wszczęcia (zob. paragraf </w:t>
      </w:r>
      <w:r w:rsidRPr="00884930">
        <w:rPr>
          <w:rFonts w:cstheme="minorHAnsi"/>
          <w:lang w:val="pl-PL"/>
        </w:rPr>
        <w:fldChar w:fldCharType="begin"/>
      </w:r>
      <w:r w:rsidRPr="00884930">
        <w:rPr>
          <w:rFonts w:cstheme="minorHAnsi"/>
          <w:lang w:val="pl-PL"/>
        </w:rPr>
        <w:instrText xml:space="preserve"> REF OBSG_never \h  \* MERGEFORMAT </w:instrText>
      </w:r>
      <w:r w:rsidRPr="00884930">
        <w:rPr>
          <w:rFonts w:cstheme="minorHAnsi"/>
          <w:lang w:val="pl-PL"/>
        </w:rPr>
      </w:r>
      <w:r w:rsidRPr="00884930">
        <w:rPr>
          <w:rFonts w:cstheme="minorHAnsi"/>
          <w:lang w:val="pl-PL"/>
        </w:rPr>
        <w:fldChar w:fldCharType="separate"/>
      </w:r>
      <w:r w:rsidRPr="00884930">
        <w:rPr>
          <w:rFonts w:cstheme="minorHAnsi"/>
          <w:lang w:val="pl-PL"/>
        </w:rPr>
        <w:t>43</w:t>
      </w:r>
      <w:r w:rsidRPr="00884930">
        <w:rPr>
          <w:rFonts w:cstheme="minorHAnsi"/>
          <w:lang w:val="pl-PL"/>
        </w:rPr>
        <w:fldChar w:fldCharType="end"/>
      </w:r>
      <w:r w:rsidRPr="00884930">
        <w:rPr>
          <w:rFonts w:cstheme="minorHAnsi"/>
          <w:lang w:val="pl-PL"/>
        </w:rPr>
        <w:t xml:space="preserve"> powyżej). Rząd nie przedstawił żadnego wyjaśnienia niedostarczenia kopii akt śledztwa, chociaż stwierdził, że w toku śledztwa zgromadzono dużą ilość materiałów (zob. paragraf 44 powyżej). W związku z tym zdolność Trybunału do oceny charakteru i stopnia rzetelności śledztwa w przedmiotowej sprawie jest mocno obniżona i ograniczona jest do analizy pisemnych stanowisk stron przedstawionych Trybunałowi.</w:t>
      </w:r>
    </w:p>
    <w:p w14:paraId="1A582916" w14:textId="77777777" w:rsidR="00457A6C" w:rsidRPr="00884930" w:rsidRDefault="00457A6C" w:rsidP="00457A6C">
      <w:pPr>
        <w:pStyle w:val="ECHRPara"/>
        <w:rPr>
          <w:rFonts w:cstheme="minorHAnsi"/>
          <w:lang w:val="pl-PL"/>
        </w:rPr>
      </w:pPr>
      <w:r w:rsidRPr="00884930">
        <w:rPr>
          <w:rFonts w:cstheme="minorHAnsi"/>
        </w:rPr>
        <w:fldChar w:fldCharType="begin"/>
      </w:r>
      <w:r w:rsidRPr="00884930">
        <w:rPr>
          <w:rFonts w:cstheme="minorHAnsi"/>
          <w:lang w:val="pl-PL"/>
        </w:rPr>
        <w:instrText xml:space="preserve"> SEQ level0 \*arabic </w:instrText>
      </w:r>
      <w:r w:rsidRPr="00884930">
        <w:rPr>
          <w:rFonts w:cstheme="minorHAnsi"/>
        </w:rPr>
        <w:fldChar w:fldCharType="separate"/>
      </w:r>
      <w:r w:rsidRPr="00884930">
        <w:rPr>
          <w:rFonts w:cstheme="minorHAnsi"/>
          <w:noProof/>
          <w:lang w:val="pl-PL"/>
        </w:rPr>
        <w:t>77</w:t>
      </w:r>
      <w:r w:rsidRPr="00884930">
        <w:rPr>
          <w:rFonts w:cstheme="minorHAnsi"/>
        </w:rPr>
        <w:fldChar w:fldCharType="end"/>
      </w:r>
      <w:r w:rsidRPr="00884930">
        <w:rPr>
          <w:rFonts w:cstheme="minorHAnsi"/>
          <w:lang w:val="pl-PL"/>
        </w:rPr>
        <w:t>.  Trybunał zauważa, że – jak wynika z przedłożonego mu stanowiska Rządu – jedyna hipoteza ustalona w toku śledztwa krajowego w odniesieniu do tożsamości zleceniodawcy zabójstwa brzmiała, że był to „znany były rosyjski polityk mieszkający w Londynie”. Osoba ta, o której Rząd wspominał w tonie twierdzącym jako o „organizatorze zabójstwa”, zmarła w 2013 r. (zob. paragraf 45 powyżej). Rząd twierdził, że śledczy przesłali do właściwych organów Zjednoczonego Królestwa międzynarodowe wnioski o udzielenie informacji i pomocy oraz że „do chwili obecnej wnioski te nie zostały w pełni zrealizowane”. Jednak Rząd nie przedstawił żadnych dalszych szczegółów na temat tych wniosków ani żadnego uzasadnienia ze strony takich organów w odniesieniu do ich niezrealizowania, ani też nie udzielił żadnego wyjaśnienia w sprawie podjętych czynności dochodzeniowych w celu wyjaśnienia jego roli w zabójstwie Anny Politkowskiej w ciągu kilku lat po jego śmierci. Nie wyjaśnił też, dlaczego śledztwo skupiło się na tej pojedynczej linii przez tak wiele lat. Wbrew twierdzeniom Rządu, że „ważną cechą śledztw w zabójstwach na zlecenie jest ich charakter zakładający wiele teorii” oraz że „konieczność rozważenia kilku teorii wiąże się z obowiązkowym i równoczesnym badaniem wszystkich z nich” (</w:t>
      </w:r>
      <w:r w:rsidRPr="00884930">
        <w:rPr>
          <w:rFonts w:cstheme="minorHAnsi"/>
          <w:i/>
          <w:lang w:val="pl-PL"/>
        </w:rPr>
        <w:t>ibid</w:t>
      </w:r>
      <w:r w:rsidRPr="00884930">
        <w:rPr>
          <w:rFonts w:cstheme="minorHAnsi"/>
          <w:lang w:val="pl-PL"/>
        </w:rPr>
        <w:t>.), wydaje się, że w dochodzeniu krajowym w niniejszej sprawie zadowolono się jedną tylko hipotezą, która przez wiele lat nie była jednak poparta konkretnym dowodem.</w:t>
      </w:r>
    </w:p>
    <w:p w14:paraId="432CFF5E" w14:textId="77777777" w:rsidR="00457A6C" w:rsidRPr="00884930" w:rsidRDefault="00457A6C" w:rsidP="00457A6C">
      <w:pPr>
        <w:pStyle w:val="ECHRPara"/>
        <w:rPr>
          <w:rFonts w:cstheme="minorHAnsi"/>
          <w:lang w:val="pl-PL"/>
        </w:rPr>
      </w:pPr>
      <w:r w:rsidRPr="00884930">
        <w:rPr>
          <w:rFonts w:cstheme="minorHAnsi"/>
        </w:rPr>
        <w:fldChar w:fldCharType="begin"/>
      </w:r>
      <w:r w:rsidRPr="00884930">
        <w:rPr>
          <w:rFonts w:cstheme="minorHAnsi"/>
          <w:lang w:val="pl-PL"/>
        </w:rPr>
        <w:instrText xml:space="preserve"> SEQ level0 \*arabic </w:instrText>
      </w:r>
      <w:r w:rsidRPr="00884930">
        <w:rPr>
          <w:rFonts w:cstheme="minorHAnsi"/>
        </w:rPr>
        <w:fldChar w:fldCharType="separate"/>
      </w:r>
      <w:r w:rsidRPr="00884930">
        <w:rPr>
          <w:rFonts w:cstheme="minorHAnsi"/>
          <w:noProof/>
          <w:lang w:val="pl-PL"/>
        </w:rPr>
        <w:t>78</w:t>
      </w:r>
      <w:r w:rsidRPr="00884930">
        <w:rPr>
          <w:rFonts w:cstheme="minorHAnsi"/>
        </w:rPr>
        <w:fldChar w:fldCharType="end"/>
      </w:r>
      <w:r w:rsidRPr="00884930">
        <w:rPr>
          <w:rFonts w:cstheme="minorHAnsi"/>
          <w:lang w:val="pl-PL"/>
        </w:rPr>
        <w:t xml:space="preserve">.  Wnioski ze śledztwa muszą opierać się na dogłębnej, obiektywnej i bezstronnej analizie wszystkich istotnych elementów (zob., </w:t>
      </w:r>
      <w:r w:rsidRPr="00884930">
        <w:rPr>
          <w:rFonts w:cstheme="minorHAnsi"/>
          <w:i/>
          <w:iCs/>
          <w:lang w:val="pl-PL"/>
        </w:rPr>
        <w:t>mutatis mutandis,</w:t>
      </w:r>
      <w:r w:rsidRPr="00884930">
        <w:rPr>
          <w:rFonts w:cstheme="minorHAnsi"/>
          <w:lang w:val="pl-PL"/>
        </w:rPr>
        <w:t xml:space="preserve"> </w:t>
      </w:r>
      <w:r w:rsidRPr="00884930">
        <w:rPr>
          <w:rFonts w:cstheme="minorHAnsi"/>
          <w:i/>
          <w:lang w:val="pl-PL"/>
        </w:rPr>
        <w:t>Kolevi p. Bułgarii</w:t>
      </w:r>
      <w:r w:rsidRPr="00884930">
        <w:rPr>
          <w:rFonts w:cstheme="minorHAnsi"/>
          <w:lang w:val="pl-PL"/>
        </w:rPr>
        <w:t xml:space="preserve">, </w:t>
      </w:r>
      <w:r w:rsidRPr="00884930">
        <w:rPr>
          <w:rFonts w:cstheme="minorHAnsi"/>
          <w:snapToGrid w:val="0"/>
          <w:lang w:val="pl-PL"/>
        </w:rPr>
        <w:t>nr</w:t>
      </w:r>
      <w:r w:rsidRPr="00884930">
        <w:rPr>
          <w:rFonts w:cstheme="minorHAnsi"/>
          <w:lang w:val="pl-PL"/>
        </w:rPr>
        <w:t xml:space="preserve"> 1108/02, §§ 200-01, 5 listopada 2009 r.). W tym względzie Trybunał ponownie podkreśla, że chociaż jego rolą nie jest wyrażanie opinii na temat zasadności twierdzeń skarżących, zgodnie z którymi w morderstwo Anny Politkowskiej zamieszani byli funkcjonariusze FSB lub organów administracji Republiki Czeczenii (zob. paragraf 53 powyżej), to w celu dostosowania się do wymogów aspektu proceduralnego art. 2 w kontekście niniejszej sprawy krajowe organy śledcze powinny były zbadać te zarzuty, nawet gdyby ostatecznie okazały się one bezpodstawne. Dotyczy to w szczególności pracy dziennikarskiej Anny Politkowskiej obejmującej konflikt w Czeczenii.</w:t>
      </w:r>
    </w:p>
    <w:p w14:paraId="304D92D7" w14:textId="77777777" w:rsidR="00457A6C" w:rsidRPr="00884930" w:rsidRDefault="00457A6C" w:rsidP="00457A6C">
      <w:pPr>
        <w:pStyle w:val="ECHRPara"/>
        <w:rPr>
          <w:rFonts w:cstheme="minorHAnsi"/>
          <w:lang w:val="pl-PL"/>
        </w:rPr>
      </w:pPr>
      <w:r w:rsidRPr="00884930">
        <w:rPr>
          <w:rFonts w:cstheme="minorHAnsi"/>
        </w:rPr>
        <w:fldChar w:fldCharType="begin"/>
      </w:r>
      <w:r w:rsidRPr="00884930">
        <w:rPr>
          <w:rFonts w:cstheme="minorHAnsi"/>
          <w:lang w:val="pl-PL"/>
        </w:rPr>
        <w:instrText xml:space="preserve"> SEQ level0 \*arabic </w:instrText>
      </w:r>
      <w:r w:rsidRPr="00884930">
        <w:rPr>
          <w:rFonts w:cstheme="minorHAnsi"/>
        </w:rPr>
        <w:fldChar w:fldCharType="separate"/>
      </w:r>
      <w:r w:rsidRPr="00884930">
        <w:rPr>
          <w:rFonts w:cstheme="minorHAnsi"/>
          <w:noProof/>
          <w:lang w:val="pl-PL"/>
        </w:rPr>
        <w:t>79</w:t>
      </w:r>
      <w:r w:rsidRPr="00884930">
        <w:rPr>
          <w:rFonts w:cstheme="minorHAnsi"/>
        </w:rPr>
        <w:fldChar w:fldCharType="end"/>
      </w:r>
      <w:r w:rsidRPr="00884930">
        <w:rPr>
          <w:rFonts w:cstheme="minorHAnsi"/>
          <w:lang w:val="pl-PL"/>
        </w:rPr>
        <w:t>.  Z uwagi na powyższe Trybunał nie jest przekonany, że śledztwo w sprawie zabójstwa Anny Politkowskiej spełniło wymóg odpowiedniego poziomu rzetelności.</w:t>
      </w:r>
    </w:p>
    <w:p w14:paraId="2B0705D8" w14:textId="77777777" w:rsidR="00457A6C" w:rsidRPr="00884930" w:rsidRDefault="00457A6C" w:rsidP="00457A6C">
      <w:pPr>
        <w:pStyle w:val="ECHRPara"/>
        <w:rPr>
          <w:rFonts w:cstheme="minorHAnsi"/>
          <w:lang w:val="pl-PL"/>
        </w:rPr>
      </w:pPr>
      <w:r w:rsidRPr="00884930">
        <w:rPr>
          <w:rFonts w:cstheme="minorHAnsi"/>
        </w:rPr>
        <w:lastRenderedPageBreak/>
        <w:fldChar w:fldCharType="begin"/>
      </w:r>
      <w:r w:rsidRPr="00884930">
        <w:rPr>
          <w:rFonts w:cstheme="minorHAnsi"/>
          <w:lang w:val="pl-PL"/>
        </w:rPr>
        <w:instrText xml:space="preserve"> SEQ level0 \*arabic </w:instrText>
      </w:r>
      <w:r w:rsidRPr="00884930">
        <w:rPr>
          <w:rFonts w:cstheme="minorHAnsi"/>
        </w:rPr>
        <w:fldChar w:fldCharType="separate"/>
      </w:r>
      <w:r w:rsidRPr="00884930">
        <w:rPr>
          <w:rFonts w:cstheme="minorHAnsi"/>
          <w:noProof/>
          <w:lang w:val="pl-PL"/>
        </w:rPr>
        <w:t>80</w:t>
      </w:r>
      <w:r w:rsidRPr="00884930">
        <w:rPr>
          <w:rFonts w:cstheme="minorHAnsi"/>
        </w:rPr>
        <w:fldChar w:fldCharType="end"/>
      </w:r>
      <w:r w:rsidRPr="00884930">
        <w:rPr>
          <w:rFonts w:cstheme="minorHAnsi"/>
          <w:lang w:val="pl-PL"/>
        </w:rPr>
        <w:t xml:space="preserve">.  Trybunał weźmie teraz pod uwagę wymóg niezwłocznego przeprowadzenia śledztwa z rozsądną szybkością (zob. </w:t>
      </w:r>
      <w:r w:rsidRPr="00884930">
        <w:rPr>
          <w:rFonts w:cstheme="minorHAnsi"/>
          <w:i/>
          <w:iCs/>
          <w:lang w:val="pl-PL"/>
        </w:rPr>
        <w:t>Armani Da Silva</w:t>
      </w:r>
      <w:r w:rsidRPr="00884930">
        <w:rPr>
          <w:rFonts w:cstheme="minorHAnsi"/>
          <w:lang w:val="pl-PL"/>
        </w:rPr>
        <w:t>, cyt. powyżej, § 240). O ile wymóg, o którym mowa w art. 2, nie powinien być rozpatrywany odrębnie i niezależnie od innych parametrów, których połączenie czyni śledztwo skutecznym (zob.,</w:t>
      </w:r>
      <w:r w:rsidRPr="00884930">
        <w:rPr>
          <w:rFonts w:cstheme="minorHAnsi"/>
          <w:i/>
          <w:iCs/>
          <w:lang w:val="pl-PL"/>
        </w:rPr>
        <w:t xml:space="preserve"> mutatis mutandis</w:t>
      </w:r>
      <w:r w:rsidRPr="00884930">
        <w:rPr>
          <w:rFonts w:cstheme="minorHAnsi"/>
          <w:lang w:val="pl-PL"/>
        </w:rPr>
        <w:t>,</w:t>
      </w:r>
      <w:r w:rsidRPr="00884930">
        <w:rPr>
          <w:rFonts w:cstheme="minorHAnsi"/>
          <w:i/>
          <w:iCs/>
          <w:lang w:val="pl-PL"/>
        </w:rPr>
        <w:t xml:space="preserve"> Sarbyanova</w:t>
      </w:r>
      <w:r w:rsidRPr="00884930">
        <w:rPr>
          <w:rFonts w:cstheme="minorHAnsi"/>
          <w:i/>
          <w:iCs/>
          <w:lang w:val="pl-PL"/>
        </w:rPr>
        <w:noBreakHyphen/>
        <w:t>Pashaliyska i Pashaliyska</w:t>
      </w:r>
      <w:r w:rsidRPr="00884930">
        <w:rPr>
          <w:rFonts w:cstheme="minorHAnsi"/>
          <w:lang w:val="pl-PL"/>
        </w:rPr>
        <w:t xml:space="preserve">, nr 3524/14, § 41, 12 stycznia 2017 r. oraz </w:t>
      </w:r>
      <w:r w:rsidRPr="00884930">
        <w:rPr>
          <w:rFonts w:cstheme="minorHAnsi"/>
          <w:i/>
          <w:lang w:val="pl-PL"/>
        </w:rPr>
        <w:t>Mustafa Tunç i Fecire Tunç</w:t>
      </w:r>
      <w:r w:rsidRPr="00884930">
        <w:rPr>
          <w:rFonts w:cstheme="minorHAnsi"/>
          <w:lang w:val="pl-PL"/>
        </w:rPr>
        <w:t xml:space="preserve">, cyt. powyżej, § 225), Trybunał zauważył ostatnio – w kontekście sprawy związanej z art. 2 i dotyczącej postępowania wszczętego w celu wyjaśnienia okoliczności śmierci osoby w szpitalu – że długi czas postępowania wyraźnie wskazuje na to, że postępowanie było wadliwe w takim stopniu, że stanowiło naruszenie pozytywnych obowiązków pozwanego Państwa wynikających z konwencji, chyba że Państwo przedstawiło wysoce przekonujące i wiarygodne powody na uzasadnienie długości postępowania (zob. </w:t>
      </w:r>
      <w:r w:rsidRPr="00884930">
        <w:rPr>
          <w:rFonts w:cstheme="minorHAnsi"/>
          <w:i/>
          <w:lang w:val="pl-PL"/>
        </w:rPr>
        <w:t>Lopes de Sousa Fernandes</w:t>
      </w:r>
      <w:r w:rsidRPr="00884930">
        <w:rPr>
          <w:rFonts w:cstheme="minorHAnsi"/>
          <w:lang w:val="pl-PL"/>
        </w:rPr>
        <w:t>, cyt. powyżej, z dalszymi odniesieniami, § 219).</w:t>
      </w:r>
    </w:p>
    <w:p w14:paraId="4777EABD" w14:textId="77777777" w:rsidR="00457A6C" w:rsidRPr="00884930" w:rsidRDefault="00457A6C" w:rsidP="00457A6C">
      <w:pPr>
        <w:pStyle w:val="ECHRPara"/>
        <w:rPr>
          <w:rFonts w:cstheme="minorHAnsi"/>
          <w:lang w:val="pl-PL"/>
        </w:rPr>
      </w:pPr>
      <w:r w:rsidRPr="00884930">
        <w:rPr>
          <w:rFonts w:cstheme="minorHAnsi"/>
        </w:rPr>
        <w:fldChar w:fldCharType="begin"/>
      </w:r>
      <w:r w:rsidRPr="00884930">
        <w:rPr>
          <w:rFonts w:cstheme="minorHAnsi"/>
          <w:lang w:val="pl-PL"/>
        </w:rPr>
        <w:instrText xml:space="preserve"> SEQ level0 \*arabic </w:instrText>
      </w:r>
      <w:r w:rsidRPr="00884930">
        <w:rPr>
          <w:rFonts w:cstheme="minorHAnsi"/>
        </w:rPr>
        <w:fldChar w:fldCharType="separate"/>
      </w:r>
      <w:r w:rsidRPr="00884930">
        <w:rPr>
          <w:rFonts w:cstheme="minorHAnsi"/>
          <w:noProof/>
          <w:lang w:val="pl-PL"/>
        </w:rPr>
        <w:t>81</w:t>
      </w:r>
      <w:r w:rsidRPr="00884930">
        <w:rPr>
          <w:rFonts w:cstheme="minorHAnsi"/>
        </w:rPr>
        <w:fldChar w:fldCharType="end"/>
      </w:r>
      <w:r w:rsidRPr="00884930">
        <w:rPr>
          <w:rFonts w:cstheme="minorHAnsi"/>
          <w:lang w:val="pl-PL"/>
        </w:rPr>
        <w:t xml:space="preserve">.  W okolicznościach niniejszej sprawy, w której postępowanie karne zostało wszczęte 7 października 2006 r. (zob. paragraf 8 powyżej) i nie zostało jeszcze zakończone (zob. paragraf </w:t>
      </w:r>
      <w:r w:rsidRPr="00884930">
        <w:rPr>
          <w:rFonts w:cstheme="minorHAnsi"/>
          <w:lang w:val="pl-PL"/>
        </w:rPr>
        <w:fldChar w:fldCharType="begin"/>
      </w:r>
      <w:r w:rsidRPr="00884930">
        <w:rPr>
          <w:rFonts w:cstheme="minorHAnsi"/>
          <w:lang w:val="pl-PL"/>
        </w:rPr>
        <w:instrText xml:space="preserve"> REF  forty  \* MERGEFORMAT </w:instrText>
      </w:r>
      <w:r w:rsidRPr="00884930">
        <w:rPr>
          <w:rFonts w:cstheme="minorHAnsi"/>
          <w:lang w:val="pl-PL"/>
        </w:rPr>
        <w:fldChar w:fldCharType="separate"/>
      </w:r>
      <w:r w:rsidRPr="00884930">
        <w:rPr>
          <w:rFonts w:cstheme="minorHAnsi"/>
          <w:lang w:val="pl-PL"/>
        </w:rPr>
        <w:t>40</w:t>
      </w:r>
      <w:r w:rsidRPr="00884930">
        <w:rPr>
          <w:rFonts w:cstheme="minorHAnsi"/>
          <w:lang w:val="pl-PL"/>
        </w:rPr>
        <w:fldChar w:fldCharType="end"/>
      </w:r>
      <w:r w:rsidRPr="00884930">
        <w:rPr>
          <w:rFonts w:cstheme="minorHAnsi"/>
          <w:lang w:val="pl-PL"/>
        </w:rPr>
        <w:t xml:space="preserve"> powyżej), Trybunał nie jest przekonany, że rosyjski Rząd przedłożył przekonujące dowody uzasadniające przewlekłość postępowania. Zwłaszcza wskazywanie na liczbę tomów akt śledztwa i przesłuchanych świadków (zob. paragraf </w:t>
      </w:r>
      <w:r w:rsidRPr="00884930">
        <w:rPr>
          <w:rFonts w:cstheme="minorHAnsi"/>
          <w:lang w:val="pl-PL"/>
        </w:rPr>
        <w:fldChar w:fldCharType="begin"/>
      </w:r>
      <w:r w:rsidRPr="00884930">
        <w:rPr>
          <w:rFonts w:cstheme="minorHAnsi"/>
          <w:lang w:val="pl-PL"/>
        </w:rPr>
        <w:instrText xml:space="preserve"> REF OBSG_activities \h  \* MERGEFORMAT </w:instrText>
      </w:r>
      <w:r w:rsidRPr="00884930">
        <w:rPr>
          <w:rFonts w:cstheme="minorHAnsi"/>
          <w:lang w:val="pl-PL"/>
        </w:rPr>
      </w:r>
      <w:r w:rsidRPr="00884930">
        <w:rPr>
          <w:rFonts w:cstheme="minorHAnsi"/>
          <w:lang w:val="pl-PL"/>
        </w:rPr>
        <w:fldChar w:fldCharType="separate"/>
      </w:r>
      <w:r w:rsidRPr="00884930">
        <w:rPr>
          <w:rFonts w:cstheme="minorHAnsi"/>
          <w:lang w:val="pl-PL"/>
        </w:rPr>
        <w:t>44</w:t>
      </w:r>
      <w:r w:rsidRPr="00884930">
        <w:rPr>
          <w:rFonts w:cstheme="minorHAnsi"/>
          <w:lang w:val="pl-PL"/>
        </w:rPr>
        <w:fldChar w:fldCharType="end"/>
      </w:r>
      <w:r w:rsidRPr="00884930">
        <w:rPr>
          <w:rFonts w:cstheme="minorHAnsi"/>
          <w:lang w:val="pl-PL"/>
        </w:rPr>
        <w:t xml:space="preserve"> powyżej) wydaje się nie mieć znaczenia wobec braku wymiernych wyników w śledztwie w sprawie zleceniodawców zabójstwa, które to śledztwo ciągnie się od wielu lat.</w:t>
      </w:r>
    </w:p>
    <w:p w14:paraId="5E752222" w14:textId="77777777" w:rsidR="00457A6C" w:rsidRPr="00884930" w:rsidRDefault="00457A6C" w:rsidP="00457A6C">
      <w:pPr>
        <w:pStyle w:val="ECHRPara"/>
        <w:rPr>
          <w:rFonts w:cstheme="minorHAnsi"/>
          <w:lang w:val="pl-PL"/>
        </w:rPr>
      </w:pPr>
      <w:r w:rsidRPr="00884930">
        <w:rPr>
          <w:rFonts w:cstheme="minorHAnsi"/>
        </w:rPr>
        <w:fldChar w:fldCharType="begin"/>
      </w:r>
      <w:r w:rsidRPr="00884930">
        <w:rPr>
          <w:rFonts w:cstheme="minorHAnsi"/>
          <w:lang w:val="pl-PL"/>
        </w:rPr>
        <w:instrText xml:space="preserve"> SEQ level0 \*arabic </w:instrText>
      </w:r>
      <w:r w:rsidRPr="00884930">
        <w:rPr>
          <w:rFonts w:cstheme="minorHAnsi"/>
        </w:rPr>
        <w:fldChar w:fldCharType="separate"/>
      </w:r>
      <w:r w:rsidRPr="00884930">
        <w:rPr>
          <w:rFonts w:cstheme="minorHAnsi"/>
          <w:noProof/>
          <w:lang w:val="pl-PL"/>
        </w:rPr>
        <w:t>82</w:t>
      </w:r>
      <w:r w:rsidRPr="00884930">
        <w:rPr>
          <w:rFonts w:cstheme="minorHAnsi"/>
        </w:rPr>
        <w:fldChar w:fldCharType="end"/>
      </w:r>
      <w:r w:rsidRPr="00884930">
        <w:rPr>
          <w:rFonts w:cstheme="minorHAnsi"/>
          <w:lang w:val="pl-PL"/>
        </w:rPr>
        <w:t xml:space="preserve">.  Trybunał odnotowuje, że wcześniej stwierdził naruszenie aspektu proceduralnego art. 2 Konwencji w sprawie zabójstwa postaci politycznej, z powodu długości śledztwa, które doprowadziło do wyroków skazujących dla kilku winnych, ale które ciągnęło się przez wiele lat. Oddalając argument pozwanego Rządu o złożonym charakterze postępowania karnego w tej sprawie w odpowiedzi na brak uzasadnienia zwłoki, Trybunał zauważył, że z samej przewlekłości postępowania wynikał wniosek, że było ono nieskuteczne w rozumieniu art. 2 Konwencji (zob. </w:t>
      </w:r>
      <w:r w:rsidRPr="00884930">
        <w:rPr>
          <w:rFonts w:cstheme="minorHAnsi"/>
          <w:i/>
          <w:lang w:val="pl-PL"/>
        </w:rPr>
        <w:t>Cerf p. Turcji</w:t>
      </w:r>
      <w:r w:rsidRPr="00884930">
        <w:rPr>
          <w:rFonts w:cstheme="minorHAnsi"/>
          <w:lang w:val="pl-PL"/>
        </w:rPr>
        <w:t>, nr 12938/07, §§ 80-81, 3 maja 2016 r.). Trybunał jest gotowy kontynuować taką linię uzasadnienia w okolicznościach niniejszej sprawy i konkluduje, że – wobec braku wysoce prawdopodobnych i przekonujących powodów mogących uzasadnić inaczej – długość postępowania w sprawie zabójstwa Anny Politkowskiej naruszyła wymóg niezwłocznego przeprowadzenia śledztwa wynikający z obowiązku proceduralnego na mocy art. 2  Konwencji.</w:t>
      </w:r>
    </w:p>
    <w:p w14:paraId="4EAB6B83" w14:textId="77777777" w:rsidR="00457A6C" w:rsidRPr="00884930" w:rsidRDefault="00457A6C" w:rsidP="00457A6C">
      <w:pPr>
        <w:pStyle w:val="ECHRPara"/>
        <w:rPr>
          <w:rFonts w:cstheme="minorHAnsi"/>
          <w:lang w:val="pl-PL"/>
        </w:rPr>
      </w:pPr>
      <w:r w:rsidRPr="00884930">
        <w:rPr>
          <w:rFonts w:cstheme="minorHAnsi"/>
        </w:rPr>
        <w:fldChar w:fldCharType="begin"/>
      </w:r>
      <w:r w:rsidRPr="00884930">
        <w:rPr>
          <w:rFonts w:cstheme="minorHAnsi"/>
          <w:lang w:val="pl-PL"/>
        </w:rPr>
        <w:instrText xml:space="preserve"> SEQ level0 \*arabic </w:instrText>
      </w:r>
      <w:r w:rsidRPr="00884930">
        <w:rPr>
          <w:rFonts w:cstheme="minorHAnsi"/>
        </w:rPr>
        <w:fldChar w:fldCharType="separate"/>
      </w:r>
      <w:r w:rsidRPr="00884930">
        <w:rPr>
          <w:rFonts w:cstheme="minorHAnsi"/>
          <w:noProof/>
          <w:lang w:val="pl-PL"/>
        </w:rPr>
        <w:t>83</w:t>
      </w:r>
      <w:r w:rsidRPr="00884930">
        <w:rPr>
          <w:rFonts w:cstheme="minorHAnsi"/>
        </w:rPr>
        <w:fldChar w:fldCharType="end"/>
      </w:r>
      <w:r w:rsidRPr="00884930">
        <w:rPr>
          <w:rFonts w:cstheme="minorHAnsi"/>
          <w:lang w:val="pl-PL"/>
        </w:rPr>
        <w:t>.  W opinii Trybunału ustalenia w przedmiocie rzetelności śledztwa i jego niezwłocznego przeprowadzenia z rozsądną szybkością wystarczają, aby stwierdzić, że śledztwo w sprawie zabójstwa Anny Politkowskiej nie było skuteczne w kontekście wymogów art. 2 Konwencji. W takich okolicznościach Trybunał nie uważa za konieczne zajęcie się kwestią niezależności śledztwa.</w:t>
      </w:r>
    </w:p>
    <w:p w14:paraId="21484F6B" w14:textId="77777777" w:rsidR="00457A6C" w:rsidRPr="00884930" w:rsidRDefault="00457A6C" w:rsidP="00457A6C">
      <w:pPr>
        <w:pStyle w:val="ECHRPara"/>
        <w:rPr>
          <w:rFonts w:cstheme="minorHAnsi"/>
          <w:lang w:val="pl-PL"/>
        </w:rPr>
      </w:pPr>
      <w:r w:rsidRPr="00884930">
        <w:rPr>
          <w:rFonts w:cstheme="minorHAnsi"/>
        </w:rPr>
        <w:lastRenderedPageBreak/>
        <w:fldChar w:fldCharType="begin"/>
      </w:r>
      <w:r w:rsidRPr="00884930">
        <w:rPr>
          <w:rFonts w:cstheme="minorHAnsi"/>
          <w:lang w:val="pl-PL"/>
        </w:rPr>
        <w:instrText xml:space="preserve"> SEQ level0 \*arabic </w:instrText>
      </w:r>
      <w:r w:rsidRPr="00884930">
        <w:rPr>
          <w:rFonts w:cstheme="minorHAnsi"/>
        </w:rPr>
        <w:fldChar w:fldCharType="separate"/>
      </w:r>
      <w:r w:rsidRPr="00884930">
        <w:rPr>
          <w:rFonts w:cstheme="minorHAnsi"/>
          <w:noProof/>
          <w:lang w:val="pl-PL"/>
        </w:rPr>
        <w:t>84</w:t>
      </w:r>
      <w:r w:rsidRPr="00884930">
        <w:rPr>
          <w:rFonts w:cstheme="minorHAnsi"/>
        </w:rPr>
        <w:fldChar w:fldCharType="end"/>
      </w:r>
      <w:r w:rsidRPr="00884930">
        <w:rPr>
          <w:rFonts w:cstheme="minorHAnsi"/>
          <w:lang w:val="pl-PL"/>
        </w:rPr>
        <w:t>.  Dlatego też miało miejsce naruszenie art. 2 Konwencji w jego aspekcie proceduralnym.</w:t>
      </w:r>
    </w:p>
    <w:p w14:paraId="6E1B72A4" w14:textId="77777777" w:rsidR="00457A6C" w:rsidRPr="00884930" w:rsidRDefault="00457A6C" w:rsidP="00457A6C">
      <w:pPr>
        <w:pStyle w:val="ECHRHeading1"/>
        <w:rPr>
          <w:rFonts w:asciiTheme="minorHAnsi" w:hAnsiTheme="minorHAnsi" w:cstheme="minorHAnsi"/>
          <w:lang w:val="pl-PL"/>
        </w:rPr>
      </w:pPr>
      <w:r w:rsidRPr="00884930">
        <w:rPr>
          <w:rFonts w:asciiTheme="minorHAnsi" w:hAnsiTheme="minorHAnsi" w:cstheme="minorHAnsi"/>
          <w:lang w:val="pl-PL"/>
        </w:rPr>
        <w:t>II.  ZASTOSOWANIE ART. 41 KONWENCJI</w:t>
      </w:r>
    </w:p>
    <w:p w14:paraId="2E09F551" w14:textId="77777777" w:rsidR="00457A6C" w:rsidRPr="00884930" w:rsidRDefault="00457A6C" w:rsidP="00457A6C">
      <w:pPr>
        <w:pStyle w:val="ECHRPara"/>
        <w:rPr>
          <w:rFonts w:cstheme="minorHAnsi"/>
          <w:lang w:val="pl-PL"/>
        </w:rPr>
      </w:pPr>
      <w:r w:rsidRPr="00884930">
        <w:rPr>
          <w:rFonts w:cstheme="minorHAnsi"/>
        </w:rPr>
        <w:fldChar w:fldCharType="begin"/>
      </w:r>
      <w:r w:rsidRPr="00884930">
        <w:rPr>
          <w:rFonts w:cstheme="minorHAnsi"/>
          <w:lang w:val="pl-PL"/>
        </w:rPr>
        <w:instrText xml:space="preserve"> SEQ level0 \*arabic </w:instrText>
      </w:r>
      <w:r w:rsidRPr="00884930">
        <w:rPr>
          <w:rFonts w:cstheme="minorHAnsi"/>
        </w:rPr>
        <w:fldChar w:fldCharType="separate"/>
      </w:r>
      <w:r w:rsidRPr="00884930">
        <w:rPr>
          <w:rFonts w:cstheme="minorHAnsi"/>
          <w:noProof/>
          <w:lang w:val="pl-PL"/>
        </w:rPr>
        <w:t>85</w:t>
      </w:r>
      <w:r w:rsidRPr="00884930">
        <w:rPr>
          <w:rFonts w:cstheme="minorHAnsi"/>
        </w:rPr>
        <w:fldChar w:fldCharType="end"/>
      </w:r>
      <w:r w:rsidRPr="00884930">
        <w:rPr>
          <w:rFonts w:cstheme="minorHAnsi"/>
          <w:lang w:val="pl-PL"/>
        </w:rPr>
        <w:t>.  Art. 41 Konwencji stanowi:</w:t>
      </w:r>
    </w:p>
    <w:p w14:paraId="4F14E217" w14:textId="77777777" w:rsidR="00457A6C" w:rsidRPr="00884930" w:rsidRDefault="00457A6C" w:rsidP="00457A6C">
      <w:pPr>
        <w:pStyle w:val="ECHRParaQuote"/>
        <w:keepNext/>
        <w:keepLines/>
        <w:rPr>
          <w:rFonts w:cstheme="minorHAnsi"/>
          <w:lang w:val="pl-PL"/>
        </w:rPr>
      </w:pPr>
      <w:r w:rsidRPr="00884930">
        <w:rPr>
          <w:rFonts w:cstheme="minorHAnsi"/>
          <w:lang w:val="pl-PL"/>
        </w:rPr>
        <w:t>„Jeśli Trybunał stwierdzi, że nastąpiło naruszenie Konwencji lub jej protokołów, oraz jeśli prawo wewnętrzne zainteresowanej Wysokiej Układającej się Strony pozwala tylko na częściowe usunięcie konsekwencji tego naruszenia, Trybunał orzeka, gdy zachodzi potrzeba, słuszne zadośćuczynienie pokrzywdzonej stronie.”</w:t>
      </w:r>
    </w:p>
    <w:p w14:paraId="6F327900" w14:textId="77777777" w:rsidR="00457A6C" w:rsidRPr="00884930" w:rsidRDefault="00457A6C" w:rsidP="00457A6C">
      <w:pPr>
        <w:pStyle w:val="ECHRHeading2"/>
        <w:rPr>
          <w:rFonts w:asciiTheme="minorHAnsi" w:hAnsiTheme="minorHAnsi" w:cstheme="minorHAnsi"/>
          <w:lang w:val="pl-PL"/>
        </w:rPr>
      </w:pPr>
      <w:r w:rsidRPr="00884930">
        <w:rPr>
          <w:rFonts w:asciiTheme="minorHAnsi" w:hAnsiTheme="minorHAnsi" w:cstheme="minorHAnsi"/>
          <w:lang w:val="pl-PL"/>
        </w:rPr>
        <w:t>A. Szkoda</w:t>
      </w:r>
    </w:p>
    <w:p w14:paraId="7E58DD5F" w14:textId="77777777" w:rsidR="00457A6C" w:rsidRPr="00884930" w:rsidRDefault="00457A6C" w:rsidP="00457A6C">
      <w:pPr>
        <w:pStyle w:val="ECHRPara"/>
        <w:rPr>
          <w:rFonts w:cstheme="minorHAnsi"/>
          <w:lang w:val="pl-PL"/>
        </w:rPr>
      </w:pPr>
      <w:r w:rsidRPr="00884930">
        <w:rPr>
          <w:rFonts w:cstheme="minorHAnsi"/>
        </w:rPr>
        <w:fldChar w:fldCharType="begin"/>
      </w:r>
      <w:r w:rsidRPr="00884930">
        <w:rPr>
          <w:rFonts w:cstheme="minorHAnsi"/>
          <w:lang w:val="pl-PL"/>
        </w:rPr>
        <w:instrText xml:space="preserve"> SEQ level0 \*arabic </w:instrText>
      </w:r>
      <w:r w:rsidRPr="00884930">
        <w:rPr>
          <w:rFonts w:cstheme="minorHAnsi"/>
        </w:rPr>
        <w:fldChar w:fldCharType="separate"/>
      </w:r>
      <w:r w:rsidRPr="00884930">
        <w:rPr>
          <w:rFonts w:cstheme="minorHAnsi"/>
          <w:noProof/>
          <w:lang w:val="pl-PL"/>
        </w:rPr>
        <w:t>86</w:t>
      </w:r>
      <w:r w:rsidRPr="00884930">
        <w:rPr>
          <w:rFonts w:cstheme="minorHAnsi"/>
        </w:rPr>
        <w:fldChar w:fldCharType="end"/>
      </w:r>
      <w:r w:rsidRPr="00884930">
        <w:rPr>
          <w:rFonts w:cstheme="minorHAnsi"/>
          <w:lang w:val="pl-PL"/>
        </w:rPr>
        <w:t>.  Skarżący domagali się solidarnego zasądzenia im odszkodowania w kwocie 5,000,000 rubli rosyjskich (RUB) (około 71 740 euro (EUR)) za szkodę niemajątkową. Podnosili oni, że w postępowaniu krajowym kwotę taką zasądzono do zapłaty ofiarom zbrodni przez sprawców zabójstwa. Ich zdaniem jednak odszkodowanie takie nie zostanie nigdy zapłacone, ponieważ pozwane Państwo nie ustaliło tożsamości zleceniodawców zbrodni.</w:t>
      </w:r>
    </w:p>
    <w:p w14:paraId="323186C4" w14:textId="77777777" w:rsidR="00457A6C" w:rsidRPr="00884930" w:rsidRDefault="00457A6C" w:rsidP="00457A6C">
      <w:pPr>
        <w:pStyle w:val="ECHRPara"/>
        <w:rPr>
          <w:rFonts w:cstheme="minorHAnsi"/>
          <w:lang w:val="pl-PL"/>
        </w:rPr>
      </w:pPr>
      <w:r w:rsidRPr="00884930">
        <w:rPr>
          <w:rFonts w:cstheme="minorHAnsi"/>
        </w:rPr>
        <w:fldChar w:fldCharType="begin"/>
      </w:r>
      <w:r w:rsidRPr="00884930">
        <w:rPr>
          <w:rFonts w:cstheme="minorHAnsi"/>
          <w:lang w:val="pl-PL"/>
        </w:rPr>
        <w:instrText xml:space="preserve"> SEQ level0 \*arabic </w:instrText>
      </w:r>
      <w:r w:rsidRPr="00884930">
        <w:rPr>
          <w:rFonts w:cstheme="minorHAnsi"/>
        </w:rPr>
        <w:fldChar w:fldCharType="separate"/>
      </w:r>
      <w:r w:rsidRPr="00884930">
        <w:rPr>
          <w:rFonts w:cstheme="minorHAnsi"/>
          <w:noProof/>
          <w:lang w:val="pl-PL"/>
        </w:rPr>
        <w:t>87</w:t>
      </w:r>
      <w:r w:rsidRPr="00884930">
        <w:rPr>
          <w:rFonts w:cstheme="minorHAnsi"/>
        </w:rPr>
        <w:fldChar w:fldCharType="end"/>
      </w:r>
      <w:r w:rsidRPr="00884930">
        <w:rPr>
          <w:rFonts w:cstheme="minorHAnsi"/>
          <w:lang w:val="pl-PL"/>
        </w:rPr>
        <w:t>.  Rząd oświadczył, że art. 41 powinien być zastosowany zgodnie z ugruntowanym orzecznictwem Trybunału i zauważył, że zasądzanie odszkodowania już zasądzonego na poziomie krajowym nie byłoby stosowne.</w:t>
      </w:r>
    </w:p>
    <w:p w14:paraId="310BCD6B" w14:textId="77777777" w:rsidR="00457A6C" w:rsidRPr="00884930" w:rsidRDefault="00457A6C" w:rsidP="00457A6C">
      <w:pPr>
        <w:pStyle w:val="ECHRPara"/>
        <w:rPr>
          <w:rFonts w:cstheme="minorHAnsi"/>
          <w:lang w:val="pl-PL"/>
        </w:rPr>
      </w:pPr>
      <w:r w:rsidRPr="00884930">
        <w:rPr>
          <w:rFonts w:cstheme="minorHAnsi"/>
        </w:rPr>
        <w:fldChar w:fldCharType="begin"/>
      </w:r>
      <w:r w:rsidRPr="00884930">
        <w:rPr>
          <w:rFonts w:cstheme="minorHAnsi"/>
          <w:lang w:val="pl-PL"/>
        </w:rPr>
        <w:instrText xml:space="preserve"> SEQ level0 \*arabic </w:instrText>
      </w:r>
      <w:r w:rsidRPr="00884930">
        <w:rPr>
          <w:rFonts w:cstheme="minorHAnsi"/>
        </w:rPr>
        <w:fldChar w:fldCharType="separate"/>
      </w:r>
      <w:r w:rsidRPr="00884930">
        <w:rPr>
          <w:rFonts w:cstheme="minorHAnsi"/>
          <w:noProof/>
          <w:lang w:val="pl-PL"/>
        </w:rPr>
        <w:t>88</w:t>
      </w:r>
      <w:r w:rsidRPr="00884930">
        <w:rPr>
          <w:rFonts w:cstheme="minorHAnsi"/>
        </w:rPr>
        <w:fldChar w:fldCharType="end"/>
      </w:r>
      <w:r w:rsidRPr="00884930">
        <w:rPr>
          <w:rFonts w:cstheme="minorHAnsi"/>
          <w:lang w:val="pl-PL"/>
        </w:rPr>
        <w:t>.  Trybunał uznaje, że skarżący doznali szkody niemajątkowej z powodu naruszenia art. 2 Konwencji w jego wymiarze proceduralnym. Mając na względzie szczególne okoliczności sprawy oraz dokonując oceny na sprawiedliwych zasadach wymaganych na mocy art. 41 Konwencji, Trybunał zasądza 20 000 euro (EUR) solidarnie na rzecz skarżących z tytułu szkody niemajątkowej.</w:t>
      </w:r>
    </w:p>
    <w:p w14:paraId="2CD44EE6" w14:textId="77777777" w:rsidR="00457A6C" w:rsidRPr="00884930" w:rsidRDefault="00457A6C" w:rsidP="00457A6C">
      <w:pPr>
        <w:pStyle w:val="ECHRHeading2"/>
        <w:rPr>
          <w:rFonts w:asciiTheme="minorHAnsi" w:hAnsiTheme="minorHAnsi" w:cstheme="minorHAnsi"/>
          <w:lang w:val="pl-PL"/>
        </w:rPr>
      </w:pPr>
      <w:r w:rsidRPr="00884930">
        <w:rPr>
          <w:rFonts w:asciiTheme="minorHAnsi" w:hAnsiTheme="minorHAnsi" w:cstheme="minorHAnsi"/>
          <w:lang w:val="pl-PL"/>
        </w:rPr>
        <w:t>B. Koszty i wydatki</w:t>
      </w:r>
    </w:p>
    <w:p w14:paraId="67E39CE7" w14:textId="77777777" w:rsidR="00457A6C" w:rsidRPr="00884930" w:rsidRDefault="00457A6C" w:rsidP="00457A6C">
      <w:pPr>
        <w:pStyle w:val="ECHRPara"/>
        <w:rPr>
          <w:rFonts w:cstheme="minorHAnsi"/>
          <w:lang w:val="pl-PL"/>
        </w:rPr>
      </w:pPr>
      <w:r w:rsidRPr="00884930">
        <w:rPr>
          <w:rFonts w:cstheme="minorHAnsi"/>
        </w:rPr>
        <w:fldChar w:fldCharType="begin"/>
      </w:r>
      <w:r w:rsidRPr="00884930">
        <w:rPr>
          <w:rFonts w:cstheme="minorHAnsi"/>
          <w:lang w:val="pl-PL"/>
        </w:rPr>
        <w:instrText xml:space="preserve"> SEQ level0 \*arabic </w:instrText>
      </w:r>
      <w:r w:rsidRPr="00884930">
        <w:rPr>
          <w:rFonts w:cstheme="minorHAnsi"/>
        </w:rPr>
        <w:fldChar w:fldCharType="separate"/>
      </w:r>
      <w:r w:rsidRPr="00884930">
        <w:rPr>
          <w:rFonts w:cstheme="minorHAnsi"/>
          <w:noProof/>
          <w:lang w:val="pl-PL"/>
        </w:rPr>
        <w:t>89</w:t>
      </w:r>
      <w:r w:rsidRPr="00884930">
        <w:rPr>
          <w:rFonts w:cstheme="minorHAnsi"/>
          <w:noProof/>
        </w:rPr>
        <w:fldChar w:fldCharType="end"/>
      </w:r>
      <w:r w:rsidRPr="00884930">
        <w:rPr>
          <w:rFonts w:cstheme="minorHAnsi"/>
          <w:lang w:val="pl-PL"/>
        </w:rPr>
        <w:t>.  Skarżący wnioskowali, aby Trybunał przyznał paniom K. Moskalenko i A. Stawickiej, „bez podziału częściowego wydatków poniesionych przez ich pełnomocników” przy przygotowywaniu różnych stanowisk  przed Trybunałem, w tym skargi wstępnej, formularza skargi, dodatkowych stanowisk i uwag w imieniu skarżących, „kwotę równą pięćdziesięciu standardowym prawniczym stawkom godzinowym według stawki 150 EUR za godzinę”, to jest 7 500 EUR dla każdej z nich, oraz aby nakazał wpłacenie tych sum bezpośrednio na rachunki bankowe pełnomocników. Nie przedstawili oni żadnych dokumentów ani szczegółowych zestawień potwierdzających te roszczenia.</w:t>
      </w:r>
    </w:p>
    <w:p w14:paraId="22073179" w14:textId="77777777" w:rsidR="00457A6C" w:rsidRPr="00884930" w:rsidRDefault="00457A6C" w:rsidP="00457A6C">
      <w:pPr>
        <w:pStyle w:val="ECHRPara"/>
        <w:rPr>
          <w:rFonts w:cstheme="minorHAnsi"/>
          <w:lang w:val="pl-PL"/>
        </w:rPr>
      </w:pPr>
      <w:r w:rsidRPr="00884930">
        <w:rPr>
          <w:rFonts w:cstheme="minorHAnsi"/>
        </w:rPr>
        <w:fldChar w:fldCharType="begin"/>
      </w:r>
      <w:r w:rsidRPr="00884930">
        <w:rPr>
          <w:rFonts w:cstheme="minorHAnsi"/>
          <w:lang w:val="pl-PL"/>
        </w:rPr>
        <w:instrText xml:space="preserve"> SEQ level0 \*arabic </w:instrText>
      </w:r>
      <w:r w:rsidRPr="00884930">
        <w:rPr>
          <w:rFonts w:cstheme="minorHAnsi"/>
        </w:rPr>
        <w:fldChar w:fldCharType="separate"/>
      </w:r>
      <w:r w:rsidRPr="00884930">
        <w:rPr>
          <w:rFonts w:cstheme="minorHAnsi"/>
          <w:noProof/>
          <w:lang w:val="pl-PL"/>
        </w:rPr>
        <w:t>90</w:t>
      </w:r>
      <w:r w:rsidRPr="00884930">
        <w:rPr>
          <w:rFonts w:cstheme="minorHAnsi"/>
        </w:rPr>
        <w:fldChar w:fldCharType="end"/>
      </w:r>
      <w:r w:rsidRPr="00884930">
        <w:rPr>
          <w:rFonts w:cstheme="minorHAnsi"/>
          <w:lang w:val="pl-PL"/>
        </w:rPr>
        <w:t xml:space="preserve">.  Zgodnie z orzecznictwem Trybunału skarżący ma prawo do zwrotu kosztów i wydatków w takim zakresie, w jakim zostało wykazane, że te </w:t>
      </w:r>
      <w:r w:rsidRPr="00884930">
        <w:rPr>
          <w:rFonts w:cstheme="minorHAnsi"/>
          <w:lang w:val="pl-PL"/>
        </w:rPr>
        <w:lastRenderedPageBreak/>
        <w:t>koszty i wydatki rzeczywiście i w sposób konieczny zostały poniesione, oraz że są one rozsądne co do kwoty. Uwzględniwszy roszczenia skarżących i powyższe kryteria, Trybunał w niniejszej sprawie oddala jako bezzasadne roszczenia dotyczące kosztów i wydatków poniesionych w związku z postępowaniem przed Trybunałem.</w:t>
      </w:r>
    </w:p>
    <w:p w14:paraId="0901A37C" w14:textId="77777777" w:rsidR="00457A6C" w:rsidRPr="00884930" w:rsidRDefault="00457A6C" w:rsidP="00457A6C">
      <w:pPr>
        <w:pStyle w:val="ECHRHeading2"/>
        <w:rPr>
          <w:rFonts w:asciiTheme="minorHAnsi" w:hAnsiTheme="minorHAnsi" w:cstheme="minorHAnsi"/>
          <w:lang w:val="pl-PL"/>
        </w:rPr>
      </w:pPr>
      <w:r w:rsidRPr="00884930">
        <w:rPr>
          <w:rFonts w:asciiTheme="minorHAnsi" w:hAnsiTheme="minorHAnsi" w:cstheme="minorHAnsi"/>
          <w:lang w:val="pl-PL"/>
        </w:rPr>
        <w:t>C.  Odsetki za zwłokę</w:t>
      </w:r>
    </w:p>
    <w:p w14:paraId="1EE98C30" w14:textId="77777777" w:rsidR="00457A6C" w:rsidRPr="00884930" w:rsidRDefault="00457A6C" w:rsidP="00457A6C">
      <w:pPr>
        <w:pStyle w:val="ECHRPara"/>
        <w:rPr>
          <w:rFonts w:cstheme="minorHAnsi"/>
          <w:lang w:val="pl-PL"/>
        </w:rPr>
      </w:pPr>
      <w:r w:rsidRPr="00884930">
        <w:rPr>
          <w:rFonts w:cstheme="minorHAnsi"/>
        </w:rPr>
        <w:fldChar w:fldCharType="begin"/>
      </w:r>
      <w:r w:rsidRPr="00884930">
        <w:rPr>
          <w:rFonts w:cstheme="minorHAnsi"/>
          <w:lang w:val="pl-PL"/>
        </w:rPr>
        <w:instrText xml:space="preserve"> SEQ level0 \*arabic </w:instrText>
      </w:r>
      <w:r w:rsidRPr="00884930">
        <w:rPr>
          <w:rFonts w:cstheme="minorHAnsi"/>
        </w:rPr>
        <w:fldChar w:fldCharType="separate"/>
      </w:r>
      <w:r w:rsidRPr="00884930">
        <w:rPr>
          <w:rFonts w:cstheme="minorHAnsi"/>
          <w:noProof/>
          <w:lang w:val="pl-PL"/>
        </w:rPr>
        <w:t>91</w:t>
      </w:r>
      <w:r w:rsidRPr="00884930">
        <w:rPr>
          <w:rFonts w:cstheme="minorHAnsi"/>
        </w:rPr>
        <w:fldChar w:fldCharType="end"/>
      </w:r>
      <w:r w:rsidRPr="00884930">
        <w:rPr>
          <w:rFonts w:cstheme="minorHAnsi"/>
          <w:lang w:val="pl-PL"/>
        </w:rPr>
        <w:t>.  Trybunał uważa za zasadne, by odsetki za zwłokę zostały wyliczone według marginalnej stopy pożyczkowej Europejskiego Banku Centralnego, powiększonej o trzy punkty procentowe.</w:t>
      </w:r>
    </w:p>
    <w:p w14:paraId="00B3D380" w14:textId="77777777" w:rsidR="00457A6C" w:rsidRPr="00884930" w:rsidRDefault="00457A6C" w:rsidP="00457A6C">
      <w:pPr>
        <w:pStyle w:val="ECHRTitle1"/>
        <w:rPr>
          <w:rFonts w:asciiTheme="minorHAnsi" w:hAnsiTheme="minorHAnsi" w:cstheme="minorHAnsi"/>
          <w:lang w:val="pl-PL"/>
        </w:rPr>
      </w:pPr>
      <w:r w:rsidRPr="00884930">
        <w:rPr>
          <w:rFonts w:asciiTheme="minorHAnsi" w:hAnsiTheme="minorHAnsi" w:cstheme="minorHAnsi"/>
          <w:lang w:val="pl-PL"/>
        </w:rPr>
        <w:t>W ZWIĄZKU Z POWYŻSZYM TRYBUNAŁ</w:t>
      </w:r>
    </w:p>
    <w:p w14:paraId="0DC5829C" w14:textId="77777777" w:rsidR="00457A6C" w:rsidRPr="00884930" w:rsidRDefault="00457A6C" w:rsidP="00457A6C">
      <w:pPr>
        <w:pStyle w:val="JuList"/>
        <w:rPr>
          <w:rFonts w:cstheme="minorHAnsi"/>
          <w:lang w:val="pl-PL"/>
        </w:rPr>
      </w:pPr>
      <w:r w:rsidRPr="00884930">
        <w:rPr>
          <w:rFonts w:cstheme="minorHAnsi"/>
          <w:lang w:val="pl-PL"/>
        </w:rPr>
        <w:t>1.  </w:t>
      </w:r>
      <w:r w:rsidRPr="00884930">
        <w:rPr>
          <w:rFonts w:cstheme="minorHAnsi"/>
          <w:i/>
          <w:lang w:val="pl-PL"/>
        </w:rPr>
        <w:t>Uznaje</w:t>
      </w:r>
      <w:r w:rsidRPr="00884930">
        <w:rPr>
          <w:rFonts w:cstheme="minorHAnsi"/>
          <w:lang w:val="pl-PL"/>
        </w:rPr>
        <w:t xml:space="preserve"> jednogłośnie skargę na gruncie art. 2 Konwencji w jego aspekcie proceduralnym za dopuszczalną;</w:t>
      </w:r>
    </w:p>
    <w:p w14:paraId="6D305B7C" w14:textId="77777777" w:rsidR="00457A6C" w:rsidRPr="00884930" w:rsidRDefault="00457A6C" w:rsidP="00457A6C">
      <w:pPr>
        <w:pStyle w:val="JuList"/>
        <w:rPr>
          <w:rFonts w:cstheme="minorHAnsi"/>
          <w:lang w:val="pl-PL"/>
        </w:rPr>
      </w:pPr>
    </w:p>
    <w:p w14:paraId="73328DF5" w14:textId="77777777" w:rsidR="00457A6C" w:rsidRPr="00884930" w:rsidRDefault="00457A6C" w:rsidP="00457A6C">
      <w:pPr>
        <w:pStyle w:val="JuList"/>
        <w:rPr>
          <w:rFonts w:cstheme="minorHAnsi"/>
          <w:lang w:val="pl-PL"/>
        </w:rPr>
      </w:pPr>
      <w:r w:rsidRPr="00884930">
        <w:rPr>
          <w:rFonts w:cstheme="minorHAnsi"/>
          <w:lang w:val="pl-PL"/>
        </w:rPr>
        <w:t>2.  </w:t>
      </w:r>
      <w:r w:rsidRPr="00884930">
        <w:rPr>
          <w:rFonts w:cstheme="minorHAnsi"/>
          <w:i/>
          <w:iCs/>
          <w:lang w:val="pl-PL"/>
        </w:rPr>
        <w:t>Stwierdza</w:t>
      </w:r>
      <w:r w:rsidRPr="00884930">
        <w:rPr>
          <w:rFonts w:cstheme="minorHAnsi"/>
          <w:lang w:val="pl-PL"/>
        </w:rPr>
        <w:t>, pięcioma głosami do dwóch, że nastąpiło naruszenie art. 2 Konwencji w jego aspekcie proceduralnym;</w:t>
      </w:r>
    </w:p>
    <w:p w14:paraId="757CD36E" w14:textId="77777777" w:rsidR="00457A6C" w:rsidRPr="00884930" w:rsidRDefault="00457A6C" w:rsidP="00457A6C">
      <w:pPr>
        <w:pStyle w:val="JuList"/>
        <w:rPr>
          <w:rFonts w:cstheme="minorHAnsi"/>
          <w:lang w:val="pl-PL"/>
        </w:rPr>
      </w:pPr>
    </w:p>
    <w:p w14:paraId="50C824A9" w14:textId="77777777" w:rsidR="00457A6C" w:rsidRPr="00884930" w:rsidRDefault="00457A6C" w:rsidP="00457A6C">
      <w:pPr>
        <w:pStyle w:val="JuList"/>
        <w:rPr>
          <w:rFonts w:cstheme="minorHAnsi"/>
          <w:lang w:val="pl-PL"/>
        </w:rPr>
      </w:pPr>
      <w:r w:rsidRPr="00884930">
        <w:rPr>
          <w:rFonts w:cstheme="minorHAnsi"/>
          <w:lang w:val="pl-PL"/>
        </w:rPr>
        <w:t>3.  </w:t>
      </w:r>
      <w:r w:rsidRPr="00884930">
        <w:rPr>
          <w:rFonts w:cstheme="minorHAnsi"/>
          <w:i/>
          <w:iCs/>
          <w:lang w:val="pl-PL"/>
        </w:rPr>
        <w:t>Stwierdza</w:t>
      </w:r>
      <w:r w:rsidRPr="00884930">
        <w:rPr>
          <w:rFonts w:cstheme="minorHAnsi"/>
          <w:i/>
          <w:lang w:val="pl-PL"/>
        </w:rPr>
        <w:t>,</w:t>
      </w:r>
      <w:r w:rsidRPr="00884930">
        <w:rPr>
          <w:rFonts w:cstheme="minorHAnsi"/>
          <w:lang w:val="pl-PL"/>
        </w:rPr>
        <w:t xml:space="preserve"> pięcioma głosami do dwóch,</w:t>
      </w:r>
    </w:p>
    <w:p w14:paraId="2933516B" w14:textId="77777777" w:rsidR="00457A6C" w:rsidRPr="00884930" w:rsidRDefault="00457A6C" w:rsidP="00457A6C">
      <w:pPr>
        <w:pStyle w:val="JuLista"/>
        <w:rPr>
          <w:rFonts w:cstheme="minorHAnsi"/>
          <w:lang w:val="pl-PL"/>
        </w:rPr>
      </w:pPr>
      <w:r w:rsidRPr="00884930">
        <w:rPr>
          <w:rFonts w:cstheme="minorHAnsi"/>
          <w:lang w:val="pl-PL"/>
        </w:rPr>
        <w:t>(a)  że pozwane Państwo ma zapłacić solidarnie skarżącym, w terminie trzech miesięcy od daty, w której niniejszy wyrok stanie się ostateczny zgodnie z art. 44 § 2 Konwencji, kwotę 20 000 EUR  (dwadzieścia tysięcy euro) plus wszelkie należne podatki, z tytułu szkody niemajątkowej;</w:t>
      </w:r>
    </w:p>
    <w:p w14:paraId="30C75089" w14:textId="77777777" w:rsidR="00457A6C" w:rsidRPr="00884930" w:rsidRDefault="00457A6C" w:rsidP="00457A6C">
      <w:pPr>
        <w:pStyle w:val="JuLista"/>
        <w:rPr>
          <w:rFonts w:cstheme="minorHAnsi"/>
          <w:lang w:val="pl-PL"/>
        </w:rPr>
      </w:pPr>
      <w:r w:rsidRPr="00884930">
        <w:rPr>
          <w:rFonts w:cstheme="minorHAnsi"/>
          <w:lang w:val="pl-PL"/>
        </w:rPr>
        <w:t>(b)  </w:t>
      </w:r>
      <w:r w:rsidRPr="00884930">
        <w:rPr>
          <w:rFonts w:cstheme="minorHAnsi"/>
          <w:bCs/>
          <w:iCs/>
          <w:lang w:val="pl-PL"/>
        </w:rPr>
        <w:t>że od upływu wyżej wskazanego terminu trzech miesięcy do momentu uregulowania należności należne będą odsetki zwykłe od określonej powyżej kwoty, naliczone według stopy równej marginalnej stopie procentowej Europejskiego Banku Centralnego obowiązującej w tym okresie, powiększonej o trzy punkty procentowe;</w:t>
      </w:r>
    </w:p>
    <w:p w14:paraId="6969695D" w14:textId="77777777" w:rsidR="00457A6C" w:rsidRPr="00884930" w:rsidRDefault="00457A6C" w:rsidP="00457A6C">
      <w:pPr>
        <w:pStyle w:val="JuList"/>
        <w:rPr>
          <w:rFonts w:cstheme="minorHAnsi"/>
          <w:lang w:val="pl-PL"/>
        </w:rPr>
      </w:pPr>
    </w:p>
    <w:p w14:paraId="0BFC0D93" w14:textId="77777777" w:rsidR="00457A6C" w:rsidRPr="00884930" w:rsidRDefault="00457A6C" w:rsidP="00457A6C">
      <w:pPr>
        <w:pStyle w:val="JuList"/>
        <w:keepNext/>
        <w:keepLines/>
        <w:rPr>
          <w:rFonts w:cstheme="minorHAnsi"/>
          <w:lang w:val="pl-PL"/>
        </w:rPr>
      </w:pPr>
      <w:r w:rsidRPr="00884930">
        <w:rPr>
          <w:rFonts w:cstheme="minorHAnsi"/>
          <w:lang w:val="pl-PL"/>
        </w:rPr>
        <w:t>4.  </w:t>
      </w:r>
      <w:r w:rsidRPr="00884930">
        <w:rPr>
          <w:rFonts w:cstheme="minorHAnsi"/>
          <w:i/>
          <w:iCs/>
          <w:lang w:val="pl-PL"/>
        </w:rPr>
        <w:t>Oddala</w:t>
      </w:r>
      <w:r w:rsidRPr="00884930">
        <w:rPr>
          <w:rFonts w:cstheme="minorHAnsi"/>
          <w:i/>
          <w:lang w:val="pl-PL"/>
        </w:rPr>
        <w:t xml:space="preserve"> </w:t>
      </w:r>
      <w:r w:rsidRPr="00884930">
        <w:rPr>
          <w:rFonts w:cstheme="minorHAnsi"/>
          <w:lang w:val="pl-PL"/>
        </w:rPr>
        <w:t>jednogłośnie pozostałą część roszczenia skarżących o słuszne zadośćuczynienie.</w:t>
      </w:r>
    </w:p>
    <w:p w14:paraId="5FA16C62" w14:textId="77777777" w:rsidR="00457A6C" w:rsidRPr="00884930" w:rsidRDefault="00457A6C" w:rsidP="00457A6C">
      <w:pPr>
        <w:pStyle w:val="JuParaLast"/>
        <w:rPr>
          <w:rFonts w:cstheme="minorHAnsi"/>
          <w:lang w:val="pl-PL"/>
        </w:rPr>
      </w:pPr>
      <w:r w:rsidRPr="00884930">
        <w:rPr>
          <w:rFonts w:cstheme="minorHAnsi"/>
          <w:lang w:val="pl-PL"/>
        </w:rPr>
        <w:t>Sporządzono w języku angielskim i obwieszczono pisemnie dnia 17 lipca 2018 r., zgodnie regułą 77 §§ 2 i 3 Regulaminu Trybunału.</w:t>
      </w:r>
    </w:p>
    <w:p w14:paraId="4EC7DD58" w14:textId="77777777" w:rsidR="00457A6C" w:rsidRPr="00884930" w:rsidRDefault="00457A6C" w:rsidP="00457A6C">
      <w:pPr>
        <w:pStyle w:val="JuSigned"/>
        <w:rPr>
          <w:rFonts w:cstheme="minorHAnsi"/>
          <w:lang w:val="pl-PL"/>
        </w:rPr>
      </w:pPr>
      <w:r w:rsidRPr="00884930">
        <w:rPr>
          <w:rFonts w:cstheme="minorHAnsi"/>
          <w:lang w:val="pl-PL"/>
        </w:rPr>
        <w:tab/>
        <w:t>Stephen Phillips</w:t>
      </w:r>
      <w:r w:rsidRPr="00884930">
        <w:rPr>
          <w:rFonts w:cstheme="minorHAnsi"/>
          <w:lang w:val="pl-PL"/>
        </w:rPr>
        <w:tab/>
      </w:r>
      <w:r w:rsidRPr="00884930">
        <w:rPr>
          <w:rFonts w:cstheme="minorHAnsi"/>
          <w:szCs w:val="24"/>
          <w:lang w:val="pl-PL"/>
        </w:rPr>
        <w:t>Helena Jäderblom</w:t>
      </w:r>
      <w:r w:rsidRPr="00884930">
        <w:rPr>
          <w:rFonts w:cstheme="minorHAnsi"/>
          <w:szCs w:val="24"/>
          <w:lang w:val="pl-PL"/>
        </w:rPr>
        <w:br/>
      </w:r>
      <w:r w:rsidRPr="00884930">
        <w:rPr>
          <w:rFonts w:cstheme="minorHAnsi"/>
          <w:lang w:val="pl-PL"/>
        </w:rPr>
        <w:tab/>
      </w:r>
      <w:r w:rsidRPr="00884930">
        <w:rPr>
          <w:rFonts w:cstheme="minorHAnsi"/>
          <w:iCs/>
          <w:lang w:val="pl-PL"/>
        </w:rPr>
        <w:t>Kanclerz</w:t>
      </w:r>
      <w:r w:rsidRPr="00884930">
        <w:rPr>
          <w:rFonts w:cstheme="minorHAnsi"/>
          <w:lang w:val="pl-PL"/>
        </w:rPr>
        <w:tab/>
        <w:t>Przewodniczący</w:t>
      </w:r>
    </w:p>
    <w:p w14:paraId="64834877" w14:textId="77777777" w:rsidR="00457A6C" w:rsidRPr="00884930" w:rsidRDefault="00457A6C" w:rsidP="00457A6C">
      <w:pPr>
        <w:pStyle w:val="JuParaLast"/>
        <w:rPr>
          <w:rFonts w:cstheme="minorHAnsi"/>
          <w:lang w:val="pl-PL"/>
        </w:rPr>
      </w:pPr>
      <w:r w:rsidRPr="00884930">
        <w:rPr>
          <w:rFonts w:cstheme="minorHAnsi"/>
          <w:lang w:val="pl-PL"/>
        </w:rPr>
        <w:lastRenderedPageBreak/>
        <w:t>Zgodnie z art. 45 ust. 2 Konwencji oraz regułą 74 § 2 Regulaminu Trybunału, do niniejszego wyroku załącza się następujące opinie odrębne:</w:t>
      </w:r>
    </w:p>
    <w:p w14:paraId="1B7FF2B8" w14:textId="77777777" w:rsidR="00457A6C" w:rsidRPr="00884930" w:rsidRDefault="00457A6C" w:rsidP="00457A6C">
      <w:pPr>
        <w:pStyle w:val="ECHRPara"/>
        <w:rPr>
          <w:rFonts w:cstheme="minorHAnsi"/>
          <w:lang w:val="pl-PL"/>
        </w:rPr>
      </w:pPr>
      <w:r w:rsidRPr="00884930">
        <w:rPr>
          <w:rFonts w:cstheme="minorHAnsi"/>
          <w:lang w:val="pl-PL"/>
        </w:rPr>
        <w:t>(a)  wspólną opinię zgodną, którą złożyły sędzie Jäderblom i Keller;</w:t>
      </w:r>
    </w:p>
    <w:p w14:paraId="168F4F7E" w14:textId="77777777" w:rsidR="00457A6C" w:rsidRPr="00884930" w:rsidRDefault="00457A6C" w:rsidP="00457A6C">
      <w:pPr>
        <w:pStyle w:val="ECHRPara"/>
        <w:rPr>
          <w:rFonts w:cstheme="minorHAnsi"/>
          <w:lang w:val="pl-PL"/>
        </w:rPr>
      </w:pPr>
      <w:r w:rsidRPr="00884930">
        <w:rPr>
          <w:rFonts w:cstheme="minorHAnsi"/>
          <w:lang w:val="pl-PL"/>
        </w:rPr>
        <w:t>(b)  wspólną opinię rozbieżną, którą złożyli sędziowie Dedov i Poláčková.</w:t>
      </w:r>
    </w:p>
    <w:p w14:paraId="12E955AA" w14:textId="77777777" w:rsidR="00457A6C" w:rsidRPr="00884930" w:rsidRDefault="00457A6C" w:rsidP="00457A6C">
      <w:pPr>
        <w:pStyle w:val="JuInitialled"/>
        <w:rPr>
          <w:rFonts w:cstheme="minorHAnsi"/>
          <w:lang w:val="pl-PL"/>
        </w:rPr>
      </w:pPr>
      <w:r w:rsidRPr="00884930">
        <w:rPr>
          <w:rFonts w:cstheme="minorHAnsi"/>
          <w:lang w:val="pl-PL"/>
        </w:rPr>
        <w:t>H.J.</w:t>
      </w:r>
      <w:r w:rsidRPr="00884930">
        <w:rPr>
          <w:rFonts w:cstheme="minorHAnsi"/>
          <w:lang w:val="pl-PL"/>
        </w:rPr>
        <w:br/>
        <w:t>J.S.P.</w:t>
      </w:r>
    </w:p>
    <w:p w14:paraId="1C8819C6" w14:textId="77777777" w:rsidR="00457A6C" w:rsidRPr="00884930" w:rsidRDefault="00457A6C" w:rsidP="00457A6C">
      <w:pPr>
        <w:pStyle w:val="JuParaLast"/>
        <w:rPr>
          <w:rFonts w:cstheme="minorHAnsi"/>
          <w:lang w:val="pl-PL"/>
        </w:rPr>
      </w:pPr>
    </w:p>
    <w:p w14:paraId="2C51918E" w14:textId="77777777" w:rsidR="00457A6C" w:rsidRPr="00884930" w:rsidRDefault="00457A6C" w:rsidP="00457A6C">
      <w:pPr>
        <w:jc w:val="left"/>
        <w:rPr>
          <w:rFonts w:cstheme="minorHAnsi"/>
          <w:lang w:val="pl-PL"/>
        </w:rPr>
        <w:sectPr w:rsidR="00457A6C" w:rsidRPr="00884930" w:rsidSect="005E5F3A">
          <w:headerReference w:type="even" r:id="rId14"/>
          <w:headerReference w:type="default" r:id="rId15"/>
          <w:footerReference w:type="even" r:id="rId16"/>
          <w:footerReference w:type="default" r:id="rId17"/>
          <w:headerReference w:type="first" r:id="rId18"/>
          <w:footerReference w:type="first" r:id="rId19"/>
          <w:footnotePr>
            <w:numRestart w:val="eachSect"/>
          </w:footnotePr>
          <w:pgSz w:w="11906" w:h="16838" w:code="9"/>
          <w:pgMar w:top="2274" w:right="2274" w:bottom="2274" w:left="2274" w:header="1701" w:footer="720" w:gutter="0"/>
          <w:pgNumType w:start="1"/>
          <w:cols w:space="720"/>
          <w:titlePg/>
          <w:docGrid w:linePitch="326"/>
        </w:sectPr>
      </w:pPr>
    </w:p>
    <w:p w14:paraId="5049B925" w14:textId="77777777" w:rsidR="00457A6C" w:rsidRPr="00884930" w:rsidRDefault="00457A6C" w:rsidP="00457A6C">
      <w:pPr>
        <w:pStyle w:val="ECHRTitleCentre1"/>
        <w:rPr>
          <w:rFonts w:asciiTheme="minorHAnsi" w:eastAsia="Times New Roman" w:hAnsiTheme="minorHAnsi" w:cstheme="minorHAnsi"/>
          <w:lang w:val="pl-PL"/>
        </w:rPr>
      </w:pPr>
      <w:r w:rsidRPr="00884930">
        <w:rPr>
          <w:rFonts w:asciiTheme="minorHAnsi" w:eastAsia="Times New Roman" w:hAnsiTheme="minorHAnsi" w:cstheme="minorHAnsi"/>
          <w:lang w:val="pl-PL"/>
        </w:rPr>
        <w:lastRenderedPageBreak/>
        <w:t>WSPÓLNA OPINIA ZGODNA, KTÓRĄ ZŁOŻYŁY SĘDZIE JÄDERBLOM I KELLER</w:t>
      </w:r>
    </w:p>
    <w:p w14:paraId="3750A200" w14:textId="77777777" w:rsidR="00457A6C" w:rsidRPr="00884930" w:rsidRDefault="00457A6C" w:rsidP="00457A6C">
      <w:pPr>
        <w:pStyle w:val="OpiHA0"/>
        <w:rPr>
          <w:rFonts w:asciiTheme="minorHAnsi" w:eastAsia="Times New Roman" w:hAnsiTheme="minorHAnsi" w:cstheme="minorHAnsi"/>
          <w:lang w:val="pl-PL"/>
        </w:rPr>
      </w:pPr>
      <w:r w:rsidRPr="00884930">
        <w:rPr>
          <w:rFonts w:asciiTheme="minorHAnsi" w:eastAsia="Times New Roman" w:hAnsiTheme="minorHAnsi" w:cstheme="minorHAnsi"/>
          <w:lang w:val="pl-PL"/>
        </w:rPr>
        <w:t>I.  Wstęp</w:t>
      </w:r>
    </w:p>
    <w:p w14:paraId="2B63A082" w14:textId="77777777" w:rsidR="00457A6C" w:rsidRPr="00884930" w:rsidRDefault="00457A6C" w:rsidP="00457A6C">
      <w:pPr>
        <w:pStyle w:val="OpiPara"/>
        <w:rPr>
          <w:rFonts w:eastAsia="Times New Roman" w:cstheme="minorHAnsi"/>
          <w:lang w:val="pl-PL"/>
        </w:rPr>
      </w:pPr>
      <w:r w:rsidRPr="00884930">
        <w:rPr>
          <w:rFonts w:eastAsia="Times New Roman" w:cstheme="minorHAnsi"/>
        </w:rPr>
        <w:fldChar w:fldCharType="begin"/>
      </w:r>
      <w:r w:rsidRPr="00884930">
        <w:rPr>
          <w:rFonts w:eastAsia="Times New Roman" w:cstheme="minorHAnsi"/>
          <w:lang w:val="pl-PL"/>
        </w:rPr>
        <w:instrText xml:space="preserve"> SEQ level0 \*arabic \r1 </w:instrText>
      </w:r>
      <w:r w:rsidRPr="00884930">
        <w:rPr>
          <w:rFonts w:eastAsia="Times New Roman" w:cstheme="minorHAnsi"/>
        </w:rPr>
        <w:fldChar w:fldCharType="separate"/>
      </w:r>
      <w:r w:rsidRPr="00884930">
        <w:rPr>
          <w:rFonts w:eastAsia="Times New Roman" w:cstheme="minorHAnsi"/>
          <w:noProof/>
          <w:lang w:val="pl-PL"/>
        </w:rPr>
        <w:t>1</w:t>
      </w:r>
      <w:r w:rsidRPr="00884930">
        <w:rPr>
          <w:rFonts w:eastAsia="Times New Roman" w:cstheme="minorHAnsi"/>
        </w:rPr>
        <w:fldChar w:fldCharType="end"/>
      </w:r>
      <w:r w:rsidRPr="00884930">
        <w:rPr>
          <w:rFonts w:eastAsia="Times New Roman" w:cstheme="minorHAnsi"/>
          <w:lang w:val="pl-PL"/>
        </w:rPr>
        <w:t>.  Ze względów określonych w paragrafach 69–85 wyroku w pełni zgadzamy się ze zdaniem większości kolegów, stwierdzającym, że śledztwo w sprawie zabójstwa Anny Politkowskiej nie było skuteczne zgodnie z wymogami art. 2 Konwencji oraz że miało miejsce naruszenie tego art. w jego aspekcie proceduralnym. Uważamy jednak, że Trybunał nie wykorzystał okazji, aby omówić szerzej kwestię definicji niezależnego śledztwa oraz elementów, które musiałyby wystąpić, aby spełnić kryterium skutecznego śledztwa.</w:t>
      </w:r>
    </w:p>
    <w:p w14:paraId="28117225" w14:textId="77777777" w:rsidR="00457A6C" w:rsidRPr="00884930" w:rsidRDefault="00457A6C" w:rsidP="00457A6C">
      <w:pPr>
        <w:pStyle w:val="OpiPara"/>
        <w:rPr>
          <w:rFonts w:eastAsia="Times New Roman" w:cstheme="minorHAnsi"/>
          <w:lang w:val="pl-PL"/>
        </w:rPr>
      </w:pPr>
      <w:r w:rsidRPr="00884930">
        <w:rPr>
          <w:rFonts w:eastAsia="Times New Roman" w:cstheme="minorHAnsi"/>
        </w:rPr>
        <w:fldChar w:fldCharType="begin"/>
      </w:r>
      <w:r w:rsidRPr="00884930">
        <w:rPr>
          <w:rFonts w:eastAsia="Times New Roman" w:cstheme="minorHAnsi"/>
          <w:lang w:val="pl-PL"/>
        </w:rPr>
        <w:instrText xml:space="preserve"> SEQ level0 \*arabic </w:instrText>
      </w:r>
      <w:r w:rsidRPr="00884930">
        <w:rPr>
          <w:rFonts w:eastAsia="Times New Roman" w:cstheme="minorHAnsi"/>
        </w:rPr>
        <w:fldChar w:fldCharType="separate"/>
      </w:r>
      <w:r w:rsidRPr="00884930">
        <w:rPr>
          <w:rFonts w:eastAsia="Times New Roman" w:cstheme="minorHAnsi"/>
          <w:noProof/>
          <w:lang w:val="pl-PL"/>
        </w:rPr>
        <w:t>2</w:t>
      </w:r>
      <w:r w:rsidRPr="00884930">
        <w:rPr>
          <w:rFonts w:eastAsia="Times New Roman" w:cstheme="minorHAnsi"/>
        </w:rPr>
        <w:fldChar w:fldCharType="end"/>
      </w:r>
      <w:r w:rsidRPr="00884930">
        <w:rPr>
          <w:rFonts w:eastAsia="Times New Roman" w:cstheme="minorHAnsi"/>
          <w:lang w:val="pl-PL"/>
        </w:rPr>
        <w:t>.  Zgodność skutecznego śledztwa z wymogiem proceduralnym art. 2 opiera się na kilku istotnych parametrach: (1)  rzetelności działań śledczych; (2) niezwłocznego przeprowadzenia śledztwa z rozsądną szybkością; (3) udziału rodziny zmarłego; oraz (4) niezależności śledztwa (zob. paragraf 70 wyroku).</w:t>
      </w:r>
    </w:p>
    <w:p w14:paraId="4054C3E4" w14:textId="77777777" w:rsidR="00457A6C" w:rsidRPr="00884930" w:rsidRDefault="00457A6C" w:rsidP="00457A6C">
      <w:pPr>
        <w:pStyle w:val="OpiPara"/>
        <w:rPr>
          <w:rFonts w:eastAsia="Times New Roman" w:cstheme="minorHAnsi"/>
          <w:lang w:val="pl-PL"/>
        </w:rPr>
      </w:pPr>
      <w:r w:rsidRPr="00884930">
        <w:rPr>
          <w:rFonts w:eastAsia="Times New Roman" w:cstheme="minorHAnsi"/>
        </w:rPr>
        <w:fldChar w:fldCharType="begin"/>
      </w:r>
      <w:r w:rsidRPr="00884930">
        <w:rPr>
          <w:rFonts w:eastAsia="Times New Roman" w:cstheme="minorHAnsi"/>
          <w:lang w:val="pl-PL"/>
        </w:rPr>
        <w:instrText xml:space="preserve"> SEQ level0 \*arabic </w:instrText>
      </w:r>
      <w:r w:rsidRPr="00884930">
        <w:rPr>
          <w:rFonts w:eastAsia="Times New Roman" w:cstheme="minorHAnsi"/>
        </w:rPr>
        <w:fldChar w:fldCharType="separate"/>
      </w:r>
      <w:r w:rsidRPr="00884930">
        <w:rPr>
          <w:rFonts w:eastAsia="Times New Roman" w:cstheme="minorHAnsi"/>
          <w:noProof/>
          <w:lang w:val="pl-PL"/>
        </w:rPr>
        <w:t>3</w:t>
      </w:r>
      <w:r w:rsidRPr="00884930">
        <w:rPr>
          <w:rFonts w:eastAsia="Times New Roman" w:cstheme="minorHAnsi"/>
        </w:rPr>
        <w:fldChar w:fldCharType="end"/>
      </w:r>
      <w:r w:rsidRPr="00884930">
        <w:rPr>
          <w:rFonts w:eastAsia="Times New Roman" w:cstheme="minorHAnsi"/>
          <w:lang w:val="pl-PL"/>
        </w:rPr>
        <w:t>.  Chociaż większość w sprawie nie była przekonana, że krewni A.  Politkowskiej zostali wykluczeni ze śledztwa w stopniu, który był tożsamy z pozbawieniem możliwości skutecznego uczestnictwa w śledztwie, stwierdziła ona, że śledztwo nie spełniło wymogu rzetelności oraz że długość postępowania naruszała wymóg niezwłocznego przeprowadzenia śledztwa z rozsądną szybkością, a tym samym naruszała art. 2.</w:t>
      </w:r>
    </w:p>
    <w:p w14:paraId="0EEBE27D" w14:textId="77777777" w:rsidR="00457A6C" w:rsidRPr="00884930" w:rsidRDefault="00457A6C" w:rsidP="00457A6C">
      <w:pPr>
        <w:pStyle w:val="OpiPara"/>
        <w:rPr>
          <w:rFonts w:eastAsia="Times New Roman" w:cstheme="minorHAnsi"/>
          <w:lang w:val="pl-PL"/>
        </w:rPr>
      </w:pPr>
      <w:r w:rsidRPr="00884930">
        <w:rPr>
          <w:rFonts w:eastAsia="Times New Roman" w:cstheme="minorHAnsi"/>
        </w:rPr>
        <w:fldChar w:fldCharType="begin"/>
      </w:r>
      <w:r w:rsidRPr="00884930">
        <w:rPr>
          <w:rFonts w:eastAsia="Times New Roman" w:cstheme="minorHAnsi"/>
          <w:lang w:val="pl-PL"/>
        </w:rPr>
        <w:instrText xml:space="preserve"> SEQ level0 \*arabic </w:instrText>
      </w:r>
      <w:r w:rsidRPr="00884930">
        <w:rPr>
          <w:rFonts w:eastAsia="Times New Roman" w:cstheme="minorHAnsi"/>
        </w:rPr>
        <w:fldChar w:fldCharType="separate"/>
      </w:r>
      <w:r w:rsidRPr="00884930">
        <w:rPr>
          <w:rFonts w:eastAsia="Times New Roman" w:cstheme="minorHAnsi"/>
          <w:noProof/>
          <w:lang w:val="pl-PL"/>
        </w:rPr>
        <w:t>4</w:t>
      </w:r>
      <w:r w:rsidRPr="00884930">
        <w:rPr>
          <w:rFonts w:eastAsia="Times New Roman" w:cstheme="minorHAnsi"/>
        </w:rPr>
        <w:fldChar w:fldCharType="end"/>
      </w:r>
      <w:r w:rsidRPr="00884930">
        <w:rPr>
          <w:rFonts w:eastAsia="Times New Roman" w:cstheme="minorHAnsi"/>
          <w:lang w:val="pl-PL"/>
        </w:rPr>
        <w:t>.  Większość nie uważa jednak za konieczne, aby rozważyć kwestię niezależności śledztwa, stwierdzając, że nie spełniło ono kryteriów w wymiarze rzetelności i pilności, co stanowiło naruszenie. Chociaż zgadzamy się w takim ogólnym wnioskiem, uważamy że parametr niezależności jest równie ważnym elementem prawdziwie skutecznego postępowania oraz że Trybunał powinien był ocenić go w przedmiotowej sprawie, zwłaszcza w świetle zarzutów wysuwanych przez skarżących pod adresem organów państwowych.</w:t>
      </w:r>
    </w:p>
    <w:p w14:paraId="0A5C9507" w14:textId="77777777" w:rsidR="00457A6C" w:rsidRPr="00884930" w:rsidRDefault="00457A6C" w:rsidP="00457A6C">
      <w:pPr>
        <w:pStyle w:val="OpiHA0"/>
        <w:rPr>
          <w:rFonts w:asciiTheme="minorHAnsi" w:eastAsia="Times New Roman" w:hAnsiTheme="minorHAnsi" w:cstheme="minorHAnsi"/>
          <w:lang w:val="pl-PL"/>
        </w:rPr>
      </w:pPr>
      <w:r w:rsidRPr="00884930">
        <w:rPr>
          <w:rFonts w:asciiTheme="minorHAnsi" w:eastAsia="Times New Roman" w:hAnsiTheme="minorHAnsi" w:cstheme="minorHAnsi"/>
          <w:lang w:val="pl-PL"/>
        </w:rPr>
        <w:t>II.  Orzecznictwo Trybunału</w:t>
      </w:r>
    </w:p>
    <w:p w14:paraId="1CCDE930" w14:textId="77777777" w:rsidR="00457A6C" w:rsidRPr="00884930" w:rsidRDefault="00457A6C" w:rsidP="00457A6C">
      <w:pPr>
        <w:pStyle w:val="OpiPara"/>
        <w:rPr>
          <w:rFonts w:eastAsia="Times New Roman" w:cstheme="minorHAnsi"/>
          <w:lang w:val="pl-PL"/>
        </w:rPr>
      </w:pPr>
      <w:r w:rsidRPr="00884930">
        <w:rPr>
          <w:rFonts w:eastAsia="Times New Roman" w:cstheme="minorHAnsi"/>
        </w:rPr>
        <w:fldChar w:fldCharType="begin"/>
      </w:r>
      <w:r w:rsidRPr="00884930">
        <w:rPr>
          <w:rFonts w:eastAsia="Times New Roman" w:cstheme="minorHAnsi"/>
          <w:lang w:val="pl-PL"/>
        </w:rPr>
        <w:instrText xml:space="preserve"> SEQ level0 \*arabic </w:instrText>
      </w:r>
      <w:r w:rsidRPr="00884930">
        <w:rPr>
          <w:rFonts w:eastAsia="Times New Roman" w:cstheme="minorHAnsi"/>
        </w:rPr>
        <w:fldChar w:fldCharType="separate"/>
      </w:r>
      <w:r w:rsidRPr="00884930">
        <w:rPr>
          <w:rFonts w:eastAsia="Times New Roman" w:cstheme="minorHAnsi"/>
          <w:noProof/>
          <w:lang w:val="pl-PL"/>
        </w:rPr>
        <w:t>5</w:t>
      </w:r>
      <w:r w:rsidRPr="00884930">
        <w:rPr>
          <w:rFonts w:eastAsia="Times New Roman" w:cstheme="minorHAnsi"/>
        </w:rPr>
        <w:fldChar w:fldCharType="end"/>
      </w:r>
      <w:r w:rsidRPr="00884930">
        <w:rPr>
          <w:rFonts w:eastAsia="Times New Roman" w:cstheme="minorHAnsi"/>
          <w:lang w:val="pl-PL"/>
        </w:rPr>
        <w:t>.  Według utrwalonego orzecznictwa Trybunału śledztwo musi być niezależne, jeśli ma spełniać wymogi art. 2. Chociaż Trybunał okazał wahanie w kwestii dokładnego określenia elementów niezbędnych do niezależności śledztwa, a jego ocena uwzględnia konkretny kontekst pojedynczej sprawy, to określił jednak sposoby, dzięki którym Państwo może zagwarantować niezależność śledztw, nawet wówczas, gdy zarzuty są skierowane przeciwko jego funkcjonariuszom.</w:t>
      </w:r>
    </w:p>
    <w:p w14:paraId="2277A065" w14:textId="77777777" w:rsidR="00457A6C" w:rsidRPr="00884930" w:rsidRDefault="00457A6C" w:rsidP="00457A6C">
      <w:pPr>
        <w:pStyle w:val="OpiPara"/>
        <w:rPr>
          <w:rFonts w:eastAsia="Times New Roman" w:cstheme="minorHAnsi"/>
          <w:lang w:val="pl-PL"/>
        </w:rPr>
      </w:pPr>
      <w:r w:rsidRPr="00884930">
        <w:rPr>
          <w:rFonts w:eastAsia="Times New Roman" w:cstheme="minorHAnsi"/>
        </w:rPr>
        <w:fldChar w:fldCharType="begin"/>
      </w:r>
      <w:r w:rsidRPr="00884930">
        <w:rPr>
          <w:rFonts w:eastAsia="Times New Roman" w:cstheme="minorHAnsi"/>
          <w:lang w:val="pl-PL"/>
        </w:rPr>
        <w:instrText xml:space="preserve"> SEQ level0 \*arabic </w:instrText>
      </w:r>
      <w:r w:rsidRPr="00884930">
        <w:rPr>
          <w:rFonts w:eastAsia="Times New Roman" w:cstheme="minorHAnsi"/>
        </w:rPr>
        <w:fldChar w:fldCharType="separate"/>
      </w:r>
      <w:r w:rsidRPr="00884930">
        <w:rPr>
          <w:rFonts w:eastAsia="Times New Roman" w:cstheme="minorHAnsi"/>
          <w:noProof/>
          <w:lang w:val="pl-PL"/>
        </w:rPr>
        <w:t>6</w:t>
      </w:r>
      <w:r w:rsidRPr="00884930">
        <w:rPr>
          <w:rFonts w:eastAsia="Times New Roman" w:cstheme="minorHAnsi"/>
        </w:rPr>
        <w:fldChar w:fldCharType="end"/>
      </w:r>
      <w:r w:rsidRPr="00884930">
        <w:rPr>
          <w:rFonts w:eastAsia="Times New Roman" w:cstheme="minorHAnsi"/>
          <w:lang w:val="pl-PL"/>
        </w:rPr>
        <w:t xml:space="preserve">.  Pogląd, że śledztwo musi być niezależne po raz pierwszy pojawił się w sprawie </w:t>
      </w:r>
      <w:r w:rsidRPr="00884930">
        <w:rPr>
          <w:rFonts w:eastAsia="Times New Roman" w:cstheme="minorHAnsi"/>
          <w:i/>
          <w:lang w:val="pl-PL"/>
        </w:rPr>
        <w:t>Kaya p. Turcji</w:t>
      </w:r>
      <w:r w:rsidRPr="00884930">
        <w:rPr>
          <w:rFonts w:eastAsia="Times New Roman" w:cstheme="minorHAnsi"/>
          <w:lang w:val="pl-PL"/>
        </w:rPr>
        <w:t xml:space="preserve"> (19 lutego 1998 r., „</w:t>
      </w:r>
      <w:r w:rsidRPr="00884930">
        <w:rPr>
          <w:rFonts w:eastAsia="Times New Roman" w:cstheme="minorHAnsi"/>
          <w:iCs/>
          <w:lang w:val="pl-PL"/>
        </w:rPr>
        <w:t>Zbiór Wyroków i Decyzji” 1998</w:t>
      </w:r>
      <w:r w:rsidRPr="00884930">
        <w:rPr>
          <w:rFonts w:eastAsia="Times New Roman" w:cstheme="minorHAnsi"/>
          <w:iCs/>
          <w:lang w:val="pl-PL"/>
        </w:rPr>
        <w:noBreakHyphen/>
        <w:t>I</w:t>
      </w:r>
      <w:r w:rsidRPr="00884930">
        <w:rPr>
          <w:rFonts w:eastAsia="Times New Roman" w:cstheme="minorHAnsi"/>
          <w:lang w:val="pl-PL"/>
        </w:rPr>
        <w:t>), w której Trybunał stwierdził, że „ochrona proceduralna prawa do życia zawarta w art. 2 Konwencji ustanawia odpowiedzialność funkcjonariuszy państwowych za stosowanie siły zagrażającej życiu poprzez poddanie ich działań pewnej formie niezależnej kontroli publicznej mogącej doprowadzić do ustalenia, czy zastosowana siła była uzasadniona w danych okolicznościach” (</w:t>
      </w:r>
      <w:r w:rsidRPr="00884930">
        <w:rPr>
          <w:rFonts w:eastAsia="Times New Roman" w:cstheme="minorHAnsi"/>
          <w:i/>
          <w:iCs/>
          <w:lang w:val="pl-PL"/>
        </w:rPr>
        <w:t>ibid</w:t>
      </w:r>
      <w:r w:rsidRPr="00884930">
        <w:rPr>
          <w:rFonts w:eastAsia="Times New Roman" w:cstheme="minorHAnsi"/>
          <w:lang w:val="pl-PL"/>
        </w:rPr>
        <w:t>., § 87). W czterech wyrokach przeciwko Zjednoczonemu Królestwu z 2001 r.</w:t>
      </w:r>
      <w:r w:rsidRPr="00884930">
        <w:rPr>
          <w:rFonts w:eastAsia="Times New Roman" w:cstheme="minorHAnsi"/>
          <w:vertAlign w:val="superscript"/>
          <w:lang w:val="pl-PL"/>
        </w:rPr>
        <w:footnoteReference w:id="1"/>
      </w:r>
      <w:r w:rsidRPr="00884930">
        <w:rPr>
          <w:rFonts w:eastAsia="Times New Roman" w:cstheme="minorHAnsi"/>
          <w:lang w:val="pl-PL"/>
        </w:rPr>
        <w:t xml:space="preserve"> Trybunał rozwinął ten wymóg i zdefiniował ramy dotyczące obowiązku dochodzenia. W sprawach tych, dotyczących zabójstw w Irlandii Północnej, Trybunał stwierdził szereg braków w dochodzeniu prowadzonym przez władze brytyjskie, w tym brak niezależności funkcjonariuszy policji badających incydent od innych funkcjonariuszy w ten incydent zamieszanych.</w:t>
      </w:r>
    </w:p>
    <w:p w14:paraId="625100E1" w14:textId="77777777" w:rsidR="00457A6C" w:rsidRPr="00884930" w:rsidRDefault="00457A6C" w:rsidP="00457A6C">
      <w:pPr>
        <w:pStyle w:val="OpiPara"/>
        <w:rPr>
          <w:rFonts w:eastAsia="Times New Roman" w:cstheme="minorHAnsi"/>
          <w:lang w:val="pl-PL"/>
        </w:rPr>
      </w:pPr>
      <w:r w:rsidRPr="00884930">
        <w:rPr>
          <w:rFonts w:eastAsia="Times New Roman" w:cstheme="minorHAnsi"/>
        </w:rPr>
        <w:fldChar w:fldCharType="begin"/>
      </w:r>
      <w:r w:rsidRPr="00884930">
        <w:rPr>
          <w:rFonts w:eastAsia="Times New Roman" w:cstheme="minorHAnsi"/>
          <w:lang w:val="pl-PL"/>
        </w:rPr>
        <w:instrText xml:space="preserve"> SEQ level0 \*arabic </w:instrText>
      </w:r>
      <w:r w:rsidRPr="00884930">
        <w:rPr>
          <w:rFonts w:eastAsia="Times New Roman" w:cstheme="minorHAnsi"/>
        </w:rPr>
        <w:fldChar w:fldCharType="separate"/>
      </w:r>
      <w:r w:rsidRPr="00884930">
        <w:rPr>
          <w:rFonts w:eastAsia="Times New Roman" w:cstheme="minorHAnsi"/>
          <w:noProof/>
          <w:lang w:val="pl-PL"/>
        </w:rPr>
        <w:t>7</w:t>
      </w:r>
      <w:r w:rsidRPr="00884930">
        <w:rPr>
          <w:rFonts w:eastAsia="Times New Roman" w:cstheme="minorHAnsi"/>
        </w:rPr>
        <w:fldChar w:fldCharType="end"/>
      </w:r>
      <w:r w:rsidRPr="00884930">
        <w:rPr>
          <w:rFonts w:eastAsia="Times New Roman" w:cstheme="minorHAnsi"/>
          <w:lang w:val="pl-PL"/>
        </w:rPr>
        <w:t>.  Trybunał stwierdził, że nie jego zadaniem jest określanie konkretnych procedur do przyjęcia przez państwo w celu zagwarantowania skutecznego i bezstronnego dochodzenia, ale rozwinął w swoim orzecznictwie pewne znormalizowane wymogi. I chociaż zakres takich wymogów pozostaje otwartą kwestią do interpretacji i jest determinowany przez kontekst poszczególnych spraw, Trybunał przedstawił Państwom członkowskim wytyczne, które mogą być pomocne w zapewnieniu niezależności postępowania.</w:t>
      </w:r>
    </w:p>
    <w:p w14:paraId="589BAECC" w14:textId="77777777" w:rsidR="00457A6C" w:rsidRPr="00884930" w:rsidRDefault="00457A6C" w:rsidP="00457A6C">
      <w:pPr>
        <w:pStyle w:val="OpiPara"/>
        <w:rPr>
          <w:rFonts w:eastAsia="Times New Roman" w:cstheme="minorHAnsi"/>
          <w:lang w:val="pl-PL"/>
        </w:rPr>
      </w:pPr>
      <w:r w:rsidRPr="00884930">
        <w:rPr>
          <w:rFonts w:eastAsia="Times New Roman" w:cstheme="minorHAnsi"/>
        </w:rPr>
        <w:fldChar w:fldCharType="begin"/>
      </w:r>
      <w:r w:rsidRPr="00884930">
        <w:rPr>
          <w:rFonts w:eastAsia="Times New Roman" w:cstheme="minorHAnsi"/>
          <w:lang w:val="pl-PL"/>
        </w:rPr>
        <w:instrText xml:space="preserve"> SEQ level0 \*arabic </w:instrText>
      </w:r>
      <w:r w:rsidRPr="00884930">
        <w:rPr>
          <w:rFonts w:eastAsia="Times New Roman" w:cstheme="minorHAnsi"/>
        </w:rPr>
        <w:fldChar w:fldCharType="separate"/>
      </w:r>
      <w:r w:rsidRPr="00884930">
        <w:rPr>
          <w:rFonts w:eastAsia="Times New Roman" w:cstheme="minorHAnsi"/>
          <w:noProof/>
          <w:lang w:val="pl-PL"/>
        </w:rPr>
        <w:t>8</w:t>
      </w:r>
      <w:r w:rsidRPr="00884930">
        <w:rPr>
          <w:rFonts w:eastAsia="Times New Roman" w:cstheme="minorHAnsi"/>
        </w:rPr>
        <w:fldChar w:fldCharType="end"/>
      </w:r>
      <w:r w:rsidRPr="00884930">
        <w:rPr>
          <w:rFonts w:eastAsia="Times New Roman" w:cstheme="minorHAnsi"/>
          <w:lang w:val="pl-PL"/>
        </w:rPr>
        <w:t xml:space="preserve">.  W sprawie </w:t>
      </w:r>
      <w:r w:rsidRPr="00884930">
        <w:rPr>
          <w:rFonts w:eastAsia="Times New Roman" w:cstheme="minorHAnsi"/>
          <w:i/>
          <w:lang w:val="pl-PL"/>
        </w:rPr>
        <w:t>Kolevi p. Bułgarii</w:t>
      </w:r>
      <w:r w:rsidRPr="00884930">
        <w:rPr>
          <w:rFonts w:eastAsia="Times New Roman" w:cstheme="minorHAnsi"/>
          <w:lang w:val="pl-PL"/>
        </w:rPr>
        <w:t xml:space="preserve"> (nr 1108/02, 5 listopada 2009 r.), która to sprawa zrodziła pytania dotyczące instytucjonalnych i proceduralnych gwarancji niezależności i skuteczności śledztwa, w którym o morderstwo wysokiej rangi prokuratora podejrzanym był prokurator generalny, Trybunał przedstawił wytyczne w sprawie mechanizmów gwarantujących niezależność i bezstronność śledztwa, stwierdzając:</w:t>
      </w:r>
    </w:p>
    <w:p w14:paraId="678DBA00" w14:textId="77777777" w:rsidR="00457A6C" w:rsidRPr="00884930" w:rsidRDefault="00457A6C" w:rsidP="00457A6C">
      <w:pPr>
        <w:pStyle w:val="OpiPara"/>
        <w:rPr>
          <w:rFonts w:eastAsia="Times New Roman" w:cstheme="minorHAnsi"/>
          <w:sz w:val="20"/>
          <w:lang w:val="pl-PL"/>
        </w:rPr>
      </w:pPr>
      <w:r w:rsidRPr="00884930">
        <w:rPr>
          <w:rFonts w:eastAsia="Times New Roman" w:cstheme="minorHAnsi"/>
          <w:sz w:val="20"/>
          <w:lang w:val="pl-PL"/>
        </w:rPr>
        <w:t>„Niezależność i bezstronność w sprawach dotyczących wysokiej rangi prokuratorów bądź innych urzędników można zapewnić za pomocą innych środków, takich jak śledztwo i postępowanie prokuratorskie przez organ odrębny od systemu prokuratorskiego, specjalne gwarancje dla niezależności podejmowania decyzji pomimo zależności służbowej, kontrola publiczna, kontrola sądowa lub inne. Nie jest zadaniem Trybunału ustalanie który system najlepiej spełnia wymogi Konwencji. System wybrany przez Państwo członkowskie musi jednak gwarantować, w prawie i praktyce, niezależność i obiektywność śledztwa we wszystkich okolicznościach niezależnie od tego, czy w sprawę zamieszane są osoby publiczne” (</w:t>
      </w:r>
      <w:r w:rsidRPr="00884930">
        <w:rPr>
          <w:rFonts w:eastAsia="Times New Roman" w:cstheme="minorHAnsi"/>
          <w:i/>
          <w:iCs/>
          <w:sz w:val="20"/>
          <w:lang w:val="pl-PL"/>
        </w:rPr>
        <w:t>ibid.</w:t>
      </w:r>
      <w:r w:rsidRPr="00884930">
        <w:rPr>
          <w:rFonts w:eastAsia="Times New Roman" w:cstheme="minorHAnsi"/>
          <w:sz w:val="20"/>
          <w:lang w:val="pl-PL"/>
        </w:rPr>
        <w:t xml:space="preserve"> § 208).</w:t>
      </w:r>
    </w:p>
    <w:p w14:paraId="43256F70" w14:textId="4157BE1E" w:rsidR="00457A6C" w:rsidRPr="00884930" w:rsidRDefault="00457A6C" w:rsidP="00457A6C">
      <w:pPr>
        <w:pStyle w:val="OpiPara"/>
        <w:rPr>
          <w:rFonts w:eastAsia="Times New Roman" w:cstheme="minorHAnsi"/>
          <w:lang w:val="pl-PL"/>
        </w:rPr>
      </w:pPr>
      <w:r w:rsidRPr="00884930">
        <w:rPr>
          <w:rFonts w:eastAsia="Times New Roman" w:cstheme="minorHAnsi"/>
        </w:rPr>
        <w:fldChar w:fldCharType="begin"/>
      </w:r>
      <w:r w:rsidRPr="00884930">
        <w:rPr>
          <w:rFonts w:eastAsia="Times New Roman" w:cstheme="minorHAnsi"/>
          <w:lang w:val="pl-PL"/>
        </w:rPr>
        <w:instrText xml:space="preserve"> SEQ level0 \*arabic </w:instrText>
      </w:r>
      <w:r w:rsidRPr="00884930">
        <w:rPr>
          <w:rFonts w:eastAsia="Times New Roman" w:cstheme="minorHAnsi"/>
        </w:rPr>
        <w:fldChar w:fldCharType="separate"/>
      </w:r>
      <w:r w:rsidRPr="00884930">
        <w:rPr>
          <w:rFonts w:eastAsia="Times New Roman" w:cstheme="minorHAnsi"/>
          <w:noProof/>
          <w:lang w:val="pl-PL"/>
        </w:rPr>
        <w:t>9</w:t>
      </w:r>
      <w:r w:rsidRPr="00884930">
        <w:rPr>
          <w:rFonts w:eastAsia="Times New Roman" w:cstheme="minorHAnsi"/>
        </w:rPr>
        <w:fldChar w:fldCharType="end"/>
      </w:r>
      <w:r w:rsidRPr="00884930">
        <w:rPr>
          <w:rFonts w:eastAsia="Times New Roman" w:cstheme="minorHAnsi"/>
          <w:lang w:val="pl-PL"/>
        </w:rPr>
        <w:t>.  W śledztwie w sprawie zabójstwa, zwłaszcza takiego, o udział w którym podejrzewa się funkcjonariuszy lub organy państwowe, może być to konieczne, aby osoby odpowiedzialne za prowadzenie postępowania były niezależne od osób zamieszanych w sprawę. Trybunał podkreślił także, że obejmuje to nie tylko brak związków hierarchicznych czy instytucjonalnych, ale także niezawisłość w praktyce</w:t>
      </w:r>
      <w:r w:rsidRPr="00884930">
        <w:rPr>
          <w:rFonts w:eastAsia="Times New Roman" w:cstheme="minorHAnsi"/>
          <w:vertAlign w:val="superscript"/>
        </w:rPr>
        <w:footnoteReference w:id="2"/>
      </w:r>
      <w:r w:rsidRPr="00457A6C">
        <w:rPr>
          <w:rFonts w:eastAsia="Times New Roman" w:cstheme="minorHAnsi"/>
          <w:lang w:val="pl-PL"/>
        </w:rPr>
        <w:t>.</w:t>
      </w:r>
      <w:r w:rsidRPr="00884930">
        <w:rPr>
          <w:rFonts w:eastAsia="Times New Roman" w:cstheme="minorHAnsi"/>
          <w:vertAlign w:val="superscript"/>
          <w:lang w:val="pl-PL"/>
        </w:rPr>
        <w:t xml:space="preserve"> </w:t>
      </w:r>
      <w:r w:rsidRPr="00884930">
        <w:rPr>
          <w:rFonts w:eastAsia="Times New Roman" w:cstheme="minorHAnsi"/>
          <w:lang w:val="pl-PL"/>
        </w:rPr>
        <w:t xml:space="preserve">Pod tym względem Trybunał musi dokonać konkretnej, a nie abstrakcyjnej, oceny niezależności całego śledztwa (zob. </w:t>
      </w:r>
      <w:r w:rsidRPr="00884930">
        <w:rPr>
          <w:rFonts w:eastAsia="Times New Roman" w:cstheme="minorHAnsi"/>
          <w:i/>
          <w:lang w:val="pl-PL"/>
        </w:rPr>
        <w:t>Mustafa Tunç i Fecire Tunç</w:t>
      </w:r>
      <w:r w:rsidRPr="00884930">
        <w:rPr>
          <w:rFonts w:eastAsia="Times New Roman" w:cstheme="minorHAnsi"/>
          <w:lang w:val="pl-PL"/>
        </w:rPr>
        <w:t xml:space="preserve"> </w:t>
      </w:r>
      <w:r w:rsidRPr="00884930">
        <w:rPr>
          <w:rFonts w:eastAsia="Times New Roman" w:cstheme="minorHAnsi"/>
          <w:i/>
          <w:lang w:val="pl-PL"/>
        </w:rPr>
        <w:t>p. Turcji</w:t>
      </w:r>
      <w:r w:rsidRPr="00884930">
        <w:rPr>
          <w:rFonts w:eastAsia="Times New Roman" w:cstheme="minorHAnsi"/>
          <w:lang w:val="pl-PL"/>
        </w:rPr>
        <w:t xml:space="preserve"> [WI], nr 24014/05</w:t>
      </w:r>
      <w:r w:rsidRPr="00884930">
        <w:rPr>
          <w:rFonts w:eastAsia="Times New Roman" w:cstheme="minorHAnsi"/>
          <w:snapToGrid w:val="0"/>
          <w:lang w:val="pl-PL"/>
        </w:rPr>
        <w:t xml:space="preserve">, § 222, </w:t>
      </w:r>
      <w:r w:rsidRPr="00884930">
        <w:rPr>
          <w:rFonts w:eastAsia="Times New Roman" w:cstheme="minorHAnsi"/>
          <w:lang w:val="pl-PL"/>
        </w:rPr>
        <w:t>14</w:t>
      </w:r>
      <w:r w:rsidRPr="00884930">
        <w:rPr>
          <w:rFonts w:eastAsia="Times New Roman" w:cstheme="minorHAnsi"/>
          <w:snapToGrid w:val="0"/>
          <w:lang w:val="pl-PL"/>
        </w:rPr>
        <w:t xml:space="preserve"> kwietnia 2015 r. </w:t>
      </w:r>
      <w:r w:rsidRPr="00884930">
        <w:rPr>
          <w:rFonts w:eastAsia="Times New Roman" w:cstheme="minorHAnsi"/>
          <w:lang w:val="pl-PL"/>
        </w:rPr>
        <w:t xml:space="preserve">oraz </w:t>
      </w:r>
      <w:r w:rsidRPr="00884930">
        <w:rPr>
          <w:rFonts w:eastAsia="Times New Roman" w:cstheme="minorHAnsi"/>
          <w:i/>
          <w:lang w:val="pl-PL"/>
        </w:rPr>
        <w:t xml:space="preserve">Ramsahai i Inni p. </w:t>
      </w:r>
      <w:r w:rsidR="001E389F">
        <w:rPr>
          <w:rFonts w:eastAsia="Times New Roman" w:cstheme="minorHAnsi"/>
          <w:i/>
          <w:lang w:val="pl-PL"/>
        </w:rPr>
        <w:t>Holandii</w:t>
      </w:r>
      <w:r w:rsidR="001E389F" w:rsidRPr="00884930">
        <w:rPr>
          <w:rFonts w:eastAsia="Times New Roman" w:cstheme="minorHAnsi"/>
          <w:lang w:val="pl-PL"/>
        </w:rPr>
        <w:t xml:space="preserve"> </w:t>
      </w:r>
      <w:r w:rsidRPr="00884930">
        <w:rPr>
          <w:rFonts w:eastAsia="Times New Roman" w:cstheme="minorHAnsi"/>
          <w:lang w:val="pl-PL"/>
        </w:rPr>
        <w:t>[WI], cyt. w przypisie 2, § 324).</w:t>
      </w:r>
    </w:p>
    <w:p w14:paraId="0E30E293" w14:textId="77777777" w:rsidR="00457A6C" w:rsidRPr="00884930" w:rsidRDefault="00457A6C" w:rsidP="00457A6C">
      <w:pPr>
        <w:pStyle w:val="OpiPara"/>
        <w:rPr>
          <w:rFonts w:eastAsia="Times New Roman" w:cstheme="minorHAnsi"/>
          <w:lang w:val="pl-PL"/>
        </w:rPr>
      </w:pPr>
      <w:r w:rsidRPr="00884930">
        <w:rPr>
          <w:rFonts w:eastAsia="Times New Roman" w:cstheme="minorHAnsi"/>
        </w:rPr>
        <w:fldChar w:fldCharType="begin"/>
      </w:r>
      <w:r w:rsidRPr="00884930">
        <w:rPr>
          <w:rFonts w:eastAsia="Times New Roman" w:cstheme="minorHAnsi"/>
          <w:lang w:val="pl-PL"/>
        </w:rPr>
        <w:instrText xml:space="preserve"> SEQ level0 \*arabic </w:instrText>
      </w:r>
      <w:r w:rsidRPr="00884930">
        <w:rPr>
          <w:rFonts w:eastAsia="Times New Roman" w:cstheme="minorHAnsi"/>
        </w:rPr>
        <w:fldChar w:fldCharType="separate"/>
      </w:r>
      <w:r w:rsidRPr="00884930">
        <w:rPr>
          <w:rFonts w:eastAsia="Times New Roman" w:cstheme="minorHAnsi"/>
          <w:noProof/>
          <w:lang w:val="pl-PL"/>
        </w:rPr>
        <w:t>10</w:t>
      </w:r>
      <w:r w:rsidRPr="00884930">
        <w:rPr>
          <w:rFonts w:eastAsia="Times New Roman" w:cstheme="minorHAnsi"/>
        </w:rPr>
        <w:fldChar w:fldCharType="end"/>
      </w:r>
      <w:r w:rsidRPr="00884930">
        <w:rPr>
          <w:rFonts w:eastAsia="Times New Roman" w:cstheme="minorHAnsi"/>
          <w:lang w:val="pl-PL"/>
        </w:rPr>
        <w:t xml:space="preserve">.  W sprawie </w:t>
      </w:r>
      <w:r w:rsidRPr="00884930">
        <w:rPr>
          <w:rFonts w:eastAsia="Times New Roman" w:cstheme="minorHAnsi"/>
          <w:i/>
          <w:lang w:val="pl-PL"/>
        </w:rPr>
        <w:t>Finucane p. Zjednoczonemu Królestwu</w:t>
      </w:r>
      <w:r w:rsidRPr="00884930">
        <w:rPr>
          <w:rFonts w:eastAsia="Times New Roman" w:cstheme="minorHAnsi"/>
          <w:i/>
          <w:iCs/>
          <w:lang w:val="pl-PL"/>
        </w:rPr>
        <w:t xml:space="preserve"> </w:t>
      </w:r>
      <w:r w:rsidRPr="00884930">
        <w:rPr>
          <w:rFonts w:eastAsia="Times New Roman" w:cstheme="minorHAnsi"/>
          <w:lang w:val="pl-PL"/>
        </w:rPr>
        <w:t>(nr 29178/95, ETPCz 2003</w:t>
      </w:r>
      <w:r w:rsidRPr="00884930">
        <w:rPr>
          <w:rFonts w:eastAsia="Times New Roman" w:cstheme="minorHAnsi"/>
          <w:lang w:val="pl-PL"/>
        </w:rPr>
        <w:noBreakHyphen/>
        <w:t>VIII), w której skarżąca zarzucała nieskuteczność śledztwa w sprawie śmierci jej męża, częściowo z powodu podejrzeń zmowy pomiędzy siłami bezpieczeństwa a jego zabójcami, Trybunał stwierdził m.in.</w:t>
      </w:r>
      <w:r w:rsidRPr="00884930">
        <w:rPr>
          <w:rFonts w:eastAsia="Times New Roman" w:cstheme="minorHAnsi"/>
          <w:i/>
          <w:lang w:val="pl-PL"/>
        </w:rPr>
        <w:t xml:space="preserve"> </w:t>
      </w:r>
      <w:r w:rsidRPr="00884930">
        <w:rPr>
          <w:rFonts w:eastAsia="Times New Roman" w:cstheme="minorHAnsi"/>
          <w:lang w:val="pl-PL"/>
        </w:rPr>
        <w:t>że „w zakresie, w jakim śledztwo było prowadzone przez funkcjonariuszy RUC, byli oni częścią policji, którą skarżąca i inni członkowie społeczności podejrzewali o czynienie gróźb pod adresem [męża skarżącej]” oraz stwierdził, że „temu aspektowi postępowania brakowało niezależności, co również rodzi poważne wątpliwości co do rzetelności i skuteczności, z jaką badany był wątek możliwej zmowy” (</w:t>
      </w:r>
      <w:r w:rsidRPr="00884930">
        <w:rPr>
          <w:rFonts w:eastAsia="Times New Roman" w:cstheme="minorHAnsi"/>
          <w:i/>
          <w:iCs/>
          <w:lang w:val="pl-PL"/>
        </w:rPr>
        <w:t>ibid</w:t>
      </w:r>
      <w:r w:rsidRPr="00884930">
        <w:rPr>
          <w:rFonts w:eastAsia="Times New Roman" w:cstheme="minorHAnsi"/>
          <w:lang w:val="pl-PL"/>
        </w:rPr>
        <w:t>., § 76).</w:t>
      </w:r>
    </w:p>
    <w:p w14:paraId="0470CE70" w14:textId="0B9912D5" w:rsidR="00457A6C" w:rsidRPr="00884930" w:rsidRDefault="00457A6C" w:rsidP="00457A6C">
      <w:pPr>
        <w:pStyle w:val="OpiPara"/>
        <w:rPr>
          <w:rFonts w:eastAsia="Times New Roman" w:cstheme="minorHAnsi"/>
          <w:lang w:val="pl-PL"/>
        </w:rPr>
      </w:pPr>
      <w:r w:rsidRPr="00884930">
        <w:rPr>
          <w:rFonts w:eastAsia="Times New Roman" w:cstheme="minorHAnsi"/>
        </w:rPr>
        <w:fldChar w:fldCharType="begin"/>
      </w:r>
      <w:r w:rsidRPr="00884930">
        <w:rPr>
          <w:rFonts w:eastAsia="Times New Roman" w:cstheme="minorHAnsi"/>
          <w:lang w:val="pl-PL"/>
        </w:rPr>
        <w:instrText xml:space="preserve"> SEQ level0 \*arabic </w:instrText>
      </w:r>
      <w:r w:rsidRPr="00884930">
        <w:rPr>
          <w:rFonts w:eastAsia="Times New Roman" w:cstheme="minorHAnsi"/>
        </w:rPr>
        <w:fldChar w:fldCharType="separate"/>
      </w:r>
      <w:r w:rsidRPr="00884930">
        <w:rPr>
          <w:rFonts w:eastAsia="Times New Roman" w:cstheme="minorHAnsi"/>
          <w:noProof/>
          <w:lang w:val="pl-PL"/>
        </w:rPr>
        <w:t>11</w:t>
      </w:r>
      <w:r w:rsidRPr="00884930">
        <w:rPr>
          <w:rFonts w:eastAsia="Times New Roman" w:cstheme="minorHAnsi"/>
        </w:rPr>
        <w:fldChar w:fldCharType="end"/>
      </w:r>
      <w:r w:rsidRPr="00884930">
        <w:rPr>
          <w:rFonts w:eastAsia="Times New Roman" w:cstheme="minorHAnsi"/>
          <w:lang w:val="pl-PL"/>
        </w:rPr>
        <w:t xml:space="preserve">.  W innych sprawach Trybunał stwierdził, że luźne powiązania pomiędzy śledczymi a osobami objętymi śledztwem nie zagrażały automatycznie niezależności śledztwa. Na przykład w sprawie </w:t>
      </w:r>
      <w:r w:rsidRPr="00884930">
        <w:rPr>
          <w:rFonts w:eastAsia="Times New Roman" w:cstheme="minorHAnsi"/>
          <w:i/>
          <w:lang w:val="pl-PL"/>
        </w:rPr>
        <w:t>Jaloud p. </w:t>
      </w:r>
      <w:r w:rsidR="001E389F">
        <w:rPr>
          <w:rFonts w:eastAsia="Times New Roman" w:cstheme="minorHAnsi"/>
          <w:i/>
          <w:lang w:val="pl-PL"/>
        </w:rPr>
        <w:t>Holandii</w:t>
      </w:r>
      <w:r w:rsidR="001E389F" w:rsidRPr="00884930">
        <w:rPr>
          <w:rFonts w:eastAsia="Times New Roman" w:cstheme="minorHAnsi"/>
          <w:lang w:val="pl-PL"/>
        </w:rPr>
        <w:t xml:space="preserve"> </w:t>
      </w:r>
      <w:r w:rsidRPr="00884930">
        <w:rPr>
          <w:rFonts w:eastAsia="Times New Roman" w:cstheme="minorHAnsi"/>
          <w:lang w:val="pl-PL"/>
        </w:rPr>
        <w:t>([WI]</w:t>
      </w:r>
      <w:r w:rsidRPr="00884930">
        <w:rPr>
          <w:rFonts w:eastAsia="Times New Roman" w:cstheme="minorHAnsi"/>
          <w:snapToGrid w:val="0"/>
          <w:lang w:val="pl-PL"/>
        </w:rPr>
        <w:t xml:space="preserve">, </w:t>
      </w:r>
      <w:r w:rsidRPr="00884930">
        <w:rPr>
          <w:rFonts w:eastAsia="Times New Roman" w:cstheme="minorHAnsi"/>
          <w:lang w:val="pl-PL"/>
        </w:rPr>
        <w:t>nr 47708/08, § 189, ETPCz 2014), w szczególnym kontekście operacji wojskowych przeprowadzanych za granicą, Trybunał uznał, że sam fakt zakwaterowania w tym samym miejscu śledczych i osób, przeciwko którym toczyło się śledztwo, nie stanowił problemu pod względem niezależności śledztwa.</w:t>
      </w:r>
    </w:p>
    <w:p w14:paraId="76AC5887" w14:textId="77777777" w:rsidR="00457A6C" w:rsidRPr="00884930" w:rsidRDefault="00457A6C" w:rsidP="00457A6C">
      <w:pPr>
        <w:pStyle w:val="OpiHA0"/>
        <w:rPr>
          <w:rFonts w:asciiTheme="minorHAnsi" w:eastAsia="Times New Roman" w:hAnsiTheme="minorHAnsi" w:cstheme="minorHAnsi"/>
          <w:lang w:val="pl-PL"/>
        </w:rPr>
      </w:pPr>
      <w:r w:rsidRPr="00884930">
        <w:rPr>
          <w:rFonts w:asciiTheme="minorHAnsi" w:eastAsia="Times New Roman" w:hAnsiTheme="minorHAnsi" w:cstheme="minorHAnsi"/>
          <w:lang w:val="pl-PL"/>
        </w:rPr>
        <w:t>III.  Ocena porównawcza</w:t>
      </w:r>
    </w:p>
    <w:p w14:paraId="4CCD3BF0" w14:textId="77777777" w:rsidR="00457A6C" w:rsidRPr="00884930" w:rsidRDefault="00457A6C" w:rsidP="00457A6C">
      <w:pPr>
        <w:pStyle w:val="OpiPara"/>
        <w:rPr>
          <w:rFonts w:eastAsia="Times New Roman" w:cstheme="minorHAnsi"/>
          <w:lang w:val="pl-PL"/>
        </w:rPr>
      </w:pPr>
      <w:r w:rsidRPr="00884930">
        <w:rPr>
          <w:rFonts w:eastAsia="Times New Roman" w:cstheme="minorHAnsi"/>
        </w:rPr>
        <w:fldChar w:fldCharType="begin"/>
      </w:r>
      <w:r w:rsidRPr="00884930">
        <w:rPr>
          <w:rFonts w:eastAsia="Times New Roman" w:cstheme="minorHAnsi"/>
          <w:lang w:val="pl-PL"/>
        </w:rPr>
        <w:instrText xml:space="preserve"> SEQ level0 \*arabic </w:instrText>
      </w:r>
      <w:r w:rsidRPr="00884930">
        <w:rPr>
          <w:rFonts w:eastAsia="Times New Roman" w:cstheme="minorHAnsi"/>
        </w:rPr>
        <w:fldChar w:fldCharType="separate"/>
      </w:r>
      <w:r w:rsidRPr="00884930">
        <w:rPr>
          <w:rFonts w:eastAsia="Times New Roman" w:cstheme="minorHAnsi"/>
          <w:noProof/>
          <w:lang w:val="pl-PL"/>
        </w:rPr>
        <w:t>12</w:t>
      </w:r>
      <w:r w:rsidRPr="00884930">
        <w:rPr>
          <w:rFonts w:eastAsia="Times New Roman" w:cstheme="minorHAnsi"/>
        </w:rPr>
        <w:fldChar w:fldCharType="end"/>
      </w:r>
      <w:r w:rsidRPr="00884930">
        <w:rPr>
          <w:rFonts w:eastAsia="Times New Roman" w:cstheme="minorHAnsi"/>
          <w:lang w:val="pl-PL"/>
        </w:rPr>
        <w:t>.  Państwa stosują zróżnicowane podejścia w celu zagwarantowania niezależności śledztwa w sytuacji oskarżeń wysuwanych przeciwko funkcjonariuszom państwowym.</w:t>
      </w:r>
    </w:p>
    <w:p w14:paraId="78813AA1" w14:textId="77777777" w:rsidR="00457A6C" w:rsidRPr="00884930" w:rsidRDefault="00457A6C" w:rsidP="00457A6C">
      <w:pPr>
        <w:pStyle w:val="OpiPara"/>
        <w:rPr>
          <w:rFonts w:eastAsia="Times New Roman" w:cstheme="minorHAnsi"/>
          <w:lang w:val="pl-PL"/>
        </w:rPr>
      </w:pPr>
      <w:r w:rsidRPr="00884930">
        <w:rPr>
          <w:rFonts w:eastAsia="Times New Roman" w:cstheme="minorHAnsi"/>
        </w:rPr>
        <w:fldChar w:fldCharType="begin"/>
      </w:r>
      <w:r w:rsidRPr="00884930">
        <w:rPr>
          <w:rFonts w:eastAsia="Times New Roman" w:cstheme="minorHAnsi"/>
          <w:lang w:val="pl-PL"/>
        </w:rPr>
        <w:instrText xml:space="preserve"> SEQ level0 \*arabic </w:instrText>
      </w:r>
      <w:r w:rsidRPr="00884930">
        <w:rPr>
          <w:rFonts w:eastAsia="Times New Roman" w:cstheme="minorHAnsi"/>
        </w:rPr>
        <w:fldChar w:fldCharType="separate"/>
      </w:r>
      <w:r w:rsidRPr="00884930">
        <w:rPr>
          <w:rFonts w:eastAsia="Times New Roman" w:cstheme="minorHAnsi"/>
          <w:noProof/>
          <w:lang w:val="pl-PL"/>
        </w:rPr>
        <w:t>13</w:t>
      </w:r>
      <w:r w:rsidRPr="00884930">
        <w:rPr>
          <w:rFonts w:eastAsia="Times New Roman" w:cstheme="minorHAnsi"/>
        </w:rPr>
        <w:fldChar w:fldCharType="end"/>
      </w:r>
      <w:r w:rsidRPr="00884930">
        <w:rPr>
          <w:rFonts w:eastAsia="Times New Roman" w:cstheme="minorHAnsi"/>
          <w:lang w:val="pl-PL"/>
        </w:rPr>
        <w:t>.  Niektóre Państwa członkowskie Rady Europy stosują gwarancje w śledztwach w przestępstwach kryminalnych rzekomo popełnianych przez wyższych rangą prokuratorów. W kilku Państwach członkowskich, w tym w Rosji, jak również w Chorwacji i Szwajcarii, rozpoczęcie postępowania w sprawie karnej przeciwko wysokiej rangi prokuratorom wymaga zatwierdzenia. W Rosji postępowanie karne wobec prokuratora generalnego może wszcząć szef Komisji Śledczej za zgodą trzyosobowego składu sędziów Sądu Najwyższego, na wniosek prezydenta Rosji. Sędziowie rozpatrują wniosek prezydenta w terminie dziesięciu dni na posiedzeniu niejawnym w obecności podejrzanych oraz/lub ich adwokatów. Jeżeli podejrzanym jest inny prokurator lub śledczy, postępowanie wszczyna śledczy, który w hierarchii służbowej jest przełożonym podejrzanego.</w:t>
      </w:r>
    </w:p>
    <w:p w14:paraId="10B32788" w14:textId="77777777" w:rsidR="00457A6C" w:rsidRPr="00884930" w:rsidRDefault="00457A6C" w:rsidP="00457A6C">
      <w:pPr>
        <w:pStyle w:val="OpiPara"/>
        <w:rPr>
          <w:rFonts w:eastAsia="Times New Roman" w:cstheme="minorHAnsi"/>
          <w:lang w:val="pl-PL"/>
        </w:rPr>
      </w:pPr>
      <w:r w:rsidRPr="00884930">
        <w:rPr>
          <w:rFonts w:eastAsia="Times New Roman" w:cstheme="minorHAnsi"/>
        </w:rPr>
        <w:fldChar w:fldCharType="begin"/>
      </w:r>
      <w:r w:rsidRPr="00884930">
        <w:rPr>
          <w:rFonts w:eastAsia="Times New Roman" w:cstheme="minorHAnsi"/>
          <w:lang w:val="pl-PL"/>
        </w:rPr>
        <w:instrText xml:space="preserve"> SEQ level0 \*arabic </w:instrText>
      </w:r>
      <w:r w:rsidRPr="00884930">
        <w:rPr>
          <w:rFonts w:eastAsia="Times New Roman" w:cstheme="minorHAnsi"/>
        </w:rPr>
        <w:fldChar w:fldCharType="separate"/>
      </w:r>
      <w:r w:rsidRPr="00884930">
        <w:rPr>
          <w:rFonts w:eastAsia="Times New Roman" w:cstheme="minorHAnsi"/>
          <w:noProof/>
          <w:lang w:val="pl-PL"/>
        </w:rPr>
        <w:t>14</w:t>
      </w:r>
      <w:r w:rsidRPr="00884930">
        <w:rPr>
          <w:rFonts w:eastAsia="Times New Roman" w:cstheme="minorHAnsi"/>
        </w:rPr>
        <w:fldChar w:fldCharType="end"/>
      </w:r>
      <w:r w:rsidRPr="00884930">
        <w:rPr>
          <w:rFonts w:eastAsia="Times New Roman" w:cstheme="minorHAnsi"/>
          <w:lang w:val="pl-PL"/>
        </w:rPr>
        <w:t xml:space="preserve">.  W innych państwach, np. Malcie i Szwecji, postępowanie karne może zostać przydzielone do specjalnego organu dochodzeniowego. Na Malcie, poza zwykłą procedurą dochodzeniową, premier może skierować śledztwo do organu </w:t>
      </w:r>
      <w:r w:rsidRPr="00884930">
        <w:rPr>
          <w:rFonts w:eastAsia="Times New Roman" w:cstheme="minorHAnsi"/>
          <w:i/>
          <w:lang w:val="pl-PL"/>
        </w:rPr>
        <w:t>ad hoc</w:t>
      </w:r>
      <w:r w:rsidRPr="00884930">
        <w:rPr>
          <w:rFonts w:eastAsia="Times New Roman" w:cstheme="minorHAnsi"/>
          <w:lang w:val="pl-PL"/>
        </w:rPr>
        <w:t xml:space="preserve"> w sprawach dotyczących zachowania funkcjonariuszy publicznych.</w:t>
      </w:r>
    </w:p>
    <w:p w14:paraId="44003564" w14:textId="77777777" w:rsidR="00457A6C" w:rsidRPr="00884930" w:rsidRDefault="00457A6C" w:rsidP="00457A6C">
      <w:pPr>
        <w:pStyle w:val="OpiPara"/>
        <w:rPr>
          <w:rFonts w:eastAsia="Times New Roman" w:cstheme="minorHAnsi"/>
          <w:lang w:val="pl-PL"/>
        </w:rPr>
      </w:pPr>
      <w:r w:rsidRPr="00884930">
        <w:rPr>
          <w:rFonts w:eastAsia="Times New Roman" w:cstheme="minorHAnsi"/>
        </w:rPr>
        <w:fldChar w:fldCharType="begin"/>
      </w:r>
      <w:r w:rsidRPr="00884930">
        <w:rPr>
          <w:rFonts w:eastAsia="Times New Roman" w:cstheme="minorHAnsi"/>
          <w:lang w:val="pl-PL"/>
        </w:rPr>
        <w:instrText xml:space="preserve"> SEQ level0 \*arabic </w:instrText>
      </w:r>
      <w:r w:rsidRPr="00884930">
        <w:rPr>
          <w:rFonts w:eastAsia="Times New Roman" w:cstheme="minorHAnsi"/>
        </w:rPr>
        <w:fldChar w:fldCharType="separate"/>
      </w:r>
      <w:r w:rsidRPr="00884930">
        <w:rPr>
          <w:rFonts w:eastAsia="Times New Roman" w:cstheme="minorHAnsi"/>
          <w:noProof/>
          <w:lang w:val="pl-PL"/>
        </w:rPr>
        <w:t>15</w:t>
      </w:r>
      <w:r w:rsidRPr="00884930">
        <w:rPr>
          <w:rFonts w:eastAsia="Times New Roman" w:cstheme="minorHAnsi"/>
        </w:rPr>
        <w:fldChar w:fldCharType="end"/>
      </w:r>
      <w:r w:rsidRPr="00884930">
        <w:rPr>
          <w:rFonts w:eastAsia="Times New Roman" w:cstheme="minorHAnsi"/>
          <w:lang w:val="pl-PL"/>
        </w:rPr>
        <w:t>.  W innych Państwach członkowskich dochodzenia w sprawach przestępstw, których rzekomo dopuścili się prokuratorzy wysokiej rangi, są prowadzone zgodnie z ogólnymi zasadami postępowania karnego. Państwa takie jak Francja, Niemcy, Grecja czy Irlandia nie mają przepisów szczególnych, ale zasady oparte na konstytucji, konwencjach czy przepisach prawnych zasadniczo gwarantują skuteczność i niezależność postępowania karnego.</w:t>
      </w:r>
    </w:p>
    <w:p w14:paraId="570D24E1" w14:textId="77777777" w:rsidR="00457A6C" w:rsidRPr="00884930" w:rsidRDefault="00457A6C" w:rsidP="00457A6C">
      <w:pPr>
        <w:pStyle w:val="OpiHA0"/>
        <w:rPr>
          <w:rFonts w:asciiTheme="minorHAnsi" w:eastAsia="Times New Roman" w:hAnsiTheme="minorHAnsi" w:cstheme="minorHAnsi"/>
          <w:lang w:val="pl-PL"/>
        </w:rPr>
      </w:pPr>
      <w:r w:rsidRPr="00884930">
        <w:rPr>
          <w:rFonts w:asciiTheme="minorHAnsi" w:eastAsia="Times New Roman" w:hAnsiTheme="minorHAnsi" w:cstheme="minorHAnsi"/>
          <w:lang w:val="pl-PL"/>
        </w:rPr>
        <w:t>IV.  Zastosowanie do niniejszej sprawy</w:t>
      </w:r>
    </w:p>
    <w:p w14:paraId="2E4CA6A1" w14:textId="77777777" w:rsidR="00457A6C" w:rsidRPr="00884930" w:rsidRDefault="00457A6C" w:rsidP="00457A6C">
      <w:pPr>
        <w:pStyle w:val="OpiPara"/>
        <w:rPr>
          <w:rFonts w:eastAsia="Times New Roman" w:cstheme="minorHAnsi"/>
          <w:lang w:val="pl-PL"/>
        </w:rPr>
      </w:pPr>
      <w:r w:rsidRPr="00884930">
        <w:rPr>
          <w:rFonts w:eastAsia="Times New Roman" w:cstheme="minorHAnsi"/>
        </w:rPr>
        <w:fldChar w:fldCharType="begin"/>
      </w:r>
      <w:r w:rsidRPr="00884930">
        <w:rPr>
          <w:rFonts w:eastAsia="Times New Roman" w:cstheme="minorHAnsi"/>
          <w:lang w:val="pl-PL"/>
        </w:rPr>
        <w:instrText xml:space="preserve"> SEQ level0 \*arabic </w:instrText>
      </w:r>
      <w:r w:rsidRPr="00884930">
        <w:rPr>
          <w:rFonts w:eastAsia="Times New Roman" w:cstheme="minorHAnsi"/>
        </w:rPr>
        <w:fldChar w:fldCharType="separate"/>
      </w:r>
      <w:r w:rsidRPr="00884930">
        <w:rPr>
          <w:rFonts w:eastAsia="Times New Roman" w:cstheme="minorHAnsi"/>
          <w:noProof/>
          <w:lang w:val="pl-PL"/>
        </w:rPr>
        <w:t>16</w:t>
      </w:r>
      <w:r w:rsidRPr="00884930">
        <w:rPr>
          <w:rFonts w:eastAsia="Times New Roman" w:cstheme="minorHAnsi"/>
        </w:rPr>
        <w:fldChar w:fldCharType="end"/>
      </w:r>
      <w:r w:rsidRPr="00884930">
        <w:rPr>
          <w:rFonts w:eastAsia="Times New Roman" w:cstheme="minorHAnsi"/>
          <w:lang w:val="pl-PL"/>
        </w:rPr>
        <w:t>.  W przedmiotowej sprawie skarżący argumentowali, że władze krajowe nie ochroniły prawa A. Politkowskiej do życia oraz że „Federacja Rosyjska nie wywiązała się w tej sprawie z ciążącego na niej negatywnego obowiązku na mocy art. 2 Konwencji, ponieważ wielu funkcjonariuszy Federalnej Służby Bezpieczeństwa i policji brało udział w inwigilacji ofiary, jak również pomogło sprawcom w przeprowadzeniu zabójstwa” (zob. paragraf 49 wyroku). Skarżący utrzymywali ponadto, że śledczy „bezpośrednio starali się zatuszować rolę i udział funkcjonariuszy państwowych w tej zbrodni” oraz że „przeciągające się śledztwo umożliwiło uniknięcie sprawiedliwości osobom w nią zamieszanym” (zob. paragraf 51).</w:t>
      </w:r>
    </w:p>
    <w:p w14:paraId="4DA12EA0" w14:textId="77777777" w:rsidR="00457A6C" w:rsidRPr="00884930" w:rsidRDefault="00457A6C" w:rsidP="00457A6C">
      <w:pPr>
        <w:pStyle w:val="OpiPara"/>
        <w:rPr>
          <w:rFonts w:eastAsia="Times New Roman" w:cstheme="minorHAnsi"/>
          <w:lang w:val="pl-PL"/>
        </w:rPr>
      </w:pPr>
      <w:r w:rsidRPr="00884930">
        <w:rPr>
          <w:rFonts w:eastAsia="Times New Roman" w:cstheme="minorHAnsi"/>
        </w:rPr>
        <w:fldChar w:fldCharType="begin"/>
      </w:r>
      <w:r w:rsidRPr="00884930">
        <w:rPr>
          <w:rFonts w:eastAsia="Times New Roman" w:cstheme="minorHAnsi"/>
          <w:lang w:val="pl-PL"/>
        </w:rPr>
        <w:instrText xml:space="preserve"> SEQ level0 \*arabic </w:instrText>
      </w:r>
      <w:r w:rsidRPr="00884930">
        <w:rPr>
          <w:rFonts w:eastAsia="Times New Roman" w:cstheme="minorHAnsi"/>
        </w:rPr>
        <w:fldChar w:fldCharType="separate"/>
      </w:r>
      <w:r w:rsidRPr="00884930">
        <w:rPr>
          <w:rFonts w:eastAsia="Times New Roman" w:cstheme="minorHAnsi"/>
          <w:noProof/>
          <w:lang w:val="pl-PL"/>
        </w:rPr>
        <w:t>17</w:t>
      </w:r>
      <w:r w:rsidRPr="00884930">
        <w:rPr>
          <w:rFonts w:eastAsia="Times New Roman" w:cstheme="minorHAnsi"/>
        </w:rPr>
        <w:fldChar w:fldCharType="end"/>
      </w:r>
      <w:r w:rsidRPr="00884930">
        <w:rPr>
          <w:rFonts w:eastAsia="Times New Roman" w:cstheme="minorHAnsi"/>
          <w:lang w:val="pl-PL"/>
        </w:rPr>
        <w:t>.  Skarżący wskazali, że funkcjonariuszowi FSB (Federalnej Służby Bezpieczeństwa) P.R., który od dawna znał innego podejrzanego, S.Kh, w tym samym postępowaniu postawiono zarzuty dotyczące przekroczenia uprawnień i wymuszenia. Po tym, jak sprawa przeszła przez system sądowy i została skierowana do prokuratury do dalszego śledztwa, “od zarzutów przeciwko P.R. odstąpiono” bez wyjaśnienia (zob. paragraf 26 wyroku).</w:t>
      </w:r>
    </w:p>
    <w:p w14:paraId="3B869C8C" w14:textId="77777777" w:rsidR="00457A6C" w:rsidRPr="00884930" w:rsidRDefault="00457A6C" w:rsidP="00457A6C">
      <w:pPr>
        <w:pStyle w:val="OpiPara"/>
        <w:rPr>
          <w:rFonts w:eastAsia="Times New Roman" w:cstheme="minorHAnsi"/>
          <w:lang w:val="pl-PL"/>
        </w:rPr>
      </w:pPr>
      <w:r w:rsidRPr="00884930">
        <w:rPr>
          <w:rFonts w:eastAsia="Times New Roman" w:cstheme="minorHAnsi"/>
        </w:rPr>
        <w:fldChar w:fldCharType="begin"/>
      </w:r>
      <w:r w:rsidRPr="00884930">
        <w:rPr>
          <w:rFonts w:eastAsia="Times New Roman" w:cstheme="minorHAnsi"/>
          <w:lang w:val="pl-PL"/>
        </w:rPr>
        <w:instrText xml:space="preserve"> SEQ level0 \*arabic </w:instrText>
      </w:r>
      <w:r w:rsidRPr="00884930">
        <w:rPr>
          <w:rFonts w:eastAsia="Times New Roman" w:cstheme="minorHAnsi"/>
        </w:rPr>
        <w:fldChar w:fldCharType="separate"/>
      </w:r>
      <w:r w:rsidRPr="00884930">
        <w:rPr>
          <w:rFonts w:eastAsia="Times New Roman" w:cstheme="minorHAnsi"/>
          <w:noProof/>
          <w:lang w:val="pl-PL"/>
        </w:rPr>
        <w:t>18</w:t>
      </w:r>
      <w:r w:rsidRPr="00884930">
        <w:rPr>
          <w:rFonts w:eastAsia="Times New Roman" w:cstheme="minorHAnsi"/>
        </w:rPr>
        <w:fldChar w:fldCharType="end"/>
      </w:r>
      <w:r w:rsidRPr="00884930">
        <w:rPr>
          <w:rFonts w:eastAsia="Times New Roman" w:cstheme="minorHAnsi"/>
          <w:lang w:val="pl-PL"/>
        </w:rPr>
        <w:t>.  Skarżący zwrócili ponadto uwagę, że R.M., jeden z rzekomych sprawców, otrzymał fałszywy paszport od „przedstawicieli władz rosyjskich” (zob. paragraf 54(a) wyroku), oraz że chociaż według oświadczeń Rządu uzyskane informacje „zostały przekazane szefom regionalnych departamentów spraw wewnętrznych”, to Rząd nie określił, czy wobec takich funkcjonariuszy zastosowano jakiekolwiek sankcje (zob. paragraf 47 wyroku).</w:t>
      </w:r>
    </w:p>
    <w:p w14:paraId="36307A55" w14:textId="77777777" w:rsidR="00457A6C" w:rsidRPr="00884930" w:rsidRDefault="00457A6C" w:rsidP="00457A6C">
      <w:pPr>
        <w:pStyle w:val="OpiPara"/>
        <w:rPr>
          <w:rFonts w:eastAsia="Times New Roman" w:cstheme="minorHAnsi"/>
          <w:lang w:val="pl-PL"/>
        </w:rPr>
      </w:pPr>
      <w:r w:rsidRPr="00884930">
        <w:rPr>
          <w:rFonts w:eastAsia="Times New Roman" w:cstheme="minorHAnsi"/>
        </w:rPr>
        <w:fldChar w:fldCharType="begin"/>
      </w:r>
      <w:r w:rsidRPr="00884930">
        <w:rPr>
          <w:rFonts w:eastAsia="Times New Roman" w:cstheme="minorHAnsi"/>
          <w:lang w:val="pl-PL"/>
        </w:rPr>
        <w:instrText xml:space="preserve"> SEQ level0 \*arabic </w:instrText>
      </w:r>
      <w:r w:rsidRPr="00884930">
        <w:rPr>
          <w:rFonts w:eastAsia="Times New Roman" w:cstheme="minorHAnsi"/>
        </w:rPr>
        <w:fldChar w:fldCharType="separate"/>
      </w:r>
      <w:r w:rsidRPr="00884930">
        <w:rPr>
          <w:rFonts w:eastAsia="Times New Roman" w:cstheme="minorHAnsi"/>
          <w:noProof/>
          <w:lang w:val="pl-PL"/>
        </w:rPr>
        <w:t>19</w:t>
      </w:r>
      <w:r w:rsidRPr="00884930">
        <w:rPr>
          <w:rFonts w:eastAsia="Times New Roman" w:cstheme="minorHAnsi"/>
        </w:rPr>
        <w:fldChar w:fldCharType="end"/>
      </w:r>
      <w:r w:rsidRPr="00884930">
        <w:rPr>
          <w:rFonts w:eastAsia="Times New Roman" w:cstheme="minorHAnsi"/>
          <w:lang w:val="pl-PL"/>
        </w:rPr>
        <w:t>.  W pierwszych latach śledztwa funkcjonariusz policji D.P. był świadkiem oskarżenia. W swoich zeznaniach przyznał on, że w ramach obowiązków służbowych organizował inwigilację A. Politkowskiej. Dopiero później był on ścigany za udział w tej zbrodni i stał się oskarżonym dopiero, gdy skarżący zwrócili uwagę śledczych na zeznanie świadka O.G. oraz zażądali jego przesłuchania (zob. paragrafy 19, 28 i 54 wyroku).</w:t>
      </w:r>
    </w:p>
    <w:p w14:paraId="7CD1CFB0" w14:textId="77777777" w:rsidR="00457A6C" w:rsidRPr="00884930" w:rsidRDefault="00457A6C" w:rsidP="00457A6C">
      <w:pPr>
        <w:pStyle w:val="OpiPara"/>
        <w:rPr>
          <w:rFonts w:eastAsia="Times New Roman" w:cstheme="minorHAnsi"/>
          <w:lang w:val="pl-PL"/>
        </w:rPr>
      </w:pPr>
      <w:r w:rsidRPr="00884930">
        <w:rPr>
          <w:rFonts w:eastAsia="Times New Roman" w:cstheme="minorHAnsi"/>
        </w:rPr>
        <w:fldChar w:fldCharType="begin"/>
      </w:r>
      <w:r w:rsidRPr="00884930">
        <w:rPr>
          <w:rFonts w:eastAsia="Times New Roman" w:cstheme="minorHAnsi"/>
          <w:lang w:val="pl-PL"/>
        </w:rPr>
        <w:instrText xml:space="preserve"> SEQ level0 \*arabic </w:instrText>
      </w:r>
      <w:r w:rsidRPr="00884930">
        <w:rPr>
          <w:rFonts w:eastAsia="Times New Roman" w:cstheme="minorHAnsi"/>
        </w:rPr>
        <w:fldChar w:fldCharType="separate"/>
      </w:r>
      <w:r w:rsidRPr="00884930">
        <w:rPr>
          <w:rFonts w:eastAsia="Times New Roman" w:cstheme="minorHAnsi"/>
          <w:noProof/>
          <w:lang w:val="pl-PL"/>
        </w:rPr>
        <w:t>20</w:t>
      </w:r>
      <w:r w:rsidRPr="00884930">
        <w:rPr>
          <w:rFonts w:eastAsia="Times New Roman" w:cstheme="minorHAnsi"/>
        </w:rPr>
        <w:fldChar w:fldCharType="end"/>
      </w:r>
      <w:r w:rsidRPr="00884930">
        <w:rPr>
          <w:rFonts w:eastAsia="Times New Roman" w:cstheme="minorHAnsi"/>
          <w:lang w:val="pl-PL"/>
        </w:rPr>
        <w:t>.  Gdy skarżący zgłaszali zastrzeżenia co do bezstronności śledztwa w postępowaniu krajowym, władze krajowe nie zareagowały na wysuwane zarzuty i nie podjęły żadnych działań gwarantujących niezależność śledztwa. I podobnie, nie uznano też ani nie zbadano zarzutów formułowanych przed Trybunałem dotyczących możliwego braku niezależności po stronie władz państwowych.</w:t>
      </w:r>
    </w:p>
    <w:p w14:paraId="181997B7" w14:textId="77777777" w:rsidR="00457A6C" w:rsidRPr="00884930" w:rsidRDefault="00457A6C" w:rsidP="00457A6C">
      <w:pPr>
        <w:pStyle w:val="OpiHA0"/>
        <w:tabs>
          <w:tab w:val="left" w:pos="3087"/>
        </w:tabs>
        <w:rPr>
          <w:rFonts w:asciiTheme="minorHAnsi" w:eastAsia="Times New Roman" w:hAnsiTheme="minorHAnsi" w:cstheme="minorHAnsi"/>
          <w:lang w:val="pl-PL"/>
        </w:rPr>
      </w:pPr>
      <w:r w:rsidRPr="00884930">
        <w:rPr>
          <w:rFonts w:asciiTheme="minorHAnsi" w:eastAsia="Times New Roman" w:hAnsiTheme="minorHAnsi" w:cstheme="minorHAnsi"/>
          <w:lang w:val="pl-PL"/>
        </w:rPr>
        <w:t>V.  Podsumowanie</w:t>
      </w:r>
    </w:p>
    <w:p w14:paraId="28DDF5DD" w14:textId="77777777" w:rsidR="00457A6C" w:rsidRPr="00884930" w:rsidRDefault="00457A6C" w:rsidP="00457A6C">
      <w:pPr>
        <w:pStyle w:val="OpiPara"/>
        <w:rPr>
          <w:rFonts w:eastAsia="Times New Roman" w:cstheme="minorHAnsi"/>
          <w:lang w:val="pl-PL"/>
        </w:rPr>
      </w:pPr>
      <w:r w:rsidRPr="00884930">
        <w:rPr>
          <w:rFonts w:eastAsia="Times New Roman" w:cstheme="minorHAnsi"/>
        </w:rPr>
        <w:fldChar w:fldCharType="begin"/>
      </w:r>
      <w:r w:rsidRPr="00884930">
        <w:rPr>
          <w:rFonts w:eastAsia="Times New Roman" w:cstheme="minorHAnsi"/>
          <w:lang w:val="pl-PL"/>
        </w:rPr>
        <w:instrText xml:space="preserve"> SEQ level0 \*arabic </w:instrText>
      </w:r>
      <w:r w:rsidRPr="00884930">
        <w:rPr>
          <w:rFonts w:eastAsia="Times New Roman" w:cstheme="minorHAnsi"/>
        </w:rPr>
        <w:fldChar w:fldCharType="separate"/>
      </w:r>
      <w:r w:rsidRPr="00884930">
        <w:rPr>
          <w:rFonts w:eastAsia="Times New Roman" w:cstheme="minorHAnsi"/>
          <w:noProof/>
          <w:lang w:val="pl-PL"/>
        </w:rPr>
        <w:t>21</w:t>
      </w:r>
      <w:r w:rsidRPr="00884930">
        <w:rPr>
          <w:rFonts w:eastAsia="Times New Roman" w:cstheme="minorHAnsi"/>
        </w:rPr>
        <w:fldChar w:fldCharType="end"/>
      </w:r>
      <w:r w:rsidRPr="00884930">
        <w:rPr>
          <w:rFonts w:eastAsia="Times New Roman" w:cstheme="minorHAnsi"/>
          <w:lang w:val="pl-PL"/>
        </w:rPr>
        <w:t>.  Wydaje się oczywiste, że istnieje kilka czynników rodzących wątpliwości co do niezależności śledztwa w niniejszej sprawie. Badając indywidualny kontekst i okoliczności we wcześniejszych sprawach, Trybunał zarówno oceniał, czy śledztwo nie było niezależne jak i proponował sposoby, w jakie Państwa mogą taką niezależność zapewnić. Kraje stosują różne metody zapewnienia bezstronności i niezależności śledztwa w sytuacji, gdy zarzuty dotyczą funkcjonariuszy państwowych. Rosja na przykład ustanowiła specjalne procedury dotyczące sytuacji, gdy urzędnicy wyższego szczebla mają stawiane zarzuty przestępstw kryminalnych rzekomo przez nich popełnianych, i była tym samym w stanie uwzględnić zarzuty kierowane wobec niższych rangą członków aparatu państwowego i ustanowić gwarancje proceduralne zapewniające bezstronność i niezależność śledztwa.</w:t>
      </w:r>
    </w:p>
    <w:p w14:paraId="662DE378" w14:textId="77777777" w:rsidR="00457A6C" w:rsidRPr="00884930" w:rsidRDefault="00457A6C" w:rsidP="00457A6C">
      <w:pPr>
        <w:pStyle w:val="OpiPara"/>
        <w:rPr>
          <w:rFonts w:eastAsia="Times New Roman" w:cstheme="minorHAnsi"/>
          <w:lang w:val="pl-PL"/>
        </w:rPr>
      </w:pPr>
      <w:r w:rsidRPr="00884930">
        <w:rPr>
          <w:rFonts w:eastAsia="Times New Roman" w:cstheme="minorHAnsi"/>
        </w:rPr>
        <w:fldChar w:fldCharType="begin"/>
      </w:r>
      <w:r w:rsidRPr="00884930">
        <w:rPr>
          <w:rFonts w:eastAsia="Times New Roman" w:cstheme="minorHAnsi"/>
          <w:lang w:val="pl-PL"/>
        </w:rPr>
        <w:instrText xml:space="preserve"> SEQ level0 \*arabic </w:instrText>
      </w:r>
      <w:r w:rsidRPr="00884930">
        <w:rPr>
          <w:rFonts w:eastAsia="Times New Roman" w:cstheme="minorHAnsi"/>
        </w:rPr>
        <w:fldChar w:fldCharType="separate"/>
      </w:r>
      <w:r w:rsidRPr="00884930">
        <w:rPr>
          <w:rFonts w:eastAsia="Times New Roman" w:cstheme="minorHAnsi"/>
          <w:noProof/>
          <w:lang w:val="pl-PL"/>
        </w:rPr>
        <w:t>22</w:t>
      </w:r>
      <w:r w:rsidRPr="00884930">
        <w:rPr>
          <w:rFonts w:eastAsia="Times New Roman" w:cstheme="minorHAnsi"/>
        </w:rPr>
        <w:fldChar w:fldCharType="end"/>
      </w:r>
      <w:r w:rsidRPr="00884930">
        <w:rPr>
          <w:rFonts w:eastAsia="Times New Roman" w:cstheme="minorHAnsi"/>
          <w:lang w:val="pl-PL"/>
        </w:rPr>
        <w:t>.  Trybunał powinien był ocenić ten parametr, aby zwrócić uwagę na kwestię niezależności w tej sprawie i podobnych. Nie przeprowadzając takiej oceny, Trybunał faktycznie pominął analizę ważnego czynnika skuteczności śledztwa oraz nie zbadał w pełni zarzutów.</w:t>
      </w:r>
    </w:p>
    <w:p w14:paraId="097C57AD" w14:textId="77777777" w:rsidR="00457A6C" w:rsidRPr="00884930" w:rsidRDefault="00457A6C" w:rsidP="00457A6C">
      <w:pPr>
        <w:pStyle w:val="JuInitialled"/>
        <w:jc w:val="center"/>
        <w:rPr>
          <w:rFonts w:cstheme="minorHAnsi"/>
          <w:caps/>
          <w:lang w:val="pl-PL"/>
        </w:rPr>
        <w:sectPr w:rsidR="00457A6C" w:rsidRPr="00884930" w:rsidSect="005E5F3A">
          <w:headerReference w:type="even" r:id="rId20"/>
          <w:headerReference w:type="default" r:id="rId21"/>
          <w:footerReference w:type="even" r:id="rId22"/>
          <w:footerReference w:type="default" r:id="rId23"/>
          <w:headerReference w:type="first" r:id="rId24"/>
          <w:footerReference w:type="first" r:id="rId25"/>
          <w:footnotePr>
            <w:numRestart w:val="eachSect"/>
          </w:footnotePr>
          <w:pgSz w:w="11906" w:h="16838" w:code="9"/>
          <w:pgMar w:top="2274" w:right="2274" w:bottom="2274" w:left="2274" w:header="1701" w:footer="720" w:gutter="0"/>
          <w:cols w:space="720"/>
          <w:titlePg/>
          <w:docGrid w:linePitch="326"/>
        </w:sectPr>
      </w:pPr>
    </w:p>
    <w:p w14:paraId="023C3C9A" w14:textId="77777777" w:rsidR="00457A6C" w:rsidRPr="00884930" w:rsidRDefault="00457A6C" w:rsidP="00457A6C">
      <w:pPr>
        <w:pStyle w:val="ECHRTitleCentre1"/>
        <w:rPr>
          <w:rFonts w:asciiTheme="minorHAnsi" w:hAnsiTheme="minorHAnsi" w:cstheme="minorHAnsi"/>
          <w:lang w:val="pl-PL"/>
        </w:rPr>
      </w:pPr>
      <w:r w:rsidRPr="00884930">
        <w:rPr>
          <w:rFonts w:asciiTheme="minorHAnsi" w:hAnsiTheme="minorHAnsi" w:cstheme="minorHAnsi"/>
          <w:lang w:val="pl-PL"/>
        </w:rPr>
        <w:t>WSPÓLNA OPINIA ROZBIEŻNA, KTÓRĄ ZŁOŻYLI SĘDZIOWIE DEDOV I POLÁČKOVÁ</w:t>
      </w:r>
    </w:p>
    <w:p w14:paraId="5BED8EA0" w14:textId="77777777" w:rsidR="00457A6C" w:rsidRPr="00884930" w:rsidRDefault="00457A6C" w:rsidP="00457A6C">
      <w:pPr>
        <w:pStyle w:val="OpiPara"/>
        <w:rPr>
          <w:rFonts w:cstheme="minorHAnsi"/>
          <w:lang w:val="pl-PL"/>
        </w:rPr>
      </w:pPr>
      <w:r w:rsidRPr="00884930">
        <w:rPr>
          <w:rFonts w:cstheme="minorHAnsi"/>
        </w:rPr>
        <w:fldChar w:fldCharType="begin"/>
      </w:r>
      <w:r w:rsidRPr="00884930">
        <w:rPr>
          <w:rFonts w:cstheme="minorHAnsi"/>
          <w:lang w:val="pl-PL"/>
        </w:rPr>
        <w:instrText xml:space="preserve"> SEQ level0 \*arabic \r1 </w:instrText>
      </w:r>
      <w:r w:rsidRPr="00884930">
        <w:rPr>
          <w:rFonts w:cstheme="minorHAnsi"/>
        </w:rPr>
        <w:fldChar w:fldCharType="separate"/>
      </w:r>
      <w:r w:rsidRPr="00884930">
        <w:rPr>
          <w:rFonts w:cstheme="minorHAnsi"/>
          <w:noProof/>
          <w:lang w:val="pl-PL"/>
        </w:rPr>
        <w:t>1</w:t>
      </w:r>
      <w:r w:rsidRPr="00884930">
        <w:rPr>
          <w:rFonts w:cstheme="minorHAnsi"/>
        </w:rPr>
        <w:fldChar w:fldCharType="end"/>
      </w:r>
      <w:r w:rsidRPr="00884930">
        <w:rPr>
          <w:rFonts w:cstheme="minorHAnsi"/>
          <w:lang w:val="pl-PL"/>
        </w:rPr>
        <w:t>.  Niestety nie możemy zgodzić się z opinią większości, według której śledztwo w sprawie zabójstwa Anny Politkowskiej nie spełniło minimalnego progu skuteczności wymaganego przez art. 2 Konwencji, z następujących powodów.</w:t>
      </w:r>
    </w:p>
    <w:p w14:paraId="4385702F" w14:textId="77777777" w:rsidR="00457A6C" w:rsidRPr="00884930" w:rsidRDefault="00457A6C" w:rsidP="00457A6C">
      <w:pPr>
        <w:pStyle w:val="OpiPara"/>
        <w:rPr>
          <w:rFonts w:cstheme="minorHAnsi"/>
          <w:lang w:val="pl-PL"/>
        </w:rPr>
      </w:pPr>
      <w:r w:rsidRPr="00884930">
        <w:rPr>
          <w:rFonts w:cstheme="minorHAnsi"/>
        </w:rPr>
        <w:fldChar w:fldCharType="begin"/>
      </w:r>
      <w:r w:rsidRPr="00884930">
        <w:rPr>
          <w:rFonts w:cstheme="minorHAnsi"/>
          <w:lang w:val="pl-PL"/>
        </w:rPr>
        <w:instrText xml:space="preserve"> SEQ level0 \*arabic </w:instrText>
      </w:r>
      <w:r w:rsidRPr="00884930">
        <w:rPr>
          <w:rFonts w:cstheme="minorHAnsi"/>
        </w:rPr>
        <w:fldChar w:fldCharType="separate"/>
      </w:r>
      <w:r w:rsidRPr="00884930">
        <w:rPr>
          <w:rFonts w:cstheme="minorHAnsi"/>
          <w:noProof/>
          <w:lang w:val="pl-PL"/>
        </w:rPr>
        <w:t>2</w:t>
      </w:r>
      <w:r w:rsidRPr="00884930">
        <w:rPr>
          <w:rFonts w:cstheme="minorHAnsi"/>
        </w:rPr>
        <w:fldChar w:fldCharType="end"/>
      </w:r>
      <w:r w:rsidRPr="00884930">
        <w:rPr>
          <w:rFonts w:cstheme="minorHAnsi"/>
          <w:lang w:val="pl-PL"/>
        </w:rPr>
        <w:t>.  Zgadzamy się z uzasadnieniem i wnioskami większości w odniesieniu do zastrzeżeń wstępnych Rządu dotyczących zakresu sprawy oraz rzekomej utraty przez skarżących statusu ofiary. Podzielamy również w pełni uzasadnienie większości, że gdy w sprawach o zabójstwo ofiarą jest dziennikarz, kwestią najwyższej wagi jest zbadanie możliwych związków pomiędzy zbrodnią a działalnością zawodową takiego dziennikarza oraz że wnioski ze śledztwa muszą być oparte na dokładnej, obiektywnej i bezstronnej analizie wszystkich istotnych elementów, w tym na ustaleniu, czy istnieje związek pomiędzy groźbami użycia przemocy i przemocą używaną wobec dziennikarzy i innych podmiotów medialnych a wykonywaniem zawodu dziennikarza bądź zawodów, które w podobny sposób przyczyniają się do debaty publicznej.</w:t>
      </w:r>
    </w:p>
    <w:p w14:paraId="712DA6AB" w14:textId="77777777" w:rsidR="00457A6C" w:rsidRPr="00884930" w:rsidRDefault="00457A6C" w:rsidP="00457A6C">
      <w:pPr>
        <w:pStyle w:val="OpiPara"/>
        <w:rPr>
          <w:rFonts w:cstheme="minorHAnsi"/>
          <w:lang w:val="pl-PL"/>
        </w:rPr>
      </w:pPr>
      <w:r w:rsidRPr="00884930">
        <w:rPr>
          <w:rFonts w:cstheme="minorHAnsi"/>
        </w:rPr>
        <w:fldChar w:fldCharType="begin"/>
      </w:r>
      <w:r w:rsidRPr="00884930">
        <w:rPr>
          <w:rFonts w:cstheme="minorHAnsi"/>
          <w:lang w:val="pl-PL"/>
        </w:rPr>
        <w:instrText xml:space="preserve"> SEQ level0 \*arabic </w:instrText>
      </w:r>
      <w:r w:rsidRPr="00884930">
        <w:rPr>
          <w:rFonts w:cstheme="minorHAnsi"/>
        </w:rPr>
        <w:fldChar w:fldCharType="separate"/>
      </w:r>
      <w:r w:rsidRPr="00884930">
        <w:rPr>
          <w:rFonts w:cstheme="minorHAnsi"/>
          <w:noProof/>
          <w:lang w:val="pl-PL"/>
        </w:rPr>
        <w:t>3</w:t>
      </w:r>
      <w:r w:rsidRPr="00884930">
        <w:rPr>
          <w:rFonts w:cstheme="minorHAnsi"/>
        </w:rPr>
        <w:fldChar w:fldCharType="end"/>
      </w:r>
      <w:r w:rsidRPr="00884930">
        <w:rPr>
          <w:rFonts w:cstheme="minorHAnsi"/>
          <w:lang w:val="pl-PL"/>
        </w:rPr>
        <w:t>.  Nie możemy jednak podpisać się pod stwierdzeniem większości składu orzekającego, że miało miejsce naruszenie art. 2 w jego aspekcie proceduralnym. Podstawą tego stwierdzenia był wniosek, że śledztwo w sprawie zabójstwa Anny Politkowskiej nie spełniło wymogu rzetelności.</w:t>
      </w:r>
    </w:p>
    <w:p w14:paraId="7F5FE807" w14:textId="77777777" w:rsidR="00457A6C" w:rsidRPr="00884930" w:rsidRDefault="00457A6C" w:rsidP="00457A6C">
      <w:pPr>
        <w:pStyle w:val="OpiPara"/>
        <w:rPr>
          <w:rFonts w:cstheme="minorHAnsi"/>
          <w:lang w:val="pl-PL"/>
        </w:rPr>
      </w:pPr>
      <w:r w:rsidRPr="00884930">
        <w:rPr>
          <w:rFonts w:cstheme="minorHAnsi"/>
        </w:rPr>
        <w:fldChar w:fldCharType="begin"/>
      </w:r>
      <w:r w:rsidRPr="00884930">
        <w:rPr>
          <w:rFonts w:cstheme="minorHAnsi"/>
          <w:lang w:val="pl-PL"/>
        </w:rPr>
        <w:instrText xml:space="preserve"> SEQ level0 \*arabic </w:instrText>
      </w:r>
      <w:r w:rsidRPr="00884930">
        <w:rPr>
          <w:rFonts w:cstheme="minorHAnsi"/>
        </w:rPr>
        <w:fldChar w:fldCharType="separate"/>
      </w:r>
      <w:r w:rsidRPr="00884930">
        <w:rPr>
          <w:rFonts w:cstheme="minorHAnsi"/>
          <w:noProof/>
          <w:lang w:val="pl-PL"/>
        </w:rPr>
        <w:t>4</w:t>
      </w:r>
      <w:r w:rsidRPr="00884930">
        <w:rPr>
          <w:rFonts w:cstheme="minorHAnsi"/>
        </w:rPr>
        <w:fldChar w:fldCharType="end"/>
      </w:r>
      <w:r w:rsidRPr="00884930">
        <w:rPr>
          <w:rFonts w:cstheme="minorHAnsi"/>
          <w:lang w:val="pl-PL"/>
        </w:rPr>
        <w:t xml:space="preserve">.  Po pierwsze pragniemy zauważyć, że na koniec postępowania władze osiągnęły zasadniczy cel śledztwa w sprawie zabójstwa Anny Politkowskiej. W wyniku śledztwa ustalono zarówno przyczynę śmierci ofiary, jak i osoby bezpośrednio odpowiedzialne za zabójstwo (por. </w:t>
      </w:r>
      <w:r w:rsidRPr="00884930">
        <w:rPr>
          <w:rFonts w:cstheme="minorHAnsi"/>
          <w:i/>
          <w:lang w:val="pl-PL"/>
        </w:rPr>
        <w:t>Sarbyanova-Pashaliyska i Pashaliyska p. Bułgarii</w:t>
      </w:r>
      <w:r w:rsidRPr="00884930">
        <w:rPr>
          <w:rFonts w:cstheme="minorHAnsi"/>
          <w:lang w:val="pl-PL"/>
        </w:rPr>
        <w:t>, nr 3524/14, § 42, 12 stycznia 2017 r.). Pięcioro oskarżonych uznano za winnych i prawomocnym wyrokiem skazano na kary pozbawienia wolności, a trzeciemu i czwartemu skarżącemu zasądzono odszkodowania.</w:t>
      </w:r>
    </w:p>
    <w:p w14:paraId="1D5542C4" w14:textId="77777777" w:rsidR="00457A6C" w:rsidRPr="00884930" w:rsidRDefault="00457A6C" w:rsidP="00457A6C">
      <w:pPr>
        <w:pStyle w:val="OpiPara"/>
        <w:rPr>
          <w:rFonts w:cstheme="minorHAnsi"/>
          <w:lang w:val="pl-PL"/>
        </w:rPr>
      </w:pPr>
      <w:r w:rsidRPr="00884930">
        <w:rPr>
          <w:rFonts w:cstheme="minorHAnsi"/>
        </w:rPr>
        <w:fldChar w:fldCharType="begin"/>
      </w:r>
      <w:r w:rsidRPr="00884930">
        <w:rPr>
          <w:rFonts w:cstheme="minorHAnsi"/>
          <w:lang w:val="pl-PL"/>
        </w:rPr>
        <w:instrText xml:space="preserve"> SEQ level0 \*arabic </w:instrText>
      </w:r>
      <w:r w:rsidRPr="00884930">
        <w:rPr>
          <w:rFonts w:cstheme="minorHAnsi"/>
        </w:rPr>
        <w:fldChar w:fldCharType="separate"/>
      </w:r>
      <w:r w:rsidRPr="00884930">
        <w:rPr>
          <w:rFonts w:cstheme="minorHAnsi"/>
          <w:noProof/>
          <w:lang w:val="pl-PL"/>
        </w:rPr>
        <w:t>5</w:t>
      </w:r>
      <w:r w:rsidRPr="00884930">
        <w:rPr>
          <w:rFonts w:cstheme="minorHAnsi"/>
        </w:rPr>
        <w:fldChar w:fldCharType="end"/>
      </w:r>
      <w:r w:rsidRPr="00884930">
        <w:rPr>
          <w:rFonts w:cstheme="minorHAnsi"/>
          <w:lang w:val="pl-PL"/>
        </w:rPr>
        <w:t xml:space="preserve">.  Głównym argumentem skarżących dotyczącym zarzucanej nieskuteczności śledztwa jest brak ustalenia zleceniodawców zabójstwa oraz ich ścigania przez władze. Rozumiemy, że skarżący muszą odczuwać frustrację, że nie zidentyfikowano osób odpowiedzialnych za to zabójstwo. Nie jesteśmy jednak przekonani, że sam ten fakt wystarcza do stwierdzenia, że śledztwo w sprawie zabójstwa Anny Politkowskiej nie spełniało standardów Konwencji. Fakt, że w ramach śledztwa nie udało się ustalić zleceniodawców zabójstwa niekoniecznie oznacza, że było ono nieskuteczne (zob., </w:t>
      </w:r>
      <w:r w:rsidRPr="00884930">
        <w:rPr>
          <w:rFonts w:cstheme="minorHAnsi"/>
          <w:i/>
          <w:lang w:val="pl-PL"/>
        </w:rPr>
        <w:t>mutatis mutandis</w:t>
      </w:r>
      <w:r w:rsidRPr="00884930">
        <w:rPr>
          <w:rFonts w:cstheme="minorHAnsi"/>
          <w:lang w:val="pl-PL"/>
        </w:rPr>
        <w:t xml:space="preserve">, </w:t>
      </w:r>
      <w:r w:rsidRPr="00884930">
        <w:rPr>
          <w:rFonts w:cstheme="minorHAnsi"/>
          <w:i/>
          <w:iCs/>
          <w:lang w:val="pl-PL"/>
        </w:rPr>
        <w:t>Trivkanović p. Chorwacji</w:t>
      </w:r>
      <w:r w:rsidRPr="00884930">
        <w:rPr>
          <w:rFonts w:cstheme="minorHAnsi"/>
          <w:lang w:val="pl-PL"/>
        </w:rPr>
        <w:t xml:space="preserve">, nr 12986/13, § 79, 6 lipca 2017 r.). Naszym zdaniem w przedmiotowej sprawie nie było konkretnych dowodów, które mogłyby skierować śledztwo w stronę konkretnych osób ani też nie było możliwych do ustalenia potencjalnych świadków, którzy po przesłuchaniu mogliby rzucić światło na kwestię tożsamości zleceniodawców zabójstwa (zob., przeciwnie, </w:t>
      </w:r>
      <w:r w:rsidRPr="00884930">
        <w:rPr>
          <w:rFonts w:cstheme="minorHAnsi"/>
          <w:i/>
          <w:lang w:val="pl-PL"/>
        </w:rPr>
        <w:t>Enukidze i Girgvliani p. Gruzji</w:t>
      </w:r>
      <w:r w:rsidRPr="00884930">
        <w:rPr>
          <w:rFonts w:cstheme="minorHAnsi"/>
          <w:lang w:val="pl-PL"/>
        </w:rPr>
        <w:t>, nr 25091/07, §§ 254 i 261, 26 kwietnia 2011 r.).</w:t>
      </w:r>
    </w:p>
    <w:p w14:paraId="6AEF142B" w14:textId="77777777" w:rsidR="00457A6C" w:rsidRPr="00884930" w:rsidRDefault="00457A6C" w:rsidP="00457A6C">
      <w:pPr>
        <w:pStyle w:val="OpiPara"/>
        <w:rPr>
          <w:rFonts w:cstheme="minorHAnsi"/>
          <w:lang w:val="pl-PL"/>
        </w:rPr>
      </w:pPr>
      <w:r w:rsidRPr="00884930">
        <w:rPr>
          <w:rFonts w:cstheme="minorHAnsi"/>
        </w:rPr>
        <w:fldChar w:fldCharType="begin"/>
      </w:r>
      <w:r w:rsidRPr="00884930">
        <w:rPr>
          <w:rFonts w:cstheme="minorHAnsi"/>
          <w:lang w:val="pl-PL"/>
        </w:rPr>
        <w:instrText xml:space="preserve"> SEQ level0 \*arabic </w:instrText>
      </w:r>
      <w:r w:rsidRPr="00884930">
        <w:rPr>
          <w:rFonts w:cstheme="minorHAnsi"/>
        </w:rPr>
        <w:fldChar w:fldCharType="separate"/>
      </w:r>
      <w:r w:rsidRPr="00884930">
        <w:rPr>
          <w:rFonts w:cstheme="minorHAnsi"/>
          <w:noProof/>
          <w:lang w:val="pl-PL"/>
        </w:rPr>
        <w:t>6</w:t>
      </w:r>
      <w:r w:rsidRPr="00884930">
        <w:rPr>
          <w:rFonts w:cstheme="minorHAnsi"/>
        </w:rPr>
        <w:fldChar w:fldCharType="end"/>
      </w:r>
      <w:r w:rsidRPr="00884930">
        <w:rPr>
          <w:rFonts w:cstheme="minorHAnsi"/>
          <w:lang w:val="pl-PL"/>
        </w:rPr>
        <w:t>.  Z akt sprawy wynika jasno, że skarżący mieli własne teorie na temat możliwych zleceniodawców zabójstwa. Chcielibyśmy jednak w związku z tym podkreślić, że art. 2 nie można interpretować jako nakładającego na władze wymóg rozpoczęcia ścigania niezależnie od dostępnych dowodów (zob.</w:t>
      </w:r>
      <w:r w:rsidRPr="00884930">
        <w:rPr>
          <w:rFonts w:cstheme="minorHAnsi"/>
          <w:i/>
          <w:lang w:val="pl-PL"/>
        </w:rPr>
        <w:t xml:space="preserve"> Gürtekin i Inni p. Cyprowi</w:t>
      </w:r>
      <w:r w:rsidRPr="00884930">
        <w:rPr>
          <w:rFonts w:cstheme="minorHAnsi"/>
          <w:lang w:val="pl-PL"/>
        </w:rPr>
        <w:t xml:space="preserve"> (dec.), nr 60441/13 i 2 pozostałe, § 27, 11 marca 2014 r). Do ścigania sądowego, zwłaszcza w związku z tak poważnym zarzutem jak udział w zabójstwie, nie powinno dochodzić z błahych powodów. Biorąc pod uwagę domniemanie niewinności zapisane w art. 6 § 2 Konwencji, nie można nigdy zakładać, że skoro ciążące na danej osobie podejrzenie jest tak poważne, to wymogi dowodowe są sprawą nieistotną. Spekulacje są niebezpieczną podstawą wszczynania działań, które mogą potencjalnie zrujnować życie danej osoby (zob., </w:t>
      </w:r>
      <w:r w:rsidRPr="00884930">
        <w:rPr>
          <w:rFonts w:cstheme="minorHAnsi"/>
          <w:i/>
          <w:lang w:val="pl-PL"/>
        </w:rPr>
        <w:t>mutatis mutandis</w:t>
      </w:r>
      <w:r w:rsidRPr="00884930">
        <w:rPr>
          <w:rFonts w:cstheme="minorHAnsi"/>
          <w:lang w:val="pl-PL"/>
        </w:rPr>
        <w:t xml:space="preserve">, </w:t>
      </w:r>
      <w:r w:rsidRPr="00884930">
        <w:rPr>
          <w:rFonts w:cstheme="minorHAnsi"/>
          <w:i/>
          <w:lang w:val="pl-PL"/>
        </w:rPr>
        <w:t>Borojević i Inni p. Chorwacji</w:t>
      </w:r>
      <w:r w:rsidRPr="00884930">
        <w:rPr>
          <w:rFonts w:cstheme="minorHAnsi"/>
          <w:lang w:val="pl-PL"/>
        </w:rPr>
        <w:t>, nr 70273/11, § 58, 4 kwietnia 2017 r.).</w:t>
      </w:r>
    </w:p>
    <w:p w14:paraId="70E5B3F3" w14:textId="77777777" w:rsidR="00457A6C" w:rsidRPr="00884930" w:rsidRDefault="00457A6C" w:rsidP="00457A6C">
      <w:pPr>
        <w:pStyle w:val="OpiPara"/>
        <w:rPr>
          <w:rFonts w:cstheme="minorHAnsi"/>
          <w:lang w:val="pl-PL"/>
        </w:rPr>
      </w:pPr>
      <w:r w:rsidRPr="00884930">
        <w:rPr>
          <w:rFonts w:cstheme="minorHAnsi"/>
        </w:rPr>
        <w:fldChar w:fldCharType="begin"/>
      </w:r>
      <w:r w:rsidRPr="00884930">
        <w:rPr>
          <w:rFonts w:cstheme="minorHAnsi"/>
          <w:lang w:val="pl-PL"/>
        </w:rPr>
        <w:instrText xml:space="preserve"> SEQ level0 \*arabic </w:instrText>
      </w:r>
      <w:r w:rsidRPr="00884930">
        <w:rPr>
          <w:rFonts w:cstheme="minorHAnsi"/>
        </w:rPr>
        <w:fldChar w:fldCharType="separate"/>
      </w:r>
      <w:r w:rsidRPr="00884930">
        <w:rPr>
          <w:rFonts w:cstheme="minorHAnsi"/>
          <w:noProof/>
          <w:lang w:val="pl-PL"/>
        </w:rPr>
        <w:t>7</w:t>
      </w:r>
      <w:r w:rsidRPr="00884930">
        <w:rPr>
          <w:rFonts w:cstheme="minorHAnsi"/>
        </w:rPr>
        <w:fldChar w:fldCharType="end"/>
      </w:r>
      <w:r w:rsidRPr="00884930">
        <w:rPr>
          <w:rFonts w:cstheme="minorHAnsi"/>
          <w:lang w:val="pl-PL"/>
        </w:rPr>
        <w:t xml:space="preserve">.  Ogólnie rzecz biorąc, jeśli chodzi o rzetelność działań podjętych przez władze rosyjskie, nie przekonują nas szczegółowe oświadczenia stron, według których miały miejsce istotne uchybienia. W takich okolicznościach nie możemy krytykować władz za karygodny brak poszanowania, zauważalną złą wiarę lub brak woli (zob. </w:t>
      </w:r>
      <w:r w:rsidRPr="00884930">
        <w:rPr>
          <w:rFonts w:cstheme="minorHAnsi"/>
          <w:i/>
          <w:iCs/>
          <w:lang w:val="pl-PL"/>
        </w:rPr>
        <w:t>Zdjelar i Inni p. Chorwacji</w:t>
      </w:r>
      <w:r w:rsidRPr="00884930">
        <w:rPr>
          <w:rFonts w:cstheme="minorHAnsi"/>
          <w:lang w:val="pl-PL"/>
        </w:rPr>
        <w:t>, nr 80960/12, § 89, 6 lipca 2017 r.). Naszym zdaniem nie można twierdzić, że domniemane przecieki ze strony tajnych służb wspomniane przez skarżących miały wpływ na ogólną skuteczność śledztwa.</w:t>
      </w:r>
    </w:p>
    <w:p w14:paraId="373554B5" w14:textId="77777777" w:rsidR="00457A6C" w:rsidRPr="00884930" w:rsidRDefault="00457A6C" w:rsidP="00457A6C">
      <w:pPr>
        <w:pStyle w:val="OpiPara"/>
        <w:rPr>
          <w:rFonts w:cstheme="minorHAnsi"/>
          <w:lang w:val="pl-PL"/>
        </w:rPr>
      </w:pPr>
      <w:r w:rsidRPr="00884930">
        <w:rPr>
          <w:rFonts w:cstheme="minorHAnsi"/>
        </w:rPr>
        <w:fldChar w:fldCharType="begin"/>
      </w:r>
      <w:r w:rsidRPr="00884930">
        <w:rPr>
          <w:rFonts w:cstheme="minorHAnsi"/>
          <w:lang w:val="pl-PL"/>
        </w:rPr>
        <w:instrText xml:space="preserve"> SEQ level0 \*arabic </w:instrText>
      </w:r>
      <w:r w:rsidRPr="00884930">
        <w:rPr>
          <w:rFonts w:cstheme="minorHAnsi"/>
        </w:rPr>
        <w:fldChar w:fldCharType="separate"/>
      </w:r>
      <w:r w:rsidRPr="00884930">
        <w:rPr>
          <w:rFonts w:cstheme="minorHAnsi"/>
          <w:noProof/>
          <w:lang w:val="pl-PL"/>
        </w:rPr>
        <w:t>8</w:t>
      </w:r>
      <w:r w:rsidRPr="00884930">
        <w:rPr>
          <w:rFonts w:cstheme="minorHAnsi"/>
        </w:rPr>
        <w:fldChar w:fldCharType="end"/>
      </w:r>
      <w:r w:rsidRPr="00884930">
        <w:rPr>
          <w:rFonts w:cstheme="minorHAnsi"/>
          <w:lang w:val="pl-PL"/>
        </w:rPr>
        <w:t xml:space="preserve">.  Jeśli chodzi o wymóg niezwłocznego przeprowadzenia śledztwa z rozsądną szybkością (zob. </w:t>
      </w:r>
      <w:r w:rsidRPr="00884930">
        <w:rPr>
          <w:rFonts w:cstheme="minorHAnsi"/>
          <w:i/>
          <w:lang w:val="pl-PL"/>
        </w:rPr>
        <w:t xml:space="preserve">Armani Da Silva p. Zjednoczonemu Królestwu </w:t>
      </w:r>
      <w:r w:rsidRPr="00884930">
        <w:rPr>
          <w:rFonts w:cstheme="minorHAnsi"/>
          <w:lang w:val="pl-PL"/>
        </w:rPr>
        <w:t xml:space="preserve">[WI], nr 5878/08, § 240, ETPCz 2016), pragniemy wskazać, że sprawę karną wszczęto w dniu zabójstwa. Wstępne działania śledcze, takie jak oględziny miejsca przestępstwa i pobranie z niego materiału dowodowego oraz nagrań z pobliskich kamer, zostały przeprowadzone bezzwłocznie. Dlatego też możemy przyjąć, że władze podjęły odpowiednie działania w celu pobrania i zabezpieczenia materiału dowodowego związanego z zabójstwem. Jeśli chodzi o długość śledztwa w niniejszej sprawie, to prawie dziesięcioletni okres śledztwa i dwóch kolejnych cykli postępowań sądowych prowadzonych w dwóch instancjach może być okresem nadmiernie długim według standardów Trybunału na mocy art. 6 Konwencji. Cel analizy Trybunału pod kątem art. 2 jest jednak odmienny. Wymóg niezwłocznego przeprowadzenia śledztwa z rozsądną szybkością na mocy art. 2 nie powinien być badany w oderwaniu od innych parametrów, których połączenie czyni śledztwo skutecznym (zob., </w:t>
      </w:r>
      <w:r w:rsidRPr="00884930">
        <w:rPr>
          <w:rFonts w:cstheme="minorHAnsi"/>
          <w:i/>
          <w:lang w:val="pl-PL"/>
        </w:rPr>
        <w:t>mutatis mutandis</w:t>
      </w:r>
      <w:r w:rsidRPr="00884930">
        <w:rPr>
          <w:rFonts w:cstheme="minorHAnsi"/>
          <w:lang w:val="pl-PL"/>
        </w:rPr>
        <w:t xml:space="preserve">, </w:t>
      </w:r>
      <w:r w:rsidRPr="00884930">
        <w:rPr>
          <w:rFonts w:cstheme="minorHAnsi"/>
          <w:i/>
          <w:lang w:val="pl-PL"/>
        </w:rPr>
        <w:t>Sarbyanova</w:t>
      </w:r>
      <w:r w:rsidRPr="00884930">
        <w:rPr>
          <w:rFonts w:cstheme="minorHAnsi"/>
          <w:i/>
          <w:lang w:val="pl-PL"/>
        </w:rPr>
        <w:noBreakHyphen/>
        <w:t>Pashaliyska i Pashaliyska</w:t>
      </w:r>
      <w:r w:rsidRPr="00884930">
        <w:rPr>
          <w:rFonts w:cstheme="minorHAnsi"/>
          <w:lang w:val="pl-PL"/>
        </w:rPr>
        <w:t>, cyt. powyżej, § 41, oraz</w:t>
      </w:r>
      <w:r w:rsidRPr="00884930">
        <w:rPr>
          <w:rFonts w:cstheme="minorHAnsi"/>
          <w:i/>
          <w:lang w:val="pl-PL"/>
        </w:rPr>
        <w:t xml:space="preserve"> Mustafa Tunç i Fecire Tunç</w:t>
      </w:r>
      <w:r w:rsidRPr="00884930">
        <w:rPr>
          <w:rFonts w:cstheme="minorHAnsi"/>
          <w:lang w:val="pl-PL"/>
        </w:rPr>
        <w:t xml:space="preserve"> </w:t>
      </w:r>
      <w:r w:rsidRPr="00884930">
        <w:rPr>
          <w:rFonts w:cstheme="minorHAnsi"/>
          <w:i/>
          <w:lang w:val="pl-PL"/>
        </w:rPr>
        <w:t xml:space="preserve">p. Turcji </w:t>
      </w:r>
      <w:r w:rsidRPr="00884930">
        <w:rPr>
          <w:rFonts w:cstheme="minorHAnsi"/>
          <w:lang w:val="pl-PL"/>
        </w:rPr>
        <w:t>[WI], nr 24014/05, § 225, 14</w:t>
      </w:r>
      <w:r w:rsidRPr="00884930">
        <w:rPr>
          <w:rFonts w:cstheme="minorHAnsi"/>
          <w:snapToGrid w:val="0"/>
          <w:lang w:val="pl-PL"/>
        </w:rPr>
        <w:t xml:space="preserve"> kwietnia 2015</w:t>
      </w:r>
      <w:r w:rsidRPr="00884930">
        <w:rPr>
          <w:rFonts w:cstheme="minorHAnsi"/>
          <w:lang w:val="pl-PL"/>
        </w:rPr>
        <w:t xml:space="preserve"> r.). Biorąc pod uwagę złożony charakter śledztwa w sprawie zabójstwa na zlecenie oraz brak innych przesłanek wskazujących na okresy wyraźnej bezczynności po stronie śledczych, uważamy że śledztwo i postępowanie sądowe w przedmiotowej sprawie nie naruszyły wymogu niezwłocznego przeprowadzenia z rozsądną szybkością.</w:t>
      </w:r>
    </w:p>
    <w:p w14:paraId="13FF7F18" w14:textId="1F28AB0D" w:rsidR="00457A6C" w:rsidRPr="00884930" w:rsidRDefault="00457A6C" w:rsidP="00457A6C">
      <w:pPr>
        <w:pStyle w:val="OpiPara"/>
        <w:rPr>
          <w:rFonts w:cstheme="minorHAnsi"/>
          <w:lang w:val="pl-PL"/>
        </w:rPr>
      </w:pPr>
      <w:r w:rsidRPr="00884930">
        <w:rPr>
          <w:rFonts w:cstheme="minorHAnsi"/>
        </w:rPr>
        <w:fldChar w:fldCharType="begin"/>
      </w:r>
      <w:r w:rsidRPr="00884930">
        <w:rPr>
          <w:rFonts w:cstheme="minorHAnsi"/>
          <w:lang w:val="pl-PL"/>
        </w:rPr>
        <w:instrText xml:space="preserve"> SEQ level0 \*arabic </w:instrText>
      </w:r>
      <w:r w:rsidRPr="00884930">
        <w:rPr>
          <w:rFonts w:cstheme="minorHAnsi"/>
        </w:rPr>
        <w:fldChar w:fldCharType="separate"/>
      </w:r>
      <w:r w:rsidRPr="00884930">
        <w:rPr>
          <w:rFonts w:cstheme="minorHAnsi"/>
          <w:noProof/>
          <w:lang w:val="pl-PL"/>
        </w:rPr>
        <w:t>9</w:t>
      </w:r>
      <w:r w:rsidRPr="00884930">
        <w:rPr>
          <w:rFonts w:cstheme="minorHAnsi"/>
        </w:rPr>
        <w:fldChar w:fldCharType="end"/>
      </w:r>
      <w:r w:rsidRPr="00884930">
        <w:rPr>
          <w:rFonts w:cstheme="minorHAnsi"/>
          <w:lang w:val="pl-PL"/>
        </w:rPr>
        <w:t xml:space="preserve">.  Oceniając całość postępowania, nie można stwierdzić, że krewni Anny Politkowskiej byli wykluczeni ze śledztwa w stopniu, który był tożsamy z pozbawieniem możliwości skutecznego uczestnictwa w postępowaniu. Art. 2 Konwencji nie ustanawia po stronie organów śledczych obowiązku spełniania każdego wniosku o określone działanie śledcze zgłaszanego przez krewnego w trakcie śledztwa (zob. </w:t>
      </w:r>
      <w:r w:rsidRPr="00884930">
        <w:rPr>
          <w:rFonts w:cstheme="minorHAnsi"/>
          <w:i/>
          <w:lang w:val="pl-PL"/>
        </w:rPr>
        <w:t xml:space="preserve">Ramsahai i Inni p. </w:t>
      </w:r>
      <w:r w:rsidR="001E389F">
        <w:rPr>
          <w:rFonts w:cstheme="minorHAnsi"/>
          <w:i/>
          <w:lang w:val="pl-PL"/>
        </w:rPr>
        <w:t>Holandii</w:t>
      </w:r>
      <w:r w:rsidR="001E389F" w:rsidRPr="00884930">
        <w:rPr>
          <w:rFonts w:cstheme="minorHAnsi"/>
          <w:lang w:val="pl-PL"/>
        </w:rPr>
        <w:t xml:space="preserve"> </w:t>
      </w:r>
      <w:r w:rsidRPr="00884930">
        <w:rPr>
          <w:rFonts w:cstheme="minorHAnsi"/>
          <w:lang w:val="pl-PL"/>
        </w:rPr>
        <w:t>[WI], nr 52391/99, § 348, ETPCz 2007</w:t>
      </w:r>
      <w:r w:rsidRPr="00884930">
        <w:rPr>
          <w:rFonts w:cstheme="minorHAnsi"/>
          <w:lang w:val="pl-PL"/>
        </w:rPr>
        <w:noBreakHyphen/>
        <w:t>II).</w:t>
      </w:r>
    </w:p>
    <w:p w14:paraId="4BBB7F4E" w14:textId="77777777" w:rsidR="00457A6C" w:rsidRPr="00884930" w:rsidRDefault="00457A6C" w:rsidP="00457A6C">
      <w:pPr>
        <w:pStyle w:val="OpiPara"/>
        <w:rPr>
          <w:rFonts w:cstheme="minorHAnsi"/>
          <w:lang w:val="pl-PL"/>
        </w:rPr>
      </w:pPr>
      <w:r w:rsidRPr="00884930">
        <w:rPr>
          <w:rFonts w:cstheme="minorHAnsi"/>
        </w:rPr>
        <w:fldChar w:fldCharType="begin"/>
      </w:r>
      <w:r w:rsidRPr="00884930">
        <w:rPr>
          <w:rFonts w:cstheme="minorHAnsi"/>
          <w:lang w:val="pl-PL"/>
        </w:rPr>
        <w:instrText xml:space="preserve"> SEQ level0 \*arabic </w:instrText>
      </w:r>
      <w:r w:rsidRPr="00884930">
        <w:rPr>
          <w:rFonts w:cstheme="minorHAnsi"/>
        </w:rPr>
        <w:fldChar w:fldCharType="separate"/>
      </w:r>
      <w:r w:rsidRPr="00884930">
        <w:rPr>
          <w:rFonts w:cstheme="minorHAnsi"/>
          <w:noProof/>
          <w:lang w:val="pl-PL"/>
        </w:rPr>
        <w:t>10</w:t>
      </w:r>
      <w:r w:rsidRPr="00884930">
        <w:rPr>
          <w:rFonts w:cstheme="minorHAnsi"/>
        </w:rPr>
        <w:fldChar w:fldCharType="end"/>
      </w:r>
      <w:r w:rsidRPr="00884930">
        <w:rPr>
          <w:rFonts w:cstheme="minorHAnsi"/>
          <w:lang w:val="pl-PL"/>
        </w:rPr>
        <w:t xml:space="preserve">.  Nie jesteśmy też skłonni zgodzić się z argumentacją skarżących, według której śledztwo nie było niezależne i która zasadniczo sprowadza się do stwierdzenia, że policja i funkcjonariusze FSB należeli do grona osób objętych śledztwem. Art. 2 nie wymaga, aby osoby i organy odpowiedzialne za prowadzenie śledztwa cieszyły się całkowitą niezależnością, ale raczej żeby były dostatecznie niezależne od potencjalnie hierarchicznie zaangażowanych osób i struktur (zob. </w:t>
      </w:r>
      <w:r w:rsidRPr="00884930">
        <w:rPr>
          <w:rFonts w:cstheme="minorHAnsi"/>
          <w:i/>
          <w:lang w:val="pl-PL"/>
        </w:rPr>
        <w:t>Ramsahai i Inni</w:t>
      </w:r>
      <w:r w:rsidRPr="00884930">
        <w:rPr>
          <w:rFonts w:cstheme="minorHAnsi"/>
          <w:lang w:val="pl-PL"/>
        </w:rPr>
        <w:t xml:space="preserve">, cyt. powyżej, §§ 343-44). Stopień niezależności ocenia się w świetle wszystkich okoliczności, które siłą rzeczy są specyficzne dla każdej sprawy (zob. </w:t>
      </w:r>
      <w:r w:rsidRPr="00884930">
        <w:rPr>
          <w:rFonts w:cstheme="minorHAnsi"/>
          <w:i/>
          <w:lang w:val="pl-PL"/>
        </w:rPr>
        <w:t>Mustafa Tunç i Fecire Tunç</w:t>
      </w:r>
      <w:r w:rsidRPr="00884930">
        <w:rPr>
          <w:rFonts w:cstheme="minorHAnsi"/>
          <w:lang w:val="pl-PL"/>
        </w:rPr>
        <w:t xml:space="preserve">, cyt. powyżej, § 223). Śledztwo prowadziła Prokuratura Generalna, która jest organem dysponującym dostateczną autonomią strukturalną i niezależnością od innych organów ścigania. Zarzuty skarżących, z których wynika, że było inaczej, nie znalazły potwierdzenia w materiale dowodowym sprawy. </w:t>
      </w:r>
    </w:p>
    <w:p w14:paraId="730FA707" w14:textId="77777777" w:rsidR="00457A6C" w:rsidRPr="00884930" w:rsidRDefault="00457A6C" w:rsidP="00457A6C">
      <w:pPr>
        <w:pStyle w:val="OpiPara"/>
        <w:rPr>
          <w:rFonts w:cstheme="minorHAnsi"/>
          <w:caps/>
          <w:lang w:val="pl-PL"/>
        </w:rPr>
      </w:pPr>
      <w:r w:rsidRPr="00884930">
        <w:rPr>
          <w:rFonts w:cstheme="minorHAnsi"/>
        </w:rPr>
        <w:fldChar w:fldCharType="begin"/>
      </w:r>
      <w:r w:rsidRPr="00884930">
        <w:rPr>
          <w:rFonts w:cstheme="minorHAnsi"/>
          <w:lang w:val="pl-PL"/>
        </w:rPr>
        <w:instrText xml:space="preserve"> SEQ level0 \*arabic </w:instrText>
      </w:r>
      <w:r w:rsidRPr="00884930">
        <w:rPr>
          <w:rFonts w:cstheme="minorHAnsi"/>
        </w:rPr>
        <w:fldChar w:fldCharType="separate"/>
      </w:r>
      <w:r w:rsidRPr="00884930">
        <w:rPr>
          <w:rFonts w:cstheme="minorHAnsi"/>
          <w:noProof/>
          <w:lang w:val="pl-PL"/>
        </w:rPr>
        <w:t>11</w:t>
      </w:r>
      <w:r w:rsidRPr="00884930">
        <w:rPr>
          <w:rFonts w:cstheme="minorHAnsi"/>
        </w:rPr>
        <w:fldChar w:fldCharType="end"/>
      </w:r>
      <w:r w:rsidRPr="00884930">
        <w:rPr>
          <w:rFonts w:cstheme="minorHAnsi"/>
          <w:lang w:val="pl-PL"/>
        </w:rPr>
        <w:t>.  Powyższe uwagi w stopniu wystarczającym pozwalają nam stwierdzić, że nie wykazano naruszenia standardu Konwencji w śledztwie w sprawie zabójstwa Anny Politkowskiej.</w:t>
      </w:r>
    </w:p>
    <w:p w14:paraId="3A87B3A0" w14:textId="77777777" w:rsidR="00457A6C" w:rsidRPr="00884930" w:rsidRDefault="00457A6C" w:rsidP="00457A6C">
      <w:pPr>
        <w:pStyle w:val="JuInitialled"/>
        <w:jc w:val="center"/>
        <w:rPr>
          <w:rFonts w:cstheme="minorHAnsi"/>
          <w:caps/>
          <w:lang w:val="pl-PL"/>
        </w:rPr>
        <w:sectPr w:rsidR="00457A6C" w:rsidRPr="00884930" w:rsidSect="005E5F3A">
          <w:headerReference w:type="even" r:id="rId26"/>
          <w:headerReference w:type="default" r:id="rId27"/>
          <w:footerReference w:type="even" r:id="rId28"/>
          <w:footerReference w:type="default" r:id="rId29"/>
          <w:headerReference w:type="first" r:id="rId30"/>
          <w:footerReference w:type="first" r:id="rId31"/>
          <w:footnotePr>
            <w:numRestart w:val="eachSect"/>
          </w:footnotePr>
          <w:pgSz w:w="11906" w:h="16838" w:code="9"/>
          <w:pgMar w:top="2274" w:right="2274" w:bottom="2274" w:left="2274" w:header="1701" w:footer="720" w:gutter="0"/>
          <w:cols w:space="720"/>
          <w:titlePg/>
          <w:docGrid w:linePitch="326"/>
        </w:sectPr>
      </w:pPr>
    </w:p>
    <w:p w14:paraId="0302D32D" w14:textId="77777777" w:rsidR="00457A6C" w:rsidRPr="00884930" w:rsidRDefault="00457A6C" w:rsidP="00457A6C">
      <w:pPr>
        <w:pStyle w:val="JuTitle"/>
        <w:rPr>
          <w:rFonts w:asciiTheme="minorHAnsi" w:hAnsiTheme="minorHAnsi" w:cstheme="minorHAnsi"/>
        </w:rPr>
      </w:pPr>
      <w:r w:rsidRPr="00884930">
        <w:rPr>
          <w:rFonts w:asciiTheme="minorHAnsi" w:hAnsiTheme="minorHAnsi" w:cstheme="minorHAnsi"/>
          <w:lang w:val="pl-PL"/>
        </w:rPr>
        <w:t>ZAŁĄCZNIK</w:t>
      </w:r>
    </w:p>
    <w:p w14:paraId="1E6C14DB" w14:textId="77777777" w:rsidR="00457A6C" w:rsidRPr="00884930" w:rsidRDefault="00457A6C" w:rsidP="00457A6C">
      <w:pPr>
        <w:rPr>
          <w:rFonts w:cstheme="minorHAnsi"/>
          <w:bCs/>
        </w:rPr>
      </w:pPr>
    </w:p>
    <w:p w14:paraId="3368CF2F" w14:textId="77777777" w:rsidR="00457A6C" w:rsidRPr="00884930" w:rsidRDefault="00457A6C" w:rsidP="00457A6C">
      <w:pPr>
        <w:pStyle w:val="Akapitzlist"/>
        <w:numPr>
          <w:ilvl w:val="0"/>
          <w:numId w:val="17"/>
        </w:numPr>
        <w:tabs>
          <w:tab w:val="left" w:pos="425"/>
        </w:tabs>
        <w:ind w:left="0" w:firstLine="0"/>
        <w:rPr>
          <w:rFonts w:cstheme="minorHAnsi"/>
          <w:lang w:val="pl-PL"/>
        </w:rPr>
      </w:pPr>
      <w:r w:rsidRPr="00884930">
        <w:rPr>
          <w:rFonts w:cstheme="minorHAnsi"/>
          <w:lang w:val="pl-PL"/>
        </w:rPr>
        <w:t>Raisa Aleksandrovna MAZEPA, ur. w 1929 r.;</w:t>
      </w:r>
    </w:p>
    <w:p w14:paraId="56E0FC57" w14:textId="77777777" w:rsidR="00457A6C" w:rsidRPr="00884930" w:rsidRDefault="00457A6C" w:rsidP="00457A6C">
      <w:pPr>
        <w:pStyle w:val="Akapitzlist"/>
        <w:tabs>
          <w:tab w:val="left" w:pos="425"/>
        </w:tabs>
        <w:ind w:left="0"/>
        <w:rPr>
          <w:rFonts w:cstheme="minorHAnsi"/>
          <w:lang w:val="pl-PL"/>
        </w:rPr>
      </w:pPr>
    </w:p>
    <w:p w14:paraId="103D6D46" w14:textId="77777777" w:rsidR="00457A6C" w:rsidRPr="00884930" w:rsidRDefault="00457A6C" w:rsidP="00457A6C">
      <w:pPr>
        <w:pStyle w:val="Akapitzlist"/>
        <w:numPr>
          <w:ilvl w:val="0"/>
          <w:numId w:val="17"/>
        </w:numPr>
        <w:tabs>
          <w:tab w:val="left" w:pos="425"/>
        </w:tabs>
        <w:ind w:left="0" w:firstLine="0"/>
        <w:rPr>
          <w:rFonts w:cstheme="minorHAnsi"/>
          <w:lang w:val="it-IT"/>
        </w:rPr>
      </w:pPr>
      <w:r w:rsidRPr="00884930">
        <w:rPr>
          <w:rFonts w:cstheme="minorHAnsi"/>
          <w:lang w:val="pl-PL"/>
        </w:rPr>
        <w:t>Yelena Stepanovna KUDIMOVA, ur. w 1957 r.;</w:t>
      </w:r>
    </w:p>
    <w:p w14:paraId="1F95DDD7" w14:textId="77777777" w:rsidR="00457A6C" w:rsidRPr="00884930" w:rsidRDefault="00457A6C" w:rsidP="00457A6C">
      <w:pPr>
        <w:pStyle w:val="Akapitzlist"/>
        <w:tabs>
          <w:tab w:val="left" w:pos="425"/>
        </w:tabs>
        <w:ind w:left="0"/>
        <w:rPr>
          <w:rFonts w:cstheme="minorHAnsi"/>
          <w:lang w:val="it-IT"/>
        </w:rPr>
      </w:pPr>
    </w:p>
    <w:p w14:paraId="536C388D" w14:textId="77777777" w:rsidR="00457A6C" w:rsidRPr="00884930" w:rsidRDefault="00457A6C" w:rsidP="00457A6C">
      <w:pPr>
        <w:pStyle w:val="Akapitzlist"/>
        <w:numPr>
          <w:ilvl w:val="0"/>
          <w:numId w:val="17"/>
        </w:numPr>
        <w:tabs>
          <w:tab w:val="left" w:pos="425"/>
        </w:tabs>
        <w:ind w:left="0" w:firstLine="0"/>
        <w:rPr>
          <w:rFonts w:cstheme="minorHAnsi"/>
          <w:lang w:val="it-IT"/>
        </w:rPr>
      </w:pPr>
      <w:r w:rsidRPr="00884930">
        <w:rPr>
          <w:rFonts w:cstheme="minorHAnsi"/>
          <w:lang w:val="pl-PL"/>
        </w:rPr>
        <w:t>Vera Aleksandrovna POLITKOVSKAYA, ur. w 1980 r.;</w:t>
      </w:r>
    </w:p>
    <w:p w14:paraId="79C262F1" w14:textId="77777777" w:rsidR="00457A6C" w:rsidRPr="00884930" w:rsidRDefault="00457A6C" w:rsidP="00457A6C">
      <w:pPr>
        <w:pStyle w:val="Akapitzlist"/>
        <w:tabs>
          <w:tab w:val="left" w:pos="425"/>
        </w:tabs>
        <w:ind w:left="0"/>
        <w:rPr>
          <w:rFonts w:cstheme="minorHAnsi"/>
          <w:lang w:val="it-IT"/>
        </w:rPr>
      </w:pPr>
    </w:p>
    <w:p w14:paraId="08A73E07" w14:textId="78ACA446" w:rsidR="0024168A" w:rsidRPr="00E03BDD" w:rsidRDefault="00457A6C" w:rsidP="00664E93">
      <w:pPr>
        <w:pStyle w:val="Akapitzlist"/>
        <w:numPr>
          <w:ilvl w:val="0"/>
          <w:numId w:val="17"/>
        </w:numPr>
        <w:tabs>
          <w:tab w:val="left" w:pos="425"/>
        </w:tabs>
        <w:ind w:left="0" w:firstLine="0"/>
        <w:rPr>
          <w:rFonts w:ascii="Georgia" w:hAnsi="Georgia"/>
          <w:lang w:val="pl-PL"/>
        </w:rPr>
      </w:pPr>
      <w:r w:rsidRPr="00664E93">
        <w:rPr>
          <w:rFonts w:cstheme="minorHAnsi"/>
          <w:lang w:val="pl-PL"/>
        </w:rPr>
        <w:t>I</w:t>
      </w:r>
      <w:r w:rsidRPr="00884930">
        <w:rPr>
          <w:rFonts w:cstheme="minorHAnsi"/>
          <w:lang w:val="pl-PL"/>
        </w:rPr>
        <w:t>lya Aleksandrovich POLITKOVSKIY, ur. w 1978 r.</w:t>
      </w:r>
    </w:p>
    <w:sectPr w:rsidR="0024168A" w:rsidRPr="00E03BDD" w:rsidSect="005E5F3A">
      <w:headerReference w:type="even" r:id="rId32"/>
      <w:headerReference w:type="default" r:id="rId33"/>
      <w:footerReference w:type="even" r:id="rId34"/>
      <w:footerReference w:type="default" r:id="rId35"/>
      <w:headerReference w:type="first" r:id="rId36"/>
      <w:footerReference w:type="first" r:id="rId37"/>
      <w:footnotePr>
        <w:numRestart w:val="eachSect"/>
      </w:footnotePr>
      <w:pgSz w:w="11906" w:h="16838" w:code="9"/>
      <w:pgMar w:top="2274" w:right="2274" w:bottom="2274" w:left="2274" w:header="1701" w:footer="720" w:gutter="0"/>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1B95187" w14:textId="77777777" w:rsidR="0038289B" w:rsidRPr="00E4133A" w:rsidRDefault="0038289B" w:rsidP="00014566">
      <w:r w:rsidRPr="00E4133A">
        <w:separator/>
      </w:r>
    </w:p>
  </w:endnote>
  <w:endnote w:type="continuationSeparator" w:id="0">
    <w:p w14:paraId="29B4EA0F" w14:textId="77777777" w:rsidR="0038289B" w:rsidRPr="00E4133A" w:rsidRDefault="0038289B" w:rsidP="00014566">
      <w:r w:rsidRPr="00E4133A">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MS Mincho">
    <w:altName w:val="Yu Gothic UI"/>
    <w:panose1 w:val="02020609040205080304"/>
    <w:charset w:val="80"/>
    <w:family w:val="modern"/>
    <w:pitch w:val="fixed"/>
    <w:sig w:usb0="E00002FF" w:usb1="6AC7FDFB" w:usb2="00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00006FF" w:usb1="4000205B" w:usb2="00000010" w:usb3="00000000" w:csb0="0000019F" w:csb1="00000000"/>
  </w:font>
  <w:font w:name="Consolas">
    <w:panose1 w:val="020B0609020204030204"/>
    <w:charset w:val="EE"/>
    <w:family w:val="modern"/>
    <w:pitch w:val="fixed"/>
    <w:sig w:usb0="E00006FF" w:usb1="0000FCFF" w:usb2="00000001" w:usb3="00000000" w:csb0="0000019F" w:csb1="00000000"/>
  </w:font>
  <w:font w:name="Calibri">
    <w:panose1 w:val="020F05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Georgia">
    <w:panose1 w:val="02040502050405020303"/>
    <w:charset w:val="EE"/>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48A64F6" w14:textId="77777777" w:rsidR="0027249A" w:rsidRPr="00150BFA" w:rsidRDefault="0027249A" w:rsidP="0024168A">
    <w:pPr>
      <w:jc w:val="center"/>
    </w:pPr>
    <w:r>
      <w:rPr>
        <w:noProof/>
        <w:lang w:val="pl-PL" w:eastAsia="pl-PL"/>
      </w:rPr>
      <w:drawing>
        <wp:inline distT="0" distB="0" distL="0" distR="0" wp14:anchorId="002FB237" wp14:editId="40D491DE">
          <wp:extent cx="771525" cy="619125"/>
          <wp:effectExtent l="0" t="0" r="9525" b="9525"/>
          <wp:docPr id="2" name="Picture 2" descr="R:\1_Graphics&amp;Web\Court_Graphic_Charter\2013\ECHR_Stationery\Documents_and_Letters\Cover_Pages_And_Docs\White_600_dpi\ECHR_CoverpageCS61_ECHR_Coverpage_Footer_COE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1_Graphics&amp;Web\Court_Graphic_Charter\2013\ECHR_Stationery\Documents_and_Letters\Cover_Pages_And_Docs\White_600_dpi\ECHR_CoverpageCS61_ECHR_Coverpage_Footer_COE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1525" cy="619125"/>
                  </a:xfrm>
                  <a:prstGeom prst="rect">
                    <a:avLst/>
                  </a:prstGeom>
                  <a:noFill/>
                  <a:ln>
                    <a:noFill/>
                  </a:ln>
                </pic:spPr>
              </pic:pic>
            </a:graphicData>
          </a:graphic>
        </wp:inline>
      </w:drawing>
    </w:r>
  </w:p>
  <w:p w14:paraId="3C4FF747" w14:textId="77777777" w:rsidR="0027249A" w:rsidRPr="008D5A13" w:rsidRDefault="0027249A" w:rsidP="0024168A">
    <w:pPr>
      <w:pStyle w:val="Stopka"/>
      <w:jc w:val="center"/>
      <w:rPr>
        <w:sz w:val="4"/>
        <w:szCs w:val="4"/>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DC8E713" w14:textId="77777777" w:rsidR="00457A6C" w:rsidRDefault="00457A6C">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43220F2" w14:textId="77777777" w:rsidR="00457A6C" w:rsidRDefault="00457A6C">
    <w:pPr>
      <w:pStyle w:val="Stopka"/>
    </w:pP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DD0A632" w14:textId="77777777" w:rsidR="00457A6C" w:rsidRDefault="00457A6C">
    <w:pPr>
      <w:pStyle w:val="Stopka"/>
    </w:pPr>
  </w:p>
</w:ftr>
</file>

<file path=word/footer5.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8CAD2B9" w14:textId="77777777" w:rsidR="00457A6C" w:rsidRDefault="00457A6C">
    <w:pPr>
      <w:pStyle w:val="Stopka"/>
    </w:pPr>
  </w:p>
</w:ftr>
</file>

<file path=word/footer6.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CB3D766" w14:textId="77777777" w:rsidR="00457A6C" w:rsidRDefault="00457A6C">
    <w:pPr>
      <w:pStyle w:val="Stopka"/>
    </w:pPr>
  </w:p>
</w:ftr>
</file>

<file path=word/footer7.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56013FF" w14:textId="77777777" w:rsidR="00457A6C" w:rsidRDefault="00457A6C">
    <w:pPr>
      <w:pStyle w:val="Stopka"/>
    </w:pPr>
  </w:p>
</w:ftr>
</file>

<file path=word/footer8.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77E833A" w14:textId="77777777" w:rsidR="00457A6C" w:rsidRDefault="00457A6C">
    <w:pPr>
      <w:pStyle w:val="Stopka"/>
    </w:pPr>
  </w:p>
</w:ftr>
</file>

<file path=word/footer9.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7857C1B" w14:textId="77777777" w:rsidR="00457A6C" w:rsidRDefault="00457A6C">
    <w:pPr>
      <w:pStyle w:val="Stopka"/>
    </w:pPr>
  </w:p>
</w:ftr>
</file>

<file path=word/footer10.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A517814" w14:textId="77777777" w:rsidR="00457A6C" w:rsidRDefault="00457A6C">
    <w:pPr>
      <w:pStyle w:val="Stopka"/>
    </w:pPr>
  </w:p>
</w:ftr>
</file>

<file path=word/footer1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CD33606" w14:textId="77777777" w:rsidR="0027249A" w:rsidRDefault="0027249A">
    <w:pPr>
      <w:pStyle w:val="Stopka"/>
    </w:pPr>
  </w:p>
</w:ftr>
</file>

<file path=word/footer1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A52D186" w14:textId="77777777" w:rsidR="0027249A" w:rsidRDefault="0027249A">
    <w:pPr>
      <w:pStyle w:val="Stopka"/>
    </w:pPr>
  </w:p>
</w:ftr>
</file>

<file path=word/footer1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51C1005" w14:textId="77777777" w:rsidR="0027249A" w:rsidRDefault="0027249A">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61EF43E" w14:textId="77777777" w:rsidR="0038289B" w:rsidRPr="00E4133A" w:rsidRDefault="0038289B" w:rsidP="00014566">
      <w:r w:rsidRPr="00E4133A">
        <w:separator/>
      </w:r>
    </w:p>
  </w:footnote>
  <w:footnote w:type="continuationSeparator" w:id="0">
    <w:p w14:paraId="62D22838" w14:textId="77777777" w:rsidR="0038289B" w:rsidRPr="00E4133A" w:rsidRDefault="0038289B" w:rsidP="00014566">
      <w:r w:rsidRPr="00E4133A">
        <w:continuationSeparator/>
      </w:r>
    </w:p>
  </w:footnote>
  <w:footnote w:id="1">
    <w:p w14:paraId="01FA4569" w14:textId="77777777" w:rsidR="00457A6C" w:rsidRPr="001303AF" w:rsidRDefault="00457A6C" w:rsidP="00457A6C">
      <w:pPr>
        <w:pStyle w:val="Tekstprzypisudolnego"/>
        <w:rPr>
          <w:lang w:val="pl-PL"/>
        </w:rPr>
      </w:pPr>
      <w:r w:rsidRPr="001303AF">
        <w:rPr>
          <w:rStyle w:val="Odwoanieprzypisudolnego"/>
          <w:vertAlign w:val="baseline"/>
          <w:lang w:val="pl-PL"/>
        </w:rPr>
        <w:footnoteRef/>
      </w:r>
      <w:r w:rsidRPr="001303AF">
        <w:rPr>
          <w:lang w:val="pl-PL"/>
        </w:rPr>
        <w:t>.  </w:t>
      </w:r>
      <w:r w:rsidRPr="001303AF">
        <w:rPr>
          <w:i/>
          <w:lang w:val="pl-PL"/>
        </w:rPr>
        <w:t>McKerr p. Zjednoczonemu Królestwu</w:t>
      </w:r>
      <w:r w:rsidRPr="001303AF">
        <w:rPr>
          <w:lang w:val="pl-PL"/>
        </w:rPr>
        <w:t>, nr 28883/95, ETPCz 2001</w:t>
      </w:r>
      <w:r w:rsidRPr="001303AF">
        <w:rPr>
          <w:lang w:val="pl-PL"/>
        </w:rPr>
        <w:noBreakHyphen/>
        <w:t xml:space="preserve">III; </w:t>
      </w:r>
      <w:r w:rsidRPr="001303AF">
        <w:rPr>
          <w:i/>
          <w:lang w:val="pl-PL"/>
        </w:rPr>
        <w:t>Kelly i Inni p. Zjednoczonemu Królestwu</w:t>
      </w:r>
      <w:r w:rsidRPr="001303AF">
        <w:rPr>
          <w:lang w:val="pl-PL"/>
        </w:rPr>
        <w:t xml:space="preserve">, nr 30054/96, 4 maja 2001 r.; </w:t>
      </w:r>
      <w:r w:rsidRPr="001303AF">
        <w:rPr>
          <w:i/>
          <w:lang w:val="pl-PL"/>
        </w:rPr>
        <w:t>Shanaghan p. Zjednoczonemu Królestwu</w:t>
      </w:r>
      <w:r w:rsidRPr="001303AF">
        <w:rPr>
          <w:lang w:val="pl-PL"/>
        </w:rPr>
        <w:t>, nr 37715/97, 4 maja 2001 r. oraz</w:t>
      </w:r>
      <w:r w:rsidRPr="001303AF">
        <w:rPr>
          <w:i/>
          <w:lang w:val="pl-PL"/>
        </w:rPr>
        <w:t xml:space="preserve"> Hugh Jordan p. Zjednoczonemu Królestwu</w:t>
      </w:r>
      <w:r w:rsidRPr="001303AF">
        <w:rPr>
          <w:lang w:val="pl-PL"/>
        </w:rPr>
        <w:t>, nr 24746/94, ETPCz 2001</w:t>
      </w:r>
      <w:r w:rsidRPr="001303AF">
        <w:rPr>
          <w:lang w:val="pl-PL"/>
        </w:rPr>
        <w:noBreakHyphen/>
        <w:t>III (fragmenty).</w:t>
      </w:r>
    </w:p>
  </w:footnote>
  <w:footnote w:id="2">
    <w:p w14:paraId="794585A3" w14:textId="7947FD69" w:rsidR="00457A6C" w:rsidRPr="001303AF" w:rsidRDefault="00457A6C" w:rsidP="00457A6C">
      <w:pPr>
        <w:pStyle w:val="Tekstprzypisudolnego"/>
        <w:rPr>
          <w:lang w:val="pl-PL"/>
        </w:rPr>
      </w:pPr>
      <w:r w:rsidRPr="001303AF">
        <w:rPr>
          <w:rStyle w:val="Odwoanieprzypisudolnego"/>
          <w:vertAlign w:val="baseline"/>
          <w:lang w:val="pl-PL"/>
        </w:rPr>
        <w:footnoteRef/>
      </w:r>
      <w:r w:rsidRPr="001303AF">
        <w:rPr>
          <w:lang w:val="pl-PL"/>
        </w:rPr>
        <w:t xml:space="preserve">.  Zob. </w:t>
      </w:r>
      <w:r w:rsidRPr="001303AF">
        <w:rPr>
          <w:i/>
          <w:lang w:val="pl-PL"/>
        </w:rPr>
        <w:t>Hugh Jordan p. Zjednoczonemu Królestwu</w:t>
      </w:r>
      <w:r w:rsidRPr="001303AF">
        <w:rPr>
          <w:lang w:val="pl-PL"/>
        </w:rPr>
        <w:t xml:space="preserve">, cyt. powyżej, § 105; </w:t>
      </w:r>
      <w:r w:rsidRPr="001303AF">
        <w:rPr>
          <w:i/>
          <w:lang w:val="pl-PL"/>
        </w:rPr>
        <w:t>Giuliani i Gaggio p. Włochom</w:t>
      </w:r>
      <w:r w:rsidRPr="001303AF">
        <w:rPr>
          <w:lang w:val="pl-PL"/>
        </w:rPr>
        <w:t xml:space="preserve"> [WI], nr 23458/02, § 300, ETPCz 2011 </w:t>
      </w:r>
      <w:r w:rsidRPr="001303AF">
        <w:rPr>
          <w:color w:val="000000"/>
          <w:lang w:val="pl-PL"/>
        </w:rPr>
        <w:t>(fragmenty)</w:t>
      </w:r>
      <w:r w:rsidRPr="001303AF">
        <w:rPr>
          <w:lang w:val="pl-PL"/>
        </w:rPr>
        <w:t xml:space="preserve">; </w:t>
      </w:r>
      <w:r w:rsidRPr="001303AF">
        <w:rPr>
          <w:i/>
          <w:lang w:val="pl-PL"/>
        </w:rPr>
        <w:t>Ramsahai i Inni p. </w:t>
      </w:r>
      <w:r w:rsidR="001E389F">
        <w:rPr>
          <w:i/>
          <w:lang w:val="pl-PL"/>
        </w:rPr>
        <w:t>Holandii</w:t>
      </w:r>
      <w:r w:rsidR="001E389F" w:rsidRPr="001303AF">
        <w:rPr>
          <w:lang w:val="pl-PL"/>
        </w:rPr>
        <w:t xml:space="preserve"> </w:t>
      </w:r>
      <w:r w:rsidRPr="001303AF">
        <w:rPr>
          <w:lang w:val="pl-PL"/>
        </w:rPr>
        <w:t>[WI], nr 52391/99, § 325, ETPCz 2007</w:t>
      </w:r>
      <w:r w:rsidRPr="001303AF">
        <w:rPr>
          <w:lang w:val="pl-PL"/>
        </w:rPr>
        <w:noBreakHyphen/>
        <w:t>II oraz</w:t>
      </w:r>
      <w:r w:rsidRPr="001303AF">
        <w:rPr>
          <w:i/>
          <w:lang w:val="pl-PL"/>
        </w:rPr>
        <w:t xml:space="preserve"> Mastromatteo p. Włochom</w:t>
      </w:r>
      <w:r w:rsidRPr="001303AF">
        <w:rPr>
          <w:lang w:val="pl-PL"/>
        </w:rPr>
        <w:t xml:space="preserve"> [WI], nr 37703/97, § 91, ETPCz 2002</w:t>
      </w:r>
      <w:r w:rsidRPr="001303AF">
        <w:rPr>
          <w:lang w:val="pl-PL"/>
        </w:rPr>
        <w:noBreakHyphen/>
        <w:t>VIII.</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2E898C1" w14:textId="77777777" w:rsidR="0027249A" w:rsidRPr="00A45145" w:rsidRDefault="0027249A" w:rsidP="0024168A">
    <w:pPr>
      <w:jc w:val="center"/>
    </w:pPr>
    <w:r>
      <w:rPr>
        <w:noProof/>
        <w:lang w:val="pl-PL" w:eastAsia="pl-PL"/>
      </w:rPr>
      <w:drawing>
        <wp:inline distT="0" distB="0" distL="0" distR="0" wp14:anchorId="11F4BE33" wp14:editId="75315250">
          <wp:extent cx="2962275" cy="1219200"/>
          <wp:effectExtent l="0" t="0" r="9525" b="0"/>
          <wp:docPr id="1" name="Picture 1"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962275" cy="1219200"/>
                  </a:xfrm>
                  <a:prstGeom prst="rect">
                    <a:avLst/>
                  </a:prstGeom>
                  <a:noFill/>
                  <a:ln>
                    <a:noFill/>
                  </a:ln>
                </pic:spPr>
              </pic:pic>
            </a:graphicData>
          </a:graphic>
        </wp:inline>
      </w:drawing>
    </w:r>
  </w:p>
  <w:p w14:paraId="60391421" w14:textId="77777777" w:rsidR="0027249A" w:rsidRPr="008D5A13" w:rsidRDefault="0027249A" w:rsidP="0024168A">
    <w:pPr>
      <w:jc w:val="center"/>
      <w:rPr>
        <w:sz w:val="4"/>
        <w:szCs w:val="4"/>
      </w:rP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9547393" w14:textId="77777777" w:rsidR="0027249A" w:rsidRPr="00A45145" w:rsidRDefault="0027249A" w:rsidP="0024168A">
    <w:pPr>
      <w:jc w:val="center"/>
    </w:pPr>
    <w:r>
      <w:rPr>
        <w:noProof/>
        <w:lang w:val="pl-PL" w:eastAsia="pl-PL"/>
      </w:rPr>
      <w:drawing>
        <wp:inline distT="0" distB="0" distL="0" distR="0" wp14:anchorId="35ECB9BB" wp14:editId="559E191E">
          <wp:extent cx="2962275" cy="1219200"/>
          <wp:effectExtent l="0" t="0" r="9525" b="0"/>
          <wp:docPr id="3" name="Picture 3"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962275" cy="1219200"/>
                  </a:xfrm>
                  <a:prstGeom prst="rect">
                    <a:avLst/>
                  </a:prstGeom>
                  <a:noFill/>
                  <a:ln>
                    <a:noFill/>
                  </a:ln>
                </pic:spPr>
              </pic:pic>
            </a:graphicData>
          </a:graphic>
        </wp:inline>
      </w:drawing>
    </w:r>
  </w:p>
  <w:p w14:paraId="57E285B3" w14:textId="77777777" w:rsidR="0027249A" w:rsidRPr="008D5A13" w:rsidRDefault="0027249A"/>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B24BCC5" w14:textId="2EFC7382" w:rsidR="00457A6C" w:rsidRPr="002A0F6F" w:rsidRDefault="00457A6C" w:rsidP="002A0F6F">
    <w:pPr>
      <w:pStyle w:val="ECHRHeader"/>
      <w:rPr>
        <w:lang w:val="pl-PL"/>
      </w:rPr>
    </w:pPr>
    <w:r>
      <w:rPr>
        <w:rStyle w:val="Numerstrony"/>
        <w:szCs w:val="18"/>
      </w:rPr>
      <w:fldChar w:fldCharType="begin"/>
    </w:r>
    <w:r w:rsidRPr="002A0F6F">
      <w:rPr>
        <w:rStyle w:val="Numerstrony"/>
        <w:szCs w:val="18"/>
        <w:lang w:val="pl-PL"/>
      </w:rPr>
      <w:instrText xml:space="preserve"> PAGE </w:instrText>
    </w:r>
    <w:r>
      <w:rPr>
        <w:rStyle w:val="Numerstrony"/>
        <w:szCs w:val="18"/>
      </w:rPr>
      <w:fldChar w:fldCharType="separate"/>
    </w:r>
    <w:r w:rsidR="004779A4">
      <w:rPr>
        <w:rStyle w:val="Numerstrony"/>
        <w:noProof/>
        <w:szCs w:val="18"/>
        <w:lang w:val="pl-PL"/>
      </w:rPr>
      <w:t>18</w:t>
    </w:r>
    <w:r>
      <w:rPr>
        <w:rStyle w:val="Numerstrony"/>
        <w:szCs w:val="18"/>
      </w:rPr>
      <w:fldChar w:fldCharType="end"/>
    </w:r>
    <w:r>
      <w:rPr>
        <w:lang w:val="pl-PL"/>
      </w:rPr>
      <w:tab/>
      <w:t>WYROK MAZEPA I INNI P</w:t>
    </w:r>
    <w:r w:rsidRPr="002A0F6F">
      <w:rPr>
        <w:lang w:val="pl-PL"/>
      </w:rPr>
      <w:t>. ROSJI</w:t>
    </w: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87D6CA9" w14:textId="538115BF" w:rsidR="00457A6C" w:rsidRPr="002A0F6F" w:rsidRDefault="00457A6C" w:rsidP="002A0F6F">
    <w:pPr>
      <w:pStyle w:val="ECHRHeader"/>
      <w:rPr>
        <w:lang w:val="pl-PL"/>
      </w:rPr>
    </w:pPr>
    <w:r w:rsidRPr="00E4133A">
      <w:tab/>
    </w:r>
    <w:r>
      <w:rPr>
        <w:lang w:val="pl-PL"/>
      </w:rPr>
      <w:t>WYROK MAZEPA I INNI P</w:t>
    </w:r>
    <w:r w:rsidRPr="002A0F6F">
      <w:rPr>
        <w:lang w:val="pl-PL"/>
      </w:rPr>
      <w:t>. ROSJI</w:t>
    </w:r>
    <w:r w:rsidRPr="002A0F6F">
      <w:rPr>
        <w:lang w:val="pl-PL"/>
      </w:rPr>
      <w:tab/>
    </w:r>
    <w:r>
      <w:rPr>
        <w:rStyle w:val="Numerstrony"/>
        <w:szCs w:val="18"/>
      </w:rPr>
      <w:fldChar w:fldCharType="begin"/>
    </w:r>
    <w:r w:rsidRPr="002A0F6F">
      <w:rPr>
        <w:rStyle w:val="Numerstrony"/>
        <w:szCs w:val="18"/>
        <w:lang w:val="pl-PL"/>
      </w:rPr>
      <w:instrText xml:space="preserve"> PAGE </w:instrText>
    </w:r>
    <w:r>
      <w:rPr>
        <w:rStyle w:val="Numerstrony"/>
        <w:szCs w:val="18"/>
      </w:rPr>
      <w:fldChar w:fldCharType="separate"/>
    </w:r>
    <w:r w:rsidR="004779A4">
      <w:rPr>
        <w:rStyle w:val="Numerstrony"/>
        <w:noProof/>
        <w:szCs w:val="18"/>
        <w:lang w:val="pl-PL"/>
      </w:rPr>
      <w:t>19</w:t>
    </w:r>
    <w:r>
      <w:rPr>
        <w:rStyle w:val="Numerstrony"/>
        <w:szCs w:val="18"/>
      </w:rPr>
      <w:fldChar w:fldCharType="end"/>
    </w:r>
  </w:p>
</w:hdr>
</file>

<file path=word/header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FE92DB6" w14:textId="28393D48" w:rsidR="00457A6C" w:rsidRPr="002A0F6F" w:rsidRDefault="00457A6C" w:rsidP="006D3A41">
    <w:pPr>
      <w:pStyle w:val="ECHRHeader"/>
      <w:rPr>
        <w:lang w:val="pl-PL"/>
      </w:rPr>
    </w:pPr>
    <w:r w:rsidRPr="00882CD5">
      <w:tab/>
    </w:r>
    <w:r w:rsidRPr="002A0F6F">
      <w:rPr>
        <w:lang w:val="pl-PL"/>
      </w:rPr>
      <w:t>WYROK ws. MAZEPA I INNI p. ROSJI</w:t>
    </w:r>
    <w:r w:rsidRPr="002A0F6F">
      <w:rPr>
        <w:lang w:val="pl-PL"/>
      </w:rPr>
      <w:tab/>
    </w:r>
    <w:r>
      <w:rPr>
        <w:rStyle w:val="Numerstrony"/>
      </w:rPr>
      <w:fldChar w:fldCharType="begin"/>
    </w:r>
    <w:r w:rsidRPr="002A0F6F">
      <w:rPr>
        <w:rStyle w:val="Numerstrony"/>
        <w:lang w:val="pl-PL"/>
      </w:rPr>
      <w:instrText xml:space="preserve"> PAGE </w:instrText>
    </w:r>
    <w:r>
      <w:rPr>
        <w:rStyle w:val="Numerstrony"/>
      </w:rPr>
      <w:fldChar w:fldCharType="separate"/>
    </w:r>
    <w:r w:rsidR="004779A4">
      <w:rPr>
        <w:rStyle w:val="Numerstrony"/>
        <w:noProof/>
        <w:lang w:val="pl-PL"/>
      </w:rPr>
      <w:t>1</w:t>
    </w:r>
    <w:r>
      <w:rPr>
        <w:rStyle w:val="Numerstrony"/>
      </w:rPr>
      <w:fldChar w:fldCharType="end"/>
    </w:r>
  </w:p>
  <w:p w14:paraId="5F8B8551" w14:textId="77777777" w:rsidR="00457A6C" w:rsidRPr="002A0F6F" w:rsidRDefault="00457A6C">
    <w:pPr>
      <w:pStyle w:val="Nagwek"/>
      <w:rPr>
        <w:lang w:val="pl-PL"/>
      </w:rPr>
    </w:pPr>
  </w:p>
</w:hdr>
</file>

<file path=word/header6.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5A771AE" w14:textId="74D15B4D" w:rsidR="00457A6C" w:rsidRPr="002A0F6F" w:rsidRDefault="00457A6C" w:rsidP="00EE1DA9">
    <w:pPr>
      <w:pStyle w:val="ECHRHeader"/>
      <w:rPr>
        <w:lang w:val="pl-PL"/>
      </w:rPr>
    </w:pPr>
    <w:r>
      <w:rPr>
        <w:rStyle w:val="Numerstrony"/>
        <w:szCs w:val="18"/>
      </w:rPr>
      <w:fldChar w:fldCharType="begin"/>
    </w:r>
    <w:r w:rsidRPr="002A0F6F">
      <w:rPr>
        <w:rStyle w:val="Numerstrony"/>
        <w:szCs w:val="18"/>
        <w:lang w:val="pl-PL"/>
      </w:rPr>
      <w:instrText xml:space="preserve"> PAGE </w:instrText>
    </w:r>
    <w:r>
      <w:rPr>
        <w:rStyle w:val="Numerstrony"/>
        <w:szCs w:val="18"/>
      </w:rPr>
      <w:fldChar w:fldCharType="separate"/>
    </w:r>
    <w:r w:rsidR="00664E93">
      <w:rPr>
        <w:rStyle w:val="Numerstrony"/>
        <w:noProof/>
        <w:szCs w:val="18"/>
        <w:lang w:val="pl-PL"/>
      </w:rPr>
      <w:t>22</w:t>
    </w:r>
    <w:r>
      <w:rPr>
        <w:rStyle w:val="Numerstrony"/>
        <w:szCs w:val="18"/>
      </w:rPr>
      <w:fldChar w:fldCharType="end"/>
    </w:r>
    <w:r>
      <w:rPr>
        <w:lang w:val="pl-PL"/>
      </w:rPr>
      <w:tab/>
      <w:t>WYROK MAZEPA I INNI P</w:t>
    </w:r>
    <w:r w:rsidRPr="002A0F6F">
      <w:rPr>
        <w:lang w:val="pl-PL"/>
      </w:rPr>
      <w:t xml:space="preserve">. ROSJI – </w:t>
    </w:r>
    <w:r>
      <w:rPr>
        <w:lang w:val="pl-PL"/>
      </w:rPr>
      <w:t>OPINIE ODRĘBNE</w:t>
    </w:r>
  </w:p>
</w:hdr>
</file>

<file path=word/header7.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8AB0B6B" w14:textId="7E5AFA78" w:rsidR="00457A6C" w:rsidRPr="002A0F6F" w:rsidRDefault="00457A6C" w:rsidP="00D60D87">
    <w:pPr>
      <w:pStyle w:val="ECHRHeader"/>
      <w:rPr>
        <w:lang w:val="pl-PL"/>
      </w:rPr>
    </w:pPr>
    <w:r w:rsidRPr="00E4133A">
      <w:tab/>
    </w:r>
    <w:r>
      <w:rPr>
        <w:lang w:val="pl-PL"/>
      </w:rPr>
      <w:t>WYROK MAZEPA I INNI P</w:t>
    </w:r>
    <w:r w:rsidRPr="002A0F6F">
      <w:rPr>
        <w:lang w:val="pl-PL"/>
      </w:rPr>
      <w:t xml:space="preserve">. ROSJI – </w:t>
    </w:r>
    <w:r>
      <w:rPr>
        <w:lang w:val="pl-PL"/>
      </w:rPr>
      <w:t>OPINIE ODRĘBNE</w:t>
    </w:r>
    <w:r w:rsidRPr="002A0F6F">
      <w:rPr>
        <w:lang w:val="pl-PL"/>
      </w:rPr>
      <w:tab/>
    </w:r>
    <w:r>
      <w:rPr>
        <w:rStyle w:val="Numerstrony"/>
        <w:szCs w:val="18"/>
      </w:rPr>
      <w:fldChar w:fldCharType="begin"/>
    </w:r>
    <w:r w:rsidRPr="002A0F6F">
      <w:rPr>
        <w:rStyle w:val="Numerstrony"/>
        <w:szCs w:val="18"/>
        <w:lang w:val="pl-PL"/>
      </w:rPr>
      <w:instrText xml:space="preserve"> PAGE </w:instrText>
    </w:r>
    <w:r>
      <w:rPr>
        <w:rStyle w:val="Numerstrony"/>
        <w:szCs w:val="18"/>
      </w:rPr>
      <w:fldChar w:fldCharType="separate"/>
    </w:r>
    <w:r w:rsidR="00664E93">
      <w:rPr>
        <w:rStyle w:val="Numerstrony"/>
        <w:noProof/>
        <w:szCs w:val="18"/>
        <w:lang w:val="pl-PL"/>
      </w:rPr>
      <w:t>21</w:t>
    </w:r>
    <w:r>
      <w:rPr>
        <w:rStyle w:val="Numerstrony"/>
        <w:szCs w:val="18"/>
      </w:rPr>
      <w:fldChar w:fldCharType="end"/>
    </w:r>
  </w:p>
</w:hdr>
</file>

<file path=word/header8.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A53C114" w14:textId="4459E3FD" w:rsidR="00457A6C" w:rsidRPr="002A0F6F" w:rsidRDefault="00457A6C" w:rsidP="002B407F">
    <w:pPr>
      <w:pStyle w:val="ECHRHeader"/>
      <w:rPr>
        <w:lang w:val="pl-PL"/>
      </w:rPr>
    </w:pPr>
    <w:r>
      <w:rPr>
        <w:lang w:val="fr-FR"/>
      </w:rPr>
      <w:fldChar w:fldCharType="begin"/>
    </w:r>
    <w:r w:rsidRPr="002A0F6F">
      <w:rPr>
        <w:lang w:val="pl-PL"/>
      </w:rPr>
      <w:instrText xml:space="preserve"> PAGE </w:instrText>
    </w:r>
    <w:r>
      <w:rPr>
        <w:lang w:val="fr-FR"/>
      </w:rPr>
      <w:fldChar w:fldCharType="separate"/>
    </w:r>
    <w:r w:rsidR="00664E93">
      <w:rPr>
        <w:noProof/>
        <w:lang w:val="pl-PL"/>
      </w:rPr>
      <w:t>20</w:t>
    </w:r>
    <w:r>
      <w:rPr>
        <w:lang w:val="fr-FR"/>
      </w:rPr>
      <w:fldChar w:fldCharType="end"/>
    </w:r>
    <w:r w:rsidRPr="002A0F6F">
      <w:rPr>
        <w:lang w:val="pl-PL"/>
      </w:rPr>
      <w:tab/>
      <w:t xml:space="preserve">WYROK </w:t>
    </w:r>
    <w:r>
      <w:rPr>
        <w:lang w:val="pl-PL"/>
      </w:rPr>
      <w:t>MAZEPA I INNI P</w:t>
    </w:r>
    <w:r w:rsidRPr="002A0F6F">
      <w:rPr>
        <w:lang w:val="pl-PL"/>
      </w:rPr>
      <w:t xml:space="preserve">. ROSJI – </w:t>
    </w:r>
    <w:r>
      <w:rPr>
        <w:lang w:val="pl-PL"/>
      </w:rPr>
      <w:t>OPINIE ODRĘBNE</w:t>
    </w:r>
    <w:r w:rsidRPr="002A0F6F">
      <w:rPr>
        <w:lang w:val="pl-PL"/>
      </w:rPr>
      <w:tab/>
    </w:r>
  </w:p>
</w:hdr>
</file>

<file path=word/header9.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41D3985" w14:textId="675DE630" w:rsidR="00457A6C" w:rsidRPr="002A0F6F" w:rsidRDefault="00457A6C" w:rsidP="00EE1DA9">
    <w:pPr>
      <w:pStyle w:val="ECHRHeader"/>
      <w:rPr>
        <w:lang w:val="pl-PL"/>
      </w:rPr>
    </w:pPr>
    <w:r>
      <w:rPr>
        <w:rStyle w:val="Numerstrony"/>
        <w:szCs w:val="18"/>
      </w:rPr>
      <w:fldChar w:fldCharType="begin"/>
    </w:r>
    <w:r w:rsidRPr="002A0F6F">
      <w:rPr>
        <w:rStyle w:val="Numerstrony"/>
        <w:szCs w:val="18"/>
        <w:lang w:val="pl-PL"/>
      </w:rPr>
      <w:instrText xml:space="preserve"> PAGE </w:instrText>
    </w:r>
    <w:r>
      <w:rPr>
        <w:rStyle w:val="Numerstrony"/>
        <w:szCs w:val="18"/>
      </w:rPr>
      <w:fldChar w:fldCharType="separate"/>
    </w:r>
    <w:r w:rsidR="00664E93">
      <w:rPr>
        <w:rStyle w:val="Numerstrony"/>
        <w:noProof/>
        <w:szCs w:val="18"/>
        <w:lang w:val="pl-PL"/>
      </w:rPr>
      <w:t>26</w:t>
    </w:r>
    <w:r>
      <w:rPr>
        <w:rStyle w:val="Numerstrony"/>
        <w:szCs w:val="18"/>
      </w:rPr>
      <w:fldChar w:fldCharType="end"/>
    </w:r>
    <w:r>
      <w:rPr>
        <w:lang w:val="pl-PL"/>
      </w:rPr>
      <w:tab/>
      <w:t>WYROK MAZEPA I INNI P</w:t>
    </w:r>
    <w:r w:rsidRPr="002A0F6F">
      <w:rPr>
        <w:lang w:val="pl-PL"/>
      </w:rPr>
      <w:t xml:space="preserve">. ROSJI – </w:t>
    </w:r>
    <w:r>
      <w:rPr>
        <w:lang w:val="pl-PL"/>
      </w:rPr>
      <w:t>OPINIE ODRĘBNE</w:t>
    </w:r>
  </w:p>
</w:hdr>
</file>

<file path=word/header10.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73F69E3" w14:textId="2556B73C" w:rsidR="00457A6C" w:rsidRPr="002A0F6F" w:rsidRDefault="00457A6C" w:rsidP="002B407F">
    <w:pPr>
      <w:pStyle w:val="ECHRHeader"/>
      <w:rPr>
        <w:lang w:val="pl-PL"/>
      </w:rPr>
    </w:pPr>
    <w:r w:rsidRPr="00E4133A">
      <w:tab/>
    </w:r>
    <w:r w:rsidRPr="002A0F6F">
      <w:rPr>
        <w:lang w:val="pl-PL"/>
      </w:rPr>
      <w:t xml:space="preserve">WYROK </w:t>
    </w:r>
    <w:r>
      <w:rPr>
        <w:lang w:val="pl-PL"/>
      </w:rPr>
      <w:t>MAZEPA I INNI P</w:t>
    </w:r>
    <w:r w:rsidRPr="002A0F6F">
      <w:rPr>
        <w:lang w:val="pl-PL"/>
      </w:rPr>
      <w:t xml:space="preserve">. ROSJI – </w:t>
    </w:r>
    <w:r>
      <w:rPr>
        <w:lang w:val="pl-PL"/>
      </w:rPr>
      <w:t>OPINIE ODRĘBNE</w:t>
    </w:r>
    <w:r w:rsidRPr="002A0F6F">
      <w:rPr>
        <w:lang w:val="pl-PL"/>
      </w:rPr>
      <w:tab/>
    </w:r>
    <w:r>
      <w:rPr>
        <w:rStyle w:val="Numerstrony"/>
        <w:szCs w:val="18"/>
      </w:rPr>
      <w:fldChar w:fldCharType="begin"/>
    </w:r>
    <w:r w:rsidRPr="002A0F6F">
      <w:rPr>
        <w:rStyle w:val="Numerstrony"/>
        <w:szCs w:val="18"/>
        <w:lang w:val="pl-PL"/>
      </w:rPr>
      <w:instrText xml:space="preserve"> PAGE </w:instrText>
    </w:r>
    <w:r>
      <w:rPr>
        <w:rStyle w:val="Numerstrony"/>
        <w:szCs w:val="18"/>
      </w:rPr>
      <w:fldChar w:fldCharType="separate"/>
    </w:r>
    <w:r w:rsidR="00664E93">
      <w:rPr>
        <w:rStyle w:val="Numerstrony"/>
        <w:noProof/>
        <w:szCs w:val="18"/>
        <w:lang w:val="pl-PL"/>
      </w:rPr>
      <w:t>27</w:t>
    </w:r>
    <w:r>
      <w:rPr>
        <w:rStyle w:val="Numerstrony"/>
        <w:szCs w:val="18"/>
      </w:rPr>
      <w:fldChar w:fldCharType="end"/>
    </w:r>
  </w:p>
</w:hdr>
</file>

<file path=word/header1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9FA867B" w14:textId="0E0E2173" w:rsidR="00457A6C" w:rsidRPr="002A0F6F" w:rsidRDefault="00457A6C" w:rsidP="002B407F">
    <w:pPr>
      <w:pStyle w:val="ECHRHeader"/>
      <w:rPr>
        <w:lang w:val="pl-PL"/>
      </w:rPr>
    </w:pPr>
    <w:r w:rsidRPr="00882CD5">
      <w:tab/>
    </w:r>
    <w:r w:rsidRPr="002A0F6F">
      <w:rPr>
        <w:lang w:val="pl-PL"/>
      </w:rPr>
      <w:t xml:space="preserve">WYROK </w:t>
    </w:r>
    <w:r>
      <w:rPr>
        <w:lang w:val="pl-PL"/>
      </w:rPr>
      <w:t>MAZEPA I INNI P</w:t>
    </w:r>
    <w:r w:rsidRPr="002A0F6F">
      <w:rPr>
        <w:lang w:val="pl-PL"/>
      </w:rPr>
      <w:t xml:space="preserve">. ROSJI – </w:t>
    </w:r>
    <w:r>
      <w:rPr>
        <w:lang w:val="pl-PL"/>
      </w:rPr>
      <w:t>OPINIE ODRĘBNE</w:t>
    </w:r>
    <w:r w:rsidRPr="002A0F6F">
      <w:rPr>
        <w:lang w:val="pl-PL"/>
      </w:rPr>
      <w:tab/>
    </w:r>
    <w:r>
      <w:rPr>
        <w:lang w:val="fr-FR"/>
      </w:rPr>
      <w:fldChar w:fldCharType="begin"/>
    </w:r>
    <w:r w:rsidRPr="002A0F6F">
      <w:rPr>
        <w:lang w:val="pl-PL"/>
      </w:rPr>
      <w:instrText xml:space="preserve"> PAGE </w:instrText>
    </w:r>
    <w:r>
      <w:rPr>
        <w:lang w:val="fr-FR"/>
      </w:rPr>
      <w:fldChar w:fldCharType="separate"/>
    </w:r>
    <w:r w:rsidR="00664E93">
      <w:rPr>
        <w:noProof/>
        <w:lang w:val="pl-PL"/>
      </w:rPr>
      <w:t>25</w:t>
    </w:r>
    <w:r>
      <w:rPr>
        <w:lang w:val="fr-FR"/>
      </w:rPr>
      <w:fldChar w:fldCharType="end"/>
    </w:r>
  </w:p>
</w:hdr>
</file>

<file path=word/header1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5BA4D14" w14:textId="71E56416" w:rsidR="0027249A" w:rsidRPr="00E4133A" w:rsidRDefault="0027249A" w:rsidP="00EE1DA9">
    <w:pPr>
      <w:pStyle w:val="ECHRHeader"/>
    </w:pPr>
    <w:r>
      <w:rPr>
        <w:rStyle w:val="Numerstrony"/>
        <w:szCs w:val="18"/>
      </w:rPr>
      <w:fldChar w:fldCharType="begin"/>
    </w:r>
    <w:r>
      <w:rPr>
        <w:rStyle w:val="Numerstrony"/>
        <w:szCs w:val="18"/>
      </w:rPr>
      <w:instrText xml:space="preserve"> PAGE </w:instrText>
    </w:r>
    <w:r>
      <w:rPr>
        <w:rStyle w:val="Numerstrony"/>
        <w:szCs w:val="18"/>
      </w:rPr>
      <w:fldChar w:fldCharType="separate"/>
    </w:r>
    <w:r w:rsidR="00457A6C">
      <w:rPr>
        <w:rStyle w:val="Numerstrony"/>
        <w:noProof/>
        <w:szCs w:val="18"/>
      </w:rPr>
      <w:t>14</w:t>
    </w:r>
    <w:r>
      <w:rPr>
        <w:rStyle w:val="Numerstrony"/>
        <w:szCs w:val="18"/>
      </w:rPr>
      <w:fldChar w:fldCharType="end"/>
    </w:r>
    <w:r w:rsidRPr="00E4133A">
      <w:tab/>
    </w:r>
    <w:r w:rsidRPr="006D3A41">
      <w:t>MAZEPA AND OTHERS v. RUSSIA JUDGMENT</w:t>
    </w:r>
  </w:p>
</w:hdr>
</file>

<file path=word/header1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8D1946A" w14:textId="618E9B19" w:rsidR="0027249A" w:rsidRPr="00E4133A" w:rsidRDefault="0027249A" w:rsidP="00D60D87">
    <w:pPr>
      <w:pStyle w:val="ECHRHeader"/>
    </w:pPr>
    <w:r w:rsidRPr="00E4133A">
      <w:tab/>
    </w:r>
    <w:r w:rsidRPr="006D3A41">
      <w:t>MAZEPA AND OTHERS v. RUSSIA JUDGMENT</w:t>
    </w:r>
    <w:r w:rsidRPr="00E4133A">
      <w:tab/>
    </w:r>
    <w:r>
      <w:rPr>
        <w:rStyle w:val="Numerstrony"/>
        <w:szCs w:val="18"/>
      </w:rPr>
      <w:fldChar w:fldCharType="begin"/>
    </w:r>
    <w:r>
      <w:rPr>
        <w:rStyle w:val="Numerstrony"/>
        <w:szCs w:val="18"/>
      </w:rPr>
      <w:instrText xml:space="preserve"> PAGE </w:instrText>
    </w:r>
    <w:r>
      <w:rPr>
        <w:rStyle w:val="Numerstrony"/>
        <w:szCs w:val="18"/>
      </w:rPr>
      <w:fldChar w:fldCharType="separate"/>
    </w:r>
    <w:r w:rsidR="00457A6C">
      <w:rPr>
        <w:rStyle w:val="Numerstrony"/>
        <w:noProof/>
        <w:szCs w:val="18"/>
      </w:rPr>
      <w:t>13</w:t>
    </w:r>
    <w:r>
      <w:rPr>
        <w:rStyle w:val="Numerstrony"/>
        <w:szCs w:val="18"/>
      </w:rPr>
      <w:fldChar w:fldCharType="end"/>
    </w:r>
  </w:p>
</w:hdr>
</file>

<file path=word/header1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7037765" w14:textId="5F9EDF43" w:rsidR="0027249A" w:rsidRPr="0076124B" w:rsidRDefault="0027249A" w:rsidP="006D3A41">
    <w:pPr>
      <w:pStyle w:val="ECHRHeader"/>
      <w:rPr>
        <w:lang w:val="pl-PL"/>
      </w:rPr>
    </w:pPr>
    <w:r w:rsidRPr="00882CD5">
      <w:tab/>
    </w:r>
    <w:r w:rsidR="0076124B" w:rsidRPr="002A0F6F">
      <w:rPr>
        <w:lang w:val="pl-PL"/>
      </w:rPr>
      <w:t xml:space="preserve">WYROK </w:t>
    </w:r>
    <w:r w:rsidR="0076124B">
      <w:rPr>
        <w:lang w:val="pl-PL"/>
      </w:rPr>
      <w:t>MAZEPA I INNI P</w:t>
    </w:r>
    <w:r w:rsidR="0076124B" w:rsidRPr="002A0F6F">
      <w:rPr>
        <w:lang w:val="pl-PL"/>
      </w:rPr>
      <w:t>. ROSJI</w:t>
    </w:r>
    <w:r w:rsidRPr="0076124B">
      <w:rPr>
        <w:lang w:val="pl-PL"/>
      </w:rPr>
      <w:tab/>
    </w:r>
    <w:r>
      <w:rPr>
        <w:lang w:val="fr-FR"/>
      </w:rPr>
      <w:fldChar w:fldCharType="begin"/>
    </w:r>
    <w:r w:rsidRPr="0076124B">
      <w:rPr>
        <w:lang w:val="pl-PL"/>
      </w:rPr>
      <w:instrText xml:space="preserve"> PAGE </w:instrText>
    </w:r>
    <w:r>
      <w:rPr>
        <w:lang w:val="fr-FR"/>
      </w:rPr>
      <w:fldChar w:fldCharType="separate"/>
    </w:r>
    <w:r w:rsidR="00664E93">
      <w:rPr>
        <w:noProof/>
        <w:lang w:val="pl-PL"/>
      </w:rPr>
      <w:t>28</w:t>
    </w:r>
    <w:r>
      <w:rPr>
        <w:lang w:val="fr-FR"/>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00180FE6"/>
    <w:lvl w:ilvl="0">
      <w:start w:val="1"/>
      <w:numFmt w:val="decimal"/>
      <w:pStyle w:val="Listanumerowana5"/>
      <w:lvlText w:val="%1."/>
      <w:lvlJc w:val="left"/>
      <w:pPr>
        <w:tabs>
          <w:tab w:val="num" w:pos="1492"/>
        </w:tabs>
        <w:ind w:left="1492" w:hanging="360"/>
      </w:pPr>
    </w:lvl>
  </w:abstractNum>
  <w:abstractNum w:abstractNumId="1" w15:restartNumberingAfterBreak="0">
    <w:nsid w:val="FFFFFF7D"/>
    <w:multiLevelType w:val="singleLevel"/>
    <w:tmpl w:val="B90ECFBC"/>
    <w:lvl w:ilvl="0">
      <w:start w:val="1"/>
      <w:numFmt w:val="decimal"/>
      <w:pStyle w:val="Listanumerowana4"/>
      <w:lvlText w:val="%1."/>
      <w:lvlJc w:val="left"/>
      <w:pPr>
        <w:tabs>
          <w:tab w:val="num" w:pos="1209"/>
        </w:tabs>
        <w:ind w:left="1209" w:hanging="360"/>
      </w:pPr>
    </w:lvl>
  </w:abstractNum>
  <w:abstractNum w:abstractNumId="2" w15:restartNumberingAfterBreak="0">
    <w:nsid w:val="FFFFFF7E"/>
    <w:multiLevelType w:val="singleLevel"/>
    <w:tmpl w:val="C5B8BEFC"/>
    <w:lvl w:ilvl="0">
      <w:start w:val="1"/>
      <w:numFmt w:val="decimal"/>
      <w:pStyle w:val="Listanumerowana3"/>
      <w:lvlText w:val="%1."/>
      <w:lvlJc w:val="left"/>
      <w:pPr>
        <w:tabs>
          <w:tab w:val="num" w:pos="926"/>
        </w:tabs>
        <w:ind w:left="926" w:hanging="360"/>
      </w:pPr>
    </w:lvl>
  </w:abstractNum>
  <w:abstractNum w:abstractNumId="3" w15:restartNumberingAfterBreak="0">
    <w:nsid w:val="FFFFFF7F"/>
    <w:multiLevelType w:val="singleLevel"/>
    <w:tmpl w:val="6F1CF73A"/>
    <w:lvl w:ilvl="0">
      <w:start w:val="1"/>
      <w:numFmt w:val="decimal"/>
      <w:pStyle w:val="Listanumerowana2"/>
      <w:lvlText w:val="%1."/>
      <w:lvlJc w:val="left"/>
      <w:pPr>
        <w:tabs>
          <w:tab w:val="num" w:pos="643"/>
        </w:tabs>
        <w:ind w:left="643" w:hanging="360"/>
      </w:pPr>
    </w:lvl>
  </w:abstractNum>
  <w:abstractNum w:abstractNumId="4" w15:restartNumberingAfterBreak="0">
    <w:nsid w:val="FFFFFF80"/>
    <w:multiLevelType w:val="singleLevel"/>
    <w:tmpl w:val="23802660"/>
    <w:lvl w:ilvl="0">
      <w:start w:val="1"/>
      <w:numFmt w:val="bullet"/>
      <w:pStyle w:val="Listapunktowana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A0C2C346"/>
    <w:lvl w:ilvl="0">
      <w:start w:val="1"/>
      <w:numFmt w:val="bullet"/>
      <w:pStyle w:val="Listapunktowana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482EC3A"/>
    <w:lvl w:ilvl="0">
      <w:start w:val="1"/>
      <w:numFmt w:val="bullet"/>
      <w:pStyle w:val="Listapunktowana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7666B2C2"/>
    <w:lvl w:ilvl="0">
      <w:start w:val="1"/>
      <w:numFmt w:val="bullet"/>
      <w:pStyle w:val="Listapunktowana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B2760110"/>
    <w:lvl w:ilvl="0">
      <w:start w:val="1"/>
      <w:numFmt w:val="decimal"/>
      <w:pStyle w:val="Listanumerowana"/>
      <w:lvlText w:val="%1."/>
      <w:lvlJc w:val="left"/>
      <w:pPr>
        <w:tabs>
          <w:tab w:val="num" w:pos="360"/>
        </w:tabs>
        <w:ind w:left="360" w:hanging="360"/>
      </w:pPr>
    </w:lvl>
  </w:abstractNum>
  <w:abstractNum w:abstractNumId="9" w15:restartNumberingAfterBreak="0">
    <w:nsid w:val="0066004F"/>
    <w:multiLevelType w:val="multilevel"/>
    <w:tmpl w:val="040C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0" w15:restartNumberingAfterBreak="0">
    <w:nsid w:val="163F153D"/>
    <w:multiLevelType w:val="multilevel"/>
    <w:tmpl w:val="040C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15:restartNumberingAfterBreak="0">
    <w:nsid w:val="278F5E07"/>
    <w:multiLevelType w:val="hybridMultilevel"/>
    <w:tmpl w:val="2320CDAE"/>
    <w:lvl w:ilvl="0" w:tplc="0409000F">
      <w:start w:val="1"/>
      <w:numFmt w:val="decimal"/>
      <w:lvlText w:val="%1."/>
      <w:lvlJc w:val="left"/>
      <w:pPr>
        <w:ind w:left="644"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2A9E257C"/>
    <w:multiLevelType w:val="hybridMultilevel"/>
    <w:tmpl w:val="2320CDAE"/>
    <w:lvl w:ilvl="0" w:tplc="0409000F">
      <w:start w:val="1"/>
      <w:numFmt w:val="decimal"/>
      <w:lvlText w:val="%1."/>
      <w:lvlJc w:val="left"/>
      <w:pPr>
        <w:ind w:left="644"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4934172A"/>
    <w:multiLevelType w:val="hybridMultilevel"/>
    <w:tmpl w:val="BF6C3B90"/>
    <w:lvl w:ilvl="0" w:tplc="0415000B">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4" w15:restartNumberingAfterBreak="0">
    <w:nsid w:val="67FD1241"/>
    <w:multiLevelType w:val="hybridMultilevel"/>
    <w:tmpl w:val="F6D86CC2"/>
    <w:lvl w:ilvl="0" w:tplc="E4205412">
      <w:start w:val="1"/>
      <w:numFmt w:val="bullet"/>
      <w:pStyle w:val="Listapunktowana"/>
      <w:lvlText w:val=""/>
      <w:lvlJc w:val="left"/>
      <w:pPr>
        <w:tabs>
          <w:tab w:val="num" w:pos="851"/>
        </w:tabs>
        <w:ind w:left="568" w:firstLine="0"/>
      </w:pPr>
      <w:rPr>
        <w:rFonts w:ascii="Wingdings" w:hAnsi="Wingdings" w:hint="default"/>
        <w:color w:val="808080"/>
        <w:sz w:val="16"/>
      </w:rPr>
    </w:lvl>
    <w:lvl w:ilvl="1" w:tplc="08090003" w:tentative="1">
      <w:start w:val="1"/>
      <w:numFmt w:val="bullet"/>
      <w:lvlText w:val="o"/>
      <w:lvlJc w:val="left"/>
      <w:pPr>
        <w:tabs>
          <w:tab w:val="num" w:pos="1724"/>
        </w:tabs>
        <w:ind w:left="1724" w:hanging="360"/>
      </w:pPr>
      <w:rPr>
        <w:rFonts w:ascii="Courier New" w:hAnsi="Courier New" w:cs="Courier New" w:hint="default"/>
      </w:rPr>
    </w:lvl>
    <w:lvl w:ilvl="2" w:tplc="08090005" w:tentative="1">
      <w:start w:val="1"/>
      <w:numFmt w:val="bullet"/>
      <w:lvlText w:val=""/>
      <w:lvlJc w:val="left"/>
      <w:pPr>
        <w:tabs>
          <w:tab w:val="num" w:pos="2444"/>
        </w:tabs>
        <w:ind w:left="2444" w:hanging="360"/>
      </w:pPr>
      <w:rPr>
        <w:rFonts w:ascii="Wingdings" w:hAnsi="Wingdings" w:hint="default"/>
      </w:rPr>
    </w:lvl>
    <w:lvl w:ilvl="3" w:tplc="08090001" w:tentative="1">
      <w:start w:val="1"/>
      <w:numFmt w:val="bullet"/>
      <w:lvlText w:val=""/>
      <w:lvlJc w:val="left"/>
      <w:pPr>
        <w:tabs>
          <w:tab w:val="num" w:pos="3164"/>
        </w:tabs>
        <w:ind w:left="3164" w:hanging="360"/>
      </w:pPr>
      <w:rPr>
        <w:rFonts w:ascii="Symbol" w:hAnsi="Symbol" w:hint="default"/>
      </w:rPr>
    </w:lvl>
    <w:lvl w:ilvl="4" w:tplc="08090003" w:tentative="1">
      <w:start w:val="1"/>
      <w:numFmt w:val="bullet"/>
      <w:lvlText w:val="o"/>
      <w:lvlJc w:val="left"/>
      <w:pPr>
        <w:tabs>
          <w:tab w:val="num" w:pos="3884"/>
        </w:tabs>
        <w:ind w:left="3884" w:hanging="360"/>
      </w:pPr>
      <w:rPr>
        <w:rFonts w:ascii="Courier New" w:hAnsi="Courier New" w:cs="Courier New" w:hint="default"/>
      </w:rPr>
    </w:lvl>
    <w:lvl w:ilvl="5" w:tplc="08090005" w:tentative="1">
      <w:start w:val="1"/>
      <w:numFmt w:val="bullet"/>
      <w:lvlText w:val=""/>
      <w:lvlJc w:val="left"/>
      <w:pPr>
        <w:tabs>
          <w:tab w:val="num" w:pos="4604"/>
        </w:tabs>
        <w:ind w:left="4604" w:hanging="360"/>
      </w:pPr>
      <w:rPr>
        <w:rFonts w:ascii="Wingdings" w:hAnsi="Wingdings" w:hint="default"/>
      </w:rPr>
    </w:lvl>
    <w:lvl w:ilvl="6" w:tplc="08090001" w:tentative="1">
      <w:start w:val="1"/>
      <w:numFmt w:val="bullet"/>
      <w:lvlText w:val=""/>
      <w:lvlJc w:val="left"/>
      <w:pPr>
        <w:tabs>
          <w:tab w:val="num" w:pos="5324"/>
        </w:tabs>
        <w:ind w:left="5324" w:hanging="360"/>
      </w:pPr>
      <w:rPr>
        <w:rFonts w:ascii="Symbol" w:hAnsi="Symbol" w:hint="default"/>
      </w:rPr>
    </w:lvl>
    <w:lvl w:ilvl="7" w:tplc="08090003" w:tentative="1">
      <w:start w:val="1"/>
      <w:numFmt w:val="bullet"/>
      <w:lvlText w:val="o"/>
      <w:lvlJc w:val="left"/>
      <w:pPr>
        <w:tabs>
          <w:tab w:val="num" w:pos="6044"/>
        </w:tabs>
        <w:ind w:left="6044" w:hanging="360"/>
      </w:pPr>
      <w:rPr>
        <w:rFonts w:ascii="Courier New" w:hAnsi="Courier New" w:cs="Courier New" w:hint="default"/>
      </w:rPr>
    </w:lvl>
    <w:lvl w:ilvl="8" w:tplc="08090005" w:tentative="1">
      <w:start w:val="1"/>
      <w:numFmt w:val="bullet"/>
      <w:lvlText w:val=""/>
      <w:lvlJc w:val="left"/>
      <w:pPr>
        <w:tabs>
          <w:tab w:val="num" w:pos="6764"/>
        </w:tabs>
        <w:ind w:left="6764" w:hanging="360"/>
      </w:pPr>
      <w:rPr>
        <w:rFonts w:ascii="Wingdings" w:hAnsi="Wingdings" w:hint="default"/>
      </w:rPr>
    </w:lvl>
  </w:abstractNum>
  <w:abstractNum w:abstractNumId="15" w15:restartNumberingAfterBreak="0">
    <w:nsid w:val="76903243"/>
    <w:multiLevelType w:val="multilevel"/>
    <w:tmpl w:val="E884A926"/>
    <w:lvl w:ilvl="0">
      <w:start w:val="1"/>
      <w:numFmt w:val="decimal"/>
      <w:pStyle w:val="JuAppQuestion"/>
      <w:lvlText w:val="%1."/>
      <w:lvlJc w:val="left"/>
      <w:pPr>
        <w:tabs>
          <w:tab w:val="num" w:pos="720"/>
        </w:tabs>
        <w:ind w:left="720"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6" w15:restartNumberingAfterBreak="0">
    <w:nsid w:val="7737461D"/>
    <w:multiLevelType w:val="multilevel"/>
    <w:tmpl w:val="040C0023"/>
    <w:styleLink w:val="Artykusekcja"/>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num w:numId="1">
    <w:abstractNumId w:val="14"/>
  </w:num>
  <w:num w:numId="2">
    <w:abstractNumId w:val="10"/>
  </w:num>
  <w:num w:numId="3">
    <w:abstractNumId w:val="9"/>
  </w:num>
  <w:num w:numId="4">
    <w:abstractNumId w:val="16"/>
  </w:num>
  <w:num w:numId="5">
    <w:abstractNumId w:val="7"/>
  </w:num>
  <w:num w:numId="6">
    <w:abstractNumId w:val="6"/>
  </w:num>
  <w:num w:numId="7">
    <w:abstractNumId w:val="5"/>
  </w:num>
  <w:num w:numId="8">
    <w:abstractNumId w:val="4"/>
  </w:num>
  <w:num w:numId="9">
    <w:abstractNumId w:val="8"/>
  </w:num>
  <w:num w:numId="10">
    <w:abstractNumId w:val="3"/>
  </w:num>
  <w:num w:numId="11">
    <w:abstractNumId w:val="2"/>
  </w:num>
  <w:num w:numId="12">
    <w:abstractNumId w:val="1"/>
  </w:num>
  <w:num w:numId="13">
    <w:abstractNumId w:val="0"/>
  </w:num>
  <w:num w:numId="14">
    <w:abstractNumId w:val="15"/>
  </w:num>
  <w:num w:numId="15">
    <w:abstractNumId w:val="15"/>
  </w:num>
  <w:num w:numId="16">
    <w:abstractNumId w:val="15"/>
  </w:num>
  <w:num w:numId="17">
    <w:abstractNumId w:val="11"/>
  </w:num>
  <w:num w:numId="18">
    <w:abstractNumId w:val="15"/>
  </w:num>
  <w:num w:numId="19">
    <w:abstractNumId w:val="15"/>
  </w:num>
  <w:num w:numId="20">
    <w:abstractNumId w:val="15"/>
  </w:num>
  <w:num w:numId="21">
    <w:abstractNumId w:val="15"/>
  </w:num>
  <w:num w:numId="22">
    <w:abstractNumId w:val="15"/>
  </w:num>
  <w:num w:numId="23">
    <w:abstractNumId w:val="15"/>
  </w:num>
  <w:num w:numId="24">
    <w:abstractNumId w:val="12"/>
  </w:num>
  <w:num w:numId="25">
    <w:abstractNumId w:val="15"/>
  </w:num>
  <w:num w:numId="26">
    <w:abstractNumId w:val="15"/>
  </w:num>
  <w:num w:numId="27">
    <w:abstractNumId w:val="13"/>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removePersonalInformation/>
  <w:activeWritingStyle w:appName="MSWord" w:lang="pl-PL" w:vendorID="12" w:dllVersion="512" w:checkStyle="1"/>
  <w:stylePaneFormatFilter w:val="D004" w:allStyles="0" w:customStyles="0" w:latentStyles="1" w:stylesInUse="0" w:headingStyles="0" w:numberingStyles="0" w:tableStyles="0" w:directFormattingOnRuns="0" w:directFormattingOnParagraphs="0" w:directFormattingOnNumbering="0" w:directFormattingOnTables="0" w:clearFormatting="1" w:top3HeadingStyles="0" w:visibleStyles="1" w:alternateStyleNames="1"/>
  <w:defaultTabStop w:val="709"/>
  <w:hyphenationZone w:val="425"/>
  <w:evenAndOddHeaders/>
  <w:drawingGridHorizontalSpacing w:val="110"/>
  <w:displayHorizontalDrawingGridEvery w:val="2"/>
  <w:displayVerticalDrawingGridEvery w:val="2"/>
  <w:characterSpacingControl w:val="doNotCompress"/>
  <w:hdrShapeDefaults>
    <o:shapedefaults v:ext="edit" spidmax="2049"/>
  </w:hdrShapeDefaults>
  <w:footnotePr>
    <w:numRestart w:val="eachSect"/>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EMM" w:val="0"/>
    <w:docVar w:name="NBEMMDOC" w:val="0"/>
    <w:docVar w:name="WfBmTagged" w:val="2"/>
    <w:docVar w:name="WfID" w:val="--------"/>
    <w:docVar w:name="WfLargeDoc" w:val="no"/>
    <w:docVar w:name="WfLastSegment" w:val=" 106194 n"/>
    <w:docVar w:name="WfMT" w:val="0"/>
    <w:docVar w:name="WfProtection" w:val="1"/>
    <w:docVar w:name="WfRevTM" w:val="C:\Users\jankowskido\Documents\Wordfast\TMs\EN-PL\DPT.txt"/>
    <w:docVar w:name="WfStyles" w:val=" 432   no"/>
    <w:docVar w:name="WfWarned" w:val="X"/>
  </w:docVars>
  <w:rsids>
    <w:rsidRoot w:val="00FC4960"/>
    <w:rsid w:val="00000067"/>
    <w:rsid w:val="000009A8"/>
    <w:rsid w:val="00000DA4"/>
    <w:rsid w:val="000010ED"/>
    <w:rsid w:val="00002232"/>
    <w:rsid w:val="00003F1F"/>
    <w:rsid w:val="0000405D"/>
    <w:rsid w:val="000041F8"/>
    <w:rsid w:val="000042A8"/>
    <w:rsid w:val="00004308"/>
    <w:rsid w:val="00004E7A"/>
    <w:rsid w:val="0000546F"/>
    <w:rsid w:val="00005BF0"/>
    <w:rsid w:val="000066F1"/>
    <w:rsid w:val="00007003"/>
    <w:rsid w:val="00007154"/>
    <w:rsid w:val="000103AE"/>
    <w:rsid w:val="0001159D"/>
    <w:rsid w:val="00011C61"/>
    <w:rsid w:val="00011C97"/>
    <w:rsid w:val="00011D69"/>
    <w:rsid w:val="00012AD3"/>
    <w:rsid w:val="000134C6"/>
    <w:rsid w:val="00014566"/>
    <w:rsid w:val="0001466F"/>
    <w:rsid w:val="00015C2D"/>
    <w:rsid w:val="00015F00"/>
    <w:rsid w:val="0001620A"/>
    <w:rsid w:val="0001653D"/>
    <w:rsid w:val="0002133B"/>
    <w:rsid w:val="00021E03"/>
    <w:rsid w:val="000223D8"/>
    <w:rsid w:val="00022A2A"/>
    <w:rsid w:val="00022C1D"/>
    <w:rsid w:val="0002331D"/>
    <w:rsid w:val="00023DBB"/>
    <w:rsid w:val="00023FA4"/>
    <w:rsid w:val="00024430"/>
    <w:rsid w:val="00025C1B"/>
    <w:rsid w:val="00026E80"/>
    <w:rsid w:val="00034304"/>
    <w:rsid w:val="00034987"/>
    <w:rsid w:val="00034BDB"/>
    <w:rsid w:val="000350A7"/>
    <w:rsid w:val="000350E3"/>
    <w:rsid w:val="000351D9"/>
    <w:rsid w:val="00035D3E"/>
    <w:rsid w:val="00036F50"/>
    <w:rsid w:val="00037BD2"/>
    <w:rsid w:val="00037E08"/>
    <w:rsid w:val="00041C00"/>
    <w:rsid w:val="00042753"/>
    <w:rsid w:val="00045A18"/>
    <w:rsid w:val="000476EA"/>
    <w:rsid w:val="000506FB"/>
    <w:rsid w:val="00050776"/>
    <w:rsid w:val="00051686"/>
    <w:rsid w:val="00052F98"/>
    <w:rsid w:val="000539CF"/>
    <w:rsid w:val="00053F6F"/>
    <w:rsid w:val="0005416A"/>
    <w:rsid w:val="00054FEE"/>
    <w:rsid w:val="00055684"/>
    <w:rsid w:val="00055FDE"/>
    <w:rsid w:val="00056E59"/>
    <w:rsid w:val="000600E3"/>
    <w:rsid w:val="0006019D"/>
    <w:rsid w:val="000602DF"/>
    <w:rsid w:val="00061B05"/>
    <w:rsid w:val="000622C0"/>
    <w:rsid w:val="00062973"/>
    <w:rsid w:val="00062D5D"/>
    <w:rsid w:val="00062E01"/>
    <w:rsid w:val="000632D5"/>
    <w:rsid w:val="00063467"/>
    <w:rsid w:val="00063B43"/>
    <w:rsid w:val="000644EE"/>
    <w:rsid w:val="000649F7"/>
    <w:rsid w:val="00065295"/>
    <w:rsid w:val="0006678F"/>
    <w:rsid w:val="00066C1F"/>
    <w:rsid w:val="00066F84"/>
    <w:rsid w:val="00067844"/>
    <w:rsid w:val="000702FA"/>
    <w:rsid w:val="00070A14"/>
    <w:rsid w:val="00071790"/>
    <w:rsid w:val="00071ABC"/>
    <w:rsid w:val="00074EB3"/>
    <w:rsid w:val="00076C78"/>
    <w:rsid w:val="000779AA"/>
    <w:rsid w:val="00081E22"/>
    <w:rsid w:val="000856D7"/>
    <w:rsid w:val="00085EB4"/>
    <w:rsid w:val="0008633C"/>
    <w:rsid w:val="00087D5B"/>
    <w:rsid w:val="000902AD"/>
    <w:rsid w:val="000906F6"/>
    <w:rsid w:val="00090EAB"/>
    <w:rsid w:val="000925AD"/>
    <w:rsid w:val="00092A8E"/>
    <w:rsid w:val="00096332"/>
    <w:rsid w:val="00096784"/>
    <w:rsid w:val="0009737C"/>
    <w:rsid w:val="000A0C86"/>
    <w:rsid w:val="000A0D6F"/>
    <w:rsid w:val="000A1888"/>
    <w:rsid w:val="000A1F2A"/>
    <w:rsid w:val="000A24EB"/>
    <w:rsid w:val="000A3F1D"/>
    <w:rsid w:val="000A45A3"/>
    <w:rsid w:val="000A4C04"/>
    <w:rsid w:val="000A4F45"/>
    <w:rsid w:val="000A54BD"/>
    <w:rsid w:val="000A598C"/>
    <w:rsid w:val="000B1356"/>
    <w:rsid w:val="000B1B8E"/>
    <w:rsid w:val="000B25E6"/>
    <w:rsid w:val="000B25FB"/>
    <w:rsid w:val="000B2CCA"/>
    <w:rsid w:val="000B3D13"/>
    <w:rsid w:val="000B4825"/>
    <w:rsid w:val="000B5E50"/>
    <w:rsid w:val="000B6923"/>
    <w:rsid w:val="000B69F3"/>
    <w:rsid w:val="000B7097"/>
    <w:rsid w:val="000C033C"/>
    <w:rsid w:val="000C27B0"/>
    <w:rsid w:val="000C46A6"/>
    <w:rsid w:val="000C4E6C"/>
    <w:rsid w:val="000C5654"/>
    <w:rsid w:val="000C5A76"/>
    <w:rsid w:val="000C5F3C"/>
    <w:rsid w:val="000C6D80"/>
    <w:rsid w:val="000C6DCC"/>
    <w:rsid w:val="000C7D68"/>
    <w:rsid w:val="000D1541"/>
    <w:rsid w:val="000D1706"/>
    <w:rsid w:val="000D2423"/>
    <w:rsid w:val="000D3F10"/>
    <w:rsid w:val="000D47AA"/>
    <w:rsid w:val="000D721F"/>
    <w:rsid w:val="000D789A"/>
    <w:rsid w:val="000D7D30"/>
    <w:rsid w:val="000D7F12"/>
    <w:rsid w:val="000E069B"/>
    <w:rsid w:val="000E0E82"/>
    <w:rsid w:val="000E1DC5"/>
    <w:rsid w:val="000E223F"/>
    <w:rsid w:val="000E2C95"/>
    <w:rsid w:val="000E33B1"/>
    <w:rsid w:val="000E35AC"/>
    <w:rsid w:val="000E48BF"/>
    <w:rsid w:val="000E4A33"/>
    <w:rsid w:val="000E4AA8"/>
    <w:rsid w:val="000E7113"/>
    <w:rsid w:val="000E7D45"/>
    <w:rsid w:val="000F09D9"/>
    <w:rsid w:val="000F2D9D"/>
    <w:rsid w:val="000F54DE"/>
    <w:rsid w:val="000F6808"/>
    <w:rsid w:val="000F6A40"/>
    <w:rsid w:val="000F7496"/>
    <w:rsid w:val="000F7851"/>
    <w:rsid w:val="001024B2"/>
    <w:rsid w:val="001032C7"/>
    <w:rsid w:val="00104249"/>
    <w:rsid w:val="00104E23"/>
    <w:rsid w:val="00106516"/>
    <w:rsid w:val="0010665F"/>
    <w:rsid w:val="00106A13"/>
    <w:rsid w:val="0011105B"/>
    <w:rsid w:val="00111205"/>
    <w:rsid w:val="001113D2"/>
    <w:rsid w:val="00111B0C"/>
    <w:rsid w:val="0011477C"/>
    <w:rsid w:val="00120D6C"/>
    <w:rsid w:val="00121489"/>
    <w:rsid w:val="001214FD"/>
    <w:rsid w:val="00121769"/>
    <w:rsid w:val="00122064"/>
    <w:rsid w:val="00123B64"/>
    <w:rsid w:val="001257EC"/>
    <w:rsid w:val="00125A17"/>
    <w:rsid w:val="00126FD8"/>
    <w:rsid w:val="001273DA"/>
    <w:rsid w:val="001303AF"/>
    <w:rsid w:val="00130C29"/>
    <w:rsid w:val="00132C6A"/>
    <w:rsid w:val="00132F2D"/>
    <w:rsid w:val="001338B7"/>
    <w:rsid w:val="00133D33"/>
    <w:rsid w:val="001347B7"/>
    <w:rsid w:val="00134D64"/>
    <w:rsid w:val="001356CC"/>
    <w:rsid w:val="00135A30"/>
    <w:rsid w:val="0013612C"/>
    <w:rsid w:val="00137716"/>
    <w:rsid w:val="00137C92"/>
    <w:rsid w:val="00137FF6"/>
    <w:rsid w:val="0014022D"/>
    <w:rsid w:val="00140D10"/>
    <w:rsid w:val="00140DDA"/>
    <w:rsid w:val="00141650"/>
    <w:rsid w:val="00143662"/>
    <w:rsid w:val="00143FCE"/>
    <w:rsid w:val="001448B7"/>
    <w:rsid w:val="001449AD"/>
    <w:rsid w:val="00144DC8"/>
    <w:rsid w:val="00145022"/>
    <w:rsid w:val="001457D8"/>
    <w:rsid w:val="00147B47"/>
    <w:rsid w:val="0015070C"/>
    <w:rsid w:val="00151DF7"/>
    <w:rsid w:val="00155C60"/>
    <w:rsid w:val="001610F0"/>
    <w:rsid w:val="00162A12"/>
    <w:rsid w:val="001657EB"/>
    <w:rsid w:val="00166530"/>
    <w:rsid w:val="00172AE4"/>
    <w:rsid w:val="00173D9E"/>
    <w:rsid w:val="00174125"/>
    <w:rsid w:val="001757E5"/>
    <w:rsid w:val="0017582D"/>
    <w:rsid w:val="00175B28"/>
    <w:rsid w:val="001765A1"/>
    <w:rsid w:val="00176D4D"/>
    <w:rsid w:val="00177542"/>
    <w:rsid w:val="00177A6F"/>
    <w:rsid w:val="00180BF1"/>
    <w:rsid w:val="0018167B"/>
    <w:rsid w:val="001832BD"/>
    <w:rsid w:val="00183325"/>
    <w:rsid w:val="0018415C"/>
    <w:rsid w:val="00187818"/>
    <w:rsid w:val="00187A62"/>
    <w:rsid w:val="0019019B"/>
    <w:rsid w:val="00193DDA"/>
    <w:rsid w:val="001943B5"/>
    <w:rsid w:val="001943E4"/>
    <w:rsid w:val="001947E0"/>
    <w:rsid w:val="00195134"/>
    <w:rsid w:val="001959D3"/>
    <w:rsid w:val="00196477"/>
    <w:rsid w:val="001A0A4A"/>
    <w:rsid w:val="001A145B"/>
    <w:rsid w:val="001A4806"/>
    <w:rsid w:val="001A5323"/>
    <w:rsid w:val="001A674C"/>
    <w:rsid w:val="001A77B4"/>
    <w:rsid w:val="001A7F6F"/>
    <w:rsid w:val="001B04F5"/>
    <w:rsid w:val="001B063D"/>
    <w:rsid w:val="001B0E00"/>
    <w:rsid w:val="001B2BBC"/>
    <w:rsid w:val="001B36BB"/>
    <w:rsid w:val="001B36FA"/>
    <w:rsid w:val="001B37E9"/>
    <w:rsid w:val="001B3B24"/>
    <w:rsid w:val="001B68DF"/>
    <w:rsid w:val="001B71BD"/>
    <w:rsid w:val="001B7468"/>
    <w:rsid w:val="001C01BD"/>
    <w:rsid w:val="001C0243"/>
    <w:rsid w:val="001C0285"/>
    <w:rsid w:val="001C0F98"/>
    <w:rsid w:val="001C1702"/>
    <w:rsid w:val="001C2A42"/>
    <w:rsid w:val="001C2D23"/>
    <w:rsid w:val="001C4998"/>
    <w:rsid w:val="001C51FC"/>
    <w:rsid w:val="001C73E5"/>
    <w:rsid w:val="001D02AF"/>
    <w:rsid w:val="001D0C3F"/>
    <w:rsid w:val="001D27D9"/>
    <w:rsid w:val="001D6201"/>
    <w:rsid w:val="001D63ED"/>
    <w:rsid w:val="001D7348"/>
    <w:rsid w:val="001D773C"/>
    <w:rsid w:val="001E035B"/>
    <w:rsid w:val="001E08AE"/>
    <w:rsid w:val="001E0961"/>
    <w:rsid w:val="001E1155"/>
    <w:rsid w:val="001E22F5"/>
    <w:rsid w:val="001E381E"/>
    <w:rsid w:val="001E389F"/>
    <w:rsid w:val="001E3EAE"/>
    <w:rsid w:val="001E5348"/>
    <w:rsid w:val="001E5D60"/>
    <w:rsid w:val="001E6F32"/>
    <w:rsid w:val="001E7F23"/>
    <w:rsid w:val="001F1F4B"/>
    <w:rsid w:val="001F2145"/>
    <w:rsid w:val="001F2413"/>
    <w:rsid w:val="001F5CC8"/>
    <w:rsid w:val="001F6262"/>
    <w:rsid w:val="001F6699"/>
    <w:rsid w:val="001F67B0"/>
    <w:rsid w:val="001F7B3D"/>
    <w:rsid w:val="0020094E"/>
    <w:rsid w:val="002037EB"/>
    <w:rsid w:val="00204D67"/>
    <w:rsid w:val="00205B12"/>
    <w:rsid w:val="00205F9F"/>
    <w:rsid w:val="002071A8"/>
    <w:rsid w:val="002072BF"/>
    <w:rsid w:val="00210338"/>
    <w:rsid w:val="0021090B"/>
    <w:rsid w:val="002115FC"/>
    <w:rsid w:val="002130C0"/>
    <w:rsid w:val="002133F8"/>
    <w:rsid w:val="00213635"/>
    <w:rsid w:val="00213A52"/>
    <w:rsid w:val="0021423C"/>
    <w:rsid w:val="0021461D"/>
    <w:rsid w:val="00214C8A"/>
    <w:rsid w:val="00215392"/>
    <w:rsid w:val="0021623C"/>
    <w:rsid w:val="00217F44"/>
    <w:rsid w:val="00223037"/>
    <w:rsid w:val="0022529E"/>
    <w:rsid w:val="002270F0"/>
    <w:rsid w:val="002278A9"/>
    <w:rsid w:val="00230D00"/>
    <w:rsid w:val="0023102A"/>
    <w:rsid w:val="00231DF7"/>
    <w:rsid w:val="00231FD1"/>
    <w:rsid w:val="002339E0"/>
    <w:rsid w:val="00233A4F"/>
    <w:rsid w:val="00233CF8"/>
    <w:rsid w:val="0023575D"/>
    <w:rsid w:val="00237148"/>
    <w:rsid w:val="00237720"/>
    <w:rsid w:val="00237FC9"/>
    <w:rsid w:val="00240893"/>
    <w:rsid w:val="002412E3"/>
    <w:rsid w:val="002414ED"/>
    <w:rsid w:val="0024168A"/>
    <w:rsid w:val="0024222D"/>
    <w:rsid w:val="00243F8C"/>
    <w:rsid w:val="00244056"/>
    <w:rsid w:val="0024428A"/>
    <w:rsid w:val="00244B0E"/>
    <w:rsid w:val="00244F6C"/>
    <w:rsid w:val="00245889"/>
    <w:rsid w:val="00245CA9"/>
    <w:rsid w:val="00247622"/>
    <w:rsid w:val="00250C5E"/>
    <w:rsid w:val="002516A9"/>
    <w:rsid w:val="002532C5"/>
    <w:rsid w:val="00255FF3"/>
    <w:rsid w:val="00256F7F"/>
    <w:rsid w:val="0025771B"/>
    <w:rsid w:val="002603F8"/>
    <w:rsid w:val="00260C03"/>
    <w:rsid w:val="00261D1A"/>
    <w:rsid w:val="002629D3"/>
    <w:rsid w:val="00262DFE"/>
    <w:rsid w:val="002647ED"/>
    <w:rsid w:val="0026540E"/>
    <w:rsid w:val="002663B6"/>
    <w:rsid w:val="00266A7A"/>
    <w:rsid w:val="00267867"/>
    <w:rsid w:val="00267F6F"/>
    <w:rsid w:val="0027040D"/>
    <w:rsid w:val="00270F0B"/>
    <w:rsid w:val="002713B6"/>
    <w:rsid w:val="0027225C"/>
    <w:rsid w:val="00272429"/>
    <w:rsid w:val="00272476"/>
    <w:rsid w:val="0027249A"/>
    <w:rsid w:val="00272A81"/>
    <w:rsid w:val="00273E14"/>
    <w:rsid w:val="00274BE3"/>
    <w:rsid w:val="00275123"/>
    <w:rsid w:val="00275938"/>
    <w:rsid w:val="00275A15"/>
    <w:rsid w:val="0027612D"/>
    <w:rsid w:val="00277508"/>
    <w:rsid w:val="00280442"/>
    <w:rsid w:val="002808E4"/>
    <w:rsid w:val="0028140E"/>
    <w:rsid w:val="00281805"/>
    <w:rsid w:val="00282240"/>
    <w:rsid w:val="0028269F"/>
    <w:rsid w:val="00283519"/>
    <w:rsid w:val="00283692"/>
    <w:rsid w:val="0028572A"/>
    <w:rsid w:val="0028594F"/>
    <w:rsid w:val="00285FED"/>
    <w:rsid w:val="002875FB"/>
    <w:rsid w:val="00293AE7"/>
    <w:rsid w:val="002948AD"/>
    <w:rsid w:val="00294C05"/>
    <w:rsid w:val="00294C92"/>
    <w:rsid w:val="00294F27"/>
    <w:rsid w:val="00295569"/>
    <w:rsid w:val="00296B2E"/>
    <w:rsid w:val="00297B9A"/>
    <w:rsid w:val="002A01CC"/>
    <w:rsid w:val="002A0AE6"/>
    <w:rsid w:val="002A111C"/>
    <w:rsid w:val="002A2725"/>
    <w:rsid w:val="002A42E4"/>
    <w:rsid w:val="002A61B1"/>
    <w:rsid w:val="002A663C"/>
    <w:rsid w:val="002A7D65"/>
    <w:rsid w:val="002B044D"/>
    <w:rsid w:val="002B0F87"/>
    <w:rsid w:val="002B1655"/>
    <w:rsid w:val="002B178C"/>
    <w:rsid w:val="002B1E6C"/>
    <w:rsid w:val="002B21B4"/>
    <w:rsid w:val="002B225A"/>
    <w:rsid w:val="002B30B4"/>
    <w:rsid w:val="002B444B"/>
    <w:rsid w:val="002B4589"/>
    <w:rsid w:val="002B5887"/>
    <w:rsid w:val="002B5F36"/>
    <w:rsid w:val="002B6CAB"/>
    <w:rsid w:val="002B7129"/>
    <w:rsid w:val="002B7FEB"/>
    <w:rsid w:val="002C0692"/>
    <w:rsid w:val="002C0E27"/>
    <w:rsid w:val="002C2612"/>
    <w:rsid w:val="002C300B"/>
    <w:rsid w:val="002C3040"/>
    <w:rsid w:val="002C34EA"/>
    <w:rsid w:val="002C51E1"/>
    <w:rsid w:val="002C59C4"/>
    <w:rsid w:val="002D022D"/>
    <w:rsid w:val="002D24BB"/>
    <w:rsid w:val="002D2919"/>
    <w:rsid w:val="002D34D1"/>
    <w:rsid w:val="002D4948"/>
    <w:rsid w:val="002E2068"/>
    <w:rsid w:val="002E32BA"/>
    <w:rsid w:val="002E333D"/>
    <w:rsid w:val="002E3742"/>
    <w:rsid w:val="002E3A9E"/>
    <w:rsid w:val="002E3C88"/>
    <w:rsid w:val="002E4B50"/>
    <w:rsid w:val="002E4F5A"/>
    <w:rsid w:val="002E6070"/>
    <w:rsid w:val="002E6876"/>
    <w:rsid w:val="002E6C46"/>
    <w:rsid w:val="002E7B88"/>
    <w:rsid w:val="002F12B5"/>
    <w:rsid w:val="002F171B"/>
    <w:rsid w:val="002F1BEB"/>
    <w:rsid w:val="002F1CD5"/>
    <w:rsid w:val="002F2AF7"/>
    <w:rsid w:val="002F32B3"/>
    <w:rsid w:val="002F3DC0"/>
    <w:rsid w:val="002F44D8"/>
    <w:rsid w:val="002F52FF"/>
    <w:rsid w:val="002F5B29"/>
    <w:rsid w:val="002F6A0E"/>
    <w:rsid w:val="002F7E1C"/>
    <w:rsid w:val="00301A75"/>
    <w:rsid w:val="00302F70"/>
    <w:rsid w:val="0030336F"/>
    <w:rsid w:val="0030375E"/>
    <w:rsid w:val="00303D45"/>
    <w:rsid w:val="00306149"/>
    <w:rsid w:val="003069CB"/>
    <w:rsid w:val="00306FBD"/>
    <w:rsid w:val="00307FC2"/>
    <w:rsid w:val="003101A0"/>
    <w:rsid w:val="0031102C"/>
    <w:rsid w:val="003111B0"/>
    <w:rsid w:val="0031164F"/>
    <w:rsid w:val="003118EB"/>
    <w:rsid w:val="003128F8"/>
    <w:rsid w:val="00312A30"/>
    <w:rsid w:val="00312F5E"/>
    <w:rsid w:val="003146B6"/>
    <w:rsid w:val="00315DE2"/>
    <w:rsid w:val="00320F72"/>
    <w:rsid w:val="00322C3E"/>
    <w:rsid w:val="00323710"/>
    <w:rsid w:val="003240C8"/>
    <w:rsid w:val="0032463E"/>
    <w:rsid w:val="00326224"/>
    <w:rsid w:val="0032676F"/>
    <w:rsid w:val="003279EA"/>
    <w:rsid w:val="00330D5E"/>
    <w:rsid w:val="00331EAC"/>
    <w:rsid w:val="0033308E"/>
    <w:rsid w:val="00333100"/>
    <w:rsid w:val="00333C67"/>
    <w:rsid w:val="00335883"/>
    <w:rsid w:val="00336646"/>
    <w:rsid w:val="00337EE4"/>
    <w:rsid w:val="00340FFD"/>
    <w:rsid w:val="00342B98"/>
    <w:rsid w:val="00344812"/>
    <w:rsid w:val="00345ACB"/>
    <w:rsid w:val="00346C51"/>
    <w:rsid w:val="003506B1"/>
    <w:rsid w:val="0035098E"/>
    <w:rsid w:val="003529DD"/>
    <w:rsid w:val="00354174"/>
    <w:rsid w:val="00354269"/>
    <w:rsid w:val="00356AC7"/>
    <w:rsid w:val="003609FA"/>
    <w:rsid w:val="00361B60"/>
    <w:rsid w:val="0036546F"/>
    <w:rsid w:val="00365F5C"/>
    <w:rsid w:val="003663C4"/>
    <w:rsid w:val="003667D2"/>
    <w:rsid w:val="00367D39"/>
    <w:rsid w:val="00367DCE"/>
    <w:rsid w:val="003710C8"/>
    <w:rsid w:val="003710D5"/>
    <w:rsid w:val="0037168B"/>
    <w:rsid w:val="00372981"/>
    <w:rsid w:val="003731D6"/>
    <w:rsid w:val="003750BE"/>
    <w:rsid w:val="003765F3"/>
    <w:rsid w:val="0037787C"/>
    <w:rsid w:val="003805CE"/>
    <w:rsid w:val="0038289B"/>
    <w:rsid w:val="0038307A"/>
    <w:rsid w:val="0038394C"/>
    <w:rsid w:val="00384AFA"/>
    <w:rsid w:val="003858E9"/>
    <w:rsid w:val="00387B9D"/>
    <w:rsid w:val="00390162"/>
    <w:rsid w:val="00390364"/>
    <w:rsid w:val="00390C02"/>
    <w:rsid w:val="00391727"/>
    <w:rsid w:val="0039364F"/>
    <w:rsid w:val="00396686"/>
    <w:rsid w:val="0039778E"/>
    <w:rsid w:val="003A047F"/>
    <w:rsid w:val="003A11F0"/>
    <w:rsid w:val="003A2A7C"/>
    <w:rsid w:val="003A2FCC"/>
    <w:rsid w:val="003A3109"/>
    <w:rsid w:val="003A3CD5"/>
    <w:rsid w:val="003A441D"/>
    <w:rsid w:val="003A4439"/>
    <w:rsid w:val="003A5A9D"/>
    <w:rsid w:val="003A5F19"/>
    <w:rsid w:val="003A60C4"/>
    <w:rsid w:val="003A6722"/>
    <w:rsid w:val="003A70E0"/>
    <w:rsid w:val="003B2D5E"/>
    <w:rsid w:val="003B33B1"/>
    <w:rsid w:val="003B3C53"/>
    <w:rsid w:val="003B4350"/>
    <w:rsid w:val="003B472B"/>
    <w:rsid w:val="003B4941"/>
    <w:rsid w:val="003B5450"/>
    <w:rsid w:val="003B644B"/>
    <w:rsid w:val="003B7904"/>
    <w:rsid w:val="003C05A7"/>
    <w:rsid w:val="003C0750"/>
    <w:rsid w:val="003C2C01"/>
    <w:rsid w:val="003C2EDF"/>
    <w:rsid w:val="003C3B85"/>
    <w:rsid w:val="003C49E3"/>
    <w:rsid w:val="003C5714"/>
    <w:rsid w:val="003C606C"/>
    <w:rsid w:val="003C627E"/>
    <w:rsid w:val="003C6B9F"/>
    <w:rsid w:val="003C6E2A"/>
    <w:rsid w:val="003D0299"/>
    <w:rsid w:val="003D0AE9"/>
    <w:rsid w:val="003D1DF5"/>
    <w:rsid w:val="003D2E17"/>
    <w:rsid w:val="003D3AE0"/>
    <w:rsid w:val="003D4E07"/>
    <w:rsid w:val="003D5270"/>
    <w:rsid w:val="003D555D"/>
    <w:rsid w:val="003D7FCB"/>
    <w:rsid w:val="003E0337"/>
    <w:rsid w:val="003E0B79"/>
    <w:rsid w:val="003E1D00"/>
    <w:rsid w:val="003E2734"/>
    <w:rsid w:val="003E2822"/>
    <w:rsid w:val="003E2EC2"/>
    <w:rsid w:val="003E3CC5"/>
    <w:rsid w:val="003E3EE5"/>
    <w:rsid w:val="003E53A6"/>
    <w:rsid w:val="003E6D80"/>
    <w:rsid w:val="003E72A6"/>
    <w:rsid w:val="003E7426"/>
    <w:rsid w:val="003E7CE0"/>
    <w:rsid w:val="003F05FA"/>
    <w:rsid w:val="003F0632"/>
    <w:rsid w:val="003F2425"/>
    <w:rsid w:val="003F244A"/>
    <w:rsid w:val="003F2A10"/>
    <w:rsid w:val="003F30B8"/>
    <w:rsid w:val="003F398E"/>
    <w:rsid w:val="003F4C3C"/>
    <w:rsid w:val="003F4C45"/>
    <w:rsid w:val="003F4F72"/>
    <w:rsid w:val="003F5619"/>
    <w:rsid w:val="003F5949"/>
    <w:rsid w:val="003F5F7B"/>
    <w:rsid w:val="003F6D46"/>
    <w:rsid w:val="003F7D64"/>
    <w:rsid w:val="00400298"/>
    <w:rsid w:val="00401CA7"/>
    <w:rsid w:val="00402DA4"/>
    <w:rsid w:val="004030FA"/>
    <w:rsid w:val="0040432A"/>
    <w:rsid w:val="0040671F"/>
    <w:rsid w:val="00410565"/>
    <w:rsid w:val="00410E5B"/>
    <w:rsid w:val="00411122"/>
    <w:rsid w:val="00412567"/>
    <w:rsid w:val="004137BA"/>
    <w:rsid w:val="00413BC1"/>
    <w:rsid w:val="00413C1A"/>
    <w:rsid w:val="00413FCE"/>
    <w:rsid w:val="00414300"/>
    <w:rsid w:val="0041558F"/>
    <w:rsid w:val="004155AE"/>
    <w:rsid w:val="004159A4"/>
    <w:rsid w:val="00416AAD"/>
    <w:rsid w:val="00416D73"/>
    <w:rsid w:val="004216D4"/>
    <w:rsid w:val="00423803"/>
    <w:rsid w:val="00424CE0"/>
    <w:rsid w:val="00425C67"/>
    <w:rsid w:val="00425FED"/>
    <w:rsid w:val="00426948"/>
    <w:rsid w:val="00427E7A"/>
    <w:rsid w:val="00430174"/>
    <w:rsid w:val="00431F43"/>
    <w:rsid w:val="00432435"/>
    <w:rsid w:val="00434F38"/>
    <w:rsid w:val="00435DFE"/>
    <w:rsid w:val="00436307"/>
    <w:rsid w:val="00436C49"/>
    <w:rsid w:val="004407A5"/>
    <w:rsid w:val="00442748"/>
    <w:rsid w:val="00442759"/>
    <w:rsid w:val="004451CB"/>
    <w:rsid w:val="00445366"/>
    <w:rsid w:val="00447467"/>
    <w:rsid w:val="00447F5B"/>
    <w:rsid w:val="004519A1"/>
    <w:rsid w:val="00455E1F"/>
    <w:rsid w:val="0045667B"/>
    <w:rsid w:val="0045707D"/>
    <w:rsid w:val="004574AC"/>
    <w:rsid w:val="00457A6C"/>
    <w:rsid w:val="004609AB"/>
    <w:rsid w:val="00461672"/>
    <w:rsid w:val="00461DAA"/>
    <w:rsid w:val="00461DB0"/>
    <w:rsid w:val="00463858"/>
    <w:rsid w:val="004638C4"/>
    <w:rsid w:val="00463926"/>
    <w:rsid w:val="00463A1F"/>
    <w:rsid w:val="00463D46"/>
    <w:rsid w:val="00464097"/>
    <w:rsid w:val="00464303"/>
    <w:rsid w:val="0046457D"/>
    <w:rsid w:val="004646E0"/>
    <w:rsid w:val="00464C9A"/>
    <w:rsid w:val="004653A7"/>
    <w:rsid w:val="00465B94"/>
    <w:rsid w:val="004661EB"/>
    <w:rsid w:val="00466A42"/>
    <w:rsid w:val="00467E80"/>
    <w:rsid w:val="00467FA4"/>
    <w:rsid w:val="00474F3D"/>
    <w:rsid w:val="004776CB"/>
    <w:rsid w:val="004779A4"/>
    <w:rsid w:val="00477E3A"/>
    <w:rsid w:val="00480EAE"/>
    <w:rsid w:val="00482DC4"/>
    <w:rsid w:val="00482DD5"/>
    <w:rsid w:val="004831B9"/>
    <w:rsid w:val="00483E5F"/>
    <w:rsid w:val="00484560"/>
    <w:rsid w:val="0048555A"/>
    <w:rsid w:val="00485FF9"/>
    <w:rsid w:val="00486419"/>
    <w:rsid w:val="004907F0"/>
    <w:rsid w:val="00490CF5"/>
    <w:rsid w:val="0049140B"/>
    <w:rsid w:val="004923A5"/>
    <w:rsid w:val="004946A0"/>
    <w:rsid w:val="00494CE3"/>
    <w:rsid w:val="00496BFB"/>
    <w:rsid w:val="004A0E61"/>
    <w:rsid w:val="004A10D8"/>
    <w:rsid w:val="004A15C7"/>
    <w:rsid w:val="004A184D"/>
    <w:rsid w:val="004A1913"/>
    <w:rsid w:val="004A4D51"/>
    <w:rsid w:val="004A5C1E"/>
    <w:rsid w:val="004A7337"/>
    <w:rsid w:val="004B013B"/>
    <w:rsid w:val="004B112B"/>
    <w:rsid w:val="004B1E64"/>
    <w:rsid w:val="004B27C5"/>
    <w:rsid w:val="004B4DF5"/>
    <w:rsid w:val="004B5732"/>
    <w:rsid w:val="004B61B3"/>
    <w:rsid w:val="004B712B"/>
    <w:rsid w:val="004B727E"/>
    <w:rsid w:val="004C01E4"/>
    <w:rsid w:val="004C086C"/>
    <w:rsid w:val="004C0FBB"/>
    <w:rsid w:val="004C1283"/>
    <w:rsid w:val="004C1356"/>
    <w:rsid w:val="004C1F56"/>
    <w:rsid w:val="004C27BC"/>
    <w:rsid w:val="004C5446"/>
    <w:rsid w:val="004C6CE4"/>
    <w:rsid w:val="004C6F51"/>
    <w:rsid w:val="004C7DD7"/>
    <w:rsid w:val="004D1476"/>
    <w:rsid w:val="004D15F3"/>
    <w:rsid w:val="004D17CC"/>
    <w:rsid w:val="004D33AF"/>
    <w:rsid w:val="004D347F"/>
    <w:rsid w:val="004D4389"/>
    <w:rsid w:val="004D5311"/>
    <w:rsid w:val="004D5DCC"/>
    <w:rsid w:val="004D5EB3"/>
    <w:rsid w:val="004D6A71"/>
    <w:rsid w:val="004D6E76"/>
    <w:rsid w:val="004D70ED"/>
    <w:rsid w:val="004E01C4"/>
    <w:rsid w:val="004E0BBB"/>
    <w:rsid w:val="004E3C9D"/>
    <w:rsid w:val="004E5086"/>
    <w:rsid w:val="004E7C22"/>
    <w:rsid w:val="004F0224"/>
    <w:rsid w:val="004F04A2"/>
    <w:rsid w:val="004F0D45"/>
    <w:rsid w:val="004F10AF"/>
    <w:rsid w:val="004F11A4"/>
    <w:rsid w:val="004F1823"/>
    <w:rsid w:val="004F2389"/>
    <w:rsid w:val="004F2AAD"/>
    <w:rsid w:val="004F304D"/>
    <w:rsid w:val="004F381A"/>
    <w:rsid w:val="004F4B88"/>
    <w:rsid w:val="004F5CA4"/>
    <w:rsid w:val="004F61BE"/>
    <w:rsid w:val="004F66B1"/>
    <w:rsid w:val="004F726F"/>
    <w:rsid w:val="00501C56"/>
    <w:rsid w:val="00502A0D"/>
    <w:rsid w:val="005047C1"/>
    <w:rsid w:val="005049E8"/>
    <w:rsid w:val="00505E98"/>
    <w:rsid w:val="005077AE"/>
    <w:rsid w:val="00510613"/>
    <w:rsid w:val="00510AB2"/>
    <w:rsid w:val="00511C07"/>
    <w:rsid w:val="005129D0"/>
    <w:rsid w:val="00512D5D"/>
    <w:rsid w:val="00512DC2"/>
    <w:rsid w:val="005143CC"/>
    <w:rsid w:val="00515A8C"/>
    <w:rsid w:val="005173A6"/>
    <w:rsid w:val="00517685"/>
    <w:rsid w:val="00520662"/>
    <w:rsid w:val="00520BAA"/>
    <w:rsid w:val="00520BB6"/>
    <w:rsid w:val="005219AC"/>
    <w:rsid w:val="00522B12"/>
    <w:rsid w:val="00522F74"/>
    <w:rsid w:val="00525208"/>
    <w:rsid w:val="00525401"/>
    <w:rsid w:val="005257A5"/>
    <w:rsid w:val="005264C0"/>
    <w:rsid w:val="0052698B"/>
    <w:rsid w:val="00526A8A"/>
    <w:rsid w:val="005276F7"/>
    <w:rsid w:val="00530586"/>
    <w:rsid w:val="00531A69"/>
    <w:rsid w:val="00531DF2"/>
    <w:rsid w:val="00531EEE"/>
    <w:rsid w:val="00533CF7"/>
    <w:rsid w:val="00533E2F"/>
    <w:rsid w:val="00535BB8"/>
    <w:rsid w:val="005365FB"/>
    <w:rsid w:val="005368A3"/>
    <w:rsid w:val="0054065F"/>
    <w:rsid w:val="00541953"/>
    <w:rsid w:val="00543337"/>
    <w:rsid w:val="005442EE"/>
    <w:rsid w:val="0054474A"/>
    <w:rsid w:val="005448EA"/>
    <w:rsid w:val="00545F6B"/>
    <w:rsid w:val="005469EC"/>
    <w:rsid w:val="00547353"/>
    <w:rsid w:val="005474E7"/>
    <w:rsid w:val="005512A3"/>
    <w:rsid w:val="00552343"/>
    <w:rsid w:val="005541C2"/>
    <w:rsid w:val="00554D0C"/>
    <w:rsid w:val="00554E17"/>
    <w:rsid w:val="00555BF2"/>
    <w:rsid w:val="00556618"/>
    <w:rsid w:val="00556C2C"/>
    <w:rsid w:val="005578CE"/>
    <w:rsid w:val="0056025C"/>
    <w:rsid w:val="005609FC"/>
    <w:rsid w:val="0056169F"/>
    <w:rsid w:val="00562781"/>
    <w:rsid w:val="00562BA7"/>
    <w:rsid w:val="00563E83"/>
    <w:rsid w:val="00564471"/>
    <w:rsid w:val="00565DD0"/>
    <w:rsid w:val="0056657E"/>
    <w:rsid w:val="00566D33"/>
    <w:rsid w:val="00567540"/>
    <w:rsid w:val="005703B7"/>
    <w:rsid w:val="0057271C"/>
    <w:rsid w:val="00572845"/>
    <w:rsid w:val="00574D2F"/>
    <w:rsid w:val="00574DAB"/>
    <w:rsid w:val="0057575D"/>
    <w:rsid w:val="00581D49"/>
    <w:rsid w:val="00581D7F"/>
    <w:rsid w:val="00582B10"/>
    <w:rsid w:val="00582B97"/>
    <w:rsid w:val="00585550"/>
    <w:rsid w:val="0058655A"/>
    <w:rsid w:val="00587CE3"/>
    <w:rsid w:val="00590078"/>
    <w:rsid w:val="005902A6"/>
    <w:rsid w:val="005908A4"/>
    <w:rsid w:val="005908EB"/>
    <w:rsid w:val="00592188"/>
    <w:rsid w:val="00592772"/>
    <w:rsid w:val="00592ED9"/>
    <w:rsid w:val="0059574A"/>
    <w:rsid w:val="00596384"/>
    <w:rsid w:val="00596BD1"/>
    <w:rsid w:val="0059796A"/>
    <w:rsid w:val="005A1B9B"/>
    <w:rsid w:val="005A2C32"/>
    <w:rsid w:val="005A347C"/>
    <w:rsid w:val="005A6751"/>
    <w:rsid w:val="005B092E"/>
    <w:rsid w:val="005B152C"/>
    <w:rsid w:val="005B1ADC"/>
    <w:rsid w:val="005B1EE0"/>
    <w:rsid w:val="005B24E2"/>
    <w:rsid w:val="005B29D3"/>
    <w:rsid w:val="005B2B24"/>
    <w:rsid w:val="005B3591"/>
    <w:rsid w:val="005B36A2"/>
    <w:rsid w:val="005B3882"/>
    <w:rsid w:val="005B4425"/>
    <w:rsid w:val="005B4B94"/>
    <w:rsid w:val="005B6855"/>
    <w:rsid w:val="005B6983"/>
    <w:rsid w:val="005B748B"/>
    <w:rsid w:val="005B7EF4"/>
    <w:rsid w:val="005C1667"/>
    <w:rsid w:val="005C295F"/>
    <w:rsid w:val="005C2E15"/>
    <w:rsid w:val="005C33B6"/>
    <w:rsid w:val="005C3EE8"/>
    <w:rsid w:val="005C411B"/>
    <w:rsid w:val="005C4E62"/>
    <w:rsid w:val="005C514B"/>
    <w:rsid w:val="005C5618"/>
    <w:rsid w:val="005C6DFD"/>
    <w:rsid w:val="005C7C7C"/>
    <w:rsid w:val="005C7D33"/>
    <w:rsid w:val="005C7EC7"/>
    <w:rsid w:val="005D13F7"/>
    <w:rsid w:val="005D147E"/>
    <w:rsid w:val="005D2071"/>
    <w:rsid w:val="005D2732"/>
    <w:rsid w:val="005D34F9"/>
    <w:rsid w:val="005D3509"/>
    <w:rsid w:val="005D4190"/>
    <w:rsid w:val="005D67A3"/>
    <w:rsid w:val="005E174D"/>
    <w:rsid w:val="005E1BC7"/>
    <w:rsid w:val="005E26CE"/>
    <w:rsid w:val="005E297A"/>
    <w:rsid w:val="005E2988"/>
    <w:rsid w:val="005E2A43"/>
    <w:rsid w:val="005E3085"/>
    <w:rsid w:val="005E438A"/>
    <w:rsid w:val="005E459B"/>
    <w:rsid w:val="005E55DC"/>
    <w:rsid w:val="005E5F3A"/>
    <w:rsid w:val="005E663C"/>
    <w:rsid w:val="005E75CA"/>
    <w:rsid w:val="005E785E"/>
    <w:rsid w:val="005F45EF"/>
    <w:rsid w:val="005F51E1"/>
    <w:rsid w:val="005F5962"/>
    <w:rsid w:val="00600062"/>
    <w:rsid w:val="00600C1A"/>
    <w:rsid w:val="006010E9"/>
    <w:rsid w:val="006014C8"/>
    <w:rsid w:val="00602A8A"/>
    <w:rsid w:val="00606053"/>
    <w:rsid w:val="0061003D"/>
    <w:rsid w:val="00611C80"/>
    <w:rsid w:val="00611F76"/>
    <w:rsid w:val="0061334A"/>
    <w:rsid w:val="00613352"/>
    <w:rsid w:val="0061373D"/>
    <w:rsid w:val="00613AE0"/>
    <w:rsid w:val="00613B5F"/>
    <w:rsid w:val="00616854"/>
    <w:rsid w:val="00616EC4"/>
    <w:rsid w:val="00617EF1"/>
    <w:rsid w:val="00620692"/>
    <w:rsid w:val="006210A2"/>
    <w:rsid w:val="006238BF"/>
    <w:rsid w:val="006242CA"/>
    <w:rsid w:val="00624557"/>
    <w:rsid w:val="0062657B"/>
    <w:rsid w:val="00626887"/>
    <w:rsid w:val="006268F0"/>
    <w:rsid w:val="00627507"/>
    <w:rsid w:val="00630054"/>
    <w:rsid w:val="00630884"/>
    <w:rsid w:val="00631A9A"/>
    <w:rsid w:val="006336F9"/>
    <w:rsid w:val="00633717"/>
    <w:rsid w:val="00633E63"/>
    <w:rsid w:val="006344E1"/>
    <w:rsid w:val="006352A8"/>
    <w:rsid w:val="00637F04"/>
    <w:rsid w:val="006405B0"/>
    <w:rsid w:val="00642298"/>
    <w:rsid w:val="0064275A"/>
    <w:rsid w:val="00643C22"/>
    <w:rsid w:val="00644137"/>
    <w:rsid w:val="006442E0"/>
    <w:rsid w:val="00645B62"/>
    <w:rsid w:val="00646179"/>
    <w:rsid w:val="00646F02"/>
    <w:rsid w:val="00647934"/>
    <w:rsid w:val="0065023C"/>
    <w:rsid w:val="00650E6D"/>
    <w:rsid w:val="0065127D"/>
    <w:rsid w:val="00652225"/>
    <w:rsid w:val="0065349F"/>
    <w:rsid w:val="00653849"/>
    <w:rsid w:val="00653C4B"/>
    <w:rsid w:val="0065439C"/>
    <w:rsid w:val="006544F0"/>
    <w:rsid w:val="006545C4"/>
    <w:rsid w:val="006573D7"/>
    <w:rsid w:val="006606F2"/>
    <w:rsid w:val="00661525"/>
    <w:rsid w:val="00661971"/>
    <w:rsid w:val="00661CE8"/>
    <w:rsid w:val="006623D9"/>
    <w:rsid w:val="0066262D"/>
    <w:rsid w:val="00664E93"/>
    <w:rsid w:val="00664F10"/>
    <w:rsid w:val="0066550C"/>
    <w:rsid w:val="00665B9F"/>
    <w:rsid w:val="00666941"/>
    <w:rsid w:val="0066727C"/>
    <w:rsid w:val="00667412"/>
    <w:rsid w:val="006716F2"/>
    <w:rsid w:val="00674390"/>
    <w:rsid w:val="00674E8D"/>
    <w:rsid w:val="006762F9"/>
    <w:rsid w:val="00680253"/>
    <w:rsid w:val="00680593"/>
    <w:rsid w:val="00682BF2"/>
    <w:rsid w:val="00683A98"/>
    <w:rsid w:val="00684940"/>
    <w:rsid w:val="006859CE"/>
    <w:rsid w:val="00687373"/>
    <w:rsid w:val="00691270"/>
    <w:rsid w:val="00691310"/>
    <w:rsid w:val="006921A3"/>
    <w:rsid w:val="00692E12"/>
    <w:rsid w:val="0069368C"/>
    <w:rsid w:val="00693C31"/>
    <w:rsid w:val="00693F82"/>
    <w:rsid w:val="00694458"/>
    <w:rsid w:val="00694597"/>
    <w:rsid w:val="00694BA8"/>
    <w:rsid w:val="00695555"/>
    <w:rsid w:val="00696133"/>
    <w:rsid w:val="006A0095"/>
    <w:rsid w:val="006A037C"/>
    <w:rsid w:val="006A1C0F"/>
    <w:rsid w:val="006A36F4"/>
    <w:rsid w:val="006A406F"/>
    <w:rsid w:val="006A5D3A"/>
    <w:rsid w:val="006A7946"/>
    <w:rsid w:val="006A7DF2"/>
    <w:rsid w:val="006A7E7B"/>
    <w:rsid w:val="006B0842"/>
    <w:rsid w:val="006B200E"/>
    <w:rsid w:val="006B23E9"/>
    <w:rsid w:val="006B278F"/>
    <w:rsid w:val="006B2EF6"/>
    <w:rsid w:val="006B4473"/>
    <w:rsid w:val="006B55EF"/>
    <w:rsid w:val="006B573E"/>
    <w:rsid w:val="006B5AED"/>
    <w:rsid w:val="006B6F77"/>
    <w:rsid w:val="006B741E"/>
    <w:rsid w:val="006B7C1C"/>
    <w:rsid w:val="006C0790"/>
    <w:rsid w:val="006C1702"/>
    <w:rsid w:val="006C23D4"/>
    <w:rsid w:val="006C3FAE"/>
    <w:rsid w:val="006C4E02"/>
    <w:rsid w:val="006C5263"/>
    <w:rsid w:val="006C5934"/>
    <w:rsid w:val="006C5A2A"/>
    <w:rsid w:val="006C5D9A"/>
    <w:rsid w:val="006C7BB0"/>
    <w:rsid w:val="006C7C1E"/>
    <w:rsid w:val="006D2A2A"/>
    <w:rsid w:val="006D3237"/>
    <w:rsid w:val="006D3A41"/>
    <w:rsid w:val="006D3EC4"/>
    <w:rsid w:val="006D4595"/>
    <w:rsid w:val="006D535A"/>
    <w:rsid w:val="006D5A62"/>
    <w:rsid w:val="006D5E6F"/>
    <w:rsid w:val="006E0FD3"/>
    <w:rsid w:val="006E2E37"/>
    <w:rsid w:val="006E3BFF"/>
    <w:rsid w:val="006E3CF1"/>
    <w:rsid w:val="006E4459"/>
    <w:rsid w:val="006E4802"/>
    <w:rsid w:val="006E4987"/>
    <w:rsid w:val="006E4F9B"/>
    <w:rsid w:val="006E6286"/>
    <w:rsid w:val="006E7E80"/>
    <w:rsid w:val="006F089D"/>
    <w:rsid w:val="006F1683"/>
    <w:rsid w:val="006F182A"/>
    <w:rsid w:val="006F1D54"/>
    <w:rsid w:val="006F1DF9"/>
    <w:rsid w:val="006F24DB"/>
    <w:rsid w:val="006F2809"/>
    <w:rsid w:val="006F48CA"/>
    <w:rsid w:val="006F64DD"/>
    <w:rsid w:val="006F67AE"/>
    <w:rsid w:val="007000A7"/>
    <w:rsid w:val="007013B8"/>
    <w:rsid w:val="00702609"/>
    <w:rsid w:val="00703448"/>
    <w:rsid w:val="00703DD3"/>
    <w:rsid w:val="007074DB"/>
    <w:rsid w:val="00710F79"/>
    <w:rsid w:val="00710F99"/>
    <w:rsid w:val="0071128A"/>
    <w:rsid w:val="0071140E"/>
    <w:rsid w:val="0071284B"/>
    <w:rsid w:val="0071378E"/>
    <w:rsid w:val="0071385C"/>
    <w:rsid w:val="007143A5"/>
    <w:rsid w:val="007143E8"/>
    <w:rsid w:val="00715127"/>
    <w:rsid w:val="00715764"/>
    <w:rsid w:val="00715E8E"/>
    <w:rsid w:val="007161AB"/>
    <w:rsid w:val="0071785E"/>
    <w:rsid w:val="00717889"/>
    <w:rsid w:val="00717CEB"/>
    <w:rsid w:val="00717FAE"/>
    <w:rsid w:val="00721F6A"/>
    <w:rsid w:val="00722B52"/>
    <w:rsid w:val="00723580"/>
    <w:rsid w:val="00723755"/>
    <w:rsid w:val="00724A90"/>
    <w:rsid w:val="00726041"/>
    <w:rsid w:val="0073136C"/>
    <w:rsid w:val="007317EC"/>
    <w:rsid w:val="00731F0F"/>
    <w:rsid w:val="00731FB6"/>
    <w:rsid w:val="00733250"/>
    <w:rsid w:val="00733589"/>
    <w:rsid w:val="00733951"/>
    <w:rsid w:val="0073655E"/>
    <w:rsid w:val="00741404"/>
    <w:rsid w:val="00742E8B"/>
    <w:rsid w:val="007444C6"/>
    <w:rsid w:val="007449E5"/>
    <w:rsid w:val="00745808"/>
    <w:rsid w:val="00746384"/>
    <w:rsid w:val="00746C5A"/>
    <w:rsid w:val="00747733"/>
    <w:rsid w:val="00747FF0"/>
    <w:rsid w:val="007509D5"/>
    <w:rsid w:val="00750A14"/>
    <w:rsid w:val="0075159E"/>
    <w:rsid w:val="00751F71"/>
    <w:rsid w:val="0075227A"/>
    <w:rsid w:val="0075390C"/>
    <w:rsid w:val="00754143"/>
    <w:rsid w:val="00754D7A"/>
    <w:rsid w:val="00755D1E"/>
    <w:rsid w:val="00757D2D"/>
    <w:rsid w:val="00760D85"/>
    <w:rsid w:val="0076124B"/>
    <w:rsid w:val="00761636"/>
    <w:rsid w:val="00761C09"/>
    <w:rsid w:val="007632EF"/>
    <w:rsid w:val="00764226"/>
    <w:rsid w:val="00764D4E"/>
    <w:rsid w:val="00764F69"/>
    <w:rsid w:val="00765133"/>
    <w:rsid w:val="00765A1F"/>
    <w:rsid w:val="00766CA4"/>
    <w:rsid w:val="00767641"/>
    <w:rsid w:val="00770189"/>
    <w:rsid w:val="00771A89"/>
    <w:rsid w:val="00771AA2"/>
    <w:rsid w:val="0077233D"/>
    <w:rsid w:val="00773864"/>
    <w:rsid w:val="007738E0"/>
    <w:rsid w:val="007741B3"/>
    <w:rsid w:val="00774A6E"/>
    <w:rsid w:val="00775B6D"/>
    <w:rsid w:val="00776479"/>
    <w:rsid w:val="00776C71"/>
    <w:rsid w:val="00776D68"/>
    <w:rsid w:val="00777530"/>
    <w:rsid w:val="007775E4"/>
    <w:rsid w:val="00780ECF"/>
    <w:rsid w:val="00781479"/>
    <w:rsid w:val="007830EC"/>
    <w:rsid w:val="0078338B"/>
    <w:rsid w:val="00783E5C"/>
    <w:rsid w:val="00783E7F"/>
    <w:rsid w:val="007850EE"/>
    <w:rsid w:val="00785586"/>
    <w:rsid w:val="00785B95"/>
    <w:rsid w:val="00786E62"/>
    <w:rsid w:val="00790E96"/>
    <w:rsid w:val="00791083"/>
    <w:rsid w:val="00793366"/>
    <w:rsid w:val="00795AF3"/>
    <w:rsid w:val="00796B95"/>
    <w:rsid w:val="00796CD8"/>
    <w:rsid w:val="00796E4F"/>
    <w:rsid w:val="007A27FB"/>
    <w:rsid w:val="007A45D4"/>
    <w:rsid w:val="007A6C46"/>
    <w:rsid w:val="007A6EDF"/>
    <w:rsid w:val="007A716F"/>
    <w:rsid w:val="007A7E0A"/>
    <w:rsid w:val="007B270A"/>
    <w:rsid w:val="007B3939"/>
    <w:rsid w:val="007B55FD"/>
    <w:rsid w:val="007B581B"/>
    <w:rsid w:val="007B5B4A"/>
    <w:rsid w:val="007B5F03"/>
    <w:rsid w:val="007B6705"/>
    <w:rsid w:val="007B6BA7"/>
    <w:rsid w:val="007B77CA"/>
    <w:rsid w:val="007C00D2"/>
    <w:rsid w:val="007C0695"/>
    <w:rsid w:val="007C072C"/>
    <w:rsid w:val="007C0826"/>
    <w:rsid w:val="007C0F7E"/>
    <w:rsid w:val="007C1E7E"/>
    <w:rsid w:val="007C1EB5"/>
    <w:rsid w:val="007C2473"/>
    <w:rsid w:val="007C419A"/>
    <w:rsid w:val="007C4AA6"/>
    <w:rsid w:val="007C4CC8"/>
    <w:rsid w:val="007C5426"/>
    <w:rsid w:val="007C5798"/>
    <w:rsid w:val="007C6146"/>
    <w:rsid w:val="007C63CA"/>
    <w:rsid w:val="007C69D5"/>
    <w:rsid w:val="007C7300"/>
    <w:rsid w:val="007C7424"/>
    <w:rsid w:val="007C77DB"/>
    <w:rsid w:val="007D0179"/>
    <w:rsid w:val="007D1E91"/>
    <w:rsid w:val="007D2645"/>
    <w:rsid w:val="007D2A5B"/>
    <w:rsid w:val="007D2CCD"/>
    <w:rsid w:val="007D32DD"/>
    <w:rsid w:val="007D4832"/>
    <w:rsid w:val="007D4C9F"/>
    <w:rsid w:val="007D694F"/>
    <w:rsid w:val="007D7252"/>
    <w:rsid w:val="007D7DE4"/>
    <w:rsid w:val="007E00CD"/>
    <w:rsid w:val="007E0533"/>
    <w:rsid w:val="007E21B2"/>
    <w:rsid w:val="007E2C4E"/>
    <w:rsid w:val="007E2CBD"/>
    <w:rsid w:val="007E4008"/>
    <w:rsid w:val="007E4729"/>
    <w:rsid w:val="007E4800"/>
    <w:rsid w:val="007E48E8"/>
    <w:rsid w:val="007E50F8"/>
    <w:rsid w:val="007E5394"/>
    <w:rsid w:val="007E5490"/>
    <w:rsid w:val="007E6E81"/>
    <w:rsid w:val="007E7494"/>
    <w:rsid w:val="007E7937"/>
    <w:rsid w:val="007F1905"/>
    <w:rsid w:val="007F4637"/>
    <w:rsid w:val="007F47F2"/>
    <w:rsid w:val="007F5419"/>
    <w:rsid w:val="007F5B9F"/>
    <w:rsid w:val="007F79F7"/>
    <w:rsid w:val="0080048F"/>
    <w:rsid w:val="008009CC"/>
    <w:rsid w:val="00801300"/>
    <w:rsid w:val="008013FA"/>
    <w:rsid w:val="00801732"/>
    <w:rsid w:val="0080178D"/>
    <w:rsid w:val="00802C64"/>
    <w:rsid w:val="0080332A"/>
    <w:rsid w:val="0080390C"/>
    <w:rsid w:val="0080597E"/>
    <w:rsid w:val="00805E52"/>
    <w:rsid w:val="008061D0"/>
    <w:rsid w:val="008068A5"/>
    <w:rsid w:val="00807231"/>
    <w:rsid w:val="008077AC"/>
    <w:rsid w:val="0080794B"/>
    <w:rsid w:val="00810B38"/>
    <w:rsid w:val="008143ED"/>
    <w:rsid w:val="0081444D"/>
    <w:rsid w:val="00814AE1"/>
    <w:rsid w:val="008152EB"/>
    <w:rsid w:val="00815B97"/>
    <w:rsid w:val="00815F71"/>
    <w:rsid w:val="008173E8"/>
    <w:rsid w:val="008200F5"/>
    <w:rsid w:val="008204C7"/>
    <w:rsid w:val="00820992"/>
    <w:rsid w:val="0082193E"/>
    <w:rsid w:val="0082335A"/>
    <w:rsid w:val="00823602"/>
    <w:rsid w:val="00823FB0"/>
    <w:rsid w:val="0082406B"/>
    <w:rsid w:val="00824497"/>
    <w:rsid w:val="00824CBD"/>
    <w:rsid w:val="008255F5"/>
    <w:rsid w:val="008273C6"/>
    <w:rsid w:val="0083014E"/>
    <w:rsid w:val="00831256"/>
    <w:rsid w:val="0083214A"/>
    <w:rsid w:val="00833F2F"/>
    <w:rsid w:val="00834220"/>
    <w:rsid w:val="0084163C"/>
    <w:rsid w:val="00845723"/>
    <w:rsid w:val="008469D4"/>
    <w:rsid w:val="0084762B"/>
    <w:rsid w:val="00847C35"/>
    <w:rsid w:val="00851EF9"/>
    <w:rsid w:val="00853564"/>
    <w:rsid w:val="00853E3E"/>
    <w:rsid w:val="0085478F"/>
    <w:rsid w:val="008551DF"/>
    <w:rsid w:val="00856069"/>
    <w:rsid w:val="008560BB"/>
    <w:rsid w:val="008577FD"/>
    <w:rsid w:val="008608FF"/>
    <w:rsid w:val="00860B03"/>
    <w:rsid w:val="00864553"/>
    <w:rsid w:val="0086497A"/>
    <w:rsid w:val="008664E8"/>
    <w:rsid w:val="00867A46"/>
    <w:rsid w:val="008704D0"/>
    <w:rsid w:val="0087064A"/>
    <w:rsid w:val="00870B62"/>
    <w:rsid w:val="008713A1"/>
    <w:rsid w:val="00871608"/>
    <w:rsid w:val="00871AE7"/>
    <w:rsid w:val="00872422"/>
    <w:rsid w:val="0087486A"/>
    <w:rsid w:val="008754AB"/>
    <w:rsid w:val="0087556E"/>
    <w:rsid w:val="0088060C"/>
    <w:rsid w:val="00880B07"/>
    <w:rsid w:val="00880B7A"/>
    <w:rsid w:val="00881841"/>
    <w:rsid w:val="00883160"/>
    <w:rsid w:val="0088545D"/>
    <w:rsid w:val="008857AB"/>
    <w:rsid w:val="0088797F"/>
    <w:rsid w:val="00887CA6"/>
    <w:rsid w:val="00890BCB"/>
    <w:rsid w:val="00890F50"/>
    <w:rsid w:val="008928F6"/>
    <w:rsid w:val="00893576"/>
    <w:rsid w:val="00893E73"/>
    <w:rsid w:val="00895C29"/>
    <w:rsid w:val="008A014E"/>
    <w:rsid w:val="008A0C7E"/>
    <w:rsid w:val="008A18B9"/>
    <w:rsid w:val="008A1AA0"/>
    <w:rsid w:val="008A1DA8"/>
    <w:rsid w:val="008A2435"/>
    <w:rsid w:val="008A3065"/>
    <w:rsid w:val="008A33B9"/>
    <w:rsid w:val="008A3653"/>
    <w:rsid w:val="008A43C4"/>
    <w:rsid w:val="008A5740"/>
    <w:rsid w:val="008A582C"/>
    <w:rsid w:val="008A5DD0"/>
    <w:rsid w:val="008A60D8"/>
    <w:rsid w:val="008A735B"/>
    <w:rsid w:val="008B02DC"/>
    <w:rsid w:val="008B08AA"/>
    <w:rsid w:val="008B1C1B"/>
    <w:rsid w:val="008B2601"/>
    <w:rsid w:val="008B2CC4"/>
    <w:rsid w:val="008B3A2E"/>
    <w:rsid w:val="008B57CE"/>
    <w:rsid w:val="008B659F"/>
    <w:rsid w:val="008B65B4"/>
    <w:rsid w:val="008C02D1"/>
    <w:rsid w:val="008C077F"/>
    <w:rsid w:val="008C18CF"/>
    <w:rsid w:val="008C26DE"/>
    <w:rsid w:val="008C27FC"/>
    <w:rsid w:val="008C2E5C"/>
    <w:rsid w:val="008C32EB"/>
    <w:rsid w:val="008C3FBC"/>
    <w:rsid w:val="008D1115"/>
    <w:rsid w:val="008D2225"/>
    <w:rsid w:val="008D447D"/>
    <w:rsid w:val="008D4546"/>
    <w:rsid w:val="008D45C3"/>
    <w:rsid w:val="008D4752"/>
    <w:rsid w:val="008D4A78"/>
    <w:rsid w:val="008D552A"/>
    <w:rsid w:val="008D785E"/>
    <w:rsid w:val="008D7A64"/>
    <w:rsid w:val="008E24E0"/>
    <w:rsid w:val="008E271C"/>
    <w:rsid w:val="008E2968"/>
    <w:rsid w:val="008E2D34"/>
    <w:rsid w:val="008E418E"/>
    <w:rsid w:val="008E5322"/>
    <w:rsid w:val="008E5BC6"/>
    <w:rsid w:val="008E6A25"/>
    <w:rsid w:val="008E7C64"/>
    <w:rsid w:val="008F0627"/>
    <w:rsid w:val="008F0E86"/>
    <w:rsid w:val="008F1DC4"/>
    <w:rsid w:val="008F2413"/>
    <w:rsid w:val="008F2645"/>
    <w:rsid w:val="008F4064"/>
    <w:rsid w:val="008F4A5F"/>
    <w:rsid w:val="008F4F7A"/>
    <w:rsid w:val="008F50D0"/>
    <w:rsid w:val="008F5193"/>
    <w:rsid w:val="008F65F6"/>
    <w:rsid w:val="00900276"/>
    <w:rsid w:val="009013A7"/>
    <w:rsid w:val="009017FB"/>
    <w:rsid w:val="009017FC"/>
    <w:rsid w:val="00903B43"/>
    <w:rsid w:val="0090506B"/>
    <w:rsid w:val="009050C9"/>
    <w:rsid w:val="00905A42"/>
    <w:rsid w:val="00906154"/>
    <w:rsid w:val="009065C8"/>
    <w:rsid w:val="009066FC"/>
    <w:rsid w:val="00910137"/>
    <w:rsid w:val="009101F4"/>
    <w:rsid w:val="0091109D"/>
    <w:rsid w:val="00911CF2"/>
    <w:rsid w:val="0091286E"/>
    <w:rsid w:val="009140A3"/>
    <w:rsid w:val="00914342"/>
    <w:rsid w:val="009144A2"/>
    <w:rsid w:val="0091463B"/>
    <w:rsid w:val="00914D8E"/>
    <w:rsid w:val="0091510C"/>
    <w:rsid w:val="0091518F"/>
    <w:rsid w:val="009165CB"/>
    <w:rsid w:val="00916663"/>
    <w:rsid w:val="009166F2"/>
    <w:rsid w:val="00921FB0"/>
    <w:rsid w:val="00922171"/>
    <w:rsid w:val="00922313"/>
    <w:rsid w:val="00922772"/>
    <w:rsid w:val="00923AB4"/>
    <w:rsid w:val="009244FC"/>
    <w:rsid w:val="0092460D"/>
    <w:rsid w:val="009252E6"/>
    <w:rsid w:val="009259AC"/>
    <w:rsid w:val="00926435"/>
    <w:rsid w:val="009264D4"/>
    <w:rsid w:val="00926F38"/>
    <w:rsid w:val="009275F4"/>
    <w:rsid w:val="00927EBD"/>
    <w:rsid w:val="0093125E"/>
    <w:rsid w:val="00931EAD"/>
    <w:rsid w:val="009328B3"/>
    <w:rsid w:val="00933242"/>
    <w:rsid w:val="00934301"/>
    <w:rsid w:val="009348C4"/>
    <w:rsid w:val="00936A54"/>
    <w:rsid w:val="00936CD1"/>
    <w:rsid w:val="00936FC8"/>
    <w:rsid w:val="00940617"/>
    <w:rsid w:val="00941624"/>
    <w:rsid w:val="00941747"/>
    <w:rsid w:val="00941EFB"/>
    <w:rsid w:val="009429B3"/>
    <w:rsid w:val="00943FA0"/>
    <w:rsid w:val="009442B8"/>
    <w:rsid w:val="00944861"/>
    <w:rsid w:val="0094565F"/>
    <w:rsid w:val="00945A9C"/>
    <w:rsid w:val="00946B2C"/>
    <w:rsid w:val="00947AAD"/>
    <w:rsid w:val="00947AFB"/>
    <w:rsid w:val="00951275"/>
    <w:rsid w:val="00951D7D"/>
    <w:rsid w:val="00952C12"/>
    <w:rsid w:val="00954927"/>
    <w:rsid w:val="009558CD"/>
    <w:rsid w:val="0095778B"/>
    <w:rsid w:val="00961DB5"/>
    <w:rsid w:val="009630C7"/>
    <w:rsid w:val="00963382"/>
    <w:rsid w:val="009639D7"/>
    <w:rsid w:val="00964310"/>
    <w:rsid w:val="0096572A"/>
    <w:rsid w:val="0096675D"/>
    <w:rsid w:val="009670F2"/>
    <w:rsid w:val="0097034A"/>
    <w:rsid w:val="0097172F"/>
    <w:rsid w:val="0097201F"/>
    <w:rsid w:val="00972814"/>
    <w:rsid w:val="00972B55"/>
    <w:rsid w:val="009743B7"/>
    <w:rsid w:val="00976213"/>
    <w:rsid w:val="0097743C"/>
    <w:rsid w:val="00977AE6"/>
    <w:rsid w:val="0098228B"/>
    <w:rsid w:val="009828DA"/>
    <w:rsid w:val="009847ED"/>
    <w:rsid w:val="009859CC"/>
    <w:rsid w:val="00985BAB"/>
    <w:rsid w:val="009874F2"/>
    <w:rsid w:val="009876B5"/>
    <w:rsid w:val="00987783"/>
    <w:rsid w:val="00991BAD"/>
    <w:rsid w:val="0099240B"/>
    <w:rsid w:val="0099245C"/>
    <w:rsid w:val="0099308F"/>
    <w:rsid w:val="00993395"/>
    <w:rsid w:val="00993776"/>
    <w:rsid w:val="00993F19"/>
    <w:rsid w:val="00995725"/>
    <w:rsid w:val="00996364"/>
    <w:rsid w:val="00996812"/>
    <w:rsid w:val="00997F03"/>
    <w:rsid w:val="009A01D8"/>
    <w:rsid w:val="009A0242"/>
    <w:rsid w:val="009A2ED9"/>
    <w:rsid w:val="009A46DF"/>
    <w:rsid w:val="009A535B"/>
    <w:rsid w:val="009A60C7"/>
    <w:rsid w:val="009A7184"/>
    <w:rsid w:val="009B1B5F"/>
    <w:rsid w:val="009B242D"/>
    <w:rsid w:val="009B2EC2"/>
    <w:rsid w:val="009B44CF"/>
    <w:rsid w:val="009B545F"/>
    <w:rsid w:val="009B5B14"/>
    <w:rsid w:val="009B632A"/>
    <w:rsid w:val="009B65C4"/>
    <w:rsid w:val="009B6673"/>
    <w:rsid w:val="009B729F"/>
    <w:rsid w:val="009B7447"/>
    <w:rsid w:val="009B7A47"/>
    <w:rsid w:val="009C0E3A"/>
    <w:rsid w:val="009C0FCD"/>
    <w:rsid w:val="009C191B"/>
    <w:rsid w:val="009C2BD6"/>
    <w:rsid w:val="009C35B7"/>
    <w:rsid w:val="009C4944"/>
    <w:rsid w:val="009C58FD"/>
    <w:rsid w:val="009C7083"/>
    <w:rsid w:val="009C7DB1"/>
    <w:rsid w:val="009D0CC8"/>
    <w:rsid w:val="009D1A1C"/>
    <w:rsid w:val="009D29EF"/>
    <w:rsid w:val="009D3923"/>
    <w:rsid w:val="009D61E5"/>
    <w:rsid w:val="009D65D4"/>
    <w:rsid w:val="009E0838"/>
    <w:rsid w:val="009E0D1A"/>
    <w:rsid w:val="009E10A4"/>
    <w:rsid w:val="009E14F9"/>
    <w:rsid w:val="009E1765"/>
    <w:rsid w:val="009E1F32"/>
    <w:rsid w:val="009E2139"/>
    <w:rsid w:val="009E32DF"/>
    <w:rsid w:val="009E3B1D"/>
    <w:rsid w:val="009E3D82"/>
    <w:rsid w:val="009E4DE2"/>
    <w:rsid w:val="009E5829"/>
    <w:rsid w:val="009E776C"/>
    <w:rsid w:val="009F0591"/>
    <w:rsid w:val="009F0A72"/>
    <w:rsid w:val="009F1ACC"/>
    <w:rsid w:val="009F287C"/>
    <w:rsid w:val="009F3371"/>
    <w:rsid w:val="009F3EE1"/>
    <w:rsid w:val="009F43BB"/>
    <w:rsid w:val="009F4765"/>
    <w:rsid w:val="009F6DF8"/>
    <w:rsid w:val="009F729B"/>
    <w:rsid w:val="00A00080"/>
    <w:rsid w:val="00A01001"/>
    <w:rsid w:val="00A0292C"/>
    <w:rsid w:val="00A02A36"/>
    <w:rsid w:val="00A04F51"/>
    <w:rsid w:val="00A07001"/>
    <w:rsid w:val="00A07763"/>
    <w:rsid w:val="00A10DDB"/>
    <w:rsid w:val="00A1106D"/>
    <w:rsid w:val="00A1142A"/>
    <w:rsid w:val="00A129B9"/>
    <w:rsid w:val="00A130B4"/>
    <w:rsid w:val="00A13843"/>
    <w:rsid w:val="00A1440E"/>
    <w:rsid w:val="00A15FFC"/>
    <w:rsid w:val="00A169A1"/>
    <w:rsid w:val="00A1726E"/>
    <w:rsid w:val="00A17803"/>
    <w:rsid w:val="00A204CF"/>
    <w:rsid w:val="00A20BF9"/>
    <w:rsid w:val="00A21B65"/>
    <w:rsid w:val="00A22C1A"/>
    <w:rsid w:val="00A2345D"/>
    <w:rsid w:val="00A23632"/>
    <w:rsid w:val="00A23D49"/>
    <w:rsid w:val="00A2551E"/>
    <w:rsid w:val="00A25E0A"/>
    <w:rsid w:val="00A26B02"/>
    <w:rsid w:val="00A27004"/>
    <w:rsid w:val="00A30C29"/>
    <w:rsid w:val="00A3159A"/>
    <w:rsid w:val="00A32EF4"/>
    <w:rsid w:val="00A3372F"/>
    <w:rsid w:val="00A340AE"/>
    <w:rsid w:val="00A34DD6"/>
    <w:rsid w:val="00A36819"/>
    <w:rsid w:val="00A36989"/>
    <w:rsid w:val="00A36BA2"/>
    <w:rsid w:val="00A3702D"/>
    <w:rsid w:val="00A41EDC"/>
    <w:rsid w:val="00A42BAC"/>
    <w:rsid w:val="00A43628"/>
    <w:rsid w:val="00A43E77"/>
    <w:rsid w:val="00A43F52"/>
    <w:rsid w:val="00A4672D"/>
    <w:rsid w:val="00A46EE1"/>
    <w:rsid w:val="00A474C6"/>
    <w:rsid w:val="00A479AB"/>
    <w:rsid w:val="00A47FFA"/>
    <w:rsid w:val="00A50E71"/>
    <w:rsid w:val="00A5109B"/>
    <w:rsid w:val="00A51268"/>
    <w:rsid w:val="00A53E49"/>
    <w:rsid w:val="00A54192"/>
    <w:rsid w:val="00A5644E"/>
    <w:rsid w:val="00A5724A"/>
    <w:rsid w:val="00A6035E"/>
    <w:rsid w:val="00A6144C"/>
    <w:rsid w:val="00A6270C"/>
    <w:rsid w:val="00A6517C"/>
    <w:rsid w:val="00A66617"/>
    <w:rsid w:val="00A66CD6"/>
    <w:rsid w:val="00A671F8"/>
    <w:rsid w:val="00A673A4"/>
    <w:rsid w:val="00A67FE2"/>
    <w:rsid w:val="00A71251"/>
    <w:rsid w:val="00A713D6"/>
    <w:rsid w:val="00A724AE"/>
    <w:rsid w:val="00A72F07"/>
    <w:rsid w:val="00A73329"/>
    <w:rsid w:val="00A73E20"/>
    <w:rsid w:val="00A74343"/>
    <w:rsid w:val="00A76723"/>
    <w:rsid w:val="00A76CB0"/>
    <w:rsid w:val="00A76EDB"/>
    <w:rsid w:val="00A77835"/>
    <w:rsid w:val="00A80332"/>
    <w:rsid w:val="00A820AF"/>
    <w:rsid w:val="00A82359"/>
    <w:rsid w:val="00A82770"/>
    <w:rsid w:val="00A83717"/>
    <w:rsid w:val="00A84040"/>
    <w:rsid w:val="00A84A3C"/>
    <w:rsid w:val="00A84FC8"/>
    <w:rsid w:val="00A859DD"/>
    <w:rsid w:val="00A86473"/>
    <w:rsid w:val="00A865D2"/>
    <w:rsid w:val="00A8669D"/>
    <w:rsid w:val="00A91797"/>
    <w:rsid w:val="00A930EA"/>
    <w:rsid w:val="00A9362E"/>
    <w:rsid w:val="00A936DC"/>
    <w:rsid w:val="00A94C20"/>
    <w:rsid w:val="00A94EDD"/>
    <w:rsid w:val="00A95A9C"/>
    <w:rsid w:val="00A95AB9"/>
    <w:rsid w:val="00A95C99"/>
    <w:rsid w:val="00A96ED6"/>
    <w:rsid w:val="00A974B4"/>
    <w:rsid w:val="00A97F6F"/>
    <w:rsid w:val="00AA1615"/>
    <w:rsid w:val="00AA1B9C"/>
    <w:rsid w:val="00AA227F"/>
    <w:rsid w:val="00AA2CD2"/>
    <w:rsid w:val="00AA3BC7"/>
    <w:rsid w:val="00AA43F5"/>
    <w:rsid w:val="00AA538C"/>
    <w:rsid w:val="00AA655F"/>
    <w:rsid w:val="00AA6BF1"/>
    <w:rsid w:val="00AA6C90"/>
    <w:rsid w:val="00AA7541"/>
    <w:rsid w:val="00AA754A"/>
    <w:rsid w:val="00AB099E"/>
    <w:rsid w:val="00AB165C"/>
    <w:rsid w:val="00AB1BB3"/>
    <w:rsid w:val="00AB2B13"/>
    <w:rsid w:val="00AB3B7C"/>
    <w:rsid w:val="00AB3E6F"/>
    <w:rsid w:val="00AB4328"/>
    <w:rsid w:val="00AB4956"/>
    <w:rsid w:val="00AB57ED"/>
    <w:rsid w:val="00AB5D2B"/>
    <w:rsid w:val="00AB5FA0"/>
    <w:rsid w:val="00AB627F"/>
    <w:rsid w:val="00AB6DA3"/>
    <w:rsid w:val="00AB775C"/>
    <w:rsid w:val="00AC299F"/>
    <w:rsid w:val="00AC4529"/>
    <w:rsid w:val="00AC4755"/>
    <w:rsid w:val="00AC518B"/>
    <w:rsid w:val="00AC6ED4"/>
    <w:rsid w:val="00AC7E41"/>
    <w:rsid w:val="00AD4541"/>
    <w:rsid w:val="00AD75FE"/>
    <w:rsid w:val="00AE0A2E"/>
    <w:rsid w:val="00AE0C68"/>
    <w:rsid w:val="00AE18FE"/>
    <w:rsid w:val="00AE2525"/>
    <w:rsid w:val="00AE354C"/>
    <w:rsid w:val="00AE3C2F"/>
    <w:rsid w:val="00AE531C"/>
    <w:rsid w:val="00AE57B5"/>
    <w:rsid w:val="00AE5F22"/>
    <w:rsid w:val="00AE5FD1"/>
    <w:rsid w:val="00AF04CD"/>
    <w:rsid w:val="00AF0E44"/>
    <w:rsid w:val="00AF123A"/>
    <w:rsid w:val="00AF1CAF"/>
    <w:rsid w:val="00AF2B96"/>
    <w:rsid w:val="00AF356A"/>
    <w:rsid w:val="00AF4B07"/>
    <w:rsid w:val="00AF56B0"/>
    <w:rsid w:val="00AF5D0D"/>
    <w:rsid w:val="00AF6186"/>
    <w:rsid w:val="00AF7A3A"/>
    <w:rsid w:val="00B00BB9"/>
    <w:rsid w:val="00B00BD8"/>
    <w:rsid w:val="00B00C99"/>
    <w:rsid w:val="00B0200C"/>
    <w:rsid w:val="00B0422A"/>
    <w:rsid w:val="00B054AA"/>
    <w:rsid w:val="00B05BBE"/>
    <w:rsid w:val="00B1124D"/>
    <w:rsid w:val="00B113CE"/>
    <w:rsid w:val="00B13F30"/>
    <w:rsid w:val="00B14F85"/>
    <w:rsid w:val="00B150C7"/>
    <w:rsid w:val="00B160DB"/>
    <w:rsid w:val="00B20836"/>
    <w:rsid w:val="00B212DE"/>
    <w:rsid w:val="00B21B99"/>
    <w:rsid w:val="00B22646"/>
    <w:rsid w:val="00B2311C"/>
    <w:rsid w:val="00B235BA"/>
    <w:rsid w:val="00B235BB"/>
    <w:rsid w:val="00B23F47"/>
    <w:rsid w:val="00B26056"/>
    <w:rsid w:val="00B27336"/>
    <w:rsid w:val="00B27A44"/>
    <w:rsid w:val="00B30BBF"/>
    <w:rsid w:val="00B32278"/>
    <w:rsid w:val="00B32979"/>
    <w:rsid w:val="00B33C03"/>
    <w:rsid w:val="00B34099"/>
    <w:rsid w:val="00B355D4"/>
    <w:rsid w:val="00B361A5"/>
    <w:rsid w:val="00B36821"/>
    <w:rsid w:val="00B41B0E"/>
    <w:rsid w:val="00B44073"/>
    <w:rsid w:val="00B443AB"/>
    <w:rsid w:val="00B44E56"/>
    <w:rsid w:val="00B457CE"/>
    <w:rsid w:val="00B46543"/>
    <w:rsid w:val="00B46736"/>
    <w:rsid w:val="00B471EC"/>
    <w:rsid w:val="00B474AD"/>
    <w:rsid w:val="00B47D33"/>
    <w:rsid w:val="00B50C9D"/>
    <w:rsid w:val="00B51CDB"/>
    <w:rsid w:val="00B5239F"/>
    <w:rsid w:val="00B52BE0"/>
    <w:rsid w:val="00B53274"/>
    <w:rsid w:val="00B536A3"/>
    <w:rsid w:val="00B53E5C"/>
    <w:rsid w:val="00B54133"/>
    <w:rsid w:val="00B54744"/>
    <w:rsid w:val="00B54CAA"/>
    <w:rsid w:val="00B55785"/>
    <w:rsid w:val="00B5739F"/>
    <w:rsid w:val="00B5782F"/>
    <w:rsid w:val="00B57F95"/>
    <w:rsid w:val="00B6110B"/>
    <w:rsid w:val="00B623AF"/>
    <w:rsid w:val="00B63432"/>
    <w:rsid w:val="00B637B9"/>
    <w:rsid w:val="00B647C9"/>
    <w:rsid w:val="00B701ED"/>
    <w:rsid w:val="00B71E26"/>
    <w:rsid w:val="00B72234"/>
    <w:rsid w:val="00B72A62"/>
    <w:rsid w:val="00B73141"/>
    <w:rsid w:val="00B73249"/>
    <w:rsid w:val="00B73D18"/>
    <w:rsid w:val="00B74892"/>
    <w:rsid w:val="00B7583C"/>
    <w:rsid w:val="00B8086C"/>
    <w:rsid w:val="00B80925"/>
    <w:rsid w:val="00B82A4D"/>
    <w:rsid w:val="00B848A7"/>
    <w:rsid w:val="00B861B4"/>
    <w:rsid w:val="00B86DFE"/>
    <w:rsid w:val="00B877BD"/>
    <w:rsid w:val="00B90731"/>
    <w:rsid w:val="00B90990"/>
    <w:rsid w:val="00B922FF"/>
    <w:rsid w:val="00B92491"/>
    <w:rsid w:val="00B9281E"/>
    <w:rsid w:val="00B93925"/>
    <w:rsid w:val="00B95018"/>
    <w:rsid w:val="00B95187"/>
    <w:rsid w:val="00BA0943"/>
    <w:rsid w:val="00BA2125"/>
    <w:rsid w:val="00BA2D55"/>
    <w:rsid w:val="00BA3BCF"/>
    <w:rsid w:val="00BA4723"/>
    <w:rsid w:val="00BA49B2"/>
    <w:rsid w:val="00BA5219"/>
    <w:rsid w:val="00BA64A1"/>
    <w:rsid w:val="00BA71B1"/>
    <w:rsid w:val="00BB0160"/>
    <w:rsid w:val="00BB0637"/>
    <w:rsid w:val="00BB1A7D"/>
    <w:rsid w:val="00BB1EBB"/>
    <w:rsid w:val="00BB2259"/>
    <w:rsid w:val="00BB2759"/>
    <w:rsid w:val="00BB345F"/>
    <w:rsid w:val="00BB40CE"/>
    <w:rsid w:val="00BB411F"/>
    <w:rsid w:val="00BB41C3"/>
    <w:rsid w:val="00BB4691"/>
    <w:rsid w:val="00BB5883"/>
    <w:rsid w:val="00BB68EA"/>
    <w:rsid w:val="00BB6F41"/>
    <w:rsid w:val="00BB7E77"/>
    <w:rsid w:val="00BC03F5"/>
    <w:rsid w:val="00BC11E9"/>
    <w:rsid w:val="00BC1563"/>
    <w:rsid w:val="00BC1C27"/>
    <w:rsid w:val="00BC35A5"/>
    <w:rsid w:val="00BC515D"/>
    <w:rsid w:val="00BC5FAC"/>
    <w:rsid w:val="00BC6BBF"/>
    <w:rsid w:val="00BC719E"/>
    <w:rsid w:val="00BD1572"/>
    <w:rsid w:val="00BD4AC1"/>
    <w:rsid w:val="00BD592B"/>
    <w:rsid w:val="00BD75A9"/>
    <w:rsid w:val="00BE14E3"/>
    <w:rsid w:val="00BE1E42"/>
    <w:rsid w:val="00BE2787"/>
    <w:rsid w:val="00BE3774"/>
    <w:rsid w:val="00BE41E5"/>
    <w:rsid w:val="00BE4658"/>
    <w:rsid w:val="00BE60AA"/>
    <w:rsid w:val="00BE6336"/>
    <w:rsid w:val="00BE63BB"/>
    <w:rsid w:val="00BE6456"/>
    <w:rsid w:val="00BE6675"/>
    <w:rsid w:val="00BE7490"/>
    <w:rsid w:val="00BF0230"/>
    <w:rsid w:val="00BF0609"/>
    <w:rsid w:val="00BF0BBB"/>
    <w:rsid w:val="00BF17DD"/>
    <w:rsid w:val="00BF1E80"/>
    <w:rsid w:val="00BF2877"/>
    <w:rsid w:val="00BF33A3"/>
    <w:rsid w:val="00BF4109"/>
    <w:rsid w:val="00BF4CC3"/>
    <w:rsid w:val="00BF5F42"/>
    <w:rsid w:val="00BF7800"/>
    <w:rsid w:val="00C001FE"/>
    <w:rsid w:val="00C01CCB"/>
    <w:rsid w:val="00C02257"/>
    <w:rsid w:val="00C0386E"/>
    <w:rsid w:val="00C04104"/>
    <w:rsid w:val="00C043EF"/>
    <w:rsid w:val="00C04885"/>
    <w:rsid w:val="00C04B76"/>
    <w:rsid w:val="00C05399"/>
    <w:rsid w:val="00C054C7"/>
    <w:rsid w:val="00C057B5"/>
    <w:rsid w:val="00C0705C"/>
    <w:rsid w:val="00C07B87"/>
    <w:rsid w:val="00C106CA"/>
    <w:rsid w:val="00C12102"/>
    <w:rsid w:val="00C12383"/>
    <w:rsid w:val="00C1265F"/>
    <w:rsid w:val="00C13A05"/>
    <w:rsid w:val="00C16A8B"/>
    <w:rsid w:val="00C17E1C"/>
    <w:rsid w:val="00C17E9F"/>
    <w:rsid w:val="00C22687"/>
    <w:rsid w:val="00C23AD5"/>
    <w:rsid w:val="00C23FB4"/>
    <w:rsid w:val="00C24863"/>
    <w:rsid w:val="00C24F43"/>
    <w:rsid w:val="00C2790B"/>
    <w:rsid w:val="00C27B50"/>
    <w:rsid w:val="00C27C36"/>
    <w:rsid w:val="00C30BCF"/>
    <w:rsid w:val="00C312C0"/>
    <w:rsid w:val="00C3150F"/>
    <w:rsid w:val="00C31814"/>
    <w:rsid w:val="00C319F0"/>
    <w:rsid w:val="00C32E4D"/>
    <w:rsid w:val="00C333A0"/>
    <w:rsid w:val="00C335F4"/>
    <w:rsid w:val="00C36770"/>
    <w:rsid w:val="00C36A81"/>
    <w:rsid w:val="00C37515"/>
    <w:rsid w:val="00C37B08"/>
    <w:rsid w:val="00C37B6F"/>
    <w:rsid w:val="00C37EAB"/>
    <w:rsid w:val="00C4172A"/>
    <w:rsid w:val="00C41974"/>
    <w:rsid w:val="00C419BE"/>
    <w:rsid w:val="00C420D2"/>
    <w:rsid w:val="00C42C17"/>
    <w:rsid w:val="00C430B1"/>
    <w:rsid w:val="00C43409"/>
    <w:rsid w:val="00C43E75"/>
    <w:rsid w:val="00C447AD"/>
    <w:rsid w:val="00C449F2"/>
    <w:rsid w:val="00C45806"/>
    <w:rsid w:val="00C51139"/>
    <w:rsid w:val="00C51E58"/>
    <w:rsid w:val="00C53522"/>
    <w:rsid w:val="00C53F49"/>
    <w:rsid w:val="00C53F4A"/>
    <w:rsid w:val="00C54125"/>
    <w:rsid w:val="00C55B54"/>
    <w:rsid w:val="00C57537"/>
    <w:rsid w:val="00C6098E"/>
    <w:rsid w:val="00C6152C"/>
    <w:rsid w:val="00C61D21"/>
    <w:rsid w:val="00C61DEA"/>
    <w:rsid w:val="00C621C2"/>
    <w:rsid w:val="00C62592"/>
    <w:rsid w:val="00C6291D"/>
    <w:rsid w:val="00C6565F"/>
    <w:rsid w:val="00C65F32"/>
    <w:rsid w:val="00C7074B"/>
    <w:rsid w:val="00C71F49"/>
    <w:rsid w:val="00C72655"/>
    <w:rsid w:val="00C74810"/>
    <w:rsid w:val="00C7533B"/>
    <w:rsid w:val="00C77C88"/>
    <w:rsid w:val="00C803B3"/>
    <w:rsid w:val="00C80751"/>
    <w:rsid w:val="00C8142E"/>
    <w:rsid w:val="00C82404"/>
    <w:rsid w:val="00C87235"/>
    <w:rsid w:val="00C90BB9"/>
    <w:rsid w:val="00C90D68"/>
    <w:rsid w:val="00C915FB"/>
    <w:rsid w:val="00C939FE"/>
    <w:rsid w:val="00C94EDD"/>
    <w:rsid w:val="00C97283"/>
    <w:rsid w:val="00CA05C6"/>
    <w:rsid w:val="00CA0715"/>
    <w:rsid w:val="00CA0CF2"/>
    <w:rsid w:val="00CA4BDA"/>
    <w:rsid w:val="00CA7865"/>
    <w:rsid w:val="00CB1F66"/>
    <w:rsid w:val="00CB2951"/>
    <w:rsid w:val="00CB4931"/>
    <w:rsid w:val="00CB5AAF"/>
    <w:rsid w:val="00CB6E70"/>
    <w:rsid w:val="00CB72EF"/>
    <w:rsid w:val="00CB7D13"/>
    <w:rsid w:val="00CC2A5B"/>
    <w:rsid w:val="00CC3928"/>
    <w:rsid w:val="00CC3A53"/>
    <w:rsid w:val="00CC4B32"/>
    <w:rsid w:val="00CC4D0D"/>
    <w:rsid w:val="00CC5E26"/>
    <w:rsid w:val="00CD011A"/>
    <w:rsid w:val="00CD1388"/>
    <w:rsid w:val="00CD1831"/>
    <w:rsid w:val="00CD282B"/>
    <w:rsid w:val="00CD29DC"/>
    <w:rsid w:val="00CD48CA"/>
    <w:rsid w:val="00CD4C35"/>
    <w:rsid w:val="00CD6C22"/>
    <w:rsid w:val="00CD7054"/>
    <w:rsid w:val="00CD7185"/>
    <w:rsid w:val="00CD7369"/>
    <w:rsid w:val="00CE0B0E"/>
    <w:rsid w:val="00CE0DCF"/>
    <w:rsid w:val="00CE1DFE"/>
    <w:rsid w:val="00CE21F8"/>
    <w:rsid w:val="00CE2F1E"/>
    <w:rsid w:val="00CE3831"/>
    <w:rsid w:val="00CE5652"/>
    <w:rsid w:val="00CE586E"/>
    <w:rsid w:val="00CE66F6"/>
    <w:rsid w:val="00CE6920"/>
    <w:rsid w:val="00CE7248"/>
    <w:rsid w:val="00CE727A"/>
    <w:rsid w:val="00CF065F"/>
    <w:rsid w:val="00CF095B"/>
    <w:rsid w:val="00CF1696"/>
    <w:rsid w:val="00CF31EA"/>
    <w:rsid w:val="00CF624E"/>
    <w:rsid w:val="00CF6790"/>
    <w:rsid w:val="00CF78DA"/>
    <w:rsid w:val="00D0008E"/>
    <w:rsid w:val="00D00ABB"/>
    <w:rsid w:val="00D01496"/>
    <w:rsid w:val="00D0155A"/>
    <w:rsid w:val="00D02212"/>
    <w:rsid w:val="00D02EEC"/>
    <w:rsid w:val="00D03016"/>
    <w:rsid w:val="00D03551"/>
    <w:rsid w:val="00D0434E"/>
    <w:rsid w:val="00D05E1D"/>
    <w:rsid w:val="00D06A63"/>
    <w:rsid w:val="00D07E0E"/>
    <w:rsid w:val="00D11478"/>
    <w:rsid w:val="00D11926"/>
    <w:rsid w:val="00D133C6"/>
    <w:rsid w:val="00D13ECD"/>
    <w:rsid w:val="00D149DD"/>
    <w:rsid w:val="00D15ED0"/>
    <w:rsid w:val="00D16FB4"/>
    <w:rsid w:val="00D17507"/>
    <w:rsid w:val="00D17DC5"/>
    <w:rsid w:val="00D20CF9"/>
    <w:rsid w:val="00D20E25"/>
    <w:rsid w:val="00D2161C"/>
    <w:rsid w:val="00D21B3E"/>
    <w:rsid w:val="00D21FED"/>
    <w:rsid w:val="00D22F93"/>
    <w:rsid w:val="00D24251"/>
    <w:rsid w:val="00D2470D"/>
    <w:rsid w:val="00D30975"/>
    <w:rsid w:val="00D31223"/>
    <w:rsid w:val="00D3247A"/>
    <w:rsid w:val="00D343E2"/>
    <w:rsid w:val="00D344E6"/>
    <w:rsid w:val="00D349B8"/>
    <w:rsid w:val="00D349D3"/>
    <w:rsid w:val="00D34BA3"/>
    <w:rsid w:val="00D361A2"/>
    <w:rsid w:val="00D36BC3"/>
    <w:rsid w:val="00D37030"/>
    <w:rsid w:val="00D43EC0"/>
    <w:rsid w:val="00D44C2E"/>
    <w:rsid w:val="00D44C9C"/>
    <w:rsid w:val="00D45414"/>
    <w:rsid w:val="00D467CC"/>
    <w:rsid w:val="00D46A80"/>
    <w:rsid w:val="00D51013"/>
    <w:rsid w:val="00D5115B"/>
    <w:rsid w:val="00D516A5"/>
    <w:rsid w:val="00D51F01"/>
    <w:rsid w:val="00D52EB7"/>
    <w:rsid w:val="00D53971"/>
    <w:rsid w:val="00D53C0F"/>
    <w:rsid w:val="00D54A98"/>
    <w:rsid w:val="00D566BD"/>
    <w:rsid w:val="00D57A4D"/>
    <w:rsid w:val="00D57B46"/>
    <w:rsid w:val="00D57DE5"/>
    <w:rsid w:val="00D57F7B"/>
    <w:rsid w:val="00D60AA7"/>
    <w:rsid w:val="00D60D87"/>
    <w:rsid w:val="00D6435F"/>
    <w:rsid w:val="00D6622F"/>
    <w:rsid w:val="00D6773E"/>
    <w:rsid w:val="00D714AA"/>
    <w:rsid w:val="00D7374B"/>
    <w:rsid w:val="00D73BF9"/>
    <w:rsid w:val="00D74081"/>
    <w:rsid w:val="00D746F4"/>
    <w:rsid w:val="00D75E28"/>
    <w:rsid w:val="00D76282"/>
    <w:rsid w:val="00D76409"/>
    <w:rsid w:val="00D76D4E"/>
    <w:rsid w:val="00D772C2"/>
    <w:rsid w:val="00D77609"/>
    <w:rsid w:val="00D77B0B"/>
    <w:rsid w:val="00D8008E"/>
    <w:rsid w:val="00D82C45"/>
    <w:rsid w:val="00D82D52"/>
    <w:rsid w:val="00D835EA"/>
    <w:rsid w:val="00D83EF0"/>
    <w:rsid w:val="00D842CD"/>
    <w:rsid w:val="00D8673E"/>
    <w:rsid w:val="00D908A8"/>
    <w:rsid w:val="00D93484"/>
    <w:rsid w:val="00D942DB"/>
    <w:rsid w:val="00D942E2"/>
    <w:rsid w:val="00D952C8"/>
    <w:rsid w:val="00D95B5C"/>
    <w:rsid w:val="00D971CF"/>
    <w:rsid w:val="00D977B6"/>
    <w:rsid w:val="00DA25AD"/>
    <w:rsid w:val="00DA4436"/>
    <w:rsid w:val="00DA46E8"/>
    <w:rsid w:val="00DA4A31"/>
    <w:rsid w:val="00DA5661"/>
    <w:rsid w:val="00DA5917"/>
    <w:rsid w:val="00DA59C2"/>
    <w:rsid w:val="00DA61F2"/>
    <w:rsid w:val="00DA7B04"/>
    <w:rsid w:val="00DB0097"/>
    <w:rsid w:val="00DB11C2"/>
    <w:rsid w:val="00DB29E7"/>
    <w:rsid w:val="00DB36C2"/>
    <w:rsid w:val="00DB41B3"/>
    <w:rsid w:val="00DB5088"/>
    <w:rsid w:val="00DB7196"/>
    <w:rsid w:val="00DC169B"/>
    <w:rsid w:val="00DC2AB9"/>
    <w:rsid w:val="00DC2E2C"/>
    <w:rsid w:val="00DC35FD"/>
    <w:rsid w:val="00DC394A"/>
    <w:rsid w:val="00DC4641"/>
    <w:rsid w:val="00DC4724"/>
    <w:rsid w:val="00DC558C"/>
    <w:rsid w:val="00DC568B"/>
    <w:rsid w:val="00DC5F13"/>
    <w:rsid w:val="00DC63F0"/>
    <w:rsid w:val="00DC6B6D"/>
    <w:rsid w:val="00DC77F5"/>
    <w:rsid w:val="00DD0301"/>
    <w:rsid w:val="00DD2CF2"/>
    <w:rsid w:val="00DD493E"/>
    <w:rsid w:val="00DD5F7A"/>
    <w:rsid w:val="00DD66AA"/>
    <w:rsid w:val="00DD6EE5"/>
    <w:rsid w:val="00DE06C4"/>
    <w:rsid w:val="00DE1B8E"/>
    <w:rsid w:val="00DE1D4A"/>
    <w:rsid w:val="00DE3198"/>
    <w:rsid w:val="00DE386C"/>
    <w:rsid w:val="00DE4D35"/>
    <w:rsid w:val="00DE6C67"/>
    <w:rsid w:val="00DE7C8A"/>
    <w:rsid w:val="00DF0549"/>
    <w:rsid w:val="00DF098B"/>
    <w:rsid w:val="00DF11C4"/>
    <w:rsid w:val="00DF120C"/>
    <w:rsid w:val="00DF20A7"/>
    <w:rsid w:val="00DF210C"/>
    <w:rsid w:val="00DF25F2"/>
    <w:rsid w:val="00DF32A2"/>
    <w:rsid w:val="00DF4B6A"/>
    <w:rsid w:val="00DF5D96"/>
    <w:rsid w:val="00DF6FB2"/>
    <w:rsid w:val="00DF7F35"/>
    <w:rsid w:val="00E01BF3"/>
    <w:rsid w:val="00E02C09"/>
    <w:rsid w:val="00E03BDD"/>
    <w:rsid w:val="00E046E7"/>
    <w:rsid w:val="00E04974"/>
    <w:rsid w:val="00E04D59"/>
    <w:rsid w:val="00E05209"/>
    <w:rsid w:val="00E05A7A"/>
    <w:rsid w:val="00E05FBF"/>
    <w:rsid w:val="00E07DA1"/>
    <w:rsid w:val="00E10744"/>
    <w:rsid w:val="00E11FB3"/>
    <w:rsid w:val="00E121CF"/>
    <w:rsid w:val="00E123B6"/>
    <w:rsid w:val="00E123CB"/>
    <w:rsid w:val="00E12E89"/>
    <w:rsid w:val="00E1456C"/>
    <w:rsid w:val="00E14ED5"/>
    <w:rsid w:val="00E1557C"/>
    <w:rsid w:val="00E15688"/>
    <w:rsid w:val="00E15967"/>
    <w:rsid w:val="00E16AC6"/>
    <w:rsid w:val="00E17F05"/>
    <w:rsid w:val="00E2095D"/>
    <w:rsid w:val="00E20E13"/>
    <w:rsid w:val="00E2135F"/>
    <w:rsid w:val="00E213F3"/>
    <w:rsid w:val="00E219F3"/>
    <w:rsid w:val="00E21DBC"/>
    <w:rsid w:val="00E23C47"/>
    <w:rsid w:val="00E24BDD"/>
    <w:rsid w:val="00E2502F"/>
    <w:rsid w:val="00E25E72"/>
    <w:rsid w:val="00E267BD"/>
    <w:rsid w:val="00E275D7"/>
    <w:rsid w:val="00E27DBE"/>
    <w:rsid w:val="00E3140A"/>
    <w:rsid w:val="00E31DD7"/>
    <w:rsid w:val="00E32AB1"/>
    <w:rsid w:val="00E33431"/>
    <w:rsid w:val="00E36C71"/>
    <w:rsid w:val="00E37C46"/>
    <w:rsid w:val="00E40404"/>
    <w:rsid w:val="00E4133A"/>
    <w:rsid w:val="00E422A7"/>
    <w:rsid w:val="00E43DE2"/>
    <w:rsid w:val="00E44054"/>
    <w:rsid w:val="00E459C6"/>
    <w:rsid w:val="00E46A6A"/>
    <w:rsid w:val="00E46ED1"/>
    <w:rsid w:val="00E47589"/>
    <w:rsid w:val="00E4759B"/>
    <w:rsid w:val="00E506D0"/>
    <w:rsid w:val="00E51C7A"/>
    <w:rsid w:val="00E52050"/>
    <w:rsid w:val="00E537E0"/>
    <w:rsid w:val="00E6000B"/>
    <w:rsid w:val="00E61A05"/>
    <w:rsid w:val="00E61BE1"/>
    <w:rsid w:val="00E62431"/>
    <w:rsid w:val="00E63118"/>
    <w:rsid w:val="00E6442D"/>
    <w:rsid w:val="00E64915"/>
    <w:rsid w:val="00E661D4"/>
    <w:rsid w:val="00E6730C"/>
    <w:rsid w:val="00E70091"/>
    <w:rsid w:val="00E70844"/>
    <w:rsid w:val="00E7095C"/>
    <w:rsid w:val="00E720F5"/>
    <w:rsid w:val="00E75FEC"/>
    <w:rsid w:val="00E764AC"/>
    <w:rsid w:val="00E7687E"/>
    <w:rsid w:val="00E76D47"/>
    <w:rsid w:val="00E776F7"/>
    <w:rsid w:val="00E800AD"/>
    <w:rsid w:val="00E849F7"/>
    <w:rsid w:val="00E858E1"/>
    <w:rsid w:val="00E85DDB"/>
    <w:rsid w:val="00E86666"/>
    <w:rsid w:val="00E872CF"/>
    <w:rsid w:val="00E87E77"/>
    <w:rsid w:val="00E90108"/>
    <w:rsid w:val="00E90302"/>
    <w:rsid w:val="00E90321"/>
    <w:rsid w:val="00E93111"/>
    <w:rsid w:val="00E94351"/>
    <w:rsid w:val="00E94C31"/>
    <w:rsid w:val="00E9597F"/>
    <w:rsid w:val="00E95F60"/>
    <w:rsid w:val="00E95FEF"/>
    <w:rsid w:val="00E963BB"/>
    <w:rsid w:val="00E97396"/>
    <w:rsid w:val="00EA185E"/>
    <w:rsid w:val="00EA22B4"/>
    <w:rsid w:val="00EA316D"/>
    <w:rsid w:val="00EA3C51"/>
    <w:rsid w:val="00EA592A"/>
    <w:rsid w:val="00EA70D5"/>
    <w:rsid w:val="00EA737F"/>
    <w:rsid w:val="00EA75F5"/>
    <w:rsid w:val="00EA7863"/>
    <w:rsid w:val="00EB06B4"/>
    <w:rsid w:val="00EB0802"/>
    <w:rsid w:val="00EB1106"/>
    <w:rsid w:val="00EB14E4"/>
    <w:rsid w:val="00EB1589"/>
    <w:rsid w:val="00EB20EB"/>
    <w:rsid w:val="00EB32A0"/>
    <w:rsid w:val="00EB32A5"/>
    <w:rsid w:val="00EB34ED"/>
    <w:rsid w:val="00EB3A3F"/>
    <w:rsid w:val="00EB3ED9"/>
    <w:rsid w:val="00EB4ECE"/>
    <w:rsid w:val="00EB5372"/>
    <w:rsid w:val="00EB7964"/>
    <w:rsid w:val="00EB7BE0"/>
    <w:rsid w:val="00EC0637"/>
    <w:rsid w:val="00EC0E2B"/>
    <w:rsid w:val="00EC315E"/>
    <w:rsid w:val="00EC5CCC"/>
    <w:rsid w:val="00EC628F"/>
    <w:rsid w:val="00ED0062"/>
    <w:rsid w:val="00ED077C"/>
    <w:rsid w:val="00ED09E8"/>
    <w:rsid w:val="00ED1190"/>
    <w:rsid w:val="00ED1400"/>
    <w:rsid w:val="00ED216A"/>
    <w:rsid w:val="00ED2B50"/>
    <w:rsid w:val="00ED3B56"/>
    <w:rsid w:val="00ED400C"/>
    <w:rsid w:val="00ED5355"/>
    <w:rsid w:val="00ED5C5B"/>
    <w:rsid w:val="00ED5C5D"/>
    <w:rsid w:val="00ED6544"/>
    <w:rsid w:val="00ED6F69"/>
    <w:rsid w:val="00ED751C"/>
    <w:rsid w:val="00EE01D6"/>
    <w:rsid w:val="00EE0277"/>
    <w:rsid w:val="00EE0D7D"/>
    <w:rsid w:val="00EE0F46"/>
    <w:rsid w:val="00EE1DA9"/>
    <w:rsid w:val="00EE20B9"/>
    <w:rsid w:val="00EE2339"/>
    <w:rsid w:val="00EE346E"/>
    <w:rsid w:val="00EE37A7"/>
    <w:rsid w:val="00EE3E00"/>
    <w:rsid w:val="00EE576B"/>
    <w:rsid w:val="00EE5DD2"/>
    <w:rsid w:val="00EE6513"/>
    <w:rsid w:val="00EF0073"/>
    <w:rsid w:val="00EF00D1"/>
    <w:rsid w:val="00EF00EC"/>
    <w:rsid w:val="00EF306D"/>
    <w:rsid w:val="00EF41F1"/>
    <w:rsid w:val="00EF4F08"/>
    <w:rsid w:val="00EF52B5"/>
    <w:rsid w:val="00EF5470"/>
    <w:rsid w:val="00EF573B"/>
    <w:rsid w:val="00F0015E"/>
    <w:rsid w:val="00F00A79"/>
    <w:rsid w:val="00F00E86"/>
    <w:rsid w:val="00F00F8B"/>
    <w:rsid w:val="00F02009"/>
    <w:rsid w:val="00F022BA"/>
    <w:rsid w:val="00F06E86"/>
    <w:rsid w:val="00F07BFA"/>
    <w:rsid w:val="00F07C1E"/>
    <w:rsid w:val="00F10243"/>
    <w:rsid w:val="00F1035F"/>
    <w:rsid w:val="00F105DB"/>
    <w:rsid w:val="00F1094A"/>
    <w:rsid w:val="00F11C78"/>
    <w:rsid w:val="00F132BC"/>
    <w:rsid w:val="00F13D80"/>
    <w:rsid w:val="00F144E9"/>
    <w:rsid w:val="00F16AAA"/>
    <w:rsid w:val="00F1776F"/>
    <w:rsid w:val="00F21161"/>
    <w:rsid w:val="00F218EF"/>
    <w:rsid w:val="00F21BC7"/>
    <w:rsid w:val="00F221F9"/>
    <w:rsid w:val="00F25595"/>
    <w:rsid w:val="00F25EBF"/>
    <w:rsid w:val="00F266A2"/>
    <w:rsid w:val="00F27008"/>
    <w:rsid w:val="00F27EA3"/>
    <w:rsid w:val="00F30F43"/>
    <w:rsid w:val="00F31B89"/>
    <w:rsid w:val="00F32269"/>
    <w:rsid w:val="00F356EE"/>
    <w:rsid w:val="00F36980"/>
    <w:rsid w:val="00F402D9"/>
    <w:rsid w:val="00F42C39"/>
    <w:rsid w:val="00F431AB"/>
    <w:rsid w:val="00F4457E"/>
    <w:rsid w:val="00F44EEB"/>
    <w:rsid w:val="00F458AB"/>
    <w:rsid w:val="00F46932"/>
    <w:rsid w:val="00F46D13"/>
    <w:rsid w:val="00F4779D"/>
    <w:rsid w:val="00F50B31"/>
    <w:rsid w:val="00F53640"/>
    <w:rsid w:val="00F53C2C"/>
    <w:rsid w:val="00F54295"/>
    <w:rsid w:val="00F54570"/>
    <w:rsid w:val="00F55301"/>
    <w:rsid w:val="00F55ACA"/>
    <w:rsid w:val="00F563D0"/>
    <w:rsid w:val="00F56A6F"/>
    <w:rsid w:val="00F56C75"/>
    <w:rsid w:val="00F56EF9"/>
    <w:rsid w:val="00F5709C"/>
    <w:rsid w:val="00F576C7"/>
    <w:rsid w:val="00F60A28"/>
    <w:rsid w:val="00F6334B"/>
    <w:rsid w:val="00F64EF1"/>
    <w:rsid w:val="00F655D4"/>
    <w:rsid w:val="00F6628D"/>
    <w:rsid w:val="00F662BE"/>
    <w:rsid w:val="00F72610"/>
    <w:rsid w:val="00F7455C"/>
    <w:rsid w:val="00F7650D"/>
    <w:rsid w:val="00F80BB0"/>
    <w:rsid w:val="00F80D2F"/>
    <w:rsid w:val="00F81B57"/>
    <w:rsid w:val="00F83455"/>
    <w:rsid w:val="00F83AB6"/>
    <w:rsid w:val="00F858EF"/>
    <w:rsid w:val="00F8765F"/>
    <w:rsid w:val="00F87A4B"/>
    <w:rsid w:val="00F87D74"/>
    <w:rsid w:val="00F902E3"/>
    <w:rsid w:val="00F90767"/>
    <w:rsid w:val="00F90881"/>
    <w:rsid w:val="00F90F8E"/>
    <w:rsid w:val="00F91FF2"/>
    <w:rsid w:val="00F92123"/>
    <w:rsid w:val="00F92702"/>
    <w:rsid w:val="00F930D4"/>
    <w:rsid w:val="00F93947"/>
    <w:rsid w:val="00F96658"/>
    <w:rsid w:val="00F96F93"/>
    <w:rsid w:val="00F9721D"/>
    <w:rsid w:val="00FA11D5"/>
    <w:rsid w:val="00FA16A8"/>
    <w:rsid w:val="00FA182C"/>
    <w:rsid w:val="00FA346B"/>
    <w:rsid w:val="00FA634F"/>
    <w:rsid w:val="00FA685B"/>
    <w:rsid w:val="00FB0C01"/>
    <w:rsid w:val="00FB105A"/>
    <w:rsid w:val="00FB185B"/>
    <w:rsid w:val="00FB1EB7"/>
    <w:rsid w:val="00FB26D2"/>
    <w:rsid w:val="00FB274A"/>
    <w:rsid w:val="00FB3D42"/>
    <w:rsid w:val="00FB5567"/>
    <w:rsid w:val="00FB78A6"/>
    <w:rsid w:val="00FC18F2"/>
    <w:rsid w:val="00FC39E5"/>
    <w:rsid w:val="00FC3A78"/>
    <w:rsid w:val="00FC3E0F"/>
    <w:rsid w:val="00FC4960"/>
    <w:rsid w:val="00FC5FFE"/>
    <w:rsid w:val="00FD0BFF"/>
    <w:rsid w:val="00FD1005"/>
    <w:rsid w:val="00FD1660"/>
    <w:rsid w:val="00FD3180"/>
    <w:rsid w:val="00FD3674"/>
    <w:rsid w:val="00FD368A"/>
    <w:rsid w:val="00FD3FD6"/>
    <w:rsid w:val="00FD4390"/>
    <w:rsid w:val="00FD6C75"/>
    <w:rsid w:val="00FD6CFE"/>
    <w:rsid w:val="00FE05B9"/>
    <w:rsid w:val="00FE4FCD"/>
    <w:rsid w:val="00FE6126"/>
    <w:rsid w:val="00FE71B3"/>
    <w:rsid w:val="00FE7E84"/>
    <w:rsid w:val="00FF0353"/>
    <w:rsid w:val="00FF1918"/>
    <w:rsid w:val="00FF2AC9"/>
    <w:rsid w:val="00FF2C9F"/>
    <w:rsid w:val="00FF2F53"/>
    <w:rsid w:val="00FF354A"/>
    <w:rsid w:val="00FF4290"/>
    <w:rsid w:val="00FF42C5"/>
    <w:rsid w:val="00FF4591"/>
    <w:rsid w:val="00FF5255"/>
    <w:rsid w:val="00FF569F"/>
    <w:rsid w:val="00FF7ECA"/>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03B5C0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0" w:defUnhideWhenUsed="0" w:defQFormat="0" w:count="371">
    <w:lsdException w:name="Normal" w:uiPriority="0"/>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0" w:unhideWhenUsed="1"/>
    <w:lsdException w:name="header" w:semiHidden="1" w:uiPriority="57" w:unhideWhenUsed="1"/>
    <w:lsdException w:name="footer" w:semiHidden="1" w:uiPriority="57"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qFormat="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8"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qFormat="1"/>
    <w:lsdException w:name="Quote" w:qFormat="1"/>
    <w:lsdException w:name="Intense Quote"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qFormat="1"/>
    <w:lsdException w:name="Intense Emphasis" w:qFormat="1"/>
    <w:lsdException w:name="Subtle Reference" w:qFormat="1"/>
    <w:lsdException w:name="Intense Reference" w:qFormat="1"/>
    <w:lsdException w:name="Book Title" w:qFormat="1"/>
    <w:lsdException w:name="Bibliography" w:semiHidden="1" w:unhideWhenUsed="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semiHidden/>
    <w:rsid w:val="00C3150F"/>
    <w:pPr>
      <w:jc w:val="both"/>
    </w:pPr>
    <w:rPr>
      <w:rFonts w:eastAsiaTheme="minorEastAsia"/>
      <w:sz w:val="24"/>
      <w:lang w:val="en-GB"/>
    </w:rPr>
  </w:style>
  <w:style w:type="paragraph" w:styleId="Nagwek1">
    <w:name w:val="heading 1"/>
    <w:basedOn w:val="Normalny"/>
    <w:next w:val="Normalny"/>
    <w:link w:val="Nagwek1Znak"/>
    <w:uiPriority w:val="99"/>
    <w:semiHidden/>
    <w:rsid w:val="00C3150F"/>
    <w:pPr>
      <w:spacing w:before="480"/>
      <w:contextualSpacing/>
      <w:outlineLvl w:val="0"/>
    </w:pPr>
    <w:rPr>
      <w:rFonts w:asciiTheme="majorHAnsi" w:eastAsiaTheme="majorEastAsia" w:hAnsiTheme="majorHAnsi" w:cstheme="majorBidi"/>
      <w:b/>
      <w:bCs/>
      <w:color w:val="333333"/>
      <w:sz w:val="28"/>
      <w:szCs w:val="28"/>
    </w:rPr>
  </w:style>
  <w:style w:type="paragraph" w:styleId="Nagwek2">
    <w:name w:val="heading 2"/>
    <w:basedOn w:val="Normalny"/>
    <w:next w:val="Normalny"/>
    <w:link w:val="Nagwek2Znak"/>
    <w:uiPriority w:val="99"/>
    <w:semiHidden/>
    <w:rsid w:val="00C3150F"/>
    <w:pPr>
      <w:spacing w:before="200"/>
      <w:outlineLvl w:val="1"/>
    </w:pPr>
    <w:rPr>
      <w:rFonts w:asciiTheme="majorHAnsi" w:eastAsiaTheme="majorEastAsia" w:hAnsiTheme="majorHAnsi" w:cstheme="majorBidi"/>
      <w:b/>
      <w:bCs/>
      <w:color w:val="4D4D4D"/>
      <w:sz w:val="26"/>
      <w:szCs w:val="26"/>
    </w:rPr>
  </w:style>
  <w:style w:type="paragraph" w:styleId="Nagwek3">
    <w:name w:val="heading 3"/>
    <w:basedOn w:val="Normalny"/>
    <w:next w:val="Normalny"/>
    <w:link w:val="Nagwek3Znak"/>
    <w:uiPriority w:val="99"/>
    <w:semiHidden/>
    <w:rsid w:val="00C3150F"/>
    <w:pPr>
      <w:spacing w:before="200" w:line="271" w:lineRule="auto"/>
      <w:outlineLvl w:val="2"/>
    </w:pPr>
    <w:rPr>
      <w:rFonts w:asciiTheme="majorHAnsi" w:eastAsiaTheme="majorEastAsia" w:hAnsiTheme="majorHAnsi" w:cstheme="majorBidi"/>
      <w:b/>
      <w:bCs/>
      <w:color w:val="5F5F5F"/>
    </w:rPr>
  </w:style>
  <w:style w:type="paragraph" w:styleId="Nagwek4">
    <w:name w:val="heading 4"/>
    <w:basedOn w:val="Normalny"/>
    <w:next w:val="Normalny"/>
    <w:link w:val="Nagwek4Znak"/>
    <w:uiPriority w:val="99"/>
    <w:semiHidden/>
    <w:rsid w:val="00C3150F"/>
    <w:pPr>
      <w:spacing w:before="200"/>
      <w:outlineLvl w:val="3"/>
    </w:pPr>
    <w:rPr>
      <w:rFonts w:asciiTheme="majorHAnsi" w:eastAsiaTheme="majorEastAsia" w:hAnsiTheme="majorHAnsi" w:cstheme="majorBidi"/>
      <w:b/>
      <w:bCs/>
      <w:i/>
      <w:iCs/>
      <w:color w:val="777777"/>
    </w:rPr>
  </w:style>
  <w:style w:type="paragraph" w:styleId="Nagwek5">
    <w:name w:val="heading 5"/>
    <w:basedOn w:val="Normalny"/>
    <w:next w:val="Normalny"/>
    <w:link w:val="Nagwek5Znak"/>
    <w:uiPriority w:val="99"/>
    <w:semiHidden/>
    <w:qFormat/>
    <w:rsid w:val="00C3150F"/>
    <w:pPr>
      <w:spacing w:before="200"/>
      <w:outlineLvl w:val="4"/>
    </w:pPr>
    <w:rPr>
      <w:rFonts w:asciiTheme="majorHAnsi" w:eastAsiaTheme="majorEastAsia" w:hAnsiTheme="majorHAnsi" w:cstheme="majorBidi"/>
      <w:b/>
      <w:bCs/>
      <w:color w:val="808080"/>
      <w:sz w:val="22"/>
      <w:lang w:val="en-US"/>
    </w:rPr>
  </w:style>
  <w:style w:type="paragraph" w:styleId="Nagwek6">
    <w:name w:val="heading 6"/>
    <w:basedOn w:val="Normalny"/>
    <w:next w:val="Normalny"/>
    <w:link w:val="Nagwek6Znak"/>
    <w:uiPriority w:val="99"/>
    <w:semiHidden/>
    <w:rsid w:val="00C3150F"/>
    <w:pPr>
      <w:spacing w:line="271" w:lineRule="auto"/>
      <w:outlineLvl w:val="5"/>
    </w:pPr>
    <w:rPr>
      <w:rFonts w:asciiTheme="majorHAnsi" w:eastAsiaTheme="majorEastAsia" w:hAnsiTheme="majorHAnsi" w:cstheme="majorBidi"/>
      <w:b/>
      <w:bCs/>
      <w:i/>
      <w:iCs/>
      <w:color w:val="7F7F7F" w:themeColor="text1" w:themeTint="80"/>
      <w:lang w:bidi="en-US"/>
    </w:rPr>
  </w:style>
  <w:style w:type="paragraph" w:styleId="Nagwek7">
    <w:name w:val="heading 7"/>
    <w:basedOn w:val="Normalny"/>
    <w:next w:val="Normalny"/>
    <w:link w:val="Nagwek7Znak"/>
    <w:uiPriority w:val="99"/>
    <w:semiHidden/>
    <w:qFormat/>
    <w:rsid w:val="00C3150F"/>
    <w:pPr>
      <w:outlineLvl w:val="6"/>
    </w:pPr>
    <w:rPr>
      <w:rFonts w:asciiTheme="majorHAnsi" w:eastAsiaTheme="majorEastAsia" w:hAnsiTheme="majorHAnsi" w:cstheme="majorBidi"/>
      <w:i/>
      <w:iCs/>
      <w:sz w:val="22"/>
      <w:lang w:val="en-US" w:bidi="en-US"/>
    </w:rPr>
  </w:style>
  <w:style w:type="paragraph" w:styleId="Nagwek8">
    <w:name w:val="heading 8"/>
    <w:basedOn w:val="Normalny"/>
    <w:next w:val="Normalny"/>
    <w:link w:val="Nagwek8Znak"/>
    <w:uiPriority w:val="99"/>
    <w:semiHidden/>
    <w:qFormat/>
    <w:rsid w:val="00C3150F"/>
    <w:pPr>
      <w:outlineLvl w:val="7"/>
    </w:pPr>
    <w:rPr>
      <w:rFonts w:asciiTheme="majorHAnsi" w:eastAsiaTheme="majorEastAsia" w:hAnsiTheme="majorHAnsi" w:cstheme="majorBidi"/>
      <w:sz w:val="20"/>
      <w:szCs w:val="20"/>
      <w:lang w:val="en-US" w:bidi="en-US"/>
    </w:rPr>
  </w:style>
  <w:style w:type="paragraph" w:styleId="Nagwek9">
    <w:name w:val="heading 9"/>
    <w:basedOn w:val="Normalny"/>
    <w:next w:val="Normalny"/>
    <w:link w:val="Nagwek9Znak"/>
    <w:uiPriority w:val="99"/>
    <w:semiHidden/>
    <w:qFormat/>
    <w:rsid w:val="00C3150F"/>
    <w:pPr>
      <w:outlineLvl w:val="8"/>
    </w:pPr>
    <w:rPr>
      <w:rFonts w:asciiTheme="majorHAnsi" w:eastAsiaTheme="majorEastAsia" w:hAnsiTheme="majorHAnsi" w:cstheme="majorBidi"/>
      <w:i/>
      <w:iCs/>
      <w:spacing w:val="5"/>
      <w:sz w:val="20"/>
      <w:szCs w:val="20"/>
      <w:lang w:val="en-US" w:bidi="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dymka">
    <w:name w:val="Balloon Text"/>
    <w:basedOn w:val="Normalny"/>
    <w:link w:val="TekstdymkaZnak"/>
    <w:uiPriority w:val="99"/>
    <w:semiHidden/>
    <w:rsid w:val="00C3150F"/>
    <w:rPr>
      <w:rFonts w:ascii="Tahoma" w:hAnsi="Tahoma" w:cs="Tahoma"/>
      <w:sz w:val="16"/>
      <w:szCs w:val="16"/>
    </w:rPr>
  </w:style>
  <w:style w:type="character" w:customStyle="1" w:styleId="TekstdymkaZnak">
    <w:name w:val="Tekst dymka Znak"/>
    <w:basedOn w:val="Domylnaczcionkaakapitu"/>
    <w:link w:val="Tekstdymka"/>
    <w:uiPriority w:val="99"/>
    <w:semiHidden/>
    <w:rsid w:val="00C3150F"/>
    <w:rPr>
      <w:rFonts w:ascii="Tahoma" w:eastAsiaTheme="minorEastAsia" w:hAnsi="Tahoma" w:cs="Tahoma"/>
      <w:sz w:val="16"/>
      <w:szCs w:val="16"/>
      <w:lang w:val="en-GB"/>
    </w:rPr>
  </w:style>
  <w:style w:type="character" w:styleId="Tytuksiki">
    <w:name w:val="Book Title"/>
    <w:uiPriority w:val="99"/>
    <w:semiHidden/>
    <w:qFormat/>
    <w:rsid w:val="00C3150F"/>
    <w:rPr>
      <w:i/>
      <w:iCs/>
      <w:smallCaps/>
      <w:spacing w:val="5"/>
    </w:rPr>
  </w:style>
  <w:style w:type="paragraph" w:customStyle="1" w:styleId="ECHRHeader">
    <w:name w:val="ECHR_Header"/>
    <w:aliases w:val="Ju_Header"/>
    <w:basedOn w:val="Nagwek"/>
    <w:uiPriority w:val="4"/>
    <w:qFormat/>
    <w:rsid w:val="00C3150F"/>
    <w:pPr>
      <w:tabs>
        <w:tab w:val="clear" w:pos="4536"/>
        <w:tab w:val="clear" w:pos="9072"/>
        <w:tab w:val="center" w:pos="3686"/>
        <w:tab w:val="right" w:pos="7371"/>
      </w:tabs>
      <w:jc w:val="left"/>
    </w:pPr>
    <w:rPr>
      <w:sz w:val="18"/>
    </w:rPr>
  </w:style>
  <w:style w:type="paragraph" w:customStyle="1" w:styleId="ECHRFooter">
    <w:name w:val="ECHR_Footer"/>
    <w:aliases w:val="Footer_ECHR"/>
    <w:basedOn w:val="Stopka"/>
    <w:uiPriority w:val="57"/>
    <w:semiHidden/>
    <w:rsid w:val="00C3150F"/>
    <w:pPr>
      <w:jc w:val="left"/>
    </w:pPr>
    <w:rPr>
      <w:sz w:val="8"/>
    </w:rPr>
  </w:style>
  <w:style w:type="character" w:styleId="Pogrubienie">
    <w:name w:val="Strong"/>
    <w:uiPriority w:val="99"/>
    <w:semiHidden/>
    <w:qFormat/>
    <w:rsid w:val="00C3150F"/>
    <w:rPr>
      <w:b/>
      <w:bCs/>
    </w:rPr>
  </w:style>
  <w:style w:type="paragraph" w:styleId="Bezodstpw">
    <w:name w:val="No Spacing"/>
    <w:basedOn w:val="Normalny"/>
    <w:link w:val="BezodstpwZnak"/>
    <w:semiHidden/>
    <w:qFormat/>
    <w:rsid w:val="00C3150F"/>
    <w:rPr>
      <w:sz w:val="22"/>
      <w:lang w:val="en-US"/>
    </w:rPr>
  </w:style>
  <w:style w:type="character" w:customStyle="1" w:styleId="BezodstpwZnak">
    <w:name w:val="Bez odstępów Znak"/>
    <w:basedOn w:val="Domylnaczcionkaakapitu"/>
    <w:link w:val="Bezodstpw"/>
    <w:semiHidden/>
    <w:rsid w:val="00C3150F"/>
    <w:rPr>
      <w:rFonts w:eastAsiaTheme="minorEastAsia"/>
    </w:rPr>
  </w:style>
  <w:style w:type="paragraph" w:customStyle="1" w:styleId="ECHRFooterLine">
    <w:name w:val="ECHR_Footer_Line"/>
    <w:aliases w:val="Footer_Line"/>
    <w:basedOn w:val="Normalny"/>
    <w:next w:val="ECHRFooter"/>
    <w:uiPriority w:val="57"/>
    <w:semiHidden/>
    <w:rsid w:val="00C3150F"/>
    <w:pPr>
      <w:pBdr>
        <w:top w:val="single" w:sz="6" w:space="1" w:color="5F5F5F"/>
      </w:pBdr>
      <w:tabs>
        <w:tab w:val="center" w:pos="4536"/>
        <w:tab w:val="right" w:pos="9696"/>
      </w:tabs>
      <w:ind w:left="-680" w:right="-680"/>
      <w:jc w:val="left"/>
    </w:pPr>
    <w:rPr>
      <w:color w:val="5F5F5F"/>
    </w:rPr>
  </w:style>
  <w:style w:type="paragraph" w:customStyle="1" w:styleId="DecHTitle">
    <w:name w:val="Dec_H_Title"/>
    <w:aliases w:val="_Title_1"/>
    <w:basedOn w:val="ECHRTitleCentre1"/>
    <w:uiPriority w:val="38"/>
    <w:qFormat/>
    <w:rsid w:val="00C3150F"/>
  </w:style>
  <w:style w:type="paragraph" w:customStyle="1" w:styleId="OpiPara">
    <w:name w:val="Opi_Para"/>
    <w:basedOn w:val="ECHRPara"/>
    <w:uiPriority w:val="46"/>
    <w:qFormat/>
    <w:rsid w:val="00C3150F"/>
  </w:style>
  <w:style w:type="paragraph" w:customStyle="1" w:styleId="DecList">
    <w:name w:val="Dec_List"/>
    <w:basedOn w:val="Normalny"/>
    <w:uiPriority w:val="9"/>
    <w:semiHidden/>
    <w:qFormat/>
    <w:rsid w:val="00C3150F"/>
    <w:pPr>
      <w:spacing w:before="240"/>
      <w:ind w:left="284"/>
    </w:pPr>
  </w:style>
  <w:style w:type="paragraph" w:customStyle="1" w:styleId="ECHRTitleCentre3">
    <w:name w:val="ECHR_Title_Centre_3"/>
    <w:aliases w:val="Ju_H_Article"/>
    <w:basedOn w:val="Normalny"/>
    <w:next w:val="ECHRParaQuote"/>
    <w:uiPriority w:val="27"/>
    <w:qFormat/>
    <w:rsid w:val="00C3150F"/>
    <w:pPr>
      <w:keepNext/>
      <w:keepLines/>
      <w:spacing w:before="240" w:after="120"/>
      <w:jc w:val="center"/>
      <w:outlineLvl w:val="3"/>
    </w:pPr>
    <w:rPr>
      <w:rFonts w:asciiTheme="majorHAnsi" w:hAnsiTheme="majorHAnsi"/>
      <w:b/>
      <w:sz w:val="20"/>
      <w:lang w:bidi="en-US"/>
    </w:rPr>
  </w:style>
  <w:style w:type="paragraph" w:customStyle="1" w:styleId="ECHRTitleCentre1">
    <w:name w:val="ECHR_Title_Centre_1"/>
    <w:aliases w:val="Opi_H_Head"/>
    <w:basedOn w:val="Normalny"/>
    <w:next w:val="OpiPara"/>
    <w:uiPriority w:val="39"/>
    <w:qFormat/>
    <w:rsid w:val="00C3150F"/>
    <w:pPr>
      <w:keepNext/>
      <w:keepLines/>
      <w:spacing w:after="240"/>
      <w:jc w:val="center"/>
      <w:outlineLvl w:val="0"/>
    </w:pPr>
    <w:rPr>
      <w:rFonts w:asciiTheme="majorHAnsi" w:hAnsiTheme="majorHAnsi"/>
      <w:sz w:val="28"/>
    </w:rPr>
  </w:style>
  <w:style w:type="paragraph" w:customStyle="1" w:styleId="DummyStyle">
    <w:name w:val="Dummy_Style"/>
    <w:basedOn w:val="Normalny"/>
    <w:semiHidden/>
    <w:qFormat/>
    <w:rsid w:val="00C3150F"/>
    <w:rPr>
      <w:color w:val="00B050"/>
    </w:rPr>
  </w:style>
  <w:style w:type="paragraph" w:customStyle="1" w:styleId="JuAppQuestion">
    <w:name w:val="Ju_App_Question"/>
    <w:basedOn w:val="Normalny"/>
    <w:uiPriority w:val="5"/>
    <w:semiHidden/>
    <w:qFormat/>
    <w:rsid w:val="00C3150F"/>
    <w:pPr>
      <w:numPr>
        <w:numId w:val="26"/>
      </w:numPr>
      <w:jc w:val="left"/>
    </w:pPr>
    <w:rPr>
      <w:b/>
    </w:rPr>
  </w:style>
  <w:style w:type="paragraph" w:customStyle="1" w:styleId="JuCourt">
    <w:name w:val="Ju_Court"/>
    <w:basedOn w:val="Normalny"/>
    <w:next w:val="Normalny"/>
    <w:uiPriority w:val="16"/>
    <w:qFormat/>
    <w:rsid w:val="00C3150F"/>
    <w:pPr>
      <w:tabs>
        <w:tab w:val="left" w:pos="907"/>
        <w:tab w:val="left" w:pos="1701"/>
        <w:tab w:val="right" w:pos="7371"/>
      </w:tabs>
      <w:spacing w:before="240"/>
      <w:ind w:left="397" w:hanging="397"/>
      <w:jc w:val="left"/>
    </w:pPr>
    <w:rPr>
      <w:lang w:bidi="en-US"/>
    </w:rPr>
  </w:style>
  <w:style w:type="paragraph" w:customStyle="1" w:styleId="ECHRTitleCentre2">
    <w:name w:val="ECHR_Title_Centre_2"/>
    <w:aliases w:val="Dec_H_Case"/>
    <w:basedOn w:val="Normalny"/>
    <w:next w:val="ECHRPara"/>
    <w:uiPriority w:val="8"/>
    <w:qFormat/>
    <w:rsid w:val="00C3150F"/>
    <w:pPr>
      <w:spacing w:after="240"/>
      <w:jc w:val="center"/>
      <w:outlineLvl w:val="0"/>
    </w:pPr>
    <w:rPr>
      <w:rFonts w:asciiTheme="majorHAnsi" w:hAnsiTheme="majorHAnsi"/>
    </w:rPr>
  </w:style>
  <w:style w:type="paragraph" w:customStyle="1" w:styleId="JuTitle">
    <w:name w:val="Ju_Title"/>
    <w:basedOn w:val="Normalny"/>
    <w:next w:val="ECHRPara"/>
    <w:uiPriority w:val="3"/>
    <w:qFormat/>
    <w:rsid w:val="00C3150F"/>
    <w:pPr>
      <w:spacing w:before="720" w:after="240"/>
      <w:jc w:val="center"/>
      <w:outlineLvl w:val="0"/>
    </w:pPr>
    <w:rPr>
      <w:rFonts w:asciiTheme="majorHAnsi" w:hAnsiTheme="majorHAnsi"/>
      <w:b/>
      <w:caps/>
    </w:rPr>
  </w:style>
  <w:style w:type="paragraph" w:styleId="Tytu">
    <w:name w:val="Title"/>
    <w:basedOn w:val="Normalny"/>
    <w:next w:val="Normalny"/>
    <w:link w:val="TytuZnak"/>
    <w:uiPriority w:val="99"/>
    <w:semiHidden/>
    <w:qFormat/>
    <w:rsid w:val="00C3150F"/>
    <w:pPr>
      <w:pBdr>
        <w:bottom w:val="single" w:sz="4" w:space="1" w:color="auto"/>
      </w:pBdr>
      <w:contextualSpacing/>
    </w:pPr>
    <w:rPr>
      <w:rFonts w:asciiTheme="majorHAnsi" w:eastAsiaTheme="majorEastAsia" w:hAnsiTheme="majorHAnsi" w:cstheme="majorBidi"/>
      <w:spacing w:val="5"/>
      <w:sz w:val="52"/>
      <w:szCs w:val="52"/>
      <w:lang w:val="en-US" w:bidi="en-US"/>
    </w:rPr>
  </w:style>
  <w:style w:type="character" w:customStyle="1" w:styleId="TytuZnak">
    <w:name w:val="Tytuł Znak"/>
    <w:basedOn w:val="Domylnaczcionkaakapitu"/>
    <w:link w:val="Tytu"/>
    <w:uiPriority w:val="99"/>
    <w:semiHidden/>
    <w:rsid w:val="00C3150F"/>
    <w:rPr>
      <w:rFonts w:asciiTheme="majorHAnsi" w:eastAsiaTheme="majorEastAsia" w:hAnsiTheme="majorHAnsi" w:cstheme="majorBidi"/>
      <w:spacing w:val="5"/>
      <w:sz w:val="52"/>
      <w:szCs w:val="52"/>
      <w:lang w:bidi="en-US"/>
    </w:rPr>
  </w:style>
  <w:style w:type="paragraph" w:customStyle="1" w:styleId="ECHRHeading3">
    <w:name w:val="ECHR_Heading_3"/>
    <w:aliases w:val="Ju_H_1."/>
    <w:basedOn w:val="Nagwek3"/>
    <w:next w:val="ECHRPara"/>
    <w:uiPriority w:val="21"/>
    <w:qFormat/>
    <w:rsid w:val="00C3150F"/>
    <w:pPr>
      <w:keepNext/>
      <w:keepLines/>
      <w:tabs>
        <w:tab w:val="left" w:pos="731"/>
      </w:tabs>
      <w:spacing w:before="240" w:after="120" w:line="240" w:lineRule="auto"/>
      <w:ind w:left="732" w:hanging="301"/>
    </w:pPr>
    <w:rPr>
      <w:b w:val="0"/>
      <w:i/>
      <w:color w:val="auto"/>
    </w:rPr>
  </w:style>
  <w:style w:type="paragraph" w:customStyle="1" w:styleId="ECHRHeading4">
    <w:name w:val="ECHR_Heading_4"/>
    <w:aliases w:val="Ju_H_a"/>
    <w:basedOn w:val="Nagwek4"/>
    <w:next w:val="ECHRPara"/>
    <w:uiPriority w:val="22"/>
    <w:qFormat/>
    <w:rsid w:val="00C3150F"/>
    <w:pPr>
      <w:keepNext/>
      <w:keepLines/>
      <w:tabs>
        <w:tab w:val="left" w:pos="975"/>
      </w:tabs>
      <w:spacing w:before="240" w:after="120"/>
      <w:ind w:left="975" w:hanging="340"/>
    </w:pPr>
    <w:rPr>
      <w:i w:val="0"/>
      <w:color w:val="auto"/>
      <w:sz w:val="20"/>
    </w:rPr>
  </w:style>
  <w:style w:type="paragraph" w:customStyle="1" w:styleId="ECHRHeading5">
    <w:name w:val="ECHR_Heading_5"/>
    <w:aliases w:val="Ju_H_i"/>
    <w:basedOn w:val="Nagwek5"/>
    <w:next w:val="ECHRPara"/>
    <w:uiPriority w:val="23"/>
    <w:qFormat/>
    <w:rsid w:val="00C3150F"/>
    <w:pPr>
      <w:keepNext/>
      <w:keepLines/>
      <w:tabs>
        <w:tab w:val="left" w:pos="1191"/>
      </w:tabs>
      <w:spacing w:before="240" w:after="120"/>
      <w:ind w:left="1190" w:hanging="357"/>
    </w:pPr>
    <w:rPr>
      <w:b w:val="0"/>
      <w:i/>
      <w:color w:val="auto"/>
      <w:sz w:val="20"/>
      <w:lang w:val="en-GB"/>
    </w:rPr>
  </w:style>
  <w:style w:type="paragraph" w:customStyle="1" w:styleId="ECHRHeading6">
    <w:name w:val="ECHR_Heading_6"/>
    <w:aliases w:val="Ju_H_alpha"/>
    <w:basedOn w:val="Nagwek6"/>
    <w:next w:val="ECHRPara"/>
    <w:uiPriority w:val="24"/>
    <w:qFormat/>
    <w:rsid w:val="00C3150F"/>
    <w:pPr>
      <w:keepNext/>
      <w:keepLines/>
      <w:tabs>
        <w:tab w:val="left" w:pos="1372"/>
      </w:tabs>
      <w:spacing w:before="240" w:after="120" w:line="240" w:lineRule="auto"/>
      <w:ind w:left="1373" w:hanging="335"/>
    </w:pPr>
    <w:rPr>
      <w:b w:val="0"/>
      <w:i w:val="0"/>
      <w:color w:val="auto"/>
      <w:sz w:val="20"/>
    </w:rPr>
  </w:style>
  <w:style w:type="paragraph" w:customStyle="1" w:styleId="ECHRHeading7">
    <w:name w:val="ECHR_Heading_7"/>
    <w:aliases w:val="Ju_H_–"/>
    <w:basedOn w:val="Nagwek7"/>
    <w:next w:val="ECHRPara"/>
    <w:uiPriority w:val="25"/>
    <w:qFormat/>
    <w:rsid w:val="00C3150F"/>
    <w:pPr>
      <w:keepNext/>
      <w:keepLines/>
      <w:spacing w:before="240" w:after="120"/>
      <w:ind w:left="1236"/>
    </w:pPr>
    <w:rPr>
      <w:sz w:val="20"/>
      <w:lang w:val="en-GB"/>
    </w:rPr>
  </w:style>
  <w:style w:type="paragraph" w:customStyle="1" w:styleId="JuHeaderLandscape">
    <w:name w:val="Ju_Header_Landscape"/>
    <w:basedOn w:val="ECHRHeader"/>
    <w:uiPriority w:val="4"/>
    <w:qFormat/>
    <w:rsid w:val="00C3150F"/>
    <w:pPr>
      <w:tabs>
        <w:tab w:val="clear" w:pos="3686"/>
        <w:tab w:val="clear" w:pos="7371"/>
        <w:tab w:val="center" w:pos="6146"/>
        <w:tab w:val="right" w:pos="12293"/>
      </w:tabs>
    </w:pPr>
  </w:style>
  <w:style w:type="paragraph" w:customStyle="1" w:styleId="JuLista">
    <w:name w:val="Ju_List_a"/>
    <w:basedOn w:val="JuList"/>
    <w:uiPriority w:val="28"/>
    <w:qFormat/>
    <w:rsid w:val="00C3150F"/>
    <w:pPr>
      <w:ind w:left="346" w:firstLine="0"/>
    </w:pPr>
  </w:style>
  <w:style w:type="paragraph" w:customStyle="1" w:styleId="JuInitialled">
    <w:name w:val="Ju_Initialled"/>
    <w:basedOn w:val="Normalny"/>
    <w:uiPriority w:val="31"/>
    <w:qFormat/>
    <w:rsid w:val="00C3150F"/>
    <w:pPr>
      <w:tabs>
        <w:tab w:val="center" w:pos="6407"/>
      </w:tabs>
      <w:spacing w:before="720"/>
      <w:jc w:val="right"/>
    </w:pPr>
  </w:style>
  <w:style w:type="paragraph" w:styleId="Nagwek">
    <w:name w:val="header"/>
    <w:basedOn w:val="Normalny"/>
    <w:link w:val="NagwekZnak"/>
    <w:uiPriority w:val="57"/>
    <w:semiHidden/>
    <w:rsid w:val="00C3150F"/>
    <w:pPr>
      <w:tabs>
        <w:tab w:val="center" w:pos="4536"/>
        <w:tab w:val="right" w:pos="9072"/>
      </w:tabs>
    </w:pPr>
    <w:rPr>
      <w:rFonts w:eastAsiaTheme="minorHAnsi"/>
    </w:rPr>
  </w:style>
  <w:style w:type="character" w:customStyle="1" w:styleId="NagwekZnak">
    <w:name w:val="Nagłówek Znak"/>
    <w:basedOn w:val="Domylnaczcionkaakapitu"/>
    <w:link w:val="Nagwek"/>
    <w:uiPriority w:val="57"/>
    <w:semiHidden/>
    <w:rsid w:val="00C3150F"/>
    <w:rPr>
      <w:sz w:val="24"/>
      <w:lang w:val="en-GB"/>
    </w:rPr>
  </w:style>
  <w:style w:type="character" w:customStyle="1" w:styleId="Nagwek1Znak">
    <w:name w:val="Nagłówek 1 Znak"/>
    <w:basedOn w:val="Domylnaczcionkaakapitu"/>
    <w:link w:val="Nagwek1"/>
    <w:uiPriority w:val="99"/>
    <w:semiHidden/>
    <w:rsid w:val="00C3150F"/>
    <w:rPr>
      <w:rFonts w:asciiTheme="majorHAnsi" w:eastAsiaTheme="majorEastAsia" w:hAnsiTheme="majorHAnsi" w:cstheme="majorBidi"/>
      <w:b/>
      <w:bCs/>
      <w:color w:val="333333"/>
      <w:sz w:val="28"/>
      <w:szCs w:val="28"/>
      <w:lang w:val="en-GB"/>
    </w:rPr>
  </w:style>
  <w:style w:type="paragraph" w:customStyle="1" w:styleId="ECHRHeading1">
    <w:name w:val="ECHR_Heading_1"/>
    <w:aliases w:val="Ju_H_I_Roman"/>
    <w:basedOn w:val="Nagwek1"/>
    <w:next w:val="ECHRPara"/>
    <w:uiPriority w:val="19"/>
    <w:qFormat/>
    <w:rsid w:val="00C3150F"/>
    <w:pPr>
      <w:keepNext/>
      <w:keepLines/>
      <w:tabs>
        <w:tab w:val="left" w:pos="357"/>
      </w:tabs>
      <w:spacing w:before="360" w:after="240"/>
      <w:ind w:left="357" w:hanging="357"/>
      <w:contextualSpacing w:val="0"/>
    </w:pPr>
    <w:rPr>
      <w:b w:val="0"/>
      <w:color w:val="auto"/>
      <w:sz w:val="24"/>
    </w:rPr>
  </w:style>
  <w:style w:type="paragraph" w:customStyle="1" w:styleId="ECHRHeading2">
    <w:name w:val="ECHR_Heading_2"/>
    <w:aliases w:val="Ju_H_A"/>
    <w:basedOn w:val="Nagwek2"/>
    <w:next w:val="ECHRPara"/>
    <w:uiPriority w:val="20"/>
    <w:qFormat/>
    <w:rsid w:val="00C3150F"/>
    <w:pPr>
      <w:keepNext/>
      <w:keepLines/>
      <w:tabs>
        <w:tab w:val="left" w:pos="584"/>
      </w:tabs>
      <w:spacing w:before="360" w:after="240"/>
      <w:ind w:left="584" w:hanging="352"/>
    </w:pPr>
    <w:rPr>
      <w:color w:val="auto"/>
      <w:sz w:val="24"/>
    </w:rPr>
  </w:style>
  <w:style w:type="character" w:customStyle="1" w:styleId="Nagwek2Znak">
    <w:name w:val="Nagłówek 2 Znak"/>
    <w:basedOn w:val="Domylnaczcionkaakapitu"/>
    <w:link w:val="Nagwek2"/>
    <w:uiPriority w:val="99"/>
    <w:semiHidden/>
    <w:rsid w:val="00C3150F"/>
    <w:rPr>
      <w:rFonts w:asciiTheme="majorHAnsi" w:eastAsiaTheme="majorEastAsia" w:hAnsiTheme="majorHAnsi" w:cstheme="majorBidi"/>
      <w:b/>
      <w:bCs/>
      <w:color w:val="4D4D4D"/>
      <w:sz w:val="26"/>
      <w:szCs w:val="26"/>
      <w:lang w:val="en-GB"/>
    </w:rPr>
  </w:style>
  <w:style w:type="character" w:customStyle="1" w:styleId="JuITMark">
    <w:name w:val="Ju_ITMark"/>
    <w:basedOn w:val="Domylnaczcionkaakapitu"/>
    <w:uiPriority w:val="38"/>
    <w:qFormat/>
    <w:rsid w:val="00C3150F"/>
    <w:rPr>
      <w:vanish w:val="0"/>
      <w:color w:val="auto"/>
      <w:sz w:val="14"/>
      <w:bdr w:val="none" w:sz="0" w:space="0" w:color="auto"/>
      <w:shd w:val="clear" w:color="auto" w:fill="BEE5FF" w:themeFill="background1" w:themeFillTint="33"/>
    </w:rPr>
  </w:style>
  <w:style w:type="paragraph" w:customStyle="1" w:styleId="JuCase">
    <w:name w:val="Ju_Case"/>
    <w:basedOn w:val="Normalny"/>
    <w:next w:val="ECHRPara"/>
    <w:uiPriority w:val="10"/>
    <w:rsid w:val="00C3150F"/>
    <w:pPr>
      <w:ind w:firstLine="284"/>
    </w:pPr>
    <w:rPr>
      <w:b/>
    </w:rPr>
  </w:style>
  <w:style w:type="character" w:customStyle="1" w:styleId="Nagwek3Znak">
    <w:name w:val="Nagłówek 3 Znak"/>
    <w:basedOn w:val="Domylnaczcionkaakapitu"/>
    <w:link w:val="Nagwek3"/>
    <w:uiPriority w:val="99"/>
    <w:semiHidden/>
    <w:rsid w:val="00C3150F"/>
    <w:rPr>
      <w:rFonts w:asciiTheme="majorHAnsi" w:eastAsiaTheme="majorEastAsia" w:hAnsiTheme="majorHAnsi" w:cstheme="majorBidi"/>
      <w:b/>
      <w:bCs/>
      <w:color w:val="5F5F5F"/>
      <w:sz w:val="24"/>
      <w:lang w:val="en-GB"/>
    </w:rPr>
  </w:style>
  <w:style w:type="character" w:customStyle="1" w:styleId="Nagwek4Znak">
    <w:name w:val="Nagłówek 4 Znak"/>
    <w:basedOn w:val="Domylnaczcionkaakapitu"/>
    <w:link w:val="Nagwek4"/>
    <w:uiPriority w:val="99"/>
    <w:semiHidden/>
    <w:rsid w:val="00C3150F"/>
    <w:rPr>
      <w:rFonts w:asciiTheme="majorHAnsi" w:eastAsiaTheme="majorEastAsia" w:hAnsiTheme="majorHAnsi" w:cstheme="majorBidi"/>
      <w:b/>
      <w:bCs/>
      <w:i/>
      <w:iCs/>
      <w:color w:val="777777"/>
      <w:sz w:val="24"/>
      <w:lang w:val="en-GB"/>
    </w:rPr>
  </w:style>
  <w:style w:type="character" w:customStyle="1" w:styleId="Nagwek5Znak">
    <w:name w:val="Nagłówek 5 Znak"/>
    <w:basedOn w:val="Domylnaczcionkaakapitu"/>
    <w:link w:val="Nagwek5"/>
    <w:uiPriority w:val="99"/>
    <w:semiHidden/>
    <w:rsid w:val="00C3150F"/>
    <w:rPr>
      <w:rFonts w:asciiTheme="majorHAnsi" w:eastAsiaTheme="majorEastAsia" w:hAnsiTheme="majorHAnsi" w:cstheme="majorBidi"/>
      <w:b/>
      <w:bCs/>
      <w:color w:val="808080"/>
    </w:rPr>
  </w:style>
  <w:style w:type="character" w:styleId="Wyrnieniedelikatne">
    <w:name w:val="Subtle Emphasis"/>
    <w:uiPriority w:val="99"/>
    <w:semiHidden/>
    <w:qFormat/>
    <w:rsid w:val="00C3150F"/>
    <w:rPr>
      <w:i/>
      <w:iCs/>
    </w:rPr>
  </w:style>
  <w:style w:type="table" w:customStyle="1" w:styleId="ECHRTable">
    <w:name w:val="ECHR_Table"/>
    <w:basedOn w:val="Standardowy"/>
    <w:rsid w:val="00860B03"/>
    <w:rPr>
      <w:rFonts w:eastAsia="Times New Roman" w:cs="Times New Roman"/>
      <w:sz w:val="20"/>
      <w:szCs w:val="20"/>
      <w:lang w:val="en-GB"/>
    </w:rPr>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tblStylePr w:type="firstCol">
      <w:rPr>
        <w:b/>
      </w:rPr>
    </w:tblStylePr>
    <w:tblStylePr w:type="band2Vert">
      <w:tblPr/>
      <w:tcPr>
        <w:tcBorders>
          <w:top w:val="nil"/>
          <w:left w:val="nil"/>
          <w:bottom w:val="nil"/>
          <w:right w:val="nil"/>
          <w:insideH w:val="nil"/>
          <w:insideV w:val="nil"/>
          <w:tl2br w:val="nil"/>
          <w:tr2bl w:val="nil"/>
        </w:tcBorders>
        <w:shd w:val="clear" w:color="auto" w:fill="DFDFDF" w:themeFill="background2" w:themeFillShade="E6"/>
      </w:tcPr>
    </w:tblStylePr>
    <w:tblStylePr w:type="band2Horz">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style>
  <w:style w:type="table" w:customStyle="1" w:styleId="ECHRTableBoxHeader">
    <w:name w:val="ECHR_Table_Box_Header"/>
    <w:basedOn w:val="Standardowy"/>
    <w:rsid w:val="004C086C"/>
    <w:rPr>
      <w:rFonts w:ascii="Verdana" w:eastAsia="Times New Roman" w:hAnsi="Verdana" w:cs="Times New Roman"/>
      <w:sz w:val="20"/>
      <w:szCs w:val="20"/>
      <w:lang w:val="en-GB"/>
    </w:rPr>
    <w:tblPr>
      <w:tblCellMar>
        <w:top w:w="57" w:type="dxa"/>
        <w:left w:w="57" w:type="dxa"/>
        <w:bottom w:w="57" w:type="dxa"/>
        <w:right w:w="57" w:type="dxa"/>
      </w:tblCellMar>
    </w:tblPr>
    <w:tcPr>
      <w:shd w:val="clear" w:color="auto" w:fill="F8F8F8" w:themeFill="background2"/>
    </w:tcPr>
    <w:tblStylePr w:type="firstCol">
      <w:rPr>
        <w:b/>
        <w:color w:val="5F5F5F" w:themeColor="accent3"/>
      </w:rPr>
    </w:tblStylePr>
  </w:style>
  <w:style w:type="paragraph" w:customStyle="1" w:styleId="ECHRTitle1">
    <w:name w:val="ECHR_Title_1"/>
    <w:aliases w:val="Ju_H_Head"/>
    <w:basedOn w:val="Normalny"/>
    <w:next w:val="ECHRPara"/>
    <w:uiPriority w:val="18"/>
    <w:qFormat/>
    <w:rsid w:val="00C3150F"/>
    <w:pPr>
      <w:keepNext/>
      <w:keepLines/>
      <w:spacing w:before="720" w:after="240"/>
      <w:outlineLvl w:val="0"/>
    </w:pPr>
    <w:rPr>
      <w:rFonts w:asciiTheme="majorHAnsi" w:hAnsiTheme="majorHAnsi"/>
      <w:sz w:val="28"/>
    </w:rPr>
  </w:style>
  <w:style w:type="character" w:styleId="Uwydatnienie">
    <w:name w:val="Emphasis"/>
    <w:uiPriority w:val="99"/>
    <w:semiHidden/>
    <w:qFormat/>
    <w:rsid w:val="00C3150F"/>
    <w:rPr>
      <w:b/>
      <w:bCs/>
      <w:i/>
      <w:iCs/>
      <w:spacing w:val="10"/>
      <w:bdr w:val="none" w:sz="0" w:space="0" w:color="auto"/>
      <w:shd w:val="clear" w:color="auto" w:fill="auto"/>
    </w:rPr>
  </w:style>
  <w:style w:type="paragraph" w:styleId="Stopka">
    <w:name w:val="footer"/>
    <w:basedOn w:val="Normalny"/>
    <w:link w:val="StopkaZnak"/>
    <w:uiPriority w:val="57"/>
    <w:semiHidden/>
    <w:rsid w:val="00C3150F"/>
    <w:pPr>
      <w:tabs>
        <w:tab w:val="center" w:pos="4536"/>
        <w:tab w:val="right" w:pos="9696"/>
      </w:tabs>
      <w:ind w:left="-680" w:right="-680"/>
    </w:pPr>
    <w:rPr>
      <w:rFonts w:eastAsiaTheme="minorHAnsi"/>
    </w:rPr>
  </w:style>
  <w:style w:type="character" w:customStyle="1" w:styleId="StopkaZnak">
    <w:name w:val="Stopka Znak"/>
    <w:basedOn w:val="Domylnaczcionkaakapitu"/>
    <w:link w:val="Stopka"/>
    <w:uiPriority w:val="57"/>
    <w:semiHidden/>
    <w:rsid w:val="00C3150F"/>
    <w:rPr>
      <w:sz w:val="24"/>
      <w:lang w:val="en-GB"/>
    </w:rPr>
  </w:style>
  <w:style w:type="character" w:styleId="Odwoanieprzypisudolnego">
    <w:name w:val="footnote reference"/>
    <w:basedOn w:val="Domylnaczcionkaakapitu"/>
    <w:uiPriority w:val="99"/>
    <w:semiHidden/>
    <w:rsid w:val="00C3150F"/>
    <w:rPr>
      <w:vertAlign w:val="superscript"/>
    </w:rPr>
  </w:style>
  <w:style w:type="paragraph" w:styleId="Tekstprzypisudolnego">
    <w:name w:val="footnote text"/>
    <w:basedOn w:val="Normalny"/>
    <w:link w:val="TekstprzypisudolnegoZnak"/>
    <w:uiPriority w:val="99"/>
    <w:semiHidden/>
    <w:rsid w:val="00C3150F"/>
    <w:rPr>
      <w:sz w:val="20"/>
      <w:szCs w:val="20"/>
    </w:rPr>
  </w:style>
  <w:style w:type="character" w:customStyle="1" w:styleId="TekstprzypisudolnegoZnak">
    <w:name w:val="Tekst przypisu dolnego Znak"/>
    <w:basedOn w:val="Domylnaczcionkaakapitu"/>
    <w:link w:val="Tekstprzypisudolnego"/>
    <w:uiPriority w:val="99"/>
    <w:rsid w:val="00C3150F"/>
    <w:rPr>
      <w:rFonts w:eastAsiaTheme="minorEastAsia"/>
      <w:sz w:val="20"/>
      <w:szCs w:val="20"/>
      <w:lang w:val="en-GB"/>
    </w:rPr>
  </w:style>
  <w:style w:type="character" w:customStyle="1" w:styleId="Nagwek6Znak">
    <w:name w:val="Nagłówek 6 Znak"/>
    <w:basedOn w:val="Domylnaczcionkaakapitu"/>
    <w:link w:val="Nagwek6"/>
    <w:uiPriority w:val="99"/>
    <w:semiHidden/>
    <w:rsid w:val="00C3150F"/>
    <w:rPr>
      <w:rFonts w:asciiTheme="majorHAnsi" w:eastAsiaTheme="majorEastAsia" w:hAnsiTheme="majorHAnsi" w:cstheme="majorBidi"/>
      <w:b/>
      <w:bCs/>
      <w:i/>
      <w:iCs/>
      <w:color w:val="7F7F7F" w:themeColor="text1" w:themeTint="80"/>
      <w:sz w:val="24"/>
      <w:lang w:val="en-GB" w:bidi="en-US"/>
    </w:rPr>
  </w:style>
  <w:style w:type="character" w:customStyle="1" w:styleId="Nagwek7Znak">
    <w:name w:val="Nagłówek 7 Znak"/>
    <w:basedOn w:val="Domylnaczcionkaakapitu"/>
    <w:link w:val="Nagwek7"/>
    <w:uiPriority w:val="99"/>
    <w:semiHidden/>
    <w:rsid w:val="00C3150F"/>
    <w:rPr>
      <w:rFonts w:asciiTheme="majorHAnsi" w:eastAsiaTheme="majorEastAsia" w:hAnsiTheme="majorHAnsi" w:cstheme="majorBidi"/>
      <w:i/>
      <w:iCs/>
      <w:lang w:bidi="en-US"/>
    </w:rPr>
  </w:style>
  <w:style w:type="character" w:customStyle="1" w:styleId="Nagwek8Znak">
    <w:name w:val="Nagłówek 8 Znak"/>
    <w:basedOn w:val="Domylnaczcionkaakapitu"/>
    <w:link w:val="Nagwek8"/>
    <w:uiPriority w:val="99"/>
    <w:semiHidden/>
    <w:rsid w:val="00C3150F"/>
    <w:rPr>
      <w:rFonts w:asciiTheme="majorHAnsi" w:eastAsiaTheme="majorEastAsia" w:hAnsiTheme="majorHAnsi" w:cstheme="majorBidi"/>
      <w:sz w:val="20"/>
      <w:szCs w:val="20"/>
      <w:lang w:bidi="en-US"/>
    </w:rPr>
  </w:style>
  <w:style w:type="character" w:customStyle="1" w:styleId="Nagwek9Znak">
    <w:name w:val="Nagłówek 9 Znak"/>
    <w:basedOn w:val="Domylnaczcionkaakapitu"/>
    <w:link w:val="Nagwek9"/>
    <w:uiPriority w:val="99"/>
    <w:semiHidden/>
    <w:rsid w:val="00C3150F"/>
    <w:rPr>
      <w:rFonts w:asciiTheme="majorHAnsi" w:eastAsiaTheme="majorEastAsia" w:hAnsiTheme="majorHAnsi" w:cstheme="majorBidi"/>
      <w:i/>
      <w:iCs/>
      <w:spacing w:val="5"/>
      <w:sz w:val="20"/>
      <w:szCs w:val="20"/>
      <w:lang w:bidi="en-US"/>
    </w:rPr>
  </w:style>
  <w:style w:type="character" w:styleId="Hipercze">
    <w:name w:val="Hyperlink"/>
    <w:basedOn w:val="Domylnaczcionkaakapitu"/>
    <w:uiPriority w:val="98"/>
    <w:semiHidden/>
    <w:rsid w:val="00C3150F"/>
    <w:rPr>
      <w:color w:val="0072BC" w:themeColor="hyperlink"/>
      <w:u w:val="single"/>
    </w:rPr>
  </w:style>
  <w:style w:type="character" w:styleId="Wyrnienieintensywne">
    <w:name w:val="Intense Emphasis"/>
    <w:uiPriority w:val="99"/>
    <w:semiHidden/>
    <w:qFormat/>
    <w:rsid w:val="00C3150F"/>
    <w:rPr>
      <w:b/>
      <w:bCs/>
    </w:rPr>
  </w:style>
  <w:style w:type="paragraph" w:styleId="Cytatintensywny">
    <w:name w:val="Intense Quote"/>
    <w:basedOn w:val="Normalny"/>
    <w:next w:val="Normalny"/>
    <w:link w:val="CytatintensywnyZnak"/>
    <w:uiPriority w:val="99"/>
    <w:semiHidden/>
    <w:qFormat/>
    <w:rsid w:val="00C3150F"/>
    <w:pPr>
      <w:pBdr>
        <w:bottom w:val="single" w:sz="4" w:space="1" w:color="auto"/>
      </w:pBdr>
      <w:spacing w:before="200" w:after="280"/>
      <w:ind w:left="1008" w:right="1152"/>
    </w:pPr>
    <w:rPr>
      <w:b/>
      <w:bCs/>
      <w:i/>
      <w:iCs/>
      <w:sz w:val="22"/>
      <w:lang w:val="en-US" w:bidi="en-US"/>
    </w:rPr>
  </w:style>
  <w:style w:type="character" w:customStyle="1" w:styleId="CytatintensywnyZnak">
    <w:name w:val="Cytat intensywny Znak"/>
    <w:basedOn w:val="Domylnaczcionkaakapitu"/>
    <w:link w:val="Cytatintensywny"/>
    <w:uiPriority w:val="99"/>
    <w:semiHidden/>
    <w:rsid w:val="00C3150F"/>
    <w:rPr>
      <w:rFonts w:eastAsiaTheme="minorEastAsia"/>
      <w:b/>
      <w:bCs/>
      <w:i/>
      <w:iCs/>
      <w:lang w:bidi="en-US"/>
    </w:rPr>
  </w:style>
  <w:style w:type="character" w:styleId="Odwoanieintensywne">
    <w:name w:val="Intense Reference"/>
    <w:uiPriority w:val="99"/>
    <w:semiHidden/>
    <w:qFormat/>
    <w:rsid w:val="00C3150F"/>
    <w:rPr>
      <w:smallCaps/>
      <w:spacing w:val="5"/>
      <w:u w:val="single"/>
    </w:rPr>
  </w:style>
  <w:style w:type="paragraph" w:styleId="Akapitzlist">
    <w:name w:val="List Paragraph"/>
    <w:basedOn w:val="Normalny"/>
    <w:uiPriority w:val="99"/>
    <w:qFormat/>
    <w:rsid w:val="00C3150F"/>
    <w:pPr>
      <w:ind w:left="720"/>
      <w:contextualSpacing/>
    </w:pPr>
  </w:style>
  <w:style w:type="table" w:customStyle="1" w:styleId="LtrTableAddress">
    <w:name w:val="Ltr_Table_Address"/>
    <w:basedOn w:val="Standardowy"/>
    <w:uiPriority w:val="99"/>
    <w:rsid w:val="001E6F32"/>
    <w:tblPr>
      <w:tblInd w:w="5103" w:type="dxa"/>
    </w:tblPr>
  </w:style>
  <w:style w:type="paragraph" w:styleId="Cytat">
    <w:name w:val="Quote"/>
    <w:basedOn w:val="Normalny"/>
    <w:next w:val="Normalny"/>
    <w:link w:val="CytatZnak"/>
    <w:uiPriority w:val="99"/>
    <w:semiHidden/>
    <w:qFormat/>
    <w:rsid w:val="00C3150F"/>
    <w:pPr>
      <w:spacing w:before="200"/>
      <w:ind w:left="360" w:right="360"/>
    </w:pPr>
    <w:rPr>
      <w:i/>
      <w:iCs/>
      <w:sz w:val="22"/>
      <w:lang w:val="en-US" w:bidi="en-US"/>
    </w:rPr>
  </w:style>
  <w:style w:type="character" w:customStyle="1" w:styleId="CytatZnak">
    <w:name w:val="Cytat Znak"/>
    <w:basedOn w:val="Domylnaczcionkaakapitu"/>
    <w:link w:val="Cytat"/>
    <w:uiPriority w:val="99"/>
    <w:semiHidden/>
    <w:rsid w:val="00C3150F"/>
    <w:rPr>
      <w:rFonts w:eastAsiaTheme="minorEastAsia"/>
      <w:i/>
      <w:iCs/>
      <w:lang w:bidi="en-US"/>
    </w:rPr>
  </w:style>
  <w:style w:type="character" w:styleId="Odwoaniedelikatne">
    <w:name w:val="Subtle Reference"/>
    <w:uiPriority w:val="99"/>
    <w:semiHidden/>
    <w:qFormat/>
    <w:rsid w:val="00C3150F"/>
    <w:rPr>
      <w:smallCaps/>
    </w:rPr>
  </w:style>
  <w:style w:type="table" w:styleId="Tabela-Siatka">
    <w:name w:val="Table Grid"/>
    <w:basedOn w:val="Standardowy"/>
    <w:uiPriority w:val="59"/>
    <w:semiHidden/>
    <w:rsid w:val="00C3150F"/>
    <w:rPr>
      <w:rFonts w:eastAsiaTheme="minorEastAs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pistreci1">
    <w:name w:val="toc 1"/>
    <w:basedOn w:val="Normalny"/>
    <w:next w:val="Normalny"/>
    <w:autoRedefine/>
    <w:uiPriority w:val="99"/>
    <w:semiHidden/>
    <w:rsid w:val="00C3150F"/>
    <w:pPr>
      <w:keepNext/>
      <w:tabs>
        <w:tab w:val="right" w:leader="dot" w:pos="7371"/>
      </w:tabs>
      <w:spacing w:before="160" w:after="60" w:line="240" w:lineRule="exact"/>
      <w:ind w:left="340" w:right="567" w:hanging="340"/>
    </w:pPr>
    <w:rPr>
      <w:b/>
      <w:sz w:val="22"/>
    </w:rPr>
  </w:style>
  <w:style w:type="paragraph" w:styleId="Spistreci2">
    <w:name w:val="toc 2"/>
    <w:basedOn w:val="Normalny"/>
    <w:next w:val="Normalny"/>
    <w:autoRedefine/>
    <w:uiPriority w:val="99"/>
    <w:semiHidden/>
    <w:rsid w:val="00C3150F"/>
    <w:pPr>
      <w:keepNext/>
      <w:tabs>
        <w:tab w:val="right" w:leader="dot" w:pos="7371"/>
      </w:tabs>
      <w:spacing w:after="60" w:line="240" w:lineRule="exact"/>
      <w:ind w:left="680" w:right="567" w:hanging="340"/>
    </w:pPr>
    <w:rPr>
      <w:sz w:val="22"/>
    </w:rPr>
  </w:style>
  <w:style w:type="paragraph" w:styleId="Spistreci3">
    <w:name w:val="toc 3"/>
    <w:basedOn w:val="Normalny"/>
    <w:next w:val="Normalny"/>
    <w:autoRedefine/>
    <w:uiPriority w:val="99"/>
    <w:semiHidden/>
    <w:rsid w:val="00C3150F"/>
    <w:pPr>
      <w:keepNext/>
      <w:tabs>
        <w:tab w:val="right" w:leader="dot" w:pos="7371"/>
      </w:tabs>
      <w:spacing w:after="60" w:line="240" w:lineRule="exact"/>
      <w:ind w:left="1020" w:right="567" w:hanging="340"/>
    </w:pPr>
    <w:rPr>
      <w:sz w:val="20"/>
    </w:rPr>
  </w:style>
  <w:style w:type="paragraph" w:styleId="Spistreci4">
    <w:name w:val="toc 4"/>
    <w:basedOn w:val="Normalny"/>
    <w:next w:val="Normalny"/>
    <w:autoRedefine/>
    <w:uiPriority w:val="99"/>
    <w:semiHidden/>
    <w:rsid w:val="00C3150F"/>
    <w:pPr>
      <w:tabs>
        <w:tab w:val="right" w:leader="dot" w:pos="7371"/>
      </w:tabs>
      <w:spacing w:after="60" w:line="240" w:lineRule="exact"/>
      <w:ind w:left="1361" w:right="567" w:hanging="340"/>
    </w:pPr>
    <w:rPr>
      <w:sz w:val="20"/>
    </w:rPr>
  </w:style>
  <w:style w:type="paragraph" w:styleId="Spistreci5">
    <w:name w:val="toc 5"/>
    <w:basedOn w:val="Normalny"/>
    <w:next w:val="Normalny"/>
    <w:autoRedefine/>
    <w:uiPriority w:val="99"/>
    <w:semiHidden/>
    <w:rsid w:val="00C3150F"/>
    <w:pPr>
      <w:tabs>
        <w:tab w:val="right" w:leader="dot" w:pos="7371"/>
      </w:tabs>
      <w:spacing w:after="60" w:line="240" w:lineRule="exact"/>
      <w:ind w:left="1701" w:right="567" w:hanging="340"/>
    </w:pPr>
    <w:rPr>
      <w:sz w:val="20"/>
    </w:rPr>
  </w:style>
  <w:style w:type="paragraph" w:styleId="Nagwekspisutreci">
    <w:name w:val="TOC Heading"/>
    <w:basedOn w:val="Normalny"/>
    <w:next w:val="Normalny"/>
    <w:uiPriority w:val="99"/>
    <w:semiHidden/>
    <w:qFormat/>
    <w:rsid w:val="00C3150F"/>
    <w:pPr>
      <w:keepNext/>
      <w:keepLines/>
      <w:spacing w:before="240"/>
      <w:contextualSpacing/>
      <w:jc w:val="center"/>
    </w:pPr>
    <w:rPr>
      <w:rFonts w:asciiTheme="majorHAnsi" w:eastAsiaTheme="minorHAnsi" w:hAnsiTheme="majorHAnsi"/>
      <w:b/>
      <w:color w:val="474747" w:themeColor="accent3" w:themeShade="BF"/>
      <w:sz w:val="28"/>
    </w:rPr>
  </w:style>
  <w:style w:type="table" w:customStyle="1" w:styleId="UGTable">
    <w:name w:val="UG_Table"/>
    <w:basedOn w:val="Standardowy"/>
    <w:uiPriority w:val="99"/>
    <w:rsid w:val="00801300"/>
    <w:rPr>
      <w:rFonts w:eastAsiaTheme="minorEastAsia"/>
      <w:sz w:val="20"/>
      <w:lang w:val="en-GB" w:eastAsia="en-GB"/>
    </w:rPr>
    <w:tblPr>
      <w:tblInd w:w="-1191" w:type="dxa"/>
      <w:tblCellMar>
        <w:top w:w="57" w:type="dxa"/>
        <w:left w:w="0" w:type="dxa"/>
        <w:right w:w="0" w:type="dxa"/>
      </w:tblCellMar>
    </w:tblPr>
    <w:tblStylePr w:type="swCell">
      <w:tblPr/>
      <w:tcPr>
        <w:tcBorders>
          <w:top w:val="nil"/>
          <w:left w:val="nil"/>
          <w:bottom w:val="nil"/>
          <w:right w:val="nil"/>
          <w:insideH w:val="nil"/>
          <w:insideV w:val="nil"/>
          <w:tl2br w:val="nil"/>
          <w:tr2bl w:val="nil"/>
        </w:tcBorders>
        <w:shd w:val="clear" w:color="auto" w:fill="EAEAEA"/>
      </w:tcPr>
    </w:tblStylePr>
  </w:style>
  <w:style w:type="table" w:customStyle="1" w:styleId="UGTableWhiteBox">
    <w:name w:val="UG_Table_White_Box"/>
    <w:basedOn w:val="Standardowy"/>
    <w:uiPriority w:val="99"/>
    <w:rsid w:val="00801300"/>
    <w:rPr>
      <w:rFonts w:eastAsiaTheme="minorEastAsia"/>
      <w:lang w:val="en-GB" w:eastAsia="en-GB"/>
    </w:rPr>
    <w:tblPr>
      <w:tblBorders>
        <w:top w:val="single" w:sz="4" w:space="0" w:color="B9B9B9" w:themeColor="background2" w:themeShade="BF"/>
        <w:left w:val="single" w:sz="4" w:space="0" w:color="B9B9B9" w:themeColor="background2" w:themeShade="BF"/>
        <w:bottom w:val="single" w:sz="4" w:space="0" w:color="B9B9B9" w:themeColor="background2" w:themeShade="BF"/>
        <w:right w:val="single" w:sz="4" w:space="0" w:color="B9B9B9" w:themeColor="background2" w:themeShade="BF"/>
      </w:tblBorders>
      <w:tblCellMar>
        <w:top w:w="113" w:type="dxa"/>
        <w:left w:w="113" w:type="dxa"/>
        <w:bottom w:w="113" w:type="dxa"/>
        <w:right w:w="113" w:type="dxa"/>
      </w:tblCellMar>
    </w:tblPr>
    <w:tcPr>
      <w:shd w:val="clear" w:color="auto" w:fill="FFFFFF"/>
    </w:tcPr>
  </w:style>
  <w:style w:type="table" w:customStyle="1" w:styleId="PCFTableStyle">
    <w:name w:val="PCF_Table_Style"/>
    <w:basedOn w:val="Standardowy"/>
    <w:uiPriority w:val="99"/>
    <w:rsid w:val="00810B38"/>
    <w:rPr>
      <w:color w:val="000000" w:themeColor="text1"/>
      <w:sz w:val="18"/>
    </w:rPr>
    <w:tblPr>
      <w:tblBorders>
        <w:top w:val="single" w:sz="8" w:space="0" w:color="9F9F9F" w:themeColor="accent3" w:themeTint="99"/>
        <w:left w:val="single" w:sz="8" w:space="0" w:color="9F9F9F" w:themeColor="accent3" w:themeTint="99"/>
        <w:bottom w:val="single" w:sz="8" w:space="0" w:color="9F9F9F" w:themeColor="accent3" w:themeTint="99"/>
        <w:right w:val="single" w:sz="8" w:space="0" w:color="9F9F9F" w:themeColor="accent3" w:themeTint="99"/>
        <w:insideH w:val="single" w:sz="8" w:space="0" w:color="9F9F9F" w:themeColor="accent3" w:themeTint="99"/>
        <w:insideV w:val="single" w:sz="8" w:space="0" w:color="9F9F9F" w:themeColor="accent3" w:themeTint="99"/>
      </w:tblBorders>
    </w:tblPr>
    <w:tblStylePr w:type="firstRow">
      <w:pPr>
        <w:wordWrap/>
        <w:spacing w:beforeLines="0" w:before="120" w:beforeAutospacing="0" w:afterLines="0" w:after="120" w:afterAutospacing="0" w:line="240" w:lineRule="auto"/>
        <w:contextualSpacing/>
        <w:jc w:val="center"/>
      </w:pPr>
      <w:rPr>
        <w:b/>
        <w:i w:val="0"/>
        <w:color w:val="FFFFFF"/>
        <w:sz w:val="20"/>
      </w:rPr>
      <w:tblPr/>
      <w:tcPr>
        <w:tcBorders>
          <w:top w:val="nil"/>
          <w:left w:val="nil"/>
          <w:bottom w:val="nil"/>
          <w:right w:val="nil"/>
          <w:insideH w:val="nil"/>
          <w:insideV w:val="nil"/>
          <w:tl2br w:val="nil"/>
          <w:tr2bl w:val="nil"/>
        </w:tcBorders>
        <w:shd w:val="clear" w:color="auto" w:fill="0072BC" w:themeFill="accent1"/>
        <w:vAlign w:val="center"/>
      </w:tcPr>
    </w:tblStylePr>
    <w:tblStylePr w:type="firstCol">
      <w:pPr>
        <w:jc w:val="left"/>
      </w:pPr>
      <w:tblPr/>
      <w:tcPr>
        <w:vAlign w:val="center"/>
      </w:tcPr>
    </w:tblStylePr>
  </w:style>
  <w:style w:type="table" w:customStyle="1" w:styleId="ECHRTableFax">
    <w:name w:val="ECHR_Table_Fax"/>
    <w:basedOn w:val="Standardowy"/>
    <w:uiPriority w:val="99"/>
    <w:rsid w:val="00893576"/>
    <w:rPr>
      <w:color w:val="000000" w:themeColor="text1"/>
    </w:rPr>
    <w:tblPr>
      <w:tblInd w:w="-680" w:type="dxa"/>
      <w:tblBorders>
        <w:insideH w:val="single" w:sz="4" w:space="0" w:color="C6C6C6" w:themeColor="text2"/>
        <w:insideV w:val="single" w:sz="4" w:space="0" w:color="C6C6C6" w:themeColor="text2"/>
      </w:tblBorders>
      <w:tblCellMar>
        <w:top w:w="142" w:type="dxa"/>
        <w:bottom w:w="142" w:type="dxa"/>
      </w:tblCellMar>
    </w:tblPr>
    <w:trPr>
      <w:cantSplit/>
    </w:trPr>
  </w:style>
  <w:style w:type="table" w:customStyle="1" w:styleId="ECHRTableMemo">
    <w:name w:val="ECHR_Table_Memo"/>
    <w:basedOn w:val="Standardowy"/>
    <w:uiPriority w:val="99"/>
    <w:rsid w:val="00210338"/>
    <w:tblPr>
      <w:jc w:val="center"/>
      <w:tblCellMar>
        <w:top w:w="113" w:type="dxa"/>
        <w:left w:w="0" w:type="dxa"/>
        <w:bottom w:w="113" w:type="dxa"/>
        <w:right w:w="0" w:type="dxa"/>
      </w:tblCellMar>
    </w:tblPr>
    <w:trPr>
      <w:jc w:val="center"/>
    </w:trPr>
    <w:tblStylePr w:type="lastRow">
      <w:tblPr/>
      <w:tcPr>
        <w:tcBorders>
          <w:top w:val="nil"/>
          <w:left w:val="nil"/>
          <w:bottom w:val="single" w:sz="4" w:space="0" w:color="949494" w:themeColor="text2" w:themeShade="BF"/>
          <w:right w:val="nil"/>
          <w:insideH w:val="nil"/>
          <w:insideV w:val="nil"/>
          <w:tl2br w:val="nil"/>
          <w:tr2bl w:val="nil"/>
        </w:tcBorders>
      </w:tcPr>
    </w:tblStylePr>
  </w:style>
  <w:style w:type="table" w:customStyle="1" w:styleId="ECHRDNTable">
    <w:name w:val="ECHR_DN_Table"/>
    <w:aliases w:val="DN_Table"/>
    <w:basedOn w:val="Standardowy"/>
    <w:uiPriority w:val="99"/>
    <w:rsid w:val="0090506B"/>
    <w:tblPr>
      <w:jc w:val="center"/>
      <w:tblBorders>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57" w:type="dxa"/>
        <w:bottom w:w="57" w:type="dxa"/>
      </w:tblCellMar>
    </w:tblPr>
    <w:trPr>
      <w:jc w:val="center"/>
    </w:trPr>
    <w:tcPr>
      <w:vAlign w:val="center"/>
    </w:tcPr>
    <w:tblStylePr w:type="firstRow">
      <w:pPr>
        <w:wordWrap/>
        <w:spacing w:beforeLines="0"/>
        <w:ind w:leftChars="0" w:left="0"/>
      </w:pPr>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nil"/>
          <w:right w:val="single" w:sz="4" w:space="0" w:color="949494" w:themeColor="text2" w:themeShade="BF"/>
          <w:insideH w:val="nil"/>
          <w:insideV w:val="nil"/>
          <w:tl2br w:val="nil"/>
          <w:tr2bl w:val="nil"/>
        </w:tcBorders>
        <w:shd w:val="clear" w:color="auto" w:fill="DFDFDF" w:themeFill="background2" w:themeFillShade="E6"/>
      </w:tcPr>
    </w:tblStylePr>
  </w:style>
  <w:style w:type="paragraph" w:styleId="Nagwekwykazurde">
    <w:name w:val="toa heading"/>
    <w:basedOn w:val="Normalny"/>
    <w:next w:val="Normalny"/>
    <w:uiPriority w:val="99"/>
    <w:semiHidden/>
    <w:rsid w:val="00C3150F"/>
    <w:pPr>
      <w:keepNext/>
      <w:keepLines/>
      <w:spacing w:before="240"/>
      <w:contextualSpacing/>
      <w:jc w:val="center"/>
    </w:pPr>
    <w:rPr>
      <w:rFonts w:asciiTheme="majorHAnsi" w:eastAsiaTheme="majorEastAsia" w:hAnsiTheme="majorHAnsi" w:cstheme="majorBidi"/>
      <w:b/>
      <w:bCs/>
      <w:color w:val="474747" w:themeColor="accent3" w:themeShade="BF"/>
      <w:sz w:val="28"/>
      <w:szCs w:val="24"/>
    </w:rPr>
  </w:style>
  <w:style w:type="paragraph" w:customStyle="1" w:styleId="ECHRParaQuote">
    <w:name w:val="ECHR_Para_Quote"/>
    <w:aliases w:val="Ju_Quot"/>
    <w:basedOn w:val="Normalny"/>
    <w:uiPriority w:val="14"/>
    <w:qFormat/>
    <w:rsid w:val="00C3150F"/>
    <w:pPr>
      <w:spacing w:before="120" w:after="120"/>
      <w:ind w:left="425" w:firstLine="142"/>
    </w:pPr>
    <w:rPr>
      <w:sz w:val="20"/>
    </w:rPr>
  </w:style>
  <w:style w:type="paragraph" w:customStyle="1" w:styleId="ECHRPara">
    <w:name w:val="ECHR_Para"/>
    <w:aliases w:val="Ju_Para"/>
    <w:basedOn w:val="Normalny"/>
    <w:link w:val="ECHRParaChar"/>
    <w:uiPriority w:val="12"/>
    <w:qFormat/>
    <w:rsid w:val="00C3150F"/>
    <w:pPr>
      <w:ind w:firstLine="284"/>
    </w:pPr>
  </w:style>
  <w:style w:type="table" w:customStyle="1" w:styleId="ECHRTableSimpleBox">
    <w:name w:val="ECHR_Table_Simple_Box"/>
    <w:basedOn w:val="Standardowy"/>
    <w:uiPriority w:val="99"/>
    <w:rsid w:val="00AE354C"/>
    <w:tblPr>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tblBorders>
      <w:tblCellMar>
        <w:top w:w="113" w:type="dxa"/>
        <w:bottom w:w="113" w:type="dxa"/>
      </w:tblCellMar>
    </w:tblPr>
  </w:style>
  <w:style w:type="table" w:customStyle="1" w:styleId="ECHRTableNoLines">
    <w:name w:val="ECHR_Table_No_Lines"/>
    <w:basedOn w:val="Standardowy"/>
    <w:uiPriority w:val="99"/>
    <w:rsid w:val="00F218EF"/>
    <w:tblPr>
      <w:tblCellMar>
        <w:top w:w="85" w:type="dxa"/>
        <w:left w:w="142" w:type="dxa"/>
        <w:bottom w:w="28" w:type="dxa"/>
        <w:right w:w="142" w:type="dxa"/>
      </w:tblCellMar>
    </w:tblPr>
    <w:tblStylePr w:type="firstRow">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nil"/>
          <w:tl2br w:val="nil"/>
          <w:tr2bl w:val="nil"/>
        </w:tcBorders>
        <w:shd w:val="clear" w:color="auto" w:fill="DFDFDF" w:themeFill="background2" w:themeFillShade="E6"/>
      </w:tcPr>
    </w:tblStylePr>
    <w:tblStylePr w:type="firstCol">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tcPr>
    </w:tblStylePr>
  </w:style>
  <w:style w:type="table" w:customStyle="1" w:styleId="ECHRTableForInternalUse">
    <w:name w:val="ECHR_Table_For_Internal_Use"/>
    <w:basedOn w:val="Standardowy"/>
    <w:uiPriority w:val="99"/>
    <w:rsid w:val="005474E7"/>
    <w:rPr>
      <w:color w:val="636363" w:themeColor="text2" w:themeShade="80"/>
      <w:sz w:val="18"/>
    </w:rPr>
    <w:tblPr>
      <w:tblStyleColBandSize w:val="1"/>
      <w:jc w:val="right"/>
      <w:tblCellMar>
        <w:top w:w="113" w:type="dxa"/>
        <w:bottom w:w="28" w:type="dxa"/>
      </w:tblCellMar>
    </w:tblPr>
    <w:trPr>
      <w:jc w:val="right"/>
    </w:trPr>
    <w:tblStylePr w:type="firstRow">
      <w:rPr>
        <w:b/>
      </w:rPr>
    </w:tblStylePr>
    <w:tblStylePr w:type="lastCol">
      <w:pPr>
        <w:jc w:val="right"/>
      </w:p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tblStylePr w:type="band1Vert">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style>
  <w:style w:type="table" w:customStyle="1" w:styleId="ECHRListTable">
    <w:name w:val="ECHR_List_Table"/>
    <w:basedOn w:val="Standardowy"/>
    <w:uiPriority w:val="99"/>
    <w:rsid w:val="00C3150F"/>
    <w:tblPr>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b/>
        <w:color w:val="474747" w:themeColor="accent3" w:themeShade="BF"/>
      </w:rPr>
      <w:tblPr/>
      <w:trPr>
        <w:tblHeader/>
      </w:tr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shd w:val="clear" w:color="auto" w:fill="DFDFDF" w:themeFill="background2" w:themeFillShade="E6"/>
      </w:tcPr>
    </w:tblStylePr>
  </w:style>
  <w:style w:type="table" w:customStyle="1" w:styleId="ECHRHeaderTable">
    <w:name w:val="ECHR_Header_Table"/>
    <w:basedOn w:val="Standardowy"/>
    <w:uiPriority w:val="99"/>
    <w:rsid w:val="00661971"/>
    <w:tblPr>
      <w:tblInd w:w="-680" w:type="dxa"/>
      <w:tblBorders>
        <w:bottom w:val="single" w:sz="6" w:space="0" w:color="949494" w:themeColor="text2" w:themeShade="BF"/>
      </w:tblBorders>
      <w:tblCellMar>
        <w:left w:w="0" w:type="dxa"/>
        <w:bottom w:w="28" w:type="dxa"/>
        <w:right w:w="0" w:type="dxa"/>
      </w:tblCellMar>
    </w:tblPr>
    <w:tcPr>
      <w:vAlign w:val="bottom"/>
    </w:tcPr>
    <w:tblStylePr w:type="lastCol">
      <w:pPr>
        <w:wordWrap/>
        <w:jc w:val="both"/>
      </w:pPr>
    </w:tblStylePr>
  </w:style>
  <w:style w:type="table" w:customStyle="1" w:styleId="ECHRTableOddBanded">
    <w:name w:val="ECHR_Table_Odd_Banded"/>
    <w:basedOn w:val="Standardowy"/>
    <w:uiPriority w:val="99"/>
    <w:rsid w:val="00860B03"/>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single" w:sz="4" w:space="0" w:color="949494" w:themeColor="text2" w:themeShade="BF"/>
          <w:tl2br w:val="nil"/>
          <w:tr2bl w:val="nil"/>
        </w:tcBorders>
        <w:shd w:val="clear" w:color="auto" w:fill="DFDFDF" w:themeFill="background2" w:themeFillShade="E6"/>
      </w:tcPr>
    </w:tblStylePr>
    <w:tblStylePr w:type="band1Vert">
      <w:tblPr/>
      <w:tcPr>
        <w:tcBorders>
          <w:top w:val="nil"/>
          <w:left w:val="nil"/>
          <w:bottom w:val="nil"/>
          <w:right w:val="nil"/>
          <w:insideH w:val="nil"/>
          <w:insideV w:val="nil"/>
          <w:tl2br w:val="nil"/>
          <w:tr2bl w:val="nil"/>
        </w:tcBorders>
        <w:shd w:val="clear" w:color="auto" w:fill="DFDFDF" w:themeFill="background2" w:themeFillShade="E6"/>
      </w:tcPr>
    </w:tblStylePr>
    <w:tblStylePr w:type="band1Horz">
      <w:rPr>
        <w:b/>
      </w:rPr>
      <w:tblPr/>
      <w:tcPr>
        <w:shd w:val="clear" w:color="auto" w:fill="DFDFDF" w:themeFill="background2" w:themeFillShade="E6"/>
      </w:tcPr>
    </w:tblStylePr>
  </w:style>
  <w:style w:type="paragraph" w:customStyle="1" w:styleId="ECHRDecisionBody">
    <w:name w:val="ECHR_Decision_Body"/>
    <w:aliases w:val="Ju_Judges"/>
    <w:basedOn w:val="Normalny"/>
    <w:uiPriority w:val="11"/>
    <w:qFormat/>
    <w:rsid w:val="00C3150F"/>
    <w:pPr>
      <w:tabs>
        <w:tab w:val="left" w:pos="567"/>
        <w:tab w:val="left" w:pos="1134"/>
      </w:tabs>
      <w:jc w:val="left"/>
    </w:pPr>
  </w:style>
  <w:style w:type="table" w:customStyle="1" w:styleId="ECHRHeaderTableReduced">
    <w:name w:val="ECHR_Header_Table_Reduced"/>
    <w:basedOn w:val="Standardowy"/>
    <w:uiPriority w:val="99"/>
    <w:rsid w:val="00B52BE0"/>
    <w:tblPr>
      <w:tblInd w:w="-680" w:type="dxa"/>
      <w:tblCellMar>
        <w:left w:w="0" w:type="dxa"/>
        <w:right w:w="0" w:type="dxa"/>
      </w:tblCellMar>
    </w:tblPr>
    <w:tcPr>
      <w:vAlign w:val="bottom"/>
    </w:tcPr>
    <w:tblStylePr w:type="firstRow">
      <w:tblPr/>
      <w:tcPr>
        <w:tcBorders>
          <w:top w:val="nil"/>
          <w:left w:val="nil"/>
          <w:bottom w:val="single" w:sz="6" w:space="0" w:color="949494" w:themeColor="text2" w:themeShade="BF"/>
          <w:right w:val="nil"/>
          <w:insideH w:val="nil"/>
          <w:insideV w:val="nil"/>
          <w:tl2br w:val="nil"/>
          <w:tr2bl w:val="nil"/>
        </w:tcBorders>
      </w:tcPr>
    </w:tblStylePr>
    <w:tblStylePr w:type="lastRow">
      <w:pPr>
        <w:jc w:val="right"/>
      </w:pPr>
      <w:tblPr/>
      <w:tcPr>
        <w:tcBorders>
          <w:top w:val="single" w:sz="6" w:space="0" w:color="949494" w:themeColor="text2" w:themeShade="BF"/>
          <w:left w:val="nil"/>
          <w:bottom w:val="nil"/>
          <w:right w:val="nil"/>
          <w:insideH w:val="nil"/>
          <w:insideV w:val="nil"/>
          <w:tl2br w:val="nil"/>
          <w:tr2bl w:val="nil"/>
        </w:tcBorders>
      </w:tcPr>
    </w:tblStylePr>
  </w:style>
  <w:style w:type="paragraph" w:customStyle="1" w:styleId="JuList">
    <w:name w:val="Ju_List"/>
    <w:basedOn w:val="Normalny"/>
    <w:link w:val="JuListChar"/>
    <w:uiPriority w:val="28"/>
    <w:qFormat/>
    <w:rsid w:val="00C3150F"/>
    <w:pPr>
      <w:ind w:left="340" w:hanging="340"/>
    </w:pPr>
  </w:style>
  <w:style w:type="paragraph" w:customStyle="1" w:styleId="JuSigned">
    <w:name w:val="Ju_Signed"/>
    <w:basedOn w:val="Normalny"/>
    <w:next w:val="JuParaLast"/>
    <w:uiPriority w:val="32"/>
    <w:qFormat/>
    <w:rsid w:val="00C3150F"/>
    <w:pPr>
      <w:tabs>
        <w:tab w:val="center" w:pos="851"/>
        <w:tab w:val="center" w:pos="6407"/>
      </w:tabs>
      <w:spacing w:before="720"/>
      <w:jc w:val="left"/>
    </w:pPr>
  </w:style>
  <w:style w:type="paragraph" w:customStyle="1" w:styleId="JuParaLast">
    <w:name w:val="Ju_Para_Last"/>
    <w:basedOn w:val="Normalny"/>
    <w:next w:val="ECHRPara"/>
    <w:uiPriority w:val="30"/>
    <w:qFormat/>
    <w:rsid w:val="00C3150F"/>
    <w:pPr>
      <w:keepNext/>
      <w:keepLines/>
      <w:spacing w:before="240"/>
      <w:ind w:firstLine="284"/>
    </w:pPr>
  </w:style>
  <w:style w:type="paragraph" w:customStyle="1" w:styleId="JuListi">
    <w:name w:val="Ju_List_i"/>
    <w:basedOn w:val="Normalny"/>
    <w:next w:val="JuLista"/>
    <w:uiPriority w:val="28"/>
    <w:qFormat/>
    <w:rsid w:val="00C3150F"/>
    <w:pPr>
      <w:ind w:left="794"/>
    </w:pPr>
  </w:style>
  <w:style w:type="character" w:styleId="Numerstrony">
    <w:name w:val="page number"/>
    <w:uiPriority w:val="99"/>
    <w:semiHidden/>
    <w:rsid w:val="00014566"/>
    <w:rPr>
      <w:sz w:val="18"/>
    </w:rPr>
  </w:style>
  <w:style w:type="character" w:customStyle="1" w:styleId="JUNAMES">
    <w:name w:val="JU_NAMES"/>
    <w:uiPriority w:val="17"/>
    <w:qFormat/>
    <w:rsid w:val="00C3150F"/>
    <w:rPr>
      <w:caps w:val="0"/>
      <w:smallCaps/>
    </w:rPr>
  </w:style>
  <w:style w:type="paragraph" w:customStyle="1" w:styleId="JuParaSub">
    <w:name w:val="Ju_Para_Sub"/>
    <w:basedOn w:val="ECHRPara"/>
    <w:uiPriority w:val="13"/>
    <w:qFormat/>
    <w:rsid w:val="00C3150F"/>
    <w:pPr>
      <w:ind w:left="284"/>
    </w:pPr>
  </w:style>
  <w:style w:type="character" w:styleId="Odwoaniedokomentarza">
    <w:name w:val="annotation reference"/>
    <w:semiHidden/>
    <w:rsid w:val="00014566"/>
    <w:rPr>
      <w:sz w:val="16"/>
    </w:rPr>
  </w:style>
  <w:style w:type="paragraph" w:styleId="Tekstkomentarza">
    <w:name w:val="annotation text"/>
    <w:basedOn w:val="Normalny"/>
    <w:link w:val="TekstkomentarzaZnak"/>
    <w:semiHidden/>
    <w:rsid w:val="00014566"/>
    <w:rPr>
      <w:sz w:val="20"/>
    </w:rPr>
  </w:style>
  <w:style w:type="character" w:customStyle="1" w:styleId="TekstkomentarzaZnak">
    <w:name w:val="Tekst komentarza Znak"/>
    <w:basedOn w:val="Domylnaczcionkaakapitu"/>
    <w:link w:val="Tekstkomentarza"/>
    <w:semiHidden/>
    <w:rsid w:val="00014566"/>
    <w:rPr>
      <w:rFonts w:eastAsiaTheme="minorEastAsia"/>
      <w:sz w:val="20"/>
    </w:rPr>
  </w:style>
  <w:style w:type="paragraph" w:styleId="Tematkomentarza">
    <w:name w:val="annotation subject"/>
    <w:basedOn w:val="Tekstkomentarza"/>
    <w:next w:val="Tekstkomentarza"/>
    <w:link w:val="TematkomentarzaZnak"/>
    <w:uiPriority w:val="99"/>
    <w:semiHidden/>
    <w:rsid w:val="00014566"/>
    <w:rPr>
      <w:b/>
      <w:bCs/>
    </w:rPr>
  </w:style>
  <w:style w:type="character" w:customStyle="1" w:styleId="TematkomentarzaZnak">
    <w:name w:val="Temat komentarza Znak"/>
    <w:basedOn w:val="TekstkomentarzaZnak"/>
    <w:link w:val="Tematkomentarza"/>
    <w:uiPriority w:val="99"/>
    <w:semiHidden/>
    <w:rsid w:val="00014566"/>
    <w:rPr>
      <w:rFonts w:eastAsiaTheme="minorEastAsia"/>
      <w:b/>
      <w:bCs/>
      <w:sz w:val="20"/>
    </w:rPr>
  </w:style>
  <w:style w:type="character" w:styleId="Odwoanieprzypisukocowego">
    <w:name w:val="endnote reference"/>
    <w:basedOn w:val="Domylnaczcionkaakapitu"/>
    <w:uiPriority w:val="99"/>
    <w:semiHidden/>
    <w:rsid w:val="00C3150F"/>
    <w:rPr>
      <w:vertAlign w:val="superscript"/>
    </w:rPr>
  </w:style>
  <w:style w:type="paragraph" w:styleId="Tekstprzypisukocowego">
    <w:name w:val="endnote text"/>
    <w:basedOn w:val="Normalny"/>
    <w:link w:val="TekstprzypisukocowegoZnak"/>
    <w:uiPriority w:val="99"/>
    <w:semiHidden/>
    <w:rsid w:val="00C3150F"/>
    <w:rPr>
      <w:sz w:val="20"/>
      <w:szCs w:val="20"/>
    </w:rPr>
  </w:style>
  <w:style w:type="character" w:customStyle="1" w:styleId="TekstprzypisukocowegoZnak">
    <w:name w:val="Tekst przypisu końcowego Znak"/>
    <w:basedOn w:val="Domylnaczcionkaakapitu"/>
    <w:link w:val="Tekstprzypisukocowego"/>
    <w:uiPriority w:val="99"/>
    <w:semiHidden/>
    <w:rsid w:val="00C3150F"/>
    <w:rPr>
      <w:rFonts w:eastAsiaTheme="minorEastAsia"/>
      <w:sz w:val="20"/>
      <w:szCs w:val="20"/>
      <w:lang w:val="en-GB"/>
    </w:rPr>
  </w:style>
  <w:style w:type="character" w:styleId="UyteHipercze">
    <w:name w:val="FollowedHyperlink"/>
    <w:uiPriority w:val="99"/>
    <w:semiHidden/>
    <w:rsid w:val="00014566"/>
    <w:rPr>
      <w:color w:val="800080"/>
      <w:u w:val="single"/>
    </w:rPr>
  </w:style>
  <w:style w:type="paragraph" w:styleId="Mapadokumentu">
    <w:name w:val="Document Map"/>
    <w:basedOn w:val="Normalny"/>
    <w:link w:val="MapadokumentuZnak"/>
    <w:uiPriority w:val="99"/>
    <w:semiHidden/>
    <w:rsid w:val="00014566"/>
    <w:pPr>
      <w:shd w:val="clear" w:color="auto" w:fill="000080"/>
    </w:pPr>
    <w:rPr>
      <w:rFonts w:ascii="Tahoma" w:hAnsi="Tahoma" w:cs="Tahoma"/>
      <w:sz w:val="20"/>
    </w:rPr>
  </w:style>
  <w:style w:type="character" w:customStyle="1" w:styleId="MapadokumentuZnak">
    <w:name w:val="Mapa dokumentu Znak"/>
    <w:basedOn w:val="Domylnaczcionkaakapitu"/>
    <w:link w:val="Mapadokumentu"/>
    <w:uiPriority w:val="99"/>
    <w:semiHidden/>
    <w:rsid w:val="00014566"/>
    <w:rPr>
      <w:rFonts w:ascii="Tahoma" w:eastAsiaTheme="minorEastAsia" w:hAnsi="Tahoma" w:cs="Tahoma"/>
      <w:sz w:val="20"/>
      <w:shd w:val="clear" w:color="auto" w:fill="000080"/>
    </w:rPr>
  </w:style>
  <w:style w:type="paragraph" w:customStyle="1" w:styleId="JuQuotSub">
    <w:name w:val="Ju_Quot_Sub"/>
    <w:basedOn w:val="ECHRParaQuote"/>
    <w:uiPriority w:val="15"/>
    <w:qFormat/>
    <w:rsid w:val="00C3150F"/>
    <w:pPr>
      <w:ind w:left="567"/>
    </w:pPr>
  </w:style>
  <w:style w:type="paragraph" w:styleId="Listapunktowana">
    <w:name w:val="List Bullet"/>
    <w:basedOn w:val="Normalny"/>
    <w:uiPriority w:val="99"/>
    <w:semiHidden/>
    <w:rsid w:val="00014566"/>
    <w:pPr>
      <w:numPr>
        <w:numId w:val="1"/>
      </w:numPr>
    </w:pPr>
  </w:style>
  <w:style w:type="paragraph" w:customStyle="1" w:styleId="OpiH1">
    <w:name w:val="Opi_H_1"/>
    <w:basedOn w:val="ECHRHeading2"/>
    <w:uiPriority w:val="42"/>
    <w:qFormat/>
    <w:rsid w:val="00C3150F"/>
    <w:pPr>
      <w:ind w:left="635" w:hanging="357"/>
      <w:outlineLvl w:val="2"/>
    </w:pPr>
  </w:style>
  <w:style w:type="paragraph" w:styleId="Podtytu">
    <w:name w:val="Subtitle"/>
    <w:basedOn w:val="Normalny"/>
    <w:next w:val="Normalny"/>
    <w:link w:val="PodtytuZnak"/>
    <w:uiPriority w:val="99"/>
    <w:semiHidden/>
    <w:qFormat/>
    <w:rsid w:val="00C3150F"/>
    <w:pPr>
      <w:spacing w:after="600"/>
    </w:pPr>
    <w:rPr>
      <w:rFonts w:asciiTheme="majorHAnsi" w:eastAsiaTheme="majorEastAsia" w:hAnsiTheme="majorHAnsi" w:cstheme="majorBidi"/>
      <w:i/>
      <w:iCs/>
      <w:spacing w:val="13"/>
      <w:szCs w:val="24"/>
      <w:lang w:val="en-US" w:bidi="en-US"/>
    </w:rPr>
  </w:style>
  <w:style w:type="character" w:customStyle="1" w:styleId="PodtytuZnak">
    <w:name w:val="Podtytuł Znak"/>
    <w:basedOn w:val="Domylnaczcionkaakapitu"/>
    <w:link w:val="Podtytu"/>
    <w:uiPriority w:val="99"/>
    <w:semiHidden/>
    <w:rsid w:val="00C3150F"/>
    <w:rPr>
      <w:rFonts w:asciiTheme="majorHAnsi" w:eastAsiaTheme="majorEastAsia" w:hAnsiTheme="majorHAnsi" w:cstheme="majorBidi"/>
      <w:i/>
      <w:iCs/>
      <w:spacing w:val="13"/>
      <w:sz w:val="24"/>
      <w:szCs w:val="24"/>
      <w:lang w:bidi="en-US"/>
    </w:rPr>
  </w:style>
  <w:style w:type="numbering" w:styleId="111111">
    <w:name w:val="Outline List 2"/>
    <w:basedOn w:val="Bezlisty"/>
    <w:uiPriority w:val="99"/>
    <w:semiHidden/>
    <w:rsid w:val="00014566"/>
    <w:pPr>
      <w:numPr>
        <w:numId w:val="2"/>
      </w:numPr>
    </w:pPr>
  </w:style>
  <w:style w:type="numbering" w:styleId="1ai">
    <w:name w:val="Outline List 1"/>
    <w:basedOn w:val="Bezlisty"/>
    <w:uiPriority w:val="99"/>
    <w:semiHidden/>
    <w:rsid w:val="00014566"/>
    <w:pPr>
      <w:numPr>
        <w:numId w:val="3"/>
      </w:numPr>
    </w:pPr>
  </w:style>
  <w:style w:type="numbering" w:styleId="Artykusekcja">
    <w:name w:val="Outline List 3"/>
    <w:basedOn w:val="Bezlisty"/>
    <w:uiPriority w:val="99"/>
    <w:semiHidden/>
    <w:rsid w:val="00014566"/>
    <w:pPr>
      <w:numPr>
        <w:numId w:val="4"/>
      </w:numPr>
    </w:pPr>
  </w:style>
  <w:style w:type="paragraph" w:styleId="Bibliografia">
    <w:name w:val="Bibliography"/>
    <w:basedOn w:val="Normalny"/>
    <w:next w:val="Normalny"/>
    <w:uiPriority w:val="99"/>
    <w:semiHidden/>
    <w:unhideWhenUsed/>
    <w:rsid w:val="00014566"/>
  </w:style>
  <w:style w:type="paragraph" w:styleId="Tekstblokowy">
    <w:name w:val="Block Text"/>
    <w:basedOn w:val="Normalny"/>
    <w:uiPriority w:val="99"/>
    <w:semiHidden/>
    <w:rsid w:val="00014566"/>
    <w:pPr>
      <w:pBdr>
        <w:top w:val="single" w:sz="2" w:space="10" w:color="0072BC" w:themeColor="accent1" w:shadow="1" w:frame="1"/>
        <w:left w:val="single" w:sz="2" w:space="10" w:color="0072BC" w:themeColor="accent1" w:shadow="1" w:frame="1"/>
        <w:bottom w:val="single" w:sz="2" w:space="10" w:color="0072BC" w:themeColor="accent1" w:shadow="1" w:frame="1"/>
        <w:right w:val="single" w:sz="2" w:space="10" w:color="0072BC" w:themeColor="accent1" w:shadow="1" w:frame="1"/>
      </w:pBdr>
      <w:ind w:left="1152" w:right="1152"/>
    </w:pPr>
    <w:rPr>
      <w:i/>
      <w:iCs/>
      <w:color w:val="0072BC" w:themeColor="accent1"/>
    </w:rPr>
  </w:style>
  <w:style w:type="paragraph" w:styleId="Tekstpodstawowy">
    <w:name w:val="Body Text"/>
    <w:basedOn w:val="Normalny"/>
    <w:link w:val="TekstpodstawowyZnak"/>
    <w:uiPriority w:val="99"/>
    <w:semiHidden/>
    <w:rsid w:val="00014566"/>
    <w:pPr>
      <w:spacing w:after="120"/>
    </w:pPr>
  </w:style>
  <w:style w:type="character" w:customStyle="1" w:styleId="TekstpodstawowyZnak">
    <w:name w:val="Tekst podstawowy Znak"/>
    <w:basedOn w:val="Domylnaczcionkaakapitu"/>
    <w:link w:val="Tekstpodstawowy"/>
    <w:uiPriority w:val="99"/>
    <w:semiHidden/>
    <w:rsid w:val="00014566"/>
    <w:rPr>
      <w:rFonts w:eastAsiaTheme="minorEastAsia"/>
      <w:sz w:val="24"/>
    </w:rPr>
  </w:style>
  <w:style w:type="paragraph" w:styleId="Tekstpodstawowy2">
    <w:name w:val="Body Text 2"/>
    <w:basedOn w:val="Normalny"/>
    <w:link w:val="Tekstpodstawowy2Znak"/>
    <w:uiPriority w:val="99"/>
    <w:semiHidden/>
    <w:rsid w:val="00014566"/>
    <w:pPr>
      <w:spacing w:after="120" w:line="480" w:lineRule="auto"/>
    </w:pPr>
  </w:style>
  <w:style w:type="character" w:customStyle="1" w:styleId="Tekstpodstawowy2Znak">
    <w:name w:val="Tekst podstawowy 2 Znak"/>
    <w:basedOn w:val="Domylnaczcionkaakapitu"/>
    <w:link w:val="Tekstpodstawowy2"/>
    <w:uiPriority w:val="99"/>
    <w:semiHidden/>
    <w:rsid w:val="00014566"/>
    <w:rPr>
      <w:rFonts w:eastAsiaTheme="minorEastAsia"/>
      <w:sz w:val="24"/>
    </w:rPr>
  </w:style>
  <w:style w:type="paragraph" w:styleId="Tekstpodstawowy3">
    <w:name w:val="Body Text 3"/>
    <w:basedOn w:val="Normalny"/>
    <w:link w:val="Tekstpodstawowy3Znak"/>
    <w:uiPriority w:val="99"/>
    <w:semiHidden/>
    <w:rsid w:val="00014566"/>
    <w:pPr>
      <w:spacing w:after="120"/>
    </w:pPr>
    <w:rPr>
      <w:sz w:val="16"/>
      <w:szCs w:val="16"/>
    </w:rPr>
  </w:style>
  <w:style w:type="character" w:customStyle="1" w:styleId="Tekstpodstawowy3Znak">
    <w:name w:val="Tekst podstawowy 3 Znak"/>
    <w:basedOn w:val="Domylnaczcionkaakapitu"/>
    <w:link w:val="Tekstpodstawowy3"/>
    <w:uiPriority w:val="99"/>
    <w:semiHidden/>
    <w:rsid w:val="00014566"/>
    <w:rPr>
      <w:rFonts w:eastAsiaTheme="minorEastAsia"/>
      <w:sz w:val="16"/>
      <w:szCs w:val="16"/>
    </w:rPr>
  </w:style>
  <w:style w:type="paragraph" w:styleId="Tekstpodstawowyzwciciem">
    <w:name w:val="Body Text First Indent"/>
    <w:basedOn w:val="Tekstpodstawowy"/>
    <w:link w:val="TekstpodstawowyzwciciemZnak"/>
    <w:uiPriority w:val="99"/>
    <w:semiHidden/>
    <w:rsid w:val="00014566"/>
    <w:pPr>
      <w:spacing w:after="0"/>
      <w:ind w:firstLine="360"/>
    </w:pPr>
  </w:style>
  <w:style w:type="character" w:customStyle="1" w:styleId="TekstpodstawowyzwciciemZnak">
    <w:name w:val="Tekst podstawowy z wcięciem Znak"/>
    <w:basedOn w:val="TekstpodstawowyZnak"/>
    <w:link w:val="Tekstpodstawowyzwciciem"/>
    <w:uiPriority w:val="99"/>
    <w:semiHidden/>
    <w:rsid w:val="00014566"/>
    <w:rPr>
      <w:rFonts w:eastAsiaTheme="minorEastAsia"/>
      <w:sz w:val="24"/>
    </w:rPr>
  </w:style>
  <w:style w:type="paragraph" w:styleId="Tekstpodstawowywcity">
    <w:name w:val="Body Text Indent"/>
    <w:basedOn w:val="Normalny"/>
    <w:link w:val="TekstpodstawowywcityZnak"/>
    <w:uiPriority w:val="99"/>
    <w:semiHidden/>
    <w:rsid w:val="00014566"/>
    <w:pPr>
      <w:spacing w:after="120"/>
      <w:ind w:left="283"/>
    </w:pPr>
  </w:style>
  <w:style w:type="character" w:customStyle="1" w:styleId="TekstpodstawowywcityZnak">
    <w:name w:val="Tekst podstawowy wcięty Znak"/>
    <w:basedOn w:val="Domylnaczcionkaakapitu"/>
    <w:link w:val="Tekstpodstawowywcity"/>
    <w:uiPriority w:val="99"/>
    <w:semiHidden/>
    <w:rsid w:val="00014566"/>
    <w:rPr>
      <w:rFonts w:eastAsiaTheme="minorEastAsia"/>
      <w:sz w:val="24"/>
    </w:rPr>
  </w:style>
  <w:style w:type="paragraph" w:styleId="Tekstpodstawowyzwciciem2">
    <w:name w:val="Body Text First Indent 2"/>
    <w:basedOn w:val="Tekstpodstawowywcity"/>
    <w:link w:val="Tekstpodstawowyzwciciem2Znak"/>
    <w:uiPriority w:val="99"/>
    <w:semiHidden/>
    <w:rsid w:val="00014566"/>
    <w:pPr>
      <w:spacing w:after="0"/>
      <w:ind w:left="360" w:firstLine="360"/>
    </w:pPr>
  </w:style>
  <w:style w:type="character" w:customStyle="1" w:styleId="Tekstpodstawowyzwciciem2Znak">
    <w:name w:val="Tekst podstawowy z wcięciem 2 Znak"/>
    <w:basedOn w:val="TekstpodstawowywcityZnak"/>
    <w:link w:val="Tekstpodstawowyzwciciem2"/>
    <w:uiPriority w:val="99"/>
    <w:semiHidden/>
    <w:rsid w:val="00014566"/>
    <w:rPr>
      <w:rFonts w:eastAsiaTheme="minorEastAsia"/>
      <w:sz w:val="24"/>
    </w:rPr>
  </w:style>
  <w:style w:type="paragraph" w:styleId="Tekstpodstawowywcity2">
    <w:name w:val="Body Text Indent 2"/>
    <w:basedOn w:val="Normalny"/>
    <w:link w:val="Tekstpodstawowywcity2Znak"/>
    <w:uiPriority w:val="99"/>
    <w:semiHidden/>
    <w:rsid w:val="00014566"/>
    <w:pPr>
      <w:spacing w:after="120" w:line="480" w:lineRule="auto"/>
      <w:ind w:left="283"/>
    </w:pPr>
  </w:style>
  <w:style w:type="character" w:customStyle="1" w:styleId="Tekstpodstawowywcity2Znak">
    <w:name w:val="Tekst podstawowy wcięty 2 Znak"/>
    <w:basedOn w:val="Domylnaczcionkaakapitu"/>
    <w:link w:val="Tekstpodstawowywcity2"/>
    <w:uiPriority w:val="99"/>
    <w:semiHidden/>
    <w:rsid w:val="00014566"/>
    <w:rPr>
      <w:rFonts w:eastAsiaTheme="minorEastAsia"/>
      <w:sz w:val="24"/>
    </w:rPr>
  </w:style>
  <w:style w:type="paragraph" w:styleId="Tekstpodstawowywcity3">
    <w:name w:val="Body Text Indent 3"/>
    <w:basedOn w:val="Normalny"/>
    <w:link w:val="Tekstpodstawowywcity3Znak"/>
    <w:uiPriority w:val="99"/>
    <w:semiHidden/>
    <w:rsid w:val="00014566"/>
    <w:pPr>
      <w:spacing w:after="120"/>
      <w:ind w:left="283"/>
    </w:pPr>
    <w:rPr>
      <w:sz w:val="16"/>
      <w:szCs w:val="16"/>
    </w:rPr>
  </w:style>
  <w:style w:type="character" w:customStyle="1" w:styleId="Tekstpodstawowywcity3Znak">
    <w:name w:val="Tekst podstawowy wcięty 3 Znak"/>
    <w:basedOn w:val="Domylnaczcionkaakapitu"/>
    <w:link w:val="Tekstpodstawowywcity3"/>
    <w:uiPriority w:val="99"/>
    <w:semiHidden/>
    <w:rsid w:val="00014566"/>
    <w:rPr>
      <w:rFonts w:eastAsiaTheme="minorEastAsia"/>
      <w:sz w:val="16"/>
      <w:szCs w:val="16"/>
    </w:rPr>
  </w:style>
  <w:style w:type="paragraph" w:styleId="Legenda">
    <w:name w:val="caption"/>
    <w:basedOn w:val="Normalny"/>
    <w:next w:val="Normalny"/>
    <w:uiPriority w:val="99"/>
    <w:semiHidden/>
    <w:qFormat/>
    <w:rsid w:val="00014566"/>
    <w:pPr>
      <w:spacing w:after="200"/>
    </w:pPr>
    <w:rPr>
      <w:b/>
      <w:bCs/>
      <w:color w:val="0072BC" w:themeColor="accent1"/>
      <w:sz w:val="18"/>
      <w:szCs w:val="18"/>
    </w:rPr>
  </w:style>
  <w:style w:type="paragraph" w:styleId="Zwrotpoegnalny">
    <w:name w:val="Closing"/>
    <w:basedOn w:val="Normalny"/>
    <w:link w:val="ZwrotpoegnalnyZnak"/>
    <w:uiPriority w:val="99"/>
    <w:semiHidden/>
    <w:rsid w:val="00014566"/>
    <w:pPr>
      <w:ind w:left="4252"/>
    </w:pPr>
  </w:style>
  <w:style w:type="character" w:customStyle="1" w:styleId="ZwrotpoegnalnyZnak">
    <w:name w:val="Zwrot pożegnalny Znak"/>
    <w:basedOn w:val="Domylnaczcionkaakapitu"/>
    <w:link w:val="Zwrotpoegnalny"/>
    <w:uiPriority w:val="99"/>
    <w:semiHidden/>
    <w:rsid w:val="00014566"/>
    <w:rPr>
      <w:rFonts w:eastAsiaTheme="minorEastAsia"/>
      <w:sz w:val="24"/>
    </w:rPr>
  </w:style>
  <w:style w:type="table" w:styleId="Kolorowasiatka">
    <w:name w:val="Colorful Grid"/>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0072BC" w:themeColor="background1"/>
      </w:rPr>
      <w:tblPr/>
      <w:tcPr>
        <w:shd w:val="clear" w:color="auto" w:fill="000000" w:themeFill="text1" w:themeFillShade="BF"/>
      </w:tcPr>
    </w:tblStylePr>
    <w:tblStylePr w:type="lastCol">
      <w:rPr>
        <w:color w:val="0072BC"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Kolorowasiatkaakcent1">
    <w:name w:val="Colorful Grid Accent 1"/>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BEE5FF" w:themeFill="accent1" w:themeFillTint="33"/>
    </w:tcPr>
    <w:tblStylePr w:type="firstRow">
      <w:rPr>
        <w:b/>
        <w:bCs/>
      </w:rPr>
      <w:tblPr/>
      <w:tcPr>
        <w:shd w:val="clear" w:color="auto" w:fill="7ECBFF" w:themeFill="accent1" w:themeFillTint="66"/>
      </w:tcPr>
    </w:tblStylePr>
    <w:tblStylePr w:type="lastRow">
      <w:rPr>
        <w:b/>
        <w:bCs/>
        <w:color w:val="000000" w:themeColor="text1"/>
      </w:rPr>
      <w:tblPr/>
      <w:tcPr>
        <w:shd w:val="clear" w:color="auto" w:fill="7ECBFF" w:themeFill="accent1" w:themeFillTint="66"/>
      </w:tcPr>
    </w:tblStylePr>
    <w:tblStylePr w:type="firstCol">
      <w:rPr>
        <w:color w:val="0072BC" w:themeColor="background1"/>
      </w:rPr>
      <w:tblPr/>
      <w:tcPr>
        <w:shd w:val="clear" w:color="auto" w:fill="00548C" w:themeFill="accent1" w:themeFillShade="BF"/>
      </w:tcPr>
    </w:tblStylePr>
    <w:tblStylePr w:type="lastCol">
      <w:rPr>
        <w:color w:val="0072BC" w:themeColor="background1"/>
      </w:rPr>
      <w:tblPr/>
      <w:tcPr>
        <w:shd w:val="clear" w:color="auto" w:fill="00548C" w:themeFill="accent1" w:themeFillShade="BF"/>
      </w:tc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Kolorowasiatkaakcent2">
    <w:name w:val="Colorful Grid Accent 2"/>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FFBFBF" w:themeFill="accent2" w:themeFillTint="33"/>
    </w:tcPr>
    <w:tblStylePr w:type="firstRow">
      <w:rPr>
        <w:b/>
        <w:bCs/>
      </w:rPr>
      <w:tblPr/>
      <w:tcPr>
        <w:shd w:val="clear" w:color="auto" w:fill="FF7F7F" w:themeFill="accent2" w:themeFillTint="66"/>
      </w:tcPr>
    </w:tblStylePr>
    <w:tblStylePr w:type="lastRow">
      <w:rPr>
        <w:b/>
        <w:bCs/>
        <w:color w:val="000000" w:themeColor="text1"/>
      </w:rPr>
      <w:tblPr/>
      <w:tcPr>
        <w:shd w:val="clear" w:color="auto" w:fill="FF7F7F" w:themeFill="accent2" w:themeFillTint="66"/>
      </w:tcPr>
    </w:tblStylePr>
    <w:tblStylePr w:type="firstCol">
      <w:rPr>
        <w:color w:val="0072BC" w:themeColor="background1"/>
      </w:rPr>
      <w:tblPr/>
      <w:tcPr>
        <w:shd w:val="clear" w:color="auto" w:fill="8F0000" w:themeFill="accent2" w:themeFillShade="BF"/>
      </w:tcPr>
    </w:tblStylePr>
    <w:tblStylePr w:type="lastCol">
      <w:rPr>
        <w:color w:val="0072BC" w:themeColor="background1"/>
      </w:rPr>
      <w:tblPr/>
      <w:tcPr>
        <w:shd w:val="clear" w:color="auto" w:fill="8F0000" w:themeFill="accent2" w:themeFillShade="BF"/>
      </w:tc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Kolorowasiatkaakcent3">
    <w:name w:val="Colorful Grid Accent 3"/>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DFDFDF" w:themeFill="accent3" w:themeFillTint="33"/>
    </w:tcPr>
    <w:tblStylePr w:type="firstRow">
      <w:rPr>
        <w:b/>
        <w:bCs/>
      </w:rPr>
      <w:tblPr/>
      <w:tcPr>
        <w:shd w:val="clear" w:color="auto" w:fill="BFBFBF" w:themeFill="accent3" w:themeFillTint="66"/>
      </w:tcPr>
    </w:tblStylePr>
    <w:tblStylePr w:type="lastRow">
      <w:rPr>
        <w:b/>
        <w:bCs/>
        <w:color w:val="000000" w:themeColor="text1"/>
      </w:rPr>
      <w:tblPr/>
      <w:tcPr>
        <w:shd w:val="clear" w:color="auto" w:fill="BFBFBF" w:themeFill="accent3" w:themeFillTint="66"/>
      </w:tcPr>
    </w:tblStylePr>
    <w:tblStylePr w:type="firstCol">
      <w:rPr>
        <w:color w:val="0072BC" w:themeColor="background1"/>
      </w:rPr>
      <w:tblPr/>
      <w:tcPr>
        <w:shd w:val="clear" w:color="auto" w:fill="474747" w:themeFill="accent3" w:themeFillShade="BF"/>
      </w:tcPr>
    </w:tblStylePr>
    <w:tblStylePr w:type="lastCol">
      <w:rPr>
        <w:color w:val="0072BC" w:themeColor="background1"/>
      </w:rPr>
      <w:tblPr/>
      <w:tcPr>
        <w:shd w:val="clear" w:color="auto" w:fill="474747" w:themeFill="accent3" w:themeFillShade="BF"/>
      </w:tc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Kolorowasiatkaakcent4">
    <w:name w:val="Colorful Grid Accent 4"/>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EAEAEA" w:themeFill="accent4" w:themeFillTint="33"/>
    </w:tcPr>
    <w:tblStylePr w:type="firstRow">
      <w:rPr>
        <w:b/>
        <w:bCs/>
      </w:rPr>
      <w:tblPr/>
      <w:tcPr>
        <w:shd w:val="clear" w:color="auto" w:fill="D5D5D5" w:themeFill="accent4" w:themeFillTint="66"/>
      </w:tcPr>
    </w:tblStylePr>
    <w:tblStylePr w:type="lastRow">
      <w:rPr>
        <w:b/>
        <w:bCs/>
        <w:color w:val="000000" w:themeColor="text1"/>
      </w:rPr>
      <w:tblPr/>
      <w:tcPr>
        <w:shd w:val="clear" w:color="auto" w:fill="D5D5D5" w:themeFill="accent4" w:themeFillTint="66"/>
      </w:tcPr>
    </w:tblStylePr>
    <w:tblStylePr w:type="firstCol">
      <w:rPr>
        <w:color w:val="0072BC" w:themeColor="background1"/>
      </w:rPr>
      <w:tblPr/>
      <w:tcPr>
        <w:shd w:val="clear" w:color="auto" w:fill="707070" w:themeFill="accent4" w:themeFillShade="BF"/>
      </w:tcPr>
    </w:tblStylePr>
    <w:tblStylePr w:type="lastCol">
      <w:rPr>
        <w:color w:val="0072BC" w:themeColor="background1"/>
      </w:rPr>
      <w:tblPr/>
      <w:tcPr>
        <w:shd w:val="clear" w:color="auto" w:fill="707070" w:themeFill="accent4" w:themeFillShade="BF"/>
      </w:tc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Kolorowasiatkaakcent5">
    <w:name w:val="Colorful Grid Accent 5"/>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DFDFDF" w:themeFill="accent5" w:themeFillTint="33"/>
    </w:tcPr>
    <w:tblStylePr w:type="firstRow">
      <w:rPr>
        <w:b/>
        <w:bCs/>
      </w:rPr>
      <w:tblPr/>
      <w:tcPr>
        <w:shd w:val="clear" w:color="auto" w:fill="BFBFBF" w:themeFill="accent5" w:themeFillTint="66"/>
      </w:tcPr>
    </w:tblStylePr>
    <w:tblStylePr w:type="lastRow">
      <w:rPr>
        <w:b/>
        <w:bCs/>
        <w:color w:val="000000" w:themeColor="text1"/>
      </w:rPr>
      <w:tblPr/>
      <w:tcPr>
        <w:shd w:val="clear" w:color="auto" w:fill="BFBFBF" w:themeFill="accent5" w:themeFillTint="66"/>
      </w:tcPr>
    </w:tblStylePr>
    <w:tblStylePr w:type="firstCol">
      <w:rPr>
        <w:color w:val="0072BC" w:themeColor="background1"/>
      </w:rPr>
      <w:tblPr/>
      <w:tcPr>
        <w:shd w:val="clear" w:color="auto" w:fill="474747" w:themeFill="accent5" w:themeFillShade="BF"/>
      </w:tcPr>
    </w:tblStylePr>
    <w:tblStylePr w:type="lastCol">
      <w:rPr>
        <w:color w:val="0072BC" w:themeColor="background1"/>
      </w:rPr>
      <w:tblPr/>
      <w:tcPr>
        <w:shd w:val="clear" w:color="auto" w:fill="474747" w:themeFill="accent5" w:themeFillShade="BF"/>
      </w:tc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Kolorowasiatkaakcent6">
    <w:name w:val="Colorful Grid Accent 6"/>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DBDBDB" w:themeFill="accent6" w:themeFillTint="33"/>
    </w:tcPr>
    <w:tblStylePr w:type="firstRow">
      <w:rPr>
        <w:b/>
        <w:bCs/>
      </w:rPr>
      <w:tblPr/>
      <w:tcPr>
        <w:shd w:val="clear" w:color="auto" w:fill="B7B7B7" w:themeFill="accent6" w:themeFillTint="66"/>
      </w:tcPr>
    </w:tblStylePr>
    <w:tblStylePr w:type="lastRow">
      <w:rPr>
        <w:b/>
        <w:bCs/>
        <w:color w:val="000000" w:themeColor="text1"/>
      </w:rPr>
      <w:tblPr/>
      <w:tcPr>
        <w:shd w:val="clear" w:color="auto" w:fill="B7B7B7" w:themeFill="accent6" w:themeFillTint="66"/>
      </w:tcPr>
    </w:tblStylePr>
    <w:tblStylePr w:type="firstCol">
      <w:rPr>
        <w:color w:val="0072BC" w:themeColor="background1"/>
      </w:rPr>
      <w:tblPr/>
      <w:tcPr>
        <w:shd w:val="clear" w:color="auto" w:fill="393939" w:themeFill="accent6" w:themeFillShade="BF"/>
      </w:tcPr>
    </w:tblStylePr>
    <w:tblStylePr w:type="lastCol">
      <w:rPr>
        <w:color w:val="0072BC" w:themeColor="background1"/>
      </w:rPr>
      <w:tblPr/>
      <w:tcPr>
        <w:shd w:val="clear" w:color="auto" w:fill="393939" w:themeFill="accent6" w:themeFillShade="BF"/>
      </w:tc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Kolorowalista">
    <w:name w:val="Colorful List"/>
    <w:basedOn w:val="Standardowy"/>
    <w:uiPriority w:val="99"/>
    <w:semiHidden/>
    <w:rsid w:val="00014566"/>
    <w:rPr>
      <w:color w:val="000000" w:themeColor="text1"/>
      <w:lang w:val="fr-FR" w:eastAsia="fr-FR"/>
    </w:rPr>
    <w:tblPr>
      <w:tblStyleRowBandSize w:val="1"/>
      <w:tblStyleColBandSize w:val="1"/>
    </w:tblPr>
    <w:tcPr>
      <w:shd w:val="clear" w:color="auto" w:fill="E6E6E6" w:themeFill="tex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Kolorowalistaakcent1">
    <w:name w:val="Colorful List Accent 1"/>
    <w:basedOn w:val="Standardowy"/>
    <w:uiPriority w:val="99"/>
    <w:semiHidden/>
    <w:rsid w:val="00014566"/>
    <w:rPr>
      <w:color w:val="000000" w:themeColor="text1"/>
      <w:lang w:val="fr-FR" w:eastAsia="fr-FR"/>
    </w:rPr>
    <w:tblPr>
      <w:tblStyleRowBandSize w:val="1"/>
      <w:tblStyleColBandSize w:val="1"/>
    </w:tblPr>
    <w:tcPr>
      <w:shd w:val="clear" w:color="auto" w:fill="DFF2FF" w:themeFill="accen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FDFFF" w:themeFill="accent1" w:themeFillTint="3F"/>
      </w:tcPr>
    </w:tblStylePr>
    <w:tblStylePr w:type="band1Horz">
      <w:tblPr/>
      <w:tcPr>
        <w:shd w:val="clear" w:color="auto" w:fill="BEE5FF" w:themeFill="accent1" w:themeFillTint="33"/>
      </w:tcPr>
    </w:tblStylePr>
  </w:style>
  <w:style w:type="table" w:styleId="Kolorowalistaakcent2">
    <w:name w:val="Colorful List Accent 2"/>
    <w:basedOn w:val="Standardowy"/>
    <w:uiPriority w:val="99"/>
    <w:semiHidden/>
    <w:rsid w:val="00014566"/>
    <w:rPr>
      <w:color w:val="000000" w:themeColor="text1"/>
      <w:lang w:val="fr-FR" w:eastAsia="fr-FR"/>
    </w:rPr>
    <w:tblPr>
      <w:tblStyleRowBandSize w:val="1"/>
      <w:tblStyleColBandSize w:val="1"/>
    </w:tblPr>
    <w:tcPr>
      <w:shd w:val="clear" w:color="auto" w:fill="FFDFDF" w:themeFill="accent2"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B0B0" w:themeFill="accent2" w:themeFillTint="3F"/>
      </w:tcPr>
    </w:tblStylePr>
    <w:tblStylePr w:type="band1Horz">
      <w:tblPr/>
      <w:tcPr>
        <w:shd w:val="clear" w:color="auto" w:fill="FFBFBF" w:themeFill="accent2" w:themeFillTint="33"/>
      </w:tcPr>
    </w:tblStylePr>
  </w:style>
  <w:style w:type="table" w:styleId="Kolorowalistaakcent3">
    <w:name w:val="Colorful List Accent 3"/>
    <w:basedOn w:val="Standardowy"/>
    <w:uiPriority w:val="99"/>
    <w:semiHidden/>
    <w:rsid w:val="00014566"/>
    <w:rPr>
      <w:color w:val="000000" w:themeColor="text1"/>
      <w:lang w:val="fr-FR" w:eastAsia="fr-FR"/>
    </w:rPr>
    <w:tblPr>
      <w:tblStyleRowBandSize w:val="1"/>
      <w:tblStyleColBandSize w:val="1"/>
    </w:tblPr>
    <w:tcPr>
      <w:shd w:val="clear" w:color="auto" w:fill="EFEFEF" w:themeFill="accent3" w:themeFillTint="19"/>
    </w:tcPr>
    <w:tblStylePr w:type="firstRow">
      <w:rPr>
        <w:b/>
        <w:bCs/>
        <w:color w:val="0072BC" w:themeColor="background1"/>
      </w:rPr>
      <w:tblPr/>
      <w:tcPr>
        <w:tcBorders>
          <w:bottom w:val="single" w:sz="12" w:space="0" w:color="0072BC" w:themeColor="background1"/>
        </w:tcBorders>
        <w:shd w:val="clear" w:color="auto" w:fill="787878" w:themeFill="accent4" w:themeFillShade="CC"/>
      </w:tcPr>
    </w:tblStylePr>
    <w:tblStylePr w:type="lastRow">
      <w:rPr>
        <w:b/>
        <w:bCs/>
        <w:color w:val="787878" w:themeColor="accent4"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3" w:themeFillTint="3F"/>
      </w:tcPr>
    </w:tblStylePr>
    <w:tblStylePr w:type="band1Horz">
      <w:tblPr/>
      <w:tcPr>
        <w:shd w:val="clear" w:color="auto" w:fill="DFDFDF" w:themeFill="accent3" w:themeFillTint="33"/>
      </w:tcPr>
    </w:tblStylePr>
  </w:style>
  <w:style w:type="table" w:styleId="Kolorowalistaakcent4">
    <w:name w:val="Colorful List Accent 4"/>
    <w:basedOn w:val="Standardowy"/>
    <w:uiPriority w:val="99"/>
    <w:semiHidden/>
    <w:rsid w:val="00014566"/>
    <w:rPr>
      <w:color w:val="000000" w:themeColor="text1"/>
      <w:lang w:val="fr-FR" w:eastAsia="fr-FR"/>
    </w:rPr>
    <w:tblPr>
      <w:tblStyleRowBandSize w:val="1"/>
      <w:tblStyleColBandSize w:val="1"/>
    </w:tblPr>
    <w:tcPr>
      <w:shd w:val="clear" w:color="auto" w:fill="F4F4F4" w:themeFill="accent4" w:themeFillTint="19"/>
    </w:tcPr>
    <w:tblStylePr w:type="firstRow">
      <w:rPr>
        <w:b/>
        <w:bCs/>
        <w:color w:val="0072BC" w:themeColor="background1"/>
      </w:rPr>
      <w:tblPr/>
      <w:tcPr>
        <w:tcBorders>
          <w:bottom w:val="single" w:sz="12" w:space="0" w:color="0072BC" w:themeColor="background1"/>
        </w:tcBorders>
        <w:shd w:val="clear" w:color="auto" w:fill="4C4C4C" w:themeFill="accent3" w:themeFillShade="CC"/>
      </w:tcPr>
    </w:tblStylePr>
    <w:tblStylePr w:type="lastRow">
      <w:rPr>
        <w:b/>
        <w:bCs/>
        <w:color w:val="4C4C4C" w:themeColor="accent3"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hemeFill="accent4" w:themeFillTint="3F"/>
      </w:tcPr>
    </w:tblStylePr>
    <w:tblStylePr w:type="band1Horz">
      <w:tblPr/>
      <w:tcPr>
        <w:shd w:val="clear" w:color="auto" w:fill="EAEAEA" w:themeFill="accent4" w:themeFillTint="33"/>
      </w:tcPr>
    </w:tblStylePr>
  </w:style>
  <w:style w:type="table" w:styleId="Kolorowalistaakcent5">
    <w:name w:val="Colorful List Accent 5"/>
    <w:basedOn w:val="Standardowy"/>
    <w:uiPriority w:val="99"/>
    <w:semiHidden/>
    <w:rsid w:val="00014566"/>
    <w:rPr>
      <w:color w:val="000000" w:themeColor="text1"/>
      <w:lang w:val="fr-FR" w:eastAsia="fr-FR"/>
    </w:rPr>
    <w:tblPr>
      <w:tblStyleRowBandSize w:val="1"/>
      <w:tblStyleColBandSize w:val="1"/>
    </w:tblPr>
    <w:tcPr>
      <w:shd w:val="clear" w:color="auto" w:fill="EFEFEF" w:themeFill="accent5" w:themeFillTint="19"/>
    </w:tcPr>
    <w:tblStylePr w:type="firstRow">
      <w:rPr>
        <w:b/>
        <w:bCs/>
        <w:color w:val="0072BC" w:themeColor="background1"/>
      </w:rPr>
      <w:tblPr/>
      <w:tcPr>
        <w:tcBorders>
          <w:bottom w:val="single" w:sz="12" w:space="0" w:color="0072BC" w:themeColor="background1"/>
        </w:tcBorders>
        <w:shd w:val="clear" w:color="auto" w:fill="3D3D3D" w:themeFill="accent6" w:themeFillShade="CC"/>
      </w:tcPr>
    </w:tblStylePr>
    <w:tblStylePr w:type="lastRow">
      <w:rPr>
        <w:b/>
        <w:bCs/>
        <w:color w:val="3D3D3D" w:themeColor="accent6"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5" w:themeFillTint="3F"/>
      </w:tcPr>
    </w:tblStylePr>
    <w:tblStylePr w:type="band1Horz">
      <w:tblPr/>
      <w:tcPr>
        <w:shd w:val="clear" w:color="auto" w:fill="DFDFDF" w:themeFill="accent5" w:themeFillTint="33"/>
      </w:tcPr>
    </w:tblStylePr>
  </w:style>
  <w:style w:type="table" w:styleId="Kolorowalistaakcent6">
    <w:name w:val="Colorful List Accent 6"/>
    <w:basedOn w:val="Standardowy"/>
    <w:uiPriority w:val="99"/>
    <w:semiHidden/>
    <w:rsid w:val="00014566"/>
    <w:rPr>
      <w:color w:val="000000" w:themeColor="text1"/>
      <w:lang w:val="fr-FR" w:eastAsia="fr-FR"/>
    </w:rPr>
    <w:tblPr>
      <w:tblStyleRowBandSize w:val="1"/>
      <w:tblStyleColBandSize w:val="1"/>
    </w:tblPr>
    <w:tcPr>
      <w:shd w:val="clear" w:color="auto" w:fill="EDEDED" w:themeFill="accent6" w:themeFillTint="19"/>
    </w:tcPr>
    <w:tblStylePr w:type="firstRow">
      <w:rPr>
        <w:b/>
        <w:bCs/>
        <w:color w:val="0072BC" w:themeColor="background1"/>
      </w:rPr>
      <w:tblPr/>
      <w:tcPr>
        <w:tcBorders>
          <w:bottom w:val="single" w:sz="12" w:space="0" w:color="0072BC" w:themeColor="background1"/>
        </w:tcBorders>
        <w:shd w:val="clear" w:color="auto" w:fill="4C4C4C" w:themeFill="accent5" w:themeFillShade="CC"/>
      </w:tcPr>
    </w:tblStylePr>
    <w:tblStylePr w:type="lastRow">
      <w:rPr>
        <w:b/>
        <w:bCs/>
        <w:color w:val="4C4C4C" w:themeColor="accent5"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hemeFill="accent6" w:themeFillTint="3F"/>
      </w:tcPr>
    </w:tblStylePr>
    <w:tblStylePr w:type="band1Horz">
      <w:tblPr/>
      <w:tcPr>
        <w:shd w:val="clear" w:color="auto" w:fill="DBDBDB" w:themeFill="accent6" w:themeFillTint="33"/>
      </w:tcPr>
    </w:tblStylePr>
  </w:style>
  <w:style w:type="table" w:styleId="Kolorowecieniowanie">
    <w:name w:val="Colorful Shading"/>
    <w:basedOn w:val="Standardowy"/>
    <w:uiPriority w:val="99"/>
    <w:semiHidden/>
    <w:rsid w:val="00014566"/>
    <w:rPr>
      <w:color w:val="000000" w:themeColor="text1"/>
      <w:lang w:val="fr-FR" w:eastAsia="fr-FR"/>
    </w:rPr>
    <w:tblPr>
      <w:tblStyleRowBandSize w:val="1"/>
      <w:tblStyleColBandSize w:val="1"/>
      <w:tblBorders>
        <w:top w:val="single" w:sz="24" w:space="0" w:color="C00000" w:themeColor="accent2"/>
        <w:left w:val="single" w:sz="4" w:space="0" w:color="000000" w:themeColor="text1"/>
        <w:bottom w:val="single" w:sz="4" w:space="0" w:color="000000" w:themeColor="text1"/>
        <w:right w:val="single" w:sz="4" w:space="0" w:color="000000" w:themeColor="text1"/>
        <w:insideH w:val="single" w:sz="4" w:space="0" w:color="0072BC" w:themeColor="background1"/>
        <w:insideV w:val="single" w:sz="4" w:space="0" w:color="0072BC" w:themeColor="background1"/>
      </w:tblBorders>
    </w:tblPr>
    <w:tcPr>
      <w:shd w:val="clear" w:color="auto" w:fill="E6E6E6" w:themeFill="tex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0000" w:themeFill="text1" w:themeFillShade="99"/>
      </w:tcPr>
    </w:tblStylePr>
    <w:tblStylePr w:type="firstCol">
      <w:rPr>
        <w:color w:val="0072BC"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0072BC"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Kolorowecieniowanieakcent1">
    <w:name w:val="Colorful Shading Accent 1"/>
    <w:basedOn w:val="Standardowy"/>
    <w:uiPriority w:val="99"/>
    <w:semiHidden/>
    <w:rsid w:val="00014566"/>
    <w:rPr>
      <w:color w:val="000000" w:themeColor="text1"/>
      <w:lang w:val="fr-FR" w:eastAsia="fr-FR"/>
    </w:rPr>
    <w:tblPr>
      <w:tblStyleRowBandSize w:val="1"/>
      <w:tblStyleColBandSize w:val="1"/>
      <w:tblBorders>
        <w:top w:val="single" w:sz="24" w:space="0" w:color="C00000" w:themeColor="accent2"/>
        <w:left w:val="single" w:sz="4" w:space="0" w:color="0072BC" w:themeColor="accent1"/>
        <w:bottom w:val="single" w:sz="4" w:space="0" w:color="0072BC" w:themeColor="accent1"/>
        <w:right w:val="single" w:sz="4" w:space="0" w:color="0072BC" w:themeColor="accent1"/>
        <w:insideH w:val="single" w:sz="4" w:space="0" w:color="0072BC" w:themeColor="background1"/>
        <w:insideV w:val="single" w:sz="4" w:space="0" w:color="0072BC" w:themeColor="background1"/>
      </w:tblBorders>
    </w:tblPr>
    <w:tcPr>
      <w:shd w:val="clear" w:color="auto" w:fill="DFF2FF" w:themeFill="accen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4470" w:themeFill="accent1" w:themeFillShade="99"/>
      </w:tcPr>
    </w:tblStylePr>
    <w:tblStylePr w:type="firstCol">
      <w:rPr>
        <w:color w:val="0072BC" w:themeColor="background1"/>
      </w:rPr>
      <w:tblPr/>
      <w:tcPr>
        <w:tcBorders>
          <w:top w:val="nil"/>
          <w:left w:val="nil"/>
          <w:bottom w:val="nil"/>
          <w:right w:val="nil"/>
          <w:insideH w:val="single" w:sz="4" w:space="0" w:color="004470" w:themeColor="accent1" w:themeShade="99"/>
          <w:insideV w:val="nil"/>
        </w:tcBorders>
        <w:shd w:val="clear" w:color="auto" w:fill="004470" w:themeFill="accent1" w:themeFillShade="99"/>
      </w:tcPr>
    </w:tblStylePr>
    <w:tblStylePr w:type="lastCol">
      <w:rPr>
        <w:color w:val="0072BC" w:themeColor="background1"/>
      </w:rPr>
      <w:tblPr/>
      <w:tcPr>
        <w:tcBorders>
          <w:top w:val="nil"/>
          <w:left w:val="nil"/>
          <w:bottom w:val="nil"/>
          <w:right w:val="nil"/>
          <w:insideH w:val="nil"/>
          <w:insideV w:val="nil"/>
        </w:tcBorders>
        <w:shd w:val="clear" w:color="auto" w:fill="004470" w:themeFill="accent1" w:themeFillShade="99"/>
      </w:tcPr>
    </w:tblStylePr>
    <w:tblStylePr w:type="band1Vert">
      <w:tblPr/>
      <w:tcPr>
        <w:shd w:val="clear" w:color="auto" w:fill="7ECBFF" w:themeFill="accent1" w:themeFillTint="66"/>
      </w:tcPr>
    </w:tblStylePr>
    <w:tblStylePr w:type="band1Horz">
      <w:tblPr/>
      <w:tcPr>
        <w:shd w:val="clear" w:color="auto" w:fill="5EBFFF" w:themeFill="accent1" w:themeFillTint="7F"/>
      </w:tcPr>
    </w:tblStylePr>
    <w:tblStylePr w:type="neCell">
      <w:rPr>
        <w:color w:val="000000" w:themeColor="text1"/>
      </w:rPr>
    </w:tblStylePr>
    <w:tblStylePr w:type="nwCell">
      <w:rPr>
        <w:color w:val="000000" w:themeColor="text1"/>
      </w:rPr>
    </w:tblStylePr>
  </w:style>
  <w:style w:type="table" w:styleId="Kolorowecieniowanieakcent2">
    <w:name w:val="Colorful Shading Accent 2"/>
    <w:basedOn w:val="Standardowy"/>
    <w:uiPriority w:val="99"/>
    <w:semiHidden/>
    <w:rsid w:val="00014566"/>
    <w:rPr>
      <w:color w:val="000000" w:themeColor="text1"/>
      <w:lang w:val="fr-FR" w:eastAsia="fr-FR"/>
    </w:rPr>
    <w:tblPr>
      <w:tblStyleRowBandSize w:val="1"/>
      <w:tblStyleColBandSize w:val="1"/>
      <w:tblBorders>
        <w:top w:val="single" w:sz="24" w:space="0" w:color="C00000" w:themeColor="accent2"/>
        <w:left w:val="single" w:sz="4" w:space="0" w:color="C00000" w:themeColor="accent2"/>
        <w:bottom w:val="single" w:sz="4" w:space="0" w:color="C00000" w:themeColor="accent2"/>
        <w:right w:val="single" w:sz="4" w:space="0" w:color="C00000" w:themeColor="accent2"/>
        <w:insideH w:val="single" w:sz="4" w:space="0" w:color="0072BC" w:themeColor="background1"/>
        <w:insideV w:val="single" w:sz="4" w:space="0" w:color="0072BC" w:themeColor="background1"/>
      </w:tblBorders>
    </w:tblPr>
    <w:tcPr>
      <w:shd w:val="clear" w:color="auto" w:fill="FFDFDF" w:themeFill="accent2"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730000" w:themeFill="accent2" w:themeFillShade="99"/>
      </w:tcPr>
    </w:tblStylePr>
    <w:tblStylePr w:type="firstCol">
      <w:rPr>
        <w:color w:val="0072BC" w:themeColor="background1"/>
      </w:rPr>
      <w:tblPr/>
      <w:tcPr>
        <w:tcBorders>
          <w:top w:val="nil"/>
          <w:left w:val="nil"/>
          <w:bottom w:val="nil"/>
          <w:right w:val="nil"/>
          <w:insideH w:val="single" w:sz="4" w:space="0" w:color="730000" w:themeColor="accent2" w:themeShade="99"/>
          <w:insideV w:val="nil"/>
        </w:tcBorders>
        <w:shd w:val="clear" w:color="auto" w:fill="730000" w:themeFill="accent2" w:themeFillShade="99"/>
      </w:tcPr>
    </w:tblStylePr>
    <w:tblStylePr w:type="lastCol">
      <w:rPr>
        <w:color w:val="0072BC" w:themeColor="background1"/>
      </w:rPr>
      <w:tblPr/>
      <w:tcPr>
        <w:tcBorders>
          <w:top w:val="nil"/>
          <w:left w:val="nil"/>
          <w:bottom w:val="nil"/>
          <w:right w:val="nil"/>
          <w:insideH w:val="nil"/>
          <w:insideV w:val="nil"/>
        </w:tcBorders>
        <w:shd w:val="clear" w:color="auto" w:fill="730000" w:themeFill="accent2" w:themeFillShade="99"/>
      </w:tcPr>
    </w:tblStylePr>
    <w:tblStylePr w:type="band1Vert">
      <w:tblPr/>
      <w:tcPr>
        <w:shd w:val="clear" w:color="auto" w:fill="FF7F7F" w:themeFill="accent2" w:themeFillTint="66"/>
      </w:tcPr>
    </w:tblStylePr>
    <w:tblStylePr w:type="band1Horz">
      <w:tblPr/>
      <w:tcPr>
        <w:shd w:val="clear" w:color="auto" w:fill="FF6060" w:themeFill="accent2" w:themeFillTint="7F"/>
      </w:tcPr>
    </w:tblStylePr>
    <w:tblStylePr w:type="neCell">
      <w:rPr>
        <w:color w:val="000000" w:themeColor="text1"/>
      </w:rPr>
    </w:tblStylePr>
    <w:tblStylePr w:type="nwCell">
      <w:rPr>
        <w:color w:val="000000" w:themeColor="text1"/>
      </w:rPr>
    </w:tblStylePr>
  </w:style>
  <w:style w:type="table" w:styleId="Kolorowecieniowanieakcent3">
    <w:name w:val="Colorful Shading Accent 3"/>
    <w:basedOn w:val="Standardowy"/>
    <w:uiPriority w:val="99"/>
    <w:semiHidden/>
    <w:rsid w:val="00014566"/>
    <w:rPr>
      <w:color w:val="000000" w:themeColor="text1"/>
      <w:lang w:val="fr-FR" w:eastAsia="fr-FR"/>
    </w:rPr>
    <w:tblPr>
      <w:tblStyleRowBandSize w:val="1"/>
      <w:tblStyleColBandSize w:val="1"/>
      <w:tblBorders>
        <w:top w:val="single" w:sz="24" w:space="0" w:color="969696" w:themeColor="accent4"/>
        <w:left w:val="single" w:sz="4" w:space="0" w:color="5F5F5F" w:themeColor="accent3"/>
        <w:bottom w:val="single" w:sz="4" w:space="0" w:color="5F5F5F" w:themeColor="accent3"/>
        <w:right w:val="single" w:sz="4" w:space="0" w:color="5F5F5F" w:themeColor="accent3"/>
        <w:insideH w:val="single" w:sz="4" w:space="0" w:color="0072BC" w:themeColor="background1"/>
        <w:insideV w:val="single" w:sz="4" w:space="0" w:color="0072BC" w:themeColor="background1"/>
      </w:tblBorders>
    </w:tblPr>
    <w:tcPr>
      <w:shd w:val="clear" w:color="auto" w:fill="EFEFEF" w:themeFill="accent3" w:themeFillTint="19"/>
    </w:tcPr>
    <w:tblStylePr w:type="firstRow">
      <w:rPr>
        <w:b/>
        <w:bCs/>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3" w:themeFillShade="99"/>
      </w:tcPr>
    </w:tblStylePr>
    <w:tblStylePr w:type="firstCol">
      <w:rPr>
        <w:color w:val="0072BC" w:themeColor="background1"/>
      </w:rPr>
      <w:tblPr/>
      <w:tcPr>
        <w:tcBorders>
          <w:top w:val="nil"/>
          <w:left w:val="nil"/>
          <w:bottom w:val="nil"/>
          <w:right w:val="nil"/>
          <w:insideH w:val="single" w:sz="4" w:space="0" w:color="393939" w:themeColor="accent3" w:themeShade="99"/>
          <w:insideV w:val="nil"/>
        </w:tcBorders>
        <w:shd w:val="clear" w:color="auto" w:fill="393939" w:themeFill="accent3"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3" w:themeFillShade="99"/>
      </w:tcPr>
    </w:tblStylePr>
    <w:tblStylePr w:type="band1Vert">
      <w:tblPr/>
      <w:tcPr>
        <w:shd w:val="clear" w:color="auto" w:fill="BFBFBF" w:themeFill="accent3" w:themeFillTint="66"/>
      </w:tcPr>
    </w:tblStylePr>
    <w:tblStylePr w:type="band1Horz">
      <w:tblPr/>
      <w:tcPr>
        <w:shd w:val="clear" w:color="auto" w:fill="AFAFAF" w:themeFill="accent3" w:themeFillTint="7F"/>
      </w:tcPr>
    </w:tblStylePr>
  </w:style>
  <w:style w:type="table" w:styleId="Kolorowecieniowanieakcent4">
    <w:name w:val="Colorful Shading Accent 4"/>
    <w:basedOn w:val="Standardowy"/>
    <w:uiPriority w:val="99"/>
    <w:semiHidden/>
    <w:rsid w:val="00014566"/>
    <w:rPr>
      <w:color w:val="000000" w:themeColor="text1"/>
      <w:lang w:val="fr-FR" w:eastAsia="fr-FR"/>
    </w:rPr>
    <w:tblPr>
      <w:tblStyleRowBandSize w:val="1"/>
      <w:tblStyleColBandSize w:val="1"/>
      <w:tblBorders>
        <w:top w:val="single" w:sz="24" w:space="0" w:color="5F5F5F" w:themeColor="accent3"/>
        <w:left w:val="single" w:sz="4" w:space="0" w:color="969696" w:themeColor="accent4"/>
        <w:bottom w:val="single" w:sz="4" w:space="0" w:color="969696" w:themeColor="accent4"/>
        <w:right w:val="single" w:sz="4" w:space="0" w:color="969696" w:themeColor="accent4"/>
        <w:insideH w:val="single" w:sz="4" w:space="0" w:color="0072BC" w:themeColor="background1"/>
        <w:insideV w:val="single" w:sz="4" w:space="0" w:color="0072BC" w:themeColor="background1"/>
      </w:tblBorders>
    </w:tblPr>
    <w:tcPr>
      <w:shd w:val="clear" w:color="auto" w:fill="F4F4F4" w:themeFill="accent4" w:themeFillTint="19"/>
    </w:tcPr>
    <w:tblStylePr w:type="firstRow">
      <w:rPr>
        <w:b/>
        <w:bCs/>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5A5A5A" w:themeFill="accent4" w:themeFillShade="99"/>
      </w:tcPr>
    </w:tblStylePr>
    <w:tblStylePr w:type="firstCol">
      <w:rPr>
        <w:color w:val="0072BC" w:themeColor="background1"/>
      </w:rPr>
      <w:tblPr/>
      <w:tcPr>
        <w:tcBorders>
          <w:top w:val="nil"/>
          <w:left w:val="nil"/>
          <w:bottom w:val="nil"/>
          <w:right w:val="nil"/>
          <w:insideH w:val="single" w:sz="4" w:space="0" w:color="5A5A5A" w:themeColor="accent4" w:themeShade="99"/>
          <w:insideV w:val="nil"/>
        </w:tcBorders>
        <w:shd w:val="clear" w:color="auto" w:fill="5A5A5A" w:themeFill="accent4" w:themeFillShade="99"/>
      </w:tcPr>
    </w:tblStylePr>
    <w:tblStylePr w:type="lastCol">
      <w:rPr>
        <w:color w:val="0072BC" w:themeColor="background1"/>
      </w:rPr>
      <w:tblPr/>
      <w:tcPr>
        <w:tcBorders>
          <w:top w:val="nil"/>
          <w:left w:val="nil"/>
          <w:bottom w:val="nil"/>
          <w:right w:val="nil"/>
          <w:insideH w:val="nil"/>
          <w:insideV w:val="nil"/>
        </w:tcBorders>
        <w:shd w:val="clear" w:color="auto" w:fill="5A5A5A" w:themeFill="accent4" w:themeFillShade="99"/>
      </w:tcPr>
    </w:tblStylePr>
    <w:tblStylePr w:type="band1Vert">
      <w:tblPr/>
      <w:tcPr>
        <w:shd w:val="clear" w:color="auto" w:fill="D5D5D5" w:themeFill="accent4" w:themeFillTint="66"/>
      </w:tcPr>
    </w:tblStylePr>
    <w:tblStylePr w:type="band1Horz">
      <w:tblPr/>
      <w:tcPr>
        <w:shd w:val="clear" w:color="auto" w:fill="CACACA" w:themeFill="accent4" w:themeFillTint="7F"/>
      </w:tcPr>
    </w:tblStylePr>
    <w:tblStylePr w:type="neCell">
      <w:rPr>
        <w:color w:val="000000" w:themeColor="text1"/>
      </w:rPr>
    </w:tblStylePr>
    <w:tblStylePr w:type="nwCell">
      <w:rPr>
        <w:color w:val="000000" w:themeColor="text1"/>
      </w:rPr>
    </w:tblStylePr>
  </w:style>
  <w:style w:type="table" w:styleId="Kolorowecieniowanieakcent5">
    <w:name w:val="Colorful Shading Accent 5"/>
    <w:basedOn w:val="Standardowy"/>
    <w:uiPriority w:val="99"/>
    <w:semiHidden/>
    <w:rsid w:val="00014566"/>
    <w:rPr>
      <w:color w:val="000000" w:themeColor="text1"/>
      <w:lang w:val="fr-FR" w:eastAsia="fr-FR"/>
    </w:rPr>
    <w:tblPr>
      <w:tblStyleRowBandSize w:val="1"/>
      <w:tblStyleColBandSize w:val="1"/>
      <w:tblBorders>
        <w:top w:val="single" w:sz="24" w:space="0" w:color="4D4D4D" w:themeColor="accent6"/>
        <w:left w:val="single" w:sz="4" w:space="0" w:color="5F5F5F" w:themeColor="accent5"/>
        <w:bottom w:val="single" w:sz="4" w:space="0" w:color="5F5F5F" w:themeColor="accent5"/>
        <w:right w:val="single" w:sz="4" w:space="0" w:color="5F5F5F" w:themeColor="accent5"/>
        <w:insideH w:val="single" w:sz="4" w:space="0" w:color="0072BC" w:themeColor="background1"/>
        <w:insideV w:val="single" w:sz="4" w:space="0" w:color="0072BC" w:themeColor="background1"/>
      </w:tblBorders>
    </w:tblPr>
    <w:tcPr>
      <w:shd w:val="clear" w:color="auto" w:fill="EFEFEF" w:themeFill="accent5" w:themeFillTint="19"/>
    </w:tcPr>
    <w:tblStylePr w:type="firstRow">
      <w:rPr>
        <w:b/>
        <w:bCs/>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5" w:themeFillShade="99"/>
      </w:tcPr>
    </w:tblStylePr>
    <w:tblStylePr w:type="firstCol">
      <w:rPr>
        <w:color w:val="0072BC" w:themeColor="background1"/>
      </w:rPr>
      <w:tblPr/>
      <w:tcPr>
        <w:tcBorders>
          <w:top w:val="nil"/>
          <w:left w:val="nil"/>
          <w:bottom w:val="nil"/>
          <w:right w:val="nil"/>
          <w:insideH w:val="single" w:sz="4" w:space="0" w:color="393939" w:themeColor="accent5" w:themeShade="99"/>
          <w:insideV w:val="nil"/>
        </w:tcBorders>
        <w:shd w:val="clear" w:color="auto" w:fill="393939" w:themeFill="accent5"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5" w:themeFillShade="99"/>
      </w:tcPr>
    </w:tblStylePr>
    <w:tblStylePr w:type="band1Vert">
      <w:tblPr/>
      <w:tcPr>
        <w:shd w:val="clear" w:color="auto" w:fill="BFBFBF" w:themeFill="accent5" w:themeFillTint="66"/>
      </w:tcPr>
    </w:tblStylePr>
    <w:tblStylePr w:type="band1Horz">
      <w:tblPr/>
      <w:tcPr>
        <w:shd w:val="clear" w:color="auto" w:fill="AFAFAF" w:themeFill="accent5" w:themeFillTint="7F"/>
      </w:tcPr>
    </w:tblStylePr>
    <w:tblStylePr w:type="neCell">
      <w:rPr>
        <w:color w:val="000000" w:themeColor="text1"/>
      </w:rPr>
    </w:tblStylePr>
    <w:tblStylePr w:type="nwCell">
      <w:rPr>
        <w:color w:val="000000" w:themeColor="text1"/>
      </w:rPr>
    </w:tblStylePr>
  </w:style>
  <w:style w:type="table" w:styleId="Kolorowecieniowanieakcent6">
    <w:name w:val="Colorful Shading Accent 6"/>
    <w:basedOn w:val="Standardowy"/>
    <w:uiPriority w:val="99"/>
    <w:semiHidden/>
    <w:rsid w:val="00014566"/>
    <w:rPr>
      <w:color w:val="000000" w:themeColor="text1"/>
      <w:lang w:val="fr-FR" w:eastAsia="fr-FR"/>
    </w:rPr>
    <w:tblPr>
      <w:tblStyleRowBandSize w:val="1"/>
      <w:tblStyleColBandSize w:val="1"/>
      <w:tblBorders>
        <w:top w:val="single" w:sz="24" w:space="0" w:color="5F5F5F" w:themeColor="accent5"/>
        <w:left w:val="single" w:sz="4" w:space="0" w:color="4D4D4D" w:themeColor="accent6"/>
        <w:bottom w:val="single" w:sz="4" w:space="0" w:color="4D4D4D" w:themeColor="accent6"/>
        <w:right w:val="single" w:sz="4" w:space="0" w:color="4D4D4D" w:themeColor="accent6"/>
        <w:insideH w:val="single" w:sz="4" w:space="0" w:color="0072BC" w:themeColor="background1"/>
        <w:insideV w:val="single" w:sz="4" w:space="0" w:color="0072BC" w:themeColor="background1"/>
      </w:tblBorders>
    </w:tblPr>
    <w:tcPr>
      <w:shd w:val="clear" w:color="auto" w:fill="EDEDED" w:themeFill="accent6" w:themeFillTint="19"/>
    </w:tcPr>
    <w:tblStylePr w:type="firstRow">
      <w:rPr>
        <w:b/>
        <w:bCs/>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2E2E2E" w:themeFill="accent6" w:themeFillShade="99"/>
      </w:tcPr>
    </w:tblStylePr>
    <w:tblStylePr w:type="firstCol">
      <w:rPr>
        <w:color w:val="0072BC" w:themeColor="background1"/>
      </w:rPr>
      <w:tblPr/>
      <w:tcPr>
        <w:tcBorders>
          <w:top w:val="nil"/>
          <w:left w:val="nil"/>
          <w:bottom w:val="nil"/>
          <w:right w:val="nil"/>
          <w:insideH w:val="single" w:sz="4" w:space="0" w:color="2E2E2E" w:themeColor="accent6" w:themeShade="99"/>
          <w:insideV w:val="nil"/>
        </w:tcBorders>
        <w:shd w:val="clear" w:color="auto" w:fill="2E2E2E" w:themeFill="accent6" w:themeFillShade="99"/>
      </w:tcPr>
    </w:tblStylePr>
    <w:tblStylePr w:type="lastCol">
      <w:rPr>
        <w:color w:val="0072BC" w:themeColor="background1"/>
      </w:rPr>
      <w:tblPr/>
      <w:tcPr>
        <w:tcBorders>
          <w:top w:val="nil"/>
          <w:left w:val="nil"/>
          <w:bottom w:val="nil"/>
          <w:right w:val="nil"/>
          <w:insideH w:val="nil"/>
          <w:insideV w:val="nil"/>
        </w:tcBorders>
        <w:shd w:val="clear" w:color="auto" w:fill="2E2E2E" w:themeFill="accent6" w:themeFillShade="99"/>
      </w:tcPr>
    </w:tblStylePr>
    <w:tblStylePr w:type="band1Vert">
      <w:tblPr/>
      <w:tcPr>
        <w:shd w:val="clear" w:color="auto" w:fill="B7B7B7" w:themeFill="accent6" w:themeFillTint="66"/>
      </w:tcPr>
    </w:tblStylePr>
    <w:tblStylePr w:type="band1Horz">
      <w:tblPr/>
      <w:tcPr>
        <w:shd w:val="clear" w:color="auto" w:fill="A6A6A6" w:themeFill="accent6" w:themeFillTint="7F"/>
      </w:tcPr>
    </w:tblStylePr>
    <w:tblStylePr w:type="neCell">
      <w:rPr>
        <w:color w:val="000000" w:themeColor="text1"/>
      </w:rPr>
    </w:tblStylePr>
    <w:tblStylePr w:type="nwCell">
      <w:rPr>
        <w:color w:val="000000" w:themeColor="text1"/>
      </w:rPr>
    </w:tblStylePr>
  </w:style>
  <w:style w:type="table" w:styleId="Ciemnalista">
    <w:name w:val="Dark List"/>
    <w:basedOn w:val="Standardowy"/>
    <w:uiPriority w:val="99"/>
    <w:semiHidden/>
    <w:rsid w:val="00014566"/>
    <w:rPr>
      <w:color w:val="0072BC" w:themeColor="background1"/>
      <w:lang w:val="fr-FR" w:eastAsia="fr-FR"/>
    </w:rPr>
    <w:tblPr>
      <w:tblStyleRowBandSize w:val="1"/>
      <w:tblStyleColBandSize w:val="1"/>
    </w:tblPr>
    <w:tcPr>
      <w:shd w:val="clear" w:color="auto" w:fill="000000" w:themeFill="tex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0072BC" w:themeColor="background1"/>
          <w:insideH w:val="nil"/>
          <w:insideV w:val="nil"/>
        </w:tcBorders>
        <w:shd w:val="clear" w:color="auto" w:fill="000000" w:themeFill="text1" w:themeFillShade="BF"/>
      </w:tcPr>
    </w:tblStylePr>
    <w:tblStylePr w:type="lastCol">
      <w:tblPr/>
      <w:tcPr>
        <w:tcBorders>
          <w:top w:val="nil"/>
          <w:left w:val="single" w:sz="18" w:space="0" w:color="0072BC"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Ciemnalista2akcent1">
    <w:name w:val="Dark List Accent 1"/>
    <w:basedOn w:val="Standardowy"/>
    <w:uiPriority w:val="99"/>
    <w:semiHidden/>
    <w:rsid w:val="00014566"/>
    <w:rPr>
      <w:color w:val="0072BC" w:themeColor="background1"/>
      <w:lang w:val="fr-FR" w:eastAsia="fr-FR"/>
    </w:rPr>
    <w:tblPr>
      <w:tblStyleRowBandSize w:val="1"/>
      <w:tblStyleColBandSize w:val="1"/>
    </w:tblPr>
    <w:tcPr>
      <w:shd w:val="clear" w:color="auto" w:fill="0072BC" w:themeFill="accen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385D" w:themeFill="accent1" w:themeFillShade="7F"/>
      </w:tcPr>
    </w:tblStylePr>
    <w:tblStylePr w:type="firstCol">
      <w:tblPr/>
      <w:tcPr>
        <w:tcBorders>
          <w:top w:val="nil"/>
          <w:left w:val="nil"/>
          <w:bottom w:val="nil"/>
          <w:right w:val="single" w:sz="18" w:space="0" w:color="0072BC" w:themeColor="background1"/>
          <w:insideH w:val="nil"/>
          <w:insideV w:val="nil"/>
        </w:tcBorders>
        <w:shd w:val="clear" w:color="auto" w:fill="00548C" w:themeFill="accent1" w:themeFillShade="BF"/>
      </w:tcPr>
    </w:tblStylePr>
    <w:tblStylePr w:type="lastCol">
      <w:tblPr/>
      <w:tcPr>
        <w:tcBorders>
          <w:top w:val="nil"/>
          <w:left w:val="single" w:sz="18" w:space="0" w:color="0072BC" w:themeColor="background1"/>
          <w:bottom w:val="nil"/>
          <w:right w:val="nil"/>
          <w:insideH w:val="nil"/>
          <w:insideV w:val="nil"/>
        </w:tcBorders>
        <w:shd w:val="clear" w:color="auto" w:fill="00548C" w:themeFill="accent1" w:themeFillShade="BF"/>
      </w:tcPr>
    </w:tblStylePr>
    <w:tblStylePr w:type="band1Vert">
      <w:tblPr/>
      <w:tcPr>
        <w:tcBorders>
          <w:top w:val="nil"/>
          <w:left w:val="nil"/>
          <w:bottom w:val="nil"/>
          <w:right w:val="nil"/>
          <w:insideH w:val="nil"/>
          <w:insideV w:val="nil"/>
        </w:tcBorders>
        <w:shd w:val="clear" w:color="auto" w:fill="00548C" w:themeFill="accent1" w:themeFillShade="BF"/>
      </w:tcPr>
    </w:tblStylePr>
    <w:tblStylePr w:type="band1Horz">
      <w:tblPr/>
      <w:tcPr>
        <w:tcBorders>
          <w:top w:val="nil"/>
          <w:left w:val="nil"/>
          <w:bottom w:val="nil"/>
          <w:right w:val="nil"/>
          <w:insideH w:val="nil"/>
          <w:insideV w:val="nil"/>
        </w:tcBorders>
        <w:shd w:val="clear" w:color="auto" w:fill="00548C" w:themeFill="accent1" w:themeFillShade="BF"/>
      </w:tcPr>
    </w:tblStylePr>
  </w:style>
  <w:style w:type="table" w:styleId="Ciemnalistaakcent2">
    <w:name w:val="Dark List Accent 2"/>
    <w:basedOn w:val="Standardowy"/>
    <w:uiPriority w:val="99"/>
    <w:semiHidden/>
    <w:rsid w:val="00014566"/>
    <w:rPr>
      <w:color w:val="0072BC" w:themeColor="background1"/>
      <w:lang w:val="fr-FR" w:eastAsia="fr-FR"/>
    </w:rPr>
    <w:tblPr>
      <w:tblStyleRowBandSize w:val="1"/>
      <w:tblStyleColBandSize w:val="1"/>
    </w:tblPr>
    <w:tcPr>
      <w:shd w:val="clear" w:color="auto" w:fill="C00000" w:themeFill="accent2"/>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5F0000" w:themeFill="accent2" w:themeFillShade="7F"/>
      </w:tcPr>
    </w:tblStylePr>
    <w:tblStylePr w:type="firstCol">
      <w:tblPr/>
      <w:tcPr>
        <w:tcBorders>
          <w:top w:val="nil"/>
          <w:left w:val="nil"/>
          <w:bottom w:val="nil"/>
          <w:right w:val="single" w:sz="18" w:space="0" w:color="0072BC" w:themeColor="background1"/>
          <w:insideH w:val="nil"/>
          <w:insideV w:val="nil"/>
        </w:tcBorders>
        <w:shd w:val="clear" w:color="auto" w:fill="8F0000" w:themeFill="accent2" w:themeFillShade="BF"/>
      </w:tcPr>
    </w:tblStylePr>
    <w:tblStylePr w:type="lastCol">
      <w:tblPr/>
      <w:tcPr>
        <w:tcBorders>
          <w:top w:val="nil"/>
          <w:left w:val="single" w:sz="18" w:space="0" w:color="0072BC" w:themeColor="background1"/>
          <w:bottom w:val="nil"/>
          <w:right w:val="nil"/>
          <w:insideH w:val="nil"/>
          <w:insideV w:val="nil"/>
        </w:tcBorders>
        <w:shd w:val="clear" w:color="auto" w:fill="8F0000" w:themeFill="accent2" w:themeFillShade="BF"/>
      </w:tcPr>
    </w:tblStylePr>
    <w:tblStylePr w:type="band1Vert">
      <w:tblPr/>
      <w:tcPr>
        <w:tcBorders>
          <w:top w:val="nil"/>
          <w:left w:val="nil"/>
          <w:bottom w:val="nil"/>
          <w:right w:val="nil"/>
          <w:insideH w:val="nil"/>
          <w:insideV w:val="nil"/>
        </w:tcBorders>
        <w:shd w:val="clear" w:color="auto" w:fill="8F0000" w:themeFill="accent2" w:themeFillShade="BF"/>
      </w:tcPr>
    </w:tblStylePr>
    <w:tblStylePr w:type="band1Horz">
      <w:tblPr/>
      <w:tcPr>
        <w:tcBorders>
          <w:top w:val="nil"/>
          <w:left w:val="nil"/>
          <w:bottom w:val="nil"/>
          <w:right w:val="nil"/>
          <w:insideH w:val="nil"/>
          <w:insideV w:val="nil"/>
        </w:tcBorders>
        <w:shd w:val="clear" w:color="auto" w:fill="8F0000" w:themeFill="accent2" w:themeFillShade="BF"/>
      </w:tcPr>
    </w:tblStylePr>
  </w:style>
  <w:style w:type="table" w:styleId="Ciemnalistaakcent3">
    <w:name w:val="Dark List Accent 3"/>
    <w:basedOn w:val="Standardowy"/>
    <w:uiPriority w:val="99"/>
    <w:semiHidden/>
    <w:rsid w:val="00014566"/>
    <w:rPr>
      <w:color w:val="0072BC" w:themeColor="background1"/>
      <w:lang w:val="fr-FR" w:eastAsia="fr-FR"/>
    </w:rPr>
    <w:tblPr>
      <w:tblStyleRowBandSize w:val="1"/>
      <w:tblStyleColBandSize w:val="1"/>
    </w:tblPr>
    <w:tcPr>
      <w:shd w:val="clear" w:color="auto" w:fill="5F5F5F" w:themeFill="accent3"/>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3"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3"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3" w:themeFillShade="BF"/>
      </w:tcPr>
    </w:tblStylePr>
    <w:tblStylePr w:type="band1Vert">
      <w:tblPr/>
      <w:tcPr>
        <w:tcBorders>
          <w:top w:val="nil"/>
          <w:left w:val="nil"/>
          <w:bottom w:val="nil"/>
          <w:right w:val="nil"/>
          <w:insideH w:val="nil"/>
          <w:insideV w:val="nil"/>
        </w:tcBorders>
        <w:shd w:val="clear" w:color="auto" w:fill="474747" w:themeFill="accent3" w:themeFillShade="BF"/>
      </w:tcPr>
    </w:tblStylePr>
    <w:tblStylePr w:type="band1Horz">
      <w:tblPr/>
      <w:tcPr>
        <w:tcBorders>
          <w:top w:val="nil"/>
          <w:left w:val="nil"/>
          <w:bottom w:val="nil"/>
          <w:right w:val="nil"/>
          <w:insideH w:val="nil"/>
          <w:insideV w:val="nil"/>
        </w:tcBorders>
        <w:shd w:val="clear" w:color="auto" w:fill="474747" w:themeFill="accent3" w:themeFillShade="BF"/>
      </w:tcPr>
    </w:tblStylePr>
  </w:style>
  <w:style w:type="table" w:styleId="Ciemnalistaakcent4">
    <w:name w:val="Dark List Accent 4"/>
    <w:basedOn w:val="Standardowy"/>
    <w:uiPriority w:val="99"/>
    <w:semiHidden/>
    <w:rsid w:val="00014566"/>
    <w:rPr>
      <w:color w:val="0072BC" w:themeColor="background1"/>
      <w:lang w:val="fr-FR" w:eastAsia="fr-FR"/>
    </w:rPr>
    <w:tblPr>
      <w:tblStyleRowBandSize w:val="1"/>
      <w:tblStyleColBandSize w:val="1"/>
    </w:tblPr>
    <w:tcPr>
      <w:shd w:val="clear" w:color="auto" w:fill="969696" w:themeFill="accent4"/>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4A4A4A" w:themeFill="accent4" w:themeFillShade="7F"/>
      </w:tcPr>
    </w:tblStylePr>
    <w:tblStylePr w:type="firstCol">
      <w:tblPr/>
      <w:tcPr>
        <w:tcBorders>
          <w:top w:val="nil"/>
          <w:left w:val="nil"/>
          <w:bottom w:val="nil"/>
          <w:right w:val="single" w:sz="18" w:space="0" w:color="0072BC" w:themeColor="background1"/>
          <w:insideH w:val="nil"/>
          <w:insideV w:val="nil"/>
        </w:tcBorders>
        <w:shd w:val="clear" w:color="auto" w:fill="707070" w:themeFill="accent4" w:themeFillShade="BF"/>
      </w:tcPr>
    </w:tblStylePr>
    <w:tblStylePr w:type="lastCol">
      <w:tblPr/>
      <w:tcPr>
        <w:tcBorders>
          <w:top w:val="nil"/>
          <w:left w:val="single" w:sz="18" w:space="0" w:color="0072BC" w:themeColor="background1"/>
          <w:bottom w:val="nil"/>
          <w:right w:val="nil"/>
          <w:insideH w:val="nil"/>
          <w:insideV w:val="nil"/>
        </w:tcBorders>
        <w:shd w:val="clear" w:color="auto" w:fill="707070" w:themeFill="accent4" w:themeFillShade="BF"/>
      </w:tcPr>
    </w:tblStylePr>
    <w:tblStylePr w:type="band1Vert">
      <w:tblPr/>
      <w:tcPr>
        <w:tcBorders>
          <w:top w:val="nil"/>
          <w:left w:val="nil"/>
          <w:bottom w:val="nil"/>
          <w:right w:val="nil"/>
          <w:insideH w:val="nil"/>
          <w:insideV w:val="nil"/>
        </w:tcBorders>
        <w:shd w:val="clear" w:color="auto" w:fill="707070" w:themeFill="accent4" w:themeFillShade="BF"/>
      </w:tcPr>
    </w:tblStylePr>
    <w:tblStylePr w:type="band1Horz">
      <w:tblPr/>
      <w:tcPr>
        <w:tcBorders>
          <w:top w:val="nil"/>
          <w:left w:val="nil"/>
          <w:bottom w:val="nil"/>
          <w:right w:val="nil"/>
          <w:insideH w:val="nil"/>
          <w:insideV w:val="nil"/>
        </w:tcBorders>
        <w:shd w:val="clear" w:color="auto" w:fill="707070" w:themeFill="accent4" w:themeFillShade="BF"/>
      </w:tcPr>
    </w:tblStylePr>
  </w:style>
  <w:style w:type="table" w:styleId="Ciemnalistaakcent5">
    <w:name w:val="Dark List Accent 5"/>
    <w:basedOn w:val="Standardowy"/>
    <w:uiPriority w:val="99"/>
    <w:semiHidden/>
    <w:rsid w:val="00014566"/>
    <w:rPr>
      <w:color w:val="0072BC" w:themeColor="background1"/>
      <w:lang w:val="fr-FR" w:eastAsia="fr-FR"/>
    </w:rPr>
    <w:tblPr>
      <w:tblStyleRowBandSize w:val="1"/>
      <w:tblStyleColBandSize w:val="1"/>
    </w:tblPr>
    <w:tcPr>
      <w:shd w:val="clear" w:color="auto" w:fill="5F5F5F" w:themeFill="accent5"/>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5"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5"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5" w:themeFillShade="BF"/>
      </w:tcPr>
    </w:tblStylePr>
    <w:tblStylePr w:type="band1Vert">
      <w:tblPr/>
      <w:tcPr>
        <w:tcBorders>
          <w:top w:val="nil"/>
          <w:left w:val="nil"/>
          <w:bottom w:val="nil"/>
          <w:right w:val="nil"/>
          <w:insideH w:val="nil"/>
          <w:insideV w:val="nil"/>
        </w:tcBorders>
        <w:shd w:val="clear" w:color="auto" w:fill="474747" w:themeFill="accent5" w:themeFillShade="BF"/>
      </w:tcPr>
    </w:tblStylePr>
    <w:tblStylePr w:type="band1Horz">
      <w:tblPr/>
      <w:tcPr>
        <w:tcBorders>
          <w:top w:val="nil"/>
          <w:left w:val="nil"/>
          <w:bottom w:val="nil"/>
          <w:right w:val="nil"/>
          <w:insideH w:val="nil"/>
          <w:insideV w:val="nil"/>
        </w:tcBorders>
        <w:shd w:val="clear" w:color="auto" w:fill="474747" w:themeFill="accent5" w:themeFillShade="BF"/>
      </w:tcPr>
    </w:tblStylePr>
  </w:style>
  <w:style w:type="table" w:styleId="Ciemnalistaakcent6">
    <w:name w:val="Dark List Accent 6"/>
    <w:basedOn w:val="Standardowy"/>
    <w:uiPriority w:val="99"/>
    <w:semiHidden/>
    <w:rsid w:val="00014566"/>
    <w:rPr>
      <w:color w:val="0072BC" w:themeColor="background1"/>
      <w:lang w:val="fr-FR" w:eastAsia="fr-FR"/>
    </w:rPr>
    <w:tblPr>
      <w:tblStyleRowBandSize w:val="1"/>
      <w:tblStyleColBandSize w:val="1"/>
    </w:tblPr>
    <w:tcPr>
      <w:shd w:val="clear" w:color="auto" w:fill="4D4D4D" w:themeFill="accent6"/>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62626" w:themeFill="accent6" w:themeFillShade="7F"/>
      </w:tcPr>
    </w:tblStylePr>
    <w:tblStylePr w:type="firstCol">
      <w:tblPr/>
      <w:tcPr>
        <w:tcBorders>
          <w:top w:val="nil"/>
          <w:left w:val="nil"/>
          <w:bottom w:val="nil"/>
          <w:right w:val="single" w:sz="18" w:space="0" w:color="0072BC" w:themeColor="background1"/>
          <w:insideH w:val="nil"/>
          <w:insideV w:val="nil"/>
        </w:tcBorders>
        <w:shd w:val="clear" w:color="auto" w:fill="393939" w:themeFill="accent6" w:themeFillShade="BF"/>
      </w:tcPr>
    </w:tblStylePr>
    <w:tblStylePr w:type="lastCol">
      <w:tblPr/>
      <w:tcPr>
        <w:tcBorders>
          <w:top w:val="nil"/>
          <w:left w:val="single" w:sz="18" w:space="0" w:color="0072BC" w:themeColor="background1"/>
          <w:bottom w:val="nil"/>
          <w:right w:val="nil"/>
          <w:insideH w:val="nil"/>
          <w:insideV w:val="nil"/>
        </w:tcBorders>
        <w:shd w:val="clear" w:color="auto" w:fill="393939" w:themeFill="accent6" w:themeFillShade="BF"/>
      </w:tcPr>
    </w:tblStylePr>
    <w:tblStylePr w:type="band1Vert">
      <w:tblPr/>
      <w:tcPr>
        <w:tcBorders>
          <w:top w:val="nil"/>
          <w:left w:val="nil"/>
          <w:bottom w:val="nil"/>
          <w:right w:val="nil"/>
          <w:insideH w:val="nil"/>
          <w:insideV w:val="nil"/>
        </w:tcBorders>
        <w:shd w:val="clear" w:color="auto" w:fill="393939" w:themeFill="accent6" w:themeFillShade="BF"/>
      </w:tcPr>
    </w:tblStylePr>
    <w:tblStylePr w:type="band1Horz">
      <w:tblPr/>
      <w:tcPr>
        <w:tcBorders>
          <w:top w:val="nil"/>
          <w:left w:val="nil"/>
          <w:bottom w:val="nil"/>
          <w:right w:val="nil"/>
          <w:insideH w:val="nil"/>
          <w:insideV w:val="nil"/>
        </w:tcBorders>
        <w:shd w:val="clear" w:color="auto" w:fill="393939" w:themeFill="accent6" w:themeFillShade="BF"/>
      </w:tcPr>
    </w:tblStylePr>
  </w:style>
  <w:style w:type="paragraph" w:styleId="Data">
    <w:name w:val="Date"/>
    <w:basedOn w:val="Normalny"/>
    <w:next w:val="Normalny"/>
    <w:link w:val="DataZnak"/>
    <w:uiPriority w:val="99"/>
    <w:semiHidden/>
    <w:rsid w:val="00014566"/>
  </w:style>
  <w:style w:type="character" w:customStyle="1" w:styleId="DataZnak">
    <w:name w:val="Data Znak"/>
    <w:basedOn w:val="Domylnaczcionkaakapitu"/>
    <w:link w:val="Data"/>
    <w:uiPriority w:val="99"/>
    <w:semiHidden/>
    <w:rsid w:val="00014566"/>
    <w:rPr>
      <w:rFonts w:eastAsiaTheme="minorEastAsia"/>
      <w:sz w:val="24"/>
    </w:rPr>
  </w:style>
  <w:style w:type="paragraph" w:styleId="Podpise-mail">
    <w:name w:val="E-mail Signature"/>
    <w:basedOn w:val="Normalny"/>
    <w:link w:val="Podpise-mailZnak"/>
    <w:uiPriority w:val="99"/>
    <w:semiHidden/>
    <w:rsid w:val="00014566"/>
  </w:style>
  <w:style w:type="character" w:customStyle="1" w:styleId="Podpise-mailZnak">
    <w:name w:val="Podpis e-mail Znak"/>
    <w:basedOn w:val="Domylnaczcionkaakapitu"/>
    <w:link w:val="Podpise-mail"/>
    <w:uiPriority w:val="99"/>
    <w:semiHidden/>
    <w:rsid w:val="00014566"/>
    <w:rPr>
      <w:rFonts w:eastAsiaTheme="minorEastAsia"/>
      <w:sz w:val="24"/>
    </w:rPr>
  </w:style>
  <w:style w:type="paragraph" w:styleId="Adresnakopercie">
    <w:name w:val="envelope address"/>
    <w:basedOn w:val="Normalny"/>
    <w:uiPriority w:val="99"/>
    <w:semiHidden/>
    <w:rsid w:val="00014566"/>
    <w:pPr>
      <w:framePr w:w="7938" w:h="1985" w:hRule="exact" w:hSpace="141" w:wrap="auto" w:hAnchor="page" w:xAlign="center" w:yAlign="bottom"/>
      <w:ind w:left="2835"/>
    </w:pPr>
    <w:rPr>
      <w:rFonts w:asciiTheme="majorHAnsi" w:eastAsiaTheme="majorEastAsia" w:hAnsiTheme="majorHAnsi" w:cstheme="majorBidi"/>
      <w:szCs w:val="24"/>
    </w:rPr>
  </w:style>
  <w:style w:type="paragraph" w:styleId="Adreszwrotnynakopercie">
    <w:name w:val="envelope return"/>
    <w:basedOn w:val="Normalny"/>
    <w:uiPriority w:val="99"/>
    <w:semiHidden/>
    <w:rsid w:val="00014566"/>
    <w:rPr>
      <w:rFonts w:asciiTheme="majorHAnsi" w:eastAsiaTheme="majorEastAsia" w:hAnsiTheme="majorHAnsi" w:cstheme="majorBidi"/>
      <w:sz w:val="20"/>
      <w:szCs w:val="20"/>
    </w:rPr>
  </w:style>
  <w:style w:type="character" w:styleId="HTML-akronim">
    <w:name w:val="HTML Acronym"/>
    <w:basedOn w:val="Domylnaczcionkaakapitu"/>
    <w:uiPriority w:val="99"/>
    <w:semiHidden/>
    <w:rsid w:val="00014566"/>
  </w:style>
  <w:style w:type="paragraph" w:styleId="HTML-adres">
    <w:name w:val="HTML Address"/>
    <w:basedOn w:val="Normalny"/>
    <w:link w:val="HTML-adresZnak"/>
    <w:uiPriority w:val="99"/>
    <w:semiHidden/>
    <w:rsid w:val="00014566"/>
    <w:rPr>
      <w:i/>
      <w:iCs/>
    </w:rPr>
  </w:style>
  <w:style w:type="character" w:customStyle="1" w:styleId="HTML-adresZnak">
    <w:name w:val="HTML - adres Znak"/>
    <w:basedOn w:val="Domylnaczcionkaakapitu"/>
    <w:link w:val="HTML-adres"/>
    <w:uiPriority w:val="99"/>
    <w:semiHidden/>
    <w:rsid w:val="00014566"/>
    <w:rPr>
      <w:rFonts w:eastAsiaTheme="minorEastAsia"/>
      <w:i/>
      <w:iCs/>
      <w:sz w:val="24"/>
    </w:rPr>
  </w:style>
  <w:style w:type="character" w:styleId="HTML-cytat">
    <w:name w:val="HTML Cite"/>
    <w:basedOn w:val="Domylnaczcionkaakapitu"/>
    <w:uiPriority w:val="99"/>
    <w:semiHidden/>
    <w:rsid w:val="00014566"/>
    <w:rPr>
      <w:i/>
      <w:iCs/>
    </w:rPr>
  </w:style>
  <w:style w:type="character" w:styleId="HTML-kod">
    <w:name w:val="HTML Code"/>
    <w:basedOn w:val="Domylnaczcionkaakapitu"/>
    <w:uiPriority w:val="99"/>
    <w:semiHidden/>
    <w:rsid w:val="00014566"/>
    <w:rPr>
      <w:rFonts w:ascii="Consolas" w:hAnsi="Consolas" w:cs="Consolas"/>
      <w:sz w:val="20"/>
      <w:szCs w:val="20"/>
    </w:rPr>
  </w:style>
  <w:style w:type="character" w:styleId="HTML-definicja">
    <w:name w:val="HTML Definition"/>
    <w:basedOn w:val="Domylnaczcionkaakapitu"/>
    <w:uiPriority w:val="99"/>
    <w:semiHidden/>
    <w:rsid w:val="00014566"/>
    <w:rPr>
      <w:i/>
      <w:iCs/>
    </w:rPr>
  </w:style>
  <w:style w:type="character" w:styleId="HTML-klawiatura">
    <w:name w:val="HTML Keyboard"/>
    <w:basedOn w:val="Domylnaczcionkaakapitu"/>
    <w:uiPriority w:val="99"/>
    <w:semiHidden/>
    <w:rsid w:val="00014566"/>
    <w:rPr>
      <w:rFonts w:ascii="Consolas" w:hAnsi="Consolas" w:cs="Consolas"/>
      <w:sz w:val="20"/>
      <w:szCs w:val="20"/>
    </w:rPr>
  </w:style>
  <w:style w:type="paragraph" w:styleId="HTML-wstpniesformatowany">
    <w:name w:val="HTML Preformatted"/>
    <w:basedOn w:val="Normalny"/>
    <w:link w:val="HTML-wstpniesformatowanyZnak"/>
    <w:uiPriority w:val="99"/>
    <w:semiHidden/>
    <w:rsid w:val="00014566"/>
    <w:rPr>
      <w:rFonts w:ascii="Consolas" w:hAnsi="Consolas" w:cs="Consolas"/>
      <w:sz w:val="20"/>
      <w:szCs w:val="20"/>
    </w:rPr>
  </w:style>
  <w:style w:type="character" w:customStyle="1" w:styleId="HTML-wstpniesformatowanyZnak">
    <w:name w:val="HTML - wstępnie sformatowany Znak"/>
    <w:basedOn w:val="Domylnaczcionkaakapitu"/>
    <w:link w:val="HTML-wstpniesformatowany"/>
    <w:uiPriority w:val="99"/>
    <w:semiHidden/>
    <w:rsid w:val="00014566"/>
    <w:rPr>
      <w:rFonts w:ascii="Consolas" w:eastAsiaTheme="minorEastAsia" w:hAnsi="Consolas" w:cs="Consolas"/>
      <w:sz w:val="20"/>
      <w:szCs w:val="20"/>
    </w:rPr>
  </w:style>
  <w:style w:type="character" w:styleId="HTML-przykad">
    <w:name w:val="HTML Sample"/>
    <w:basedOn w:val="Domylnaczcionkaakapitu"/>
    <w:uiPriority w:val="99"/>
    <w:semiHidden/>
    <w:rsid w:val="00014566"/>
    <w:rPr>
      <w:rFonts w:ascii="Consolas" w:hAnsi="Consolas" w:cs="Consolas"/>
      <w:sz w:val="24"/>
      <w:szCs w:val="24"/>
    </w:rPr>
  </w:style>
  <w:style w:type="character" w:styleId="HTML-staaszeroko">
    <w:name w:val="HTML Typewriter"/>
    <w:basedOn w:val="Domylnaczcionkaakapitu"/>
    <w:uiPriority w:val="99"/>
    <w:semiHidden/>
    <w:rsid w:val="00014566"/>
    <w:rPr>
      <w:rFonts w:ascii="Consolas" w:hAnsi="Consolas" w:cs="Consolas"/>
      <w:sz w:val="20"/>
      <w:szCs w:val="20"/>
    </w:rPr>
  </w:style>
  <w:style w:type="character" w:styleId="HTML-zmienna">
    <w:name w:val="HTML Variable"/>
    <w:basedOn w:val="Domylnaczcionkaakapitu"/>
    <w:uiPriority w:val="99"/>
    <w:semiHidden/>
    <w:rsid w:val="00014566"/>
    <w:rPr>
      <w:i/>
      <w:iCs/>
    </w:rPr>
  </w:style>
  <w:style w:type="paragraph" w:styleId="Indeks1">
    <w:name w:val="index 1"/>
    <w:basedOn w:val="Normalny"/>
    <w:next w:val="Normalny"/>
    <w:autoRedefine/>
    <w:uiPriority w:val="99"/>
    <w:semiHidden/>
    <w:rsid w:val="00014566"/>
    <w:pPr>
      <w:ind w:left="240" w:hanging="240"/>
    </w:pPr>
  </w:style>
  <w:style w:type="paragraph" w:styleId="Indeks2">
    <w:name w:val="index 2"/>
    <w:basedOn w:val="Normalny"/>
    <w:next w:val="Normalny"/>
    <w:autoRedefine/>
    <w:uiPriority w:val="99"/>
    <w:semiHidden/>
    <w:rsid w:val="00014566"/>
    <w:pPr>
      <w:ind w:left="480" w:hanging="240"/>
    </w:pPr>
  </w:style>
  <w:style w:type="paragraph" w:styleId="Indeks3">
    <w:name w:val="index 3"/>
    <w:basedOn w:val="Normalny"/>
    <w:next w:val="Normalny"/>
    <w:autoRedefine/>
    <w:uiPriority w:val="99"/>
    <w:semiHidden/>
    <w:rsid w:val="00014566"/>
    <w:pPr>
      <w:ind w:left="720" w:hanging="240"/>
    </w:pPr>
  </w:style>
  <w:style w:type="paragraph" w:styleId="Indeks4">
    <w:name w:val="index 4"/>
    <w:basedOn w:val="Normalny"/>
    <w:next w:val="Normalny"/>
    <w:autoRedefine/>
    <w:uiPriority w:val="99"/>
    <w:semiHidden/>
    <w:rsid w:val="00014566"/>
    <w:pPr>
      <w:ind w:left="960" w:hanging="240"/>
    </w:pPr>
  </w:style>
  <w:style w:type="paragraph" w:styleId="Indeks5">
    <w:name w:val="index 5"/>
    <w:basedOn w:val="Normalny"/>
    <w:next w:val="Normalny"/>
    <w:autoRedefine/>
    <w:uiPriority w:val="99"/>
    <w:semiHidden/>
    <w:rsid w:val="00014566"/>
    <w:pPr>
      <w:ind w:left="1200" w:hanging="240"/>
    </w:pPr>
  </w:style>
  <w:style w:type="paragraph" w:styleId="Indeks6">
    <w:name w:val="index 6"/>
    <w:basedOn w:val="Normalny"/>
    <w:next w:val="Normalny"/>
    <w:autoRedefine/>
    <w:uiPriority w:val="99"/>
    <w:semiHidden/>
    <w:rsid w:val="00014566"/>
    <w:pPr>
      <w:ind w:left="1440" w:hanging="240"/>
    </w:pPr>
  </w:style>
  <w:style w:type="paragraph" w:styleId="Indeks7">
    <w:name w:val="index 7"/>
    <w:basedOn w:val="Normalny"/>
    <w:next w:val="Normalny"/>
    <w:autoRedefine/>
    <w:uiPriority w:val="99"/>
    <w:semiHidden/>
    <w:rsid w:val="00014566"/>
    <w:pPr>
      <w:ind w:left="1680" w:hanging="240"/>
    </w:pPr>
  </w:style>
  <w:style w:type="paragraph" w:styleId="Indeks8">
    <w:name w:val="index 8"/>
    <w:basedOn w:val="Normalny"/>
    <w:next w:val="Normalny"/>
    <w:autoRedefine/>
    <w:uiPriority w:val="99"/>
    <w:semiHidden/>
    <w:rsid w:val="00014566"/>
    <w:pPr>
      <w:ind w:left="1920" w:hanging="240"/>
    </w:pPr>
  </w:style>
  <w:style w:type="paragraph" w:styleId="Indeks9">
    <w:name w:val="index 9"/>
    <w:basedOn w:val="Normalny"/>
    <w:next w:val="Normalny"/>
    <w:autoRedefine/>
    <w:uiPriority w:val="99"/>
    <w:semiHidden/>
    <w:rsid w:val="00014566"/>
    <w:pPr>
      <w:ind w:left="2160" w:hanging="240"/>
    </w:pPr>
  </w:style>
  <w:style w:type="paragraph" w:styleId="Nagwekindeksu">
    <w:name w:val="index heading"/>
    <w:basedOn w:val="Normalny"/>
    <w:next w:val="Indeks1"/>
    <w:uiPriority w:val="99"/>
    <w:semiHidden/>
    <w:rsid w:val="00014566"/>
    <w:rPr>
      <w:rFonts w:asciiTheme="majorHAnsi" w:eastAsiaTheme="majorEastAsia" w:hAnsiTheme="majorHAnsi" w:cstheme="majorBidi"/>
      <w:b/>
      <w:bCs/>
    </w:rPr>
  </w:style>
  <w:style w:type="table" w:styleId="Jasnasiatka">
    <w:name w:val="Light Grid"/>
    <w:basedOn w:val="Standardowy"/>
    <w:uiPriority w:val="99"/>
    <w:semiHidden/>
    <w:rsid w:val="00014566"/>
    <w:rPr>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Jasnasiatkaakcent1">
    <w:name w:val="Light Grid Accent 1"/>
    <w:basedOn w:val="Standardowy"/>
    <w:uiPriority w:val="99"/>
    <w:semiHidden/>
    <w:rsid w:val="00014566"/>
    <w:rPr>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18" w:space="0" w:color="0072BC" w:themeColor="accent1"/>
          <w:right w:val="single" w:sz="8" w:space="0" w:color="0072BC" w:themeColor="accent1"/>
          <w:insideH w:val="nil"/>
          <w:insideV w:val="single" w:sz="8" w:space="0" w:color="0072BC"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insideH w:val="nil"/>
          <w:insideV w:val="single" w:sz="8" w:space="0" w:color="0072BC"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shd w:val="clear" w:color="auto" w:fill="AFDFFF" w:themeFill="accent1" w:themeFillTint="3F"/>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shd w:val="clear" w:color="auto" w:fill="AFDFFF" w:themeFill="accent1" w:themeFillTint="3F"/>
      </w:tcPr>
    </w:tblStylePr>
    <w:tblStylePr w:type="band2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tcPr>
    </w:tblStylePr>
  </w:style>
  <w:style w:type="table" w:styleId="Jasnasiatkaakcent2">
    <w:name w:val="Light Grid Accent 2"/>
    <w:basedOn w:val="Standardowy"/>
    <w:uiPriority w:val="99"/>
    <w:semiHidden/>
    <w:rsid w:val="00014566"/>
    <w:rPr>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18" w:space="0" w:color="C00000" w:themeColor="accent2"/>
          <w:right w:val="single" w:sz="8" w:space="0" w:color="C00000" w:themeColor="accent2"/>
          <w:insideH w:val="nil"/>
          <w:insideV w:val="single" w:sz="8" w:space="0" w:color="C00000"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insideH w:val="nil"/>
          <w:insideV w:val="single" w:sz="8" w:space="0" w:color="C00000"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shd w:val="clear" w:color="auto" w:fill="FFB0B0" w:themeFill="accent2" w:themeFillTint="3F"/>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shd w:val="clear" w:color="auto" w:fill="FFB0B0" w:themeFill="accent2" w:themeFillTint="3F"/>
      </w:tcPr>
    </w:tblStylePr>
    <w:tblStylePr w:type="band2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tcPr>
    </w:tblStylePr>
  </w:style>
  <w:style w:type="table" w:styleId="Jasnasiatkaakcent3">
    <w:name w:val="Light Grid Accent 3"/>
    <w:basedOn w:val="Standardowy"/>
    <w:uiPriority w:val="99"/>
    <w:semiHidden/>
    <w:rsid w:val="00014566"/>
    <w:rPr>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18" w:space="0" w:color="5F5F5F" w:themeColor="accent3"/>
          <w:right w:val="single" w:sz="8" w:space="0" w:color="5F5F5F" w:themeColor="accent3"/>
          <w:insideH w:val="nil"/>
          <w:insideV w:val="single" w:sz="8" w:space="0" w:color="5F5F5F"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insideH w:val="nil"/>
          <w:insideV w:val="single" w:sz="8" w:space="0" w:color="5F5F5F"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shd w:val="clear" w:color="auto" w:fill="D7D7D7" w:themeFill="accent3" w:themeFillTint="3F"/>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shd w:val="clear" w:color="auto" w:fill="D7D7D7" w:themeFill="accent3" w:themeFillTint="3F"/>
      </w:tcPr>
    </w:tblStylePr>
    <w:tblStylePr w:type="band2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tcPr>
    </w:tblStylePr>
  </w:style>
  <w:style w:type="table" w:styleId="Jasnasiatkaakcent4">
    <w:name w:val="Light Grid Accent 4"/>
    <w:basedOn w:val="Standardowy"/>
    <w:uiPriority w:val="99"/>
    <w:semiHidden/>
    <w:rsid w:val="00014566"/>
    <w:rPr>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18" w:space="0" w:color="969696" w:themeColor="accent4"/>
          <w:right w:val="single" w:sz="8" w:space="0" w:color="969696" w:themeColor="accent4"/>
          <w:insideH w:val="nil"/>
          <w:insideV w:val="single" w:sz="8" w:space="0" w:color="969696"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insideH w:val="nil"/>
          <w:insideV w:val="single" w:sz="8" w:space="0" w:color="969696"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shd w:val="clear" w:color="auto" w:fill="E5E5E5" w:themeFill="accent4" w:themeFillTint="3F"/>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shd w:val="clear" w:color="auto" w:fill="E5E5E5" w:themeFill="accent4" w:themeFillTint="3F"/>
      </w:tcPr>
    </w:tblStylePr>
    <w:tblStylePr w:type="band2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tcPr>
    </w:tblStylePr>
  </w:style>
  <w:style w:type="table" w:styleId="Jasnasiatkaakcent5">
    <w:name w:val="Light Grid Accent 5"/>
    <w:basedOn w:val="Standardowy"/>
    <w:uiPriority w:val="99"/>
    <w:semiHidden/>
    <w:rsid w:val="00014566"/>
    <w:rPr>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18" w:space="0" w:color="5F5F5F" w:themeColor="accent5"/>
          <w:right w:val="single" w:sz="8" w:space="0" w:color="5F5F5F" w:themeColor="accent5"/>
          <w:insideH w:val="nil"/>
          <w:insideV w:val="single" w:sz="8" w:space="0" w:color="5F5F5F"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insideH w:val="nil"/>
          <w:insideV w:val="single" w:sz="8" w:space="0" w:color="5F5F5F"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shd w:val="clear" w:color="auto" w:fill="D7D7D7" w:themeFill="accent5" w:themeFillTint="3F"/>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shd w:val="clear" w:color="auto" w:fill="D7D7D7" w:themeFill="accent5" w:themeFillTint="3F"/>
      </w:tcPr>
    </w:tblStylePr>
    <w:tblStylePr w:type="band2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tcPr>
    </w:tblStylePr>
  </w:style>
  <w:style w:type="table" w:styleId="Jasnasiatkaakcent6">
    <w:name w:val="Light Grid Accent 6"/>
    <w:basedOn w:val="Standardowy"/>
    <w:uiPriority w:val="99"/>
    <w:semiHidden/>
    <w:rsid w:val="00014566"/>
    <w:rPr>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18" w:space="0" w:color="4D4D4D" w:themeColor="accent6"/>
          <w:right w:val="single" w:sz="8" w:space="0" w:color="4D4D4D" w:themeColor="accent6"/>
          <w:insideH w:val="nil"/>
          <w:insideV w:val="single" w:sz="8" w:space="0" w:color="4D4D4D"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insideH w:val="nil"/>
          <w:insideV w:val="single" w:sz="8" w:space="0" w:color="4D4D4D"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shd w:val="clear" w:color="auto" w:fill="D3D3D3" w:themeFill="accent6" w:themeFillTint="3F"/>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shd w:val="clear" w:color="auto" w:fill="D3D3D3" w:themeFill="accent6" w:themeFillTint="3F"/>
      </w:tcPr>
    </w:tblStylePr>
    <w:tblStylePr w:type="band2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tcPr>
    </w:tblStylePr>
  </w:style>
  <w:style w:type="table" w:styleId="Jasnalista">
    <w:name w:val="Light List"/>
    <w:basedOn w:val="Standardowy"/>
    <w:uiPriority w:val="99"/>
    <w:semiHidden/>
    <w:rsid w:val="00014566"/>
    <w:rPr>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0072BC"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Jasnalistaakcent1">
    <w:name w:val="Light List Accent 1"/>
    <w:basedOn w:val="Standardowy"/>
    <w:uiPriority w:val="99"/>
    <w:semiHidden/>
    <w:rsid w:val="00014566"/>
    <w:rPr>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pPr>
        <w:spacing w:before="0" w:after="0" w:line="240" w:lineRule="auto"/>
      </w:pPr>
      <w:rPr>
        <w:b/>
        <w:bCs/>
        <w:color w:val="0072BC" w:themeColor="background1"/>
      </w:rPr>
      <w:tblPr/>
      <w:tcPr>
        <w:shd w:val="clear" w:color="auto" w:fill="0072BC" w:themeFill="accent1"/>
      </w:tcPr>
    </w:tblStylePr>
    <w:tblStylePr w:type="lastRow">
      <w:pPr>
        <w:spacing w:before="0" w:after="0" w:line="240" w:lineRule="auto"/>
      </w:pPr>
      <w:rPr>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tcBorders>
      </w:tcPr>
    </w:tblStylePr>
    <w:tblStylePr w:type="firstCol">
      <w:rPr>
        <w:b/>
        <w:bCs/>
      </w:rPr>
    </w:tblStylePr>
    <w:tblStylePr w:type="lastCol">
      <w:rPr>
        <w:b/>
        <w:bCs/>
      </w:r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style>
  <w:style w:type="table" w:styleId="Jasnalistaakcent2">
    <w:name w:val="Light List Accent 2"/>
    <w:basedOn w:val="Standardowy"/>
    <w:uiPriority w:val="99"/>
    <w:semiHidden/>
    <w:rsid w:val="00014566"/>
    <w:rPr>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pPr>
        <w:spacing w:before="0" w:after="0" w:line="240" w:lineRule="auto"/>
      </w:pPr>
      <w:rPr>
        <w:b/>
        <w:bCs/>
        <w:color w:val="0072BC" w:themeColor="background1"/>
      </w:rPr>
      <w:tblPr/>
      <w:tcPr>
        <w:shd w:val="clear" w:color="auto" w:fill="C00000" w:themeFill="accent2"/>
      </w:tcPr>
    </w:tblStylePr>
    <w:tblStylePr w:type="lastRow">
      <w:pPr>
        <w:spacing w:before="0" w:after="0" w:line="240" w:lineRule="auto"/>
      </w:pPr>
      <w:rPr>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tcBorders>
      </w:tcPr>
    </w:tblStylePr>
    <w:tblStylePr w:type="firstCol">
      <w:rPr>
        <w:b/>
        <w:bCs/>
      </w:rPr>
    </w:tblStylePr>
    <w:tblStylePr w:type="lastCol">
      <w:rPr>
        <w:b/>
        <w:bCs/>
      </w:r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style>
  <w:style w:type="table" w:styleId="Jasnalistaakcent3">
    <w:name w:val="Light List Accent 3"/>
    <w:basedOn w:val="Standardowy"/>
    <w:uiPriority w:val="99"/>
    <w:semiHidden/>
    <w:rsid w:val="00014566"/>
    <w:rPr>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pPr>
        <w:spacing w:before="0" w:after="0" w:line="240" w:lineRule="auto"/>
      </w:pPr>
      <w:rPr>
        <w:b/>
        <w:bCs/>
        <w:color w:val="0072BC" w:themeColor="background1"/>
      </w:rPr>
      <w:tblPr/>
      <w:tcPr>
        <w:shd w:val="clear" w:color="auto" w:fill="5F5F5F" w:themeFill="accent3"/>
      </w:tcPr>
    </w:tblStylePr>
    <w:tblStylePr w:type="lastRow">
      <w:pPr>
        <w:spacing w:before="0" w:after="0" w:line="240" w:lineRule="auto"/>
      </w:pPr>
      <w:rPr>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tcBorders>
      </w:tcPr>
    </w:tblStylePr>
    <w:tblStylePr w:type="firstCol">
      <w:rPr>
        <w:b/>
        <w:bCs/>
      </w:rPr>
    </w:tblStylePr>
    <w:tblStylePr w:type="lastCol">
      <w:rPr>
        <w:b/>
        <w:bCs/>
      </w:r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style>
  <w:style w:type="table" w:styleId="Jasnalistaakcent4">
    <w:name w:val="Light List Accent 4"/>
    <w:basedOn w:val="Standardowy"/>
    <w:uiPriority w:val="99"/>
    <w:semiHidden/>
    <w:rsid w:val="00014566"/>
    <w:rPr>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pPr>
        <w:spacing w:before="0" w:after="0" w:line="240" w:lineRule="auto"/>
      </w:pPr>
      <w:rPr>
        <w:b/>
        <w:bCs/>
        <w:color w:val="0072BC" w:themeColor="background1"/>
      </w:rPr>
      <w:tblPr/>
      <w:tcPr>
        <w:shd w:val="clear" w:color="auto" w:fill="969696" w:themeFill="accent4"/>
      </w:tcPr>
    </w:tblStylePr>
    <w:tblStylePr w:type="lastRow">
      <w:pPr>
        <w:spacing w:before="0" w:after="0" w:line="240" w:lineRule="auto"/>
      </w:pPr>
      <w:rPr>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tcBorders>
      </w:tcPr>
    </w:tblStylePr>
    <w:tblStylePr w:type="firstCol">
      <w:rPr>
        <w:b/>
        <w:bCs/>
      </w:rPr>
    </w:tblStylePr>
    <w:tblStylePr w:type="lastCol">
      <w:rPr>
        <w:b/>
        <w:bCs/>
      </w:r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style>
  <w:style w:type="table" w:styleId="Jasnalistaakcent5">
    <w:name w:val="Light List Accent 5"/>
    <w:basedOn w:val="Standardowy"/>
    <w:uiPriority w:val="99"/>
    <w:semiHidden/>
    <w:rsid w:val="00014566"/>
    <w:rPr>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pPr>
        <w:spacing w:before="0" w:after="0" w:line="240" w:lineRule="auto"/>
      </w:pPr>
      <w:rPr>
        <w:b/>
        <w:bCs/>
        <w:color w:val="0072BC" w:themeColor="background1"/>
      </w:rPr>
      <w:tblPr/>
      <w:tcPr>
        <w:shd w:val="clear" w:color="auto" w:fill="5F5F5F" w:themeFill="accent5"/>
      </w:tcPr>
    </w:tblStylePr>
    <w:tblStylePr w:type="lastRow">
      <w:pPr>
        <w:spacing w:before="0" w:after="0" w:line="240" w:lineRule="auto"/>
      </w:pPr>
      <w:rPr>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tcBorders>
      </w:tcPr>
    </w:tblStylePr>
    <w:tblStylePr w:type="firstCol">
      <w:rPr>
        <w:b/>
        <w:bCs/>
      </w:rPr>
    </w:tblStylePr>
    <w:tblStylePr w:type="lastCol">
      <w:rPr>
        <w:b/>
        <w:bCs/>
      </w:r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style>
  <w:style w:type="table" w:styleId="Jasnalistaakcent6">
    <w:name w:val="Light List Accent 6"/>
    <w:basedOn w:val="Standardowy"/>
    <w:uiPriority w:val="99"/>
    <w:semiHidden/>
    <w:rsid w:val="00014566"/>
    <w:rPr>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pPr>
        <w:spacing w:before="0" w:after="0" w:line="240" w:lineRule="auto"/>
      </w:pPr>
      <w:rPr>
        <w:b/>
        <w:bCs/>
        <w:color w:val="0072BC" w:themeColor="background1"/>
      </w:rPr>
      <w:tblPr/>
      <w:tcPr>
        <w:shd w:val="clear" w:color="auto" w:fill="4D4D4D" w:themeFill="accent6"/>
      </w:tcPr>
    </w:tblStylePr>
    <w:tblStylePr w:type="lastRow">
      <w:pPr>
        <w:spacing w:before="0" w:after="0" w:line="240" w:lineRule="auto"/>
      </w:pPr>
      <w:rPr>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tcBorders>
      </w:tcPr>
    </w:tblStylePr>
    <w:tblStylePr w:type="firstCol">
      <w:rPr>
        <w:b/>
        <w:bCs/>
      </w:rPr>
    </w:tblStylePr>
    <w:tblStylePr w:type="lastCol">
      <w:rPr>
        <w:b/>
        <w:bCs/>
      </w:r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style>
  <w:style w:type="table" w:styleId="Jasnecieniowanie">
    <w:name w:val="Light Shading"/>
    <w:basedOn w:val="Standardowy"/>
    <w:uiPriority w:val="99"/>
    <w:semiHidden/>
    <w:rsid w:val="00014566"/>
    <w:rPr>
      <w:color w:val="000000" w:themeColor="text1" w:themeShade="BF"/>
      <w:lang w:val="fr-FR" w:eastAsia="fr-FR"/>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Jasnecieniowanieakcent1">
    <w:name w:val="Light Shading Accent 1"/>
    <w:basedOn w:val="Standardowy"/>
    <w:uiPriority w:val="99"/>
    <w:semiHidden/>
    <w:rsid w:val="00014566"/>
    <w:rPr>
      <w:color w:val="00548C" w:themeColor="accent1" w:themeShade="BF"/>
      <w:lang w:val="fr-FR" w:eastAsia="fr-FR"/>
    </w:rPr>
    <w:tblPr>
      <w:tblStyleRowBandSize w:val="1"/>
      <w:tblStyleColBandSize w:val="1"/>
      <w:tblBorders>
        <w:top w:val="single" w:sz="8" w:space="0" w:color="0072BC" w:themeColor="accent1"/>
        <w:bottom w:val="single" w:sz="8" w:space="0" w:color="0072BC" w:themeColor="accent1"/>
      </w:tblBorders>
    </w:tblPr>
    <w:tblStylePr w:type="fir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la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left w:val="nil"/>
          <w:right w:val="nil"/>
          <w:insideH w:val="nil"/>
          <w:insideV w:val="nil"/>
        </w:tcBorders>
        <w:shd w:val="clear" w:color="auto" w:fill="AFDFFF" w:themeFill="accent1" w:themeFillTint="3F"/>
      </w:tcPr>
    </w:tblStylePr>
  </w:style>
  <w:style w:type="table" w:styleId="Jasnecieniowanieakcent2">
    <w:name w:val="Light Shading Accent 2"/>
    <w:basedOn w:val="Standardowy"/>
    <w:uiPriority w:val="99"/>
    <w:semiHidden/>
    <w:rsid w:val="00014566"/>
    <w:rPr>
      <w:color w:val="8F0000" w:themeColor="accent2" w:themeShade="BF"/>
      <w:lang w:val="fr-FR" w:eastAsia="fr-FR"/>
    </w:rPr>
    <w:tblPr>
      <w:tblStyleRowBandSize w:val="1"/>
      <w:tblStyleColBandSize w:val="1"/>
      <w:tblBorders>
        <w:top w:val="single" w:sz="8" w:space="0" w:color="C00000" w:themeColor="accent2"/>
        <w:bottom w:val="single" w:sz="8" w:space="0" w:color="C00000" w:themeColor="accent2"/>
      </w:tblBorders>
    </w:tblPr>
    <w:tblStylePr w:type="fir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la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left w:val="nil"/>
          <w:right w:val="nil"/>
          <w:insideH w:val="nil"/>
          <w:insideV w:val="nil"/>
        </w:tcBorders>
        <w:shd w:val="clear" w:color="auto" w:fill="FFB0B0" w:themeFill="accent2" w:themeFillTint="3F"/>
      </w:tcPr>
    </w:tblStylePr>
  </w:style>
  <w:style w:type="table" w:styleId="Jasnecieniowanieakcent3">
    <w:name w:val="Light Shading Accent 3"/>
    <w:basedOn w:val="Standardowy"/>
    <w:uiPriority w:val="99"/>
    <w:semiHidden/>
    <w:rsid w:val="00014566"/>
    <w:rPr>
      <w:color w:val="474747" w:themeColor="accent3" w:themeShade="BF"/>
      <w:lang w:val="fr-FR" w:eastAsia="fr-FR"/>
    </w:rPr>
    <w:tblPr>
      <w:tblStyleRowBandSize w:val="1"/>
      <w:tblStyleColBandSize w:val="1"/>
      <w:tblBorders>
        <w:top w:val="single" w:sz="8" w:space="0" w:color="5F5F5F" w:themeColor="accent3"/>
        <w:bottom w:val="single" w:sz="8" w:space="0" w:color="5F5F5F" w:themeColor="accent3"/>
      </w:tblBorders>
    </w:tblPr>
    <w:tblStylePr w:type="fir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la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left w:val="nil"/>
          <w:right w:val="nil"/>
          <w:insideH w:val="nil"/>
          <w:insideV w:val="nil"/>
        </w:tcBorders>
        <w:shd w:val="clear" w:color="auto" w:fill="D7D7D7" w:themeFill="accent3" w:themeFillTint="3F"/>
      </w:tcPr>
    </w:tblStylePr>
  </w:style>
  <w:style w:type="table" w:styleId="Jasnecieniowanieakcent4">
    <w:name w:val="Light Shading Accent 4"/>
    <w:basedOn w:val="Standardowy"/>
    <w:uiPriority w:val="99"/>
    <w:semiHidden/>
    <w:rsid w:val="00014566"/>
    <w:rPr>
      <w:color w:val="707070" w:themeColor="accent4" w:themeShade="BF"/>
      <w:lang w:val="fr-FR" w:eastAsia="fr-FR"/>
    </w:rPr>
    <w:tblPr>
      <w:tblStyleRowBandSize w:val="1"/>
      <w:tblStyleColBandSize w:val="1"/>
      <w:tblBorders>
        <w:top w:val="single" w:sz="8" w:space="0" w:color="969696" w:themeColor="accent4"/>
        <w:bottom w:val="single" w:sz="8" w:space="0" w:color="969696" w:themeColor="accent4"/>
      </w:tblBorders>
    </w:tblPr>
    <w:tblStylePr w:type="fir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la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left w:val="nil"/>
          <w:right w:val="nil"/>
          <w:insideH w:val="nil"/>
          <w:insideV w:val="nil"/>
        </w:tcBorders>
        <w:shd w:val="clear" w:color="auto" w:fill="E5E5E5" w:themeFill="accent4" w:themeFillTint="3F"/>
      </w:tcPr>
    </w:tblStylePr>
  </w:style>
  <w:style w:type="table" w:styleId="Jasnecieniowanieakcent5">
    <w:name w:val="Light Shading Accent 5"/>
    <w:basedOn w:val="Standardowy"/>
    <w:uiPriority w:val="99"/>
    <w:semiHidden/>
    <w:rsid w:val="00014566"/>
    <w:rPr>
      <w:color w:val="474747" w:themeColor="accent5" w:themeShade="BF"/>
      <w:lang w:val="fr-FR" w:eastAsia="fr-FR"/>
    </w:rPr>
    <w:tblPr>
      <w:tblStyleRowBandSize w:val="1"/>
      <w:tblStyleColBandSize w:val="1"/>
      <w:tblBorders>
        <w:top w:val="single" w:sz="8" w:space="0" w:color="5F5F5F" w:themeColor="accent5"/>
        <w:bottom w:val="single" w:sz="8" w:space="0" w:color="5F5F5F" w:themeColor="accent5"/>
      </w:tblBorders>
    </w:tblPr>
    <w:tblStylePr w:type="fir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la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left w:val="nil"/>
          <w:right w:val="nil"/>
          <w:insideH w:val="nil"/>
          <w:insideV w:val="nil"/>
        </w:tcBorders>
        <w:shd w:val="clear" w:color="auto" w:fill="D7D7D7" w:themeFill="accent5" w:themeFillTint="3F"/>
      </w:tcPr>
    </w:tblStylePr>
  </w:style>
  <w:style w:type="table" w:styleId="Jasnecieniowanieakcent6">
    <w:name w:val="Light Shading Accent 6"/>
    <w:basedOn w:val="Standardowy"/>
    <w:uiPriority w:val="99"/>
    <w:semiHidden/>
    <w:rsid w:val="00014566"/>
    <w:rPr>
      <w:color w:val="393939" w:themeColor="accent6" w:themeShade="BF"/>
      <w:lang w:val="fr-FR" w:eastAsia="fr-FR"/>
    </w:rPr>
    <w:tblPr>
      <w:tblStyleRowBandSize w:val="1"/>
      <w:tblStyleColBandSize w:val="1"/>
      <w:tblBorders>
        <w:top w:val="single" w:sz="8" w:space="0" w:color="4D4D4D" w:themeColor="accent6"/>
        <w:bottom w:val="single" w:sz="8" w:space="0" w:color="4D4D4D" w:themeColor="accent6"/>
      </w:tblBorders>
    </w:tblPr>
    <w:tblStylePr w:type="fir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la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left w:val="nil"/>
          <w:right w:val="nil"/>
          <w:insideH w:val="nil"/>
          <w:insideV w:val="nil"/>
        </w:tcBorders>
        <w:shd w:val="clear" w:color="auto" w:fill="D3D3D3" w:themeFill="accent6" w:themeFillTint="3F"/>
      </w:tcPr>
    </w:tblStylePr>
  </w:style>
  <w:style w:type="character" w:styleId="Numerwiersza">
    <w:name w:val="line number"/>
    <w:basedOn w:val="Domylnaczcionkaakapitu"/>
    <w:uiPriority w:val="99"/>
    <w:semiHidden/>
    <w:rsid w:val="00014566"/>
  </w:style>
  <w:style w:type="paragraph" w:styleId="Lista">
    <w:name w:val="List"/>
    <w:basedOn w:val="Normalny"/>
    <w:uiPriority w:val="99"/>
    <w:semiHidden/>
    <w:rsid w:val="00014566"/>
    <w:pPr>
      <w:ind w:left="283" w:hanging="283"/>
      <w:contextualSpacing/>
    </w:pPr>
  </w:style>
  <w:style w:type="paragraph" w:styleId="Lista2">
    <w:name w:val="List 2"/>
    <w:basedOn w:val="Normalny"/>
    <w:uiPriority w:val="99"/>
    <w:semiHidden/>
    <w:rsid w:val="00014566"/>
    <w:pPr>
      <w:ind w:left="566" w:hanging="283"/>
      <w:contextualSpacing/>
    </w:pPr>
  </w:style>
  <w:style w:type="paragraph" w:styleId="Lista3">
    <w:name w:val="List 3"/>
    <w:basedOn w:val="Normalny"/>
    <w:uiPriority w:val="99"/>
    <w:semiHidden/>
    <w:rsid w:val="00014566"/>
    <w:pPr>
      <w:ind w:left="849" w:hanging="283"/>
      <w:contextualSpacing/>
    </w:pPr>
  </w:style>
  <w:style w:type="paragraph" w:styleId="Lista4">
    <w:name w:val="List 4"/>
    <w:basedOn w:val="Normalny"/>
    <w:uiPriority w:val="99"/>
    <w:semiHidden/>
    <w:rsid w:val="00014566"/>
    <w:pPr>
      <w:ind w:left="1132" w:hanging="283"/>
      <w:contextualSpacing/>
    </w:pPr>
  </w:style>
  <w:style w:type="paragraph" w:styleId="Lista5">
    <w:name w:val="List 5"/>
    <w:basedOn w:val="Normalny"/>
    <w:uiPriority w:val="99"/>
    <w:semiHidden/>
    <w:rsid w:val="00014566"/>
    <w:pPr>
      <w:ind w:left="1415" w:hanging="283"/>
      <w:contextualSpacing/>
    </w:pPr>
  </w:style>
  <w:style w:type="paragraph" w:styleId="Listapunktowana2">
    <w:name w:val="List Bullet 2"/>
    <w:basedOn w:val="Normalny"/>
    <w:uiPriority w:val="99"/>
    <w:semiHidden/>
    <w:rsid w:val="00014566"/>
    <w:pPr>
      <w:numPr>
        <w:numId w:val="5"/>
      </w:numPr>
      <w:contextualSpacing/>
    </w:pPr>
  </w:style>
  <w:style w:type="paragraph" w:styleId="Listapunktowana3">
    <w:name w:val="List Bullet 3"/>
    <w:basedOn w:val="Normalny"/>
    <w:uiPriority w:val="99"/>
    <w:semiHidden/>
    <w:rsid w:val="00014566"/>
    <w:pPr>
      <w:numPr>
        <w:numId w:val="6"/>
      </w:numPr>
      <w:contextualSpacing/>
    </w:pPr>
  </w:style>
  <w:style w:type="paragraph" w:styleId="Listapunktowana4">
    <w:name w:val="List Bullet 4"/>
    <w:basedOn w:val="Normalny"/>
    <w:uiPriority w:val="99"/>
    <w:semiHidden/>
    <w:rsid w:val="00014566"/>
    <w:pPr>
      <w:numPr>
        <w:numId w:val="7"/>
      </w:numPr>
      <w:contextualSpacing/>
    </w:pPr>
  </w:style>
  <w:style w:type="paragraph" w:styleId="Listapunktowana5">
    <w:name w:val="List Bullet 5"/>
    <w:basedOn w:val="Normalny"/>
    <w:uiPriority w:val="99"/>
    <w:semiHidden/>
    <w:rsid w:val="00014566"/>
    <w:pPr>
      <w:numPr>
        <w:numId w:val="8"/>
      </w:numPr>
      <w:contextualSpacing/>
    </w:pPr>
  </w:style>
  <w:style w:type="paragraph" w:styleId="Lista-kontynuacja">
    <w:name w:val="List Continue"/>
    <w:basedOn w:val="Normalny"/>
    <w:uiPriority w:val="99"/>
    <w:semiHidden/>
    <w:rsid w:val="00014566"/>
    <w:pPr>
      <w:spacing w:after="120"/>
      <w:ind w:left="283"/>
      <w:contextualSpacing/>
    </w:pPr>
  </w:style>
  <w:style w:type="paragraph" w:styleId="Lista-kontynuacja2">
    <w:name w:val="List Continue 2"/>
    <w:basedOn w:val="Normalny"/>
    <w:uiPriority w:val="99"/>
    <w:semiHidden/>
    <w:rsid w:val="00014566"/>
    <w:pPr>
      <w:spacing w:after="120"/>
      <w:ind w:left="566"/>
      <w:contextualSpacing/>
    </w:pPr>
  </w:style>
  <w:style w:type="paragraph" w:styleId="Lista-kontynuacja3">
    <w:name w:val="List Continue 3"/>
    <w:basedOn w:val="Normalny"/>
    <w:uiPriority w:val="99"/>
    <w:semiHidden/>
    <w:rsid w:val="00014566"/>
    <w:pPr>
      <w:spacing w:after="120"/>
      <w:ind w:left="849"/>
      <w:contextualSpacing/>
    </w:pPr>
  </w:style>
  <w:style w:type="paragraph" w:styleId="Lista-kontynuacja4">
    <w:name w:val="List Continue 4"/>
    <w:basedOn w:val="Normalny"/>
    <w:uiPriority w:val="99"/>
    <w:semiHidden/>
    <w:rsid w:val="00014566"/>
    <w:pPr>
      <w:spacing w:after="120"/>
      <w:ind w:left="1132"/>
      <w:contextualSpacing/>
    </w:pPr>
  </w:style>
  <w:style w:type="paragraph" w:styleId="Lista-kontynuacja5">
    <w:name w:val="List Continue 5"/>
    <w:basedOn w:val="Normalny"/>
    <w:uiPriority w:val="99"/>
    <w:semiHidden/>
    <w:rsid w:val="00014566"/>
    <w:pPr>
      <w:spacing w:after="120"/>
      <w:ind w:left="1415"/>
      <w:contextualSpacing/>
    </w:pPr>
  </w:style>
  <w:style w:type="paragraph" w:styleId="Listanumerowana">
    <w:name w:val="List Number"/>
    <w:basedOn w:val="Normalny"/>
    <w:uiPriority w:val="99"/>
    <w:semiHidden/>
    <w:rsid w:val="00014566"/>
    <w:pPr>
      <w:numPr>
        <w:numId w:val="9"/>
      </w:numPr>
      <w:contextualSpacing/>
    </w:pPr>
  </w:style>
  <w:style w:type="paragraph" w:styleId="Listanumerowana2">
    <w:name w:val="List Number 2"/>
    <w:basedOn w:val="Normalny"/>
    <w:uiPriority w:val="99"/>
    <w:semiHidden/>
    <w:rsid w:val="00014566"/>
    <w:pPr>
      <w:numPr>
        <w:numId w:val="10"/>
      </w:numPr>
      <w:contextualSpacing/>
    </w:pPr>
  </w:style>
  <w:style w:type="paragraph" w:styleId="Listanumerowana3">
    <w:name w:val="List Number 3"/>
    <w:basedOn w:val="Normalny"/>
    <w:uiPriority w:val="99"/>
    <w:semiHidden/>
    <w:rsid w:val="00014566"/>
    <w:pPr>
      <w:numPr>
        <w:numId w:val="11"/>
      </w:numPr>
      <w:contextualSpacing/>
    </w:pPr>
  </w:style>
  <w:style w:type="paragraph" w:styleId="Listanumerowana4">
    <w:name w:val="List Number 4"/>
    <w:basedOn w:val="Normalny"/>
    <w:uiPriority w:val="99"/>
    <w:semiHidden/>
    <w:rsid w:val="00014566"/>
    <w:pPr>
      <w:numPr>
        <w:numId w:val="12"/>
      </w:numPr>
      <w:contextualSpacing/>
    </w:pPr>
  </w:style>
  <w:style w:type="paragraph" w:styleId="Listanumerowana5">
    <w:name w:val="List Number 5"/>
    <w:basedOn w:val="Normalny"/>
    <w:uiPriority w:val="99"/>
    <w:semiHidden/>
    <w:rsid w:val="00014566"/>
    <w:pPr>
      <w:numPr>
        <w:numId w:val="13"/>
      </w:numPr>
      <w:contextualSpacing/>
    </w:pPr>
  </w:style>
  <w:style w:type="paragraph" w:styleId="Tekstmakra">
    <w:name w:val="macro"/>
    <w:link w:val="TekstmakraZnak"/>
    <w:uiPriority w:val="99"/>
    <w:semiHidden/>
    <w:rsid w:val="00014566"/>
    <w:pPr>
      <w:tabs>
        <w:tab w:val="left" w:pos="480"/>
        <w:tab w:val="left" w:pos="960"/>
        <w:tab w:val="left" w:pos="1440"/>
        <w:tab w:val="left" w:pos="1920"/>
        <w:tab w:val="left" w:pos="2400"/>
        <w:tab w:val="left" w:pos="2880"/>
        <w:tab w:val="left" w:pos="3360"/>
        <w:tab w:val="left" w:pos="3840"/>
        <w:tab w:val="left" w:pos="4320"/>
      </w:tabs>
      <w:suppressAutoHyphens/>
    </w:pPr>
    <w:rPr>
      <w:rFonts w:ascii="Consolas" w:hAnsi="Consolas" w:cs="Consolas"/>
      <w:sz w:val="20"/>
      <w:szCs w:val="20"/>
      <w:lang w:val="en-GB" w:eastAsia="fr-FR"/>
    </w:rPr>
  </w:style>
  <w:style w:type="character" w:customStyle="1" w:styleId="TekstmakraZnak">
    <w:name w:val="Tekst makra Znak"/>
    <w:basedOn w:val="Domylnaczcionkaakapitu"/>
    <w:link w:val="Tekstmakra"/>
    <w:uiPriority w:val="99"/>
    <w:semiHidden/>
    <w:rsid w:val="00014566"/>
    <w:rPr>
      <w:rFonts w:ascii="Consolas" w:hAnsi="Consolas" w:cs="Consolas"/>
      <w:sz w:val="20"/>
      <w:szCs w:val="20"/>
      <w:lang w:val="en-GB" w:eastAsia="fr-FR"/>
    </w:rPr>
  </w:style>
  <w:style w:type="table" w:styleId="redniasiatka1">
    <w:name w:val="Medium Grid 1"/>
    <w:basedOn w:val="Standardowy"/>
    <w:uiPriority w:val="99"/>
    <w:semiHidden/>
    <w:rsid w:val="00014566"/>
    <w:rPr>
      <w:lang w:val="fr-FR" w:eastAsia="fr-FR"/>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redniasiatka1akcent1">
    <w:name w:val="Medium Grid 1 Accent 1"/>
    <w:basedOn w:val="Standardowy"/>
    <w:uiPriority w:val="99"/>
    <w:semiHidden/>
    <w:rsid w:val="00014566"/>
    <w:rPr>
      <w:lang w:val="fr-FR" w:eastAsia="fr-FR"/>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insideV w:val="single" w:sz="8" w:space="0" w:color="0D9FFF" w:themeColor="accent1" w:themeTint="BF"/>
      </w:tblBorders>
    </w:tblPr>
    <w:tcPr>
      <w:shd w:val="clear" w:color="auto" w:fill="AFDFFF" w:themeFill="accent1" w:themeFillTint="3F"/>
    </w:tcPr>
    <w:tblStylePr w:type="firstRow">
      <w:rPr>
        <w:b/>
        <w:bCs/>
      </w:rPr>
    </w:tblStylePr>
    <w:tblStylePr w:type="lastRow">
      <w:rPr>
        <w:b/>
        <w:bCs/>
      </w:rPr>
      <w:tblPr/>
      <w:tcPr>
        <w:tcBorders>
          <w:top w:val="single" w:sz="18" w:space="0" w:color="0D9FFF" w:themeColor="accent1" w:themeTint="BF"/>
        </w:tcBorders>
      </w:tcPr>
    </w:tblStylePr>
    <w:tblStylePr w:type="firstCol">
      <w:rPr>
        <w:b/>
        <w:bCs/>
      </w:rPr>
    </w:tblStylePr>
    <w:tblStylePr w:type="lastCol">
      <w:rPr>
        <w:b/>
        <w:bCs/>
      </w:r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redniasiatka1akcent2">
    <w:name w:val="Medium Grid 1 Accent 2"/>
    <w:basedOn w:val="Standardowy"/>
    <w:uiPriority w:val="99"/>
    <w:semiHidden/>
    <w:rsid w:val="00014566"/>
    <w:rPr>
      <w:lang w:val="fr-FR" w:eastAsia="fr-FR"/>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insideV w:val="single" w:sz="8" w:space="0" w:color="FF1010" w:themeColor="accent2" w:themeTint="BF"/>
      </w:tblBorders>
    </w:tblPr>
    <w:tcPr>
      <w:shd w:val="clear" w:color="auto" w:fill="FFB0B0" w:themeFill="accent2" w:themeFillTint="3F"/>
    </w:tcPr>
    <w:tblStylePr w:type="firstRow">
      <w:rPr>
        <w:b/>
        <w:bCs/>
      </w:rPr>
    </w:tblStylePr>
    <w:tblStylePr w:type="lastRow">
      <w:rPr>
        <w:b/>
        <w:bCs/>
      </w:rPr>
      <w:tblPr/>
      <w:tcPr>
        <w:tcBorders>
          <w:top w:val="single" w:sz="18" w:space="0" w:color="FF1010" w:themeColor="accent2" w:themeTint="BF"/>
        </w:tcBorders>
      </w:tcPr>
    </w:tblStylePr>
    <w:tblStylePr w:type="firstCol">
      <w:rPr>
        <w:b/>
        <w:bCs/>
      </w:rPr>
    </w:tblStylePr>
    <w:tblStylePr w:type="lastCol">
      <w:rPr>
        <w:b/>
        <w:bCs/>
      </w:r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redniasiatka1akcent3">
    <w:name w:val="Medium Grid 1 Accent 3"/>
    <w:basedOn w:val="Standardowy"/>
    <w:uiPriority w:val="99"/>
    <w:semiHidden/>
    <w:rsid w:val="00014566"/>
    <w:rPr>
      <w:lang w:val="fr-FR" w:eastAsia="fr-FR"/>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insideV w:val="single" w:sz="8" w:space="0" w:color="878787" w:themeColor="accent3" w:themeTint="BF"/>
      </w:tblBorders>
    </w:tblPr>
    <w:tcPr>
      <w:shd w:val="clear" w:color="auto" w:fill="D7D7D7" w:themeFill="accent3" w:themeFillTint="3F"/>
    </w:tcPr>
    <w:tblStylePr w:type="firstRow">
      <w:rPr>
        <w:b/>
        <w:bCs/>
      </w:rPr>
    </w:tblStylePr>
    <w:tblStylePr w:type="lastRow">
      <w:rPr>
        <w:b/>
        <w:bCs/>
      </w:rPr>
      <w:tblPr/>
      <w:tcPr>
        <w:tcBorders>
          <w:top w:val="single" w:sz="18" w:space="0" w:color="878787" w:themeColor="accent3" w:themeTint="BF"/>
        </w:tcBorders>
      </w:tcPr>
    </w:tblStylePr>
    <w:tblStylePr w:type="firstCol">
      <w:rPr>
        <w:b/>
        <w:bCs/>
      </w:rPr>
    </w:tblStylePr>
    <w:tblStylePr w:type="lastCol">
      <w:rPr>
        <w:b/>
        <w:bCs/>
      </w:r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redniasiatka1akcent4">
    <w:name w:val="Medium Grid 1 Accent 4"/>
    <w:basedOn w:val="Standardowy"/>
    <w:uiPriority w:val="99"/>
    <w:semiHidden/>
    <w:rsid w:val="00014566"/>
    <w:rPr>
      <w:lang w:val="fr-FR" w:eastAsia="fr-FR"/>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insideV w:val="single" w:sz="8" w:space="0" w:color="B0B0B0" w:themeColor="accent4" w:themeTint="BF"/>
      </w:tblBorders>
    </w:tblPr>
    <w:tcPr>
      <w:shd w:val="clear" w:color="auto" w:fill="E5E5E5" w:themeFill="accent4" w:themeFillTint="3F"/>
    </w:tcPr>
    <w:tblStylePr w:type="firstRow">
      <w:rPr>
        <w:b/>
        <w:bCs/>
      </w:rPr>
    </w:tblStylePr>
    <w:tblStylePr w:type="lastRow">
      <w:rPr>
        <w:b/>
        <w:bCs/>
      </w:rPr>
      <w:tblPr/>
      <w:tcPr>
        <w:tcBorders>
          <w:top w:val="single" w:sz="18" w:space="0" w:color="B0B0B0" w:themeColor="accent4" w:themeTint="BF"/>
        </w:tcBorders>
      </w:tcPr>
    </w:tblStylePr>
    <w:tblStylePr w:type="firstCol">
      <w:rPr>
        <w:b/>
        <w:bCs/>
      </w:rPr>
    </w:tblStylePr>
    <w:tblStylePr w:type="lastCol">
      <w:rPr>
        <w:b/>
        <w:bCs/>
      </w:r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redniasiatka1akcent5">
    <w:name w:val="Medium Grid 1 Accent 5"/>
    <w:basedOn w:val="Standardowy"/>
    <w:uiPriority w:val="99"/>
    <w:semiHidden/>
    <w:rsid w:val="00014566"/>
    <w:rPr>
      <w:lang w:val="fr-FR" w:eastAsia="fr-FR"/>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insideV w:val="single" w:sz="8" w:space="0" w:color="878787" w:themeColor="accent5" w:themeTint="BF"/>
      </w:tblBorders>
    </w:tblPr>
    <w:tcPr>
      <w:shd w:val="clear" w:color="auto" w:fill="D7D7D7" w:themeFill="accent5" w:themeFillTint="3F"/>
    </w:tcPr>
    <w:tblStylePr w:type="firstRow">
      <w:rPr>
        <w:b/>
        <w:bCs/>
      </w:rPr>
    </w:tblStylePr>
    <w:tblStylePr w:type="lastRow">
      <w:rPr>
        <w:b/>
        <w:bCs/>
      </w:rPr>
      <w:tblPr/>
      <w:tcPr>
        <w:tcBorders>
          <w:top w:val="single" w:sz="18" w:space="0" w:color="878787" w:themeColor="accent5" w:themeTint="BF"/>
        </w:tcBorders>
      </w:tcPr>
    </w:tblStylePr>
    <w:tblStylePr w:type="firstCol">
      <w:rPr>
        <w:b/>
        <w:bCs/>
      </w:rPr>
    </w:tblStylePr>
    <w:tblStylePr w:type="lastCol">
      <w:rPr>
        <w:b/>
        <w:bCs/>
      </w:r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redniasiatka1akcent6">
    <w:name w:val="Medium Grid 1 Accent 6"/>
    <w:basedOn w:val="Standardowy"/>
    <w:uiPriority w:val="99"/>
    <w:semiHidden/>
    <w:rsid w:val="00014566"/>
    <w:rPr>
      <w:lang w:val="fr-FR" w:eastAsia="fr-FR"/>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insideV w:val="single" w:sz="8" w:space="0" w:color="797979" w:themeColor="accent6" w:themeTint="BF"/>
      </w:tblBorders>
    </w:tblPr>
    <w:tcPr>
      <w:shd w:val="clear" w:color="auto" w:fill="D3D3D3" w:themeFill="accent6" w:themeFillTint="3F"/>
    </w:tcPr>
    <w:tblStylePr w:type="firstRow">
      <w:rPr>
        <w:b/>
        <w:bCs/>
      </w:rPr>
    </w:tblStylePr>
    <w:tblStylePr w:type="lastRow">
      <w:rPr>
        <w:b/>
        <w:bCs/>
      </w:rPr>
      <w:tblPr/>
      <w:tcPr>
        <w:tcBorders>
          <w:top w:val="single" w:sz="18" w:space="0" w:color="797979" w:themeColor="accent6" w:themeTint="BF"/>
        </w:tcBorders>
      </w:tcPr>
    </w:tblStylePr>
    <w:tblStylePr w:type="firstCol">
      <w:rPr>
        <w:b/>
        <w:bCs/>
      </w:rPr>
    </w:tblStylePr>
    <w:tblStylePr w:type="lastCol">
      <w:rPr>
        <w:b/>
        <w:bCs/>
      </w:r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redniasiatka2">
    <w:name w:val="Medium Grid 2"/>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0072BC" w:themeFill="background1"/>
      </w:tcPr>
    </w:tblStylePr>
  </w:style>
  <w:style w:type="table" w:styleId="redniasiatka2akcent1">
    <w:name w:val="Medium Grid 2 Accent 1"/>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cPr>
      <w:shd w:val="clear" w:color="auto" w:fill="AFDFFF" w:themeFill="accent1" w:themeFillTint="3F"/>
    </w:tcPr>
    <w:tblStylePr w:type="firstRow">
      <w:rPr>
        <w:b/>
        <w:bCs/>
        <w:color w:val="000000" w:themeColor="text1"/>
      </w:rPr>
      <w:tblPr/>
      <w:tcPr>
        <w:shd w:val="clear" w:color="auto" w:fill="DFF2FF"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BEE5FF" w:themeFill="accent1" w:themeFillTint="33"/>
      </w:tcPr>
    </w:tblStylePr>
    <w:tblStylePr w:type="band1Vert">
      <w:tblPr/>
      <w:tcPr>
        <w:shd w:val="clear" w:color="auto" w:fill="5EBFFF" w:themeFill="accent1" w:themeFillTint="7F"/>
      </w:tcPr>
    </w:tblStylePr>
    <w:tblStylePr w:type="band1Horz">
      <w:tblPr/>
      <w:tcPr>
        <w:tcBorders>
          <w:insideH w:val="single" w:sz="6" w:space="0" w:color="0072BC" w:themeColor="accent1"/>
          <w:insideV w:val="single" w:sz="6" w:space="0" w:color="0072BC" w:themeColor="accent1"/>
        </w:tcBorders>
        <w:shd w:val="clear" w:color="auto" w:fill="5EBFFF" w:themeFill="accent1" w:themeFillTint="7F"/>
      </w:tcPr>
    </w:tblStylePr>
    <w:tblStylePr w:type="nwCell">
      <w:tblPr/>
      <w:tcPr>
        <w:shd w:val="clear" w:color="auto" w:fill="0072BC" w:themeFill="background1"/>
      </w:tcPr>
    </w:tblStylePr>
  </w:style>
  <w:style w:type="table" w:styleId="redniasiatka2akcent2">
    <w:name w:val="Medium Grid 2 Accent 2"/>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cPr>
      <w:shd w:val="clear" w:color="auto" w:fill="FFB0B0" w:themeFill="accent2" w:themeFillTint="3F"/>
    </w:tcPr>
    <w:tblStylePr w:type="firstRow">
      <w:rPr>
        <w:b/>
        <w:bCs/>
        <w:color w:val="000000" w:themeColor="text1"/>
      </w:rPr>
      <w:tblPr/>
      <w:tcPr>
        <w:shd w:val="clear" w:color="auto" w:fill="FFDFDF"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BFBF" w:themeFill="accent2" w:themeFillTint="33"/>
      </w:tcPr>
    </w:tblStylePr>
    <w:tblStylePr w:type="band1Vert">
      <w:tblPr/>
      <w:tcPr>
        <w:shd w:val="clear" w:color="auto" w:fill="FF6060" w:themeFill="accent2" w:themeFillTint="7F"/>
      </w:tcPr>
    </w:tblStylePr>
    <w:tblStylePr w:type="band1Horz">
      <w:tblPr/>
      <w:tcPr>
        <w:tcBorders>
          <w:insideH w:val="single" w:sz="6" w:space="0" w:color="C00000" w:themeColor="accent2"/>
          <w:insideV w:val="single" w:sz="6" w:space="0" w:color="C00000" w:themeColor="accent2"/>
        </w:tcBorders>
        <w:shd w:val="clear" w:color="auto" w:fill="FF6060" w:themeFill="accent2" w:themeFillTint="7F"/>
      </w:tcPr>
    </w:tblStylePr>
    <w:tblStylePr w:type="nwCell">
      <w:tblPr/>
      <w:tcPr>
        <w:shd w:val="clear" w:color="auto" w:fill="0072BC" w:themeFill="background1"/>
      </w:tcPr>
    </w:tblStylePr>
  </w:style>
  <w:style w:type="table" w:styleId="redniasiatka2akcent3">
    <w:name w:val="Medium Grid 2 Accent 3"/>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cPr>
      <w:shd w:val="clear" w:color="auto" w:fill="D7D7D7" w:themeFill="accent3" w:themeFillTint="3F"/>
    </w:tcPr>
    <w:tblStylePr w:type="firstRow">
      <w:rPr>
        <w:b/>
        <w:bCs/>
        <w:color w:val="000000" w:themeColor="text1"/>
      </w:rPr>
      <w:tblPr/>
      <w:tcPr>
        <w:shd w:val="clear" w:color="auto" w:fill="EFEFEF"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3" w:themeFillTint="33"/>
      </w:tcPr>
    </w:tblStylePr>
    <w:tblStylePr w:type="band1Vert">
      <w:tblPr/>
      <w:tcPr>
        <w:shd w:val="clear" w:color="auto" w:fill="AFAFAF" w:themeFill="accent3" w:themeFillTint="7F"/>
      </w:tcPr>
    </w:tblStylePr>
    <w:tblStylePr w:type="band1Horz">
      <w:tblPr/>
      <w:tcPr>
        <w:tcBorders>
          <w:insideH w:val="single" w:sz="6" w:space="0" w:color="5F5F5F" w:themeColor="accent3"/>
          <w:insideV w:val="single" w:sz="6" w:space="0" w:color="5F5F5F" w:themeColor="accent3"/>
        </w:tcBorders>
        <w:shd w:val="clear" w:color="auto" w:fill="AFAFAF" w:themeFill="accent3" w:themeFillTint="7F"/>
      </w:tcPr>
    </w:tblStylePr>
    <w:tblStylePr w:type="nwCell">
      <w:tblPr/>
      <w:tcPr>
        <w:shd w:val="clear" w:color="auto" w:fill="0072BC" w:themeFill="background1"/>
      </w:tcPr>
    </w:tblStylePr>
  </w:style>
  <w:style w:type="table" w:styleId="redniasiatka2akcent4">
    <w:name w:val="Medium Grid 2 Accent 4"/>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cPr>
      <w:shd w:val="clear" w:color="auto" w:fill="E5E5E5" w:themeFill="accent4" w:themeFillTint="3F"/>
    </w:tcPr>
    <w:tblStylePr w:type="firstRow">
      <w:rPr>
        <w:b/>
        <w:bCs/>
        <w:color w:val="000000" w:themeColor="text1"/>
      </w:rPr>
      <w:tblPr/>
      <w:tcPr>
        <w:shd w:val="clear" w:color="auto" w:fill="F4F4F4"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EAEA" w:themeFill="accent4" w:themeFillTint="33"/>
      </w:tcPr>
    </w:tblStylePr>
    <w:tblStylePr w:type="band1Vert">
      <w:tblPr/>
      <w:tcPr>
        <w:shd w:val="clear" w:color="auto" w:fill="CACACA" w:themeFill="accent4" w:themeFillTint="7F"/>
      </w:tcPr>
    </w:tblStylePr>
    <w:tblStylePr w:type="band1Horz">
      <w:tblPr/>
      <w:tcPr>
        <w:tcBorders>
          <w:insideH w:val="single" w:sz="6" w:space="0" w:color="969696" w:themeColor="accent4"/>
          <w:insideV w:val="single" w:sz="6" w:space="0" w:color="969696" w:themeColor="accent4"/>
        </w:tcBorders>
        <w:shd w:val="clear" w:color="auto" w:fill="CACACA" w:themeFill="accent4" w:themeFillTint="7F"/>
      </w:tcPr>
    </w:tblStylePr>
    <w:tblStylePr w:type="nwCell">
      <w:tblPr/>
      <w:tcPr>
        <w:shd w:val="clear" w:color="auto" w:fill="0072BC" w:themeFill="background1"/>
      </w:tcPr>
    </w:tblStylePr>
  </w:style>
  <w:style w:type="table" w:styleId="redniasiatka2akcent5">
    <w:name w:val="Medium Grid 2 Accent 5"/>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cPr>
      <w:shd w:val="clear" w:color="auto" w:fill="D7D7D7" w:themeFill="accent5" w:themeFillTint="3F"/>
    </w:tcPr>
    <w:tblStylePr w:type="firstRow">
      <w:rPr>
        <w:b/>
        <w:bCs/>
        <w:color w:val="000000" w:themeColor="text1"/>
      </w:rPr>
      <w:tblPr/>
      <w:tcPr>
        <w:shd w:val="clear" w:color="auto" w:fill="EFEFEF"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5" w:themeFillTint="33"/>
      </w:tcPr>
    </w:tblStylePr>
    <w:tblStylePr w:type="band1Vert">
      <w:tblPr/>
      <w:tcPr>
        <w:shd w:val="clear" w:color="auto" w:fill="AFAFAF" w:themeFill="accent5" w:themeFillTint="7F"/>
      </w:tcPr>
    </w:tblStylePr>
    <w:tblStylePr w:type="band1Horz">
      <w:tblPr/>
      <w:tcPr>
        <w:tcBorders>
          <w:insideH w:val="single" w:sz="6" w:space="0" w:color="5F5F5F" w:themeColor="accent5"/>
          <w:insideV w:val="single" w:sz="6" w:space="0" w:color="5F5F5F" w:themeColor="accent5"/>
        </w:tcBorders>
        <w:shd w:val="clear" w:color="auto" w:fill="AFAFAF" w:themeFill="accent5" w:themeFillTint="7F"/>
      </w:tcPr>
    </w:tblStylePr>
    <w:tblStylePr w:type="nwCell">
      <w:tblPr/>
      <w:tcPr>
        <w:shd w:val="clear" w:color="auto" w:fill="0072BC" w:themeFill="background1"/>
      </w:tcPr>
    </w:tblStylePr>
  </w:style>
  <w:style w:type="table" w:styleId="redniasiatka2akcent6">
    <w:name w:val="Medium Grid 2 Accent 6"/>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cPr>
      <w:shd w:val="clear" w:color="auto" w:fill="D3D3D3" w:themeFill="accent6" w:themeFillTint="3F"/>
    </w:tcPr>
    <w:tblStylePr w:type="firstRow">
      <w:rPr>
        <w:b/>
        <w:bCs/>
        <w:color w:val="000000" w:themeColor="text1"/>
      </w:rPr>
      <w:tblPr/>
      <w:tcPr>
        <w:shd w:val="clear" w:color="auto" w:fill="EDEDED"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DBDB" w:themeFill="accent6" w:themeFillTint="33"/>
      </w:tcPr>
    </w:tblStylePr>
    <w:tblStylePr w:type="band1Vert">
      <w:tblPr/>
      <w:tcPr>
        <w:shd w:val="clear" w:color="auto" w:fill="A6A6A6" w:themeFill="accent6" w:themeFillTint="7F"/>
      </w:tcPr>
    </w:tblStylePr>
    <w:tblStylePr w:type="band1Horz">
      <w:tblPr/>
      <w:tcPr>
        <w:tcBorders>
          <w:insideH w:val="single" w:sz="6" w:space="0" w:color="4D4D4D" w:themeColor="accent6"/>
          <w:insideV w:val="single" w:sz="6" w:space="0" w:color="4D4D4D" w:themeColor="accent6"/>
        </w:tcBorders>
        <w:shd w:val="clear" w:color="auto" w:fill="A6A6A6" w:themeFill="accent6" w:themeFillTint="7F"/>
      </w:tcPr>
    </w:tblStylePr>
    <w:tblStylePr w:type="nwCell">
      <w:tblPr/>
      <w:tcPr>
        <w:shd w:val="clear" w:color="auto" w:fill="0072BC" w:themeFill="background1"/>
      </w:tcPr>
    </w:tblStylePr>
  </w:style>
  <w:style w:type="table" w:styleId="redniasiatka3">
    <w:name w:val="Medium Grid 3"/>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C0C0C0" w:themeFill="tex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0000" w:themeFill="tex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0000" w:themeFill="tex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808080" w:themeFill="tex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808080" w:themeFill="text1" w:themeFillTint="7F"/>
      </w:tcPr>
    </w:tblStylePr>
  </w:style>
  <w:style w:type="table" w:styleId="redniasiatka3akcent1">
    <w:name w:val="Medium Grid 3 Accent 1"/>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AFDFFF" w:themeFill="accen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72BC" w:themeFill="accen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72BC" w:themeFill="accen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5EBFFF" w:themeFill="accen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5EBFFF" w:themeFill="accent1" w:themeFillTint="7F"/>
      </w:tcPr>
    </w:tblStylePr>
  </w:style>
  <w:style w:type="table" w:styleId="redniasiatka3akcent2">
    <w:name w:val="Medium Grid 3 Accent 2"/>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FFB0B0" w:themeFill="accent2"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C00000" w:themeFill="accent2"/>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C00000" w:themeFill="accent2"/>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FF6060" w:themeFill="accent2"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FF6060" w:themeFill="accent2" w:themeFillTint="7F"/>
      </w:tcPr>
    </w:tblStylePr>
  </w:style>
  <w:style w:type="table" w:styleId="redniasiatka3akcent3">
    <w:name w:val="Medium Grid 3 Accent 3"/>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3"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3"/>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3"/>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3"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3" w:themeFillTint="7F"/>
      </w:tcPr>
    </w:tblStylePr>
  </w:style>
  <w:style w:type="table" w:styleId="redniasiatka3akcent4">
    <w:name w:val="Medium Grid 3 Accent 4"/>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E5E5E5" w:themeFill="accent4"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969696" w:themeFill="accent4"/>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969696" w:themeFill="accent4"/>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CACACA" w:themeFill="accent4"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CACACA" w:themeFill="accent4" w:themeFillTint="7F"/>
      </w:tcPr>
    </w:tblStylePr>
  </w:style>
  <w:style w:type="table" w:styleId="redniasiatka3akcent5">
    <w:name w:val="Medium Grid 3 Accent 5"/>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5"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5"/>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5"/>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5"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5" w:themeFillTint="7F"/>
      </w:tcPr>
    </w:tblStylePr>
  </w:style>
  <w:style w:type="table" w:styleId="redniasiatka3akcent6">
    <w:name w:val="Medium Grid 3 Accent 6"/>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3D3D3" w:themeFill="accent6"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4D4D4D" w:themeFill="accent6"/>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4D4D4D" w:themeFill="accent6"/>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6A6A6" w:themeFill="accent6"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6A6A6" w:themeFill="accent6" w:themeFillTint="7F"/>
      </w:tcPr>
    </w:tblStylePr>
  </w:style>
  <w:style w:type="table" w:styleId="rednialista1">
    <w:name w:val="Medium List 1"/>
    <w:basedOn w:val="Standardowy"/>
    <w:uiPriority w:val="99"/>
    <w:semiHidden/>
    <w:rsid w:val="00014566"/>
    <w:rPr>
      <w:color w:val="000000" w:themeColor="text1"/>
      <w:lang w:val="fr-FR" w:eastAsia="fr-FR"/>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C6C6C6"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rednialista1akcent1">
    <w:name w:val="Medium List 1 Accent 1"/>
    <w:basedOn w:val="Standardowy"/>
    <w:uiPriority w:val="99"/>
    <w:semiHidden/>
    <w:rsid w:val="00014566"/>
    <w:rPr>
      <w:color w:val="000000" w:themeColor="text1"/>
      <w:lang w:val="fr-FR" w:eastAsia="fr-FR"/>
    </w:rPr>
    <w:tblPr>
      <w:tblStyleRowBandSize w:val="1"/>
      <w:tblStyleColBandSize w:val="1"/>
      <w:tblBorders>
        <w:top w:val="single" w:sz="8" w:space="0" w:color="0072BC" w:themeColor="accent1"/>
        <w:bottom w:val="single" w:sz="8" w:space="0" w:color="0072BC" w:themeColor="accent1"/>
      </w:tblBorders>
    </w:tblPr>
    <w:tblStylePr w:type="firstRow">
      <w:rPr>
        <w:rFonts w:asciiTheme="majorHAnsi" w:eastAsiaTheme="majorEastAsia" w:hAnsiTheme="majorHAnsi" w:cstheme="majorBidi"/>
      </w:rPr>
      <w:tblPr/>
      <w:tcPr>
        <w:tcBorders>
          <w:top w:val="nil"/>
          <w:bottom w:val="single" w:sz="8" w:space="0" w:color="0072BC" w:themeColor="accent1"/>
        </w:tcBorders>
      </w:tcPr>
    </w:tblStylePr>
    <w:tblStylePr w:type="lastRow">
      <w:rPr>
        <w:b/>
        <w:bCs/>
        <w:color w:val="C6C6C6" w:themeColor="text2"/>
      </w:rPr>
      <w:tblPr/>
      <w:tcPr>
        <w:tcBorders>
          <w:top w:val="single" w:sz="8" w:space="0" w:color="0072BC" w:themeColor="accent1"/>
          <w:bottom w:val="single" w:sz="8" w:space="0" w:color="0072BC" w:themeColor="accent1"/>
        </w:tcBorders>
      </w:tcPr>
    </w:tblStylePr>
    <w:tblStylePr w:type="firstCol">
      <w:rPr>
        <w:b/>
        <w:bCs/>
      </w:rPr>
    </w:tblStylePr>
    <w:tblStylePr w:type="lastCol">
      <w:rPr>
        <w:b/>
        <w:bCs/>
      </w:rPr>
      <w:tblPr/>
      <w:tcPr>
        <w:tcBorders>
          <w:top w:val="single" w:sz="8" w:space="0" w:color="0072BC" w:themeColor="accent1"/>
          <w:bottom w:val="single" w:sz="8" w:space="0" w:color="0072BC" w:themeColor="accent1"/>
        </w:tcBorders>
      </w:tcPr>
    </w:tblStylePr>
    <w:tblStylePr w:type="band1Vert">
      <w:tblPr/>
      <w:tcPr>
        <w:shd w:val="clear" w:color="auto" w:fill="AFDFFF" w:themeFill="accent1" w:themeFillTint="3F"/>
      </w:tcPr>
    </w:tblStylePr>
    <w:tblStylePr w:type="band1Horz">
      <w:tblPr/>
      <w:tcPr>
        <w:shd w:val="clear" w:color="auto" w:fill="AFDFFF" w:themeFill="accent1" w:themeFillTint="3F"/>
      </w:tcPr>
    </w:tblStylePr>
  </w:style>
  <w:style w:type="table" w:styleId="rednialista1akcent2">
    <w:name w:val="Medium List 1 Accent 2"/>
    <w:basedOn w:val="Standardowy"/>
    <w:uiPriority w:val="99"/>
    <w:semiHidden/>
    <w:rsid w:val="00014566"/>
    <w:rPr>
      <w:color w:val="000000" w:themeColor="text1"/>
      <w:lang w:val="fr-FR" w:eastAsia="fr-FR"/>
    </w:rPr>
    <w:tblPr>
      <w:tblStyleRowBandSize w:val="1"/>
      <w:tblStyleColBandSize w:val="1"/>
      <w:tblBorders>
        <w:top w:val="single" w:sz="8" w:space="0" w:color="C00000" w:themeColor="accent2"/>
        <w:bottom w:val="single" w:sz="8" w:space="0" w:color="C00000" w:themeColor="accent2"/>
      </w:tblBorders>
    </w:tblPr>
    <w:tblStylePr w:type="firstRow">
      <w:rPr>
        <w:rFonts w:asciiTheme="majorHAnsi" w:eastAsiaTheme="majorEastAsia" w:hAnsiTheme="majorHAnsi" w:cstheme="majorBidi"/>
      </w:rPr>
      <w:tblPr/>
      <w:tcPr>
        <w:tcBorders>
          <w:top w:val="nil"/>
          <w:bottom w:val="single" w:sz="8" w:space="0" w:color="C00000" w:themeColor="accent2"/>
        </w:tcBorders>
      </w:tcPr>
    </w:tblStylePr>
    <w:tblStylePr w:type="lastRow">
      <w:rPr>
        <w:b/>
        <w:bCs/>
        <w:color w:val="C6C6C6" w:themeColor="text2"/>
      </w:rPr>
      <w:tblPr/>
      <w:tcPr>
        <w:tcBorders>
          <w:top w:val="single" w:sz="8" w:space="0" w:color="C00000" w:themeColor="accent2"/>
          <w:bottom w:val="single" w:sz="8" w:space="0" w:color="C00000" w:themeColor="accent2"/>
        </w:tcBorders>
      </w:tcPr>
    </w:tblStylePr>
    <w:tblStylePr w:type="firstCol">
      <w:rPr>
        <w:b/>
        <w:bCs/>
      </w:rPr>
    </w:tblStylePr>
    <w:tblStylePr w:type="lastCol">
      <w:rPr>
        <w:b/>
        <w:bCs/>
      </w:rPr>
      <w:tblPr/>
      <w:tcPr>
        <w:tcBorders>
          <w:top w:val="single" w:sz="8" w:space="0" w:color="C00000" w:themeColor="accent2"/>
          <w:bottom w:val="single" w:sz="8" w:space="0" w:color="C00000" w:themeColor="accent2"/>
        </w:tcBorders>
      </w:tcPr>
    </w:tblStylePr>
    <w:tblStylePr w:type="band1Vert">
      <w:tblPr/>
      <w:tcPr>
        <w:shd w:val="clear" w:color="auto" w:fill="FFB0B0" w:themeFill="accent2" w:themeFillTint="3F"/>
      </w:tcPr>
    </w:tblStylePr>
    <w:tblStylePr w:type="band1Horz">
      <w:tblPr/>
      <w:tcPr>
        <w:shd w:val="clear" w:color="auto" w:fill="FFB0B0" w:themeFill="accent2" w:themeFillTint="3F"/>
      </w:tcPr>
    </w:tblStylePr>
  </w:style>
  <w:style w:type="table" w:styleId="rednialista1akcent3">
    <w:name w:val="Medium List 1 Accent 3"/>
    <w:basedOn w:val="Standardowy"/>
    <w:uiPriority w:val="99"/>
    <w:semiHidden/>
    <w:rsid w:val="00014566"/>
    <w:rPr>
      <w:color w:val="000000" w:themeColor="text1"/>
      <w:lang w:val="fr-FR" w:eastAsia="fr-FR"/>
    </w:rPr>
    <w:tblPr>
      <w:tblStyleRowBandSize w:val="1"/>
      <w:tblStyleColBandSize w:val="1"/>
      <w:tblBorders>
        <w:top w:val="single" w:sz="8" w:space="0" w:color="5F5F5F" w:themeColor="accent3"/>
        <w:bottom w:val="single" w:sz="8" w:space="0" w:color="5F5F5F" w:themeColor="accent3"/>
      </w:tblBorders>
    </w:tblPr>
    <w:tblStylePr w:type="firstRow">
      <w:rPr>
        <w:rFonts w:asciiTheme="majorHAnsi" w:eastAsiaTheme="majorEastAsia" w:hAnsiTheme="majorHAnsi" w:cstheme="majorBidi"/>
      </w:rPr>
      <w:tblPr/>
      <w:tcPr>
        <w:tcBorders>
          <w:top w:val="nil"/>
          <w:bottom w:val="single" w:sz="8" w:space="0" w:color="5F5F5F" w:themeColor="accent3"/>
        </w:tcBorders>
      </w:tcPr>
    </w:tblStylePr>
    <w:tblStylePr w:type="lastRow">
      <w:rPr>
        <w:b/>
        <w:bCs/>
        <w:color w:val="C6C6C6" w:themeColor="text2"/>
      </w:rPr>
      <w:tblPr/>
      <w:tcPr>
        <w:tcBorders>
          <w:top w:val="single" w:sz="8" w:space="0" w:color="5F5F5F" w:themeColor="accent3"/>
          <w:bottom w:val="single" w:sz="8" w:space="0" w:color="5F5F5F" w:themeColor="accent3"/>
        </w:tcBorders>
      </w:tcPr>
    </w:tblStylePr>
    <w:tblStylePr w:type="firstCol">
      <w:rPr>
        <w:b/>
        <w:bCs/>
      </w:rPr>
    </w:tblStylePr>
    <w:tblStylePr w:type="lastCol">
      <w:rPr>
        <w:b/>
        <w:bCs/>
      </w:rPr>
      <w:tblPr/>
      <w:tcPr>
        <w:tcBorders>
          <w:top w:val="single" w:sz="8" w:space="0" w:color="5F5F5F" w:themeColor="accent3"/>
          <w:bottom w:val="single" w:sz="8" w:space="0" w:color="5F5F5F" w:themeColor="accent3"/>
        </w:tcBorders>
      </w:tcPr>
    </w:tblStylePr>
    <w:tblStylePr w:type="band1Vert">
      <w:tblPr/>
      <w:tcPr>
        <w:shd w:val="clear" w:color="auto" w:fill="D7D7D7" w:themeFill="accent3" w:themeFillTint="3F"/>
      </w:tcPr>
    </w:tblStylePr>
    <w:tblStylePr w:type="band1Horz">
      <w:tblPr/>
      <w:tcPr>
        <w:shd w:val="clear" w:color="auto" w:fill="D7D7D7" w:themeFill="accent3" w:themeFillTint="3F"/>
      </w:tcPr>
    </w:tblStylePr>
  </w:style>
  <w:style w:type="table" w:styleId="rednialista1akcent4">
    <w:name w:val="Medium List 1 Accent 4"/>
    <w:basedOn w:val="Standardowy"/>
    <w:uiPriority w:val="99"/>
    <w:semiHidden/>
    <w:rsid w:val="00014566"/>
    <w:rPr>
      <w:color w:val="000000" w:themeColor="text1"/>
      <w:lang w:val="fr-FR" w:eastAsia="fr-FR"/>
    </w:rPr>
    <w:tblPr>
      <w:tblStyleRowBandSize w:val="1"/>
      <w:tblStyleColBandSize w:val="1"/>
      <w:tblBorders>
        <w:top w:val="single" w:sz="8" w:space="0" w:color="969696" w:themeColor="accent4"/>
        <w:bottom w:val="single" w:sz="8" w:space="0" w:color="969696" w:themeColor="accent4"/>
      </w:tblBorders>
    </w:tblPr>
    <w:tblStylePr w:type="firstRow">
      <w:rPr>
        <w:rFonts w:asciiTheme="majorHAnsi" w:eastAsiaTheme="majorEastAsia" w:hAnsiTheme="majorHAnsi" w:cstheme="majorBidi"/>
      </w:rPr>
      <w:tblPr/>
      <w:tcPr>
        <w:tcBorders>
          <w:top w:val="nil"/>
          <w:bottom w:val="single" w:sz="8" w:space="0" w:color="969696" w:themeColor="accent4"/>
        </w:tcBorders>
      </w:tcPr>
    </w:tblStylePr>
    <w:tblStylePr w:type="lastRow">
      <w:rPr>
        <w:b/>
        <w:bCs/>
        <w:color w:val="C6C6C6" w:themeColor="text2"/>
      </w:rPr>
      <w:tblPr/>
      <w:tcPr>
        <w:tcBorders>
          <w:top w:val="single" w:sz="8" w:space="0" w:color="969696" w:themeColor="accent4"/>
          <w:bottom w:val="single" w:sz="8" w:space="0" w:color="969696" w:themeColor="accent4"/>
        </w:tcBorders>
      </w:tcPr>
    </w:tblStylePr>
    <w:tblStylePr w:type="firstCol">
      <w:rPr>
        <w:b/>
        <w:bCs/>
      </w:rPr>
    </w:tblStylePr>
    <w:tblStylePr w:type="lastCol">
      <w:rPr>
        <w:b/>
        <w:bCs/>
      </w:rPr>
      <w:tblPr/>
      <w:tcPr>
        <w:tcBorders>
          <w:top w:val="single" w:sz="8" w:space="0" w:color="969696" w:themeColor="accent4"/>
          <w:bottom w:val="single" w:sz="8" w:space="0" w:color="969696" w:themeColor="accent4"/>
        </w:tcBorders>
      </w:tcPr>
    </w:tblStylePr>
    <w:tblStylePr w:type="band1Vert">
      <w:tblPr/>
      <w:tcPr>
        <w:shd w:val="clear" w:color="auto" w:fill="E5E5E5" w:themeFill="accent4" w:themeFillTint="3F"/>
      </w:tcPr>
    </w:tblStylePr>
    <w:tblStylePr w:type="band1Horz">
      <w:tblPr/>
      <w:tcPr>
        <w:shd w:val="clear" w:color="auto" w:fill="E5E5E5" w:themeFill="accent4" w:themeFillTint="3F"/>
      </w:tcPr>
    </w:tblStylePr>
  </w:style>
  <w:style w:type="table" w:styleId="rednialista1akcent5">
    <w:name w:val="Medium List 1 Accent 5"/>
    <w:basedOn w:val="Standardowy"/>
    <w:uiPriority w:val="99"/>
    <w:semiHidden/>
    <w:rsid w:val="00014566"/>
    <w:rPr>
      <w:color w:val="000000" w:themeColor="text1"/>
      <w:lang w:val="fr-FR" w:eastAsia="fr-FR"/>
    </w:rPr>
    <w:tblPr>
      <w:tblStyleRowBandSize w:val="1"/>
      <w:tblStyleColBandSize w:val="1"/>
      <w:tblBorders>
        <w:top w:val="single" w:sz="8" w:space="0" w:color="5F5F5F" w:themeColor="accent5"/>
        <w:bottom w:val="single" w:sz="8" w:space="0" w:color="5F5F5F" w:themeColor="accent5"/>
      </w:tblBorders>
    </w:tblPr>
    <w:tblStylePr w:type="firstRow">
      <w:rPr>
        <w:rFonts w:asciiTheme="majorHAnsi" w:eastAsiaTheme="majorEastAsia" w:hAnsiTheme="majorHAnsi" w:cstheme="majorBidi"/>
      </w:rPr>
      <w:tblPr/>
      <w:tcPr>
        <w:tcBorders>
          <w:top w:val="nil"/>
          <w:bottom w:val="single" w:sz="8" w:space="0" w:color="5F5F5F" w:themeColor="accent5"/>
        </w:tcBorders>
      </w:tcPr>
    </w:tblStylePr>
    <w:tblStylePr w:type="lastRow">
      <w:rPr>
        <w:b/>
        <w:bCs/>
        <w:color w:val="C6C6C6" w:themeColor="text2"/>
      </w:rPr>
      <w:tblPr/>
      <w:tcPr>
        <w:tcBorders>
          <w:top w:val="single" w:sz="8" w:space="0" w:color="5F5F5F" w:themeColor="accent5"/>
          <w:bottom w:val="single" w:sz="8" w:space="0" w:color="5F5F5F" w:themeColor="accent5"/>
        </w:tcBorders>
      </w:tcPr>
    </w:tblStylePr>
    <w:tblStylePr w:type="firstCol">
      <w:rPr>
        <w:b/>
        <w:bCs/>
      </w:rPr>
    </w:tblStylePr>
    <w:tblStylePr w:type="lastCol">
      <w:rPr>
        <w:b/>
        <w:bCs/>
      </w:rPr>
      <w:tblPr/>
      <w:tcPr>
        <w:tcBorders>
          <w:top w:val="single" w:sz="8" w:space="0" w:color="5F5F5F" w:themeColor="accent5"/>
          <w:bottom w:val="single" w:sz="8" w:space="0" w:color="5F5F5F" w:themeColor="accent5"/>
        </w:tcBorders>
      </w:tcPr>
    </w:tblStylePr>
    <w:tblStylePr w:type="band1Vert">
      <w:tblPr/>
      <w:tcPr>
        <w:shd w:val="clear" w:color="auto" w:fill="D7D7D7" w:themeFill="accent5" w:themeFillTint="3F"/>
      </w:tcPr>
    </w:tblStylePr>
    <w:tblStylePr w:type="band1Horz">
      <w:tblPr/>
      <w:tcPr>
        <w:shd w:val="clear" w:color="auto" w:fill="D7D7D7" w:themeFill="accent5" w:themeFillTint="3F"/>
      </w:tcPr>
    </w:tblStylePr>
  </w:style>
  <w:style w:type="table" w:styleId="rednialista1akcent6">
    <w:name w:val="Medium List 1 Accent 6"/>
    <w:basedOn w:val="Standardowy"/>
    <w:uiPriority w:val="99"/>
    <w:semiHidden/>
    <w:rsid w:val="00014566"/>
    <w:rPr>
      <w:color w:val="000000" w:themeColor="text1"/>
      <w:lang w:val="fr-FR" w:eastAsia="fr-FR"/>
    </w:rPr>
    <w:tblPr>
      <w:tblStyleRowBandSize w:val="1"/>
      <w:tblStyleColBandSize w:val="1"/>
      <w:tblBorders>
        <w:top w:val="single" w:sz="8" w:space="0" w:color="4D4D4D" w:themeColor="accent6"/>
        <w:bottom w:val="single" w:sz="8" w:space="0" w:color="4D4D4D" w:themeColor="accent6"/>
      </w:tblBorders>
    </w:tblPr>
    <w:tblStylePr w:type="firstRow">
      <w:rPr>
        <w:rFonts w:asciiTheme="majorHAnsi" w:eastAsiaTheme="majorEastAsia" w:hAnsiTheme="majorHAnsi" w:cstheme="majorBidi"/>
      </w:rPr>
      <w:tblPr/>
      <w:tcPr>
        <w:tcBorders>
          <w:top w:val="nil"/>
          <w:bottom w:val="single" w:sz="8" w:space="0" w:color="4D4D4D" w:themeColor="accent6"/>
        </w:tcBorders>
      </w:tcPr>
    </w:tblStylePr>
    <w:tblStylePr w:type="lastRow">
      <w:rPr>
        <w:b/>
        <w:bCs/>
        <w:color w:val="C6C6C6" w:themeColor="text2"/>
      </w:rPr>
      <w:tblPr/>
      <w:tcPr>
        <w:tcBorders>
          <w:top w:val="single" w:sz="8" w:space="0" w:color="4D4D4D" w:themeColor="accent6"/>
          <w:bottom w:val="single" w:sz="8" w:space="0" w:color="4D4D4D" w:themeColor="accent6"/>
        </w:tcBorders>
      </w:tcPr>
    </w:tblStylePr>
    <w:tblStylePr w:type="firstCol">
      <w:rPr>
        <w:b/>
        <w:bCs/>
      </w:rPr>
    </w:tblStylePr>
    <w:tblStylePr w:type="lastCol">
      <w:rPr>
        <w:b/>
        <w:bCs/>
      </w:rPr>
      <w:tblPr/>
      <w:tcPr>
        <w:tcBorders>
          <w:top w:val="single" w:sz="8" w:space="0" w:color="4D4D4D" w:themeColor="accent6"/>
          <w:bottom w:val="single" w:sz="8" w:space="0" w:color="4D4D4D" w:themeColor="accent6"/>
        </w:tcBorders>
      </w:tcPr>
    </w:tblStylePr>
    <w:tblStylePr w:type="band1Vert">
      <w:tblPr/>
      <w:tcPr>
        <w:shd w:val="clear" w:color="auto" w:fill="D3D3D3" w:themeFill="accent6" w:themeFillTint="3F"/>
      </w:tcPr>
    </w:tblStylePr>
    <w:tblStylePr w:type="band1Horz">
      <w:tblPr/>
      <w:tcPr>
        <w:shd w:val="clear" w:color="auto" w:fill="D3D3D3" w:themeFill="accent6" w:themeFillTint="3F"/>
      </w:tcPr>
    </w:tblStylePr>
  </w:style>
  <w:style w:type="table" w:styleId="rednialista2">
    <w:name w:val="Medium List 2"/>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0072BC" w:themeFill="background1"/>
      </w:tcPr>
    </w:tblStylePr>
    <w:tblStylePr w:type="lastRow">
      <w:tblPr/>
      <w:tcPr>
        <w:tcBorders>
          <w:top w:val="single" w:sz="8" w:space="0" w:color="000000" w:themeColor="tex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0000" w:themeColor="text1"/>
          <w:insideH w:val="nil"/>
          <w:insideV w:val="nil"/>
        </w:tcBorders>
        <w:shd w:val="clear" w:color="auto" w:fill="0072BC" w:themeFill="background1"/>
      </w:tcPr>
    </w:tblStylePr>
    <w:tblStylePr w:type="lastCol">
      <w:tblPr/>
      <w:tcPr>
        <w:tcBorders>
          <w:top w:val="nil"/>
          <w:left w:val="single" w:sz="8" w:space="0" w:color="000000" w:themeColor="tex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1">
    <w:name w:val="Medium List 2 Accent 1"/>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rPr>
        <w:sz w:val="24"/>
        <w:szCs w:val="24"/>
      </w:rPr>
      <w:tblPr/>
      <w:tcPr>
        <w:tcBorders>
          <w:top w:val="nil"/>
          <w:left w:val="nil"/>
          <w:bottom w:val="single" w:sz="24" w:space="0" w:color="0072BC" w:themeColor="accent1"/>
          <w:right w:val="nil"/>
          <w:insideH w:val="nil"/>
          <w:insideV w:val="nil"/>
        </w:tcBorders>
        <w:shd w:val="clear" w:color="auto" w:fill="0072BC" w:themeFill="background1"/>
      </w:tcPr>
    </w:tblStylePr>
    <w:tblStylePr w:type="lastRow">
      <w:tblPr/>
      <w:tcPr>
        <w:tcBorders>
          <w:top w:val="single" w:sz="8" w:space="0" w:color="0072BC" w:themeColor="accen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72BC" w:themeColor="accent1"/>
          <w:insideH w:val="nil"/>
          <w:insideV w:val="nil"/>
        </w:tcBorders>
        <w:shd w:val="clear" w:color="auto" w:fill="0072BC" w:themeFill="background1"/>
      </w:tcPr>
    </w:tblStylePr>
    <w:tblStylePr w:type="lastCol">
      <w:tblPr/>
      <w:tcPr>
        <w:tcBorders>
          <w:top w:val="nil"/>
          <w:left w:val="single" w:sz="8" w:space="0" w:color="0072BC" w:themeColor="accen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top w:val="nil"/>
          <w:bottom w:val="nil"/>
          <w:insideH w:val="nil"/>
          <w:insideV w:val="nil"/>
        </w:tcBorders>
        <w:shd w:val="clear" w:color="auto" w:fill="AFDFFF" w:themeFill="accen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2">
    <w:name w:val="Medium List 2 Accent 2"/>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rPr>
        <w:sz w:val="24"/>
        <w:szCs w:val="24"/>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tblPr/>
      <w:tcPr>
        <w:tcBorders>
          <w:top w:val="single" w:sz="8" w:space="0" w:color="C00000" w:themeColor="accent2"/>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C00000" w:themeColor="accent2"/>
          <w:insideH w:val="nil"/>
          <w:insideV w:val="nil"/>
        </w:tcBorders>
        <w:shd w:val="clear" w:color="auto" w:fill="0072BC" w:themeFill="background1"/>
      </w:tcPr>
    </w:tblStylePr>
    <w:tblStylePr w:type="lastCol">
      <w:tblPr/>
      <w:tcPr>
        <w:tcBorders>
          <w:top w:val="nil"/>
          <w:left w:val="single" w:sz="8" w:space="0" w:color="C00000" w:themeColor="accent2"/>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top w:val="nil"/>
          <w:bottom w:val="nil"/>
          <w:insideH w:val="nil"/>
          <w:insideV w:val="nil"/>
        </w:tcBorders>
        <w:shd w:val="clear" w:color="auto" w:fill="FFB0B0" w:themeFill="accent2"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3">
    <w:name w:val="Medium List 2 Accent 3"/>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rPr>
        <w:sz w:val="24"/>
        <w:szCs w:val="24"/>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tblPr/>
      <w:tcPr>
        <w:tcBorders>
          <w:top w:val="single" w:sz="8" w:space="0" w:color="5F5F5F" w:themeColor="accent3"/>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3"/>
          <w:insideH w:val="nil"/>
          <w:insideV w:val="nil"/>
        </w:tcBorders>
        <w:shd w:val="clear" w:color="auto" w:fill="0072BC" w:themeFill="background1"/>
      </w:tcPr>
    </w:tblStylePr>
    <w:tblStylePr w:type="lastCol">
      <w:tblPr/>
      <w:tcPr>
        <w:tcBorders>
          <w:top w:val="nil"/>
          <w:left w:val="single" w:sz="8" w:space="0" w:color="5F5F5F" w:themeColor="accent3"/>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top w:val="nil"/>
          <w:bottom w:val="nil"/>
          <w:insideH w:val="nil"/>
          <w:insideV w:val="nil"/>
        </w:tcBorders>
        <w:shd w:val="clear" w:color="auto" w:fill="D7D7D7" w:themeFill="accent3"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4">
    <w:name w:val="Medium List 2 Accent 4"/>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rPr>
        <w:sz w:val="24"/>
        <w:szCs w:val="24"/>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tblPr/>
      <w:tcPr>
        <w:tcBorders>
          <w:top w:val="single" w:sz="8" w:space="0" w:color="969696" w:themeColor="accent4"/>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969696" w:themeColor="accent4"/>
          <w:insideH w:val="nil"/>
          <w:insideV w:val="nil"/>
        </w:tcBorders>
        <w:shd w:val="clear" w:color="auto" w:fill="0072BC" w:themeFill="background1"/>
      </w:tcPr>
    </w:tblStylePr>
    <w:tblStylePr w:type="lastCol">
      <w:tblPr/>
      <w:tcPr>
        <w:tcBorders>
          <w:top w:val="nil"/>
          <w:left w:val="single" w:sz="8" w:space="0" w:color="969696" w:themeColor="accent4"/>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top w:val="nil"/>
          <w:bottom w:val="nil"/>
          <w:insideH w:val="nil"/>
          <w:insideV w:val="nil"/>
        </w:tcBorders>
        <w:shd w:val="clear" w:color="auto" w:fill="E5E5E5" w:themeFill="accent4"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5">
    <w:name w:val="Medium List 2 Accent 5"/>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rPr>
        <w:sz w:val="24"/>
        <w:szCs w:val="24"/>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tblPr/>
      <w:tcPr>
        <w:tcBorders>
          <w:top w:val="single" w:sz="8" w:space="0" w:color="5F5F5F" w:themeColor="accent5"/>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5"/>
          <w:insideH w:val="nil"/>
          <w:insideV w:val="nil"/>
        </w:tcBorders>
        <w:shd w:val="clear" w:color="auto" w:fill="0072BC" w:themeFill="background1"/>
      </w:tcPr>
    </w:tblStylePr>
    <w:tblStylePr w:type="lastCol">
      <w:tblPr/>
      <w:tcPr>
        <w:tcBorders>
          <w:top w:val="nil"/>
          <w:left w:val="single" w:sz="8" w:space="0" w:color="5F5F5F" w:themeColor="accent5"/>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top w:val="nil"/>
          <w:bottom w:val="nil"/>
          <w:insideH w:val="nil"/>
          <w:insideV w:val="nil"/>
        </w:tcBorders>
        <w:shd w:val="clear" w:color="auto" w:fill="D7D7D7" w:themeFill="accent5"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6">
    <w:name w:val="Medium List 2 Accent 6"/>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rPr>
        <w:sz w:val="24"/>
        <w:szCs w:val="24"/>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tblPr/>
      <w:tcPr>
        <w:tcBorders>
          <w:top w:val="single" w:sz="8" w:space="0" w:color="4D4D4D" w:themeColor="accent6"/>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4D4D4D" w:themeColor="accent6"/>
          <w:insideH w:val="nil"/>
          <w:insideV w:val="nil"/>
        </w:tcBorders>
        <w:shd w:val="clear" w:color="auto" w:fill="0072BC" w:themeFill="background1"/>
      </w:tcPr>
    </w:tblStylePr>
    <w:tblStylePr w:type="lastCol">
      <w:tblPr/>
      <w:tcPr>
        <w:tcBorders>
          <w:top w:val="nil"/>
          <w:left w:val="single" w:sz="8" w:space="0" w:color="4D4D4D" w:themeColor="accent6"/>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top w:val="nil"/>
          <w:bottom w:val="nil"/>
          <w:insideH w:val="nil"/>
          <w:insideV w:val="nil"/>
        </w:tcBorders>
        <w:shd w:val="clear" w:color="auto" w:fill="D3D3D3" w:themeFill="accent6" w:themeFillTint="3F"/>
      </w:tcPr>
    </w:tblStylePr>
    <w:tblStylePr w:type="nwCell">
      <w:tblPr/>
      <w:tcPr>
        <w:shd w:val="clear" w:color="auto" w:fill="0072BC" w:themeFill="background1"/>
      </w:tcPr>
    </w:tblStylePr>
    <w:tblStylePr w:type="swCell">
      <w:tblPr/>
      <w:tcPr>
        <w:tcBorders>
          <w:top w:val="nil"/>
        </w:tcBorders>
      </w:tcPr>
    </w:tblStylePr>
  </w:style>
  <w:style w:type="table" w:styleId="redniecieniowanie1">
    <w:name w:val="Medium Shading 1"/>
    <w:basedOn w:val="Standardowy"/>
    <w:uiPriority w:val="99"/>
    <w:semiHidden/>
    <w:rsid w:val="00014566"/>
    <w:rPr>
      <w:lang w:val="fr-FR" w:eastAsia="fr-FR"/>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0072BC"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redniecieniowanie1akcent1">
    <w:name w:val="Medium Shading 1 Accent 1"/>
    <w:basedOn w:val="Standardowy"/>
    <w:uiPriority w:val="99"/>
    <w:semiHidden/>
    <w:rsid w:val="00014566"/>
    <w:rPr>
      <w:lang w:val="fr-FR" w:eastAsia="fr-FR"/>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tblBorders>
    </w:tblPr>
    <w:tblStylePr w:type="firstRow">
      <w:pPr>
        <w:spacing w:before="0" w:after="0" w:line="240" w:lineRule="auto"/>
      </w:pPr>
      <w:rPr>
        <w:b/>
        <w:bCs/>
        <w:color w:val="0072BC" w:themeColor="background1"/>
      </w:rPr>
      <w:tblPr/>
      <w:tcPr>
        <w:tc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shd w:val="clear" w:color="auto" w:fill="0072BC" w:themeFill="accent1"/>
      </w:tcPr>
    </w:tblStylePr>
    <w:tblStylePr w:type="lastRow">
      <w:pPr>
        <w:spacing w:before="0" w:after="0" w:line="240" w:lineRule="auto"/>
      </w:pPr>
      <w:rPr>
        <w:b/>
        <w:bCs/>
      </w:rPr>
      <w:tblPr/>
      <w:tcPr>
        <w:tcBorders>
          <w:top w:val="double" w:sz="6"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tcPr>
    </w:tblStylePr>
    <w:tblStylePr w:type="firstCol">
      <w:rPr>
        <w:b/>
        <w:bCs/>
      </w:rPr>
    </w:tblStylePr>
    <w:tblStylePr w:type="lastCol">
      <w:rPr>
        <w:b/>
        <w:bCs/>
      </w:rPr>
    </w:tblStylePr>
    <w:tblStylePr w:type="band1Vert">
      <w:tblPr/>
      <w:tcPr>
        <w:shd w:val="clear" w:color="auto" w:fill="AFDFFF" w:themeFill="accent1" w:themeFillTint="3F"/>
      </w:tcPr>
    </w:tblStylePr>
    <w:tblStylePr w:type="band1Horz">
      <w:tblPr/>
      <w:tcPr>
        <w:tcBorders>
          <w:insideH w:val="nil"/>
          <w:insideV w:val="nil"/>
        </w:tcBorders>
        <w:shd w:val="clear" w:color="auto" w:fill="AFDFFF" w:themeFill="accent1" w:themeFillTint="3F"/>
      </w:tcPr>
    </w:tblStylePr>
    <w:tblStylePr w:type="band2Horz">
      <w:tblPr/>
      <w:tcPr>
        <w:tcBorders>
          <w:insideH w:val="nil"/>
          <w:insideV w:val="nil"/>
        </w:tcBorders>
      </w:tcPr>
    </w:tblStylePr>
  </w:style>
  <w:style w:type="table" w:styleId="redniecieniowanie1akcent2">
    <w:name w:val="Medium Shading 1 Accent 2"/>
    <w:basedOn w:val="Standardowy"/>
    <w:uiPriority w:val="99"/>
    <w:semiHidden/>
    <w:rsid w:val="00014566"/>
    <w:rPr>
      <w:lang w:val="fr-FR" w:eastAsia="fr-FR"/>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tblBorders>
    </w:tblPr>
    <w:tblStylePr w:type="firstRow">
      <w:pPr>
        <w:spacing w:before="0" w:after="0" w:line="240" w:lineRule="auto"/>
      </w:pPr>
      <w:rPr>
        <w:b/>
        <w:bCs/>
        <w:color w:val="0072BC" w:themeColor="background1"/>
      </w:rPr>
      <w:tblPr/>
      <w:tcPr>
        <w:tc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shd w:val="clear" w:color="auto" w:fill="C00000" w:themeFill="accent2"/>
      </w:tcPr>
    </w:tblStylePr>
    <w:tblStylePr w:type="lastRow">
      <w:pPr>
        <w:spacing w:before="0" w:after="0" w:line="240" w:lineRule="auto"/>
      </w:pPr>
      <w:rPr>
        <w:b/>
        <w:bCs/>
      </w:rPr>
      <w:tblPr/>
      <w:tcPr>
        <w:tcBorders>
          <w:top w:val="double" w:sz="6"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tcPr>
    </w:tblStylePr>
    <w:tblStylePr w:type="firstCol">
      <w:rPr>
        <w:b/>
        <w:bCs/>
      </w:rPr>
    </w:tblStylePr>
    <w:tblStylePr w:type="lastCol">
      <w:rPr>
        <w:b/>
        <w:bCs/>
      </w:rPr>
    </w:tblStylePr>
    <w:tblStylePr w:type="band1Vert">
      <w:tblPr/>
      <w:tcPr>
        <w:shd w:val="clear" w:color="auto" w:fill="FFB0B0" w:themeFill="accent2" w:themeFillTint="3F"/>
      </w:tcPr>
    </w:tblStylePr>
    <w:tblStylePr w:type="band1Horz">
      <w:tblPr/>
      <w:tcPr>
        <w:tcBorders>
          <w:insideH w:val="nil"/>
          <w:insideV w:val="nil"/>
        </w:tcBorders>
        <w:shd w:val="clear" w:color="auto" w:fill="FFB0B0" w:themeFill="accent2" w:themeFillTint="3F"/>
      </w:tcPr>
    </w:tblStylePr>
    <w:tblStylePr w:type="band2Horz">
      <w:tblPr/>
      <w:tcPr>
        <w:tcBorders>
          <w:insideH w:val="nil"/>
          <w:insideV w:val="nil"/>
        </w:tcBorders>
      </w:tcPr>
    </w:tblStylePr>
  </w:style>
  <w:style w:type="table" w:styleId="redniecieniowanie1akcent3">
    <w:name w:val="Medium Shading 1 Accent 3"/>
    <w:basedOn w:val="Standardowy"/>
    <w:uiPriority w:val="99"/>
    <w:semiHidden/>
    <w:rsid w:val="00014566"/>
    <w:rPr>
      <w:lang w:val="fr-FR" w:eastAsia="fr-FR"/>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tblBorders>
    </w:tblPr>
    <w:tblStylePr w:type="firstRow">
      <w:pPr>
        <w:spacing w:before="0" w:after="0" w:line="240" w:lineRule="auto"/>
      </w:pPr>
      <w:rPr>
        <w:b/>
        <w:bCs/>
        <w:color w:val="0072BC" w:themeColor="background1"/>
      </w:rPr>
      <w:tblPr/>
      <w:tcPr>
        <w:tc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shd w:val="clear" w:color="auto" w:fill="5F5F5F" w:themeFill="accent3"/>
      </w:tcPr>
    </w:tblStylePr>
    <w:tblStylePr w:type="lastRow">
      <w:pPr>
        <w:spacing w:before="0" w:after="0" w:line="240" w:lineRule="auto"/>
      </w:pPr>
      <w:rPr>
        <w:b/>
        <w:bCs/>
      </w:rPr>
      <w:tblPr/>
      <w:tcPr>
        <w:tcBorders>
          <w:top w:val="double" w:sz="6"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3" w:themeFillTint="3F"/>
      </w:tcPr>
    </w:tblStylePr>
    <w:tblStylePr w:type="band1Horz">
      <w:tblPr/>
      <w:tcPr>
        <w:tcBorders>
          <w:insideH w:val="nil"/>
          <w:insideV w:val="nil"/>
        </w:tcBorders>
        <w:shd w:val="clear" w:color="auto" w:fill="D7D7D7" w:themeFill="accent3" w:themeFillTint="3F"/>
      </w:tcPr>
    </w:tblStylePr>
    <w:tblStylePr w:type="band2Horz">
      <w:tblPr/>
      <w:tcPr>
        <w:tcBorders>
          <w:insideH w:val="nil"/>
          <w:insideV w:val="nil"/>
        </w:tcBorders>
      </w:tcPr>
    </w:tblStylePr>
  </w:style>
  <w:style w:type="table" w:styleId="redniecieniowanie1akcent4">
    <w:name w:val="Medium Shading 1 Accent 4"/>
    <w:basedOn w:val="Standardowy"/>
    <w:uiPriority w:val="99"/>
    <w:semiHidden/>
    <w:rsid w:val="00014566"/>
    <w:rPr>
      <w:lang w:val="fr-FR" w:eastAsia="fr-FR"/>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tblBorders>
    </w:tblPr>
    <w:tblStylePr w:type="firstRow">
      <w:pPr>
        <w:spacing w:before="0" w:after="0" w:line="240" w:lineRule="auto"/>
      </w:pPr>
      <w:rPr>
        <w:b/>
        <w:bCs/>
        <w:color w:val="0072BC" w:themeColor="background1"/>
      </w:rPr>
      <w:tblPr/>
      <w:tcPr>
        <w:tc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shd w:val="clear" w:color="auto" w:fill="969696" w:themeFill="accent4"/>
      </w:tcPr>
    </w:tblStylePr>
    <w:tblStylePr w:type="lastRow">
      <w:pPr>
        <w:spacing w:before="0" w:after="0" w:line="240" w:lineRule="auto"/>
      </w:pPr>
      <w:rPr>
        <w:b/>
        <w:bCs/>
      </w:rPr>
      <w:tblPr/>
      <w:tcPr>
        <w:tcBorders>
          <w:top w:val="double" w:sz="6"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tcPr>
    </w:tblStylePr>
    <w:tblStylePr w:type="firstCol">
      <w:rPr>
        <w:b/>
        <w:bCs/>
      </w:rPr>
    </w:tblStylePr>
    <w:tblStylePr w:type="lastCol">
      <w:rPr>
        <w:b/>
        <w:bCs/>
      </w:rPr>
    </w:tblStylePr>
    <w:tblStylePr w:type="band1Vert">
      <w:tblPr/>
      <w:tcPr>
        <w:shd w:val="clear" w:color="auto" w:fill="E5E5E5" w:themeFill="accent4" w:themeFillTint="3F"/>
      </w:tcPr>
    </w:tblStylePr>
    <w:tblStylePr w:type="band1Horz">
      <w:tblPr/>
      <w:tcPr>
        <w:tcBorders>
          <w:insideH w:val="nil"/>
          <w:insideV w:val="nil"/>
        </w:tcBorders>
        <w:shd w:val="clear" w:color="auto" w:fill="E5E5E5" w:themeFill="accent4" w:themeFillTint="3F"/>
      </w:tcPr>
    </w:tblStylePr>
    <w:tblStylePr w:type="band2Horz">
      <w:tblPr/>
      <w:tcPr>
        <w:tcBorders>
          <w:insideH w:val="nil"/>
          <w:insideV w:val="nil"/>
        </w:tcBorders>
      </w:tcPr>
    </w:tblStylePr>
  </w:style>
  <w:style w:type="table" w:styleId="redniecieniowanie1akcent5">
    <w:name w:val="Medium Shading 1 Accent 5"/>
    <w:basedOn w:val="Standardowy"/>
    <w:uiPriority w:val="99"/>
    <w:semiHidden/>
    <w:rsid w:val="00014566"/>
    <w:rPr>
      <w:lang w:val="fr-FR" w:eastAsia="fr-FR"/>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tblBorders>
    </w:tblPr>
    <w:tblStylePr w:type="firstRow">
      <w:pPr>
        <w:spacing w:before="0" w:after="0" w:line="240" w:lineRule="auto"/>
      </w:pPr>
      <w:rPr>
        <w:b/>
        <w:bCs/>
        <w:color w:val="0072BC" w:themeColor="background1"/>
      </w:rPr>
      <w:tblPr/>
      <w:tcPr>
        <w:tc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shd w:val="clear" w:color="auto" w:fill="5F5F5F" w:themeFill="accent5"/>
      </w:tcPr>
    </w:tblStylePr>
    <w:tblStylePr w:type="lastRow">
      <w:pPr>
        <w:spacing w:before="0" w:after="0" w:line="240" w:lineRule="auto"/>
      </w:pPr>
      <w:rPr>
        <w:b/>
        <w:bCs/>
      </w:rPr>
      <w:tblPr/>
      <w:tcPr>
        <w:tcBorders>
          <w:top w:val="double" w:sz="6"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5" w:themeFillTint="3F"/>
      </w:tcPr>
    </w:tblStylePr>
    <w:tblStylePr w:type="band1Horz">
      <w:tblPr/>
      <w:tcPr>
        <w:tcBorders>
          <w:insideH w:val="nil"/>
          <w:insideV w:val="nil"/>
        </w:tcBorders>
        <w:shd w:val="clear" w:color="auto" w:fill="D7D7D7" w:themeFill="accent5" w:themeFillTint="3F"/>
      </w:tcPr>
    </w:tblStylePr>
    <w:tblStylePr w:type="band2Horz">
      <w:tblPr/>
      <w:tcPr>
        <w:tcBorders>
          <w:insideH w:val="nil"/>
          <w:insideV w:val="nil"/>
        </w:tcBorders>
      </w:tcPr>
    </w:tblStylePr>
  </w:style>
  <w:style w:type="table" w:styleId="redniecieniowanie1akcent6">
    <w:name w:val="Medium Shading 1 Accent 6"/>
    <w:basedOn w:val="Standardowy"/>
    <w:uiPriority w:val="99"/>
    <w:semiHidden/>
    <w:rsid w:val="00014566"/>
    <w:rPr>
      <w:lang w:val="fr-FR" w:eastAsia="fr-FR"/>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tblBorders>
    </w:tblPr>
    <w:tblStylePr w:type="firstRow">
      <w:pPr>
        <w:spacing w:before="0" w:after="0" w:line="240" w:lineRule="auto"/>
      </w:pPr>
      <w:rPr>
        <w:b/>
        <w:bCs/>
        <w:color w:val="0072BC" w:themeColor="background1"/>
      </w:rPr>
      <w:tblPr/>
      <w:tcPr>
        <w:tc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shd w:val="clear" w:color="auto" w:fill="4D4D4D" w:themeFill="accent6"/>
      </w:tcPr>
    </w:tblStylePr>
    <w:tblStylePr w:type="lastRow">
      <w:pPr>
        <w:spacing w:before="0" w:after="0" w:line="240" w:lineRule="auto"/>
      </w:pPr>
      <w:rPr>
        <w:b/>
        <w:bCs/>
      </w:rPr>
      <w:tblPr/>
      <w:tcPr>
        <w:tcBorders>
          <w:top w:val="double" w:sz="6"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tcPr>
    </w:tblStylePr>
    <w:tblStylePr w:type="firstCol">
      <w:rPr>
        <w:b/>
        <w:bCs/>
      </w:rPr>
    </w:tblStylePr>
    <w:tblStylePr w:type="lastCol">
      <w:rPr>
        <w:b/>
        <w:bCs/>
      </w:rPr>
    </w:tblStylePr>
    <w:tblStylePr w:type="band1Vert">
      <w:tblPr/>
      <w:tcPr>
        <w:shd w:val="clear" w:color="auto" w:fill="D3D3D3" w:themeFill="accent6" w:themeFillTint="3F"/>
      </w:tcPr>
    </w:tblStylePr>
    <w:tblStylePr w:type="band1Horz">
      <w:tblPr/>
      <w:tcPr>
        <w:tcBorders>
          <w:insideH w:val="nil"/>
          <w:insideV w:val="nil"/>
        </w:tcBorders>
        <w:shd w:val="clear" w:color="auto" w:fill="D3D3D3" w:themeFill="accent6" w:themeFillTint="3F"/>
      </w:tcPr>
    </w:tblStylePr>
    <w:tblStylePr w:type="band2Horz">
      <w:tblPr/>
      <w:tcPr>
        <w:tcBorders>
          <w:insideH w:val="nil"/>
          <w:insideV w:val="nil"/>
        </w:tcBorders>
      </w:tcPr>
    </w:tblStylePr>
  </w:style>
  <w:style w:type="table" w:styleId="redniecieniowanie2">
    <w:name w:val="Medium Shading 2"/>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0072BC"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1">
    <w:name w:val="Medium Shading 2 Accent 1"/>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72BC"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72BC" w:themeFill="accent1"/>
      </w:tcPr>
    </w:tblStylePr>
    <w:tblStylePr w:type="lastCol">
      <w:rPr>
        <w:b/>
        <w:bCs/>
        <w:color w:val="0072BC" w:themeColor="background1"/>
      </w:rPr>
      <w:tblPr/>
      <w:tcPr>
        <w:tcBorders>
          <w:left w:val="nil"/>
          <w:right w:val="nil"/>
          <w:insideH w:val="nil"/>
          <w:insideV w:val="nil"/>
        </w:tcBorders>
        <w:shd w:val="clear" w:color="auto" w:fill="0072BC" w:themeFill="accen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2">
    <w:name w:val="Medium Shading 2 Accent 2"/>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C00000"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C00000" w:themeFill="accent2"/>
      </w:tcPr>
    </w:tblStylePr>
    <w:tblStylePr w:type="lastCol">
      <w:rPr>
        <w:b/>
        <w:bCs/>
        <w:color w:val="0072BC" w:themeColor="background1"/>
      </w:rPr>
      <w:tblPr/>
      <w:tcPr>
        <w:tcBorders>
          <w:left w:val="nil"/>
          <w:right w:val="nil"/>
          <w:insideH w:val="nil"/>
          <w:insideV w:val="nil"/>
        </w:tcBorders>
        <w:shd w:val="clear" w:color="auto" w:fill="C00000" w:themeFill="accent2"/>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3">
    <w:name w:val="Medium Shading 2 Accent 3"/>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3"/>
      </w:tcPr>
    </w:tblStylePr>
    <w:tblStylePr w:type="lastCol">
      <w:rPr>
        <w:b/>
        <w:bCs/>
        <w:color w:val="0072BC" w:themeColor="background1"/>
      </w:rPr>
      <w:tblPr/>
      <w:tcPr>
        <w:tcBorders>
          <w:left w:val="nil"/>
          <w:right w:val="nil"/>
          <w:insideH w:val="nil"/>
          <w:insideV w:val="nil"/>
        </w:tcBorders>
        <w:shd w:val="clear" w:color="auto" w:fill="5F5F5F" w:themeFill="accent3"/>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4">
    <w:name w:val="Medium Shading 2 Accent 4"/>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969696"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969696" w:themeFill="accent4"/>
      </w:tcPr>
    </w:tblStylePr>
    <w:tblStylePr w:type="lastCol">
      <w:rPr>
        <w:b/>
        <w:bCs/>
        <w:color w:val="0072BC" w:themeColor="background1"/>
      </w:rPr>
      <w:tblPr/>
      <w:tcPr>
        <w:tcBorders>
          <w:left w:val="nil"/>
          <w:right w:val="nil"/>
          <w:insideH w:val="nil"/>
          <w:insideV w:val="nil"/>
        </w:tcBorders>
        <w:shd w:val="clear" w:color="auto" w:fill="969696" w:themeFill="accent4"/>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5">
    <w:name w:val="Medium Shading 2 Accent 5"/>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5"/>
      </w:tcPr>
    </w:tblStylePr>
    <w:tblStylePr w:type="lastCol">
      <w:rPr>
        <w:b/>
        <w:bCs/>
        <w:color w:val="0072BC" w:themeColor="background1"/>
      </w:rPr>
      <w:tblPr/>
      <w:tcPr>
        <w:tcBorders>
          <w:left w:val="nil"/>
          <w:right w:val="nil"/>
          <w:insideH w:val="nil"/>
          <w:insideV w:val="nil"/>
        </w:tcBorders>
        <w:shd w:val="clear" w:color="auto" w:fill="5F5F5F" w:themeFill="accent5"/>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6">
    <w:name w:val="Medium Shading 2 Accent 6"/>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4D4D4D"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4D4D4D" w:themeFill="accent6"/>
      </w:tcPr>
    </w:tblStylePr>
    <w:tblStylePr w:type="lastCol">
      <w:rPr>
        <w:b/>
        <w:bCs/>
        <w:color w:val="0072BC" w:themeColor="background1"/>
      </w:rPr>
      <w:tblPr/>
      <w:tcPr>
        <w:tcBorders>
          <w:left w:val="nil"/>
          <w:right w:val="nil"/>
          <w:insideH w:val="nil"/>
          <w:insideV w:val="nil"/>
        </w:tcBorders>
        <w:shd w:val="clear" w:color="auto" w:fill="4D4D4D" w:themeFill="accent6"/>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paragraph" w:styleId="Nagwekwiadomoci">
    <w:name w:val="Message Header"/>
    <w:basedOn w:val="Normalny"/>
    <w:link w:val="NagwekwiadomociZnak"/>
    <w:uiPriority w:val="99"/>
    <w:semiHidden/>
    <w:rsid w:val="00014566"/>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szCs w:val="24"/>
    </w:rPr>
  </w:style>
  <w:style w:type="character" w:customStyle="1" w:styleId="NagwekwiadomociZnak">
    <w:name w:val="Nagłówek wiadomości Znak"/>
    <w:basedOn w:val="Domylnaczcionkaakapitu"/>
    <w:link w:val="Nagwekwiadomoci"/>
    <w:uiPriority w:val="99"/>
    <w:semiHidden/>
    <w:rsid w:val="00014566"/>
    <w:rPr>
      <w:rFonts w:asciiTheme="majorHAnsi" w:eastAsiaTheme="majorEastAsia" w:hAnsiTheme="majorHAnsi" w:cstheme="majorBidi"/>
      <w:sz w:val="24"/>
      <w:szCs w:val="24"/>
      <w:shd w:val="pct20" w:color="auto" w:fill="auto"/>
    </w:rPr>
  </w:style>
  <w:style w:type="paragraph" w:styleId="NormalnyWeb">
    <w:name w:val="Normal (Web)"/>
    <w:basedOn w:val="Normalny"/>
    <w:uiPriority w:val="99"/>
    <w:semiHidden/>
    <w:rsid w:val="00014566"/>
    <w:rPr>
      <w:rFonts w:ascii="Times New Roman" w:hAnsi="Times New Roman" w:cs="Times New Roman"/>
      <w:szCs w:val="24"/>
    </w:rPr>
  </w:style>
  <w:style w:type="paragraph" w:styleId="Wcicienormalne">
    <w:name w:val="Normal Indent"/>
    <w:basedOn w:val="Normalny"/>
    <w:uiPriority w:val="99"/>
    <w:semiHidden/>
    <w:rsid w:val="00014566"/>
    <w:pPr>
      <w:ind w:left="720"/>
    </w:pPr>
  </w:style>
  <w:style w:type="paragraph" w:styleId="Nagweknotatki">
    <w:name w:val="Note Heading"/>
    <w:basedOn w:val="Normalny"/>
    <w:next w:val="Normalny"/>
    <w:link w:val="NagweknotatkiZnak"/>
    <w:uiPriority w:val="99"/>
    <w:semiHidden/>
    <w:rsid w:val="00014566"/>
  </w:style>
  <w:style w:type="character" w:customStyle="1" w:styleId="NagweknotatkiZnak">
    <w:name w:val="Nagłówek notatki Znak"/>
    <w:basedOn w:val="Domylnaczcionkaakapitu"/>
    <w:link w:val="Nagweknotatki"/>
    <w:uiPriority w:val="99"/>
    <w:semiHidden/>
    <w:rsid w:val="00014566"/>
    <w:rPr>
      <w:rFonts w:eastAsiaTheme="minorEastAsia"/>
      <w:sz w:val="24"/>
    </w:rPr>
  </w:style>
  <w:style w:type="character" w:styleId="Tekstzastpczy">
    <w:name w:val="Placeholder Text"/>
    <w:basedOn w:val="Domylnaczcionkaakapitu"/>
    <w:uiPriority w:val="99"/>
    <w:semiHidden/>
    <w:rsid w:val="00C3150F"/>
    <w:rPr>
      <w:color w:val="auto"/>
      <w:bdr w:val="none" w:sz="0" w:space="0" w:color="auto"/>
      <w:shd w:val="clear" w:color="auto" w:fill="DFDFDF" w:themeFill="background2" w:themeFillShade="E6"/>
    </w:rPr>
  </w:style>
  <w:style w:type="paragraph" w:styleId="Zwykytekst">
    <w:name w:val="Plain Text"/>
    <w:basedOn w:val="Normalny"/>
    <w:link w:val="ZwykytekstZnak"/>
    <w:uiPriority w:val="99"/>
    <w:semiHidden/>
    <w:rsid w:val="00014566"/>
    <w:rPr>
      <w:rFonts w:ascii="Consolas" w:hAnsi="Consolas" w:cs="Consolas"/>
      <w:sz w:val="21"/>
      <w:szCs w:val="21"/>
    </w:rPr>
  </w:style>
  <w:style w:type="character" w:customStyle="1" w:styleId="ZwykytekstZnak">
    <w:name w:val="Zwykły tekst Znak"/>
    <w:basedOn w:val="Domylnaczcionkaakapitu"/>
    <w:link w:val="Zwykytekst"/>
    <w:uiPriority w:val="99"/>
    <w:semiHidden/>
    <w:rsid w:val="00014566"/>
    <w:rPr>
      <w:rFonts w:ascii="Consolas" w:eastAsiaTheme="minorEastAsia" w:hAnsi="Consolas" w:cs="Consolas"/>
      <w:sz w:val="21"/>
      <w:szCs w:val="21"/>
    </w:rPr>
  </w:style>
  <w:style w:type="paragraph" w:styleId="Zwrotgrzecznociowy">
    <w:name w:val="Salutation"/>
    <w:basedOn w:val="Normalny"/>
    <w:next w:val="Normalny"/>
    <w:link w:val="ZwrotgrzecznociowyZnak"/>
    <w:uiPriority w:val="99"/>
    <w:semiHidden/>
    <w:rsid w:val="00014566"/>
  </w:style>
  <w:style w:type="character" w:customStyle="1" w:styleId="ZwrotgrzecznociowyZnak">
    <w:name w:val="Zwrot grzecznościowy Znak"/>
    <w:basedOn w:val="Domylnaczcionkaakapitu"/>
    <w:link w:val="Zwrotgrzecznociowy"/>
    <w:uiPriority w:val="99"/>
    <w:semiHidden/>
    <w:rsid w:val="00014566"/>
    <w:rPr>
      <w:rFonts w:eastAsiaTheme="minorEastAsia"/>
      <w:sz w:val="24"/>
    </w:rPr>
  </w:style>
  <w:style w:type="paragraph" w:styleId="Podpis">
    <w:name w:val="Signature"/>
    <w:basedOn w:val="Normalny"/>
    <w:link w:val="PodpisZnak"/>
    <w:uiPriority w:val="99"/>
    <w:semiHidden/>
    <w:rsid w:val="00014566"/>
    <w:pPr>
      <w:ind w:left="4252"/>
    </w:pPr>
  </w:style>
  <w:style w:type="character" w:customStyle="1" w:styleId="PodpisZnak">
    <w:name w:val="Podpis Znak"/>
    <w:basedOn w:val="Domylnaczcionkaakapitu"/>
    <w:link w:val="Podpis"/>
    <w:uiPriority w:val="99"/>
    <w:semiHidden/>
    <w:rsid w:val="00014566"/>
    <w:rPr>
      <w:rFonts w:eastAsiaTheme="minorEastAsia"/>
      <w:sz w:val="24"/>
    </w:rPr>
  </w:style>
  <w:style w:type="table" w:styleId="Tabela-Efekty3W1">
    <w:name w:val="Table 3D effects 1"/>
    <w:basedOn w:val="Standardowy"/>
    <w:uiPriority w:val="99"/>
    <w:semiHidden/>
    <w:rsid w:val="00014566"/>
    <w:pPr>
      <w:suppressAutoHyphens/>
    </w:pPr>
    <w:rPr>
      <w:lang w:val="fr-FR" w:eastAsia="fr-FR"/>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ela-Efekty3W2">
    <w:name w:val="Table 3D effects 2"/>
    <w:basedOn w:val="Standardowy"/>
    <w:uiPriority w:val="99"/>
    <w:semiHidden/>
    <w:rsid w:val="00014566"/>
    <w:pPr>
      <w:suppressAutoHyphens/>
    </w:pPr>
    <w:rPr>
      <w:lang w:val="fr-FR" w:eastAsia="fr-FR"/>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Efekty3W3">
    <w:name w:val="Table 3D effects 3"/>
    <w:basedOn w:val="Standardowy"/>
    <w:uiPriority w:val="99"/>
    <w:semiHidden/>
    <w:rsid w:val="00014566"/>
    <w:pPr>
      <w:suppressAutoHyphens/>
    </w:pPr>
    <w:rPr>
      <w:lang w:val="fr-FR" w:eastAsia="fr-FR"/>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1">
    <w:name w:val="Table Classic 1"/>
    <w:basedOn w:val="Standardowy"/>
    <w:uiPriority w:val="99"/>
    <w:semiHidden/>
    <w:rsid w:val="00014566"/>
    <w:pPr>
      <w:suppressAutoHyphens/>
    </w:pPr>
    <w:rPr>
      <w:lang w:val="fr-FR" w:eastAsia="fr-FR"/>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2">
    <w:name w:val="Table Classic 2"/>
    <w:basedOn w:val="Standardowy"/>
    <w:uiPriority w:val="99"/>
    <w:semiHidden/>
    <w:rsid w:val="00014566"/>
    <w:pPr>
      <w:suppressAutoHyphens/>
    </w:pPr>
    <w:rPr>
      <w:lang w:val="fr-FR" w:eastAsia="fr-FR"/>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ela-Klasyczny3">
    <w:name w:val="Table Classic 3"/>
    <w:basedOn w:val="Standardowy"/>
    <w:uiPriority w:val="99"/>
    <w:semiHidden/>
    <w:rsid w:val="00014566"/>
    <w:pPr>
      <w:suppressAutoHyphens/>
    </w:pPr>
    <w:rPr>
      <w:color w:val="000080"/>
      <w:lang w:val="fr-FR" w:eastAsia="fr-FR"/>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ela-Klasyczny4">
    <w:name w:val="Table Classic 4"/>
    <w:basedOn w:val="Standardowy"/>
    <w:uiPriority w:val="99"/>
    <w:semiHidden/>
    <w:rsid w:val="00014566"/>
    <w:pPr>
      <w:suppressAutoHyphens/>
    </w:pPr>
    <w:rPr>
      <w:lang w:val="fr-FR" w:eastAsia="fr-FR"/>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ela-Kolorowy1">
    <w:name w:val="Table Colorful 1"/>
    <w:basedOn w:val="Standardowy"/>
    <w:uiPriority w:val="99"/>
    <w:semiHidden/>
    <w:rsid w:val="00014566"/>
    <w:pPr>
      <w:suppressAutoHyphens/>
    </w:pPr>
    <w:rPr>
      <w:color w:val="FFFFFF"/>
      <w:lang w:val="fr-FR" w:eastAsia="fr-FR"/>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ela-Kolorowy2">
    <w:name w:val="Table Colorful 2"/>
    <w:basedOn w:val="Standardowy"/>
    <w:uiPriority w:val="99"/>
    <w:semiHidden/>
    <w:rsid w:val="00014566"/>
    <w:pPr>
      <w:suppressAutoHyphens/>
    </w:pPr>
    <w:rPr>
      <w:lang w:val="fr-FR" w:eastAsia="fr-FR"/>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ela-Kolorowy3">
    <w:name w:val="Table Colorful 3"/>
    <w:basedOn w:val="Standardowy"/>
    <w:uiPriority w:val="99"/>
    <w:semiHidden/>
    <w:rsid w:val="00014566"/>
    <w:pPr>
      <w:suppressAutoHyphens/>
    </w:pPr>
    <w:rPr>
      <w:lang w:val="fr-FR" w:eastAsia="fr-FR"/>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ela-Kolumnowy1">
    <w:name w:val="Table Columns 1"/>
    <w:basedOn w:val="Standardowy"/>
    <w:uiPriority w:val="99"/>
    <w:semiHidden/>
    <w:rsid w:val="00014566"/>
    <w:pPr>
      <w:suppressAutoHyphens/>
    </w:pPr>
    <w:rPr>
      <w:b/>
      <w:bCs/>
      <w:lang w:val="fr-FR" w:eastAsia="fr-FR"/>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2">
    <w:name w:val="Table Columns 2"/>
    <w:basedOn w:val="Standardowy"/>
    <w:uiPriority w:val="99"/>
    <w:semiHidden/>
    <w:rsid w:val="00014566"/>
    <w:pPr>
      <w:suppressAutoHyphens/>
    </w:pPr>
    <w:rPr>
      <w:b/>
      <w:bCs/>
      <w:lang w:val="fr-FR" w:eastAsia="fr-FR"/>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3">
    <w:name w:val="Table Columns 3"/>
    <w:basedOn w:val="Standardowy"/>
    <w:uiPriority w:val="99"/>
    <w:semiHidden/>
    <w:rsid w:val="00014566"/>
    <w:pPr>
      <w:suppressAutoHyphens/>
    </w:pPr>
    <w:rPr>
      <w:b/>
      <w:bCs/>
      <w:lang w:val="fr-FR" w:eastAsia="fr-FR"/>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ela-Kolumnowy4">
    <w:name w:val="Table Columns 4"/>
    <w:basedOn w:val="Standardowy"/>
    <w:uiPriority w:val="99"/>
    <w:semiHidden/>
    <w:rsid w:val="00014566"/>
    <w:pPr>
      <w:suppressAutoHyphens/>
    </w:pPr>
    <w:rPr>
      <w:lang w:val="fr-FR" w:eastAsia="fr-FR"/>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ela-Kolumnowy5">
    <w:name w:val="Table Columns 5"/>
    <w:basedOn w:val="Standardowy"/>
    <w:uiPriority w:val="99"/>
    <w:semiHidden/>
    <w:rsid w:val="00014566"/>
    <w:pPr>
      <w:suppressAutoHyphens/>
    </w:pPr>
    <w:rPr>
      <w:lang w:val="fr-FR" w:eastAsia="fr-FR"/>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ela-Wspczesny">
    <w:name w:val="Table Contemporary"/>
    <w:basedOn w:val="Standardowy"/>
    <w:uiPriority w:val="99"/>
    <w:semiHidden/>
    <w:rsid w:val="00014566"/>
    <w:pPr>
      <w:suppressAutoHyphens/>
    </w:pPr>
    <w:rPr>
      <w:lang w:val="fr-FR" w:eastAsia="fr-FR"/>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ela-Elegancki">
    <w:name w:val="Table Elegant"/>
    <w:basedOn w:val="Standardowy"/>
    <w:uiPriority w:val="99"/>
    <w:semiHidden/>
    <w:rsid w:val="00014566"/>
    <w:pPr>
      <w:suppressAutoHyphens/>
    </w:pPr>
    <w:rPr>
      <w:lang w:val="fr-FR" w:eastAsia="fr-FR"/>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ela-Siatka1">
    <w:name w:val="Table Grid 1"/>
    <w:basedOn w:val="Standardowy"/>
    <w:uiPriority w:val="99"/>
    <w:semiHidden/>
    <w:rsid w:val="00014566"/>
    <w:pPr>
      <w:suppressAutoHyphens/>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ela-Siatka2">
    <w:name w:val="Table Grid 2"/>
    <w:basedOn w:val="Standardowy"/>
    <w:uiPriority w:val="99"/>
    <w:semiHidden/>
    <w:rsid w:val="00014566"/>
    <w:pPr>
      <w:suppressAutoHyphens/>
    </w:pPr>
    <w:rPr>
      <w:lang w:val="fr-FR" w:eastAsia="fr-FR"/>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3">
    <w:name w:val="Table Grid 3"/>
    <w:basedOn w:val="Standardowy"/>
    <w:uiPriority w:val="99"/>
    <w:semiHidden/>
    <w:rsid w:val="00014566"/>
    <w:pPr>
      <w:suppressAutoHyphens/>
    </w:pPr>
    <w:rPr>
      <w:lang w:val="fr-FR" w:eastAsia="fr-FR"/>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4">
    <w:name w:val="Table Grid 4"/>
    <w:basedOn w:val="Standardowy"/>
    <w:uiPriority w:val="99"/>
    <w:semiHidden/>
    <w:rsid w:val="00014566"/>
    <w:pPr>
      <w:suppressAutoHyphens/>
    </w:pPr>
    <w:rPr>
      <w:lang w:val="fr-FR" w:eastAsia="fr-FR"/>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ela-Siatka5">
    <w:name w:val="Table Grid 5"/>
    <w:basedOn w:val="Standardowy"/>
    <w:uiPriority w:val="99"/>
    <w:semiHidden/>
    <w:rsid w:val="00014566"/>
    <w:pPr>
      <w:suppressAutoHyphens/>
    </w:pPr>
    <w:rPr>
      <w:lang w:val="fr-FR" w:eastAsia="fr-FR"/>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6">
    <w:name w:val="Table Grid 6"/>
    <w:basedOn w:val="Standardowy"/>
    <w:uiPriority w:val="99"/>
    <w:semiHidden/>
    <w:rsid w:val="00014566"/>
    <w:pPr>
      <w:suppressAutoHyphens/>
    </w:pPr>
    <w:rPr>
      <w:lang w:val="fr-FR" w:eastAsia="fr-FR"/>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7">
    <w:name w:val="Table Grid 7"/>
    <w:basedOn w:val="Standardowy"/>
    <w:uiPriority w:val="99"/>
    <w:semiHidden/>
    <w:rsid w:val="00014566"/>
    <w:pPr>
      <w:suppressAutoHyphens/>
    </w:pPr>
    <w:rPr>
      <w:b/>
      <w:bCs/>
      <w:lang w:val="fr-FR" w:eastAsia="fr-FR"/>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8">
    <w:name w:val="Table Grid 8"/>
    <w:basedOn w:val="Standardowy"/>
    <w:uiPriority w:val="99"/>
    <w:semiHidden/>
    <w:rsid w:val="00014566"/>
    <w:pPr>
      <w:suppressAutoHyphens/>
    </w:pPr>
    <w:rPr>
      <w:lang w:val="fr-FR" w:eastAsia="fr-FR"/>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ela-Lista1">
    <w:name w:val="Table List 1"/>
    <w:basedOn w:val="Standardowy"/>
    <w:uiPriority w:val="99"/>
    <w:semiHidden/>
    <w:rsid w:val="00014566"/>
    <w:pPr>
      <w:suppressAutoHyphens/>
    </w:pPr>
    <w:rPr>
      <w:lang w:val="fr-FR" w:eastAsia="fr-FR"/>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2">
    <w:name w:val="Table List 2"/>
    <w:basedOn w:val="Standardowy"/>
    <w:uiPriority w:val="99"/>
    <w:semiHidden/>
    <w:rsid w:val="00014566"/>
    <w:pPr>
      <w:suppressAutoHyphens/>
    </w:pPr>
    <w:rPr>
      <w:lang w:val="fr-FR" w:eastAsia="fr-FR"/>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3">
    <w:name w:val="Table List 3"/>
    <w:basedOn w:val="Standardowy"/>
    <w:uiPriority w:val="99"/>
    <w:semiHidden/>
    <w:rsid w:val="00014566"/>
    <w:pPr>
      <w:suppressAutoHyphens/>
    </w:pPr>
    <w:rPr>
      <w:lang w:val="fr-FR" w:eastAsia="fr-FR"/>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ela-Lista4">
    <w:name w:val="Table List 4"/>
    <w:basedOn w:val="Standardowy"/>
    <w:uiPriority w:val="99"/>
    <w:semiHidden/>
    <w:rsid w:val="00014566"/>
    <w:pPr>
      <w:suppressAutoHyphens/>
    </w:pPr>
    <w:rPr>
      <w:lang w:val="fr-FR" w:eastAsia="fr-FR"/>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ela-Lista5">
    <w:name w:val="Table List 5"/>
    <w:basedOn w:val="Standardowy"/>
    <w:uiPriority w:val="99"/>
    <w:semiHidden/>
    <w:rsid w:val="00014566"/>
    <w:pPr>
      <w:suppressAutoHyphens/>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ela-Lista6">
    <w:name w:val="Table List 6"/>
    <w:basedOn w:val="Standardowy"/>
    <w:uiPriority w:val="99"/>
    <w:semiHidden/>
    <w:rsid w:val="00014566"/>
    <w:pPr>
      <w:suppressAutoHyphens/>
    </w:pPr>
    <w:rPr>
      <w:lang w:val="fr-FR" w:eastAsia="fr-FR"/>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ela-Lista7">
    <w:name w:val="Table List 7"/>
    <w:basedOn w:val="Standardowy"/>
    <w:uiPriority w:val="99"/>
    <w:semiHidden/>
    <w:rsid w:val="00014566"/>
    <w:pPr>
      <w:suppressAutoHyphens/>
    </w:pPr>
    <w:rPr>
      <w:lang w:val="fr-FR" w:eastAsia="fr-FR"/>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ela-Lista8">
    <w:name w:val="Table List 8"/>
    <w:basedOn w:val="Standardowy"/>
    <w:uiPriority w:val="99"/>
    <w:semiHidden/>
    <w:rsid w:val="00014566"/>
    <w:pPr>
      <w:suppressAutoHyphens/>
    </w:pPr>
    <w:rPr>
      <w:lang w:val="fr-FR" w:eastAsia="fr-FR"/>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Wykazrde">
    <w:name w:val="table of authorities"/>
    <w:basedOn w:val="Normalny"/>
    <w:next w:val="Normalny"/>
    <w:uiPriority w:val="99"/>
    <w:semiHidden/>
    <w:rsid w:val="00014566"/>
    <w:pPr>
      <w:ind w:left="240" w:hanging="240"/>
    </w:pPr>
  </w:style>
  <w:style w:type="paragraph" w:styleId="Spisilustracji">
    <w:name w:val="table of figures"/>
    <w:basedOn w:val="Normalny"/>
    <w:next w:val="Normalny"/>
    <w:uiPriority w:val="99"/>
    <w:semiHidden/>
    <w:rsid w:val="00014566"/>
  </w:style>
  <w:style w:type="table" w:styleId="Tabela-Profesjonalny">
    <w:name w:val="Table Professional"/>
    <w:basedOn w:val="Standardowy"/>
    <w:uiPriority w:val="99"/>
    <w:semiHidden/>
    <w:rsid w:val="00014566"/>
    <w:pPr>
      <w:suppressAutoHyphens/>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ela-Prosty1">
    <w:name w:val="Table Simple 1"/>
    <w:basedOn w:val="Standardowy"/>
    <w:uiPriority w:val="99"/>
    <w:semiHidden/>
    <w:rsid w:val="00014566"/>
    <w:pPr>
      <w:suppressAutoHyphens/>
    </w:pPr>
    <w:rPr>
      <w:lang w:val="fr-FR" w:eastAsia="fr-FR"/>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ela-Prosty2">
    <w:name w:val="Table Simple 2"/>
    <w:basedOn w:val="Standardowy"/>
    <w:uiPriority w:val="99"/>
    <w:semiHidden/>
    <w:rsid w:val="00014566"/>
    <w:pPr>
      <w:suppressAutoHyphens/>
    </w:pPr>
    <w:rPr>
      <w:lang w:val="fr-FR" w:eastAsia="fr-FR"/>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ela-Prosty3">
    <w:name w:val="Table Simple 3"/>
    <w:basedOn w:val="Standardowy"/>
    <w:uiPriority w:val="99"/>
    <w:semiHidden/>
    <w:rsid w:val="00014566"/>
    <w:pPr>
      <w:suppressAutoHyphens/>
    </w:pPr>
    <w:rPr>
      <w:lang w:val="fr-FR" w:eastAsia="fr-FR"/>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ela-Delikatny1">
    <w:name w:val="Table Subtle 1"/>
    <w:basedOn w:val="Standardowy"/>
    <w:uiPriority w:val="99"/>
    <w:semiHidden/>
    <w:rsid w:val="00014566"/>
    <w:pPr>
      <w:suppressAutoHyphens/>
    </w:pPr>
    <w:rPr>
      <w:lang w:val="fr-FR" w:eastAsia="fr-FR"/>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Delikatny2">
    <w:name w:val="Table Subtle 2"/>
    <w:basedOn w:val="Standardowy"/>
    <w:uiPriority w:val="99"/>
    <w:semiHidden/>
    <w:rsid w:val="00014566"/>
    <w:pPr>
      <w:suppressAutoHyphens/>
    </w:pPr>
    <w:rPr>
      <w:lang w:val="fr-FR" w:eastAsia="fr-FR"/>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Motyw">
    <w:name w:val="Table Theme"/>
    <w:basedOn w:val="Standardowy"/>
    <w:uiPriority w:val="99"/>
    <w:semiHidden/>
    <w:rsid w:val="00014566"/>
    <w:pPr>
      <w:suppressAutoHyphens/>
    </w:pPr>
    <w:rPr>
      <w:lang w:val="fr-FR" w:eastAsia="fr-F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ela-SieWeb1">
    <w:name w:val="Table Web 1"/>
    <w:basedOn w:val="Standardowy"/>
    <w:uiPriority w:val="99"/>
    <w:semiHidden/>
    <w:rsid w:val="00014566"/>
    <w:pPr>
      <w:suppressAutoHyphens/>
    </w:pPr>
    <w:rPr>
      <w:lang w:val="fr-FR" w:eastAsia="fr-FR"/>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2">
    <w:name w:val="Table Web 2"/>
    <w:basedOn w:val="Standardowy"/>
    <w:uiPriority w:val="99"/>
    <w:semiHidden/>
    <w:rsid w:val="00014566"/>
    <w:pPr>
      <w:suppressAutoHyphens/>
    </w:pPr>
    <w:rPr>
      <w:lang w:val="fr-FR" w:eastAsia="fr-FR"/>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3">
    <w:name w:val="Table Web 3"/>
    <w:basedOn w:val="Standardowy"/>
    <w:uiPriority w:val="99"/>
    <w:semiHidden/>
    <w:rsid w:val="00014566"/>
    <w:pPr>
      <w:suppressAutoHyphens/>
    </w:pPr>
    <w:rPr>
      <w:lang w:val="fr-FR" w:eastAsia="fr-FR"/>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Spistreci6">
    <w:name w:val="toc 6"/>
    <w:basedOn w:val="Normalny"/>
    <w:next w:val="Normalny"/>
    <w:autoRedefine/>
    <w:uiPriority w:val="99"/>
    <w:semiHidden/>
    <w:rsid w:val="00C3150F"/>
    <w:pPr>
      <w:tabs>
        <w:tab w:val="right" w:leader="dot" w:pos="7371"/>
      </w:tabs>
      <w:spacing w:after="60" w:line="240" w:lineRule="exact"/>
      <w:ind w:left="2041" w:right="567" w:hanging="340"/>
    </w:pPr>
    <w:rPr>
      <w:sz w:val="20"/>
    </w:rPr>
  </w:style>
  <w:style w:type="paragraph" w:styleId="Spistreci7">
    <w:name w:val="toc 7"/>
    <w:basedOn w:val="Normalny"/>
    <w:next w:val="Normalny"/>
    <w:autoRedefine/>
    <w:uiPriority w:val="99"/>
    <w:semiHidden/>
    <w:rsid w:val="00C3150F"/>
    <w:pPr>
      <w:tabs>
        <w:tab w:val="right" w:leader="dot" w:pos="7371"/>
      </w:tabs>
      <w:spacing w:after="60" w:line="240" w:lineRule="exact"/>
      <w:ind w:left="2381" w:right="567" w:hanging="340"/>
    </w:pPr>
    <w:rPr>
      <w:sz w:val="20"/>
    </w:rPr>
  </w:style>
  <w:style w:type="paragraph" w:styleId="Spistreci8">
    <w:name w:val="toc 8"/>
    <w:basedOn w:val="Normalny"/>
    <w:next w:val="Normalny"/>
    <w:autoRedefine/>
    <w:uiPriority w:val="99"/>
    <w:semiHidden/>
    <w:rsid w:val="00014566"/>
    <w:pPr>
      <w:spacing w:after="100"/>
      <w:ind w:left="1680"/>
    </w:pPr>
  </w:style>
  <w:style w:type="paragraph" w:styleId="Spistreci9">
    <w:name w:val="toc 9"/>
    <w:basedOn w:val="Normalny"/>
    <w:next w:val="Normalny"/>
    <w:autoRedefine/>
    <w:uiPriority w:val="99"/>
    <w:semiHidden/>
    <w:rsid w:val="00014566"/>
    <w:pPr>
      <w:spacing w:after="100"/>
      <w:ind w:left="1920"/>
    </w:pPr>
  </w:style>
  <w:style w:type="paragraph" w:customStyle="1" w:styleId="OpiHa">
    <w:name w:val="Opi_H_a"/>
    <w:basedOn w:val="ECHRHeading3"/>
    <w:uiPriority w:val="43"/>
    <w:qFormat/>
    <w:rsid w:val="00C3150F"/>
    <w:pPr>
      <w:ind w:left="833" w:hanging="357"/>
      <w:outlineLvl w:val="3"/>
    </w:pPr>
    <w:rPr>
      <w:b/>
      <w:i w:val="0"/>
      <w:sz w:val="20"/>
    </w:rPr>
  </w:style>
  <w:style w:type="paragraph" w:customStyle="1" w:styleId="OpiHA0">
    <w:name w:val="Opi_H_A"/>
    <w:basedOn w:val="ECHRHeading1"/>
    <w:next w:val="OpiPara"/>
    <w:uiPriority w:val="41"/>
    <w:qFormat/>
    <w:rsid w:val="00C3150F"/>
    <w:pPr>
      <w:tabs>
        <w:tab w:val="clear" w:pos="357"/>
      </w:tabs>
      <w:outlineLvl w:val="1"/>
    </w:pPr>
    <w:rPr>
      <w:b/>
    </w:rPr>
  </w:style>
  <w:style w:type="paragraph" w:customStyle="1" w:styleId="OpiHi">
    <w:name w:val="Opi_H_i"/>
    <w:basedOn w:val="ECHRHeading4"/>
    <w:uiPriority w:val="44"/>
    <w:qFormat/>
    <w:rsid w:val="00C3150F"/>
    <w:pPr>
      <w:ind w:left="1037" w:hanging="357"/>
      <w:outlineLvl w:val="4"/>
    </w:pPr>
    <w:rPr>
      <w:b w:val="0"/>
      <w:i/>
    </w:rPr>
  </w:style>
  <w:style w:type="paragraph" w:customStyle="1" w:styleId="OpiParaSub">
    <w:name w:val="Opi_Para_Sub"/>
    <w:basedOn w:val="JuParaSub"/>
    <w:uiPriority w:val="47"/>
    <w:qFormat/>
    <w:rsid w:val="00C3150F"/>
  </w:style>
  <w:style w:type="paragraph" w:customStyle="1" w:styleId="OpiQuot">
    <w:name w:val="Opi_Quot"/>
    <w:basedOn w:val="ECHRParaQuote"/>
    <w:uiPriority w:val="48"/>
    <w:qFormat/>
    <w:rsid w:val="00C3150F"/>
  </w:style>
  <w:style w:type="paragraph" w:customStyle="1" w:styleId="OpiQuotSub">
    <w:name w:val="Opi_Quot_Sub"/>
    <w:basedOn w:val="JuQuotSub"/>
    <w:uiPriority w:val="49"/>
    <w:qFormat/>
    <w:rsid w:val="00C3150F"/>
  </w:style>
  <w:style w:type="paragraph" w:customStyle="1" w:styleId="OpiTranslation">
    <w:name w:val="Opi_Translation"/>
    <w:basedOn w:val="Normalny"/>
    <w:next w:val="OpiPara"/>
    <w:uiPriority w:val="40"/>
    <w:qFormat/>
    <w:rsid w:val="00C3150F"/>
    <w:pPr>
      <w:jc w:val="center"/>
      <w:outlineLvl w:val="0"/>
    </w:pPr>
    <w:rPr>
      <w:i/>
    </w:rPr>
  </w:style>
  <w:style w:type="character" w:customStyle="1" w:styleId="ECHRParaChar">
    <w:name w:val="ECHR_Para Char"/>
    <w:aliases w:val="Ju_Para Char"/>
    <w:link w:val="ECHRPara"/>
    <w:uiPriority w:val="12"/>
    <w:rsid w:val="00A1142A"/>
    <w:rPr>
      <w:rFonts w:eastAsiaTheme="minorEastAsia"/>
      <w:sz w:val="24"/>
      <w:lang w:val="en-GB"/>
    </w:rPr>
  </w:style>
  <w:style w:type="paragraph" w:customStyle="1" w:styleId="ECHRParaSpaced">
    <w:name w:val="ECHR_Para_Spaced"/>
    <w:aliases w:val="Para_Spaced"/>
    <w:basedOn w:val="Normalny"/>
    <w:uiPriority w:val="4"/>
    <w:rsid w:val="005C514B"/>
    <w:pPr>
      <w:spacing w:before="120" w:after="120"/>
    </w:pPr>
    <w:rPr>
      <w:rFonts w:ascii="Calibri" w:eastAsia="Times New Roman" w:hAnsi="Calibri" w:cs="Calibri"/>
      <w:sz w:val="22"/>
      <w:lang w:val="en-US"/>
    </w:rPr>
  </w:style>
  <w:style w:type="character" w:customStyle="1" w:styleId="JuListChar">
    <w:name w:val="Ju_List Char"/>
    <w:link w:val="JuList"/>
    <w:uiPriority w:val="28"/>
    <w:rsid w:val="00783E7F"/>
    <w:rPr>
      <w:rFonts w:eastAsiaTheme="minorEastAsia"/>
      <w:sz w:val="24"/>
      <w:lang w:val="en-GB"/>
    </w:rPr>
  </w:style>
  <w:style w:type="paragraph" w:customStyle="1" w:styleId="jupara">
    <w:name w:val="jupara"/>
    <w:basedOn w:val="Normalny"/>
    <w:rsid w:val="002B30B4"/>
    <w:pPr>
      <w:ind w:firstLine="284"/>
    </w:pPr>
    <w:rPr>
      <w:rFonts w:ascii="Times New Roman" w:eastAsia="Times New Roman" w:hAnsi="Times New Roman" w:cs="Times New Roman"/>
      <w:szCs w:val="24"/>
      <w:lang w:eastAsia="en-GB"/>
    </w:rPr>
  </w:style>
  <w:style w:type="paragraph" w:customStyle="1" w:styleId="jucase0">
    <w:name w:val="jucase"/>
    <w:basedOn w:val="Normalny"/>
    <w:rsid w:val="002B30B4"/>
    <w:pPr>
      <w:ind w:firstLine="284"/>
    </w:pPr>
    <w:rPr>
      <w:rFonts w:ascii="Times New Roman" w:eastAsia="Times New Roman" w:hAnsi="Times New Roman" w:cs="Times New Roman"/>
      <w:b/>
      <w:bCs/>
      <w:szCs w:val="24"/>
      <w:lang w:eastAsia="en-GB"/>
    </w:rPr>
  </w:style>
  <w:style w:type="character" w:customStyle="1" w:styleId="tw4winMark">
    <w:name w:val="tw4winMark"/>
    <w:basedOn w:val="Domylnaczcionkaakapitu"/>
    <w:rsid w:val="00FA16A8"/>
    <w:rPr>
      <w:rFonts w:ascii="Courier New" w:hAnsi="Courier New" w:cs="Courier New"/>
      <w:b w:val="0"/>
      <w:i w:val="0"/>
      <w:dstrike w:val="0"/>
      <w:noProof/>
      <w:vanish/>
      <w:color w:val="800080"/>
      <w:sz w:val="22"/>
      <w:effect w:val="none"/>
      <w:vertAlign w:val="subscript"/>
    </w:rPr>
  </w:style>
  <w:style w:type="paragraph" w:styleId="Poprawka">
    <w:name w:val="Revision"/>
    <w:hidden/>
    <w:uiPriority w:val="99"/>
    <w:semiHidden/>
    <w:rsid w:val="00FB3D42"/>
    <w:rPr>
      <w:rFonts w:eastAsiaTheme="minorEastAsia"/>
      <w:sz w:val="24"/>
      <w:lang w:val="en-GB"/>
    </w:rPr>
  </w:style>
  <w:style w:type="character" w:customStyle="1" w:styleId="s4f807e54">
    <w:name w:val="s4f807e54"/>
    <w:uiPriority w:val="99"/>
    <w:rsid w:val="004779A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70194139">
      <w:bodyDiv w:val="1"/>
      <w:marLeft w:val="0"/>
      <w:marRight w:val="0"/>
      <w:marTop w:val="0"/>
      <w:marBottom w:val="0"/>
      <w:divBdr>
        <w:top w:val="none" w:sz="0" w:space="0" w:color="auto"/>
        <w:left w:val="none" w:sz="0" w:space="0" w:color="auto"/>
        <w:bottom w:val="none" w:sz="0" w:space="0" w:color="auto"/>
        <w:right w:val="none" w:sz="0" w:space="0" w:color="auto"/>
      </w:divBdr>
    </w:div>
    <w:div w:id="684475099">
      <w:bodyDiv w:val="1"/>
      <w:marLeft w:val="0"/>
      <w:marRight w:val="0"/>
      <w:marTop w:val="0"/>
      <w:marBottom w:val="0"/>
      <w:divBdr>
        <w:top w:val="none" w:sz="0" w:space="0" w:color="auto"/>
        <w:left w:val="none" w:sz="0" w:space="0" w:color="auto"/>
        <w:bottom w:val="none" w:sz="0" w:space="0" w:color="auto"/>
        <w:right w:val="none" w:sz="0" w:space="0" w:color="auto"/>
      </w:divBdr>
      <w:divsChild>
        <w:div w:id="2027444752">
          <w:marLeft w:val="0"/>
          <w:marRight w:val="0"/>
          <w:marTop w:val="0"/>
          <w:marBottom w:val="0"/>
          <w:divBdr>
            <w:top w:val="none" w:sz="0" w:space="0" w:color="auto"/>
            <w:left w:val="none" w:sz="0" w:space="0" w:color="auto"/>
            <w:bottom w:val="none" w:sz="0" w:space="0" w:color="auto"/>
            <w:right w:val="none" w:sz="0" w:space="0" w:color="auto"/>
          </w:divBdr>
          <w:divsChild>
            <w:div w:id="119693041">
              <w:marLeft w:val="0"/>
              <w:marRight w:val="0"/>
              <w:marTop w:val="0"/>
              <w:marBottom w:val="0"/>
              <w:divBdr>
                <w:top w:val="none" w:sz="0" w:space="0" w:color="auto"/>
                <w:left w:val="none" w:sz="0" w:space="0" w:color="auto"/>
                <w:bottom w:val="none" w:sz="0" w:space="0" w:color="auto"/>
                <w:right w:val="none" w:sz="0" w:space="0" w:color="auto"/>
              </w:divBdr>
              <w:divsChild>
                <w:div w:id="1094671473">
                  <w:marLeft w:val="0"/>
                  <w:marRight w:val="0"/>
                  <w:marTop w:val="0"/>
                  <w:marBottom w:val="0"/>
                  <w:divBdr>
                    <w:top w:val="none" w:sz="0" w:space="0" w:color="auto"/>
                    <w:left w:val="none" w:sz="0" w:space="0" w:color="auto"/>
                    <w:bottom w:val="none" w:sz="0" w:space="0" w:color="auto"/>
                    <w:right w:val="none" w:sz="0" w:space="0" w:color="auto"/>
                  </w:divBdr>
                  <w:divsChild>
                    <w:div w:id="1964077159">
                      <w:marLeft w:val="0"/>
                      <w:marRight w:val="0"/>
                      <w:marTop w:val="0"/>
                      <w:marBottom w:val="0"/>
                      <w:divBdr>
                        <w:top w:val="none" w:sz="0" w:space="0" w:color="auto"/>
                        <w:left w:val="none" w:sz="0" w:space="0" w:color="auto"/>
                        <w:bottom w:val="none" w:sz="0" w:space="0" w:color="auto"/>
                        <w:right w:val="none" w:sz="0" w:space="0" w:color="auto"/>
                      </w:divBdr>
                      <w:divsChild>
                        <w:div w:id="361783236">
                          <w:marLeft w:val="0"/>
                          <w:marRight w:val="0"/>
                          <w:marTop w:val="0"/>
                          <w:marBottom w:val="0"/>
                          <w:divBdr>
                            <w:top w:val="none" w:sz="0" w:space="0" w:color="auto"/>
                            <w:left w:val="none" w:sz="0" w:space="0" w:color="auto"/>
                            <w:bottom w:val="none" w:sz="0" w:space="0" w:color="auto"/>
                            <w:right w:val="none" w:sz="0" w:space="0" w:color="auto"/>
                          </w:divBdr>
                          <w:divsChild>
                            <w:div w:id="8511482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768159707">
      <w:bodyDiv w:val="1"/>
      <w:marLeft w:val="0"/>
      <w:marRight w:val="0"/>
      <w:marTop w:val="0"/>
      <w:marBottom w:val="0"/>
      <w:divBdr>
        <w:top w:val="none" w:sz="0" w:space="0" w:color="auto"/>
        <w:left w:val="none" w:sz="0" w:space="0" w:color="auto"/>
        <w:bottom w:val="none" w:sz="0" w:space="0" w:color="auto"/>
        <w:right w:val="none" w:sz="0" w:space="0" w:color="auto"/>
      </w:divBdr>
      <w:divsChild>
        <w:div w:id="1544950406">
          <w:marLeft w:val="0"/>
          <w:marRight w:val="0"/>
          <w:marTop w:val="0"/>
          <w:marBottom w:val="0"/>
          <w:divBdr>
            <w:top w:val="none" w:sz="0" w:space="0" w:color="auto"/>
            <w:left w:val="none" w:sz="0" w:space="0" w:color="auto"/>
            <w:bottom w:val="none" w:sz="0" w:space="0" w:color="auto"/>
            <w:right w:val="none" w:sz="0" w:space="0" w:color="auto"/>
          </w:divBdr>
          <w:divsChild>
            <w:div w:id="1234124456">
              <w:marLeft w:val="0"/>
              <w:marRight w:val="0"/>
              <w:marTop w:val="0"/>
              <w:marBottom w:val="0"/>
              <w:divBdr>
                <w:top w:val="none" w:sz="0" w:space="0" w:color="auto"/>
                <w:left w:val="none" w:sz="0" w:space="0" w:color="auto"/>
                <w:bottom w:val="none" w:sz="0" w:space="0" w:color="auto"/>
                <w:right w:val="none" w:sz="0" w:space="0" w:color="auto"/>
              </w:divBdr>
              <w:divsChild>
                <w:div w:id="1818493150">
                  <w:marLeft w:val="0"/>
                  <w:marRight w:val="0"/>
                  <w:marTop w:val="0"/>
                  <w:marBottom w:val="0"/>
                  <w:divBdr>
                    <w:top w:val="none" w:sz="0" w:space="0" w:color="auto"/>
                    <w:left w:val="none" w:sz="0" w:space="0" w:color="auto"/>
                    <w:bottom w:val="none" w:sz="0" w:space="0" w:color="auto"/>
                    <w:right w:val="none" w:sz="0" w:space="0" w:color="auto"/>
                  </w:divBdr>
                  <w:divsChild>
                    <w:div w:id="362175651">
                      <w:marLeft w:val="0"/>
                      <w:marRight w:val="0"/>
                      <w:marTop w:val="0"/>
                      <w:marBottom w:val="0"/>
                      <w:divBdr>
                        <w:top w:val="none" w:sz="0" w:space="0" w:color="auto"/>
                        <w:left w:val="none" w:sz="0" w:space="0" w:color="auto"/>
                        <w:bottom w:val="none" w:sz="0" w:space="0" w:color="auto"/>
                        <w:right w:val="none" w:sz="0" w:space="0" w:color="auto"/>
                      </w:divBdr>
                      <w:divsChild>
                        <w:div w:id="1006982624">
                          <w:marLeft w:val="0"/>
                          <w:marRight w:val="0"/>
                          <w:marTop w:val="0"/>
                          <w:marBottom w:val="0"/>
                          <w:divBdr>
                            <w:top w:val="none" w:sz="0" w:space="0" w:color="auto"/>
                            <w:left w:val="none" w:sz="0" w:space="0" w:color="auto"/>
                            <w:bottom w:val="none" w:sz="0" w:space="0" w:color="auto"/>
                            <w:right w:val="none" w:sz="0" w:space="0" w:color="auto"/>
                          </w:divBdr>
                          <w:divsChild>
                            <w:div w:id="11801957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786585221">
      <w:bodyDiv w:val="1"/>
      <w:marLeft w:val="0"/>
      <w:marRight w:val="0"/>
      <w:marTop w:val="0"/>
      <w:marBottom w:val="0"/>
      <w:divBdr>
        <w:top w:val="none" w:sz="0" w:space="0" w:color="auto"/>
        <w:left w:val="none" w:sz="0" w:space="0" w:color="auto"/>
        <w:bottom w:val="none" w:sz="0" w:space="0" w:color="auto"/>
        <w:right w:val="none" w:sz="0" w:space="0" w:color="auto"/>
      </w:divBdr>
    </w:div>
    <w:div w:id="827132518">
      <w:bodyDiv w:val="1"/>
      <w:marLeft w:val="0"/>
      <w:marRight w:val="0"/>
      <w:marTop w:val="0"/>
      <w:marBottom w:val="0"/>
      <w:divBdr>
        <w:top w:val="none" w:sz="0" w:space="0" w:color="auto"/>
        <w:left w:val="none" w:sz="0" w:space="0" w:color="auto"/>
        <w:bottom w:val="none" w:sz="0" w:space="0" w:color="auto"/>
        <w:right w:val="none" w:sz="0" w:space="0" w:color="auto"/>
      </w:divBdr>
      <w:divsChild>
        <w:div w:id="801732557">
          <w:marLeft w:val="0"/>
          <w:marRight w:val="0"/>
          <w:marTop w:val="0"/>
          <w:marBottom w:val="0"/>
          <w:divBdr>
            <w:top w:val="none" w:sz="0" w:space="0" w:color="auto"/>
            <w:left w:val="none" w:sz="0" w:space="0" w:color="auto"/>
            <w:bottom w:val="none" w:sz="0" w:space="0" w:color="auto"/>
            <w:right w:val="none" w:sz="0" w:space="0" w:color="auto"/>
          </w:divBdr>
          <w:divsChild>
            <w:div w:id="350034653">
              <w:marLeft w:val="0"/>
              <w:marRight w:val="0"/>
              <w:marTop w:val="0"/>
              <w:marBottom w:val="0"/>
              <w:divBdr>
                <w:top w:val="none" w:sz="0" w:space="0" w:color="auto"/>
                <w:left w:val="none" w:sz="0" w:space="0" w:color="auto"/>
                <w:bottom w:val="none" w:sz="0" w:space="0" w:color="auto"/>
                <w:right w:val="none" w:sz="0" w:space="0" w:color="auto"/>
              </w:divBdr>
              <w:divsChild>
                <w:div w:id="329915835">
                  <w:marLeft w:val="0"/>
                  <w:marRight w:val="0"/>
                  <w:marTop w:val="0"/>
                  <w:marBottom w:val="0"/>
                  <w:divBdr>
                    <w:top w:val="none" w:sz="0" w:space="0" w:color="auto"/>
                    <w:left w:val="none" w:sz="0" w:space="0" w:color="auto"/>
                    <w:bottom w:val="none" w:sz="0" w:space="0" w:color="auto"/>
                    <w:right w:val="none" w:sz="0" w:space="0" w:color="auto"/>
                  </w:divBdr>
                  <w:divsChild>
                    <w:div w:id="1459451175">
                      <w:marLeft w:val="0"/>
                      <w:marRight w:val="0"/>
                      <w:marTop w:val="0"/>
                      <w:marBottom w:val="0"/>
                      <w:divBdr>
                        <w:top w:val="none" w:sz="0" w:space="0" w:color="auto"/>
                        <w:left w:val="none" w:sz="0" w:space="0" w:color="auto"/>
                        <w:bottom w:val="none" w:sz="0" w:space="0" w:color="auto"/>
                        <w:right w:val="none" w:sz="0" w:space="0" w:color="auto"/>
                      </w:divBdr>
                      <w:divsChild>
                        <w:div w:id="741178506">
                          <w:marLeft w:val="0"/>
                          <w:marRight w:val="0"/>
                          <w:marTop w:val="0"/>
                          <w:marBottom w:val="0"/>
                          <w:divBdr>
                            <w:top w:val="none" w:sz="0" w:space="0" w:color="auto"/>
                            <w:left w:val="none" w:sz="0" w:space="0" w:color="auto"/>
                            <w:bottom w:val="none" w:sz="0" w:space="0" w:color="auto"/>
                            <w:right w:val="none" w:sz="0" w:space="0" w:color="auto"/>
                          </w:divBdr>
                          <w:divsChild>
                            <w:div w:id="10687669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64708895">
      <w:bodyDiv w:val="1"/>
      <w:marLeft w:val="0"/>
      <w:marRight w:val="0"/>
      <w:marTop w:val="0"/>
      <w:marBottom w:val="0"/>
      <w:divBdr>
        <w:top w:val="none" w:sz="0" w:space="0" w:color="auto"/>
        <w:left w:val="none" w:sz="0" w:space="0" w:color="auto"/>
        <w:bottom w:val="none" w:sz="0" w:space="0" w:color="auto"/>
        <w:right w:val="none" w:sz="0" w:space="0" w:color="auto"/>
      </w:divBdr>
    </w:div>
    <w:div w:id="874272010">
      <w:bodyDiv w:val="1"/>
      <w:marLeft w:val="0"/>
      <w:marRight w:val="0"/>
      <w:marTop w:val="0"/>
      <w:marBottom w:val="0"/>
      <w:divBdr>
        <w:top w:val="none" w:sz="0" w:space="0" w:color="auto"/>
        <w:left w:val="none" w:sz="0" w:space="0" w:color="auto"/>
        <w:bottom w:val="none" w:sz="0" w:space="0" w:color="auto"/>
        <w:right w:val="none" w:sz="0" w:space="0" w:color="auto"/>
      </w:divBdr>
    </w:div>
    <w:div w:id="971401400">
      <w:bodyDiv w:val="1"/>
      <w:marLeft w:val="0"/>
      <w:marRight w:val="0"/>
      <w:marTop w:val="0"/>
      <w:marBottom w:val="0"/>
      <w:divBdr>
        <w:top w:val="none" w:sz="0" w:space="0" w:color="auto"/>
        <w:left w:val="none" w:sz="0" w:space="0" w:color="auto"/>
        <w:bottom w:val="none" w:sz="0" w:space="0" w:color="auto"/>
        <w:right w:val="none" w:sz="0" w:space="0" w:color="auto"/>
      </w:divBdr>
    </w:div>
    <w:div w:id="1645431580">
      <w:bodyDiv w:val="1"/>
      <w:marLeft w:val="0"/>
      <w:marRight w:val="0"/>
      <w:marTop w:val="0"/>
      <w:marBottom w:val="0"/>
      <w:divBdr>
        <w:top w:val="none" w:sz="0" w:space="0" w:color="auto"/>
        <w:left w:val="none" w:sz="0" w:space="0" w:color="auto"/>
        <w:bottom w:val="none" w:sz="0" w:space="0" w:color="auto"/>
        <w:right w:val="none" w:sz="0" w:space="0" w:color="auto"/>
      </w:divBdr>
    </w:div>
    <w:div w:id="1646350449">
      <w:bodyDiv w:val="1"/>
      <w:marLeft w:val="0"/>
      <w:marRight w:val="0"/>
      <w:marTop w:val="0"/>
      <w:marBottom w:val="0"/>
      <w:divBdr>
        <w:top w:val="none" w:sz="0" w:space="0" w:color="auto"/>
        <w:left w:val="none" w:sz="0" w:space="0" w:color="auto"/>
        <w:bottom w:val="none" w:sz="0" w:space="0" w:color="auto"/>
        <w:right w:val="none" w:sz="0" w:space="0" w:color="auto"/>
      </w:divBdr>
      <w:divsChild>
        <w:div w:id="1477798121">
          <w:marLeft w:val="0"/>
          <w:marRight w:val="0"/>
          <w:marTop w:val="0"/>
          <w:marBottom w:val="0"/>
          <w:divBdr>
            <w:top w:val="none" w:sz="0" w:space="0" w:color="auto"/>
            <w:left w:val="none" w:sz="0" w:space="0" w:color="auto"/>
            <w:bottom w:val="none" w:sz="0" w:space="0" w:color="auto"/>
            <w:right w:val="none" w:sz="0" w:space="0" w:color="auto"/>
          </w:divBdr>
          <w:divsChild>
            <w:div w:id="1120077590">
              <w:marLeft w:val="0"/>
              <w:marRight w:val="0"/>
              <w:marTop w:val="0"/>
              <w:marBottom w:val="0"/>
              <w:divBdr>
                <w:top w:val="none" w:sz="0" w:space="0" w:color="auto"/>
                <w:left w:val="none" w:sz="0" w:space="0" w:color="auto"/>
                <w:bottom w:val="none" w:sz="0" w:space="0" w:color="auto"/>
                <w:right w:val="none" w:sz="0" w:space="0" w:color="auto"/>
              </w:divBdr>
              <w:divsChild>
                <w:div w:id="1762948646">
                  <w:marLeft w:val="0"/>
                  <w:marRight w:val="0"/>
                  <w:marTop w:val="0"/>
                  <w:marBottom w:val="0"/>
                  <w:divBdr>
                    <w:top w:val="none" w:sz="0" w:space="0" w:color="auto"/>
                    <w:left w:val="none" w:sz="0" w:space="0" w:color="auto"/>
                    <w:bottom w:val="none" w:sz="0" w:space="0" w:color="auto"/>
                    <w:right w:val="none" w:sz="0" w:space="0" w:color="auto"/>
                  </w:divBdr>
                  <w:divsChild>
                    <w:div w:id="239873847">
                      <w:marLeft w:val="0"/>
                      <w:marRight w:val="0"/>
                      <w:marTop w:val="0"/>
                      <w:marBottom w:val="0"/>
                      <w:divBdr>
                        <w:top w:val="none" w:sz="0" w:space="0" w:color="auto"/>
                        <w:left w:val="none" w:sz="0" w:space="0" w:color="auto"/>
                        <w:bottom w:val="none" w:sz="0" w:space="0" w:color="auto"/>
                        <w:right w:val="none" w:sz="0" w:space="0" w:color="auto"/>
                      </w:divBdr>
                      <w:divsChild>
                        <w:div w:id="1460956625">
                          <w:marLeft w:val="0"/>
                          <w:marRight w:val="0"/>
                          <w:marTop w:val="0"/>
                          <w:marBottom w:val="0"/>
                          <w:divBdr>
                            <w:top w:val="none" w:sz="0" w:space="0" w:color="auto"/>
                            <w:left w:val="none" w:sz="0" w:space="0" w:color="auto"/>
                            <w:bottom w:val="none" w:sz="0" w:space="0" w:color="auto"/>
                            <w:right w:val="none" w:sz="0" w:space="0" w:color="auto"/>
                          </w:divBdr>
                          <w:divsChild>
                            <w:div w:id="8211198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729263616">
      <w:bodyDiv w:val="1"/>
      <w:marLeft w:val="0"/>
      <w:marRight w:val="0"/>
      <w:marTop w:val="0"/>
      <w:marBottom w:val="0"/>
      <w:divBdr>
        <w:top w:val="none" w:sz="0" w:space="0" w:color="auto"/>
        <w:left w:val="none" w:sz="0" w:space="0" w:color="auto"/>
        <w:bottom w:val="none" w:sz="0" w:space="0" w:color="auto"/>
        <w:right w:val="none" w:sz="0" w:space="0" w:color="auto"/>
      </w:divBdr>
      <w:divsChild>
        <w:div w:id="1736853421">
          <w:marLeft w:val="0"/>
          <w:marRight w:val="0"/>
          <w:marTop w:val="0"/>
          <w:marBottom w:val="0"/>
          <w:divBdr>
            <w:top w:val="none" w:sz="0" w:space="0" w:color="auto"/>
            <w:left w:val="none" w:sz="0" w:space="0" w:color="auto"/>
            <w:bottom w:val="none" w:sz="0" w:space="0" w:color="auto"/>
            <w:right w:val="none" w:sz="0" w:space="0" w:color="auto"/>
          </w:divBdr>
          <w:divsChild>
            <w:div w:id="40401181">
              <w:marLeft w:val="0"/>
              <w:marRight w:val="0"/>
              <w:marTop w:val="0"/>
              <w:marBottom w:val="0"/>
              <w:divBdr>
                <w:top w:val="none" w:sz="0" w:space="0" w:color="auto"/>
                <w:left w:val="none" w:sz="0" w:space="0" w:color="auto"/>
                <w:bottom w:val="none" w:sz="0" w:space="0" w:color="auto"/>
                <w:right w:val="none" w:sz="0" w:space="0" w:color="auto"/>
              </w:divBdr>
              <w:divsChild>
                <w:div w:id="1145975301">
                  <w:marLeft w:val="0"/>
                  <w:marRight w:val="0"/>
                  <w:marTop w:val="0"/>
                  <w:marBottom w:val="0"/>
                  <w:divBdr>
                    <w:top w:val="none" w:sz="0" w:space="0" w:color="auto"/>
                    <w:left w:val="none" w:sz="0" w:space="0" w:color="auto"/>
                    <w:bottom w:val="none" w:sz="0" w:space="0" w:color="auto"/>
                    <w:right w:val="none" w:sz="0" w:space="0" w:color="auto"/>
                  </w:divBdr>
                  <w:divsChild>
                    <w:div w:id="1289386484">
                      <w:marLeft w:val="0"/>
                      <w:marRight w:val="0"/>
                      <w:marTop w:val="0"/>
                      <w:marBottom w:val="0"/>
                      <w:divBdr>
                        <w:top w:val="none" w:sz="0" w:space="0" w:color="auto"/>
                        <w:left w:val="none" w:sz="0" w:space="0" w:color="auto"/>
                        <w:bottom w:val="none" w:sz="0" w:space="0" w:color="auto"/>
                        <w:right w:val="none" w:sz="0" w:space="0" w:color="auto"/>
                      </w:divBdr>
                      <w:divsChild>
                        <w:div w:id="1049497930">
                          <w:marLeft w:val="0"/>
                          <w:marRight w:val="0"/>
                          <w:marTop w:val="0"/>
                          <w:marBottom w:val="0"/>
                          <w:divBdr>
                            <w:top w:val="none" w:sz="0" w:space="0" w:color="auto"/>
                            <w:left w:val="none" w:sz="0" w:space="0" w:color="auto"/>
                            <w:bottom w:val="none" w:sz="0" w:space="0" w:color="auto"/>
                            <w:right w:val="none" w:sz="0" w:space="0" w:color="auto"/>
                          </w:divBdr>
                          <w:divsChild>
                            <w:div w:id="7001310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72913854">
      <w:bodyDiv w:val="1"/>
      <w:marLeft w:val="0"/>
      <w:marRight w:val="0"/>
      <w:marTop w:val="0"/>
      <w:marBottom w:val="0"/>
      <w:divBdr>
        <w:top w:val="none" w:sz="0" w:space="0" w:color="auto"/>
        <w:left w:val="none" w:sz="0" w:space="0" w:color="auto"/>
        <w:bottom w:val="none" w:sz="0" w:space="0" w:color="auto"/>
        <w:right w:val="none" w:sz="0" w:space="0" w:color="auto"/>
      </w:divBdr>
      <w:divsChild>
        <w:div w:id="590050405">
          <w:marLeft w:val="0"/>
          <w:marRight w:val="0"/>
          <w:marTop w:val="0"/>
          <w:marBottom w:val="0"/>
          <w:divBdr>
            <w:top w:val="none" w:sz="0" w:space="0" w:color="auto"/>
            <w:left w:val="none" w:sz="0" w:space="0" w:color="auto"/>
            <w:bottom w:val="none" w:sz="0" w:space="0" w:color="auto"/>
            <w:right w:val="none" w:sz="0" w:space="0" w:color="auto"/>
          </w:divBdr>
          <w:divsChild>
            <w:div w:id="235020608">
              <w:marLeft w:val="0"/>
              <w:marRight w:val="0"/>
              <w:marTop w:val="0"/>
              <w:marBottom w:val="0"/>
              <w:divBdr>
                <w:top w:val="none" w:sz="0" w:space="0" w:color="auto"/>
                <w:left w:val="none" w:sz="0" w:space="0" w:color="auto"/>
                <w:bottom w:val="none" w:sz="0" w:space="0" w:color="auto"/>
                <w:right w:val="none" w:sz="0" w:space="0" w:color="auto"/>
              </w:divBdr>
              <w:divsChild>
                <w:div w:id="1949042819">
                  <w:marLeft w:val="0"/>
                  <w:marRight w:val="0"/>
                  <w:marTop w:val="0"/>
                  <w:marBottom w:val="0"/>
                  <w:divBdr>
                    <w:top w:val="none" w:sz="0" w:space="0" w:color="auto"/>
                    <w:left w:val="none" w:sz="0" w:space="0" w:color="auto"/>
                    <w:bottom w:val="none" w:sz="0" w:space="0" w:color="auto"/>
                    <w:right w:val="none" w:sz="0" w:space="0" w:color="auto"/>
                  </w:divBdr>
                  <w:divsChild>
                    <w:div w:id="632558626">
                      <w:marLeft w:val="0"/>
                      <w:marRight w:val="0"/>
                      <w:marTop w:val="0"/>
                      <w:marBottom w:val="0"/>
                      <w:divBdr>
                        <w:top w:val="none" w:sz="0" w:space="0" w:color="auto"/>
                        <w:left w:val="none" w:sz="0" w:space="0" w:color="auto"/>
                        <w:bottom w:val="none" w:sz="0" w:space="0" w:color="auto"/>
                        <w:right w:val="none" w:sz="0" w:space="0" w:color="auto"/>
                      </w:divBdr>
                      <w:divsChild>
                        <w:div w:id="992873967">
                          <w:marLeft w:val="0"/>
                          <w:marRight w:val="0"/>
                          <w:marTop w:val="0"/>
                          <w:marBottom w:val="0"/>
                          <w:divBdr>
                            <w:top w:val="none" w:sz="0" w:space="0" w:color="auto"/>
                            <w:left w:val="none" w:sz="0" w:space="0" w:color="auto"/>
                            <w:bottom w:val="none" w:sz="0" w:space="0" w:color="auto"/>
                            <w:right w:val="none" w:sz="0" w:space="0" w:color="auto"/>
                          </w:divBdr>
                          <w:divsChild>
                            <w:div w:id="1871785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header" Target="header5.xml"/><Relationship Id="rId26" Type="http://schemas.openxmlformats.org/officeDocument/2006/relationships/header" Target="header9.xml"/><Relationship Id="rId39" Type="http://schemas.openxmlformats.org/officeDocument/2006/relationships/theme" Target="theme/theme1.xml"/><Relationship Id="rId3" Type="http://schemas.openxmlformats.org/officeDocument/2006/relationships/customXml" Target="../customXml/item3.xml"/><Relationship Id="rId21" Type="http://schemas.openxmlformats.org/officeDocument/2006/relationships/header" Target="header7.xml"/><Relationship Id="rId34" Type="http://schemas.openxmlformats.org/officeDocument/2006/relationships/footer" Target="footer11.xml"/><Relationship Id="rId7" Type="http://schemas.openxmlformats.org/officeDocument/2006/relationships/settings" Target="settings.xml"/><Relationship Id="rId12" Type="http://schemas.openxmlformats.org/officeDocument/2006/relationships/footer" Target="footer1.xml"/><Relationship Id="rId17" Type="http://schemas.openxmlformats.org/officeDocument/2006/relationships/footer" Target="footer3.xml"/><Relationship Id="rId25" Type="http://schemas.openxmlformats.org/officeDocument/2006/relationships/footer" Target="footer7.xml"/><Relationship Id="rId33" Type="http://schemas.openxmlformats.org/officeDocument/2006/relationships/header" Target="header13.xml"/><Relationship Id="rId38"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2.xml"/><Relationship Id="rId20" Type="http://schemas.openxmlformats.org/officeDocument/2006/relationships/header" Target="header6.xml"/><Relationship Id="rId29" Type="http://schemas.openxmlformats.org/officeDocument/2006/relationships/footer" Target="footer9.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24" Type="http://schemas.openxmlformats.org/officeDocument/2006/relationships/header" Target="header8.xml"/><Relationship Id="rId32" Type="http://schemas.openxmlformats.org/officeDocument/2006/relationships/header" Target="header12.xml"/><Relationship Id="rId37" Type="http://schemas.openxmlformats.org/officeDocument/2006/relationships/footer" Target="footer13.xml"/><Relationship Id="rId5" Type="http://schemas.openxmlformats.org/officeDocument/2006/relationships/numbering" Target="numbering.xml"/><Relationship Id="rId15" Type="http://schemas.openxmlformats.org/officeDocument/2006/relationships/header" Target="header4.xml"/><Relationship Id="rId23" Type="http://schemas.openxmlformats.org/officeDocument/2006/relationships/footer" Target="footer6.xml"/><Relationship Id="rId28" Type="http://schemas.openxmlformats.org/officeDocument/2006/relationships/footer" Target="footer8.xml"/><Relationship Id="rId36" Type="http://schemas.openxmlformats.org/officeDocument/2006/relationships/header" Target="header14.xml"/><Relationship Id="rId10" Type="http://schemas.openxmlformats.org/officeDocument/2006/relationships/endnotes" Target="endnotes.xml"/><Relationship Id="rId19" Type="http://schemas.openxmlformats.org/officeDocument/2006/relationships/footer" Target="footer4.xml"/><Relationship Id="rId31" Type="http://schemas.openxmlformats.org/officeDocument/2006/relationships/footer" Target="footer10.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3.xml"/><Relationship Id="rId22" Type="http://schemas.openxmlformats.org/officeDocument/2006/relationships/footer" Target="footer5.xml"/><Relationship Id="rId27" Type="http://schemas.openxmlformats.org/officeDocument/2006/relationships/header" Target="header10.xml"/><Relationship Id="rId30" Type="http://schemas.openxmlformats.org/officeDocument/2006/relationships/header" Target="header11.xml"/><Relationship Id="rId35" Type="http://schemas.openxmlformats.org/officeDocument/2006/relationships/footer" Target="footer12.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ECHR_Theme_Judgments_Decisions_Reports">
  <a:themeElements>
    <a:clrScheme name="ECHR_grey">
      <a:dk1>
        <a:sysClr val="windowText" lastClr="000000"/>
      </a:dk1>
      <a:lt1>
        <a:srgbClr val="0072BC"/>
      </a:lt1>
      <a:dk2>
        <a:srgbClr val="C6C6C6"/>
      </a:dk2>
      <a:lt2>
        <a:srgbClr val="F8F8F8"/>
      </a:lt2>
      <a:accent1>
        <a:srgbClr val="0072BC"/>
      </a:accent1>
      <a:accent2>
        <a:srgbClr val="C00000"/>
      </a:accent2>
      <a:accent3>
        <a:srgbClr val="5F5F5F"/>
      </a:accent3>
      <a:accent4>
        <a:srgbClr val="969696"/>
      </a:accent4>
      <a:accent5>
        <a:srgbClr val="5F5F5F"/>
      </a:accent5>
      <a:accent6>
        <a:srgbClr val="4D4D4D"/>
      </a:accent6>
      <a:hlink>
        <a:srgbClr val="0072BC"/>
      </a:hlink>
      <a:folHlink>
        <a:srgbClr val="7030A0"/>
      </a:folHlink>
    </a:clrScheme>
    <a:fontScheme name="ECHR_Judgments_Reports_Decisions">
      <a:majorFont>
        <a:latin typeface="Times New Roman"/>
        <a:ea typeface=""/>
        <a:cs typeface=""/>
      </a:majorFont>
      <a:minorFont>
        <a:latin typeface="Times New Roman"/>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shade val="50000"/>
                <a:satMod val="155000"/>
              </a:schemeClr>
            </a:gs>
            <a:gs pos="35000">
              <a:schemeClr val="phClr">
                <a:shade val="75000"/>
                <a:satMod val="155000"/>
              </a:schemeClr>
            </a:gs>
            <a:gs pos="100000">
              <a:schemeClr val="phClr">
                <a:tint val="80000"/>
                <a:satMod val="255000"/>
              </a:schemeClr>
            </a:gs>
          </a:gsLst>
          <a:lin ang="16200000" scaled="0"/>
        </a:gradFill>
        <a:gradFill rotWithShape="1">
          <a:gsLst>
            <a:gs pos="0">
              <a:schemeClr val="phClr">
                <a:tint val="80000"/>
                <a:satMod val="300000"/>
              </a:schemeClr>
            </a:gs>
            <a:gs pos="100000">
              <a:schemeClr val="phClr">
                <a:shade val="30000"/>
                <a:satMod val="200000"/>
              </a:schemeClr>
            </a:gs>
          </a:gsLst>
          <a:path path="circle">
            <a:fillToRect l="100000" t="100000" r="100000" b="10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58EB02BDB9E204AB350EDD385B68E10" ma:contentTypeVersion="0" ma:contentTypeDescription="Create a new document." ma:contentTypeScope="" ma:versionID="4c0f801ee557d5c8fba2c83aceb7a3a2">
  <xsd:schema xmlns:xsd="http://www.w3.org/2001/XMLSchema" xmlns:xs="http://www.w3.org/2001/XMLSchema" xmlns:p="http://schemas.microsoft.com/office/2006/metadata/properties" targetNamespace="http://schemas.microsoft.com/office/2006/metadata/properties" ma:root="true" ma:fieldsID="66a9e0779a85d62bb2248c31b91edb77">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9B5F3E3-8E12-443A-88D3-B5DB30386B4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2.xml><?xml version="1.0" encoding="utf-8"?>
<ds:datastoreItem xmlns:ds="http://schemas.openxmlformats.org/officeDocument/2006/customXml" ds:itemID="{CADE8EDC-9BD5-49AD-8521-18902BE034E3}">
  <ds:schemaRefs>
    <ds:schemaRef ds:uri="http://schemas.microsoft.com/sharepoint/v3/contenttype/forms"/>
  </ds:schemaRefs>
</ds:datastoreItem>
</file>

<file path=customXml/itemProps3.xml><?xml version="1.0" encoding="utf-8"?>
<ds:datastoreItem xmlns:ds="http://schemas.openxmlformats.org/officeDocument/2006/customXml" ds:itemID="{DDE9D022-A32D-4617-A227-D877C9726ED7}">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D18B0C96-052D-417E-8AAB-1DF4C07B942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22</Pages>
  <Words>9824</Words>
  <Characters>58947</Characters>
  <Application>Microsoft Office Word</Application>
  <DocSecurity>0</DocSecurity>
  <Lines>491</Lines>
  <Paragraphs>137</Paragraphs>
  <ScaleCrop>false</ScaleCrop>
  <HeadingPairs>
    <vt:vector size="4" baseType="variant">
      <vt:variant>
        <vt:lpstr>Tytuł</vt:lpstr>
      </vt:variant>
      <vt:variant>
        <vt:i4>1</vt:i4>
      </vt:variant>
      <vt:variant>
        <vt:lpstr>Title</vt:lpstr>
      </vt:variant>
      <vt:variant>
        <vt:i4>1</vt:i4>
      </vt:variant>
    </vt:vector>
  </HeadingPairs>
  <TitlesOfParts>
    <vt:vector size="2" baseType="lpstr">
      <vt:lpstr>ECHR</vt:lpstr>
      <vt:lpstr>ECHR</vt:lpstr>
    </vt:vector>
  </TitlesOfParts>
  <Manager/>
  <Company/>
  <LinksUpToDate>false</LinksUpToDate>
  <CharactersWithSpaces>68634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ECHR</dc:title>
  <dc:subject>DJ</dc:subject>
  <dc:creator/>
  <cp:keywords/>
  <dc:description/>
  <cp:lastModifiedBy/>
  <cp:revision>1</cp:revision>
  <cp:lastPrinted>2017-12-19T15:36:00Z</cp:lastPrinted>
  <dcterms:created xsi:type="dcterms:W3CDTF">2020-12-17T09:36:00Z</dcterms:created>
  <dcterms:modified xsi:type="dcterms:W3CDTF">2024-12-16T16:52:00Z</dcterms:modified>
  <cp:category>ECHR Template</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stLanguage">
    <vt:i4>2057</vt:i4>
  </property>
  <property fmtid="{D5CDD505-2E9C-101B-9397-08002B2CF9AE}" pid="3" name="RegisteredNo">
    <vt:lpwstr>15086/07</vt:lpwstr>
  </property>
  <property fmtid="{D5CDD505-2E9C-101B-9397-08002B2CF9AE}" pid="4" name="CASEID">
    <vt:lpwstr>442563</vt:lpwstr>
  </property>
  <property fmtid="{D5CDD505-2E9C-101B-9397-08002B2CF9AE}" pid="5" name="ContentTypeId">
    <vt:lpwstr>0x010100558EB02BDB9E204AB350EDD385B68E10</vt:lpwstr>
  </property>
</Properties>
</file>