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8849B3" w14:textId="77777777" w:rsidR="006721C0" w:rsidRDefault="006721C0" w:rsidP="006721C0">
      <w:pPr>
        <w:jc w:val="center"/>
        <w:rPr>
          <w:rFonts w:ascii="Arial" w:hAnsi="Arial" w:cs="Arial"/>
          <w:sz w:val="20"/>
          <w:szCs w:val="20"/>
        </w:rPr>
      </w:pPr>
      <w:r w:rsidRPr="002D7E70">
        <w:rPr>
          <w:rStyle w:val="s4f807e54"/>
          <w:rFonts w:ascii="Arial" w:hAnsi="Arial" w:cs="Arial"/>
          <w:sz w:val="20"/>
          <w:szCs w:val="20"/>
          <w:lang w:val="pl-PL"/>
        </w:rPr>
        <w:t xml:space="preserve">© </w:t>
      </w:r>
      <w:r w:rsidRPr="002D7E70">
        <w:rPr>
          <w:rFonts w:ascii="Arial" w:hAnsi="Arial" w:cs="Arial"/>
          <w:sz w:val="20"/>
          <w:szCs w:val="20"/>
          <w:lang w:val="pl-PL"/>
        </w:rPr>
        <w:t>Copyright for the Polish translation by Mi</w:t>
      </w:r>
      <w:r>
        <w:rPr>
          <w:rFonts w:ascii="Arial" w:hAnsi="Arial" w:cs="Arial"/>
          <w:sz w:val="20"/>
          <w:szCs w:val="20"/>
        </w:rPr>
        <w:t>nisterstwo Spraw Zagranicznych</w:t>
      </w:r>
    </w:p>
    <w:p w14:paraId="08805CF4" w14:textId="77777777" w:rsidR="006721C0" w:rsidRPr="002D7E70" w:rsidRDefault="006721C0" w:rsidP="006721C0">
      <w:pPr>
        <w:jc w:val="center"/>
        <w:rPr>
          <w:rFonts w:ascii="Arial" w:hAnsi="Arial" w:cs="Arial"/>
          <w:sz w:val="20"/>
          <w:szCs w:val="20"/>
          <w:lang w:val="pl-PL"/>
        </w:rPr>
      </w:pPr>
    </w:p>
    <w:p w14:paraId="3F7AB91C" w14:textId="77777777" w:rsidR="006721C0" w:rsidRPr="002D7E70" w:rsidRDefault="006721C0" w:rsidP="006721C0">
      <w:pPr>
        <w:jc w:val="center"/>
        <w:rPr>
          <w:rFonts w:ascii="Arial" w:hAnsi="Arial" w:cs="Arial"/>
          <w:sz w:val="20"/>
          <w:szCs w:val="20"/>
          <w:lang w:val="pl-PL"/>
        </w:rPr>
      </w:pPr>
      <w:r w:rsidRPr="002D7E70">
        <w:rPr>
          <w:rStyle w:val="s4f807e54"/>
          <w:rFonts w:ascii="Arial" w:hAnsi="Arial" w:cs="Arial"/>
          <w:sz w:val="20"/>
          <w:szCs w:val="20"/>
          <w:lang w:val="pl-PL"/>
        </w:rPr>
        <w:t xml:space="preserve">© Właścicielem praw autorskich do tłumaczenia na język polski jest </w:t>
      </w:r>
      <w:r w:rsidRPr="002D7E70">
        <w:rPr>
          <w:rFonts w:ascii="Arial" w:hAnsi="Arial" w:cs="Arial"/>
          <w:sz w:val="20"/>
          <w:szCs w:val="20"/>
          <w:lang w:val="pl-PL"/>
        </w:rPr>
        <w:t>Ministerstwo Spraw Zagranicznych</w:t>
      </w:r>
    </w:p>
    <w:p w14:paraId="0EBB3611" w14:textId="401EB811" w:rsidR="00EC7863" w:rsidRPr="00D82E47" w:rsidRDefault="00EC7863" w:rsidP="00EC7863">
      <w:pPr>
        <w:pStyle w:val="DecHTitle"/>
        <w:jc w:val="both"/>
        <w:rPr>
          <w:sz w:val="20"/>
          <w:szCs w:val="20"/>
          <w:lang w:val="pl-PL"/>
        </w:rPr>
      </w:pPr>
      <w:bookmarkStart w:id="0" w:name="_GoBack"/>
      <w:bookmarkEnd w:id="0"/>
    </w:p>
    <w:p w14:paraId="546A5363" w14:textId="77777777" w:rsidR="00047F10" w:rsidRPr="008911CB" w:rsidRDefault="00047F10" w:rsidP="002F7EC0">
      <w:pPr>
        <w:pStyle w:val="ECHRDecisionBody"/>
        <w:jc w:val="center"/>
        <w:rPr>
          <w:lang w:val="pl-PL"/>
        </w:rPr>
      </w:pPr>
    </w:p>
    <w:p w14:paraId="0E0DE5F1" w14:textId="77777777" w:rsidR="00047F10" w:rsidRPr="008911CB" w:rsidRDefault="00047F10" w:rsidP="002F7EC0">
      <w:pPr>
        <w:pStyle w:val="ECHRDecisionBody"/>
        <w:jc w:val="center"/>
        <w:rPr>
          <w:lang w:val="pl-PL"/>
        </w:rPr>
      </w:pPr>
    </w:p>
    <w:p w14:paraId="463B1462" w14:textId="77777777" w:rsidR="00014566" w:rsidRPr="008911CB" w:rsidRDefault="006C6A19" w:rsidP="002F7EC0">
      <w:pPr>
        <w:jc w:val="center"/>
        <w:rPr>
          <w:lang w:val="pl-PL"/>
        </w:rPr>
      </w:pPr>
      <w:r w:rsidRPr="008911CB">
        <w:rPr>
          <w:lang w:val="pl-PL"/>
        </w:rPr>
        <w:t>SEKCJA TRZECIA</w:t>
      </w:r>
    </w:p>
    <w:p w14:paraId="6389D887" w14:textId="77777777" w:rsidR="00014566" w:rsidRPr="008911CB" w:rsidRDefault="00014566" w:rsidP="002F7EC0">
      <w:pPr>
        <w:jc w:val="center"/>
        <w:rPr>
          <w:lang w:val="pl-PL"/>
        </w:rPr>
      </w:pPr>
    </w:p>
    <w:p w14:paraId="3A44A695" w14:textId="77777777" w:rsidR="00047F10" w:rsidRPr="008911CB" w:rsidRDefault="00047F10" w:rsidP="002F7EC0">
      <w:pPr>
        <w:jc w:val="center"/>
        <w:rPr>
          <w:lang w:val="pl-PL"/>
        </w:rPr>
      </w:pPr>
    </w:p>
    <w:p w14:paraId="789FE4D0" w14:textId="77777777" w:rsidR="002E7A57" w:rsidRPr="008911CB" w:rsidRDefault="002E7A57" w:rsidP="002F7EC0">
      <w:pPr>
        <w:jc w:val="center"/>
        <w:rPr>
          <w:lang w:val="pl-PL"/>
        </w:rPr>
      </w:pPr>
    </w:p>
    <w:p w14:paraId="291A0191" w14:textId="77777777" w:rsidR="00047F10" w:rsidRPr="008911CB" w:rsidRDefault="00047F10" w:rsidP="002F7EC0">
      <w:pPr>
        <w:jc w:val="center"/>
        <w:rPr>
          <w:lang w:val="pl-PL"/>
        </w:rPr>
      </w:pPr>
    </w:p>
    <w:p w14:paraId="65BAD0D8" w14:textId="77777777" w:rsidR="00047F10" w:rsidRPr="008911CB" w:rsidRDefault="00047F10" w:rsidP="002F7EC0">
      <w:pPr>
        <w:jc w:val="center"/>
        <w:rPr>
          <w:lang w:val="pl-PL"/>
        </w:rPr>
      </w:pPr>
    </w:p>
    <w:p w14:paraId="4AEADF03" w14:textId="77777777" w:rsidR="00047F10" w:rsidRPr="008911CB" w:rsidRDefault="00047F10" w:rsidP="002F7EC0">
      <w:pPr>
        <w:jc w:val="center"/>
        <w:rPr>
          <w:lang w:val="pl-PL"/>
        </w:rPr>
      </w:pPr>
    </w:p>
    <w:p w14:paraId="2F7A4930" w14:textId="77777777" w:rsidR="00014566" w:rsidRPr="008911CB" w:rsidRDefault="006C6A19" w:rsidP="002F7EC0">
      <w:pPr>
        <w:jc w:val="center"/>
        <w:rPr>
          <w:b/>
          <w:lang w:val="pl-PL"/>
        </w:rPr>
      </w:pPr>
      <w:bookmarkStart w:id="1" w:name="To"/>
      <w:r w:rsidRPr="008911CB">
        <w:rPr>
          <w:b/>
          <w:lang w:val="pl-PL"/>
        </w:rPr>
        <w:t>SPRAWA</w:t>
      </w:r>
      <w:r w:rsidR="00014566" w:rsidRPr="008911CB">
        <w:rPr>
          <w:b/>
          <w:lang w:val="pl-PL"/>
        </w:rPr>
        <w:t xml:space="preserve"> </w:t>
      </w:r>
      <w:bookmarkEnd w:id="1"/>
      <w:r w:rsidRPr="008911CB">
        <w:rPr>
          <w:b/>
          <w:lang w:val="pl-PL"/>
        </w:rPr>
        <w:t>TORANZO GOMEZ PRZECIWKO HISZPANII</w:t>
      </w:r>
    </w:p>
    <w:p w14:paraId="01567AC7" w14:textId="77777777" w:rsidR="00014566" w:rsidRPr="008911CB" w:rsidRDefault="00014566" w:rsidP="002F7EC0">
      <w:pPr>
        <w:jc w:val="center"/>
        <w:rPr>
          <w:lang w:val="pl-PL"/>
        </w:rPr>
      </w:pPr>
    </w:p>
    <w:p w14:paraId="6DB0CA94" w14:textId="77777777" w:rsidR="00014566" w:rsidRPr="008911CB" w:rsidRDefault="00014566" w:rsidP="002F7EC0">
      <w:pPr>
        <w:jc w:val="center"/>
        <w:rPr>
          <w:i/>
          <w:lang w:val="pl-PL"/>
        </w:rPr>
      </w:pPr>
      <w:r w:rsidRPr="008911CB">
        <w:rPr>
          <w:i/>
          <w:lang w:val="pl-PL"/>
        </w:rPr>
        <w:t>(</w:t>
      </w:r>
      <w:r w:rsidR="006C6A19" w:rsidRPr="008911CB">
        <w:rPr>
          <w:i/>
          <w:lang w:val="pl-PL"/>
        </w:rPr>
        <w:t>Skarga nr</w:t>
      </w:r>
      <w:r w:rsidR="00274573" w:rsidRPr="008911CB">
        <w:rPr>
          <w:i/>
          <w:lang w:val="pl-PL"/>
        </w:rPr>
        <w:t xml:space="preserve"> 26922/14</w:t>
      </w:r>
      <w:r w:rsidRPr="008911CB">
        <w:rPr>
          <w:i/>
          <w:lang w:val="pl-PL"/>
        </w:rPr>
        <w:t>)</w:t>
      </w:r>
    </w:p>
    <w:p w14:paraId="32588900" w14:textId="77777777" w:rsidR="00014566" w:rsidRPr="008911CB" w:rsidRDefault="00014566" w:rsidP="002F7EC0">
      <w:pPr>
        <w:jc w:val="center"/>
        <w:rPr>
          <w:lang w:val="pl-PL"/>
        </w:rPr>
      </w:pPr>
    </w:p>
    <w:p w14:paraId="098CA656" w14:textId="77777777" w:rsidR="00014566" w:rsidRPr="008911CB" w:rsidRDefault="00014566" w:rsidP="002F7EC0">
      <w:pPr>
        <w:jc w:val="center"/>
        <w:rPr>
          <w:lang w:val="pl-PL"/>
        </w:rPr>
      </w:pPr>
    </w:p>
    <w:p w14:paraId="05417E13" w14:textId="77777777" w:rsidR="00014566" w:rsidRPr="008911CB" w:rsidRDefault="00014566" w:rsidP="002F7EC0">
      <w:pPr>
        <w:jc w:val="center"/>
        <w:rPr>
          <w:lang w:val="pl-PL"/>
        </w:rPr>
      </w:pPr>
    </w:p>
    <w:p w14:paraId="3C8E5274" w14:textId="77777777" w:rsidR="00014566" w:rsidRPr="008911CB" w:rsidRDefault="00014566" w:rsidP="002F7EC0">
      <w:pPr>
        <w:jc w:val="center"/>
        <w:rPr>
          <w:lang w:val="pl-PL"/>
        </w:rPr>
      </w:pPr>
    </w:p>
    <w:p w14:paraId="3AFE04C8" w14:textId="77777777" w:rsidR="00014566" w:rsidRPr="008911CB" w:rsidRDefault="006C6A19" w:rsidP="002F7EC0">
      <w:pPr>
        <w:jc w:val="center"/>
        <w:rPr>
          <w:szCs w:val="24"/>
          <w:lang w:val="pl-PL"/>
        </w:rPr>
      </w:pPr>
      <w:r w:rsidRPr="008911CB">
        <w:rPr>
          <w:szCs w:val="24"/>
          <w:lang w:val="pl-PL"/>
        </w:rPr>
        <w:t>WYROK</w:t>
      </w:r>
    </w:p>
    <w:p w14:paraId="3E0A41ED" w14:textId="77777777" w:rsidR="00047F10" w:rsidRPr="008911CB" w:rsidRDefault="00047F10" w:rsidP="002F7EC0">
      <w:pPr>
        <w:pStyle w:val="JuCase"/>
        <w:ind w:firstLine="0"/>
        <w:jc w:val="center"/>
        <w:rPr>
          <w:b w:val="0"/>
          <w:lang w:val="pl-PL"/>
        </w:rPr>
      </w:pPr>
    </w:p>
    <w:p w14:paraId="2A8FEFB3" w14:textId="77777777" w:rsidR="00047F10" w:rsidRPr="008911CB" w:rsidRDefault="00047F10" w:rsidP="002F7EC0">
      <w:pPr>
        <w:pStyle w:val="ECHRPara"/>
        <w:ind w:firstLine="0"/>
        <w:jc w:val="center"/>
        <w:rPr>
          <w:lang w:val="pl-PL"/>
        </w:rPr>
      </w:pPr>
    </w:p>
    <w:p w14:paraId="6EEB6E41" w14:textId="77777777" w:rsidR="002E7A57" w:rsidRPr="008911CB" w:rsidRDefault="002E7A57" w:rsidP="002F7EC0">
      <w:pPr>
        <w:pStyle w:val="ECHRPara"/>
        <w:ind w:firstLine="0"/>
        <w:jc w:val="center"/>
        <w:rPr>
          <w:lang w:val="pl-PL"/>
        </w:rPr>
      </w:pPr>
    </w:p>
    <w:p w14:paraId="4C21A3F2" w14:textId="77777777" w:rsidR="00372192" w:rsidRPr="008911CB" w:rsidRDefault="00372192" w:rsidP="002F7EC0">
      <w:pPr>
        <w:pStyle w:val="ECHRPara"/>
        <w:ind w:firstLine="0"/>
        <w:jc w:val="center"/>
        <w:rPr>
          <w:lang w:val="pl-PL"/>
        </w:rPr>
      </w:pPr>
    </w:p>
    <w:p w14:paraId="419B6B28" w14:textId="77777777" w:rsidR="00047F10" w:rsidRPr="008911CB" w:rsidRDefault="006C6A19" w:rsidP="002F7EC0">
      <w:pPr>
        <w:pStyle w:val="JuCase"/>
        <w:ind w:firstLine="0"/>
        <w:jc w:val="center"/>
        <w:rPr>
          <w:b w:val="0"/>
          <w:lang w:val="pl-PL"/>
        </w:rPr>
      </w:pPr>
      <w:r w:rsidRPr="008911CB">
        <w:rPr>
          <w:b w:val="0"/>
          <w:lang w:val="pl-PL"/>
        </w:rPr>
        <w:t>STRASBURG</w:t>
      </w:r>
    </w:p>
    <w:p w14:paraId="026ABB1F" w14:textId="77777777" w:rsidR="00372192" w:rsidRPr="008911CB" w:rsidRDefault="00372192" w:rsidP="002F7EC0">
      <w:pPr>
        <w:pStyle w:val="ECHRPara"/>
        <w:ind w:firstLine="0"/>
        <w:jc w:val="center"/>
        <w:rPr>
          <w:lang w:val="pl-PL"/>
        </w:rPr>
      </w:pPr>
    </w:p>
    <w:p w14:paraId="539942B7" w14:textId="77777777" w:rsidR="00047F10" w:rsidRPr="008911CB" w:rsidRDefault="00897C89" w:rsidP="002F7EC0">
      <w:pPr>
        <w:pStyle w:val="JuCase"/>
        <w:ind w:firstLine="0"/>
        <w:jc w:val="center"/>
        <w:rPr>
          <w:b w:val="0"/>
          <w:lang w:val="pl-PL"/>
        </w:rPr>
      </w:pPr>
      <w:r w:rsidRPr="008911CB">
        <w:rPr>
          <w:b w:val="0"/>
          <w:lang w:val="pl-PL"/>
        </w:rPr>
        <w:t>2</w:t>
      </w:r>
      <w:r w:rsidR="00372192" w:rsidRPr="008911CB">
        <w:rPr>
          <w:b w:val="0"/>
          <w:lang w:val="pl-PL"/>
        </w:rPr>
        <w:t>0</w:t>
      </w:r>
      <w:r w:rsidRPr="008911CB">
        <w:rPr>
          <w:b w:val="0"/>
          <w:lang w:val="pl-PL"/>
        </w:rPr>
        <w:t xml:space="preserve"> </w:t>
      </w:r>
      <w:r w:rsidR="006C6A19" w:rsidRPr="008911CB">
        <w:rPr>
          <w:b w:val="0"/>
          <w:lang w:val="pl-PL"/>
        </w:rPr>
        <w:t>listopada</w:t>
      </w:r>
      <w:r w:rsidRPr="008911CB">
        <w:rPr>
          <w:b w:val="0"/>
          <w:lang w:val="pl-PL"/>
        </w:rPr>
        <w:t xml:space="preserve"> 2018</w:t>
      </w:r>
    </w:p>
    <w:p w14:paraId="39A15800" w14:textId="77777777" w:rsidR="00047F10" w:rsidRPr="008911CB" w:rsidRDefault="00047F10" w:rsidP="002F7EC0">
      <w:pPr>
        <w:pStyle w:val="JuCase"/>
        <w:ind w:firstLine="0"/>
        <w:jc w:val="center"/>
        <w:rPr>
          <w:b w:val="0"/>
          <w:lang w:val="pl-PL"/>
        </w:rPr>
      </w:pPr>
    </w:p>
    <w:p w14:paraId="7DB9C998" w14:textId="77777777" w:rsidR="00372192" w:rsidRPr="008911CB" w:rsidRDefault="00372192" w:rsidP="002F7EC0">
      <w:pPr>
        <w:pStyle w:val="ECHRPara"/>
        <w:ind w:firstLine="0"/>
        <w:jc w:val="center"/>
        <w:rPr>
          <w:lang w:val="pl-PL"/>
        </w:rPr>
      </w:pPr>
    </w:p>
    <w:p w14:paraId="5B77C500" w14:textId="77777777" w:rsidR="000F4D0A" w:rsidRPr="008911CB" w:rsidRDefault="00E4591F" w:rsidP="000F4D0A">
      <w:pPr>
        <w:pStyle w:val="jucase0"/>
        <w:ind w:firstLine="0"/>
        <w:jc w:val="center"/>
        <w:rPr>
          <w:color w:val="FF0000"/>
          <w:sz w:val="28"/>
          <w:szCs w:val="28"/>
          <w:u w:val="single"/>
          <w:lang w:val="pl-PL"/>
        </w:rPr>
      </w:pPr>
      <w:r w:rsidRPr="008911CB">
        <w:rPr>
          <w:color w:val="FF0000"/>
          <w:sz w:val="28"/>
          <w:szCs w:val="28"/>
          <w:u w:val="single"/>
          <w:lang w:val="pl-PL"/>
        </w:rPr>
        <w:t>OSTATECZNY</w:t>
      </w:r>
    </w:p>
    <w:p w14:paraId="1CCD89B6" w14:textId="77777777" w:rsidR="000F4D0A" w:rsidRPr="008911CB" w:rsidRDefault="000F4D0A" w:rsidP="000F4D0A">
      <w:pPr>
        <w:pStyle w:val="jupara"/>
        <w:tabs>
          <w:tab w:val="left" w:pos="4650"/>
        </w:tabs>
        <w:ind w:firstLine="0"/>
        <w:jc w:val="center"/>
        <w:rPr>
          <w:color w:val="FF0000"/>
          <w:sz w:val="28"/>
          <w:szCs w:val="28"/>
          <w:lang w:val="pl-PL"/>
        </w:rPr>
      </w:pPr>
    </w:p>
    <w:p w14:paraId="1428D680" w14:textId="77777777" w:rsidR="000F4D0A" w:rsidRPr="008911CB" w:rsidRDefault="000F4D0A" w:rsidP="000F4D0A">
      <w:pPr>
        <w:pStyle w:val="jupara"/>
        <w:ind w:firstLine="0"/>
        <w:jc w:val="center"/>
        <w:rPr>
          <w:color w:val="FF0000"/>
          <w:sz w:val="28"/>
          <w:szCs w:val="28"/>
          <w:lang w:val="pl-PL"/>
        </w:rPr>
      </w:pPr>
      <w:r w:rsidRPr="008911CB">
        <w:rPr>
          <w:color w:val="FF0000"/>
          <w:sz w:val="28"/>
          <w:szCs w:val="28"/>
          <w:lang w:val="pl-PL"/>
        </w:rPr>
        <w:t>20/02/2019</w:t>
      </w:r>
    </w:p>
    <w:p w14:paraId="7DB995A2" w14:textId="77777777" w:rsidR="000F4D0A" w:rsidRPr="008911CB" w:rsidRDefault="000F4D0A" w:rsidP="000F4D0A">
      <w:pPr>
        <w:pStyle w:val="jupara"/>
        <w:ind w:firstLine="0"/>
        <w:jc w:val="center"/>
        <w:rPr>
          <w:lang w:val="pl-PL"/>
        </w:rPr>
      </w:pPr>
    </w:p>
    <w:p w14:paraId="47389753" w14:textId="76D393A2" w:rsidR="00227451" w:rsidRPr="008911CB" w:rsidRDefault="00E4591F" w:rsidP="000F4D0A">
      <w:pPr>
        <w:jc w:val="center"/>
        <w:rPr>
          <w:i/>
          <w:iCs/>
          <w:sz w:val="22"/>
          <w:lang w:val="pl-PL"/>
        </w:rPr>
      </w:pPr>
      <w:r w:rsidRPr="008911CB">
        <w:rPr>
          <w:i/>
          <w:iCs/>
          <w:sz w:val="22"/>
          <w:lang w:val="pl-PL"/>
        </w:rPr>
        <w:t xml:space="preserve">Wyrok niniejszy stał się ostateczny na podstawie art. 44 </w:t>
      </w:r>
      <w:r w:rsidR="008911CB">
        <w:rPr>
          <w:i/>
          <w:iCs/>
          <w:sz w:val="22"/>
          <w:lang w:val="pl-PL"/>
        </w:rPr>
        <w:t>ust</w:t>
      </w:r>
      <w:r w:rsidR="003B7554">
        <w:rPr>
          <w:i/>
          <w:iCs/>
          <w:sz w:val="22"/>
          <w:lang w:val="pl-PL"/>
        </w:rPr>
        <w:t>.</w:t>
      </w:r>
      <w:r w:rsidRPr="008911CB">
        <w:rPr>
          <w:i/>
          <w:iCs/>
          <w:sz w:val="22"/>
          <w:lang w:val="pl-PL"/>
        </w:rPr>
        <w:t xml:space="preserve"> 2 Konwencji. </w:t>
      </w:r>
    </w:p>
    <w:p w14:paraId="53AE5D57" w14:textId="0CC0458B" w:rsidR="00E4591F" w:rsidRPr="008911CB" w:rsidRDefault="00E4591F" w:rsidP="000F4D0A">
      <w:pPr>
        <w:jc w:val="center"/>
        <w:rPr>
          <w:i/>
          <w:iCs/>
          <w:sz w:val="22"/>
          <w:lang w:val="pl-PL"/>
        </w:rPr>
      </w:pPr>
      <w:r w:rsidRPr="008911CB">
        <w:rPr>
          <w:i/>
          <w:iCs/>
          <w:sz w:val="22"/>
          <w:lang w:val="pl-PL"/>
        </w:rPr>
        <w:t>Wyrok może podlegać korekcie wydawniczej.</w:t>
      </w:r>
    </w:p>
    <w:p w14:paraId="633FA540" w14:textId="77777777" w:rsidR="00047F10" w:rsidRPr="008911CB" w:rsidRDefault="00047F10" w:rsidP="002F7EC0">
      <w:pPr>
        <w:pStyle w:val="JuCase"/>
        <w:ind w:firstLine="0"/>
        <w:rPr>
          <w:b w:val="0"/>
          <w:lang w:val="pl-PL"/>
        </w:rPr>
        <w:sectPr w:rsidR="00047F10" w:rsidRPr="008911CB" w:rsidSect="00047F10">
          <w:headerReference w:type="default" r:id="rId11"/>
          <w:headerReference w:type="first" r:id="rId12"/>
          <w:footerReference w:type="first" r:id="rId13"/>
          <w:footnotePr>
            <w:numRestart w:val="eachSect"/>
          </w:footnotePr>
          <w:pgSz w:w="11906" w:h="16838" w:code="9"/>
          <w:pgMar w:top="2274" w:right="2274" w:bottom="2274" w:left="2274" w:header="1701" w:footer="720" w:gutter="0"/>
          <w:pgNumType w:start="1"/>
          <w:cols w:space="720"/>
          <w:titlePg/>
          <w:docGrid w:linePitch="326"/>
        </w:sectPr>
      </w:pPr>
    </w:p>
    <w:p w14:paraId="1BB36F81" w14:textId="77777777" w:rsidR="00014566" w:rsidRPr="008911CB" w:rsidRDefault="006744DB" w:rsidP="002F7EC0">
      <w:pPr>
        <w:pStyle w:val="JuCase"/>
        <w:rPr>
          <w:bCs/>
          <w:lang w:val="pl-PL"/>
        </w:rPr>
      </w:pPr>
      <w:r w:rsidRPr="008911CB">
        <w:rPr>
          <w:lang w:val="pl-PL"/>
        </w:rPr>
        <w:lastRenderedPageBreak/>
        <w:t>W sprawie</w:t>
      </w:r>
      <w:r w:rsidR="00014566" w:rsidRPr="008911CB">
        <w:rPr>
          <w:lang w:val="pl-PL"/>
        </w:rPr>
        <w:t xml:space="preserve"> </w:t>
      </w:r>
      <w:r w:rsidRPr="008911CB">
        <w:rPr>
          <w:lang w:val="pl-PL"/>
        </w:rPr>
        <w:t>Toranzo Gomez przeciwko</w:t>
      </w:r>
      <w:r w:rsidR="00274573" w:rsidRPr="008911CB">
        <w:rPr>
          <w:lang w:val="pl-PL"/>
        </w:rPr>
        <w:t xml:space="preserve"> </w:t>
      </w:r>
      <w:r w:rsidR="000277F5" w:rsidRPr="008911CB">
        <w:rPr>
          <w:lang w:val="pl-PL"/>
        </w:rPr>
        <w:t>Hiszpanii</w:t>
      </w:r>
      <w:r w:rsidR="00014566" w:rsidRPr="008911CB">
        <w:rPr>
          <w:lang w:val="pl-PL"/>
        </w:rPr>
        <w:t>,</w:t>
      </w:r>
    </w:p>
    <w:p w14:paraId="4DC966E1" w14:textId="77777777" w:rsidR="00014566" w:rsidRPr="008911CB" w:rsidRDefault="000277F5" w:rsidP="002F7EC0">
      <w:pPr>
        <w:pStyle w:val="ECHRPara"/>
        <w:rPr>
          <w:lang w:val="pl-PL"/>
        </w:rPr>
      </w:pPr>
      <w:r w:rsidRPr="008911CB">
        <w:rPr>
          <w:lang w:val="pl-PL"/>
        </w:rPr>
        <w:t>Europejski Trybunał Praw Człowieka (Sekcja Trzecia), zasiadając jako Komitet w składzie</w:t>
      </w:r>
      <w:r w:rsidR="00014566" w:rsidRPr="008911CB">
        <w:rPr>
          <w:lang w:val="pl-PL"/>
        </w:rPr>
        <w:t>:</w:t>
      </w:r>
    </w:p>
    <w:p w14:paraId="427C965C" w14:textId="77777777" w:rsidR="00014566" w:rsidRPr="008911CB" w:rsidRDefault="00047F10" w:rsidP="002F7EC0">
      <w:pPr>
        <w:pStyle w:val="ECHRDecisionBody"/>
        <w:rPr>
          <w:lang w:val="pl-PL"/>
        </w:rPr>
      </w:pPr>
      <w:r w:rsidRPr="008911CB">
        <w:rPr>
          <w:lang w:val="pl-PL"/>
        </w:rPr>
        <w:tab/>
        <w:t>Vincent A. De Gaetano,</w:t>
      </w:r>
      <w:r w:rsidRPr="008911CB">
        <w:rPr>
          <w:i/>
          <w:lang w:val="pl-PL"/>
        </w:rPr>
        <w:t xml:space="preserve"> </w:t>
      </w:r>
      <w:r w:rsidR="000277F5" w:rsidRPr="008911CB">
        <w:rPr>
          <w:i/>
          <w:lang w:val="pl-PL"/>
        </w:rPr>
        <w:t>Przewodniczący</w:t>
      </w:r>
      <w:r w:rsidRPr="008911CB">
        <w:rPr>
          <w:i/>
          <w:lang w:val="pl-PL"/>
        </w:rPr>
        <w:t>,</w:t>
      </w:r>
      <w:r w:rsidRPr="008911CB">
        <w:rPr>
          <w:i/>
          <w:lang w:val="pl-PL"/>
        </w:rPr>
        <w:br/>
      </w:r>
      <w:r w:rsidRPr="008911CB">
        <w:rPr>
          <w:lang w:val="pl-PL"/>
        </w:rPr>
        <w:tab/>
        <w:t>Branko Lubarda,</w:t>
      </w:r>
      <w:r w:rsidRPr="008911CB">
        <w:rPr>
          <w:i/>
          <w:lang w:val="pl-PL"/>
        </w:rPr>
        <w:br/>
      </w:r>
      <w:r w:rsidRPr="008911CB">
        <w:rPr>
          <w:lang w:val="pl-PL"/>
        </w:rPr>
        <w:tab/>
        <w:t>Helen Keller,</w:t>
      </w:r>
      <w:r w:rsidRPr="008911CB">
        <w:rPr>
          <w:i/>
          <w:lang w:val="pl-PL"/>
        </w:rPr>
        <w:br/>
      </w:r>
      <w:r w:rsidRPr="008911CB">
        <w:rPr>
          <w:lang w:val="pl-PL"/>
        </w:rPr>
        <w:tab/>
        <w:t>Pere Pastor Vilanova,</w:t>
      </w:r>
      <w:r w:rsidRPr="008911CB">
        <w:rPr>
          <w:i/>
          <w:lang w:val="pl-PL"/>
        </w:rPr>
        <w:br/>
      </w:r>
      <w:r w:rsidRPr="008911CB">
        <w:rPr>
          <w:lang w:val="pl-PL"/>
        </w:rPr>
        <w:tab/>
        <w:t>Alena Poláčková,</w:t>
      </w:r>
      <w:r w:rsidRPr="008911CB">
        <w:rPr>
          <w:i/>
          <w:lang w:val="pl-PL"/>
        </w:rPr>
        <w:br/>
      </w:r>
      <w:r w:rsidRPr="008911CB">
        <w:rPr>
          <w:lang w:val="pl-PL"/>
        </w:rPr>
        <w:tab/>
        <w:t>Georgios A. Serghides,</w:t>
      </w:r>
      <w:r w:rsidRPr="008911CB">
        <w:rPr>
          <w:i/>
          <w:lang w:val="pl-PL"/>
        </w:rPr>
        <w:br/>
      </w:r>
      <w:r w:rsidRPr="008911CB">
        <w:rPr>
          <w:lang w:val="pl-PL"/>
        </w:rPr>
        <w:tab/>
        <w:t>María Elósegui,</w:t>
      </w:r>
      <w:r w:rsidRPr="008911CB">
        <w:rPr>
          <w:i/>
          <w:lang w:val="pl-PL"/>
        </w:rPr>
        <w:t xml:space="preserve"> </w:t>
      </w:r>
      <w:r w:rsidR="000277F5" w:rsidRPr="008911CB">
        <w:rPr>
          <w:i/>
          <w:lang w:val="pl-PL"/>
        </w:rPr>
        <w:t>sędziowie</w:t>
      </w:r>
      <w:r w:rsidRPr="008911CB">
        <w:rPr>
          <w:i/>
          <w:lang w:val="pl-PL"/>
        </w:rPr>
        <w:t>,</w:t>
      </w:r>
      <w:r w:rsidRPr="008911CB">
        <w:rPr>
          <w:i/>
          <w:lang w:val="pl-PL"/>
        </w:rPr>
        <w:br/>
      </w:r>
      <w:r w:rsidR="000277F5" w:rsidRPr="008911CB">
        <w:rPr>
          <w:lang w:val="pl-PL"/>
        </w:rPr>
        <w:t>i</w:t>
      </w:r>
      <w:r w:rsidR="00014566" w:rsidRPr="008911CB">
        <w:rPr>
          <w:lang w:val="pl-PL"/>
        </w:rPr>
        <w:t xml:space="preserve"> </w:t>
      </w:r>
      <w:r w:rsidR="00173F46" w:rsidRPr="008911CB">
        <w:rPr>
          <w:lang w:val="pl-PL"/>
        </w:rPr>
        <w:t xml:space="preserve">Fatoş Aracı, </w:t>
      </w:r>
      <w:r w:rsidR="000277F5" w:rsidRPr="008911CB">
        <w:rPr>
          <w:i/>
          <w:lang w:val="pl-PL"/>
        </w:rPr>
        <w:t>Zastępca Kanclerza Sekcji</w:t>
      </w:r>
      <w:r w:rsidR="00014566" w:rsidRPr="008911CB">
        <w:rPr>
          <w:i/>
          <w:lang w:val="pl-PL"/>
        </w:rPr>
        <w:t>,</w:t>
      </w:r>
    </w:p>
    <w:p w14:paraId="40A13258" w14:textId="718DF65B" w:rsidR="00014566" w:rsidRPr="008911CB" w:rsidRDefault="000277F5" w:rsidP="002F7EC0">
      <w:pPr>
        <w:pStyle w:val="ECHRPara"/>
        <w:rPr>
          <w:lang w:val="pl-PL"/>
        </w:rPr>
      </w:pPr>
      <w:r w:rsidRPr="008911CB">
        <w:rPr>
          <w:lang w:val="pl-PL"/>
        </w:rPr>
        <w:t>obradując na posiedzeniu niejawnym w dniu </w:t>
      </w:r>
      <w:r w:rsidR="00047F10" w:rsidRPr="008911CB">
        <w:rPr>
          <w:lang w:val="pl-PL"/>
        </w:rPr>
        <w:t xml:space="preserve">23 </w:t>
      </w:r>
      <w:r w:rsidRPr="008911CB">
        <w:rPr>
          <w:lang w:val="pl-PL"/>
        </w:rPr>
        <w:t>października</w:t>
      </w:r>
      <w:r w:rsidR="00047F10" w:rsidRPr="008911CB">
        <w:rPr>
          <w:lang w:val="pl-PL"/>
        </w:rPr>
        <w:t xml:space="preserve"> 2018</w:t>
      </w:r>
      <w:r w:rsidR="004E61A4">
        <w:rPr>
          <w:lang w:val="pl-PL"/>
        </w:rPr>
        <w:t xml:space="preserve"> r.</w:t>
      </w:r>
      <w:r w:rsidR="00014566" w:rsidRPr="008911CB">
        <w:rPr>
          <w:lang w:val="pl-PL"/>
        </w:rPr>
        <w:t>,</w:t>
      </w:r>
    </w:p>
    <w:p w14:paraId="03153B88" w14:textId="77777777" w:rsidR="000277F5" w:rsidRPr="008911CB" w:rsidRDefault="000277F5" w:rsidP="000277F5">
      <w:pPr>
        <w:pStyle w:val="ECHRPara"/>
        <w:rPr>
          <w:lang w:val="pl-PL"/>
        </w:rPr>
      </w:pPr>
      <w:r w:rsidRPr="008911CB">
        <w:rPr>
          <w:lang w:val="pl-PL"/>
        </w:rPr>
        <w:t>wydaje następujący wyrok, który został przyjęty w tym dniu:</w:t>
      </w:r>
    </w:p>
    <w:p w14:paraId="6099708D" w14:textId="77777777" w:rsidR="00014566" w:rsidRPr="008911CB" w:rsidRDefault="000277F5" w:rsidP="002F7EC0">
      <w:pPr>
        <w:pStyle w:val="ECHRTitle1"/>
        <w:rPr>
          <w:lang w:val="pl-PL"/>
        </w:rPr>
      </w:pPr>
      <w:r w:rsidRPr="008911CB">
        <w:rPr>
          <w:lang w:val="pl-PL"/>
        </w:rPr>
        <w:t>POSTĘPOWANIE</w:t>
      </w:r>
    </w:p>
    <w:p w14:paraId="797FA823" w14:textId="6DDC130F" w:rsidR="000277F5" w:rsidRPr="008911CB" w:rsidRDefault="002F7EC0" w:rsidP="002F7EC0">
      <w:pPr>
        <w:pStyle w:val="ECHRPara"/>
        <w:rPr>
          <w:lang w:val="pl-PL"/>
        </w:rPr>
      </w:pPr>
      <w:r w:rsidRPr="008911CB">
        <w:rPr>
          <w:noProof/>
          <w:lang w:val="pl-PL"/>
        </w:rPr>
        <w:t>1</w:t>
      </w:r>
      <w:r w:rsidR="008F73BC" w:rsidRPr="008911CB">
        <w:rPr>
          <w:lang w:val="pl-PL"/>
        </w:rPr>
        <w:t>.  </w:t>
      </w:r>
      <w:r w:rsidR="000277F5" w:rsidRPr="008911CB">
        <w:rPr>
          <w:lang w:val="pl-PL"/>
        </w:rPr>
        <w:t xml:space="preserve">Sprawa wywodzi się ze skargi </w:t>
      </w:r>
      <w:r w:rsidR="00274573" w:rsidRPr="008911CB">
        <w:rPr>
          <w:lang w:val="pl-PL"/>
        </w:rPr>
        <w:t>(n</w:t>
      </w:r>
      <w:r w:rsidR="004E61A4">
        <w:rPr>
          <w:lang w:val="pl-PL"/>
        </w:rPr>
        <w:t>r</w:t>
      </w:r>
      <w:r w:rsidR="00274573" w:rsidRPr="008911CB">
        <w:rPr>
          <w:lang w:val="pl-PL"/>
        </w:rPr>
        <w:t xml:space="preserve"> 26922/14)</w:t>
      </w:r>
      <w:r w:rsidR="00014566" w:rsidRPr="008911CB">
        <w:rPr>
          <w:lang w:val="pl-PL"/>
        </w:rPr>
        <w:t xml:space="preserve"> </w:t>
      </w:r>
      <w:r w:rsidR="000277F5" w:rsidRPr="008911CB">
        <w:rPr>
          <w:lang w:val="pl-PL"/>
        </w:rPr>
        <w:t>przeciwko Królestwu Hiszpanii wniesionej do Trybunału na podstawie art. 34 Konwencji o ochronie praw człowieka i podstawowych wolności („Konwencj</w:t>
      </w:r>
      <w:r w:rsidR="004E61A4">
        <w:rPr>
          <w:lang w:val="pl-PL"/>
        </w:rPr>
        <w:t>a</w:t>
      </w:r>
      <w:r w:rsidR="000277F5" w:rsidRPr="008911CB">
        <w:rPr>
          <w:lang w:val="pl-PL"/>
        </w:rPr>
        <w:t xml:space="preserve">”) przez obywatela </w:t>
      </w:r>
      <w:r w:rsidR="00B41682" w:rsidRPr="008911CB">
        <w:rPr>
          <w:lang w:val="pl-PL"/>
        </w:rPr>
        <w:t>hiszpańskiego</w:t>
      </w:r>
      <w:r w:rsidR="000277F5" w:rsidRPr="008911CB">
        <w:rPr>
          <w:lang w:val="pl-PL"/>
        </w:rPr>
        <w:t>, p. </w:t>
      </w:r>
      <w:r w:rsidR="00B41682" w:rsidRPr="008911CB">
        <w:rPr>
          <w:lang w:val="pl-PL"/>
        </w:rPr>
        <w:t>Agustina Toranzo Gomeza</w:t>
      </w:r>
      <w:r w:rsidR="000277F5" w:rsidRPr="008911CB">
        <w:rPr>
          <w:lang w:val="pl-PL"/>
        </w:rPr>
        <w:t xml:space="preserve"> („skarżąc</w:t>
      </w:r>
      <w:r w:rsidR="004E61A4">
        <w:rPr>
          <w:lang w:val="pl-PL"/>
        </w:rPr>
        <w:t>y</w:t>
      </w:r>
      <w:r w:rsidR="000277F5" w:rsidRPr="008911CB">
        <w:rPr>
          <w:lang w:val="pl-PL"/>
        </w:rPr>
        <w:t>”), w dniu</w:t>
      </w:r>
      <w:r w:rsidR="00B41682" w:rsidRPr="008911CB">
        <w:rPr>
          <w:lang w:val="pl-PL"/>
        </w:rPr>
        <w:t xml:space="preserve"> 26 marca 2014 r.</w:t>
      </w:r>
    </w:p>
    <w:p w14:paraId="31625288" w14:textId="0D6E7670" w:rsidR="00B41682" w:rsidRPr="008911CB" w:rsidRDefault="002F7EC0">
      <w:pPr>
        <w:pStyle w:val="ECHRPara"/>
        <w:rPr>
          <w:lang w:val="pl-PL"/>
        </w:rPr>
      </w:pPr>
      <w:r w:rsidRPr="008911CB">
        <w:rPr>
          <w:noProof/>
          <w:lang w:val="pl-PL"/>
        </w:rPr>
        <w:t>2</w:t>
      </w:r>
      <w:r w:rsidR="00014566" w:rsidRPr="008911CB">
        <w:rPr>
          <w:lang w:val="pl-PL"/>
        </w:rPr>
        <w:t>.  </w:t>
      </w:r>
      <w:r w:rsidR="00B41682" w:rsidRPr="008911CB">
        <w:rPr>
          <w:lang w:val="pl-PL"/>
        </w:rPr>
        <w:t xml:space="preserve">Skarżący był reprezentowany przez p. L.M. de Los Santos Castillo, adwokata prowadzącego praktykę w Sewilli. Rząd hiszpański („Rząd”) był reprezentowany przez pełnomocnika, </w:t>
      </w:r>
      <w:r w:rsidR="004C6CB4" w:rsidRPr="004C6CB4">
        <w:rPr>
          <w:lang w:val="pl-PL"/>
        </w:rPr>
        <w:t>prokuratora generalnego</w:t>
      </w:r>
      <w:r w:rsidR="004C6CB4">
        <w:rPr>
          <w:lang w:val="pl-PL"/>
        </w:rPr>
        <w:t xml:space="preserve"> </w:t>
      </w:r>
      <w:r w:rsidR="00B41682" w:rsidRPr="008911CB">
        <w:rPr>
          <w:lang w:val="pl-PL"/>
        </w:rPr>
        <w:t>p. R.A. León Cavero</w:t>
      </w:r>
      <w:r w:rsidR="004E61A4">
        <w:rPr>
          <w:lang w:val="pl-PL"/>
        </w:rPr>
        <w:t>.</w:t>
      </w:r>
    </w:p>
    <w:p w14:paraId="24050326" w14:textId="6486058A" w:rsidR="00EC50B9" w:rsidRPr="008911CB" w:rsidRDefault="002F7EC0" w:rsidP="002F7EC0">
      <w:pPr>
        <w:pStyle w:val="ECHRPara"/>
        <w:rPr>
          <w:lang w:val="pl-PL"/>
        </w:rPr>
      </w:pPr>
      <w:r w:rsidRPr="008911CB">
        <w:rPr>
          <w:noProof/>
          <w:lang w:val="pl-PL"/>
        </w:rPr>
        <w:t>3</w:t>
      </w:r>
      <w:r w:rsidR="00274573" w:rsidRPr="008911CB">
        <w:rPr>
          <w:lang w:val="pl-PL"/>
        </w:rPr>
        <w:t>.  </w:t>
      </w:r>
      <w:r w:rsidR="00EC50B9" w:rsidRPr="008911CB">
        <w:rPr>
          <w:lang w:val="pl-PL"/>
        </w:rPr>
        <w:t xml:space="preserve">Skarżący podniósł, że wyrok wydany przez sąd krajowy uznający go winnym </w:t>
      </w:r>
      <w:r w:rsidR="00F73BC9" w:rsidRPr="008911CB">
        <w:rPr>
          <w:lang w:val="pl-PL"/>
        </w:rPr>
        <w:t>zniesławienia</w:t>
      </w:r>
      <w:r w:rsidR="00E80E6C" w:rsidRPr="008911CB">
        <w:rPr>
          <w:lang w:val="pl-PL"/>
        </w:rPr>
        <w:t xml:space="preserve"> stanowił nieuprawnione ograniczenie prawa do </w:t>
      </w:r>
      <w:r w:rsidR="00C050D8" w:rsidRPr="008911CB">
        <w:rPr>
          <w:lang w:val="pl-PL"/>
        </w:rPr>
        <w:t>wolności wyrażania opinii</w:t>
      </w:r>
      <w:r w:rsidR="00E80E6C" w:rsidRPr="008911CB">
        <w:rPr>
          <w:lang w:val="pl-PL"/>
        </w:rPr>
        <w:t xml:space="preserve"> chronionego na mocy art. 10 Konwencji.</w:t>
      </w:r>
    </w:p>
    <w:p w14:paraId="6F56972D" w14:textId="5336CF7D" w:rsidR="00014566" w:rsidRPr="008911CB" w:rsidRDefault="002F7EC0" w:rsidP="002F7EC0">
      <w:pPr>
        <w:pStyle w:val="ECHRPara"/>
        <w:rPr>
          <w:lang w:val="pl-PL"/>
        </w:rPr>
      </w:pPr>
      <w:r w:rsidRPr="008911CB">
        <w:rPr>
          <w:noProof/>
          <w:lang w:val="pl-PL"/>
        </w:rPr>
        <w:t>4</w:t>
      </w:r>
      <w:r w:rsidR="00014566" w:rsidRPr="008911CB">
        <w:rPr>
          <w:lang w:val="pl-PL"/>
        </w:rPr>
        <w:t>.  </w:t>
      </w:r>
      <w:r w:rsidR="00C77979" w:rsidRPr="008911CB">
        <w:rPr>
          <w:lang w:val="pl-PL"/>
        </w:rPr>
        <w:t xml:space="preserve">W dniu 12 listopada 2015 r. skargę zakomunikowano Rządowi. </w:t>
      </w:r>
    </w:p>
    <w:p w14:paraId="67F29966" w14:textId="77777777" w:rsidR="00014566" w:rsidRPr="008911CB" w:rsidRDefault="00C77979" w:rsidP="002F7EC0">
      <w:pPr>
        <w:pStyle w:val="ECHRTitle1"/>
        <w:rPr>
          <w:lang w:val="pl-PL"/>
        </w:rPr>
      </w:pPr>
      <w:r w:rsidRPr="008911CB">
        <w:rPr>
          <w:lang w:val="pl-PL"/>
        </w:rPr>
        <w:t>FAKTY</w:t>
      </w:r>
    </w:p>
    <w:p w14:paraId="60F3C83A" w14:textId="77777777" w:rsidR="00014566" w:rsidRPr="008911CB" w:rsidRDefault="00014566" w:rsidP="002F7EC0">
      <w:pPr>
        <w:pStyle w:val="ECHRHeading1"/>
        <w:rPr>
          <w:lang w:val="pl-PL"/>
        </w:rPr>
      </w:pPr>
      <w:r w:rsidRPr="008911CB">
        <w:rPr>
          <w:lang w:val="pl-PL"/>
        </w:rPr>
        <w:t>I.  </w:t>
      </w:r>
      <w:r w:rsidR="00C77979" w:rsidRPr="008911CB">
        <w:rPr>
          <w:lang w:val="pl-PL"/>
        </w:rPr>
        <w:t>OKOLICZNOŚCI SPRAWY</w:t>
      </w:r>
    </w:p>
    <w:p w14:paraId="035541AD" w14:textId="4E4B7F70" w:rsidR="00C77979" w:rsidRPr="008911CB" w:rsidRDefault="002F7EC0" w:rsidP="002F7EC0">
      <w:pPr>
        <w:pStyle w:val="ECHRPara"/>
        <w:rPr>
          <w:lang w:val="pl-PL"/>
        </w:rPr>
      </w:pPr>
      <w:r w:rsidRPr="008911CB">
        <w:rPr>
          <w:noProof/>
          <w:lang w:val="pl-PL"/>
        </w:rPr>
        <w:t>5</w:t>
      </w:r>
      <w:r w:rsidR="00014566" w:rsidRPr="008911CB">
        <w:rPr>
          <w:lang w:val="pl-PL"/>
        </w:rPr>
        <w:t>.  </w:t>
      </w:r>
      <w:r w:rsidR="00C77979" w:rsidRPr="008911CB">
        <w:rPr>
          <w:lang w:val="pl-PL"/>
        </w:rPr>
        <w:t>Skarżący urodził się w 1970 r</w:t>
      </w:r>
      <w:r w:rsidR="009A7997">
        <w:rPr>
          <w:lang w:val="pl-PL"/>
        </w:rPr>
        <w:t>.</w:t>
      </w:r>
      <w:r w:rsidR="00C77979" w:rsidRPr="008911CB">
        <w:rPr>
          <w:lang w:val="pl-PL"/>
        </w:rPr>
        <w:t xml:space="preserve"> i mieszka w Sewilli.</w:t>
      </w:r>
    </w:p>
    <w:p w14:paraId="78C52CD6" w14:textId="6982D574" w:rsidR="001E57A5" w:rsidRPr="008911CB" w:rsidRDefault="002F7EC0" w:rsidP="0020378F">
      <w:pPr>
        <w:pStyle w:val="ECHRPara"/>
        <w:rPr>
          <w:lang w:val="pl-PL"/>
        </w:rPr>
      </w:pPr>
      <w:r w:rsidRPr="008911CB">
        <w:rPr>
          <w:noProof/>
          <w:lang w:val="pl-PL"/>
        </w:rPr>
        <w:t>6</w:t>
      </w:r>
      <w:r w:rsidR="00014566" w:rsidRPr="008911CB">
        <w:rPr>
          <w:lang w:val="pl-PL"/>
        </w:rPr>
        <w:t>.  </w:t>
      </w:r>
      <w:r w:rsidR="00C77979" w:rsidRPr="008911CB">
        <w:rPr>
          <w:lang w:val="pl-PL"/>
        </w:rPr>
        <w:t>Skarżący był członkiem grup</w:t>
      </w:r>
      <w:r w:rsidR="0020378F" w:rsidRPr="008911CB">
        <w:rPr>
          <w:lang w:val="pl-PL"/>
        </w:rPr>
        <w:t>y aktywistów</w:t>
      </w:r>
      <w:r w:rsidR="00C77979" w:rsidRPr="008911CB">
        <w:rPr>
          <w:lang w:val="pl-PL"/>
        </w:rPr>
        <w:t xml:space="preserve"> zajmującej</w:t>
      </w:r>
      <w:r w:rsidR="0020378F" w:rsidRPr="008911CB">
        <w:rPr>
          <w:lang w:val="pl-PL"/>
        </w:rPr>
        <w:t xml:space="preserve"> centrum Casas Viejas w Sewilli</w:t>
      </w:r>
      <w:r w:rsidR="009A7997">
        <w:rPr>
          <w:lang w:val="pl-PL"/>
        </w:rPr>
        <w:t>.</w:t>
      </w:r>
    </w:p>
    <w:p w14:paraId="3F560747" w14:textId="5A088A74" w:rsidR="00535FD0" w:rsidRPr="008911CB" w:rsidRDefault="002F7EC0" w:rsidP="00535FD0">
      <w:pPr>
        <w:pStyle w:val="ECHRPara"/>
        <w:rPr>
          <w:lang w:val="pl-PL"/>
        </w:rPr>
      </w:pPr>
      <w:r w:rsidRPr="008911CB">
        <w:rPr>
          <w:noProof/>
          <w:lang w:val="pl-PL"/>
        </w:rPr>
        <w:t>7</w:t>
      </w:r>
      <w:r w:rsidR="001E57A5" w:rsidRPr="008911CB">
        <w:rPr>
          <w:lang w:val="pl-PL"/>
        </w:rPr>
        <w:t>.  </w:t>
      </w:r>
      <w:r w:rsidR="00E02D22" w:rsidRPr="008911CB">
        <w:rPr>
          <w:lang w:val="pl-PL"/>
        </w:rPr>
        <w:t xml:space="preserve">Właściciele </w:t>
      </w:r>
      <w:r w:rsidR="00746747" w:rsidRPr="008911CB">
        <w:rPr>
          <w:lang w:val="pl-PL"/>
        </w:rPr>
        <w:t xml:space="preserve">budynku wszczęli postępowanie </w:t>
      </w:r>
      <w:r w:rsidR="00E02D22" w:rsidRPr="008911CB">
        <w:rPr>
          <w:lang w:val="pl-PL"/>
        </w:rPr>
        <w:t xml:space="preserve">w sądzie pierwszej instancji </w:t>
      </w:r>
      <w:r w:rsidR="00746747" w:rsidRPr="008911CB">
        <w:rPr>
          <w:lang w:val="pl-PL"/>
        </w:rPr>
        <w:t xml:space="preserve">nr 24 </w:t>
      </w:r>
      <w:r w:rsidR="00E02D22" w:rsidRPr="008911CB">
        <w:rPr>
          <w:lang w:val="pl-PL"/>
        </w:rPr>
        <w:t xml:space="preserve">w Sewilli (zwanym dalej </w:t>
      </w:r>
      <w:r w:rsidR="009A7997">
        <w:rPr>
          <w:lang w:val="pl-PL"/>
        </w:rPr>
        <w:t>„s</w:t>
      </w:r>
      <w:r w:rsidR="00E02D22" w:rsidRPr="008911CB">
        <w:rPr>
          <w:lang w:val="pl-PL"/>
        </w:rPr>
        <w:t xml:space="preserve">ądem pierwszej instancji”) w celu odzyskania władania swoją </w:t>
      </w:r>
      <w:r w:rsidR="003E519C">
        <w:rPr>
          <w:lang w:val="pl-PL"/>
        </w:rPr>
        <w:t>nieruchomością</w:t>
      </w:r>
      <w:r w:rsidR="00E02D22" w:rsidRPr="008911CB">
        <w:rPr>
          <w:lang w:val="pl-PL"/>
        </w:rPr>
        <w:t>.</w:t>
      </w:r>
      <w:r w:rsidR="00535FD0" w:rsidRPr="008911CB">
        <w:rPr>
          <w:lang w:val="pl-PL"/>
        </w:rPr>
        <w:t xml:space="preserve"> Sąd pierwszej instancji nakazał </w:t>
      </w:r>
      <w:r w:rsidR="00535FD0" w:rsidRPr="008911CB">
        <w:rPr>
          <w:lang w:val="pl-PL"/>
        </w:rPr>
        <w:lastRenderedPageBreak/>
        <w:t>eksmisję wszystkich osób zajmujących nieruchomość</w:t>
      </w:r>
      <w:r w:rsidR="009A7997">
        <w:rPr>
          <w:lang w:val="pl-PL"/>
        </w:rPr>
        <w:t>,</w:t>
      </w:r>
      <w:r w:rsidR="00535FD0" w:rsidRPr="008911CB">
        <w:rPr>
          <w:lang w:val="pl-PL"/>
        </w:rPr>
        <w:t xml:space="preserve"> a wykonanie postanowienia wyznaczył na dzień 29 listopada 2007 r.</w:t>
      </w:r>
    </w:p>
    <w:p w14:paraId="6262112C" w14:textId="5316EE65" w:rsidR="00535FD0" w:rsidRPr="008911CB" w:rsidRDefault="002F7EC0" w:rsidP="002F7EC0">
      <w:pPr>
        <w:pStyle w:val="ECHRPara"/>
        <w:rPr>
          <w:lang w:val="pl-PL"/>
        </w:rPr>
      </w:pPr>
      <w:r w:rsidRPr="008911CB">
        <w:rPr>
          <w:noProof/>
          <w:lang w:val="pl-PL"/>
        </w:rPr>
        <w:t>8</w:t>
      </w:r>
      <w:r w:rsidR="001E57A5" w:rsidRPr="008911CB">
        <w:rPr>
          <w:lang w:val="pl-PL"/>
        </w:rPr>
        <w:t>. </w:t>
      </w:r>
      <w:r w:rsidR="00535FD0" w:rsidRPr="008911CB">
        <w:rPr>
          <w:lang w:val="pl-PL"/>
        </w:rPr>
        <w:t>W t</w:t>
      </w:r>
      <w:r w:rsidR="00FB1E29" w:rsidRPr="008911CB">
        <w:rPr>
          <w:lang w:val="pl-PL"/>
        </w:rPr>
        <w:t>ym dniu s</w:t>
      </w:r>
      <w:r w:rsidR="00FE6AEF" w:rsidRPr="008911CB">
        <w:rPr>
          <w:lang w:val="pl-PL"/>
        </w:rPr>
        <w:t>karżący, wraz z innymi</w:t>
      </w:r>
      <w:r w:rsidR="00746747" w:rsidRPr="008911CB">
        <w:rPr>
          <w:lang w:val="pl-PL"/>
        </w:rPr>
        <w:t xml:space="preserve"> lokatorami, uczestniczył w proteście przeciwko ich eksmisji z budynku.</w:t>
      </w:r>
    </w:p>
    <w:p w14:paraId="6739B1C7" w14:textId="2D0EECF6" w:rsidR="003952FE" w:rsidRPr="008911CB" w:rsidRDefault="002F7EC0" w:rsidP="002F7EC0">
      <w:pPr>
        <w:pStyle w:val="ECHRPara"/>
        <w:rPr>
          <w:lang w:val="pl-PL"/>
        </w:rPr>
      </w:pPr>
      <w:r w:rsidRPr="008911CB">
        <w:rPr>
          <w:noProof/>
          <w:lang w:val="pl-PL"/>
        </w:rPr>
        <w:t>9</w:t>
      </w:r>
      <w:r w:rsidR="001E57A5" w:rsidRPr="008911CB">
        <w:rPr>
          <w:lang w:val="pl-PL"/>
        </w:rPr>
        <w:t>. </w:t>
      </w:r>
      <w:r w:rsidR="003952FE" w:rsidRPr="008911CB">
        <w:rPr>
          <w:lang w:val="pl-PL"/>
        </w:rPr>
        <w:t xml:space="preserve">Po wejściu </w:t>
      </w:r>
      <w:r w:rsidR="00D77B46" w:rsidRPr="008911CB">
        <w:rPr>
          <w:lang w:val="pl-PL"/>
        </w:rPr>
        <w:t xml:space="preserve">do budynku Sądowa Komisja ds. Obsługi Zawiadomień i Egzekucji </w:t>
      </w:r>
      <w:r w:rsidR="003952FE" w:rsidRPr="008911CB">
        <w:rPr>
          <w:lang w:val="pl-PL"/>
        </w:rPr>
        <w:t>(</w:t>
      </w:r>
      <w:r w:rsidR="003952FE" w:rsidRPr="008911CB">
        <w:rPr>
          <w:i/>
          <w:lang w:val="pl-PL"/>
        </w:rPr>
        <w:t>Comisión Judicial del Servicio Común de Notificaciones y Embargos</w:t>
      </w:r>
      <w:r w:rsidR="003952FE" w:rsidRPr="008911CB">
        <w:rPr>
          <w:lang w:val="pl-PL"/>
        </w:rPr>
        <w:t>)</w:t>
      </w:r>
      <w:r w:rsidR="00136A13" w:rsidRPr="008911CB">
        <w:rPr>
          <w:lang w:val="pl-PL"/>
        </w:rPr>
        <w:t xml:space="preserve"> wraz z pełnomocnikiem właścicieli budynku oraz policją odkryli, że lokatorzy wykopali podziemny tunel o głębokości ok. 4,5 metra zakończony niewielką komorą. </w:t>
      </w:r>
      <w:r w:rsidR="00D54250" w:rsidRPr="008911CB">
        <w:rPr>
          <w:lang w:val="pl-PL"/>
        </w:rPr>
        <w:t>Wykop został przez nich wyposażony w podstawowe zabezpieczenia w celu zapobieżenia jego osunięciu. Ponadto w ścianach i podłodze niewielkiej komory lokatorzy umieścili rury PVC i metalowe.</w:t>
      </w:r>
    </w:p>
    <w:p w14:paraId="2B66159B" w14:textId="35A0F748" w:rsidR="00D54250" w:rsidRPr="008911CB" w:rsidRDefault="002F7EC0" w:rsidP="002F7EC0">
      <w:pPr>
        <w:pStyle w:val="ECHRPara"/>
        <w:rPr>
          <w:lang w:val="pl-PL"/>
        </w:rPr>
      </w:pPr>
      <w:r w:rsidRPr="008911CB">
        <w:rPr>
          <w:noProof/>
          <w:lang w:val="pl-PL"/>
        </w:rPr>
        <w:t>10</w:t>
      </w:r>
      <w:r w:rsidR="00BE31DA" w:rsidRPr="008911CB">
        <w:rPr>
          <w:lang w:val="pl-PL"/>
        </w:rPr>
        <w:t>.  </w:t>
      </w:r>
      <w:r w:rsidR="00D54250" w:rsidRPr="008911CB">
        <w:rPr>
          <w:lang w:val="pl-PL"/>
        </w:rPr>
        <w:t>W ramach protest</w:t>
      </w:r>
      <w:r w:rsidR="00C91F64" w:rsidRPr="008911CB">
        <w:rPr>
          <w:lang w:val="pl-PL"/>
        </w:rPr>
        <w:t>u</w:t>
      </w:r>
      <w:r w:rsidR="00D54250" w:rsidRPr="008911CB">
        <w:rPr>
          <w:lang w:val="pl-PL"/>
        </w:rPr>
        <w:t xml:space="preserve"> </w:t>
      </w:r>
      <w:r w:rsidR="00C91F64" w:rsidRPr="008911CB">
        <w:rPr>
          <w:lang w:val="pl-PL"/>
        </w:rPr>
        <w:t>przeciw</w:t>
      </w:r>
      <w:r w:rsidR="00D54250" w:rsidRPr="008911CB">
        <w:rPr>
          <w:lang w:val="pl-PL"/>
        </w:rPr>
        <w:t xml:space="preserve"> eksmisji</w:t>
      </w:r>
      <w:r w:rsidR="00C91F64" w:rsidRPr="008911CB">
        <w:rPr>
          <w:lang w:val="pl-PL"/>
        </w:rPr>
        <w:t xml:space="preserve"> </w:t>
      </w:r>
      <w:r w:rsidR="00FB1E29" w:rsidRPr="008911CB">
        <w:rPr>
          <w:lang w:val="pl-PL"/>
        </w:rPr>
        <w:t>s</w:t>
      </w:r>
      <w:r w:rsidR="00C91F64" w:rsidRPr="008911CB">
        <w:rPr>
          <w:lang w:val="pl-PL"/>
        </w:rPr>
        <w:t>karżą</w:t>
      </w:r>
      <w:r w:rsidR="003D5234" w:rsidRPr="008911CB">
        <w:rPr>
          <w:lang w:val="pl-PL"/>
        </w:rPr>
        <w:t>cy i inny protestujący</w:t>
      </w:r>
      <w:r w:rsidR="00C91F64" w:rsidRPr="008911CB">
        <w:rPr>
          <w:lang w:val="pl-PL"/>
        </w:rPr>
        <w:t>, R.D.P., twierdzili, że przywiązali się do podłogi pomieszczenia w taki sposób, że nie byli w stanie samodzielnie się uwolnić</w:t>
      </w:r>
      <w:r w:rsidR="0035417E" w:rsidRPr="008911CB">
        <w:rPr>
          <w:lang w:val="pl-PL"/>
        </w:rPr>
        <w:t>. Faktycznie włożyli jedno z ramion do wnętrza jednej z rur i przykuli nadgarstki do metalowego pręta wewnątrz rury. Ponieważ system mocowan</w:t>
      </w:r>
      <w:r w:rsidR="003F5FA8" w:rsidRPr="008911CB">
        <w:rPr>
          <w:lang w:val="pl-PL"/>
        </w:rPr>
        <w:t xml:space="preserve">ia nie był widoczny, </w:t>
      </w:r>
      <w:r w:rsidR="003D5234" w:rsidRPr="008911CB">
        <w:rPr>
          <w:lang w:val="pl-PL"/>
        </w:rPr>
        <w:t>funkcjonariusze nie byli w stanie ocenić, czy twierdzenia protestujących były prawdziwe.</w:t>
      </w:r>
    </w:p>
    <w:p w14:paraId="0657ADE2" w14:textId="6D38EA59" w:rsidR="003D5234" w:rsidRPr="008911CB" w:rsidRDefault="002F7EC0" w:rsidP="003D5234">
      <w:pPr>
        <w:pStyle w:val="ECHRPara"/>
        <w:rPr>
          <w:lang w:val="pl-PL"/>
        </w:rPr>
      </w:pPr>
      <w:r w:rsidRPr="008911CB">
        <w:rPr>
          <w:noProof/>
          <w:lang w:val="pl-PL"/>
        </w:rPr>
        <w:t>11</w:t>
      </w:r>
      <w:r w:rsidR="00283BDF" w:rsidRPr="008911CB">
        <w:rPr>
          <w:lang w:val="pl-PL"/>
        </w:rPr>
        <w:t>.  </w:t>
      </w:r>
      <w:r w:rsidR="003D5234" w:rsidRPr="008911CB">
        <w:rPr>
          <w:lang w:val="pl-PL"/>
        </w:rPr>
        <w:t>Negocjacje trwały cały dzień, jednak bez powodzenia. Policja wspólnie ze strażą pożarną rozważała możliwość odkopania protestujących, jednak pomysł ten porzucono ze względu na ryzyko zawalenia.</w:t>
      </w:r>
    </w:p>
    <w:p w14:paraId="6CB67105" w14:textId="5BB9F263" w:rsidR="003D5234" w:rsidRPr="008911CB" w:rsidRDefault="002F7EC0" w:rsidP="002F7EC0">
      <w:pPr>
        <w:pStyle w:val="ECHRPara"/>
        <w:rPr>
          <w:lang w:val="pl-PL"/>
        </w:rPr>
      </w:pPr>
      <w:r w:rsidRPr="008911CB">
        <w:rPr>
          <w:noProof/>
          <w:lang w:val="pl-PL"/>
        </w:rPr>
        <w:t>12</w:t>
      </w:r>
      <w:r w:rsidR="00875AEE" w:rsidRPr="008911CB">
        <w:rPr>
          <w:lang w:val="pl-PL"/>
        </w:rPr>
        <w:t>.  </w:t>
      </w:r>
      <w:r w:rsidR="00FB1E29" w:rsidRPr="008911CB">
        <w:rPr>
          <w:lang w:val="pl-PL"/>
        </w:rPr>
        <w:t>W celu sprawdzenia</w:t>
      </w:r>
      <w:r w:rsidR="002C79E4">
        <w:rPr>
          <w:lang w:val="pl-PL"/>
        </w:rPr>
        <w:t>,</w:t>
      </w:r>
      <w:r w:rsidR="00FB1E29" w:rsidRPr="008911CB">
        <w:rPr>
          <w:lang w:val="pl-PL"/>
        </w:rPr>
        <w:t xml:space="preserve"> czy s</w:t>
      </w:r>
      <w:r w:rsidR="003D5234" w:rsidRPr="008911CB">
        <w:rPr>
          <w:lang w:val="pl-PL"/>
        </w:rPr>
        <w:t>karżący i R.D.P. byli przymocowani do podłogi</w:t>
      </w:r>
      <w:r w:rsidR="00A32B27" w:rsidRPr="008911CB">
        <w:rPr>
          <w:lang w:val="pl-PL"/>
        </w:rPr>
        <w:t>,</w:t>
      </w:r>
      <w:r w:rsidR="003D5234" w:rsidRPr="008911CB">
        <w:rPr>
          <w:lang w:val="pl-PL"/>
        </w:rPr>
        <w:t xml:space="preserve"> policjanci przywiązali linę odpowiednio do ich talii i nadgarstka i próbowali wyciągnąć ich z rury, do której się przymocowali</w:t>
      </w:r>
      <w:r w:rsidR="00910AD6" w:rsidRPr="008911CB">
        <w:rPr>
          <w:lang w:val="pl-PL"/>
        </w:rPr>
        <w:t>, jednak bezskutecznie. Straż poż</w:t>
      </w:r>
      <w:r w:rsidR="00FB1E29" w:rsidRPr="008911CB">
        <w:rPr>
          <w:lang w:val="pl-PL"/>
        </w:rPr>
        <w:t>arna poinformowała s</w:t>
      </w:r>
      <w:r w:rsidR="00910AD6" w:rsidRPr="008911CB">
        <w:rPr>
          <w:lang w:val="pl-PL"/>
        </w:rPr>
        <w:t>karżącego i R.D.P., że jeśli do ich uwolnienia zostanie użyty ciężki sprzęt, budynek może się zawalić.</w:t>
      </w:r>
    </w:p>
    <w:p w14:paraId="2E1AB651" w14:textId="14DCE30A" w:rsidR="00910AD6" w:rsidRPr="008911CB" w:rsidRDefault="002F7EC0" w:rsidP="002F7EC0">
      <w:pPr>
        <w:pStyle w:val="ECHRPara"/>
        <w:rPr>
          <w:lang w:val="pl-PL"/>
        </w:rPr>
      </w:pPr>
      <w:r w:rsidRPr="008911CB">
        <w:rPr>
          <w:noProof/>
          <w:lang w:val="pl-PL"/>
        </w:rPr>
        <w:t>13</w:t>
      </w:r>
      <w:r w:rsidR="004E14FA" w:rsidRPr="008911CB">
        <w:rPr>
          <w:lang w:val="pl-PL"/>
        </w:rPr>
        <w:t>.  </w:t>
      </w:r>
      <w:r w:rsidR="00910AD6" w:rsidRPr="008911CB">
        <w:rPr>
          <w:lang w:val="pl-PL"/>
        </w:rPr>
        <w:t>W dniu 30 listopada 2007</w:t>
      </w:r>
      <w:r w:rsidR="002C79E4">
        <w:rPr>
          <w:lang w:val="pl-PL"/>
        </w:rPr>
        <w:t xml:space="preserve"> r.</w:t>
      </w:r>
      <w:r w:rsidR="00910AD6" w:rsidRPr="008911CB">
        <w:rPr>
          <w:lang w:val="pl-PL"/>
        </w:rPr>
        <w:t xml:space="preserve"> ze względu na upływ czasu i groźby </w:t>
      </w:r>
      <w:r w:rsidR="00FB1E29" w:rsidRPr="008911CB">
        <w:rPr>
          <w:lang w:val="pl-PL"/>
        </w:rPr>
        <w:t>s</w:t>
      </w:r>
      <w:r w:rsidR="00910AD6" w:rsidRPr="008911CB">
        <w:rPr>
          <w:lang w:val="pl-PL"/>
        </w:rPr>
        <w:t xml:space="preserve">karżącego, że wybije niektóre niestabilne drewniane </w:t>
      </w:r>
      <w:r w:rsidR="00196E36" w:rsidRPr="008911CB">
        <w:rPr>
          <w:lang w:val="pl-PL"/>
        </w:rPr>
        <w:t>stemple</w:t>
      </w:r>
      <w:r w:rsidR="00910AD6" w:rsidRPr="008911CB">
        <w:rPr>
          <w:lang w:val="pl-PL"/>
        </w:rPr>
        <w:t xml:space="preserve"> zainstalowane przez strażaków jako zabezpieczenie, dwaj policjanci unieruchomili ich linami.</w:t>
      </w:r>
    </w:p>
    <w:p w14:paraId="51D111AC" w14:textId="7CECA13B" w:rsidR="00910AD6" w:rsidRPr="008911CB" w:rsidRDefault="002F7EC0" w:rsidP="002F7EC0">
      <w:pPr>
        <w:pStyle w:val="ECHRPara"/>
        <w:rPr>
          <w:lang w:val="pl-PL"/>
        </w:rPr>
      </w:pPr>
      <w:r w:rsidRPr="008911CB">
        <w:rPr>
          <w:noProof/>
          <w:lang w:val="pl-PL"/>
        </w:rPr>
        <w:t>14</w:t>
      </w:r>
      <w:r w:rsidR="003B46D5" w:rsidRPr="008911CB">
        <w:rPr>
          <w:lang w:val="pl-PL"/>
        </w:rPr>
        <w:t>.  </w:t>
      </w:r>
      <w:r w:rsidR="00910AD6" w:rsidRPr="008911CB">
        <w:rPr>
          <w:lang w:val="pl-PL"/>
        </w:rPr>
        <w:t>Ok. godziny 19:00 dnia 30 listopada 2007</w:t>
      </w:r>
      <w:r w:rsidR="00AF47C2">
        <w:rPr>
          <w:lang w:val="pl-PL"/>
        </w:rPr>
        <w:t xml:space="preserve"> r.</w:t>
      </w:r>
      <w:r w:rsidR="00910AD6" w:rsidRPr="008911CB">
        <w:rPr>
          <w:lang w:val="pl-PL"/>
        </w:rPr>
        <w:t xml:space="preserve"> z powodu </w:t>
      </w:r>
      <w:r w:rsidR="00F04FA0" w:rsidRPr="008911CB">
        <w:rPr>
          <w:lang w:val="pl-PL"/>
        </w:rPr>
        <w:t xml:space="preserve">znacznego cierpienia spowodowanego zastosowaną techniką wiązania, R.D.P. poinformował policję i straż pożarną o zamiarze </w:t>
      </w:r>
      <w:r w:rsidR="003E519C">
        <w:rPr>
          <w:lang w:val="pl-PL"/>
        </w:rPr>
        <w:t xml:space="preserve">dobrowolnego </w:t>
      </w:r>
      <w:r w:rsidR="00F04FA0" w:rsidRPr="008911CB">
        <w:rPr>
          <w:lang w:val="pl-PL"/>
        </w:rPr>
        <w:t>uwolnienia</w:t>
      </w:r>
      <w:r w:rsidR="003E519C">
        <w:rPr>
          <w:lang w:val="pl-PL"/>
        </w:rPr>
        <w:t xml:space="preserve"> się</w:t>
      </w:r>
      <w:r w:rsidR="00F04FA0" w:rsidRPr="008911CB">
        <w:rPr>
          <w:lang w:val="pl-PL"/>
        </w:rPr>
        <w:t xml:space="preserve"> i poprosił o rozwiązanie. </w:t>
      </w:r>
      <w:r w:rsidR="002202A8" w:rsidRPr="008911CB">
        <w:rPr>
          <w:lang w:val="pl-PL"/>
        </w:rPr>
        <w:t>Około 20:</w:t>
      </w:r>
      <w:r w:rsidR="00FB1E29" w:rsidRPr="008911CB">
        <w:rPr>
          <w:lang w:val="pl-PL"/>
        </w:rPr>
        <w:t>30 także s</w:t>
      </w:r>
      <w:r w:rsidR="00F04FA0" w:rsidRPr="008911CB">
        <w:rPr>
          <w:lang w:val="pl-PL"/>
        </w:rPr>
        <w:t>karżący zdecydował zakończyć protest</w:t>
      </w:r>
      <w:r w:rsidR="002202A8" w:rsidRPr="008911CB">
        <w:rPr>
          <w:lang w:val="pl-PL"/>
        </w:rPr>
        <w:t>.</w:t>
      </w:r>
    </w:p>
    <w:p w14:paraId="5C9FE1ED" w14:textId="66540B87" w:rsidR="00577F4B" w:rsidRPr="008911CB" w:rsidRDefault="002F7EC0" w:rsidP="00A1562E">
      <w:pPr>
        <w:pStyle w:val="ECHRPara"/>
        <w:rPr>
          <w:lang w:val="pl-PL"/>
        </w:rPr>
      </w:pPr>
      <w:r w:rsidRPr="008911CB">
        <w:rPr>
          <w:noProof/>
          <w:lang w:val="pl-PL"/>
        </w:rPr>
        <w:t>15</w:t>
      </w:r>
      <w:r w:rsidR="003B46D5" w:rsidRPr="008911CB">
        <w:rPr>
          <w:lang w:val="pl-PL"/>
        </w:rPr>
        <w:t>.  </w:t>
      </w:r>
      <w:r w:rsidR="00FB1E29" w:rsidRPr="008911CB">
        <w:rPr>
          <w:lang w:val="pl-PL"/>
        </w:rPr>
        <w:t>Skarżący i R.D.P. zostali niezwłocznie aresztowani i postawieni przed sądem. Zostali także zawiezieni do publicznej placówki ochron</w:t>
      </w:r>
      <w:r w:rsidR="003C49E0" w:rsidRPr="008911CB">
        <w:rPr>
          <w:lang w:val="pl-PL"/>
        </w:rPr>
        <w:t>y zdrowia</w:t>
      </w:r>
      <w:r w:rsidR="00AF47C2">
        <w:rPr>
          <w:lang w:val="pl-PL"/>
        </w:rPr>
        <w:t>,</w:t>
      </w:r>
      <w:r w:rsidR="003C49E0" w:rsidRPr="008911CB">
        <w:rPr>
          <w:lang w:val="pl-PL"/>
        </w:rPr>
        <w:t xml:space="preserve"> gdzie poddano ich badaniu sądowo-lekarskiemu</w:t>
      </w:r>
      <w:r w:rsidR="00FB1E29" w:rsidRPr="008911CB">
        <w:rPr>
          <w:lang w:val="pl-PL"/>
        </w:rPr>
        <w:t>.</w:t>
      </w:r>
      <w:r w:rsidR="003C49E0" w:rsidRPr="008911CB">
        <w:rPr>
          <w:lang w:val="pl-PL"/>
        </w:rPr>
        <w:t xml:space="preserve"> Odnośnie skarżącego </w:t>
      </w:r>
      <w:r w:rsidR="00A1562E" w:rsidRPr="008911CB">
        <w:rPr>
          <w:lang w:val="pl-PL"/>
        </w:rPr>
        <w:t>w treści badania sądowo-lekarskiego podano:</w:t>
      </w:r>
    </w:p>
    <w:p w14:paraId="7CAB3742" w14:textId="4B921B88" w:rsidR="00AD4ECA" w:rsidRPr="008911CB" w:rsidRDefault="00AF47C2" w:rsidP="002F7EC0">
      <w:pPr>
        <w:pStyle w:val="ECHRParaQuote"/>
        <w:rPr>
          <w:lang w:val="pl-PL"/>
        </w:rPr>
      </w:pPr>
      <w:r>
        <w:rPr>
          <w:lang w:val="pl-PL"/>
        </w:rPr>
        <w:t>„</w:t>
      </w:r>
      <w:r w:rsidR="00A1562E" w:rsidRPr="008911CB">
        <w:rPr>
          <w:b/>
          <w:lang w:val="pl-PL"/>
        </w:rPr>
        <w:t>Wywiad i oględziny</w:t>
      </w:r>
      <w:r w:rsidR="005D766C" w:rsidRPr="008911CB">
        <w:rPr>
          <w:b/>
          <w:lang w:val="pl-PL"/>
        </w:rPr>
        <w:t xml:space="preserve"> </w:t>
      </w:r>
    </w:p>
    <w:p w14:paraId="4F73C9F9" w14:textId="77777777" w:rsidR="005D766C" w:rsidRPr="008911CB" w:rsidRDefault="005D766C" w:rsidP="002F7EC0">
      <w:pPr>
        <w:pStyle w:val="ECHRParaQuote"/>
        <w:rPr>
          <w:lang w:val="pl-PL"/>
        </w:rPr>
      </w:pPr>
      <w:r w:rsidRPr="008911CB">
        <w:rPr>
          <w:lang w:val="pl-PL"/>
        </w:rPr>
        <w:t>Badany podaje, że miał związaną prawą rękę, zgłasza miejscową bolesność, miejscowe zaczerwienienie. Ruchomość stawów. Brak zaburzeń naczyniowych.</w:t>
      </w:r>
    </w:p>
    <w:p w14:paraId="28183DFC" w14:textId="77777777" w:rsidR="00AD4ECA" w:rsidRPr="008911CB" w:rsidRDefault="005D766C" w:rsidP="002F7EC0">
      <w:pPr>
        <w:pStyle w:val="ECHRParaQuote"/>
        <w:rPr>
          <w:lang w:val="pl-PL"/>
        </w:rPr>
      </w:pPr>
      <w:r w:rsidRPr="008911CB">
        <w:rPr>
          <w:lang w:val="pl-PL"/>
        </w:rPr>
        <w:lastRenderedPageBreak/>
        <w:t>RTG</w:t>
      </w:r>
      <w:r w:rsidR="00AD4ECA" w:rsidRPr="008911CB">
        <w:rPr>
          <w:lang w:val="pl-PL"/>
        </w:rPr>
        <w:t>: 0</w:t>
      </w:r>
      <w:r w:rsidR="00AD4ECA" w:rsidRPr="008911CB">
        <w:rPr>
          <w:rStyle w:val="Odwoanieprzypisudolnego"/>
          <w:vertAlign w:val="baseline"/>
          <w:lang w:val="pl-PL"/>
        </w:rPr>
        <w:footnoteReference w:id="1"/>
      </w:r>
    </w:p>
    <w:p w14:paraId="450EAEEF" w14:textId="77777777" w:rsidR="005D766C" w:rsidRPr="008911CB" w:rsidRDefault="005D766C" w:rsidP="002F7EC0">
      <w:pPr>
        <w:pStyle w:val="ECHRParaQuote"/>
        <w:rPr>
          <w:i/>
          <w:lang w:val="pl-PL"/>
        </w:rPr>
      </w:pPr>
      <w:r w:rsidRPr="008911CB">
        <w:rPr>
          <w:i/>
          <w:lang w:val="pl-PL"/>
        </w:rPr>
        <w:t>Prawdopodobna diagnoza:</w:t>
      </w:r>
    </w:p>
    <w:p w14:paraId="5F59DE1D" w14:textId="77777777" w:rsidR="00AD4ECA" w:rsidRPr="008911CB" w:rsidRDefault="005D766C" w:rsidP="002F7EC0">
      <w:pPr>
        <w:pStyle w:val="ECHRParaQuote"/>
        <w:rPr>
          <w:lang w:val="pl-PL"/>
        </w:rPr>
      </w:pPr>
      <w:r w:rsidRPr="008911CB">
        <w:rPr>
          <w:lang w:val="pl-PL"/>
        </w:rPr>
        <w:t>Stłuczenie prawego nadgarstka.</w:t>
      </w:r>
    </w:p>
    <w:p w14:paraId="15AAEFD4" w14:textId="77777777" w:rsidR="00AD4ECA" w:rsidRPr="008911CB" w:rsidRDefault="005D766C" w:rsidP="002F7EC0">
      <w:pPr>
        <w:pStyle w:val="ECHRParaQuote"/>
        <w:rPr>
          <w:lang w:val="pl-PL"/>
        </w:rPr>
      </w:pPr>
      <w:r w:rsidRPr="008911CB">
        <w:rPr>
          <w:b/>
          <w:lang w:val="pl-PL"/>
        </w:rPr>
        <w:t>Leczenie:</w:t>
      </w:r>
    </w:p>
    <w:p w14:paraId="59BF6411" w14:textId="77777777" w:rsidR="009B3AEE" w:rsidRPr="008911CB" w:rsidRDefault="009B3AEE" w:rsidP="002F7EC0">
      <w:pPr>
        <w:pStyle w:val="ECHRParaQuote"/>
        <w:rPr>
          <w:lang w:val="pl-PL"/>
        </w:rPr>
      </w:pPr>
      <w:r w:rsidRPr="008911CB">
        <w:rPr>
          <w:lang w:val="pl-PL"/>
        </w:rPr>
        <w:t>Unikać obciążenia.</w:t>
      </w:r>
    </w:p>
    <w:p w14:paraId="1E6EC807" w14:textId="77777777" w:rsidR="00577F4B" w:rsidRPr="008911CB" w:rsidRDefault="003D6399" w:rsidP="002F7EC0">
      <w:pPr>
        <w:pStyle w:val="ECHRParaQuote"/>
        <w:rPr>
          <w:lang w:val="pl-PL"/>
        </w:rPr>
      </w:pPr>
      <w:r w:rsidRPr="008911CB">
        <w:rPr>
          <w:lang w:val="pl-PL"/>
        </w:rPr>
        <w:t>[</w:t>
      </w:r>
      <w:r w:rsidR="009B3AEE" w:rsidRPr="008911CB">
        <w:rPr>
          <w:lang w:val="pl-PL"/>
        </w:rPr>
        <w:t>nazwa leku nieczytelna]</w:t>
      </w:r>
      <w:r w:rsidR="00AD4ECA" w:rsidRPr="008911CB">
        <w:rPr>
          <w:lang w:val="pl-PL"/>
        </w:rPr>
        <w:t xml:space="preserve"> </w:t>
      </w:r>
      <w:r w:rsidR="009B3AEE" w:rsidRPr="008911CB">
        <w:rPr>
          <w:lang w:val="pl-PL"/>
        </w:rPr>
        <w:t>1/dzień w razie bólu”</w:t>
      </w:r>
    </w:p>
    <w:p w14:paraId="1AFC84F2" w14:textId="38403CBB" w:rsidR="00AD4ECA" w:rsidRPr="008911CB" w:rsidRDefault="002F7EC0" w:rsidP="002F7EC0">
      <w:pPr>
        <w:pStyle w:val="ECHRPara"/>
        <w:rPr>
          <w:lang w:val="pl-PL"/>
        </w:rPr>
      </w:pPr>
      <w:r w:rsidRPr="008911CB">
        <w:rPr>
          <w:noProof/>
          <w:lang w:val="pl-PL"/>
        </w:rPr>
        <w:t>16</w:t>
      </w:r>
      <w:r w:rsidR="00CD489A" w:rsidRPr="008911CB">
        <w:rPr>
          <w:lang w:val="pl-PL"/>
        </w:rPr>
        <w:t>.  </w:t>
      </w:r>
      <w:r w:rsidR="009B3AEE" w:rsidRPr="008911CB">
        <w:rPr>
          <w:lang w:val="pl-PL"/>
        </w:rPr>
        <w:t xml:space="preserve">W </w:t>
      </w:r>
      <w:r w:rsidR="00A13E49" w:rsidRPr="008911CB">
        <w:rPr>
          <w:lang w:val="pl-PL"/>
        </w:rPr>
        <w:t>treści</w:t>
      </w:r>
      <w:r w:rsidR="009B3AEE" w:rsidRPr="008911CB">
        <w:rPr>
          <w:lang w:val="pl-PL"/>
        </w:rPr>
        <w:t xml:space="preserve"> tegoż badania podano także:</w:t>
      </w:r>
    </w:p>
    <w:p w14:paraId="6484E791" w14:textId="1D95349F" w:rsidR="009B3AEE" w:rsidRPr="008911CB" w:rsidRDefault="006244B0" w:rsidP="002F7EC0">
      <w:pPr>
        <w:pStyle w:val="ECHRParaQuote"/>
        <w:rPr>
          <w:lang w:val="pl-PL"/>
        </w:rPr>
      </w:pPr>
      <w:r>
        <w:rPr>
          <w:lang w:val="pl-PL"/>
        </w:rPr>
        <w:t>„</w:t>
      </w:r>
      <w:r w:rsidR="009B3AEE" w:rsidRPr="008911CB">
        <w:rPr>
          <w:lang w:val="pl-PL"/>
        </w:rPr>
        <w:t xml:space="preserve">Oględziny, badanie palpacyjne, manipulacja kończyn i innych części ciała wykluczają możliwość obrażeń fizycznych odpowiadających urazowi lub działaniu </w:t>
      </w:r>
      <w:r w:rsidR="00110135" w:rsidRPr="008911CB">
        <w:rPr>
          <w:lang w:val="pl-PL"/>
        </w:rPr>
        <w:t xml:space="preserve">znacznej </w:t>
      </w:r>
      <w:r w:rsidR="009B3AEE" w:rsidRPr="008911CB">
        <w:rPr>
          <w:lang w:val="pl-PL"/>
        </w:rPr>
        <w:t>siły zewnętrznej.</w:t>
      </w:r>
    </w:p>
    <w:p w14:paraId="59B49398" w14:textId="77777777" w:rsidR="009B3AEE" w:rsidRPr="008911CB" w:rsidRDefault="009B3AEE" w:rsidP="002F7EC0">
      <w:pPr>
        <w:pStyle w:val="ECHRParaQuote"/>
        <w:rPr>
          <w:lang w:val="pl-PL"/>
        </w:rPr>
      </w:pPr>
      <w:r w:rsidRPr="008911CB">
        <w:rPr>
          <w:lang w:val="pl-PL"/>
        </w:rPr>
        <w:t xml:space="preserve">Brak krwiaków, otarć lub obrażeń na innych </w:t>
      </w:r>
      <w:r w:rsidR="00A13E49" w:rsidRPr="008911CB">
        <w:rPr>
          <w:lang w:val="pl-PL"/>
        </w:rPr>
        <w:t>częściach</w:t>
      </w:r>
      <w:r w:rsidRPr="008911CB">
        <w:rPr>
          <w:lang w:val="pl-PL"/>
        </w:rPr>
        <w:t xml:space="preserve"> ciała poddanych badaniu. Badany zgłasza dyskomfort w obu nadgarstkach</w:t>
      </w:r>
      <w:r w:rsidR="007F53FA" w:rsidRPr="008911CB">
        <w:rPr>
          <w:lang w:val="pl-PL"/>
        </w:rPr>
        <w:t>, na chwilę obecną</w:t>
      </w:r>
      <w:r w:rsidR="00A13E49" w:rsidRPr="008911CB">
        <w:rPr>
          <w:lang w:val="pl-PL"/>
        </w:rPr>
        <w:t xml:space="preserve"> </w:t>
      </w:r>
      <w:r w:rsidR="007F53FA" w:rsidRPr="008911CB">
        <w:rPr>
          <w:lang w:val="pl-PL"/>
        </w:rPr>
        <w:t>nie można jednak stwierdzić</w:t>
      </w:r>
      <w:r w:rsidR="00A13E49" w:rsidRPr="008911CB">
        <w:rPr>
          <w:lang w:val="pl-PL"/>
        </w:rPr>
        <w:t xml:space="preserve"> widocznych objawów hematologicznych</w:t>
      </w:r>
      <w:r w:rsidR="007F53FA" w:rsidRPr="008911CB">
        <w:rPr>
          <w:lang w:val="pl-PL"/>
        </w:rPr>
        <w:t>.</w:t>
      </w:r>
    </w:p>
    <w:p w14:paraId="7F8F19F6" w14:textId="77777777" w:rsidR="006866F0" w:rsidRPr="008911CB" w:rsidRDefault="006866F0" w:rsidP="002F7EC0">
      <w:pPr>
        <w:pStyle w:val="ECHRParaQuote"/>
        <w:rPr>
          <w:lang w:val="pl-PL"/>
        </w:rPr>
      </w:pPr>
      <w:r w:rsidRPr="008911CB">
        <w:rPr>
          <w:lang w:val="pl-PL"/>
        </w:rPr>
        <w:t>Wywiad i historia choroby wykluczają obniżenie zdolności poznawczych lub wolitywnych, [wobec czego pacjent jest] na chwilę obecną zdolny do składania zeznań.”</w:t>
      </w:r>
    </w:p>
    <w:p w14:paraId="2FE3FA37" w14:textId="0B167F25" w:rsidR="00274573" w:rsidRPr="008911CB" w:rsidRDefault="002F7EC0" w:rsidP="00110135">
      <w:pPr>
        <w:pStyle w:val="ECHRPara"/>
        <w:rPr>
          <w:lang w:val="pl-PL"/>
        </w:rPr>
      </w:pPr>
      <w:r w:rsidRPr="008911CB">
        <w:rPr>
          <w:noProof/>
          <w:lang w:val="pl-PL"/>
        </w:rPr>
        <w:t>17</w:t>
      </w:r>
      <w:r w:rsidR="00AD4ECA" w:rsidRPr="008911CB">
        <w:rPr>
          <w:lang w:val="pl-PL"/>
        </w:rPr>
        <w:t>.  </w:t>
      </w:r>
      <w:r w:rsidR="00110135" w:rsidRPr="008911CB">
        <w:rPr>
          <w:lang w:val="pl-PL"/>
        </w:rPr>
        <w:t>W dniu 1 grudnia 2007</w:t>
      </w:r>
      <w:r w:rsidR="006244B0">
        <w:rPr>
          <w:lang w:val="pl-PL"/>
        </w:rPr>
        <w:t xml:space="preserve"> r.</w:t>
      </w:r>
      <w:r w:rsidR="00110135" w:rsidRPr="008911CB">
        <w:rPr>
          <w:lang w:val="pl-PL"/>
        </w:rPr>
        <w:t xml:space="preserve"> skarżący wziął udział w konferencji prasowej, podczas której skomentował eksmisję i techniki zastosowane przez policjantów i straż pożarną w trakcie </w:t>
      </w:r>
      <w:r w:rsidR="00BB5CA0" w:rsidRPr="008911CB">
        <w:rPr>
          <w:lang w:val="pl-PL"/>
        </w:rPr>
        <w:t>uwięzienia go</w:t>
      </w:r>
      <w:r w:rsidR="00110135" w:rsidRPr="008911CB">
        <w:rPr>
          <w:lang w:val="pl-PL"/>
        </w:rPr>
        <w:t>. Do tych wydarzeń odni</w:t>
      </w:r>
      <w:r w:rsidR="001A0595" w:rsidRPr="008911CB">
        <w:rPr>
          <w:lang w:val="pl-PL"/>
        </w:rPr>
        <w:t>ósł się w następujących słowach</w:t>
      </w:r>
      <w:r w:rsidR="00110135" w:rsidRPr="008911CB">
        <w:rPr>
          <w:lang w:val="pl-PL"/>
        </w:rPr>
        <w:t xml:space="preserve">: </w:t>
      </w:r>
    </w:p>
    <w:p w14:paraId="5802CF98" w14:textId="3E5E1A70" w:rsidR="00C34DB8" w:rsidRPr="008911CB" w:rsidRDefault="00586EB5" w:rsidP="003F2B4C">
      <w:pPr>
        <w:pStyle w:val="ECHRParaQuote"/>
        <w:rPr>
          <w:bCs/>
          <w:lang w:val="pl-PL"/>
        </w:rPr>
      </w:pPr>
      <w:r>
        <w:rPr>
          <w:bCs/>
          <w:lang w:val="pl-PL"/>
        </w:rPr>
        <w:t>„</w:t>
      </w:r>
      <w:r w:rsidR="00110135" w:rsidRPr="008911CB">
        <w:rPr>
          <w:bCs/>
          <w:lang w:val="pl-PL"/>
        </w:rPr>
        <w:t>Tortury były fizyczne i psychologiczne. Tortur fizycznych dopuszczali się wyłącznie oficerowie krajowej policji</w:t>
      </w:r>
      <w:r w:rsidR="00FE1FD8">
        <w:rPr>
          <w:bCs/>
          <w:lang w:val="pl-PL"/>
        </w:rPr>
        <w:t>,</w:t>
      </w:r>
      <w:r w:rsidR="00AE47E0" w:rsidRPr="008911CB">
        <w:rPr>
          <w:bCs/>
          <w:lang w:val="pl-PL"/>
        </w:rPr>
        <w:t xml:space="preserve"> a w chory sposób przyglądali się im strażacy</w:t>
      </w:r>
      <w:r w:rsidR="00523570" w:rsidRPr="008911CB">
        <w:rPr>
          <w:bCs/>
          <w:lang w:val="pl-PL"/>
        </w:rPr>
        <w:t>. To znaczy strażacy, których nazwiska mam zamiar podać</w:t>
      </w:r>
      <w:r w:rsidR="00FE1FD8">
        <w:rPr>
          <w:bCs/>
          <w:lang w:val="pl-PL"/>
        </w:rPr>
        <w:t>,</w:t>
      </w:r>
      <w:r w:rsidR="00523570" w:rsidRPr="008911CB">
        <w:rPr>
          <w:bCs/>
          <w:lang w:val="pl-PL"/>
        </w:rPr>
        <w:t xml:space="preserve"> ponieważ traktowali nas bardzo źle – najstarszym stopniem był strażak L. i [byli też tam] strażacy M. i L. –</w:t>
      </w:r>
      <w:r w:rsidR="00FC251C" w:rsidRPr="008911CB">
        <w:rPr>
          <w:bCs/>
          <w:lang w:val="pl-PL"/>
        </w:rPr>
        <w:t xml:space="preserve"> ro</w:t>
      </w:r>
      <w:r w:rsidR="00523570" w:rsidRPr="008911CB">
        <w:rPr>
          <w:bCs/>
          <w:lang w:val="pl-PL"/>
        </w:rPr>
        <w:t>bili zdjęcia gdy nas torturowano</w:t>
      </w:r>
      <w:r w:rsidR="00FC251C" w:rsidRPr="008911CB">
        <w:rPr>
          <w:bCs/>
          <w:lang w:val="pl-PL"/>
        </w:rPr>
        <w:t xml:space="preserve">, robili sobie przy nas zdjęcia jakbyśmy byli ich trofeami, </w:t>
      </w:r>
      <w:r w:rsidR="002E4873" w:rsidRPr="008911CB">
        <w:rPr>
          <w:bCs/>
          <w:lang w:val="pl-PL"/>
        </w:rPr>
        <w:t>kpili. Tortura fizyczna, którą mam zamiar opisać … była bardzo subtelna po to, że</w:t>
      </w:r>
      <w:r w:rsidR="003F2B4C" w:rsidRPr="008911CB">
        <w:rPr>
          <w:bCs/>
          <w:lang w:val="pl-PL"/>
        </w:rPr>
        <w:t>by nie zostawiła</w:t>
      </w:r>
      <w:r w:rsidR="002E4873" w:rsidRPr="008911CB">
        <w:rPr>
          <w:bCs/>
          <w:lang w:val="pl-PL"/>
        </w:rPr>
        <w:t xml:space="preserve"> </w:t>
      </w:r>
      <w:r w:rsidR="003F2B4C" w:rsidRPr="008911CB">
        <w:rPr>
          <w:bCs/>
          <w:lang w:val="pl-PL"/>
        </w:rPr>
        <w:t>śladów, ale spowodowała</w:t>
      </w:r>
      <w:r w:rsidR="002E4873" w:rsidRPr="008911CB">
        <w:rPr>
          <w:bCs/>
          <w:lang w:val="pl-PL"/>
        </w:rPr>
        <w:t xml:space="preserve"> intensywny ból …</w:t>
      </w:r>
      <w:r w:rsidR="003F2B4C" w:rsidRPr="008911CB">
        <w:rPr>
          <w:bCs/>
          <w:lang w:val="pl-PL"/>
        </w:rPr>
        <w:t xml:space="preserve"> i inna tortura, cóż, pozostawiła ślad … przede wszystkim ta pierwsza, na moim koledze …</w:t>
      </w:r>
    </w:p>
    <w:p w14:paraId="7EE2DC39" w14:textId="1C39B8C0" w:rsidR="003F2B4C" w:rsidRPr="008911CB" w:rsidRDefault="00A777CE" w:rsidP="003F2B4C">
      <w:pPr>
        <w:pStyle w:val="ECHRParaQuote"/>
        <w:rPr>
          <w:bCs/>
          <w:lang w:val="pl-PL"/>
        </w:rPr>
      </w:pPr>
      <w:r w:rsidRPr="008911CB">
        <w:rPr>
          <w:bCs/>
          <w:lang w:val="pl-PL"/>
        </w:rPr>
        <w:t xml:space="preserve">Pierwszego aktu </w:t>
      </w:r>
      <w:r w:rsidR="00E6519A" w:rsidRPr="008911CB">
        <w:rPr>
          <w:bCs/>
          <w:lang w:val="pl-PL"/>
        </w:rPr>
        <w:t>tortur dopuścili się funkcjonariusze policji krajowej, jak mówię, gdy tylko przyjechali na miejsce … chwycili kolegę za ramię, to wolne, i przywiązali dość mocno linę do jego nadgarstka i wyciągnęli linę na górę tunelu</w:t>
      </w:r>
      <w:r w:rsidR="00FE1FD8">
        <w:rPr>
          <w:bCs/>
          <w:lang w:val="pl-PL"/>
        </w:rPr>
        <w:t>,</w:t>
      </w:r>
      <w:r w:rsidR="00E6519A" w:rsidRPr="008911CB">
        <w:rPr>
          <w:bCs/>
          <w:lang w:val="pl-PL"/>
        </w:rPr>
        <w:t xml:space="preserve"> a trzech funkcjonariuszy policji … ciągnęło go próbując go wydostać</w:t>
      </w:r>
      <w:r w:rsidR="00452410" w:rsidRPr="008911CB">
        <w:rPr>
          <w:bCs/>
          <w:lang w:val="pl-PL"/>
        </w:rPr>
        <w:t xml:space="preserve"> … w celu zadania mu bólu, przestraszenia go, wiecie. Nadgarstek wewnątrz rury zaczął puchnąć … przez cały dzień nie był w stanie otworzyć kłódki…</w:t>
      </w:r>
    </w:p>
    <w:p w14:paraId="60276706" w14:textId="7493D850" w:rsidR="00F74A60" w:rsidRPr="008911CB" w:rsidRDefault="00F74A60" w:rsidP="00F74A60">
      <w:pPr>
        <w:pStyle w:val="ECHRParaQuote"/>
        <w:rPr>
          <w:bCs/>
          <w:lang w:val="pl-PL"/>
        </w:rPr>
      </w:pPr>
      <w:r w:rsidRPr="008911CB">
        <w:rPr>
          <w:bCs/>
          <w:lang w:val="pl-PL"/>
        </w:rPr>
        <w:t xml:space="preserve">Mi, zamiast przywiązać linę do wolnego nadgarstka, przewiązali mnie nią w pasie i powtórzyli to, co robili z R.D.P.: </w:t>
      </w:r>
      <w:r w:rsidR="0084573D" w:rsidRPr="008911CB">
        <w:rPr>
          <w:bCs/>
          <w:lang w:val="pl-PL"/>
        </w:rPr>
        <w:t>wyciągnęli linę na górę tunelu</w:t>
      </w:r>
      <w:r w:rsidR="00FE1FD8">
        <w:rPr>
          <w:bCs/>
          <w:lang w:val="pl-PL"/>
        </w:rPr>
        <w:t>,</w:t>
      </w:r>
      <w:r w:rsidR="0084573D" w:rsidRPr="008911CB">
        <w:rPr>
          <w:bCs/>
          <w:lang w:val="pl-PL"/>
        </w:rPr>
        <w:t xml:space="preserve"> a trzech funkcjonariuszy policji … ciągnęło </w:t>
      </w:r>
      <w:r w:rsidR="00FB3BBB" w:rsidRPr="008911CB">
        <w:rPr>
          <w:bCs/>
          <w:lang w:val="pl-PL"/>
        </w:rPr>
        <w:t xml:space="preserve">mnie </w:t>
      </w:r>
      <w:r w:rsidR="0084573D" w:rsidRPr="008911CB">
        <w:rPr>
          <w:bCs/>
          <w:lang w:val="pl-PL"/>
        </w:rPr>
        <w:t>w tym samym celu … drugi akt tortur był już</w:t>
      </w:r>
      <w:r w:rsidR="001E289C" w:rsidRPr="008911CB">
        <w:rPr>
          <w:bCs/>
          <w:lang w:val="pl-PL"/>
        </w:rPr>
        <w:t xml:space="preserve"> brutalny i popełnili go funkcjonariusze krajowej policji. Przeprowadzono go pod koniec akcji protestacyjnej, to znaczy, </w:t>
      </w:r>
      <w:r w:rsidR="00BE4D04" w:rsidRPr="008911CB">
        <w:rPr>
          <w:bCs/>
          <w:lang w:val="pl-PL"/>
        </w:rPr>
        <w:t>te tortury fizyczne zmusiły nas do [uwolnienia się z] rur … Dopływ krwi został odcięty od góry, nie mogliśmy ruszać palcami, ponieważ ból był bardzo intensywny, trwało to godzinę, to znaczy gdy</w:t>
      </w:r>
      <w:r w:rsidR="003C37D1" w:rsidRPr="008911CB">
        <w:rPr>
          <w:bCs/>
          <w:lang w:val="pl-PL"/>
        </w:rPr>
        <w:t xml:space="preserve"> strażacy</w:t>
      </w:r>
      <w:r w:rsidR="00BE4D04" w:rsidRPr="008911CB">
        <w:rPr>
          <w:bCs/>
          <w:lang w:val="pl-PL"/>
        </w:rPr>
        <w:t xml:space="preserve"> zrobili zdjęci</w:t>
      </w:r>
      <w:r w:rsidR="003C37D1" w:rsidRPr="008911CB">
        <w:rPr>
          <w:bCs/>
          <w:lang w:val="pl-PL"/>
        </w:rPr>
        <w:t>e, bo nic innego nam</w:t>
      </w:r>
      <w:r w:rsidR="00BE4D04" w:rsidRPr="008911CB">
        <w:rPr>
          <w:bCs/>
          <w:lang w:val="pl-PL"/>
        </w:rPr>
        <w:t xml:space="preserve"> nie robili. </w:t>
      </w:r>
    </w:p>
    <w:p w14:paraId="62A835CE" w14:textId="77777777" w:rsidR="00B66964" w:rsidRPr="008911CB" w:rsidRDefault="00504FC0" w:rsidP="00B66964">
      <w:pPr>
        <w:pStyle w:val="ECHRParaQuote"/>
        <w:rPr>
          <w:lang w:val="pl-PL"/>
        </w:rPr>
      </w:pPr>
      <w:r w:rsidRPr="008911CB">
        <w:rPr>
          <w:lang w:val="pl-PL"/>
        </w:rPr>
        <w:lastRenderedPageBreak/>
        <w:t xml:space="preserve">Tego aktu tortury </w:t>
      </w:r>
      <w:r w:rsidR="00292BFF" w:rsidRPr="008911CB">
        <w:rPr>
          <w:lang w:val="pl-PL"/>
        </w:rPr>
        <w:t>dopuściło się dwóch funkcjonariuszy krajowej policji, którzy na niektórych zdjęciach w prasie pojawili się w białych kombinezonach „Emasesa”</w:t>
      </w:r>
      <w:r w:rsidR="00C57DD9" w:rsidRPr="008911CB">
        <w:rPr>
          <w:lang w:val="pl-PL"/>
        </w:rPr>
        <w:t>: nie jestem pewny czy [ludzie] zdawali sobie sprawę, że obaj funkcjonariusze w kombinezonach „Emasesa” pojawiają się [na zdjęciach prasowych]</w:t>
      </w:r>
      <w:r w:rsidR="00FD22F3" w:rsidRPr="008911CB">
        <w:rPr>
          <w:lang w:val="pl-PL"/>
        </w:rPr>
        <w:t xml:space="preserve">, cóż, to są ci, którzy dopuszczali się tortury [;] potem skończyli nas wiązać i wyszli, a zaraz po nich weszło kilku strażaków i potem strażacy J., M. i L. </w:t>
      </w:r>
      <w:r w:rsidR="00D77A09" w:rsidRPr="008911CB">
        <w:rPr>
          <w:lang w:val="pl-PL"/>
        </w:rPr>
        <w:t xml:space="preserve">zaczęli robić zdjęcia jak z nagrodą … w tym momencie i z powodu cierpienia i bólu nadgarstka R.D.P. … zdecydował o przerwaniu akcji protestacyjnej i uwolnieniu się … Powiedziałem do nich w ramach propozycji: „Słuchajcie, nie uwolnię się sam, ale będę współpracował we wszystkim co będzie konieczne do podparcia wykopu. … Wtedy oni mnie związali </w:t>
      </w:r>
      <w:r w:rsidR="00B66964" w:rsidRPr="008911CB">
        <w:rPr>
          <w:lang w:val="pl-PL"/>
        </w:rPr>
        <w:t>w tej samej pozycji i, no, wtedy zdecydowałem się zakończyć akcję protestacyjną. To była tortura fizyczna.</w:t>
      </w:r>
    </w:p>
    <w:p w14:paraId="6A251DDD" w14:textId="7EB9E170" w:rsidR="00B66964" w:rsidRPr="008911CB" w:rsidRDefault="00B66964" w:rsidP="00B66964">
      <w:pPr>
        <w:pStyle w:val="ECHRParaQuote"/>
        <w:rPr>
          <w:lang w:val="pl-PL"/>
        </w:rPr>
      </w:pPr>
      <w:r w:rsidRPr="008911CB">
        <w:rPr>
          <w:lang w:val="pl-PL"/>
        </w:rPr>
        <w:t>Tortura psychiczna była powtarzana, była ciągła … tortury psychiczne powtarzano kilka razy i dopuszczali się ich głównie strażacy i polegały na krótkim znęcaniu się psychicznym … mówili, że nie da się wyciągnąć nas żywych …, że zginiemy pod gruzami, ponieważ dokładnie nad na</w:t>
      </w:r>
      <w:r w:rsidR="00B213FF" w:rsidRPr="008911CB">
        <w:rPr>
          <w:lang w:val="pl-PL"/>
        </w:rPr>
        <w:t xml:space="preserve">mi pracuje spychacz [i] słuchaliśmy tego spychacza … Używali tych słynnych </w:t>
      </w:r>
      <w:r w:rsidR="00ED0862" w:rsidRPr="008911CB">
        <w:rPr>
          <w:lang w:val="pl-PL"/>
        </w:rPr>
        <w:t>„mierników stężenia tlenu”</w:t>
      </w:r>
      <w:r w:rsidR="009B75D8" w:rsidRPr="008911CB">
        <w:rPr>
          <w:lang w:val="pl-PL"/>
        </w:rPr>
        <w:t>, które wskazywały, że zaraz stracimy przytomność … Mówili, że policja wstrzykni</w:t>
      </w:r>
      <w:r w:rsidR="00455542" w:rsidRPr="008911CB">
        <w:rPr>
          <w:lang w:val="pl-PL"/>
        </w:rPr>
        <w:t>e nam środki nasenne … Mówili, ż</w:t>
      </w:r>
      <w:r w:rsidR="009B75D8" w:rsidRPr="008911CB">
        <w:rPr>
          <w:lang w:val="pl-PL"/>
        </w:rPr>
        <w:t xml:space="preserve">e policja </w:t>
      </w:r>
      <w:r w:rsidR="00455542" w:rsidRPr="008911CB">
        <w:rPr>
          <w:lang w:val="pl-PL"/>
        </w:rPr>
        <w:t>wpuści</w:t>
      </w:r>
      <w:r w:rsidR="009B75D8" w:rsidRPr="008911CB">
        <w:rPr>
          <w:lang w:val="pl-PL"/>
        </w:rPr>
        <w:t xml:space="preserve"> gaz usypiający przez wentylację, nie mówi</w:t>
      </w:r>
      <w:r w:rsidR="009B7DBD" w:rsidRPr="008911CB">
        <w:rPr>
          <w:lang w:val="pl-PL"/>
        </w:rPr>
        <w:t>li konkretnie, jaki rodzaj gazu …</w:t>
      </w:r>
      <w:r w:rsidR="00B27CA1" w:rsidRPr="008911CB">
        <w:rPr>
          <w:lang w:val="pl-PL"/>
        </w:rPr>
        <w:t xml:space="preserve"> Mówili też</w:t>
      </w:r>
      <w:r w:rsidR="009B7DBD" w:rsidRPr="008911CB">
        <w:rPr>
          <w:lang w:val="pl-PL"/>
        </w:rPr>
        <w:t>, że wpuszczą szczury do tunelu …”</w:t>
      </w:r>
    </w:p>
    <w:p w14:paraId="14D15548" w14:textId="0EB0A1FC" w:rsidR="009B7DBD" w:rsidRPr="008911CB" w:rsidRDefault="002F7EC0" w:rsidP="002F7EC0">
      <w:pPr>
        <w:pStyle w:val="ECHRPara"/>
        <w:rPr>
          <w:lang w:val="pl-PL"/>
        </w:rPr>
      </w:pPr>
      <w:r w:rsidRPr="008911CB">
        <w:rPr>
          <w:noProof/>
          <w:lang w:val="pl-PL"/>
        </w:rPr>
        <w:t>18</w:t>
      </w:r>
      <w:r w:rsidR="00274573" w:rsidRPr="008911CB">
        <w:rPr>
          <w:lang w:val="pl-PL"/>
        </w:rPr>
        <w:t>.</w:t>
      </w:r>
      <w:r w:rsidR="009B7DBD" w:rsidRPr="008911CB">
        <w:rPr>
          <w:lang w:val="pl-PL"/>
        </w:rPr>
        <w:t xml:space="preserve"> Dziennikarka zapytała skarżącego, czy obdukcja ujawniła jakikolwiek uszczerbek fizyczny lub psychologiczny, na co skarżący odpowiedział, że „nie psychologiczny” ale „fizyczny”. Skarżący następnie oświadczył, że już mówił, że „tortury fizyczne [były] bardzo subtelne i </w:t>
      </w:r>
      <w:r w:rsidR="00B27CA1" w:rsidRPr="008911CB">
        <w:rPr>
          <w:lang w:val="pl-PL"/>
        </w:rPr>
        <w:t>stosowane przez najlepszych policjantów, więc prawie nie pozostawiły śladów ale … spowodowały intensywny ból”.</w:t>
      </w:r>
    </w:p>
    <w:p w14:paraId="6A8795EA" w14:textId="4FD430E2" w:rsidR="00577F4B" w:rsidRPr="008911CB" w:rsidRDefault="002F7EC0" w:rsidP="00820091">
      <w:pPr>
        <w:pStyle w:val="ECHRPara"/>
        <w:rPr>
          <w:lang w:val="pl-PL"/>
        </w:rPr>
      </w:pPr>
      <w:r w:rsidRPr="008911CB">
        <w:rPr>
          <w:noProof/>
          <w:lang w:val="pl-PL"/>
        </w:rPr>
        <w:t>19</w:t>
      </w:r>
      <w:r w:rsidR="00274573" w:rsidRPr="008911CB">
        <w:rPr>
          <w:lang w:val="pl-PL"/>
        </w:rPr>
        <w:t>.  </w:t>
      </w:r>
      <w:r w:rsidR="00B27CA1" w:rsidRPr="008911CB">
        <w:rPr>
          <w:lang w:val="pl-PL"/>
        </w:rPr>
        <w:t xml:space="preserve">W następstwie powyższych </w:t>
      </w:r>
      <w:r w:rsidR="00C454EA" w:rsidRPr="008911CB">
        <w:rPr>
          <w:lang w:val="pl-PL"/>
        </w:rPr>
        <w:t>stwierdzeń</w:t>
      </w:r>
      <w:r w:rsidR="00B27CA1" w:rsidRPr="008911CB">
        <w:rPr>
          <w:lang w:val="pl-PL"/>
        </w:rPr>
        <w:t>, w dniu 21 grudnia 2007 r</w:t>
      </w:r>
      <w:r w:rsidR="00FE1FD8">
        <w:rPr>
          <w:lang w:val="pl-PL"/>
        </w:rPr>
        <w:t>.</w:t>
      </w:r>
      <w:r w:rsidR="00B27CA1" w:rsidRPr="008911CB">
        <w:rPr>
          <w:lang w:val="pl-PL"/>
        </w:rPr>
        <w:t xml:space="preserve"> przedstawiciele rządu Andaluzji </w:t>
      </w:r>
      <w:r w:rsidR="00BD4CC6" w:rsidRPr="008911CB">
        <w:rPr>
          <w:lang w:val="pl-PL"/>
        </w:rPr>
        <w:t xml:space="preserve">złożyli w prokuraturze doniesienie, w którym </w:t>
      </w:r>
      <w:r w:rsidR="00C454EA" w:rsidRPr="008911CB">
        <w:rPr>
          <w:lang w:val="pl-PL"/>
        </w:rPr>
        <w:t>wnieśli o wszczęcie</w:t>
      </w:r>
      <w:r w:rsidR="00BD4CC6" w:rsidRPr="008911CB">
        <w:rPr>
          <w:lang w:val="pl-PL"/>
        </w:rPr>
        <w:t xml:space="preserve"> postępowania karnego przed sędzią śledczym </w:t>
      </w:r>
      <w:r w:rsidR="00473F49" w:rsidRPr="008911CB">
        <w:rPr>
          <w:lang w:val="pl-PL"/>
        </w:rPr>
        <w:t>nr 17 w Sewilli</w:t>
      </w:r>
      <w:r w:rsidR="00C454EA" w:rsidRPr="008911CB">
        <w:rPr>
          <w:lang w:val="pl-PL"/>
        </w:rPr>
        <w:t xml:space="preserve">. Sędzia nakazał wszczęcie postępowania, wskutek czego skarżącemu przedstawiono zarzut </w:t>
      </w:r>
      <w:r w:rsidR="00820091" w:rsidRPr="008911CB">
        <w:rPr>
          <w:lang w:val="pl-PL"/>
        </w:rPr>
        <w:t>zniesławienia i znieważenia.</w:t>
      </w:r>
    </w:p>
    <w:p w14:paraId="1ED55905" w14:textId="182BDBD3" w:rsidR="00820091" w:rsidRPr="008911CB" w:rsidRDefault="002F7EC0" w:rsidP="002F7EC0">
      <w:pPr>
        <w:pStyle w:val="ECHRPara"/>
        <w:rPr>
          <w:lang w:val="pl-PL"/>
        </w:rPr>
      </w:pPr>
      <w:r w:rsidRPr="008911CB">
        <w:rPr>
          <w:noProof/>
          <w:lang w:val="pl-PL"/>
        </w:rPr>
        <w:t>20</w:t>
      </w:r>
      <w:r w:rsidR="00283BDF" w:rsidRPr="008911CB">
        <w:rPr>
          <w:lang w:val="pl-PL"/>
        </w:rPr>
        <w:t>.  </w:t>
      </w:r>
      <w:r w:rsidR="00820091" w:rsidRPr="008911CB">
        <w:rPr>
          <w:lang w:val="pl-PL"/>
        </w:rPr>
        <w:t>Dnia 6 lipca 2011</w:t>
      </w:r>
      <w:r w:rsidR="00FE1FD8">
        <w:rPr>
          <w:lang w:val="pl-PL"/>
        </w:rPr>
        <w:t xml:space="preserve"> r.</w:t>
      </w:r>
      <w:r w:rsidR="00820091" w:rsidRPr="008911CB">
        <w:rPr>
          <w:lang w:val="pl-PL"/>
        </w:rPr>
        <w:t xml:space="preserve"> sędzia karny nr 13 w Sewilli (zwany dalej </w:t>
      </w:r>
      <w:r w:rsidR="00FE1FD8">
        <w:rPr>
          <w:lang w:val="pl-PL"/>
        </w:rPr>
        <w:t>„</w:t>
      </w:r>
      <w:r w:rsidR="00820091" w:rsidRPr="008911CB">
        <w:rPr>
          <w:lang w:val="pl-PL"/>
        </w:rPr>
        <w:t>sędzią karnym”) skazał skarżącego za znieważenie</w:t>
      </w:r>
      <w:r w:rsidR="00055527" w:rsidRPr="008911CB">
        <w:rPr>
          <w:lang w:val="pl-PL"/>
        </w:rPr>
        <w:t xml:space="preserve"> i wymierzył karę w postaci </w:t>
      </w:r>
      <w:r w:rsidR="00420594" w:rsidRPr="008911CB">
        <w:rPr>
          <w:lang w:val="pl-PL"/>
        </w:rPr>
        <w:t xml:space="preserve">dwudziestomiesięcznej </w:t>
      </w:r>
      <w:r w:rsidR="00055527" w:rsidRPr="008911CB">
        <w:rPr>
          <w:lang w:val="pl-PL"/>
        </w:rPr>
        <w:t>grzywny</w:t>
      </w:r>
      <w:r w:rsidR="000330ED">
        <w:rPr>
          <w:lang w:val="pl-PL"/>
        </w:rPr>
        <w:t>,</w:t>
      </w:r>
      <w:r w:rsidR="00BD17A3" w:rsidRPr="008911CB">
        <w:rPr>
          <w:lang w:val="pl-PL"/>
        </w:rPr>
        <w:t xml:space="preserve"> przyjmując stawkę dzienną w wysokości</w:t>
      </w:r>
      <w:r w:rsidR="00C170CB" w:rsidRPr="008911CB">
        <w:rPr>
          <w:lang w:val="pl-PL"/>
        </w:rPr>
        <w:t xml:space="preserve"> 10 </w:t>
      </w:r>
      <w:r w:rsidR="009A3120" w:rsidRPr="008911CB">
        <w:rPr>
          <w:lang w:val="pl-PL"/>
        </w:rPr>
        <w:t xml:space="preserve">EUR </w:t>
      </w:r>
      <w:r w:rsidR="00BD17A3" w:rsidRPr="008911CB">
        <w:rPr>
          <w:lang w:val="pl-PL"/>
        </w:rPr>
        <w:t>dziennie. Ponadto skarżącemu nakazano zapłacenie odszkodowania na rzecz dwóch</w:t>
      </w:r>
      <w:r w:rsidR="00CA6E62" w:rsidRPr="008911CB">
        <w:rPr>
          <w:lang w:val="pl-PL"/>
        </w:rPr>
        <w:t xml:space="preserve"> policjantów w łącznej kwocie 1</w:t>
      </w:r>
      <w:r w:rsidR="00BD17A3" w:rsidRPr="008911CB">
        <w:rPr>
          <w:lang w:val="pl-PL"/>
        </w:rPr>
        <w:t xml:space="preserve">200 </w:t>
      </w:r>
      <w:r w:rsidR="009A3120" w:rsidRPr="008911CB">
        <w:rPr>
          <w:lang w:val="pl-PL"/>
        </w:rPr>
        <w:t>EUR</w:t>
      </w:r>
      <w:r w:rsidR="00BA3ECC" w:rsidRPr="008911CB">
        <w:rPr>
          <w:lang w:val="pl-PL"/>
        </w:rPr>
        <w:t>, przy jednym dniu pozbawienia wolności za każde dwa dni niezapłaconej grzywny. Co więcej, skarżącemu nakazano opublikowanie wyroku w mediach obecnych na konferencji prasowej na własny koszt.</w:t>
      </w:r>
    </w:p>
    <w:p w14:paraId="027861FB" w14:textId="5E577951" w:rsidR="00577F4B" w:rsidRPr="008911CB" w:rsidRDefault="002F7EC0" w:rsidP="00196E36">
      <w:pPr>
        <w:pStyle w:val="ECHRPara"/>
        <w:rPr>
          <w:lang w:val="pl-PL"/>
        </w:rPr>
      </w:pPr>
      <w:r w:rsidRPr="008911CB">
        <w:rPr>
          <w:noProof/>
          <w:lang w:val="pl-PL"/>
        </w:rPr>
        <w:t>21</w:t>
      </w:r>
      <w:r w:rsidR="000074E2" w:rsidRPr="008911CB">
        <w:rPr>
          <w:lang w:val="pl-PL"/>
        </w:rPr>
        <w:t>. </w:t>
      </w:r>
      <w:r w:rsidR="00D814ED" w:rsidRPr="008911CB">
        <w:rPr>
          <w:lang w:val="pl-PL"/>
        </w:rPr>
        <w:t>Sędzia karny stwierdził, że władze działały w sposób proporcjonalny</w:t>
      </w:r>
      <w:r w:rsidR="00F403C4" w:rsidRPr="008911CB">
        <w:rPr>
          <w:lang w:val="pl-PL"/>
        </w:rPr>
        <w:t>. O</w:t>
      </w:r>
      <w:r w:rsidR="00D814ED" w:rsidRPr="008911CB">
        <w:rPr>
          <w:lang w:val="pl-PL"/>
        </w:rPr>
        <w:t xml:space="preserve">rzekł, że pierwsza czynność podjęta przez funkcjonariuszy policji (tj. przywiązanie liny do talii i nadgarstka odpowiednio skarżącego i R.D.P. i użycie siły w celu wyciągnięcia ich) </w:t>
      </w:r>
      <w:r w:rsidR="00667517" w:rsidRPr="008911CB">
        <w:rPr>
          <w:lang w:val="pl-PL"/>
        </w:rPr>
        <w:t>była techniką</w:t>
      </w:r>
      <w:r w:rsidR="008D26F7" w:rsidRPr="008911CB">
        <w:rPr>
          <w:lang w:val="pl-PL"/>
        </w:rPr>
        <w:t xml:space="preserve"> proporcjonalną do celu, którym było sprawdzenie</w:t>
      </w:r>
      <w:r w:rsidR="009F0550">
        <w:rPr>
          <w:lang w:val="pl-PL"/>
        </w:rPr>
        <w:t>,</w:t>
      </w:r>
      <w:r w:rsidR="008D26F7" w:rsidRPr="008911CB">
        <w:rPr>
          <w:lang w:val="pl-PL"/>
        </w:rPr>
        <w:t xml:space="preserve"> czy faktycznie skarżący </w:t>
      </w:r>
      <w:r w:rsidR="00224E44" w:rsidRPr="008911CB">
        <w:rPr>
          <w:lang w:val="pl-PL"/>
        </w:rPr>
        <w:t>i R.D.P. byli przytwierdzeni</w:t>
      </w:r>
      <w:r w:rsidR="008D26F7" w:rsidRPr="008911CB">
        <w:rPr>
          <w:lang w:val="pl-PL"/>
        </w:rPr>
        <w:t xml:space="preserve"> do betonowej podłogi</w:t>
      </w:r>
      <w:r w:rsidR="00224E44" w:rsidRPr="008911CB">
        <w:rPr>
          <w:lang w:val="pl-PL"/>
        </w:rPr>
        <w:t>. Następnie sędzia zauważył, że metody stosowane przez policję, taki</w:t>
      </w:r>
      <w:r w:rsidR="00FB5C20" w:rsidRPr="008911CB">
        <w:rPr>
          <w:lang w:val="pl-PL"/>
        </w:rPr>
        <w:t>e</w:t>
      </w:r>
      <w:r w:rsidR="00224E44" w:rsidRPr="008911CB">
        <w:rPr>
          <w:lang w:val="pl-PL"/>
        </w:rPr>
        <w:t xml:space="preserve"> jak grożenie użyciem gazu lub ściganiem za </w:t>
      </w:r>
      <w:r w:rsidR="00224E44" w:rsidRPr="008911CB">
        <w:rPr>
          <w:lang w:val="pl-PL"/>
        </w:rPr>
        <w:lastRenderedPageBreak/>
        <w:t>przestępstwo przeciwko funkcjonariuszowi, były jedynie środkami mającymi na celu nakłonienie skarżącego i R.D.P. do uwolnienia się.</w:t>
      </w:r>
      <w:r w:rsidR="00FB5C20" w:rsidRPr="008911CB">
        <w:rPr>
          <w:lang w:val="pl-PL"/>
        </w:rPr>
        <w:t xml:space="preserve"> Według sędziego karnego strażacy również zastraszali skarżącego i R.D.P. </w:t>
      </w:r>
      <w:r w:rsidR="00145020" w:rsidRPr="008911CB">
        <w:rPr>
          <w:lang w:val="pl-PL"/>
        </w:rPr>
        <w:t xml:space="preserve">mówiąc, że ściany mogą się zawalić jeśli władze zdecydują się użyć ciężkiego sprzętu do ich wydobycia. Celem tego kroku było nakłonienie ich do dobrowolnego uwolnienia się. Dodatkowo sędzia karny zauważył, że </w:t>
      </w:r>
      <w:r w:rsidR="004F572C" w:rsidRPr="008911CB">
        <w:rPr>
          <w:lang w:val="pl-PL"/>
        </w:rPr>
        <w:t>władze podjęły decyzję o przywiązaniu prawej ręki skarżącego do jego kostki w celu unieruchomienia go wobec zagro</w:t>
      </w:r>
      <w:r w:rsidR="00196E36" w:rsidRPr="008911CB">
        <w:rPr>
          <w:lang w:val="pl-PL"/>
        </w:rPr>
        <w:t>żenia zawału ścian i gróźb skarż</w:t>
      </w:r>
      <w:r w:rsidR="004F572C" w:rsidRPr="008911CB">
        <w:rPr>
          <w:lang w:val="pl-PL"/>
        </w:rPr>
        <w:t>ącego</w:t>
      </w:r>
      <w:r w:rsidR="00196E36" w:rsidRPr="008911CB">
        <w:rPr>
          <w:lang w:val="pl-PL"/>
        </w:rPr>
        <w:t>, że wybije niestabilne drewniane stemple zamocowane przez strażaków jako zabezpieczenie.</w:t>
      </w:r>
    </w:p>
    <w:p w14:paraId="5F5384D1" w14:textId="6FFDC1A7" w:rsidR="00577F4B" w:rsidRPr="008911CB" w:rsidRDefault="002F7EC0" w:rsidP="00196E36">
      <w:pPr>
        <w:pStyle w:val="ECHRPara"/>
        <w:rPr>
          <w:lang w:val="pl-PL"/>
        </w:rPr>
      </w:pPr>
      <w:r w:rsidRPr="008911CB">
        <w:rPr>
          <w:noProof/>
          <w:lang w:val="pl-PL"/>
        </w:rPr>
        <w:t>22</w:t>
      </w:r>
      <w:r w:rsidR="00E464DB" w:rsidRPr="008911CB">
        <w:rPr>
          <w:lang w:val="pl-PL"/>
        </w:rPr>
        <w:t>.  </w:t>
      </w:r>
      <w:r w:rsidR="00196E36" w:rsidRPr="008911CB">
        <w:rPr>
          <w:lang w:val="pl-PL"/>
        </w:rPr>
        <w:t>W świetle faktów ustalonych przez sędziego uznano, że komentarze skarżącego stanowiły bezpośrednie oskarżenie o popełnienie przestępstwa, mianowicie tortur, co nie było prawdą.</w:t>
      </w:r>
    </w:p>
    <w:p w14:paraId="1786E9F3" w14:textId="398F2BB8" w:rsidR="00B40354" w:rsidRPr="008911CB" w:rsidRDefault="002F7EC0" w:rsidP="00176417">
      <w:pPr>
        <w:pStyle w:val="ECHRPara"/>
        <w:rPr>
          <w:lang w:val="pl-PL"/>
        </w:rPr>
      </w:pPr>
      <w:r w:rsidRPr="008911CB">
        <w:rPr>
          <w:noProof/>
          <w:lang w:val="pl-PL"/>
        </w:rPr>
        <w:t>23</w:t>
      </w:r>
      <w:r w:rsidR="00815228" w:rsidRPr="008911CB">
        <w:rPr>
          <w:lang w:val="pl-PL"/>
        </w:rPr>
        <w:t>.  </w:t>
      </w:r>
      <w:r w:rsidR="00B40354" w:rsidRPr="008911CB">
        <w:rPr>
          <w:lang w:val="pl-PL"/>
        </w:rPr>
        <w:t xml:space="preserve">Sędzia karny następnie uznał, że prawo do wolności słowa jest „prawem fundamentalnym, ale nie nieograniczonym, ani w swoim abstrakcyjnym rozumieniu, ani w </w:t>
      </w:r>
      <w:r w:rsidR="00CF39F7" w:rsidRPr="008911CB">
        <w:rPr>
          <w:lang w:val="pl-PL"/>
        </w:rPr>
        <w:t xml:space="preserve">praktycznym </w:t>
      </w:r>
      <w:r w:rsidR="00D12295" w:rsidRPr="008911CB">
        <w:rPr>
          <w:lang w:val="pl-PL"/>
        </w:rPr>
        <w:t>stosowaniu”</w:t>
      </w:r>
      <w:r w:rsidR="009F0550">
        <w:rPr>
          <w:lang w:val="pl-PL"/>
        </w:rPr>
        <w:t>,</w:t>
      </w:r>
      <w:r w:rsidR="00D12295" w:rsidRPr="008911CB">
        <w:rPr>
          <w:lang w:val="pl-PL"/>
        </w:rPr>
        <w:t xml:space="preserve"> ponieważ musi ono „szanować innych ludzi i nie wolno z niego korzystać używając obraźliwych słów”. W tym przypadku „skarżący przekroczył granice przysługującego mu prawa wolności słowa … przez naruszenie praw innych osób”.</w:t>
      </w:r>
    </w:p>
    <w:p w14:paraId="35768DD6" w14:textId="3D77D616" w:rsidR="007D3230" w:rsidRPr="008911CB" w:rsidRDefault="002F7EC0" w:rsidP="007D3230">
      <w:pPr>
        <w:pStyle w:val="ECHRPara"/>
        <w:rPr>
          <w:lang w:val="pl-PL"/>
        </w:rPr>
      </w:pPr>
      <w:r w:rsidRPr="008911CB">
        <w:rPr>
          <w:noProof/>
          <w:lang w:val="pl-PL"/>
        </w:rPr>
        <w:t>24</w:t>
      </w:r>
      <w:r w:rsidR="00351A84" w:rsidRPr="008911CB">
        <w:rPr>
          <w:lang w:val="pl-PL"/>
        </w:rPr>
        <w:t>.  </w:t>
      </w:r>
      <w:r w:rsidR="007D3230" w:rsidRPr="008911CB">
        <w:rPr>
          <w:lang w:val="pl-PL"/>
        </w:rPr>
        <w:t>Sędzia karny zwrócił uwagę, że zachowanie policjantów nie wykazywało wszystkich cech tortury zgodnie z jej klasyfikacją prawną w rozumieniu art. 174 hiszpańskiego kodeksu karnego, który w sposób następujący precyzyjnie definiuje tortury:</w:t>
      </w:r>
    </w:p>
    <w:p w14:paraId="376BF242" w14:textId="71334CAF" w:rsidR="007D3230" w:rsidRPr="008911CB" w:rsidRDefault="007D3230" w:rsidP="002F7EC0">
      <w:pPr>
        <w:pStyle w:val="ECHRParaQuote"/>
        <w:rPr>
          <w:lang w:val="pl-PL"/>
        </w:rPr>
      </w:pPr>
      <w:r w:rsidRPr="008911CB">
        <w:rPr>
          <w:lang w:val="pl-PL"/>
        </w:rPr>
        <w:t>„</w:t>
      </w:r>
      <w:r w:rsidR="00892A12" w:rsidRPr="008911CB">
        <w:rPr>
          <w:lang w:val="pl-PL"/>
        </w:rPr>
        <w:t>Tortur</w:t>
      </w:r>
      <w:r w:rsidRPr="008911CB">
        <w:rPr>
          <w:lang w:val="pl-PL"/>
        </w:rPr>
        <w:t xml:space="preserve"> dopuszcza się władza publiczna lub urzędnik, który nadużywając zajmowanego stanowiska i w celu uzyskania przyznania się lub informacji od osoby</w:t>
      </w:r>
      <w:r w:rsidR="00C03666" w:rsidRPr="008911CB">
        <w:rPr>
          <w:lang w:val="pl-PL"/>
        </w:rPr>
        <w:t>,</w:t>
      </w:r>
      <w:r w:rsidRPr="008911CB">
        <w:rPr>
          <w:lang w:val="pl-PL"/>
        </w:rPr>
        <w:t xml:space="preserve"> lub </w:t>
      </w:r>
      <w:r w:rsidR="00C03666" w:rsidRPr="008911CB">
        <w:rPr>
          <w:lang w:val="pl-PL"/>
        </w:rPr>
        <w:t>w celu ukarania jej za czyn, który popełniła, lub o którego popełnienie jest podejrzana, lub z jakie</w:t>
      </w:r>
      <w:r w:rsidR="00892A12" w:rsidRPr="008911CB">
        <w:rPr>
          <w:lang w:val="pl-PL"/>
        </w:rPr>
        <w:t>go</w:t>
      </w:r>
      <w:r w:rsidR="00C03666" w:rsidRPr="008911CB">
        <w:rPr>
          <w:lang w:val="pl-PL"/>
        </w:rPr>
        <w:t xml:space="preserve">kolwiek powodu opartego na jakiejkolwiek </w:t>
      </w:r>
      <w:r w:rsidR="00892A12" w:rsidRPr="008911CB">
        <w:rPr>
          <w:lang w:val="pl-PL"/>
        </w:rPr>
        <w:t>formie dyskryminacji</w:t>
      </w:r>
      <w:r w:rsidR="00C03666" w:rsidRPr="008911CB">
        <w:rPr>
          <w:lang w:val="pl-PL"/>
        </w:rPr>
        <w:t xml:space="preserve"> wystawia tę osobę na działanie okoliczności lub procedur, które przez samą swoją naturę, okres trwania lub inne okoliczności </w:t>
      </w:r>
      <w:r w:rsidR="00190291" w:rsidRPr="008911CB">
        <w:rPr>
          <w:lang w:val="pl-PL"/>
        </w:rPr>
        <w:t>powodują cierpienia fizyczne lub psychiczne tej osoby</w:t>
      </w:r>
      <w:r w:rsidR="002E1476" w:rsidRPr="008911CB">
        <w:rPr>
          <w:lang w:val="pl-PL"/>
        </w:rPr>
        <w:t>, wyłączenie lub obniżenie zdolności poznawczych, rozeznania lub podejmowania decyzji, lub które w jakikolwiek inny sposób s</w:t>
      </w:r>
      <w:r w:rsidR="00892A12" w:rsidRPr="008911CB">
        <w:rPr>
          <w:lang w:val="pl-PL"/>
        </w:rPr>
        <w:t xml:space="preserve">tanowią atak na honor tej osoby”. </w:t>
      </w:r>
    </w:p>
    <w:p w14:paraId="69215558" w14:textId="02E144CE" w:rsidR="00892A12" w:rsidRPr="008911CB" w:rsidRDefault="002F7EC0" w:rsidP="00B3473F">
      <w:pPr>
        <w:pStyle w:val="ECHRPara"/>
        <w:rPr>
          <w:lang w:val="pl-PL"/>
        </w:rPr>
      </w:pPr>
      <w:r w:rsidRPr="008911CB">
        <w:rPr>
          <w:noProof/>
          <w:lang w:val="pl-PL"/>
        </w:rPr>
        <w:t>25</w:t>
      </w:r>
      <w:r w:rsidR="00751685" w:rsidRPr="008911CB">
        <w:rPr>
          <w:lang w:val="pl-PL"/>
        </w:rPr>
        <w:t>.  </w:t>
      </w:r>
      <w:r w:rsidR="00892A12" w:rsidRPr="008911CB">
        <w:rPr>
          <w:lang w:val="pl-PL"/>
        </w:rPr>
        <w:t xml:space="preserve">Sędzia karny uznał wobec powyższego, że oświadczenie skarżącego zawierało konkretne oskarżenie o stosowanie tortur, co oznaczało, że funkcjonariusz policji lub urzędnik miał konkretny zamiar uzyskania przyznania się lub informacji od osoby, lub ukarania jej za czyn, który popełniła, lub o popełnienie którego </w:t>
      </w:r>
      <w:r w:rsidR="00B3473F" w:rsidRPr="008911CB">
        <w:rPr>
          <w:lang w:val="pl-PL"/>
        </w:rPr>
        <w:t>była</w:t>
      </w:r>
      <w:r w:rsidR="00892A12" w:rsidRPr="008911CB">
        <w:rPr>
          <w:lang w:val="pl-PL"/>
        </w:rPr>
        <w:t xml:space="preserve"> podejrzana.</w:t>
      </w:r>
    </w:p>
    <w:p w14:paraId="5596D9D5" w14:textId="6D4E359E" w:rsidR="00B3473F" w:rsidRPr="008911CB" w:rsidRDefault="002F7EC0" w:rsidP="002F7EC0">
      <w:pPr>
        <w:pStyle w:val="ECHRPara"/>
        <w:rPr>
          <w:lang w:val="pl-PL"/>
        </w:rPr>
      </w:pPr>
      <w:r w:rsidRPr="008911CB">
        <w:rPr>
          <w:noProof/>
          <w:lang w:val="pl-PL"/>
        </w:rPr>
        <w:t>26</w:t>
      </w:r>
      <w:r w:rsidR="00751685" w:rsidRPr="008911CB">
        <w:rPr>
          <w:lang w:val="pl-PL"/>
        </w:rPr>
        <w:t>.  </w:t>
      </w:r>
      <w:r w:rsidR="00B3473F" w:rsidRPr="008911CB">
        <w:rPr>
          <w:lang w:val="pl-PL"/>
        </w:rPr>
        <w:t xml:space="preserve">Ponadto sędzia uznał, że opisy podane przez skarżącego w zestawieniu ze zdjęciami opublikowanymi w prasie mogły prowadzić do zidentyfikowania </w:t>
      </w:r>
      <w:r w:rsidR="00116F7C" w:rsidRPr="008911CB">
        <w:rPr>
          <w:lang w:val="pl-PL"/>
        </w:rPr>
        <w:t>funkcjonariuszy, którzy następnie zostaliby powiązani z oskarżeniami o tortury, które z kolei – według sędziego karnego – nie miały miejsca.</w:t>
      </w:r>
    </w:p>
    <w:p w14:paraId="3AA93EEB" w14:textId="5D214112" w:rsidR="00116F7C" w:rsidRPr="008911CB" w:rsidRDefault="002F7EC0" w:rsidP="00116F7C">
      <w:pPr>
        <w:pStyle w:val="ECHRPara"/>
        <w:rPr>
          <w:lang w:val="pl-PL"/>
        </w:rPr>
      </w:pPr>
      <w:r w:rsidRPr="008911CB">
        <w:rPr>
          <w:noProof/>
          <w:lang w:val="pl-PL"/>
        </w:rPr>
        <w:t>27</w:t>
      </w:r>
      <w:r w:rsidR="00815228" w:rsidRPr="008911CB">
        <w:rPr>
          <w:lang w:val="pl-PL"/>
        </w:rPr>
        <w:t>.  </w:t>
      </w:r>
      <w:r w:rsidR="00116F7C" w:rsidRPr="008911CB">
        <w:rPr>
          <w:lang w:val="pl-PL"/>
        </w:rPr>
        <w:t>W odpowiedzi na argument, że słowo tortury zostało użyte w znaczeniu potocznym, sędzia uznał, że:</w:t>
      </w:r>
    </w:p>
    <w:p w14:paraId="136A7AA0" w14:textId="3F873A0B" w:rsidR="00577F4B" w:rsidRPr="008911CB" w:rsidRDefault="00116F7C" w:rsidP="00E32D7D">
      <w:pPr>
        <w:pStyle w:val="ECHRParaQuote"/>
        <w:rPr>
          <w:lang w:val="pl-PL"/>
        </w:rPr>
      </w:pPr>
      <w:r w:rsidRPr="008911CB">
        <w:rPr>
          <w:lang w:val="pl-PL"/>
        </w:rPr>
        <w:lastRenderedPageBreak/>
        <w:t xml:space="preserve"> </w:t>
      </w:r>
      <w:r w:rsidR="007A54ED">
        <w:rPr>
          <w:lang w:val="pl-PL"/>
        </w:rPr>
        <w:t>„</w:t>
      </w:r>
      <w:r w:rsidRPr="008911CB">
        <w:rPr>
          <w:lang w:val="pl-PL"/>
        </w:rPr>
        <w:t>Powtarzanie przez skarżącego słowa tortura wskazuje, że użycie tego słowa w tym miejscu nie było odosobnione ani wyjątkowe, ale zostało wyeksponowane i wypowiedziane z pełną świadomością oraz powtarzane w celu dotarcia do słuchaczy z tym przekazem, tj. że skarżący był poddawany torturom</w:t>
      </w:r>
      <w:r w:rsidR="00E32D7D" w:rsidRPr="008911CB">
        <w:rPr>
          <w:lang w:val="pl-PL"/>
        </w:rPr>
        <w:t xml:space="preserve"> przez funkcjonariuszy policji i strażaków”.</w:t>
      </w:r>
    </w:p>
    <w:p w14:paraId="2DC6E820" w14:textId="798FBA61" w:rsidR="00E32D7D" w:rsidRPr="008911CB" w:rsidRDefault="002F7EC0" w:rsidP="00E43DA7">
      <w:pPr>
        <w:pStyle w:val="ECHRPara"/>
        <w:rPr>
          <w:lang w:val="pl-PL"/>
        </w:rPr>
      </w:pPr>
      <w:r w:rsidRPr="008911CB">
        <w:rPr>
          <w:noProof/>
          <w:lang w:val="pl-PL"/>
        </w:rPr>
        <w:t>28</w:t>
      </w:r>
      <w:r w:rsidR="00274573" w:rsidRPr="008911CB">
        <w:rPr>
          <w:lang w:val="pl-PL"/>
        </w:rPr>
        <w:t>.  </w:t>
      </w:r>
      <w:r w:rsidR="008911CB" w:rsidRPr="008911CB">
        <w:rPr>
          <w:lang w:val="pl-PL"/>
        </w:rPr>
        <w:t>Skarżący</w:t>
      </w:r>
      <w:r w:rsidR="00BC1DA3" w:rsidRPr="008911CB">
        <w:rPr>
          <w:lang w:val="pl-PL"/>
        </w:rPr>
        <w:t xml:space="preserve"> wniósł apelację do sewilskiej </w:t>
      </w:r>
      <w:r w:rsidR="00BC1DA3" w:rsidRPr="008911CB">
        <w:rPr>
          <w:i/>
          <w:lang w:val="pl-PL"/>
        </w:rPr>
        <w:t>Audiencia Provincial</w:t>
      </w:r>
      <w:r w:rsidR="00BC1DA3" w:rsidRPr="008911CB">
        <w:rPr>
          <w:lang w:val="pl-PL"/>
        </w:rPr>
        <w:t>, która w dniu 28 czerwca 2013 r</w:t>
      </w:r>
      <w:r w:rsidR="007A54ED">
        <w:rPr>
          <w:lang w:val="pl-PL"/>
        </w:rPr>
        <w:t>.</w:t>
      </w:r>
      <w:r w:rsidR="00BC1DA3" w:rsidRPr="008911CB">
        <w:rPr>
          <w:lang w:val="pl-PL"/>
        </w:rPr>
        <w:t xml:space="preserve"> częściowo przychyliła się do wniosku skarżącego i nakazała</w:t>
      </w:r>
      <w:r w:rsidR="00E5067C" w:rsidRPr="008911CB">
        <w:rPr>
          <w:lang w:val="pl-PL"/>
        </w:rPr>
        <w:t xml:space="preserve"> obniżenie grzywny do dwunastu miesięcy</w:t>
      </w:r>
      <w:r w:rsidR="006A6A41">
        <w:rPr>
          <w:lang w:val="pl-PL"/>
        </w:rPr>
        <w:t>,</w:t>
      </w:r>
      <w:r w:rsidR="00E5067C" w:rsidRPr="008911CB">
        <w:rPr>
          <w:lang w:val="pl-PL"/>
        </w:rPr>
        <w:t xml:space="preserve"> przyjmując stawkę dzienną w wysokości 10 </w:t>
      </w:r>
      <w:r w:rsidR="009A3120" w:rsidRPr="008911CB">
        <w:rPr>
          <w:lang w:val="pl-PL"/>
        </w:rPr>
        <w:t xml:space="preserve">EUR </w:t>
      </w:r>
      <w:r w:rsidR="00E5067C" w:rsidRPr="008911CB">
        <w:rPr>
          <w:lang w:val="pl-PL"/>
        </w:rPr>
        <w:t xml:space="preserve">dziennie. </w:t>
      </w:r>
      <w:r w:rsidR="00E5067C" w:rsidRPr="008911CB">
        <w:rPr>
          <w:i/>
          <w:lang w:val="pl-PL"/>
        </w:rPr>
        <w:t>Audiencia Provincial</w:t>
      </w:r>
      <w:r w:rsidR="00E5067C" w:rsidRPr="008911CB">
        <w:rPr>
          <w:lang w:val="pl-PL"/>
        </w:rPr>
        <w:t xml:space="preserve"> podtrzymała pozostałe części wyroku sądu pierwszej instancji. </w:t>
      </w:r>
      <w:r w:rsidR="00E5067C" w:rsidRPr="008911CB">
        <w:rPr>
          <w:i/>
          <w:lang w:val="pl-PL"/>
        </w:rPr>
        <w:t>Audiencia Provincial</w:t>
      </w:r>
      <w:r w:rsidR="00E5067C" w:rsidRPr="008911CB">
        <w:rPr>
          <w:lang w:val="pl-PL"/>
        </w:rPr>
        <w:t xml:space="preserve"> w szczególności wskazała, że komentarze poczynione przez skarżącego stanowiły bezpośrednie oskarżenie o popełnienie przestępstwa stosowania tortur</w:t>
      </w:r>
      <w:r w:rsidR="003D5E32" w:rsidRPr="008911CB">
        <w:rPr>
          <w:lang w:val="pl-PL"/>
        </w:rPr>
        <w:t xml:space="preserve"> oraz że komentarze skarżącego były „celowym sposobem osobistego i zawodowego zdyskredytowania funkcjonariuszy policji”. Według </w:t>
      </w:r>
      <w:r w:rsidR="003D5E32" w:rsidRPr="008911CB">
        <w:rPr>
          <w:i/>
          <w:lang w:val="pl-PL"/>
        </w:rPr>
        <w:t>Audiencia Provincial</w:t>
      </w:r>
      <w:r w:rsidR="003D5E32" w:rsidRPr="008911CB">
        <w:rPr>
          <w:lang w:val="pl-PL"/>
        </w:rPr>
        <w:t xml:space="preserve"> skarżący był świadomy faktu, że składane przez niego publicznie oświadczenia były nieprawdziwe. Ponadto stwierdziła, że </w:t>
      </w:r>
      <w:r w:rsidR="00216908" w:rsidRPr="008911CB">
        <w:rPr>
          <w:lang w:val="pl-PL"/>
        </w:rPr>
        <w:t xml:space="preserve">komentarz skarżącego nie może zostać potraktowany jako akt publicznej krytyki </w:t>
      </w:r>
      <w:r w:rsidR="004F2D0C" w:rsidRPr="008911CB">
        <w:rPr>
          <w:lang w:val="pl-PL"/>
        </w:rPr>
        <w:t xml:space="preserve">interwencji podjętej przez policję, ani też intencją skarżącego nie było dostarczenie opinii publicznej informacji. Przeciwnie, skarżący „po prostu utrzymywał, że był torturowany przez dwóch policjantów… coś, co było nieprawdą … z wyłącznym zamiarem zaatakowania honoru funkcjonariuszy policji przez twierdzenie, że dopuścili się przestępstwa”. </w:t>
      </w:r>
      <w:r w:rsidR="008A72F1" w:rsidRPr="008911CB">
        <w:rPr>
          <w:lang w:val="pl-PL"/>
        </w:rPr>
        <w:t xml:space="preserve">Zdania wygłoszone przez skarżącego były „świadomym, nieproporcjonalnym, niekoniecznym i nieuzasadnionym aktem oskarżenia kogoś o </w:t>
      </w:r>
      <w:r w:rsidR="00E43DA7" w:rsidRPr="008911CB">
        <w:rPr>
          <w:lang w:val="pl-PL"/>
        </w:rPr>
        <w:t>popełnienie przestępstwa, co jest przekroczeniem granicy uzasadnionej krytyki działań policji …”.</w:t>
      </w:r>
    </w:p>
    <w:p w14:paraId="637F3BC3" w14:textId="372E829B" w:rsidR="008A3608" w:rsidRPr="008911CB" w:rsidRDefault="002F7EC0" w:rsidP="008A3608">
      <w:pPr>
        <w:pStyle w:val="ECHRPara"/>
        <w:rPr>
          <w:lang w:val="pl-PL"/>
        </w:rPr>
      </w:pPr>
      <w:r w:rsidRPr="008911CB">
        <w:rPr>
          <w:noProof/>
          <w:lang w:val="pl-PL"/>
        </w:rPr>
        <w:t>29</w:t>
      </w:r>
      <w:r w:rsidR="00274573" w:rsidRPr="008911CB">
        <w:rPr>
          <w:lang w:val="pl-PL"/>
        </w:rPr>
        <w:t>.  </w:t>
      </w:r>
      <w:r w:rsidR="00E43DA7" w:rsidRPr="008911CB">
        <w:rPr>
          <w:lang w:val="pl-PL"/>
        </w:rPr>
        <w:t>W dniu 29 lipca 2013</w:t>
      </w:r>
      <w:r w:rsidR="00C401A6">
        <w:rPr>
          <w:lang w:val="pl-PL"/>
        </w:rPr>
        <w:t xml:space="preserve"> r.</w:t>
      </w:r>
      <w:r w:rsidR="00E43DA7" w:rsidRPr="008911CB">
        <w:rPr>
          <w:lang w:val="pl-PL"/>
        </w:rPr>
        <w:t xml:space="preserve"> skarżący złożył w Trybunale Konstytucyjnym apelację </w:t>
      </w:r>
      <w:r w:rsidR="00E43DA7" w:rsidRPr="008911CB">
        <w:rPr>
          <w:i/>
          <w:lang w:val="pl-PL"/>
        </w:rPr>
        <w:t>amparo</w:t>
      </w:r>
      <w:r w:rsidR="00E43DA7" w:rsidRPr="008911CB">
        <w:rPr>
          <w:lang w:val="pl-PL"/>
        </w:rPr>
        <w:t xml:space="preserve">. Skarżący oparł się w </w:t>
      </w:r>
      <w:r w:rsidR="00B06948" w:rsidRPr="008911CB">
        <w:rPr>
          <w:lang w:val="pl-PL"/>
        </w:rPr>
        <w:t>szczególności na art. 20, lit. a i d Konstytucji Hiszpanii. Skarżący oświadczył, że fakty przytoczone podczas konferencji prasowej były prawdziwe, co zostało potwierdzone przez sądy krajowe w ramach postępowania karnego</w:t>
      </w:r>
      <w:r w:rsidR="0033120D" w:rsidRPr="008911CB">
        <w:rPr>
          <w:lang w:val="pl-PL"/>
        </w:rPr>
        <w:t xml:space="preserve">, jednak jedyną zmianą była intencja przypisywana funkcjonariuszom policji. Skarżący użył terminu „tortura” w znaczeniu potocznym. Taki rodzaj wypowiedzi nie może być ograniczany definicjami ściśle karno-prawnymi. Następnie skarżący stwierdził, że termin „tortura”, poza </w:t>
      </w:r>
      <w:r w:rsidR="00227451" w:rsidRPr="008911CB">
        <w:rPr>
          <w:lang w:val="pl-PL"/>
        </w:rPr>
        <w:t xml:space="preserve">znaczeniem </w:t>
      </w:r>
      <w:r w:rsidR="0033120D" w:rsidRPr="008911CB">
        <w:rPr>
          <w:lang w:val="pl-PL"/>
        </w:rPr>
        <w:t xml:space="preserve">ściśle </w:t>
      </w:r>
      <w:r w:rsidR="00DE4CEB" w:rsidRPr="008911CB">
        <w:rPr>
          <w:lang w:val="pl-PL"/>
        </w:rPr>
        <w:t>prawno</w:t>
      </w:r>
      <w:r w:rsidR="0033120D" w:rsidRPr="008911CB">
        <w:rPr>
          <w:lang w:val="pl-PL"/>
        </w:rPr>
        <w:t>karnym, zawiera także kilka innych znaczeń.</w:t>
      </w:r>
      <w:r w:rsidR="00844537" w:rsidRPr="008911CB">
        <w:rPr>
          <w:lang w:val="pl-PL"/>
        </w:rPr>
        <w:t xml:space="preserve"> Według Hiszpańskiej Akademii Królewskiej (</w:t>
      </w:r>
      <w:r w:rsidR="00844537" w:rsidRPr="008911CB">
        <w:rPr>
          <w:i/>
          <w:lang w:val="pl-PL"/>
        </w:rPr>
        <w:t>Real Academia Española</w:t>
      </w:r>
      <w:r w:rsidR="00844537" w:rsidRPr="008911CB">
        <w:rPr>
          <w:lang w:val="pl-PL"/>
        </w:rPr>
        <w:t xml:space="preserve"> – zwanej dalej „Akademią”), słowo „tortura” oznacza „znaczny ból fizyczny lub psychiczny zadany osobie za pomocą różnych metod i narzędzi w celu uzyskania przyznania się lub jako kara”.</w:t>
      </w:r>
      <w:r w:rsidR="00A64A39" w:rsidRPr="008911CB">
        <w:rPr>
          <w:lang w:val="pl-PL"/>
        </w:rPr>
        <w:t xml:space="preserve"> Jednak według tej samej instytucji słowo „tortura” oznaczało również „znaczny ból lub cierpienie lub rzecz, która je wywołuje”. Skarżący następnie podkreślił, że słowo „tortura” w codziennym użyciu odnosi się do jakiejkolwiek formy złego traktowania.</w:t>
      </w:r>
      <w:r w:rsidR="00FB15B5" w:rsidRPr="008911CB">
        <w:rPr>
          <w:lang w:val="pl-PL"/>
        </w:rPr>
        <w:t xml:space="preserve"> Wreszcie skarżący podniósł, że ograniczanie użycia słowa „tortura” do sytuacji, w których zachodzą wszystkie elementy karne</w:t>
      </w:r>
      <w:r w:rsidR="005F5718" w:rsidRPr="008911CB">
        <w:rPr>
          <w:lang w:val="pl-PL"/>
        </w:rPr>
        <w:t xml:space="preserve"> przestępstwa </w:t>
      </w:r>
      <w:r w:rsidR="008E606D" w:rsidRPr="008911CB">
        <w:rPr>
          <w:lang w:val="pl-PL"/>
        </w:rPr>
        <w:t xml:space="preserve">było nadmiernym ograniczeniem prawa do </w:t>
      </w:r>
      <w:r w:rsidR="00C050D8" w:rsidRPr="008911CB">
        <w:rPr>
          <w:lang w:val="pl-PL"/>
        </w:rPr>
        <w:t>wolności wyrażania opinii</w:t>
      </w:r>
      <w:r w:rsidR="008E606D" w:rsidRPr="008911CB">
        <w:rPr>
          <w:lang w:val="pl-PL"/>
        </w:rPr>
        <w:t xml:space="preserve"> a w </w:t>
      </w:r>
      <w:r w:rsidR="008E606D" w:rsidRPr="008911CB">
        <w:rPr>
          <w:lang w:val="pl-PL"/>
        </w:rPr>
        <w:lastRenderedPageBreak/>
        <w:t>szczególności debaty społecznej dotyczącej metod używanych przez organy publiczne d</w:t>
      </w:r>
      <w:r w:rsidR="008A3608" w:rsidRPr="008911CB">
        <w:rPr>
          <w:lang w:val="pl-PL"/>
        </w:rPr>
        <w:t>o realizacji uprawnionego celu.</w:t>
      </w:r>
    </w:p>
    <w:p w14:paraId="5BFB5181" w14:textId="5D9951BD" w:rsidR="008A3608" w:rsidRPr="008911CB" w:rsidRDefault="002F7EC0" w:rsidP="002F7EC0">
      <w:pPr>
        <w:pStyle w:val="ECHRPara"/>
        <w:rPr>
          <w:lang w:val="pl-PL"/>
        </w:rPr>
      </w:pPr>
      <w:r w:rsidRPr="008911CB">
        <w:rPr>
          <w:noProof/>
          <w:lang w:val="pl-PL"/>
        </w:rPr>
        <w:t>30</w:t>
      </w:r>
      <w:r w:rsidR="005D36DC" w:rsidRPr="008911CB">
        <w:rPr>
          <w:lang w:val="pl-PL"/>
        </w:rPr>
        <w:t>. </w:t>
      </w:r>
      <w:r w:rsidR="008A3608" w:rsidRPr="008911CB">
        <w:rPr>
          <w:lang w:val="pl-PL"/>
        </w:rPr>
        <w:t>W dniu 21 października 2013</w:t>
      </w:r>
      <w:r w:rsidR="00F87238">
        <w:rPr>
          <w:lang w:val="pl-PL"/>
        </w:rPr>
        <w:t xml:space="preserve"> r.</w:t>
      </w:r>
      <w:r w:rsidR="008A3608" w:rsidRPr="008911CB">
        <w:rPr>
          <w:lang w:val="pl-PL"/>
        </w:rPr>
        <w:t xml:space="preserve"> Trybunał Konstytucyjny uznał apelację </w:t>
      </w:r>
      <w:r w:rsidR="008A3608" w:rsidRPr="008911CB">
        <w:rPr>
          <w:i/>
          <w:lang w:val="pl-PL"/>
        </w:rPr>
        <w:t>amparo</w:t>
      </w:r>
      <w:r w:rsidR="008A3608" w:rsidRPr="008911CB">
        <w:rPr>
          <w:lang w:val="pl-PL"/>
        </w:rPr>
        <w:t xml:space="preserve"> za niedopuszczalną</w:t>
      </w:r>
      <w:r w:rsidR="005D36DC" w:rsidRPr="008911CB">
        <w:rPr>
          <w:lang w:val="pl-PL"/>
        </w:rPr>
        <w:t> </w:t>
      </w:r>
      <w:r w:rsidR="008A3608" w:rsidRPr="008911CB">
        <w:rPr>
          <w:lang w:val="pl-PL"/>
        </w:rPr>
        <w:t xml:space="preserve">ze względu na brak wypełnienia przez skarżącego obowiązku wykazania, że jego apelacja ma „specjalne znaczenie konstytucyjne”. </w:t>
      </w:r>
    </w:p>
    <w:p w14:paraId="5A366D0F" w14:textId="77777777" w:rsidR="008A3608" w:rsidRPr="008911CB" w:rsidRDefault="008A3608" w:rsidP="002F7EC0">
      <w:pPr>
        <w:pStyle w:val="ECHRPara"/>
        <w:rPr>
          <w:lang w:val="pl-PL"/>
        </w:rPr>
      </w:pPr>
    </w:p>
    <w:p w14:paraId="49316229" w14:textId="54FD6FA2" w:rsidR="00577F4B" w:rsidRPr="008911CB" w:rsidRDefault="00014566" w:rsidP="002F7EC0">
      <w:pPr>
        <w:pStyle w:val="ECHRHeading1"/>
        <w:rPr>
          <w:lang w:val="pl-PL"/>
        </w:rPr>
      </w:pPr>
      <w:r w:rsidRPr="008911CB">
        <w:rPr>
          <w:lang w:val="pl-PL"/>
        </w:rPr>
        <w:t>II.  </w:t>
      </w:r>
      <w:r w:rsidR="00521A23" w:rsidRPr="008911CB">
        <w:rPr>
          <w:lang w:val="pl-PL"/>
        </w:rPr>
        <w:t>WŁAŚCIWE PRAWO KRAJOWE</w:t>
      </w:r>
    </w:p>
    <w:p w14:paraId="068F9BE2" w14:textId="5F427EA1" w:rsidR="00E841B3" w:rsidRPr="008911CB" w:rsidRDefault="002F7EC0" w:rsidP="00F87238">
      <w:pPr>
        <w:pStyle w:val="ECHRPara"/>
        <w:rPr>
          <w:lang w:val="pl-PL"/>
        </w:rPr>
      </w:pPr>
      <w:r w:rsidRPr="008911CB">
        <w:rPr>
          <w:noProof/>
          <w:lang w:val="pl-PL"/>
        </w:rPr>
        <w:t>31</w:t>
      </w:r>
      <w:r w:rsidR="00E841B3" w:rsidRPr="008911CB">
        <w:rPr>
          <w:lang w:val="pl-PL"/>
        </w:rPr>
        <w:t>.  </w:t>
      </w:r>
      <w:r w:rsidR="00521A23" w:rsidRPr="008911CB">
        <w:rPr>
          <w:lang w:val="pl-PL"/>
        </w:rPr>
        <w:t>Właściwe przepisy</w:t>
      </w:r>
      <w:r w:rsidR="00F87238">
        <w:rPr>
          <w:lang w:val="pl-PL"/>
        </w:rPr>
        <w:t xml:space="preserve"> konstytucji </w:t>
      </w:r>
      <w:r w:rsidR="00521A23" w:rsidRPr="008911CB">
        <w:rPr>
          <w:lang w:val="pl-PL"/>
        </w:rPr>
        <w:t>hiszpańskiej stanowią:</w:t>
      </w:r>
    </w:p>
    <w:p w14:paraId="4E5BF089" w14:textId="32CE104A" w:rsidR="00E841B3" w:rsidRPr="008911CB" w:rsidRDefault="00521A23" w:rsidP="002F7EC0">
      <w:pPr>
        <w:pStyle w:val="ECHRTitleCentre3"/>
        <w:rPr>
          <w:lang w:val="pl-PL"/>
        </w:rPr>
      </w:pPr>
      <w:r w:rsidRPr="008911CB">
        <w:rPr>
          <w:lang w:val="pl-PL"/>
        </w:rPr>
        <w:t>Artykuł</w:t>
      </w:r>
      <w:r w:rsidR="00E841B3" w:rsidRPr="008911CB">
        <w:rPr>
          <w:lang w:val="pl-PL"/>
        </w:rPr>
        <w:t> 18</w:t>
      </w:r>
    </w:p>
    <w:p w14:paraId="6F842D44" w14:textId="4D44AB44" w:rsidR="00521A23" w:rsidRPr="008911CB" w:rsidRDefault="00521A23" w:rsidP="002F7EC0">
      <w:pPr>
        <w:pStyle w:val="ECHRParaQuote"/>
        <w:rPr>
          <w:lang w:val="pl-PL"/>
        </w:rPr>
      </w:pPr>
      <w:r w:rsidRPr="008911CB">
        <w:rPr>
          <w:lang w:val="pl-PL"/>
        </w:rPr>
        <w:t>„</w:t>
      </w:r>
      <w:r w:rsidR="00E841B3" w:rsidRPr="008911CB">
        <w:rPr>
          <w:lang w:val="pl-PL"/>
        </w:rPr>
        <w:t>1</w:t>
      </w:r>
      <w:r w:rsidR="007415B3" w:rsidRPr="008911CB">
        <w:rPr>
          <w:lang w:val="pl-PL"/>
        </w:rPr>
        <w:t xml:space="preserve"> Zapewnia się prawo do czci, do prywatnego życia osobistego i rodzinnego oraz do własnego wizerunku</w:t>
      </w:r>
      <w:r w:rsidRPr="008911CB">
        <w:rPr>
          <w:lang w:val="pl-PL"/>
        </w:rPr>
        <w:t>.</w:t>
      </w:r>
    </w:p>
    <w:p w14:paraId="63C73FC9" w14:textId="3B1827A9" w:rsidR="00E841B3" w:rsidRPr="008911CB" w:rsidRDefault="00A328FA" w:rsidP="002F7EC0">
      <w:pPr>
        <w:pStyle w:val="ECHRParaQuote"/>
        <w:rPr>
          <w:lang w:val="pl-PL"/>
        </w:rPr>
      </w:pPr>
      <w:r w:rsidRPr="008911CB">
        <w:rPr>
          <w:lang w:val="pl-PL"/>
        </w:rPr>
        <w:t>(…)</w:t>
      </w:r>
      <w:r w:rsidR="00E841B3" w:rsidRPr="008911CB">
        <w:rPr>
          <w:lang w:val="pl-PL"/>
        </w:rPr>
        <w:t>”</w:t>
      </w:r>
      <w:r w:rsidRPr="008911CB">
        <w:rPr>
          <w:lang w:val="pl-PL"/>
        </w:rPr>
        <w:t>.</w:t>
      </w:r>
    </w:p>
    <w:p w14:paraId="6DE6F9AD" w14:textId="51554133" w:rsidR="00E841B3" w:rsidRPr="008911CB" w:rsidRDefault="00521A23" w:rsidP="002F7EC0">
      <w:pPr>
        <w:pStyle w:val="ECHRTitleCentre3"/>
        <w:rPr>
          <w:lang w:val="pl-PL"/>
        </w:rPr>
      </w:pPr>
      <w:r w:rsidRPr="008911CB">
        <w:rPr>
          <w:lang w:val="pl-PL"/>
        </w:rPr>
        <w:t>Artykuł</w:t>
      </w:r>
      <w:r w:rsidR="00E841B3" w:rsidRPr="008911CB">
        <w:rPr>
          <w:lang w:val="pl-PL"/>
        </w:rPr>
        <w:t> 20</w:t>
      </w:r>
    </w:p>
    <w:p w14:paraId="7837E013" w14:textId="28F9F0FD" w:rsidR="00546C6B" w:rsidRPr="008911CB" w:rsidRDefault="00546C6B" w:rsidP="002F7EC0">
      <w:pPr>
        <w:pStyle w:val="ECHRParaQuote"/>
        <w:rPr>
          <w:lang w:val="pl-PL"/>
        </w:rPr>
      </w:pPr>
      <w:r w:rsidRPr="008911CB">
        <w:rPr>
          <w:lang w:val="pl-PL"/>
        </w:rPr>
        <w:t>„</w:t>
      </w:r>
      <w:r w:rsidR="00E841B3" w:rsidRPr="008911CB">
        <w:rPr>
          <w:lang w:val="pl-PL"/>
        </w:rPr>
        <w:t>1.</w:t>
      </w:r>
      <w:r w:rsidR="00137EC0" w:rsidRPr="008911CB">
        <w:rPr>
          <w:lang w:val="pl-PL"/>
        </w:rPr>
        <w:t>  </w:t>
      </w:r>
      <w:r w:rsidRPr="008911CB">
        <w:rPr>
          <w:lang w:val="pl-PL"/>
        </w:rPr>
        <w:t xml:space="preserve">Uznaje się i </w:t>
      </w:r>
      <w:r w:rsidR="007415B3" w:rsidRPr="008911CB">
        <w:rPr>
          <w:lang w:val="pl-PL"/>
        </w:rPr>
        <w:t>poddaje ochronie</w:t>
      </w:r>
      <w:r w:rsidRPr="008911CB">
        <w:rPr>
          <w:lang w:val="pl-PL"/>
        </w:rPr>
        <w:t>:</w:t>
      </w:r>
    </w:p>
    <w:p w14:paraId="7E6C1798" w14:textId="68A53346" w:rsidR="00E841B3" w:rsidRPr="008911CB" w:rsidRDefault="00546C6B" w:rsidP="007415B3">
      <w:pPr>
        <w:pStyle w:val="ECHRParaQuote"/>
        <w:numPr>
          <w:ilvl w:val="0"/>
          <w:numId w:val="40"/>
        </w:numPr>
        <w:rPr>
          <w:lang w:val="pl-PL"/>
        </w:rPr>
      </w:pPr>
      <w:r w:rsidRPr="008911CB">
        <w:rPr>
          <w:lang w:val="pl-PL"/>
        </w:rPr>
        <w:t xml:space="preserve">Prawo do swobodnego wyrażania i rozpowszechniania myśli, idei </w:t>
      </w:r>
      <w:r w:rsidR="007415B3" w:rsidRPr="008911CB">
        <w:rPr>
          <w:lang w:val="pl-PL"/>
        </w:rPr>
        <w:t>i</w:t>
      </w:r>
      <w:r w:rsidRPr="008911CB">
        <w:rPr>
          <w:lang w:val="pl-PL"/>
        </w:rPr>
        <w:t xml:space="preserve"> opinii </w:t>
      </w:r>
      <w:r w:rsidR="007415B3" w:rsidRPr="008911CB">
        <w:rPr>
          <w:lang w:val="pl-PL"/>
        </w:rPr>
        <w:t>za pomocą słowa, pisma lub jakieg</w:t>
      </w:r>
      <w:r w:rsidR="00D1782A" w:rsidRPr="008911CB">
        <w:rPr>
          <w:lang w:val="pl-PL"/>
        </w:rPr>
        <w:t>okolwiek innego środka przekazu;</w:t>
      </w:r>
    </w:p>
    <w:p w14:paraId="24ACFFC3" w14:textId="36F3B9AA" w:rsidR="00D1782A" w:rsidRPr="008911CB" w:rsidRDefault="00A328FA" w:rsidP="00D1782A">
      <w:pPr>
        <w:pStyle w:val="ECHRParaQuote"/>
        <w:ind w:left="612" w:firstLine="0"/>
        <w:rPr>
          <w:lang w:val="pl-PL"/>
        </w:rPr>
      </w:pPr>
      <w:r w:rsidRPr="008911CB">
        <w:rPr>
          <w:lang w:val="pl-PL"/>
        </w:rPr>
        <w:t>(</w:t>
      </w:r>
      <w:r w:rsidR="00D1782A" w:rsidRPr="008911CB">
        <w:rPr>
          <w:lang w:val="pl-PL"/>
        </w:rPr>
        <w:t>…</w:t>
      </w:r>
      <w:r w:rsidRPr="008911CB">
        <w:rPr>
          <w:lang w:val="pl-PL"/>
        </w:rPr>
        <w:t>)</w:t>
      </w:r>
    </w:p>
    <w:p w14:paraId="13D2262C" w14:textId="44043D0A" w:rsidR="00E841B3" w:rsidRPr="008911CB" w:rsidRDefault="00E841B3" w:rsidP="002F7EC0">
      <w:pPr>
        <w:pStyle w:val="ECHRParaQuote"/>
        <w:rPr>
          <w:lang w:val="pl-PL"/>
        </w:rPr>
      </w:pPr>
      <w:r w:rsidRPr="008911CB">
        <w:rPr>
          <w:lang w:val="pl-PL"/>
        </w:rPr>
        <w:t>2.</w:t>
      </w:r>
      <w:r w:rsidR="00137EC0" w:rsidRPr="008911CB">
        <w:rPr>
          <w:lang w:val="pl-PL"/>
        </w:rPr>
        <w:t>  </w:t>
      </w:r>
      <w:r w:rsidR="004B0A08" w:rsidRPr="008911CB">
        <w:rPr>
          <w:lang w:val="pl-PL"/>
        </w:rPr>
        <w:t xml:space="preserve">Wykonywanie </w:t>
      </w:r>
      <w:r w:rsidR="007415B3" w:rsidRPr="008911CB">
        <w:rPr>
          <w:lang w:val="pl-PL"/>
        </w:rPr>
        <w:t>tych praw nie może być ograniczo</w:t>
      </w:r>
      <w:r w:rsidR="004B0A08" w:rsidRPr="008911CB">
        <w:rPr>
          <w:lang w:val="pl-PL"/>
        </w:rPr>
        <w:t>ne przez żadną formę cenzury prewencyjnej.</w:t>
      </w:r>
    </w:p>
    <w:p w14:paraId="000F1485" w14:textId="602EC8BE" w:rsidR="00E841B3" w:rsidRPr="008911CB" w:rsidRDefault="00A328FA" w:rsidP="002F7EC0">
      <w:pPr>
        <w:pStyle w:val="ECHRParaQuote"/>
        <w:rPr>
          <w:lang w:val="pl-PL"/>
        </w:rPr>
      </w:pPr>
      <w:r w:rsidRPr="008911CB">
        <w:rPr>
          <w:lang w:val="pl-PL"/>
        </w:rPr>
        <w:t>(…)</w:t>
      </w:r>
    </w:p>
    <w:p w14:paraId="4A03D803" w14:textId="77777777" w:rsidR="00A328FA" w:rsidRPr="008911CB" w:rsidRDefault="00E841B3" w:rsidP="00D1782A">
      <w:pPr>
        <w:pStyle w:val="ECHRParaQuote"/>
        <w:rPr>
          <w:lang w:val="pl-PL"/>
        </w:rPr>
      </w:pPr>
      <w:r w:rsidRPr="008911CB">
        <w:rPr>
          <w:lang w:val="pl-PL"/>
        </w:rPr>
        <w:t>4</w:t>
      </w:r>
      <w:r w:rsidR="00D1782A" w:rsidRPr="008911CB">
        <w:rPr>
          <w:lang w:val="pl-PL"/>
        </w:rPr>
        <w:t xml:space="preserve"> Granicę tych wolności stanowi poszanowanie praw wymienionych w niniejszym tytule, przepisy ustaw wprowadzających je w życie, a szczególnie prawo do czci, prywatności, własnego wizerunku oraz do ochrony młodzieży i dzieci</w:t>
      </w:r>
      <w:r w:rsidR="00A328FA" w:rsidRPr="008911CB">
        <w:rPr>
          <w:lang w:val="pl-PL"/>
        </w:rPr>
        <w:t>.</w:t>
      </w:r>
    </w:p>
    <w:p w14:paraId="665E5BBD" w14:textId="58006523" w:rsidR="00E841B3" w:rsidRPr="008911CB" w:rsidRDefault="00A328FA" w:rsidP="00D1782A">
      <w:pPr>
        <w:pStyle w:val="ECHRParaQuote"/>
        <w:rPr>
          <w:lang w:val="pl-PL"/>
        </w:rPr>
      </w:pPr>
      <w:r w:rsidRPr="008911CB">
        <w:rPr>
          <w:szCs w:val="24"/>
          <w:lang w:val="pl-PL"/>
        </w:rPr>
        <w:t>(…)”</w:t>
      </w:r>
      <w:r w:rsidR="00E841B3" w:rsidRPr="008911CB">
        <w:rPr>
          <w:szCs w:val="24"/>
          <w:lang w:val="pl-PL"/>
        </w:rPr>
        <w:t>.</w:t>
      </w:r>
    </w:p>
    <w:p w14:paraId="47DE18F6" w14:textId="446D7A41" w:rsidR="00C14252" w:rsidRPr="008911CB" w:rsidRDefault="002F7EC0" w:rsidP="002F7EC0">
      <w:pPr>
        <w:pStyle w:val="ECHRPara"/>
        <w:rPr>
          <w:lang w:val="pl-PL"/>
        </w:rPr>
      </w:pPr>
      <w:r w:rsidRPr="008911CB">
        <w:rPr>
          <w:lang w:val="pl-PL"/>
        </w:rPr>
        <w:t>32</w:t>
      </w:r>
      <w:r w:rsidR="00E841B3" w:rsidRPr="008911CB">
        <w:rPr>
          <w:lang w:val="pl-PL"/>
        </w:rPr>
        <w:t>.  </w:t>
      </w:r>
      <w:r w:rsidR="00C14252" w:rsidRPr="008911CB">
        <w:rPr>
          <w:lang w:val="pl-PL"/>
        </w:rPr>
        <w:t xml:space="preserve">Właściwe przepisy hiszpańskiego </w:t>
      </w:r>
      <w:r w:rsidR="00F87238">
        <w:rPr>
          <w:lang w:val="pl-PL"/>
        </w:rPr>
        <w:t>k</w:t>
      </w:r>
      <w:r w:rsidR="00C14252" w:rsidRPr="008911CB">
        <w:rPr>
          <w:lang w:val="pl-PL"/>
        </w:rPr>
        <w:t>odeksu karnego brzmią następująco:</w:t>
      </w:r>
    </w:p>
    <w:p w14:paraId="063A3426" w14:textId="2A4CAF27" w:rsidR="00E841B3" w:rsidRPr="008911CB" w:rsidRDefault="00C14252" w:rsidP="002F7EC0">
      <w:pPr>
        <w:pStyle w:val="ECHRTitleCentre3"/>
        <w:rPr>
          <w:lang w:val="pl-PL" w:eastAsia="fr-FR"/>
        </w:rPr>
      </w:pPr>
      <w:r w:rsidRPr="008911CB">
        <w:rPr>
          <w:lang w:val="pl-PL" w:eastAsia="fr-FR"/>
        </w:rPr>
        <w:t>Artykuł</w:t>
      </w:r>
      <w:r w:rsidR="00E841B3" w:rsidRPr="008911CB">
        <w:rPr>
          <w:lang w:val="pl-PL" w:eastAsia="fr-FR"/>
        </w:rPr>
        <w:t> 174</w:t>
      </w:r>
    </w:p>
    <w:p w14:paraId="3EC58068" w14:textId="0202F5E5" w:rsidR="00C14252" w:rsidRPr="008911CB" w:rsidRDefault="00C76857" w:rsidP="002F7EC0">
      <w:pPr>
        <w:pStyle w:val="ECHRParaQuote"/>
        <w:rPr>
          <w:rFonts w:eastAsia="Times New Roman"/>
          <w:lang w:val="pl-PL"/>
        </w:rPr>
      </w:pPr>
      <w:r w:rsidRPr="008911CB">
        <w:rPr>
          <w:lang w:val="pl-PL" w:eastAsia="fr-FR"/>
        </w:rPr>
        <w:t>„</w:t>
      </w:r>
      <w:r w:rsidR="00E841B3" w:rsidRPr="008911CB">
        <w:rPr>
          <w:lang w:val="pl-PL" w:eastAsia="fr-FR"/>
        </w:rPr>
        <w:t>1.</w:t>
      </w:r>
      <w:r w:rsidR="00942FBF" w:rsidRPr="008911CB">
        <w:rPr>
          <w:rFonts w:eastAsia="Times New Roman"/>
          <w:lang w:val="pl-PL"/>
        </w:rPr>
        <w:t>  </w:t>
      </w:r>
      <w:r w:rsidR="00C14252" w:rsidRPr="008911CB">
        <w:rPr>
          <w:rFonts w:eastAsia="Times New Roman"/>
          <w:lang w:val="pl-PL"/>
        </w:rPr>
        <w:t xml:space="preserve">Tortury dopuszcza się władza publiczna lub urzędnik, który, nadużywając zajmowanego stanowiska, w celu uzyskania od osoby </w:t>
      </w:r>
      <w:r w:rsidR="00CB3954" w:rsidRPr="008911CB">
        <w:rPr>
          <w:rFonts w:eastAsia="Times New Roman"/>
          <w:lang w:val="pl-PL"/>
        </w:rPr>
        <w:t xml:space="preserve">informacji lub </w:t>
      </w:r>
      <w:r w:rsidR="00C14252" w:rsidRPr="008911CB">
        <w:rPr>
          <w:rFonts w:eastAsia="Times New Roman"/>
          <w:lang w:val="pl-PL"/>
        </w:rPr>
        <w:t xml:space="preserve">przyznania </w:t>
      </w:r>
      <w:r w:rsidR="00CB3954" w:rsidRPr="008911CB">
        <w:rPr>
          <w:rFonts w:eastAsia="Times New Roman"/>
          <w:lang w:val="pl-PL"/>
        </w:rPr>
        <w:t>się do winy</w:t>
      </w:r>
      <w:r w:rsidR="00C14252" w:rsidRPr="008911CB">
        <w:rPr>
          <w:rFonts w:eastAsia="Times New Roman"/>
          <w:lang w:val="pl-PL"/>
        </w:rPr>
        <w:t xml:space="preserve">, lub w celu ukarania jej za czyn, który mogła popełnić, lub o popełnienie którego jest podejrzana, lub z jakiejkolwiek </w:t>
      </w:r>
      <w:r w:rsidR="00CB3954" w:rsidRPr="008911CB">
        <w:rPr>
          <w:rFonts w:eastAsia="Times New Roman"/>
          <w:lang w:val="pl-PL"/>
        </w:rPr>
        <w:t xml:space="preserve">przyczyny wynikającej z dyskryminacji, poddaje tę osobę działaniu warunków lub czynności, które, ze względu na swój charakter, czas trwania lub inne okoliczności, wywołują u tej osoby cierpienie fizyczne lub psychiczne, zniesienie lub obniżenie </w:t>
      </w:r>
      <w:r w:rsidR="00E60D72" w:rsidRPr="008911CB">
        <w:rPr>
          <w:rFonts w:eastAsia="Times New Roman"/>
          <w:lang w:val="pl-PL"/>
        </w:rPr>
        <w:t>zdolności osądu, rozeznania lub podejmowania decyzji, lub które w jakikolwiek inny sposób godzą w jej cześć.</w:t>
      </w:r>
      <w:r w:rsidR="00182746" w:rsidRPr="008911CB">
        <w:rPr>
          <w:rFonts w:eastAsia="Times New Roman"/>
          <w:lang w:val="pl-PL"/>
        </w:rPr>
        <w:t xml:space="preserve"> Osoba uznana winną stosowania tortur podlega karze pozbawien</w:t>
      </w:r>
      <w:r w:rsidR="00C82E7F" w:rsidRPr="008911CB">
        <w:rPr>
          <w:rFonts w:eastAsia="Times New Roman"/>
          <w:lang w:val="pl-PL"/>
        </w:rPr>
        <w:t xml:space="preserve">ia wolności od 2 do 6 </w:t>
      </w:r>
      <w:r w:rsidR="00182746" w:rsidRPr="008911CB">
        <w:rPr>
          <w:rFonts w:eastAsia="Times New Roman"/>
          <w:lang w:val="pl-PL"/>
        </w:rPr>
        <w:t xml:space="preserve">lat w razie uznania przestępstwa za poważne, lub jednego </w:t>
      </w:r>
      <w:r w:rsidR="00C82E7F" w:rsidRPr="008911CB">
        <w:rPr>
          <w:rFonts w:eastAsia="Times New Roman"/>
          <w:lang w:val="pl-PL"/>
        </w:rPr>
        <w:t xml:space="preserve">roku </w:t>
      </w:r>
      <w:r w:rsidR="00182746" w:rsidRPr="008911CB">
        <w:rPr>
          <w:rFonts w:eastAsia="Times New Roman"/>
          <w:lang w:val="pl-PL"/>
        </w:rPr>
        <w:t>do lat</w:t>
      </w:r>
      <w:r w:rsidR="00C82E7F" w:rsidRPr="008911CB">
        <w:rPr>
          <w:rFonts w:eastAsia="Times New Roman"/>
          <w:lang w:val="pl-PL"/>
        </w:rPr>
        <w:t xml:space="preserve"> 3</w:t>
      </w:r>
      <w:r w:rsidR="00182746" w:rsidRPr="008911CB">
        <w:rPr>
          <w:rFonts w:eastAsia="Times New Roman"/>
          <w:lang w:val="pl-PL"/>
        </w:rPr>
        <w:t xml:space="preserve"> w </w:t>
      </w:r>
      <w:r w:rsidR="007950E3" w:rsidRPr="008911CB">
        <w:rPr>
          <w:rFonts w:eastAsia="Times New Roman"/>
          <w:lang w:val="pl-PL"/>
        </w:rPr>
        <w:t>innym</w:t>
      </w:r>
      <w:r w:rsidR="00182746" w:rsidRPr="008911CB">
        <w:rPr>
          <w:rFonts w:eastAsia="Times New Roman"/>
          <w:lang w:val="pl-PL"/>
        </w:rPr>
        <w:t xml:space="preserve"> wypadku.</w:t>
      </w:r>
      <w:r w:rsidR="007950E3" w:rsidRPr="008911CB">
        <w:rPr>
          <w:rFonts w:eastAsia="Times New Roman"/>
          <w:lang w:val="pl-PL"/>
        </w:rPr>
        <w:t xml:space="preserve"> Oprócz kar przewidzianych </w:t>
      </w:r>
      <w:r w:rsidR="007950E3" w:rsidRPr="008911CB">
        <w:rPr>
          <w:rFonts w:eastAsia="Times New Roman"/>
          <w:lang w:val="pl-PL"/>
        </w:rPr>
        <w:lastRenderedPageBreak/>
        <w:t xml:space="preserve">powyżej we wszystkich przypadkach </w:t>
      </w:r>
      <w:r w:rsidR="00A71A6B" w:rsidRPr="008911CB">
        <w:rPr>
          <w:rFonts w:eastAsia="Times New Roman"/>
          <w:lang w:val="pl-PL"/>
        </w:rPr>
        <w:t>nakłada się karę bezwzględnego zakazu zajmowania stanowiska</w:t>
      </w:r>
      <w:r w:rsidR="00C82E7F" w:rsidRPr="008911CB">
        <w:rPr>
          <w:rFonts w:eastAsia="Times New Roman"/>
          <w:lang w:val="pl-PL"/>
        </w:rPr>
        <w:t xml:space="preserve"> przed okres od 8 do 12</w:t>
      </w:r>
      <w:r w:rsidR="00A71A6B" w:rsidRPr="008911CB">
        <w:rPr>
          <w:rFonts w:eastAsia="Times New Roman"/>
          <w:lang w:val="pl-PL"/>
        </w:rPr>
        <w:t xml:space="preserve"> lat.</w:t>
      </w:r>
    </w:p>
    <w:p w14:paraId="52F3CC2C" w14:textId="2DAE7506" w:rsidR="00903E1A" w:rsidRPr="008911CB" w:rsidRDefault="00E841B3" w:rsidP="002F7EC0">
      <w:pPr>
        <w:pStyle w:val="ECHRParaQuote"/>
        <w:rPr>
          <w:rFonts w:eastAsia="Times New Roman"/>
          <w:noProof/>
          <w:lang w:val="pl-PL"/>
        </w:rPr>
      </w:pPr>
      <w:r w:rsidRPr="008911CB">
        <w:rPr>
          <w:lang w:val="pl-PL" w:eastAsia="fr-FR"/>
        </w:rPr>
        <w:t>2.</w:t>
      </w:r>
      <w:r w:rsidR="00942FBF" w:rsidRPr="008911CB">
        <w:rPr>
          <w:rFonts w:eastAsia="Times New Roman"/>
          <w:noProof/>
          <w:lang w:val="pl-PL"/>
        </w:rPr>
        <w:t>  </w:t>
      </w:r>
      <w:r w:rsidR="00903E1A" w:rsidRPr="008911CB">
        <w:rPr>
          <w:rFonts w:eastAsia="Times New Roman"/>
          <w:noProof/>
          <w:lang w:val="pl-PL"/>
        </w:rPr>
        <w:t xml:space="preserve">Takie same kary nakłada się odpowiednio na władze lub funkcjonariuszy instytucji więziennej, zakładu karnego lub zakładu dla nieletnich, którzy dopuścili się czynów wymienionych w poprzednim paragrafie w stosunku do osadzonych, </w:t>
      </w:r>
      <w:r w:rsidR="00C76857" w:rsidRPr="008911CB">
        <w:rPr>
          <w:rFonts w:eastAsia="Times New Roman"/>
          <w:noProof/>
          <w:lang w:val="pl-PL"/>
        </w:rPr>
        <w:t>… lub więźniów.”</w:t>
      </w:r>
    </w:p>
    <w:p w14:paraId="01573653" w14:textId="41A654FB" w:rsidR="00E841B3" w:rsidRPr="008911CB" w:rsidRDefault="00C76857" w:rsidP="002F7EC0">
      <w:pPr>
        <w:pStyle w:val="ECHRTitleCentre3"/>
        <w:rPr>
          <w:lang w:val="pl-PL" w:eastAsia="fr-FR"/>
        </w:rPr>
      </w:pPr>
      <w:r w:rsidRPr="008911CB">
        <w:rPr>
          <w:lang w:val="pl-PL" w:eastAsia="fr-FR"/>
        </w:rPr>
        <w:t>Artykuł</w:t>
      </w:r>
      <w:r w:rsidR="00E841B3" w:rsidRPr="008911CB">
        <w:rPr>
          <w:lang w:val="pl-PL" w:eastAsia="fr-FR"/>
        </w:rPr>
        <w:t> 205</w:t>
      </w:r>
    </w:p>
    <w:p w14:paraId="6455F4BE" w14:textId="1C283D07" w:rsidR="00C76857" w:rsidRPr="008911CB" w:rsidRDefault="00C76857" w:rsidP="002F7EC0">
      <w:pPr>
        <w:pStyle w:val="ECHRParaQuote"/>
        <w:rPr>
          <w:lang w:val="pl-PL" w:eastAsia="fr-FR"/>
        </w:rPr>
      </w:pPr>
      <w:r w:rsidRPr="008911CB">
        <w:rPr>
          <w:lang w:val="pl-PL" w:eastAsia="fr-FR"/>
        </w:rPr>
        <w:t>„Przez zniesławienie rozumie się oskarżenie innej osoby o popełnienie przestępstwa mimo wiedzy o nieprawdziwości tego oskarżenia lub rażącego lekceważenia prawdy.”</w:t>
      </w:r>
    </w:p>
    <w:p w14:paraId="68B63053" w14:textId="218C77CE" w:rsidR="00E841B3" w:rsidRPr="008911CB" w:rsidRDefault="00C76857" w:rsidP="002F7EC0">
      <w:pPr>
        <w:pStyle w:val="ECHRTitleCentre3"/>
        <w:rPr>
          <w:lang w:val="pl-PL" w:eastAsia="fr-FR"/>
        </w:rPr>
      </w:pPr>
      <w:r w:rsidRPr="008911CB">
        <w:rPr>
          <w:lang w:val="pl-PL" w:eastAsia="fr-FR"/>
        </w:rPr>
        <w:t>Artykuł</w:t>
      </w:r>
      <w:r w:rsidR="00E841B3" w:rsidRPr="008911CB">
        <w:rPr>
          <w:lang w:val="pl-PL" w:eastAsia="fr-FR"/>
        </w:rPr>
        <w:t> 206</w:t>
      </w:r>
    </w:p>
    <w:p w14:paraId="17296B36" w14:textId="11643AB2" w:rsidR="00C82E7F" w:rsidRPr="008911CB" w:rsidRDefault="00292822" w:rsidP="002F7EC0">
      <w:pPr>
        <w:pStyle w:val="ECHRParaQuote"/>
        <w:rPr>
          <w:lang w:val="pl-PL" w:eastAsia="fr-FR"/>
        </w:rPr>
      </w:pPr>
      <w:r>
        <w:rPr>
          <w:lang w:val="pl-PL" w:eastAsia="fr-FR"/>
        </w:rPr>
        <w:t>„</w:t>
      </w:r>
      <w:r w:rsidR="00C82E7F" w:rsidRPr="008911CB">
        <w:rPr>
          <w:lang w:val="pl-PL" w:eastAsia="fr-FR"/>
        </w:rPr>
        <w:t>Zniesławienie zagrożone jest karą pozbawienia wolności na okres od 6 miesięcy do lat 2 lub grzywną stawek dziennych od 12 do 24 miesięcy</w:t>
      </w:r>
      <w:r w:rsidR="00AB66F8" w:rsidRPr="008911CB">
        <w:rPr>
          <w:lang w:val="pl-PL" w:eastAsia="fr-FR"/>
        </w:rPr>
        <w:t xml:space="preserve"> jeżeli jest rozpowszechniane publicznie, lub grzywną stawek dziennych od 6 do 12 miesięcy w innych przypadkach.</w:t>
      </w:r>
    </w:p>
    <w:p w14:paraId="3E2B3608" w14:textId="131A80F2" w:rsidR="00014566" w:rsidRPr="008911CB" w:rsidRDefault="00AB66F8" w:rsidP="002F7EC0">
      <w:pPr>
        <w:pStyle w:val="ECHRTitle1"/>
        <w:rPr>
          <w:lang w:val="pl-PL"/>
        </w:rPr>
      </w:pPr>
      <w:r w:rsidRPr="008911CB">
        <w:rPr>
          <w:lang w:val="pl-PL"/>
        </w:rPr>
        <w:t>PRAWO</w:t>
      </w:r>
    </w:p>
    <w:p w14:paraId="1AC4A61A" w14:textId="63668461" w:rsidR="00014566" w:rsidRPr="008911CB" w:rsidRDefault="00014566" w:rsidP="002F7EC0">
      <w:pPr>
        <w:pStyle w:val="ECHRHeading1"/>
        <w:rPr>
          <w:lang w:val="pl-PL"/>
        </w:rPr>
      </w:pPr>
      <w:r w:rsidRPr="008911CB">
        <w:rPr>
          <w:lang w:val="pl-PL"/>
        </w:rPr>
        <w:t>I.  </w:t>
      </w:r>
      <w:r w:rsidR="00AB66F8" w:rsidRPr="008911CB">
        <w:rPr>
          <w:lang w:val="pl-PL"/>
        </w:rPr>
        <w:t>DOMNIEMANE NARUSZENIE ARTYKUŁU 10 KONWENCJI</w:t>
      </w:r>
    </w:p>
    <w:p w14:paraId="1CE7249F" w14:textId="786A85C8" w:rsidR="00AB66F8" w:rsidRPr="008911CB" w:rsidRDefault="002F7EC0" w:rsidP="005B305D">
      <w:pPr>
        <w:pStyle w:val="ECHRPara"/>
        <w:rPr>
          <w:lang w:val="pl-PL"/>
        </w:rPr>
      </w:pPr>
      <w:r w:rsidRPr="008911CB">
        <w:rPr>
          <w:noProof/>
          <w:lang w:val="pl-PL"/>
        </w:rPr>
        <w:t>33</w:t>
      </w:r>
      <w:r w:rsidR="00014566" w:rsidRPr="008911CB">
        <w:rPr>
          <w:lang w:val="pl-PL"/>
        </w:rPr>
        <w:t>.  </w:t>
      </w:r>
      <w:r w:rsidR="005B305D">
        <w:rPr>
          <w:lang w:val="pl-PL"/>
        </w:rPr>
        <w:t>Na podstawie</w:t>
      </w:r>
      <w:r w:rsidR="00AB66F8" w:rsidRPr="008911CB">
        <w:rPr>
          <w:lang w:val="pl-PL"/>
        </w:rPr>
        <w:t xml:space="preserve"> art. 10 Konwencji</w:t>
      </w:r>
      <w:r w:rsidR="00907D4D" w:rsidRPr="008911CB">
        <w:rPr>
          <w:lang w:val="pl-PL"/>
        </w:rPr>
        <w:t xml:space="preserve"> skarżący podnosi, że wyrok</w:t>
      </w:r>
      <w:r w:rsidR="005B305D">
        <w:rPr>
          <w:lang w:val="pl-PL"/>
        </w:rPr>
        <w:t>i</w:t>
      </w:r>
      <w:r w:rsidR="00907D4D" w:rsidRPr="008911CB">
        <w:rPr>
          <w:lang w:val="pl-PL"/>
        </w:rPr>
        <w:t xml:space="preserve"> sądów krajowych orzekających o jego winie z tytułu zniesławienia stanowią bezprawne ograniczenie jego prawa do </w:t>
      </w:r>
      <w:r w:rsidR="00C050D8" w:rsidRPr="008911CB">
        <w:rPr>
          <w:lang w:val="pl-PL"/>
        </w:rPr>
        <w:t>wolności wyrażania opinii</w:t>
      </w:r>
      <w:r w:rsidR="00907D4D" w:rsidRPr="008911CB">
        <w:rPr>
          <w:lang w:val="pl-PL"/>
        </w:rPr>
        <w:t>. Przywołany artykuł 10 Konwencji brzmi:</w:t>
      </w:r>
    </w:p>
    <w:p w14:paraId="76C0FA9D" w14:textId="2EB11FC2" w:rsidR="00E841B3" w:rsidRPr="008911CB" w:rsidRDefault="00907D4D" w:rsidP="002F7EC0">
      <w:pPr>
        <w:pStyle w:val="ECHRParaQuote"/>
        <w:rPr>
          <w:lang w:val="pl-PL"/>
        </w:rPr>
      </w:pPr>
      <w:r w:rsidRPr="008911CB">
        <w:rPr>
          <w:lang w:val="pl-PL"/>
        </w:rPr>
        <w:t xml:space="preserve"> „</w:t>
      </w:r>
      <w:r w:rsidR="00E841B3" w:rsidRPr="008911CB">
        <w:rPr>
          <w:lang w:val="pl-PL"/>
        </w:rPr>
        <w:t>1.</w:t>
      </w:r>
      <w:r w:rsidR="00137EC0" w:rsidRPr="008911CB">
        <w:rPr>
          <w:lang w:val="pl-PL"/>
        </w:rPr>
        <w:t> </w:t>
      </w:r>
      <w:r w:rsidRPr="008911CB">
        <w:rPr>
          <w:lang w:val="pl-PL"/>
        </w:rPr>
        <w:t>Każdy ma prawo do wolności wyrażania opinii. Prawo to obejmuje wolność posiadania poglądów oraz otrzymywania i przekazywania informacji i idei bez ingerencji władz publicznych i bez względu na granice państwowe. Niniejszy przepis nie wyklucza prawa Państw do poddania procedurze zezwoleń przedsiębiorstw radiowych, telewizyjnych lub kinematograficznych</w:t>
      </w:r>
      <w:r w:rsidR="00E841B3" w:rsidRPr="008911CB">
        <w:rPr>
          <w:lang w:val="pl-PL"/>
        </w:rPr>
        <w:t>.</w:t>
      </w:r>
    </w:p>
    <w:p w14:paraId="645B5CC2" w14:textId="05B7B99F" w:rsidR="00E841B3" w:rsidRPr="008911CB" w:rsidRDefault="00E841B3" w:rsidP="002F7EC0">
      <w:pPr>
        <w:pStyle w:val="ECHRParaQuote"/>
        <w:rPr>
          <w:lang w:val="pl-PL"/>
        </w:rPr>
      </w:pPr>
      <w:r w:rsidRPr="008911CB">
        <w:rPr>
          <w:lang w:val="pl-PL"/>
        </w:rPr>
        <w:t>2.  </w:t>
      </w:r>
      <w:r w:rsidR="00907D4D" w:rsidRPr="008911CB">
        <w:rPr>
          <w:lang w:val="pl-PL"/>
        </w:rPr>
        <w:t>Korzystanie z tych wolności pociągających za sobą obowiązki i odpowiedzialność może podlegać takim wymogom formalnym, warunkom, ograniczeniom i sankcjom, jakie są przewidziane przez ustawę i niezbędne w społeczeństwie demokratycznym w interesie bezpieczeństwa państwowego, integralności terytorialnej lub bezpieczeństwa publicznego ze względu na konieczność zapobieżenia zakłóceniu porządku lub przestępstwu, z uwagi na ochronę zdrowia i moralności, ochronę dobrego imienia i praw innych osób oraz ze względu na zapobieżenie ujawnieniu informacji poufnych lub na zagwarantowanie powagi i bezstronności władzy sądowej</w:t>
      </w:r>
      <w:r w:rsidRPr="008911CB">
        <w:rPr>
          <w:lang w:val="pl-PL"/>
        </w:rPr>
        <w:t>.”</w:t>
      </w:r>
    </w:p>
    <w:p w14:paraId="200264E8" w14:textId="4AADEA9C" w:rsidR="00014566" w:rsidRPr="008911CB" w:rsidRDefault="002F7EC0" w:rsidP="002F7EC0">
      <w:pPr>
        <w:pStyle w:val="ECHRPara"/>
        <w:rPr>
          <w:lang w:val="pl-PL"/>
        </w:rPr>
      </w:pPr>
      <w:r w:rsidRPr="008911CB">
        <w:rPr>
          <w:noProof/>
          <w:lang w:val="pl-PL"/>
        </w:rPr>
        <w:t>34</w:t>
      </w:r>
      <w:r w:rsidR="00014566" w:rsidRPr="008911CB">
        <w:rPr>
          <w:lang w:val="pl-PL"/>
        </w:rPr>
        <w:t>.  </w:t>
      </w:r>
      <w:r w:rsidR="00907D4D" w:rsidRPr="008911CB">
        <w:rPr>
          <w:lang w:val="pl-PL"/>
        </w:rPr>
        <w:t>Rząd zakwestionował powyższy argument.</w:t>
      </w:r>
    </w:p>
    <w:p w14:paraId="16E5D760" w14:textId="34B372D9" w:rsidR="00014566" w:rsidRPr="008911CB" w:rsidRDefault="00014566" w:rsidP="002F7EC0">
      <w:pPr>
        <w:pStyle w:val="ECHRHeading2"/>
        <w:rPr>
          <w:lang w:val="pl-PL"/>
        </w:rPr>
      </w:pPr>
      <w:r w:rsidRPr="008911CB">
        <w:rPr>
          <w:lang w:val="pl-PL"/>
        </w:rPr>
        <w:t>A.  </w:t>
      </w:r>
      <w:r w:rsidR="00907D4D" w:rsidRPr="008911CB">
        <w:rPr>
          <w:lang w:val="pl-PL"/>
        </w:rPr>
        <w:t>Dopuszczalność</w:t>
      </w:r>
    </w:p>
    <w:p w14:paraId="5A415573" w14:textId="4F21206F" w:rsidR="00907D4D" w:rsidRPr="008911CB" w:rsidRDefault="002F7EC0" w:rsidP="002F7EC0">
      <w:pPr>
        <w:pStyle w:val="ECHRPara"/>
        <w:rPr>
          <w:lang w:val="pl-PL"/>
        </w:rPr>
      </w:pPr>
      <w:r w:rsidRPr="008911CB">
        <w:rPr>
          <w:noProof/>
          <w:lang w:val="pl-PL"/>
        </w:rPr>
        <w:t>35</w:t>
      </w:r>
      <w:r w:rsidR="00371A3F" w:rsidRPr="008911CB">
        <w:rPr>
          <w:lang w:val="pl-PL"/>
        </w:rPr>
        <w:t>.  </w:t>
      </w:r>
      <w:r w:rsidR="00907D4D" w:rsidRPr="008911CB">
        <w:rPr>
          <w:lang w:val="pl-PL"/>
        </w:rPr>
        <w:t>Rząd wniósł o stwierdzenie niedopuszczalności skargi jako w sposób oczywisty nieuzasadnionej podnosząc, mi</w:t>
      </w:r>
      <w:r w:rsidR="00923F83" w:rsidRPr="008911CB">
        <w:rPr>
          <w:lang w:val="pl-PL"/>
        </w:rPr>
        <w:t xml:space="preserve">ędzy innymi, że sądy działały w celu </w:t>
      </w:r>
      <w:r w:rsidR="00907D4D" w:rsidRPr="008911CB">
        <w:rPr>
          <w:lang w:val="pl-PL"/>
        </w:rPr>
        <w:t>ochrony prawa dwóch policjantów</w:t>
      </w:r>
      <w:r w:rsidR="00923F83" w:rsidRPr="008911CB">
        <w:rPr>
          <w:lang w:val="pl-PL"/>
        </w:rPr>
        <w:t xml:space="preserve"> zgodnie z art. 8 Konwencji oraz prawa obywateli do rzetelnej informacji zapisanego w art. 10 Konwencji.</w:t>
      </w:r>
    </w:p>
    <w:p w14:paraId="52A8B9D2" w14:textId="76CE193D" w:rsidR="00923F83" w:rsidRPr="008911CB" w:rsidRDefault="002F7EC0" w:rsidP="002F7EC0">
      <w:pPr>
        <w:pStyle w:val="ECHRPara"/>
        <w:rPr>
          <w:lang w:val="pl-PL"/>
        </w:rPr>
      </w:pPr>
      <w:r w:rsidRPr="008911CB">
        <w:rPr>
          <w:noProof/>
          <w:lang w:val="pl-PL"/>
        </w:rPr>
        <w:lastRenderedPageBreak/>
        <w:t>36</w:t>
      </w:r>
      <w:r w:rsidR="004A720B" w:rsidRPr="008911CB">
        <w:rPr>
          <w:lang w:val="pl-PL"/>
        </w:rPr>
        <w:t>.  </w:t>
      </w:r>
      <w:r w:rsidR="00923F83" w:rsidRPr="008911CB">
        <w:rPr>
          <w:lang w:val="pl-PL"/>
        </w:rPr>
        <w:t xml:space="preserve">Trybunał </w:t>
      </w:r>
      <w:r w:rsidR="00157EB1" w:rsidRPr="008911CB">
        <w:rPr>
          <w:lang w:val="pl-PL"/>
        </w:rPr>
        <w:t>stwierdza</w:t>
      </w:r>
      <w:r w:rsidR="00923F83" w:rsidRPr="008911CB">
        <w:rPr>
          <w:lang w:val="pl-PL"/>
        </w:rPr>
        <w:t>, że skarga nie jest w sposób oczywisty nie uzasadniona w rozumieniu art. 35 ust</w:t>
      </w:r>
      <w:r w:rsidR="003B7554">
        <w:rPr>
          <w:lang w:val="pl-PL"/>
        </w:rPr>
        <w:t>.</w:t>
      </w:r>
      <w:r w:rsidR="00923F83" w:rsidRPr="008911CB">
        <w:rPr>
          <w:lang w:val="pl-PL"/>
        </w:rPr>
        <w:t xml:space="preserve"> 3 lit. a Konwencji. Ponadto Trybunał zauważa, że </w:t>
      </w:r>
      <w:r w:rsidR="00157EB1" w:rsidRPr="008911CB">
        <w:rPr>
          <w:lang w:val="pl-PL"/>
        </w:rPr>
        <w:t>skarga nie jest niedopuszczalna z jakichkolwiek innych powodów. A zatem musi ona zostać uznana za dopuszczalną.</w:t>
      </w:r>
    </w:p>
    <w:p w14:paraId="57F455D1" w14:textId="2036D12D" w:rsidR="00014566" w:rsidRPr="008911CB" w:rsidRDefault="00BD17A8" w:rsidP="002F7EC0">
      <w:pPr>
        <w:pStyle w:val="ECHRHeading2"/>
        <w:rPr>
          <w:lang w:val="pl-PL"/>
        </w:rPr>
      </w:pPr>
      <w:r w:rsidRPr="008911CB">
        <w:rPr>
          <w:lang w:val="pl-PL"/>
        </w:rPr>
        <w:t>B.  Przedmiot skargi</w:t>
      </w:r>
    </w:p>
    <w:p w14:paraId="538D1C46" w14:textId="32F66EE7" w:rsidR="002E022F" w:rsidRPr="008911CB" w:rsidRDefault="00C32EF6" w:rsidP="002F7EC0">
      <w:pPr>
        <w:pStyle w:val="ECHRHeading3"/>
        <w:rPr>
          <w:lang w:val="pl-PL"/>
        </w:rPr>
      </w:pPr>
      <w:r w:rsidRPr="008911CB">
        <w:rPr>
          <w:lang w:val="pl-PL"/>
        </w:rPr>
        <w:t>1.  Stanowiska stron</w:t>
      </w:r>
    </w:p>
    <w:p w14:paraId="6782921A" w14:textId="5BF5E586" w:rsidR="002E022F" w:rsidRPr="008911CB" w:rsidRDefault="00C32EF6" w:rsidP="002F7EC0">
      <w:pPr>
        <w:pStyle w:val="ECHRHeading4"/>
        <w:rPr>
          <w:lang w:val="pl-PL"/>
        </w:rPr>
      </w:pPr>
      <w:r w:rsidRPr="008911CB">
        <w:rPr>
          <w:lang w:val="pl-PL"/>
        </w:rPr>
        <w:t>(a)  Skarżący</w:t>
      </w:r>
    </w:p>
    <w:p w14:paraId="3359724E" w14:textId="2C668274" w:rsidR="00C32EF6" w:rsidRPr="008911CB" w:rsidRDefault="002F7EC0" w:rsidP="002F7EC0">
      <w:pPr>
        <w:pStyle w:val="ECHRPara"/>
        <w:rPr>
          <w:lang w:val="pl-PL"/>
        </w:rPr>
      </w:pPr>
      <w:r w:rsidRPr="008911CB">
        <w:rPr>
          <w:noProof/>
          <w:lang w:val="pl-PL"/>
        </w:rPr>
        <w:t>37</w:t>
      </w:r>
      <w:r w:rsidR="00014566" w:rsidRPr="008911CB">
        <w:rPr>
          <w:lang w:val="pl-PL"/>
        </w:rPr>
        <w:t>.  </w:t>
      </w:r>
      <w:r w:rsidR="00C32EF6" w:rsidRPr="008911CB">
        <w:rPr>
          <w:lang w:val="pl-PL"/>
        </w:rPr>
        <w:t xml:space="preserve">Skarżący twierdził, że prawo do </w:t>
      </w:r>
      <w:r w:rsidR="00C050D8" w:rsidRPr="008911CB">
        <w:rPr>
          <w:lang w:val="pl-PL"/>
        </w:rPr>
        <w:t>wolności wyrażania opinii</w:t>
      </w:r>
      <w:r w:rsidR="00C32EF6" w:rsidRPr="008911CB">
        <w:rPr>
          <w:lang w:val="pl-PL"/>
        </w:rPr>
        <w:t xml:space="preserve"> odgrywa zasadniczą rol</w:t>
      </w:r>
      <w:r w:rsidR="001B5DF5" w:rsidRPr="008911CB">
        <w:rPr>
          <w:lang w:val="pl-PL"/>
        </w:rPr>
        <w:t>ę w kontekście ochrony artykułów Konwencji i protokołów do niej. Skarżący podkreślił, że jego twierdzenia oparte są na faktach ustalonych przez sądy krajowe. Fakty te miały wpływ na integralność fizyczną i psychiczną skarżącego i mogły być potocznie określone jako „tortury”.</w:t>
      </w:r>
    </w:p>
    <w:p w14:paraId="677F1265" w14:textId="25DBC849" w:rsidR="00DE4CEB" w:rsidRPr="008911CB" w:rsidRDefault="002F7EC0" w:rsidP="002F7EC0">
      <w:pPr>
        <w:pStyle w:val="ECHRPara"/>
        <w:rPr>
          <w:lang w:val="pl-PL"/>
        </w:rPr>
      </w:pPr>
      <w:r w:rsidRPr="008911CB">
        <w:rPr>
          <w:noProof/>
          <w:lang w:val="pl-PL"/>
        </w:rPr>
        <w:t>38</w:t>
      </w:r>
      <w:r w:rsidR="00735E53" w:rsidRPr="008911CB">
        <w:rPr>
          <w:lang w:val="pl-PL"/>
        </w:rPr>
        <w:t>.  </w:t>
      </w:r>
      <w:r w:rsidR="001B5DF5" w:rsidRPr="008911CB">
        <w:rPr>
          <w:lang w:val="pl-PL"/>
        </w:rPr>
        <w:t xml:space="preserve">Żądanie od skarżącego udowodnienia twierdzeń o torturach </w:t>
      </w:r>
      <w:r w:rsidR="00DE4CEB" w:rsidRPr="008911CB">
        <w:rPr>
          <w:lang w:val="pl-PL"/>
        </w:rPr>
        <w:t>w sposób zgodny</w:t>
      </w:r>
      <w:r w:rsidR="001B5DF5" w:rsidRPr="008911CB">
        <w:rPr>
          <w:lang w:val="pl-PL"/>
        </w:rPr>
        <w:t xml:space="preserve"> ze standardami karnymi stanowiło bezprawne ograniczenie jego </w:t>
      </w:r>
      <w:r w:rsidR="00C050D8" w:rsidRPr="008911CB">
        <w:rPr>
          <w:lang w:val="pl-PL"/>
        </w:rPr>
        <w:t>wolności wyrażania opinii</w:t>
      </w:r>
      <w:r w:rsidR="001B5DF5" w:rsidRPr="008911CB">
        <w:rPr>
          <w:lang w:val="pl-PL"/>
        </w:rPr>
        <w:t>. Według skarżącego</w:t>
      </w:r>
      <w:r w:rsidR="00DE4CEB" w:rsidRPr="008911CB">
        <w:rPr>
          <w:lang w:val="pl-PL"/>
        </w:rPr>
        <w:t>, rozstrzygając spór prawny</w:t>
      </w:r>
      <w:r w:rsidR="00A81689">
        <w:rPr>
          <w:lang w:val="pl-PL"/>
        </w:rPr>
        <w:t>,</w:t>
      </w:r>
      <w:r w:rsidR="001B5DF5" w:rsidRPr="008911CB">
        <w:rPr>
          <w:lang w:val="pl-PL"/>
        </w:rPr>
        <w:t xml:space="preserve"> sądy krajowe</w:t>
      </w:r>
      <w:r w:rsidR="00DE4CEB" w:rsidRPr="008911CB">
        <w:rPr>
          <w:lang w:val="pl-PL"/>
        </w:rPr>
        <w:t xml:space="preserve"> błędnie skupiły się stwierdzeniu, czy działania kwalifikowały się jako tortury w rozumieniu hiszpańskiego </w:t>
      </w:r>
      <w:r w:rsidR="00A81689">
        <w:rPr>
          <w:lang w:val="pl-PL"/>
        </w:rPr>
        <w:t>k</w:t>
      </w:r>
      <w:r w:rsidR="00DE4CEB" w:rsidRPr="008911CB">
        <w:rPr>
          <w:lang w:val="pl-PL"/>
        </w:rPr>
        <w:t xml:space="preserve">odeksu karnego, zamiast określić, czy jego twierdzenia były prawdziwe, czy nie. Skarżący zwrócił uwagę, że Akademia </w:t>
      </w:r>
      <w:r w:rsidR="00D546EB" w:rsidRPr="008911CB">
        <w:rPr>
          <w:lang w:val="pl-PL"/>
        </w:rPr>
        <w:t>przedstawiła dwie definicje słowa „tortura”, mianowicie: „znaczny ból fizyczny lub psychiczny zadany osobie za pomocą różnych metod i narzędzi w celu uzyskania przyznania się lub jako kara”, oraz „znaczny ból lub cierpienie lub rzecz, która je wywołuje”.</w:t>
      </w:r>
      <w:r w:rsidR="000A5626" w:rsidRPr="008911CB">
        <w:rPr>
          <w:lang w:val="pl-PL"/>
        </w:rPr>
        <w:t xml:space="preserve"> Skarżący podkreślił, że słowo „tortura” jest używane w języku potocznym jako określenie wszelkiego rodzaju złego traktowania.</w:t>
      </w:r>
    </w:p>
    <w:p w14:paraId="378D6DAE" w14:textId="49DA1760" w:rsidR="000A5626" w:rsidRPr="008911CB" w:rsidRDefault="002F7EC0" w:rsidP="002F7EC0">
      <w:pPr>
        <w:pStyle w:val="ECHRPara"/>
        <w:rPr>
          <w:lang w:val="pl-PL"/>
        </w:rPr>
      </w:pPr>
      <w:r w:rsidRPr="008911CB">
        <w:rPr>
          <w:noProof/>
          <w:lang w:val="pl-PL"/>
        </w:rPr>
        <w:t>39</w:t>
      </w:r>
      <w:r w:rsidR="00DA028C" w:rsidRPr="008911CB">
        <w:rPr>
          <w:lang w:val="pl-PL"/>
        </w:rPr>
        <w:t>.  </w:t>
      </w:r>
      <w:r w:rsidR="000A5626" w:rsidRPr="008911CB">
        <w:rPr>
          <w:lang w:val="pl-PL"/>
        </w:rPr>
        <w:t xml:space="preserve">Na koniec skarżący utrzymywał, że granice dopuszczalnej krytyki wobec osób sprawujących władzę publiczną są szersze niż wobec osób prywatnych. Ograniczenie prawa skarżącego do </w:t>
      </w:r>
      <w:r w:rsidR="00C050D8" w:rsidRPr="008911CB">
        <w:rPr>
          <w:lang w:val="pl-PL"/>
        </w:rPr>
        <w:t>wolności wyrażania opinii</w:t>
      </w:r>
      <w:r w:rsidR="000A5626" w:rsidRPr="008911CB">
        <w:rPr>
          <w:lang w:val="pl-PL"/>
        </w:rPr>
        <w:t xml:space="preserve"> może prowadzić do ograniczenia prawa do publicznego krytykowania działań.</w:t>
      </w:r>
    </w:p>
    <w:p w14:paraId="4838D017" w14:textId="033FF281" w:rsidR="002E022F" w:rsidRPr="008911CB" w:rsidRDefault="000A5626" w:rsidP="002F7EC0">
      <w:pPr>
        <w:pStyle w:val="ECHRHeading4"/>
        <w:rPr>
          <w:lang w:val="pl-PL"/>
        </w:rPr>
      </w:pPr>
      <w:r w:rsidRPr="008911CB">
        <w:rPr>
          <w:lang w:val="pl-PL"/>
        </w:rPr>
        <w:t xml:space="preserve"> (b)  Rząd</w:t>
      </w:r>
    </w:p>
    <w:p w14:paraId="2CE13E33" w14:textId="2213760D" w:rsidR="00FF0C79" w:rsidRPr="008911CB" w:rsidRDefault="002F7EC0" w:rsidP="002F7EC0">
      <w:pPr>
        <w:pStyle w:val="ECHRPara"/>
        <w:rPr>
          <w:lang w:val="pl-PL"/>
        </w:rPr>
      </w:pPr>
      <w:r w:rsidRPr="008911CB">
        <w:rPr>
          <w:noProof/>
          <w:lang w:val="pl-PL"/>
        </w:rPr>
        <w:t>40</w:t>
      </w:r>
      <w:r w:rsidR="00014566" w:rsidRPr="008911CB">
        <w:rPr>
          <w:lang w:val="pl-PL"/>
        </w:rPr>
        <w:t>.  </w:t>
      </w:r>
      <w:r w:rsidR="000A5626" w:rsidRPr="008911CB">
        <w:rPr>
          <w:lang w:val="pl-PL"/>
        </w:rPr>
        <w:t xml:space="preserve">Rząd twierdził, że korzystanie z prawa do </w:t>
      </w:r>
      <w:r w:rsidR="00C050D8" w:rsidRPr="008911CB">
        <w:rPr>
          <w:lang w:val="pl-PL"/>
        </w:rPr>
        <w:t>wolności wyrażania opinii</w:t>
      </w:r>
      <w:r w:rsidR="00F23E4C" w:rsidRPr="008911CB">
        <w:rPr>
          <w:lang w:val="pl-PL"/>
        </w:rPr>
        <w:t xml:space="preserve"> pociąga za sobą pewne obowiązki i odpowiedzialność po stronie osoby z niego korzystającej, które może podlegać ograniczeniom lub karom prawnie przepisanym a niezbędnym w demokratycznym społeczeństwie</w:t>
      </w:r>
      <w:r w:rsidR="00FF0C79" w:rsidRPr="008911CB">
        <w:rPr>
          <w:lang w:val="pl-PL"/>
        </w:rPr>
        <w:t xml:space="preserve"> w interesie – w przedmiotowej sprawie – bezpieczeństwa publicznego, w celu zapobiegania niepokojom społecznym lub przestępczości, ochrony czci lub praw innych osób lub dla utrzymania autorytetu władzy sądowniczej. Skarżący wystąpił na konferencji prasowej, a jego twierdzenia były szeroko kolportowane przez media.</w:t>
      </w:r>
    </w:p>
    <w:p w14:paraId="72590E66" w14:textId="204396E6" w:rsidR="00FF0C79" w:rsidRPr="008911CB" w:rsidRDefault="002F7EC0" w:rsidP="002F7EC0">
      <w:pPr>
        <w:pStyle w:val="ECHRPara"/>
        <w:rPr>
          <w:szCs w:val="24"/>
          <w:lang w:val="pl-PL"/>
        </w:rPr>
      </w:pPr>
      <w:r w:rsidRPr="008911CB">
        <w:rPr>
          <w:noProof/>
          <w:szCs w:val="24"/>
          <w:lang w:val="pl-PL"/>
        </w:rPr>
        <w:lastRenderedPageBreak/>
        <w:t>41</w:t>
      </w:r>
      <w:r w:rsidR="003852AC" w:rsidRPr="008911CB">
        <w:rPr>
          <w:szCs w:val="24"/>
          <w:lang w:val="pl-PL"/>
        </w:rPr>
        <w:t>.  </w:t>
      </w:r>
      <w:r w:rsidR="00FF0C79" w:rsidRPr="008911CB">
        <w:rPr>
          <w:szCs w:val="24"/>
          <w:lang w:val="pl-PL"/>
        </w:rPr>
        <w:t xml:space="preserve">Rząd podniósł, że przedmiotowa sprawa jest podobna do  sprawy </w:t>
      </w:r>
      <w:r w:rsidR="00FF0C79" w:rsidRPr="008911CB">
        <w:rPr>
          <w:i/>
          <w:szCs w:val="24"/>
          <w:lang w:val="pl-PL"/>
        </w:rPr>
        <w:t>Cumpǎnǎ i Mazǎre p. Rumunii</w:t>
      </w:r>
      <w:r w:rsidR="00FF0C79" w:rsidRPr="008911CB">
        <w:rPr>
          <w:szCs w:val="24"/>
          <w:lang w:val="pl-PL"/>
        </w:rPr>
        <w:t xml:space="preserve"> ([WI], nr 33348/96), w ramach której rozpatrywano zgodność z Konwencją postępowania karnego wszczętego przeciwko dwóm dziennikarzom, którzy opublikowali artykuł zarzucając byłemu wiceburmistrzowi i sędziemu popełnienie szeregu przestępstw. Ponadto Rząd podkreślił fakt, że w rozpatrywanej sprawie skarżący nie był dziennikarzem.</w:t>
      </w:r>
    </w:p>
    <w:p w14:paraId="3B7D8484" w14:textId="1A396FB2" w:rsidR="008F73FB" w:rsidRPr="008911CB" w:rsidRDefault="002F7EC0" w:rsidP="002F7EC0">
      <w:pPr>
        <w:pStyle w:val="ECHRPara"/>
        <w:rPr>
          <w:noProof/>
          <w:lang w:val="pl-PL"/>
        </w:rPr>
      </w:pPr>
      <w:r w:rsidRPr="008911CB">
        <w:rPr>
          <w:noProof/>
          <w:lang w:val="pl-PL"/>
        </w:rPr>
        <w:t>42</w:t>
      </w:r>
      <w:r w:rsidR="00A12BCD" w:rsidRPr="008911CB">
        <w:rPr>
          <w:noProof/>
          <w:lang w:val="pl-PL"/>
        </w:rPr>
        <w:t>.  </w:t>
      </w:r>
      <w:r w:rsidR="008F73FB" w:rsidRPr="008911CB">
        <w:rPr>
          <w:noProof/>
          <w:lang w:val="pl-PL"/>
        </w:rPr>
        <w:t xml:space="preserve">Następnie Rząd zapewnił, że sądy krajowe oceniły kilka dowodów w celu </w:t>
      </w:r>
      <w:r w:rsidR="0038243B" w:rsidRPr="008911CB">
        <w:rPr>
          <w:noProof/>
          <w:lang w:val="pl-PL"/>
        </w:rPr>
        <w:t>ustalenia, co faktycznie zaszło;</w:t>
      </w:r>
      <w:r w:rsidR="008F73FB" w:rsidRPr="008911CB">
        <w:rPr>
          <w:noProof/>
          <w:lang w:val="pl-PL"/>
        </w:rPr>
        <w:t xml:space="preserve"> w szczególności</w:t>
      </w:r>
      <w:r w:rsidR="0038243B" w:rsidRPr="008911CB">
        <w:rPr>
          <w:noProof/>
          <w:lang w:val="pl-PL"/>
        </w:rPr>
        <w:t xml:space="preserve"> sądy</w:t>
      </w:r>
      <w:r w:rsidR="008F73FB" w:rsidRPr="008911CB">
        <w:rPr>
          <w:noProof/>
          <w:lang w:val="pl-PL"/>
        </w:rPr>
        <w:t xml:space="preserve"> oceniły nagrania wykonane z ukrycia</w:t>
      </w:r>
      <w:r w:rsidR="0038243B" w:rsidRPr="008911CB">
        <w:rPr>
          <w:noProof/>
          <w:lang w:val="pl-PL"/>
        </w:rPr>
        <w:t xml:space="preserve"> za pomocą nielegalnych urządzeń zainstalowanych przez nielegalnych lokatorów, badania lekarskie obu mężczyzn, wykonane niezwłocznie po ich zatrzymaniu, jak również zezna</w:t>
      </w:r>
      <w:r w:rsidR="00225622">
        <w:rPr>
          <w:noProof/>
          <w:lang w:val="pl-PL"/>
        </w:rPr>
        <w:t>n</w:t>
      </w:r>
      <w:r w:rsidR="0038243B" w:rsidRPr="008911CB">
        <w:rPr>
          <w:noProof/>
          <w:lang w:val="pl-PL"/>
        </w:rPr>
        <w:t>ia świadków złożone przez policjantów i strażaków biorących udział w akcji. Sądy doszły do wniosku, że twierdzenia skarżącego były nieprawdziwe.</w:t>
      </w:r>
    </w:p>
    <w:p w14:paraId="1E4EC240" w14:textId="25E4D0DA" w:rsidR="0038243B" w:rsidRPr="008911CB" w:rsidRDefault="002F7EC0" w:rsidP="002F7EC0">
      <w:pPr>
        <w:pStyle w:val="ECHRPara"/>
        <w:rPr>
          <w:noProof/>
          <w:lang w:val="pl-PL"/>
        </w:rPr>
      </w:pPr>
      <w:r w:rsidRPr="008911CB">
        <w:rPr>
          <w:noProof/>
          <w:lang w:val="pl-PL"/>
        </w:rPr>
        <w:t>43</w:t>
      </w:r>
      <w:r w:rsidR="00A12BCD" w:rsidRPr="008911CB">
        <w:rPr>
          <w:noProof/>
          <w:lang w:val="pl-PL"/>
        </w:rPr>
        <w:t>.  </w:t>
      </w:r>
      <w:r w:rsidR="0038243B" w:rsidRPr="008911CB">
        <w:rPr>
          <w:noProof/>
          <w:lang w:val="pl-PL"/>
        </w:rPr>
        <w:t>Rząd st</w:t>
      </w:r>
      <w:r w:rsidR="00BB5CA0" w:rsidRPr="008911CB">
        <w:rPr>
          <w:noProof/>
          <w:lang w:val="pl-PL"/>
        </w:rPr>
        <w:t>wierdził, że użyta przez policję</w:t>
      </w:r>
      <w:r w:rsidR="0038243B" w:rsidRPr="008911CB">
        <w:rPr>
          <w:noProof/>
          <w:lang w:val="pl-PL"/>
        </w:rPr>
        <w:t xml:space="preserve"> technika unieruchamiająca nie powodowała żadnych urazów ani u skarżącego, ani u R.D.P. W szczególności hiszpa</w:t>
      </w:r>
      <w:r w:rsidR="00042C3C" w:rsidRPr="008911CB">
        <w:rPr>
          <w:noProof/>
          <w:lang w:val="pl-PL"/>
        </w:rPr>
        <w:t>ńskie sądy uznały zasadność tymczasowego unieruchomienia skarżącego oraz że „nie było żadnych dowodów na stosowanie tortur”.</w:t>
      </w:r>
    </w:p>
    <w:p w14:paraId="37D62830" w14:textId="7194486C" w:rsidR="00823F18" w:rsidRPr="008911CB" w:rsidRDefault="002F7EC0" w:rsidP="00A543FC">
      <w:pPr>
        <w:pStyle w:val="ECHRPara"/>
        <w:rPr>
          <w:lang w:val="pl-PL"/>
        </w:rPr>
      </w:pPr>
      <w:r w:rsidRPr="008911CB">
        <w:rPr>
          <w:noProof/>
          <w:lang w:val="pl-PL"/>
        </w:rPr>
        <w:t>44</w:t>
      </w:r>
      <w:r w:rsidR="009C3E72" w:rsidRPr="008911CB">
        <w:rPr>
          <w:lang w:val="pl-PL"/>
        </w:rPr>
        <w:t>.  </w:t>
      </w:r>
      <w:r w:rsidR="00A4138E" w:rsidRPr="008911CB">
        <w:rPr>
          <w:lang w:val="pl-PL"/>
        </w:rPr>
        <w:t xml:space="preserve">Odnośnie </w:t>
      </w:r>
      <w:r w:rsidR="006521AF">
        <w:rPr>
          <w:lang w:val="pl-PL"/>
        </w:rPr>
        <w:t xml:space="preserve">do </w:t>
      </w:r>
      <w:r w:rsidR="00A4138E" w:rsidRPr="008911CB">
        <w:rPr>
          <w:lang w:val="pl-PL"/>
        </w:rPr>
        <w:t xml:space="preserve">potocznego użycia słowa </w:t>
      </w:r>
      <w:r w:rsidR="006521AF">
        <w:rPr>
          <w:lang w:val="pl-PL"/>
        </w:rPr>
        <w:t>„</w:t>
      </w:r>
      <w:r w:rsidR="00A4138E" w:rsidRPr="008911CB">
        <w:rPr>
          <w:lang w:val="pl-PL"/>
        </w:rPr>
        <w:t>tortura” Rząd oświadczył, że z transkrypcji zeznań skarżącego „jasno wynikało</w:t>
      </w:r>
      <w:r w:rsidR="00E01528" w:rsidRPr="008911CB">
        <w:rPr>
          <w:lang w:val="pl-PL"/>
        </w:rPr>
        <w:t>, że” skarżący zarzucał stosowanie tortur konkretnym policjantom. Nie jeden, ale kilka razy, w tym odczytując uprzednio przygotowane pisemne oświadczenie, skarżący nazywał stosowaną wobec siebie technikę torturą.</w:t>
      </w:r>
      <w:r w:rsidR="00823F18" w:rsidRPr="008911CB">
        <w:rPr>
          <w:lang w:val="pl-PL"/>
        </w:rPr>
        <w:t xml:space="preserve"> Ponadto skarżący z osobna wymienił i zidentyfikował dwóch policjantów i strażaków obecnych w trakcie uwięzienia. Sądy krajowe uznały, że materiał dowodowy zebrany w toku postępowania nie potwierdza zarzutów dotyczących zachowania powoda.</w:t>
      </w:r>
      <w:r w:rsidR="00A543FC" w:rsidRPr="008911CB">
        <w:rPr>
          <w:lang w:val="pl-PL"/>
        </w:rPr>
        <w:t xml:space="preserve"> Wskutek tego dobre imię i honor własny policjantów i ich rodzin doznały poważnego uszczerbku, ponieważ mogli być zidentyfikowan</w:t>
      </w:r>
      <w:r w:rsidR="006521AF">
        <w:rPr>
          <w:lang w:val="pl-PL"/>
        </w:rPr>
        <w:t>i</w:t>
      </w:r>
      <w:r w:rsidR="00A543FC" w:rsidRPr="008911CB">
        <w:rPr>
          <w:lang w:val="pl-PL"/>
        </w:rPr>
        <w:t xml:space="preserve"> przez przyjaciół i rodzinę </w:t>
      </w:r>
      <w:r w:rsidR="006521AF">
        <w:rPr>
          <w:lang w:val="pl-PL"/>
        </w:rPr>
        <w:t>oraz</w:t>
      </w:r>
      <w:r w:rsidR="00A543FC" w:rsidRPr="008911CB">
        <w:rPr>
          <w:lang w:val="pl-PL"/>
        </w:rPr>
        <w:t xml:space="preserve"> postrzegan</w:t>
      </w:r>
      <w:r w:rsidR="006521AF">
        <w:rPr>
          <w:lang w:val="pl-PL"/>
        </w:rPr>
        <w:t>i</w:t>
      </w:r>
      <w:r w:rsidR="00A543FC" w:rsidRPr="008911CB">
        <w:rPr>
          <w:lang w:val="pl-PL"/>
        </w:rPr>
        <w:t xml:space="preserve"> jako osoby związane ze stosowaniem tortur.</w:t>
      </w:r>
    </w:p>
    <w:p w14:paraId="616CE3EC" w14:textId="17AD2252" w:rsidR="00A543FC" w:rsidRPr="008911CB" w:rsidRDefault="002F7EC0" w:rsidP="002F7EC0">
      <w:pPr>
        <w:pStyle w:val="ECHRPara"/>
        <w:rPr>
          <w:noProof/>
          <w:lang w:val="pl-PL"/>
        </w:rPr>
      </w:pPr>
      <w:r w:rsidRPr="008911CB">
        <w:rPr>
          <w:noProof/>
          <w:lang w:val="pl-PL"/>
        </w:rPr>
        <w:t>45</w:t>
      </w:r>
      <w:r w:rsidR="009C3E72" w:rsidRPr="008911CB">
        <w:rPr>
          <w:noProof/>
          <w:lang w:val="pl-PL"/>
        </w:rPr>
        <w:t>.  </w:t>
      </w:r>
      <w:r w:rsidR="00A543FC" w:rsidRPr="008911CB">
        <w:rPr>
          <w:noProof/>
          <w:lang w:val="pl-PL"/>
        </w:rPr>
        <w:t xml:space="preserve">Rząd uznał, że ingerencja w prawo skarżącego do </w:t>
      </w:r>
      <w:r w:rsidR="00C050D8" w:rsidRPr="008911CB">
        <w:rPr>
          <w:noProof/>
          <w:lang w:val="pl-PL"/>
        </w:rPr>
        <w:t>wolności wyrażania opinii</w:t>
      </w:r>
      <w:r w:rsidR="00A543FC" w:rsidRPr="008911CB">
        <w:rPr>
          <w:noProof/>
          <w:lang w:val="pl-PL"/>
        </w:rPr>
        <w:t xml:space="preserve"> była prawnie umocowana oraz niezbędna w społeczeństwie demokratycznym w celu ochrony dobrego imienia i honoru policjantów i strażaków.</w:t>
      </w:r>
    </w:p>
    <w:p w14:paraId="143A0025" w14:textId="13DF0358" w:rsidR="002E022F" w:rsidRPr="008911CB" w:rsidRDefault="002E022F" w:rsidP="002F7EC0">
      <w:pPr>
        <w:pStyle w:val="ECHRHeading3"/>
        <w:rPr>
          <w:lang w:val="pl-PL"/>
        </w:rPr>
      </w:pPr>
      <w:r w:rsidRPr="008911CB">
        <w:rPr>
          <w:lang w:val="pl-PL"/>
        </w:rPr>
        <w:t>2.  </w:t>
      </w:r>
      <w:r w:rsidR="006C168D" w:rsidRPr="008911CB">
        <w:rPr>
          <w:lang w:val="pl-PL"/>
        </w:rPr>
        <w:t>Ocena Trybunału</w:t>
      </w:r>
    </w:p>
    <w:p w14:paraId="1024510E" w14:textId="19035FA1" w:rsidR="00146E71" w:rsidRPr="008911CB" w:rsidRDefault="00146E71" w:rsidP="002F7EC0">
      <w:pPr>
        <w:pStyle w:val="ECHRHeading4"/>
        <w:rPr>
          <w:lang w:val="pl-PL"/>
        </w:rPr>
      </w:pPr>
      <w:r w:rsidRPr="008911CB">
        <w:rPr>
          <w:lang w:val="pl-PL"/>
        </w:rPr>
        <w:t>(a)</w:t>
      </w:r>
      <w:r w:rsidR="00617A30" w:rsidRPr="008911CB">
        <w:rPr>
          <w:noProof/>
          <w:lang w:val="pl-PL"/>
        </w:rPr>
        <w:t>  </w:t>
      </w:r>
      <w:r w:rsidR="006C168D" w:rsidRPr="008911CB">
        <w:rPr>
          <w:lang w:val="pl-PL"/>
        </w:rPr>
        <w:t>Czy miała miejsce ingerencja</w:t>
      </w:r>
    </w:p>
    <w:p w14:paraId="7559324D" w14:textId="687F6C5B" w:rsidR="006C168D" w:rsidRPr="008911CB" w:rsidRDefault="002F7EC0" w:rsidP="006C168D">
      <w:pPr>
        <w:pStyle w:val="ECHRPara"/>
        <w:rPr>
          <w:noProof/>
          <w:lang w:val="pl-PL"/>
        </w:rPr>
      </w:pPr>
      <w:r w:rsidRPr="008911CB">
        <w:rPr>
          <w:noProof/>
          <w:lang w:val="pl-PL"/>
        </w:rPr>
        <w:t>46</w:t>
      </w:r>
      <w:r w:rsidR="007B36D5" w:rsidRPr="008911CB">
        <w:rPr>
          <w:noProof/>
          <w:lang w:val="pl-PL"/>
        </w:rPr>
        <w:t>.  </w:t>
      </w:r>
      <w:r w:rsidR="006C168D" w:rsidRPr="008911CB">
        <w:rPr>
          <w:noProof/>
          <w:lang w:val="pl-PL"/>
        </w:rPr>
        <w:t>Strony zgadzają się co do t</w:t>
      </w:r>
      <w:r w:rsidR="00A1032B" w:rsidRPr="008911CB">
        <w:rPr>
          <w:noProof/>
          <w:lang w:val="pl-PL"/>
        </w:rPr>
        <w:t>ego, że inkryminowane decyzje są</w:t>
      </w:r>
      <w:r w:rsidR="006C168D" w:rsidRPr="008911CB">
        <w:rPr>
          <w:noProof/>
          <w:lang w:val="pl-PL"/>
        </w:rPr>
        <w:t xml:space="preserve">dów krajowych stanowiły  „ingerencję władz publicznych” w prawo skarżącego do </w:t>
      </w:r>
      <w:r w:rsidR="00C050D8" w:rsidRPr="008911CB">
        <w:rPr>
          <w:noProof/>
          <w:lang w:val="pl-PL"/>
        </w:rPr>
        <w:t>wolności wyrażania opinii</w:t>
      </w:r>
      <w:r w:rsidR="006C168D" w:rsidRPr="008911CB">
        <w:rPr>
          <w:noProof/>
          <w:lang w:val="pl-PL"/>
        </w:rPr>
        <w:t xml:space="preserve"> zagwarantowanego w art. 10 ust. 1 Konwencji.</w:t>
      </w:r>
    </w:p>
    <w:p w14:paraId="0BA28BEE" w14:textId="7CB7B6E7" w:rsidR="00146E71" w:rsidRPr="008911CB" w:rsidRDefault="00A1032B" w:rsidP="002F7EC0">
      <w:pPr>
        <w:pStyle w:val="ECHRHeading4"/>
        <w:rPr>
          <w:lang w:val="pl-PL"/>
        </w:rPr>
      </w:pPr>
      <w:r w:rsidRPr="008911CB">
        <w:rPr>
          <w:lang w:val="pl-PL"/>
        </w:rPr>
        <w:t xml:space="preserve"> </w:t>
      </w:r>
      <w:r w:rsidR="00146E71" w:rsidRPr="008911CB">
        <w:rPr>
          <w:lang w:val="pl-PL"/>
        </w:rPr>
        <w:t>(b)</w:t>
      </w:r>
      <w:r w:rsidR="00617A30" w:rsidRPr="008911CB">
        <w:rPr>
          <w:noProof/>
          <w:lang w:val="pl-PL"/>
        </w:rPr>
        <w:t>  </w:t>
      </w:r>
      <w:r w:rsidRPr="008911CB">
        <w:rPr>
          <w:noProof/>
          <w:lang w:val="pl-PL"/>
        </w:rPr>
        <w:t>Czy była przepisana prawem i dążyła do realizacji uprawnionego celu</w:t>
      </w:r>
    </w:p>
    <w:p w14:paraId="1AE4FE1A" w14:textId="317EBD1C" w:rsidR="00561A01" w:rsidRPr="008911CB" w:rsidRDefault="002F7EC0" w:rsidP="002F7EC0">
      <w:pPr>
        <w:pStyle w:val="ECHRPara"/>
        <w:rPr>
          <w:noProof/>
          <w:lang w:val="pl-PL"/>
        </w:rPr>
      </w:pPr>
      <w:r w:rsidRPr="008911CB">
        <w:rPr>
          <w:noProof/>
          <w:lang w:val="pl-PL"/>
        </w:rPr>
        <w:t>47</w:t>
      </w:r>
      <w:r w:rsidR="002E38B0" w:rsidRPr="008911CB">
        <w:rPr>
          <w:noProof/>
          <w:lang w:val="pl-PL"/>
        </w:rPr>
        <w:t>.  </w:t>
      </w:r>
      <w:r w:rsidR="00561A01" w:rsidRPr="008911CB">
        <w:rPr>
          <w:noProof/>
          <w:lang w:val="pl-PL"/>
        </w:rPr>
        <w:t xml:space="preserve">Nie </w:t>
      </w:r>
      <w:r w:rsidR="000C2F40" w:rsidRPr="008911CB">
        <w:rPr>
          <w:noProof/>
          <w:lang w:val="pl-PL"/>
        </w:rPr>
        <w:t>jest kwestią sporną</w:t>
      </w:r>
      <w:r w:rsidR="00561A01" w:rsidRPr="008911CB">
        <w:rPr>
          <w:noProof/>
          <w:lang w:val="pl-PL"/>
        </w:rPr>
        <w:t xml:space="preserve"> fakt, że inkryminowany środek został zastosowany na podstawie artykułów</w:t>
      </w:r>
      <w:r w:rsidR="000C2F40" w:rsidRPr="008911CB">
        <w:rPr>
          <w:noProof/>
          <w:lang w:val="pl-PL"/>
        </w:rPr>
        <w:t xml:space="preserve"> 205 i 206 hiszpańskiego </w:t>
      </w:r>
      <w:r w:rsidR="008F32BB">
        <w:rPr>
          <w:noProof/>
          <w:lang w:val="pl-PL"/>
        </w:rPr>
        <w:t>k</w:t>
      </w:r>
      <w:r w:rsidR="000C2F40" w:rsidRPr="008911CB">
        <w:rPr>
          <w:noProof/>
          <w:lang w:val="pl-PL"/>
        </w:rPr>
        <w:t>odeksu karnego. Trybunał ponadto zauważa, że ingerencja dążyła do realizacji uprawnionego celu, jakim była ochrona „dobrego imienia lub praw innych osób”.</w:t>
      </w:r>
    </w:p>
    <w:p w14:paraId="0227D0DB" w14:textId="4AEB7496" w:rsidR="00146E71" w:rsidRPr="008911CB" w:rsidRDefault="008F3958" w:rsidP="002F7EC0">
      <w:pPr>
        <w:pStyle w:val="ECHRHeading4"/>
        <w:rPr>
          <w:lang w:val="pl-PL"/>
        </w:rPr>
      </w:pPr>
      <w:r w:rsidRPr="008911CB">
        <w:rPr>
          <w:lang w:val="pl-PL"/>
        </w:rPr>
        <w:t xml:space="preserve"> </w:t>
      </w:r>
      <w:r w:rsidR="00146E71" w:rsidRPr="008911CB">
        <w:rPr>
          <w:lang w:val="pl-PL"/>
        </w:rPr>
        <w:t>(c)</w:t>
      </w:r>
      <w:r w:rsidR="00617A30" w:rsidRPr="008911CB">
        <w:rPr>
          <w:noProof/>
          <w:lang w:val="pl-PL"/>
        </w:rPr>
        <w:t>  </w:t>
      </w:r>
      <w:r w:rsidRPr="008911CB">
        <w:rPr>
          <w:noProof/>
          <w:lang w:val="pl-PL"/>
        </w:rPr>
        <w:t>Czy ingerencja była niezbędna w społeczeństwie demokratycznym</w:t>
      </w:r>
    </w:p>
    <w:p w14:paraId="4C8407FF" w14:textId="32EBB067" w:rsidR="00146E71" w:rsidRPr="008911CB" w:rsidRDefault="00146E71" w:rsidP="002F7EC0">
      <w:pPr>
        <w:pStyle w:val="ECHRHeading5"/>
        <w:rPr>
          <w:lang w:val="pl-PL"/>
        </w:rPr>
      </w:pPr>
      <w:r w:rsidRPr="008911CB">
        <w:rPr>
          <w:lang w:val="pl-PL"/>
        </w:rPr>
        <w:t>(i)</w:t>
      </w:r>
      <w:r w:rsidR="00F30D7F" w:rsidRPr="008911CB">
        <w:rPr>
          <w:lang w:val="pl-PL"/>
        </w:rPr>
        <w:t>  </w:t>
      </w:r>
      <w:r w:rsidR="008F3958" w:rsidRPr="008911CB">
        <w:rPr>
          <w:lang w:val="pl-PL"/>
        </w:rPr>
        <w:t>Zasady ogólne</w:t>
      </w:r>
    </w:p>
    <w:p w14:paraId="0033A273" w14:textId="543D0C87" w:rsidR="00FE1FF3" w:rsidRPr="008911CB" w:rsidRDefault="00FE1FF3" w:rsidP="002F7EC0">
      <w:pPr>
        <w:pStyle w:val="ECHRHeading6"/>
        <w:rPr>
          <w:lang w:val="pl-PL"/>
        </w:rPr>
      </w:pPr>
      <w:bookmarkStart w:id="2" w:name="_Toc430944126"/>
      <w:bookmarkStart w:id="3" w:name="_Toc411352982"/>
      <w:r w:rsidRPr="008911CB">
        <w:rPr>
          <w:lang w:val="pl-PL"/>
        </w:rPr>
        <w:t>(α)  </w:t>
      </w:r>
      <w:r w:rsidR="008F3958" w:rsidRPr="008911CB">
        <w:rPr>
          <w:lang w:val="pl-PL"/>
        </w:rPr>
        <w:t>Zastosowanie wymogu zawartego w art. 10 ust. 2 Konwencji o konieczności ingerencji w społeczeństwie demokratycznym</w:t>
      </w:r>
      <w:bookmarkEnd w:id="2"/>
    </w:p>
    <w:bookmarkEnd w:id="3"/>
    <w:p w14:paraId="3CA3252F" w14:textId="2A719465" w:rsidR="00312A7F" w:rsidRPr="008911CB" w:rsidRDefault="002F7EC0" w:rsidP="002F7EC0">
      <w:pPr>
        <w:pStyle w:val="ECHRPara"/>
        <w:rPr>
          <w:noProof/>
          <w:lang w:val="pl-PL"/>
        </w:rPr>
      </w:pPr>
      <w:r w:rsidRPr="008911CB">
        <w:rPr>
          <w:noProof/>
          <w:lang w:val="pl-PL"/>
        </w:rPr>
        <w:t>48</w:t>
      </w:r>
      <w:r w:rsidR="00E5783B" w:rsidRPr="008911CB">
        <w:rPr>
          <w:noProof/>
          <w:lang w:val="pl-PL"/>
        </w:rPr>
        <w:t>.  </w:t>
      </w:r>
      <w:r w:rsidR="00312A7F" w:rsidRPr="008911CB">
        <w:rPr>
          <w:noProof/>
          <w:lang w:val="pl-PL"/>
        </w:rPr>
        <w:t>Ogólne zasady oceny</w:t>
      </w:r>
      <w:r w:rsidR="008046F6">
        <w:rPr>
          <w:noProof/>
          <w:lang w:val="pl-PL"/>
        </w:rPr>
        <w:t>,</w:t>
      </w:r>
      <w:r w:rsidR="00312A7F" w:rsidRPr="008911CB">
        <w:rPr>
          <w:noProof/>
          <w:lang w:val="pl-PL"/>
        </w:rPr>
        <w:t xml:space="preserve"> czy </w:t>
      </w:r>
      <w:r w:rsidR="006A0E16" w:rsidRPr="008911CB">
        <w:rPr>
          <w:noProof/>
          <w:lang w:val="pl-PL"/>
        </w:rPr>
        <w:t xml:space="preserve">ingerencja w wykonywanie prawa do </w:t>
      </w:r>
      <w:r w:rsidR="00C050D8" w:rsidRPr="008911CB">
        <w:rPr>
          <w:noProof/>
          <w:lang w:val="pl-PL"/>
        </w:rPr>
        <w:t>wolności wyrażania opinii</w:t>
      </w:r>
      <w:r w:rsidR="006A0E16" w:rsidRPr="008911CB">
        <w:rPr>
          <w:noProof/>
          <w:lang w:val="pl-PL"/>
        </w:rPr>
        <w:t xml:space="preserve"> </w:t>
      </w:r>
      <w:r w:rsidR="000C5363" w:rsidRPr="008911CB">
        <w:rPr>
          <w:noProof/>
          <w:lang w:val="pl-PL"/>
        </w:rPr>
        <w:t xml:space="preserve">jest „niezbędna w społeczeństwie demokratycznym” w rozumieniu art. 10 ust. 2 Konwencji są ugruntowane w orzecznictwie Trybunału. </w:t>
      </w:r>
      <w:r w:rsidR="007C2064" w:rsidRPr="008911CB">
        <w:rPr>
          <w:noProof/>
          <w:lang w:val="pl-PL"/>
        </w:rPr>
        <w:t xml:space="preserve">Zgodnie ze stanowiskiem Trybunału w sprawie </w:t>
      </w:r>
      <w:r w:rsidR="007C2064" w:rsidRPr="008911CB">
        <w:rPr>
          <w:i/>
          <w:lang w:val="pl-PL"/>
        </w:rPr>
        <w:t xml:space="preserve">Perinçek p. Szwajcarii </w:t>
      </w:r>
      <w:r w:rsidR="007C2064" w:rsidRPr="008911CB">
        <w:rPr>
          <w:lang w:val="pl-PL"/>
        </w:rPr>
        <w:t xml:space="preserve">([WI], nr 27510/08), zasady te zostały niedawno podtrzymane w wyroku </w:t>
      </w:r>
      <w:r w:rsidR="007C2064" w:rsidRPr="008911CB">
        <w:rPr>
          <w:i/>
          <w:noProof/>
          <w:lang w:val="pl-PL"/>
        </w:rPr>
        <w:t xml:space="preserve">Mouvement raëlien suisse p. Szwajcarii </w:t>
      </w:r>
      <w:r w:rsidR="007C2064" w:rsidRPr="008911CB">
        <w:rPr>
          <w:noProof/>
          <w:lang w:val="pl-PL"/>
        </w:rPr>
        <w:t xml:space="preserve">([WI], nr 16354/06, § 48, ETPCz 2012) i </w:t>
      </w:r>
      <w:r w:rsidR="007C2064" w:rsidRPr="008911CB">
        <w:rPr>
          <w:i/>
          <w:noProof/>
          <w:lang w:val="pl-PL"/>
        </w:rPr>
        <w:t>Animal Defenders International p. Zjednoczonemu Królestwu</w:t>
      </w:r>
      <w:r w:rsidR="007C2064" w:rsidRPr="008911CB">
        <w:rPr>
          <w:noProof/>
          <w:lang w:val="pl-PL"/>
        </w:rPr>
        <w:t xml:space="preserve"> ([WI], nr 48876/08, § 100, ETPCz 2013), i można je podsumować następująco:</w:t>
      </w:r>
    </w:p>
    <w:p w14:paraId="486F3BCE" w14:textId="7A14D02E" w:rsidR="007C2064" w:rsidRPr="008911CB" w:rsidRDefault="007C2064" w:rsidP="002F7EC0">
      <w:pPr>
        <w:pStyle w:val="ECHRPara"/>
        <w:ind w:left="568"/>
        <w:rPr>
          <w:noProof/>
          <w:lang w:val="pl-PL"/>
        </w:rPr>
      </w:pPr>
      <w:r w:rsidRPr="008911CB">
        <w:rPr>
          <w:noProof/>
          <w:lang w:val="pl-PL"/>
        </w:rPr>
        <w:t xml:space="preserve"> </w:t>
      </w:r>
      <w:r w:rsidR="00CD489A" w:rsidRPr="008911CB">
        <w:rPr>
          <w:noProof/>
          <w:lang w:val="pl-PL"/>
        </w:rPr>
        <w:t>(i)  </w:t>
      </w:r>
      <w:r w:rsidRPr="008911CB">
        <w:rPr>
          <w:noProof/>
          <w:lang w:val="pl-PL"/>
        </w:rPr>
        <w:t xml:space="preserve">Swoboda wypowiedzi jest jednym z filarów społeczeństwa demokratycznego i jednym z podstawowych warunków jego postępu jak i samorealizacji jednostki. Zgodnie z art. 10 ust. 2 Konwencji stosuje się ją nie tylko do </w:t>
      </w:r>
      <w:r w:rsidR="00E152B4" w:rsidRPr="008911CB">
        <w:rPr>
          <w:noProof/>
          <w:lang w:val="pl-PL"/>
        </w:rPr>
        <w:t>„informacji” czy „idei”, które</w:t>
      </w:r>
      <w:r w:rsidR="00A91F16" w:rsidRPr="008911CB">
        <w:rPr>
          <w:noProof/>
          <w:lang w:val="pl-PL"/>
        </w:rPr>
        <w:t xml:space="preserve"> są przychylnie</w:t>
      </w:r>
      <w:r w:rsidR="00E152B4" w:rsidRPr="008911CB">
        <w:rPr>
          <w:noProof/>
          <w:lang w:val="pl-PL"/>
        </w:rPr>
        <w:t xml:space="preserve"> przyjmowane, traktowane jako nieszk</w:t>
      </w:r>
      <w:r w:rsidR="00A91F16" w:rsidRPr="008911CB">
        <w:rPr>
          <w:noProof/>
          <w:lang w:val="pl-PL"/>
        </w:rPr>
        <w:t>odliwe lub obojętne, ale także d</w:t>
      </w:r>
      <w:r w:rsidR="00E152B4" w:rsidRPr="008911CB">
        <w:rPr>
          <w:noProof/>
          <w:lang w:val="pl-PL"/>
        </w:rPr>
        <w:t>o tych, które są obraźliwe, szokujące lub niepokojące.</w:t>
      </w:r>
      <w:r w:rsidR="003C6A7A" w:rsidRPr="008911CB">
        <w:rPr>
          <w:noProof/>
          <w:lang w:val="pl-PL"/>
        </w:rPr>
        <w:t xml:space="preserve"> Takie są wymagania pluralizmu, tolerancji </w:t>
      </w:r>
      <w:r w:rsidR="00A91F16" w:rsidRPr="008911CB">
        <w:rPr>
          <w:noProof/>
          <w:lang w:val="pl-PL"/>
        </w:rPr>
        <w:t>i otwartości, bez których „społeczeństwo demokratyczne</w:t>
      </w:r>
      <w:r w:rsidR="003C6A7A" w:rsidRPr="008911CB">
        <w:rPr>
          <w:noProof/>
          <w:lang w:val="pl-PL"/>
        </w:rPr>
        <w:t>”</w:t>
      </w:r>
      <w:r w:rsidR="00A91F16" w:rsidRPr="008911CB">
        <w:rPr>
          <w:noProof/>
          <w:lang w:val="pl-PL"/>
        </w:rPr>
        <w:t xml:space="preserve"> nie istnieje. W myśl art. 10 </w:t>
      </w:r>
      <w:r w:rsidR="003C6A7A" w:rsidRPr="008911CB">
        <w:rPr>
          <w:noProof/>
          <w:lang w:val="pl-PL"/>
        </w:rPr>
        <w:t xml:space="preserve">wolność ta </w:t>
      </w:r>
      <w:r w:rsidR="00F2301E" w:rsidRPr="008911CB">
        <w:rPr>
          <w:noProof/>
          <w:lang w:val="pl-PL"/>
        </w:rPr>
        <w:t>objęta jest wyjątkami</w:t>
      </w:r>
      <w:r w:rsidR="003C6A7A" w:rsidRPr="008911CB">
        <w:rPr>
          <w:noProof/>
          <w:lang w:val="pl-PL"/>
        </w:rPr>
        <w:t xml:space="preserve">, </w:t>
      </w:r>
      <w:r w:rsidR="00F2301E" w:rsidRPr="008911CB">
        <w:rPr>
          <w:noProof/>
          <w:lang w:val="pl-PL"/>
        </w:rPr>
        <w:t>jednak</w:t>
      </w:r>
      <w:r w:rsidR="003C6A7A" w:rsidRPr="008911CB">
        <w:rPr>
          <w:noProof/>
          <w:lang w:val="pl-PL"/>
        </w:rPr>
        <w:t xml:space="preserve"> należy je rozumieć zawężająco, a potrzeba wprowadzenia jakichkolwiek ograniczeń musi zostać </w:t>
      </w:r>
      <w:r w:rsidR="00A91F16" w:rsidRPr="008911CB">
        <w:rPr>
          <w:noProof/>
          <w:lang w:val="pl-PL"/>
        </w:rPr>
        <w:t>ustalona</w:t>
      </w:r>
      <w:r w:rsidR="003C6A7A" w:rsidRPr="008911CB">
        <w:rPr>
          <w:noProof/>
          <w:lang w:val="pl-PL"/>
        </w:rPr>
        <w:t xml:space="preserve"> w sposób przekonujący.</w:t>
      </w:r>
    </w:p>
    <w:p w14:paraId="30C78EBB" w14:textId="392828A5" w:rsidR="00F2301E" w:rsidRPr="008911CB" w:rsidRDefault="00F2301E" w:rsidP="002F7EC0">
      <w:pPr>
        <w:pStyle w:val="ECHRPara"/>
        <w:ind w:left="568"/>
        <w:rPr>
          <w:noProof/>
          <w:lang w:val="pl-PL"/>
        </w:rPr>
      </w:pPr>
      <w:r w:rsidRPr="008911CB">
        <w:rPr>
          <w:noProof/>
          <w:lang w:val="pl-PL"/>
        </w:rPr>
        <w:t xml:space="preserve"> </w:t>
      </w:r>
      <w:r w:rsidR="00CD489A" w:rsidRPr="008911CB">
        <w:rPr>
          <w:noProof/>
          <w:lang w:val="pl-PL"/>
        </w:rPr>
        <w:t>(ii)  </w:t>
      </w:r>
      <w:r w:rsidRPr="008911CB">
        <w:rPr>
          <w:noProof/>
          <w:lang w:val="pl-PL"/>
        </w:rPr>
        <w:t xml:space="preserve">Przymiotnik „niezbędne” użyty w art 10 ust. 2 Konwencji oznacza istnienie pilnej potrzeby społecznej. Wysokie </w:t>
      </w:r>
      <w:r w:rsidR="007D1D3A" w:rsidRPr="008911CB">
        <w:rPr>
          <w:noProof/>
          <w:lang w:val="pl-PL"/>
        </w:rPr>
        <w:t>Układające się Strony dysponują pewnym marginesem oceny</w:t>
      </w:r>
      <w:r w:rsidR="008046F6">
        <w:rPr>
          <w:noProof/>
          <w:lang w:val="pl-PL"/>
        </w:rPr>
        <w:t>,</w:t>
      </w:r>
      <w:r w:rsidR="007D1D3A" w:rsidRPr="008911CB">
        <w:rPr>
          <w:noProof/>
          <w:lang w:val="pl-PL"/>
        </w:rPr>
        <w:t xml:space="preserve"> czy taka konieczność zachodzi, jednak jest on związany z nadzorem europejskim, </w:t>
      </w:r>
      <w:r w:rsidR="00A91F16" w:rsidRPr="008911CB">
        <w:rPr>
          <w:noProof/>
          <w:lang w:val="pl-PL"/>
        </w:rPr>
        <w:t>zarówno w zakresie obowiązującego prawa</w:t>
      </w:r>
      <w:r w:rsidR="008046F6">
        <w:rPr>
          <w:noProof/>
          <w:lang w:val="pl-PL"/>
        </w:rPr>
        <w:t>,</w:t>
      </w:r>
      <w:r w:rsidR="00A91F16" w:rsidRPr="008911CB">
        <w:rPr>
          <w:noProof/>
          <w:lang w:val="pl-PL"/>
        </w:rPr>
        <w:t xml:space="preserve"> jak i wydanych na jego podstawie, nawet przez niezawisłe sądy, decyzji</w:t>
      </w:r>
      <w:r w:rsidR="007D1D3A" w:rsidRPr="008911CB">
        <w:rPr>
          <w:noProof/>
          <w:lang w:val="pl-PL"/>
        </w:rPr>
        <w:t>. Stąd Trybunał jest uprawniony do wydania ostatecznego wyroku</w:t>
      </w:r>
      <w:r w:rsidR="00A91F16" w:rsidRPr="008911CB">
        <w:rPr>
          <w:noProof/>
          <w:lang w:val="pl-PL"/>
        </w:rPr>
        <w:t>,</w:t>
      </w:r>
      <w:r w:rsidR="007D1D3A" w:rsidRPr="008911CB">
        <w:rPr>
          <w:noProof/>
          <w:lang w:val="pl-PL"/>
        </w:rPr>
        <w:t xml:space="preserve"> orzekając czy dane „ograniczenie” da się pogodzić z wolnością wypowiedzi.</w:t>
      </w:r>
    </w:p>
    <w:p w14:paraId="712C1139" w14:textId="19370EC7" w:rsidR="007D1D3A" w:rsidRPr="008911CB" w:rsidRDefault="007D1D3A" w:rsidP="00A243C0">
      <w:pPr>
        <w:pStyle w:val="ECHRPara"/>
        <w:ind w:left="568"/>
        <w:rPr>
          <w:noProof/>
          <w:lang w:val="pl-PL"/>
        </w:rPr>
      </w:pPr>
      <w:r w:rsidRPr="008911CB">
        <w:rPr>
          <w:noProof/>
          <w:lang w:val="pl-PL"/>
        </w:rPr>
        <w:t xml:space="preserve"> </w:t>
      </w:r>
      <w:r w:rsidR="00CD489A" w:rsidRPr="008911CB">
        <w:rPr>
          <w:noProof/>
          <w:lang w:val="pl-PL"/>
        </w:rPr>
        <w:t>(iii)  </w:t>
      </w:r>
      <w:r w:rsidRPr="008911CB">
        <w:rPr>
          <w:noProof/>
          <w:lang w:val="pl-PL"/>
        </w:rPr>
        <w:t>Zadaniem Trybunału nie jest wyręczanie właściwych organów krajowych, a jedynie kontrola wydawanych decyzji pod kątem zgodności z art. 10 Konwencji.</w:t>
      </w:r>
      <w:r w:rsidR="00E95ADA" w:rsidRPr="008911CB">
        <w:rPr>
          <w:noProof/>
          <w:lang w:val="pl-PL"/>
        </w:rPr>
        <w:t xml:space="preserve"> Nie oznacza to, że </w:t>
      </w:r>
      <w:r w:rsidR="00CC166B" w:rsidRPr="008911CB">
        <w:rPr>
          <w:noProof/>
          <w:lang w:val="pl-PL"/>
        </w:rPr>
        <w:t>nadzór</w:t>
      </w:r>
      <w:r w:rsidR="00E95ADA" w:rsidRPr="008911CB">
        <w:rPr>
          <w:noProof/>
          <w:lang w:val="pl-PL"/>
        </w:rPr>
        <w:t xml:space="preserve"> Trybunału ogranicza się do oceny, czy organy te podejmowały decyzje rozsądnie, </w:t>
      </w:r>
      <w:r w:rsidR="00CB1A6E" w:rsidRPr="008911CB">
        <w:rPr>
          <w:noProof/>
          <w:lang w:val="pl-PL"/>
        </w:rPr>
        <w:t>starannie</w:t>
      </w:r>
      <w:r w:rsidR="00E95ADA" w:rsidRPr="008911CB">
        <w:rPr>
          <w:noProof/>
          <w:lang w:val="pl-PL"/>
        </w:rPr>
        <w:t xml:space="preserve"> i w dobrej wierze. Trybunał musi zbadać ingerencję w kontekście całości sprawy i określić</w:t>
      </w:r>
      <w:r w:rsidR="00A243C0">
        <w:rPr>
          <w:noProof/>
          <w:lang w:val="pl-PL"/>
        </w:rPr>
        <w:t>,</w:t>
      </w:r>
      <w:r w:rsidR="00E95ADA" w:rsidRPr="008911CB">
        <w:rPr>
          <w:noProof/>
          <w:lang w:val="pl-PL"/>
        </w:rPr>
        <w:t xml:space="preserve"> czy by</w:t>
      </w:r>
      <w:r w:rsidR="007F5058" w:rsidRPr="008911CB">
        <w:rPr>
          <w:noProof/>
          <w:lang w:val="pl-PL"/>
        </w:rPr>
        <w:t>ła ona proporcjonalna</w:t>
      </w:r>
      <w:r w:rsidR="007E4610" w:rsidRPr="008911CB">
        <w:rPr>
          <w:noProof/>
          <w:lang w:val="pl-PL"/>
        </w:rPr>
        <w:t xml:space="preserve"> do zamierzonego celu oraz</w:t>
      </w:r>
      <w:r w:rsidR="00E95ADA" w:rsidRPr="008911CB">
        <w:rPr>
          <w:noProof/>
          <w:lang w:val="pl-PL"/>
        </w:rPr>
        <w:t xml:space="preserve"> czy </w:t>
      </w:r>
      <w:r w:rsidR="007F5058" w:rsidRPr="008911CB">
        <w:rPr>
          <w:noProof/>
          <w:lang w:val="pl-PL"/>
        </w:rPr>
        <w:t>przesłanki, na które powoływały się organy krajowe w uzasadnieniach</w:t>
      </w:r>
      <w:r w:rsidR="00A243C0">
        <w:rPr>
          <w:noProof/>
          <w:lang w:val="pl-PL"/>
        </w:rPr>
        <w:t>,</w:t>
      </w:r>
      <w:r w:rsidR="007F5058" w:rsidRPr="008911CB">
        <w:rPr>
          <w:noProof/>
          <w:lang w:val="pl-PL"/>
        </w:rPr>
        <w:t xml:space="preserve"> były </w:t>
      </w:r>
      <w:r w:rsidR="007E4610" w:rsidRPr="008911CB">
        <w:rPr>
          <w:noProof/>
          <w:lang w:val="pl-PL"/>
        </w:rPr>
        <w:t>adekwatne</w:t>
      </w:r>
      <w:r w:rsidR="007F5058" w:rsidRPr="008911CB">
        <w:rPr>
          <w:noProof/>
          <w:lang w:val="pl-PL"/>
        </w:rPr>
        <w:t xml:space="preserve"> i wystarczające. Co czyniąc,</w:t>
      </w:r>
      <w:r w:rsidR="005F1B12" w:rsidRPr="008911CB">
        <w:rPr>
          <w:noProof/>
          <w:lang w:val="pl-PL"/>
        </w:rPr>
        <w:t xml:space="preserve"> Trybunał musi upewnić</w:t>
      </w:r>
      <w:r w:rsidR="007E4610" w:rsidRPr="008911CB">
        <w:rPr>
          <w:noProof/>
          <w:lang w:val="pl-PL"/>
        </w:rPr>
        <w:t xml:space="preserve"> się</w:t>
      </w:r>
      <w:r w:rsidR="005F1B12" w:rsidRPr="008911CB">
        <w:rPr>
          <w:noProof/>
          <w:lang w:val="pl-PL"/>
        </w:rPr>
        <w:t xml:space="preserve">, </w:t>
      </w:r>
      <w:r w:rsidR="00A243C0">
        <w:rPr>
          <w:noProof/>
          <w:lang w:val="pl-PL"/>
        </w:rPr>
        <w:t>że</w:t>
      </w:r>
      <w:r w:rsidR="005F1B12" w:rsidRPr="008911CB">
        <w:rPr>
          <w:noProof/>
          <w:lang w:val="pl-PL"/>
        </w:rPr>
        <w:t xml:space="preserve"> organy te zastosowały standardy zgodne z zasadami </w:t>
      </w:r>
      <w:r w:rsidR="007E4610" w:rsidRPr="008911CB">
        <w:rPr>
          <w:noProof/>
          <w:lang w:val="pl-PL"/>
        </w:rPr>
        <w:t>zawartymi</w:t>
      </w:r>
      <w:r w:rsidR="005F1B12" w:rsidRPr="008911CB">
        <w:rPr>
          <w:noProof/>
          <w:lang w:val="pl-PL"/>
        </w:rPr>
        <w:t xml:space="preserve"> w art. 10</w:t>
      </w:r>
      <w:r w:rsidR="007E4610" w:rsidRPr="008911CB">
        <w:rPr>
          <w:noProof/>
          <w:lang w:val="pl-PL"/>
        </w:rPr>
        <w:t xml:space="preserve"> </w:t>
      </w:r>
      <w:r w:rsidR="00A243C0">
        <w:rPr>
          <w:noProof/>
          <w:lang w:val="pl-PL"/>
        </w:rPr>
        <w:t>oraz</w:t>
      </w:r>
      <w:r w:rsidR="007E4610" w:rsidRPr="008911CB">
        <w:rPr>
          <w:noProof/>
          <w:lang w:val="pl-PL"/>
        </w:rPr>
        <w:t xml:space="preserve"> że</w:t>
      </w:r>
      <w:r w:rsidR="006E70A6" w:rsidRPr="008911CB">
        <w:rPr>
          <w:noProof/>
          <w:lang w:val="pl-PL"/>
        </w:rPr>
        <w:t xml:space="preserve"> opierały się na dopuszczalnej ocenie istotnych faktów.</w:t>
      </w:r>
    </w:p>
    <w:p w14:paraId="0AC9199D" w14:textId="358D3959" w:rsidR="006E70A6" w:rsidRPr="008911CB" w:rsidRDefault="002F7EC0" w:rsidP="00444565">
      <w:pPr>
        <w:pStyle w:val="ECHRPara"/>
        <w:rPr>
          <w:noProof/>
          <w:lang w:val="pl-PL"/>
        </w:rPr>
      </w:pPr>
      <w:r w:rsidRPr="008911CB">
        <w:rPr>
          <w:noProof/>
          <w:lang w:val="pl-PL"/>
        </w:rPr>
        <w:t>49</w:t>
      </w:r>
      <w:r w:rsidR="00E5783B" w:rsidRPr="008911CB">
        <w:rPr>
          <w:noProof/>
          <w:lang w:val="pl-PL"/>
        </w:rPr>
        <w:t>.  </w:t>
      </w:r>
      <w:r w:rsidR="006E70A6" w:rsidRPr="008911CB">
        <w:rPr>
          <w:noProof/>
          <w:lang w:val="pl-PL"/>
        </w:rPr>
        <w:t>Inną zasadą, na którą Trybunał niezmiennie kładzie nacisk w swoim orzecznictwie</w:t>
      </w:r>
      <w:r w:rsidR="00A243C0">
        <w:rPr>
          <w:noProof/>
          <w:lang w:val="pl-PL"/>
        </w:rPr>
        <w:t>,</w:t>
      </w:r>
      <w:r w:rsidR="006E70A6" w:rsidRPr="008911CB">
        <w:rPr>
          <w:noProof/>
          <w:lang w:val="pl-PL"/>
        </w:rPr>
        <w:t xml:space="preserve"> jest wąski zakres ograniczeń przewidzianych w art. 10 ust. 2 Konwencji</w:t>
      </w:r>
      <w:r w:rsidR="00692730" w:rsidRPr="008911CB">
        <w:rPr>
          <w:noProof/>
          <w:lang w:val="pl-PL"/>
        </w:rPr>
        <w:t xml:space="preserve"> w stosunku do wypowiedzi politycznych lub debaty w kwestiach budzacych zainteresowanie społeczne (zob., oprócz wielu innych, </w:t>
      </w:r>
      <w:r w:rsidR="00692730" w:rsidRPr="008911CB">
        <w:rPr>
          <w:i/>
          <w:noProof/>
          <w:lang w:val="pl-PL"/>
        </w:rPr>
        <w:t>Wingrove p. Zjednoczonemu Królestwu</w:t>
      </w:r>
      <w:r w:rsidR="00692730" w:rsidRPr="008911CB">
        <w:rPr>
          <w:noProof/>
          <w:lang w:val="pl-PL"/>
        </w:rPr>
        <w:t>, 25 listopada 1996</w:t>
      </w:r>
      <w:r w:rsidR="00A243C0">
        <w:rPr>
          <w:noProof/>
          <w:lang w:val="pl-PL"/>
        </w:rPr>
        <w:t xml:space="preserve"> r.</w:t>
      </w:r>
      <w:r w:rsidR="00692730" w:rsidRPr="008911CB">
        <w:rPr>
          <w:noProof/>
          <w:lang w:val="pl-PL"/>
        </w:rPr>
        <w:t xml:space="preserve">, § 58, </w:t>
      </w:r>
      <w:r w:rsidR="00E96F3D" w:rsidRPr="008911CB">
        <w:rPr>
          <w:i/>
          <w:noProof/>
          <w:lang w:val="pl-PL"/>
        </w:rPr>
        <w:t>Zbiór Wyroków i Decyzji</w:t>
      </w:r>
      <w:r w:rsidR="00692730" w:rsidRPr="008911CB">
        <w:rPr>
          <w:noProof/>
          <w:lang w:val="pl-PL"/>
        </w:rPr>
        <w:t xml:space="preserve"> 1996-V; </w:t>
      </w:r>
      <w:r w:rsidR="00444565" w:rsidRPr="008911CB">
        <w:rPr>
          <w:i/>
          <w:noProof/>
          <w:lang w:val="pl-PL"/>
        </w:rPr>
        <w:t>Ceylan p. Turcji</w:t>
      </w:r>
      <w:r w:rsidR="00692730" w:rsidRPr="008911CB">
        <w:rPr>
          <w:i/>
          <w:noProof/>
          <w:lang w:val="pl-PL"/>
        </w:rPr>
        <w:t xml:space="preserve"> </w:t>
      </w:r>
      <w:r w:rsidR="00444565" w:rsidRPr="008911CB">
        <w:rPr>
          <w:noProof/>
          <w:lang w:val="pl-PL"/>
        </w:rPr>
        <w:t>[WI], nr 23556/94, § 34, ETPCz</w:t>
      </w:r>
      <w:r w:rsidR="00692730" w:rsidRPr="008911CB">
        <w:rPr>
          <w:noProof/>
          <w:lang w:val="pl-PL"/>
        </w:rPr>
        <w:t xml:space="preserve"> 1999-IV; </w:t>
      </w:r>
      <w:r w:rsidR="00444565" w:rsidRPr="008911CB">
        <w:rPr>
          <w:noProof/>
          <w:lang w:val="pl-PL"/>
        </w:rPr>
        <w:t>i</w:t>
      </w:r>
      <w:r w:rsidR="00692730" w:rsidRPr="008911CB">
        <w:rPr>
          <w:noProof/>
          <w:lang w:val="pl-PL"/>
        </w:rPr>
        <w:t xml:space="preserve"> </w:t>
      </w:r>
      <w:r w:rsidR="00692730" w:rsidRPr="008911CB">
        <w:rPr>
          <w:i/>
          <w:noProof/>
          <w:lang w:val="pl-PL"/>
        </w:rPr>
        <w:t>Animal Defenders International</w:t>
      </w:r>
      <w:r w:rsidR="00692730" w:rsidRPr="008911CB">
        <w:rPr>
          <w:noProof/>
          <w:lang w:val="pl-PL"/>
        </w:rPr>
        <w:t xml:space="preserve">, </w:t>
      </w:r>
      <w:r w:rsidR="00444565" w:rsidRPr="008911CB">
        <w:rPr>
          <w:noProof/>
          <w:lang w:val="pl-PL"/>
        </w:rPr>
        <w:t>cytowany powyżej</w:t>
      </w:r>
      <w:r w:rsidR="00692730" w:rsidRPr="008911CB">
        <w:rPr>
          <w:noProof/>
          <w:lang w:val="pl-PL"/>
        </w:rPr>
        <w:t>, § 102)</w:t>
      </w:r>
      <w:r w:rsidR="00444565" w:rsidRPr="008911CB">
        <w:rPr>
          <w:noProof/>
          <w:lang w:val="pl-PL"/>
        </w:rPr>
        <w:t>.</w:t>
      </w:r>
    </w:p>
    <w:p w14:paraId="61C82C5B" w14:textId="5ACEA73B" w:rsidR="00502737" w:rsidRPr="008911CB" w:rsidRDefault="00444565" w:rsidP="002F7EC0">
      <w:pPr>
        <w:pStyle w:val="ECHRHeading6"/>
        <w:rPr>
          <w:noProof/>
          <w:lang w:val="pl-PL"/>
        </w:rPr>
      </w:pPr>
      <w:r w:rsidRPr="008911CB">
        <w:rPr>
          <w:lang w:val="pl-PL"/>
        </w:rPr>
        <w:t xml:space="preserve"> </w:t>
      </w:r>
      <w:r w:rsidR="00FE1FF3" w:rsidRPr="008911CB">
        <w:rPr>
          <w:lang w:val="pl-PL"/>
        </w:rPr>
        <w:t>(β</w:t>
      </w:r>
      <w:r w:rsidR="00F50FD3" w:rsidRPr="008911CB">
        <w:rPr>
          <w:lang w:val="pl-PL"/>
        </w:rPr>
        <w:t>)</w:t>
      </w:r>
      <w:r w:rsidR="00617A30" w:rsidRPr="008911CB">
        <w:rPr>
          <w:noProof/>
          <w:lang w:val="pl-PL"/>
        </w:rPr>
        <w:t>  </w:t>
      </w:r>
      <w:r w:rsidR="00502737" w:rsidRPr="008911CB">
        <w:rPr>
          <w:noProof/>
          <w:lang w:val="pl-PL"/>
        </w:rPr>
        <w:t xml:space="preserve">Wyważenie art. 10 i art. 8 Konwencji </w:t>
      </w:r>
    </w:p>
    <w:p w14:paraId="4071931F" w14:textId="5F76C0DE" w:rsidR="00C95FA1" w:rsidRPr="008911CB" w:rsidRDefault="002F7EC0" w:rsidP="002F7EC0">
      <w:pPr>
        <w:pStyle w:val="ECHRPara"/>
        <w:rPr>
          <w:lang w:val="pl-PL"/>
        </w:rPr>
      </w:pPr>
      <w:r w:rsidRPr="008911CB">
        <w:rPr>
          <w:noProof/>
          <w:lang w:val="pl-PL"/>
        </w:rPr>
        <w:t>50</w:t>
      </w:r>
      <w:r w:rsidR="00FE1FF3" w:rsidRPr="008911CB">
        <w:rPr>
          <w:lang w:val="pl-PL"/>
        </w:rPr>
        <w:t>.  </w:t>
      </w:r>
      <w:r w:rsidR="00C95FA1" w:rsidRPr="008911CB">
        <w:rPr>
          <w:lang w:val="pl-PL"/>
        </w:rPr>
        <w:t xml:space="preserve">Ogólne zasady stosowane w sprawach, w których należy wyważyć wolność wypowiedzi przewidzianą w art. 10 Konwencji i prawo do poszanowania życia prywatnego przewidziane w art. 8 Konwencji, zostały podsumowane przez Wielką Izbę Trybunału w </w:t>
      </w:r>
      <w:r w:rsidR="00C95FA1" w:rsidRPr="008911CB">
        <w:rPr>
          <w:i/>
          <w:iCs/>
          <w:lang w:val="pl-PL"/>
        </w:rPr>
        <w:t xml:space="preserve">Medžlis Islamske Zajednice Brčko i Inni p. Bośni i Hercegowinie </w:t>
      </w:r>
      <w:r w:rsidR="00C95FA1" w:rsidRPr="008911CB">
        <w:rPr>
          <w:lang w:val="pl-PL"/>
        </w:rPr>
        <w:t xml:space="preserve"> [WI]</w:t>
      </w:r>
      <w:r w:rsidR="00C95FA1" w:rsidRPr="008911CB">
        <w:rPr>
          <w:iCs/>
          <w:lang w:val="pl-PL"/>
        </w:rPr>
        <w:t>, (</w:t>
      </w:r>
      <w:r w:rsidR="00C95FA1" w:rsidRPr="008911CB">
        <w:rPr>
          <w:lang w:val="pl-PL"/>
        </w:rPr>
        <w:t>nr 17224/11, § 77, 27 czerwca 2017</w:t>
      </w:r>
      <w:r w:rsidR="001C0978">
        <w:rPr>
          <w:lang w:val="pl-PL"/>
        </w:rPr>
        <w:t xml:space="preserve"> r.</w:t>
      </w:r>
      <w:r w:rsidR="00C95FA1" w:rsidRPr="008911CB">
        <w:rPr>
          <w:lang w:val="pl-PL"/>
        </w:rPr>
        <w:t xml:space="preserve">) i </w:t>
      </w:r>
      <w:r w:rsidR="00C95FA1" w:rsidRPr="008911CB">
        <w:rPr>
          <w:rFonts w:ascii="Times New Roman" w:eastAsia="Times New Roman" w:hAnsi="Times New Roman" w:cs="Times New Roman"/>
          <w:i/>
          <w:lang w:val="pl-PL"/>
        </w:rPr>
        <w:t xml:space="preserve">Perinçek </w:t>
      </w:r>
      <w:r w:rsidR="00C95FA1" w:rsidRPr="008911CB">
        <w:rPr>
          <w:rFonts w:ascii="Times New Roman" w:eastAsia="Times New Roman" w:hAnsi="Times New Roman" w:cs="Times New Roman"/>
          <w:lang w:val="pl-PL"/>
        </w:rPr>
        <w:t>(cytowany powyżej) § 198, ETPCz 2015 (fragmenty</w:t>
      </w:r>
      <w:r w:rsidR="00923EB2" w:rsidRPr="008911CB">
        <w:rPr>
          <w:rFonts w:ascii="Times New Roman" w:eastAsia="Times New Roman" w:hAnsi="Times New Roman" w:cs="Times New Roman"/>
          <w:lang w:val="pl-PL"/>
        </w:rPr>
        <w:t>))</w:t>
      </w:r>
      <w:r w:rsidR="00C95FA1" w:rsidRPr="008911CB">
        <w:rPr>
          <w:rFonts w:ascii="Times New Roman" w:eastAsia="Times New Roman" w:hAnsi="Times New Roman" w:cs="Times New Roman"/>
          <w:lang w:val="pl-PL"/>
        </w:rPr>
        <w:t xml:space="preserve"> w ramach przeglądu orzecznictwa Trybunału w sprawach </w:t>
      </w:r>
      <w:r w:rsidR="00923EB2" w:rsidRPr="008911CB">
        <w:rPr>
          <w:i/>
          <w:lang w:val="pl-PL"/>
        </w:rPr>
        <w:t>Von Hannover p. Niemcom</w:t>
      </w:r>
      <w:r w:rsidR="00923EB2" w:rsidRPr="008911CB">
        <w:rPr>
          <w:lang w:val="pl-PL"/>
        </w:rPr>
        <w:t xml:space="preserve"> (nr 2) ([WI], nr</w:t>
      </w:r>
      <w:r w:rsidR="00923EB2" w:rsidRPr="008911CB">
        <w:rPr>
          <w:color w:val="000000" w:themeColor="text1"/>
          <w:lang w:val="pl-PL"/>
        </w:rPr>
        <w:t xml:space="preserve"> </w:t>
      </w:r>
      <w:r w:rsidR="00923EB2" w:rsidRPr="00B95E97">
        <w:rPr>
          <w:lang w:val="pl-PL"/>
        </w:rPr>
        <w:t>40660/08</w:t>
      </w:r>
      <w:r w:rsidR="00923EB2" w:rsidRPr="008911CB">
        <w:rPr>
          <w:color w:val="000000" w:themeColor="text1"/>
          <w:lang w:val="pl-PL"/>
        </w:rPr>
        <w:t xml:space="preserve"> i </w:t>
      </w:r>
      <w:r w:rsidR="00923EB2" w:rsidRPr="00B95E97">
        <w:rPr>
          <w:lang w:val="pl-PL"/>
        </w:rPr>
        <w:t>60641/08</w:t>
      </w:r>
      <w:r w:rsidR="00923EB2" w:rsidRPr="008911CB">
        <w:rPr>
          <w:color w:val="000000" w:themeColor="text1"/>
          <w:lang w:val="pl-PL"/>
        </w:rPr>
        <w:t xml:space="preserve">, §§ 104-07, ETPCz 2012) i </w:t>
      </w:r>
      <w:r w:rsidR="00923EB2" w:rsidRPr="008911CB">
        <w:rPr>
          <w:i/>
          <w:color w:val="000000" w:themeColor="text1"/>
          <w:lang w:val="pl-PL"/>
        </w:rPr>
        <w:t>Axel Springer AG p. Niemcom</w:t>
      </w:r>
      <w:r w:rsidR="00923EB2" w:rsidRPr="008911CB">
        <w:rPr>
          <w:color w:val="000000" w:themeColor="text1"/>
          <w:lang w:val="pl-PL"/>
        </w:rPr>
        <w:t xml:space="preserve"> ([WI], nr </w:t>
      </w:r>
      <w:r w:rsidR="00923EB2" w:rsidRPr="00B95E97">
        <w:rPr>
          <w:lang w:val="pl-PL"/>
        </w:rPr>
        <w:t>39954/08</w:t>
      </w:r>
      <w:r w:rsidR="00923EB2" w:rsidRPr="008911CB">
        <w:rPr>
          <w:color w:val="000000" w:themeColor="text1"/>
          <w:lang w:val="pl-PL"/>
        </w:rPr>
        <w:t>, §§ 85-88, 7 lutego 2012</w:t>
      </w:r>
      <w:r w:rsidR="001C0978">
        <w:rPr>
          <w:color w:val="000000" w:themeColor="text1"/>
          <w:lang w:val="pl-PL"/>
        </w:rPr>
        <w:t xml:space="preserve"> r.</w:t>
      </w:r>
      <w:r w:rsidR="00923EB2" w:rsidRPr="008911CB">
        <w:rPr>
          <w:color w:val="000000" w:themeColor="text1"/>
          <w:lang w:val="pl-PL"/>
        </w:rPr>
        <w:t>). Można je przedstawić następująco:</w:t>
      </w:r>
    </w:p>
    <w:p w14:paraId="03C52D6B" w14:textId="6E765E0D" w:rsidR="00923EB2" w:rsidRPr="008911CB" w:rsidRDefault="00923EB2" w:rsidP="002F7EC0">
      <w:pPr>
        <w:pStyle w:val="ECHRPara"/>
        <w:ind w:left="568"/>
        <w:rPr>
          <w:lang w:val="pl-PL"/>
        </w:rPr>
      </w:pPr>
      <w:r w:rsidRPr="008911CB">
        <w:rPr>
          <w:lang w:val="pl-PL"/>
        </w:rPr>
        <w:t xml:space="preserve"> </w:t>
      </w:r>
      <w:r w:rsidR="00F46E89" w:rsidRPr="008911CB">
        <w:rPr>
          <w:lang w:val="pl-PL"/>
        </w:rPr>
        <w:t>(i)</w:t>
      </w:r>
      <w:r w:rsidR="00897C89" w:rsidRPr="008911CB">
        <w:rPr>
          <w:lang w:val="pl-PL"/>
        </w:rPr>
        <w:t>  </w:t>
      </w:r>
      <w:r w:rsidRPr="008911CB">
        <w:rPr>
          <w:lang w:val="pl-PL"/>
        </w:rPr>
        <w:t>W sprawach tego rodzaju rozstrzygnięcie nie powinno zależeć od tego, czy skarga została wniesiona z art. 8 przez osobę, która była obiektem wypowiedzi,</w:t>
      </w:r>
      <w:r w:rsidR="0088313F" w:rsidRPr="008911CB">
        <w:rPr>
          <w:lang w:val="pl-PL"/>
        </w:rPr>
        <w:t xml:space="preserve"> czy z art. 10 przez jej autora</w:t>
      </w:r>
      <w:r w:rsidRPr="008911CB">
        <w:rPr>
          <w:lang w:val="pl-PL"/>
        </w:rPr>
        <w:t xml:space="preserve"> ponieważ, co do zasady, prawom </w:t>
      </w:r>
      <w:r w:rsidR="004E0485" w:rsidRPr="008911CB">
        <w:rPr>
          <w:lang w:val="pl-PL"/>
        </w:rPr>
        <w:t>zapisanym</w:t>
      </w:r>
      <w:r w:rsidRPr="008911CB">
        <w:rPr>
          <w:lang w:val="pl-PL"/>
        </w:rPr>
        <w:t xml:space="preserve"> w obu artykułach należy się równe po</w:t>
      </w:r>
      <w:r w:rsidR="004E0485" w:rsidRPr="008911CB">
        <w:rPr>
          <w:lang w:val="pl-PL"/>
        </w:rPr>
        <w:t>szanowanie.</w:t>
      </w:r>
    </w:p>
    <w:p w14:paraId="0BA71EB0" w14:textId="77777777" w:rsidR="005B67C8" w:rsidRPr="008911CB" w:rsidRDefault="004E0485" w:rsidP="005B67C8">
      <w:pPr>
        <w:pStyle w:val="ECHRPara"/>
        <w:ind w:left="568"/>
        <w:rPr>
          <w:lang w:val="pl-PL"/>
        </w:rPr>
      </w:pPr>
      <w:r w:rsidRPr="008911CB">
        <w:rPr>
          <w:lang w:val="pl-PL"/>
        </w:rPr>
        <w:t xml:space="preserve"> </w:t>
      </w:r>
      <w:r w:rsidR="00F46E89" w:rsidRPr="008911CB">
        <w:rPr>
          <w:lang w:val="pl-PL"/>
        </w:rPr>
        <w:t>(ii)</w:t>
      </w:r>
      <w:r w:rsidR="00897C89" w:rsidRPr="008911CB">
        <w:rPr>
          <w:lang w:val="pl-PL"/>
        </w:rPr>
        <w:t>  </w:t>
      </w:r>
      <w:r w:rsidRPr="008911CB">
        <w:rPr>
          <w:lang w:val="pl-PL"/>
        </w:rPr>
        <w:t xml:space="preserve">Wybór środków mających na celu </w:t>
      </w:r>
      <w:r w:rsidR="0088313F" w:rsidRPr="008911CB">
        <w:rPr>
          <w:lang w:val="pl-PL"/>
        </w:rPr>
        <w:t>zapewnienie</w:t>
      </w:r>
      <w:r w:rsidRPr="008911CB">
        <w:rPr>
          <w:lang w:val="pl-PL"/>
        </w:rPr>
        <w:t xml:space="preserve"> </w:t>
      </w:r>
      <w:r w:rsidR="0088313F" w:rsidRPr="008911CB">
        <w:rPr>
          <w:lang w:val="pl-PL"/>
        </w:rPr>
        <w:t>stosowania zapisów art. 8 w kształtowaniu wzajemnych relacji między osobami</w:t>
      </w:r>
      <w:r w:rsidR="00965F5F" w:rsidRPr="008911CB">
        <w:rPr>
          <w:lang w:val="pl-PL"/>
        </w:rPr>
        <w:t xml:space="preserve"> co do zasady należy do marginesu oceny Wysokich Układających się Stron, bez względu na to, czy o</w:t>
      </w:r>
      <w:r w:rsidR="00574CCD" w:rsidRPr="008911CB">
        <w:rPr>
          <w:lang w:val="pl-PL"/>
        </w:rPr>
        <w:t>bowiązki z nim związane</w:t>
      </w:r>
      <w:r w:rsidR="00965F5F" w:rsidRPr="008911CB">
        <w:rPr>
          <w:lang w:val="pl-PL"/>
        </w:rPr>
        <w:t xml:space="preserve"> są pozytywne czy negatywne</w:t>
      </w:r>
      <w:r w:rsidR="00574CCD" w:rsidRPr="008911CB">
        <w:rPr>
          <w:lang w:val="pl-PL"/>
        </w:rPr>
        <w:t>. Istnieją r</w:t>
      </w:r>
      <w:r w:rsidR="005B67C8" w:rsidRPr="008911CB">
        <w:rPr>
          <w:lang w:val="pl-PL"/>
        </w:rPr>
        <w:t>óżne sposoby na zagwarantowanie poszanowania życia prywatnego, a charakter obowiązków zależeć będzie od konkretnego aspektu życia prywatnego, który jest przedmiotem rozważań.</w:t>
      </w:r>
    </w:p>
    <w:p w14:paraId="41B86817" w14:textId="199624C5" w:rsidR="000B00B3" w:rsidRPr="008911CB" w:rsidRDefault="005B67C8" w:rsidP="000B00B3">
      <w:pPr>
        <w:pStyle w:val="ECHRPara"/>
        <w:ind w:left="568"/>
        <w:rPr>
          <w:lang w:val="pl-PL"/>
        </w:rPr>
      </w:pPr>
      <w:r w:rsidRPr="008911CB">
        <w:rPr>
          <w:lang w:val="pl-PL"/>
        </w:rPr>
        <w:t xml:space="preserve"> </w:t>
      </w:r>
      <w:r w:rsidR="00F46E89" w:rsidRPr="008911CB">
        <w:rPr>
          <w:lang w:val="pl-PL"/>
        </w:rPr>
        <w:t>(iii)</w:t>
      </w:r>
      <w:r w:rsidR="00897C89" w:rsidRPr="008911CB">
        <w:rPr>
          <w:lang w:val="pl-PL"/>
        </w:rPr>
        <w:t>  </w:t>
      </w:r>
      <w:r w:rsidRPr="008911CB">
        <w:rPr>
          <w:lang w:val="pl-PL"/>
        </w:rPr>
        <w:t>Podobnie</w:t>
      </w:r>
      <w:r w:rsidR="000B00B3" w:rsidRPr="008911CB">
        <w:rPr>
          <w:lang w:val="pl-PL"/>
        </w:rPr>
        <w:t xml:space="preserve"> zgodnie z art. 10 Konwencji</w:t>
      </w:r>
      <w:r w:rsidRPr="008911CB">
        <w:rPr>
          <w:lang w:val="pl-PL"/>
        </w:rPr>
        <w:t xml:space="preserve"> Wysokie Układające się Strony dysponują marginesem oceny</w:t>
      </w:r>
      <w:r w:rsidR="001C0978">
        <w:rPr>
          <w:lang w:val="pl-PL"/>
        </w:rPr>
        <w:t>,</w:t>
      </w:r>
      <w:r w:rsidRPr="008911CB">
        <w:rPr>
          <w:lang w:val="pl-PL"/>
        </w:rPr>
        <w:t xml:space="preserve"> czy i w jakim stopniu ingerencja </w:t>
      </w:r>
      <w:r w:rsidR="000B00B3" w:rsidRPr="008911CB">
        <w:rPr>
          <w:lang w:val="pl-PL"/>
        </w:rPr>
        <w:t xml:space="preserve">w prawo do </w:t>
      </w:r>
      <w:r w:rsidR="00C050D8" w:rsidRPr="008911CB">
        <w:rPr>
          <w:lang w:val="pl-PL"/>
        </w:rPr>
        <w:t>wolności wyrażania opinii</w:t>
      </w:r>
      <w:r w:rsidR="000B00B3" w:rsidRPr="008911CB">
        <w:rPr>
          <w:lang w:val="pl-PL"/>
        </w:rPr>
        <w:t xml:space="preserve"> jest niezbędna.</w:t>
      </w:r>
    </w:p>
    <w:p w14:paraId="36651196" w14:textId="464D31BB" w:rsidR="00B13458" w:rsidRPr="008911CB" w:rsidRDefault="000B00B3" w:rsidP="00B13458">
      <w:pPr>
        <w:pStyle w:val="ECHRPara"/>
        <w:ind w:left="568"/>
        <w:rPr>
          <w:lang w:val="pl-PL"/>
        </w:rPr>
      </w:pPr>
      <w:r w:rsidRPr="008911CB">
        <w:rPr>
          <w:lang w:val="pl-PL"/>
        </w:rPr>
        <w:t xml:space="preserve"> </w:t>
      </w:r>
      <w:r w:rsidR="00F46E89" w:rsidRPr="008911CB">
        <w:rPr>
          <w:lang w:val="pl-PL"/>
        </w:rPr>
        <w:t>(iv)</w:t>
      </w:r>
      <w:r w:rsidR="00897C89" w:rsidRPr="008911CB">
        <w:rPr>
          <w:lang w:val="pl-PL"/>
        </w:rPr>
        <w:t>  </w:t>
      </w:r>
      <w:r w:rsidR="007E4610" w:rsidRPr="008911CB">
        <w:rPr>
          <w:lang w:val="pl-PL"/>
        </w:rPr>
        <w:t>Jednak margines oceny</w:t>
      </w:r>
      <w:r w:rsidR="007E4610" w:rsidRPr="008911CB">
        <w:rPr>
          <w:noProof/>
          <w:lang w:val="pl-PL"/>
        </w:rPr>
        <w:t xml:space="preserve"> związany jest z nadzorem europejskim, zarówno w zakresie obowiązującego prawa</w:t>
      </w:r>
      <w:r w:rsidR="001C0978">
        <w:rPr>
          <w:noProof/>
          <w:lang w:val="pl-PL"/>
        </w:rPr>
        <w:t>,</w:t>
      </w:r>
      <w:r w:rsidR="007E4610" w:rsidRPr="008911CB">
        <w:rPr>
          <w:noProof/>
          <w:lang w:val="pl-PL"/>
        </w:rPr>
        <w:t xml:space="preserve"> jak i wydanych na jego podstawie, nawet przez niezawisłe sądy, decyzji.</w:t>
      </w:r>
      <w:r w:rsidR="00F25629" w:rsidRPr="008911CB">
        <w:rPr>
          <w:noProof/>
          <w:lang w:val="pl-PL"/>
        </w:rPr>
        <w:t xml:space="preserve"> Z</w:t>
      </w:r>
      <w:r w:rsidR="00B13458" w:rsidRPr="008911CB">
        <w:rPr>
          <w:noProof/>
          <w:lang w:val="pl-PL"/>
        </w:rPr>
        <w:t>adaniem T</w:t>
      </w:r>
      <w:r w:rsidR="00F25629" w:rsidRPr="008911CB">
        <w:rPr>
          <w:noProof/>
          <w:lang w:val="pl-PL"/>
        </w:rPr>
        <w:t>rybunału w jego funkcji nadzorczej</w:t>
      </w:r>
      <w:r w:rsidR="00225304" w:rsidRPr="008911CB">
        <w:rPr>
          <w:noProof/>
          <w:lang w:val="pl-PL"/>
        </w:rPr>
        <w:t xml:space="preserve"> nie jest przejęcie kompetencji </w:t>
      </w:r>
      <w:r w:rsidR="00B13458" w:rsidRPr="008911CB">
        <w:rPr>
          <w:noProof/>
          <w:lang w:val="pl-PL"/>
        </w:rPr>
        <w:t>sądów krajowych, ale całościowa ocena podjętych przez nie decyzji pod kątem zgodności z zapisami Konwencji.</w:t>
      </w:r>
    </w:p>
    <w:p w14:paraId="69984F4A" w14:textId="1970F09D" w:rsidR="00B13458" w:rsidRPr="008911CB" w:rsidRDefault="00B13458" w:rsidP="00B13458">
      <w:pPr>
        <w:pStyle w:val="ECHRPara"/>
        <w:ind w:left="568"/>
        <w:rPr>
          <w:lang w:val="pl-PL"/>
        </w:rPr>
      </w:pPr>
      <w:r w:rsidRPr="008911CB">
        <w:rPr>
          <w:lang w:val="pl-PL"/>
        </w:rPr>
        <w:t xml:space="preserve"> </w:t>
      </w:r>
      <w:r w:rsidR="00F46E89" w:rsidRPr="008911CB">
        <w:rPr>
          <w:lang w:val="pl-PL"/>
        </w:rPr>
        <w:t>(v)</w:t>
      </w:r>
      <w:r w:rsidR="00897C89" w:rsidRPr="008911CB">
        <w:rPr>
          <w:lang w:val="pl-PL"/>
        </w:rPr>
        <w:t>  </w:t>
      </w:r>
      <w:r w:rsidRPr="008911CB">
        <w:rPr>
          <w:lang w:val="pl-PL"/>
        </w:rPr>
        <w:t xml:space="preserve">Jeżeli </w:t>
      </w:r>
      <w:r w:rsidR="001C7113" w:rsidRPr="008911CB">
        <w:rPr>
          <w:lang w:val="pl-PL"/>
        </w:rPr>
        <w:t>organy</w:t>
      </w:r>
      <w:r w:rsidRPr="008911CB">
        <w:rPr>
          <w:lang w:val="pl-PL"/>
        </w:rPr>
        <w:t xml:space="preserve"> krajowe </w:t>
      </w:r>
      <w:r w:rsidR="001C7113" w:rsidRPr="008911CB">
        <w:rPr>
          <w:lang w:val="pl-PL"/>
        </w:rPr>
        <w:t xml:space="preserve">podjęły próbę znalezienia równowagi </w:t>
      </w:r>
      <w:r w:rsidRPr="008911CB">
        <w:rPr>
          <w:lang w:val="pl-PL"/>
        </w:rPr>
        <w:t xml:space="preserve">zgodnie z kryteriami </w:t>
      </w:r>
      <w:r w:rsidR="00924BB9" w:rsidRPr="008911CB">
        <w:rPr>
          <w:lang w:val="pl-PL"/>
        </w:rPr>
        <w:t>zawartymi w orzecznictwie Trybunału, może on podzielić ich stanowisko wyłącznie po przedstawieniu ważnych przesłanek.</w:t>
      </w:r>
    </w:p>
    <w:p w14:paraId="380E2000" w14:textId="58198B60" w:rsidR="001C7113" w:rsidRPr="008911CB" w:rsidRDefault="002F7EC0" w:rsidP="006925EF">
      <w:pPr>
        <w:pStyle w:val="ECHRPara"/>
        <w:rPr>
          <w:rFonts w:ascii="Times New Roman" w:hAnsi="Times New Roman" w:cs="Times New Roman"/>
          <w:color w:val="000000" w:themeColor="text1"/>
          <w:szCs w:val="24"/>
          <w:lang w:val="pl-PL"/>
        </w:rPr>
      </w:pPr>
      <w:r w:rsidRPr="008911CB">
        <w:rPr>
          <w:rFonts w:ascii="Times New Roman" w:hAnsi="Times New Roman" w:cs="Times New Roman"/>
          <w:noProof/>
          <w:szCs w:val="24"/>
          <w:lang w:val="pl-PL"/>
        </w:rPr>
        <w:t>51</w:t>
      </w:r>
      <w:r w:rsidR="00A95608" w:rsidRPr="008911CB">
        <w:rPr>
          <w:rFonts w:ascii="Times New Roman" w:hAnsi="Times New Roman" w:cs="Times New Roman"/>
          <w:szCs w:val="24"/>
          <w:lang w:val="pl-PL"/>
        </w:rPr>
        <w:t>.  </w:t>
      </w:r>
      <w:r w:rsidR="00B97ACB" w:rsidRPr="008911CB">
        <w:rPr>
          <w:rFonts w:ascii="Times New Roman" w:hAnsi="Times New Roman" w:cs="Times New Roman"/>
          <w:szCs w:val="24"/>
          <w:lang w:val="pl-PL"/>
        </w:rPr>
        <w:t xml:space="preserve">Ponadto Trybunał </w:t>
      </w:r>
      <w:r w:rsidR="009E44F6" w:rsidRPr="008911CB">
        <w:rPr>
          <w:rFonts w:ascii="Times New Roman" w:hAnsi="Times New Roman" w:cs="Times New Roman"/>
          <w:szCs w:val="24"/>
          <w:lang w:val="pl-PL"/>
        </w:rPr>
        <w:t>uznał</w:t>
      </w:r>
      <w:r w:rsidR="00B97ACB" w:rsidRPr="008911CB">
        <w:rPr>
          <w:rFonts w:ascii="Times New Roman" w:hAnsi="Times New Roman" w:cs="Times New Roman"/>
          <w:szCs w:val="24"/>
          <w:lang w:val="pl-PL"/>
        </w:rPr>
        <w:t xml:space="preserve"> również, że </w:t>
      </w:r>
      <w:r w:rsidR="002C3925" w:rsidRPr="008911CB">
        <w:rPr>
          <w:rFonts w:ascii="Times New Roman" w:hAnsi="Times New Roman" w:cs="Times New Roman"/>
          <w:szCs w:val="24"/>
          <w:lang w:val="pl-PL"/>
        </w:rPr>
        <w:t xml:space="preserve">aby w grę wchodził art. 8 to  </w:t>
      </w:r>
      <w:r w:rsidR="009E44F6" w:rsidRPr="008911CB">
        <w:rPr>
          <w:lang w:val="pl-PL"/>
        </w:rPr>
        <w:t>atak na dobre imię danej osoby musi osiągać pewien poziom powagi i być dokonany w sposób wyrządzający szkodę dla osobistego korzystania z prawa do poszanowania życia prywatnego</w:t>
      </w:r>
      <w:r w:rsidR="002C3925" w:rsidRPr="008911CB">
        <w:rPr>
          <w:lang w:val="pl-PL"/>
        </w:rPr>
        <w:t xml:space="preserve"> </w:t>
      </w:r>
      <w:r w:rsidR="002C3925" w:rsidRPr="008911CB">
        <w:rPr>
          <w:rFonts w:ascii="Times New Roman" w:hAnsi="Times New Roman" w:cs="Times New Roman"/>
          <w:szCs w:val="24"/>
          <w:lang w:val="pl-PL"/>
        </w:rPr>
        <w:t xml:space="preserve">(zob. </w:t>
      </w:r>
      <w:r w:rsidR="002C3925" w:rsidRPr="008911CB">
        <w:rPr>
          <w:rFonts w:ascii="Times New Roman" w:hAnsi="Times New Roman" w:cs="Times New Roman"/>
          <w:i/>
          <w:szCs w:val="24"/>
          <w:lang w:val="pl-PL"/>
        </w:rPr>
        <w:t>Bédat p. Szwajcarii</w:t>
      </w:r>
      <w:r w:rsidR="002C3925" w:rsidRPr="008911CB">
        <w:rPr>
          <w:rFonts w:ascii="Times New Roman" w:hAnsi="Times New Roman" w:cs="Times New Roman"/>
          <w:i/>
          <w:color w:val="000000" w:themeColor="text1"/>
          <w:szCs w:val="24"/>
          <w:lang w:val="pl-PL"/>
        </w:rPr>
        <w:t xml:space="preserve"> </w:t>
      </w:r>
      <w:r w:rsidR="002C3925" w:rsidRPr="008911CB">
        <w:rPr>
          <w:rFonts w:ascii="Times New Roman" w:hAnsi="Times New Roman" w:cs="Times New Roman"/>
          <w:color w:val="000000" w:themeColor="text1"/>
          <w:szCs w:val="24"/>
          <w:lang w:val="pl-PL"/>
        </w:rPr>
        <w:t>[WI], nr 56925/08, § 72, 29 marca 2016</w:t>
      </w:r>
      <w:r w:rsidR="001C0978">
        <w:rPr>
          <w:rFonts w:ascii="Times New Roman" w:hAnsi="Times New Roman" w:cs="Times New Roman"/>
          <w:color w:val="000000" w:themeColor="text1"/>
          <w:szCs w:val="24"/>
          <w:lang w:val="pl-PL"/>
        </w:rPr>
        <w:t xml:space="preserve"> r.</w:t>
      </w:r>
      <w:r w:rsidR="002C3925" w:rsidRPr="008911CB">
        <w:rPr>
          <w:rFonts w:ascii="Times New Roman" w:hAnsi="Times New Roman" w:cs="Times New Roman"/>
          <w:color w:val="000000" w:themeColor="text1"/>
          <w:szCs w:val="24"/>
          <w:lang w:val="pl-PL"/>
        </w:rPr>
        <w:t xml:space="preserve"> i </w:t>
      </w:r>
      <w:r w:rsidR="002C3925" w:rsidRPr="008911CB">
        <w:rPr>
          <w:rFonts w:ascii="Times New Roman" w:hAnsi="Times New Roman" w:cs="Times New Roman"/>
          <w:i/>
          <w:iCs/>
          <w:color w:val="000000" w:themeColor="text1"/>
          <w:szCs w:val="24"/>
          <w:lang w:val="pl-PL"/>
        </w:rPr>
        <w:t>Axel Springer AG</w:t>
      </w:r>
      <w:r w:rsidR="002C3925" w:rsidRPr="008911CB">
        <w:rPr>
          <w:rFonts w:ascii="Times New Roman" w:hAnsi="Times New Roman" w:cs="Times New Roman"/>
          <w:color w:val="000000" w:themeColor="text1"/>
          <w:szCs w:val="24"/>
          <w:lang w:val="pl-PL"/>
        </w:rPr>
        <w:t xml:space="preserve">, cytowany powyżej, § 83). </w:t>
      </w:r>
      <w:r w:rsidR="00E9175F" w:rsidRPr="008911CB">
        <w:rPr>
          <w:rFonts w:ascii="Times New Roman" w:hAnsi="Times New Roman" w:cs="Times New Roman"/>
          <w:color w:val="000000" w:themeColor="text1"/>
          <w:szCs w:val="24"/>
          <w:lang w:val="pl-PL"/>
        </w:rPr>
        <w:t xml:space="preserve">W szczególności Trybunał uznał, że dobre imię </w:t>
      </w:r>
      <w:r w:rsidR="00F46CE0" w:rsidRPr="008911CB">
        <w:rPr>
          <w:rFonts w:ascii="Times New Roman" w:hAnsi="Times New Roman" w:cs="Times New Roman"/>
          <w:color w:val="000000" w:themeColor="text1"/>
          <w:szCs w:val="24"/>
          <w:lang w:val="pl-PL"/>
        </w:rPr>
        <w:t>było uznawane</w:t>
      </w:r>
      <w:r w:rsidR="00E9175F" w:rsidRPr="008911CB">
        <w:rPr>
          <w:rFonts w:ascii="Times New Roman" w:hAnsi="Times New Roman" w:cs="Times New Roman"/>
          <w:color w:val="000000" w:themeColor="text1"/>
          <w:szCs w:val="24"/>
          <w:lang w:val="pl-PL"/>
        </w:rPr>
        <w:t xml:space="preserve"> za </w:t>
      </w:r>
      <w:r w:rsidR="00F46CE0" w:rsidRPr="008911CB">
        <w:rPr>
          <w:rFonts w:ascii="Times New Roman" w:hAnsi="Times New Roman" w:cs="Times New Roman"/>
          <w:color w:val="000000" w:themeColor="text1"/>
          <w:szCs w:val="24"/>
          <w:lang w:val="pl-PL"/>
        </w:rPr>
        <w:t xml:space="preserve">osobne prawo przeważnie w tych przypadkach, gdy zarzuty faktyczne miały tak  wyraźnie oszczerczy charakter, że ich opublikowanie miało nieuchronny, bezpośredni wpływ na życie prywatne skarżącego (zob. </w:t>
      </w:r>
      <w:r w:rsidR="00F46CE0" w:rsidRPr="008911CB">
        <w:rPr>
          <w:rFonts w:ascii="Times New Roman" w:hAnsi="Times New Roman" w:cs="Times New Roman"/>
          <w:i/>
          <w:color w:val="000000" w:themeColor="text1"/>
          <w:szCs w:val="24"/>
          <w:lang w:val="pl-PL"/>
        </w:rPr>
        <w:t>Karakó p. Węgrom</w:t>
      </w:r>
      <w:r w:rsidR="00F46CE0" w:rsidRPr="008911CB">
        <w:rPr>
          <w:rFonts w:ascii="Times New Roman" w:hAnsi="Times New Roman" w:cs="Times New Roman"/>
          <w:color w:val="000000" w:themeColor="text1"/>
          <w:szCs w:val="24"/>
          <w:lang w:val="pl-PL"/>
        </w:rPr>
        <w:t xml:space="preserve">, nr </w:t>
      </w:r>
      <w:r w:rsidR="00F46CE0" w:rsidRPr="00B95E97">
        <w:rPr>
          <w:rFonts w:ascii="Times New Roman" w:hAnsi="Times New Roman" w:cs="Times New Roman"/>
          <w:szCs w:val="24"/>
          <w:lang w:val="pl-PL"/>
        </w:rPr>
        <w:t>39311/05</w:t>
      </w:r>
      <w:r w:rsidR="00F46CE0" w:rsidRPr="008911CB">
        <w:rPr>
          <w:rFonts w:ascii="Times New Roman" w:hAnsi="Times New Roman" w:cs="Times New Roman"/>
          <w:color w:val="000000" w:themeColor="text1"/>
          <w:szCs w:val="24"/>
          <w:lang w:val="pl-PL"/>
        </w:rPr>
        <w:t>, § 23, 28 kwietnia 2009</w:t>
      </w:r>
      <w:r w:rsidR="001C0978">
        <w:rPr>
          <w:rFonts w:ascii="Times New Roman" w:hAnsi="Times New Roman" w:cs="Times New Roman"/>
          <w:color w:val="000000" w:themeColor="text1"/>
          <w:szCs w:val="24"/>
          <w:lang w:val="pl-PL"/>
        </w:rPr>
        <w:t xml:space="preserve"> r.</w:t>
      </w:r>
      <w:r w:rsidR="00F46CE0" w:rsidRPr="008911CB">
        <w:rPr>
          <w:rFonts w:ascii="Times New Roman" w:hAnsi="Times New Roman" w:cs="Times New Roman"/>
          <w:color w:val="000000" w:themeColor="text1"/>
          <w:szCs w:val="24"/>
          <w:lang w:val="pl-PL"/>
        </w:rPr>
        <w:t xml:space="preserve">, </w:t>
      </w:r>
      <w:r w:rsidR="00DB4B0F" w:rsidRPr="008911CB">
        <w:rPr>
          <w:rFonts w:ascii="Times New Roman" w:hAnsi="Times New Roman" w:cs="Times New Roman"/>
          <w:color w:val="000000" w:themeColor="text1"/>
          <w:szCs w:val="24"/>
          <w:lang w:val="pl-PL"/>
        </w:rPr>
        <w:t xml:space="preserve">i </w:t>
      </w:r>
      <w:r w:rsidR="00F46CE0" w:rsidRPr="008911CB">
        <w:rPr>
          <w:rFonts w:ascii="Times New Roman" w:hAnsi="Times New Roman" w:cs="Times New Roman"/>
          <w:i/>
          <w:color w:val="000000" w:themeColor="text1"/>
          <w:szCs w:val="24"/>
          <w:lang w:val="pl-PL"/>
        </w:rPr>
        <w:t xml:space="preserve">Polanco Torres </w:t>
      </w:r>
      <w:r w:rsidR="00DB4B0F" w:rsidRPr="008911CB">
        <w:rPr>
          <w:rFonts w:ascii="Times New Roman" w:hAnsi="Times New Roman" w:cs="Times New Roman"/>
          <w:i/>
          <w:color w:val="000000" w:themeColor="text1"/>
          <w:szCs w:val="24"/>
          <w:lang w:val="pl-PL"/>
        </w:rPr>
        <w:t>i Movilla Polanco p. Hiszpanii</w:t>
      </w:r>
      <w:r w:rsidR="00DB4B0F" w:rsidRPr="008911CB">
        <w:rPr>
          <w:rFonts w:ascii="Times New Roman" w:hAnsi="Times New Roman" w:cs="Times New Roman"/>
          <w:color w:val="000000" w:themeColor="text1"/>
          <w:szCs w:val="24"/>
          <w:lang w:val="pl-PL"/>
        </w:rPr>
        <w:t xml:space="preserve"> nr</w:t>
      </w:r>
      <w:r w:rsidR="00F46CE0" w:rsidRPr="008911CB">
        <w:rPr>
          <w:rFonts w:ascii="Times New Roman" w:hAnsi="Times New Roman" w:cs="Times New Roman"/>
          <w:color w:val="000000" w:themeColor="text1"/>
          <w:szCs w:val="24"/>
          <w:lang w:val="pl-PL"/>
        </w:rPr>
        <w:t xml:space="preserve"> </w:t>
      </w:r>
      <w:r w:rsidR="00F46CE0" w:rsidRPr="00B95E97">
        <w:rPr>
          <w:rFonts w:ascii="Times New Roman" w:hAnsi="Times New Roman" w:cs="Times New Roman"/>
          <w:szCs w:val="24"/>
          <w:lang w:val="pl-PL"/>
        </w:rPr>
        <w:t>34147/06</w:t>
      </w:r>
      <w:r w:rsidR="00F46CE0" w:rsidRPr="008911CB">
        <w:rPr>
          <w:rFonts w:ascii="Times New Roman" w:hAnsi="Times New Roman" w:cs="Times New Roman"/>
          <w:color w:val="000000" w:themeColor="text1"/>
          <w:szCs w:val="24"/>
          <w:lang w:val="pl-PL"/>
        </w:rPr>
        <w:t xml:space="preserve">, § 40, 21 </w:t>
      </w:r>
      <w:r w:rsidR="00DB4B0F" w:rsidRPr="008911CB">
        <w:rPr>
          <w:rFonts w:ascii="Times New Roman" w:hAnsi="Times New Roman" w:cs="Times New Roman"/>
          <w:color w:val="000000" w:themeColor="text1"/>
          <w:szCs w:val="24"/>
          <w:lang w:val="pl-PL"/>
        </w:rPr>
        <w:t>września</w:t>
      </w:r>
      <w:r w:rsidR="006925EF" w:rsidRPr="008911CB">
        <w:rPr>
          <w:rFonts w:ascii="Times New Roman" w:hAnsi="Times New Roman" w:cs="Times New Roman"/>
          <w:color w:val="000000" w:themeColor="text1"/>
          <w:szCs w:val="24"/>
          <w:lang w:val="pl-PL"/>
        </w:rPr>
        <w:t xml:space="preserve"> 2010</w:t>
      </w:r>
      <w:r w:rsidR="001C0978">
        <w:rPr>
          <w:rFonts w:ascii="Times New Roman" w:hAnsi="Times New Roman" w:cs="Times New Roman"/>
          <w:color w:val="000000" w:themeColor="text1"/>
          <w:szCs w:val="24"/>
          <w:lang w:val="pl-PL"/>
        </w:rPr>
        <w:t xml:space="preserve"> r.</w:t>
      </w:r>
      <w:r w:rsidR="006925EF" w:rsidRPr="008911CB">
        <w:rPr>
          <w:rFonts w:ascii="Times New Roman" w:hAnsi="Times New Roman" w:cs="Times New Roman"/>
          <w:color w:val="000000" w:themeColor="text1"/>
          <w:szCs w:val="24"/>
          <w:lang w:val="pl-PL"/>
        </w:rPr>
        <w:t>).</w:t>
      </w:r>
    </w:p>
    <w:p w14:paraId="12B996B7" w14:textId="3D1008EF" w:rsidR="006925EF" w:rsidRPr="008911CB" w:rsidRDefault="002F7EC0" w:rsidP="002F7EC0">
      <w:pPr>
        <w:pStyle w:val="ECHRPara"/>
        <w:rPr>
          <w:rFonts w:ascii="Times New Roman" w:hAnsi="Times New Roman" w:cs="Times New Roman"/>
          <w:color w:val="000000" w:themeColor="text1"/>
          <w:szCs w:val="24"/>
          <w:lang w:val="pl-PL"/>
        </w:rPr>
      </w:pPr>
      <w:r w:rsidRPr="008911CB">
        <w:rPr>
          <w:rFonts w:ascii="Times New Roman" w:hAnsi="Times New Roman" w:cs="Times New Roman"/>
          <w:noProof/>
          <w:color w:val="000000" w:themeColor="text1"/>
          <w:szCs w:val="24"/>
          <w:lang w:val="pl-PL"/>
        </w:rPr>
        <w:t>52</w:t>
      </w:r>
      <w:r w:rsidR="00A95608" w:rsidRPr="008911CB">
        <w:rPr>
          <w:rFonts w:ascii="Times New Roman" w:hAnsi="Times New Roman" w:cs="Times New Roman"/>
          <w:color w:val="000000" w:themeColor="text1"/>
          <w:szCs w:val="24"/>
          <w:lang w:val="pl-PL"/>
        </w:rPr>
        <w:t>.  </w:t>
      </w:r>
      <w:r w:rsidR="006925EF" w:rsidRPr="008911CB">
        <w:rPr>
          <w:rFonts w:ascii="Times New Roman" w:hAnsi="Times New Roman" w:cs="Times New Roman"/>
          <w:color w:val="000000" w:themeColor="text1"/>
          <w:szCs w:val="24"/>
          <w:lang w:val="pl-PL"/>
        </w:rPr>
        <w:t>Trybunał stwierdził także, że nie można powoływać się na art. 8</w:t>
      </w:r>
      <w:r w:rsidR="001C0978">
        <w:rPr>
          <w:rFonts w:ascii="Times New Roman" w:hAnsi="Times New Roman" w:cs="Times New Roman"/>
          <w:color w:val="000000" w:themeColor="text1"/>
          <w:szCs w:val="24"/>
          <w:lang w:val="pl-PL"/>
        </w:rPr>
        <w:t>,</w:t>
      </w:r>
      <w:r w:rsidR="00066A2D" w:rsidRPr="008911CB">
        <w:rPr>
          <w:rFonts w:ascii="Times New Roman" w:hAnsi="Times New Roman" w:cs="Times New Roman"/>
          <w:color w:val="000000" w:themeColor="text1"/>
          <w:szCs w:val="24"/>
          <w:lang w:val="pl-PL"/>
        </w:rPr>
        <w:t xml:space="preserve"> wnosząc skargę dotyczącą utraty dobrego imienia, która jest przewidywalną konsekwencją własnych działań skarżącego np. zlecenia popełnienia przestępstwa (zob. </w:t>
      </w:r>
      <w:r w:rsidR="00066A2D" w:rsidRPr="008911CB">
        <w:rPr>
          <w:rFonts w:ascii="Times New Roman" w:hAnsi="Times New Roman" w:cs="Times New Roman"/>
          <w:i/>
          <w:color w:val="000000" w:themeColor="text1"/>
          <w:szCs w:val="24"/>
          <w:lang w:val="pl-PL"/>
        </w:rPr>
        <w:t>Sidabras i Džiautas p. Litwie,</w:t>
      </w:r>
      <w:r w:rsidR="00066A2D" w:rsidRPr="008911CB">
        <w:rPr>
          <w:rFonts w:ascii="Times New Roman" w:hAnsi="Times New Roman" w:cs="Times New Roman"/>
          <w:color w:val="000000" w:themeColor="text1"/>
          <w:szCs w:val="24"/>
          <w:lang w:val="pl-PL"/>
        </w:rPr>
        <w:t xml:space="preserve"> nr </w:t>
      </w:r>
      <w:r w:rsidR="00066A2D" w:rsidRPr="00B95E97">
        <w:rPr>
          <w:rFonts w:ascii="Times New Roman" w:hAnsi="Times New Roman" w:cs="Times New Roman"/>
          <w:szCs w:val="24"/>
          <w:lang w:val="pl-PL"/>
        </w:rPr>
        <w:t>55480/00</w:t>
      </w:r>
      <w:r w:rsidR="00066A2D" w:rsidRPr="008911CB">
        <w:rPr>
          <w:rFonts w:ascii="Times New Roman" w:hAnsi="Times New Roman" w:cs="Times New Roman"/>
          <w:color w:val="000000" w:themeColor="text1"/>
          <w:szCs w:val="24"/>
          <w:lang w:val="pl-PL"/>
        </w:rPr>
        <w:t xml:space="preserve"> i </w:t>
      </w:r>
      <w:r w:rsidR="00066A2D" w:rsidRPr="00B95E97">
        <w:rPr>
          <w:rFonts w:ascii="Times New Roman" w:hAnsi="Times New Roman" w:cs="Times New Roman"/>
          <w:szCs w:val="24"/>
          <w:lang w:val="pl-PL"/>
        </w:rPr>
        <w:t>59330/00</w:t>
      </w:r>
      <w:r w:rsidR="00066A2D" w:rsidRPr="008911CB">
        <w:rPr>
          <w:rFonts w:ascii="Times New Roman" w:hAnsi="Times New Roman" w:cs="Times New Roman"/>
          <w:color w:val="000000" w:themeColor="text1"/>
          <w:szCs w:val="24"/>
          <w:lang w:val="pl-PL"/>
        </w:rPr>
        <w:t>,</w:t>
      </w:r>
      <w:r w:rsidR="00066A2D" w:rsidRPr="008911CB">
        <w:rPr>
          <w:rFonts w:ascii="Times New Roman" w:hAnsi="Times New Roman" w:cs="Times New Roman"/>
          <w:szCs w:val="24"/>
          <w:lang w:val="pl-PL"/>
        </w:rPr>
        <w:t xml:space="preserve"> § 49, ETPCz 2004</w:t>
      </w:r>
      <w:r w:rsidR="00066A2D" w:rsidRPr="008911CB">
        <w:rPr>
          <w:rFonts w:ascii="Times New Roman" w:hAnsi="Times New Roman" w:cs="Times New Roman"/>
          <w:szCs w:val="24"/>
          <w:lang w:val="pl-PL"/>
        </w:rPr>
        <w:noBreakHyphen/>
        <w:t>VIII).</w:t>
      </w:r>
    </w:p>
    <w:p w14:paraId="0C72A5B2" w14:textId="465F1F45" w:rsidR="002E022F" w:rsidRPr="008911CB" w:rsidRDefault="00066A2D" w:rsidP="002F7EC0">
      <w:pPr>
        <w:pStyle w:val="ECHRHeading5"/>
        <w:rPr>
          <w:lang w:val="pl-PL"/>
        </w:rPr>
      </w:pPr>
      <w:r w:rsidRPr="008911CB">
        <w:rPr>
          <w:lang w:val="pl-PL"/>
        </w:rPr>
        <w:t xml:space="preserve"> </w:t>
      </w:r>
      <w:r w:rsidR="002E022F" w:rsidRPr="008911CB">
        <w:rPr>
          <w:lang w:val="pl-PL"/>
        </w:rPr>
        <w:t>(</w:t>
      </w:r>
      <w:r w:rsidR="00371A3F" w:rsidRPr="008911CB">
        <w:rPr>
          <w:lang w:val="pl-PL"/>
        </w:rPr>
        <w:t>ii</w:t>
      </w:r>
      <w:r w:rsidR="002E022F" w:rsidRPr="008911CB">
        <w:rPr>
          <w:lang w:val="pl-PL"/>
        </w:rPr>
        <w:t>)  </w:t>
      </w:r>
      <w:r w:rsidR="00F929F5" w:rsidRPr="008911CB">
        <w:rPr>
          <w:lang w:val="pl-PL"/>
        </w:rPr>
        <w:t>Zastosowanie powyższych zasad do niniejszej sprawy</w:t>
      </w:r>
    </w:p>
    <w:p w14:paraId="6FD43075" w14:textId="2C8F50EA" w:rsidR="00EA293D" w:rsidRPr="008911CB" w:rsidRDefault="002F7EC0" w:rsidP="002F7EC0">
      <w:pPr>
        <w:pStyle w:val="ECHRPara"/>
        <w:rPr>
          <w:lang w:val="pl-PL"/>
        </w:rPr>
      </w:pPr>
      <w:r w:rsidRPr="008911CB">
        <w:rPr>
          <w:noProof/>
          <w:lang w:val="pl-PL"/>
        </w:rPr>
        <w:t>53</w:t>
      </w:r>
      <w:r w:rsidR="00146E71" w:rsidRPr="008911CB">
        <w:rPr>
          <w:lang w:val="pl-PL"/>
        </w:rPr>
        <w:t>.  </w:t>
      </w:r>
      <w:r w:rsidR="00EA293D" w:rsidRPr="008911CB">
        <w:rPr>
          <w:lang w:val="pl-PL"/>
        </w:rPr>
        <w:t>W niniejszej sprawie Trybunał stanął wobec konieczności wyważenia dwó</w:t>
      </w:r>
      <w:r w:rsidR="00720073" w:rsidRPr="008911CB">
        <w:rPr>
          <w:lang w:val="pl-PL"/>
        </w:rPr>
        <w:t xml:space="preserve">ch praw gwarantowanych w Konwencji: prawa do </w:t>
      </w:r>
      <w:r w:rsidR="00C050D8" w:rsidRPr="008911CB">
        <w:rPr>
          <w:lang w:val="pl-PL"/>
        </w:rPr>
        <w:t>wolności wyrażania opinii</w:t>
      </w:r>
      <w:r w:rsidR="00720073" w:rsidRPr="008911CB">
        <w:rPr>
          <w:lang w:val="pl-PL"/>
        </w:rPr>
        <w:t xml:space="preserve"> zapisanego w art. 10 i prawa do poszanowania życia prywatnego zgodnie z art. 8. W związku z tym Trybunał zastosuje zasady utrwalone we w</w:t>
      </w:r>
      <w:r w:rsidR="00F929F5" w:rsidRPr="008911CB">
        <w:rPr>
          <w:lang w:val="pl-PL"/>
        </w:rPr>
        <w:t>łasnym orzecznictwie regulujące wyważanie tych praw, a podsumowane niedawno w sprawie</w:t>
      </w:r>
      <w:r w:rsidR="00F929F5" w:rsidRPr="008911CB">
        <w:rPr>
          <w:rFonts w:eastAsia="Times New Roman"/>
          <w:i/>
          <w:lang w:val="pl-PL"/>
        </w:rPr>
        <w:t xml:space="preserve"> Perinçek </w:t>
      </w:r>
      <w:r w:rsidR="00A95D4D" w:rsidRPr="008911CB">
        <w:rPr>
          <w:rFonts w:eastAsia="Times New Roman"/>
          <w:lang w:val="pl-PL"/>
        </w:rPr>
        <w:t>(cytowan</w:t>
      </w:r>
      <w:r w:rsidR="00A53EDB">
        <w:rPr>
          <w:rFonts w:eastAsia="Times New Roman"/>
          <w:lang w:val="pl-PL"/>
        </w:rPr>
        <w:t>ej</w:t>
      </w:r>
      <w:r w:rsidR="00F929F5" w:rsidRPr="008911CB">
        <w:rPr>
          <w:rFonts w:eastAsia="Times New Roman"/>
          <w:lang w:val="pl-PL"/>
        </w:rPr>
        <w:t xml:space="preserve"> powyżej).</w:t>
      </w:r>
    </w:p>
    <w:p w14:paraId="53F934D2" w14:textId="1BDC9E56" w:rsidR="00C50103" w:rsidRPr="008911CB" w:rsidRDefault="00F929F5" w:rsidP="002F7EC0">
      <w:pPr>
        <w:pStyle w:val="ECHRHeading6"/>
        <w:rPr>
          <w:lang w:val="pl-PL"/>
        </w:rPr>
      </w:pPr>
      <w:bookmarkStart w:id="4" w:name="_Toc430944129"/>
      <w:r w:rsidRPr="008911CB">
        <w:rPr>
          <w:lang w:val="pl-PL"/>
        </w:rPr>
        <w:t xml:space="preserve"> </w:t>
      </w:r>
      <w:r w:rsidR="00C50103" w:rsidRPr="008911CB">
        <w:rPr>
          <w:lang w:val="pl-PL"/>
        </w:rPr>
        <w:t>(</w:t>
      </w:r>
      <w:r w:rsidR="00C50103" w:rsidRPr="008911CB">
        <w:rPr>
          <w:rFonts w:cstheme="majorHAnsi"/>
          <w:lang w:val="pl-PL"/>
        </w:rPr>
        <w:t>α</w:t>
      </w:r>
      <w:r w:rsidR="00C50103" w:rsidRPr="008911CB">
        <w:rPr>
          <w:lang w:val="pl-PL"/>
        </w:rPr>
        <w:t>)  </w:t>
      </w:r>
      <w:bookmarkEnd w:id="4"/>
      <w:r w:rsidR="00A95D4D" w:rsidRPr="008911CB">
        <w:rPr>
          <w:lang w:val="pl-PL"/>
        </w:rPr>
        <w:t>Charakter twierdzeń skarżącego</w:t>
      </w:r>
      <w:r w:rsidRPr="008911CB">
        <w:rPr>
          <w:lang w:val="pl-PL"/>
        </w:rPr>
        <w:t xml:space="preserve"> </w:t>
      </w:r>
    </w:p>
    <w:p w14:paraId="04457968" w14:textId="1E752204" w:rsidR="00F929F5" w:rsidRPr="008911CB" w:rsidRDefault="002F7EC0" w:rsidP="002F7EC0">
      <w:pPr>
        <w:pStyle w:val="ECHRPara"/>
        <w:rPr>
          <w:rFonts w:eastAsia="Times New Roman"/>
          <w:lang w:val="pl-PL"/>
        </w:rPr>
      </w:pPr>
      <w:r w:rsidRPr="008911CB">
        <w:rPr>
          <w:rFonts w:eastAsia="Times New Roman"/>
          <w:noProof/>
          <w:lang w:val="pl-PL"/>
        </w:rPr>
        <w:t>54</w:t>
      </w:r>
      <w:r w:rsidR="00C50103" w:rsidRPr="008911CB">
        <w:rPr>
          <w:rFonts w:eastAsia="Times New Roman"/>
          <w:lang w:val="pl-PL"/>
        </w:rPr>
        <w:t>.  </w:t>
      </w:r>
      <w:r w:rsidR="00F929F5" w:rsidRPr="008911CB">
        <w:rPr>
          <w:rFonts w:eastAsia="Times New Roman"/>
          <w:lang w:val="pl-PL"/>
        </w:rPr>
        <w:t xml:space="preserve">Trybunał nie jest obowiązany zbadać, czy skarżący był poddawany torturom. </w:t>
      </w:r>
      <w:r w:rsidR="00A95D4D" w:rsidRPr="008911CB">
        <w:rPr>
          <w:rFonts w:eastAsia="Times New Roman"/>
          <w:lang w:val="pl-PL"/>
        </w:rPr>
        <w:t xml:space="preserve">Właściwym problemem </w:t>
      </w:r>
      <w:r w:rsidR="00F929F5" w:rsidRPr="008911CB">
        <w:rPr>
          <w:rFonts w:eastAsia="Times New Roman"/>
          <w:lang w:val="pl-PL"/>
        </w:rPr>
        <w:t xml:space="preserve">jest </w:t>
      </w:r>
      <w:r w:rsidR="00A95D4D" w:rsidRPr="008911CB">
        <w:rPr>
          <w:rFonts w:eastAsia="Times New Roman"/>
          <w:lang w:val="pl-PL"/>
        </w:rPr>
        <w:t>rozpoznanie, czy zdania</w:t>
      </w:r>
      <w:r w:rsidR="00FE5DAE" w:rsidRPr="008911CB">
        <w:rPr>
          <w:rFonts w:eastAsia="Times New Roman"/>
          <w:lang w:val="pl-PL"/>
        </w:rPr>
        <w:t xml:space="preserve"> wypowiedzi</w:t>
      </w:r>
      <w:r w:rsidR="00A95D4D" w:rsidRPr="008911CB">
        <w:rPr>
          <w:rFonts w:eastAsia="Times New Roman"/>
          <w:lang w:val="pl-PL"/>
        </w:rPr>
        <w:t xml:space="preserve">ane przez skarżącego są rodzajem wypowiedzi, któremu należy się ochrona z tytułu </w:t>
      </w:r>
      <w:r w:rsidR="000A3D12" w:rsidRPr="008911CB">
        <w:rPr>
          <w:rFonts w:eastAsia="Times New Roman"/>
          <w:lang w:val="pl-PL"/>
        </w:rPr>
        <w:t xml:space="preserve">art. 10 Konwencji, </w:t>
      </w:r>
      <w:r w:rsidR="00FE5DAE" w:rsidRPr="008911CB">
        <w:rPr>
          <w:rFonts w:eastAsia="Times New Roman"/>
          <w:lang w:val="pl-PL"/>
        </w:rPr>
        <w:t>o czym, na podstawie ustaleń sądów hiszpańskich, ostatecznie orzeknie Trybunał zgodnie ze swoją wyłączną kompetencją.</w:t>
      </w:r>
      <w:r w:rsidR="000A3D12" w:rsidRPr="008911CB">
        <w:rPr>
          <w:rFonts w:eastAsia="Times New Roman"/>
          <w:lang w:val="pl-PL"/>
        </w:rPr>
        <w:t xml:space="preserve"> </w:t>
      </w:r>
    </w:p>
    <w:p w14:paraId="0E720628" w14:textId="6CE23842" w:rsidR="00FE5DAE" w:rsidRPr="008911CB" w:rsidRDefault="002F7EC0" w:rsidP="002F7EC0">
      <w:pPr>
        <w:pStyle w:val="ECHRPara"/>
        <w:rPr>
          <w:rFonts w:eastAsia="Times New Roman"/>
          <w:lang w:val="pl-PL"/>
        </w:rPr>
      </w:pPr>
      <w:r w:rsidRPr="008911CB">
        <w:rPr>
          <w:rFonts w:eastAsia="Times New Roman"/>
          <w:noProof/>
          <w:lang w:val="pl-PL"/>
        </w:rPr>
        <w:t>55</w:t>
      </w:r>
      <w:r w:rsidR="00C50103" w:rsidRPr="008911CB">
        <w:rPr>
          <w:rFonts w:eastAsia="Times New Roman"/>
          <w:lang w:val="pl-PL"/>
        </w:rPr>
        <w:t>.  </w:t>
      </w:r>
      <w:r w:rsidR="00FE5DAE" w:rsidRPr="008911CB">
        <w:rPr>
          <w:rFonts w:eastAsia="Times New Roman"/>
          <w:lang w:val="pl-PL"/>
        </w:rPr>
        <w:t>Aby ocenić wagę</w:t>
      </w:r>
      <w:r w:rsidR="00F403C4" w:rsidRPr="008911CB">
        <w:rPr>
          <w:rFonts w:eastAsia="Times New Roman"/>
          <w:lang w:val="pl-PL"/>
        </w:rPr>
        <w:t xml:space="preserve"> interesu skarżącego w korzystaniu przez niego z prawa do </w:t>
      </w:r>
      <w:r w:rsidR="00C050D8" w:rsidRPr="008911CB">
        <w:rPr>
          <w:rFonts w:eastAsia="Times New Roman"/>
          <w:lang w:val="pl-PL"/>
        </w:rPr>
        <w:t>wolności wyrażania opinii</w:t>
      </w:r>
      <w:r w:rsidR="00F403C4" w:rsidRPr="008911CB">
        <w:rPr>
          <w:rFonts w:eastAsia="Times New Roman"/>
          <w:lang w:val="pl-PL"/>
        </w:rPr>
        <w:t xml:space="preserve">, Trybunał musi najpierw zbadać charakter wypowiedzi skarżącego, w których zarzucił dwóm funkcjonariuszom policji stosowanie tortur powodujących u niego znaczne cierpienie psychiczne i fizyczne. Na wstępie Trybunał zauważa, że zgodnie z wyrokami sądu karnego i </w:t>
      </w:r>
      <w:r w:rsidR="00F403C4" w:rsidRPr="008911CB">
        <w:rPr>
          <w:rFonts w:eastAsia="Times New Roman"/>
          <w:i/>
          <w:noProof/>
          <w:lang w:val="pl-PL"/>
        </w:rPr>
        <w:t>Audiencia Provincial</w:t>
      </w:r>
      <w:r w:rsidR="00F403C4" w:rsidRPr="008911CB">
        <w:rPr>
          <w:rFonts w:eastAsia="Times New Roman"/>
          <w:noProof/>
          <w:lang w:val="pl-PL"/>
        </w:rPr>
        <w:t xml:space="preserve"> metody zastosowane przez policję </w:t>
      </w:r>
      <w:r w:rsidR="00667517" w:rsidRPr="008911CB">
        <w:rPr>
          <w:rFonts w:eastAsia="Times New Roman"/>
          <w:noProof/>
          <w:lang w:val="pl-PL"/>
        </w:rPr>
        <w:t>obejmowały nie tylko negocjacje, ale także przewiązanie skarżącego</w:t>
      </w:r>
      <w:r w:rsidR="00133E91" w:rsidRPr="008911CB">
        <w:rPr>
          <w:rFonts w:eastAsia="Times New Roman"/>
          <w:noProof/>
          <w:lang w:val="pl-PL"/>
        </w:rPr>
        <w:t xml:space="preserve"> liną</w:t>
      </w:r>
      <w:r w:rsidR="00667517" w:rsidRPr="008911CB">
        <w:rPr>
          <w:rFonts w:eastAsia="Times New Roman"/>
          <w:noProof/>
          <w:lang w:val="pl-PL"/>
        </w:rPr>
        <w:t xml:space="preserve"> w pasie i próby zdecydowanego wyciągnięcia go na zewnątrz, grożenie użyciem gazu</w:t>
      </w:r>
      <w:r w:rsidR="00133E91" w:rsidRPr="008911CB">
        <w:rPr>
          <w:rFonts w:eastAsia="Times New Roman"/>
          <w:noProof/>
          <w:lang w:val="pl-PL"/>
        </w:rPr>
        <w:t xml:space="preserve"> i ostrzeganie o rychłym zawaleniu się całej konstrukcji, jak również przywiązanie dłoni skarżącego do kostki na długi czas w pozycji sprawiającej ból (zob. paragrafy 21 i 28 powyżej).</w:t>
      </w:r>
    </w:p>
    <w:p w14:paraId="22895D7F" w14:textId="61E717AF" w:rsidR="00133E91" w:rsidRPr="008911CB" w:rsidRDefault="002F7EC0" w:rsidP="002F7EC0">
      <w:pPr>
        <w:pStyle w:val="ECHRPara"/>
        <w:rPr>
          <w:rFonts w:eastAsia="Times New Roman"/>
          <w:noProof/>
          <w:lang w:val="pl-PL"/>
        </w:rPr>
      </w:pPr>
      <w:r w:rsidRPr="008911CB">
        <w:rPr>
          <w:rFonts w:eastAsia="Times New Roman"/>
          <w:noProof/>
          <w:lang w:val="pl-PL"/>
        </w:rPr>
        <w:t>56</w:t>
      </w:r>
      <w:r w:rsidR="00C50103" w:rsidRPr="008911CB">
        <w:rPr>
          <w:rFonts w:eastAsia="Times New Roman"/>
          <w:noProof/>
          <w:lang w:val="pl-PL"/>
        </w:rPr>
        <w:t>.  </w:t>
      </w:r>
      <w:r w:rsidR="00133E91" w:rsidRPr="008911CB">
        <w:rPr>
          <w:rFonts w:eastAsia="Times New Roman"/>
          <w:noProof/>
          <w:lang w:val="pl-PL"/>
        </w:rPr>
        <w:t>T</w:t>
      </w:r>
      <w:r w:rsidR="0073682C" w:rsidRPr="008911CB">
        <w:rPr>
          <w:rFonts w:eastAsia="Times New Roman"/>
          <w:noProof/>
          <w:lang w:val="pl-PL"/>
        </w:rPr>
        <w:t>rybunał</w:t>
      </w:r>
      <w:r w:rsidR="00133E91" w:rsidRPr="008911CB">
        <w:rPr>
          <w:rFonts w:eastAsia="Times New Roman"/>
          <w:noProof/>
          <w:lang w:val="pl-PL"/>
        </w:rPr>
        <w:t xml:space="preserve">, </w:t>
      </w:r>
      <w:r w:rsidR="0009605E" w:rsidRPr="008911CB">
        <w:rPr>
          <w:rFonts w:eastAsia="Times New Roman"/>
          <w:noProof/>
          <w:lang w:val="pl-PL"/>
        </w:rPr>
        <w:t>skłonn</w:t>
      </w:r>
      <w:r w:rsidR="00762332">
        <w:rPr>
          <w:rFonts w:eastAsia="Times New Roman"/>
          <w:noProof/>
          <w:lang w:val="pl-PL"/>
        </w:rPr>
        <w:t>y</w:t>
      </w:r>
      <w:r w:rsidR="0009605E" w:rsidRPr="008911CB">
        <w:rPr>
          <w:rFonts w:eastAsia="Times New Roman"/>
          <w:noProof/>
          <w:lang w:val="pl-PL"/>
        </w:rPr>
        <w:t xml:space="preserve"> nawet przyznać, że</w:t>
      </w:r>
      <w:r w:rsidR="00133E91" w:rsidRPr="008911CB">
        <w:rPr>
          <w:rFonts w:eastAsia="Times New Roman"/>
          <w:noProof/>
          <w:lang w:val="pl-PL"/>
        </w:rPr>
        <w:t xml:space="preserve"> skarżący wypowiadał się w sposób nacechowany pewną przesadą,</w:t>
      </w:r>
      <w:r w:rsidR="0009605E" w:rsidRPr="008911CB">
        <w:rPr>
          <w:rFonts w:eastAsia="Times New Roman"/>
          <w:noProof/>
          <w:lang w:val="pl-PL"/>
        </w:rPr>
        <w:t xml:space="preserve"> </w:t>
      </w:r>
      <w:r w:rsidR="006F0BBC">
        <w:rPr>
          <w:rFonts w:eastAsia="Times New Roman"/>
          <w:noProof/>
          <w:lang w:val="pl-PL"/>
        </w:rPr>
        <w:t>odnotowuje</w:t>
      </w:r>
      <w:r w:rsidR="0073682C" w:rsidRPr="008911CB">
        <w:rPr>
          <w:rFonts w:eastAsia="Times New Roman"/>
          <w:noProof/>
          <w:lang w:val="pl-PL"/>
        </w:rPr>
        <w:t xml:space="preserve">, że </w:t>
      </w:r>
      <w:r w:rsidR="0009605E" w:rsidRPr="008911CB">
        <w:rPr>
          <w:rFonts w:eastAsia="Times New Roman"/>
          <w:noProof/>
          <w:lang w:val="pl-PL"/>
        </w:rPr>
        <w:t xml:space="preserve">skarżący </w:t>
      </w:r>
      <w:r w:rsidR="00BB5CA0" w:rsidRPr="008911CB">
        <w:rPr>
          <w:rFonts w:eastAsia="Times New Roman"/>
          <w:noProof/>
          <w:lang w:val="pl-PL"/>
        </w:rPr>
        <w:t xml:space="preserve">narzekał na traktowanie jakiemu poddały go władze podczas uwięzienia, a które musiało przysporzyć </w:t>
      </w:r>
      <w:r w:rsidR="0073682C" w:rsidRPr="008911CB">
        <w:rPr>
          <w:rFonts w:eastAsia="Times New Roman"/>
          <w:noProof/>
          <w:lang w:val="pl-PL"/>
        </w:rPr>
        <w:t>mu stresu, strachu oraz</w:t>
      </w:r>
      <w:r w:rsidR="00BB5CA0" w:rsidRPr="008911CB">
        <w:rPr>
          <w:rFonts w:eastAsia="Times New Roman"/>
          <w:noProof/>
          <w:lang w:val="pl-PL"/>
        </w:rPr>
        <w:t xml:space="preserve"> </w:t>
      </w:r>
      <w:r w:rsidR="0073682C" w:rsidRPr="008911CB">
        <w:rPr>
          <w:rFonts w:eastAsia="Times New Roman"/>
          <w:noProof/>
          <w:lang w:val="pl-PL"/>
        </w:rPr>
        <w:t>psychicznego</w:t>
      </w:r>
      <w:r w:rsidR="00BB5CA0" w:rsidRPr="008911CB">
        <w:rPr>
          <w:rFonts w:eastAsia="Times New Roman"/>
          <w:noProof/>
          <w:lang w:val="pl-PL"/>
        </w:rPr>
        <w:t xml:space="preserve"> i fizycznego cierpienia, bez względu na fakt, że skarżący sam się w taki</w:t>
      </w:r>
      <w:r w:rsidR="0073682C" w:rsidRPr="008911CB">
        <w:rPr>
          <w:rFonts w:eastAsia="Times New Roman"/>
          <w:noProof/>
          <w:lang w:val="pl-PL"/>
        </w:rPr>
        <w:t>ej sytuacji postawił.</w:t>
      </w:r>
    </w:p>
    <w:p w14:paraId="31EB1BC4" w14:textId="1E0758A2" w:rsidR="0073682C" w:rsidRPr="008911CB" w:rsidRDefault="00C50103" w:rsidP="002F7EC0">
      <w:pPr>
        <w:pStyle w:val="ECHRHeading6"/>
        <w:rPr>
          <w:rFonts w:eastAsia="Times New Roman"/>
          <w:noProof/>
          <w:lang w:val="pl-PL"/>
        </w:rPr>
      </w:pPr>
      <w:r w:rsidRPr="008911CB">
        <w:rPr>
          <w:lang w:val="pl-PL"/>
        </w:rPr>
        <w:t>β)</w:t>
      </w:r>
      <w:r w:rsidR="00A87898" w:rsidRPr="008911CB">
        <w:rPr>
          <w:rFonts w:eastAsia="Times New Roman"/>
          <w:noProof/>
          <w:lang w:val="pl-PL"/>
        </w:rPr>
        <w:t>  </w:t>
      </w:r>
      <w:r w:rsidR="0073682C" w:rsidRPr="008911CB">
        <w:rPr>
          <w:rFonts w:eastAsia="Times New Roman"/>
          <w:noProof/>
          <w:lang w:val="pl-PL"/>
        </w:rPr>
        <w:t>Kontekst ingerencji i metody zastosowane przez sądy hiszpańskie w celu uzasadnienia skazania skarżącego</w:t>
      </w:r>
    </w:p>
    <w:p w14:paraId="723EEE08" w14:textId="592262B4" w:rsidR="00140086" w:rsidRPr="008911CB" w:rsidRDefault="002F7EC0" w:rsidP="00140086">
      <w:pPr>
        <w:pStyle w:val="ECHRPara"/>
        <w:rPr>
          <w:rFonts w:eastAsia="Times New Roman"/>
          <w:lang w:val="pl-PL"/>
        </w:rPr>
      </w:pPr>
      <w:r w:rsidRPr="008911CB">
        <w:rPr>
          <w:rFonts w:eastAsia="Times New Roman"/>
          <w:noProof/>
          <w:lang w:val="pl-PL"/>
        </w:rPr>
        <w:t>57</w:t>
      </w:r>
      <w:r w:rsidR="00C50103" w:rsidRPr="008911CB">
        <w:rPr>
          <w:rFonts w:eastAsia="Times New Roman"/>
          <w:noProof/>
          <w:lang w:val="pl-PL"/>
        </w:rPr>
        <w:t>.  </w:t>
      </w:r>
      <w:r w:rsidR="0073682C" w:rsidRPr="008911CB">
        <w:rPr>
          <w:rFonts w:eastAsia="Times New Roman"/>
          <w:noProof/>
          <w:lang w:val="pl-PL"/>
        </w:rPr>
        <w:t>Ponadto Trybunał odnotował, że wypowiedzi skarżącego należy umieścić w pewnym kontekście. Trybunał zauważa, że w przedmiotowej sprawie jego wypowiedzi nie odnosiły się do jakiegoś aspektu życia prywatnego funkcjonariuszy policji, ale raczej ich zachowania jako władzy publicznej. Nie ulega watpliwości, że zachowanie funkcjonariuszy wykonujących władzę public</w:t>
      </w:r>
      <w:r w:rsidR="00140086" w:rsidRPr="008911CB">
        <w:rPr>
          <w:rFonts w:eastAsia="Times New Roman"/>
          <w:noProof/>
          <w:lang w:val="pl-PL"/>
        </w:rPr>
        <w:t>zną i jego</w:t>
      </w:r>
      <w:r w:rsidR="0073682C" w:rsidRPr="008911CB">
        <w:rPr>
          <w:rFonts w:eastAsia="Times New Roman"/>
          <w:noProof/>
          <w:lang w:val="pl-PL"/>
        </w:rPr>
        <w:t xml:space="preserve"> </w:t>
      </w:r>
      <w:r w:rsidR="00140086" w:rsidRPr="008911CB">
        <w:rPr>
          <w:rFonts w:eastAsia="Times New Roman"/>
          <w:noProof/>
          <w:lang w:val="pl-PL"/>
        </w:rPr>
        <w:t>potencjalne</w:t>
      </w:r>
      <w:r w:rsidR="0073682C" w:rsidRPr="008911CB">
        <w:rPr>
          <w:rFonts w:eastAsia="Times New Roman"/>
          <w:noProof/>
          <w:lang w:val="pl-PL"/>
        </w:rPr>
        <w:t xml:space="preserve"> konsekwencje w stosunku do skarżącego</w:t>
      </w:r>
      <w:r w:rsidR="00140086" w:rsidRPr="008911CB">
        <w:rPr>
          <w:rFonts w:eastAsia="Times New Roman"/>
          <w:noProof/>
          <w:lang w:val="pl-PL"/>
        </w:rPr>
        <w:t xml:space="preserve"> i osób trzecich wchodzą w zakres interesu publicznego (zob. </w:t>
      </w:r>
      <w:r w:rsidR="00140086" w:rsidRPr="008911CB">
        <w:rPr>
          <w:rFonts w:eastAsia="Times New Roman"/>
          <w:i/>
          <w:lang w:val="pl-PL"/>
        </w:rPr>
        <w:t>Bédat p. Szwajcarii</w:t>
      </w:r>
      <w:r w:rsidR="00140086" w:rsidRPr="008911CB">
        <w:rPr>
          <w:rFonts w:eastAsia="Times New Roman"/>
          <w:lang w:val="pl-PL"/>
        </w:rPr>
        <w:t xml:space="preserve"> [WI], nr 56925/08, § 49, ETPCz 2016, i </w:t>
      </w:r>
      <w:r w:rsidR="00140086" w:rsidRPr="008911CB">
        <w:rPr>
          <w:rFonts w:eastAsia="Times New Roman"/>
          <w:i/>
          <w:lang w:val="pl-PL"/>
        </w:rPr>
        <w:t xml:space="preserve">Karácsony </w:t>
      </w:r>
      <w:r w:rsidR="00F703A2" w:rsidRPr="008911CB">
        <w:rPr>
          <w:rFonts w:eastAsia="Times New Roman"/>
          <w:i/>
          <w:lang w:val="pl-PL"/>
        </w:rPr>
        <w:t>i</w:t>
      </w:r>
      <w:r w:rsidR="00140086" w:rsidRPr="008911CB">
        <w:rPr>
          <w:rFonts w:eastAsia="Times New Roman"/>
          <w:i/>
          <w:lang w:val="pl-PL"/>
        </w:rPr>
        <w:t xml:space="preserve"> Inni p. Węgrom</w:t>
      </w:r>
      <w:r w:rsidR="00140086" w:rsidRPr="008911CB">
        <w:rPr>
          <w:rFonts w:eastAsia="Times New Roman"/>
          <w:lang w:val="pl-PL"/>
        </w:rPr>
        <w:t xml:space="preserve"> [WI], nr 42461/13 i 44357/13, § 144, ETPCz 2016 (fragmenty).</w:t>
      </w:r>
    </w:p>
    <w:p w14:paraId="09620E55" w14:textId="58456748" w:rsidR="00015C13" w:rsidRPr="008911CB" w:rsidRDefault="002F7EC0" w:rsidP="002F7EC0">
      <w:pPr>
        <w:pStyle w:val="ECHRPara"/>
        <w:rPr>
          <w:rFonts w:eastAsia="Times New Roman"/>
          <w:lang w:val="pl-PL"/>
        </w:rPr>
      </w:pPr>
      <w:r w:rsidRPr="008911CB">
        <w:rPr>
          <w:rFonts w:eastAsia="Times New Roman"/>
          <w:noProof/>
          <w:lang w:val="pl-PL"/>
        </w:rPr>
        <w:t>58</w:t>
      </w:r>
      <w:r w:rsidR="00C50103" w:rsidRPr="008911CB">
        <w:rPr>
          <w:rFonts w:eastAsia="Times New Roman"/>
          <w:lang w:val="pl-PL"/>
        </w:rPr>
        <w:t>.  </w:t>
      </w:r>
      <w:r w:rsidR="00015C13" w:rsidRPr="008911CB">
        <w:rPr>
          <w:rFonts w:eastAsia="Times New Roman"/>
          <w:lang w:val="pl-PL"/>
        </w:rPr>
        <w:t>Po uwolnieniu</w:t>
      </w:r>
      <w:r w:rsidR="007B3F08" w:rsidRPr="008911CB">
        <w:rPr>
          <w:rFonts w:eastAsia="Times New Roman"/>
          <w:lang w:val="pl-PL"/>
        </w:rPr>
        <w:t xml:space="preserve"> skarżący udzi</w:t>
      </w:r>
      <w:r w:rsidR="00015C13" w:rsidRPr="008911CB">
        <w:rPr>
          <w:rFonts w:eastAsia="Times New Roman"/>
          <w:lang w:val="pl-PL"/>
        </w:rPr>
        <w:t>elił konferencji prasowej</w:t>
      </w:r>
      <w:r w:rsidR="00504BB0">
        <w:rPr>
          <w:rFonts w:eastAsia="Times New Roman"/>
          <w:lang w:val="pl-PL"/>
        </w:rPr>
        <w:t>,</w:t>
      </w:r>
      <w:r w:rsidR="00015C13" w:rsidRPr="008911CB">
        <w:rPr>
          <w:rFonts w:eastAsia="Times New Roman"/>
          <w:lang w:val="pl-PL"/>
        </w:rPr>
        <w:t xml:space="preserve"> wyrażając opinię</w:t>
      </w:r>
      <w:r w:rsidR="007B3F08" w:rsidRPr="008911CB">
        <w:rPr>
          <w:rFonts w:eastAsia="Times New Roman"/>
          <w:lang w:val="pl-PL"/>
        </w:rPr>
        <w:t xml:space="preserve"> na temat metod stosowanych przez policję i zachowania strażaków.</w:t>
      </w:r>
      <w:r w:rsidR="003C2D6E" w:rsidRPr="008911CB">
        <w:rPr>
          <w:rFonts w:eastAsia="Times New Roman"/>
          <w:lang w:val="pl-PL"/>
        </w:rPr>
        <w:t xml:space="preserve"> Trybunał odnotowuje, że skarżący dokładnie opisał metody stosowan</w:t>
      </w:r>
      <w:r w:rsidR="00DB37EC" w:rsidRPr="008911CB">
        <w:rPr>
          <w:rFonts w:eastAsia="Times New Roman"/>
          <w:lang w:val="pl-PL"/>
        </w:rPr>
        <w:t>e przez policjantów i strażaków, które odpowiadają ustaleniom poczynionym przed sądem krajowym w ramach postępowania karnego.</w:t>
      </w:r>
      <w:r w:rsidR="00015C13" w:rsidRPr="008911CB">
        <w:rPr>
          <w:rFonts w:eastAsia="Times New Roman"/>
          <w:lang w:val="pl-PL"/>
        </w:rPr>
        <w:t xml:space="preserve"> Ponadto Trybunał zauważa, że </w:t>
      </w:r>
      <w:r w:rsidR="00663EEB" w:rsidRPr="008911CB">
        <w:rPr>
          <w:rFonts w:eastAsia="Times New Roman"/>
          <w:lang w:val="pl-PL"/>
        </w:rPr>
        <w:t>przez dokładny opis tych metod</w:t>
      </w:r>
      <w:r w:rsidR="00015C13" w:rsidRPr="008911CB">
        <w:rPr>
          <w:rFonts w:eastAsia="Times New Roman"/>
          <w:lang w:val="pl-PL"/>
        </w:rPr>
        <w:t xml:space="preserve"> skarżący </w:t>
      </w:r>
      <w:r w:rsidR="00663EEB" w:rsidRPr="008911CB">
        <w:rPr>
          <w:rFonts w:eastAsia="Times New Roman"/>
          <w:lang w:val="pl-PL"/>
        </w:rPr>
        <w:t xml:space="preserve">nie pozostawił opinii publicznej możliwości wyobrażenia sobie innego niż faktyczny przebiegu zdarzenia. Zdaniem Trybunału żadne okoliczności sprawy nie wskazują, aby skarżący formułował zarzuty inaczej niż w dobrej wierze </w:t>
      </w:r>
      <w:r w:rsidR="009975CF" w:rsidRPr="008911CB">
        <w:rPr>
          <w:rFonts w:eastAsia="Times New Roman"/>
          <w:lang w:val="pl-PL"/>
        </w:rPr>
        <w:t xml:space="preserve">i dla realizacji uprawnionego celu, jakim jest debata w kwestii stanowiącej interes publiczny (zob. </w:t>
      </w:r>
      <w:r w:rsidR="009975CF" w:rsidRPr="008911CB">
        <w:rPr>
          <w:rFonts w:eastAsia="Times New Roman"/>
          <w:i/>
          <w:noProof/>
          <w:lang w:val="pl-PL"/>
        </w:rPr>
        <w:t>mutatis mutandis</w:t>
      </w:r>
      <w:r w:rsidR="009975CF" w:rsidRPr="008911CB">
        <w:rPr>
          <w:rFonts w:eastAsia="Times New Roman"/>
          <w:noProof/>
          <w:lang w:val="pl-PL"/>
        </w:rPr>
        <w:t xml:space="preserve">, </w:t>
      </w:r>
      <w:r w:rsidR="00031A91" w:rsidRPr="008911CB">
        <w:rPr>
          <w:rFonts w:eastAsia="Times New Roman"/>
          <w:i/>
          <w:iCs/>
          <w:lang w:val="pl-PL"/>
        </w:rPr>
        <w:t>Ghiulfer Predescu p. Rumunii</w:t>
      </w:r>
      <w:r w:rsidR="00031A91" w:rsidRPr="008911CB">
        <w:rPr>
          <w:rFonts w:eastAsia="Times New Roman"/>
          <w:lang w:val="pl-PL"/>
        </w:rPr>
        <w:t>, nr 29751/09, § 59, 27 czerwca 2017</w:t>
      </w:r>
      <w:r w:rsidR="00504BB0">
        <w:rPr>
          <w:rFonts w:eastAsia="Times New Roman"/>
          <w:lang w:val="pl-PL"/>
        </w:rPr>
        <w:t xml:space="preserve"> r.</w:t>
      </w:r>
      <w:r w:rsidR="00031A91" w:rsidRPr="008911CB">
        <w:rPr>
          <w:rFonts w:eastAsia="Times New Roman"/>
          <w:lang w:val="pl-PL"/>
        </w:rPr>
        <w:t>, i</w:t>
      </w:r>
      <w:r w:rsidR="009975CF" w:rsidRPr="008911CB">
        <w:rPr>
          <w:rFonts w:eastAsia="Times New Roman"/>
          <w:noProof/>
          <w:lang w:val="pl-PL"/>
        </w:rPr>
        <w:t xml:space="preserve"> </w:t>
      </w:r>
      <w:r w:rsidR="00031A91" w:rsidRPr="008911CB">
        <w:rPr>
          <w:rFonts w:eastAsia="Times New Roman"/>
          <w:i/>
          <w:lang w:val="pl-PL"/>
        </w:rPr>
        <w:t>Feldek p. Słowacji,</w:t>
      </w:r>
      <w:r w:rsidR="00031A91" w:rsidRPr="008911CB">
        <w:rPr>
          <w:rFonts w:eastAsia="Times New Roman"/>
          <w:lang w:val="pl-PL"/>
        </w:rPr>
        <w:t xml:space="preserve"> nr</w:t>
      </w:r>
      <w:r w:rsidR="009975CF" w:rsidRPr="008911CB">
        <w:rPr>
          <w:rFonts w:eastAsia="Times New Roman"/>
          <w:lang w:val="pl-PL"/>
        </w:rPr>
        <w:t xml:space="preserve"> 29032/95, § </w:t>
      </w:r>
      <w:r w:rsidR="00031A91" w:rsidRPr="008911CB">
        <w:rPr>
          <w:rFonts w:eastAsia="Times New Roman"/>
          <w:lang w:val="pl-PL"/>
        </w:rPr>
        <w:t>84, ETPCz</w:t>
      </w:r>
      <w:r w:rsidR="009975CF" w:rsidRPr="008911CB">
        <w:rPr>
          <w:rFonts w:eastAsia="Times New Roman"/>
          <w:lang w:val="pl-PL"/>
        </w:rPr>
        <w:t xml:space="preserve"> 2001</w:t>
      </w:r>
      <w:r w:rsidR="009975CF" w:rsidRPr="008911CB">
        <w:rPr>
          <w:rFonts w:eastAsia="Times New Roman"/>
          <w:lang w:val="pl-PL"/>
        </w:rPr>
        <w:noBreakHyphen/>
        <w:t>VIII</w:t>
      </w:r>
      <w:r w:rsidR="009975CF" w:rsidRPr="008911CB">
        <w:rPr>
          <w:rFonts w:eastAsia="Times New Roman"/>
          <w:noProof/>
          <w:lang w:val="pl-PL"/>
        </w:rPr>
        <w:t>).</w:t>
      </w:r>
    </w:p>
    <w:p w14:paraId="261ED12E" w14:textId="3E4CF80A" w:rsidR="00031A91" w:rsidRPr="008911CB" w:rsidRDefault="002F7EC0" w:rsidP="00AE1E05">
      <w:pPr>
        <w:pStyle w:val="ECHRPara"/>
        <w:rPr>
          <w:rFonts w:eastAsia="Times New Roman"/>
          <w:lang w:val="pl-PL"/>
        </w:rPr>
      </w:pPr>
      <w:r w:rsidRPr="008911CB">
        <w:rPr>
          <w:rFonts w:eastAsia="Times New Roman"/>
          <w:noProof/>
          <w:lang w:val="pl-PL"/>
        </w:rPr>
        <w:t>59</w:t>
      </w:r>
      <w:r w:rsidR="00C50103" w:rsidRPr="008911CB">
        <w:rPr>
          <w:rFonts w:eastAsia="Times New Roman"/>
          <w:lang w:val="pl-PL"/>
        </w:rPr>
        <w:t>.  </w:t>
      </w:r>
      <w:r w:rsidR="00031A91" w:rsidRPr="008911CB">
        <w:rPr>
          <w:rFonts w:eastAsia="Times New Roman"/>
          <w:lang w:val="pl-PL"/>
        </w:rPr>
        <w:t>W</w:t>
      </w:r>
      <w:r w:rsidR="00194A9C" w:rsidRPr="008911CB">
        <w:rPr>
          <w:rFonts w:eastAsia="Times New Roman"/>
          <w:lang w:val="pl-PL"/>
        </w:rPr>
        <w:t>obec powyższego jedyną kwestią sporną</w:t>
      </w:r>
      <w:r w:rsidR="00031A91" w:rsidRPr="008911CB">
        <w:rPr>
          <w:rFonts w:eastAsia="Times New Roman"/>
          <w:lang w:val="pl-PL"/>
        </w:rPr>
        <w:t xml:space="preserve"> pozostaje</w:t>
      </w:r>
      <w:r w:rsidR="00194A9C" w:rsidRPr="008911CB">
        <w:rPr>
          <w:rFonts w:eastAsia="Times New Roman"/>
          <w:lang w:val="pl-PL"/>
        </w:rPr>
        <w:t xml:space="preserve"> opis tychże faktów. Trybunał uznaje, że używane przez skarżącego wyrażenie „tortura” nie może być interpretowane inaczej niż jako sąd </w:t>
      </w:r>
      <w:r w:rsidR="00E96F3D" w:rsidRPr="008911CB">
        <w:rPr>
          <w:rFonts w:eastAsia="Times New Roman"/>
          <w:lang w:val="pl-PL"/>
        </w:rPr>
        <w:t>ocenny</w:t>
      </w:r>
      <w:r w:rsidR="007C367F" w:rsidRPr="008911CB">
        <w:rPr>
          <w:rFonts w:eastAsia="Times New Roman"/>
          <w:lang w:val="pl-PL"/>
        </w:rPr>
        <w:t xml:space="preserve">, którego prawdziwość nie podlega udowadnianiu. Sądy </w:t>
      </w:r>
      <w:r w:rsidR="00E96F3D" w:rsidRPr="008911CB">
        <w:rPr>
          <w:rFonts w:eastAsia="Times New Roman"/>
          <w:lang w:val="pl-PL"/>
        </w:rPr>
        <w:t>ocenne</w:t>
      </w:r>
      <w:r w:rsidR="007C367F" w:rsidRPr="008911CB">
        <w:rPr>
          <w:rFonts w:eastAsia="Times New Roman"/>
          <w:lang w:val="pl-PL"/>
        </w:rPr>
        <w:t xml:space="preserve"> mogą być przesadne</w:t>
      </w:r>
      <w:r w:rsidR="00AE1E05">
        <w:rPr>
          <w:rFonts w:eastAsia="Times New Roman"/>
          <w:lang w:val="pl-PL"/>
        </w:rPr>
        <w:t>,</w:t>
      </w:r>
      <w:r w:rsidR="007C367F" w:rsidRPr="008911CB">
        <w:rPr>
          <w:rFonts w:eastAsia="Times New Roman"/>
          <w:lang w:val="pl-PL"/>
        </w:rPr>
        <w:t xml:space="preserve"> </w:t>
      </w:r>
      <w:r w:rsidR="00B52A01" w:rsidRPr="008911CB">
        <w:rPr>
          <w:rFonts w:eastAsia="Times New Roman"/>
          <w:lang w:val="pl-PL"/>
        </w:rPr>
        <w:t xml:space="preserve">jeśli brakuje </w:t>
      </w:r>
      <w:r w:rsidR="00AE1E05" w:rsidRPr="00AE1E05">
        <w:rPr>
          <w:rFonts w:eastAsia="Times New Roman"/>
          <w:lang w:val="pl-PL"/>
        </w:rPr>
        <w:t>do nich</w:t>
      </w:r>
      <w:r w:rsidR="00AE1E05">
        <w:rPr>
          <w:rFonts w:eastAsia="Times New Roman"/>
          <w:lang w:val="pl-PL"/>
        </w:rPr>
        <w:t xml:space="preserve"> </w:t>
      </w:r>
      <w:r w:rsidR="00B52A01" w:rsidRPr="008911CB">
        <w:rPr>
          <w:rFonts w:eastAsia="Times New Roman"/>
          <w:lang w:val="pl-PL"/>
        </w:rPr>
        <w:t>jakichkolwiek</w:t>
      </w:r>
      <w:r w:rsidR="007C367F" w:rsidRPr="008911CB">
        <w:rPr>
          <w:rFonts w:eastAsia="Times New Roman"/>
          <w:lang w:val="pl-PL"/>
        </w:rPr>
        <w:t xml:space="preserve"> obiektywnych podstaw</w:t>
      </w:r>
      <w:r w:rsidR="00B52A01" w:rsidRPr="008911CB">
        <w:rPr>
          <w:rFonts w:eastAsia="Times New Roman"/>
          <w:lang w:val="pl-PL"/>
        </w:rPr>
        <w:t>, jednak w świetle wyżej wymienionych okoliczności w p</w:t>
      </w:r>
      <w:r w:rsidR="004F0B57" w:rsidRPr="008911CB">
        <w:rPr>
          <w:rFonts w:eastAsia="Times New Roman"/>
          <w:lang w:val="pl-PL"/>
        </w:rPr>
        <w:t>rzedmiotowej sprawie taka sytuacja nie ma miejsca.</w:t>
      </w:r>
      <w:r w:rsidR="000D2383" w:rsidRPr="008911CB">
        <w:rPr>
          <w:rFonts w:eastAsia="Times New Roman"/>
          <w:lang w:val="pl-PL"/>
        </w:rPr>
        <w:t xml:space="preserve"> Co więcej, podstawę faktyczną sprawy zawierają wyroki sądu karnego</w:t>
      </w:r>
      <w:r w:rsidR="00091AAE" w:rsidRPr="008911CB">
        <w:rPr>
          <w:rFonts w:eastAsia="Times New Roman"/>
          <w:lang w:val="pl-PL"/>
        </w:rPr>
        <w:t xml:space="preserve"> i</w:t>
      </w:r>
      <w:r w:rsidR="000D2383" w:rsidRPr="008911CB">
        <w:rPr>
          <w:rFonts w:eastAsia="Times New Roman"/>
          <w:i/>
          <w:lang w:val="pl-PL"/>
        </w:rPr>
        <w:t xml:space="preserve"> Audiencia Provincial</w:t>
      </w:r>
      <w:r w:rsidR="000D2383" w:rsidRPr="008911CB">
        <w:rPr>
          <w:rFonts w:eastAsia="Times New Roman"/>
          <w:lang w:val="pl-PL"/>
        </w:rPr>
        <w:t xml:space="preserve">, które </w:t>
      </w:r>
      <w:r w:rsidR="00091AAE" w:rsidRPr="008911CB">
        <w:rPr>
          <w:rFonts w:eastAsia="Times New Roman"/>
          <w:lang w:val="pl-PL"/>
        </w:rPr>
        <w:t xml:space="preserve">jasno opisały metody policji. Opis faktów ustalonych przez [sądy] krajowe co do istoty pokrywa się z opisem skarżącego. Zdaniem Trybunału skarżący użył słowa </w:t>
      </w:r>
      <w:r w:rsidR="00A559E9" w:rsidRPr="008911CB">
        <w:rPr>
          <w:rFonts w:eastAsia="Times New Roman"/>
          <w:lang w:val="pl-PL"/>
        </w:rPr>
        <w:t>„tortura” w znaczeniu potocznym w celu potępienia metod policyjnych i użycia</w:t>
      </w:r>
      <w:r w:rsidR="004F6040" w:rsidRPr="008911CB">
        <w:rPr>
          <w:rFonts w:eastAsia="Times New Roman"/>
          <w:lang w:val="pl-PL"/>
        </w:rPr>
        <w:t xml:space="preserve"> przez policję</w:t>
      </w:r>
      <w:r w:rsidR="00A559E9" w:rsidRPr="008911CB">
        <w:rPr>
          <w:rFonts w:eastAsia="Times New Roman"/>
          <w:lang w:val="pl-PL"/>
        </w:rPr>
        <w:t xml:space="preserve"> – jego zdaniem – nadmiernej i nieproporcjonalnej siły</w:t>
      </w:r>
      <w:r w:rsidR="004F6040" w:rsidRPr="008911CB">
        <w:rPr>
          <w:rFonts w:eastAsia="Times New Roman"/>
          <w:lang w:val="pl-PL"/>
        </w:rPr>
        <w:t xml:space="preserve"> oraz znęcania się, którego miał doświadczyć z rąk policjantów i strażaków.</w:t>
      </w:r>
    </w:p>
    <w:p w14:paraId="47A8382D" w14:textId="6835B67F" w:rsidR="004F6040" w:rsidRPr="008911CB" w:rsidRDefault="004F6040" w:rsidP="002F7EC0">
      <w:pPr>
        <w:pStyle w:val="ECHRHeading6"/>
        <w:rPr>
          <w:rFonts w:eastAsia="Times New Roman"/>
          <w:noProof/>
          <w:lang w:val="pl-PL"/>
        </w:rPr>
      </w:pPr>
      <w:r w:rsidRPr="008911CB">
        <w:rPr>
          <w:lang w:val="pl-PL"/>
        </w:rPr>
        <w:t xml:space="preserve"> </w:t>
      </w:r>
      <w:r w:rsidR="00A64EDF" w:rsidRPr="008911CB">
        <w:rPr>
          <w:lang w:val="pl-PL"/>
        </w:rPr>
        <w:t>(γ)</w:t>
      </w:r>
      <w:r w:rsidR="00A87898" w:rsidRPr="008911CB">
        <w:rPr>
          <w:rFonts w:eastAsia="Times New Roman"/>
          <w:noProof/>
          <w:lang w:val="pl-PL"/>
        </w:rPr>
        <w:t>  </w:t>
      </w:r>
      <w:r w:rsidRPr="008911CB">
        <w:rPr>
          <w:rFonts w:eastAsia="Times New Roman"/>
          <w:noProof/>
          <w:lang w:val="pl-PL"/>
        </w:rPr>
        <w:t xml:space="preserve">Wpływ na poszczególnych policjantów </w:t>
      </w:r>
      <w:r w:rsidR="00A76F5A" w:rsidRPr="008911CB">
        <w:rPr>
          <w:rFonts w:eastAsia="Times New Roman"/>
          <w:noProof/>
          <w:lang w:val="pl-PL"/>
        </w:rPr>
        <w:t>i</w:t>
      </w:r>
      <w:r w:rsidRPr="008911CB">
        <w:rPr>
          <w:rFonts w:eastAsia="Times New Roman"/>
          <w:noProof/>
          <w:lang w:val="pl-PL"/>
        </w:rPr>
        <w:t xml:space="preserve"> strażaków</w:t>
      </w:r>
    </w:p>
    <w:p w14:paraId="6F5AFF87" w14:textId="5C7853F6" w:rsidR="00BC59E2" w:rsidRPr="008911CB" w:rsidRDefault="002F7EC0" w:rsidP="002F7EC0">
      <w:pPr>
        <w:pStyle w:val="ECHRPara"/>
        <w:rPr>
          <w:rFonts w:eastAsia="Times New Roman"/>
          <w:lang w:val="pl-PL" w:eastAsia="fr-FR"/>
        </w:rPr>
      </w:pPr>
      <w:r w:rsidRPr="008911CB">
        <w:rPr>
          <w:rFonts w:eastAsia="Times New Roman"/>
          <w:noProof/>
          <w:lang w:val="pl-PL" w:eastAsia="fr-FR"/>
        </w:rPr>
        <w:t>60</w:t>
      </w:r>
      <w:r w:rsidR="00C50103" w:rsidRPr="008911CB">
        <w:rPr>
          <w:rFonts w:eastAsia="Times New Roman"/>
          <w:lang w:val="pl-PL" w:eastAsia="fr-FR"/>
        </w:rPr>
        <w:t>.  </w:t>
      </w:r>
      <w:r w:rsidR="00E05474" w:rsidRPr="008911CB">
        <w:rPr>
          <w:rFonts w:eastAsia="Times New Roman"/>
          <w:lang w:val="pl-PL" w:eastAsia="fr-FR"/>
        </w:rPr>
        <w:t>Trybunał</w:t>
      </w:r>
      <w:r w:rsidR="00BC59E2" w:rsidRPr="008911CB">
        <w:rPr>
          <w:rFonts w:eastAsia="Times New Roman"/>
          <w:lang w:val="pl-PL" w:eastAsia="fr-FR"/>
        </w:rPr>
        <w:t xml:space="preserve"> ustalił również, że nie uwzględniono okoliczności</w:t>
      </w:r>
      <w:r w:rsidR="00B464A9">
        <w:rPr>
          <w:rFonts w:eastAsia="Times New Roman"/>
          <w:lang w:val="pl-PL" w:eastAsia="fr-FR"/>
        </w:rPr>
        <w:t>,</w:t>
      </w:r>
      <w:r w:rsidR="00BC59E2" w:rsidRPr="008911CB">
        <w:rPr>
          <w:rFonts w:eastAsia="Times New Roman"/>
          <w:lang w:val="pl-PL" w:eastAsia="fr-FR"/>
        </w:rPr>
        <w:t xml:space="preserve"> czy użyte stwierdzenia </w:t>
      </w:r>
      <w:r w:rsidR="00203F84" w:rsidRPr="008911CB">
        <w:rPr>
          <w:rFonts w:eastAsia="Times New Roman"/>
          <w:lang w:val="pl-PL" w:eastAsia="fr-FR"/>
        </w:rPr>
        <w:t xml:space="preserve">zachęcały do stosowania przemocy </w:t>
      </w:r>
      <w:r w:rsidR="00E05474" w:rsidRPr="008911CB">
        <w:rPr>
          <w:rFonts w:eastAsia="Times New Roman"/>
          <w:lang w:val="pl-PL" w:eastAsia="fr-FR"/>
        </w:rPr>
        <w:t>ani</w:t>
      </w:r>
      <w:r w:rsidR="00203F84" w:rsidRPr="008911CB">
        <w:rPr>
          <w:rFonts w:eastAsia="Times New Roman"/>
          <w:lang w:val="pl-PL" w:eastAsia="fr-FR"/>
        </w:rPr>
        <w:t xml:space="preserve"> czy były dostępne inne środki w odpowiedzi na stawiane zarzuty</w:t>
      </w:r>
      <w:r w:rsidR="00B464A9">
        <w:rPr>
          <w:rFonts w:eastAsia="Times New Roman"/>
          <w:lang w:val="pl-PL" w:eastAsia="fr-FR"/>
        </w:rPr>
        <w:t>,</w:t>
      </w:r>
      <w:r w:rsidR="00203F84" w:rsidRPr="008911CB">
        <w:rPr>
          <w:rFonts w:eastAsia="Times New Roman"/>
          <w:lang w:val="pl-PL" w:eastAsia="fr-FR"/>
        </w:rPr>
        <w:t xml:space="preserve"> zanim sięgnięto</w:t>
      </w:r>
      <w:r w:rsidR="00E05474" w:rsidRPr="008911CB">
        <w:rPr>
          <w:rFonts w:eastAsia="Times New Roman"/>
          <w:lang w:val="pl-PL" w:eastAsia="fr-FR"/>
        </w:rPr>
        <w:t xml:space="preserve"> po postę</w:t>
      </w:r>
      <w:r w:rsidR="00203F84" w:rsidRPr="008911CB">
        <w:rPr>
          <w:rFonts w:eastAsia="Times New Roman"/>
          <w:lang w:val="pl-PL" w:eastAsia="fr-FR"/>
        </w:rPr>
        <w:t>powanie karne</w:t>
      </w:r>
      <w:r w:rsidR="00E05474" w:rsidRPr="008911CB">
        <w:rPr>
          <w:rFonts w:eastAsia="Times New Roman"/>
          <w:lang w:val="pl-PL" w:eastAsia="fr-FR"/>
        </w:rPr>
        <w:t xml:space="preserve">, co Trybunał uznał za kluczowe okoliczności w sprawie (zob. </w:t>
      </w:r>
      <w:r w:rsidR="00E05474" w:rsidRPr="008911CB">
        <w:rPr>
          <w:rFonts w:eastAsia="Times New Roman"/>
          <w:i/>
          <w:lang w:val="pl-PL"/>
        </w:rPr>
        <w:t>Perinçek</w:t>
      </w:r>
      <w:r w:rsidR="00E05474" w:rsidRPr="008911CB">
        <w:rPr>
          <w:rFonts w:eastAsia="Times New Roman"/>
          <w:lang w:val="pl-PL"/>
        </w:rPr>
        <w:t>, cytowan</w:t>
      </w:r>
      <w:r w:rsidR="006A372E">
        <w:rPr>
          <w:rFonts w:eastAsia="Times New Roman"/>
          <w:lang w:val="pl-PL"/>
        </w:rPr>
        <w:t>y</w:t>
      </w:r>
      <w:r w:rsidR="00E05474" w:rsidRPr="008911CB">
        <w:rPr>
          <w:rFonts w:eastAsia="Times New Roman"/>
          <w:lang w:val="pl-PL"/>
        </w:rPr>
        <w:t xml:space="preserve"> powyżej, §§ 204-08;</w:t>
      </w:r>
      <w:r w:rsidR="00E05474" w:rsidRPr="008911CB">
        <w:rPr>
          <w:rFonts w:eastAsia="Times New Roman"/>
          <w:lang w:val="pl-PL" w:eastAsia="fr-FR"/>
        </w:rPr>
        <w:t xml:space="preserve"> </w:t>
      </w:r>
      <w:r w:rsidR="00E05474" w:rsidRPr="008911CB">
        <w:rPr>
          <w:rFonts w:eastAsia="Times New Roman"/>
          <w:i/>
          <w:lang w:val="pl-PL"/>
        </w:rPr>
        <w:t>Sürek p. Turcji</w:t>
      </w:r>
      <w:r w:rsidR="00E05474" w:rsidRPr="008911CB">
        <w:rPr>
          <w:rFonts w:eastAsia="Times New Roman"/>
          <w:lang w:val="pl-PL"/>
        </w:rPr>
        <w:t xml:space="preserve"> </w:t>
      </w:r>
      <w:r w:rsidR="00E05474" w:rsidRPr="008911CB">
        <w:rPr>
          <w:rFonts w:eastAsia="Times New Roman"/>
          <w:i/>
          <w:lang w:val="pl-PL"/>
        </w:rPr>
        <w:t>(nr 1)</w:t>
      </w:r>
      <w:r w:rsidR="00E05474" w:rsidRPr="008911CB">
        <w:rPr>
          <w:rFonts w:eastAsia="Times New Roman"/>
          <w:lang w:val="pl-PL"/>
        </w:rPr>
        <w:t xml:space="preserve"> [WI], nr</w:t>
      </w:r>
      <w:r w:rsidR="00B13817" w:rsidRPr="008911CB">
        <w:rPr>
          <w:rFonts w:eastAsia="Times New Roman"/>
          <w:lang w:val="pl-PL"/>
        </w:rPr>
        <w:t> 26682/95, §§ 61, ETPCz</w:t>
      </w:r>
      <w:r w:rsidR="00E05474" w:rsidRPr="008911CB">
        <w:rPr>
          <w:rFonts w:eastAsia="Times New Roman"/>
          <w:lang w:val="pl-PL"/>
        </w:rPr>
        <w:t xml:space="preserve"> 1999-IV; </w:t>
      </w:r>
      <w:r w:rsidR="00B13817" w:rsidRPr="008911CB">
        <w:rPr>
          <w:rFonts w:eastAsia="Times New Roman"/>
          <w:lang w:val="pl-PL"/>
        </w:rPr>
        <w:t>i</w:t>
      </w:r>
      <w:r w:rsidR="00B13817" w:rsidRPr="008911CB">
        <w:rPr>
          <w:rFonts w:eastAsia="Times New Roman"/>
          <w:i/>
          <w:lang w:val="pl-PL"/>
        </w:rPr>
        <w:t xml:space="preserve"> Castells p. Hiszpanii</w:t>
      </w:r>
      <w:r w:rsidR="00E05474" w:rsidRPr="008911CB">
        <w:rPr>
          <w:rFonts w:eastAsia="Times New Roman"/>
          <w:lang w:val="pl-PL"/>
        </w:rPr>
        <w:t xml:space="preserve">, 23 </w:t>
      </w:r>
      <w:r w:rsidR="00B13817" w:rsidRPr="008911CB">
        <w:rPr>
          <w:rFonts w:eastAsia="Times New Roman"/>
          <w:lang w:val="pl-PL"/>
        </w:rPr>
        <w:t>kwietnia</w:t>
      </w:r>
      <w:r w:rsidR="00E05474" w:rsidRPr="008911CB">
        <w:rPr>
          <w:rFonts w:eastAsia="Times New Roman"/>
          <w:lang w:val="pl-PL"/>
        </w:rPr>
        <w:t xml:space="preserve"> 1992</w:t>
      </w:r>
      <w:r w:rsidR="006A372E">
        <w:rPr>
          <w:rFonts w:eastAsia="Times New Roman"/>
          <w:lang w:val="pl-PL"/>
        </w:rPr>
        <w:t xml:space="preserve"> r.</w:t>
      </w:r>
      <w:r w:rsidR="00E05474" w:rsidRPr="008911CB">
        <w:rPr>
          <w:rFonts w:eastAsia="Times New Roman"/>
          <w:lang w:val="pl-PL"/>
        </w:rPr>
        <w:t>, § </w:t>
      </w:r>
      <w:r w:rsidR="00E05474" w:rsidRPr="008911CB">
        <w:rPr>
          <w:rFonts w:eastAsia="Times New Roman"/>
          <w:lang w:val="pl-PL" w:eastAsia="fr-FR"/>
        </w:rPr>
        <w:t>46</w:t>
      </w:r>
      <w:r w:rsidR="00B13817" w:rsidRPr="008911CB">
        <w:rPr>
          <w:rFonts w:eastAsia="Times New Roman"/>
          <w:lang w:val="pl-PL"/>
        </w:rPr>
        <w:t>, Seria A nr</w:t>
      </w:r>
      <w:r w:rsidR="00E05474" w:rsidRPr="008911CB">
        <w:rPr>
          <w:rFonts w:eastAsia="Times New Roman"/>
          <w:lang w:val="pl-PL"/>
        </w:rPr>
        <w:t xml:space="preserve"> 236</w:t>
      </w:r>
      <w:r w:rsidR="00E05474" w:rsidRPr="008911CB">
        <w:rPr>
          <w:rFonts w:eastAsia="Times New Roman"/>
          <w:lang w:val="pl-PL" w:eastAsia="fr-FR"/>
        </w:rPr>
        <w:t>)</w:t>
      </w:r>
      <w:r w:rsidR="00B13817" w:rsidRPr="008911CB">
        <w:rPr>
          <w:rFonts w:eastAsia="Times New Roman"/>
          <w:lang w:val="pl-PL" w:eastAsia="fr-FR"/>
        </w:rPr>
        <w:t>.</w:t>
      </w:r>
      <w:r w:rsidR="009354B8" w:rsidRPr="008911CB">
        <w:rPr>
          <w:rFonts w:eastAsia="Times New Roman"/>
          <w:lang w:val="pl-PL" w:eastAsia="fr-FR"/>
        </w:rPr>
        <w:t xml:space="preserve"> Co więcej, ani w decyzjach sądów krajowych, ani w uwagach Rządu nie ma także wzmianek o tym, czy twierdzenia skarżącego rzeczywiście miały negatywne następstwa dla funkcjonariuszy policji.</w:t>
      </w:r>
    </w:p>
    <w:p w14:paraId="4DB619D4" w14:textId="3872E892" w:rsidR="007F5F86" w:rsidRPr="008911CB" w:rsidRDefault="002F7EC0" w:rsidP="000806DE">
      <w:pPr>
        <w:pStyle w:val="ECHRPara"/>
        <w:rPr>
          <w:rFonts w:eastAsia="Times New Roman"/>
          <w:lang w:val="pl-PL"/>
        </w:rPr>
      </w:pPr>
      <w:r w:rsidRPr="008911CB">
        <w:rPr>
          <w:rFonts w:eastAsia="Times New Roman"/>
          <w:noProof/>
          <w:lang w:val="pl-PL"/>
        </w:rPr>
        <w:t>61</w:t>
      </w:r>
      <w:r w:rsidR="00C50103" w:rsidRPr="008911CB">
        <w:rPr>
          <w:rFonts w:eastAsia="Times New Roman"/>
          <w:lang w:val="pl-PL"/>
        </w:rPr>
        <w:t>.  </w:t>
      </w:r>
      <w:r w:rsidR="007F5F86" w:rsidRPr="008911CB">
        <w:rPr>
          <w:rFonts w:eastAsia="Times New Roman"/>
          <w:lang w:val="pl-PL"/>
        </w:rPr>
        <w:t>Ponadto Trybunał nie podziel</w:t>
      </w:r>
      <w:r w:rsidR="006A372E">
        <w:rPr>
          <w:rFonts w:eastAsia="Times New Roman"/>
          <w:lang w:val="pl-PL"/>
        </w:rPr>
        <w:t>a</w:t>
      </w:r>
      <w:r w:rsidR="007F5F86" w:rsidRPr="008911CB">
        <w:rPr>
          <w:rFonts w:eastAsia="Times New Roman"/>
          <w:lang w:val="pl-PL"/>
        </w:rPr>
        <w:t xml:space="preserve"> zdania Rządu</w:t>
      </w:r>
      <w:r w:rsidR="006A372E">
        <w:rPr>
          <w:rFonts w:eastAsia="Times New Roman"/>
          <w:lang w:val="pl-PL"/>
        </w:rPr>
        <w:t>,</w:t>
      </w:r>
      <w:r w:rsidR="007F5F86" w:rsidRPr="008911CB">
        <w:rPr>
          <w:rFonts w:eastAsia="Times New Roman"/>
          <w:lang w:val="pl-PL"/>
        </w:rPr>
        <w:t xml:space="preserve"> jakoby niniejsza sprawa miała tło podobne do sprawy </w:t>
      </w:r>
      <w:r w:rsidR="007F5F86" w:rsidRPr="008911CB">
        <w:rPr>
          <w:rFonts w:eastAsia="Times New Roman"/>
          <w:i/>
          <w:lang w:val="pl-PL"/>
        </w:rPr>
        <w:t>Cumpǎnǎ i Mazǎre</w:t>
      </w:r>
      <w:r w:rsidR="007F5F86" w:rsidRPr="008911CB">
        <w:rPr>
          <w:rFonts w:eastAsia="Times New Roman"/>
          <w:lang w:val="pl-PL"/>
        </w:rPr>
        <w:t xml:space="preserve"> (cytowanej powyżej). W przywołanej sprawie Trybunał uznał, że </w:t>
      </w:r>
      <w:r w:rsidR="005D46C0" w:rsidRPr="008911CB">
        <w:rPr>
          <w:rFonts w:eastAsia="Times New Roman"/>
          <w:lang w:val="pl-PL"/>
        </w:rPr>
        <w:t xml:space="preserve">twierdzenia skarżących na temat osoby trzeciej mogły rzeczywiście </w:t>
      </w:r>
      <w:r w:rsidR="00532891" w:rsidRPr="008911CB">
        <w:rPr>
          <w:rFonts w:eastAsia="Times New Roman"/>
          <w:lang w:val="pl-PL"/>
        </w:rPr>
        <w:t xml:space="preserve">doprowadzić opinię publiczną do przekonania, że </w:t>
      </w:r>
      <w:r w:rsidR="00032467" w:rsidRPr="008911CB">
        <w:rPr>
          <w:rFonts w:eastAsia="Times New Roman"/>
          <w:lang w:val="pl-PL"/>
        </w:rPr>
        <w:t>„oszustwo” zarzucanie jej i jeszcze jednej osobie oraz łapówki, które te osoby miały rzekomo przyjąć „stanowiły potwierdzone i bezsporne fakty”.</w:t>
      </w:r>
      <w:r w:rsidR="00BD11F6">
        <w:rPr>
          <w:rFonts w:eastAsia="Times New Roman"/>
          <w:lang w:val="pl-PL"/>
        </w:rPr>
        <w:t xml:space="preserve"> </w:t>
      </w:r>
      <w:r w:rsidR="00032467" w:rsidRPr="008911CB">
        <w:rPr>
          <w:rFonts w:eastAsia="Times New Roman"/>
          <w:lang w:val="pl-PL"/>
        </w:rPr>
        <w:t xml:space="preserve">W niniejszej sprawie sądy krajowe nie kwestionowały prawdziwości zarzutów skarżącego (a jedynie kwalifikację prawną metod policyjnych), podczas gdy w </w:t>
      </w:r>
      <w:r w:rsidR="00F445AA" w:rsidRPr="008911CB">
        <w:rPr>
          <w:rFonts w:eastAsia="Times New Roman"/>
          <w:lang w:val="pl-PL"/>
        </w:rPr>
        <w:t xml:space="preserve">sprawie </w:t>
      </w:r>
      <w:r w:rsidR="00F445AA" w:rsidRPr="008911CB">
        <w:rPr>
          <w:rFonts w:eastAsia="Times New Roman"/>
          <w:i/>
          <w:lang w:val="pl-PL"/>
        </w:rPr>
        <w:t xml:space="preserve">Cumpǎnǎ </w:t>
      </w:r>
      <w:r w:rsidR="000806DE" w:rsidRPr="008911CB">
        <w:rPr>
          <w:rFonts w:eastAsia="Times New Roman"/>
          <w:i/>
          <w:lang w:val="pl-PL"/>
        </w:rPr>
        <w:t>i</w:t>
      </w:r>
      <w:r w:rsidR="00F445AA" w:rsidRPr="008911CB">
        <w:rPr>
          <w:rFonts w:eastAsia="Times New Roman"/>
          <w:i/>
          <w:lang w:val="pl-PL"/>
        </w:rPr>
        <w:t xml:space="preserve"> Mazǎre</w:t>
      </w:r>
      <w:r w:rsidR="00F445AA" w:rsidRPr="008911CB">
        <w:rPr>
          <w:rFonts w:eastAsia="Times New Roman"/>
          <w:lang w:val="pl-PL"/>
        </w:rPr>
        <w:t xml:space="preserve"> sądy krajowe uznały, że „zarzuty skarżących (…) przedstawiały zniekształcony obraz rzeczywistości i nie opierały się na </w:t>
      </w:r>
      <w:r w:rsidR="000806DE" w:rsidRPr="008911CB">
        <w:rPr>
          <w:rFonts w:eastAsia="Times New Roman"/>
          <w:lang w:val="pl-PL"/>
        </w:rPr>
        <w:t>zaistniałych</w:t>
      </w:r>
      <w:r w:rsidR="00F445AA" w:rsidRPr="008911CB">
        <w:rPr>
          <w:rFonts w:eastAsia="Times New Roman"/>
          <w:lang w:val="pl-PL"/>
        </w:rPr>
        <w:t xml:space="preserve"> faktach”</w:t>
      </w:r>
      <w:r w:rsidR="000806DE" w:rsidRPr="008911CB">
        <w:rPr>
          <w:rFonts w:eastAsia="Times New Roman"/>
          <w:lang w:val="pl-PL"/>
        </w:rPr>
        <w:t xml:space="preserve"> (</w:t>
      </w:r>
      <w:r w:rsidR="000806DE" w:rsidRPr="008911CB">
        <w:rPr>
          <w:rFonts w:eastAsia="Times New Roman"/>
          <w:i/>
          <w:lang w:val="pl-PL"/>
        </w:rPr>
        <w:t xml:space="preserve">Cumpǎnǎ i Mazǎre, </w:t>
      </w:r>
      <w:r w:rsidR="000806DE" w:rsidRPr="008911CB">
        <w:rPr>
          <w:rFonts w:eastAsia="Times New Roman"/>
          <w:lang w:val="pl-PL"/>
        </w:rPr>
        <w:t>cytowany powyżej</w:t>
      </w:r>
      <w:r w:rsidR="000806DE" w:rsidRPr="008911CB">
        <w:rPr>
          <w:rFonts w:eastAsia="Times New Roman"/>
          <w:i/>
          <w:lang w:val="pl-PL"/>
        </w:rPr>
        <w:t>,</w:t>
      </w:r>
      <w:r w:rsidR="000806DE" w:rsidRPr="008911CB">
        <w:rPr>
          <w:rFonts w:eastAsia="Times New Roman"/>
          <w:lang w:val="pl-PL"/>
        </w:rPr>
        <w:t xml:space="preserve"> §103).</w:t>
      </w:r>
    </w:p>
    <w:p w14:paraId="22DE8AE4" w14:textId="60548BCC" w:rsidR="00E1022F" w:rsidRPr="008911CB" w:rsidRDefault="000806DE" w:rsidP="00E1022F">
      <w:pPr>
        <w:pStyle w:val="ECHRHeading6"/>
        <w:rPr>
          <w:lang w:val="pl-PL"/>
        </w:rPr>
      </w:pPr>
      <w:r w:rsidRPr="008911CB">
        <w:rPr>
          <w:lang w:val="pl-PL"/>
        </w:rPr>
        <w:t xml:space="preserve"> </w:t>
      </w:r>
      <w:r w:rsidR="00A64EDF" w:rsidRPr="008911CB">
        <w:rPr>
          <w:lang w:val="pl-PL"/>
        </w:rPr>
        <w:t>(η)</w:t>
      </w:r>
      <w:r w:rsidR="00A87898" w:rsidRPr="008911CB">
        <w:rPr>
          <w:rFonts w:eastAsia="Times New Roman"/>
          <w:noProof/>
          <w:lang w:val="pl-PL"/>
        </w:rPr>
        <w:t>  </w:t>
      </w:r>
      <w:r w:rsidR="00E1022F" w:rsidRPr="008911CB">
        <w:rPr>
          <w:lang w:val="pl-PL"/>
        </w:rPr>
        <w:t>Surowość ingerencji</w:t>
      </w:r>
    </w:p>
    <w:p w14:paraId="4758A0FA" w14:textId="59F55A9A" w:rsidR="00E1022F" w:rsidRPr="008911CB" w:rsidRDefault="002F7EC0" w:rsidP="007509FC">
      <w:pPr>
        <w:pStyle w:val="ECHRPara"/>
        <w:rPr>
          <w:rFonts w:eastAsia="Times New Roman"/>
          <w:noProof/>
          <w:lang w:val="pl-PL"/>
        </w:rPr>
      </w:pPr>
      <w:r w:rsidRPr="008911CB">
        <w:rPr>
          <w:rFonts w:eastAsia="Times New Roman"/>
          <w:noProof/>
          <w:lang w:val="pl-PL"/>
        </w:rPr>
        <w:t>62</w:t>
      </w:r>
      <w:r w:rsidR="00C50103" w:rsidRPr="008911CB">
        <w:rPr>
          <w:rFonts w:eastAsia="Times New Roman"/>
          <w:noProof/>
          <w:lang w:val="pl-PL"/>
        </w:rPr>
        <w:t>.  </w:t>
      </w:r>
      <w:r w:rsidR="00E1022F" w:rsidRPr="008911CB">
        <w:rPr>
          <w:rFonts w:eastAsia="Times New Roman"/>
          <w:noProof/>
          <w:lang w:val="pl-PL"/>
        </w:rPr>
        <w:t xml:space="preserve">Odnośnie </w:t>
      </w:r>
      <w:r w:rsidR="00BE18A6">
        <w:rPr>
          <w:rFonts w:eastAsia="Times New Roman"/>
          <w:noProof/>
          <w:lang w:val="pl-PL"/>
        </w:rPr>
        <w:t xml:space="preserve">do </w:t>
      </w:r>
      <w:r w:rsidR="00E1022F" w:rsidRPr="008911CB">
        <w:rPr>
          <w:rFonts w:eastAsia="Times New Roman"/>
          <w:noProof/>
          <w:lang w:val="pl-PL"/>
        </w:rPr>
        <w:t xml:space="preserve">nałożonej kary, chociaż instytucje Państwa mają pełne prawo – jako gwaranci instytucjonalnego porządku publicznego – być chronieni przez właściwe władze, to zajmowana przez te instytucje pozycja dominująca wymaga od władzy powściągliwości w stosowaniu postępowania karnego </w:t>
      </w:r>
      <w:r w:rsidR="007509FC">
        <w:rPr>
          <w:rFonts w:eastAsia="Times New Roman"/>
          <w:noProof/>
          <w:lang w:val="pl-PL"/>
        </w:rPr>
        <w:t xml:space="preserve">(zob. </w:t>
      </w:r>
      <w:r w:rsidR="00E1022F" w:rsidRPr="008911CB">
        <w:rPr>
          <w:rFonts w:eastAsia="Times New Roman"/>
          <w:i/>
          <w:lang w:val="pl-PL"/>
        </w:rPr>
        <w:t>Otegi Mondragon p. Hiszpanii,</w:t>
      </w:r>
      <w:r w:rsidR="00E1022F" w:rsidRPr="008911CB">
        <w:rPr>
          <w:rFonts w:eastAsia="Times New Roman"/>
          <w:lang w:val="pl-PL"/>
        </w:rPr>
        <w:t xml:space="preserve"> </w:t>
      </w:r>
      <w:r w:rsidR="00E1022F" w:rsidRPr="008911CB">
        <w:rPr>
          <w:rFonts w:eastAsia="Times New Roman"/>
          <w:snapToGrid w:val="0"/>
          <w:lang w:val="pl-PL"/>
        </w:rPr>
        <w:t>nr</w:t>
      </w:r>
      <w:r w:rsidR="00E1022F" w:rsidRPr="008911CB">
        <w:rPr>
          <w:rFonts w:eastAsia="Times New Roman"/>
          <w:lang w:val="pl-PL"/>
        </w:rPr>
        <w:t xml:space="preserve"> 2034/07, § 58, ETPCz 2011, i, </w:t>
      </w:r>
      <w:r w:rsidR="00E1022F" w:rsidRPr="008911CB">
        <w:rPr>
          <w:rFonts w:eastAsia="Times New Roman"/>
          <w:i/>
          <w:noProof/>
          <w:lang w:val="pl-PL"/>
        </w:rPr>
        <w:t>mutatis mutandis</w:t>
      </w:r>
      <w:r w:rsidR="00E1022F" w:rsidRPr="008911CB">
        <w:rPr>
          <w:rFonts w:eastAsia="Times New Roman"/>
          <w:noProof/>
          <w:lang w:val="pl-PL"/>
        </w:rPr>
        <w:t xml:space="preserve">, </w:t>
      </w:r>
      <w:r w:rsidR="00E1022F" w:rsidRPr="008911CB">
        <w:rPr>
          <w:rFonts w:eastAsia="Times New Roman"/>
          <w:i/>
          <w:noProof/>
          <w:lang w:val="pl-PL"/>
        </w:rPr>
        <w:t>Castells</w:t>
      </w:r>
      <w:r w:rsidR="00E1022F" w:rsidRPr="008911CB">
        <w:rPr>
          <w:rFonts w:eastAsia="Times New Roman"/>
          <w:noProof/>
          <w:lang w:val="pl-PL"/>
        </w:rPr>
        <w:t xml:space="preserve">, cytowane powyżej, § 46). W związku z tym Trybunał zauważa, że również rodzaj i surowość nałożonych kar należy wziąć </w:t>
      </w:r>
      <w:r w:rsidR="00007812" w:rsidRPr="008911CB">
        <w:rPr>
          <w:rFonts w:eastAsia="Times New Roman"/>
          <w:noProof/>
          <w:lang w:val="pl-PL"/>
        </w:rPr>
        <w:t>pod uwagę oceniając „proporcjonalność” ingerencji.</w:t>
      </w:r>
    </w:p>
    <w:p w14:paraId="787A17DE" w14:textId="21C4E139" w:rsidR="00007812" w:rsidRPr="008911CB" w:rsidRDefault="002F7EC0" w:rsidP="002F7EC0">
      <w:pPr>
        <w:pStyle w:val="ECHRPara"/>
        <w:rPr>
          <w:rFonts w:eastAsia="Times New Roman"/>
          <w:noProof/>
          <w:lang w:val="pl-PL"/>
        </w:rPr>
      </w:pPr>
      <w:r w:rsidRPr="008911CB">
        <w:rPr>
          <w:rFonts w:eastAsia="Times New Roman"/>
          <w:noProof/>
          <w:lang w:val="pl-PL"/>
        </w:rPr>
        <w:t>63</w:t>
      </w:r>
      <w:r w:rsidR="00C50103" w:rsidRPr="008911CB">
        <w:rPr>
          <w:rFonts w:eastAsia="Times New Roman"/>
          <w:noProof/>
          <w:lang w:val="pl-PL"/>
        </w:rPr>
        <w:t>.  </w:t>
      </w:r>
      <w:r w:rsidR="00007812" w:rsidRPr="008911CB">
        <w:rPr>
          <w:rFonts w:eastAsia="Times New Roman"/>
          <w:noProof/>
          <w:lang w:val="pl-PL"/>
        </w:rPr>
        <w:t xml:space="preserve">Trybunał odnotowuje, że sądy krajowe nakazały skarżącemu zapłatę dwunastomiesięcznej grzywny przy stawce dziennej wynoszącej 10 </w:t>
      </w:r>
      <w:r w:rsidR="009A3120" w:rsidRPr="008911CB">
        <w:rPr>
          <w:rFonts w:eastAsia="Times New Roman"/>
          <w:noProof/>
          <w:lang w:val="pl-PL"/>
        </w:rPr>
        <w:t xml:space="preserve">EUR </w:t>
      </w:r>
      <w:r w:rsidR="00007812" w:rsidRPr="008911CB">
        <w:rPr>
          <w:rFonts w:eastAsia="Times New Roman"/>
          <w:noProof/>
          <w:lang w:val="pl-PL"/>
        </w:rPr>
        <w:t xml:space="preserve">oraz zadośćuczynienia w łącznej kwocie 1200 </w:t>
      </w:r>
      <w:r w:rsidR="009A3120" w:rsidRPr="008911CB">
        <w:rPr>
          <w:rFonts w:eastAsia="Times New Roman"/>
          <w:noProof/>
          <w:lang w:val="pl-PL"/>
        </w:rPr>
        <w:t>EUR</w:t>
      </w:r>
      <w:r w:rsidR="00007812" w:rsidRPr="008911CB">
        <w:rPr>
          <w:rFonts w:eastAsia="Times New Roman"/>
          <w:noProof/>
          <w:lang w:val="pl-PL"/>
        </w:rPr>
        <w:t xml:space="preserve">. </w:t>
      </w:r>
      <w:r w:rsidR="00EF3960" w:rsidRPr="008911CB">
        <w:rPr>
          <w:rFonts w:eastAsia="Times New Roman"/>
          <w:noProof/>
          <w:lang w:val="pl-PL"/>
        </w:rPr>
        <w:t>Ponadto, w przypadku gdyby skarżą</w:t>
      </w:r>
      <w:r w:rsidR="00007812" w:rsidRPr="008911CB">
        <w:rPr>
          <w:rFonts w:eastAsia="Times New Roman"/>
          <w:noProof/>
          <w:lang w:val="pl-PL"/>
        </w:rPr>
        <w:t xml:space="preserve">cy nie uiścił </w:t>
      </w:r>
      <w:r w:rsidR="00EF3960" w:rsidRPr="008911CB">
        <w:rPr>
          <w:rFonts w:eastAsia="Times New Roman"/>
          <w:noProof/>
          <w:lang w:val="pl-PL"/>
        </w:rPr>
        <w:t xml:space="preserve">nałożonych kar dorowolnie, miałby </w:t>
      </w:r>
      <w:r w:rsidR="00FC314A" w:rsidRPr="008911CB">
        <w:rPr>
          <w:rFonts w:eastAsia="Times New Roman"/>
          <w:noProof/>
          <w:lang w:val="pl-PL"/>
        </w:rPr>
        <w:t>podlegać</w:t>
      </w:r>
      <w:r w:rsidR="007509FC">
        <w:rPr>
          <w:rFonts w:eastAsia="Times New Roman"/>
          <w:noProof/>
          <w:lang w:val="pl-PL"/>
        </w:rPr>
        <w:t xml:space="preserve"> </w:t>
      </w:r>
      <w:r w:rsidR="00FC314A" w:rsidRPr="008911CB">
        <w:rPr>
          <w:rFonts w:eastAsia="Times New Roman"/>
          <w:noProof/>
          <w:lang w:val="pl-PL"/>
        </w:rPr>
        <w:t>karze pozbawenia wolności w wymiarze jednego dnia za każde dwa dni niezapłaconej grzywny. Co więcej, skarżący został zobowiązany do publikacji, na własny koszt, treści wyroku w mediach, które uczestniczyły w konferencji prasowej.</w:t>
      </w:r>
    </w:p>
    <w:p w14:paraId="47992F0C" w14:textId="63559FB0" w:rsidR="00CA5B0A" w:rsidRPr="008911CB" w:rsidRDefault="002F7EC0" w:rsidP="00CA5B0A">
      <w:pPr>
        <w:pStyle w:val="ECHRPara"/>
        <w:rPr>
          <w:rFonts w:eastAsia="Times New Roman"/>
          <w:noProof/>
          <w:lang w:val="pl-PL"/>
        </w:rPr>
      </w:pPr>
      <w:r w:rsidRPr="008911CB">
        <w:rPr>
          <w:rFonts w:eastAsia="Times New Roman"/>
          <w:noProof/>
          <w:lang w:val="pl-PL"/>
        </w:rPr>
        <w:t>64</w:t>
      </w:r>
      <w:r w:rsidR="00C50103" w:rsidRPr="008911CB">
        <w:rPr>
          <w:rFonts w:eastAsia="Times New Roman"/>
          <w:noProof/>
          <w:lang w:val="pl-PL"/>
        </w:rPr>
        <w:t>.  </w:t>
      </w:r>
      <w:r w:rsidR="00FC314A" w:rsidRPr="008911CB">
        <w:rPr>
          <w:rFonts w:eastAsia="Times New Roman"/>
          <w:noProof/>
          <w:lang w:val="pl-PL"/>
        </w:rPr>
        <w:t xml:space="preserve">Zdaniem Trybunału powyższe sankcje mogły </w:t>
      </w:r>
      <w:r w:rsidR="000438B7" w:rsidRPr="008911CB">
        <w:rPr>
          <w:rFonts w:eastAsia="Times New Roman"/>
          <w:noProof/>
          <w:lang w:val="pl-PL"/>
        </w:rPr>
        <w:t>mieć „efekt mrożący</w:t>
      </w:r>
      <w:r w:rsidR="00FC314A" w:rsidRPr="008911CB">
        <w:rPr>
          <w:rFonts w:eastAsia="Times New Roman"/>
          <w:noProof/>
          <w:lang w:val="pl-PL"/>
        </w:rPr>
        <w:t xml:space="preserve">” na korzystanie przez skarżącego z prawa do </w:t>
      </w:r>
      <w:r w:rsidR="00C050D8" w:rsidRPr="008911CB">
        <w:rPr>
          <w:rFonts w:eastAsia="Times New Roman"/>
          <w:noProof/>
          <w:lang w:val="pl-PL"/>
        </w:rPr>
        <w:t>wolności wyrażania opinii</w:t>
      </w:r>
      <w:r w:rsidR="00FC314A" w:rsidRPr="008911CB">
        <w:rPr>
          <w:rFonts w:eastAsia="Times New Roman"/>
          <w:noProof/>
          <w:lang w:val="pl-PL"/>
        </w:rPr>
        <w:t xml:space="preserve"> przez zniech</w:t>
      </w:r>
      <w:r w:rsidR="000438B7" w:rsidRPr="008911CB">
        <w:rPr>
          <w:rFonts w:eastAsia="Times New Roman"/>
          <w:noProof/>
          <w:lang w:val="pl-PL"/>
        </w:rPr>
        <w:t>ę</w:t>
      </w:r>
      <w:r w:rsidR="00FC314A" w:rsidRPr="008911CB">
        <w:rPr>
          <w:rFonts w:eastAsia="Times New Roman"/>
          <w:noProof/>
          <w:lang w:val="pl-PL"/>
        </w:rPr>
        <w:t xml:space="preserve">cenie go do krytykowania działań funkcjonariuszy publicznych </w:t>
      </w:r>
      <w:r w:rsidR="00CA5B0A" w:rsidRPr="008911CB">
        <w:rPr>
          <w:rFonts w:eastAsia="Times New Roman"/>
          <w:noProof/>
          <w:lang w:val="pl-PL"/>
        </w:rPr>
        <w:t xml:space="preserve">(zob. </w:t>
      </w:r>
      <w:r w:rsidR="00CA5B0A" w:rsidRPr="008911CB">
        <w:rPr>
          <w:rFonts w:eastAsia="Times New Roman"/>
          <w:i/>
          <w:noProof/>
          <w:lang w:val="pl-PL"/>
        </w:rPr>
        <w:t>mutatis mutandis</w:t>
      </w:r>
      <w:r w:rsidR="00CA5B0A" w:rsidRPr="008911CB">
        <w:rPr>
          <w:rFonts w:eastAsia="Times New Roman"/>
          <w:noProof/>
          <w:lang w:val="pl-PL"/>
        </w:rPr>
        <w:t xml:space="preserve">, </w:t>
      </w:r>
      <w:r w:rsidR="00CA5B0A" w:rsidRPr="008911CB">
        <w:rPr>
          <w:rFonts w:eastAsia="Times New Roman"/>
          <w:i/>
          <w:noProof/>
          <w:lang w:val="pl-PL"/>
        </w:rPr>
        <w:t>Lewandowska-Malec p. Polsce</w:t>
      </w:r>
      <w:r w:rsidR="00CA5B0A" w:rsidRPr="008911CB">
        <w:rPr>
          <w:rFonts w:eastAsia="Times New Roman"/>
          <w:noProof/>
          <w:lang w:val="pl-PL"/>
        </w:rPr>
        <w:t>, nr 39660/07, § 70, 18 września 2012</w:t>
      </w:r>
      <w:r w:rsidR="006E14CA">
        <w:rPr>
          <w:rFonts w:eastAsia="Times New Roman"/>
          <w:noProof/>
          <w:lang w:val="pl-PL"/>
        </w:rPr>
        <w:t xml:space="preserve"> r.</w:t>
      </w:r>
      <w:r w:rsidR="00CA5B0A" w:rsidRPr="008911CB">
        <w:rPr>
          <w:rFonts w:eastAsia="Times New Roman"/>
          <w:noProof/>
          <w:lang w:val="pl-PL"/>
        </w:rPr>
        <w:t>).</w:t>
      </w:r>
    </w:p>
    <w:p w14:paraId="49C5DB7F" w14:textId="141A17D7" w:rsidR="00FC314A" w:rsidRPr="008911CB" w:rsidRDefault="00FC314A" w:rsidP="002F7EC0">
      <w:pPr>
        <w:pStyle w:val="ECHRPara"/>
        <w:rPr>
          <w:rFonts w:eastAsia="Times New Roman"/>
          <w:noProof/>
          <w:lang w:val="pl-PL"/>
        </w:rPr>
      </w:pPr>
    </w:p>
    <w:p w14:paraId="015F51CA" w14:textId="7F003FEA" w:rsidR="000438B7" w:rsidRPr="008911CB" w:rsidRDefault="00A64EDF" w:rsidP="002F7EC0">
      <w:pPr>
        <w:pStyle w:val="ECHRHeading6"/>
        <w:rPr>
          <w:rFonts w:eastAsia="Times New Roman"/>
          <w:noProof/>
          <w:lang w:val="pl-PL"/>
        </w:rPr>
      </w:pPr>
      <w:r w:rsidRPr="008911CB">
        <w:rPr>
          <w:lang w:val="pl-PL"/>
        </w:rPr>
        <w:t>θ)</w:t>
      </w:r>
      <w:r w:rsidR="00A87898" w:rsidRPr="008911CB">
        <w:rPr>
          <w:rFonts w:eastAsia="Times New Roman"/>
          <w:noProof/>
          <w:lang w:val="pl-PL"/>
        </w:rPr>
        <w:t>  </w:t>
      </w:r>
      <w:r w:rsidR="007A1F76" w:rsidRPr="008911CB">
        <w:rPr>
          <w:rFonts w:eastAsia="Times New Roman"/>
          <w:noProof/>
          <w:lang w:val="pl-PL"/>
        </w:rPr>
        <w:t>Wyważenie prawa skarż</w:t>
      </w:r>
      <w:r w:rsidR="000438B7" w:rsidRPr="008911CB">
        <w:rPr>
          <w:rFonts w:eastAsia="Times New Roman"/>
          <w:noProof/>
          <w:lang w:val="pl-PL"/>
        </w:rPr>
        <w:t xml:space="preserve">ącego do </w:t>
      </w:r>
      <w:r w:rsidR="00C050D8" w:rsidRPr="008911CB">
        <w:rPr>
          <w:rFonts w:eastAsia="Times New Roman"/>
          <w:noProof/>
          <w:lang w:val="pl-PL"/>
        </w:rPr>
        <w:t>wolności wyrażania opinii</w:t>
      </w:r>
      <w:r w:rsidR="000438B7" w:rsidRPr="008911CB">
        <w:rPr>
          <w:rFonts w:eastAsia="Times New Roman"/>
          <w:noProof/>
          <w:lang w:val="pl-PL"/>
        </w:rPr>
        <w:t xml:space="preserve"> </w:t>
      </w:r>
      <w:r w:rsidR="006E14CA">
        <w:rPr>
          <w:rFonts w:eastAsia="Times New Roman"/>
          <w:noProof/>
          <w:lang w:val="pl-PL"/>
        </w:rPr>
        <w:t>oraz</w:t>
      </w:r>
      <w:r w:rsidR="007A1F76" w:rsidRPr="008911CB">
        <w:rPr>
          <w:rFonts w:eastAsia="Times New Roman"/>
          <w:noProof/>
          <w:lang w:val="pl-PL"/>
        </w:rPr>
        <w:t xml:space="preserve"> prawa policjantów do poszanowania ich życia prywatnego</w:t>
      </w:r>
    </w:p>
    <w:p w14:paraId="29182ECE" w14:textId="1915498E" w:rsidR="003F50B9" w:rsidRPr="008911CB" w:rsidRDefault="002F7EC0" w:rsidP="002F7EC0">
      <w:pPr>
        <w:pStyle w:val="ECHRPara"/>
        <w:rPr>
          <w:rFonts w:eastAsia="Times New Roman"/>
          <w:lang w:val="pl-PL"/>
        </w:rPr>
      </w:pPr>
      <w:r w:rsidRPr="008911CB">
        <w:rPr>
          <w:rFonts w:eastAsia="Times New Roman"/>
          <w:noProof/>
          <w:lang w:val="pl-PL"/>
        </w:rPr>
        <w:t>65</w:t>
      </w:r>
      <w:r w:rsidR="00C50103" w:rsidRPr="008911CB">
        <w:rPr>
          <w:rFonts w:eastAsia="Times New Roman"/>
          <w:lang w:val="pl-PL"/>
        </w:rPr>
        <w:t>.  </w:t>
      </w:r>
      <w:r w:rsidR="003F50B9" w:rsidRPr="008911CB">
        <w:rPr>
          <w:rFonts w:eastAsia="Times New Roman"/>
          <w:lang w:val="pl-PL"/>
        </w:rPr>
        <w:t>Trybunał zauważa</w:t>
      </w:r>
      <w:r w:rsidR="00EF0B3D" w:rsidRPr="008911CB">
        <w:rPr>
          <w:rFonts w:eastAsia="Times New Roman"/>
          <w:lang w:val="pl-PL"/>
        </w:rPr>
        <w:t xml:space="preserve"> wreszcie</w:t>
      </w:r>
      <w:r w:rsidR="003F50B9" w:rsidRPr="008911CB">
        <w:rPr>
          <w:rFonts w:eastAsia="Times New Roman"/>
          <w:lang w:val="pl-PL"/>
        </w:rPr>
        <w:t xml:space="preserve">, że ograniczenie prawa skarżącego do krytykowania działań organów publicznych przez nałożenie obowiązku </w:t>
      </w:r>
      <w:r w:rsidR="00EF0B3D" w:rsidRPr="008911CB">
        <w:rPr>
          <w:rFonts w:eastAsia="Times New Roman"/>
          <w:lang w:val="pl-PL"/>
        </w:rPr>
        <w:t xml:space="preserve">ścisłego przestrzegania definicji tortur zawartej w hiszpańskim kodeksie karnym byłoby nakładaniem na skarżącego (jak i na przeciętnego obywatela) znacznego ciężaru, nieproporcjonalnie ograniczającego jego prawo do </w:t>
      </w:r>
      <w:r w:rsidR="00C050D8" w:rsidRPr="008911CB">
        <w:rPr>
          <w:rFonts w:eastAsia="Times New Roman"/>
          <w:lang w:val="pl-PL"/>
        </w:rPr>
        <w:t>wolności wyrażania opinii</w:t>
      </w:r>
      <w:r w:rsidR="00EF0B3D" w:rsidRPr="008911CB">
        <w:rPr>
          <w:rFonts w:eastAsia="Times New Roman"/>
          <w:lang w:val="pl-PL"/>
        </w:rPr>
        <w:t xml:space="preserve"> i publicznego krytykowania nieproporcjonalnych jego zdaniem działań policji i znęcania się strażaków.</w:t>
      </w:r>
    </w:p>
    <w:p w14:paraId="2F879A49" w14:textId="67EEFD56" w:rsidR="00EF0B3D" w:rsidRPr="008911CB" w:rsidRDefault="002F7EC0" w:rsidP="002F7EC0">
      <w:pPr>
        <w:pStyle w:val="ECHRPara"/>
        <w:rPr>
          <w:rFonts w:eastAsia="Times New Roman"/>
          <w:noProof/>
          <w:lang w:val="pl-PL"/>
        </w:rPr>
      </w:pPr>
      <w:r w:rsidRPr="008911CB">
        <w:rPr>
          <w:rFonts w:eastAsia="Times New Roman"/>
          <w:noProof/>
          <w:lang w:val="pl-PL"/>
        </w:rPr>
        <w:t>66</w:t>
      </w:r>
      <w:r w:rsidR="00C50103" w:rsidRPr="008911CB">
        <w:rPr>
          <w:rFonts w:eastAsia="Times New Roman"/>
          <w:noProof/>
          <w:lang w:val="pl-PL"/>
        </w:rPr>
        <w:t>.  </w:t>
      </w:r>
      <w:r w:rsidR="00EF0B3D" w:rsidRPr="008911CB">
        <w:rPr>
          <w:rFonts w:eastAsia="Times New Roman"/>
          <w:noProof/>
          <w:lang w:val="pl-PL"/>
        </w:rPr>
        <w:t>W świetle powyższych okoliczności zdaniem Trybunału sankcje nałożone na skarżącego</w:t>
      </w:r>
      <w:r w:rsidR="007E08A7" w:rsidRPr="008911CB">
        <w:rPr>
          <w:rFonts w:eastAsia="Times New Roman"/>
          <w:noProof/>
          <w:lang w:val="pl-PL"/>
        </w:rPr>
        <w:t xml:space="preserve"> nie znajdują właściwego uzasadnienia, a standardy zastosowane przez sądy krajowe</w:t>
      </w:r>
      <w:r w:rsidR="00985ED7" w:rsidRPr="008911CB">
        <w:rPr>
          <w:rFonts w:eastAsia="Times New Roman"/>
          <w:noProof/>
          <w:lang w:val="pl-PL"/>
        </w:rPr>
        <w:t xml:space="preserve"> nie zagwarantowały sprawiedliwego wyważenia stosownych praw i interesów.</w:t>
      </w:r>
    </w:p>
    <w:p w14:paraId="39750CC8" w14:textId="5C17E1BD" w:rsidR="00985ED7" w:rsidRPr="008911CB" w:rsidRDefault="002F7EC0" w:rsidP="002F7EC0">
      <w:pPr>
        <w:pStyle w:val="ECHRPara"/>
        <w:rPr>
          <w:rFonts w:eastAsia="Times New Roman"/>
          <w:noProof/>
          <w:lang w:val="pl-PL"/>
        </w:rPr>
      </w:pPr>
      <w:r w:rsidRPr="008911CB">
        <w:rPr>
          <w:rFonts w:eastAsia="Times New Roman"/>
          <w:noProof/>
          <w:lang w:val="pl-PL"/>
        </w:rPr>
        <w:t>67</w:t>
      </w:r>
      <w:r w:rsidR="00C50103" w:rsidRPr="008911CB">
        <w:rPr>
          <w:rFonts w:eastAsia="Times New Roman"/>
          <w:noProof/>
          <w:lang w:val="pl-PL"/>
        </w:rPr>
        <w:t>.  </w:t>
      </w:r>
      <w:r w:rsidR="00915933" w:rsidRPr="008911CB">
        <w:rPr>
          <w:rFonts w:eastAsia="Times New Roman"/>
          <w:noProof/>
          <w:lang w:val="pl-PL"/>
        </w:rPr>
        <w:t xml:space="preserve">W związku z tym zaskarżona ingerencja nie była </w:t>
      </w:r>
      <w:r w:rsidR="00D54741" w:rsidRPr="008911CB">
        <w:rPr>
          <w:rFonts w:eastAsia="Times New Roman"/>
          <w:noProof/>
          <w:lang w:val="pl-PL"/>
        </w:rPr>
        <w:t>„</w:t>
      </w:r>
      <w:r w:rsidR="00915933" w:rsidRPr="008911CB">
        <w:rPr>
          <w:rFonts w:eastAsia="Times New Roman"/>
          <w:noProof/>
          <w:lang w:val="pl-PL"/>
        </w:rPr>
        <w:t>niezbędna w społeczenstwie demokratycznym” w rozumieniu art. 10 ust</w:t>
      </w:r>
      <w:r w:rsidR="003B7554">
        <w:rPr>
          <w:rFonts w:eastAsia="Times New Roman"/>
          <w:noProof/>
          <w:lang w:val="pl-PL"/>
        </w:rPr>
        <w:t>.</w:t>
      </w:r>
      <w:r w:rsidR="00915933" w:rsidRPr="008911CB">
        <w:rPr>
          <w:rFonts w:eastAsia="Times New Roman"/>
          <w:noProof/>
          <w:lang w:val="pl-PL"/>
        </w:rPr>
        <w:t xml:space="preserve"> 2 Konwencji.</w:t>
      </w:r>
    </w:p>
    <w:p w14:paraId="392C96F3" w14:textId="10CA96EF" w:rsidR="00C50103" w:rsidRPr="008911CB" w:rsidRDefault="002F7EC0" w:rsidP="002F7EC0">
      <w:pPr>
        <w:pStyle w:val="ECHRPara"/>
        <w:rPr>
          <w:lang w:val="pl-PL"/>
        </w:rPr>
      </w:pPr>
      <w:r w:rsidRPr="008911CB">
        <w:rPr>
          <w:rFonts w:ascii="Times New Roman" w:eastAsia="Times New Roman" w:hAnsi="Times New Roman" w:cs="Times New Roman"/>
          <w:noProof/>
          <w:lang w:val="pl-PL"/>
        </w:rPr>
        <w:t>68</w:t>
      </w:r>
      <w:r w:rsidR="00C50103" w:rsidRPr="008911CB">
        <w:rPr>
          <w:rFonts w:ascii="Times New Roman" w:eastAsia="Times New Roman" w:hAnsi="Times New Roman" w:cs="Times New Roman"/>
          <w:noProof/>
          <w:lang w:val="pl-PL"/>
        </w:rPr>
        <w:t>.  </w:t>
      </w:r>
      <w:r w:rsidR="00D54741" w:rsidRPr="008911CB">
        <w:rPr>
          <w:rFonts w:ascii="Times New Roman" w:eastAsia="Times New Roman" w:hAnsi="Times New Roman" w:cs="Times New Roman"/>
          <w:noProof/>
          <w:lang w:val="pl-PL"/>
        </w:rPr>
        <w:t>Miało zatem miejsce naruszenie art. 10 Konwencji.</w:t>
      </w:r>
    </w:p>
    <w:p w14:paraId="2E2F4FF7" w14:textId="77777777" w:rsidR="00D54741" w:rsidRPr="008911CB" w:rsidRDefault="002E022F" w:rsidP="002F7EC0">
      <w:pPr>
        <w:pStyle w:val="ECHRHeading1"/>
        <w:rPr>
          <w:lang w:val="pl-PL"/>
        </w:rPr>
      </w:pPr>
      <w:r w:rsidRPr="008911CB">
        <w:rPr>
          <w:lang w:val="pl-PL"/>
        </w:rPr>
        <w:t>II</w:t>
      </w:r>
      <w:r w:rsidR="00014566" w:rsidRPr="008911CB">
        <w:rPr>
          <w:lang w:val="pl-PL"/>
        </w:rPr>
        <w:t>.  </w:t>
      </w:r>
      <w:r w:rsidR="00D54741" w:rsidRPr="008911CB">
        <w:rPr>
          <w:lang w:val="pl-PL"/>
        </w:rPr>
        <w:t>ZASTOSOWANIE ART. 41 KONWENCJI</w:t>
      </w:r>
    </w:p>
    <w:p w14:paraId="04F428E5" w14:textId="1A4FBE9A" w:rsidR="00014566" w:rsidRPr="008911CB" w:rsidRDefault="002F7EC0" w:rsidP="002F7EC0">
      <w:pPr>
        <w:pStyle w:val="ECHRPara"/>
        <w:keepNext/>
        <w:keepLines/>
        <w:rPr>
          <w:lang w:val="pl-PL"/>
        </w:rPr>
      </w:pPr>
      <w:r w:rsidRPr="008911CB">
        <w:rPr>
          <w:noProof/>
          <w:lang w:val="pl-PL"/>
        </w:rPr>
        <w:t>69</w:t>
      </w:r>
      <w:r w:rsidR="00D54741" w:rsidRPr="008911CB">
        <w:rPr>
          <w:lang w:val="pl-PL"/>
        </w:rPr>
        <w:t>.  Art.</w:t>
      </w:r>
      <w:r w:rsidR="00014566" w:rsidRPr="008911CB">
        <w:rPr>
          <w:lang w:val="pl-PL"/>
        </w:rPr>
        <w:t xml:space="preserve"> 41 </w:t>
      </w:r>
      <w:r w:rsidR="00D54741" w:rsidRPr="008911CB">
        <w:rPr>
          <w:lang w:val="pl-PL"/>
        </w:rPr>
        <w:t>Konwencji stanowi, że:</w:t>
      </w:r>
    </w:p>
    <w:p w14:paraId="2F9712FB" w14:textId="316D1E9C" w:rsidR="00D54741" w:rsidRPr="008911CB" w:rsidRDefault="00D54741" w:rsidP="002F7EC0">
      <w:pPr>
        <w:pStyle w:val="ECHRParaQuote"/>
        <w:keepNext/>
        <w:keepLines/>
        <w:rPr>
          <w:lang w:val="pl-PL"/>
        </w:rPr>
      </w:pPr>
      <w:r w:rsidRPr="008911CB">
        <w:rPr>
          <w:lang w:val="pl-PL"/>
        </w:rPr>
        <w:t>„Jeżeli Trybunał stwierdzi, że nastąpiło naruszenie Konwencji lub jej Protokołów, oraz jeżeli prawo wewnętrzne zainteresowanej Wysokiej Układającej się Strony pozwala tylko na częściowe usunięcie konsekwencji tego naruszenia, Trybunał orzeka, gdy zachodzi taka potrzeba, o przyznaniu słusznego zadośćuczynienia pokrzywdzonej stronie.”</w:t>
      </w:r>
    </w:p>
    <w:p w14:paraId="70B868B1" w14:textId="4BD5551B" w:rsidR="00014566" w:rsidRPr="008911CB" w:rsidRDefault="00014566" w:rsidP="002F7EC0">
      <w:pPr>
        <w:pStyle w:val="ECHRHeading2"/>
        <w:rPr>
          <w:lang w:val="pl-PL"/>
        </w:rPr>
      </w:pPr>
      <w:r w:rsidRPr="008911CB">
        <w:rPr>
          <w:lang w:val="pl-PL"/>
        </w:rPr>
        <w:t>A.  </w:t>
      </w:r>
      <w:r w:rsidR="008911CB">
        <w:rPr>
          <w:lang w:val="pl-PL"/>
        </w:rPr>
        <w:t>Szkoda</w:t>
      </w:r>
    </w:p>
    <w:p w14:paraId="6D9534E0" w14:textId="3FD17459" w:rsidR="002E022F" w:rsidRPr="008911CB" w:rsidRDefault="002E022F" w:rsidP="002F7EC0">
      <w:pPr>
        <w:pStyle w:val="ECHRHeading3"/>
        <w:rPr>
          <w:lang w:val="pl-PL"/>
        </w:rPr>
      </w:pPr>
      <w:r w:rsidRPr="008911CB">
        <w:rPr>
          <w:lang w:val="pl-PL"/>
        </w:rPr>
        <w:t>1.  </w:t>
      </w:r>
      <w:r w:rsidR="00007F09" w:rsidRPr="008911CB">
        <w:rPr>
          <w:lang w:val="pl-PL"/>
        </w:rPr>
        <w:t>Szkoda majątkowa</w:t>
      </w:r>
    </w:p>
    <w:p w14:paraId="6B9C902E" w14:textId="411368A7" w:rsidR="00174B88" w:rsidRPr="008911CB" w:rsidRDefault="002F7EC0" w:rsidP="002F7EC0">
      <w:pPr>
        <w:pStyle w:val="ECHRPara"/>
        <w:rPr>
          <w:lang w:val="pl-PL"/>
        </w:rPr>
      </w:pPr>
      <w:r w:rsidRPr="008911CB">
        <w:rPr>
          <w:noProof/>
          <w:lang w:val="pl-PL"/>
        </w:rPr>
        <w:t>70</w:t>
      </w:r>
      <w:r w:rsidR="00014566" w:rsidRPr="008911CB">
        <w:rPr>
          <w:lang w:val="pl-PL"/>
        </w:rPr>
        <w:t>.  </w:t>
      </w:r>
      <w:r w:rsidR="00174B88" w:rsidRPr="008911CB">
        <w:rPr>
          <w:lang w:val="pl-PL"/>
        </w:rPr>
        <w:t xml:space="preserve">Odnośnie </w:t>
      </w:r>
      <w:r w:rsidR="006E14CA">
        <w:rPr>
          <w:lang w:val="pl-PL"/>
        </w:rPr>
        <w:t xml:space="preserve">do </w:t>
      </w:r>
      <w:r w:rsidR="00174B88" w:rsidRPr="008911CB">
        <w:rPr>
          <w:lang w:val="pl-PL"/>
        </w:rPr>
        <w:t xml:space="preserve">szkody majątkowej </w:t>
      </w:r>
      <w:r w:rsidR="00007F09" w:rsidRPr="008911CB">
        <w:rPr>
          <w:lang w:val="pl-PL"/>
        </w:rPr>
        <w:t xml:space="preserve">skarżący domagał się przyznania słusznego zadośćuczynienia w kwocie 1200 </w:t>
      </w:r>
      <w:r w:rsidR="009A3120" w:rsidRPr="008911CB">
        <w:rPr>
          <w:lang w:val="pl-PL"/>
        </w:rPr>
        <w:t>EUR</w:t>
      </w:r>
      <w:r w:rsidR="00007F09" w:rsidRPr="008911CB">
        <w:rPr>
          <w:lang w:val="pl-PL"/>
        </w:rPr>
        <w:t>, odpowiadającego kwocie odszkodowania, które musiał zapłacić funkcjonariuszom policji (zob. paragraf 20 powyżej).</w:t>
      </w:r>
    </w:p>
    <w:p w14:paraId="25ACCB42" w14:textId="45A38A02" w:rsidR="00007F09" w:rsidRPr="008911CB" w:rsidRDefault="002F7EC0" w:rsidP="002F7EC0">
      <w:pPr>
        <w:pStyle w:val="ECHRPara"/>
        <w:rPr>
          <w:lang w:val="pl-PL"/>
        </w:rPr>
      </w:pPr>
      <w:r w:rsidRPr="008911CB">
        <w:rPr>
          <w:noProof/>
          <w:lang w:val="pl-PL"/>
        </w:rPr>
        <w:t>71</w:t>
      </w:r>
      <w:r w:rsidR="0006028A" w:rsidRPr="008911CB">
        <w:rPr>
          <w:lang w:val="pl-PL"/>
        </w:rPr>
        <w:t>.  </w:t>
      </w:r>
      <w:r w:rsidR="00007F09" w:rsidRPr="008911CB">
        <w:rPr>
          <w:lang w:val="pl-PL"/>
        </w:rPr>
        <w:t xml:space="preserve">Rząd podniósł, że nie zachodzi związek przyczynowy pomiędzy domniemanym naruszeniem a </w:t>
      </w:r>
      <w:r w:rsidR="00721DC8" w:rsidRPr="008911CB">
        <w:rPr>
          <w:lang w:val="pl-PL"/>
        </w:rPr>
        <w:t>żądanym</w:t>
      </w:r>
      <w:r w:rsidR="00007F09" w:rsidRPr="008911CB">
        <w:rPr>
          <w:lang w:val="pl-PL"/>
        </w:rPr>
        <w:t xml:space="preserve"> </w:t>
      </w:r>
      <w:r w:rsidR="00721DC8" w:rsidRPr="008911CB">
        <w:rPr>
          <w:lang w:val="pl-PL"/>
        </w:rPr>
        <w:t>odszkodowaniem</w:t>
      </w:r>
      <w:r w:rsidR="00007F09" w:rsidRPr="008911CB">
        <w:rPr>
          <w:lang w:val="pl-PL"/>
        </w:rPr>
        <w:t xml:space="preserve"> </w:t>
      </w:r>
      <w:r w:rsidR="00721DC8" w:rsidRPr="008911CB">
        <w:rPr>
          <w:lang w:val="pl-PL"/>
        </w:rPr>
        <w:t>za szkodę majątkową</w:t>
      </w:r>
      <w:r w:rsidR="00007F09" w:rsidRPr="008911CB">
        <w:rPr>
          <w:lang w:val="pl-PL"/>
        </w:rPr>
        <w:t>, ponieważ grz</w:t>
      </w:r>
      <w:r w:rsidR="00721DC8" w:rsidRPr="008911CB">
        <w:rPr>
          <w:lang w:val="pl-PL"/>
        </w:rPr>
        <w:t>ywna została wypłacona pokrzywdzonym jako rekompensata za szkodę poniesioną wskutek własnych działań skarżącego.</w:t>
      </w:r>
    </w:p>
    <w:p w14:paraId="5B97BDA0" w14:textId="79B3F136" w:rsidR="00721DC8" w:rsidRPr="008911CB" w:rsidRDefault="002F7EC0" w:rsidP="00E008E7">
      <w:pPr>
        <w:pStyle w:val="ECHRPara"/>
        <w:rPr>
          <w:lang w:val="pl-PL"/>
        </w:rPr>
      </w:pPr>
      <w:r w:rsidRPr="008911CB">
        <w:rPr>
          <w:noProof/>
          <w:lang w:val="pl-PL"/>
        </w:rPr>
        <w:t>72</w:t>
      </w:r>
      <w:r w:rsidR="0006028A" w:rsidRPr="008911CB">
        <w:rPr>
          <w:lang w:val="pl-PL"/>
        </w:rPr>
        <w:t>.  </w:t>
      </w:r>
      <w:r w:rsidR="00721DC8" w:rsidRPr="008911CB">
        <w:rPr>
          <w:lang w:val="pl-PL"/>
        </w:rPr>
        <w:t>Trybunał jest pewny, że istnieje wystarczający związek przyczynowy między domniemaną poniesioną szkodą majątkową a stwierdzonym naruszeniem. Rekompensata nałożona na skarżącego i przez niego zapłacona powinna być</w:t>
      </w:r>
      <w:r w:rsidR="00E008E7" w:rsidRPr="008911CB">
        <w:rPr>
          <w:lang w:val="pl-PL"/>
        </w:rPr>
        <w:t xml:space="preserve"> zwrócona w całości.</w:t>
      </w:r>
    </w:p>
    <w:p w14:paraId="69224EE9" w14:textId="4A46159F" w:rsidR="002E022F" w:rsidRPr="008911CB" w:rsidRDefault="002E022F" w:rsidP="002F7EC0">
      <w:pPr>
        <w:pStyle w:val="ECHRHeading3"/>
        <w:rPr>
          <w:lang w:val="pl-PL"/>
        </w:rPr>
      </w:pPr>
      <w:r w:rsidRPr="008911CB">
        <w:rPr>
          <w:lang w:val="pl-PL"/>
        </w:rPr>
        <w:t>2.  </w:t>
      </w:r>
      <w:r w:rsidR="00E008E7" w:rsidRPr="008911CB">
        <w:rPr>
          <w:lang w:val="pl-PL"/>
        </w:rPr>
        <w:t>Szkoda niemajątkowa</w:t>
      </w:r>
    </w:p>
    <w:p w14:paraId="6C04F95C" w14:textId="66344BC0" w:rsidR="00E008E7" w:rsidRPr="008911CB" w:rsidRDefault="002F7EC0" w:rsidP="002F7EC0">
      <w:pPr>
        <w:pStyle w:val="ECHRPara"/>
        <w:rPr>
          <w:lang w:val="pl-PL"/>
        </w:rPr>
      </w:pPr>
      <w:r w:rsidRPr="008911CB">
        <w:rPr>
          <w:noProof/>
          <w:lang w:val="pl-PL"/>
        </w:rPr>
        <w:t>73</w:t>
      </w:r>
      <w:r w:rsidR="002E022F" w:rsidRPr="008911CB">
        <w:rPr>
          <w:lang w:val="pl-PL"/>
        </w:rPr>
        <w:t>.  </w:t>
      </w:r>
      <w:r w:rsidR="00E008E7" w:rsidRPr="008911CB">
        <w:rPr>
          <w:lang w:val="pl-PL"/>
        </w:rPr>
        <w:t xml:space="preserve">Skarżący zażądał ponadto 20 000 </w:t>
      </w:r>
      <w:r w:rsidR="009A3120" w:rsidRPr="008911CB">
        <w:rPr>
          <w:lang w:val="pl-PL"/>
        </w:rPr>
        <w:t xml:space="preserve">EUR </w:t>
      </w:r>
      <w:r w:rsidR="00E008E7" w:rsidRPr="008911CB">
        <w:rPr>
          <w:lang w:val="pl-PL"/>
        </w:rPr>
        <w:t>z tytułu szkody niemajątkowej poniesionej w wyniku naruszenia Konwencji.</w:t>
      </w:r>
      <w:r w:rsidR="004E5065" w:rsidRPr="008911CB">
        <w:rPr>
          <w:lang w:val="pl-PL"/>
        </w:rPr>
        <w:t xml:space="preserve"> Sprawa ta sprawiła skarżącemu ból psychiczny i cierpienie. Skarżący następnie oświadczył, że wskutek stresu związanego z postępowaniem przeciwko niemu musiał poddać się leczeniu psychologicznemu.</w:t>
      </w:r>
    </w:p>
    <w:p w14:paraId="65FFCD4F" w14:textId="3E765ADE" w:rsidR="004E5065" w:rsidRPr="008911CB" w:rsidRDefault="002F7EC0" w:rsidP="002F7EC0">
      <w:pPr>
        <w:pStyle w:val="ECHRPara"/>
        <w:rPr>
          <w:lang w:val="pl-PL"/>
        </w:rPr>
      </w:pPr>
      <w:r w:rsidRPr="008911CB">
        <w:rPr>
          <w:noProof/>
          <w:lang w:val="pl-PL"/>
        </w:rPr>
        <w:t>74</w:t>
      </w:r>
      <w:r w:rsidR="0006028A" w:rsidRPr="008911CB">
        <w:rPr>
          <w:lang w:val="pl-PL"/>
        </w:rPr>
        <w:t>.  </w:t>
      </w:r>
      <w:r w:rsidR="004E5065" w:rsidRPr="008911CB">
        <w:rPr>
          <w:lang w:val="pl-PL"/>
        </w:rPr>
        <w:t xml:space="preserve">Rząd odrzucił powyższe roszczenie twierdząc, że uznanie naruszenia przez Trybunał </w:t>
      </w:r>
      <w:r w:rsidR="00E83C60" w:rsidRPr="008911CB">
        <w:rPr>
          <w:lang w:val="pl-PL"/>
        </w:rPr>
        <w:t>będzie stanowiło odpowiednie słuszne zadośćuczynienie.</w:t>
      </w:r>
    </w:p>
    <w:p w14:paraId="1CAC5FBD" w14:textId="048F3789" w:rsidR="00E83C60" w:rsidRPr="008911CB" w:rsidRDefault="002F7EC0" w:rsidP="002F7EC0">
      <w:pPr>
        <w:pStyle w:val="ECHRPara"/>
        <w:rPr>
          <w:lang w:val="pl-PL"/>
        </w:rPr>
      </w:pPr>
      <w:r w:rsidRPr="008911CB">
        <w:rPr>
          <w:noProof/>
          <w:lang w:val="pl-PL"/>
        </w:rPr>
        <w:t>75</w:t>
      </w:r>
      <w:r w:rsidR="002E022F" w:rsidRPr="008911CB">
        <w:rPr>
          <w:lang w:val="pl-PL"/>
        </w:rPr>
        <w:t>.  </w:t>
      </w:r>
      <w:r w:rsidR="00E83C60" w:rsidRPr="008911CB">
        <w:rPr>
          <w:lang w:val="pl-PL"/>
        </w:rPr>
        <w:t xml:space="preserve">Trybunał przyznaje, że wskutek naruszenia Konwencji skarżący odczuwał ból i frustrację, którym </w:t>
      </w:r>
      <w:r w:rsidR="00127B4A" w:rsidRPr="008911CB">
        <w:rPr>
          <w:lang w:val="pl-PL"/>
        </w:rPr>
        <w:t>nie można zadośćuczynić samymi</w:t>
      </w:r>
      <w:r w:rsidR="00E90EC4" w:rsidRPr="008911CB">
        <w:rPr>
          <w:lang w:val="pl-PL"/>
        </w:rPr>
        <w:t xml:space="preserve"> tylko</w:t>
      </w:r>
      <w:r w:rsidR="00127B4A" w:rsidRPr="008911CB">
        <w:rPr>
          <w:lang w:val="pl-PL"/>
        </w:rPr>
        <w:t xml:space="preserve"> ustaleniami w sprawie. </w:t>
      </w:r>
      <w:r w:rsidR="00E90EC4" w:rsidRPr="008911CB">
        <w:rPr>
          <w:lang w:val="pl-PL"/>
        </w:rPr>
        <w:t xml:space="preserve">Trybunał, dokonawszy oceny na zasadzie słuszności, przyznaje skarżącemu z tego tytułu kwotę 4000 </w:t>
      </w:r>
      <w:r w:rsidR="009A3120" w:rsidRPr="008911CB">
        <w:rPr>
          <w:lang w:val="pl-PL"/>
        </w:rPr>
        <w:t>EUR</w:t>
      </w:r>
      <w:r w:rsidR="00E90EC4" w:rsidRPr="008911CB">
        <w:rPr>
          <w:lang w:val="pl-PL"/>
        </w:rPr>
        <w:t>.</w:t>
      </w:r>
    </w:p>
    <w:p w14:paraId="6758C57F" w14:textId="77777777" w:rsidR="00E83C60" w:rsidRPr="008911CB" w:rsidRDefault="00E83C60" w:rsidP="002F7EC0">
      <w:pPr>
        <w:pStyle w:val="ECHRPara"/>
        <w:rPr>
          <w:lang w:val="pl-PL"/>
        </w:rPr>
      </w:pPr>
    </w:p>
    <w:p w14:paraId="50979352" w14:textId="60BC4EA9" w:rsidR="00E90EC4" w:rsidRPr="008911CB" w:rsidRDefault="00014566" w:rsidP="00E90EC4">
      <w:pPr>
        <w:pStyle w:val="ECHRHeading2"/>
        <w:rPr>
          <w:lang w:val="pl-PL"/>
        </w:rPr>
      </w:pPr>
      <w:r w:rsidRPr="008911CB">
        <w:rPr>
          <w:lang w:val="pl-PL"/>
        </w:rPr>
        <w:t>B.  </w:t>
      </w:r>
      <w:r w:rsidR="00E90EC4" w:rsidRPr="008911CB">
        <w:rPr>
          <w:lang w:val="pl-PL"/>
        </w:rPr>
        <w:t>Koszty i wydatki</w:t>
      </w:r>
    </w:p>
    <w:p w14:paraId="0EA2AD55" w14:textId="5D396564" w:rsidR="00E90EC4" w:rsidRPr="008911CB" w:rsidRDefault="002F7EC0" w:rsidP="002F7EC0">
      <w:pPr>
        <w:pStyle w:val="ECHRPara"/>
        <w:rPr>
          <w:lang w:val="pl-PL"/>
        </w:rPr>
      </w:pPr>
      <w:r w:rsidRPr="008911CB">
        <w:rPr>
          <w:noProof/>
          <w:lang w:val="pl-PL"/>
        </w:rPr>
        <w:t>76</w:t>
      </w:r>
      <w:r w:rsidR="00014566" w:rsidRPr="008911CB">
        <w:rPr>
          <w:lang w:val="pl-PL"/>
        </w:rPr>
        <w:t>.  </w:t>
      </w:r>
      <w:r w:rsidR="00E90EC4" w:rsidRPr="008911CB">
        <w:rPr>
          <w:lang w:val="pl-PL"/>
        </w:rPr>
        <w:t xml:space="preserve">Skarżący </w:t>
      </w:r>
      <w:r w:rsidR="00CA6E62" w:rsidRPr="008911CB">
        <w:rPr>
          <w:lang w:val="pl-PL"/>
        </w:rPr>
        <w:t>żądał ponadto kwoty 3</w:t>
      </w:r>
      <w:r w:rsidR="00E90EC4" w:rsidRPr="008911CB">
        <w:rPr>
          <w:lang w:val="pl-PL"/>
        </w:rPr>
        <w:t xml:space="preserve">025 </w:t>
      </w:r>
      <w:r w:rsidR="009A3120" w:rsidRPr="008911CB">
        <w:rPr>
          <w:lang w:val="pl-PL"/>
        </w:rPr>
        <w:t xml:space="preserve">EUR </w:t>
      </w:r>
      <w:r w:rsidR="00E90EC4" w:rsidRPr="008911CB">
        <w:rPr>
          <w:lang w:val="pl-PL"/>
        </w:rPr>
        <w:t xml:space="preserve">tytułem kosztów i wydatków poniesionych </w:t>
      </w:r>
      <w:r w:rsidR="005E5958" w:rsidRPr="008911CB">
        <w:rPr>
          <w:lang w:val="pl-PL"/>
        </w:rPr>
        <w:t>w postępowaniu przed Trybunałem.</w:t>
      </w:r>
    </w:p>
    <w:p w14:paraId="79B7EDAC" w14:textId="1863EE45" w:rsidR="005E5958" w:rsidRPr="008911CB" w:rsidRDefault="002F7EC0" w:rsidP="002F7EC0">
      <w:pPr>
        <w:pStyle w:val="ECHRPara"/>
        <w:rPr>
          <w:lang w:val="pl-PL"/>
        </w:rPr>
      </w:pPr>
      <w:r w:rsidRPr="008911CB">
        <w:rPr>
          <w:noProof/>
          <w:lang w:val="pl-PL"/>
        </w:rPr>
        <w:t>77</w:t>
      </w:r>
      <w:r w:rsidR="00014566" w:rsidRPr="008911CB">
        <w:rPr>
          <w:lang w:val="pl-PL"/>
        </w:rPr>
        <w:t>.  </w:t>
      </w:r>
      <w:r w:rsidR="005E5958" w:rsidRPr="008911CB">
        <w:rPr>
          <w:lang w:val="pl-PL"/>
        </w:rPr>
        <w:t>Rząd podnosił, że skarżący nie przedstawił żadnych dokumentów na dowód faktycznego poniesienia tychże kosztów.</w:t>
      </w:r>
    </w:p>
    <w:p w14:paraId="3B4814D7" w14:textId="1A512FA1" w:rsidR="005E5958" w:rsidRPr="008911CB" w:rsidRDefault="002F7EC0" w:rsidP="00DB60A2">
      <w:pPr>
        <w:pStyle w:val="ECHRPara"/>
        <w:rPr>
          <w:lang w:val="pl-PL"/>
        </w:rPr>
      </w:pPr>
      <w:r w:rsidRPr="008911CB">
        <w:rPr>
          <w:noProof/>
          <w:lang w:val="pl-PL"/>
        </w:rPr>
        <w:t>78</w:t>
      </w:r>
      <w:r w:rsidR="0015083A" w:rsidRPr="008911CB">
        <w:rPr>
          <w:lang w:val="pl-PL"/>
        </w:rPr>
        <w:t>.  </w:t>
      </w:r>
      <w:r w:rsidR="005E5958" w:rsidRPr="008911CB">
        <w:rPr>
          <w:lang w:val="pl-PL"/>
        </w:rPr>
        <w:t>Zgodnie z orzecznictwem Trybunału skarżący jest uprawniony do zwrotu kosztów i wydatków w takim zakresie</w:t>
      </w:r>
      <w:r w:rsidR="00544693" w:rsidRPr="008911CB">
        <w:rPr>
          <w:lang w:val="pl-PL"/>
        </w:rPr>
        <w:t>,</w:t>
      </w:r>
      <w:r w:rsidR="005E5958" w:rsidRPr="008911CB">
        <w:rPr>
          <w:lang w:val="pl-PL"/>
        </w:rPr>
        <w:t xml:space="preserve"> w jakim wykaże </w:t>
      </w:r>
      <w:r w:rsidR="00544693" w:rsidRPr="008911CB">
        <w:rPr>
          <w:lang w:val="pl-PL"/>
        </w:rPr>
        <w:t>konieczność i fakt ich poniesienia w rozsądnej kwocie. W przedmiotowej sprawie Trybunał</w:t>
      </w:r>
      <w:r w:rsidR="007B6571" w:rsidRPr="008911CB">
        <w:rPr>
          <w:lang w:val="pl-PL"/>
        </w:rPr>
        <w:t xml:space="preserve">, na podstawie posiadanych dokumentów i powyższych kryteriów, uznał za rozsądne przyznanie skarżącemu kwoty 3025 </w:t>
      </w:r>
      <w:r w:rsidR="009A3120" w:rsidRPr="008911CB">
        <w:rPr>
          <w:lang w:val="pl-PL"/>
        </w:rPr>
        <w:t xml:space="preserve">EUR </w:t>
      </w:r>
      <w:r w:rsidR="00DB60A2">
        <w:rPr>
          <w:lang w:val="pl-PL"/>
        </w:rPr>
        <w:t>tytułem</w:t>
      </w:r>
      <w:r w:rsidR="007B6571" w:rsidRPr="008911CB">
        <w:rPr>
          <w:lang w:val="pl-PL"/>
        </w:rPr>
        <w:t xml:space="preserve"> postępowania przed Trybunałem.</w:t>
      </w:r>
    </w:p>
    <w:p w14:paraId="4638DBE9" w14:textId="77777777" w:rsidR="00544693" w:rsidRPr="008911CB" w:rsidRDefault="00544693" w:rsidP="002F7EC0">
      <w:pPr>
        <w:pStyle w:val="ECHRPara"/>
        <w:rPr>
          <w:lang w:val="pl-PL"/>
        </w:rPr>
      </w:pPr>
    </w:p>
    <w:p w14:paraId="34343A98" w14:textId="31E4167E" w:rsidR="00014566" w:rsidRPr="008911CB" w:rsidRDefault="00014566" w:rsidP="002F7EC0">
      <w:pPr>
        <w:pStyle w:val="ECHRHeading2"/>
        <w:rPr>
          <w:lang w:val="pl-PL"/>
        </w:rPr>
      </w:pPr>
      <w:r w:rsidRPr="008911CB">
        <w:rPr>
          <w:lang w:val="pl-PL"/>
        </w:rPr>
        <w:t>C.  </w:t>
      </w:r>
      <w:r w:rsidR="008911CB">
        <w:rPr>
          <w:lang w:val="pl-PL"/>
        </w:rPr>
        <w:t>Odsetki za zwłokę</w:t>
      </w:r>
    </w:p>
    <w:p w14:paraId="2B8F9BB2" w14:textId="500E288A" w:rsidR="007B6571" w:rsidRPr="008911CB" w:rsidRDefault="002F7EC0" w:rsidP="007B6571">
      <w:pPr>
        <w:pStyle w:val="ECHRPara"/>
        <w:rPr>
          <w:lang w:val="pl-PL"/>
        </w:rPr>
      </w:pPr>
      <w:r w:rsidRPr="008911CB">
        <w:rPr>
          <w:noProof/>
          <w:lang w:val="pl-PL"/>
        </w:rPr>
        <w:t>79</w:t>
      </w:r>
      <w:r w:rsidR="007B6571" w:rsidRPr="008911CB">
        <w:rPr>
          <w:lang w:val="pl-PL"/>
        </w:rPr>
        <w:t xml:space="preserve">. Trybunał za słuszne uznaje </w:t>
      </w:r>
      <w:r w:rsidR="00CE522B" w:rsidRPr="008911CB">
        <w:rPr>
          <w:lang w:val="pl-PL"/>
        </w:rPr>
        <w:t>ustalenie</w:t>
      </w:r>
      <w:r w:rsidR="007B6571" w:rsidRPr="008911CB">
        <w:rPr>
          <w:lang w:val="pl-PL"/>
        </w:rPr>
        <w:t xml:space="preserve"> wysokości odsetek za zwłokę na podstawie marginalnej stopy procentowej Europejskiego Banku Centralnego powiększonej o trzy punkty procentowe.</w:t>
      </w:r>
    </w:p>
    <w:p w14:paraId="7C91D01C" w14:textId="77777777" w:rsidR="00CE522B" w:rsidRPr="008911CB" w:rsidRDefault="00CE522B" w:rsidP="002F7EC0">
      <w:pPr>
        <w:pStyle w:val="ECHRTitle1"/>
        <w:rPr>
          <w:lang w:val="pl-PL"/>
        </w:rPr>
      </w:pPr>
      <w:r w:rsidRPr="008911CB">
        <w:rPr>
          <w:lang w:val="pl-PL"/>
        </w:rPr>
        <w:t xml:space="preserve">Z TYCH WZGLĘDÓW TRYBUNAŁ JEDNOGŁOŚNIE </w:t>
      </w:r>
    </w:p>
    <w:p w14:paraId="0081894B" w14:textId="37CCD863" w:rsidR="00B637B9" w:rsidRPr="008911CB" w:rsidRDefault="00B637B9" w:rsidP="002F7EC0">
      <w:pPr>
        <w:pStyle w:val="JuList"/>
        <w:rPr>
          <w:lang w:val="pl-PL"/>
        </w:rPr>
      </w:pPr>
      <w:r w:rsidRPr="008911CB">
        <w:rPr>
          <w:lang w:val="pl-PL"/>
        </w:rPr>
        <w:t>1.  </w:t>
      </w:r>
      <w:r w:rsidR="00CE522B" w:rsidRPr="008911CB">
        <w:rPr>
          <w:i/>
          <w:lang w:val="pl-PL"/>
        </w:rPr>
        <w:t xml:space="preserve">Uznaje </w:t>
      </w:r>
      <w:r w:rsidR="008911CB" w:rsidRPr="008911CB">
        <w:rPr>
          <w:lang w:val="pl-PL"/>
        </w:rPr>
        <w:t>skargę</w:t>
      </w:r>
      <w:r w:rsidR="00CE522B" w:rsidRPr="008911CB">
        <w:rPr>
          <w:lang w:val="pl-PL"/>
        </w:rPr>
        <w:t xml:space="preserve"> za dopuszczalną</w:t>
      </w:r>
      <w:r w:rsidRPr="008911CB">
        <w:rPr>
          <w:lang w:val="pl-PL"/>
        </w:rPr>
        <w:t>;</w:t>
      </w:r>
    </w:p>
    <w:p w14:paraId="047CB2E1" w14:textId="77777777" w:rsidR="00014566" w:rsidRPr="008911CB" w:rsidRDefault="00014566" w:rsidP="002F7EC0">
      <w:pPr>
        <w:pStyle w:val="JuList"/>
        <w:ind w:left="0" w:firstLine="0"/>
        <w:rPr>
          <w:lang w:val="pl-PL"/>
        </w:rPr>
      </w:pPr>
    </w:p>
    <w:p w14:paraId="214BBBC7" w14:textId="30908B77" w:rsidR="00CE522B" w:rsidRPr="008911CB" w:rsidRDefault="00843310" w:rsidP="002F7EC0">
      <w:pPr>
        <w:pStyle w:val="JuList"/>
        <w:rPr>
          <w:lang w:val="pl-PL"/>
        </w:rPr>
      </w:pPr>
      <w:r w:rsidRPr="008911CB">
        <w:rPr>
          <w:lang w:val="pl-PL"/>
        </w:rPr>
        <w:t>2</w:t>
      </w:r>
      <w:r w:rsidR="00014566" w:rsidRPr="008911CB">
        <w:rPr>
          <w:lang w:val="pl-PL"/>
        </w:rPr>
        <w:t>.  </w:t>
      </w:r>
      <w:r w:rsidR="00CE522B" w:rsidRPr="008911CB">
        <w:rPr>
          <w:i/>
          <w:lang w:val="pl-PL"/>
        </w:rPr>
        <w:t>Stwierdza</w:t>
      </w:r>
      <w:r w:rsidR="00CE522B" w:rsidRPr="008911CB">
        <w:rPr>
          <w:lang w:val="pl-PL"/>
        </w:rPr>
        <w:t>, że nastąpiło naruszenie art. 10 Konwencji;</w:t>
      </w:r>
    </w:p>
    <w:p w14:paraId="417C23C8" w14:textId="77777777" w:rsidR="00014566" w:rsidRPr="008911CB" w:rsidRDefault="00014566" w:rsidP="002F7EC0">
      <w:pPr>
        <w:pStyle w:val="JuList"/>
        <w:rPr>
          <w:lang w:val="pl-PL"/>
        </w:rPr>
      </w:pPr>
    </w:p>
    <w:p w14:paraId="527576B0" w14:textId="664ACE46" w:rsidR="00137EC0" w:rsidRPr="008911CB" w:rsidRDefault="00843310" w:rsidP="002F7EC0">
      <w:pPr>
        <w:pStyle w:val="JuList"/>
        <w:rPr>
          <w:lang w:val="pl-PL"/>
        </w:rPr>
      </w:pPr>
      <w:r w:rsidRPr="008911CB">
        <w:rPr>
          <w:lang w:val="pl-PL"/>
        </w:rPr>
        <w:t>3</w:t>
      </w:r>
      <w:r w:rsidR="00014566" w:rsidRPr="008911CB">
        <w:rPr>
          <w:lang w:val="pl-PL"/>
        </w:rPr>
        <w:t>.  </w:t>
      </w:r>
      <w:r w:rsidR="009A3120" w:rsidRPr="008911CB">
        <w:rPr>
          <w:i/>
          <w:lang w:val="pl-PL"/>
        </w:rPr>
        <w:t>Stwierdza</w:t>
      </w:r>
      <w:r w:rsidR="00274573" w:rsidRPr="008911CB">
        <w:rPr>
          <w:lang w:val="pl-PL"/>
        </w:rPr>
        <w:t>,</w:t>
      </w:r>
    </w:p>
    <w:p w14:paraId="22D621A4" w14:textId="4F182ABC" w:rsidR="003B19C9" w:rsidRPr="008911CB" w:rsidRDefault="00014566" w:rsidP="002F7EC0">
      <w:pPr>
        <w:pStyle w:val="JuLista"/>
        <w:rPr>
          <w:lang w:val="pl-PL"/>
        </w:rPr>
      </w:pPr>
      <w:r w:rsidRPr="008911CB">
        <w:rPr>
          <w:lang w:val="pl-PL"/>
        </w:rPr>
        <w:t>(a) </w:t>
      </w:r>
      <w:r w:rsidR="009A3120" w:rsidRPr="008911CB">
        <w:rPr>
          <w:lang w:val="pl-PL"/>
        </w:rPr>
        <w:t>że</w:t>
      </w:r>
      <w:r w:rsidRPr="008911CB">
        <w:rPr>
          <w:lang w:val="pl-PL"/>
        </w:rPr>
        <w:t> </w:t>
      </w:r>
      <w:r w:rsidR="00E96F3D" w:rsidRPr="008911CB">
        <w:rPr>
          <w:lang w:val="pl-PL"/>
        </w:rPr>
        <w:t>pozwane</w:t>
      </w:r>
      <w:r w:rsidR="00C865A4" w:rsidRPr="008911CB">
        <w:rPr>
          <w:lang w:val="pl-PL"/>
        </w:rPr>
        <w:t xml:space="preserve"> Państwo obowiązane jest </w:t>
      </w:r>
      <w:r w:rsidR="003B19C9" w:rsidRPr="008911CB">
        <w:rPr>
          <w:lang w:val="pl-PL"/>
        </w:rPr>
        <w:t xml:space="preserve">wypłacić skarżącemu </w:t>
      </w:r>
      <w:r w:rsidR="002423F6" w:rsidRPr="008911CB">
        <w:rPr>
          <w:lang w:val="pl-PL"/>
        </w:rPr>
        <w:t>w ciągu trzech miesięcy od dnia uprawomocnienia się niniejszego wyroku zgodnie z art. 44 ust. 2 Konwencji następujące kwoty</w:t>
      </w:r>
      <w:r w:rsidR="009A3120" w:rsidRPr="008911CB">
        <w:rPr>
          <w:lang w:val="pl-PL"/>
        </w:rPr>
        <w:t>:</w:t>
      </w:r>
    </w:p>
    <w:p w14:paraId="4C577208" w14:textId="648675A3" w:rsidR="00014566" w:rsidRPr="008911CB" w:rsidRDefault="00014566" w:rsidP="002F7EC0">
      <w:pPr>
        <w:pStyle w:val="JuListi"/>
        <w:rPr>
          <w:lang w:val="pl-PL"/>
        </w:rPr>
      </w:pPr>
      <w:r w:rsidRPr="008911CB">
        <w:rPr>
          <w:lang w:val="pl-PL"/>
        </w:rPr>
        <w:t>(i)  </w:t>
      </w:r>
      <w:r w:rsidR="009A3120" w:rsidRPr="008911CB">
        <w:rPr>
          <w:lang w:val="pl-PL"/>
        </w:rPr>
        <w:t xml:space="preserve">1200 EUR </w:t>
      </w:r>
      <w:r w:rsidR="00CA6E62" w:rsidRPr="008911CB">
        <w:rPr>
          <w:lang w:val="pl-PL"/>
        </w:rPr>
        <w:t>(jeden tysiąc dwieście euro) powiększoną o wszelkie należne podatki, z tytułu szkody materialnej;</w:t>
      </w:r>
    </w:p>
    <w:p w14:paraId="51BE8056" w14:textId="609E7BBF" w:rsidR="00014566" w:rsidRPr="008911CB" w:rsidRDefault="00014566" w:rsidP="002F7EC0">
      <w:pPr>
        <w:pStyle w:val="JuListi"/>
        <w:rPr>
          <w:lang w:val="pl-PL"/>
        </w:rPr>
      </w:pPr>
      <w:r w:rsidRPr="008911CB">
        <w:rPr>
          <w:lang w:val="pl-PL"/>
        </w:rPr>
        <w:t>(ii)  </w:t>
      </w:r>
      <w:r w:rsidR="00CA6E62" w:rsidRPr="008911CB">
        <w:rPr>
          <w:lang w:val="pl-PL"/>
        </w:rPr>
        <w:t xml:space="preserve">4000 EUR (cztery tysiące euro) powiększoną o wszelkie należne podatki, z tytułu szkody </w:t>
      </w:r>
      <w:r w:rsidR="00EE7063" w:rsidRPr="008911CB">
        <w:rPr>
          <w:lang w:val="pl-PL"/>
        </w:rPr>
        <w:t>niematerialnej;</w:t>
      </w:r>
    </w:p>
    <w:p w14:paraId="144E3E82" w14:textId="4BEC60A9" w:rsidR="00014566" w:rsidRPr="008911CB" w:rsidRDefault="00014566" w:rsidP="002F7EC0">
      <w:pPr>
        <w:pStyle w:val="JuListi"/>
        <w:rPr>
          <w:lang w:val="pl-PL"/>
        </w:rPr>
      </w:pPr>
      <w:r w:rsidRPr="008911CB">
        <w:rPr>
          <w:lang w:val="pl-PL"/>
        </w:rPr>
        <w:t>(iii)  </w:t>
      </w:r>
      <w:r w:rsidR="00EE7063" w:rsidRPr="008911CB">
        <w:rPr>
          <w:lang w:val="pl-PL"/>
        </w:rPr>
        <w:t>3025 EUR (trzy tysiące dwadzieścia pięć euro) powiększoną o wszelkie należne podatki, z tytułu poniesionych kosztów i wydatków;</w:t>
      </w:r>
    </w:p>
    <w:p w14:paraId="4A6093AD" w14:textId="055C19BC" w:rsidR="00EE7063" w:rsidRPr="008911CB" w:rsidRDefault="00014566" w:rsidP="002244A6">
      <w:pPr>
        <w:pStyle w:val="JuLista"/>
        <w:rPr>
          <w:lang w:val="pl-PL"/>
        </w:rPr>
      </w:pPr>
      <w:r w:rsidRPr="008911CB">
        <w:rPr>
          <w:lang w:val="pl-PL"/>
        </w:rPr>
        <w:t>(b) </w:t>
      </w:r>
      <w:r w:rsidR="00EE7063" w:rsidRPr="008911CB">
        <w:rPr>
          <w:lang w:val="pl-PL"/>
        </w:rPr>
        <w:t>że</w:t>
      </w:r>
      <w:r w:rsidRPr="008911CB">
        <w:rPr>
          <w:lang w:val="pl-PL"/>
        </w:rPr>
        <w:t> </w:t>
      </w:r>
      <w:r w:rsidR="00EE7063" w:rsidRPr="008911CB">
        <w:rPr>
          <w:lang w:val="pl-PL"/>
        </w:rPr>
        <w:t xml:space="preserve">od upływu powyższego trzymiesięcznego terminu do momentu zapłaty od zasądzonych sum </w:t>
      </w:r>
      <w:r w:rsidR="002244A6">
        <w:rPr>
          <w:lang w:val="pl-PL"/>
        </w:rPr>
        <w:t>należne</w:t>
      </w:r>
      <w:r w:rsidR="002244A6" w:rsidRPr="008911CB">
        <w:rPr>
          <w:lang w:val="pl-PL"/>
        </w:rPr>
        <w:t xml:space="preserve"> </w:t>
      </w:r>
      <w:r w:rsidR="00EE7063" w:rsidRPr="008911CB">
        <w:rPr>
          <w:lang w:val="pl-PL"/>
        </w:rPr>
        <w:t xml:space="preserve">będą odsetki </w:t>
      </w:r>
      <w:r w:rsidR="002244A6" w:rsidRPr="002244A6">
        <w:rPr>
          <w:lang w:val="pl-PL"/>
        </w:rPr>
        <w:t xml:space="preserve">zwykłe </w:t>
      </w:r>
      <w:r w:rsidR="002244A6">
        <w:rPr>
          <w:lang w:val="pl-PL"/>
        </w:rPr>
        <w:t>na</w:t>
      </w:r>
      <w:r w:rsidR="00EE7063" w:rsidRPr="008911CB">
        <w:rPr>
          <w:lang w:val="pl-PL"/>
        </w:rPr>
        <w:t>liczone na podstawie marginalnej stopy procentowej Europejskiego Banku Centralnego</w:t>
      </w:r>
      <w:r w:rsidR="002244A6">
        <w:rPr>
          <w:lang w:val="pl-PL"/>
        </w:rPr>
        <w:t xml:space="preserve"> obowiązującej w tym okresie,</w:t>
      </w:r>
      <w:r w:rsidR="00EE7063" w:rsidRPr="008911CB">
        <w:rPr>
          <w:lang w:val="pl-PL"/>
        </w:rPr>
        <w:t xml:space="preserve"> powiększonej o trzy punkty procentowe;</w:t>
      </w:r>
    </w:p>
    <w:p w14:paraId="353FDF49" w14:textId="77777777" w:rsidR="00254B40" w:rsidRPr="008911CB" w:rsidRDefault="00254B40" w:rsidP="002F7EC0">
      <w:pPr>
        <w:pStyle w:val="JuLista"/>
        <w:rPr>
          <w:lang w:val="pl-PL"/>
        </w:rPr>
      </w:pPr>
    </w:p>
    <w:p w14:paraId="1028E2E2" w14:textId="77777777" w:rsidR="00EE7063" w:rsidRPr="008911CB" w:rsidRDefault="00CD489A" w:rsidP="002F7EC0">
      <w:pPr>
        <w:pStyle w:val="JuList"/>
        <w:rPr>
          <w:lang w:val="pl-PL"/>
        </w:rPr>
      </w:pPr>
      <w:r w:rsidRPr="008911CB">
        <w:rPr>
          <w:lang w:val="pl-PL"/>
        </w:rPr>
        <w:t>4.  </w:t>
      </w:r>
      <w:r w:rsidR="00EE7063" w:rsidRPr="008911CB">
        <w:rPr>
          <w:i/>
          <w:lang w:val="pl-PL"/>
        </w:rPr>
        <w:t>Oddala</w:t>
      </w:r>
      <w:r w:rsidR="00EE7063" w:rsidRPr="008911CB">
        <w:rPr>
          <w:lang w:val="pl-PL"/>
        </w:rPr>
        <w:t xml:space="preserve"> pozostałą część roszczenia skarżącego dotyczącą słusznego zadośćuczynienia. </w:t>
      </w:r>
    </w:p>
    <w:p w14:paraId="5FDF1A23" w14:textId="62A8F3D5" w:rsidR="00E96F3D" w:rsidRPr="008911CB" w:rsidRDefault="00E96F3D" w:rsidP="002F7EC0">
      <w:pPr>
        <w:pStyle w:val="JuParaLast"/>
        <w:rPr>
          <w:rStyle w:val="ECHRParaChar"/>
          <w:lang w:val="pl-PL"/>
        </w:rPr>
      </w:pPr>
      <w:r w:rsidRPr="008911CB">
        <w:rPr>
          <w:rStyle w:val="ECHRParaChar"/>
          <w:lang w:val="pl-PL"/>
        </w:rPr>
        <w:t>Sporządzono w języku angielskim i obwieszczono pisemnie dnia 20 listopada 2018</w:t>
      </w:r>
      <w:r w:rsidR="002244A6">
        <w:rPr>
          <w:rStyle w:val="ECHRParaChar"/>
          <w:lang w:val="pl-PL"/>
        </w:rPr>
        <w:t xml:space="preserve"> r.</w:t>
      </w:r>
      <w:r w:rsidRPr="008911CB">
        <w:rPr>
          <w:rStyle w:val="ECHRParaChar"/>
          <w:lang w:val="pl-PL"/>
        </w:rPr>
        <w:t>, zgodnie z Regułą 77</w:t>
      </w:r>
      <w:r w:rsidR="003743BD" w:rsidRPr="008911CB">
        <w:rPr>
          <w:rStyle w:val="ECHRParaChar"/>
          <w:lang w:val="pl-PL"/>
        </w:rPr>
        <w:t xml:space="preserve"> §§ 2 i 3 Regulaminu Trybunału.</w:t>
      </w:r>
    </w:p>
    <w:p w14:paraId="5782E4D1" w14:textId="71F7C478" w:rsidR="004D15F3" w:rsidRPr="008911CB" w:rsidRDefault="00014566" w:rsidP="002F7EC0">
      <w:pPr>
        <w:pStyle w:val="JuSigned"/>
        <w:rPr>
          <w:lang w:val="pl-PL"/>
        </w:rPr>
      </w:pPr>
      <w:r w:rsidRPr="008911CB">
        <w:rPr>
          <w:lang w:val="pl-PL"/>
        </w:rPr>
        <w:tab/>
      </w:r>
      <w:r w:rsidR="00173F46" w:rsidRPr="008911CB">
        <w:rPr>
          <w:lang w:val="pl-PL"/>
        </w:rPr>
        <w:t>Fatoş Aracı</w:t>
      </w:r>
      <w:r w:rsidRPr="008911CB">
        <w:rPr>
          <w:lang w:val="pl-PL"/>
        </w:rPr>
        <w:tab/>
      </w:r>
      <w:r w:rsidR="00435E83" w:rsidRPr="008911CB">
        <w:rPr>
          <w:lang w:val="pl-PL"/>
        </w:rPr>
        <w:t>Vincent A. De Gaetano</w:t>
      </w:r>
      <w:r w:rsidR="00E1557C" w:rsidRPr="008911CB">
        <w:rPr>
          <w:szCs w:val="24"/>
          <w:lang w:val="pl-PL"/>
        </w:rPr>
        <w:br/>
      </w:r>
      <w:r w:rsidRPr="008911CB">
        <w:rPr>
          <w:lang w:val="pl-PL"/>
        </w:rPr>
        <w:tab/>
      </w:r>
      <w:r w:rsidR="003743BD" w:rsidRPr="008911CB">
        <w:rPr>
          <w:lang w:val="pl-PL"/>
        </w:rPr>
        <w:t>Zastępca Kanclerza Sekcji</w:t>
      </w:r>
      <w:r w:rsidRPr="008911CB">
        <w:rPr>
          <w:lang w:val="pl-PL"/>
        </w:rPr>
        <w:tab/>
      </w:r>
      <w:r w:rsidR="003743BD" w:rsidRPr="008911CB">
        <w:rPr>
          <w:lang w:val="pl-PL"/>
        </w:rPr>
        <w:t>Przewodniczący</w:t>
      </w:r>
    </w:p>
    <w:sectPr w:rsidR="004D15F3" w:rsidRPr="008911CB" w:rsidSect="00047F10">
      <w:headerReference w:type="even" r:id="rId14"/>
      <w:head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91D456" w14:textId="77777777" w:rsidR="009071ED" w:rsidRPr="003152BA" w:rsidRDefault="009071ED" w:rsidP="00014566">
      <w:r w:rsidRPr="003152BA">
        <w:separator/>
      </w:r>
    </w:p>
  </w:endnote>
  <w:endnote w:type="continuationSeparator" w:id="0">
    <w:p w14:paraId="4EE56F84" w14:textId="77777777" w:rsidR="009071ED" w:rsidRPr="003152BA" w:rsidRDefault="009071ED" w:rsidP="00014566">
      <w:r w:rsidRPr="003152B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Yu Gothic UI"/>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975A7D" w14:textId="77777777" w:rsidR="003E519C" w:rsidRPr="00150BFA" w:rsidRDefault="003E519C" w:rsidP="00047F10">
    <w:pPr>
      <w:jc w:val="center"/>
    </w:pPr>
    <w:r>
      <w:rPr>
        <w:noProof/>
        <w:lang w:val="pl-PL" w:eastAsia="pl-PL"/>
      </w:rPr>
      <w:drawing>
        <wp:inline distT="0" distB="0" distL="0" distR="0" wp14:anchorId="39644440" wp14:editId="569B2A55">
          <wp:extent cx="771525" cy="619125"/>
          <wp:effectExtent l="0" t="0" r="9525" b="9525"/>
          <wp:docPr id="27" name="Picture 2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557778A0" w14:textId="77777777" w:rsidR="003E519C" w:rsidRDefault="003E519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3EA677" w14:textId="77777777" w:rsidR="009071ED" w:rsidRPr="003152BA" w:rsidRDefault="009071ED" w:rsidP="00014566">
      <w:r w:rsidRPr="003152BA">
        <w:separator/>
      </w:r>
    </w:p>
  </w:footnote>
  <w:footnote w:type="continuationSeparator" w:id="0">
    <w:p w14:paraId="68FDA773" w14:textId="77777777" w:rsidR="009071ED" w:rsidRPr="003152BA" w:rsidRDefault="009071ED" w:rsidP="00014566">
      <w:r w:rsidRPr="003152BA">
        <w:continuationSeparator/>
      </w:r>
    </w:p>
  </w:footnote>
  <w:footnote w:id="1">
    <w:p w14:paraId="19B3EBFA" w14:textId="77777777" w:rsidR="003E519C" w:rsidRPr="00FB3BBB" w:rsidRDefault="003E519C">
      <w:pPr>
        <w:pStyle w:val="Tekstprzypisudolnego"/>
        <w:rPr>
          <w:lang w:val="pl-PL"/>
        </w:rPr>
      </w:pPr>
      <w:r w:rsidRPr="00437D0B">
        <w:footnoteRef/>
      </w:r>
      <w:r w:rsidRPr="00C170CB">
        <w:rPr>
          <w:lang w:val="pl-PL"/>
        </w:rPr>
        <w:t>.  </w:t>
      </w:r>
      <w:r w:rsidRPr="0028764C">
        <w:rPr>
          <w:lang w:val="pl-PL"/>
        </w:rPr>
        <w:t>Oznacza to, że na zdjęciach RTG nie zaobserwowano stanów patol</w:t>
      </w:r>
      <w:r>
        <w:rPr>
          <w:lang w:val="pl-PL"/>
        </w:rPr>
        <w:t>o</w:t>
      </w:r>
      <w:r w:rsidRPr="0028764C">
        <w:rPr>
          <w:lang w:val="pl-PL"/>
        </w:rPr>
        <w:t xml:space="preserve">gicznych.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7017A6" w14:textId="77777777" w:rsidR="003E519C" w:rsidRPr="00047F10" w:rsidRDefault="003E519C" w:rsidP="00047F10">
    <w:pPr>
      <w:pStyle w:val="Nagwek"/>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A2C92F" w14:textId="77777777" w:rsidR="003E519C" w:rsidRPr="00A45145" w:rsidRDefault="003E519C" w:rsidP="00047F10">
    <w:pPr>
      <w:jc w:val="center"/>
    </w:pPr>
    <w:r>
      <w:rPr>
        <w:noProof/>
        <w:lang w:val="pl-PL" w:eastAsia="pl-PL"/>
      </w:rPr>
      <w:drawing>
        <wp:inline distT="0" distB="0" distL="0" distR="0" wp14:anchorId="3B39814B" wp14:editId="2821F297">
          <wp:extent cx="2962275" cy="1219200"/>
          <wp:effectExtent l="0" t="0" r="9525" b="0"/>
          <wp:docPr id="26" name="Picture 2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5D0CBA55" w14:textId="77777777" w:rsidR="003E519C" w:rsidRDefault="003E519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1E13D0" w14:textId="405C242D" w:rsidR="003E519C" w:rsidRPr="003152BA" w:rsidRDefault="003E519C" w:rsidP="009A7997">
    <w:pPr>
      <w:pStyle w:val="ECHRHeader"/>
    </w:pPr>
    <w:r>
      <w:rPr>
        <w:rStyle w:val="Numerstrony"/>
        <w:szCs w:val="18"/>
      </w:rPr>
      <w:fldChar w:fldCharType="begin"/>
    </w:r>
    <w:r>
      <w:rPr>
        <w:rStyle w:val="Numerstrony"/>
        <w:szCs w:val="18"/>
      </w:rPr>
      <w:instrText xml:space="preserve"> PAGE </w:instrText>
    </w:r>
    <w:r>
      <w:rPr>
        <w:rStyle w:val="Numerstrony"/>
        <w:szCs w:val="18"/>
      </w:rPr>
      <w:fldChar w:fldCharType="separate"/>
    </w:r>
    <w:r w:rsidR="006721C0">
      <w:rPr>
        <w:rStyle w:val="Numerstrony"/>
        <w:noProof/>
        <w:szCs w:val="18"/>
      </w:rPr>
      <w:t>8</w:t>
    </w:r>
    <w:r>
      <w:rPr>
        <w:rStyle w:val="Numerstrony"/>
        <w:szCs w:val="18"/>
      </w:rPr>
      <w:fldChar w:fldCharType="end"/>
    </w:r>
    <w:r w:rsidRPr="003152BA">
      <w:tab/>
    </w:r>
    <w:r w:rsidRPr="009A7997">
      <w:rPr>
        <w:lang w:val="pl-PL"/>
      </w:rPr>
      <w:t>WYROK TORANZO GOMEZ PRZECIWKO HISZPANII</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034287" w14:textId="42AED621" w:rsidR="003E519C" w:rsidRPr="000B7A1E" w:rsidRDefault="003E519C" w:rsidP="00D60D87">
    <w:pPr>
      <w:pStyle w:val="ECHRHeader"/>
      <w:rPr>
        <w:lang w:val="pl-PL"/>
      </w:rPr>
    </w:pPr>
    <w:r w:rsidRPr="000B7A1E">
      <w:rPr>
        <w:lang w:val="pl-PL"/>
      </w:rPr>
      <w:tab/>
      <w:t>WYROK TORANZO GOMEZ PRZECIWKO HISZPANII</w:t>
    </w:r>
    <w:r w:rsidRPr="000B7A1E">
      <w:rPr>
        <w:lang w:val="pl-PL"/>
      </w:rPr>
      <w:tab/>
    </w:r>
    <w:r w:rsidRPr="000B7A1E">
      <w:rPr>
        <w:rStyle w:val="Numerstrony"/>
        <w:szCs w:val="18"/>
        <w:lang w:val="pl-PL"/>
      </w:rPr>
      <w:fldChar w:fldCharType="begin"/>
    </w:r>
    <w:r w:rsidRPr="000B7A1E">
      <w:rPr>
        <w:rStyle w:val="Numerstrony"/>
        <w:szCs w:val="18"/>
        <w:lang w:val="pl-PL"/>
      </w:rPr>
      <w:instrText xml:space="preserve"> PAGE </w:instrText>
    </w:r>
    <w:r w:rsidRPr="000B7A1E">
      <w:rPr>
        <w:rStyle w:val="Numerstrony"/>
        <w:szCs w:val="18"/>
        <w:lang w:val="pl-PL"/>
      </w:rPr>
      <w:fldChar w:fldCharType="separate"/>
    </w:r>
    <w:r w:rsidR="006721C0">
      <w:rPr>
        <w:rStyle w:val="Numerstrony"/>
        <w:noProof/>
        <w:szCs w:val="18"/>
        <w:lang w:val="pl-PL"/>
      </w:rPr>
      <w:t>9</w:t>
    </w:r>
    <w:r w:rsidRPr="000B7A1E">
      <w:rPr>
        <w:rStyle w:val="Numerstrony"/>
        <w:szCs w:val="18"/>
        <w:lang w:val="pl-P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15:restartNumberingAfterBreak="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7FB3401"/>
    <w:multiLevelType w:val="hybridMultilevel"/>
    <w:tmpl w:val="8F2AC2EA"/>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2" w15:restartNumberingAfterBreak="0">
    <w:nsid w:val="50A46ED9"/>
    <w:multiLevelType w:val="hybridMultilevel"/>
    <w:tmpl w:val="C2247A88"/>
    <w:lvl w:ilvl="0" w:tplc="C456C81E">
      <w:start w:val="1"/>
      <w:numFmt w:val="lowerLetter"/>
      <w:lvlText w:val="(%1)"/>
      <w:lvlJc w:val="left"/>
      <w:pPr>
        <w:ind w:left="972" w:hanging="360"/>
      </w:pPr>
      <w:rPr>
        <w:rFonts w:hint="default"/>
      </w:rPr>
    </w:lvl>
    <w:lvl w:ilvl="1" w:tplc="04150019" w:tentative="1">
      <w:start w:val="1"/>
      <w:numFmt w:val="lowerLetter"/>
      <w:lvlText w:val="%2."/>
      <w:lvlJc w:val="left"/>
      <w:pPr>
        <w:ind w:left="1692" w:hanging="360"/>
      </w:pPr>
    </w:lvl>
    <w:lvl w:ilvl="2" w:tplc="0415001B" w:tentative="1">
      <w:start w:val="1"/>
      <w:numFmt w:val="lowerRoman"/>
      <w:lvlText w:val="%3."/>
      <w:lvlJc w:val="right"/>
      <w:pPr>
        <w:ind w:left="2412" w:hanging="180"/>
      </w:pPr>
    </w:lvl>
    <w:lvl w:ilvl="3" w:tplc="0415000F" w:tentative="1">
      <w:start w:val="1"/>
      <w:numFmt w:val="decimal"/>
      <w:lvlText w:val="%4."/>
      <w:lvlJc w:val="left"/>
      <w:pPr>
        <w:ind w:left="3132" w:hanging="360"/>
      </w:pPr>
    </w:lvl>
    <w:lvl w:ilvl="4" w:tplc="04150019" w:tentative="1">
      <w:start w:val="1"/>
      <w:numFmt w:val="lowerLetter"/>
      <w:lvlText w:val="%5."/>
      <w:lvlJc w:val="left"/>
      <w:pPr>
        <w:ind w:left="3852" w:hanging="360"/>
      </w:pPr>
    </w:lvl>
    <w:lvl w:ilvl="5" w:tplc="0415001B" w:tentative="1">
      <w:start w:val="1"/>
      <w:numFmt w:val="lowerRoman"/>
      <w:lvlText w:val="%6."/>
      <w:lvlJc w:val="right"/>
      <w:pPr>
        <w:ind w:left="4572" w:hanging="180"/>
      </w:pPr>
    </w:lvl>
    <w:lvl w:ilvl="6" w:tplc="0415000F" w:tentative="1">
      <w:start w:val="1"/>
      <w:numFmt w:val="decimal"/>
      <w:lvlText w:val="%7."/>
      <w:lvlJc w:val="left"/>
      <w:pPr>
        <w:ind w:left="5292" w:hanging="360"/>
      </w:pPr>
    </w:lvl>
    <w:lvl w:ilvl="7" w:tplc="04150019" w:tentative="1">
      <w:start w:val="1"/>
      <w:numFmt w:val="lowerLetter"/>
      <w:lvlText w:val="%8."/>
      <w:lvlJc w:val="left"/>
      <w:pPr>
        <w:ind w:left="6012" w:hanging="360"/>
      </w:pPr>
    </w:lvl>
    <w:lvl w:ilvl="8" w:tplc="0415001B" w:tentative="1">
      <w:start w:val="1"/>
      <w:numFmt w:val="lowerRoman"/>
      <w:lvlText w:val="%9."/>
      <w:lvlJc w:val="right"/>
      <w:pPr>
        <w:ind w:left="6732" w:hanging="180"/>
      </w:pPr>
    </w:lvl>
  </w:abstractNum>
  <w:abstractNum w:abstractNumId="13" w15:restartNumberingAfterBreak="0">
    <w:nsid w:val="548237F4"/>
    <w:multiLevelType w:val="hybridMultilevel"/>
    <w:tmpl w:val="D00870F4"/>
    <w:lvl w:ilvl="0" w:tplc="0C0A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4"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5" w15:restartNumberingAfterBreak="0">
    <w:nsid w:val="73512EF5"/>
    <w:multiLevelType w:val="hybridMultilevel"/>
    <w:tmpl w:val="72689A32"/>
    <w:lvl w:ilvl="0" w:tplc="0C0A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6"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15:restartNumberingAfterBreak="0">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4"/>
  </w:num>
  <w:num w:numId="2">
    <w:abstractNumId w:val="10"/>
  </w:num>
  <w:num w:numId="3">
    <w:abstractNumId w:val="9"/>
  </w:num>
  <w:num w:numId="4">
    <w:abstractNumId w:val="17"/>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6"/>
  </w:num>
  <w:num w:numId="15">
    <w:abstractNumId w:val="16"/>
  </w:num>
  <w:num w:numId="16">
    <w:abstractNumId w:val="16"/>
  </w:num>
  <w:num w:numId="17">
    <w:abstractNumId w:val="13"/>
  </w:num>
  <w:num w:numId="18">
    <w:abstractNumId w:val="11"/>
  </w:num>
  <w:num w:numId="19">
    <w:abstractNumId w:val="15"/>
  </w:num>
  <w:num w:numId="20">
    <w:abstractNumId w:val="16"/>
  </w:num>
  <w:num w:numId="21">
    <w:abstractNumId w:val="16"/>
  </w:num>
  <w:num w:numId="22">
    <w:abstractNumId w:val="16"/>
  </w:num>
  <w:num w:numId="23">
    <w:abstractNumId w:val="16"/>
  </w:num>
  <w:num w:numId="24">
    <w:abstractNumId w:val="16"/>
  </w:num>
  <w:num w:numId="25">
    <w:abstractNumId w:val="16"/>
  </w:num>
  <w:num w:numId="26">
    <w:abstractNumId w:val="16"/>
  </w:num>
  <w:num w:numId="27">
    <w:abstractNumId w:val="16"/>
  </w:num>
  <w:num w:numId="28">
    <w:abstractNumId w:val="16"/>
  </w:num>
  <w:num w:numId="29">
    <w:abstractNumId w:val="16"/>
  </w:num>
  <w:num w:numId="30">
    <w:abstractNumId w:val="16"/>
  </w:num>
  <w:num w:numId="31">
    <w:abstractNumId w:val="16"/>
  </w:num>
  <w:num w:numId="32">
    <w:abstractNumId w:val="16"/>
  </w:num>
  <w:num w:numId="33">
    <w:abstractNumId w:val="16"/>
  </w:num>
  <w:num w:numId="34">
    <w:abstractNumId w:val="16"/>
  </w:num>
  <w:num w:numId="35">
    <w:abstractNumId w:val="16"/>
  </w:num>
  <w:num w:numId="36">
    <w:abstractNumId w:val="16"/>
  </w:num>
  <w:num w:numId="37">
    <w:abstractNumId w:val="16"/>
  </w:num>
  <w:num w:numId="38">
    <w:abstractNumId w:val="16"/>
  </w:num>
  <w:num w:numId="39">
    <w:abstractNumId w:val="16"/>
  </w:num>
  <w:num w:numId="40">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MM" w:val="0"/>
    <w:docVar w:name="NBEMMDOC" w:val="0"/>
  </w:docVars>
  <w:rsids>
    <w:rsidRoot w:val="00274573"/>
    <w:rsid w:val="00000067"/>
    <w:rsid w:val="000010ED"/>
    <w:rsid w:val="00001B90"/>
    <w:rsid w:val="00003728"/>
    <w:rsid w:val="000041F8"/>
    <w:rsid w:val="000042A8"/>
    <w:rsid w:val="00004308"/>
    <w:rsid w:val="00004A50"/>
    <w:rsid w:val="00005BF0"/>
    <w:rsid w:val="00007154"/>
    <w:rsid w:val="00007337"/>
    <w:rsid w:val="000074E2"/>
    <w:rsid w:val="00007812"/>
    <w:rsid w:val="00007F09"/>
    <w:rsid w:val="000103AE"/>
    <w:rsid w:val="00011D69"/>
    <w:rsid w:val="00012AD3"/>
    <w:rsid w:val="00014566"/>
    <w:rsid w:val="00015C13"/>
    <w:rsid w:val="00015C2D"/>
    <w:rsid w:val="00015F00"/>
    <w:rsid w:val="00017457"/>
    <w:rsid w:val="000202A7"/>
    <w:rsid w:val="00022C1D"/>
    <w:rsid w:val="00023DA5"/>
    <w:rsid w:val="000277E5"/>
    <w:rsid w:val="000277F5"/>
    <w:rsid w:val="00031A91"/>
    <w:rsid w:val="00032467"/>
    <w:rsid w:val="000330ED"/>
    <w:rsid w:val="00033BF2"/>
    <w:rsid w:val="00034987"/>
    <w:rsid w:val="000350E3"/>
    <w:rsid w:val="00042C3C"/>
    <w:rsid w:val="000438B7"/>
    <w:rsid w:val="000468FD"/>
    <w:rsid w:val="00046E46"/>
    <w:rsid w:val="00047F10"/>
    <w:rsid w:val="000537AA"/>
    <w:rsid w:val="00054FEE"/>
    <w:rsid w:val="00055527"/>
    <w:rsid w:val="0006028A"/>
    <w:rsid w:val="000602DF"/>
    <w:rsid w:val="00061762"/>
    <w:rsid w:val="00061B05"/>
    <w:rsid w:val="00062973"/>
    <w:rsid w:val="00062D5D"/>
    <w:rsid w:val="000632D5"/>
    <w:rsid w:val="000644EE"/>
    <w:rsid w:val="00066A2D"/>
    <w:rsid w:val="00066F84"/>
    <w:rsid w:val="000709FB"/>
    <w:rsid w:val="000714C8"/>
    <w:rsid w:val="00071ABC"/>
    <w:rsid w:val="0007481F"/>
    <w:rsid w:val="00074CC6"/>
    <w:rsid w:val="000806DE"/>
    <w:rsid w:val="000827E7"/>
    <w:rsid w:val="000856D7"/>
    <w:rsid w:val="00085FB4"/>
    <w:rsid w:val="00087D47"/>
    <w:rsid w:val="000902AD"/>
    <w:rsid w:val="00091AAE"/>
    <w:rsid w:val="000925AD"/>
    <w:rsid w:val="0009449B"/>
    <w:rsid w:val="00094BAF"/>
    <w:rsid w:val="0009605E"/>
    <w:rsid w:val="000A24EB"/>
    <w:rsid w:val="000A2FA5"/>
    <w:rsid w:val="000A3D12"/>
    <w:rsid w:val="000A52FB"/>
    <w:rsid w:val="000A5626"/>
    <w:rsid w:val="000A7B5D"/>
    <w:rsid w:val="000B00B3"/>
    <w:rsid w:val="000B6923"/>
    <w:rsid w:val="000B7A1E"/>
    <w:rsid w:val="000C033C"/>
    <w:rsid w:val="000C0BA4"/>
    <w:rsid w:val="000C2D7C"/>
    <w:rsid w:val="000C2F40"/>
    <w:rsid w:val="000C3C7D"/>
    <w:rsid w:val="000C5363"/>
    <w:rsid w:val="000C5F3C"/>
    <w:rsid w:val="000C6DCC"/>
    <w:rsid w:val="000D0B3C"/>
    <w:rsid w:val="000D1B5C"/>
    <w:rsid w:val="000D2383"/>
    <w:rsid w:val="000D47AA"/>
    <w:rsid w:val="000D51BE"/>
    <w:rsid w:val="000D5700"/>
    <w:rsid w:val="000D608B"/>
    <w:rsid w:val="000D721F"/>
    <w:rsid w:val="000E069B"/>
    <w:rsid w:val="000E0E82"/>
    <w:rsid w:val="000E1DC5"/>
    <w:rsid w:val="000E223F"/>
    <w:rsid w:val="000E35AC"/>
    <w:rsid w:val="000E7D45"/>
    <w:rsid w:val="000F338C"/>
    <w:rsid w:val="000F4D0A"/>
    <w:rsid w:val="000F7851"/>
    <w:rsid w:val="000F7D87"/>
    <w:rsid w:val="00100896"/>
    <w:rsid w:val="00104E23"/>
    <w:rsid w:val="00110135"/>
    <w:rsid w:val="00111B0C"/>
    <w:rsid w:val="00116F7C"/>
    <w:rsid w:val="00117193"/>
    <w:rsid w:val="00120D6C"/>
    <w:rsid w:val="0012356A"/>
    <w:rsid w:val="00123B64"/>
    <w:rsid w:val="001257EC"/>
    <w:rsid w:val="00125D81"/>
    <w:rsid w:val="00125E53"/>
    <w:rsid w:val="00126A7F"/>
    <w:rsid w:val="00127B4A"/>
    <w:rsid w:val="00132C6A"/>
    <w:rsid w:val="00133D33"/>
    <w:rsid w:val="00133E91"/>
    <w:rsid w:val="00134705"/>
    <w:rsid w:val="00134D64"/>
    <w:rsid w:val="00135A30"/>
    <w:rsid w:val="00135B0B"/>
    <w:rsid w:val="0013612C"/>
    <w:rsid w:val="00136A13"/>
    <w:rsid w:val="00136E51"/>
    <w:rsid w:val="00137EC0"/>
    <w:rsid w:val="00137FF6"/>
    <w:rsid w:val="00140086"/>
    <w:rsid w:val="00141650"/>
    <w:rsid w:val="00141C6A"/>
    <w:rsid w:val="001434DF"/>
    <w:rsid w:val="00143DD5"/>
    <w:rsid w:val="00145020"/>
    <w:rsid w:val="001457D8"/>
    <w:rsid w:val="0014699D"/>
    <w:rsid w:val="00146E71"/>
    <w:rsid w:val="0015083A"/>
    <w:rsid w:val="00157021"/>
    <w:rsid w:val="00157EB1"/>
    <w:rsid w:val="00162A12"/>
    <w:rsid w:val="00166530"/>
    <w:rsid w:val="00172F28"/>
    <w:rsid w:val="00173F46"/>
    <w:rsid w:val="00174B88"/>
    <w:rsid w:val="00176417"/>
    <w:rsid w:val="00182746"/>
    <w:rsid w:val="001832BD"/>
    <w:rsid w:val="00183805"/>
    <w:rsid w:val="00190291"/>
    <w:rsid w:val="0019410A"/>
    <w:rsid w:val="001943B5"/>
    <w:rsid w:val="00194A9C"/>
    <w:rsid w:val="00195134"/>
    <w:rsid w:val="00196E36"/>
    <w:rsid w:val="001A0595"/>
    <w:rsid w:val="001A145B"/>
    <w:rsid w:val="001A2F90"/>
    <w:rsid w:val="001A674C"/>
    <w:rsid w:val="001A79B4"/>
    <w:rsid w:val="001B074A"/>
    <w:rsid w:val="001B3B24"/>
    <w:rsid w:val="001B4A9A"/>
    <w:rsid w:val="001B5DF5"/>
    <w:rsid w:val="001C0978"/>
    <w:rsid w:val="001C0F98"/>
    <w:rsid w:val="001C2A42"/>
    <w:rsid w:val="001C3FC7"/>
    <w:rsid w:val="001C7113"/>
    <w:rsid w:val="001D63ED"/>
    <w:rsid w:val="001D7348"/>
    <w:rsid w:val="001E035B"/>
    <w:rsid w:val="001E0961"/>
    <w:rsid w:val="001E19BC"/>
    <w:rsid w:val="001E289C"/>
    <w:rsid w:val="001E3172"/>
    <w:rsid w:val="001E3EAE"/>
    <w:rsid w:val="001E5348"/>
    <w:rsid w:val="001E57A5"/>
    <w:rsid w:val="001E6F32"/>
    <w:rsid w:val="001F0733"/>
    <w:rsid w:val="001F2145"/>
    <w:rsid w:val="001F6262"/>
    <w:rsid w:val="001F67B0"/>
    <w:rsid w:val="001F7B3D"/>
    <w:rsid w:val="002016E5"/>
    <w:rsid w:val="00202F63"/>
    <w:rsid w:val="0020378F"/>
    <w:rsid w:val="00203F84"/>
    <w:rsid w:val="00205F9F"/>
    <w:rsid w:val="00210338"/>
    <w:rsid w:val="002115FC"/>
    <w:rsid w:val="00211E54"/>
    <w:rsid w:val="002133F8"/>
    <w:rsid w:val="0021423C"/>
    <w:rsid w:val="00216908"/>
    <w:rsid w:val="002202A8"/>
    <w:rsid w:val="002244A6"/>
    <w:rsid w:val="00224E44"/>
    <w:rsid w:val="00225304"/>
    <w:rsid w:val="00225622"/>
    <w:rsid w:val="00225DA4"/>
    <w:rsid w:val="00227451"/>
    <w:rsid w:val="00230D00"/>
    <w:rsid w:val="00231DF7"/>
    <w:rsid w:val="00231FD1"/>
    <w:rsid w:val="002339E0"/>
    <w:rsid w:val="00233CF8"/>
    <w:rsid w:val="0023575D"/>
    <w:rsid w:val="00236000"/>
    <w:rsid w:val="00237148"/>
    <w:rsid w:val="00241AE7"/>
    <w:rsid w:val="0024222D"/>
    <w:rsid w:val="002423F6"/>
    <w:rsid w:val="00244B0E"/>
    <w:rsid w:val="00244F6C"/>
    <w:rsid w:val="00245A9A"/>
    <w:rsid w:val="00247622"/>
    <w:rsid w:val="002524C7"/>
    <w:rsid w:val="002532C5"/>
    <w:rsid w:val="00254B40"/>
    <w:rsid w:val="00260C03"/>
    <w:rsid w:val="002622AF"/>
    <w:rsid w:val="0026540E"/>
    <w:rsid w:val="00270212"/>
    <w:rsid w:val="0027225C"/>
    <w:rsid w:val="00274573"/>
    <w:rsid w:val="00274909"/>
    <w:rsid w:val="00275123"/>
    <w:rsid w:val="00275FCA"/>
    <w:rsid w:val="00277B5C"/>
    <w:rsid w:val="00282240"/>
    <w:rsid w:val="002835C2"/>
    <w:rsid w:val="00283BDF"/>
    <w:rsid w:val="0028572A"/>
    <w:rsid w:val="0028764C"/>
    <w:rsid w:val="0029055A"/>
    <w:rsid w:val="00290EA3"/>
    <w:rsid w:val="00292822"/>
    <w:rsid w:val="00292BFF"/>
    <w:rsid w:val="002948AD"/>
    <w:rsid w:val="00294C05"/>
    <w:rsid w:val="00294C92"/>
    <w:rsid w:val="002A01CC"/>
    <w:rsid w:val="002A1A04"/>
    <w:rsid w:val="002A39A3"/>
    <w:rsid w:val="002A61B1"/>
    <w:rsid w:val="002A663C"/>
    <w:rsid w:val="002B1E6C"/>
    <w:rsid w:val="002B2DFC"/>
    <w:rsid w:val="002B444B"/>
    <w:rsid w:val="002B5887"/>
    <w:rsid w:val="002C0692"/>
    <w:rsid w:val="002C0E27"/>
    <w:rsid w:val="002C1B5E"/>
    <w:rsid w:val="002C3040"/>
    <w:rsid w:val="002C3925"/>
    <w:rsid w:val="002C79E4"/>
    <w:rsid w:val="002D022D"/>
    <w:rsid w:val="002D24BB"/>
    <w:rsid w:val="002E022F"/>
    <w:rsid w:val="002E1476"/>
    <w:rsid w:val="002E38B0"/>
    <w:rsid w:val="002E4873"/>
    <w:rsid w:val="002E7A57"/>
    <w:rsid w:val="002E7FC5"/>
    <w:rsid w:val="002F171B"/>
    <w:rsid w:val="002F265C"/>
    <w:rsid w:val="002F2AF7"/>
    <w:rsid w:val="002F4345"/>
    <w:rsid w:val="002F5032"/>
    <w:rsid w:val="002F7E1C"/>
    <w:rsid w:val="002F7EC0"/>
    <w:rsid w:val="00301A75"/>
    <w:rsid w:val="00302F70"/>
    <w:rsid w:val="0030336F"/>
    <w:rsid w:val="0030375E"/>
    <w:rsid w:val="0031102C"/>
    <w:rsid w:val="003118A9"/>
    <w:rsid w:val="00312A30"/>
    <w:rsid w:val="00312A7F"/>
    <w:rsid w:val="003152BA"/>
    <w:rsid w:val="00320F72"/>
    <w:rsid w:val="003215C8"/>
    <w:rsid w:val="0032463E"/>
    <w:rsid w:val="00326224"/>
    <w:rsid w:val="0032676F"/>
    <w:rsid w:val="00327721"/>
    <w:rsid w:val="0033120D"/>
    <w:rsid w:val="00331EAC"/>
    <w:rsid w:val="00337EE4"/>
    <w:rsid w:val="00340FFD"/>
    <w:rsid w:val="003506B1"/>
    <w:rsid w:val="00351A84"/>
    <w:rsid w:val="00352C0B"/>
    <w:rsid w:val="0035417E"/>
    <w:rsid w:val="00356AC7"/>
    <w:rsid w:val="0036009C"/>
    <w:rsid w:val="003609FA"/>
    <w:rsid w:val="0037008C"/>
    <w:rsid w:val="003710C8"/>
    <w:rsid w:val="00371A3F"/>
    <w:rsid w:val="00372192"/>
    <w:rsid w:val="0037257F"/>
    <w:rsid w:val="003743BD"/>
    <w:rsid w:val="003750BE"/>
    <w:rsid w:val="00376026"/>
    <w:rsid w:val="00377DF8"/>
    <w:rsid w:val="0038243B"/>
    <w:rsid w:val="003849DF"/>
    <w:rsid w:val="003852AC"/>
    <w:rsid w:val="00387B9D"/>
    <w:rsid w:val="0039364F"/>
    <w:rsid w:val="003946D3"/>
    <w:rsid w:val="003952FE"/>
    <w:rsid w:val="00396686"/>
    <w:rsid w:val="0039778E"/>
    <w:rsid w:val="003A36D5"/>
    <w:rsid w:val="003A441D"/>
    <w:rsid w:val="003A4CB6"/>
    <w:rsid w:val="003A7B09"/>
    <w:rsid w:val="003B19C9"/>
    <w:rsid w:val="003B46D5"/>
    <w:rsid w:val="003B4941"/>
    <w:rsid w:val="003B7554"/>
    <w:rsid w:val="003C2CE9"/>
    <w:rsid w:val="003C2D6E"/>
    <w:rsid w:val="003C37D1"/>
    <w:rsid w:val="003C49E0"/>
    <w:rsid w:val="003C5714"/>
    <w:rsid w:val="003C6A7A"/>
    <w:rsid w:val="003C6B9F"/>
    <w:rsid w:val="003C6DD2"/>
    <w:rsid w:val="003C6E2A"/>
    <w:rsid w:val="003D0299"/>
    <w:rsid w:val="003D0AE9"/>
    <w:rsid w:val="003D17E4"/>
    <w:rsid w:val="003D5234"/>
    <w:rsid w:val="003D5E32"/>
    <w:rsid w:val="003D5F83"/>
    <w:rsid w:val="003D6399"/>
    <w:rsid w:val="003E519C"/>
    <w:rsid w:val="003E6D80"/>
    <w:rsid w:val="003F05FA"/>
    <w:rsid w:val="003F21DC"/>
    <w:rsid w:val="003F244A"/>
    <w:rsid w:val="003F2B4C"/>
    <w:rsid w:val="003F30B8"/>
    <w:rsid w:val="003F4553"/>
    <w:rsid w:val="003F4C45"/>
    <w:rsid w:val="003F50B9"/>
    <w:rsid w:val="003F5949"/>
    <w:rsid w:val="003F5F7B"/>
    <w:rsid w:val="003F5FA8"/>
    <w:rsid w:val="003F7D64"/>
    <w:rsid w:val="004048EA"/>
    <w:rsid w:val="00405FD1"/>
    <w:rsid w:val="00406E32"/>
    <w:rsid w:val="00414300"/>
    <w:rsid w:val="004153FA"/>
    <w:rsid w:val="00417E2C"/>
    <w:rsid w:val="004201D4"/>
    <w:rsid w:val="00420594"/>
    <w:rsid w:val="00422613"/>
    <w:rsid w:val="00425C67"/>
    <w:rsid w:val="00427E7A"/>
    <w:rsid w:val="004344D4"/>
    <w:rsid w:val="00435E83"/>
    <w:rsid w:val="00436307"/>
    <w:rsid w:val="00436C49"/>
    <w:rsid w:val="00437D0B"/>
    <w:rsid w:val="00437F36"/>
    <w:rsid w:val="00441751"/>
    <w:rsid w:val="00444565"/>
    <w:rsid w:val="00445366"/>
    <w:rsid w:val="00447F5B"/>
    <w:rsid w:val="00452410"/>
    <w:rsid w:val="00455542"/>
    <w:rsid w:val="00461DB0"/>
    <w:rsid w:val="00463926"/>
    <w:rsid w:val="00464097"/>
    <w:rsid w:val="004646E0"/>
    <w:rsid w:val="00464C9A"/>
    <w:rsid w:val="004716F4"/>
    <w:rsid w:val="00473F49"/>
    <w:rsid w:val="00474F3D"/>
    <w:rsid w:val="00477E3A"/>
    <w:rsid w:val="00483E5F"/>
    <w:rsid w:val="0048543D"/>
    <w:rsid w:val="00485FF9"/>
    <w:rsid w:val="004906F9"/>
    <w:rsid w:val="004907F0"/>
    <w:rsid w:val="0049140B"/>
    <w:rsid w:val="004923A5"/>
    <w:rsid w:val="00496BFB"/>
    <w:rsid w:val="00496D05"/>
    <w:rsid w:val="004A15C7"/>
    <w:rsid w:val="004A325B"/>
    <w:rsid w:val="004A67C0"/>
    <w:rsid w:val="004A6B8E"/>
    <w:rsid w:val="004A720B"/>
    <w:rsid w:val="004B013B"/>
    <w:rsid w:val="004B0A08"/>
    <w:rsid w:val="004B0A6D"/>
    <w:rsid w:val="004B112B"/>
    <w:rsid w:val="004B43E2"/>
    <w:rsid w:val="004C01E4"/>
    <w:rsid w:val="004C086C"/>
    <w:rsid w:val="004C10F9"/>
    <w:rsid w:val="004C1F56"/>
    <w:rsid w:val="004C254B"/>
    <w:rsid w:val="004C27BC"/>
    <w:rsid w:val="004C496A"/>
    <w:rsid w:val="004C6CB4"/>
    <w:rsid w:val="004D15F3"/>
    <w:rsid w:val="004D2A78"/>
    <w:rsid w:val="004D347F"/>
    <w:rsid w:val="004D5311"/>
    <w:rsid w:val="004D5DCC"/>
    <w:rsid w:val="004D62F2"/>
    <w:rsid w:val="004E0485"/>
    <w:rsid w:val="004E0849"/>
    <w:rsid w:val="004E14FA"/>
    <w:rsid w:val="004E42FF"/>
    <w:rsid w:val="004E5065"/>
    <w:rsid w:val="004E61A4"/>
    <w:rsid w:val="004E6733"/>
    <w:rsid w:val="004E769E"/>
    <w:rsid w:val="004F07BF"/>
    <w:rsid w:val="004F0B57"/>
    <w:rsid w:val="004F10AF"/>
    <w:rsid w:val="004F11A4"/>
    <w:rsid w:val="004F2389"/>
    <w:rsid w:val="004F2D0C"/>
    <w:rsid w:val="004F304D"/>
    <w:rsid w:val="004F5079"/>
    <w:rsid w:val="004F572C"/>
    <w:rsid w:val="004F6040"/>
    <w:rsid w:val="004F61BE"/>
    <w:rsid w:val="004F66B1"/>
    <w:rsid w:val="004F7198"/>
    <w:rsid w:val="004F7717"/>
    <w:rsid w:val="00501B25"/>
    <w:rsid w:val="00502737"/>
    <w:rsid w:val="00502A0D"/>
    <w:rsid w:val="00503CDE"/>
    <w:rsid w:val="00504BB0"/>
    <w:rsid w:val="00504D4D"/>
    <w:rsid w:val="00504FC0"/>
    <w:rsid w:val="0051042C"/>
    <w:rsid w:val="00510DB6"/>
    <w:rsid w:val="00511C07"/>
    <w:rsid w:val="00512D5D"/>
    <w:rsid w:val="005151EB"/>
    <w:rsid w:val="00515923"/>
    <w:rsid w:val="005173A6"/>
    <w:rsid w:val="005203A1"/>
    <w:rsid w:val="00520BAA"/>
    <w:rsid w:val="00521A23"/>
    <w:rsid w:val="00523570"/>
    <w:rsid w:val="00525208"/>
    <w:rsid w:val="005257A5"/>
    <w:rsid w:val="005264C0"/>
    <w:rsid w:val="005267AC"/>
    <w:rsid w:val="00526A8A"/>
    <w:rsid w:val="00530586"/>
    <w:rsid w:val="00531DF2"/>
    <w:rsid w:val="005321DF"/>
    <w:rsid w:val="00532891"/>
    <w:rsid w:val="00533CF7"/>
    <w:rsid w:val="00534479"/>
    <w:rsid w:val="005350E9"/>
    <w:rsid w:val="005356DC"/>
    <w:rsid w:val="00535BB8"/>
    <w:rsid w:val="00535FD0"/>
    <w:rsid w:val="00537275"/>
    <w:rsid w:val="005442EE"/>
    <w:rsid w:val="00544693"/>
    <w:rsid w:val="00546C6B"/>
    <w:rsid w:val="00547353"/>
    <w:rsid w:val="00547489"/>
    <w:rsid w:val="005474E7"/>
    <w:rsid w:val="005510B0"/>
    <w:rsid w:val="005512A3"/>
    <w:rsid w:val="00556A19"/>
    <w:rsid w:val="00556C2C"/>
    <w:rsid w:val="005578CE"/>
    <w:rsid w:val="0056056E"/>
    <w:rsid w:val="00561A01"/>
    <w:rsid w:val="00562781"/>
    <w:rsid w:val="00563E83"/>
    <w:rsid w:val="0057271C"/>
    <w:rsid w:val="00572845"/>
    <w:rsid w:val="0057305D"/>
    <w:rsid w:val="00573B76"/>
    <w:rsid w:val="0057458E"/>
    <w:rsid w:val="00574CCD"/>
    <w:rsid w:val="005775E7"/>
    <w:rsid w:val="00577F4B"/>
    <w:rsid w:val="00582EA0"/>
    <w:rsid w:val="0058463E"/>
    <w:rsid w:val="00586EB5"/>
    <w:rsid w:val="00592772"/>
    <w:rsid w:val="005950B0"/>
    <w:rsid w:val="0059574A"/>
    <w:rsid w:val="005A1B9B"/>
    <w:rsid w:val="005A6751"/>
    <w:rsid w:val="005B092E"/>
    <w:rsid w:val="005B152C"/>
    <w:rsid w:val="005B1EE0"/>
    <w:rsid w:val="005B2B24"/>
    <w:rsid w:val="005B305D"/>
    <w:rsid w:val="005B3689"/>
    <w:rsid w:val="005B4425"/>
    <w:rsid w:val="005B4B94"/>
    <w:rsid w:val="005B67C8"/>
    <w:rsid w:val="005B7B84"/>
    <w:rsid w:val="005C3EE8"/>
    <w:rsid w:val="005C4385"/>
    <w:rsid w:val="005D2C94"/>
    <w:rsid w:val="005D34F9"/>
    <w:rsid w:val="005D36DC"/>
    <w:rsid w:val="005D4190"/>
    <w:rsid w:val="005D46C0"/>
    <w:rsid w:val="005D67A3"/>
    <w:rsid w:val="005D766C"/>
    <w:rsid w:val="005E2988"/>
    <w:rsid w:val="005E2A43"/>
    <w:rsid w:val="005E3085"/>
    <w:rsid w:val="005E438A"/>
    <w:rsid w:val="005E5958"/>
    <w:rsid w:val="005F1B12"/>
    <w:rsid w:val="005F289D"/>
    <w:rsid w:val="005F46EB"/>
    <w:rsid w:val="005F51E1"/>
    <w:rsid w:val="005F5718"/>
    <w:rsid w:val="005F59F6"/>
    <w:rsid w:val="005F7AEE"/>
    <w:rsid w:val="006021A8"/>
    <w:rsid w:val="00611C80"/>
    <w:rsid w:val="00616A9B"/>
    <w:rsid w:val="00617A30"/>
    <w:rsid w:val="00620692"/>
    <w:rsid w:val="00620CC1"/>
    <w:rsid w:val="00623E43"/>
    <w:rsid w:val="006242CA"/>
    <w:rsid w:val="006244B0"/>
    <w:rsid w:val="00627507"/>
    <w:rsid w:val="006276D6"/>
    <w:rsid w:val="00633717"/>
    <w:rsid w:val="00633DC9"/>
    <w:rsid w:val="00633E63"/>
    <w:rsid w:val="006344E1"/>
    <w:rsid w:val="00643445"/>
    <w:rsid w:val="00643BE7"/>
    <w:rsid w:val="006509BD"/>
    <w:rsid w:val="00651875"/>
    <w:rsid w:val="006521AF"/>
    <w:rsid w:val="00652405"/>
    <w:rsid w:val="006545C4"/>
    <w:rsid w:val="00661971"/>
    <w:rsid w:val="00661CE8"/>
    <w:rsid w:val="006623D9"/>
    <w:rsid w:val="00663EEB"/>
    <w:rsid w:val="00664AA9"/>
    <w:rsid w:val="0066550C"/>
    <w:rsid w:val="00667517"/>
    <w:rsid w:val="006716F2"/>
    <w:rsid w:val="006721C0"/>
    <w:rsid w:val="006744DB"/>
    <w:rsid w:val="006828D0"/>
    <w:rsid w:val="00682BF2"/>
    <w:rsid w:val="00684206"/>
    <w:rsid w:val="006859CE"/>
    <w:rsid w:val="006866F0"/>
    <w:rsid w:val="00691270"/>
    <w:rsid w:val="0069133D"/>
    <w:rsid w:val="006925EF"/>
    <w:rsid w:val="00692730"/>
    <w:rsid w:val="006933A0"/>
    <w:rsid w:val="00694BA8"/>
    <w:rsid w:val="006971E1"/>
    <w:rsid w:val="006A037C"/>
    <w:rsid w:val="006A0E16"/>
    <w:rsid w:val="006A1369"/>
    <w:rsid w:val="006A2D60"/>
    <w:rsid w:val="006A36F4"/>
    <w:rsid w:val="006A372E"/>
    <w:rsid w:val="006A406F"/>
    <w:rsid w:val="006A5D3A"/>
    <w:rsid w:val="006A6A41"/>
    <w:rsid w:val="006B0C09"/>
    <w:rsid w:val="006B3737"/>
    <w:rsid w:val="006B62F7"/>
    <w:rsid w:val="006C168D"/>
    <w:rsid w:val="006C23D4"/>
    <w:rsid w:val="006C5EEA"/>
    <w:rsid w:val="006C6A19"/>
    <w:rsid w:val="006C7BB0"/>
    <w:rsid w:val="006C7C1E"/>
    <w:rsid w:val="006D3237"/>
    <w:rsid w:val="006E11E9"/>
    <w:rsid w:val="006E14CA"/>
    <w:rsid w:val="006E2E37"/>
    <w:rsid w:val="006E3CF1"/>
    <w:rsid w:val="006E3EDB"/>
    <w:rsid w:val="006E70A6"/>
    <w:rsid w:val="006E7E80"/>
    <w:rsid w:val="006F057D"/>
    <w:rsid w:val="006F0BBC"/>
    <w:rsid w:val="006F1DF9"/>
    <w:rsid w:val="006F24DB"/>
    <w:rsid w:val="006F48CA"/>
    <w:rsid w:val="006F64DD"/>
    <w:rsid w:val="006F77C7"/>
    <w:rsid w:val="006F790B"/>
    <w:rsid w:val="007000A7"/>
    <w:rsid w:val="00710F02"/>
    <w:rsid w:val="00715127"/>
    <w:rsid w:val="00715E8E"/>
    <w:rsid w:val="00720073"/>
    <w:rsid w:val="00721DC8"/>
    <w:rsid w:val="00723580"/>
    <w:rsid w:val="00723755"/>
    <w:rsid w:val="00730E00"/>
    <w:rsid w:val="0073136C"/>
    <w:rsid w:val="00731F0F"/>
    <w:rsid w:val="00733250"/>
    <w:rsid w:val="00735E53"/>
    <w:rsid w:val="0073682C"/>
    <w:rsid w:val="00741404"/>
    <w:rsid w:val="007415B3"/>
    <w:rsid w:val="00743F96"/>
    <w:rsid w:val="007449E5"/>
    <w:rsid w:val="00746747"/>
    <w:rsid w:val="00746C5A"/>
    <w:rsid w:val="00747FF0"/>
    <w:rsid w:val="007509D5"/>
    <w:rsid w:val="007509FC"/>
    <w:rsid w:val="00751685"/>
    <w:rsid w:val="00757441"/>
    <w:rsid w:val="00760D5A"/>
    <w:rsid w:val="00762332"/>
    <w:rsid w:val="00764D4E"/>
    <w:rsid w:val="00765A1F"/>
    <w:rsid w:val="00770E40"/>
    <w:rsid w:val="00772FE2"/>
    <w:rsid w:val="00774A6E"/>
    <w:rsid w:val="00775B6D"/>
    <w:rsid w:val="00776D68"/>
    <w:rsid w:val="00777DC9"/>
    <w:rsid w:val="00783052"/>
    <w:rsid w:val="00784C0D"/>
    <w:rsid w:val="007850EE"/>
    <w:rsid w:val="00785B95"/>
    <w:rsid w:val="007907A5"/>
    <w:rsid w:val="00790E96"/>
    <w:rsid w:val="00792E98"/>
    <w:rsid w:val="00793366"/>
    <w:rsid w:val="007950E3"/>
    <w:rsid w:val="007958C3"/>
    <w:rsid w:val="007A0D97"/>
    <w:rsid w:val="007A18B9"/>
    <w:rsid w:val="007A1F76"/>
    <w:rsid w:val="007A54ED"/>
    <w:rsid w:val="007A716F"/>
    <w:rsid w:val="007B270A"/>
    <w:rsid w:val="007B36D5"/>
    <w:rsid w:val="007B3F08"/>
    <w:rsid w:val="007B6571"/>
    <w:rsid w:val="007C0695"/>
    <w:rsid w:val="007C2064"/>
    <w:rsid w:val="007C3444"/>
    <w:rsid w:val="007C367F"/>
    <w:rsid w:val="007C398E"/>
    <w:rsid w:val="007C419A"/>
    <w:rsid w:val="007C4CC8"/>
    <w:rsid w:val="007C5426"/>
    <w:rsid w:val="007C5798"/>
    <w:rsid w:val="007D1D3A"/>
    <w:rsid w:val="007D3230"/>
    <w:rsid w:val="007D34F3"/>
    <w:rsid w:val="007D40B3"/>
    <w:rsid w:val="007D4832"/>
    <w:rsid w:val="007D717C"/>
    <w:rsid w:val="007E08A7"/>
    <w:rsid w:val="007E21B2"/>
    <w:rsid w:val="007E2C4E"/>
    <w:rsid w:val="007E4610"/>
    <w:rsid w:val="007F1905"/>
    <w:rsid w:val="007F5058"/>
    <w:rsid w:val="007F53FA"/>
    <w:rsid w:val="007F5881"/>
    <w:rsid w:val="007F5F86"/>
    <w:rsid w:val="0080048F"/>
    <w:rsid w:val="00801300"/>
    <w:rsid w:val="00801F61"/>
    <w:rsid w:val="00802C64"/>
    <w:rsid w:val="00804214"/>
    <w:rsid w:val="008046F6"/>
    <w:rsid w:val="00804BFA"/>
    <w:rsid w:val="00805E52"/>
    <w:rsid w:val="008061D0"/>
    <w:rsid w:val="00810B38"/>
    <w:rsid w:val="00815228"/>
    <w:rsid w:val="00815BFA"/>
    <w:rsid w:val="00820091"/>
    <w:rsid w:val="008204C7"/>
    <w:rsid w:val="00820992"/>
    <w:rsid w:val="00822E90"/>
    <w:rsid w:val="00823602"/>
    <w:rsid w:val="00823C3A"/>
    <w:rsid w:val="00823F18"/>
    <w:rsid w:val="008255F5"/>
    <w:rsid w:val="0083014E"/>
    <w:rsid w:val="0083214A"/>
    <w:rsid w:val="00834220"/>
    <w:rsid w:val="0083748F"/>
    <w:rsid w:val="00841B12"/>
    <w:rsid w:val="008430AD"/>
    <w:rsid w:val="00843310"/>
    <w:rsid w:val="00844537"/>
    <w:rsid w:val="00845723"/>
    <w:rsid w:val="0084573D"/>
    <w:rsid w:val="00851EF9"/>
    <w:rsid w:val="008564F1"/>
    <w:rsid w:val="008577FD"/>
    <w:rsid w:val="008601D4"/>
    <w:rsid w:val="00860B03"/>
    <w:rsid w:val="0086497A"/>
    <w:rsid w:val="00865DB5"/>
    <w:rsid w:val="0087016F"/>
    <w:rsid w:val="00870575"/>
    <w:rsid w:val="008713A1"/>
    <w:rsid w:val="008727AD"/>
    <w:rsid w:val="00873DEE"/>
    <w:rsid w:val="00874162"/>
    <w:rsid w:val="008754AB"/>
    <w:rsid w:val="00875AEE"/>
    <w:rsid w:val="0088060C"/>
    <w:rsid w:val="00880B07"/>
    <w:rsid w:val="0088313F"/>
    <w:rsid w:val="008911CB"/>
    <w:rsid w:val="00892A12"/>
    <w:rsid w:val="00892F5F"/>
    <w:rsid w:val="00893576"/>
    <w:rsid w:val="00893E73"/>
    <w:rsid w:val="00897C89"/>
    <w:rsid w:val="008A3608"/>
    <w:rsid w:val="008A43C4"/>
    <w:rsid w:val="008A72F1"/>
    <w:rsid w:val="008B02DC"/>
    <w:rsid w:val="008B29CB"/>
    <w:rsid w:val="008B57CE"/>
    <w:rsid w:val="008B659F"/>
    <w:rsid w:val="008B7A46"/>
    <w:rsid w:val="008B7F0D"/>
    <w:rsid w:val="008C26DE"/>
    <w:rsid w:val="008C3443"/>
    <w:rsid w:val="008C49B0"/>
    <w:rsid w:val="008C5567"/>
    <w:rsid w:val="008C608D"/>
    <w:rsid w:val="008C7850"/>
    <w:rsid w:val="008D124C"/>
    <w:rsid w:val="008D2225"/>
    <w:rsid w:val="008D24E7"/>
    <w:rsid w:val="008D26F7"/>
    <w:rsid w:val="008D4752"/>
    <w:rsid w:val="008D552A"/>
    <w:rsid w:val="008D77C5"/>
    <w:rsid w:val="008E271C"/>
    <w:rsid w:val="008E418E"/>
    <w:rsid w:val="008E5B39"/>
    <w:rsid w:val="008E5BC6"/>
    <w:rsid w:val="008E606D"/>
    <w:rsid w:val="008E6A25"/>
    <w:rsid w:val="008F1627"/>
    <w:rsid w:val="008F1C5C"/>
    <w:rsid w:val="008F32BB"/>
    <w:rsid w:val="008F3958"/>
    <w:rsid w:val="008F5193"/>
    <w:rsid w:val="008F73BC"/>
    <w:rsid w:val="008F73FB"/>
    <w:rsid w:val="009013A7"/>
    <w:rsid w:val="009017FB"/>
    <w:rsid w:val="009017FC"/>
    <w:rsid w:val="00903B43"/>
    <w:rsid w:val="00903E1A"/>
    <w:rsid w:val="0090506B"/>
    <w:rsid w:val="009050C9"/>
    <w:rsid w:val="009066FC"/>
    <w:rsid w:val="009071ED"/>
    <w:rsid w:val="00907D4D"/>
    <w:rsid w:val="00907F42"/>
    <w:rsid w:val="00910AD6"/>
    <w:rsid w:val="00913A89"/>
    <w:rsid w:val="009140A3"/>
    <w:rsid w:val="009144A2"/>
    <w:rsid w:val="0091510C"/>
    <w:rsid w:val="00915933"/>
    <w:rsid w:val="00921FAE"/>
    <w:rsid w:val="00923EB2"/>
    <w:rsid w:val="00923F83"/>
    <w:rsid w:val="00924BB9"/>
    <w:rsid w:val="009259AC"/>
    <w:rsid w:val="00926879"/>
    <w:rsid w:val="00926F38"/>
    <w:rsid w:val="00927A3A"/>
    <w:rsid w:val="00934301"/>
    <w:rsid w:val="009354B8"/>
    <w:rsid w:val="00936CD1"/>
    <w:rsid w:val="00941747"/>
    <w:rsid w:val="00941D80"/>
    <w:rsid w:val="00941EFB"/>
    <w:rsid w:val="00942FBF"/>
    <w:rsid w:val="00947AFB"/>
    <w:rsid w:val="00951D7D"/>
    <w:rsid w:val="00952C12"/>
    <w:rsid w:val="009630C7"/>
    <w:rsid w:val="00965F5F"/>
    <w:rsid w:val="00970B6F"/>
    <w:rsid w:val="0097126E"/>
    <w:rsid w:val="00972B55"/>
    <w:rsid w:val="009743B7"/>
    <w:rsid w:val="00976DB2"/>
    <w:rsid w:val="0097761F"/>
    <w:rsid w:val="0098135A"/>
    <w:rsid w:val="0098228B"/>
    <w:rsid w:val="009828DA"/>
    <w:rsid w:val="00984F3E"/>
    <w:rsid w:val="00985BAB"/>
    <w:rsid w:val="00985ED7"/>
    <w:rsid w:val="00986714"/>
    <w:rsid w:val="00995B49"/>
    <w:rsid w:val="009975CF"/>
    <w:rsid w:val="00997F03"/>
    <w:rsid w:val="009A3120"/>
    <w:rsid w:val="009A46DF"/>
    <w:rsid w:val="009A4EFE"/>
    <w:rsid w:val="009A6109"/>
    <w:rsid w:val="009A7997"/>
    <w:rsid w:val="009B1B5F"/>
    <w:rsid w:val="009B2EC2"/>
    <w:rsid w:val="009B3AEE"/>
    <w:rsid w:val="009B6673"/>
    <w:rsid w:val="009B736C"/>
    <w:rsid w:val="009B75D8"/>
    <w:rsid w:val="009B7DBD"/>
    <w:rsid w:val="009C191B"/>
    <w:rsid w:val="009C2BD6"/>
    <w:rsid w:val="009C35B7"/>
    <w:rsid w:val="009C3E72"/>
    <w:rsid w:val="009C4EDE"/>
    <w:rsid w:val="009D1580"/>
    <w:rsid w:val="009D1C91"/>
    <w:rsid w:val="009D44E6"/>
    <w:rsid w:val="009E1F32"/>
    <w:rsid w:val="009E44F6"/>
    <w:rsid w:val="009E5829"/>
    <w:rsid w:val="009E74C1"/>
    <w:rsid w:val="009E776C"/>
    <w:rsid w:val="009F0550"/>
    <w:rsid w:val="009F4752"/>
    <w:rsid w:val="009F6BD9"/>
    <w:rsid w:val="00A02D8A"/>
    <w:rsid w:val="00A1032B"/>
    <w:rsid w:val="00A11576"/>
    <w:rsid w:val="00A12BCD"/>
    <w:rsid w:val="00A130B4"/>
    <w:rsid w:val="00A13E49"/>
    <w:rsid w:val="00A1562E"/>
    <w:rsid w:val="00A1726E"/>
    <w:rsid w:val="00A204CF"/>
    <w:rsid w:val="00A23D49"/>
    <w:rsid w:val="00A243C0"/>
    <w:rsid w:val="00A27004"/>
    <w:rsid w:val="00A30C29"/>
    <w:rsid w:val="00A30C7B"/>
    <w:rsid w:val="00A328FA"/>
    <w:rsid w:val="00A32B27"/>
    <w:rsid w:val="00A34DD6"/>
    <w:rsid w:val="00A35890"/>
    <w:rsid w:val="00A36819"/>
    <w:rsid w:val="00A36989"/>
    <w:rsid w:val="00A40DBD"/>
    <w:rsid w:val="00A4138E"/>
    <w:rsid w:val="00A43628"/>
    <w:rsid w:val="00A53EDB"/>
    <w:rsid w:val="00A54192"/>
    <w:rsid w:val="00A543FC"/>
    <w:rsid w:val="00A559E9"/>
    <w:rsid w:val="00A602E0"/>
    <w:rsid w:val="00A6035E"/>
    <w:rsid w:val="00A60F94"/>
    <w:rsid w:val="00A6144C"/>
    <w:rsid w:val="00A64A39"/>
    <w:rsid w:val="00A64EDF"/>
    <w:rsid w:val="00A66617"/>
    <w:rsid w:val="00A671F8"/>
    <w:rsid w:val="00A673A4"/>
    <w:rsid w:val="00A71A6B"/>
    <w:rsid w:val="00A724AE"/>
    <w:rsid w:val="00A73329"/>
    <w:rsid w:val="00A76F5A"/>
    <w:rsid w:val="00A777CE"/>
    <w:rsid w:val="00A81689"/>
    <w:rsid w:val="00A82359"/>
    <w:rsid w:val="00A865D2"/>
    <w:rsid w:val="00A87898"/>
    <w:rsid w:val="00A91F16"/>
    <w:rsid w:val="00A93E82"/>
    <w:rsid w:val="00A94A6D"/>
    <w:rsid w:val="00A94C20"/>
    <w:rsid w:val="00A95608"/>
    <w:rsid w:val="00A95D4D"/>
    <w:rsid w:val="00A9692B"/>
    <w:rsid w:val="00A96ED6"/>
    <w:rsid w:val="00AA227F"/>
    <w:rsid w:val="00AA3BC7"/>
    <w:rsid w:val="00AA44E5"/>
    <w:rsid w:val="00AA5B77"/>
    <w:rsid w:val="00AA6203"/>
    <w:rsid w:val="00AA754A"/>
    <w:rsid w:val="00AB099E"/>
    <w:rsid w:val="00AB4328"/>
    <w:rsid w:val="00AB57ED"/>
    <w:rsid w:val="00AB5FA0"/>
    <w:rsid w:val="00AB66F8"/>
    <w:rsid w:val="00AC0316"/>
    <w:rsid w:val="00AC6EC6"/>
    <w:rsid w:val="00AD1F27"/>
    <w:rsid w:val="00AD3A60"/>
    <w:rsid w:val="00AD3FA2"/>
    <w:rsid w:val="00AD4ECA"/>
    <w:rsid w:val="00AE0A2E"/>
    <w:rsid w:val="00AE1E05"/>
    <w:rsid w:val="00AE27B5"/>
    <w:rsid w:val="00AE2824"/>
    <w:rsid w:val="00AE354C"/>
    <w:rsid w:val="00AE47E0"/>
    <w:rsid w:val="00AE490B"/>
    <w:rsid w:val="00AE5227"/>
    <w:rsid w:val="00AF0757"/>
    <w:rsid w:val="00AF47C2"/>
    <w:rsid w:val="00AF4B07"/>
    <w:rsid w:val="00AF5AB8"/>
    <w:rsid w:val="00AF6186"/>
    <w:rsid w:val="00AF7A3A"/>
    <w:rsid w:val="00AF7B53"/>
    <w:rsid w:val="00B06948"/>
    <w:rsid w:val="00B07816"/>
    <w:rsid w:val="00B07C62"/>
    <w:rsid w:val="00B13458"/>
    <w:rsid w:val="00B13817"/>
    <w:rsid w:val="00B160DB"/>
    <w:rsid w:val="00B20836"/>
    <w:rsid w:val="00B20D5A"/>
    <w:rsid w:val="00B213FF"/>
    <w:rsid w:val="00B235BB"/>
    <w:rsid w:val="00B25C03"/>
    <w:rsid w:val="00B26B71"/>
    <w:rsid w:val="00B27A44"/>
    <w:rsid w:val="00B27CA1"/>
    <w:rsid w:val="00B30BBF"/>
    <w:rsid w:val="00B33C03"/>
    <w:rsid w:val="00B3473F"/>
    <w:rsid w:val="00B40354"/>
    <w:rsid w:val="00B408AF"/>
    <w:rsid w:val="00B40B72"/>
    <w:rsid w:val="00B41682"/>
    <w:rsid w:val="00B43848"/>
    <w:rsid w:val="00B44410"/>
    <w:rsid w:val="00B44E56"/>
    <w:rsid w:val="00B464A9"/>
    <w:rsid w:val="00B46543"/>
    <w:rsid w:val="00B47D33"/>
    <w:rsid w:val="00B51202"/>
    <w:rsid w:val="00B52A01"/>
    <w:rsid w:val="00B52BE0"/>
    <w:rsid w:val="00B54133"/>
    <w:rsid w:val="00B637B9"/>
    <w:rsid w:val="00B63A59"/>
    <w:rsid w:val="00B66964"/>
    <w:rsid w:val="00B701ED"/>
    <w:rsid w:val="00B709DD"/>
    <w:rsid w:val="00B8086C"/>
    <w:rsid w:val="00B8569D"/>
    <w:rsid w:val="00B861B4"/>
    <w:rsid w:val="00B86832"/>
    <w:rsid w:val="00B86DFE"/>
    <w:rsid w:val="00B90990"/>
    <w:rsid w:val="00B922AE"/>
    <w:rsid w:val="00B922FF"/>
    <w:rsid w:val="00B92491"/>
    <w:rsid w:val="00B9281E"/>
    <w:rsid w:val="00B93146"/>
    <w:rsid w:val="00B937AA"/>
    <w:rsid w:val="00B93925"/>
    <w:rsid w:val="00B95187"/>
    <w:rsid w:val="00B95E97"/>
    <w:rsid w:val="00B97ACB"/>
    <w:rsid w:val="00BA2D55"/>
    <w:rsid w:val="00BA32FD"/>
    <w:rsid w:val="00BA3ECC"/>
    <w:rsid w:val="00BA4450"/>
    <w:rsid w:val="00BA71B1"/>
    <w:rsid w:val="00BA7CFB"/>
    <w:rsid w:val="00BB0637"/>
    <w:rsid w:val="00BB345F"/>
    <w:rsid w:val="00BB5883"/>
    <w:rsid w:val="00BB5CA0"/>
    <w:rsid w:val="00BB68EA"/>
    <w:rsid w:val="00BC1C27"/>
    <w:rsid w:val="00BC1DA3"/>
    <w:rsid w:val="00BC356F"/>
    <w:rsid w:val="00BC59E2"/>
    <w:rsid w:val="00BC6BBF"/>
    <w:rsid w:val="00BD11F6"/>
    <w:rsid w:val="00BD1572"/>
    <w:rsid w:val="00BD17A3"/>
    <w:rsid w:val="00BD17A8"/>
    <w:rsid w:val="00BD2F1C"/>
    <w:rsid w:val="00BD4CC6"/>
    <w:rsid w:val="00BD7FC0"/>
    <w:rsid w:val="00BE0404"/>
    <w:rsid w:val="00BE04A7"/>
    <w:rsid w:val="00BE14E3"/>
    <w:rsid w:val="00BE18A6"/>
    <w:rsid w:val="00BE31DA"/>
    <w:rsid w:val="00BE3774"/>
    <w:rsid w:val="00BE41E5"/>
    <w:rsid w:val="00BE4D04"/>
    <w:rsid w:val="00BE50B5"/>
    <w:rsid w:val="00BE74C4"/>
    <w:rsid w:val="00BE7967"/>
    <w:rsid w:val="00BF0BBB"/>
    <w:rsid w:val="00BF4109"/>
    <w:rsid w:val="00BF4CC3"/>
    <w:rsid w:val="00BF515D"/>
    <w:rsid w:val="00C02334"/>
    <w:rsid w:val="00C03666"/>
    <w:rsid w:val="00C041DD"/>
    <w:rsid w:val="00C050D8"/>
    <w:rsid w:val="00C054C7"/>
    <w:rsid w:val="00C057B5"/>
    <w:rsid w:val="00C07F41"/>
    <w:rsid w:val="00C10F36"/>
    <w:rsid w:val="00C14252"/>
    <w:rsid w:val="00C170CB"/>
    <w:rsid w:val="00C22687"/>
    <w:rsid w:val="00C27A94"/>
    <w:rsid w:val="00C31AC8"/>
    <w:rsid w:val="00C32CD1"/>
    <w:rsid w:val="00C32E4D"/>
    <w:rsid w:val="00C32EF6"/>
    <w:rsid w:val="00C333A0"/>
    <w:rsid w:val="00C34DB8"/>
    <w:rsid w:val="00C36A81"/>
    <w:rsid w:val="00C401A6"/>
    <w:rsid w:val="00C41974"/>
    <w:rsid w:val="00C447AD"/>
    <w:rsid w:val="00C454EA"/>
    <w:rsid w:val="00C4753F"/>
    <w:rsid w:val="00C50103"/>
    <w:rsid w:val="00C53D28"/>
    <w:rsid w:val="00C53F4A"/>
    <w:rsid w:val="00C54125"/>
    <w:rsid w:val="00C55B54"/>
    <w:rsid w:val="00C57DD9"/>
    <w:rsid w:val="00C6098E"/>
    <w:rsid w:val="00C6152C"/>
    <w:rsid w:val="00C621C2"/>
    <w:rsid w:val="00C645EB"/>
    <w:rsid w:val="00C65C68"/>
    <w:rsid w:val="00C74810"/>
    <w:rsid w:val="00C76857"/>
    <w:rsid w:val="00C77979"/>
    <w:rsid w:val="00C82E7F"/>
    <w:rsid w:val="00C859A3"/>
    <w:rsid w:val="00C865A4"/>
    <w:rsid w:val="00C90D68"/>
    <w:rsid w:val="00C915FB"/>
    <w:rsid w:val="00C91F64"/>
    <w:rsid w:val="00C939FE"/>
    <w:rsid w:val="00C9520F"/>
    <w:rsid w:val="00C959F8"/>
    <w:rsid w:val="00C95FA1"/>
    <w:rsid w:val="00C96BF4"/>
    <w:rsid w:val="00C970A3"/>
    <w:rsid w:val="00CA05F7"/>
    <w:rsid w:val="00CA4BDA"/>
    <w:rsid w:val="00CA5B0A"/>
    <w:rsid w:val="00CA6E62"/>
    <w:rsid w:val="00CA6F31"/>
    <w:rsid w:val="00CA7163"/>
    <w:rsid w:val="00CB0AB3"/>
    <w:rsid w:val="00CB1A6E"/>
    <w:rsid w:val="00CB1F66"/>
    <w:rsid w:val="00CB2951"/>
    <w:rsid w:val="00CB3954"/>
    <w:rsid w:val="00CC04D2"/>
    <w:rsid w:val="00CC166B"/>
    <w:rsid w:val="00CC68AF"/>
    <w:rsid w:val="00CC6D8A"/>
    <w:rsid w:val="00CC7B46"/>
    <w:rsid w:val="00CD2796"/>
    <w:rsid w:val="00CD282B"/>
    <w:rsid w:val="00CD489A"/>
    <w:rsid w:val="00CD4C35"/>
    <w:rsid w:val="00CD7369"/>
    <w:rsid w:val="00CE0B0E"/>
    <w:rsid w:val="00CE2F1E"/>
    <w:rsid w:val="00CE3770"/>
    <w:rsid w:val="00CE3831"/>
    <w:rsid w:val="00CE3AAB"/>
    <w:rsid w:val="00CE44C1"/>
    <w:rsid w:val="00CE522B"/>
    <w:rsid w:val="00CE54D7"/>
    <w:rsid w:val="00CE6C63"/>
    <w:rsid w:val="00CE73F6"/>
    <w:rsid w:val="00CF39F7"/>
    <w:rsid w:val="00CF46B8"/>
    <w:rsid w:val="00CF476C"/>
    <w:rsid w:val="00D00ABB"/>
    <w:rsid w:val="00D00E1A"/>
    <w:rsid w:val="00D02EEC"/>
    <w:rsid w:val="00D030D0"/>
    <w:rsid w:val="00D03551"/>
    <w:rsid w:val="00D06A63"/>
    <w:rsid w:val="00D07719"/>
    <w:rsid w:val="00D07E0E"/>
    <w:rsid w:val="00D11478"/>
    <w:rsid w:val="00D12295"/>
    <w:rsid w:val="00D15ED0"/>
    <w:rsid w:val="00D1782A"/>
    <w:rsid w:val="00D21B3E"/>
    <w:rsid w:val="00D21FED"/>
    <w:rsid w:val="00D24251"/>
    <w:rsid w:val="00D261A7"/>
    <w:rsid w:val="00D26CB5"/>
    <w:rsid w:val="00D343E2"/>
    <w:rsid w:val="00D361A2"/>
    <w:rsid w:val="00D44863"/>
    <w:rsid w:val="00D44C2E"/>
    <w:rsid w:val="00D45414"/>
    <w:rsid w:val="00D53C0F"/>
    <w:rsid w:val="00D54250"/>
    <w:rsid w:val="00D546EB"/>
    <w:rsid w:val="00D54741"/>
    <w:rsid w:val="00D566BD"/>
    <w:rsid w:val="00D57A4D"/>
    <w:rsid w:val="00D60AA7"/>
    <w:rsid w:val="00D60D87"/>
    <w:rsid w:val="00D622B6"/>
    <w:rsid w:val="00D6435F"/>
    <w:rsid w:val="00D70776"/>
    <w:rsid w:val="00D7108F"/>
    <w:rsid w:val="00D75E28"/>
    <w:rsid w:val="00D772C2"/>
    <w:rsid w:val="00D77A09"/>
    <w:rsid w:val="00D77B46"/>
    <w:rsid w:val="00D8008E"/>
    <w:rsid w:val="00D814ED"/>
    <w:rsid w:val="00D82C45"/>
    <w:rsid w:val="00D835EA"/>
    <w:rsid w:val="00D9006C"/>
    <w:rsid w:val="00D908A8"/>
    <w:rsid w:val="00D977B6"/>
    <w:rsid w:val="00DA028C"/>
    <w:rsid w:val="00DA4A31"/>
    <w:rsid w:val="00DA61F2"/>
    <w:rsid w:val="00DA7B04"/>
    <w:rsid w:val="00DB00D5"/>
    <w:rsid w:val="00DB36C2"/>
    <w:rsid w:val="00DB37EC"/>
    <w:rsid w:val="00DB4B0F"/>
    <w:rsid w:val="00DB60A2"/>
    <w:rsid w:val="00DB7196"/>
    <w:rsid w:val="00DB7AF0"/>
    <w:rsid w:val="00DC169B"/>
    <w:rsid w:val="00DC2729"/>
    <w:rsid w:val="00DC2AB9"/>
    <w:rsid w:val="00DC32BA"/>
    <w:rsid w:val="00DC63F0"/>
    <w:rsid w:val="00DD6EE5"/>
    <w:rsid w:val="00DE1B8E"/>
    <w:rsid w:val="00DE28C2"/>
    <w:rsid w:val="00DE386C"/>
    <w:rsid w:val="00DE44ED"/>
    <w:rsid w:val="00DE4CEB"/>
    <w:rsid w:val="00DE4D35"/>
    <w:rsid w:val="00DF044C"/>
    <w:rsid w:val="00DF0549"/>
    <w:rsid w:val="00DF098B"/>
    <w:rsid w:val="00DF11C4"/>
    <w:rsid w:val="00DF210C"/>
    <w:rsid w:val="00DF4B6A"/>
    <w:rsid w:val="00E008E7"/>
    <w:rsid w:val="00E01528"/>
    <w:rsid w:val="00E02308"/>
    <w:rsid w:val="00E02BC6"/>
    <w:rsid w:val="00E02C09"/>
    <w:rsid w:val="00E02D22"/>
    <w:rsid w:val="00E04D59"/>
    <w:rsid w:val="00E05474"/>
    <w:rsid w:val="00E07DA1"/>
    <w:rsid w:val="00E1022F"/>
    <w:rsid w:val="00E123CB"/>
    <w:rsid w:val="00E1355B"/>
    <w:rsid w:val="00E13584"/>
    <w:rsid w:val="00E152B4"/>
    <w:rsid w:val="00E1557C"/>
    <w:rsid w:val="00E168E3"/>
    <w:rsid w:val="00E16C7F"/>
    <w:rsid w:val="00E17AA9"/>
    <w:rsid w:val="00E20B69"/>
    <w:rsid w:val="00E20E13"/>
    <w:rsid w:val="00E21DBC"/>
    <w:rsid w:val="00E2659C"/>
    <w:rsid w:val="00E275D7"/>
    <w:rsid w:val="00E27DBE"/>
    <w:rsid w:val="00E307C8"/>
    <w:rsid w:val="00E3195B"/>
    <w:rsid w:val="00E32AB1"/>
    <w:rsid w:val="00E32D7D"/>
    <w:rsid w:val="00E333AD"/>
    <w:rsid w:val="00E35504"/>
    <w:rsid w:val="00E36C71"/>
    <w:rsid w:val="00E40404"/>
    <w:rsid w:val="00E4133A"/>
    <w:rsid w:val="00E43DA7"/>
    <w:rsid w:val="00E4591F"/>
    <w:rsid w:val="00E459C6"/>
    <w:rsid w:val="00E464DB"/>
    <w:rsid w:val="00E47589"/>
    <w:rsid w:val="00E5067C"/>
    <w:rsid w:val="00E50E47"/>
    <w:rsid w:val="00E5783B"/>
    <w:rsid w:val="00E60D72"/>
    <w:rsid w:val="00E626EF"/>
    <w:rsid w:val="00E64915"/>
    <w:rsid w:val="00E6519A"/>
    <w:rsid w:val="00E661D4"/>
    <w:rsid w:val="00E70091"/>
    <w:rsid w:val="00E720F5"/>
    <w:rsid w:val="00E747BC"/>
    <w:rsid w:val="00E754A1"/>
    <w:rsid w:val="00E76D47"/>
    <w:rsid w:val="00E80E6C"/>
    <w:rsid w:val="00E83AEC"/>
    <w:rsid w:val="00E83C60"/>
    <w:rsid w:val="00E841B3"/>
    <w:rsid w:val="00E8448D"/>
    <w:rsid w:val="00E849F7"/>
    <w:rsid w:val="00E90302"/>
    <w:rsid w:val="00E90EC4"/>
    <w:rsid w:val="00E9175F"/>
    <w:rsid w:val="00E917B0"/>
    <w:rsid w:val="00E9597F"/>
    <w:rsid w:val="00E95ADA"/>
    <w:rsid w:val="00E96F3D"/>
    <w:rsid w:val="00E97396"/>
    <w:rsid w:val="00EA185E"/>
    <w:rsid w:val="00EA2572"/>
    <w:rsid w:val="00EA293D"/>
    <w:rsid w:val="00EA4AE7"/>
    <w:rsid w:val="00EA57B0"/>
    <w:rsid w:val="00EA592A"/>
    <w:rsid w:val="00EA737F"/>
    <w:rsid w:val="00EB14E4"/>
    <w:rsid w:val="00EB1E63"/>
    <w:rsid w:val="00EB2031"/>
    <w:rsid w:val="00EB32A5"/>
    <w:rsid w:val="00EB34ED"/>
    <w:rsid w:val="00EB554A"/>
    <w:rsid w:val="00EB689F"/>
    <w:rsid w:val="00EB7BE0"/>
    <w:rsid w:val="00EC315E"/>
    <w:rsid w:val="00EC50B9"/>
    <w:rsid w:val="00EC5EB8"/>
    <w:rsid w:val="00EC7863"/>
    <w:rsid w:val="00ED077C"/>
    <w:rsid w:val="00ED0862"/>
    <w:rsid w:val="00ED1190"/>
    <w:rsid w:val="00ED4F28"/>
    <w:rsid w:val="00ED5B8A"/>
    <w:rsid w:val="00ED62BE"/>
    <w:rsid w:val="00ED6544"/>
    <w:rsid w:val="00EE0277"/>
    <w:rsid w:val="00EE1DA9"/>
    <w:rsid w:val="00EE3E00"/>
    <w:rsid w:val="00EE5188"/>
    <w:rsid w:val="00EE5DD2"/>
    <w:rsid w:val="00EE7063"/>
    <w:rsid w:val="00EF000A"/>
    <w:rsid w:val="00EF0073"/>
    <w:rsid w:val="00EF0833"/>
    <w:rsid w:val="00EF0B3D"/>
    <w:rsid w:val="00EF1938"/>
    <w:rsid w:val="00EF3960"/>
    <w:rsid w:val="00EF41F1"/>
    <w:rsid w:val="00EF4F08"/>
    <w:rsid w:val="00EF569D"/>
    <w:rsid w:val="00EF573B"/>
    <w:rsid w:val="00F00A79"/>
    <w:rsid w:val="00F00E86"/>
    <w:rsid w:val="00F00F8B"/>
    <w:rsid w:val="00F01127"/>
    <w:rsid w:val="00F0429B"/>
    <w:rsid w:val="00F04FA0"/>
    <w:rsid w:val="00F07C1E"/>
    <w:rsid w:val="00F105DB"/>
    <w:rsid w:val="00F132BC"/>
    <w:rsid w:val="00F13D80"/>
    <w:rsid w:val="00F16AAA"/>
    <w:rsid w:val="00F21161"/>
    <w:rsid w:val="00F218EF"/>
    <w:rsid w:val="00F21BC7"/>
    <w:rsid w:val="00F2301E"/>
    <w:rsid w:val="00F23E4C"/>
    <w:rsid w:val="00F24786"/>
    <w:rsid w:val="00F25629"/>
    <w:rsid w:val="00F266A2"/>
    <w:rsid w:val="00F30223"/>
    <w:rsid w:val="00F30D7F"/>
    <w:rsid w:val="00F32269"/>
    <w:rsid w:val="00F403C4"/>
    <w:rsid w:val="00F407D2"/>
    <w:rsid w:val="00F44201"/>
    <w:rsid w:val="00F4457E"/>
    <w:rsid w:val="00F445AA"/>
    <w:rsid w:val="00F46611"/>
    <w:rsid w:val="00F46CE0"/>
    <w:rsid w:val="00F46E89"/>
    <w:rsid w:val="00F50FD3"/>
    <w:rsid w:val="00F54483"/>
    <w:rsid w:val="00F550C4"/>
    <w:rsid w:val="00F56A6F"/>
    <w:rsid w:val="00F5709C"/>
    <w:rsid w:val="00F64EF1"/>
    <w:rsid w:val="00F703A2"/>
    <w:rsid w:val="00F72361"/>
    <w:rsid w:val="00F73BC9"/>
    <w:rsid w:val="00F74038"/>
    <w:rsid w:val="00F74574"/>
    <w:rsid w:val="00F745DF"/>
    <w:rsid w:val="00F74A60"/>
    <w:rsid w:val="00F765DE"/>
    <w:rsid w:val="00F77D47"/>
    <w:rsid w:val="00F8063A"/>
    <w:rsid w:val="00F87238"/>
    <w:rsid w:val="00F8765F"/>
    <w:rsid w:val="00F90767"/>
    <w:rsid w:val="00F929F5"/>
    <w:rsid w:val="00F934C6"/>
    <w:rsid w:val="00F9362F"/>
    <w:rsid w:val="00FA2D3D"/>
    <w:rsid w:val="00FA685B"/>
    <w:rsid w:val="00FB0C01"/>
    <w:rsid w:val="00FB15B5"/>
    <w:rsid w:val="00FB1E29"/>
    <w:rsid w:val="00FB30E8"/>
    <w:rsid w:val="00FB3BBB"/>
    <w:rsid w:val="00FB4E5E"/>
    <w:rsid w:val="00FB510D"/>
    <w:rsid w:val="00FB5C20"/>
    <w:rsid w:val="00FB5E16"/>
    <w:rsid w:val="00FC18F2"/>
    <w:rsid w:val="00FC1C31"/>
    <w:rsid w:val="00FC251C"/>
    <w:rsid w:val="00FC281B"/>
    <w:rsid w:val="00FC314A"/>
    <w:rsid w:val="00FC39E5"/>
    <w:rsid w:val="00FC3A78"/>
    <w:rsid w:val="00FC506A"/>
    <w:rsid w:val="00FC5FFE"/>
    <w:rsid w:val="00FC7D3B"/>
    <w:rsid w:val="00FD05F3"/>
    <w:rsid w:val="00FD1005"/>
    <w:rsid w:val="00FD22F3"/>
    <w:rsid w:val="00FD3180"/>
    <w:rsid w:val="00FD6C75"/>
    <w:rsid w:val="00FE1FD8"/>
    <w:rsid w:val="00FE1FF3"/>
    <w:rsid w:val="00FE20FC"/>
    <w:rsid w:val="00FE52D2"/>
    <w:rsid w:val="00FE5DAE"/>
    <w:rsid w:val="00FE6AEF"/>
    <w:rsid w:val="00FE71B3"/>
    <w:rsid w:val="00FF0C79"/>
    <w:rsid w:val="00FF1395"/>
    <w:rsid w:val="00FF1DD8"/>
    <w:rsid w:val="00FF2AC9"/>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744BB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8"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emiHidden/>
    <w:rsid w:val="002E7A57"/>
    <w:pPr>
      <w:jc w:val="both"/>
    </w:pPr>
    <w:rPr>
      <w:rFonts w:eastAsiaTheme="minorEastAsia"/>
      <w:sz w:val="24"/>
      <w:lang w:val="en-GB"/>
    </w:rPr>
  </w:style>
  <w:style w:type="paragraph" w:styleId="Nagwek1">
    <w:name w:val="heading 1"/>
    <w:basedOn w:val="Normalny"/>
    <w:next w:val="Normalny"/>
    <w:link w:val="Nagwek1Znak"/>
    <w:uiPriority w:val="99"/>
    <w:semiHidden/>
    <w:rsid w:val="002E7A5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2E7A5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2E7A57"/>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2E7A57"/>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2E7A57"/>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2E7A5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2E7A57"/>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2E7A57"/>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2E7A57"/>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2E7A57"/>
    <w:rPr>
      <w:rFonts w:ascii="Tahoma" w:hAnsi="Tahoma" w:cs="Tahoma"/>
      <w:sz w:val="16"/>
      <w:szCs w:val="16"/>
    </w:rPr>
  </w:style>
  <w:style w:type="character" w:customStyle="1" w:styleId="TekstdymkaZnak">
    <w:name w:val="Tekst dymka Znak"/>
    <w:basedOn w:val="Domylnaczcionkaakapitu"/>
    <w:link w:val="Tekstdymka"/>
    <w:uiPriority w:val="99"/>
    <w:semiHidden/>
    <w:rsid w:val="002E7A57"/>
    <w:rPr>
      <w:rFonts w:ascii="Tahoma" w:eastAsiaTheme="minorEastAsia" w:hAnsi="Tahoma" w:cs="Tahoma"/>
      <w:sz w:val="16"/>
      <w:szCs w:val="16"/>
      <w:lang w:val="en-GB"/>
    </w:rPr>
  </w:style>
  <w:style w:type="character" w:styleId="Tytuksiki">
    <w:name w:val="Book Title"/>
    <w:uiPriority w:val="99"/>
    <w:semiHidden/>
    <w:qFormat/>
    <w:rsid w:val="002E7A57"/>
    <w:rPr>
      <w:i/>
      <w:iCs/>
      <w:smallCaps/>
      <w:spacing w:val="5"/>
    </w:rPr>
  </w:style>
  <w:style w:type="paragraph" w:customStyle="1" w:styleId="ECHRHeader">
    <w:name w:val="ECHR_Header"/>
    <w:aliases w:val="Ju_Header"/>
    <w:basedOn w:val="Nagwek"/>
    <w:uiPriority w:val="4"/>
    <w:qFormat/>
    <w:rsid w:val="002E7A57"/>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2E7A57"/>
    <w:pPr>
      <w:jc w:val="left"/>
    </w:pPr>
    <w:rPr>
      <w:sz w:val="8"/>
    </w:rPr>
  </w:style>
  <w:style w:type="character" w:styleId="Pogrubienie">
    <w:name w:val="Strong"/>
    <w:uiPriority w:val="99"/>
    <w:semiHidden/>
    <w:qFormat/>
    <w:rsid w:val="002E7A57"/>
    <w:rPr>
      <w:b/>
      <w:bCs/>
    </w:rPr>
  </w:style>
  <w:style w:type="paragraph" w:styleId="Bezodstpw">
    <w:name w:val="No Spacing"/>
    <w:basedOn w:val="Normalny"/>
    <w:link w:val="BezodstpwZnak"/>
    <w:semiHidden/>
    <w:qFormat/>
    <w:rsid w:val="002E7A57"/>
    <w:rPr>
      <w:sz w:val="22"/>
      <w:lang w:val="en-US"/>
    </w:rPr>
  </w:style>
  <w:style w:type="character" w:customStyle="1" w:styleId="BezodstpwZnak">
    <w:name w:val="Bez odstępów Znak"/>
    <w:basedOn w:val="Domylnaczcionkaakapitu"/>
    <w:link w:val="Bezodstpw"/>
    <w:semiHidden/>
    <w:rsid w:val="002E7A57"/>
    <w:rPr>
      <w:rFonts w:eastAsiaTheme="minorEastAsia"/>
    </w:rPr>
  </w:style>
  <w:style w:type="paragraph" w:customStyle="1" w:styleId="ECHRFooterLine">
    <w:name w:val="ECHR_Footer_Line"/>
    <w:aliases w:val="Footer_Line"/>
    <w:basedOn w:val="Normalny"/>
    <w:next w:val="ECHRFooter"/>
    <w:uiPriority w:val="57"/>
    <w:semiHidden/>
    <w:rsid w:val="002E7A57"/>
    <w:pPr>
      <w:pBdr>
        <w:top w:val="single" w:sz="6" w:space="1" w:color="5F5F5F"/>
      </w:pBdr>
      <w:tabs>
        <w:tab w:val="center" w:pos="4536"/>
        <w:tab w:val="right" w:pos="9696"/>
      </w:tabs>
      <w:ind w:left="-680" w:right="-680"/>
      <w:jc w:val="left"/>
    </w:pPr>
    <w:rPr>
      <w:color w:val="5F5F5F"/>
    </w:rPr>
  </w:style>
  <w:style w:type="paragraph" w:customStyle="1" w:styleId="DecHTitle">
    <w:name w:val="Dec_H_Title"/>
    <w:aliases w:val="_Title_1"/>
    <w:basedOn w:val="ECHRTitleCentre1"/>
    <w:uiPriority w:val="38"/>
    <w:qFormat/>
    <w:rsid w:val="002E7A57"/>
  </w:style>
  <w:style w:type="paragraph" w:customStyle="1" w:styleId="DecList">
    <w:name w:val="Dec_List"/>
    <w:basedOn w:val="Normalny"/>
    <w:uiPriority w:val="9"/>
    <w:semiHidden/>
    <w:qFormat/>
    <w:rsid w:val="002E7A57"/>
    <w:pPr>
      <w:spacing w:before="240"/>
      <w:ind w:left="284"/>
    </w:pPr>
  </w:style>
  <w:style w:type="paragraph" w:customStyle="1" w:styleId="DummyStyle">
    <w:name w:val="Dummy_Style"/>
    <w:basedOn w:val="Normalny"/>
    <w:semiHidden/>
    <w:qFormat/>
    <w:rsid w:val="002E7A57"/>
    <w:rPr>
      <w:color w:val="00B050"/>
    </w:rPr>
  </w:style>
  <w:style w:type="paragraph" w:customStyle="1" w:styleId="ECHRTitleCentre3">
    <w:name w:val="ECHR_Title_Centre_3"/>
    <w:aliases w:val="Ju_H_Article"/>
    <w:basedOn w:val="Normalny"/>
    <w:next w:val="ECHRParaQuote"/>
    <w:uiPriority w:val="27"/>
    <w:qFormat/>
    <w:rsid w:val="002E7A57"/>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2E7A57"/>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2E7A57"/>
    <w:pPr>
      <w:numPr>
        <w:numId w:val="39"/>
      </w:numPr>
      <w:jc w:val="left"/>
    </w:pPr>
    <w:rPr>
      <w:b/>
    </w:rPr>
  </w:style>
  <w:style w:type="paragraph" w:customStyle="1" w:styleId="JuCase">
    <w:name w:val="Ju_Case"/>
    <w:basedOn w:val="Normalny"/>
    <w:next w:val="ECHRPara"/>
    <w:uiPriority w:val="10"/>
    <w:rsid w:val="002E7A57"/>
    <w:pPr>
      <w:ind w:firstLine="284"/>
    </w:pPr>
    <w:rPr>
      <w:b/>
    </w:rPr>
  </w:style>
  <w:style w:type="paragraph" w:customStyle="1" w:styleId="JuCourt">
    <w:name w:val="Ju_Court"/>
    <w:basedOn w:val="Normalny"/>
    <w:next w:val="Normalny"/>
    <w:uiPriority w:val="16"/>
    <w:qFormat/>
    <w:rsid w:val="002E7A57"/>
    <w:pPr>
      <w:tabs>
        <w:tab w:val="left" w:pos="907"/>
        <w:tab w:val="left" w:pos="1701"/>
        <w:tab w:val="right" w:pos="7371"/>
      </w:tabs>
      <w:spacing w:before="240"/>
      <w:ind w:left="397" w:hanging="397"/>
      <w:jc w:val="left"/>
    </w:pPr>
    <w:rPr>
      <w:lang w:bidi="en-US"/>
    </w:rPr>
  </w:style>
  <w:style w:type="paragraph" w:customStyle="1" w:styleId="ECHRTitleCentre2">
    <w:name w:val="ECHR_Title_Centre_2"/>
    <w:aliases w:val="Dec_H_Case"/>
    <w:basedOn w:val="Normalny"/>
    <w:next w:val="ECHRPara"/>
    <w:uiPriority w:val="8"/>
    <w:qFormat/>
    <w:rsid w:val="002E7A57"/>
    <w:pPr>
      <w:spacing w:after="240"/>
      <w:jc w:val="center"/>
      <w:outlineLvl w:val="0"/>
    </w:pPr>
    <w:rPr>
      <w:rFonts w:asciiTheme="majorHAnsi" w:hAnsiTheme="majorHAnsi"/>
    </w:rPr>
  </w:style>
  <w:style w:type="paragraph" w:customStyle="1" w:styleId="JuHeaderLandscape">
    <w:name w:val="Ju_Header_Landscape"/>
    <w:basedOn w:val="ECHRHeader"/>
    <w:uiPriority w:val="4"/>
    <w:qFormat/>
    <w:rsid w:val="002E7A57"/>
    <w:pPr>
      <w:tabs>
        <w:tab w:val="clear" w:pos="3686"/>
        <w:tab w:val="clear" w:pos="7371"/>
        <w:tab w:val="center" w:pos="6146"/>
        <w:tab w:val="right" w:pos="12293"/>
      </w:tabs>
    </w:pPr>
  </w:style>
  <w:style w:type="paragraph" w:styleId="Tytu">
    <w:name w:val="Title"/>
    <w:basedOn w:val="Normalny"/>
    <w:next w:val="Normalny"/>
    <w:link w:val="TytuZnak"/>
    <w:uiPriority w:val="99"/>
    <w:semiHidden/>
    <w:qFormat/>
    <w:rsid w:val="002E7A57"/>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2E7A57"/>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2E7A57"/>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2E7A57"/>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2E7A57"/>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2E7A57"/>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2E7A57"/>
    <w:pPr>
      <w:keepNext/>
      <w:keepLines/>
      <w:spacing w:before="240" w:after="120"/>
      <w:ind w:left="1236"/>
    </w:pPr>
    <w:rPr>
      <w:sz w:val="20"/>
      <w:lang w:val="en-GB"/>
    </w:rPr>
  </w:style>
  <w:style w:type="paragraph" w:customStyle="1" w:styleId="JuQuotSub">
    <w:name w:val="Ju_Quot_Sub"/>
    <w:basedOn w:val="ECHRParaQuote"/>
    <w:uiPriority w:val="15"/>
    <w:qFormat/>
    <w:rsid w:val="002E7A57"/>
    <w:pPr>
      <w:ind w:left="567"/>
    </w:pPr>
  </w:style>
  <w:style w:type="paragraph" w:customStyle="1" w:styleId="JuInitialled">
    <w:name w:val="Ju_Initialled"/>
    <w:basedOn w:val="Normalny"/>
    <w:uiPriority w:val="31"/>
    <w:qFormat/>
    <w:rsid w:val="002E7A57"/>
    <w:pPr>
      <w:tabs>
        <w:tab w:val="center" w:pos="6407"/>
      </w:tabs>
      <w:spacing w:before="720"/>
      <w:jc w:val="right"/>
    </w:pPr>
  </w:style>
  <w:style w:type="character" w:customStyle="1" w:styleId="JUNAMES">
    <w:name w:val="JU_NAMES"/>
    <w:uiPriority w:val="17"/>
    <w:qFormat/>
    <w:rsid w:val="002E7A57"/>
    <w:rPr>
      <w:caps w:val="0"/>
      <w:smallCaps/>
    </w:rPr>
  </w:style>
  <w:style w:type="paragraph" w:styleId="Nagwek">
    <w:name w:val="header"/>
    <w:basedOn w:val="Normalny"/>
    <w:link w:val="NagwekZnak"/>
    <w:uiPriority w:val="57"/>
    <w:semiHidden/>
    <w:rsid w:val="002E7A57"/>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2E7A57"/>
    <w:rPr>
      <w:sz w:val="24"/>
      <w:lang w:val="en-GB"/>
    </w:rPr>
  </w:style>
  <w:style w:type="character" w:customStyle="1" w:styleId="Nagwek1Znak">
    <w:name w:val="Nagłówek 1 Znak"/>
    <w:basedOn w:val="Domylnaczcionkaakapitu"/>
    <w:link w:val="Nagwek1"/>
    <w:uiPriority w:val="99"/>
    <w:semiHidden/>
    <w:rsid w:val="002E7A57"/>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uiPriority w:val="19"/>
    <w:qFormat/>
    <w:rsid w:val="002E7A57"/>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2E7A57"/>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2E7A57"/>
    <w:rPr>
      <w:rFonts w:asciiTheme="majorHAnsi" w:eastAsiaTheme="majorEastAsia" w:hAnsiTheme="majorHAnsi" w:cstheme="majorBidi"/>
      <w:b/>
      <w:bCs/>
      <w:color w:val="4D4D4D"/>
      <w:sz w:val="26"/>
      <w:szCs w:val="26"/>
      <w:lang w:val="en-GB"/>
    </w:rPr>
  </w:style>
  <w:style w:type="paragraph" w:customStyle="1" w:styleId="JuParaSub">
    <w:name w:val="Ju_Para_Sub"/>
    <w:basedOn w:val="ECHRPara"/>
    <w:uiPriority w:val="13"/>
    <w:qFormat/>
    <w:rsid w:val="002E7A57"/>
    <w:pPr>
      <w:ind w:left="284"/>
    </w:pPr>
  </w:style>
  <w:style w:type="paragraph" w:customStyle="1" w:styleId="JuTitle">
    <w:name w:val="Ju_Title"/>
    <w:basedOn w:val="Normalny"/>
    <w:next w:val="ECHRPara"/>
    <w:uiPriority w:val="3"/>
    <w:semiHidden/>
    <w:qFormat/>
    <w:rsid w:val="002E7A57"/>
    <w:pPr>
      <w:spacing w:before="720" w:after="240"/>
      <w:jc w:val="center"/>
      <w:outlineLvl w:val="0"/>
    </w:pPr>
    <w:rPr>
      <w:rFonts w:asciiTheme="majorHAnsi" w:hAnsiTheme="majorHAnsi"/>
      <w:b/>
      <w:caps/>
    </w:rPr>
  </w:style>
  <w:style w:type="character" w:customStyle="1" w:styleId="Nagwek3Znak">
    <w:name w:val="Nagłówek 3 Znak"/>
    <w:basedOn w:val="Domylnaczcionkaakapitu"/>
    <w:link w:val="Nagwek3"/>
    <w:uiPriority w:val="99"/>
    <w:semiHidden/>
    <w:rsid w:val="002E7A57"/>
    <w:rPr>
      <w:rFonts w:asciiTheme="majorHAnsi" w:eastAsiaTheme="majorEastAsia" w:hAnsiTheme="majorHAnsi" w:cstheme="majorBidi"/>
      <w:b/>
      <w:bCs/>
      <w:color w:val="5F5F5F"/>
      <w:sz w:val="24"/>
      <w:lang w:val="en-GB"/>
    </w:rPr>
  </w:style>
  <w:style w:type="character" w:customStyle="1" w:styleId="Nagwek4Znak">
    <w:name w:val="Nagłówek 4 Znak"/>
    <w:basedOn w:val="Domylnaczcionkaakapitu"/>
    <w:link w:val="Nagwek4"/>
    <w:uiPriority w:val="99"/>
    <w:semiHidden/>
    <w:rsid w:val="002E7A57"/>
    <w:rPr>
      <w:rFonts w:asciiTheme="majorHAnsi" w:eastAsiaTheme="majorEastAsia" w:hAnsiTheme="majorHAnsi" w:cstheme="majorBidi"/>
      <w:b/>
      <w:bCs/>
      <w:i/>
      <w:iCs/>
      <w:color w:val="777777"/>
      <w:sz w:val="24"/>
      <w:lang w:val="en-GB"/>
    </w:rPr>
  </w:style>
  <w:style w:type="character" w:customStyle="1" w:styleId="Nagwek5Znak">
    <w:name w:val="Nagłówek 5 Znak"/>
    <w:basedOn w:val="Domylnaczcionkaakapitu"/>
    <w:link w:val="Nagwek5"/>
    <w:uiPriority w:val="99"/>
    <w:semiHidden/>
    <w:rsid w:val="002E7A57"/>
    <w:rPr>
      <w:rFonts w:asciiTheme="majorHAnsi" w:eastAsiaTheme="majorEastAsia" w:hAnsiTheme="majorHAnsi" w:cstheme="majorBidi"/>
      <w:b/>
      <w:bCs/>
      <w:color w:val="808080"/>
    </w:rPr>
  </w:style>
  <w:style w:type="character" w:styleId="Wyrnieniedelikatne">
    <w:name w:val="Subtle Emphasis"/>
    <w:uiPriority w:val="99"/>
    <w:semiHidden/>
    <w:qFormat/>
    <w:rsid w:val="002E7A57"/>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2E7A57"/>
    <w:pPr>
      <w:keepNext/>
      <w:keepLines/>
      <w:spacing w:before="720" w:after="240"/>
      <w:outlineLvl w:val="0"/>
    </w:pPr>
    <w:rPr>
      <w:rFonts w:asciiTheme="majorHAnsi" w:hAnsiTheme="majorHAnsi"/>
      <w:sz w:val="28"/>
    </w:rPr>
  </w:style>
  <w:style w:type="character" w:styleId="Uwydatnienie">
    <w:name w:val="Emphasis"/>
    <w:uiPriority w:val="99"/>
    <w:semiHidden/>
    <w:qFormat/>
    <w:rsid w:val="002E7A57"/>
    <w:rPr>
      <w:b/>
      <w:bCs/>
      <w:i/>
      <w:iCs/>
      <w:spacing w:val="10"/>
      <w:bdr w:val="none" w:sz="0" w:space="0" w:color="auto"/>
      <w:shd w:val="clear" w:color="auto" w:fill="auto"/>
    </w:rPr>
  </w:style>
  <w:style w:type="paragraph" w:styleId="Stopka">
    <w:name w:val="footer"/>
    <w:basedOn w:val="Normalny"/>
    <w:link w:val="StopkaZnak"/>
    <w:uiPriority w:val="57"/>
    <w:semiHidden/>
    <w:rsid w:val="002E7A57"/>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2E7A57"/>
    <w:rPr>
      <w:sz w:val="24"/>
      <w:lang w:val="en-GB"/>
    </w:rPr>
  </w:style>
  <w:style w:type="character" w:styleId="Odwoanieprzypisudolnego">
    <w:name w:val="footnote reference"/>
    <w:basedOn w:val="Domylnaczcionkaakapitu"/>
    <w:uiPriority w:val="99"/>
    <w:semiHidden/>
    <w:rsid w:val="002E7A57"/>
    <w:rPr>
      <w:vertAlign w:val="superscript"/>
    </w:rPr>
  </w:style>
  <w:style w:type="paragraph" w:styleId="Tekstprzypisudolnego">
    <w:name w:val="footnote text"/>
    <w:basedOn w:val="Normalny"/>
    <w:link w:val="TekstprzypisudolnegoZnak"/>
    <w:uiPriority w:val="99"/>
    <w:semiHidden/>
    <w:rsid w:val="002E7A57"/>
    <w:rPr>
      <w:sz w:val="20"/>
      <w:szCs w:val="20"/>
    </w:rPr>
  </w:style>
  <w:style w:type="character" w:customStyle="1" w:styleId="TekstprzypisudolnegoZnak">
    <w:name w:val="Tekst przypisu dolnego Znak"/>
    <w:basedOn w:val="Domylnaczcionkaakapitu"/>
    <w:link w:val="Tekstprzypisudolnego"/>
    <w:uiPriority w:val="99"/>
    <w:semiHidden/>
    <w:rsid w:val="002E7A57"/>
    <w:rPr>
      <w:rFonts w:eastAsiaTheme="minorEastAsia"/>
      <w:sz w:val="20"/>
      <w:szCs w:val="20"/>
      <w:lang w:val="en-GB"/>
    </w:rPr>
  </w:style>
  <w:style w:type="character" w:customStyle="1" w:styleId="Nagwek6Znak">
    <w:name w:val="Nagłówek 6 Znak"/>
    <w:basedOn w:val="Domylnaczcionkaakapitu"/>
    <w:link w:val="Nagwek6"/>
    <w:uiPriority w:val="99"/>
    <w:semiHidden/>
    <w:rsid w:val="002E7A57"/>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2E7A57"/>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2E7A57"/>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2E7A57"/>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8"/>
    <w:semiHidden/>
    <w:rsid w:val="002E7A57"/>
    <w:rPr>
      <w:color w:val="0072BC" w:themeColor="hyperlink"/>
      <w:u w:val="single"/>
    </w:rPr>
  </w:style>
  <w:style w:type="character" w:styleId="Wyrnienieintensywne">
    <w:name w:val="Intense Emphasis"/>
    <w:uiPriority w:val="99"/>
    <w:semiHidden/>
    <w:qFormat/>
    <w:rsid w:val="002E7A57"/>
    <w:rPr>
      <w:b/>
      <w:bCs/>
    </w:rPr>
  </w:style>
  <w:style w:type="paragraph" w:styleId="Cytatintensywny">
    <w:name w:val="Intense Quote"/>
    <w:basedOn w:val="Normalny"/>
    <w:next w:val="Normalny"/>
    <w:link w:val="CytatintensywnyZnak"/>
    <w:uiPriority w:val="99"/>
    <w:semiHidden/>
    <w:qFormat/>
    <w:rsid w:val="002E7A57"/>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2E7A57"/>
    <w:rPr>
      <w:rFonts w:eastAsiaTheme="minorEastAsia"/>
      <w:b/>
      <w:bCs/>
      <w:i/>
      <w:iCs/>
      <w:lang w:bidi="en-US"/>
    </w:rPr>
  </w:style>
  <w:style w:type="character" w:styleId="Odwoanieintensywne">
    <w:name w:val="Intense Reference"/>
    <w:uiPriority w:val="99"/>
    <w:semiHidden/>
    <w:qFormat/>
    <w:rsid w:val="002E7A57"/>
    <w:rPr>
      <w:smallCaps/>
      <w:spacing w:val="5"/>
      <w:u w:val="single"/>
    </w:rPr>
  </w:style>
  <w:style w:type="paragraph" w:styleId="Akapitzlist">
    <w:name w:val="List Paragraph"/>
    <w:basedOn w:val="Normalny"/>
    <w:uiPriority w:val="99"/>
    <w:semiHidden/>
    <w:qFormat/>
    <w:rsid w:val="002E7A57"/>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2E7A57"/>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2E7A57"/>
    <w:rPr>
      <w:rFonts w:eastAsiaTheme="minorEastAsia"/>
      <w:i/>
      <w:iCs/>
      <w:lang w:bidi="en-US"/>
    </w:rPr>
  </w:style>
  <w:style w:type="character" w:styleId="Odwoaniedelikatne">
    <w:name w:val="Subtle Reference"/>
    <w:uiPriority w:val="99"/>
    <w:semiHidden/>
    <w:qFormat/>
    <w:rsid w:val="002E7A57"/>
    <w:rPr>
      <w:smallCaps/>
    </w:rPr>
  </w:style>
  <w:style w:type="table" w:styleId="Tabela-Siatka">
    <w:name w:val="Table Grid"/>
    <w:basedOn w:val="Standardowy"/>
    <w:uiPriority w:val="59"/>
    <w:semiHidden/>
    <w:rsid w:val="002E7A57"/>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2E7A57"/>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2E7A57"/>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2E7A57"/>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2E7A57"/>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2E7A57"/>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2E7A57"/>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2E7A57"/>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2E7A57"/>
    <w:pPr>
      <w:spacing w:before="120" w:after="120"/>
      <w:ind w:left="425" w:firstLine="142"/>
    </w:pPr>
    <w:rPr>
      <w:sz w:val="20"/>
    </w:rPr>
  </w:style>
  <w:style w:type="paragraph" w:customStyle="1" w:styleId="ECHRPara">
    <w:name w:val="ECHR_Para"/>
    <w:aliases w:val="Ju_Para"/>
    <w:basedOn w:val="Normalny"/>
    <w:link w:val="ECHRParaChar"/>
    <w:uiPriority w:val="12"/>
    <w:qFormat/>
    <w:rsid w:val="002E7A57"/>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2E7A57"/>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2E7A57"/>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2E7A57"/>
    <w:pPr>
      <w:ind w:left="340" w:hanging="340"/>
    </w:pPr>
  </w:style>
  <w:style w:type="paragraph" w:customStyle="1" w:styleId="JuSigned">
    <w:name w:val="Ju_Signed"/>
    <w:basedOn w:val="Normalny"/>
    <w:next w:val="JuParaLast"/>
    <w:uiPriority w:val="32"/>
    <w:qFormat/>
    <w:rsid w:val="002E7A57"/>
    <w:pPr>
      <w:tabs>
        <w:tab w:val="center" w:pos="851"/>
        <w:tab w:val="center" w:pos="6407"/>
      </w:tabs>
      <w:spacing w:before="720"/>
      <w:jc w:val="left"/>
    </w:pPr>
  </w:style>
  <w:style w:type="paragraph" w:customStyle="1" w:styleId="JuParaLast">
    <w:name w:val="Ju_Para_Last"/>
    <w:basedOn w:val="Normalny"/>
    <w:next w:val="ECHRPara"/>
    <w:uiPriority w:val="30"/>
    <w:qFormat/>
    <w:rsid w:val="002E7A57"/>
    <w:pPr>
      <w:keepNext/>
      <w:keepLines/>
      <w:spacing w:before="240"/>
      <w:ind w:firstLine="284"/>
    </w:pPr>
  </w:style>
  <w:style w:type="paragraph" w:customStyle="1" w:styleId="OpiH1">
    <w:name w:val="Opi_H_1"/>
    <w:basedOn w:val="ECHRHeading2"/>
    <w:uiPriority w:val="42"/>
    <w:qFormat/>
    <w:rsid w:val="002E7A57"/>
    <w:pPr>
      <w:ind w:left="635" w:hanging="357"/>
      <w:outlineLvl w:val="2"/>
    </w:p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2E7A57"/>
    <w:pPr>
      <w:ind w:left="346" w:firstLine="0"/>
    </w:pPr>
  </w:style>
  <w:style w:type="paragraph" w:customStyle="1" w:styleId="JuListi">
    <w:name w:val="Ju_List_i"/>
    <w:basedOn w:val="Normalny"/>
    <w:next w:val="JuLista"/>
    <w:uiPriority w:val="28"/>
    <w:qFormat/>
    <w:rsid w:val="002E7A57"/>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uiPriority w:val="99"/>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basedOn w:val="Domylnaczcionkaakapitu"/>
    <w:uiPriority w:val="99"/>
    <w:semiHidden/>
    <w:rsid w:val="002E7A57"/>
    <w:rPr>
      <w:vertAlign w:val="superscript"/>
    </w:rPr>
  </w:style>
  <w:style w:type="paragraph" w:styleId="Tekstprzypisukocowego">
    <w:name w:val="endnote text"/>
    <w:basedOn w:val="Normalny"/>
    <w:link w:val="TekstprzypisukocowegoZnak"/>
    <w:uiPriority w:val="99"/>
    <w:semiHidden/>
    <w:rsid w:val="002E7A57"/>
    <w:rPr>
      <w:sz w:val="20"/>
      <w:szCs w:val="20"/>
    </w:rPr>
  </w:style>
  <w:style w:type="character" w:customStyle="1" w:styleId="TekstprzypisukocowegoZnak">
    <w:name w:val="Tekst przypisu końcowego Znak"/>
    <w:basedOn w:val="Domylnaczcionkaakapitu"/>
    <w:link w:val="Tekstprzypisukocowego"/>
    <w:uiPriority w:val="99"/>
    <w:semiHidden/>
    <w:rsid w:val="002E7A57"/>
    <w:rPr>
      <w:rFonts w:eastAsiaTheme="minorEastAsia"/>
      <w:sz w:val="20"/>
      <w:szCs w:val="20"/>
      <w:lang w:val="en-GB"/>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a">
    <w:name w:val="Opi_H_a"/>
    <w:basedOn w:val="ECHRHeading3"/>
    <w:uiPriority w:val="43"/>
    <w:qFormat/>
    <w:rsid w:val="002E7A57"/>
    <w:pPr>
      <w:ind w:left="833" w:hanging="357"/>
      <w:outlineLvl w:val="3"/>
    </w:pPr>
    <w:rPr>
      <w:b/>
      <w:i w:val="0"/>
      <w:sz w:val="20"/>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2E7A57"/>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2E7A57"/>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2E7A57"/>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2E7A57"/>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2E7A57"/>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2E7A57"/>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41"/>
    <w:qFormat/>
    <w:rsid w:val="002E7A57"/>
    <w:pPr>
      <w:tabs>
        <w:tab w:val="clear" w:pos="357"/>
      </w:tabs>
      <w:outlineLvl w:val="1"/>
    </w:pPr>
    <w:rPr>
      <w:b/>
    </w:rPr>
  </w:style>
  <w:style w:type="paragraph" w:customStyle="1" w:styleId="OpiHi">
    <w:name w:val="Opi_H_i"/>
    <w:basedOn w:val="ECHRHeading4"/>
    <w:uiPriority w:val="44"/>
    <w:qFormat/>
    <w:rsid w:val="002E7A57"/>
    <w:pPr>
      <w:ind w:left="1037" w:hanging="357"/>
      <w:outlineLvl w:val="4"/>
    </w:pPr>
    <w:rPr>
      <w:b w:val="0"/>
      <w:i/>
    </w:rPr>
  </w:style>
  <w:style w:type="paragraph" w:customStyle="1" w:styleId="OpiPara">
    <w:name w:val="Opi_Para"/>
    <w:basedOn w:val="ECHRPara"/>
    <w:uiPriority w:val="46"/>
    <w:qFormat/>
    <w:rsid w:val="002E7A57"/>
  </w:style>
  <w:style w:type="paragraph" w:customStyle="1" w:styleId="OpiParaSub">
    <w:name w:val="Opi_Para_Sub"/>
    <w:basedOn w:val="JuParaSub"/>
    <w:uiPriority w:val="47"/>
    <w:qFormat/>
    <w:rsid w:val="002E7A57"/>
  </w:style>
  <w:style w:type="paragraph" w:customStyle="1" w:styleId="OpiQuot">
    <w:name w:val="Opi_Quot"/>
    <w:basedOn w:val="ECHRParaQuote"/>
    <w:uiPriority w:val="48"/>
    <w:qFormat/>
    <w:rsid w:val="002E7A57"/>
  </w:style>
  <w:style w:type="paragraph" w:customStyle="1" w:styleId="OpiQuotSub">
    <w:name w:val="Opi_Quot_Sub"/>
    <w:basedOn w:val="JuQuotSub"/>
    <w:uiPriority w:val="49"/>
    <w:qFormat/>
    <w:rsid w:val="002E7A57"/>
  </w:style>
  <w:style w:type="character" w:customStyle="1" w:styleId="ECHRParaChar">
    <w:name w:val="ECHR_Para Char"/>
    <w:aliases w:val="Ju_Para Char"/>
    <w:link w:val="ECHRPara"/>
    <w:uiPriority w:val="12"/>
    <w:rsid w:val="00274573"/>
    <w:rPr>
      <w:rFonts w:eastAsiaTheme="minorEastAsia"/>
      <w:sz w:val="24"/>
      <w:lang w:val="en-GB"/>
    </w:rPr>
  </w:style>
  <w:style w:type="paragraph" w:styleId="Poprawka">
    <w:name w:val="Revision"/>
    <w:hidden/>
    <w:uiPriority w:val="99"/>
    <w:semiHidden/>
    <w:rsid w:val="005F59F6"/>
    <w:rPr>
      <w:rFonts w:eastAsiaTheme="minorEastAsia"/>
      <w:sz w:val="24"/>
    </w:rPr>
  </w:style>
  <w:style w:type="paragraph" w:customStyle="1" w:styleId="OpiTranslation">
    <w:name w:val="Opi_Translation"/>
    <w:basedOn w:val="Normalny"/>
    <w:next w:val="OpiPara"/>
    <w:uiPriority w:val="40"/>
    <w:qFormat/>
    <w:rsid w:val="002E7A57"/>
    <w:pPr>
      <w:jc w:val="center"/>
      <w:outlineLvl w:val="0"/>
    </w:pPr>
    <w:rPr>
      <w:i/>
    </w:rPr>
  </w:style>
  <w:style w:type="paragraph" w:customStyle="1" w:styleId="jupara">
    <w:name w:val="jupara"/>
    <w:basedOn w:val="Normalny"/>
    <w:rsid w:val="000F4D0A"/>
    <w:pPr>
      <w:ind w:firstLine="284"/>
    </w:pPr>
    <w:rPr>
      <w:rFonts w:ascii="Times New Roman" w:eastAsia="Times New Roman" w:hAnsi="Times New Roman" w:cs="Times New Roman"/>
      <w:szCs w:val="24"/>
      <w:lang w:eastAsia="en-GB"/>
    </w:rPr>
  </w:style>
  <w:style w:type="paragraph" w:customStyle="1" w:styleId="jucase0">
    <w:name w:val="jucase"/>
    <w:basedOn w:val="Normalny"/>
    <w:rsid w:val="000F4D0A"/>
    <w:pPr>
      <w:ind w:firstLine="284"/>
    </w:pPr>
    <w:rPr>
      <w:rFonts w:ascii="Times New Roman" w:eastAsia="Times New Roman" w:hAnsi="Times New Roman" w:cs="Times New Roman"/>
      <w:b/>
      <w:bCs/>
      <w:szCs w:val="24"/>
      <w:lang w:eastAsia="en-GB"/>
    </w:rPr>
  </w:style>
  <w:style w:type="character" w:customStyle="1" w:styleId="sb8d990e2">
    <w:name w:val="sb8d990e2"/>
    <w:basedOn w:val="Domylnaczcionkaakapitu"/>
    <w:rsid w:val="009E44F6"/>
  </w:style>
  <w:style w:type="character" w:customStyle="1" w:styleId="s4f807e54">
    <w:name w:val="s4f807e54"/>
    <w:uiPriority w:val="99"/>
    <w:rsid w:val="006721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991612">
      <w:bodyDiv w:val="1"/>
      <w:marLeft w:val="0"/>
      <w:marRight w:val="0"/>
      <w:marTop w:val="0"/>
      <w:marBottom w:val="0"/>
      <w:divBdr>
        <w:top w:val="none" w:sz="0" w:space="0" w:color="auto"/>
        <w:left w:val="none" w:sz="0" w:space="0" w:color="auto"/>
        <w:bottom w:val="none" w:sz="0" w:space="0" w:color="auto"/>
        <w:right w:val="none" w:sz="0" w:space="0" w:color="auto"/>
      </w:divBdr>
    </w:div>
    <w:div w:id="207760830">
      <w:bodyDiv w:val="1"/>
      <w:marLeft w:val="0"/>
      <w:marRight w:val="0"/>
      <w:marTop w:val="0"/>
      <w:marBottom w:val="0"/>
      <w:divBdr>
        <w:top w:val="none" w:sz="0" w:space="0" w:color="auto"/>
        <w:left w:val="none" w:sz="0" w:space="0" w:color="auto"/>
        <w:bottom w:val="none" w:sz="0" w:space="0" w:color="auto"/>
        <w:right w:val="none" w:sz="0" w:space="0" w:color="auto"/>
      </w:divBdr>
    </w:div>
    <w:div w:id="213347316">
      <w:bodyDiv w:val="1"/>
      <w:marLeft w:val="0"/>
      <w:marRight w:val="0"/>
      <w:marTop w:val="0"/>
      <w:marBottom w:val="0"/>
      <w:divBdr>
        <w:top w:val="none" w:sz="0" w:space="0" w:color="auto"/>
        <w:left w:val="none" w:sz="0" w:space="0" w:color="auto"/>
        <w:bottom w:val="none" w:sz="0" w:space="0" w:color="auto"/>
        <w:right w:val="none" w:sz="0" w:space="0" w:color="auto"/>
      </w:divBdr>
    </w:div>
    <w:div w:id="325018159">
      <w:bodyDiv w:val="1"/>
      <w:marLeft w:val="0"/>
      <w:marRight w:val="0"/>
      <w:marTop w:val="0"/>
      <w:marBottom w:val="0"/>
      <w:divBdr>
        <w:top w:val="none" w:sz="0" w:space="0" w:color="auto"/>
        <w:left w:val="none" w:sz="0" w:space="0" w:color="auto"/>
        <w:bottom w:val="none" w:sz="0" w:space="0" w:color="auto"/>
        <w:right w:val="none" w:sz="0" w:space="0" w:color="auto"/>
      </w:divBdr>
    </w:div>
    <w:div w:id="509874060">
      <w:bodyDiv w:val="1"/>
      <w:marLeft w:val="0"/>
      <w:marRight w:val="0"/>
      <w:marTop w:val="0"/>
      <w:marBottom w:val="0"/>
      <w:divBdr>
        <w:top w:val="none" w:sz="0" w:space="0" w:color="auto"/>
        <w:left w:val="none" w:sz="0" w:space="0" w:color="auto"/>
        <w:bottom w:val="none" w:sz="0" w:space="0" w:color="auto"/>
        <w:right w:val="none" w:sz="0" w:space="0" w:color="auto"/>
      </w:divBdr>
    </w:div>
    <w:div w:id="611935106">
      <w:bodyDiv w:val="1"/>
      <w:marLeft w:val="0"/>
      <w:marRight w:val="0"/>
      <w:marTop w:val="0"/>
      <w:marBottom w:val="0"/>
      <w:divBdr>
        <w:top w:val="none" w:sz="0" w:space="0" w:color="auto"/>
        <w:left w:val="none" w:sz="0" w:space="0" w:color="auto"/>
        <w:bottom w:val="none" w:sz="0" w:space="0" w:color="auto"/>
        <w:right w:val="none" w:sz="0" w:space="0" w:color="auto"/>
      </w:divBdr>
    </w:div>
    <w:div w:id="620497727">
      <w:bodyDiv w:val="1"/>
      <w:marLeft w:val="0"/>
      <w:marRight w:val="0"/>
      <w:marTop w:val="0"/>
      <w:marBottom w:val="0"/>
      <w:divBdr>
        <w:top w:val="none" w:sz="0" w:space="0" w:color="auto"/>
        <w:left w:val="none" w:sz="0" w:space="0" w:color="auto"/>
        <w:bottom w:val="none" w:sz="0" w:space="0" w:color="auto"/>
        <w:right w:val="none" w:sz="0" w:space="0" w:color="auto"/>
      </w:divBdr>
    </w:div>
    <w:div w:id="668604396">
      <w:bodyDiv w:val="1"/>
      <w:marLeft w:val="0"/>
      <w:marRight w:val="0"/>
      <w:marTop w:val="0"/>
      <w:marBottom w:val="0"/>
      <w:divBdr>
        <w:top w:val="none" w:sz="0" w:space="0" w:color="auto"/>
        <w:left w:val="none" w:sz="0" w:space="0" w:color="auto"/>
        <w:bottom w:val="none" w:sz="0" w:space="0" w:color="auto"/>
        <w:right w:val="none" w:sz="0" w:space="0" w:color="auto"/>
      </w:divBdr>
    </w:div>
    <w:div w:id="741606132">
      <w:bodyDiv w:val="1"/>
      <w:marLeft w:val="0"/>
      <w:marRight w:val="0"/>
      <w:marTop w:val="0"/>
      <w:marBottom w:val="0"/>
      <w:divBdr>
        <w:top w:val="none" w:sz="0" w:space="0" w:color="auto"/>
        <w:left w:val="none" w:sz="0" w:space="0" w:color="auto"/>
        <w:bottom w:val="none" w:sz="0" w:space="0" w:color="auto"/>
        <w:right w:val="none" w:sz="0" w:space="0" w:color="auto"/>
      </w:divBdr>
    </w:div>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994378715">
      <w:bodyDiv w:val="1"/>
      <w:marLeft w:val="0"/>
      <w:marRight w:val="0"/>
      <w:marTop w:val="0"/>
      <w:marBottom w:val="0"/>
      <w:divBdr>
        <w:top w:val="none" w:sz="0" w:space="0" w:color="auto"/>
        <w:left w:val="none" w:sz="0" w:space="0" w:color="auto"/>
        <w:bottom w:val="none" w:sz="0" w:space="0" w:color="auto"/>
        <w:right w:val="none" w:sz="0" w:space="0" w:color="auto"/>
      </w:divBdr>
    </w:div>
    <w:div w:id="1186290180">
      <w:bodyDiv w:val="1"/>
      <w:marLeft w:val="0"/>
      <w:marRight w:val="0"/>
      <w:marTop w:val="0"/>
      <w:marBottom w:val="0"/>
      <w:divBdr>
        <w:top w:val="none" w:sz="0" w:space="0" w:color="auto"/>
        <w:left w:val="none" w:sz="0" w:space="0" w:color="auto"/>
        <w:bottom w:val="none" w:sz="0" w:space="0" w:color="auto"/>
        <w:right w:val="none" w:sz="0" w:space="0" w:color="auto"/>
      </w:divBdr>
      <w:divsChild>
        <w:div w:id="284427269">
          <w:marLeft w:val="0"/>
          <w:marRight w:val="0"/>
          <w:marTop w:val="0"/>
          <w:marBottom w:val="0"/>
          <w:divBdr>
            <w:top w:val="none" w:sz="0" w:space="0" w:color="auto"/>
            <w:left w:val="none" w:sz="0" w:space="0" w:color="auto"/>
            <w:bottom w:val="none" w:sz="0" w:space="0" w:color="auto"/>
            <w:right w:val="none" w:sz="0" w:space="0" w:color="auto"/>
          </w:divBdr>
          <w:divsChild>
            <w:div w:id="703868324">
              <w:marLeft w:val="0"/>
              <w:marRight w:val="0"/>
              <w:marTop w:val="0"/>
              <w:marBottom w:val="0"/>
              <w:divBdr>
                <w:top w:val="none" w:sz="0" w:space="0" w:color="auto"/>
                <w:left w:val="none" w:sz="0" w:space="0" w:color="auto"/>
                <w:bottom w:val="none" w:sz="0" w:space="0" w:color="auto"/>
                <w:right w:val="none" w:sz="0" w:space="0" w:color="auto"/>
              </w:divBdr>
              <w:divsChild>
                <w:div w:id="2124373693">
                  <w:marLeft w:val="0"/>
                  <w:marRight w:val="0"/>
                  <w:marTop w:val="0"/>
                  <w:marBottom w:val="0"/>
                  <w:divBdr>
                    <w:top w:val="none" w:sz="0" w:space="0" w:color="auto"/>
                    <w:left w:val="none" w:sz="0" w:space="0" w:color="auto"/>
                    <w:bottom w:val="none" w:sz="0" w:space="0" w:color="auto"/>
                    <w:right w:val="none" w:sz="0" w:space="0" w:color="auto"/>
                  </w:divBdr>
                  <w:divsChild>
                    <w:div w:id="174731307">
                      <w:marLeft w:val="0"/>
                      <w:marRight w:val="0"/>
                      <w:marTop w:val="0"/>
                      <w:marBottom w:val="0"/>
                      <w:divBdr>
                        <w:top w:val="none" w:sz="0" w:space="0" w:color="auto"/>
                        <w:left w:val="none" w:sz="0" w:space="0" w:color="auto"/>
                        <w:bottom w:val="none" w:sz="0" w:space="0" w:color="auto"/>
                        <w:right w:val="none" w:sz="0" w:space="0" w:color="auto"/>
                      </w:divBdr>
                      <w:divsChild>
                        <w:div w:id="972366640">
                          <w:marLeft w:val="0"/>
                          <w:marRight w:val="0"/>
                          <w:marTop w:val="0"/>
                          <w:marBottom w:val="0"/>
                          <w:divBdr>
                            <w:top w:val="none" w:sz="0" w:space="0" w:color="auto"/>
                            <w:left w:val="none" w:sz="0" w:space="0" w:color="auto"/>
                            <w:bottom w:val="none" w:sz="0" w:space="0" w:color="auto"/>
                            <w:right w:val="none" w:sz="0" w:space="0" w:color="auto"/>
                          </w:divBdr>
                          <w:divsChild>
                            <w:div w:id="231935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2872591">
      <w:bodyDiv w:val="1"/>
      <w:marLeft w:val="0"/>
      <w:marRight w:val="0"/>
      <w:marTop w:val="0"/>
      <w:marBottom w:val="0"/>
      <w:divBdr>
        <w:top w:val="none" w:sz="0" w:space="0" w:color="auto"/>
        <w:left w:val="none" w:sz="0" w:space="0" w:color="auto"/>
        <w:bottom w:val="none" w:sz="0" w:space="0" w:color="auto"/>
        <w:right w:val="none" w:sz="0" w:space="0" w:color="auto"/>
      </w:divBdr>
    </w:div>
    <w:div w:id="1542131201">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763524345">
      <w:bodyDiv w:val="1"/>
      <w:marLeft w:val="0"/>
      <w:marRight w:val="0"/>
      <w:marTop w:val="0"/>
      <w:marBottom w:val="0"/>
      <w:divBdr>
        <w:top w:val="none" w:sz="0" w:space="0" w:color="auto"/>
        <w:left w:val="none" w:sz="0" w:space="0" w:color="auto"/>
        <w:bottom w:val="none" w:sz="0" w:space="0" w:color="auto"/>
        <w:right w:val="none" w:sz="0" w:space="0" w:color="auto"/>
      </w:divBdr>
    </w:div>
    <w:div w:id="1996881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9A7A97-6AD3-4067-9D77-9149C60780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790B48F7-3083-4E15-A8D8-024E579C455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9125F6F-D924-4D16-818D-8CFE6BDA53FC}">
  <ds:schemaRefs>
    <ds:schemaRef ds:uri="http://schemas.microsoft.com/sharepoint/v3/contenttype/forms"/>
  </ds:schemaRefs>
</ds:datastoreItem>
</file>

<file path=customXml/itemProps4.xml><?xml version="1.0" encoding="utf-8"?>
<ds:datastoreItem xmlns:ds="http://schemas.openxmlformats.org/officeDocument/2006/customXml" ds:itemID="{F8F36D5E-4BC1-4229-B9CC-742E04EA26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6450</Words>
  <Characters>38703</Characters>
  <Application>Microsoft Office Word</Application>
  <DocSecurity>0</DocSecurity>
  <Lines>322</Lines>
  <Paragraphs>90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45063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2020-12-18T14:42:00Z</dcterms:created>
  <dcterms:modified xsi:type="dcterms:W3CDTF">2024-12-16T16:51:00Z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26922/14</vt:lpwstr>
  </property>
  <property fmtid="{D5CDD505-2E9C-101B-9397-08002B2CF9AE}" pid="4" name="CASEID">
    <vt:lpwstr>998658</vt:lpwstr>
  </property>
  <property fmtid="{D5CDD505-2E9C-101B-9397-08002B2CF9AE}" pid="5" name="ContentTypeId">
    <vt:lpwstr>0x010100558EB02BDB9E204AB350EDD385B68E10</vt:lpwstr>
  </property>
</Properties>
</file>