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96C" w:rsidRDefault="00C3796C" w:rsidP="00072DE3">
      <w:pPr>
        <w:pStyle w:val="s6e50bd9a"/>
        <w:spacing w:after="120" w:afterAutospacing="0"/>
        <w:jc w:val="both"/>
        <w:rPr>
          <w:rStyle w:val="s4f807e54"/>
          <w:rFonts w:ascii="Arial" w:hAnsi="Arial" w:cs="Arial"/>
          <w:color w:val="000000"/>
          <w:sz w:val="20"/>
          <w:szCs w:val="20"/>
        </w:rPr>
      </w:pPr>
    </w:p>
    <w:p w:rsidR="00072DE3" w:rsidRDefault="00072DE3" w:rsidP="00072DE3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</w:t>
      </w:r>
    </w:p>
    <w:p w:rsidR="00181F8B" w:rsidRDefault="00181F8B" w:rsidP="00181F8B">
      <w:pPr>
        <w:pStyle w:val="ClinEditionNumber"/>
        <w:jc w:val="center"/>
        <w:rPr>
          <w:lang w:val="pl-PL"/>
        </w:rPr>
      </w:pPr>
      <w:bookmarkStart w:id="0" w:name="_GoBack"/>
      <w:bookmarkEnd w:id="0"/>
      <w:r>
        <w:rPr>
          <w:lang w:val="pl-PL"/>
        </w:rPr>
        <w:t>EUROPEJSKI TRYBUNAŁ PRAW CZŁOWIEKA</w:t>
      </w:r>
    </w:p>
    <w:p w:rsidR="0038036D" w:rsidRPr="00181F8B" w:rsidRDefault="00181F8B" w:rsidP="00181F8B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>o</w:t>
      </w:r>
      <w:r w:rsidRPr="00557F20">
        <w:rPr>
          <w:lang w:val="pl-PL"/>
        </w:rPr>
        <w:t xml:space="preserve">rzecznictwa Trybunału nr </w:t>
      </w:r>
      <w:r w:rsidR="00945EDE" w:rsidRPr="00181F8B">
        <w:rPr>
          <w:lang w:val="pl-PL"/>
        </w:rPr>
        <w:t>200</w:t>
      </w:r>
    </w:p>
    <w:p w:rsidR="0038036D" w:rsidRPr="009420D9" w:rsidRDefault="009420D9">
      <w:pPr>
        <w:pStyle w:val="ClinEditionMonth"/>
        <w:rPr>
          <w:lang w:val="pl-PL"/>
        </w:rPr>
      </w:pPr>
      <w:r w:rsidRPr="009420D9">
        <w:rPr>
          <w:lang w:val="pl-PL"/>
        </w:rPr>
        <w:t>Październik</w:t>
      </w:r>
      <w:r w:rsidR="00945EDE" w:rsidRPr="009420D9">
        <w:rPr>
          <w:lang w:val="pl-PL"/>
        </w:rPr>
        <w:t xml:space="preserve"> 2016</w:t>
      </w:r>
      <w:r w:rsidRPr="009420D9">
        <w:rPr>
          <w:lang w:val="pl-PL"/>
        </w:rPr>
        <w:t xml:space="preserve"> r.</w:t>
      </w:r>
    </w:p>
    <w:p w:rsidR="0038036D" w:rsidRPr="007A47BE" w:rsidRDefault="00945EDE">
      <w:pPr>
        <w:rPr>
          <w:lang w:val="pl-PL"/>
        </w:rPr>
      </w:pPr>
      <w:proofErr w:type="spellStart"/>
      <w:r w:rsidRPr="007A47BE">
        <w:rPr>
          <w:rStyle w:val="ClinCaseTitle"/>
          <w:lang w:val="pl-PL"/>
        </w:rPr>
        <w:t>Muršić</w:t>
      </w:r>
      <w:proofErr w:type="spellEnd"/>
      <w:r w:rsidRPr="007A47BE">
        <w:rPr>
          <w:rStyle w:val="ClinCaseTitle"/>
          <w:lang w:val="pl-PL"/>
        </w:rPr>
        <w:t xml:space="preserve"> </w:t>
      </w:r>
      <w:r w:rsidR="007A47BE" w:rsidRPr="007A47BE">
        <w:rPr>
          <w:rStyle w:val="ClinCaseTitle"/>
          <w:lang w:val="pl-PL"/>
        </w:rPr>
        <w:t>p.</w:t>
      </w:r>
      <w:r w:rsidRPr="007A47BE">
        <w:rPr>
          <w:rStyle w:val="ClinCaseTitle"/>
          <w:lang w:val="pl-PL"/>
        </w:rPr>
        <w:t xml:space="preserve"> C</w:t>
      </w:r>
      <w:r w:rsidR="00A106C1">
        <w:rPr>
          <w:rStyle w:val="ClinCaseTitle"/>
          <w:lang w:val="pl-PL"/>
        </w:rPr>
        <w:t>horwacji</w:t>
      </w:r>
      <w:r w:rsidRPr="007A47BE">
        <w:rPr>
          <w:rStyle w:val="ClinCaseTitle"/>
          <w:lang w:val="pl-PL"/>
        </w:rPr>
        <w:t xml:space="preserve"> </w:t>
      </w:r>
      <w:r w:rsidR="007A47BE" w:rsidRPr="007A47BE">
        <w:rPr>
          <w:rStyle w:val="ClinCaseTitle"/>
          <w:lang w:val="pl-PL"/>
        </w:rPr>
        <w:t>[Wielka Izba]</w:t>
      </w:r>
      <w:r w:rsidRPr="007A47BE">
        <w:rPr>
          <w:rStyle w:val="ClinApplicationNumber"/>
          <w:lang w:val="pl-PL"/>
        </w:rPr>
        <w:t xml:space="preserve"> </w:t>
      </w:r>
      <w:r w:rsidR="009420D9">
        <w:rPr>
          <w:rStyle w:val="ClinApplicationNumber"/>
          <w:lang w:val="pl-PL"/>
        </w:rPr>
        <w:t>–</w:t>
      </w:r>
      <w:r w:rsidRPr="007A47BE">
        <w:rPr>
          <w:rStyle w:val="ClinApplicationNumber"/>
          <w:lang w:val="pl-PL"/>
        </w:rPr>
        <w:t xml:space="preserve"> </w:t>
      </w:r>
      <w:r w:rsidR="009420D9">
        <w:rPr>
          <w:rStyle w:val="ClinApplicationNumber"/>
          <w:lang w:val="pl-PL"/>
        </w:rPr>
        <w:t xml:space="preserve">skarga nr </w:t>
      </w:r>
      <w:r w:rsidRPr="007A47BE">
        <w:rPr>
          <w:rStyle w:val="ClinApplicationNumber"/>
          <w:lang w:val="pl-PL"/>
        </w:rPr>
        <w:t>7334/13</w:t>
      </w:r>
    </w:p>
    <w:p w:rsidR="0038036D" w:rsidRPr="009420D9" w:rsidRDefault="009420D9">
      <w:pPr>
        <w:rPr>
          <w:lang w:val="pl-PL"/>
        </w:rPr>
      </w:pPr>
      <w:r>
        <w:rPr>
          <w:rStyle w:val="ClinHudocDocumentTitle"/>
          <w:lang w:val="pl-PL"/>
        </w:rPr>
        <w:t xml:space="preserve">Wyrok z </w:t>
      </w:r>
      <w:r w:rsidR="00945EDE" w:rsidRPr="009420D9">
        <w:rPr>
          <w:rStyle w:val="ClinHudocDocumentTitle"/>
          <w:lang w:val="pl-PL"/>
        </w:rPr>
        <w:t>20.10.2016</w:t>
      </w:r>
      <w:r>
        <w:rPr>
          <w:rStyle w:val="ClinHudocDocumentTitle"/>
          <w:lang w:val="pl-PL"/>
        </w:rPr>
        <w:t xml:space="preserve"> r.</w:t>
      </w:r>
      <w:r w:rsidR="00945EDE" w:rsidRPr="009420D9">
        <w:rPr>
          <w:rStyle w:val="ClinSectionName"/>
          <w:lang w:val="pl-PL"/>
        </w:rPr>
        <w:t xml:space="preserve"> </w:t>
      </w:r>
      <w:r w:rsidR="007A47BE" w:rsidRPr="009420D9">
        <w:rPr>
          <w:rStyle w:val="ClinSectionName"/>
          <w:lang w:val="pl-PL"/>
        </w:rPr>
        <w:t>[Wielka Izba]</w:t>
      </w:r>
    </w:p>
    <w:p w:rsidR="0038036D" w:rsidRPr="009420D9" w:rsidRDefault="00945EDE">
      <w:pPr>
        <w:pStyle w:val="ClinMainKeywordCode"/>
        <w:rPr>
          <w:lang w:val="pl-PL"/>
        </w:rPr>
      </w:pPr>
      <w:r w:rsidRPr="009420D9">
        <w:rPr>
          <w:lang w:val="pl-PL"/>
        </w:rPr>
        <w:t>Art</w:t>
      </w:r>
      <w:r w:rsidR="007A47BE" w:rsidRPr="009420D9">
        <w:rPr>
          <w:lang w:val="pl-PL"/>
        </w:rPr>
        <w:t>.</w:t>
      </w:r>
      <w:r w:rsidRPr="009420D9">
        <w:rPr>
          <w:lang w:val="pl-PL"/>
        </w:rPr>
        <w:t xml:space="preserve"> 3</w:t>
      </w:r>
    </w:p>
    <w:p w:rsidR="0038036D" w:rsidRPr="009420D9" w:rsidRDefault="00C32751">
      <w:pPr>
        <w:pStyle w:val="ClinKeyword"/>
        <w:rPr>
          <w:lang w:val="pl-PL"/>
        </w:rPr>
      </w:pPr>
      <w:r w:rsidRPr="009420D9">
        <w:rPr>
          <w:lang w:val="pl-PL"/>
        </w:rPr>
        <w:t xml:space="preserve">Poniżające </w:t>
      </w:r>
      <w:r w:rsidR="00F95118" w:rsidRPr="009420D9">
        <w:rPr>
          <w:lang w:val="pl-PL"/>
        </w:rPr>
        <w:t>traktowanie</w:t>
      </w:r>
    </w:p>
    <w:p w:rsidR="00CA55A2" w:rsidRPr="00CA55A2" w:rsidRDefault="00CA55A2" w:rsidP="00801C4A">
      <w:pPr>
        <w:jc w:val="both"/>
        <w:rPr>
          <w:lang w:val="pl-PL"/>
        </w:rPr>
      </w:pPr>
      <w:r>
        <w:rPr>
          <w:lang w:val="pl-PL"/>
        </w:rPr>
        <w:t>Ograniczona</w:t>
      </w:r>
      <w:r w:rsidRPr="00CA55A2">
        <w:rPr>
          <w:lang w:val="pl-PL"/>
        </w:rPr>
        <w:t xml:space="preserve"> </w:t>
      </w:r>
      <w:r>
        <w:rPr>
          <w:lang w:val="pl-PL"/>
        </w:rPr>
        <w:t>przestrzeń przypadająca</w:t>
      </w:r>
      <w:r w:rsidRPr="00CA55A2">
        <w:rPr>
          <w:lang w:val="pl-PL"/>
        </w:rPr>
        <w:t xml:space="preserve"> na więźnia w placówkach więziennych</w:t>
      </w:r>
      <w:r w:rsidR="00826EF6">
        <w:rPr>
          <w:lang w:val="pl-PL"/>
        </w:rPr>
        <w:t xml:space="preserve"> z wieloosobowym zakwaterowaniem</w:t>
      </w:r>
      <w:r>
        <w:rPr>
          <w:lang w:val="pl-PL"/>
        </w:rPr>
        <w:t xml:space="preserve">: </w:t>
      </w:r>
      <w:r w:rsidRPr="00CA55A2">
        <w:rPr>
          <w:i/>
          <w:lang w:val="pl-PL"/>
        </w:rPr>
        <w:t>naruszenie i brak naruszeń</w:t>
      </w:r>
    </w:p>
    <w:p w:rsidR="005F7878" w:rsidRPr="005F7878" w:rsidRDefault="005F7878">
      <w:pPr>
        <w:pStyle w:val="ClinContent"/>
        <w:rPr>
          <w:lang w:val="pl-PL"/>
        </w:rPr>
      </w:pPr>
      <w:r w:rsidRPr="005F7878">
        <w:rPr>
          <w:lang w:val="pl-PL"/>
        </w:rPr>
        <w:t>Fakty – W swojej skardze do Europejskiego Trybunału skarżący skarżył</w:t>
      </w:r>
      <w:r>
        <w:rPr>
          <w:lang w:val="pl-PL"/>
        </w:rPr>
        <w:t xml:space="preserve"> </w:t>
      </w:r>
      <w:r w:rsidRPr="005F7878">
        <w:rPr>
          <w:lang w:val="pl-PL"/>
        </w:rPr>
        <w:t>się na brak przestrzeni osobistej w więzien</w:t>
      </w:r>
      <w:r w:rsidR="001278F4">
        <w:rPr>
          <w:lang w:val="pl-PL"/>
        </w:rPr>
        <w:t>iu</w:t>
      </w:r>
      <w:r w:rsidRPr="005F7878">
        <w:rPr>
          <w:lang w:val="pl-PL"/>
        </w:rPr>
        <w:t>, która niekiedy była mniejsza niż 3 m</w:t>
      </w:r>
      <w:r w:rsidRPr="005F7878">
        <w:rPr>
          <w:vertAlign w:val="superscript"/>
          <w:lang w:val="pl-PL"/>
        </w:rPr>
        <w:t>2</w:t>
      </w:r>
      <w:r w:rsidRPr="005F7878">
        <w:rPr>
          <w:lang w:val="pl-PL"/>
        </w:rPr>
        <w:t>.</w:t>
      </w:r>
    </w:p>
    <w:p w:rsidR="005F7878" w:rsidRPr="005F7878" w:rsidRDefault="005F7878">
      <w:pPr>
        <w:pStyle w:val="ClinContent"/>
        <w:rPr>
          <w:lang w:val="pl-PL"/>
        </w:rPr>
      </w:pPr>
      <w:r w:rsidRPr="005F7878">
        <w:rPr>
          <w:lang w:val="pl-PL"/>
        </w:rPr>
        <w:t xml:space="preserve">W wyroku z 12 marca 2015 r. </w:t>
      </w:r>
      <w:r>
        <w:rPr>
          <w:lang w:val="pl-PL"/>
        </w:rPr>
        <w:t xml:space="preserve">Izba Trybunału, sześcioma głosami do jednego, </w:t>
      </w:r>
      <w:r w:rsidR="00A106C1">
        <w:rPr>
          <w:lang w:val="pl-PL"/>
        </w:rPr>
        <w:t>orzekła</w:t>
      </w:r>
      <w:r>
        <w:rPr>
          <w:lang w:val="pl-PL"/>
        </w:rPr>
        <w:t>, że nie doszło do naruszenia art. 3 Konwencji. W szczególności stwierdziła, że warunki pozbawienia wolności skarżącego, choć nie zawsze odpowiednie, nie osiągnęły poziomu dolegliwości wymaganego, by stanowił</w:t>
      </w:r>
      <w:r w:rsidR="00A97154">
        <w:rPr>
          <w:lang w:val="pl-PL"/>
        </w:rPr>
        <w:t>y</w:t>
      </w:r>
      <w:r>
        <w:rPr>
          <w:lang w:val="pl-PL"/>
        </w:rPr>
        <w:t xml:space="preserve"> nieludzkie lub poniżające traktowanie w rozumieniu art. 3 </w:t>
      </w:r>
      <w:r w:rsidRPr="005F7878">
        <w:rPr>
          <w:lang w:val="pl-PL"/>
        </w:rPr>
        <w:t>(</w:t>
      </w:r>
      <w:r>
        <w:rPr>
          <w:lang w:val="pl-PL"/>
        </w:rPr>
        <w:t>zobacz</w:t>
      </w:r>
      <w:r w:rsidRPr="005F7878">
        <w:rPr>
          <w:lang w:val="pl-PL"/>
        </w:rPr>
        <w:t xml:space="preserve"> </w:t>
      </w:r>
      <w:hyperlink r:id="rId8" w:history="1">
        <w:r w:rsidRPr="005F7878">
          <w:rPr>
            <w:rStyle w:val="Hipercze"/>
            <w:lang w:val="pl-PL"/>
          </w:rPr>
          <w:t>Nota informacyjna nr 183</w:t>
        </w:r>
      </w:hyperlink>
      <w:r w:rsidRPr="00A106C1">
        <w:rPr>
          <w:rStyle w:val="Hipercze"/>
          <w:lang w:val="pl-PL"/>
        </w:rPr>
        <w:t>)</w:t>
      </w:r>
      <w:r>
        <w:rPr>
          <w:lang w:val="pl-PL"/>
        </w:rPr>
        <w:t xml:space="preserve">. </w:t>
      </w:r>
    </w:p>
    <w:p w:rsidR="004B29C2" w:rsidRPr="004B29C2" w:rsidRDefault="004B29C2">
      <w:pPr>
        <w:pStyle w:val="ClinContent"/>
        <w:rPr>
          <w:lang w:val="pl-PL"/>
        </w:rPr>
      </w:pPr>
      <w:r w:rsidRPr="004B29C2">
        <w:rPr>
          <w:lang w:val="pl-PL"/>
        </w:rPr>
        <w:t xml:space="preserve">W dniu 7 lipca 2015 r. sprawa została przekazana do Wielkiej Izby na wniosek skarżącego. </w:t>
      </w:r>
    </w:p>
    <w:p w:rsidR="004B29C2" w:rsidRPr="004B29C2" w:rsidRDefault="004B29C2">
      <w:pPr>
        <w:pStyle w:val="ClinContent"/>
        <w:rPr>
          <w:lang w:val="pl-PL"/>
        </w:rPr>
      </w:pPr>
      <w:r w:rsidRPr="004B29C2">
        <w:rPr>
          <w:i/>
          <w:lang w:val="pl-PL"/>
        </w:rPr>
        <w:t xml:space="preserve">Prawo – </w:t>
      </w:r>
      <w:r w:rsidRPr="004B29C2">
        <w:rPr>
          <w:lang w:val="pl-PL"/>
        </w:rPr>
        <w:t xml:space="preserve">Art. 3: Ocena przez Trybunał, czy doszło do naruszenia art. </w:t>
      </w:r>
      <w:r>
        <w:rPr>
          <w:lang w:val="pl-PL"/>
        </w:rPr>
        <w:t>3 Konwencji</w:t>
      </w:r>
      <w:r w:rsidR="003B4228">
        <w:rPr>
          <w:lang w:val="pl-PL"/>
        </w:rPr>
        <w:t>,</w:t>
      </w:r>
      <w:r>
        <w:rPr>
          <w:lang w:val="pl-PL"/>
        </w:rPr>
        <w:t xml:space="preserve"> nie może być ograniczona do wyliczenia liczby metrów kwadratowych przypadających na osadzonego. Takie podejście ignorowałoby fakt, że w praktyce tylko całościowe podejście do konkretnych warunków pozbawienia wolności może zapewnić dokładny obraz rzeczywistej sytuacji więźniów. </w:t>
      </w:r>
    </w:p>
    <w:p w:rsidR="004B29C2" w:rsidRPr="00826EF6" w:rsidRDefault="004B29C2">
      <w:pPr>
        <w:pStyle w:val="ClinContent"/>
        <w:rPr>
          <w:lang w:val="pl-PL"/>
        </w:rPr>
      </w:pPr>
      <w:r w:rsidRPr="004B29C2">
        <w:rPr>
          <w:lang w:val="pl-PL"/>
        </w:rPr>
        <w:t>Jednakże, gdy przestrzeń osobista na osadzonego</w:t>
      </w:r>
      <w:r w:rsidR="008F09B0">
        <w:rPr>
          <w:lang w:val="pl-PL"/>
        </w:rPr>
        <w:t xml:space="preserve"> </w:t>
      </w:r>
      <w:r w:rsidR="00DA329F">
        <w:rPr>
          <w:lang w:val="pl-PL"/>
        </w:rPr>
        <w:t>wynosiła</w:t>
      </w:r>
      <w:r w:rsidR="001278F4">
        <w:rPr>
          <w:lang w:val="pl-PL"/>
        </w:rPr>
        <w:t xml:space="preserve"> </w:t>
      </w:r>
      <w:r>
        <w:rPr>
          <w:lang w:val="pl-PL"/>
        </w:rPr>
        <w:t xml:space="preserve">poniżej 3 </w:t>
      </w:r>
      <w:r w:rsidRPr="005F7878">
        <w:rPr>
          <w:lang w:val="pl-PL"/>
        </w:rPr>
        <w:t>m</w:t>
      </w:r>
      <w:r w:rsidRPr="005F7878">
        <w:rPr>
          <w:vertAlign w:val="superscript"/>
          <w:lang w:val="pl-PL"/>
        </w:rPr>
        <w:t>2</w:t>
      </w:r>
      <w:r>
        <w:rPr>
          <w:lang w:val="pl-PL"/>
        </w:rPr>
        <w:t xml:space="preserve"> powierzchni podłogowej w wieloosobowych miejscach zakwaterowania w więzieniach, brak osobistej przestrzeni </w:t>
      </w:r>
      <w:r w:rsidR="008F09B0">
        <w:rPr>
          <w:lang w:val="pl-PL"/>
        </w:rPr>
        <w:t xml:space="preserve">jest </w:t>
      </w:r>
      <w:r>
        <w:rPr>
          <w:lang w:val="pl-PL"/>
        </w:rPr>
        <w:t xml:space="preserve">traktowany jako tak dotkliwy, że pojawia się </w:t>
      </w:r>
      <w:r w:rsidR="00826EF6">
        <w:rPr>
          <w:lang w:val="pl-PL"/>
        </w:rPr>
        <w:t>silne</w:t>
      </w:r>
      <w:r>
        <w:rPr>
          <w:lang w:val="pl-PL"/>
        </w:rPr>
        <w:t xml:space="preserve"> domniemane naruszenia art. 3. </w:t>
      </w:r>
      <w:r w:rsidR="00826EF6">
        <w:rPr>
          <w:lang w:val="pl-PL"/>
        </w:rPr>
        <w:t>Ciężar dowodu spoczywa</w:t>
      </w:r>
      <w:r w:rsidR="00DA329F">
        <w:rPr>
          <w:lang w:val="pl-PL"/>
        </w:rPr>
        <w:t xml:space="preserve"> </w:t>
      </w:r>
      <w:r w:rsidR="00826EF6">
        <w:rPr>
          <w:lang w:val="pl-PL"/>
        </w:rPr>
        <w:t>na pozwanym rządzie, który m</w:t>
      </w:r>
      <w:r w:rsidR="008F09B0">
        <w:rPr>
          <w:lang w:val="pl-PL"/>
        </w:rPr>
        <w:t>oże</w:t>
      </w:r>
      <w:r w:rsidR="00826EF6">
        <w:rPr>
          <w:lang w:val="pl-PL"/>
        </w:rPr>
        <w:t xml:space="preserve"> obalić to domniemanie poprzez wykazanie, że zachodziły czynniki</w:t>
      </w:r>
      <w:r w:rsidR="008F09B0">
        <w:rPr>
          <w:lang w:val="pl-PL"/>
        </w:rPr>
        <w:t xml:space="preserve"> będące w stanie</w:t>
      </w:r>
      <w:r w:rsidR="00826EF6">
        <w:rPr>
          <w:lang w:val="pl-PL"/>
        </w:rPr>
        <w:t xml:space="preserve"> w adekwatny sposób zrekompensować przydzielenie niewielkiej przestrzeni</w:t>
      </w:r>
      <w:r w:rsidR="008F09B0" w:rsidRPr="008F09B0">
        <w:rPr>
          <w:lang w:val="pl-PL"/>
        </w:rPr>
        <w:t xml:space="preserve"> </w:t>
      </w:r>
      <w:r w:rsidR="008F09B0">
        <w:rPr>
          <w:lang w:val="pl-PL"/>
        </w:rPr>
        <w:t>osobistej</w:t>
      </w:r>
      <w:r w:rsidR="00826EF6">
        <w:rPr>
          <w:lang w:val="pl-PL"/>
        </w:rPr>
        <w:t xml:space="preserve">. Silne domniemanie naruszenia może być obalone </w:t>
      </w:r>
      <w:r w:rsidR="008F09B0">
        <w:rPr>
          <w:lang w:val="pl-PL"/>
        </w:rPr>
        <w:t xml:space="preserve">co do zasady </w:t>
      </w:r>
      <w:r w:rsidR="00826EF6">
        <w:rPr>
          <w:lang w:val="pl-PL"/>
        </w:rPr>
        <w:t xml:space="preserve">jedynie, jeśli </w:t>
      </w:r>
      <w:r w:rsidR="00BD308E">
        <w:rPr>
          <w:lang w:val="pl-PL"/>
        </w:rPr>
        <w:t xml:space="preserve">wystąpiłyby </w:t>
      </w:r>
      <w:r w:rsidR="00826EF6">
        <w:rPr>
          <w:lang w:val="pl-PL"/>
        </w:rPr>
        <w:t xml:space="preserve">łącznie następujące czynniki: </w:t>
      </w:r>
      <w:r w:rsidR="001278F4">
        <w:rPr>
          <w:lang w:val="pl-PL"/>
        </w:rPr>
        <w:t xml:space="preserve">okresy </w:t>
      </w:r>
      <w:r w:rsidR="00826EF6">
        <w:rPr>
          <w:lang w:val="pl-PL"/>
        </w:rPr>
        <w:t xml:space="preserve">ograniczenia wymaganej minimalnej przestrzeni osobistej 3 </w:t>
      </w:r>
      <w:r w:rsidR="00826EF6" w:rsidRPr="005F7878">
        <w:rPr>
          <w:lang w:val="pl-PL"/>
        </w:rPr>
        <w:t>m</w:t>
      </w:r>
      <w:r w:rsidR="00826EF6" w:rsidRPr="005F7878">
        <w:rPr>
          <w:vertAlign w:val="superscript"/>
          <w:lang w:val="pl-PL"/>
        </w:rPr>
        <w:t>2</w:t>
      </w:r>
      <w:r w:rsidR="00826EF6">
        <w:rPr>
          <w:vertAlign w:val="superscript"/>
          <w:lang w:val="pl-PL"/>
        </w:rPr>
        <w:t xml:space="preserve"> </w:t>
      </w:r>
      <w:r w:rsidR="00826EF6">
        <w:rPr>
          <w:lang w:val="pl-PL"/>
        </w:rPr>
        <w:t xml:space="preserve">były krótkie, okazjonalne i </w:t>
      </w:r>
      <w:r w:rsidR="00BD308E">
        <w:rPr>
          <w:lang w:val="pl-PL"/>
        </w:rPr>
        <w:t>nieznaczne</w:t>
      </w:r>
      <w:r w:rsidR="00826EF6">
        <w:rPr>
          <w:lang w:val="pl-PL"/>
        </w:rPr>
        <w:t xml:space="preserve">; ograniczeniom takim towarzyszyła wystarczająca swoboda poruszania się i adekwatne zajęcia poza celą; skarżący umieszczony był w </w:t>
      </w:r>
      <w:r w:rsidR="008F09B0">
        <w:rPr>
          <w:lang w:val="pl-PL"/>
        </w:rPr>
        <w:t xml:space="preserve">placówce penitencjarnej </w:t>
      </w:r>
      <w:r w:rsidR="001278F4">
        <w:rPr>
          <w:lang w:val="pl-PL"/>
        </w:rPr>
        <w:t xml:space="preserve">o ogólnym odpowiednim standardzie </w:t>
      </w:r>
      <w:r w:rsidR="00826EF6">
        <w:rPr>
          <w:lang w:val="pl-PL"/>
        </w:rPr>
        <w:t xml:space="preserve">i nie zachodziły dodatkowe </w:t>
      </w:r>
      <w:r w:rsidR="001278F4">
        <w:rPr>
          <w:lang w:val="pl-PL"/>
        </w:rPr>
        <w:t>czynniki pogarszające</w:t>
      </w:r>
      <w:r w:rsidR="00826EF6">
        <w:rPr>
          <w:lang w:val="pl-PL"/>
        </w:rPr>
        <w:t xml:space="preserve"> warunk</w:t>
      </w:r>
      <w:r w:rsidR="001278F4">
        <w:rPr>
          <w:lang w:val="pl-PL"/>
        </w:rPr>
        <w:t>i</w:t>
      </w:r>
      <w:r w:rsidR="00826EF6">
        <w:rPr>
          <w:lang w:val="pl-PL"/>
        </w:rPr>
        <w:t xml:space="preserve"> jego pozbawienia wolności.</w:t>
      </w:r>
    </w:p>
    <w:p w:rsidR="00826EF6" w:rsidRPr="00826EF6" w:rsidRDefault="00826EF6">
      <w:pPr>
        <w:pStyle w:val="ClinContent"/>
        <w:rPr>
          <w:lang w:val="pl-PL"/>
        </w:rPr>
      </w:pPr>
      <w:r w:rsidRPr="00826EF6">
        <w:rPr>
          <w:lang w:val="pl-PL"/>
        </w:rPr>
        <w:lastRenderedPageBreak/>
        <w:t>W spr</w:t>
      </w:r>
      <w:r>
        <w:rPr>
          <w:lang w:val="pl-PL"/>
        </w:rPr>
        <w:t>a</w:t>
      </w:r>
      <w:r w:rsidRPr="00826EF6">
        <w:rPr>
          <w:lang w:val="pl-PL"/>
        </w:rPr>
        <w:t xml:space="preserve">wach, w których </w:t>
      </w:r>
      <w:r>
        <w:rPr>
          <w:lang w:val="pl-PL"/>
        </w:rPr>
        <w:t>w grę wchodz</w:t>
      </w:r>
      <w:r w:rsidRPr="008F09B0">
        <w:rPr>
          <w:lang w:val="pl-PL"/>
        </w:rPr>
        <w:t>iła</w:t>
      </w:r>
      <w:r>
        <w:rPr>
          <w:lang w:val="pl-PL"/>
        </w:rPr>
        <w:t xml:space="preserve"> </w:t>
      </w:r>
      <w:r w:rsidRPr="00826EF6">
        <w:rPr>
          <w:lang w:val="pl-PL"/>
        </w:rPr>
        <w:t xml:space="preserve">cela więzienna mierząca od 3 do 4 </w:t>
      </w:r>
      <w:r w:rsidRPr="005F7878">
        <w:rPr>
          <w:lang w:val="pl-PL"/>
        </w:rPr>
        <w:t>m</w:t>
      </w:r>
      <w:r w:rsidRPr="005F7878">
        <w:rPr>
          <w:vertAlign w:val="superscript"/>
          <w:lang w:val="pl-PL"/>
        </w:rPr>
        <w:t>2</w:t>
      </w:r>
      <w:r>
        <w:rPr>
          <w:vertAlign w:val="superscript"/>
          <w:lang w:val="pl-PL"/>
        </w:rPr>
        <w:t xml:space="preserve"> </w:t>
      </w:r>
      <w:r w:rsidRPr="00826EF6">
        <w:rPr>
          <w:lang w:val="pl-PL"/>
        </w:rPr>
        <w:t xml:space="preserve">przestrzeni </w:t>
      </w:r>
      <w:r>
        <w:rPr>
          <w:lang w:val="pl-PL"/>
        </w:rPr>
        <w:t>osobistej na osadzonego, przestrzeń pozostawał</w:t>
      </w:r>
      <w:r w:rsidR="008F09B0">
        <w:rPr>
          <w:lang w:val="pl-PL"/>
        </w:rPr>
        <w:t>a</w:t>
      </w:r>
      <w:r>
        <w:rPr>
          <w:lang w:val="pl-PL"/>
        </w:rPr>
        <w:t xml:space="preserve"> istotnym czynnikiem dla oceny </w:t>
      </w:r>
      <w:r w:rsidR="008F09B0">
        <w:rPr>
          <w:lang w:val="pl-PL"/>
        </w:rPr>
        <w:t xml:space="preserve">przez Trybunał </w:t>
      </w:r>
      <w:r>
        <w:rPr>
          <w:lang w:val="pl-PL"/>
        </w:rPr>
        <w:t>adekwatności warunków pozbawienia wolności. W takich przypadkach naruszenie art. 3</w:t>
      </w:r>
      <w:r w:rsidR="001278F4">
        <w:rPr>
          <w:lang w:val="pl-PL"/>
        </w:rPr>
        <w:t xml:space="preserve"> będzie stwierdzone</w:t>
      </w:r>
      <w:r>
        <w:rPr>
          <w:lang w:val="pl-PL"/>
        </w:rPr>
        <w:t>, jeśli na czynnik przestrzeni nakładały się jeszcze innego aspekty niewłaściwych fizycznych warunków pozbawienia wolności dotycząc</w:t>
      </w:r>
      <w:r w:rsidR="008F09B0">
        <w:rPr>
          <w:lang w:val="pl-PL"/>
        </w:rPr>
        <w:t>e</w:t>
      </w:r>
      <w:r>
        <w:rPr>
          <w:lang w:val="pl-PL"/>
        </w:rPr>
        <w:t xml:space="preserve">, w szczególności, dostępu do ćwiczeń na </w:t>
      </w:r>
      <w:r w:rsidR="001278F4">
        <w:rPr>
          <w:lang w:val="pl-PL"/>
        </w:rPr>
        <w:t xml:space="preserve">świeżym </w:t>
      </w:r>
      <w:r w:rsidR="008F09B0">
        <w:rPr>
          <w:lang w:val="pl-PL"/>
        </w:rPr>
        <w:t>powietrzu</w:t>
      </w:r>
      <w:r>
        <w:rPr>
          <w:lang w:val="pl-PL"/>
        </w:rPr>
        <w:t xml:space="preserve">, </w:t>
      </w:r>
      <w:r w:rsidR="001278F4">
        <w:rPr>
          <w:lang w:val="pl-PL"/>
        </w:rPr>
        <w:t xml:space="preserve">naturalnego </w:t>
      </w:r>
      <w:r>
        <w:rPr>
          <w:lang w:val="pl-PL"/>
        </w:rPr>
        <w:t>światła i powietrza, dostępności wentylacji</w:t>
      </w:r>
      <w:r w:rsidR="008F09B0">
        <w:rPr>
          <w:lang w:val="pl-PL"/>
        </w:rPr>
        <w:t>,</w:t>
      </w:r>
      <w:r>
        <w:rPr>
          <w:lang w:val="pl-PL"/>
        </w:rPr>
        <w:t xml:space="preserve"> odpowiedniej temperatury pokojowej, możliwości korzystania z toalety w sposób zapewniający prywatność oraz </w:t>
      </w:r>
      <w:r w:rsidR="008F09B0">
        <w:rPr>
          <w:lang w:val="pl-PL"/>
        </w:rPr>
        <w:t xml:space="preserve">dotyczące </w:t>
      </w:r>
      <w:r>
        <w:rPr>
          <w:lang w:val="pl-PL"/>
        </w:rPr>
        <w:t>zgodności z podstawowymi wymogami sanitarnymi i higienicznymi.</w:t>
      </w:r>
    </w:p>
    <w:p w:rsidR="00826EF6" w:rsidRPr="00826EF6" w:rsidRDefault="00826EF6">
      <w:pPr>
        <w:pStyle w:val="ClinContent"/>
        <w:rPr>
          <w:lang w:val="pl-PL"/>
        </w:rPr>
      </w:pPr>
      <w:r w:rsidRPr="00826EF6">
        <w:rPr>
          <w:lang w:val="pl-PL"/>
        </w:rPr>
        <w:t xml:space="preserve">W przypadkach, w których osadzony dysponował więcej niż 4 </w:t>
      </w:r>
      <w:r w:rsidRPr="005F7878">
        <w:rPr>
          <w:lang w:val="pl-PL"/>
        </w:rPr>
        <w:t>m</w:t>
      </w:r>
      <w:r w:rsidRPr="005F7878">
        <w:rPr>
          <w:vertAlign w:val="superscript"/>
          <w:lang w:val="pl-PL"/>
        </w:rPr>
        <w:t>2</w:t>
      </w:r>
      <w:r>
        <w:rPr>
          <w:vertAlign w:val="superscript"/>
          <w:lang w:val="pl-PL"/>
        </w:rPr>
        <w:t xml:space="preserve"> </w:t>
      </w:r>
      <w:r w:rsidRPr="00826EF6">
        <w:rPr>
          <w:lang w:val="pl-PL"/>
        </w:rPr>
        <w:t xml:space="preserve">przestrzeni </w:t>
      </w:r>
      <w:r>
        <w:rPr>
          <w:lang w:val="pl-PL"/>
        </w:rPr>
        <w:t>osobistej w placówce więziennej z wieloosobowym zakwaterowaniem</w:t>
      </w:r>
      <w:r w:rsidR="00846E27">
        <w:rPr>
          <w:lang w:val="pl-PL"/>
        </w:rPr>
        <w:t xml:space="preserve">, a więc w przypadkach, gdy nie </w:t>
      </w:r>
      <w:r w:rsidR="001278F4">
        <w:rPr>
          <w:lang w:val="pl-PL"/>
        </w:rPr>
        <w:t>występował problem</w:t>
      </w:r>
      <w:r w:rsidR="00846E27">
        <w:rPr>
          <w:lang w:val="pl-PL"/>
        </w:rPr>
        <w:t xml:space="preserve"> przestrzeni osobistej, </w:t>
      </w:r>
      <w:r w:rsidR="009734F7">
        <w:rPr>
          <w:lang w:val="pl-PL"/>
        </w:rPr>
        <w:t xml:space="preserve">inne aspekty fizycznych warunków pozbawienia wolności </w:t>
      </w:r>
      <w:r w:rsidR="003B4228">
        <w:rPr>
          <w:lang w:val="pl-PL"/>
        </w:rPr>
        <w:t>pozostają</w:t>
      </w:r>
      <w:r w:rsidR="009734F7">
        <w:rPr>
          <w:lang w:val="pl-PL"/>
        </w:rPr>
        <w:t xml:space="preserve"> istotne dla Trybunału </w:t>
      </w:r>
      <w:r w:rsidR="00DA329F">
        <w:rPr>
          <w:lang w:val="pl-PL"/>
        </w:rPr>
        <w:t>do oceny,</w:t>
      </w:r>
      <w:r w:rsidR="009734F7">
        <w:rPr>
          <w:lang w:val="pl-PL"/>
        </w:rPr>
        <w:t xml:space="preserve"> czy </w:t>
      </w:r>
      <w:r w:rsidR="00846E27">
        <w:rPr>
          <w:lang w:val="pl-PL"/>
        </w:rPr>
        <w:t xml:space="preserve">warunki pozbawienia skarżącego wolności były odpowiednie. </w:t>
      </w:r>
    </w:p>
    <w:p w:rsidR="00846E27" w:rsidRPr="00846E27" w:rsidRDefault="00846E27">
      <w:pPr>
        <w:pStyle w:val="ClinContent"/>
        <w:rPr>
          <w:lang w:val="pl-PL"/>
        </w:rPr>
      </w:pPr>
      <w:r w:rsidRPr="00846E27">
        <w:rPr>
          <w:lang w:val="pl-PL"/>
        </w:rPr>
        <w:t xml:space="preserve">Skarżący bywał niekiedy umieszczony w celach, które </w:t>
      </w:r>
      <w:r w:rsidR="001278F4">
        <w:rPr>
          <w:lang w:val="pl-PL"/>
        </w:rPr>
        <w:t xml:space="preserve">liczyły </w:t>
      </w:r>
      <w:r>
        <w:rPr>
          <w:lang w:val="pl-PL"/>
        </w:rPr>
        <w:t xml:space="preserve">poniżej 3 </w:t>
      </w:r>
      <w:r w:rsidRPr="005F7878">
        <w:rPr>
          <w:lang w:val="pl-PL"/>
        </w:rPr>
        <w:t>m</w:t>
      </w:r>
      <w:r w:rsidRPr="005F7878">
        <w:rPr>
          <w:vertAlign w:val="superscript"/>
          <w:lang w:val="pl-PL"/>
        </w:rPr>
        <w:t>2</w:t>
      </w:r>
      <w:r>
        <w:rPr>
          <w:vertAlign w:val="superscript"/>
          <w:lang w:val="pl-PL"/>
        </w:rPr>
        <w:t xml:space="preserve"> </w:t>
      </w:r>
      <w:r w:rsidRPr="00846E27">
        <w:rPr>
          <w:lang w:val="pl-PL"/>
        </w:rPr>
        <w:t xml:space="preserve">i </w:t>
      </w:r>
      <w:r>
        <w:rPr>
          <w:lang w:val="pl-PL"/>
        </w:rPr>
        <w:t>z tego względu istniało silne domniemanie naruszenia art. 3. W odniesieniu do jednej sytuacji</w:t>
      </w:r>
      <w:r w:rsidR="003B4228">
        <w:rPr>
          <w:lang w:val="pl-PL"/>
        </w:rPr>
        <w:t>,</w:t>
      </w:r>
      <w:r>
        <w:rPr>
          <w:lang w:val="pl-PL"/>
        </w:rPr>
        <w:t xml:space="preserve"> trwającej 27 dni, nie można było zakwestionować silnego domniemania naruszenia. Warunki pozbawienia wolności skarżącego w tym okresie naraziły go na </w:t>
      </w:r>
      <w:r w:rsidR="001278F4">
        <w:rPr>
          <w:lang w:val="pl-PL"/>
        </w:rPr>
        <w:t xml:space="preserve">znaczną uciążliwość </w:t>
      </w:r>
      <w:r>
        <w:rPr>
          <w:lang w:val="pl-PL"/>
        </w:rPr>
        <w:t xml:space="preserve">przekraczającą nieunikniony poziom cierpienia nieodłącznie związany z pozbawieniem wolności, stanowiły zatem poniżające traktowanie zakazane przez art. 3. W odniesieniu do innych okresów, w których do dyspozycji skarżącego było mniej niż 3 </w:t>
      </w:r>
      <w:r w:rsidRPr="005F7878">
        <w:rPr>
          <w:lang w:val="pl-PL"/>
        </w:rPr>
        <w:t>m</w:t>
      </w:r>
      <w:r w:rsidRPr="005F7878">
        <w:rPr>
          <w:vertAlign w:val="superscript"/>
          <w:lang w:val="pl-PL"/>
        </w:rPr>
        <w:t>2</w:t>
      </w:r>
      <w:r>
        <w:rPr>
          <w:vertAlign w:val="superscript"/>
          <w:lang w:val="pl-PL"/>
        </w:rPr>
        <w:t xml:space="preserve"> </w:t>
      </w:r>
      <w:r w:rsidRPr="00826EF6">
        <w:rPr>
          <w:lang w:val="pl-PL"/>
        </w:rPr>
        <w:t xml:space="preserve">przestrzeni </w:t>
      </w:r>
      <w:r>
        <w:rPr>
          <w:lang w:val="pl-PL"/>
        </w:rPr>
        <w:t xml:space="preserve">osobistej, rząd obalił silne domniemanie naruszenia. Skarżący </w:t>
      </w:r>
      <w:r w:rsidR="001278F4">
        <w:rPr>
          <w:lang w:val="pl-PL"/>
        </w:rPr>
        <w:t>przebywał</w:t>
      </w:r>
      <w:r>
        <w:rPr>
          <w:lang w:val="pl-PL"/>
        </w:rPr>
        <w:t xml:space="preserve"> w ogólnie odpowiednich warunkach, okresy takie nie następowały po sobie i mogły być uznane za krótkie i niewielkie ograniczenia przestrzeni osobistej, w czasie których skarżący miał dostateczną swobodę poruszania się</w:t>
      </w:r>
      <w:r w:rsidR="006A39B2">
        <w:rPr>
          <w:lang w:val="pl-PL"/>
        </w:rPr>
        <w:t>,</w:t>
      </w:r>
      <w:r>
        <w:rPr>
          <w:lang w:val="pl-PL"/>
        </w:rPr>
        <w:t xml:space="preserve"> a do dyspozycji zajęcia poza celą – z tego względu Trybunał uznał, że okresy te nie stanowiły poniżającego traktowania zakazanego przez art. 3 Konwencji. Warunki pozbawienia wolności skarżącego w czasie, gdy dysponował on od 3 do 4 m</w:t>
      </w:r>
      <w:r w:rsidRPr="005F7878">
        <w:rPr>
          <w:vertAlign w:val="superscript"/>
          <w:lang w:val="pl-PL"/>
        </w:rPr>
        <w:t>2</w:t>
      </w:r>
      <w:r>
        <w:rPr>
          <w:vertAlign w:val="superscript"/>
          <w:lang w:val="pl-PL"/>
        </w:rPr>
        <w:t xml:space="preserve"> </w:t>
      </w:r>
      <w:r w:rsidRPr="00826EF6">
        <w:rPr>
          <w:lang w:val="pl-PL"/>
        </w:rPr>
        <w:t xml:space="preserve">przestrzeni </w:t>
      </w:r>
      <w:r>
        <w:rPr>
          <w:lang w:val="pl-PL"/>
        </w:rPr>
        <w:t>osobistej</w:t>
      </w:r>
      <w:r w:rsidR="005F293A">
        <w:rPr>
          <w:lang w:val="pl-PL"/>
        </w:rPr>
        <w:t>,</w:t>
      </w:r>
      <w:r>
        <w:rPr>
          <w:lang w:val="pl-PL"/>
        </w:rPr>
        <w:t xml:space="preserve"> nie stanowiły nieludzkiego lub poniżającego traktowania. </w:t>
      </w:r>
    </w:p>
    <w:p w:rsidR="00846E27" w:rsidRPr="006A39B2" w:rsidRDefault="00846E27">
      <w:pPr>
        <w:pStyle w:val="ClinContent"/>
        <w:rPr>
          <w:i/>
          <w:lang w:val="pl-PL"/>
        </w:rPr>
      </w:pPr>
      <w:r w:rsidRPr="006A39B2">
        <w:rPr>
          <w:i/>
          <w:lang w:val="pl-PL"/>
        </w:rPr>
        <w:t>Rozstrzygnięcia:</w:t>
      </w:r>
    </w:p>
    <w:p w:rsidR="00846E27" w:rsidRPr="00846E27" w:rsidRDefault="00846E27">
      <w:pPr>
        <w:pStyle w:val="ClinContent"/>
        <w:rPr>
          <w:lang w:val="pl-PL"/>
        </w:rPr>
      </w:pPr>
      <w:r w:rsidRPr="00846E27">
        <w:rPr>
          <w:lang w:val="pl-PL"/>
        </w:rPr>
        <w:t xml:space="preserve">–  naruszenie w odniesieniu do </w:t>
      </w:r>
      <w:r w:rsidR="003A02EC">
        <w:rPr>
          <w:lang w:val="pl-PL"/>
        </w:rPr>
        <w:t>o</w:t>
      </w:r>
      <w:r w:rsidRPr="00846E27">
        <w:rPr>
          <w:lang w:val="pl-PL"/>
        </w:rPr>
        <w:t xml:space="preserve">kresu 27 dni, w </w:t>
      </w:r>
      <w:r>
        <w:rPr>
          <w:lang w:val="pl-PL"/>
        </w:rPr>
        <w:t>czasie któr</w:t>
      </w:r>
      <w:r w:rsidR="005F293A">
        <w:rPr>
          <w:lang w:val="pl-PL"/>
        </w:rPr>
        <w:t>ego</w:t>
      </w:r>
      <w:r>
        <w:rPr>
          <w:lang w:val="pl-PL"/>
        </w:rPr>
        <w:t xml:space="preserve"> do dyspozycji skarżącego było mniej niż 3 m</w:t>
      </w:r>
      <w:r w:rsidRPr="005F7878">
        <w:rPr>
          <w:vertAlign w:val="superscript"/>
          <w:lang w:val="pl-PL"/>
        </w:rPr>
        <w:t>2</w:t>
      </w:r>
      <w:r>
        <w:rPr>
          <w:vertAlign w:val="superscript"/>
          <w:lang w:val="pl-PL"/>
        </w:rPr>
        <w:t xml:space="preserve"> </w:t>
      </w:r>
      <w:r w:rsidRPr="00826EF6">
        <w:rPr>
          <w:lang w:val="pl-PL"/>
        </w:rPr>
        <w:t xml:space="preserve">przestrzeni </w:t>
      </w:r>
      <w:r>
        <w:rPr>
          <w:lang w:val="pl-PL"/>
        </w:rPr>
        <w:t>osobistej (jednomyślnie)</w:t>
      </w:r>
      <w:r w:rsidR="001278F4">
        <w:rPr>
          <w:lang w:val="pl-PL"/>
        </w:rPr>
        <w:t>;</w:t>
      </w:r>
    </w:p>
    <w:p w:rsidR="00846E27" w:rsidRPr="00846E27" w:rsidRDefault="00846E27">
      <w:pPr>
        <w:pStyle w:val="ClinContent"/>
        <w:rPr>
          <w:lang w:val="pl-PL"/>
        </w:rPr>
      </w:pPr>
      <w:r w:rsidRPr="00846E27">
        <w:rPr>
          <w:lang w:val="pl-PL"/>
        </w:rPr>
        <w:t xml:space="preserve">–  brak naruszenia w </w:t>
      </w:r>
      <w:r w:rsidR="003A02EC" w:rsidRPr="00846E27">
        <w:rPr>
          <w:lang w:val="pl-PL"/>
        </w:rPr>
        <w:t>odniesieniu</w:t>
      </w:r>
      <w:r w:rsidRPr="00846E27">
        <w:rPr>
          <w:lang w:val="pl-PL"/>
        </w:rPr>
        <w:t xml:space="preserve"> do pozostałych, nie następujących po sobie</w:t>
      </w:r>
      <w:r w:rsidR="003A02EC">
        <w:rPr>
          <w:lang w:val="pl-PL"/>
        </w:rPr>
        <w:t>,</w:t>
      </w:r>
      <w:r w:rsidRPr="00846E27">
        <w:rPr>
          <w:lang w:val="pl-PL"/>
        </w:rPr>
        <w:t xml:space="preserve"> okresów, w których </w:t>
      </w:r>
      <w:r>
        <w:rPr>
          <w:lang w:val="pl-PL"/>
        </w:rPr>
        <w:t>do dyspozycji skarżącego było mniej niż 3 m</w:t>
      </w:r>
      <w:r w:rsidRPr="005F7878">
        <w:rPr>
          <w:vertAlign w:val="superscript"/>
          <w:lang w:val="pl-PL"/>
        </w:rPr>
        <w:t>2</w:t>
      </w:r>
      <w:r>
        <w:rPr>
          <w:vertAlign w:val="superscript"/>
          <w:lang w:val="pl-PL"/>
        </w:rPr>
        <w:t xml:space="preserve"> </w:t>
      </w:r>
      <w:r w:rsidRPr="00826EF6">
        <w:rPr>
          <w:lang w:val="pl-PL"/>
        </w:rPr>
        <w:t xml:space="preserve">przestrzeni </w:t>
      </w:r>
      <w:r>
        <w:rPr>
          <w:lang w:val="pl-PL"/>
        </w:rPr>
        <w:t>osobistej</w:t>
      </w:r>
      <w:r w:rsidR="002817CD">
        <w:rPr>
          <w:lang w:val="pl-PL"/>
        </w:rPr>
        <w:t xml:space="preserve"> (dziesięcioma głosami do siedmiu)</w:t>
      </w:r>
      <w:r w:rsidR="001278F4">
        <w:rPr>
          <w:lang w:val="pl-PL"/>
        </w:rPr>
        <w:t>;</w:t>
      </w:r>
    </w:p>
    <w:p w:rsidR="002817CD" w:rsidRPr="00846E27" w:rsidRDefault="00846E27" w:rsidP="002817CD">
      <w:pPr>
        <w:pStyle w:val="ClinContent"/>
        <w:rPr>
          <w:lang w:val="pl-PL"/>
        </w:rPr>
      </w:pPr>
      <w:r w:rsidRPr="002817CD">
        <w:rPr>
          <w:lang w:val="pl-PL"/>
        </w:rPr>
        <w:t>–  </w:t>
      </w:r>
      <w:r w:rsidR="003A02EC">
        <w:rPr>
          <w:lang w:val="pl-PL"/>
        </w:rPr>
        <w:t xml:space="preserve">brak naruszenia w odniesieniu </w:t>
      </w:r>
      <w:r w:rsidR="002817CD" w:rsidRPr="00846E27">
        <w:rPr>
          <w:lang w:val="pl-PL"/>
        </w:rPr>
        <w:t xml:space="preserve">do </w:t>
      </w:r>
      <w:r w:rsidR="002817CD">
        <w:rPr>
          <w:lang w:val="pl-PL"/>
        </w:rPr>
        <w:t>okresów</w:t>
      </w:r>
      <w:r w:rsidR="002817CD" w:rsidRPr="00846E27">
        <w:rPr>
          <w:lang w:val="pl-PL"/>
        </w:rPr>
        <w:t xml:space="preserve">, </w:t>
      </w:r>
      <w:r w:rsidR="002817CD">
        <w:rPr>
          <w:lang w:val="pl-PL"/>
        </w:rPr>
        <w:t>w których do dyspozycji skarżącego było od 3 do 4 m</w:t>
      </w:r>
      <w:r w:rsidR="002817CD" w:rsidRPr="005F7878">
        <w:rPr>
          <w:vertAlign w:val="superscript"/>
          <w:lang w:val="pl-PL"/>
        </w:rPr>
        <w:t>2</w:t>
      </w:r>
      <w:r w:rsidR="002817CD">
        <w:rPr>
          <w:vertAlign w:val="superscript"/>
          <w:lang w:val="pl-PL"/>
        </w:rPr>
        <w:t xml:space="preserve"> </w:t>
      </w:r>
      <w:r w:rsidR="002817CD" w:rsidRPr="00826EF6">
        <w:rPr>
          <w:lang w:val="pl-PL"/>
        </w:rPr>
        <w:t xml:space="preserve">przestrzeni </w:t>
      </w:r>
      <w:r w:rsidR="002817CD">
        <w:rPr>
          <w:lang w:val="pl-PL"/>
        </w:rPr>
        <w:t>osobistej (trzynastoma głosami do czterech)</w:t>
      </w:r>
      <w:r w:rsidR="00001346">
        <w:rPr>
          <w:lang w:val="pl-PL"/>
        </w:rPr>
        <w:t>.</w:t>
      </w:r>
    </w:p>
    <w:p w:rsidR="0038036D" w:rsidRPr="00C42271" w:rsidRDefault="008E4D55">
      <w:pPr>
        <w:pStyle w:val="ClinContent"/>
        <w:rPr>
          <w:lang w:val="pl-PL"/>
        </w:rPr>
      </w:pPr>
      <w:r>
        <w:rPr>
          <w:lang w:val="pl-PL"/>
        </w:rPr>
        <w:t>Art</w:t>
      </w:r>
      <w:r w:rsidR="003A02EC" w:rsidRPr="00C42271">
        <w:rPr>
          <w:lang w:val="pl-PL"/>
        </w:rPr>
        <w:t>.</w:t>
      </w:r>
      <w:r w:rsidR="00945EDE" w:rsidRPr="00C42271">
        <w:rPr>
          <w:lang w:val="pl-PL"/>
        </w:rPr>
        <w:t xml:space="preserve"> 41: 1</w:t>
      </w:r>
      <w:r w:rsidR="003A02EC" w:rsidRPr="00C42271">
        <w:rPr>
          <w:lang w:val="pl-PL"/>
        </w:rPr>
        <w:t>.</w:t>
      </w:r>
      <w:r w:rsidR="00945EDE" w:rsidRPr="00C42271">
        <w:rPr>
          <w:lang w:val="pl-PL"/>
        </w:rPr>
        <w:t xml:space="preserve">000 </w:t>
      </w:r>
      <w:r w:rsidR="003A02EC" w:rsidRPr="00C42271">
        <w:rPr>
          <w:lang w:val="pl-PL"/>
        </w:rPr>
        <w:t>euro z tytułu szkody niemajątkowej</w:t>
      </w:r>
      <w:r w:rsidR="00945EDE" w:rsidRPr="00C42271">
        <w:rPr>
          <w:lang w:val="pl-PL"/>
        </w:rPr>
        <w:t>.</w:t>
      </w:r>
    </w:p>
    <w:p w:rsidR="0038036D" w:rsidRPr="009420D9" w:rsidRDefault="00945EDE">
      <w:pPr>
        <w:pStyle w:val="ClinContent"/>
        <w:rPr>
          <w:lang w:val="pl-PL"/>
        </w:rPr>
      </w:pPr>
      <w:r w:rsidRPr="009420D9">
        <w:rPr>
          <w:lang w:val="pl-PL"/>
        </w:rPr>
        <w:t>(</w:t>
      </w:r>
      <w:r w:rsidR="00B34003">
        <w:rPr>
          <w:lang w:val="pl-PL"/>
        </w:rPr>
        <w:t>Zobacz również</w:t>
      </w:r>
      <w:r w:rsidRPr="009420D9">
        <w:rPr>
          <w:lang w:val="pl-PL"/>
        </w:rPr>
        <w:t xml:space="preserve"> </w:t>
      </w:r>
      <w:proofErr w:type="spellStart"/>
      <w:r w:rsidRPr="009420D9">
        <w:rPr>
          <w:i/>
          <w:lang w:val="pl-PL"/>
        </w:rPr>
        <w:t>Ananyev</w:t>
      </w:r>
      <w:proofErr w:type="spellEnd"/>
      <w:r w:rsidRPr="009420D9">
        <w:rPr>
          <w:i/>
          <w:lang w:val="pl-PL"/>
        </w:rPr>
        <w:t xml:space="preserve"> </w:t>
      </w:r>
      <w:r w:rsidR="009420D9" w:rsidRPr="009420D9">
        <w:rPr>
          <w:i/>
          <w:lang w:val="pl-PL"/>
        </w:rPr>
        <w:t>i Inni</w:t>
      </w:r>
      <w:r w:rsidRPr="009420D9">
        <w:rPr>
          <w:i/>
          <w:lang w:val="pl-PL"/>
        </w:rPr>
        <w:t xml:space="preserve"> </w:t>
      </w:r>
      <w:r w:rsidR="007A47BE" w:rsidRPr="009420D9">
        <w:rPr>
          <w:i/>
          <w:lang w:val="pl-PL"/>
        </w:rPr>
        <w:t>p.</w:t>
      </w:r>
      <w:r w:rsidRPr="009420D9">
        <w:rPr>
          <w:i/>
          <w:lang w:val="pl-PL"/>
        </w:rPr>
        <w:t> R</w:t>
      </w:r>
      <w:r w:rsidR="009420D9" w:rsidRPr="009420D9">
        <w:rPr>
          <w:i/>
          <w:lang w:val="pl-PL"/>
        </w:rPr>
        <w:t>osji</w:t>
      </w:r>
      <w:r w:rsidRPr="009420D9">
        <w:rPr>
          <w:lang w:val="pl-PL"/>
        </w:rPr>
        <w:t xml:space="preserve">, </w:t>
      </w:r>
      <w:r w:rsidR="009420D9" w:rsidRPr="009420D9">
        <w:rPr>
          <w:lang w:val="pl-PL"/>
        </w:rPr>
        <w:t xml:space="preserve">skargi nr </w:t>
      </w:r>
      <w:r w:rsidRPr="009420D9">
        <w:rPr>
          <w:lang w:val="pl-PL"/>
        </w:rPr>
        <w:t xml:space="preserve">42525/07 </w:t>
      </w:r>
      <w:r w:rsidR="009420D9" w:rsidRPr="009420D9">
        <w:rPr>
          <w:lang w:val="pl-PL"/>
        </w:rPr>
        <w:t xml:space="preserve">i </w:t>
      </w:r>
      <w:r w:rsidRPr="009420D9">
        <w:rPr>
          <w:lang w:val="pl-PL"/>
        </w:rPr>
        <w:t>60800/08, 10 </w:t>
      </w:r>
      <w:r w:rsidR="009420D9">
        <w:rPr>
          <w:lang w:val="pl-PL"/>
        </w:rPr>
        <w:t xml:space="preserve">stycznia </w:t>
      </w:r>
      <w:r w:rsidRPr="009420D9">
        <w:rPr>
          <w:lang w:val="pl-PL"/>
        </w:rPr>
        <w:t>2012</w:t>
      </w:r>
      <w:r w:rsidR="009420D9">
        <w:rPr>
          <w:lang w:val="pl-PL"/>
        </w:rPr>
        <w:t xml:space="preserve"> r.</w:t>
      </w:r>
      <w:r w:rsidRPr="009420D9">
        <w:rPr>
          <w:lang w:val="pl-PL"/>
        </w:rPr>
        <w:t>,</w:t>
      </w:r>
      <w:r w:rsidR="00001346" w:rsidRPr="00001346">
        <w:rPr>
          <w:lang w:val="pl-PL"/>
        </w:rPr>
        <w:t xml:space="preserve"> </w:t>
      </w:r>
      <w:hyperlink r:id="rId9" w:history="1">
        <w:r w:rsidR="00001346">
          <w:rPr>
            <w:rStyle w:val="Hipercze"/>
            <w:lang w:val="pl-PL"/>
          </w:rPr>
          <w:t>Nota informacyjna nr</w:t>
        </w:r>
        <w:r w:rsidR="00001346" w:rsidRPr="00001346">
          <w:rPr>
            <w:rStyle w:val="Hipercze"/>
            <w:lang w:val="pl-PL"/>
          </w:rPr>
          <w:t> 148</w:t>
        </w:r>
      </w:hyperlink>
      <w:r w:rsidRPr="009420D9">
        <w:rPr>
          <w:lang w:val="pl-PL"/>
        </w:rPr>
        <w:t>)</w:t>
      </w:r>
      <w:r w:rsidR="00686AA9">
        <w:rPr>
          <w:lang w:val="pl-PL"/>
        </w:rPr>
        <w:t>.</w:t>
      </w:r>
    </w:p>
    <w:p w:rsidR="0038036D" w:rsidRPr="009420D9" w:rsidRDefault="0038036D">
      <w:pPr>
        <w:pBdr>
          <w:bottom w:val="single" w:sz="8" w:space="1" w:color="auto"/>
        </w:pBdr>
        <w:rPr>
          <w:lang w:val="pl-PL"/>
        </w:rPr>
      </w:pPr>
    </w:p>
    <w:p w:rsidR="00181F8B" w:rsidRPr="0074070E" w:rsidRDefault="00181F8B" w:rsidP="00181F8B">
      <w:pPr>
        <w:pStyle w:val="ClinFoo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 xml:space="preserve">Niniejsze streszczenie przygotowane przez Kancelarię nie wiąże Trybunału.  </w:t>
      </w:r>
    </w:p>
    <w:p w:rsidR="0038036D" w:rsidRPr="00181F8B" w:rsidRDefault="00181F8B" w:rsidP="005F293A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10" w:history="1">
        <w:r w:rsidRPr="001D0852">
          <w:rPr>
            <w:rStyle w:val="Hipercze"/>
            <w:lang w:val="pl-PL"/>
          </w:rPr>
          <w:t>Not informacyjnych nt. orzecznictwa</w:t>
        </w:r>
      </w:hyperlink>
    </w:p>
    <w:sectPr w:rsidR="0038036D" w:rsidRPr="00181F8B" w:rsidSect="005F293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276" w:right="1440" w:bottom="709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570" w:rsidRDefault="00624570" w:rsidP="00C63262">
      <w:r>
        <w:separator/>
      </w:r>
    </w:p>
  </w:endnote>
  <w:endnote w:type="continuationSeparator" w:id="0">
    <w:p w:rsidR="00624570" w:rsidRDefault="00624570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E73" w:rsidRDefault="00091E7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E73" w:rsidRDefault="00091E7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54D0E08" wp14:editId="382022BF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570" w:rsidRDefault="00624570" w:rsidP="00C63262">
      <w:r>
        <w:separator/>
      </w:r>
    </w:p>
  </w:footnote>
  <w:footnote w:type="continuationSeparator" w:id="0">
    <w:p w:rsidR="00624570" w:rsidRDefault="00624570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1E73" w:rsidRDefault="00091E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C3796C">
          <w:rPr>
            <w:noProof/>
          </w:rPr>
          <w:t>2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415C927E" wp14:editId="176CD5A6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01346"/>
    <w:rsid w:val="00037CCC"/>
    <w:rsid w:val="00072DE3"/>
    <w:rsid w:val="00091E73"/>
    <w:rsid w:val="00097888"/>
    <w:rsid w:val="000F13B5"/>
    <w:rsid w:val="00107377"/>
    <w:rsid w:val="001278F4"/>
    <w:rsid w:val="00143602"/>
    <w:rsid w:val="001769E4"/>
    <w:rsid w:val="00181F8B"/>
    <w:rsid w:val="00186560"/>
    <w:rsid w:val="001E1637"/>
    <w:rsid w:val="00212E83"/>
    <w:rsid w:val="00225EEC"/>
    <w:rsid w:val="002817CD"/>
    <w:rsid w:val="002966E7"/>
    <w:rsid w:val="002E088D"/>
    <w:rsid w:val="0030264F"/>
    <w:rsid w:val="0032671F"/>
    <w:rsid w:val="003450B3"/>
    <w:rsid w:val="0038036D"/>
    <w:rsid w:val="00386958"/>
    <w:rsid w:val="003A02EC"/>
    <w:rsid w:val="003A64A6"/>
    <w:rsid w:val="003B4228"/>
    <w:rsid w:val="003D7BB3"/>
    <w:rsid w:val="0046453F"/>
    <w:rsid w:val="004A5B52"/>
    <w:rsid w:val="004B29C2"/>
    <w:rsid w:val="004B5D80"/>
    <w:rsid w:val="004D568D"/>
    <w:rsid w:val="004E05E3"/>
    <w:rsid w:val="004E1037"/>
    <w:rsid w:val="004F2B97"/>
    <w:rsid w:val="0052092D"/>
    <w:rsid w:val="00540D75"/>
    <w:rsid w:val="005514E5"/>
    <w:rsid w:val="005F293A"/>
    <w:rsid w:val="005F2B94"/>
    <w:rsid w:val="005F7878"/>
    <w:rsid w:val="006028A1"/>
    <w:rsid w:val="00624570"/>
    <w:rsid w:val="00631A28"/>
    <w:rsid w:val="00686AA9"/>
    <w:rsid w:val="006A36AD"/>
    <w:rsid w:val="006A39B2"/>
    <w:rsid w:val="006C1D96"/>
    <w:rsid w:val="0071773F"/>
    <w:rsid w:val="00774515"/>
    <w:rsid w:val="007A47BE"/>
    <w:rsid w:val="00801C4A"/>
    <w:rsid w:val="00826EF6"/>
    <w:rsid w:val="00846E27"/>
    <w:rsid w:val="00880B80"/>
    <w:rsid w:val="00895EF3"/>
    <w:rsid w:val="008C64D5"/>
    <w:rsid w:val="008E4D55"/>
    <w:rsid w:val="008F09B0"/>
    <w:rsid w:val="00903D38"/>
    <w:rsid w:val="009420D9"/>
    <w:rsid w:val="00945EDE"/>
    <w:rsid w:val="009734F7"/>
    <w:rsid w:val="009B1641"/>
    <w:rsid w:val="009B3B2C"/>
    <w:rsid w:val="009E27D9"/>
    <w:rsid w:val="009E3EF0"/>
    <w:rsid w:val="00A01052"/>
    <w:rsid w:val="00A04D9C"/>
    <w:rsid w:val="00A106C1"/>
    <w:rsid w:val="00A258BB"/>
    <w:rsid w:val="00A33541"/>
    <w:rsid w:val="00A45616"/>
    <w:rsid w:val="00A97154"/>
    <w:rsid w:val="00AC7726"/>
    <w:rsid w:val="00B34003"/>
    <w:rsid w:val="00B5797F"/>
    <w:rsid w:val="00B80CA0"/>
    <w:rsid w:val="00B85770"/>
    <w:rsid w:val="00BD23D4"/>
    <w:rsid w:val="00BD308E"/>
    <w:rsid w:val="00BE24B7"/>
    <w:rsid w:val="00BE5D25"/>
    <w:rsid w:val="00BF1CD9"/>
    <w:rsid w:val="00C02C31"/>
    <w:rsid w:val="00C32751"/>
    <w:rsid w:val="00C37433"/>
    <w:rsid w:val="00C3796C"/>
    <w:rsid w:val="00C42271"/>
    <w:rsid w:val="00C63262"/>
    <w:rsid w:val="00C72355"/>
    <w:rsid w:val="00C93CFB"/>
    <w:rsid w:val="00CA55A2"/>
    <w:rsid w:val="00CF7BA6"/>
    <w:rsid w:val="00D42086"/>
    <w:rsid w:val="00D425B3"/>
    <w:rsid w:val="00DA329F"/>
    <w:rsid w:val="00E55491"/>
    <w:rsid w:val="00E7619E"/>
    <w:rsid w:val="00E83DB6"/>
    <w:rsid w:val="00EA0972"/>
    <w:rsid w:val="00EA53E7"/>
    <w:rsid w:val="00EB3123"/>
    <w:rsid w:val="00EC17C2"/>
    <w:rsid w:val="00ED7BB2"/>
    <w:rsid w:val="00F508C9"/>
    <w:rsid w:val="00F50CCD"/>
    <w:rsid w:val="00F5247C"/>
    <w:rsid w:val="00F95118"/>
    <w:rsid w:val="00FA29ED"/>
    <w:rsid w:val="00FB258D"/>
    <w:rsid w:val="00FF4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746c8714">
    <w:name w:val="s746c8714"/>
    <w:basedOn w:val="Normalny"/>
    <w:rsid w:val="00072DE3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072DE3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072DE3"/>
  </w:style>
  <w:style w:type="character" w:customStyle="1" w:styleId="object">
    <w:name w:val="object"/>
    <w:basedOn w:val="Domylnaczcionkaakapitu"/>
    <w:rsid w:val="00072DE3"/>
  </w:style>
  <w:style w:type="character" w:styleId="UyteHipercze">
    <w:name w:val="FollowedHyperlink"/>
    <w:basedOn w:val="Domylnaczcionkaakapitu"/>
    <w:semiHidden/>
    <w:unhideWhenUsed/>
    <w:rsid w:val="003B4228"/>
    <w:rPr>
      <w:color w:val="7030A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paragraph" w:customStyle="1" w:styleId="s746c8714">
    <w:name w:val="s746c8714"/>
    <w:basedOn w:val="Normalny"/>
    <w:rsid w:val="00072DE3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072DE3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072DE3"/>
  </w:style>
  <w:style w:type="character" w:customStyle="1" w:styleId="object">
    <w:name w:val="object"/>
    <w:basedOn w:val="Domylnaczcionkaakapitu"/>
    <w:rsid w:val="00072DE3"/>
  </w:style>
  <w:style w:type="character" w:styleId="UyteHipercze">
    <w:name w:val="FollowedHyperlink"/>
    <w:basedOn w:val="Domylnaczcionkaakapitu"/>
    <w:semiHidden/>
    <w:unhideWhenUsed/>
    <w:rsid w:val="003B4228"/>
    <w:rPr>
      <w:color w:val="7030A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01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eng?i=002-10449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msz.gov.pl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echr.coe.int/NoteInformation/e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hudoc.echr.coe.int/eng?i=002-24" TargetMode="Externa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818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2017-04-05T14:02:00Z</dcterms:created>
  <dcterms:modified xsi:type="dcterms:W3CDTF">2017-06-21T12:13:00Z</dcterms:modified>
</cp:coreProperties>
</file>