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F3" w:rsidRDefault="00070577" w:rsidP="00CF35E1">
      <w:pPr>
        <w:pStyle w:val="s6e50bd9a"/>
        <w:spacing w:after="120" w:afterAutospacing="0"/>
        <w:jc w:val="both"/>
        <w:rPr>
          <w:rFonts w:ascii="Arial" w:hAnsi="Arial" w:cs="Arial"/>
        </w:rPr>
      </w:pPr>
      <w:r w:rsidRPr="00070577">
        <w:rPr>
          <w:rStyle w:val="s4f807e54"/>
          <w:rFonts w:ascii="Arial" w:hAnsi="Arial" w:cs="Arial"/>
          <w:color w:val="000000"/>
          <w:sz w:val="20"/>
          <w:szCs w:val="20"/>
        </w:rPr>
        <w:t xml:space="preserve">© Ministerstwo Spraw Zagranicznych, </w:t>
      </w:r>
      <w:hyperlink r:id="rId7" w:history="1">
        <w:r w:rsidRPr="00157865">
          <w:rPr>
            <w:rStyle w:val="Hipercze"/>
            <w:rFonts w:ascii="Arial" w:hAnsi="Arial" w:cs="Arial"/>
            <w:sz w:val="20"/>
            <w:szCs w:val="20"/>
          </w:rPr>
          <w:t>https://www.gov.pl/dyplomacja</w:t>
        </w:r>
      </w:hyperlink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  <w:r w:rsidRPr="00070577">
        <w:rPr>
          <w:rStyle w:val="s4f807e54"/>
          <w:rFonts w:ascii="Arial" w:hAnsi="Arial" w:cs="Arial"/>
          <w:color w:val="000000"/>
          <w:sz w:val="20"/>
          <w:szCs w:val="20"/>
        </w:rPr>
        <w:t xml:space="preserve">     </w:t>
      </w:r>
      <w:r w:rsidR="001232F3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1232F3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1232F3" w:rsidRDefault="001232F3" w:rsidP="001232F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9F210D" w:rsidRPr="001232F3" w:rsidRDefault="001232F3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="00FE3190" w:rsidRPr="001232F3">
        <w:rPr>
          <w:lang w:val="pl-PL"/>
        </w:rPr>
        <w:t xml:space="preserve"> 221</w:t>
      </w:r>
    </w:p>
    <w:p w:rsidR="009F210D" w:rsidRPr="00182E4A" w:rsidRDefault="00C82C5C">
      <w:pPr>
        <w:pStyle w:val="ClinEditionMonth"/>
        <w:rPr>
          <w:lang w:val="pl-PL"/>
        </w:rPr>
      </w:pPr>
      <w:r w:rsidRPr="00182E4A">
        <w:rPr>
          <w:lang w:val="pl-PL"/>
        </w:rPr>
        <w:t xml:space="preserve">Sierpień – wrzesień </w:t>
      </w:r>
      <w:r w:rsidR="00FE3190" w:rsidRPr="00182E4A">
        <w:rPr>
          <w:lang w:val="pl-PL"/>
        </w:rPr>
        <w:t>2018</w:t>
      </w:r>
      <w:r w:rsidRPr="00182E4A">
        <w:rPr>
          <w:lang w:val="pl-PL"/>
        </w:rPr>
        <w:t xml:space="preserve"> r.</w:t>
      </w:r>
    </w:p>
    <w:p w:rsidR="009F210D" w:rsidRPr="00182E4A" w:rsidRDefault="00FE3190">
      <w:pPr>
        <w:rPr>
          <w:lang w:val="pl-PL"/>
        </w:rPr>
      </w:pPr>
      <w:proofErr w:type="spellStart"/>
      <w:r w:rsidRPr="00182E4A">
        <w:rPr>
          <w:rStyle w:val="ClinCaseTitle"/>
          <w:lang w:val="pl-PL"/>
        </w:rPr>
        <w:t>Vizgirda</w:t>
      </w:r>
      <w:proofErr w:type="spellEnd"/>
      <w:r w:rsidRPr="00182E4A">
        <w:rPr>
          <w:rStyle w:val="ClinCaseTitle"/>
          <w:lang w:val="pl-PL"/>
        </w:rPr>
        <w:t xml:space="preserve"> </w:t>
      </w:r>
      <w:r w:rsidR="00182E4A" w:rsidRPr="00182E4A">
        <w:rPr>
          <w:rStyle w:val="ClinCaseTitle"/>
          <w:lang w:val="pl-PL"/>
        </w:rPr>
        <w:t>p</w:t>
      </w:r>
      <w:r w:rsidRPr="00182E4A">
        <w:rPr>
          <w:rStyle w:val="ClinCaseTitle"/>
          <w:lang w:val="pl-PL"/>
        </w:rPr>
        <w:t>. S</w:t>
      </w:r>
      <w:r w:rsidR="00182E4A">
        <w:rPr>
          <w:rStyle w:val="ClinCaseTitle"/>
          <w:lang w:val="pl-PL"/>
        </w:rPr>
        <w:t>łowenii</w:t>
      </w:r>
      <w:r w:rsidRPr="00182E4A">
        <w:rPr>
          <w:rStyle w:val="ClinApplicationNumber"/>
          <w:lang w:val="pl-PL"/>
        </w:rPr>
        <w:t xml:space="preserve"> </w:t>
      </w:r>
      <w:r w:rsidR="00182E4A">
        <w:rPr>
          <w:rStyle w:val="ClinApplicationNumber"/>
          <w:lang w:val="pl-PL"/>
        </w:rPr>
        <w:t>– skarga nr</w:t>
      </w:r>
      <w:r w:rsidRPr="00182E4A">
        <w:rPr>
          <w:rStyle w:val="ClinApplicationNumber"/>
          <w:lang w:val="pl-PL"/>
        </w:rPr>
        <w:t xml:space="preserve"> 59868/08</w:t>
      </w:r>
    </w:p>
    <w:p w:rsidR="009F210D" w:rsidRPr="00182E4A" w:rsidRDefault="00182E4A">
      <w:pPr>
        <w:rPr>
          <w:lang w:val="pl-PL"/>
        </w:rPr>
      </w:pPr>
      <w:r w:rsidRPr="00182E4A">
        <w:rPr>
          <w:rStyle w:val="ClinHudocDocumentTitle"/>
          <w:lang w:val="pl-PL"/>
        </w:rPr>
        <w:t xml:space="preserve">Wyrok z </w:t>
      </w:r>
      <w:r w:rsidR="00FE3190" w:rsidRPr="00182E4A">
        <w:rPr>
          <w:rStyle w:val="ClinHudocDocumentTitle"/>
          <w:lang w:val="pl-PL"/>
        </w:rPr>
        <w:t>28.</w:t>
      </w:r>
      <w:r w:rsidRPr="00182E4A">
        <w:rPr>
          <w:rStyle w:val="ClinHudocDocumentTitle"/>
          <w:lang w:val="pl-PL"/>
        </w:rPr>
        <w:t>0</w:t>
      </w:r>
      <w:r w:rsidR="00FE3190" w:rsidRPr="00182E4A">
        <w:rPr>
          <w:rStyle w:val="ClinHudocDocumentTitle"/>
          <w:lang w:val="pl-PL"/>
        </w:rPr>
        <w:t>8.2018</w:t>
      </w:r>
      <w:r w:rsidR="00FE3190" w:rsidRPr="00182E4A">
        <w:rPr>
          <w:rStyle w:val="ClinSectionName"/>
          <w:lang w:val="pl-PL"/>
        </w:rPr>
        <w:t xml:space="preserve"> </w:t>
      </w:r>
      <w:r w:rsidRPr="00182E4A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FE3190" w:rsidRPr="00182E4A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Czwarta Sekcja</w:t>
      </w:r>
      <w:r w:rsidR="00FE3190" w:rsidRPr="00182E4A">
        <w:rPr>
          <w:rStyle w:val="ClinSectionName"/>
          <w:lang w:val="pl-PL"/>
        </w:rPr>
        <w:t>]</w:t>
      </w:r>
    </w:p>
    <w:p w:rsidR="009F210D" w:rsidRPr="00724C71" w:rsidRDefault="00FE3190">
      <w:pPr>
        <w:pStyle w:val="ClinMainKeywordCode"/>
        <w:rPr>
          <w:lang w:val="pl-PL"/>
        </w:rPr>
      </w:pPr>
      <w:r w:rsidRPr="00724C71">
        <w:rPr>
          <w:lang w:val="pl-PL"/>
        </w:rPr>
        <w:t>Art</w:t>
      </w:r>
      <w:r w:rsidR="00182E4A" w:rsidRPr="00724C71">
        <w:rPr>
          <w:lang w:val="pl-PL"/>
        </w:rPr>
        <w:t>.</w:t>
      </w:r>
      <w:r w:rsidRPr="00724C71">
        <w:rPr>
          <w:lang w:val="pl-PL"/>
        </w:rPr>
        <w:t xml:space="preserve"> 6</w:t>
      </w:r>
      <w:r w:rsidR="001A0A3A" w:rsidRPr="001A0A3A">
        <w:rPr>
          <w:lang w:val="pl-PL"/>
        </w:rPr>
        <w:t xml:space="preserve"> </w:t>
      </w:r>
      <w:r w:rsidR="001A0A3A">
        <w:rPr>
          <w:lang w:val="pl-PL"/>
        </w:rPr>
        <w:t>Konwencji</w:t>
      </w:r>
      <w:r w:rsidR="001A0A3A">
        <w:rPr>
          <w:rStyle w:val="Odwoanieprzypisudolnego"/>
          <w:lang w:val="pl-PL"/>
        </w:rPr>
        <w:footnoteReference w:id="1"/>
      </w:r>
    </w:p>
    <w:p w:rsidR="009F210D" w:rsidRPr="00724C71" w:rsidRDefault="00182E4A">
      <w:pPr>
        <w:pStyle w:val="ClinKeyword"/>
        <w:rPr>
          <w:lang w:val="pl-PL"/>
        </w:rPr>
      </w:pPr>
      <w:r w:rsidRPr="00724C71">
        <w:rPr>
          <w:lang w:val="pl-PL"/>
        </w:rPr>
        <w:t xml:space="preserve">Postępowanie karne </w:t>
      </w:r>
    </w:p>
    <w:p w:rsidR="009F210D" w:rsidRPr="00182E4A" w:rsidRDefault="00182E4A">
      <w:pPr>
        <w:pStyle w:val="ClinChildKeywordCode"/>
        <w:rPr>
          <w:lang w:val="pl-PL"/>
        </w:rPr>
      </w:pPr>
      <w:r w:rsidRPr="00182E4A">
        <w:rPr>
          <w:lang w:val="pl-PL"/>
        </w:rPr>
        <w:t xml:space="preserve">Art. </w:t>
      </w:r>
      <w:r w:rsidR="00FE3190" w:rsidRPr="00182E4A">
        <w:rPr>
          <w:lang w:val="pl-PL"/>
        </w:rPr>
        <w:t>6</w:t>
      </w:r>
      <w:r w:rsidRPr="00182E4A">
        <w:rPr>
          <w:lang w:val="pl-PL"/>
        </w:rPr>
        <w:t xml:space="preserve"> ust. </w:t>
      </w:r>
      <w:r w:rsidR="00FE3190" w:rsidRPr="00182E4A">
        <w:rPr>
          <w:lang w:val="pl-PL"/>
        </w:rPr>
        <w:t>1</w:t>
      </w:r>
    </w:p>
    <w:p w:rsidR="009F210D" w:rsidRPr="00182E4A" w:rsidRDefault="00182E4A">
      <w:pPr>
        <w:pStyle w:val="ClinKeyword"/>
        <w:rPr>
          <w:lang w:val="pl-PL"/>
        </w:rPr>
      </w:pPr>
      <w:r w:rsidRPr="00724C71">
        <w:rPr>
          <w:lang w:val="pl-PL"/>
        </w:rPr>
        <w:t>Sprawiedliwe rozpatrzenie</w:t>
      </w:r>
      <w:r w:rsidRPr="00182E4A">
        <w:rPr>
          <w:lang w:val="pl-PL"/>
        </w:rPr>
        <w:t xml:space="preserve"> </w:t>
      </w:r>
    </w:p>
    <w:p w:rsidR="009F210D" w:rsidRPr="00182E4A" w:rsidRDefault="00FE3190">
      <w:pPr>
        <w:pStyle w:val="ClinChildKeywordCode"/>
        <w:rPr>
          <w:lang w:val="pl-PL"/>
        </w:rPr>
      </w:pPr>
      <w:r w:rsidRPr="00182E4A">
        <w:rPr>
          <w:lang w:val="pl-PL"/>
        </w:rPr>
        <w:t>Art</w:t>
      </w:r>
      <w:r w:rsidR="00182E4A" w:rsidRPr="00182E4A">
        <w:rPr>
          <w:lang w:val="pl-PL"/>
        </w:rPr>
        <w:t>.</w:t>
      </w:r>
      <w:r w:rsidRPr="00182E4A">
        <w:rPr>
          <w:lang w:val="pl-PL"/>
        </w:rPr>
        <w:t xml:space="preserve"> 6</w:t>
      </w:r>
      <w:r w:rsidR="00182E4A" w:rsidRPr="00182E4A">
        <w:rPr>
          <w:lang w:val="pl-PL"/>
        </w:rPr>
        <w:t xml:space="preserve"> ust. </w:t>
      </w:r>
      <w:r w:rsidRPr="00182E4A">
        <w:rPr>
          <w:lang w:val="pl-PL"/>
        </w:rPr>
        <w:t>3</w:t>
      </w:r>
      <w:r w:rsidR="00182E4A" w:rsidRPr="00182E4A">
        <w:rPr>
          <w:lang w:val="pl-PL"/>
        </w:rPr>
        <w:t xml:space="preserve"> lit. </w:t>
      </w:r>
      <w:r w:rsidRPr="00182E4A">
        <w:rPr>
          <w:lang w:val="pl-PL"/>
        </w:rPr>
        <w:t>a</w:t>
      </w:r>
    </w:p>
    <w:p w:rsidR="009F210D" w:rsidRPr="00724C71" w:rsidRDefault="00182E4A">
      <w:pPr>
        <w:pStyle w:val="ClinKeyword"/>
        <w:rPr>
          <w:lang w:val="pl-PL"/>
        </w:rPr>
      </w:pPr>
      <w:r w:rsidRPr="00724C71">
        <w:rPr>
          <w:lang w:val="pl-PL"/>
        </w:rPr>
        <w:t xml:space="preserve">Informacja w zrozumiałym języku </w:t>
      </w:r>
    </w:p>
    <w:p w:rsidR="009F210D" w:rsidRPr="00724C71" w:rsidRDefault="00FE3190">
      <w:pPr>
        <w:pStyle w:val="ClinChildKeywordCode"/>
        <w:rPr>
          <w:lang w:val="pl-PL"/>
        </w:rPr>
      </w:pPr>
      <w:r w:rsidRPr="00724C71">
        <w:rPr>
          <w:lang w:val="pl-PL"/>
        </w:rPr>
        <w:t>Art</w:t>
      </w:r>
      <w:r w:rsidR="00182E4A" w:rsidRPr="00724C71">
        <w:rPr>
          <w:lang w:val="pl-PL"/>
        </w:rPr>
        <w:t xml:space="preserve">. </w:t>
      </w:r>
      <w:r w:rsidRPr="00724C71">
        <w:rPr>
          <w:lang w:val="pl-PL"/>
        </w:rPr>
        <w:t>6</w:t>
      </w:r>
      <w:r w:rsidR="00182E4A" w:rsidRPr="00724C71">
        <w:rPr>
          <w:lang w:val="pl-PL"/>
        </w:rPr>
        <w:t xml:space="preserve"> ust. </w:t>
      </w:r>
      <w:r w:rsidRPr="00724C71">
        <w:rPr>
          <w:lang w:val="pl-PL"/>
        </w:rPr>
        <w:t>3</w:t>
      </w:r>
      <w:r w:rsidR="00182E4A" w:rsidRPr="00724C71">
        <w:rPr>
          <w:lang w:val="pl-PL"/>
        </w:rPr>
        <w:t xml:space="preserve"> lit. </w:t>
      </w:r>
      <w:r w:rsidRPr="00724C71">
        <w:rPr>
          <w:lang w:val="pl-PL"/>
        </w:rPr>
        <w:t>e</w:t>
      </w:r>
    </w:p>
    <w:p w:rsidR="009F210D" w:rsidRPr="00070577" w:rsidRDefault="00182E4A">
      <w:pPr>
        <w:pStyle w:val="ClinKeyword"/>
        <w:rPr>
          <w:lang w:val="pl-PL"/>
        </w:rPr>
      </w:pPr>
      <w:r w:rsidRPr="00070577">
        <w:rPr>
          <w:lang w:val="pl-PL"/>
        </w:rPr>
        <w:t xml:space="preserve">Bezpłatna pomoc tłumacza </w:t>
      </w:r>
    </w:p>
    <w:p w:rsidR="00182E4A" w:rsidRPr="00182E4A" w:rsidRDefault="00F73A13" w:rsidP="00724C71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Niezapewnienie</w:t>
      </w:r>
      <w:r w:rsidR="00182E4A" w:rsidRPr="00182E4A">
        <w:rPr>
          <w:rStyle w:val="ClinConclusions"/>
          <w:i w:val="0"/>
          <w:lang w:val="pl-PL"/>
        </w:rPr>
        <w:t xml:space="preserve"> tłumaczenia</w:t>
      </w:r>
      <w:r w:rsidR="00182E4A">
        <w:rPr>
          <w:rStyle w:val="ClinConclusions"/>
          <w:i w:val="0"/>
          <w:lang w:val="pl-PL"/>
        </w:rPr>
        <w:t xml:space="preserve"> postępowania karnego i dokumentacji na język</w:t>
      </w:r>
      <w:r w:rsidR="00182E4A" w:rsidRPr="00182E4A">
        <w:rPr>
          <w:rStyle w:val="ClinConclusions"/>
          <w:i w:val="0"/>
          <w:lang w:val="pl-PL"/>
        </w:rPr>
        <w:t>, którym</w:t>
      </w:r>
      <w:r w:rsidR="00743F9B">
        <w:rPr>
          <w:rStyle w:val="ClinConclusions"/>
          <w:i w:val="0"/>
          <w:lang w:val="pl-PL"/>
        </w:rPr>
        <w:t> </w:t>
      </w:r>
      <w:r w:rsidR="00724C71" w:rsidRPr="00182E4A">
        <w:rPr>
          <w:rStyle w:val="ClinConclusions"/>
          <w:i w:val="0"/>
          <w:lang w:val="pl-PL"/>
        </w:rPr>
        <w:t xml:space="preserve">oskarżony </w:t>
      </w:r>
      <w:r w:rsidR="00182E4A" w:rsidRPr="00182E4A">
        <w:rPr>
          <w:rStyle w:val="ClinConclusions"/>
          <w:i w:val="0"/>
          <w:lang w:val="pl-PL"/>
        </w:rPr>
        <w:t xml:space="preserve">władałby w wystarczającym stopniu: </w:t>
      </w:r>
      <w:r w:rsidR="00182E4A">
        <w:rPr>
          <w:rStyle w:val="ClinConclusions"/>
          <w:lang w:val="pl-PL"/>
        </w:rPr>
        <w:t>naruszenie</w:t>
      </w:r>
    </w:p>
    <w:p w:rsidR="00182E4A" w:rsidRPr="00182E4A" w:rsidRDefault="00182E4A">
      <w:pPr>
        <w:pStyle w:val="ClinContent"/>
        <w:rPr>
          <w:lang w:val="pl-PL"/>
        </w:rPr>
      </w:pPr>
      <w:r w:rsidRPr="00182E4A">
        <w:rPr>
          <w:i/>
          <w:lang w:val="pl-PL"/>
        </w:rPr>
        <w:t>Fakty</w:t>
      </w:r>
      <w:r w:rsidRPr="00182E4A">
        <w:rPr>
          <w:lang w:val="pl-PL"/>
        </w:rPr>
        <w:t xml:space="preserve"> – Skarżący, obywatel litewski, został skazany na karę pozbawienia wolności w</w:t>
      </w:r>
      <w:r w:rsidR="00743F9B">
        <w:rPr>
          <w:lang w:val="pl-PL"/>
        </w:rPr>
        <w:t> </w:t>
      </w:r>
      <w:r w:rsidRPr="00182E4A">
        <w:rPr>
          <w:lang w:val="pl-PL"/>
        </w:rPr>
        <w:t xml:space="preserve">Słowenii. </w:t>
      </w:r>
      <w:r>
        <w:rPr>
          <w:lang w:val="pl-PL"/>
        </w:rPr>
        <w:t>Bez powodzenia wszczynał różne postępowania, zarzucając, że nie był w</w:t>
      </w:r>
      <w:r w:rsidR="00743F9B">
        <w:rPr>
          <w:lang w:val="pl-PL"/>
        </w:rPr>
        <w:t> </w:t>
      </w:r>
      <w:r>
        <w:rPr>
          <w:lang w:val="pl-PL"/>
        </w:rPr>
        <w:t>stanie skutecznie bronić się w trakcie procesu, ponieważ postępowanie ustne oraz</w:t>
      </w:r>
      <w:r w:rsidR="00743F9B">
        <w:rPr>
          <w:lang w:val="pl-PL"/>
        </w:rPr>
        <w:t> </w:t>
      </w:r>
      <w:r>
        <w:rPr>
          <w:lang w:val="pl-PL"/>
        </w:rPr>
        <w:t>właściwe dokumenty nie były tłumaczone na język litewski, jego język ojczysty, ale</w:t>
      </w:r>
      <w:r w:rsidR="00743F9B">
        <w:rPr>
          <w:lang w:val="pl-PL"/>
        </w:rPr>
        <w:t> </w:t>
      </w:r>
      <w:r>
        <w:rPr>
          <w:lang w:val="pl-PL"/>
        </w:rPr>
        <w:t>na</w:t>
      </w:r>
      <w:r w:rsidR="00AA261A">
        <w:rPr>
          <w:lang w:val="pl-PL"/>
        </w:rPr>
        <w:t xml:space="preserve"> język</w:t>
      </w:r>
      <w:r>
        <w:rPr>
          <w:lang w:val="pl-PL"/>
        </w:rPr>
        <w:t xml:space="preserve"> rosyjski, który, jak twierdził, był dla niego trudny do zrozumienia.</w:t>
      </w:r>
    </w:p>
    <w:p w:rsidR="00182E4A" w:rsidRPr="00F4644E" w:rsidRDefault="00182E4A">
      <w:pPr>
        <w:pStyle w:val="ClinContent"/>
        <w:rPr>
          <w:lang w:val="pl-PL"/>
        </w:rPr>
      </w:pPr>
      <w:r w:rsidRPr="00F4644E">
        <w:rPr>
          <w:i/>
          <w:lang w:val="pl-PL"/>
        </w:rPr>
        <w:t>Prawo</w:t>
      </w:r>
      <w:r w:rsidRPr="00F4644E">
        <w:rPr>
          <w:lang w:val="pl-PL"/>
        </w:rPr>
        <w:t xml:space="preserve"> – </w:t>
      </w:r>
      <w:r w:rsidR="006F47DF">
        <w:rPr>
          <w:lang w:val="pl-PL"/>
        </w:rPr>
        <w:t>a</w:t>
      </w:r>
      <w:bookmarkStart w:id="0" w:name="_GoBack"/>
      <w:bookmarkEnd w:id="0"/>
      <w:r w:rsidR="00645916" w:rsidRPr="00F4644E">
        <w:rPr>
          <w:lang w:val="pl-PL"/>
        </w:rPr>
        <w:t>rt</w:t>
      </w:r>
      <w:r w:rsidRPr="00F4644E">
        <w:rPr>
          <w:lang w:val="pl-PL"/>
        </w:rPr>
        <w:t>. 6 ust. 1 i 3</w:t>
      </w:r>
    </w:p>
    <w:p w:rsidR="00E13BAF" w:rsidRPr="00E13BAF" w:rsidRDefault="00E13BAF">
      <w:pPr>
        <w:pStyle w:val="ClinContent"/>
        <w:rPr>
          <w:lang w:val="pl-PL"/>
        </w:rPr>
      </w:pPr>
      <w:r w:rsidRPr="00E13BAF">
        <w:rPr>
          <w:lang w:val="pl-PL"/>
        </w:rPr>
        <w:t xml:space="preserve">(i) </w:t>
      </w:r>
      <w:r w:rsidRPr="00E13BAF">
        <w:rPr>
          <w:i/>
          <w:lang w:val="pl-PL"/>
        </w:rPr>
        <w:t>Zasady ogólne</w:t>
      </w:r>
      <w:r w:rsidRPr="00E13BAF">
        <w:rPr>
          <w:lang w:val="pl-PL"/>
        </w:rPr>
        <w:t xml:space="preserve"> – Na władzach zaangażowanych w postępowanie</w:t>
      </w:r>
      <w:r>
        <w:rPr>
          <w:lang w:val="pl-PL"/>
        </w:rPr>
        <w:t>, w szczególności na</w:t>
      </w:r>
      <w:r w:rsidR="00743F9B">
        <w:rPr>
          <w:lang w:val="pl-PL"/>
        </w:rPr>
        <w:t> </w:t>
      </w:r>
      <w:r>
        <w:rPr>
          <w:lang w:val="pl-PL"/>
        </w:rPr>
        <w:t>sądach krajowych,</w:t>
      </w:r>
      <w:r w:rsidRPr="00E13BAF">
        <w:rPr>
          <w:lang w:val="pl-PL"/>
        </w:rPr>
        <w:t xml:space="preserve"> spoczywa </w:t>
      </w:r>
      <w:r>
        <w:rPr>
          <w:lang w:val="pl-PL"/>
        </w:rPr>
        <w:t>obowiązek ustalenia, czy rzetelność procesu wymaga, lub wymagała, ustanowienia tłumacza celem udzielania pomocy oskarżonemu. W</w:t>
      </w:r>
      <w:r w:rsidR="00743F9B">
        <w:rPr>
          <w:lang w:val="pl-PL"/>
        </w:rPr>
        <w:t> </w:t>
      </w:r>
      <w:r>
        <w:rPr>
          <w:lang w:val="pl-PL"/>
        </w:rPr>
        <w:t>opinii</w:t>
      </w:r>
      <w:r w:rsidR="00743F9B">
        <w:rPr>
          <w:lang w:val="pl-PL"/>
        </w:rPr>
        <w:t> </w:t>
      </w:r>
      <w:r>
        <w:rPr>
          <w:lang w:val="pl-PL"/>
        </w:rPr>
        <w:t>Trybunału obowiązek ten nie o</w:t>
      </w:r>
      <w:r w:rsidR="00540DE1">
        <w:rPr>
          <w:lang w:val="pl-PL"/>
        </w:rPr>
        <w:t>granicza się</w:t>
      </w:r>
      <w:r>
        <w:rPr>
          <w:lang w:val="pl-PL"/>
        </w:rPr>
        <w:t xml:space="preserve"> tylko do sytuacji, w których </w:t>
      </w:r>
      <w:r w:rsidR="00540DE1">
        <w:rPr>
          <w:lang w:val="pl-PL"/>
        </w:rPr>
        <w:t>oskarżony cudzoziemiec składa wyraźny wniosek o tłumaczenie, ale pojawia się</w:t>
      </w:r>
      <w:r w:rsidR="00743F9B">
        <w:rPr>
          <w:lang w:val="pl-PL"/>
        </w:rPr>
        <w:t> </w:t>
      </w:r>
      <w:r w:rsidR="00540DE1">
        <w:rPr>
          <w:lang w:val="pl-PL"/>
        </w:rPr>
        <w:t>każdorazowo, gdy zachodzą powody do podejrzewania, że oskarżony</w:t>
      </w:r>
      <w:r w:rsidR="00DC3C3D">
        <w:rPr>
          <w:lang w:val="pl-PL"/>
        </w:rPr>
        <w:t xml:space="preserve"> nie</w:t>
      </w:r>
      <w:r w:rsidR="00540DE1">
        <w:rPr>
          <w:lang w:val="pl-PL"/>
        </w:rPr>
        <w:t xml:space="preserve"> </w:t>
      </w:r>
      <w:r w:rsidR="00DC3C3D">
        <w:rPr>
          <w:lang w:val="pl-PL"/>
        </w:rPr>
        <w:t>zna wystarczająco biegle</w:t>
      </w:r>
      <w:r w:rsidR="00540DE1">
        <w:rPr>
          <w:lang w:val="pl-PL"/>
        </w:rPr>
        <w:t xml:space="preserve"> języka postępowania. Pojawia się także, gdy przewiduje się korzystanie z trzeciego języka</w:t>
      </w:r>
      <w:r w:rsidR="00DC3C3D">
        <w:rPr>
          <w:lang w:val="pl-PL"/>
        </w:rPr>
        <w:t xml:space="preserve"> do tłumaczenia</w:t>
      </w:r>
      <w:r w:rsidR="00540DE1">
        <w:rPr>
          <w:lang w:val="pl-PL"/>
        </w:rPr>
        <w:t xml:space="preserve">. W takich okolicznościach znajomość </w:t>
      </w:r>
      <w:r w:rsidR="00DC3C3D">
        <w:rPr>
          <w:lang w:val="pl-PL"/>
        </w:rPr>
        <w:t>tego</w:t>
      </w:r>
      <w:r w:rsidR="00743F9B">
        <w:rPr>
          <w:lang w:val="pl-PL"/>
        </w:rPr>
        <w:t> </w:t>
      </w:r>
      <w:r w:rsidR="00540DE1">
        <w:rPr>
          <w:lang w:val="pl-PL"/>
        </w:rPr>
        <w:t>trzeciego języka przez oskarżonego powinna być ustalona przed podjęciem decyzji o</w:t>
      </w:r>
      <w:r w:rsidR="00DC3C3D">
        <w:rPr>
          <w:lang w:val="pl-PL"/>
        </w:rPr>
        <w:t xml:space="preserve"> jego</w:t>
      </w:r>
      <w:r w:rsidR="00540DE1">
        <w:rPr>
          <w:lang w:val="pl-PL"/>
        </w:rPr>
        <w:t xml:space="preserve"> wykorzystaniu celem tłumaczenia. Fakt, że oskarżony </w:t>
      </w:r>
      <w:r w:rsidR="00AC3981">
        <w:rPr>
          <w:lang w:val="pl-PL"/>
        </w:rPr>
        <w:t>ma</w:t>
      </w:r>
      <w:r w:rsidR="00540DE1">
        <w:rPr>
          <w:lang w:val="pl-PL"/>
        </w:rPr>
        <w:t xml:space="preserve"> podstawową znajomoś</w:t>
      </w:r>
      <w:r w:rsidR="00AC3981">
        <w:rPr>
          <w:lang w:val="pl-PL"/>
        </w:rPr>
        <w:t>ć</w:t>
      </w:r>
      <w:r w:rsidR="00540DE1">
        <w:rPr>
          <w:lang w:val="pl-PL"/>
        </w:rPr>
        <w:t xml:space="preserve"> </w:t>
      </w:r>
      <w:r w:rsidR="00540DE1">
        <w:rPr>
          <w:lang w:val="pl-PL"/>
        </w:rPr>
        <w:lastRenderedPageBreak/>
        <w:t>języka postępowania lub języka</w:t>
      </w:r>
      <w:r w:rsidR="00DC3C3D" w:rsidRPr="00DC3C3D">
        <w:rPr>
          <w:lang w:val="pl-PL"/>
        </w:rPr>
        <w:t xml:space="preserve"> </w:t>
      </w:r>
      <w:r w:rsidR="00DC3C3D">
        <w:rPr>
          <w:lang w:val="pl-PL"/>
        </w:rPr>
        <w:t>trzeciego</w:t>
      </w:r>
      <w:r w:rsidR="00540DE1">
        <w:rPr>
          <w:lang w:val="pl-PL"/>
        </w:rPr>
        <w:t>, na który tłumaczenie jest</w:t>
      </w:r>
      <w:r w:rsidR="00AC3981">
        <w:rPr>
          <w:lang w:val="pl-PL"/>
        </w:rPr>
        <w:t xml:space="preserve"> łatwo dostępne, nie</w:t>
      </w:r>
      <w:r w:rsidR="00743F9B">
        <w:rPr>
          <w:lang w:val="pl-PL"/>
        </w:rPr>
        <w:t> </w:t>
      </w:r>
      <w:r w:rsidR="00AC3981">
        <w:rPr>
          <w:lang w:val="pl-PL"/>
        </w:rPr>
        <w:t>może sam przez się uniemożliwić osobie korzystania z tłumaczenia na język, który</w:t>
      </w:r>
      <w:r w:rsidR="00743F9B">
        <w:rPr>
          <w:lang w:val="pl-PL"/>
        </w:rPr>
        <w:t> </w:t>
      </w:r>
      <w:r w:rsidR="00AC3981">
        <w:rPr>
          <w:lang w:val="pl-PL"/>
        </w:rPr>
        <w:t>rozumie ona w stopniu wystarczającym do pełnego korzystania ze swego prawa do</w:t>
      </w:r>
      <w:r w:rsidR="00743F9B">
        <w:rPr>
          <w:lang w:val="pl-PL"/>
        </w:rPr>
        <w:t> </w:t>
      </w:r>
      <w:r w:rsidR="00AC3981">
        <w:rPr>
          <w:lang w:val="pl-PL"/>
        </w:rPr>
        <w:t>obrony.</w:t>
      </w:r>
      <w:r w:rsidR="00540DE1">
        <w:rPr>
          <w:lang w:val="pl-PL"/>
        </w:rPr>
        <w:t xml:space="preserve">                                                                                                                          </w:t>
      </w:r>
    </w:p>
    <w:p w:rsidR="00AC3981" w:rsidRPr="00AC3981" w:rsidRDefault="00AC3981">
      <w:pPr>
        <w:pStyle w:val="ClinContent"/>
        <w:rPr>
          <w:lang w:val="pl-PL"/>
        </w:rPr>
      </w:pPr>
      <w:r>
        <w:rPr>
          <w:lang w:val="pl-PL"/>
        </w:rPr>
        <w:t xml:space="preserve">W obecnej sprawie, w chwili „oskarżenia o popełnienie czynu zagrożonego karą” </w:t>
      </w:r>
      <w:r w:rsidRPr="00AC3981">
        <w:rPr>
          <w:lang w:val="pl-PL"/>
        </w:rPr>
        <w:t>podejrzanego należało powiadomić</w:t>
      </w:r>
      <w:r>
        <w:rPr>
          <w:lang w:val="pl-PL"/>
        </w:rPr>
        <w:t xml:space="preserve"> </w:t>
      </w:r>
      <w:r w:rsidR="00F4644E">
        <w:rPr>
          <w:lang w:val="pl-PL"/>
        </w:rPr>
        <w:t>–</w:t>
      </w:r>
      <w:r w:rsidRPr="00AC3981">
        <w:rPr>
          <w:lang w:val="pl-PL"/>
        </w:rPr>
        <w:t xml:space="preserve"> w</w:t>
      </w:r>
      <w:r w:rsidR="00F4644E">
        <w:rPr>
          <w:lang w:val="pl-PL"/>
        </w:rPr>
        <w:t xml:space="preserve"> </w:t>
      </w:r>
      <w:r w:rsidRPr="00AC3981">
        <w:rPr>
          <w:lang w:val="pl-PL"/>
        </w:rPr>
        <w:t>zrozumiałym dla niego języku</w:t>
      </w:r>
      <w:r>
        <w:rPr>
          <w:lang w:val="pl-PL"/>
        </w:rPr>
        <w:t xml:space="preserve"> –</w:t>
      </w:r>
      <w:r w:rsidRPr="00AC3981">
        <w:rPr>
          <w:lang w:val="pl-PL"/>
        </w:rPr>
        <w:t xml:space="preserve"> o</w:t>
      </w:r>
      <w:r>
        <w:rPr>
          <w:lang w:val="pl-PL"/>
        </w:rPr>
        <w:t xml:space="preserve"> </w:t>
      </w:r>
      <w:r w:rsidRPr="00AC3981">
        <w:rPr>
          <w:lang w:val="pl-PL"/>
        </w:rPr>
        <w:t>jego prawie do</w:t>
      </w:r>
      <w:r w:rsidR="00743F9B">
        <w:rPr>
          <w:lang w:val="pl-PL"/>
        </w:rPr>
        <w:t> </w:t>
      </w:r>
      <w:r>
        <w:rPr>
          <w:lang w:val="pl-PL"/>
        </w:rPr>
        <w:t>tłumaczenia. Trybunał zwr</w:t>
      </w:r>
      <w:r w:rsidR="00F4644E">
        <w:rPr>
          <w:lang w:val="pl-PL"/>
        </w:rPr>
        <w:t>aca</w:t>
      </w:r>
      <w:r>
        <w:rPr>
          <w:lang w:val="pl-PL"/>
        </w:rPr>
        <w:t xml:space="preserve"> uwagę na</w:t>
      </w:r>
      <w:r w:rsidR="00F73A13">
        <w:rPr>
          <w:lang w:val="pl-PL"/>
        </w:rPr>
        <w:t xml:space="preserve"> istotne</w:t>
      </w:r>
      <w:r>
        <w:rPr>
          <w:lang w:val="pl-PL"/>
        </w:rPr>
        <w:t xml:space="preserve"> znaczenie odnotowania </w:t>
      </w:r>
      <w:r w:rsidR="006875DD">
        <w:rPr>
          <w:lang w:val="pl-PL"/>
        </w:rPr>
        <w:t xml:space="preserve">w protokole </w:t>
      </w:r>
      <w:r>
        <w:rPr>
          <w:lang w:val="pl-PL"/>
        </w:rPr>
        <w:t>zastosowanej procedury</w:t>
      </w:r>
      <w:r w:rsidR="00F4644E">
        <w:rPr>
          <w:lang w:val="pl-PL"/>
        </w:rPr>
        <w:t xml:space="preserve"> oraz</w:t>
      </w:r>
      <w:r>
        <w:rPr>
          <w:lang w:val="pl-PL"/>
        </w:rPr>
        <w:t xml:space="preserve"> podjętej decyzji w </w:t>
      </w:r>
      <w:r w:rsidR="00F4644E">
        <w:rPr>
          <w:lang w:val="pl-PL"/>
        </w:rPr>
        <w:t xml:space="preserve">odniesieniu do </w:t>
      </w:r>
      <w:r>
        <w:rPr>
          <w:lang w:val="pl-PL"/>
        </w:rPr>
        <w:t>ustal</w:t>
      </w:r>
      <w:r w:rsidR="00F4644E">
        <w:rPr>
          <w:lang w:val="pl-PL"/>
        </w:rPr>
        <w:t>a</w:t>
      </w:r>
      <w:r>
        <w:rPr>
          <w:lang w:val="pl-PL"/>
        </w:rPr>
        <w:t>nia potrzeb tłumaczeniowych, powiadomienia o prawie do tłumacza</w:t>
      </w:r>
      <w:r w:rsidR="009D5FF8">
        <w:rPr>
          <w:lang w:val="pl-PL"/>
        </w:rPr>
        <w:t>, a także</w:t>
      </w:r>
      <w:r>
        <w:rPr>
          <w:lang w:val="pl-PL"/>
        </w:rPr>
        <w:t xml:space="preserve"> pomocy zapewnianej przez tłumacza. </w:t>
      </w:r>
    </w:p>
    <w:p w:rsidR="00703F88" w:rsidRPr="00703F88" w:rsidRDefault="00703F88">
      <w:pPr>
        <w:pStyle w:val="ClinContent"/>
        <w:rPr>
          <w:lang w:val="pl-PL"/>
        </w:rPr>
      </w:pPr>
      <w:r w:rsidRPr="00703F88">
        <w:rPr>
          <w:lang w:val="pl-PL"/>
        </w:rPr>
        <w:t xml:space="preserve">(ii) </w:t>
      </w:r>
      <w:r w:rsidRPr="00703F88">
        <w:rPr>
          <w:i/>
          <w:lang w:val="pl-PL"/>
        </w:rPr>
        <w:t>W odniesieniu do powodów wyznaczenia tłumacza</w:t>
      </w:r>
      <w:r w:rsidRPr="00703F88">
        <w:rPr>
          <w:lang w:val="pl-PL"/>
        </w:rPr>
        <w:t xml:space="preserve"> </w:t>
      </w:r>
      <w:r w:rsidR="00F10C1F" w:rsidRPr="00F10C1F">
        <w:rPr>
          <w:i/>
          <w:lang w:val="pl-PL"/>
        </w:rPr>
        <w:t>języka rosyjskiego</w:t>
      </w:r>
      <w:r w:rsidR="00F10C1F">
        <w:rPr>
          <w:lang w:val="pl-PL"/>
        </w:rPr>
        <w:t xml:space="preserve"> </w:t>
      </w:r>
      <w:r>
        <w:rPr>
          <w:lang w:val="pl-PL"/>
        </w:rPr>
        <w:t>–</w:t>
      </w:r>
      <w:r w:rsidRPr="00703F88">
        <w:rPr>
          <w:lang w:val="pl-PL"/>
        </w:rPr>
        <w:t xml:space="preserve"> </w:t>
      </w:r>
      <w:r>
        <w:rPr>
          <w:lang w:val="pl-PL"/>
        </w:rPr>
        <w:t>W aktach sprawy nic nie wskazywało na to, że władze rozważyły możliwości zapewnienia tłumaczenia na język litewski podczas procesu i dochodzenia. Dopiero po wyroku sądu II</w:t>
      </w:r>
      <w:r w:rsidR="00743F9B">
        <w:rPr>
          <w:lang w:val="pl-PL"/>
        </w:rPr>
        <w:t> </w:t>
      </w:r>
      <w:r>
        <w:rPr>
          <w:lang w:val="pl-PL"/>
        </w:rPr>
        <w:t xml:space="preserve">instancji sąd krajowy skierował kilka zapytań o dostępność tłumaczy języka litewskiego, nie podejmując dalszych kroków. </w:t>
      </w:r>
      <w:r w:rsidRPr="001D6712">
        <w:rPr>
          <w:lang w:val="pl-PL"/>
        </w:rPr>
        <w:t>Choć</w:t>
      </w:r>
      <w:r>
        <w:rPr>
          <w:lang w:val="pl-PL"/>
        </w:rPr>
        <w:t xml:space="preserve"> sąd ten stwierdził, że brak było takich tłumaczy zarejestrowanych w Słowenii w tamtym czasie oraz że tłumaczenie </w:t>
      </w:r>
      <w:r w:rsidR="00F10C1F">
        <w:rPr>
          <w:lang w:val="pl-PL"/>
        </w:rPr>
        <w:t>w</w:t>
      </w:r>
      <w:r w:rsidR="00743F9B">
        <w:rPr>
          <w:lang w:val="pl-PL"/>
        </w:rPr>
        <w:t> </w:t>
      </w:r>
      <w:r w:rsidR="00F10C1F">
        <w:rPr>
          <w:lang w:val="pl-PL"/>
        </w:rPr>
        <w:t xml:space="preserve">tym </w:t>
      </w:r>
      <w:r>
        <w:rPr>
          <w:lang w:val="pl-PL"/>
        </w:rPr>
        <w:t>język</w:t>
      </w:r>
      <w:r w:rsidR="00F10C1F">
        <w:rPr>
          <w:lang w:val="pl-PL"/>
        </w:rPr>
        <w:t>u</w:t>
      </w:r>
      <w:r>
        <w:rPr>
          <w:lang w:val="pl-PL"/>
        </w:rPr>
        <w:t xml:space="preserve"> wymagałoby pomocy najbliższej ambasady litewskiej, </w:t>
      </w:r>
      <w:r w:rsidR="001D6712">
        <w:rPr>
          <w:lang w:val="pl-PL"/>
        </w:rPr>
        <w:t xml:space="preserve">w istocie </w:t>
      </w:r>
      <w:r>
        <w:rPr>
          <w:lang w:val="pl-PL"/>
        </w:rPr>
        <w:t xml:space="preserve">tłumaczenie z języka litewskiego na słoweński i </w:t>
      </w:r>
      <w:r w:rsidR="001D6712" w:rsidRPr="001D6712">
        <w:rPr>
          <w:i/>
          <w:lang w:val="pl-PL"/>
        </w:rPr>
        <w:t>vice versa</w:t>
      </w:r>
      <w:r w:rsidR="001D6712">
        <w:rPr>
          <w:lang w:val="pl-PL"/>
        </w:rPr>
        <w:t xml:space="preserve"> </w:t>
      </w:r>
      <w:r>
        <w:rPr>
          <w:lang w:val="pl-PL"/>
        </w:rPr>
        <w:t xml:space="preserve">pozyskano </w:t>
      </w:r>
      <w:r w:rsidR="001D6712">
        <w:rPr>
          <w:lang w:val="pl-PL"/>
        </w:rPr>
        <w:t xml:space="preserve">na </w:t>
      </w:r>
      <w:r>
        <w:rPr>
          <w:lang w:val="pl-PL"/>
        </w:rPr>
        <w:t>później</w:t>
      </w:r>
      <w:r w:rsidR="001D6712">
        <w:rPr>
          <w:lang w:val="pl-PL"/>
        </w:rPr>
        <w:t>szym etapie postępowania</w:t>
      </w:r>
      <w:r>
        <w:rPr>
          <w:lang w:val="pl-PL"/>
        </w:rPr>
        <w:t xml:space="preserve">. W każdym razie Rząd nie przedstawił żadnych </w:t>
      </w:r>
      <w:r w:rsidRPr="00F73A13">
        <w:rPr>
          <w:lang w:val="pl-PL"/>
        </w:rPr>
        <w:t>przekonujących</w:t>
      </w:r>
      <w:r>
        <w:rPr>
          <w:lang w:val="pl-PL"/>
        </w:rPr>
        <w:t xml:space="preserve"> powodów</w:t>
      </w:r>
      <w:r w:rsidR="001D6712">
        <w:rPr>
          <w:lang w:val="pl-PL"/>
        </w:rPr>
        <w:t xml:space="preserve">, które </w:t>
      </w:r>
      <w:r>
        <w:rPr>
          <w:lang w:val="pl-PL"/>
        </w:rPr>
        <w:t xml:space="preserve"> uniemoż</w:t>
      </w:r>
      <w:r w:rsidR="001D6712">
        <w:rPr>
          <w:lang w:val="pl-PL"/>
        </w:rPr>
        <w:t>liwiały</w:t>
      </w:r>
      <w:r>
        <w:rPr>
          <w:lang w:val="pl-PL"/>
        </w:rPr>
        <w:t xml:space="preserve"> </w:t>
      </w:r>
      <w:r w:rsidR="001D6712">
        <w:rPr>
          <w:lang w:val="pl-PL"/>
        </w:rPr>
        <w:t xml:space="preserve">ustanowienie </w:t>
      </w:r>
      <w:r w:rsidR="00F10C1F">
        <w:rPr>
          <w:lang w:val="pl-PL"/>
        </w:rPr>
        <w:t xml:space="preserve">przez władze dla skarżącego </w:t>
      </w:r>
      <w:r>
        <w:rPr>
          <w:lang w:val="pl-PL"/>
        </w:rPr>
        <w:t xml:space="preserve">tłumacza </w:t>
      </w:r>
      <w:r w:rsidR="00F10C1F">
        <w:rPr>
          <w:lang w:val="pl-PL"/>
        </w:rPr>
        <w:t>języka litewskiego</w:t>
      </w:r>
      <w:r>
        <w:rPr>
          <w:lang w:val="pl-PL"/>
        </w:rPr>
        <w:t>. Postanowienia sądów krajowych oparte były na założeniu, że</w:t>
      </w:r>
      <w:r w:rsidR="00743F9B">
        <w:rPr>
          <w:lang w:val="pl-PL"/>
        </w:rPr>
        <w:t> </w:t>
      </w:r>
      <w:r>
        <w:rPr>
          <w:lang w:val="pl-PL"/>
        </w:rPr>
        <w:t>skarżący rozumie język rosyjski i jest w stanie śledzić tok postępowania w</w:t>
      </w:r>
      <w:r w:rsidR="00743F9B">
        <w:rPr>
          <w:lang w:val="pl-PL"/>
        </w:rPr>
        <w:t> </w:t>
      </w:r>
      <w:r>
        <w:rPr>
          <w:lang w:val="pl-PL"/>
        </w:rPr>
        <w:t>tym</w:t>
      </w:r>
      <w:r w:rsidR="00743F9B">
        <w:rPr>
          <w:lang w:val="pl-PL"/>
        </w:rPr>
        <w:t> </w:t>
      </w:r>
      <w:r>
        <w:rPr>
          <w:lang w:val="pl-PL"/>
        </w:rPr>
        <w:t xml:space="preserve">języku. </w:t>
      </w:r>
    </w:p>
    <w:p w:rsidR="00703F88" w:rsidRPr="003F7C3B" w:rsidRDefault="00703F88">
      <w:pPr>
        <w:pStyle w:val="ClinContent"/>
        <w:rPr>
          <w:lang w:val="pl-PL"/>
        </w:rPr>
      </w:pPr>
      <w:r w:rsidRPr="00683F6E">
        <w:rPr>
          <w:lang w:val="pl-PL"/>
        </w:rPr>
        <w:t>(iii)</w:t>
      </w:r>
      <w:r w:rsidR="00683F6E" w:rsidRPr="00683F6E">
        <w:rPr>
          <w:lang w:val="pl-PL"/>
        </w:rPr>
        <w:t xml:space="preserve"> </w:t>
      </w:r>
      <w:r w:rsidR="00F10C1F">
        <w:rPr>
          <w:i/>
          <w:lang w:val="pl-PL"/>
        </w:rPr>
        <w:t>W odniesieniu od ocen</w:t>
      </w:r>
      <w:r w:rsidR="00683F6E" w:rsidRPr="00683F6E">
        <w:rPr>
          <w:i/>
          <w:lang w:val="pl-PL"/>
        </w:rPr>
        <w:t>y potrze</w:t>
      </w:r>
      <w:r w:rsidR="00683F6E">
        <w:rPr>
          <w:i/>
          <w:lang w:val="pl-PL"/>
        </w:rPr>
        <w:t xml:space="preserve">b tłumaczeniowych skarżącego </w:t>
      </w:r>
      <w:r w:rsidR="003F7C3B">
        <w:rPr>
          <w:i/>
          <w:lang w:val="pl-PL"/>
        </w:rPr>
        <w:t>–</w:t>
      </w:r>
      <w:r w:rsidR="00683F6E">
        <w:rPr>
          <w:i/>
          <w:lang w:val="pl-PL"/>
        </w:rPr>
        <w:t xml:space="preserve"> </w:t>
      </w:r>
      <w:r w:rsidR="003F7C3B">
        <w:rPr>
          <w:lang w:val="pl-PL"/>
        </w:rPr>
        <w:t>Władze nie</w:t>
      </w:r>
      <w:r w:rsidR="00743F9B">
        <w:rPr>
          <w:lang w:val="pl-PL"/>
        </w:rPr>
        <w:t> </w:t>
      </w:r>
      <w:r w:rsidR="003F7C3B">
        <w:rPr>
          <w:lang w:val="pl-PL"/>
        </w:rPr>
        <w:t xml:space="preserve">zweryfikowały w sposób wyraźny kompetencji językowych skarżącego w </w:t>
      </w:r>
      <w:r w:rsidR="00F10C1F">
        <w:rPr>
          <w:lang w:val="pl-PL"/>
        </w:rPr>
        <w:t>języku rosyjskim</w:t>
      </w:r>
      <w:r w:rsidR="003F7C3B">
        <w:rPr>
          <w:lang w:val="pl-PL"/>
        </w:rPr>
        <w:t>. Nigdy nie skonsultowano z nim, czy rozumie tłumaczenie ustne i pisemne w</w:t>
      </w:r>
      <w:r w:rsidR="00743F9B">
        <w:rPr>
          <w:lang w:val="pl-PL"/>
        </w:rPr>
        <w:t> </w:t>
      </w:r>
      <w:r w:rsidR="003F7C3B">
        <w:rPr>
          <w:lang w:val="pl-PL"/>
        </w:rPr>
        <w:t xml:space="preserve">języku rosyjskim na tyle dobrze, by skutecznie prowadzić swą </w:t>
      </w:r>
      <w:r w:rsidR="00EF32E7">
        <w:rPr>
          <w:lang w:val="pl-PL"/>
        </w:rPr>
        <w:t>obronę</w:t>
      </w:r>
      <w:r w:rsidR="003F7C3B">
        <w:rPr>
          <w:lang w:val="pl-PL"/>
        </w:rPr>
        <w:t xml:space="preserve"> w tym języku. W</w:t>
      </w:r>
      <w:r w:rsidR="00743F9B">
        <w:rPr>
          <w:lang w:val="pl-PL"/>
        </w:rPr>
        <w:t> </w:t>
      </w:r>
      <w:r w:rsidR="003F7C3B">
        <w:rPr>
          <w:lang w:val="pl-PL"/>
        </w:rPr>
        <w:t>związku z tym Trybunał odrzucił argument rządu</w:t>
      </w:r>
      <w:r w:rsidR="00F73A13">
        <w:rPr>
          <w:lang w:val="pl-PL"/>
        </w:rPr>
        <w:t>, że j</w:t>
      </w:r>
      <w:r w:rsidR="001C2F59">
        <w:rPr>
          <w:lang w:val="pl-PL"/>
        </w:rPr>
        <w:t>ęz</w:t>
      </w:r>
      <w:r w:rsidR="00F73A13">
        <w:rPr>
          <w:lang w:val="pl-PL"/>
        </w:rPr>
        <w:t>yk rosyjski jest używany</w:t>
      </w:r>
      <w:r w:rsidR="003F7C3B">
        <w:rPr>
          <w:lang w:val="pl-PL"/>
        </w:rPr>
        <w:t xml:space="preserve"> na</w:t>
      </w:r>
      <w:r w:rsidR="00743F9B">
        <w:rPr>
          <w:lang w:val="pl-PL"/>
        </w:rPr>
        <w:t> </w:t>
      </w:r>
      <w:r w:rsidR="003F7C3B">
        <w:rPr>
          <w:lang w:val="pl-PL"/>
        </w:rPr>
        <w:t xml:space="preserve">Litwie. </w:t>
      </w:r>
    </w:p>
    <w:p w:rsidR="003F7C3B" w:rsidRPr="003F7C3B" w:rsidRDefault="003F7C3B">
      <w:pPr>
        <w:pStyle w:val="ClinContent"/>
        <w:rPr>
          <w:lang w:val="pl-PL"/>
        </w:rPr>
      </w:pPr>
      <w:r w:rsidRPr="003F7C3B">
        <w:rPr>
          <w:lang w:val="pl-PL"/>
        </w:rPr>
        <w:t xml:space="preserve">(iv) </w:t>
      </w:r>
      <w:r w:rsidRPr="003F7C3B">
        <w:rPr>
          <w:i/>
          <w:lang w:val="pl-PL"/>
        </w:rPr>
        <w:t>W odniesieniu do innych wskaz</w:t>
      </w:r>
      <w:r w:rsidR="0009620B">
        <w:rPr>
          <w:i/>
          <w:lang w:val="pl-PL"/>
        </w:rPr>
        <w:t>ań</w:t>
      </w:r>
      <w:r w:rsidRPr="003F7C3B">
        <w:rPr>
          <w:i/>
          <w:lang w:val="pl-PL"/>
        </w:rPr>
        <w:t xml:space="preserve"> na temat znajomości języka rosyjskiego przez</w:t>
      </w:r>
      <w:r w:rsidR="00743F9B">
        <w:rPr>
          <w:i/>
          <w:lang w:val="pl-PL"/>
        </w:rPr>
        <w:t> </w:t>
      </w:r>
      <w:r w:rsidRPr="003F7C3B">
        <w:rPr>
          <w:i/>
          <w:lang w:val="pl-PL"/>
        </w:rPr>
        <w:t>skarżącego</w:t>
      </w:r>
      <w:r w:rsidRPr="003F7C3B">
        <w:rPr>
          <w:lang w:val="pl-PL"/>
        </w:rPr>
        <w:t xml:space="preserve"> </w:t>
      </w:r>
      <w:r>
        <w:rPr>
          <w:lang w:val="pl-PL"/>
        </w:rPr>
        <w:t xml:space="preserve">– </w:t>
      </w:r>
      <w:r w:rsidRPr="003F7C3B">
        <w:rPr>
          <w:lang w:val="pl-PL"/>
        </w:rPr>
        <w:t>Nie</w:t>
      </w:r>
      <w:r>
        <w:rPr>
          <w:i/>
          <w:lang w:val="pl-PL"/>
        </w:rPr>
        <w:t xml:space="preserve"> </w:t>
      </w:r>
      <w:r>
        <w:rPr>
          <w:lang w:val="pl-PL"/>
        </w:rPr>
        <w:t>było nagrań audio z przesłuchania</w:t>
      </w:r>
      <w:r w:rsidR="00EF32E7">
        <w:rPr>
          <w:lang w:val="pl-PL"/>
        </w:rPr>
        <w:t xml:space="preserve"> skarżącego</w:t>
      </w:r>
      <w:r>
        <w:rPr>
          <w:lang w:val="pl-PL"/>
        </w:rPr>
        <w:t xml:space="preserve"> przez sędziego śledczego </w:t>
      </w:r>
      <w:r w:rsidR="00EF32E7">
        <w:rPr>
          <w:lang w:val="pl-PL"/>
        </w:rPr>
        <w:t>ani</w:t>
      </w:r>
      <w:r>
        <w:rPr>
          <w:lang w:val="pl-PL"/>
        </w:rPr>
        <w:t xml:space="preserve"> z rozprawy</w:t>
      </w:r>
      <w:r w:rsidR="00EF32E7">
        <w:rPr>
          <w:lang w:val="pl-PL"/>
        </w:rPr>
        <w:t>,</w:t>
      </w:r>
      <w:r>
        <w:rPr>
          <w:lang w:val="pl-PL"/>
        </w:rPr>
        <w:t xml:space="preserve"> ani innych dowodów w celu </w:t>
      </w:r>
      <w:r w:rsidR="0009620B">
        <w:rPr>
          <w:lang w:val="pl-PL"/>
        </w:rPr>
        <w:t>określenia</w:t>
      </w:r>
      <w:r>
        <w:rPr>
          <w:lang w:val="pl-PL"/>
        </w:rPr>
        <w:t xml:space="preserve"> rzeczywistego stopnia znajomości </w:t>
      </w:r>
      <w:r w:rsidR="00EF32E7">
        <w:rPr>
          <w:lang w:val="pl-PL"/>
        </w:rPr>
        <w:t xml:space="preserve">mówionego </w:t>
      </w:r>
      <w:r>
        <w:rPr>
          <w:lang w:val="pl-PL"/>
        </w:rPr>
        <w:t>języka rosyjskiego</w:t>
      </w:r>
      <w:r w:rsidR="0009620B" w:rsidRPr="0009620B">
        <w:rPr>
          <w:lang w:val="pl-PL"/>
        </w:rPr>
        <w:t xml:space="preserve"> </w:t>
      </w:r>
      <w:r w:rsidR="0009620B">
        <w:rPr>
          <w:lang w:val="pl-PL"/>
        </w:rPr>
        <w:t>przez skarżącego</w:t>
      </w:r>
      <w:r>
        <w:rPr>
          <w:lang w:val="pl-PL"/>
        </w:rPr>
        <w:t>. W sytuacji, w której nie</w:t>
      </w:r>
      <w:r w:rsidR="00743F9B">
        <w:rPr>
          <w:lang w:val="pl-PL"/>
        </w:rPr>
        <w:t> </w:t>
      </w:r>
      <w:r>
        <w:rPr>
          <w:lang w:val="pl-PL"/>
        </w:rPr>
        <w:t xml:space="preserve">przeprowadzono żadnej </w:t>
      </w:r>
      <w:r w:rsidR="0009620B">
        <w:rPr>
          <w:lang w:val="pl-PL"/>
        </w:rPr>
        <w:t xml:space="preserve">takiej </w:t>
      </w:r>
      <w:r>
        <w:rPr>
          <w:lang w:val="pl-PL"/>
        </w:rPr>
        <w:t>weryfikacji, jego brak współpracy podczas postępowania prowadzonego przez policję oraz w trakcie przesłuchan</w:t>
      </w:r>
      <w:r w:rsidR="0009620B">
        <w:rPr>
          <w:lang w:val="pl-PL"/>
        </w:rPr>
        <w:t>ia przez sędziego śledczego można</w:t>
      </w:r>
      <w:r>
        <w:rPr>
          <w:lang w:val="pl-PL"/>
        </w:rPr>
        <w:t xml:space="preserve"> </w:t>
      </w:r>
      <w:r w:rsidR="0009620B">
        <w:rPr>
          <w:lang w:val="pl-PL"/>
        </w:rPr>
        <w:t>wyjaśnić</w:t>
      </w:r>
      <w:r>
        <w:rPr>
          <w:lang w:val="pl-PL"/>
        </w:rPr>
        <w:t>, przynajmniej w części, jego trudności</w:t>
      </w:r>
      <w:r w:rsidR="0009620B">
        <w:rPr>
          <w:lang w:val="pl-PL"/>
        </w:rPr>
        <w:t>ami</w:t>
      </w:r>
      <w:r>
        <w:rPr>
          <w:lang w:val="pl-PL"/>
        </w:rPr>
        <w:t xml:space="preserve"> w wyrażaniu się i</w:t>
      </w:r>
      <w:r w:rsidR="00743F9B">
        <w:rPr>
          <w:lang w:val="pl-PL"/>
        </w:rPr>
        <w:t> </w:t>
      </w:r>
      <w:r>
        <w:rPr>
          <w:lang w:val="pl-PL"/>
        </w:rPr>
        <w:t>śledzeniu toku postępowania w języku rosyjskim. Zaledwie kilka i raczej podstawowych wypowiedzi, które skarżący wygłosił w trakcie postępowania, rzekomo w języku rosyjskim, nie może być uznanych za wystarczające</w:t>
      </w:r>
      <w:r w:rsidR="0009620B">
        <w:rPr>
          <w:lang w:val="pl-PL"/>
        </w:rPr>
        <w:t xml:space="preserve"> do wykazania</w:t>
      </w:r>
      <w:r>
        <w:rPr>
          <w:lang w:val="pl-PL"/>
        </w:rPr>
        <w:t>, że w istocie był on</w:t>
      </w:r>
      <w:r w:rsidR="00743F9B">
        <w:rPr>
          <w:lang w:val="pl-PL"/>
        </w:rPr>
        <w:t> </w:t>
      </w:r>
      <w:r>
        <w:rPr>
          <w:lang w:val="pl-PL"/>
        </w:rPr>
        <w:t>w</w:t>
      </w:r>
      <w:r w:rsidR="00743F9B">
        <w:rPr>
          <w:lang w:val="pl-PL"/>
        </w:rPr>
        <w:t> </w:t>
      </w:r>
      <w:r>
        <w:rPr>
          <w:lang w:val="pl-PL"/>
        </w:rPr>
        <w:t>stanie skutecznie prowadzić swą obronę w tym języku. Nawet jeśli Trybunał Konstytucyjny stwierdził, że skarżącemu „udało się porozumieć” ze swym obrońcą, wniosek ten wydaje się opierać raczej na założeniu niż dowodach biegłości językowej skarżącego i jego rzeczywistej komunikacji z obrońcą. Konkludując, choć wydaje się, że</w:t>
      </w:r>
      <w:r w:rsidR="00743F9B">
        <w:rPr>
          <w:lang w:val="pl-PL"/>
        </w:rPr>
        <w:t> </w:t>
      </w:r>
      <w:r>
        <w:rPr>
          <w:lang w:val="pl-PL"/>
        </w:rPr>
        <w:t xml:space="preserve">skarżący był w stanie trochę wypowiadać się i rozumieć w języku rosyjskim, Trybunał nie uznał za </w:t>
      </w:r>
      <w:r w:rsidR="0009620B">
        <w:rPr>
          <w:lang w:val="pl-PL"/>
        </w:rPr>
        <w:t>ustalone</w:t>
      </w:r>
      <w:r>
        <w:rPr>
          <w:lang w:val="pl-PL"/>
        </w:rPr>
        <w:t>, że jego znajomość tego języka była wystarczająca, by</w:t>
      </w:r>
      <w:r w:rsidR="00743F9B">
        <w:rPr>
          <w:lang w:val="pl-PL"/>
        </w:rPr>
        <w:t> </w:t>
      </w:r>
      <w:r>
        <w:rPr>
          <w:lang w:val="pl-PL"/>
        </w:rPr>
        <w:t xml:space="preserve">zagwarantować rzetelność postępowania. </w:t>
      </w:r>
    </w:p>
    <w:p w:rsidR="00571C65" w:rsidRPr="00571C65" w:rsidRDefault="00571C65">
      <w:pPr>
        <w:pStyle w:val="ClinContent"/>
        <w:rPr>
          <w:lang w:val="pl-PL"/>
        </w:rPr>
      </w:pPr>
      <w:r w:rsidRPr="00571C65">
        <w:rPr>
          <w:lang w:val="pl-PL"/>
        </w:rPr>
        <w:t xml:space="preserve">(v) </w:t>
      </w:r>
      <w:r w:rsidRPr="00571C65">
        <w:rPr>
          <w:i/>
          <w:lang w:val="pl-PL"/>
        </w:rPr>
        <w:t>W odniesieniu do braku skargi lub wniosku o ustanowienie innego tłumacza w trakcie procesu</w:t>
      </w:r>
      <w:r w:rsidRPr="00571C65">
        <w:rPr>
          <w:lang w:val="pl-PL"/>
        </w:rPr>
        <w:t xml:space="preserve"> </w:t>
      </w:r>
      <w:r>
        <w:rPr>
          <w:lang w:val="pl-PL"/>
        </w:rPr>
        <w:t>–</w:t>
      </w:r>
      <w:r w:rsidRPr="00571C65">
        <w:rPr>
          <w:lang w:val="pl-PL"/>
        </w:rPr>
        <w:t xml:space="preserve"> </w:t>
      </w:r>
      <w:r>
        <w:rPr>
          <w:lang w:val="pl-PL"/>
        </w:rPr>
        <w:t xml:space="preserve">W świetle prawa krajowego skarżący był uprawniony do tłumaczenia na swój język ojczysty, a władze były zobowiązane poinformować go o tym prawie i odnotować fakt pouczenia o tym oraz odpowiedź skarżącego. Nic nie wskazuje, że władze dopełniły tego wymogu. </w:t>
      </w:r>
      <w:r w:rsidR="00BB51AD">
        <w:rPr>
          <w:lang w:val="pl-PL"/>
        </w:rPr>
        <w:t xml:space="preserve">Rząd nie przedstawił żadnego uzasadnienia tego zaniechania. W opinii Trybunału brak wspomnianego pouczenia o prawie do tłumaczenia, powiązany </w:t>
      </w:r>
      <w:r w:rsidR="00BB51AD">
        <w:rPr>
          <w:lang w:val="pl-PL"/>
        </w:rPr>
        <w:lastRenderedPageBreak/>
        <w:t>z</w:t>
      </w:r>
      <w:r w:rsidR="00743F9B">
        <w:rPr>
          <w:lang w:val="pl-PL"/>
        </w:rPr>
        <w:t> </w:t>
      </w:r>
      <w:r w:rsidR="00F73A13">
        <w:rPr>
          <w:lang w:val="pl-PL"/>
        </w:rPr>
        <w:t>bezbronnym (</w:t>
      </w:r>
      <w:r w:rsidR="00BB51AD">
        <w:rPr>
          <w:lang w:val="pl-PL"/>
        </w:rPr>
        <w:t>wrażliwym</w:t>
      </w:r>
      <w:r w:rsidR="00F73A13">
        <w:rPr>
          <w:lang w:val="pl-PL"/>
        </w:rPr>
        <w:t>)</w:t>
      </w:r>
      <w:r w:rsidR="00BB51AD">
        <w:rPr>
          <w:lang w:val="pl-PL"/>
        </w:rPr>
        <w:t xml:space="preserve"> statusem skarżącego </w:t>
      </w:r>
      <w:r w:rsidR="0009620B">
        <w:rPr>
          <w:lang w:val="pl-PL"/>
        </w:rPr>
        <w:t>jako cudzoziemca, który przyjechał do</w:t>
      </w:r>
      <w:r w:rsidR="00743F9B">
        <w:rPr>
          <w:lang w:val="pl-PL"/>
        </w:rPr>
        <w:t> </w:t>
      </w:r>
      <w:r w:rsidR="0009620B">
        <w:rPr>
          <w:lang w:val="pl-PL"/>
        </w:rPr>
        <w:t>Słowenii na krótko przed zatrzymaniem i został pozbawiony</w:t>
      </w:r>
      <w:r w:rsidR="00BB51AD">
        <w:rPr>
          <w:lang w:val="pl-PL"/>
        </w:rPr>
        <w:t xml:space="preserve"> wolności w czasie postępowania, a także </w:t>
      </w:r>
      <w:r w:rsidR="00695E81">
        <w:rPr>
          <w:lang w:val="pl-PL"/>
        </w:rPr>
        <w:t xml:space="preserve">z </w:t>
      </w:r>
      <w:r w:rsidR="00BB51AD">
        <w:rPr>
          <w:lang w:val="pl-PL"/>
        </w:rPr>
        <w:t>jego ograniczoną znajomością języka rosyjskiego, może wyjaśnić brak z jego strony wniosku o innego tłumacza lub skargi aż do późniejszego etapu postępowania, kiedy to był już w stanie korzystać ze swego języka ojczystego. Trybunał Konstytucyjny uznał, że sytuacja skarżącego była nadzwyczajna, czego</w:t>
      </w:r>
      <w:r w:rsidR="00743F9B">
        <w:rPr>
          <w:lang w:val="pl-PL"/>
        </w:rPr>
        <w:t> </w:t>
      </w:r>
      <w:r w:rsidR="00BB51AD">
        <w:rPr>
          <w:lang w:val="pl-PL"/>
        </w:rPr>
        <w:t>skutkiem był brak wymogu wykorzystania zwykłych środków odwoławczych. Brak</w:t>
      </w:r>
      <w:r w:rsidR="00743F9B">
        <w:rPr>
          <w:lang w:val="pl-PL"/>
        </w:rPr>
        <w:t> </w:t>
      </w:r>
      <w:r w:rsidR="00BB51AD">
        <w:rPr>
          <w:lang w:val="pl-PL"/>
        </w:rPr>
        <w:t>podniesienia kwestii tłumaczenia przez pełnomocnika procesowego skarżącego nie</w:t>
      </w:r>
      <w:r w:rsidR="00743F9B">
        <w:rPr>
          <w:lang w:val="pl-PL"/>
        </w:rPr>
        <w:t> </w:t>
      </w:r>
      <w:r w:rsidR="00BB51AD">
        <w:rPr>
          <w:lang w:val="pl-PL"/>
        </w:rPr>
        <w:t xml:space="preserve">zwalniał sądu krajowego z jego odpowiedzialności na gruncie art. 6 Konwencji. </w:t>
      </w:r>
    </w:p>
    <w:p w:rsidR="009F210D" w:rsidRPr="00070577" w:rsidRDefault="00FE3190">
      <w:pPr>
        <w:pStyle w:val="ClinContent"/>
        <w:rPr>
          <w:lang w:val="pl-PL"/>
        </w:rPr>
      </w:pPr>
      <w:r w:rsidRPr="00070577">
        <w:rPr>
          <w:lang w:val="pl-PL"/>
        </w:rPr>
        <w:t>***</w:t>
      </w:r>
    </w:p>
    <w:p w:rsidR="002064F8" w:rsidRPr="002064F8" w:rsidRDefault="002064F8">
      <w:pPr>
        <w:pStyle w:val="ClinContent"/>
        <w:rPr>
          <w:lang w:val="pl-PL"/>
        </w:rPr>
      </w:pPr>
      <w:r w:rsidRPr="002064F8">
        <w:rPr>
          <w:lang w:val="pl-PL"/>
        </w:rPr>
        <w:t xml:space="preserve">W </w:t>
      </w:r>
      <w:r w:rsidR="00695E81">
        <w:rPr>
          <w:lang w:val="pl-PL"/>
        </w:rPr>
        <w:t>sumie</w:t>
      </w:r>
      <w:r w:rsidRPr="002064F8">
        <w:rPr>
          <w:lang w:val="pl-PL"/>
        </w:rPr>
        <w:t xml:space="preserve">, nie wykazano w obecnej sprawie, że skarżący </w:t>
      </w:r>
      <w:r>
        <w:rPr>
          <w:lang w:val="pl-PL"/>
        </w:rPr>
        <w:t>otrzymał pomoc językową, która</w:t>
      </w:r>
      <w:r w:rsidR="00743F9B">
        <w:rPr>
          <w:lang w:val="pl-PL"/>
        </w:rPr>
        <w:t> </w:t>
      </w:r>
      <w:r>
        <w:rPr>
          <w:lang w:val="pl-PL"/>
        </w:rPr>
        <w:t>umożliwiłaby mu aktywn</w:t>
      </w:r>
      <w:r w:rsidR="00752697">
        <w:rPr>
          <w:lang w:val="pl-PL"/>
        </w:rPr>
        <w:t>e uczestnictwo</w:t>
      </w:r>
      <w:r>
        <w:rPr>
          <w:lang w:val="pl-PL"/>
        </w:rPr>
        <w:t xml:space="preserve"> w procesie prowadzonym przeciwko niemu. W opinii Trybunału jest to wystarczające, by sprawić, że postępowanie oceniane jako całość było nierzetelne. </w:t>
      </w:r>
    </w:p>
    <w:p w:rsidR="002064F8" w:rsidRPr="002064F8" w:rsidRDefault="002064F8">
      <w:pPr>
        <w:pStyle w:val="ClinContent"/>
        <w:rPr>
          <w:lang w:val="pl-PL"/>
        </w:rPr>
      </w:pPr>
      <w:r w:rsidRPr="002064F8">
        <w:rPr>
          <w:i/>
          <w:lang w:val="pl-PL"/>
        </w:rPr>
        <w:t>Rozstrzygnięcie</w:t>
      </w:r>
      <w:r w:rsidRPr="002064F8">
        <w:rPr>
          <w:lang w:val="pl-PL"/>
        </w:rPr>
        <w:t xml:space="preserve">: naruszenie (pięcioma głosami do dwóch). </w:t>
      </w:r>
    </w:p>
    <w:p w:rsidR="0032497C" w:rsidRPr="00855E13" w:rsidRDefault="0032497C">
      <w:pPr>
        <w:pStyle w:val="ClinContent"/>
        <w:rPr>
          <w:lang w:val="pl-PL"/>
        </w:rPr>
      </w:pPr>
      <w:r w:rsidRPr="00855E13">
        <w:rPr>
          <w:lang w:val="pl-PL"/>
        </w:rPr>
        <w:t>Art. 41: 6</w:t>
      </w:r>
      <w:r w:rsidR="000B29BB">
        <w:rPr>
          <w:lang w:val="pl-PL"/>
        </w:rPr>
        <w:t xml:space="preserve"> </w:t>
      </w:r>
      <w:r w:rsidRPr="00855E13">
        <w:rPr>
          <w:lang w:val="pl-PL"/>
        </w:rPr>
        <w:t xml:space="preserve">400 euro </w:t>
      </w:r>
      <w:r w:rsidR="00752697">
        <w:rPr>
          <w:lang w:val="pl-PL"/>
        </w:rPr>
        <w:t xml:space="preserve">tytułem </w:t>
      </w:r>
      <w:r w:rsidRPr="00855E13">
        <w:rPr>
          <w:lang w:val="pl-PL"/>
        </w:rPr>
        <w:t>szkody niemajątkowej; roszczenie z tytułu szkody majątkowej oddalone.</w:t>
      </w:r>
    </w:p>
    <w:p w:rsidR="009F210D" w:rsidRPr="00855E13" w:rsidRDefault="009F210D">
      <w:pPr>
        <w:pBdr>
          <w:bottom w:val="single" w:sz="8" w:space="1" w:color="auto"/>
        </w:pBdr>
        <w:rPr>
          <w:lang w:val="pl-PL"/>
        </w:rPr>
      </w:pPr>
    </w:p>
    <w:p w:rsidR="00220FF4" w:rsidRPr="0074070E" w:rsidRDefault="00220FF4" w:rsidP="00220FF4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220FF4" w:rsidRPr="0074070E" w:rsidRDefault="00220FF4" w:rsidP="00220FF4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9F210D" w:rsidRPr="00220FF4" w:rsidRDefault="009F210D" w:rsidP="0009620B">
      <w:pPr>
        <w:pStyle w:val="ClinFooter"/>
        <w:jc w:val="left"/>
        <w:rPr>
          <w:lang w:val="pl-PL"/>
        </w:rPr>
      </w:pPr>
    </w:p>
    <w:sectPr w:rsidR="009F210D" w:rsidRPr="00220FF4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A4" w:rsidRDefault="00F565A4" w:rsidP="00C63262">
      <w:r>
        <w:separator/>
      </w:r>
    </w:p>
  </w:endnote>
  <w:endnote w:type="continuationSeparator" w:id="0">
    <w:p w:rsidR="00F565A4" w:rsidRDefault="00F565A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F93" w:rsidRDefault="00492F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F93" w:rsidRDefault="00492F9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A4" w:rsidRDefault="00F565A4" w:rsidP="00C63262">
      <w:r>
        <w:separator/>
      </w:r>
    </w:p>
  </w:footnote>
  <w:footnote w:type="continuationSeparator" w:id="0">
    <w:p w:rsidR="00F565A4" w:rsidRDefault="00F565A4" w:rsidP="00C63262">
      <w:r>
        <w:continuationSeparator/>
      </w:r>
    </w:p>
  </w:footnote>
  <w:footnote w:id="1">
    <w:p w:rsidR="001A0A3A" w:rsidRPr="008279B2" w:rsidRDefault="001A0A3A" w:rsidP="001A0A3A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F93" w:rsidRDefault="00492F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F47DF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None" w15:userId="Jankowski Dominik [BAZI]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70577"/>
    <w:rsid w:val="0009620B"/>
    <w:rsid w:val="00097888"/>
    <w:rsid w:val="000B29BB"/>
    <w:rsid w:val="000F13B5"/>
    <w:rsid w:val="00107377"/>
    <w:rsid w:val="001232F3"/>
    <w:rsid w:val="00143602"/>
    <w:rsid w:val="001769E4"/>
    <w:rsid w:val="00182E4A"/>
    <w:rsid w:val="00186560"/>
    <w:rsid w:val="001A0A3A"/>
    <w:rsid w:val="001B332B"/>
    <w:rsid w:val="001C2F59"/>
    <w:rsid w:val="001D6712"/>
    <w:rsid w:val="00205292"/>
    <w:rsid w:val="002064F8"/>
    <w:rsid w:val="00212E83"/>
    <w:rsid w:val="00220FF4"/>
    <w:rsid w:val="002966E7"/>
    <w:rsid w:val="002C0F79"/>
    <w:rsid w:val="002E088D"/>
    <w:rsid w:val="0030264F"/>
    <w:rsid w:val="0032497C"/>
    <w:rsid w:val="003450B3"/>
    <w:rsid w:val="00386958"/>
    <w:rsid w:val="003A64A6"/>
    <w:rsid w:val="003D7BB3"/>
    <w:rsid w:val="003F7C3B"/>
    <w:rsid w:val="0046453F"/>
    <w:rsid w:val="00492F93"/>
    <w:rsid w:val="004A5B52"/>
    <w:rsid w:val="004D568D"/>
    <w:rsid w:val="004E1037"/>
    <w:rsid w:val="00515C73"/>
    <w:rsid w:val="0052092D"/>
    <w:rsid w:val="00540D75"/>
    <w:rsid w:val="00540DE1"/>
    <w:rsid w:val="005514E5"/>
    <w:rsid w:val="00571C65"/>
    <w:rsid w:val="005C3636"/>
    <w:rsid w:val="006028A1"/>
    <w:rsid w:val="00631A28"/>
    <w:rsid w:val="00634EAA"/>
    <w:rsid w:val="00645916"/>
    <w:rsid w:val="00650394"/>
    <w:rsid w:val="0068265C"/>
    <w:rsid w:val="00683F6E"/>
    <w:rsid w:val="006875DD"/>
    <w:rsid w:val="00695E81"/>
    <w:rsid w:val="006A36AD"/>
    <w:rsid w:val="006B792C"/>
    <w:rsid w:val="006C1D96"/>
    <w:rsid w:val="006F47DF"/>
    <w:rsid w:val="00703F88"/>
    <w:rsid w:val="0071773F"/>
    <w:rsid w:val="00724C71"/>
    <w:rsid w:val="0072624B"/>
    <w:rsid w:val="00743F9B"/>
    <w:rsid w:val="00752697"/>
    <w:rsid w:val="00774515"/>
    <w:rsid w:val="00855E13"/>
    <w:rsid w:val="00895EF3"/>
    <w:rsid w:val="008C64D5"/>
    <w:rsid w:val="00903D38"/>
    <w:rsid w:val="00912F61"/>
    <w:rsid w:val="00987F2E"/>
    <w:rsid w:val="009B3B2C"/>
    <w:rsid w:val="009D5FF8"/>
    <w:rsid w:val="009E3EF0"/>
    <w:rsid w:val="009F210D"/>
    <w:rsid w:val="009F2F9C"/>
    <w:rsid w:val="00A01052"/>
    <w:rsid w:val="00A04D9C"/>
    <w:rsid w:val="00A258BB"/>
    <w:rsid w:val="00A33541"/>
    <w:rsid w:val="00A45616"/>
    <w:rsid w:val="00A47892"/>
    <w:rsid w:val="00A60136"/>
    <w:rsid w:val="00AA261A"/>
    <w:rsid w:val="00AC3981"/>
    <w:rsid w:val="00AC7726"/>
    <w:rsid w:val="00AE5595"/>
    <w:rsid w:val="00B80CA0"/>
    <w:rsid w:val="00B85770"/>
    <w:rsid w:val="00BB51AD"/>
    <w:rsid w:val="00BF1CD9"/>
    <w:rsid w:val="00C37433"/>
    <w:rsid w:val="00C63262"/>
    <w:rsid w:val="00C72355"/>
    <w:rsid w:val="00C82C5C"/>
    <w:rsid w:val="00C93CFB"/>
    <w:rsid w:val="00CF35E1"/>
    <w:rsid w:val="00CF7BA6"/>
    <w:rsid w:val="00D42086"/>
    <w:rsid w:val="00D425B3"/>
    <w:rsid w:val="00DC3C3D"/>
    <w:rsid w:val="00E13BAF"/>
    <w:rsid w:val="00E55491"/>
    <w:rsid w:val="00E83DB6"/>
    <w:rsid w:val="00EA53E7"/>
    <w:rsid w:val="00ED5E70"/>
    <w:rsid w:val="00EF32E7"/>
    <w:rsid w:val="00F10C1F"/>
    <w:rsid w:val="00F4644E"/>
    <w:rsid w:val="00F508C9"/>
    <w:rsid w:val="00F50CCD"/>
    <w:rsid w:val="00F5247C"/>
    <w:rsid w:val="00F565A4"/>
    <w:rsid w:val="00F73A13"/>
    <w:rsid w:val="00F75F30"/>
    <w:rsid w:val="00FA29E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232F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232F3"/>
  </w:style>
  <w:style w:type="character" w:customStyle="1" w:styleId="object">
    <w:name w:val="object"/>
    <w:basedOn w:val="Domylnaczcionkaakapitu"/>
    <w:rsid w:val="001232F3"/>
  </w:style>
  <w:style w:type="character" w:styleId="Odwoaniedokomentarza">
    <w:name w:val="annotation reference"/>
    <w:basedOn w:val="Domylnaczcionkaakapitu"/>
    <w:semiHidden/>
    <w:unhideWhenUsed/>
    <w:rsid w:val="00F10C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10C1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0C1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10C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10C1F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ED5E70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232F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232F3"/>
  </w:style>
  <w:style w:type="character" w:customStyle="1" w:styleId="object">
    <w:name w:val="object"/>
    <w:basedOn w:val="Domylnaczcionkaakapitu"/>
    <w:rsid w:val="001232F3"/>
  </w:style>
  <w:style w:type="character" w:styleId="Odwoaniedokomentarza">
    <w:name w:val="annotation reference"/>
    <w:basedOn w:val="Domylnaczcionkaakapitu"/>
    <w:semiHidden/>
    <w:unhideWhenUsed/>
    <w:rsid w:val="00F10C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10C1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0C1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10C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10C1F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ED5E70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gov.pl/web/dyplomacja" TargetMode="Externa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2019-06-11T11:21:00Z</dcterms:created>
  <dcterms:modified xsi:type="dcterms:W3CDTF">2019-06-11T14:25:00Z</dcterms:modified>
</cp:coreProperties>
</file>