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7.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BC719D" w:rsidR="00014566" w:rsidP="00BC719D" w:rsidRDefault="00014566">
      <w:pPr>
        <w:pStyle w:val="ECHRDecisionBody"/>
      </w:pPr>
      <w:bookmarkStart w:name="_GoBack" w:id="0"/>
      <w:bookmarkEnd w:id="0"/>
    </w:p>
    <w:p w:rsidRPr="00BC719D" w:rsidR="00933307" w:rsidP="00BC719D" w:rsidRDefault="00933307">
      <w:pPr>
        <w:pStyle w:val="ECHRDecisionBody"/>
      </w:pPr>
    </w:p>
    <w:p w:rsidRPr="00BC719D" w:rsidR="00933307" w:rsidP="00BC719D" w:rsidRDefault="00933307">
      <w:pPr>
        <w:pStyle w:val="ECHRDecisionBody"/>
      </w:pPr>
    </w:p>
    <w:p w:rsidRPr="00BC719D" w:rsidR="00014566" w:rsidP="00BC719D" w:rsidRDefault="00B32B88">
      <w:pPr>
        <w:jc w:val="center"/>
      </w:pPr>
      <w:r w:rsidRPr="00BC719D">
        <w:t>FIFTH SECTION</w:t>
      </w:r>
    </w:p>
    <w:p w:rsidRPr="00BC719D" w:rsidR="00014566" w:rsidP="00BC719D" w:rsidRDefault="00014566">
      <w:pPr>
        <w:jc w:val="center"/>
      </w:pPr>
    </w:p>
    <w:p w:rsidRPr="00BC719D" w:rsidR="00933307" w:rsidP="00BC719D" w:rsidRDefault="00933307">
      <w:pPr>
        <w:jc w:val="center"/>
      </w:pPr>
    </w:p>
    <w:p w:rsidRPr="00BC719D" w:rsidR="00933307" w:rsidP="00BC719D" w:rsidRDefault="00933307">
      <w:pPr>
        <w:jc w:val="center"/>
      </w:pPr>
    </w:p>
    <w:p w:rsidRPr="00BC719D" w:rsidR="00933307" w:rsidP="00BC719D" w:rsidRDefault="00933307">
      <w:pPr>
        <w:jc w:val="center"/>
      </w:pPr>
    </w:p>
    <w:p w:rsidRPr="00BC719D" w:rsidR="00933307" w:rsidP="00BC719D" w:rsidRDefault="00933307">
      <w:pPr>
        <w:jc w:val="center"/>
      </w:pPr>
    </w:p>
    <w:p w:rsidRPr="00BC719D" w:rsidR="00933307" w:rsidP="00BC719D" w:rsidRDefault="00933307">
      <w:pPr>
        <w:jc w:val="center"/>
      </w:pPr>
    </w:p>
    <w:p w:rsidRPr="00BC719D" w:rsidR="00617D18" w:rsidP="00BC719D" w:rsidRDefault="00617D18">
      <w:pPr>
        <w:jc w:val="center"/>
        <w:rPr>
          <w:b/>
        </w:rPr>
      </w:pPr>
      <w:bookmarkStart w:name="To" w:id="1"/>
      <w:r w:rsidRPr="00BC719D">
        <w:rPr>
          <w:b/>
        </w:rPr>
        <w:t xml:space="preserve">CASE OF </w:t>
      </w:r>
      <w:bookmarkEnd w:id="1"/>
      <w:r w:rsidRPr="00BC719D">
        <w:rPr>
          <w:b/>
        </w:rPr>
        <w:t>ĒCIS v. LATVIA</w:t>
      </w:r>
    </w:p>
    <w:p w:rsidRPr="00BC719D" w:rsidR="00617D18" w:rsidP="00BC719D" w:rsidRDefault="00617D18">
      <w:pPr>
        <w:jc w:val="center"/>
      </w:pPr>
    </w:p>
    <w:p w:rsidRPr="00BC719D" w:rsidR="00617D18" w:rsidP="00BC719D" w:rsidRDefault="00617D18">
      <w:pPr>
        <w:jc w:val="center"/>
        <w:rPr>
          <w:i/>
        </w:rPr>
      </w:pPr>
      <w:r w:rsidRPr="00BC719D">
        <w:rPr>
          <w:i/>
        </w:rPr>
        <w:t>(Application no. 12879/09)</w:t>
      </w:r>
    </w:p>
    <w:p w:rsidRPr="00BC719D" w:rsidR="00014566" w:rsidP="00BC719D" w:rsidRDefault="00014566">
      <w:pPr>
        <w:jc w:val="center"/>
      </w:pPr>
    </w:p>
    <w:p w:rsidRPr="00BC719D" w:rsidR="00014566" w:rsidP="00BC719D" w:rsidRDefault="00014566">
      <w:pPr>
        <w:jc w:val="center"/>
      </w:pPr>
    </w:p>
    <w:p w:rsidRPr="00BC719D" w:rsidR="00014566" w:rsidP="00BC719D" w:rsidRDefault="00014566">
      <w:pPr>
        <w:jc w:val="center"/>
      </w:pPr>
    </w:p>
    <w:p w:rsidRPr="00BC719D" w:rsidR="001A4BB2" w:rsidP="00BC719D" w:rsidRDefault="001A4BB2">
      <w:pPr>
        <w:jc w:val="center"/>
      </w:pPr>
    </w:p>
    <w:p w:rsidRPr="00BC719D" w:rsidR="00014566" w:rsidP="00BC719D" w:rsidRDefault="00014566">
      <w:pPr>
        <w:jc w:val="center"/>
      </w:pPr>
    </w:p>
    <w:p w:rsidRPr="00BC719D" w:rsidR="00014566" w:rsidP="00BC719D" w:rsidRDefault="00014566">
      <w:pPr>
        <w:jc w:val="center"/>
      </w:pPr>
    </w:p>
    <w:p w:rsidRPr="00BC719D" w:rsidR="00014566" w:rsidP="00BC719D" w:rsidRDefault="00014566">
      <w:pPr>
        <w:jc w:val="center"/>
      </w:pPr>
    </w:p>
    <w:p w:rsidRPr="00BC719D" w:rsidR="00933307" w:rsidP="00BC719D" w:rsidRDefault="00933307">
      <w:pPr>
        <w:jc w:val="center"/>
        <w:outlineLvl w:val="0"/>
      </w:pPr>
      <w:r w:rsidRPr="00BC719D">
        <w:t>JUDGMENT</w:t>
      </w:r>
    </w:p>
    <w:p w:rsidRPr="00BC719D" w:rsidR="00014566" w:rsidP="00BC719D" w:rsidRDefault="00014566">
      <w:pPr>
        <w:jc w:val="center"/>
        <w:rPr>
          <w:szCs w:val="24"/>
        </w:rPr>
      </w:pPr>
    </w:p>
    <w:p w:rsidRPr="00BC719D" w:rsidR="00933307" w:rsidP="00BC719D" w:rsidRDefault="00933307">
      <w:pPr>
        <w:pStyle w:val="ECHRPara"/>
        <w:ind w:firstLine="0"/>
        <w:jc w:val="center"/>
      </w:pPr>
    </w:p>
    <w:p w:rsidRPr="00BC719D" w:rsidR="00933307" w:rsidP="00BC719D" w:rsidRDefault="00933307">
      <w:pPr>
        <w:pStyle w:val="ECHRPara"/>
        <w:ind w:firstLine="0"/>
        <w:jc w:val="center"/>
      </w:pPr>
      <w:r w:rsidRPr="00BC719D">
        <w:t>STRASBOURG</w:t>
      </w:r>
    </w:p>
    <w:p w:rsidRPr="00BC719D" w:rsidR="00933307" w:rsidP="00BC719D" w:rsidRDefault="00933307">
      <w:pPr>
        <w:pStyle w:val="ECHRPara"/>
        <w:ind w:firstLine="0"/>
        <w:jc w:val="center"/>
      </w:pPr>
    </w:p>
    <w:p w:rsidRPr="00BC719D" w:rsidR="00933307" w:rsidP="00BC719D" w:rsidRDefault="00933307">
      <w:pPr>
        <w:pStyle w:val="ECHRPara"/>
        <w:ind w:firstLine="0"/>
        <w:jc w:val="center"/>
      </w:pPr>
      <w:r w:rsidRPr="00BC719D">
        <w:t>10 January 2019</w:t>
      </w:r>
    </w:p>
    <w:p w:rsidRPr="00BC719D" w:rsidR="00933307" w:rsidP="00BC719D" w:rsidRDefault="00933307">
      <w:pPr>
        <w:pStyle w:val="ECHRPara"/>
        <w:ind w:firstLine="0"/>
        <w:jc w:val="center"/>
      </w:pPr>
    </w:p>
    <w:p w:rsidRPr="00BC719D" w:rsidR="00933307" w:rsidP="00BC719D" w:rsidRDefault="00933307">
      <w:pPr>
        <w:pStyle w:val="ECHRPara"/>
        <w:ind w:firstLine="0"/>
        <w:jc w:val="center"/>
      </w:pPr>
    </w:p>
    <w:p w:rsidRPr="00BC719D" w:rsidR="00BC719D" w:rsidP="00BC719D" w:rsidRDefault="00BC719D">
      <w:pPr>
        <w:pStyle w:val="jucase0"/>
        <w:ind w:firstLine="0"/>
        <w:jc w:val="center"/>
        <w:rPr>
          <w:color w:val="FF0000"/>
          <w:sz w:val="28"/>
          <w:szCs w:val="28"/>
          <w:u w:val="single"/>
        </w:rPr>
      </w:pPr>
      <w:r w:rsidRPr="00BC719D">
        <w:rPr>
          <w:color w:val="FF0000"/>
          <w:sz w:val="28"/>
          <w:szCs w:val="28"/>
          <w:u w:val="single"/>
        </w:rPr>
        <w:t>FINAL</w:t>
      </w:r>
    </w:p>
    <w:p w:rsidRPr="00BC719D" w:rsidR="00BC719D" w:rsidP="00BC719D" w:rsidRDefault="00BC719D">
      <w:pPr>
        <w:pStyle w:val="jupara"/>
        <w:tabs>
          <w:tab w:val="left" w:pos="4650"/>
        </w:tabs>
        <w:ind w:firstLine="0"/>
        <w:jc w:val="center"/>
        <w:rPr>
          <w:color w:val="FF0000"/>
          <w:sz w:val="28"/>
          <w:szCs w:val="28"/>
        </w:rPr>
      </w:pPr>
    </w:p>
    <w:p w:rsidRPr="00BC719D" w:rsidR="00BC719D" w:rsidP="00BC719D" w:rsidRDefault="00BC719D">
      <w:pPr>
        <w:pStyle w:val="jupara"/>
        <w:ind w:firstLine="0"/>
        <w:jc w:val="center"/>
        <w:rPr>
          <w:color w:val="FF0000"/>
          <w:sz w:val="28"/>
          <w:szCs w:val="28"/>
        </w:rPr>
      </w:pPr>
      <w:r w:rsidRPr="00BC719D">
        <w:rPr>
          <w:color w:val="FF0000"/>
          <w:sz w:val="28"/>
          <w:szCs w:val="28"/>
        </w:rPr>
        <w:t>24/06/2019</w:t>
      </w:r>
    </w:p>
    <w:p w:rsidRPr="00BC719D" w:rsidR="00BC719D" w:rsidP="00BC719D" w:rsidRDefault="00BC719D">
      <w:pPr>
        <w:pStyle w:val="jupara"/>
        <w:ind w:firstLine="0"/>
        <w:jc w:val="center"/>
      </w:pPr>
    </w:p>
    <w:p w:rsidRPr="00BC719D" w:rsidR="00BC719D" w:rsidP="00BC719D" w:rsidRDefault="00BC719D">
      <w:pPr>
        <w:pStyle w:val="jupara"/>
        <w:ind w:firstLine="0"/>
        <w:jc w:val="center"/>
      </w:pPr>
    </w:p>
    <w:p w:rsidRPr="00BC719D" w:rsidR="00BC719D" w:rsidP="00BC719D" w:rsidRDefault="00BC719D">
      <w:pPr>
        <w:pStyle w:val="jupara"/>
        <w:ind w:firstLine="0"/>
        <w:jc w:val="center"/>
      </w:pPr>
    </w:p>
    <w:p w:rsidRPr="00BC719D" w:rsidR="00BC719D" w:rsidP="00BC719D" w:rsidRDefault="00BC719D">
      <w:pPr>
        <w:jc w:val="left"/>
        <w:rPr>
          <w:i/>
          <w:iCs/>
          <w:sz w:val="22"/>
        </w:rPr>
      </w:pPr>
      <w:r w:rsidRPr="00BC719D">
        <w:rPr>
          <w:i/>
          <w:iCs/>
          <w:sz w:val="22"/>
        </w:rPr>
        <w:t>This judgment has become final under Article 44 § 2 of the Convention. It may be subject to editorial revision.</w:t>
      </w:r>
    </w:p>
    <w:p w:rsidRPr="00BC719D" w:rsidR="00933307" w:rsidP="00BC719D" w:rsidRDefault="00933307">
      <w:pPr>
        <w:jc w:val="left"/>
        <w:rPr>
          <w:i/>
          <w:sz w:val="22"/>
        </w:rPr>
      </w:pPr>
      <w:r w:rsidRPr="00BC719D">
        <w:rPr>
          <w:i/>
          <w:sz w:val="22"/>
        </w:rPr>
        <w:br w:type="page"/>
      </w:r>
    </w:p>
    <w:p w:rsidRPr="00BC719D" w:rsidR="00933307" w:rsidP="00BC719D" w:rsidRDefault="00933307">
      <w:pPr>
        <w:pStyle w:val="ECHRPara"/>
        <w:ind w:firstLine="0"/>
        <w:sectPr w:rsidRPr="00BC719D" w:rsidR="00933307" w:rsidSect="00933307">
          <w:headerReference w:type="default" r:id="rId8"/>
          <w:headerReference w:type="first" r:id="rId9"/>
          <w:footerReference w:type="first" r:id="rId10"/>
          <w:footnotePr>
            <w:numRestart w:val="eachSect"/>
          </w:footnotePr>
          <w:pgSz w:w="11906" w:h="16838" w:code="9"/>
          <w:pgMar w:top="2274" w:right="2274" w:bottom="2274" w:left="2274" w:header="1701" w:footer="720" w:gutter="0"/>
          <w:pgNumType w:start="1"/>
          <w:cols w:space="720"/>
          <w:titlePg/>
          <w:docGrid w:linePitch="326"/>
        </w:sectPr>
      </w:pPr>
    </w:p>
    <w:p w:rsidRPr="00BC719D" w:rsidR="00014566" w:rsidP="00BC719D" w:rsidRDefault="00014566">
      <w:pPr>
        <w:pStyle w:val="ECHRPara"/>
        <w:rPr>
          <w:b/>
          <w:bCs/>
        </w:rPr>
      </w:pPr>
      <w:r w:rsidRPr="00BC719D">
        <w:rPr>
          <w:b/>
        </w:rPr>
        <w:t xml:space="preserve">In the case of </w:t>
      </w:r>
      <w:r w:rsidRPr="00BC719D" w:rsidR="00B32B88">
        <w:rPr>
          <w:b/>
        </w:rPr>
        <w:t>Ēcis v. Latvia</w:t>
      </w:r>
      <w:r w:rsidRPr="00BC719D">
        <w:rPr>
          <w:b/>
        </w:rPr>
        <w:t>,</w:t>
      </w:r>
    </w:p>
    <w:p w:rsidRPr="00BC719D" w:rsidR="00014566" w:rsidP="00BC719D" w:rsidRDefault="00014566">
      <w:pPr>
        <w:pStyle w:val="ECHRPara"/>
      </w:pPr>
      <w:r w:rsidRPr="00BC719D">
        <w:t>The European Court of Human Rights (</w:t>
      </w:r>
      <w:r w:rsidRPr="00BC719D" w:rsidR="00B32B88">
        <w:t>Fifth Section</w:t>
      </w:r>
      <w:r w:rsidRPr="00BC719D">
        <w:t xml:space="preserve">), sitting as a </w:t>
      </w:r>
      <w:r w:rsidRPr="00BC719D" w:rsidR="00B32B88">
        <w:t>Chamber</w:t>
      </w:r>
      <w:r w:rsidRPr="00BC719D">
        <w:t xml:space="preserve"> composed of:</w:t>
      </w:r>
    </w:p>
    <w:p w:rsidRPr="00BC719D" w:rsidR="00014566" w:rsidP="00BC719D" w:rsidRDefault="00724A68">
      <w:pPr>
        <w:pStyle w:val="ECHRDecisionBody"/>
      </w:pPr>
      <w:r w:rsidRPr="00BC719D">
        <w:tab/>
        <w:t>Angelika Nußberger,</w:t>
      </w:r>
      <w:r w:rsidRPr="00BC719D">
        <w:rPr>
          <w:i/>
        </w:rPr>
        <w:t xml:space="preserve"> President,</w:t>
      </w:r>
      <w:r w:rsidRPr="00BC719D">
        <w:rPr>
          <w:i/>
        </w:rPr>
        <w:br/>
      </w:r>
      <w:r w:rsidRPr="00BC719D">
        <w:tab/>
        <w:t>Yonko Grozev,</w:t>
      </w:r>
      <w:r w:rsidRPr="00BC719D">
        <w:rPr>
          <w:i/>
        </w:rPr>
        <w:br/>
      </w:r>
      <w:r w:rsidRPr="00BC719D">
        <w:tab/>
        <w:t>André Potocki,</w:t>
      </w:r>
      <w:r w:rsidRPr="00BC719D">
        <w:rPr>
          <w:i/>
        </w:rPr>
        <w:br/>
      </w:r>
      <w:r w:rsidRPr="00BC719D">
        <w:tab/>
        <w:t>Síofra O</w:t>
      </w:r>
      <w:r w:rsidRPr="00BC719D" w:rsidR="00BC719D">
        <w:t>’</w:t>
      </w:r>
      <w:r w:rsidRPr="00BC719D">
        <w:t>Leary,</w:t>
      </w:r>
      <w:r w:rsidRPr="00BC719D">
        <w:rPr>
          <w:i/>
        </w:rPr>
        <w:br/>
      </w:r>
      <w:r w:rsidRPr="00BC719D">
        <w:tab/>
        <w:t>Mārtiņš Mits,</w:t>
      </w:r>
      <w:r w:rsidRPr="00BC719D">
        <w:rPr>
          <w:i/>
        </w:rPr>
        <w:br/>
      </w:r>
      <w:r w:rsidRPr="00BC719D">
        <w:tab/>
        <w:t>Gabriele Kucsko-Stadlmayer,</w:t>
      </w:r>
      <w:r w:rsidRPr="00BC719D">
        <w:rPr>
          <w:i/>
        </w:rPr>
        <w:br/>
      </w:r>
      <w:r w:rsidRPr="00BC719D">
        <w:tab/>
        <w:t>Lado Chanturia,</w:t>
      </w:r>
      <w:r w:rsidRPr="00BC719D">
        <w:rPr>
          <w:i/>
        </w:rPr>
        <w:t xml:space="preserve"> judges,</w:t>
      </w:r>
      <w:r w:rsidRPr="00BC719D" w:rsidR="00014566">
        <w:rPr>
          <w:szCs w:val="24"/>
        </w:rPr>
        <w:br/>
      </w:r>
      <w:r w:rsidRPr="00BC719D" w:rsidR="00014566">
        <w:t xml:space="preserve">and </w:t>
      </w:r>
      <w:r w:rsidRPr="00BC719D" w:rsidR="009F5D1C">
        <w:t>Milan Blaško</w:t>
      </w:r>
      <w:r w:rsidRPr="00BC719D" w:rsidR="00014566">
        <w:t xml:space="preserve">, </w:t>
      </w:r>
      <w:r w:rsidRPr="00BC719D" w:rsidR="009F5D1C">
        <w:rPr>
          <w:i/>
        </w:rPr>
        <w:t>Deputy</w:t>
      </w:r>
      <w:r w:rsidRPr="00BC719D" w:rsidR="009F5D1C">
        <w:t xml:space="preserve"> </w:t>
      </w:r>
      <w:r w:rsidRPr="00BC719D" w:rsidR="00B32B88">
        <w:rPr>
          <w:i/>
        </w:rPr>
        <w:t xml:space="preserve">Section </w:t>
      </w:r>
      <w:r w:rsidRPr="00BC719D" w:rsidR="00B32B88">
        <w:rPr>
          <w:i/>
          <w:iCs/>
        </w:rPr>
        <w:t>Registrar</w:t>
      </w:r>
      <w:r w:rsidRPr="00BC719D" w:rsidR="00014566">
        <w:rPr>
          <w:i/>
        </w:rPr>
        <w:t>,</w:t>
      </w:r>
    </w:p>
    <w:p w:rsidRPr="00BC719D" w:rsidR="00014566" w:rsidP="00BC719D" w:rsidRDefault="00014566">
      <w:pPr>
        <w:pStyle w:val="ECHRPara"/>
      </w:pPr>
      <w:r w:rsidRPr="00BC719D">
        <w:t xml:space="preserve">Having deliberated in private on </w:t>
      </w:r>
      <w:r w:rsidRPr="00BC719D" w:rsidR="00724A68">
        <w:t>20 November 2018</w:t>
      </w:r>
      <w:r w:rsidRPr="00BC719D">
        <w:t>,</w:t>
      </w:r>
    </w:p>
    <w:p w:rsidRPr="00BC719D" w:rsidR="00014566" w:rsidP="00BC719D" w:rsidRDefault="00014566">
      <w:pPr>
        <w:pStyle w:val="ECHRPara"/>
      </w:pPr>
      <w:r w:rsidRPr="00BC719D">
        <w:t>Delivers the following judgment, which was adopted on that date:</w:t>
      </w:r>
    </w:p>
    <w:p w:rsidRPr="00BC719D" w:rsidR="00014566" w:rsidP="00BC719D" w:rsidRDefault="00014566">
      <w:pPr>
        <w:pStyle w:val="ECHRTitle1"/>
      </w:pPr>
      <w:r w:rsidRPr="00BC719D">
        <w:t>PROCEDURE</w:t>
      </w:r>
    </w:p>
    <w:p w:rsidRPr="00BC719D" w:rsidR="00132A27" w:rsidP="00BC719D" w:rsidRDefault="00B32B88">
      <w:pPr>
        <w:pStyle w:val="ECHRPara"/>
      </w:pPr>
      <w:r w:rsidRPr="00BC719D">
        <w:fldChar w:fldCharType="begin"/>
      </w:r>
      <w:r w:rsidRPr="00BC719D">
        <w:instrText xml:space="preserve"> SEQ level0 \*arabic </w:instrText>
      </w:r>
      <w:r w:rsidRPr="00BC719D">
        <w:fldChar w:fldCharType="separate"/>
      </w:r>
      <w:r w:rsidRPr="00BC719D" w:rsidR="00BC719D">
        <w:rPr>
          <w:noProof/>
        </w:rPr>
        <w:t>1</w:t>
      </w:r>
      <w:r w:rsidRPr="00BC719D">
        <w:fldChar w:fldCharType="end"/>
      </w:r>
      <w:r w:rsidRPr="00BC719D" w:rsidR="00014566">
        <w:t xml:space="preserve">.  The case originated in </w:t>
      </w:r>
      <w:r w:rsidRPr="00BC719D">
        <w:t>an application (no. 12879/09)</w:t>
      </w:r>
      <w:r w:rsidRPr="00BC719D" w:rsidR="00014566">
        <w:t xml:space="preserve"> against </w:t>
      </w:r>
      <w:r w:rsidRPr="00BC719D">
        <w:t>the Republic of Latvia</w:t>
      </w:r>
      <w:r w:rsidRPr="00BC719D" w:rsidR="00014566">
        <w:t xml:space="preserve"> lodged with the </w:t>
      </w:r>
      <w:r w:rsidRPr="00BC719D">
        <w:t>Court under Article 34</w:t>
      </w:r>
      <w:r w:rsidRPr="00BC719D" w:rsidR="00014566">
        <w:t xml:space="preserve"> of the Convention for the Protection of Human Rights and Fundamental Freedoms (“the Convention”) by </w:t>
      </w:r>
      <w:r w:rsidRPr="00BC719D">
        <w:t>a Latvian national, Mr Mārtiņš Ēcis (“the applicant”), on 12 December 2008</w:t>
      </w:r>
      <w:r w:rsidRPr="00BC719D" w:rsidR="00014566">
        <w:t>.</w:t>
      </w:r>
    </w:p>
    <w:p w:rsidRPr="00BC719D" w:rsidR="00B32B88" w:rsidP="00BC719D" w:rsidRDefault="00B32B88">
      <w:pPr>
        <w:pStyle w:val="ECHRPara"/>
      </w:pPr>
      <w:r w:rsidRPr="00BC719D">
        <w:fldChar w:fldCharType="begin"/>
      </w:r>
      <w:r w:rsidRPr="00BC719D">
        <w:instrText xml:space="preserve"> SEQ level0 \*arabic </w:instrText>
      </w:r>
      <w:r w:rsidRPr="00BC719D">
        <w:fldChar w:fldCharType="separate"/>
      </w:r>
      <w:r w:rsidRPr="00BC719D" w:rsidR="00BC719D">
        <w:rPr>
          <w:noProof/>
        </w:rPr>
        <w:t>2</w:t>
      </w:r>
      <w:r w:rsidRPr="00BC719D">
        <w:fldChar w:fldCharType="end"/>
      </w:r>
      <w:r w:rsidRPr="00BC719D" w:rsidR="00014566">
        <w:t>.  </w:t>
      </w:r>
      <w:r w:rsidRPr="00BC719D">
        <w:t xml:space="preserve">The applicant, who </w:t>
      </w:r>
      <w:r w:rsidRPr="00BC719D" w:rsidR="009B6661">
        <w:t>was</w:t>
      </w:r>
      <w:r w:rsidRPr="00BC719D">
        <w:t xml:space="preserve"> granted legal aid, was represented by Mr A.</w:t>
      </w:r>
      <w:r w:rsidRPr="00BC719D" w:rsidR="00B97CC4">
        <w:t> </w:t>
      </w:r>
      <w:r w:rsidRPr="00BC719D">
        <w:t xml:space="preserve">Alliks, a lawyer practising in Rīga. </w:t>
      </w:r>
      <w:r w:rsidRPr="00BC719D" w:rsidR="00014566">
        <w:t xml:space="preserve">The </w:t>
      </w:r>
      <w:r w:rsidRPr="00BC719D">
        <w:t>Latvian</w:t>
      </w:r>
      <w:r w:rsidRPr="00BC719D" w:rsidR="00014566">
        <w:t xml:space="preserve"> Government (“the Government”) were represented by their </w:t>
      </w:r>
      <w:r w:rsidRPr="00BC719D">
        <w:t>Agent, Ms K. Līce</w:t>
      </w:r>
      <w:r w:rsidRPr="00BC719D" w:rsidR="00014566">
        <w:t>.</w:t>
      </w:r>
    </w:p>
    <w:p w:rsidRPr="00BC719D" w:rsidR="00B32B88" w:rsidP="00BC719D" w:rsidRDefault="00B32B88">
      <w:pPr>
        <w:pStyle w:val="ECHRPara"/>
      </w:pPr>
      <w:r w:rsidRPr="00BC719D">
        <w:fldChar w:fldCharType="begin"/>
      </w:r>
      <w:r w:rsidRPr="00BC719D">
        <w:instrText xml:space="preserve"> SEQ level0 \*arabic </w:instrText>
      </w:r>
      <w:r w:rsidRPr="00BC719D">
        <w:fldChar w:fldCharType="separate"/>
      </w:r>
      <w:r w:rsidRPr="00BC719D" w:rsidR="00BC719D">
        <w:rPr>
          <w:noProof/>
        </w:rPr>
        <w:t>3</w:t>
      </w:r>
      <w:r w:rsidRPr="00BC719D">
        <w:fldChar w:fldCharType="end"/>
      </w:r>
      <w:r w:rsidRPr="00BC719D">
        <w:t>.  The applicant alleged, in part</w:t>
      </w:r>
      <w:r w:rsidRPr="00BC719D" w:rsidR="00E071AF">
        <w:t xml:space="preserve">icular, that he was discriminated </w:t>
      </w:r>
      <w:r w:rsidRPr="00BC719D" w:rsidR="00F0202C">
        <w:t xml:space="preserve">against </w:t>
      </w:r>
      <w:r w:rsidRPr="00BC719D" w:rsidR="00E071AF">
        <w:t xml:space="preserve">on the grounds of </w:t>
      </w:r>
      <w:r w:rsidRPr="00BC719D" w:rsidR="00E40057">
        <w:t xml:space="preserve">his </w:t>
      </w:r>
      <w:r w:rsidRPr="00BC719D" w:rsidR="00E071AF">
        <w:t xml:space="preserve">sex </w:t>
      </w:r>
      <w:r w:rsidRPr="00BC719D" w:rsidR="00360A2B">
        <w:t>with respect to the applicable prison regime</w:t>
      </w:r>
      <w:r w:rsidRPr="00BC719D" w:rsidR="00E40057">
        <w:t xml:space="preserve"> that had led to a refusal to attend his father</w:t>
      </w:r>
      <w:r w:rsidRPr="00BC719D" w:rsidR="00BC719D">
        <w:t>’</w:t>
      </w:r>
      <w:r w:rsidRPr="00BC719D" w:rsidR="00E40057">
        <w:t xml:space="preserve">s funeral. He complained of </w:t>
      </w:r>
      <w:r w:rsidRPr="00BC719D" w:rsidR="00E071AF">
        <w:t xml:space="preserve">breach of </w:t>
      </w:r>
      <w:r w:rsidRPr="00BC719D">
        <w:t>Article 14</w:t>
      </w:r>
      <w:r w:rsidRPr="00BC719D" w:rsidR="00E071AF">
        <w:t xml:space="preserve"> of the Convention</w:t>
      </w:r>
      <w:r w:rsidRPr="00BC719D">
        <w:t>, in essence</w:t>
      </w:r>
      <w:r w:rsidRPr="00BC719D" w:rsidR="00DC3FF5">
        <w:t>, read</w:t>
      </w:r>
      <w:r w:rsidRPr="00BC719D">
        <w:t xml:space="preserve"> in conjunction with Article 8 of the Convention.</w:t>
      </w:r>
    </w:p>
    <w:p w:rsidRPr="00BC719D" w:rsidR="00014566" w:rsidP="00BC719D" w:rsidRDefault="00B32B88">
      <w:pPr>
        <w:pStyle w:val="ECHRPara"/>
      </w:pPr>
      <w:r w:rsidRPr="00BC719D">
        <w:fldChar w:fldCharType="begin"/>
      </w:r>
      <w:r w:rsidRPr="00BC719D">
        <w:instrText xml:space="preserve"> SEQ level0 \*arabic </w:instrText>
      </w:r>
      <w:r w:rsidRPr="00BC719D">
        <w:fldChar w:fldCharType="separate"/>
      </w:r>
      <w:r w:rsidRPr="00BC719D" w:rsidR="00BC719D">
        <w:rPr>
          <w:noProof/>
        </w:rPr>
        <w:t>4</w:t>
      </w:r>
      <w:r w:rsidRPr="00BC719D">
        <w:fldChar w:fldCharType="end"/>
      </w:r>
      <w:r w:rsidRPr="00BC719D" w:rsidR="00014566">
        <w:t>.  </w:t>
      </w:r>
      <w:r w:rsidRPr="00BC719D">
        <w:t xml:space="preserve">On </w:t>
      </w:r>
      <w:r w:rsidRPr="00BC719D">
        <w:rPr>
          <w:szCs w:val="24"/>
        </w:rPr>
        <w:t>25 March 2015</w:t>
      </w:r>
      <w:r w:rsidRPr="00BC719D" w:rsidR="00014566">
        <w:t xml:space="preserve"> the </w:t>
      </w:r>
      <w:r w:rsidRPr="00BC719D">
        <w:t xml:space="preserve">complaint concerning </w:t>
      </w:r>
      <w:r w:rsidRPr="00BC719D" w:rsidR="00E071AF">
        <w:t>alleged discrimination</w:t>
      </w:r>
      <w:r w:rsidRPr="00BC719D">
        <w:t xml:space="preserve"> was communicated to the Government and the remainder of the application was declared inadmissible</w:t>
      </w:r>
      <w:r w:rsidRPr="00BC719D" w:rsidR="00341DE7">
        <w:t>,</w:t>
      </w:r>
      <w:r w:rsidRPr="00BC719D">
        <w:rPr>
          <w:szCs w:val="24"/>
        </w:rPr>
        <w:t xml:space="preserve"> </w:t>
      </w:r>
      <w:r w:rsidRPr="00BC719D">
        <w:t>pursuant to Rule 54 § 3 of the Rules of Court</w:t>
      </w:r>
      <w:r w:rsidRPr="00BC719D" w:rsidR="007509D5">
        <w:t>.</w:t>
      </w:r>
    </w:p>
    <w:p w:rsidRPr="00BC719D" w:rsidR="00014566" w:rsidP="00BC719D" w:rsidRDefault="00014566">
      <w:pPr>
        <w:pStyle w:val="ECHRTitle1"/>
      </w:pPr>
      <w:r w:rsidRPr="00BC719D">
        <w:t>THE FACTS</w:t>
      </w:r>
    </w:p>
    <w:p w:rsidRPr="00BC719D" w:rsidR="00014566" w:rsidP="00BC719D" w:rsidRDefault="00014566">
      <w:pPr>
        <w:pStyle w:val="ECHRHeading1"/>
      </w:pPr>
      <w:r w:rsidRPr="00BC719D">
        <w:t>I.  THE CIRCUMSTANCES OF THE CASE</w:t>
      </w:r>
    </w:p>
    <w:p w:rsidRPr="00BC719D" w:rsidR="00014566" w:rsidP="00BC719D" w:rsidRDefault="00B32B88">
      <w:pPr>
        <w:pStyle w:val="ECHRPara"/>
      </w:pPr>
      <w:r w:rsidRPr="00BC719D">
        <w:fldChar w:fldCharType="begin"/>
      </w:r>
      <w:r w:rsidRPr="00BC719D">
        <w:instrText xml:space="preserve"> SEQ level0 \*arabic </w:instrText>
      </w:r>
      <w:r w:rsidRPr="00BC719D">
        <w:fldChar w:fldCharType="separate"/>
      </w:r>
      <w:r w:rsidRPr="00BC719D" w:rsidR="00BC719D">
        <w:rPr>
          <w:noProof/>
        </w:rPr>
        <w:t>5</w:t>
      </w:r>
      <w:r w:rsidRPr="00BC719D">
        <w:fldChar w:fldCharType="end"/>
      </w:r>
      <w:r w:rsidRPr="00BC719D" w:rsidR="00014566">
        <w:t xml:space="preserve">.  The </w:t>
      </w:r>
      <w:r w:rsidRPr="00BC719D">
        <w:t>applicant was born in 1981 and lives</w:t>
      </w:r>
      <w:r w:rsidRPr="00BC719D" w:rsidR="00014566">
        <w:t xml:space="preserve"> in </w:t>
      </w:r>
      <w:r w:rsidRPr="00BC719D" w:rsidR="009B6661">
        <w:t xml:space="preserve">the </w:t>
      </w:r>
      <w:r w:rsidRPr="00BC719D">
        <w:t xml:space="preserve">Ventspils </w:t>
      </w:r>
      <w:r w:rsidRPr="00BC719D" w:rsidR="00D06DD2">
        <w:t>district</w:t>
      </w:r>
      <w:r w:rsidRPr="00BC719D" w:rsidR="00014566">
        <w:t>.</w:t>
      </w:r>
    </w:p>
    <w:p w:rsidRPr="00BC719D" w:rsidR="00B32B88" w:rsidP="00BC719D" w:rsidRDefault="0031563D">
      <w:pPr>
        <w:pStyle w:val="ECHRHeading2"/>
      </w:pPr>
      <w:r w:rsidRPr="00BC719D">
        <w:t>A</w:t>
      </w:r>
      <w:r w:rsidRPr="00BC719D" w:rsidR="00B32B88">
        <w:t>.  The applicant</w:t>
      </w:r>
      <w:r w:rsidRPr="00BC719D" w:rsidR="00BC719D">
        <w:t>’</w:t>
      </w:r>
      <w:r w:rsidRPr="00BC719D" w:rsidR="00B32B88">
        <w:t xml:space="preserve">s </w:t>
      </w:r>
      <w:r w:rsidRPr="00BC719D" w:rsidR="00423788">
        <w:t>imprisonment</w:t>
      </w:r>
      <w:r w:rsidRPr="00BC719D" w:rsidR="006772E2">
        <w:t xml:space="preserve"> and </w:t>
      </w:r>
      <w:r w:rsidRPr="00BC719D" w:rsidR="001D0DE8">
        <w:t xml:space="preserve">the applicable </w:t>
      </w:r>
      <w:r w:rsidRPr="00BC719D" w:rsidR="006772E2">
        <w:t>prison regime</w:t>
      </w:r>
    </w:p>
    <w:p w:rsidRPr="00BC719D" w:rsidR="00B32B88" w:rsidP="00BC719D" w:rsidRDefault="006332A7">
      <w:pPr>
        <w:pStyle w:val="ECHRPara"/>
      </w:pPr>
      <w:r w:rsidRPr="00BC719D">
        <w:fldChar w:fldCharType="begin"/>
      </w:r>
      <w:r w:rsidRPr="00BC719D">
        <w:instrText xml:space="preserve"> SEQ level0 \*arabic </w:instrText>
      </w:r>
      <w:r w:rsidRPr="00BC719D">
        <w:fldChar w:fldCharType="separate"/>
      </w:r>
      <w:r w:rsidRPr="00BC719D" w:rsidR="00BC719D">
        <w:rPr>
          <w:noProof/>
        </w:rPr>
        <w:t>6</w:t>
      </w:r>
      <w:r w:rsidRPr="00BC719D">
        <w:fldChar w:fldCharType="end"/>
      </w:r>
      <w:r w:rsidRPr="00BC719D">
        <w:t>.  </w:t>
      </w:r>
      <w:r w:rsidRPr="00BC719D" w:rsidR="000574CF">
        <w:t xml:space="preserve">On 6 December 2001 the applicant was convicted of kidnapping, aggravated murder and aggravated extortion and sentenced to </w:t>
      </w:r>
      <w:r w:rsidRPr="00BC719D" w:rsidR="00F0202C">
        <w:t xml:space="preserve">twenty </w:t>
      </w:r>
      <w:r w:rsidRPr="00BC719D" w:rsidR="000574CF">
        <w:t>years</w:t>
      </w:r>
      <w:r w:rsidRPr="00BC719D" w:rsidR="00BC719D">
        <w:t>’</w:t>
      </w:r>
      <w:r w:rsidRPr="00BC719D" w:rsidR="000574CF">
        <w:t xml:space="preserve"> imprisonment. This judgment was upheld </w:t>
      </w:r>
      <w:r w:rsidRPr="00BC719D" w:rsidR="00F0202C">
        <w:t xml:space="preserve">at </w:t>
      </w:r>
      <w:r w:rsidRPr="00BC719D" w:rsidR="000574CF">
        <w:t xml:space="preserve">two levels of appeal and </w:t>
      </w:r>
      <w:r w:rsidRPr="00BC719D" w:rsidR="00B32B88">
        <w:t>took effect in 2002.</w:t>
      </w:r>
    </w:p>
    <w:p w:rsidRPr="00BC719D" w:rsidR="00132A27" w:rsidP="00BC719D" w:rsidRDefault="00B32B88">
      <w:pPr>
        <w:pStyle w:val="ECHRPara"/>
      </w:pPr>
      <w:r w:rsidRPr="00BC719D">
        <w:fldChar w:fldCharType="begin"/>
      </w:r>
      <w:r w:rsidRPr="00BC719D">
        <w:instrText xml:space="preserve"> SEQ level0 \*arabic </w:instrText>
      </w:r>
      <w:r w:rsidRPr="00BC719D">
        <w:fldChar w:fldCharType="separate"/>
      </w:r>
      <w:r w:rsidRPr="00BC719D" w:rsidR="00BC719D">
        <w:rPr>
          <w:noProof/>
        </w:rPr>
        <w:t>7</w:t>
      </w:r>
      <w:r w:rsidRPr="00BC719D">
        <w:fldChar w:fldCharType="end"/>
      </w:r>
      <w:r w:rsidRPr="00BC719D">
        <w:t>.  In accordance with section 50</w:t>
      </w:r>
      <w:r w:rsidRPr="00BC719D">
        <w:rPr>
          <w:vertAlign w:val="superscript"/>
        </w:rPr>
        <w:t>4</w:t>
      </w:r>
      <w:r w:rsidRPr="00BC719D" w:rsidR="006772E2">
        <w:t>(1)</w:t>
      </w:r>
      <w:r w:rsidRPr="00BC719D">
        <w:t xml:space="preserve"> of the Sentence Enforcement Code</w:t>
      </w:r>
      <w:r w:rsidRPr="00BC719D" w:rsidR="00341DE7">
        <w:t xml:space="preserve"> (</w:t>
      </w:r>
      <w:r w:rsidRPr="00BC719D" w:rsidR="00341DE7">
        <w:rPr>
          <w:i/>
        </w:rPr>
        <w:t>Latvijas Sodu izpildes kodekss</w:t>
      </w:r>
      <w:r w:rsidRPr="00BC719D" w:rsidR="00341DE7">
        <w:t>)</w:t>
      </w:r>
      <w:r w:rsidRPr="00BC719D" w:rsidR="00F0202C">
        <w:t>,</w:t>
      </w:r>
      <w:r w:rsidRPr="00BC719D">
        <w:t xml:space="preserve"> </w:t>
      </w:r>
      <w:r w:rsidRPr="00BC719D" w:rsidR="001D0DE8">
        <w:t xml:space="preserve">the applicant </w:t>
      </w:r>
      <w:r w:rsidRPr="00BC719D">
        <w:t xml:space="preserve">was placed </w:t>
      </w:r>
      <w:r w:rsidRPr="00BC719D" w:rsidR="00DD567A">
        <w:t>at</w:t>
      </w:r>
      <w:r w:rsidRPr="00BC719D" w:rsidR="00F0202C">
        <w:t xml:space="preserve"> </w:t>
      </w:r>
      <w:r w:rsidRPr="00BC719D" w:rsidR="0030620B">
        <w:t xml:space="preserve">the </w:t>
      </w:r>
      <w:r w:rsidRPr="00BC719D" w:rsidR="00F93BC4">
        <w:t>maximum</w:t>
      </w:r>
      <w:r w:rsidRPr="00BC719D" w:rsidR="00F93BC4">
        <w:noBreakHyphen/>
      </w:r>
      <w:r w:rsidRPr="00BC719D">
        <w:t xml:space="preserve">security </w:t>
      </w:r>
      <w:r w:rsidRPr="00BC719D" w:rsidR="00DD567A">
        <w:t xml:space="preserve">level </w:t>
      </w:r>
      <w:r w:rsidRPr="00BC719D" w:rsidR="00341DE7">
        <w:t>in</w:t>
      </w:r>
      <w:r w:rsidRPr="00BC719D" w:rsidR="00DD567A">
        <w:t xml:space="preserve"> </w:t>
      </w:r>
      <w:r w:rsidRPr="00BC719D" w:rsidR="00235E97">
        <w:t>a closed prison</w:t>
      </w:r>
      <w:r w:rsidRPr="00BC719D">
        <w:t>.</w:t>
      </w:r>
    </w:p>
    <w:bookmarkStart w:name="Facts_medium_regume" w:id="2"/>
    <w:p w:rsidRPr="00BC719D" w:rsidR="00132A27" w:rsidP="00BC719D" w:rsidRDefault="00B32B88">
      <w:pPr>
        <w:pStyle w:val="ECHRPara"/>
      </w:pPr>
      <w:r w:rsidRPr="00BC719D">
        <w:fldChar w:fldCharType="begin"/>
      </w:r>
      <w:r w:rsidRPr="00BC719D">
        <w:instrText xml:space="preserve"> SEQ level0 \*arabic </w:instrText>
      </w:r>
      <w:r w:rsidRPr="00BC719D">
        <w:fldChar w:fldCharType="separate"/>
      </w:r>
      <w:r w:rsidRPr="00BC719D" w:rsidR="00BC719D">
        <w:rPr>
          <w:noProof/>
        </w:rPr>
        <w:t>8</w:t>
      </w:r>
      <w:r w:rsidRPr="00BC719D">
        <w:fldChar w:fldCharType="end"/>
      </w:r>
      <w:bookmarkEnd w:id="2"/>
      <w:r w:rsidRPr="00BC719D">
        <w:t xml:space="preserve">.  On </w:t>
      </w:r>
      <w:r w:rsidRPr="00BC719D" w:rsidR="006772E2">
        <w:t xml:space="preserve">an </w:t>
      </w:r>
      <w:r w:rsidRPr="00BC719D">
        <w:t xml:space="preserve">unspecified date </w:t>
      </w:r>
      <w:r w:rsidRPr="00BC719D" w:rsidR="006829CA">
        <w:t xml:space="preserve">the applicant </w:t>
      </w:r>
      <w:r w:rsidRPr="00BC719D">
        <w:t xml:space="preserve">was transferred to </w:t>
      </w:r>
      <w:r w:rsidRPr="00BC719D" w:rsidR="008F62BD">
        <w:t xml:space="preserve">the </w:t>
      </w:r>
      <w:r w:rsidRPr="00BC719D" w:rsidR="00F93BC4">
        <w:t>medium</w:t>
      </w:r>
      <w:r w:rsidRPr="00BC719D" w:rsidR="00F93BC4">
        <w:noBreakHyphen/>
      </w:r>
      <w:r w:rsidRPr="00BC719D">
        <w:t xml:space="preserve">security level </w:t>
      </w:r>
      <w:r w:rsidRPr="00BC719D" w:rsidR="006829CA">
        <w:t>of</w:t>
      </w:r>
      <w:r w:rsidRPr="00BC719D">
        <w:t xml:space="preserve"> </w:t>
      </w:r>
      <w:r w:rsidRPr="00BC719D" w:rsidR="0030620B">
        <w:t xml:space="preserve">that </w:t>
      </w:r>
      <w:r w:rsidRPr="00BC719D">
        <w:t>closed prison.</w:t>
      </w:r>
    </w:p>
    <w:p w:rsidRPr="00BC719D" w:rsidR="00132A27" w:rsidP="00BC719D" w:rsidRDefault="00B32B88">
      <w:pPr>
        <w:pStyle w:val="ECHRPara"/>
      </w:pPr>
      <w:r w:rsidRPr="00BC719D">
        <w:fldChar w:fldCharType="begin"/>
      </w:r>
      <w:r w:rsidRPr="00BC719D">
        <w:instrText xml:space="preserve"> SEQ level0 \*arabic </w:instrText>
      </w:r>
      <w:r w:rsidRPr="00BC719D">
        <w:fldChar w:fldCharType="separate"/>
      </w:r>
      <w:r w:rsidRPr="00BC719D" w:rsidR="00BC719D">
        <w:rPr>
          <w:noProof/>
        </w:rPr>
        <w:t>9</w:t>
      </w:r>
      <w:r w:rsidRPr="00BC719D">
        <w:fldChar w:fldCharType="end"/>
      </w:r>
      <w:r w:rsidRPr="00BC719D">
        <w:t xml:space="preserve">.  According to the applicant, in 2008 he realised that there </w:t>
      </w:r>
      <w:r w:rsidRPr="00BC719D" w:rsidR="008F62BD">
        <w:t xml:space="preserve">was </w:t>
      </w:r>
      <w:r w:rsidRPr="00BC719D">
        <w:t xml:space="preserve">a difference in </w:t>
      </w:r>
      <w:r w:rsidRPr="00BC719D" w:rsidR="00F0202C">
        <w:t xml:space="preserve">the respective </w:t>
      </w:r>
      <w:r w:rsidRPr="00BC719D">
        <w:t xml:space="preserve">treatment </w:t>
      </w:r>
      <w:r w:rsidRPr="00BC719D" w:rsidR="00F0202C">
        <w:t xml:space="preserve">of </w:t>
      </w:r>
      <w:r w:rsidRPr="00BC719D">
        <w:t>male and female inmates</w:t>
      </w:r>
      <w:r w:rsidRPr="00BC719D" w:rsidR="006829CA">
        <w:t xml:space="preserve"> with regard to </w:t>
      </w:r>
      <w:r w:rsidRPr="00BC719D" w:rsidR="006772E2">
        <w:t xml:space="preserve">the </w:t>
      </w:r>
      <w:r w:rsidRPr="00BC719D" w:rsidR="006829CA">
        <w:t>execution of custodial sentences</w:t>
      </w:r>
      <w:r w:rsidRPr="00BC719D">
        <w:t xml:space="preserve">. Male inmates who had been convicted of serious crimes </w:t>
      </w:r>
      <w:r w:rsidRPr="00BC719D" w:rsidR="00CC672B">
        <w:t xml:space="preserve">started </w:t>
      </w:r>
      <w:r w:rsidRPr="00BC719D" w:rsidR="006772E2">
        <w:t xml:space="preserve">serving </w:t>
      </w:r>
      <w:r w:rsidRPr="00BC719D" w:rsidR="00CC672B">
        <w:t>their sentence</w:t>
      </w:r>
      <w:r w:rsidRPr="00BC719D" w:rsidR="00EE6C6D">
        <w:t>s</w:t>
      </w:r>
      <w:r w:rsidRPr="00BC719D">
        <w:t xml:space="preserve"> in closed prison</w:t>
      </w:r>
      <w:r w:rsidRPr="00BC719D" w:rsidR="008F2B98">
        <w:t>s</w:t>
      </w:r>
      <w:r w:rsidRPr="00BC719D">
        <w:t xml:space="preserve">, while female inmates who had been convicted of </w:t>
      </w:r>
      <w:r w:rsidRPr="00BC719D" w:rsidR="006772E2">
        <w:t xml:space="preserve">the same </w:t>
      </w:r>
      <w:r w:rsidRPr="00BC719D">
        <w:t>crimes started s</w:t>
      </w:r>
      <w:r w:rsidRPr="00BC719D" w:rsidR="008F2B98">
        <w:t>erving</w:t>
      </w:r>
      <w:r w:rsidRPr="00BC719D" w:rsidR="00CC672B">
        <w:t xml:space="preserve"> their sentence</w:t>
      </w:r>
      <w:r w:rsidRPr="00BC719D">
        <w:t xml:space="preserve"> in partly-closed prison</w:t>
      </w:r>
      <w:r w:rsidRPr="00BC719D" w:rsidR="008F2B98">
        <w:t>s</w:t>
      </w:r>
      <w:r w:rsidRPr="00BC719D">
        <w:t xml:space="preserve">. </w:t>
      </w:r>
      <w:r w:rsidRPr="00BC719D" w:rsidR="00326DE6">
        <w:t xml:space="preserve">As the applicant </w:t>
      </w:r>
      <w:r w:rsidRPr="00BC719D" w:rsidR="00CC672B">
        <w:t>considered that t</w:t>
      </w:r>
      <w:r w:rsidRPr="00BC719D" w:rsidR="008F62BD">
        <w:t xml:space="preserve">his had a notable impact on </w:t>
      </w:r>
      <w:r w:rsidRPr="00BC719D" w:rsidR="008F2B98">
        <w:t xml:space="preserve">restrictions of </w:t>
      </w:r>
      <w:r w:rsidRPr="00BC719D" w:rsidR="008B66B6">
        <w:t xml:space="preserve">various </w:t>
      </w:r>
      <w:r w:rsidRPr="00BC719D" w:rsidR="008F2B98">
        <w:t>prisoners</w:t>
      </w:r>
      <w:r w:rsidRPr="00BC719D" w:rsidR="00BC719D">
        <w:t>’</w:t>
      </w:r>
      <w:r w:rsidRPr="00BC719D" w:rsidR="008F2B98">
        <w:t xml:space="preserve"> </w:t>
      </w:r>
      <w:r w:rsidRPr="00BC719D" w:rsidR="008B66B6">
        <w:t>rights</w:t>
      </w:r>
      <w:r w:rsidRPr="00BC719D" w:rsidR="00326DE6">
        <w:t>, he</w:t>
      </w:r>
      <w:r w:rsidRPr="00BC719D" w:rsidR="006F40F6">
        <w:t xml:space="preserve"> </w:t>
      </w:r>
      <w:r w:rsidRPr="00BC719D" w:rsidR="006C43D2">
        <w:t>lodged complaints</w:t>
      </w:r>
      <w:r w:rsidRPr="00BC719D" w:rsidR="006F40F6">
        <w:t xml:space="preserve"> about this issue </w:t>
      </w:r>
      <w:r w:rsidRPr="00BC719D" w:rsidR="00D54C66">
        <w:t xml:space="preserve">with </w:t>
      </w:r>
      <w:r w:rsidRPr="00BC719D" w:rsidR="006C43D2">
        <w:t xml:space="preserve">several </w:t>
      </w:r>
      <w:r w:rsidRPr="00BC719D" w:rsidR="006F40F6">
        <w:t>State institutions.</w:t>
      </w:r>
    </w:p>
    <w:bookmarkStart w:name="Facts_refusal" w:id="3"/>
    <w:p w:rsidRPr="00BC719D" w:rsidR="00184B39" w:rsidP="00BC719D" w:rsidRDefault="00DA79DB">
      <w:pPr>
        <w:pStyle w:val="ECHRPara"/>
      </w:pPr>
      <w:r w:rsidRPr="00BC719D">
        <w:fldChar w:fldCharType="begin"/>
      </w:r>
      <w:r w:rsidRPr="00BC719D">
        <w:instrText xml:space="preserve"> SEQ level0 \*arabic </w:instrText>
      </w:r>
      <w:r w:rsidRPr="00BC719D">
        <w:fldChar w:fldCharType="separate"/>
      </w:r>
      <w:r w:rsidRPr="00BC719D" w:rsidR="00BC719D">
        <w:rPr>
          <w:noProof/>
        </w:rPr>
        <w:t>10</w:t>
      </w:r>
      <w:r w:rsidRPr="00BC719D">
        <w:fldChar w:fldCharType="end"/>
      </w:r>
      <w:bookmarkEnd w:id="3"/>
      <w:r w:rsidRPr="00BC719D">
        <w:t>.  </w:t>
      </w:r>
      <w:r w:rsidRPr="00BC719D" w:rsidR="009C5BB6">
        <w:t xml:space="preserve">On </w:t>
      </w:r>
      <w:r w:rsidRPr="00BC719D" w:rsidR="001D0DE8">
        <w:t xml:space="preserve">30 September 2008 the applicant was informed that his father had </w:t>
      </w:r>
      <w:r w:rsidRPr="00BC719D" w:rsidR="00D54C66">
        <w:t>died</w:t>
      </w:r>
      <w:r w:rsidRPr="00BC719D" w:rsidR="001D0DE8">
        <w:t xml:space="preserve">. On </w:t>
      </w:r>
      <w:r w:rsidRPr="00BC719D" w:rsidR="009C5BB6">
        <w:t xml:space="preserve">2 October 2008 </w:t>
      </w:r>
      <w:r w:rsidRPr="00BC719D" w:rsidR="006F40F6">
        <w:t xml:space="preserve">he </w:t>
      </w:r>
      <w:r w:rsidRPr="00BC719D" w:rsidR="009C5BB6">
        <w:t xml:space="preserve">requested </w:t>
      </w:r>
      <w:r w:rsidRPr="00BC719D" w:rsidR="006C43D2">
        <w:t xml:space="preserve">permission to leave prison in order </w:t>
      </w:r>
      <w:r w:rsidRPr="00BC719D" w:rsidR="00D023CB">
        <w:t xml:space="preserve">to </w:t>
      </w:r>
      <w:r w:rsidRPr="00BC719D" w:rsidR="009C5BB6">
        <w:t>attend his father</w:t>
      </w:r>
      <w:r w:rsidRPr="00BC719D" w:rsidR="00BC719D">
        <w:t>’</w:t>
      </w:r>
      <w:r w:rsidRPr="00BC719D" w:rsidR="009C5BB6">
        <w:t xml:space="preserve">s funeral. </w:t>
      </w:r>
      <w:r w:rsidRPr="00BC719D">
        <w:t xml:space="preserve">On the same day the </w:t>
      </w:r>
      <w:r w:rsidRPr="00BC719D" w:rsidR="00D023CB">
        <w:t xml:space="preserve">prison director </w:t>
      </w:r>
      <w:r w:rsidRPr="00BC719D" w:rsidR="001D0DE8">
        <w:t>replied that he had no authority to allo</w:t>
      </w:r>
      <w:r w:rsidRPr="00BC719D" w:rsidR="00235E97">
        <w:t>w the requ</w:t>
      </w:r>
      <w:r w:rsidRPr="00BC719D" w:rsidR="001D0DE8">
        <w:t xml:space="preserve">est, as the </w:t>
      </w:r>
      <w:r w:rsidRPr="00BC719D">
        <w:t xml:space="preserve">applicant was serving his sentence </w:t>
      </w:r>
      <w:r w:rsidRPr="00BC719D" w:rsidR="00235E97">
        <w:t xml:space="preserve">at the </w:t>
      </w:r>
      <w:r w:rsidRPr="00BC719D" w:rsidR="00D54C66">
        <w:t>medium-</w:t>
      </w:r>
      <w:r w:rsidRPr="00BC719D" w:rsidR="00235E97">
        <w:t xml:space="preserve">security level of a </w:t>
      </w:r>
      <w:r w:rsidRPr="00BC719D" w:rsidR="008F2B98">
        <w:t>closed prison</w:t>
      </w:r>
      <w:r w:rsidRPr="00BC719D" w:rsidR="006F40F6">
        <w:t>. U</w:t>
      </w:r>
      <w:r w:rsidRPr="00BC719D" w:rsidR="008F2B98">
        <w:t xml:space="preserve">nder the Sentence Enforcement Code </w:t>
      </w:r>
      <w:r w:rsidRPr="00BC719D">
        <w:t>only prisoner</w:t>
      </w:r>
      <w:r w:rsidRPr="00BC719D" w:rsidR="00D023CB">
        <w:t>s</w:t>
      </w:r>
      <w:r w:rsidRPr="00BC719D">
        <w:t xml:space="preserve"> serving their sentence </w:t>
      </w:r>
      <w:r w:rsidRPr="00BC719D" w:rsidR="00235E97">
        <w:t>at the medium</w:t>
      </w:r>
      <w:r w:rsidRPr="00BC719D" w:rsidR="00F33F4E">
        <w:t>-</w:t>
      </w:r>
      <w:r w:rsidRPr="00BC719D" w:rsidR="00235E97">
        <w:t xml:space="preserve"> or minimum</w:t>
      </w:r>
      <w:r w:rsidRPr="00BC719D" w:rsidR="00F33F4E">
        <w:t>-</w:t>
      </w:r>
      <w:r w:rsidRPr="00BC719D" w:rsidR="00235E97">
        <w:t xml:space="preserve"> security level </w:t>
      </w:r>
      <w:r w:rsidRPr="00BC719D" w:rsidR="00D54C66">
        <w:t xml:space="preserve">in </w:t>
      </w:r>
      <w:r w:rsidRPr="00BC719D" w:rsidR="008F2B98">
        <w:t xml:space="preserve">partly-closed prisons </w:t>
      </w:r>
      <w:r w:rsidRPr="00BC719D" w:rsidR="006C43D2">
        <w:t>were eligible for such</w:t>
      </w:r>
      <w:r w:rsidRPr="00BC719D" w:rsidR="00235E97">
        <w:t xml:space="preserve"> </w:t>
      </w:r>
      <w:r w:rsidRPr="00BC719D" w:rsidR="00D023CB">
        <w:t>leave.</w:t>
      </w:r>
    </w:p>
    <w:p w:rsidRPr="00BC719D" w:rsidR="00184B39" w:rsidP="00BC719D" w:rsidRDefault="002470ED">
      <w:pPr>
        <w:pStyle w:val="ECHRPara"/>
      </w:pPr>
      <w:r w:rsidRPr="00BC719D">
        <w:fldChar w:fldCharType="begin"/>
      </w:r>
      <w:r w:rsidRPr="00BC719D">
        <w:instrText xml:space="preserve"> SEQ level0 \*arabic </w:instrText>
      </w:r>
      <w:r w:rsidRPr="00BC719D">
        <w:fldChar w:fldCharType="separate"/>
      </w:r>
      <w:r w:rsidRPr="00BC719D" w:rsidR="00BC719D">
        <w:rPr>
          <w:noProof/>
        </w:rPr>
        <w:t>11</w:t>
      </w:r>
      <w:r w:rsidRPr="00BC719D">
        <w:fldChar w:fldCharType="end"/>
      </w:r>
      <w:r w:rsidRPr="00BC719D">
        <w:t>.  </w:t>
      </w:r>
      <w:r w:rsidRPr="00BC719D" w:rsidR="006C43D2">
        <w:t>In the years 2012</w:t>
      </w:r>
      <w:r w:rsidRPr="00BC719D" w:rsidR="00EE6C6D">
        <w:t>-</w:t>
      </w:r>
      <w:r w:rsidRPr="00BC719D" w:rsidR="006C43D2">
        <w:t xml:space="preserve">2015 the applicant was granted one </w:t>
      </w:r>
      <w:r w:rsidRPr="00BC719D" w:rsidR="00C07B66">
        <w:t>prison</w:t>
      </w:r>
      <w:r w:rsidRPr="00BC719D" w:rsidR="00933307">
        <w:noBreakHyphen/>
      </w:r>
      <w:r w:rsidRPr="00BC719D" w:rsidR="006C43D2">
        <w:t xml:space="preserve">leave day per year. </w:t>
      </w:r>
      <w:r w:rsidRPr="00BC719D" w:rsidR="00326DE6">
        <w:t xml:space="preserve">The case file contains no information as to the </w:t>
      </w:r>
      <w:r w:rsidRPr="00BC719D" w:rsidR="006C43D2">
        <w:t xml:space="preserve">type of prison and </w:t>
      </w:r>
      <w:r w:rsidRPr="00BC719D" w:rsidR="00D936A5">
        <w:t xml:space="preserve">security level in </w:t>
      </w:r>
      <w:r w:rsidRPr="00BC719D" w:rsidR="00326DE6">
        <w:t xml:space="preserve">which </w:t>
      </w:r>
      <w:r w:rsidRPr="00BC719D" w:rsidR="006F40F6">
        <w:t xml:space="preserve">the </w:t>
      </w:r>
      <w:r w:rsidRPr="00BC719D" w:rsidR="006C43D2">
        <w:t xml:space="preserve">applicant </w:t>
      </w:r>
      <w:r w:rsidRPr="00BC719D" w:rsidR="00D5162A">
        <w:t>served</w:t>
      </w:r>
      <w:r w:rsidRPr="00BC719D" w:rsidR="00326DE6">
        <w:t xml:space="preserve"> his sentence </w:t>
      </w:r>
      <w:r w:rsidRPr="00BC719D" w:rsidR="00D5162A">
        <w:t>during this</w:t>
      </w:r>
      <w:r w:rsidRPr="00BC719D" w:rsidR="006C43D2">
        <w:t xml:space="preserve"> time</w:t>
      </w:r>
      <w:r w:rsidRPr="00BC719D" w:rsidR="006F40F6">
        <w:t>.</w:t>
      </w:r>
    </w:p>
    <w:p w:rsidRPr="00BC719D" w:rsidR="008F62BD" w:rsidP="00BC719D" w:rsidRDefault="008F62BD">
      <w:pPr>
        <w:pStyle w:val="ECHRPara"/>
      </w:pPr>
      <w:r w:rsidRPr="00BC719D">
        <w:fldChar w:fldCharType="begin"/>
      </w:r>
      <w:r w:rsidRPr="00BC719D">
        <w:instrText xml:space="preserve"> SEQ level0 \*arabic </w:instrText>
      </w:r>
      <w:r w:rsidRPr="00BC719D">
        <w:fldChar w:fldCharType="separate"/>
      </w:r>
      <w:r w:rsidRPr="00BC719D" w:rsidR="00BC719D">
        <w:rPr>
          <w:noProof/>
        </w:rPr>
        <w:t>12</w:t>
      </w:r>
      <w:r w:rsidRPr="00BC719D">
        <w:fldChar w:fldCharType="end"/>
      </w:r>
      <w:r w:rsidRPr="00BC719D">
        <w:t>.  On 11 September 2015 the applicant was conditionally released.</w:t>
      </w:r>
    </w:p>
    <w:p w:rsidRPr="00BC719D" w:rsidR="00B32B88" w:rsidP="00BC719D" w:rsidRDefault="0031563D">
      <w:pPr>
        <w:pStyle w:val="ECHRHeading2"/>
      </w:pPr>
      <w:r w:rsidRPr="00BC719D">
        <w:t>B</w:t>
      </w:r>
      <w:r w:rsidRPr="00BC719D" w:rsidR="00B32B88">
        <w:t>.  Review of the applicant</w:t>
      </w:r>
      <w:r w:rsidRPr="00BC719D" w:rsidR="00BC719D">
        <w:t>’</w:t>
      </w:r>
      <w:r w:rsidRPr="00BC719D" w:rsidR="00B32B88">
        <w:t>s complaints</w:t>
      </w:r>
    </w:p>
    <w:p w:rsidRPr="00BC719D" w:rsidR="00B32B88" w:rsidP="00BC719D" w:rsidRDefault="0031563D">
      <w:pPr>
        <w:pStyle w:val="ECHRHeading3"/>
      </w:pPr>
      <w:r w:rsidRPr="00BC719D">
        <w:t>1.</w:t>
      </w:r>
      <w:r w:rsidRPr="00BC719D" w:rsidR="00B32B88">
        <w:t>  Ministry of Justice</w:t>
      </w:r>
    </w:p>
    <w:p w:rsidRPr="00BC719D" w:rsidR="00132A27" w:rsidP="00BC719D" w:rsidRDefault="00B32B88">
      <w:pPr>
        <w:pStyle w:val="ECHRPara"/>
      </w:pPr>
      <w:r w:rsidRPr="00BC719D">
        <w:fldChar w:fldCharType="begin"/>
      </w:r>
      <w:r w:rsidRPr="00BC719D">
        <w:instrText xml:space="preserve"> SEQ level0 \*arabic </w:instrText>
      </w:r>
      <w:r w:rsidRPr="00BC719D">
        <w:fldChar w:fldCharType="separate"/>
      </w:r>
      <w:r w:rsidRPr="00BC719D" w:rsidR="00BC719D">
        <w:rPr>
          <w:noProof/>
        </w:rPr>
        <w:t>13</w:t>
      </w:r>
      <w:r w:rsidRPr="00BC719D">
        <w:fldChar w:fldCharType="end"/>
      </w:r>
      <w:r w:rsidRPr="00BC719D">
        <w:t>.  On 1 July 2008 the Ministry of Justice examined the applicant</w:t>
      </w:r>
      <w:r w:rsidRPr="00BC719D" w:rsidR="00BC719D">
        <w:t>’</w:t>
      </w:r>
      <w:r w:rsidRPr="00BC719D">
        <w:t>s complaint about the difference in treatment</w:t>
      </w:r>
      <w:r w:rsidRPr="00BC719D" w:rsidR="002470ED">
        <w:t xml:space="preserve"> between convicted men and women</w:t>
      </w:r>
      <w:r w:rsidRPr="00BC719D">
        <w:t xml:space="preserve">. </w:t>
      </w:r>
      <w:r w:rsidRPr="00BC719D" w:rsidR="006C43D2">
        <w:t xml:space="preserve">It </w:t>
      </w:r>
      <w:r w:rsidRPr="00BC719D" w:rsidR="00A5170B">
        <w:t>referred</w:t>
      </w:r>
      <w:r w:rsidRPr="00BC719D">
        <w:t xml:space="preserve"> to section</w:t>
      </w:r>
      <w:r w:rsidRPr="00BC719D" w:rsidR="00A5170B">
        <w:t>s</w:t>
      </w:r>
      <w:r w:rsidRPr="00BC719D">
        <w:t xml:space="preserve"> </w:t>
      </w:r>
      <w:r w:rsidRPr="00BC719D" w:rsidR="00A5170B">
        <w:t>50</w:t>
      </w:r>
      <w:r w:rsidRPr="00BC719D" w:rsidR="00A5170B">
        <w:rPr>
          <w:vertAlign w:val="superscript"/>
        </w:rPr>
        <w:t>4</w:t>
      </w:r>
      <w:r w:rsidRPr="00BC719D" w:rsidR="002470ED">
        <w:t>(1)</w:t>
      </w:r>
      <w:r w:rsidRPr="00BC719D" w:rsidR="008F62BD">
        <w:t xml:space="preserve"> </w:t>
      </w:r>
      <w:r w:rsidRPr="00BC719D">
        <w:t>and 50</w:t>
      </w:r>
      <w:r w:rsidRPr="00BC719D">
        <w:rPr>
          <w:vertAlign w:val="superscript"/>
        </w:rPr>
        <w:t>5</w:t>
      </w:r>
      <w:r w:rsidRPr="00BC719D" w:rsidR="002470ED">
        <w:t>(</w:t>
      </w:r>
      <w:r w:rsidRPr="00BC719D" w:rsidR="008F62BD">
        <w:t>1</w:t>
      </w:r>
      <w:r w:rsidRPr="00BC719D" w:rsidR="002470ED">
        <w:t>)</w:t>
      </w:r>
      <w:r w:rsidRPr="00BC719D" w:rsidR="008F62BD">
        <w:t xml:space="preserve"> </w:t>
      </w:r>
      <w:r w:rsidRPr="00BC719D">
        <w:t>of the Sentence Enforcement Code</w:t>
      </w:r>
      <w:r w:rsidRPr="00BC719D" w:rsidR="00A5170B">
        <w:t xml:space="preserve"> and observed</w:t>
      </w:r>
      <w:r w:rsidRPr="00BC719D">
        <w:t xml:space="preserve"> that the </w:t>
      </w:r>
      <w:r w:rsidRPr="00BC719D" w:rsidR="0025179B">
        <w:t xml:space="preserve">legislature </w:t>
      </w:r>
      <w:r w:rsidRPr="00BC719D">
        <w:t xml:space="preserve">had chosen </w:t>
      </w:r>
      <w:r w:rsidRPr="00BC719D" w:rsidR="00A5170B">
        <w:t>to create different</w:t>
      </w:r>
      <w:r w:rsidRPr="00BC719D" w:rsidR="00BD4ECE">
        <w:t xml:space="preserve"> </w:t>
      </w:r>
      <w:r w:rsidRPr="00BC719D">
        <w:t xml:space="preserve">legal </w:t>
      </w:r>
      <w:r w:rsidRPr="00BC719D" w:rsidR="00BD4ECE">
        <w:t>framework</w:t>
      </w:r>
      <w:r w:rsidRPr="00BC719D" w:rsidR="008F62BD">
        <w:t>s</w:t>
      </w:r>
      <w:r w:rsidRPr="00BC719D">
        <w:t xml:space="preserve"> </w:t>
      </w:r>
      <w:r w:rsidRPr="00BC719D" w:rsidR="0025179B">
        <w:t xml:space="preserve">in respect of </w:t>
      </w:r>
      <w:r w:rsidRPr="00BC719D" w:rsidR="008F62BD">
        <w:t>sentence execution</w:t>
      </w:r>
      <w:r w:rsidRPr="00BC719D" w:rsidR="009B6661">
        <w:t xml:space="preserve"> for men and women</w:t>
      </w:r>
      <w:r w:rsidRPr="00BC719D">
        <w:t xml:space="preserve">. </w:t>
      </w:r>
      <w:r w:rsidRPr="00BC719D" w:rsidR="008B66B6">
        <w:t>The Ministry of Justice</w:t>
      </w:r>
      <w:r w:rsidRPr="00BC719D" w:rsidR="002470ED">
        <w:t xml:space="preserve"> concluded that t</w:t>
      </w:r>
      <w:r w:rsidRPr="00BC719D">
        <w:t xml:space="preserve">here was no discrimination on </w:t>
      </w:r>
      <w:r w:rsidRPr="00BC719D" w:rsidR="002470ED">
        <w:t xml:space="preserve">the </w:t>
      </w:r>
      <w:r w:rsidRPr="00BC719D">
        <w:t xml:space="preserve">grounds of </w:t>
      </w:r>
      <w:r w:rsidRPr="00BC719D" w:rsidR="00BD4ECE">
        <w:t xml:space="preserve">sex </w:t>
      </w:r>
      <w:r w:rsidRPr="00BC719D">
        <w:t xml:space="preserve">because </w:t>
      </w:r>
      <w:r w:rsidRPr="00BC719D" w:rsidR="008801B3">
        <w:t xml:space="preserve">the rights of </w:t>
      </w:r>
      <w:r w:rsidRPr="00BC719D">
        <w:t xml:space="preserve">both male and female inmates were </w:t>
      </w:r>
      <w:r w:rsidRPr="00BC719D" w:rsidR="008801B3">
        <w:t xml:space="preserve">restricted, and both sexes were </w:t>
      </w:r>
      <w:r w:rsidRPr="00BC719D">
        <w:t xml:space="preserve">deprived of </w:t>
      </w:r>
      <w:r w:rsidRPr="00BC719D" w:rsidR="008B66B6">
        <w:t xml:space="preserve">their </w:t>
      </w:r>
      <w:r w:rsidRPr="00BC719D">
        <w:t>liberty</w:t>
      </w:r>
      <w:r w:rsidRPr="00BC719D" w:rsidR="002470ED">
        <w:t>.</w:t>
      </w:r>
    </w:p>
    <w:p w:rsidRPr="00BC719D" w:rsidR="006C43D2" w:rsidP="00BC719D" w:rsidRDefault="0031563D">
      <w:pPr>
        <w:pStyle w:val="ECHRHeading3"/>
      </w:pPr>
      <w:r w:rsidRPr="00BC719D">
        <w:t>2.</w:t>
      </w:r>
      <w:r w:rsidRPr="00BC719D" w:rsidR="006C43D2">
        <w:t>  The Ombudsperson</w:t>
      </w:r>
    </w:p>
    <w:bookmarkStart w:name="Facts_Ombudsperson" w:id="4"/>
    <w:p w:rsidRPr="00BC719D" w:rsidR="006C43D2" w:rsidP="00BC719D" w:rsidRDefault="006C43D2">
      <w:pPr>
        <w:pStyle w:val="ECHRPara"/>
      </w:pPr>
      <w:r w:rsidRPr="00BC719D">
        <w:fldChar w:fldCharType="begin"/>
      </w:r>
      <w:r w:rsidRPr="00BC719D">
        <w:instrText xml:space="preserve"> SEQ level0 \*arabic </w:instrText>
      </w:r>
      <w:r w:rsidRPr="00BC719D">
        <w:fldChar w:fldCharType="separate"/>
      </w:r>
      <w:r w:rsidRPr="00BC719D" w:rsidR="00BC719D">
        <w:rPr>
          <w:noProof/>
        </w:rPr>
        <w:t>14</w:t>
      </w:r>
      <w:r w:rsidRPr="00BC719D">
        <w:fldChar w:fldCharType="end"/>
      </w:r>
      <w:bookmarkEnd w:id="4"/>
      <w:r w:rsidRPr="00BC719D">
        <w:t>.  On 25 October 2010 the Ombudsperson concluded the examination of the applicant</w:t>
      </w:r>
      <w:r w:rsidRPr="00BC719D" w:rsidR="00BC719D">
        <w:t>’</w:t>
      </w:r>
      <w:r w:rsidRPr="00BC719D">
        <w:t xml:space="preserve">s complaint about the refusal to </w:t>
      </w:r>
      <w:r w:rsidRPr="00BC719D" w:rsidR="0025179B">
        <w:t xml:space="preserve">allow him to </w:t>
      </w:r>
      <w:r w:rsidRPr="00BC719D">
        <w:t>attend his father</w:t>
      </w:r>
      <w:r w:rsidRPr="00BC719D" w:rsidR="00BC719D">
        <w:t>’</w:t>
      </w:r>
      <w:r w:rsidRPr="00BC719D">
        <w:t>s funeral. He observed that closed prisons hosted male convicts who had been sentenced to deprivation of liberty for having committed serious or especially serious crimes, as well as convicts who had been moved from partly-closed prisons for grave or systematic breaches of the regime</w:t>
      </w:r>
      <w:r w:rsidRPr="00BC719D" w:rsidR="00F21A11">
        <w:t xml:space="preserve"> under which they had been held</w:t>
      </w:r>
      <w:r w:rsidRPr="00BC719D">
        <w:t xml:space="preserve">. In closed prisons convicts were subjected to tightened security and maximum surveillance. </w:t>
      </w:r>
      <w:r w:rsidRPr="00BC719D" w:rsidR="0025179B">
        <w:t>It followed that</w:t>
      </w:r>
      <w:r w:rsidRPr="00BC719D" w:rsidR="00326DE6">
        <w:t xml:space="preserve"> </w:t>
      </w:r>
      <w:r w:rsidRPr="00BC719D">
        <w:t xml:space="preserve">the persons placed in those prisons were particularly dangerous to the society. </w:t>
      </w:r>
      <w:r w:rsidRPr="00BC719D" w:rsidR="00326DE6">
        <w:t>Hence</w:t>
      </w:r>
      <w:r w:rsidRPr="00BC719D">
        <w:t>, the restriction imposed on the applicant was proportionate and necessary in a democratic society.</w:t>
      </w:r>
    </w:p>
    <w:p w:rsidRPr="00BC719D" w:rsidR="00B32B88" w:rsidP="00BC719D" w:rsidRDefault="0031563D">
      <w:pPr>
        <w:pStyle w:val="ECHRHeading3"/>
      </w:pPr>
      <w:r w:rsidRPr="00BC719D">
        <w:t>3.</w:t>
      </w:r>
      <w:r w:rsidRPr="00BC719D" w:rsidR="00B32B88">
        <w:t>  The Constitutional Court</w:t>
      </w:r>
    </w:p>
    <w:bookmarkStart w:name="Facts_CC_complaint_first" w:id="5"/>
    <w:p w:rsidRPr="00BC719D" w:rsidR="00B32B88" w:rsidP="00BC719D" w:rsidRDefault="00B32B88">
      <w:pPr>
        <w:pStyle w:val="ECHRPara"/>
      </w:pPr>
      <w:r w:rsidRPr="00BC719D">
        <w:fldChar w:fldCharType="begin"/>
      </w:r>
      <w:r w:rsidRPr="00BC719D">
        <w:instrText xml:space="preserve"> SEQ level0 \*arabic </w:instrText>
      </w:r>
      <w:r w:rsidRPr="00BC719D">
        <w:fldChar w:fldCharType="separate"/>
      </w:r>
      <w:r w:rsidRPr="00BC719D" w:rsidR="00BC719D">
        <w:rPr>
          <w:noProof/>
        </w:rPr>
        <w:t>15</w:t>
      </w:r>
      <w:r w:rsidRPr="00BC719D">
        <w:fldChar w:fldCharType="end"/>
      </w:r>
      <w:bookmarkEnd w:id="5"/>
      <w:r w:rsidRPr="00BC719D">
        <w:t>.  </w:t>
      </w:r>
      <w:r w:rsidRPr="00BC719D" w:rsidR="00BD4ECE">
        <w:t>On 9 July 2008 t</w:t>
      </w:r>
      <w:r w:rsidRPr="00BC719D">
        <w:t>he applicant</w:t>
      </w:r>
      <w:r w:rsidRPr="00BC719D" w:rsidR="00BD4ECE">
        <w:t xml:space="preserve"> lodged a constitutional complaint</w:t>
      </w:r>
      <w:r w:rsidRPr="00BC719D" w:rsidR="00D271D1">
        <w:t>,</w:t>
      </w:r>
      <w:r w:rsidRPr="00BC719D" w:rsidR="00BD4ECE">
        <w:t xml:space="preserve"> arguing that </w:t>
      </w:r>
      <w:r w:rsidRPr="00BC719D">
        <w:t xml:space="preserve">section </w:t>
      </w:r>
      <w:r w:rsidRPr="00BC719D" w:rsidR="00F0210A">
        <w:t>50</w:t>
      </w:r>
      <w:r w:rsidRPr="00BC719D" w:rsidR="00F0210A">
        <w:rPr>
          <w:vertAlign w:val="superscript"/>
        </w:rPr>
        <w:t>4</w:t>
      </w:r>
      <w:r w:rsidRPr="00BC719D" w:rsidR="00F0210A">
        <w:t xml:space="preserve">(1) </w:t>
      </w:r>
      <w:r w:rsidRPr="00BC719D">
        <w:t xml:space="preserve">of the Sentence Enforcement Code was </w:t>
      </w:r>
      <w:r w:rsidRPr="00BC719D" w:rsidR="00B917AF">
        <w:t xml:space="preserve">discriminatory on </w:t>
      </w:r>
      <w:r w:rsidRPr="00BC719D" w:rsidR="005F328C">
        <w:t xml:space="preserve">the </w:t>
      </w:r>
      <w:r w:rsidRPr="00BC719D" w:rsidR="00B917AF">
        <w:t xml:space="preserve">grounds of sex, </w:t>
      </w:r>
      <w:r w:rsidRPr="00BC719D" w:rsidR="00A549E4">
        <w:t xml:space="preserve">in breach of </w:t>
      </w:r>
      <w:r w:rsidRPr="00BC719D">
        <w:t xml:space="preserve">Article 91 of the Constitution. </w:t>
      </w:r>
      <w:r w:rsidRPr="00BC719D" w:rsidR="00B917AF">
        <w:t xml:space="preserve">As women convicted of the same crimes started serving their sentence in </w:t>
      </w:r>
      <w:r w:rsidRPr="00BC719D">
        <w:t>partly-closed prisons</w:t>
      </w:r>
      <w:r w:rsidRPr="00BC719D" w:rsidR="00B917AF">
        <w:t xml:space="preserve">, they </w:t>
      </w:r>
      <w:r w:rsidRPr="00BC719D">
        <w:t>were entitled to more and longer visits</w:t>
      </w:r>
      <w:r w:rsidRPr="00BC719D" w:rsidR="00B917AF">
        <w:t xml:space="preserve">, </w:t>
      </w:r>
      <w:r w:rsidRPr="00BC719D">
        <w:t xml:space="preserve">more phone calls </w:t>
      </w:r>
      <w:r w:rsidRPr="00BC719D" w:rsidR="00B917AF">
        <w:t>and could progress to more lenient security levels more rapidly</w:t>
      </w:r>
      <w:r w:rsidRPr="00BC719D" w:rsidR="00AE18C0">
        <w:t>. In addition, w</w:t>
      </w:r>
      <w:r w:rsidRPr="00BC719D">
        <w:t xml:space="preserve">omen could be granted leave from prison for up to </w:t>
      </w:r>
      <w:r w:rsidRPr="00BC719D" w:rsidR="0025179B">
        <w:t xml:space="preserve">seven </w:t>
      </w:r>
      <w:r w:rsidRPr="00BC719D">
        <w:t xml:space="preserve">days per year, whereas </w:t>
      </w:r>
      <w:r w:rsidRPr="00BC719D" w:rsidR="00E41C17">
        <w:t xml:space="preserve">no such right was </w:t>
      </w:r>
      <w:r w:rsidRPr="00BC719D" w:rsidR="0025179B">
        <w:t xml:space="preserve">provided </w:t>
      </w:r>
      <w:r w:rsidRPr="00BC719D" w:rsidR="00E41C17">
        <w:t xml:space="preserve">for </w:t>
      </w:r>
      <w:r w:rsidRPr="00BC719D">
        <w:t>men.</w:t>
      </w:r>
    </w:p>
    <w:bookmarkStart w:name="Facts_CC_refusal_first" w:id="6"/>
    <w:p w:rsidRPr="00BC719D" w:rsidR="00B32B88" w:rsidP="00BC719D" w:rsidRDefault="00B32B88">
      <w:pPr>
        <w:pStyle w:val="ECHRPara"/>
      </w:pPr>
      <w:r w:rsidRPr="00BC719D">
        <w:fldChar w:fldCharType="begin"/>
      </w:r>
      <w:r w:rsidRPr="00BC719D">
        <w:instrText xml:space="preserve"> SEQ level0 \*arabic </w:instrText>
      </w:r>
      <w:r w:rsidRPr="00BC719D">
        <w:fldChar w:fldCharType="separate"/>
      </w:r>
      <w:r w:rsidRPr="00BC719D" w:rsidR="00BC719D">
        <w:rPr>
          <w:noProof/>
        </w:rPr>
        <w:t>16</w:t>
      </w:r>
      <w:r w:rsidRPr="00BC719D">
        <w:fldChar w:fldCharType="end"/>
      </w:r>
      <w:bookmarkEnd w:id="6"/>
      <w:r w:rsidRPr="00BC719D">
        <w:t>.  On 29 July 2008</w:t>
      </w:r>
      <w:r w:rsidRPr="00BC719D" w:rsidR="002D42A8">
        <w:t xml:space="preserve"> the Constitutional Court, relying on section 20(6) of the Law on the Constitutional Court, </w:t>
      </w:r>
      <w:r w:rsidRPr="00BC719D" w:rsidR="0025179B">
        <w:t xml:space="preserve">declined </w:t>
      </w:r>
      <w:r w:rsidRPr="00BC719D">
        <w:t>to institute proceedings</w:t>
      </w:r>
      <w:r w:rsidRPr="00BC719D" w:rsidR="00A549E4">
        <w:t xml:space="preserve">. It stated </w:t>
      </w:r>
      <w:r w:rsidRPr="00BC719D" w:rsidR="002D42A8">
        <w:t xml:space="preserve">that </w:t>
      </w:r>
      <w:r w:rsidRPr="00BC719D" w:rsidR="00B917AF">
        <w:t xml:space="preserve">the </w:t>
      </w:r>
      <w:r w:rsidRPr="00BC719D" w:rsidR="00AE18C0">
        <w:t xml:space="preserve">legal reasoning included in the </w:t>
      </w:r>
      <w:r w:rsidRPr="00BC719D" w:rsidR="00B917AF">
        <w:t xml:space="preserve">complaint </w:t>
      </w:r>
      <w:r w:rsidRPr="00BC719D" w:rsidR="00AE18C0">
        <w:t>was evidently in</w:t>
      </w:r>
      <w:r w:rsidRPr="00BC719D" w:rsidR="00B917AF">
        <w:t>sufficient for the claim</w:t>
      </w:r>
      <w:r w:rsidRPr="00BC719D" w:rsidR="0025179B">
        <w:t xml:space="preserve"> to be allowed</w:t>
      </w:r>
      <w:r w:rsidRPr="00BC719D" w:rsidR="00A549E4">
        <w:t xml:space="preserve"> (</w:t>
      </w:r>
      <w:r w:rsidRPr="00BC719D" w:rsidR="00A549E4">
        <w:rPr>
          <w:i/>
        </w:rPr>
        <w:t>acīmredzami nepietiekams prasījuma apmierināšanai</w:t>
      </w:r>
      <w:r w:rsidRPr="00BC719D" w:rsidR="00A549E4">
        <w:t>)</w:t>
      </w:r>
      <w:r w:rsidRPr="00BC719D" w:rsidR="00B917AF">
        <w:t xml:space="preserve">. In particular, the applicant </w:t>
      </w:r>
      <w:r w:rsidRPr="00BC719D">
        <w:t xml:space="preserve">had failed to specify why </w:t>
      </w:r>
      <w:r w:rsidRPr="00BC719D" w:rsidR="00AE18C0">
        <w:t xml:space="preserve">the </w:t>
      </w:r>
      <w:r w:rsidRPr="00BC719D" w:rsidR="00B917AF">
        <w:t xml:space="preserve">difference in treatment between </w:t>
      </w:r>
      <w:r w:rsidRPr="00BC719D">
        <w:t xml:space="preserve">men and women </w:t>
      </w:r>
      <w:r w:rsidRPr="00BC719D" w:rsidR="0025179B">
        <w:t xml:space="preserve">should </w:t>
      </w:r>
      <w:r w:rsidRPr="00BC719D">
        <w:t xml:space="preserve">not be </w:t>
      </w:r>
      <w:r w:rsidRPr="00BC719D" w:rsidR="00AE18C0">
        <w:t>acceptable</w:t>
      </w:r>
      <w:r w:rsidRPr="00BC719D">
        <w:t>.</w:t>
      </w:r>
    </w:p>
    <w:bookmarkStart w:name="Facts_CC_complaint_second" w:id="7"/>
    <w:p w:rsidRPr="00BC719D" w:rsidR="00B32B88" w:rsidP="00BC719D" w:rsidRDefault="00B32B88">
      <w:pPr>
        <w:pStyle w:val="ECHRPara"/>
      </w:pPr>
      <w:r w:rsidRPr="00BC719D">
        <w:fldChar w:fldCharType="begin"/>
      </w:r>
      <w:r w:rsidRPr="00BC719D">
        <w:instrText xml:space="preserve"> SEQ level0 \*arabic </w:instrText>
      </w:r>
      <w:r w:rsidRPr="00BC719D">
        <w:fldChar w:fldCharType="separate"/>
      </w:r>
      <w:r w:rsidRPr="00BC719D" w:rsidR="00BC719D">
        <w:rPr>
          <w:noProof/>
        </w:rPr>
        <w:t>17</w:t>
      </w:r>
      <w:r w:rsidRPr="00BC719D">
        <w:fldChar w:fldCharType="end"/>
      </w:r>
      <w:bookmarkEnd w:id="7"/>
      <w:r w:rsidRPr="00BC719D">
        <w:t>.  </w:t>
      </w:r>
      <w:r w:rsidRPr="00BC719D" w:rsidR="00AE18C0">
        <w:t>On 7 August 2008 th</w:t>
      </w:r>
      <w:r w:rsidRPr="00BC719D">
        <w:t xml:space="preserve">e applicant lodged </w:t>
      </w:r>
      <w:r w:rsidRPr="00BC719D" w:rsidR="008451BD">
        <w:t xml:space="preserve">a </w:t>
      </w:r>
      <w:r w:rsidRPr="00BC719D" w:rsidR="00B60C53">
        <w:t>second</w:t>
      </w:r>
      <w:r w:rsidRPr="00BC719D">
        <w:t xml:space="preserve"> </w:t>
      </w:r>
      <w:r w:rsidRPr="00BC719D" w:rsidR="00AE18C0">
        <w:t>constitutional complaint</w:t>
      </w:r>
      <w:r w:rsidRPr="00BC719D">
        <w:t>,</w:t>
      </w:r>
      <w:r w:rsidRPr="00BC719D" w:rsidR="005F328C">
        <w:t xml:space="preserve"> adding that men and women</w:t>
      </w:r>
      <w:r w:rsidRPr="00BC719D">
        <w:t xml:space="preserve"> who were convicted of serious</w:t>
      </w:r>
      <w:r w:rsidRPr="00BC719D" w:rsidR="00AE18C0">
        <w:t xml:space="preserve"> and </w:t>
      </w:r>
      <w:r w:rsidRPr="00BC719D" w:rsidR="005F328C">
        <w:t xml:space="preserve">especially </w:t>
      </w:r>
      <w:r w:rsidRPr="00BC719D" w:rsidR="00AE18C0">
        <w:t>serious</w:t>
      </w:r>
      <w:r w:rsidRPr="00BC719D">
        <w:t xml:space="preserve"> crimes </w:t>
      </w:r>
      <w:r w:rsidRPr="00BC719D" w:rsidR="00AE18C0">
        <w:t>were in the same circumstances</w:t>
      </w:r>
      <w:r w:rsidRPr="00BC719D" w:rsidR="005F328C">
        <w:t xml:space="preserve"> in that </w:t>
      </w:r>
      <w:r w:rsidRPr="00BC719D" w:rsidR="00AE18C0">
        <w:t xml:space="preserve">they were </w:t>
      </w:r>
      <w:r w:rsidRPr="00BC719D" w:rsidR="00B60C53">
        <w:t xml:space="preserve">both </w:t>
      </w:r>
      <w:r w:rsidRPr="00BC719D" w:rsidR="00AE18C0">
        <w:t>im</w:t>
      </w:r>
      <w:r w:rsidRPr="00BC719D" w:rsidR="000B1326">
        <w:t>prisoned. Yet</w:t>
      </w:r>
      <w:r w:rsidRPr="00BC719D" w:rsidR="00326DE6">
        <w:t>,</w:t>
      </w:r>
      <w:r w:rsidRPr="00BC719D" w:rsidR="000B1326">
        <w:t xml:space="preserve"> despite the prohibition of discrimination </w:t>
      </w:r>
      <w:r w:rsidRPr="00BC719D" w:rsidR="002D42A8">
        <w:t xml:space="preserve">requiring men and women </w:t>
      </w:r>
      <w:r w:rsidRPr="00BC719D" w:rsidR="00EF3AFA">
        <w:t xml:space="preserve">to be </w:t>
      </w:r>
      <w:r w:rsidRPr="00BC719D" w:rsidR="002D42A8">
        <w:t>treated equally, their rights were restricted to a different extent</w:t>
      </w:r>
      <w:r w:rsidRPr="00BC719D" w:rsidR="000B1326">
        <w:t xml:space="preserve">. The applicant also pointed </w:t>
      </w:r>
      <w:r w:rsidRPr="00BC719D" w:rsidR="002D42A8">
        <w:t xml:space="preserve">out </w:t>
      </w:r>
      <w:r w:rsidRPr="00BC719D" w:rsidR="000B1326">
        <w:t xml:space="preserve">that </w:t>
      </w:r>
      <w:r w:rsidRPr="00BC719D" w:rsidR="009B6661">
        <w:t>with</w:t>
      </w:r>
      <w:r w:rsidRPr="00BC719D" w:rsidR="000B1326">
        <w:t xml:space="preserve">in the context of discrimination </w:t>
      </w:r>
      <w:r w:rsidRPr="00BC719D" w:rsidR="002D42A8">
        <w:t>the burden of proof was shifted</w:t>
      </w:r>
      <w:r w:rsidRPr="00BC719D" w:rsidR="00765106">
        <w:t xml:space="preserve"> –</w:t>
      </w:r>
      <w:r w:rsidRPr="00BC719D" w:rsidR="002D42A8">
        <w:t xml:space="preserve"> namely, </w:t>
      </w:r>
      <w:r w:rsidRPr="00BC719D" w:rsidR="000B1326">
        <w:t xml:space="preserve">after </w:t>
      </w:r>
      <w:r w:rsidRPr="00BC719D" w:rsidR="002D42A8">
        <w:t xml:space="preserve">a </w:t>
      </w:r>
      <w:r w:rsidRPr="00BC719D" w:rsidR="000B1326">
        <w:t xml:space="preserve">person </w:t>
      </w:r>
      <w:r w:rsidRPr="00BC719D" w:rsidR="002D42A8">
        <w:t xml:space="preserve">had </w:t>
      </w:r>
      <w:r w:rsidRPr="00BC719D" w:rsidR="000B1326">
        <w:t xml:space="preserve">demonstrated </w:t>
      </w:r>
      <w:r w:rsidRPr="00BC719D" w:rsidR="008451BD">
        <w:t xml:space="preserve">a </w:t>
      </w:r>
      <w:r w:rsidRPr="00BC719D" w:rsidR="000B1326">
        <w:t xml:space="preserve">difference in treatment, it </w:t>
      </w:r>
      <w:r w:rsidRPr="00BC719D" w:rsidR="002D42A8">
        <w:t xml:space="preserve">fell </w:t>
      </w:r>
      <w:r w:rsidRPr="00BC719D" w:rsidR="000B1326">
        <w:t>for the responde</w:t>
      </w:r>
      <w:r w:rsidRPr="00BC719D" w:rsidR="008451BD">
        <w:t>nt</w:t>
      </w:r>
      <w:r w:rsidRPr="00BC719D" w:rsidR="000B1326">
        <w:t xml:space="preserve"> to show that </w:t>
      </w:r>
      <w:r w:rsidRPr="00BC719D" w:rsidR="002D42A8">
        <w:t xml:space="preserve">this difference </w:t>
      </w:r>
      <w:r w:rsidRPr="00BC719D" w:rsidR="000B1326">
        <w:t>had not amounted to discrimination.</w:t>
      </w:r>
    </w:p>
    <w:bookmarkStart w:name="Facts_CC_refusal_second" w:id="8"/>
    <w:p w:rsidRPr="00BC719D" w:rsidR="008F17B5" w:rsidP="00BC719D" w:rsidRDefault="00B32B88">
      <w:pPr>
        <w:pStyle w:val="ECHRPara"/>
      </w:pPr>
      <w:r w:rsidRPr="00BC719D">
        <w:fldChar w:fldCharType="begin"/>
      </w:r>
      <w:r w:rsidRPr="00BC719D">
        <w:instrText xml:space="preserve"> SEQ level0 \*arabic </w:instrText>
      </w:r>
      <w:r w:rsidRPr="00BC719D">
        <w:fldChar w:fldCharType="separate"/>
      </w:r>
      <w:r w:rsidRPr="00BC719D" w:rsidR="00BC719D">
        <w:rPr>
          <w:noProof/>
        </w:rPr>
        <w:t>18</w:t>
      </w:r>
      <w:r w:rsidRPr="00BC719D">
        <w:fldChar w:fldCharType="end"/>
      </w:r>
      <w:bookmarkEnd w:id="8"/>
      <w:r w:rsidRPr="00BC719D">
        <w:t>.  On 5 September 2008 the Constitutional Court</w:t>
      </w:r>
      <w:r w:rsidRPr="00BC719D" w:rsidR="00060A2A">
        <w:t xml:space="preserve"> again</w:t>
      </w:r>
      <w:r w:rsidRPr="00BC719D">
        <w:t xml:space="preserve"> </w:t>
      </w:r>
      <w:r w:rsidRPr="00BC719D" w:rsidR="00765106">
        <w:t xml:space="preserve">declined </w:t>
      </w:r>
      <w:r w:rsidRPr="00BC719D">
        <w:t>to institute proceedings</w:t>
      </w:r>
      <w:r w:rsidRPr="00BC719D" w:rsidR="00060A2A">
        <w:t>. With respect to the first sentence of Article 91 of the Constitution</w:t>
      </w:r>
      <w:r w:rsidRPr="00BC719D" w:rsidR="00765106">
        <w:t xml:space="preserve">, which </w:t>
      </w:r>
      <w:r w:rsidRPr="00BC719D" w:rsidR="0023221D">
        <w:t xml:space="preserve">addressed </w:t>
      </w:r>
      <w:r w:rsidRPr="00BC719D" w:rsidR="00060A2A">
        <w:t xml:space="preserve">the principle of equality, the Constitutional Court pointed out that the following criteria had to be </w:t>
      </w:r>
      <w:r w:rsidRPr="00BC719D" w:rsidR="0023221D">
        <w:t>examined</w:t>
      </w:r>
      <w:r w:rsidRPr="00BC719D" w:rsidR="008F17B5">
        <w:t xml:space="preserve"> </w:t>
      </w:r>
      <w:r w:rsidRPr="00BC719D" w:rsidR="00060A2A">
        <w:t xml:space="preserve">– </w:t>
      </w:r>
      <w:r w:rsidRPr="00BC719D" w:rsidR="0023221D">
        <w:t xml:space="preserve">the </w:t>
      </w:r>
      <w:r w:rsidRPr="00BC719D" w:rsidR="00060A2A">
        <w:t xml:space="preserve">existence of comparable groups, </w:t>
      </w:r>
      <w:r w:rsidRPr="00BC719D" w:rsidR="0023221D">
        <w:t xml:space="preserve">a </w:t>
      </w:r>
      <w:r w:rsidRPr="00BC719D" w:rsidR="00060A2A">
        <w:t>difference in treatment</w:t>
      </w:r>
      <w:r w:rsidRPr="00BC719D" w:rsidR="009A41B9">
        <w:t xml:space="preserve"> between those groups</w:t>
      </w:r>
      <w:r w:rsidRPr="00BC719D" w:rsidR="00060A2A">
        <w:t xml:space="preserve">, and </w:t>
      </w:r>
      <w:r w:rsidRPr="00BC719D" w:rsidR="0023221D">
        <w:t xml:space="preserve">a </w:t>
      </w:r>
      <w:r w:rsidRPr="00BC719D" w:rsidR="00060A2A">
        <w:t>lack of objective and reasonable justification</w:t>
      </w:r>
      <w:r w:rsidRPr="00BC719D" w:rsidR="009A41B9">
        <w:t xml:space="preserve"> for </w:t>
      </w:r>
      <w:r w:rsidRPr="00BC719D" w:rsidR="00765106">
        <w:t xml:space="preserve">that </w:t>
      </w:r>
      <w:r w:rsidRPr="00BC719D" w:rsidR="009A41B9">
        <w:t>difference in treatment</w:t>
      </w:r>
      <w:r w:rsidRPr="00BC719D" w:rsidR="00060A2A">
        <w:t xml:space="preserve">. </w:t>
      </w:r>
      <w:r w:rsidRPr="00BC719D" w:rsidR="00FE568E">
        <w:t>As t</w:t>
      </w:r>
      <w:r w:rsidRPr="00BC719D" w:rsidR="00060A2A">
        <w:t xml:space="preserve">he legal reasoning </w:t>
      </w:r>
      <w:r w:rsidRPr="00BC719D" w:rsidR="00765106">
        <w:t xml:space="preserve">advanced </w:t>
      </w:r>
      <w:r w:rsidRPr="00BC719D" w:rsidR="009A41B9">
        <w:t xml:space="preserve">by the applicant </w:t>
      </w:r>
      <w:r w:rsidRPr="00BC719D" w:rsidR="00FE568E">
        <w:t xml:space="preserve">was </w:t>
      </w:r>
      <w:r w:rsidRPr="00BC719D" w:rsidR="00060A2A">
        <w:t xml:space="preserve">based on </w:t>
      </w:r>
      <w:r w:rsidRPr="00BC719D" w:rsidR="00765106">
        <w:t xml:space="preserve">the </w:t>
      </w:r>
      <w:r w:rsidRPr="00BC719D" w:rsidR="00060A2A">
        <w:t>assumption that men and women who had committed similar</w:t>
      </w:r>
      <w:r w:rsidRPr="00BC719D" w:rsidR="008F17B5">
        <w:t>ly</w:t>
      </w:r>
      <w:r w:rsidRPr="00BC719D" w:rsidR="00060A2A">
        <w:t xml:space="preserve"> grave crimes were in comparable situations</w:t>
      </w:r>
      <w:r w:rsidRPr="00BC719D" w:rsidR="009A41B9">
        <w:t>, t</w:t>
      </w:r>
      <w:r w:rsidRPr="00BC719D" w:rsidR="008F17B5">
        <w:t xml:space="preserve">he </w:t>
      </w:r>
      <w:r w:rsidRPr="00BC719D" w:rsidR="006C2E1C">
        <w:t>Constitutional</w:t>
      </w:r>
      <w:r w:rsidRPr="00BC719D" w:rsidR="008F17B5">
        <w:t xml:space="preserve"> Court considered </w:t>
      </w:r>
      <w:r w:rsidRPr="00BC719D" w:rsidR="00FE568E">
        <w:t xml:space="preserve">this reasoning </w:t>
      </w:r>
      <w:r w:rsidRPr="00BC719D" w:rsidR="00060A2A">
        <w:t>evidently insufficient</w:t>
      </w:r>
      <w:r w:rsidRPr="00BC719D" w:rsidR="0023221D">
        <w:t xml:space="preserve"> for</w:t>
      </w:r>
      <w:r w:rsidRPr="00BC719D" w:rsidR="00060A2A">
        <w:t xml:space="preserve"> the claim</w:t>
      </w:r>
      <w:r w:rsidRPr="00BC719D" w:rsidR="00765106">
        <w:t xml:space="preserve"> to be allowed</w:t>
      </w:r>
      <w:r w:rsidRPr="00BC719D" w:rsidR="00060A2A">
        <w:t>.</w:t>
      </w:r>
      <w:r w:rsidRPr="00BC719D" w:rsidR="009A41B9">
        <w:t xml:space="preserve"> With respect to the </w:t>
      </w:r>
      <w:r w:rsidRPr="00BC719D" w:rsidR="004042E2">
        <w:t xml:space="preserve">prohibition of discrimination enshrined in the second sentence of Article 91 of the Constitution, </w:t>
      </w:r>
      <w:r w:rsidRPr="00BC719D" w:rsidR="009A41B9">
        <w:t xml:space="preserve">the </w:t>
      </w:r>
      <w:r w:rsidRPr="00BC719D" w:rsidR="006C2E1C">
        <w:t>Constitutional</w:t>
      </w:r>
      <w:r w:rsidRPr="00BC719D" w:rsidR="009A41B9">
        <w:t xml:space="preserve"> Court pointed out that </w:t>
      </w:r>
      <w:r w:rsidRPr="00BC719D" w:rsidR="00772F0A">
        <w:t>the</w:t>
      </w:r>
      <w:r w:rsidRPr="00BC719D" w:rsidR="004042E2">
        <w:t xml:space="preserve"> applicant </w:t>
      </w:r>
      <w:r w:rsidRPr="00BC719D">
        <w:t xml:space="preserve">had failed to specify </w:t>
      </w:r>
      <w:r w:rsidRPr="00BC719D" w:rsidR="004042E2">
        <w:t xml:space="preserve">the human right </w:t>
      </w:r>
      <w:r w:rsidRPr="00BC719D">
        <w:t xml:space="preserve">in conjunction with which </w:t>
      </w:r>
      <w:r w:rsidRPr="00BC719D" w:rsidR="004042E2">
        <w:t xml:space="preserve">the </w:t>
      </w:r>
      <w:r w:rsidRPr="00BC719D" w:rsidR="00772F0A">
        <w:t xml:space="preserve">discrimination </w:t>
      </w:r>
      <w:r w:rsidRPr="00BC719D" w:rsidR="004042E2">
        <w:t xml:space="preserve">complaint </w:t>
      </w:r>
      <w:r w:rsidRPr="00BC719D" w:rsidR="00B56003">
        <w:t xml:space="preserve">had been </w:t>
      </w:r>
      <w:r w:rsidRPr="00BC719D" w:rsidR="004042E2">
        <w:t>made</w:t>
      </w:r>
      <w:r w:rsidRPr="00BC719D" w:rsidR="009A41B9">
        <w:t>. Thus</w:t>
      </w:r>
      <w:r w:rsidRPr="00BC719D" w:rsidR="00772F0A">
        <w:t xml:space="preserve">, </w:t>
      </w:r>
      <w:r w:rsidRPr="00BC719D" w:rsidR="00FE568E">
        <w:t>in relation to t</w:t>
      </w:r>
      <w:r w:rsidRPr="00BC719D" w:rsidR="009A41B9">
        <w:t>his part of the application</w:t>
      </w:r>
      <w:r w:rsidRPr="00BC719D" w:rsidR="00F0392D">
        <w:t xml:space="preserve">, </w:t>
      </w:r>
      <w:r w:rsidRPr="00BC719D" w:rsidR="00C72A8D">
        <w:t xml:space="preserve">legal reasoning </w:t>
      </w:r>
      <w:r w:rsidRPr="00BC719D" w:rsidR="006C43D2">
        <w:t xml:space="preserve">had </w:t>
      </w:r>
      <w:r w:rsidRPr="00BC719D" w:rsidR="00FE568E">
        <w:t xml:space="preserve">not </w:t>
      </w:r>
      <w:r w:rsidRPr="00BC719D" w:rsidR="006C43D2">
        <w:t xml:space="preserve">been </w:t>
      </w:r>
      <w:r w:rsidRPr="00BC719D" w:rsidR="00FE568E">
        <w:t xml:space="preserve">provided </w:t>
      </w:r>
      <w:r w:rsidRPr="00BC719D" w:rsidR="00C72A8D">
        <w:t>(</w:t>
      </w:r>
      <w:r w:rsidRPr="00BC719D" w:rsidR="00C72A8D">
        <w:rPr>
          <w:i/>
        </w:rPr>
        <w:t>nav sniegts juridiskais pamatojums</w:t>
      </w:r>
      <w:r w:rsidRPr="00BC719D" w:rsidR="00C72A8D">
        <w:t>)</w:t>
      </w:r>
      <w:r w:rsidRPr="00BC719D" w:rsidR="009A41B9">
        <w:t xml:space="preserve"> and </w:t>
      </w:r>
      <w:r w:rsidRPr="00BC719D" w:rsidR="00772F0A">
        <w:t>the formal requirements of a constitutional complaint</w:t>
      </w:r>
      <w:r w:rsidRPr="00BC719D" w:rsidR="009A41B9">
        <w:t xml:space="preserve"> </w:t>
      </w:r>
      <w:r w:rsidRPr="00BC719D" w:rsidR="0004514E">
        <w:t xml:space="preserve">had </w:t>
      </w:r>
      <w:r w:rsidRPr="00BC719D" w:rsidR="009A41B9">
        <w:t xml:space="preserve">not </w:t>
      </w:r>
      <w:r w:rsidRPr="00BC719D" w:rsidR="0004514E">
        <w:t xml:space="preserve">been </w:t>
      </w:r>
      <w:r w:rsidRPr="00BC719D" w:rsidR="007759CF">
        <w:t>met</w:t>
      </w:r>
      <w:r w:rsidRPr="00BC719D" w:rsidR="00772F0A">
        <w:t>.</w:t>
      </w:r>
      <w:r w:rsidRPr="00BC719D" w:rsidR="009A41B9">
        <w:t xml:space="preserve"> I</w:t>
      </w:r>
      <w:r w:rsidRPr="00BC719D" w:rsidR="008F17B5">
        <w:t>n</w:t>
      </w:r>
      <w:r w:rsidRPr="00BC719D" w:rsidR="00F0392D">
        <w:t xml:space="preserve"> </w:t>
      </w:r>
      <w:r w:rsidRPr="00BC719D" w:rsidR="008F17B5">
        <w:t>s</w:t>
      </w:r>
      <w:r w:rsidRPr="00BC719D" w:rsidR="00F0392D">
        <w:t xml:space="preserve">o </w:t>
      </w:r>
      <w:r w:rsidRPr="00BC719D" w:rsidR="008F17B5">
        <w:t>far as relevant,</w:t>
      </w:r>
      <w:r w:rsidRPr="00BC719D" w:rsidR="009A41B9">
        <w:t xml:space="preserve"> the Constitutional Court </w:t>
      </w:r>
      <w:r w:rsidRPr="00BC719D" w:rsidR="0004514E">
        <w:t xml:space="preserve">relied on </w:t>
      </w:r>
      <w:r w:rsidRPr="00BC719D" w:rsidR="008F17B5">
        <w:t>sections 20(5)(3) and 20(6) of the Law on the Constitutional Court</w:t>
      </w:r>
      <w:r w:rsidRPr="00BC719D" w:rsidR="0004514E">
        <w:t>.</w:t>
      </w:r>
    </w:p>
    <w:bookmarkStart w:name="Facts_CC_complaint_third" w:id="9"/>
    <w:p w:rsidRPr="00BC719D" w:rsidR="00B32B88" w:rsidP="00BC719D" w:rsidRDefault="00B32B88">
      <w:pPr>
        <w:pStyle w:val="ECHRPara"/>
      </w:pPr>
      <w:r w:rsidRPr="00BC719D">
        <w:fldChar w:fldCharType="begin"/>
      </w:r>
      <w:r w:rsidRPr="00BC719D">
        <w:instrText xml:space="preserve"> SEQ level0 \*arabic </w:instrText>
      </w:r>
      <w:r w:rsidRPr="00BC719D">
        <w:fldChar w:fldCharType="separate"/>
      </w:r>
      <w:r w:rsidRPr="00BC719D" w:rsidR="00BC719D">
        <w:rPr>
          <w:noProof/>
        </w:rPr>
        <w:t>19</w:t>
      </w:r>
      <w:r w:rsidRPr="00BC719D">
        <w:fldChar w:fldCharType="end"/>
      </w:r>
      <w:bookmarkEnd w:id="9"/>
      <w:r w:rsidRPr="00BC719D">
        <w:t xml:space="preserve">.  In </w:t>
      </w:r>
      <w:r w:rsidRPr="00BC719D" w:rsidR="00F0392D">
        <w:t xml:space="preserve">a </w:t>
      </w:r>
      <w:r w:rsidRPr="00BC719D">
        <w:t xml:space="preserve">third </w:t>
      </w:r>
      <w:r w:rsidRPr="00BC719D" w:rsidR="005F328C">
        <w:t xml:space="preserve">constitutional complaint </w:t>
      </w:r>
      <w:r w:rsidRPr="00BC719D" w:rsidR="00D023CB">
        <w:t>of 20 October 2008</w:t>
      </w:r>
      <w:r w:rsidRPr="00BC719D">
        <w:t xml:space="preserve">, the applicant added that on 2 October 2008 he had been refused </w:t>
      </w:r>
      <w:r w:rsidRPr="00BC719D" w:rsidR="001E04AA">
        <w:t xml:space="preserve">permission to </w:t>
      </w:r>
      <w:r w:rsidRPr="00BC719D">
        <w:t xml:space="preserve">leave </w:t>
      </w:r>
      <w:r w:rsidRPr="00BC719D" w:rsidR="001E04AA">
        <w:t xml:space="preserve">prison </w:t>
      </w:r>
      <w:r w:rsidRPr="00BC719D">
        <w:t>to attend his father</w:t>
      </w:r>
      <w:r w:rsidRPr="00BC719D" w:rsidR="00BC719D">
        <w:t>’</w:t>
      </w:r>
      <w:r w:rsidRPr="00BC719D">
        <w:t xml:space="preserve">s funeral. </w:t>
      </w:r>
      <w:r w:rsidRPr="00BC719D" w:rsidR="00B56003">
        <w:t>He</w:t>
      </w:r>
      <w:r w:rsidRPr="00BC719D">
        <w:t xml:space="preserve"> </w:t>
      </w:r>
      <w:r w:rsidRPr="00BC719D" w:rsidR="005F328C">
        <w:t xml:space="preserve">had </w:t>
      </w:r>
      <w:r w:rsidRPr="00BC719D" w:rsidR="00B56003">
        <w:t xml:space="preserve">thereby </w:t>
      </w:r>
      <w:r w:rsidRPr="00BC719D" w:rsidR="005F328C">
        <w:t xml:space="preserve">been </w:t>
      </w:r>
      <w:r w:rsidRPr="00BC719D">
        <w:t>discriminated</w:t>
      </w:r>
      <w:r w:rsidRPr="00BC719D" w:rsidR="004D19F2">
        <w:t xml:space="preserve"> against on the basis of sex</w:t>
      </w:r>
      <w:r w:rsidRPr="00BC719D">
        <w:t xml:space="preserve">, </w:t>
      </w:r>
      <w:r w:rsidRPr="00BC719D" w:rsidR="0054390C">
        <w:t xml:space="preserve">as </w:t>
      </w:r>
      <w:r w:rsidRPr="00BC719D" w:rsidR="0004514E">
        <w:t>wome</w:t>
      </w:r>
      <w:r w:rsidRPr="00BC719D">
        <w:t xml:space="preserve">n in </w:t>
      </w:r>
      <w:r w:rsidRPr="00BC719D" w:rsidR="0004514E">
        <w:t xml:space="preserve">his </w:t>
      </w:r>
      <w:r w:rsidRPr="00BC719D">
        <w:t xml:space="preserve">situation </w:t>
      </w:r>
      <w:r w:rsidRPr="00BC719D" w:rsidR="0054390C">
        <w:t>w</w:t>
      </w:r>
      <w:r w:rsidRPr="00BC719D">
        <w:t xml:space="preserve">ould have </w:t>
      </w:r>
      <w:r w:rsidRPr="00BC719D" w:rsidR="005F328C">
        <w:t xml:space="preserve">been able to </w:t>
      </w:r>
      <w:r w:rsidRPr="00BC719D">
        <w:t xml:space="preserve">attend </w:t>
      </w:r>
      <w:r w:rsidRPr="00BC719D" w:rsidR="004D19F2">
        <w:t xml:space="preserve">the </w:t>
      </w:r>
      <w:r w:rsidRPr="00BC719D">
        <w:t xml:space="preserve">funeral. </w:t>
      </w:r>
      <w:r w:rsidRPr="00BC719D" w:rsidR="005F328C">
        <w:t>In support of his discrimination-related complaint th</w:t>
      </w:r>
      <w:r w:rsidRPr="00BC719D">
        <w:t xml:space="preserve">e </w:t>
      </w:r>
      <w:r w:rsidRPr="00BC719D" w:rsidR="005F328C">
        <w:t xml:space="preserve">applicant </w:t>
      </w:r>
      <w:r w:rsidRPr="00BC719D">
        <w:t xml:space="preserve">referred to </w:t>
      </w:r>
      <w:r w:rsidRPr="00BC719D" w:rsidR="00AE4C6F">
        <w:t xml:space="preserve">the </w:t>
      </w:r>
      <w:r w:rsidRPr="00BC719D" w:rsidR="0054390C">
        <w:t xml:space="preserve">right to </w:t>
      </w:r>
      <w:r w:rsidRPr="00BC719D">
        <w:t xml:space="preserve">private life, </w:t>
      </w:r>
      <w:r w:rsidRPr="00BC719D" w:rsidR="00FE568E">
        <w:t>right to family life</w:t>
      </w:r>
      <w:r w:rsidRPr="00BC719D" w:rsidR="0004514E">
        <w:t>,</w:t>
      </w:r>
      <w:r w:rsidRPr="00BC719D" w:rsidR="00FE568E">
        <w:t xml:space="preserve"> and </w:t>
      </w:r>
      <w:r w:rsidRPr="00BC719D">
        <w:t>freedom of exp</w:t>
      </w:r>
      <w:r w:rsidRPr="00BC719D" w:rsidR="00FE568E">
        <w:t>ression</w:t>
      </w:r>
      <w:r w:rsidRPr="00BC719D">
        <w:t>.</w:t>
      </w:r>
    </w:p>
    <w:bookmarkStart w:name="Facts_CC_refusal_third" w:id="10"/>
    <w:p w:rsidRPr="00BC719D" w:rsidR="00B32B88" w:rsidP="00BC719D" w:rsidRDefault="008D39A7">
      <w:pPr>
        <w:pStyle w:val="ECHRPara"/>
      </w:pPr>
      <w:r w:rsidRPr="00BC719D">
        <w:fldChar w:fldCharType="begin"/>
      </w:r>
      <w:r w:rsidRPr="00BC719D">
        <w:instrText xml:space="preserve"> SEQ level0 \*arabic </w:instrText>
      </w:r>
      <w:r w:rsidRPr="00BC719D">
        <w:fldChar w:fldCharType="separate"/>
      </w:r>
      <w:r w:rsidRPr="00BC719D" w:rsidR="00BC719D">
        <w:rPr>
          <w:noProof/>
        </w:rPr>
        <w:t>20</w:t>
      </w:r>
      <w:r w:rsidRPr="00BC719D">
        <w:fldChar w:fldCharType="end"/>
      </w:r>
      <w:bookmarkEnd w:id="10"/>
      <w:r w:rsidRPr="00BC719D" w:rsidR="00B32B88">
        <w:t>.  On 21 November 2008</w:t>
      </w:r>
      <w:r w:rsidRPr="00BC719D" w:rsidR="0054390C">
        <w:t xml:space="preserve"> the Constitutional Court </w:t>
      </w:r>
      <w:r w:rsidRPr="00BC719D" w:rsidR="0026421B">
        <w:t>declined</w:t>
      </w:r>
      <w:r w:rsidRPr="00BC719D" w:rsidR="0054390C">
        <w:t xml:space="preserve"> to institute proceedings</w:t>
      </w:r>
      <w:r w:rsidRPr="00BC719D" w:rsidR="00F0392D">
        <w:t>,</w:t>
      </w:r>
      <w:r w:rsidRPr="00BC719D" w:rsidR="0054390C">
        <w:t xml:space="preserve"> invoking </w:t>
      </w:r>
      <w:r w:rsidRPr="00BC719D" w:rsidR="005F328C">
        <w:t xml:space="preserve">section 20(6) of the </w:t>
      </w:r>
      <w:r w:rsidRPr="00BC719D" w:rsidR="0054390C">
        <w:t>Law on the Constitutional Court</w:t>
      </w:r>
      <w:r w:rsidRPr="00BC719D" w:rsidR="004D19F2">
        <w:t>. It noted that the application contained no reasoning as to why m</w:t>
      </w:r>
      <w:r w:rsidRPr="00BC719D" w:rsidR="00AE4C6F">
        <w:t>e</w:t>
      </w:r>
      <w:r w:rsidRPr="00BC719D" w:rsidR="004D19F2">
        <w:t xml:space="preserve">n and women who had been convicted of </w:t>
      </w:r>
      <w:r w:rsidRPr="00BC719D" w:rsidR="005F328C">
        <w:t xml:space="preserve">serious </w:t>
      </w:r>
      <w:r w:rsidRPr="00BC719D" w:rsidR="004D19F2">
        <w:t xml:space="preserve">and </w:t>
      </w:r>
      <w:r w:rsidRPr="00BC719D" w:rsidR="005F328C">
        <w:t xml:space="preserve">especially serious </w:t>
      </w:r>
      <w:r w:rsidRPr="00BC719D" w:rsidR="004D19F2">
        <w:t>crimes and given prison sentence</w:t>
      </w:r>
      <w:r w:rsidRPr="00BC719D" w:rsidR="00F0392D">
        <w:t>s</w:t>
      </w:r>
      <w:r w:rsidRPr="00BC719D" w:rsidR="004D19F2">
        <w:t xml:space="preserve"> would need to be subjected to the same rules of sentence enforcement</w:t>
      </w:r>
      <w:r w:rsidRPr="00BC719D" w:rsidR="00B56003">
        <w:t xml:space="preserve"> – </w:t>
      </w:r>
      <w:r w:rsidRPr="00BC719D" w:rsidR="004D19F2">
        <w:t xml:space="preserve">namely, </w:t>
      </w:r>
      <w:r w:rsidRPr="00BC719D" w:rsidR="00B56003">
        <w:t xml:space="preserve">how </w:t>
      </w:r>
      <w:r w:rsidRPr="00BC719D" w:rsidR="00B32B88">
        <w:t>men and women were in comparable situations.</w:t>
      </w:r>
      <w:r w:rsidRPr="00BC719D" w:rsidR="004D19F2">
        <w:t xml:space="preserve"> </w:t>
      </w:r>
      <w:r w:rsidRPr="00BC719D" w:rsidR="0004514E">
        <w:t>On those grounds,</w:t>
      </w:r>
      <w:r w:rsidRPr="00BC719D" w:rsidR="004D19F2">
        <w:t xml:space="preserve"> the legal reasoning </w:t>
      </w:r>
      <w:r w:rsidRPr="00BC719D" w:rsidR="0072638B">
        <w:t xml:space="preserve">included in the constitutional complaint was </w:t>
      </w:r>
      <w:r w:rsidRPr="00BC719D" w:rsidR="00B56003">
        <w:t xml:space="preserve">held </w:t>
      </w:r>
      <w:r w:rsidRPr="00BC719D" w:rsidR="0004514E">
        <w:t xml:space="preserve">to be </w:t>
      </w:r>
      <w:r w:rsidRPr="00BC719D" w:rsidR="005F328C">
        <w:t>evidently</w:t>
      </w:r>
      <w:r w:rsidRPr="00BC719D" w:rsidR="0072638B">
        <w:t xml:space="preserve"> insufficient for the claim</w:t>
      </w:r>
      <w:r w:rsidRPr="00BC719D" w:rsidR="00B56003">
        <w:t xml:space="preserve"> to be </w:t>
      </w:r>
      <w:r w:rsidRPr="00BC719D" w:rsidR="0026421B">
        <w:t>allowed</w:t>
      </w:r>
      <w:r w:rsidRPr="00BC719D" w:rsidR="0072638B">
        <w:t>.</w:t>
      </w:r>
    </w:p>
    <w:p w:rsidRPr="00BC719D" w:rsidR="00014566" w:rsidP="00BC719D" w:rsidRDefault="00014566">
      <w:pPr>
        <w:pStyle w:val="ECHRHeading1"/>
      </w:pPr>
      <w:r w:rsidRPr="00BC719D">
        <w:t>II.  RELEVANT DOMESTIC LAW AND PRACTICE</w:t>
      </w:r>
    </w:p>
    <w:p w:rsidRPr="00BC719D" w:rsidR="0033002A" w:rsidP="00BC719D" w:rsidRDefault="0031563D">
      <w:pPr>
        <w:pStyle w:val="ECHRHeading2"/>
      </w:pPr>
      <w:r w:rsidRPr="00BC719D">
        <w:t>A</w:t>
      </w:r>
      <w:r w:rsidRPr="00BC719D" w:rsidR="003E4862">
        <w:t>.</w:t>
      </w:r>
      <w:r w:rsidRPr="00BC719D" w:rsidR="0033002A">
        <w:t>  Constitution</w:t>
      </w:r>
    </w:p>
    <w:p w:rsidRPr="00BC719D" w:rsidR="00893F88" w:rsidP="00BC719D" w:rsidRDefault="0054390C">
      <w:pPr>
        <w:pStyle w:val="ECHRPara"/>
      </w:pPr>
      <w:r w:rsidRPr="00BC719D">
        <w:fldChar w:fldCharType="begin"/>
      </w:r>
      <w:r w:rsidRPr="00BC719D">
        <w:instrText xml:space="preserve"> SEQ level0 \*arabic </w:instrText>
      </w:r>
      <w:r w:rsidRPr="00BC719D">
        <w:fldChar w:fldCharType="separate"/>
      </w:r>
      <w:r w:rsidRPr="00BC719D" w:rsidR="00BC719D">
        <w:rPr>
          <w:noProof/>
        </w:rPr>
        <w:t>21</w:t>
      </w:r>
      <w:r w:rsidRPr="00BC719D">
        <w:fldChar w:fldCharType="end"/>
      </w:r>
      <w:r w:rsidRPr="00BC719D">
        <w:t>.  </w:t>
      </w:r>
      <w:r w:rsidRPr="00BC719D" w:rsidR="00893F88">
        <w:t>The relevant provision of the Constitution of the Republic of Latvia</w:t>
      </w:r>
      <w:r w:rsidRPr="00BC719D" w:rsidR="00B56003">
        <w:t xml:space="preserve"> (</w:t>
      </w:r>
      <w:r w:rsidRPr="00BC719D" w:rsidR="00B56003">
        <w:rPr>
          <w:i/>
        </w:rPr>
        <w:t>Satversme</w:t>
      </w:r>
      <w:r w:rsidRPr="00BC719D" w:rsidR="00B56003">
        <w:t>)</w:t>
      </w:r>
      <w:r w:rsidRPr="00BC719D" w:rsidR="00893F88">
        <w:t>, read</w:t>
      </w:r>
      <w:r w:rsidRPr="00BC719D" w:rsidR="00C730E9">
        <w:t>s</w:t>
      </w:r>
      <w:r w:rsidRPr="00BC719D" w:rsidR="00893F88">
        <w:t>:</w:t>
      </w:r>
    </w:p>
    <w:p w:rsidRPr="00BC719D" w:rsidR="00893F88" w:rsidP="00BC719D" w:rsidRDefault="00914567">
      <w:pPr>
        <w:pStyle w:val="ECHRTitleCentre3"/>
      </w:pPr>
      <w:r w:rsidRPr="00BC719D">
        <w:rPr>
          <w:rFonts w:eastAsiaTheme="majorEastAsia"/>
        </w:rPr>
        <w:t xml:space="preserve"> </w:t>
      </w:r>
      <w:r w:rsidRPr="00BC719D" w:rsidR="00893F88">
        <w:rPr>
          <w:rFonts w:eastAsiaTheme="majorEastAsia"/>
        </w:rPr>
        <w:t>Article 91</w:t>
      </w:r>
    </w:p>
    <w:p w:rsidRPr="00BC719D" w:rsidR="00893F88" w:rsidP="00BC719D" w:rsidRDefault="00893F88">
      <w:pPr>
        <w:pStyle w:val="JuQuotSub"/>
      </w:pPr>
      <w:r w:rsidRPr="00BC719D">
        <w:t>“All persons in Latvia shall be equal before the law and the courts. Human rights shall be exercised without discrimination of any kind.”</w:t>
      </w:r>
    </w:p>
    <w:p w:rsidRPr="00BC719D" w:rsidR="0033002A" w:rsidP="00BC719D" w:rsidRDefault="0031563D">
      <w:pPr>
        <w:pStyle w:val="ECHRHeading2"/>
        <w:rPr>
          <w:lang w:val="en-US"/>
        </w:rPr>
      </w:pPr>
      <w:r w:rsidRPr="00BC719D">
        <w:rPr>
          <w:lang w:val="en-US"/>
        </w:rPr>
        <w:t>B</w:t>
      </w:r>
      <w:r w:rsidRPr="00BC719D" w:rsidR="003E4862">
        <w:rPr>
          <w:lang w:val="en-US"/>
        </w:rPr>
        <w:t>.</w:t>
      </w:r>
      <w:r w:rsidRPr="00BC719D" w:rsidR="0033002A">
        <w:rPr>
          <w:lang w:val="en-US"/>
        </w:rPr>
        <w:t>  </w:t>
      </w:r>
      <w:r w:rsidRPr="00BC719D" w:rsidR="00291EDB">
        <w:rPr>
          <w:lang w:val="en-US"/>
        </w:rPr>
        <w:t xml:space="preserve">The Sentence </w:t>
      </w:r>
      <w:r w:rsidRPr="00BC719D" w:rsidR="003E4862">
        <w:rPr>
          <w:lang w:val="en-US"/>
        </w:rPr>
        <w:t>Enforcement</w:t>
      </w:r>
      <w:r w:rsidRPr="00BC719D" w:rsidR="00291EDB">
        <w:rPr>
          <w:lang w:val="en-US"/>
        </w:rPr>
        <w:t xml:space="preserve"> Code</w:t>
      </w:r>
    </w:p>
    <w:bookmarkStart w:name="SEC_progressive_system" w:id="11"/>
    <w:p w:rsidRPr="00BC719D" w:rsidR="00E32D79" w:rsidP="00BC719D" w:rsidRDefault="00924886">
      <w:pPr>
        <w:pStyle w:val="ECHRPara"/>
      </w:pPr>
      <w:r w:rsidRPr="00BC719D">
        <w:fldChar w:fldCharType="begin"/>
      </w:r>
      <w:r w:rsidRPr="00BC719D">
        <w:rPr>
          <w:lang w:val="en-US"/>
        </w:rPr>
        <w:instrText xml:space="preserve"> SEQ level0 \*arabic </w:instrText>
      </w:r>
      <w:r w:rsidRPr="00BC719D">
        <w:fldChar w:fldCharType="separate"/>
      </w:r>
      <w:r w:rsidRPr="00BC719D" w:rsidR="00BC719D">
        <w:rPr>
          <w:noProof/>
          <w:lang w:val="en-US"/>
        </w:rPr>
        <w:t>22</w:t>
      </w:r>
      <w:r w:rsidRPr="00BC719D">
        <w:fldChar w:fldCharType="end"/>
      </w:r>
      <w:bookmarkEnd w:id="11"/>
      <w:r w:rsidRPr="00BC719D">
        <w:rPr>
          <w:lang w:val="en-US"/>
        </w:rPr>
        <w:t>.  </w:t>
      </w:r>
      <w:r w:rsidRPr="00BC719D" w:rsidR="002E03D9">
        <w:t>Section 50</w:t>
      </w:r>
      <w:r w:rsidRPr="00BC719D" w:rsidR="002E03D9">
        <w:rPr>
          <w:vertAlign w:val="superscript"/>
        </w:rPr>
        <w:t>3</w:t>
      </w:r>
      <w:r w:rsidRPr="00BC719D" w:rsidR="002E03D9">
        <w:t xml:space="preserve"> </w:t>
      </w:r>
      <w:r w:rsidRPr="00BC719D" w:rsidR="00E32D79">
        <w:t xml:space="preserve">at the material time </w:t>
      </w:r>
      <w:r w:rsidRPr="00BC719D" w:rsidR="002E03D9">
        <w:t>provi</w:t>
      </w:r>
      <w:r w:rsidRPr="00BC719D" w:rsidR="00F93BC4">
        <w:t>ded that both closed and partly</w:t>
      </w:r>
      <w:r w:rsidRPr="00BC719D" w:rsidR="00F93BC4">
        <w:noBreakHyphen/>
      </w:r>
      <w:r w:rsidRPr="00BC719D" w:rsidR="002E03D9">
        <w:t xml:space="preserve">closed prisons had three </w:t>
      </w:r>
      <w:r w:rsidRPr="00BC719D" w:rsidR="00D936A5">
        <w:t>security levels (regimes</w:t>
      </w:r>
      <w:r w:rsidRPr="00BC719D" w:rsidR="0030620B">
        <w:t xml:space="preserve"> under which sentences were to be served</w:t>
      </w:r>
      <w:r w:rsidRPr="00BC719D" w:rsidR="00D936A5">
        <w:t xml:space="preserve">) </w:t>
      </w:r>
      <w:r w:rsidRPr="00BC719D" w:rsidR="002E03D9">
        <w:t xml:space="preserve">– maximum, medium and </w:t>
      </w:r>
      <w:r w:rsidRPr="00BC719D" w:rsidR="00B56003">
        <w:t>minimum</w:t>
      </w:r>
      <w:r w:rsidRPr="00BC719D" w:rsidR="002E03D9">
        <w:t xml:space="preserve">. </w:t>
      </w:r>
      <w:r w:rsidRPr="00BC719D" w:rsidR="00B56003">
        <w:t>Under</w:t>
      </w:r>
      <w:r w:rsidRPr="00BC719D" w:rsidR="00E32D79">
        <w:t xml:space="preserve"> s</w:t>
      </w:r>
      <w:r w:rsidRPr="00BC719D">
        <w:t xml:space="preserve">ection </w:t>
      </w:r>
      <w:r w:rsidRPr="00BC719D" w:rsidR="002E03D9">
        <w:t>50</w:t>
      </w:r>
      <w:r w:rsidRPr="00BC719D" w:rsidR="002E03D9">
        <w:rPr>
          <w:vertAlign w:val="superscript"/>
        </w:rPr>
        <w:t>1</w:t>
      </w:r>
      <w:r w:rsidRPr="00BC719D" w:rsidR="00E32D79">
        <w:t xml:space="preserve">, </w:t>
      </w:r>
      <w:r w:rsidRPr="00BC719D" w:rsidR="00D936A5">
        <w:t>both at the material time and</w:t>
      </w:r>
      <w:r w:rsidRPr="00BC719D" w:rsidR="00E40057">
        <w:t xml:space="preserve"> at the time of adoption of this judgment, </w:t>
      </w:r>
      <w:r w:rsidRPr="00BC719D" w:rsidR="00E02DC6">
        <w:t xml:space="preserve">all prisoners who are to serve their </w:t>
      </w:r>
      <w:r w:rsidRPr="00BC719D" w:rsidR="006C2E1C">
        <w:t>sentence</w:t>
      </w:r>
      <w:r w:rsidRPr="00BC719D" w:rsidR="00E02DC6">
        <w:t xml:space="preserve"> in closed or partly-closed prisons start </w:t>
      </w:r>
      <w:r w:rsidRPr="00BC719D">
        <w:t>serving the</w:t>
      </w:r>
      <w:r w:rsidRPr="00BC719D" w:rsidR="00BB4326">
        <w:t>ir</w:t>
      </w:r>
      <w:r w:rsidRPr="00BC719D">
        <w:t xml:space="preserve"> sentence at the </w:t>
      </w:r>
      <w:r w:rsidRPr="00BC719D" w:rsidR="00B56003">
        <w:t>maximum-</w:t>
      </w:r>
      <w:r w:rsidRPr="00BC719D">
        <w:t>security level of the respective prison.</w:t>
      </w:r>
      <w:r w:rsidRPr="00BC719D" w:rsidR="00E32D79">
        <w:t xml:space="preserve"> They </w:t>
      </w:r>
      <w:r w:rsidRPr="00BC719D" w:rsidR="00E02DC6">
        <w:t xml:space="preserve">are </w:t>
      </w:r>
      <w:r w:rsidRPr="00BC719D" w:rsidR="00B56003">
        <w:t xml:space="preserve">all </w:t>
      </w:r>
      <w:r w:rsidRPr="00BC719D" w:rsidR="00E32D79">
        <w:t xml:space="preserve">subjected to the “progressive sentence execution” system, </w:t>
      </w:r>
      <w:r w:rsidRPr="00BC719D" w:rsidR="00E02DC6">
        <w:t xml:space="preserve">under </w:t>
      </w:r>
      <w:r w:rsidRPr="00BC719D" w:rsidR="00E32D79">
        <w:t xml:space="preserve">which </w:t>
      </w:r>
      <w:r w:rsidRPr="00BC719D" w:rsidR="00E02DC6">
        <w:t xml:space="preserve">prisoners can </w:t>
      </w:r>
      <w:r w:rsidRPr="00BC719D" w:rsidR="00E32D79">
        <w:t xml:space="preserve">be transferred to more lenient prison regimes </w:t>
      </w:r>
      <w:r w:rsidRPr="00BC719D" w:rsidR="00217ABB">
        <w:t>following an individual assessment</w:t>
      </w:r>
      <w:r w:rsidRPr="00BC719D" w:rsidR="00F0392D">
        <w:t>,</w:t>
      </w:r>
      <w:r w:rsidRPr="00BC719D" w:rsidR="00217ABB">
        <w:t xml:space="preserve"> but </w:t>
      </w:r>
      <w:r w:rsidRPr="00BC719D" w:rsidR="00E32D79">
        <w:t>only after having served a certain pre</w:t>
      </w:r>
      <w:r w:rsidRPr="00BC719D" w:rsidR="00F0392D">
        <w:t>-</w:t>
      </w:r>
      <w:r w:rsidRPr="00BC719D" w:rsidR="00E32D79">
        <w:t xml:space="preserve">set proportion of their sentence </w:t>
      </w:r>
      <w:r w:rsidRPr="00BC719D" w:rsidR="00B56003">
        <w:t xml:space="preserve">under </w:t>
      </w:r>
      <w:r w:rsidRPr="00BC719D" w:rsidR="00E32D79">
        <w:t xml:space="preserve">the </w:t>
      </w:r>
      <w:r w:rsidRPr="00BC719D" w:rsidR="008801B3">
        <w:t xml:space="preserve">stricter </w:t>
      </w:r>
      <w:r w:rsidRPr="00BC719D" w:rsidR="00E32D79">
        <w:t>regimes.</w:t>
      </w:r>
    </w:p>
    <w:bookmarkStart w:name="SEC_closed_prisons" w:id="12"/>
    <w:p w:rsidRPr="00BC719D" w:rsidR="00924886" w:rsidP="00BC719D" w:rsidRDefault="00924886">
      <w:pPr>
        <w:pStyle w:val="ECHRPara"/>
      </w:pPr>
      <w:r w:rsidRPr="00BC719D">
        <w:fldChar w:fldCharType="begin"/>
      </w:r>
      <w:r w:rsidRPr="00BC719D">
        <w:instrText xml:space="preserve"> SEQ level0 \*arabic </w:instrText>
      </w:r>
      <w:r w:rsidRPr="00BC719D">
        <w:fldChar w:fldCharType="separate"/>
      </w:r>
      <w:r w:rsidRPr="00BC719D" w:rsidR="00BC719D">
        <w:rPr>
          <w:noProof/>
        </w:rPr>
        <w:t>23</w:t>
      </w:r>
      <w:r w:rsidRPr="00BC719D">
        <w:fldChar w:fldCharType="end"/>
      </w:r>
      <w:bookmarkEnd w:id="12"/>
      <w:r w:rsidRPr="00BC719D">
        <w:t>.  Section 50</w:t>
      </w:r>
      <w:r w:rsidRPr="00BC719D">
        <w:rPr>
          <w:vertAlign w:val="superscript"/>
        </w:rPr>
        <w:t>4</w:t>
      </w:r>
      <w:r w:rsidRPr="00BC719D">
        <w:t xml:space="preserve">(1) </w:t>
      </w:r>
      <w:r w:rsidRPr="00BC719D" w:rsidR="002E03D9">
        <w:t>set</w:t>
      </w:r>
      <w:r w:rsidRPr="00BC719D" w:rsidR="00BB4326">
        <w:t>s</w:t>
      </w:r>
      <w:r w:rsidRPr="00BC719D" w:rsidR="002E03D9">
        <w:t xml:space="preserve"> out </w:t>
      </w:r>
      <w:r w:rsidRPr="00BC719D">
        <w:t xml:space="preserve">two groups of convicts </w:t>
      </w:r>
      <w:r w:rsidRPr="00BC719D" w:rsidR="00EE44CB">
        <w:t xml:space="preserve">who </w:t>
      </w:r>
      <w:r w:rsidRPr="00BC719D">
        <w:t xml:space="preserve">serve their sentence in closed prisons: men sentenced </w:t>
      </w:r>
      <w:r w:rsidRPr="00BC719D" w:rsidR="00B56003">
        <w:t xml:space="preserve">to </w:t>
      </w:r>
      <w:r w:rsidRPr="00BC719D">
        <w:t xml:space="preserve">deprivation of liberty for </w:t>
      </w:r>
      <w:r w:rsidRPr="00BC719D" w:rsidR="00B56003">
        <w:t xml:space="preserve">the </w:t>
      </w:r>
      <w:r w:rsidRPr="00BC719D">
        <w:t xml:space="preserve">commission of serious or especially serious crimes and </w:t>
      </w:r>
      <w:r w:rsidRPr="00BC719D" w:rsidR="0083426B">
        <w:t>convicts</w:t>
      </w:r>
      <w:r w:rsidRPr="00BC719D">
        <w:t xml:space="preserve"> who </w:t>
      </w:r>
      <w:r w:rsidRPr="00BC719D" w:rsidR="0083426B">
        <w:t xml:space="preserve">have </w:t>
      </w:r>
      <w:r w:rsidRPr="00BC719D">
        <w:t>been transferred from partly-closed prison</w:t>
      </w:r>
      <w:r w:rsidRPr="00BC719D" w:rsidR="002E03D9">
        <w:t>s</w:t>
      </w:r>
      <w:r w:rsidRPr="00BC719D">
        <w:t xml:space="preserve"> </w:t>
      </w:r>
      <w:r w:rsidRPr="00BC719D" w:rsidR="0004465A">
        <w:t xml:space="preserve">owing </w:t>
      </w:r>
      <w:r w:rsidRPr="00BC719D">
        <w:t xml:space="preserve">to gross or systematic regime violations. Prisoners </w:t>
      </w:r>
      <w:r w:rsidRPr="00BC719D" w:rsidR="0083426B">
        <w:t xml:space="preserve">placed in closed prisons </w:t>
      </w:r>
      <w:r w:rsidRPr="00BC719D" w:rsidR="00EE44CB">
        <w:t xml:space="preserve">have </w:t>
      </w:r>
      <w:r w:rsidRPr="00BC719D">
        <w:t xml:space="preserve">to serve no less than one fourth of the adjudged sentence at the </w:t>
      </w:r>
      <w:r w:rsidRPr="00BC719D" w:rsidR="0004465A">
        <w:t>maximum-</w:t>
      </w:r>
      <w:r w:rsidRPr="00BC719D">
        <w:t xml:space="preserve">security level. Following this time they </w:t>
      </w:r>
      <w:r w:rsidRPr="00BC719D" w:rsidR="00EE44CB">
        <w:t xml:space="preserve">may </w:t>
      </w:r>
      <w:r w:rsidRPr="00BC719D">
        <w:t xml:space="preserve">be transferred to the </w:t>
      </w:r>
      <w:r w:rsidRPr="00BC719D" w:rsidR="0004465A">
        <w:t>medium-</w:t>
      </w:r>
      <w:r w:rsidRPr="00BC719D">
        <w:t>security level</w:t>
      </w:r>
      <w:r w:rsidRPr="00BC719D" w:rsidR="008855D8">
        <w:t>,</w:t>
      </w:r>
      <w:r w:rsidRPr="00BC719D">
        <w:t xml:space="preserve"> where they </w:t>
      </w:r>
      <w:r w:rsidRPr="00BC719D" w:rsidR="00EE44CB">
        <w:t xml:space="preserve">have </w:t>
      </w:r>
      <w:r w:rsidRPr="00BC719D">
        <w:t>to serve no less than another fourth of the adjudged sentence</w:t>
      </w:r>
      <w:r w:rsidRPr="00BC719D" w:rsidR="0083426B">
        <w:t xml:space="preserve"> before becoming eligible for a transfer to the </w:t>
      </w:r>
      <w:r w:rsidRPr="00BC719D">
        <w:t xml:space="preserve">minimum security level. From the minimum security level prisoners </w:t>
      </w:r>
      <w:r w:rsidRPr="00BC719D" w:rsidR="00EE44CB">
        <w:t xml:space="preserve">may </w:t>
      </w:r>
      <w:r w:rsidRPr="00BC719D">
        <w:t xml:space="preserve">be transferred to a partly-closed prison or conditionally released before </w:t>
      </w:r>
      <w:r w:rsidRPr="00BC719D" w:rsidR="008855D8">
        <w:t>the completion of the sentence</w:t>
      </w:r>
      <w:r w:rsidRPr="00BC719D">
        <w:t>.</w:t>
      </w:r>
    </w:p>
    <w:bookmarkStart w:name="SEC_partly_closed_prisons" w:id="13"/>
    <w:p w:rsidRPr="00BC719D" w:rsidR="00924886" w:rsidP="00BC719D" w:rsidRDefault="00924886">
      <w:pPr>
        <w:pStyle w:val="ECHRPara"/>
      </w:pPr>
      <w:r w:rsidRPr="00BC719D">
        <w:fldChar w:fldCharType="begin"/>
      </w:r>
      <w:r w:rsidRPr="00BC719D">
        <w:instrText xml:space="preserve"> SEQ level0 \*arabic </w:instrText>
      </w:r>
      <w:r w:rsidRPr="00BC719D">
        <w:fldChar w:fldCharType="separate"/>
      </w:r>
      <w:r w:rsidRPr="00BC719D" w:rsidR="00BC719D">
        <w:rPr>
          <w:noProof/>
        </w:rPr>
        <w:t>24</w:t>
      </w:r>
      <w:r w:rsidRPr="00BC719D">
        <w:fldChar w:fldCharType="end"/>
      </w:r>
      <w:bookmarkEnd w:id="13"/>
      <w:r w:rsidRPr="00BC719D">
        <w:t>.  </w:t>
      </w:r>
      <w:r w:rsidRPr="00BC719D" w:rsidR="00EE44CB">
        <w:t>Section 50</w:t>
      </w:r>
      <w:r w:rsidRPr="00BC719D" w:rsidR="00EE44CB">
        <w:rPr>
          <w:vertAlign w:val="superscript"/>
        </w:rPr>
        <w:t>5</w:t>
      </w:r>
      <w:r w:rsidRPr="00BC719D" w:rsidR="00EE44CB">
        <w:t xml:space="preserve">(1) lists ten different groups of convicts </w:t>
      </w:r>
      <w:r w:rsidRPr="00BC719D">
        <w:t xml:space="preserve">who serve their sentence </w:t>
      </w:r>
      <w:r w:rsidRPr="00BC719D" w:rsidR="00EE44CB">
        <w:t>in partly-closed prisons</w:t>
      </w:r>
      <w:r w:rsidRPr="00BC719D">
        <w:t xml:space="preserve">, including women </w:t>
      </w:r>
      <w:r w:rsidRPr="00BC719D" w:rsidR="003D2FCE">
        <w:t xml:space="preserve">serving sentences </w:t>
      </w:r>
      <w:r w:rsidRPr="00BC719D">
        <w:t xml:space="preserve">for intentionally committed crimes. </w:t>
      </w:r>
      <w:r w:rsidRPr="00BC719D" w:rsidR="00EE44CB">
        <w:t xml:space="preserve">At the relevant time this provision provided </w:t>
      </w:r>
      <w:r w:rsidRPr="00BC719D" w:rsidR="006C2E1C">
        <w:t>that when</w:t>
      </w:r>
      <w:r w:rsidRPr="00BC719D" w:rsidR="00824722">
        <w:t xml:space="preserve"> beginning a sentence</w:t>
      </w:r>
      <w:r w:rsidRPr="00BC719D">
        <w:t xml:space="preserve"> a convicted person had to serve no less than one fifth of the adjudged sentence at the </w:t>
      </w:r>
      <w:r w:rsidRPr="00BC719D" w:rsidR="001F4978">
        <w:t>maximum-</w:t>
      </w:r>
      <w:r w:rsidRPr="00BC719D">
        <w:t xml:space="preserve">security level. Subsequently, he or she had to serve no less than </w:t>
      </w:r>
      <w:r w:rsidRPr="00BC719D" w:rsidR="00D31DDA">
        <w:t xml:space="preserve">a further </w:t>
      </w:r>
      <w:r w:rsidRPr="00BC719D">
        <w:t>fifth at the medium</w:t>
      </w:r>
      <w:r w:rsidRPr="00BC719D" w:rsidR="008855D8">
        <w:t>-</w:t>
      </w:r>
      <w:r w:rsidRPr="00BC719D">
        <w:t xml:space="preserve">security level but the remaining part </w:t>
      </w:r>
      <w:r w:rsidRPr="00BC719D" w:rsidR="008801B3">
        <w:t>could be served</w:t>
      </w:r>
      <w:r w:rsidRPr="00BC719D">
        <w:t xml:space="preserve"> at the minimum security level. From the minimum security level a convicted person could be transferred to an open prison or conditionally released before </w:t>
      </w:r>
      <w:r w:rsidRPr="00BC719D" w:rsidR="002F2195">
        <w:t xml:space="preserve">the </w:t>
      </w:r>
      <w:r w:rsidRPr="00BC719D">
        <w:t>completion of the sentence.</w:t>
      </w:r>
    </w:p>
    <w:bookmarkStart w:name="SEC_comparison_of_rights" w:id="14"/>
    <w:p w:rsidRPr="00BC719D" w:rsidR="00184B39" w:rsidP="00BC719D" w:rsidRDefault="00924886">
      <w:pPr>
        <w:pStyle w:val="ECHRPara"/>
      </w:pPr>
      <w:r w:rsidRPr="00BC719D">
        <w:fldChar w:fldCharType="begin"/>
      </w:r>
      <w:r w:rsidRPr="00BC719D">
        <w:instrText xml:space="preserve"> SEQ level0 \*arabic </w:instrText>
      </w:r>
      <w:r w:rsidRPr="00BC719D">
        <w:fldChar w:fldCharType="separate"/>
      </w:r>
      <w:r w:rsidRPr="00BC719D" w:rsidR="00BC719D">
        <w:rPr>
          <w:noProof/>
        </w:rPr>
        <w:t>25</w:t>
      </w:r>
      <w:r w:rsidRPr="00BC719D">
        <w:fldChar w:fldCharType="end"/>
      </w:r>
      <w:bookmarkEnd w:id="14"/>
      <w:r w:rsidRPr="00BC719D">
        <w:t>.  </w:t>
      </w:r>
      <w:r w:rsidRPr="00BC719D" w:rsidR="00F5184F">
        <w:t>P</w:t>
      </w:r>
      <w:r w:rsidRPr="00BC719D" w:rsidR="00A02D9B">
        <w:t>risoners serving</w:t>
      </w:r>
      <w:r w:rsidRPr="00BC719D" w:rsidR="00402B14">
        <w:t xml:space="preserve"> </w:t>
      </w:r>
      <w:r w:rsidRPr="00BC719D" w:rsidR="008E526C">
        <w:t xml:space="preserve">their </w:t>
      </w:r>
      <w:r w:rsidRPr="00BC719D" w:rsidR="00402B14">
        <w:t>se</w:t>
      </w:r>
      <w:r w:rsidRPr="00BC719D" w:rsidR="00A02D9B">
        <w:t xml:space="preserve">ntence in closed prisons, regardless of the applicable </w:t>
      </w:r>
      <w:r w:rsidRPr="00BC719D" w:rsidR="00A06F08">
        <w:t xml:space="preserve">prison regime, as well as prisoners serving their sentence in partly-closed prisons </w:t>
      </w:r>
      <w:r w:rsidRPr="00BC719D" w:rsidR="00D05E09">
        <w:t xml:space="preserve">at </w:t>
      </w:r>
      <w:r w:rsidRPr="00BC719D" w:rsidR="001F4978">
        <w:t>the maximum-</w:t>
      </w:r>
      <w:r w:rsidRPr="00BC719D" w:rsidR="00A06F08">
        <w:t xml:space="preserve">security level, </w:t>
      </w:r>
      <w:r w:rsidRPr="00BC719D" w:rsidR="00A02D9B">
        <w:t xml:space="preserve">were not eligible for prison leave. </w:t>
      </w:r>
      <w:r w:rsidRPr="00BC719D" w:rsidR="00483AEB">
        <w:t xml:space="preserve">With respect to </w:t>
      </w:r>
      <w:r w:rsidRPr="00BC719D" w:rsidR="00EE44CB">
        <w:t>prisoners held</w:t>
      </w:r>
      <w:r w:rsidRPr="00BC719D" w:rsidR="00483AEB">
        <w:t xml:space="preserve"> </w:t>
      </w:r>
      <w:r w:rsidRPr="00BC719D" w:rsidR="009B6661">
        <w:t xml:space="preserve">at </w:t>
      </w:r>
      <w:r w:rsidRPr="00BC719D" w:rsidR="00483AEB">
        <w:t>the medium</w:t>
      </w:r>
      <w:r w:rsidRPr="00BC719D" w:rsidR="001F4978">
        <w:t>-</w:t>
      </w:r>
      <w:r w:rsidRPr="00BC719D" w:rsidR="00483AEB">
        <w:t xml:space="preserve"> and minimum</w:t>
      </w:r>
      <w:r w:rsidRPr="00BC719D" w:rsidR="00F93BC4">
        <w:noBreakHyphen/>
      </w:r>
      <w:r w:rsidRPr="00BC719D" w:rsidR="00483AEB">
        <w:t xml:space="preserve">security level </w:t>
      </w:r>
      <w:r w:rsidRPr="00BC719D" w:rsidR="009B6661">
        <w:t xml:space="preserve">in </w:t>
      </w:r>
      <w:r w:rsidRPr="00BC719D" w:rsidR="00483AEB">
        <w:t>partly-closed prison</w:t>
      </w:r>
      <w:r w:rsidRPr="00BC719D" w:rsidR="00A06F08">
        <w:t>s</w:t>
      </w:r>
      <w:r w:rsidRPr="00BC719D" w:rsidR="0083426B">
        <w:t xml:space="preserve">, </w:t>
      </w:r>
      <w:r w:rsidRPr="00BC719D" w:rsidR="00A02D9B">
        <w:t>section 50</w:t>
      </w:r>
      <w:r w:rsidRPr="00BC719D" w:rsidR="00A02D9B">
        <w:rPr>
          <w:vertAlign w:val="superscript"/>
        </w:rPr>
        <w:t>5</w:t>
      </w:r>
      <w:r w:rsidRPr="00BC719D" w:rsidR="00A02D9B">
        <w:t xml:space="preserve"> </w:t>
      </w:r>
      <w:r w:rsidRPr="00BC719D" w:rsidR="0083426B">
        <w:t>s</w:t>
      </w:r>
      <w:r w:rsidRPr="00BC719D" w:rsidR="00214E41">
        <w:t>t</w:t>
      </w:r>
      <w:r w:rsidRPr="00BC719D" w:rsidR="008E526C">
        <w:t xml:space="preserve">ated that they had </w:t>
      </w:r>
      <w:r w:rsidRPr="00BC719D" w:rsidR="00F63ED9">
        <w:t xml:space="preserve">the </w:t>
      </w:r>
      <w:r w:rsidRPr="00BC719D" w:rsidR="008E526C">
        <w:t>right</w:t>
      </w:r>
      <w:r w:rsidRPr="00BC719D" w:rsidR="00483AEB">
        <w:t>, with the permission of the</w:t>
      </w:r>
      <w:r w:rsidRPr="00BC719D" w:rsidR="00FB00A2">
        <w:t>ir</w:t>
      </w:r>
      <w:r w:rsidRPr="00BC719D" w:rsidR="00483AEB">
        <w:t xml:space="preserve"> prison </w:t>
      </w:r>
      <w:r w:rsidRPr="00BC719D" w:rsidR="009B6661">
        <w:t>governor</w:t>
      </w:r>
      <w:r w:rsidRPr="00BC719D" w:rsidR="00483AEB">
        <w:t xml:space="preserve">, to temporarily leave the prison </w:t>
      </w:r>
      <w:r w:rsidRPr="00BC719D" w:rsidR="00BE452E">
        <w:t xml:space="preserve">for </w:t>
      </w:r>
      <w:r w:rsidRPr="00BC719D" w:rsidR="00483AEB">
        <w:t>up to seven days a year</w:t>
      </w:r>
      <w:r w:rsidRPr="00BC719D" w:rsidR="00214E41">
        <w:t>,</w:t>
      </w:r>
      <w:r w:rsidRPr="00BC719D" w:rsidR="00483AEB">
        <w:t xml:space="preserve"> or up to five days on account of </w:t>
      </w:r>
      <w:r w:rsidRPr="00BC719D" w:rsidR="00BE452E">
        <w:t xml:space="preserve">the </w:t>
      </w:r>
      <w:r w:rsidRPr="00BC719D" w:rsidR="00483AEB">
        <w:t>death or life-threatening illness of a close relative.</w:t>
      </w:r>
    </w:p>
    <w:p w:rsidRPr="00BC719D" w:rsidR="00483AEB" w:rsidP="00BC719D" w:rsidRDefault="0031563D">
      <w:pPr>
        <w:pStyle w:val="ECHRHeading2"/>
      </w:pPr>
      <w:r w:rsidRPr="00BC719D">
        <w:t>C</w:t>
      </w:r>
      <w:r w:rsidRPr="00BC719D" w:rsidR="003E4862">
        <w:t>.</w:t>
      </w:r>
      <w:r w:rsidRPr="00BC719D" w:rsidR="00483AEB">
        <w:t>  </w:t>
      </w:r>
      <w:r w:rsidRPr="00BC719D" w:rsidR="00D73A48">
        <w:t>The Criminal Law</w:t>
      </w:r>
    </w:p>
    <w:p w:rsidRPr="00BC719D" w:rsidR="00D73A48" w:rsidP="00BC719D" w:rsidRDefault="00D73A48">
      <w:pPr>
        <w:pStyle w:val="ECHRPara"/>
        <w:rPr>
          <w:rFonts w:ascii="Times New Roman" w:hAnsi="Times New Roman" w:eastAsia="Times New Roman" w:cs="Times New Roman"/>
          <w:color w:val="000000"/>
          <w:szCs w:val="24"/>
          <w:lang w:eastAsia="en-GB"/>
        </w:rPr>
      </w:pPr>
      <w:r w:rsidRPr="00BC719D">
        <w:rPr>
          <w:rFonts w:eastAsia="Times New Roman"/>
          <w:lang w:eastAsia="en-GB"/>
        </w:rPr>
        <w:fldChar w:fldCharType="begin"/>
      </w:r>
      <w:r w:rsidRPr="00BC719D">
        <w:rPr>
          <w:rFonts w:eastAsia="Times New Roman"/>
          <w:lang w:eastAsia="en-GB"/>
        </w:rPr>
        <w:instrText xml:space="preserve"> SEQ level0 \*arabic </w:instrText>
      </w:r>
      <w:r w:rsidRPr="00BC719D">
        <w:rPr>
          <w:rFonts w:eastAsia="Times New Roman"/>
          <w:lang w:eastAsia="en-GB"/>
        </w:rPr>
        <w:fldChar w:fldCharType="separate"/>
      </w:r>
      <w:r w:rsidRPr="00BC719D" w:rsidR="00BC719D">
        <w:rPr>
          <w:rFonts w:eastAsia="Times New Roman"/>
          <w:noProof/>
          <w:lang w:eastAsia="en-GB"/>
        </w:rPr>
        <w:t>26</w:t>
      </w:r>
      <w:r w:rsidRPr="00BC719D">
        <w:rPr>
          <w:rFonts w:eastAsia="Times New Roman"/>
          <w:lang w:eastAsia="en-GB"/>
        </w:rPr>
        <w:fldChar w:fldCharType="end"/>
      </w:r>
      <w:r w:rsidRPr="00BC719D">
        <w:rPr>
          <w:rFonts w:eastAsia="Times New Roman"/>
          <w:lang w:eastAsia="en-GB"/>
        </w:rPr>
        <w:t xml:space="preserve">.  Section 7(1) of the Criminal Law </w:t>
      </w:r>
      <w:r w:rsidRPr="00BC719D" w:rsidR="00B85D79">
        <w:rPr>
          <w:rFonts w:eastAsia="Times New Roman"/>
          <w:lang w:eastAsia="en-GB"/>
        </w:rPr>
        <w:t>(</w:t>
      </w:r>
      <w:r w:rsidRPr="00BC719D" w:rsidR="00B85D79">
        <w:rPr>
          <w:i/>
          <w:color w:val="000000"/>
        </w:rPr>
        <w:t>Krimināllikums</w:t>
      </w:r>
      <w:r w:rsidRPr="00BC719D" w:rsidR="00B85D79">
        <w:rPr>
          <w:rFonts w:eastAsia="Times New Roman"/>
          <w:lang w:eastAsia="en-GB"/>
        </w:rPr>
        <w:t xml:space="preserve">) </w:t>
      </w:r>
      <w:r w:rsidRPr="00BC719D">
        <w:rPr>
          <w:rFonts w:eastAsia="Times New Roman"/>
          <w:lang w:eastAsia="en-GB"/>
        </w:rPr>
        <w:t xml:space="preserve">provides that on the basis of their </w:t>
      </w:r>
      <w:r w:rsidRPr="00BC719D" w:rsidR="00402E91">
        <w:rPr>
          <w:rFonts w:eastAsia="Times New Roman"/>
          <w:lang w:eastAsia="en-GB"/>
        </w:rPr>
        <w:t xml:space="preserve">degree of </w:t>
      </w:r>
      <w:r w:rsidRPr="00BC719D">
        <w:rPr>
          <w:rFonts w:eastAsia="Times New Roman"/>
          <w:lang w:eastAsia="en-GB"/>
        </w:rPr>
        <w:t>severity criminal offences are divided in</w:t>
      </w:r>
      <w:r w:rsidRPr="00BC719D" w:rsidR="00214E41">
        <w:rPr>
          <w:rFonts w:eastAsia="Times New Roman"/>
          <w:lang w:eastAsia="en-GB"/>
        </w:rPr>
        <w:t>to</w:t>
      </w:r>
      <w:r w:rsidRPr="00BC719D">
        <w:rPr>
          <w:rFonts w:eastAsia="Times New Roman"/>
          <w:lang w:eastAsia="en-GB"/>
        </w:rPr>
        <w:t xml:space="preserve"> misdemeanours, </w:t>
      </w:r>
      <w:r w:rsidRPr="00BC719D">
        <w:rPr>
          <w:rFonts w:ascii="Times New Roman" w:hAnsi="Times New Roman" w:eastAsia="Times New Roman" w:cs="Times New Roman"/>
          <w:color w:val="000000"/>
          <w:szCs w:val="24"/>
          <w:lang w:eastAsia="en-GB"/>
        </w:rPr>
        <w:t>less serious crimes, serious crimes and especially serious crimes.</w:t>
      </w:r>
    </w:p>
    <w:p w:rsidRPr="00BC719D" w:rsidR="00D73A48" w:rsidP="00BC719D" w:rsidRDefault="00494835">
      <w:pPr>
        <w:pStyle w:val="ECHRPara"/>
        <w:rPr>
          <w:rFonts w:ascii="Times New Roman" w:hAnsi="Times New Roman" w:eastAsia="Times New Roman" w:cs="Times New Roman"/>
          <w:color w:val="000000"/>
          <w:szCs w:val="24"/>
          <w:lang w:eastAsia="en-GB"/>
        </w:rPr>
      </w:pPr>
      <w:r w:rsidRPr="00BC719D">
        <w:rPr>
          <w:rFonts w:ascii="Times New Roman" w:hAnsi="Times New Roman" w:eastAsia="Times New Roman" w:cs="Times New Roman"/>
          <w:color w:val="000000"/>
          <w:szCs w:val="24"/>
          <w:lang w:eastAsia="en-GB"/>
        </w:rPr>
        <w:fldChar w:fldCharType="begin"/>
      </w:r>
      <w:r w:rsidRPr="00BC719D">
        <w:rPr>
          <w:rFonts w:ascii="Times New Roman" w:hAnsi="Times New Roman" w:eastAsia="Times New Roman" w:cs="Times New Roman"/>
          <w:color w:val="000000"/>
          <w:szCs w:val="24"/>
          <w:lang w:eastAsia="en-GB"/>
        </w:rPr>
        <w:instrText xml:space="preserve"> SEQ level0 \*arabic </w:instrText>
      </w:r>
      <w:r w:rsidRPr="00BC719D">
        <w:rPr>
          <w:rFonts w:ascii="Times New Roman" w:hAnsi="Times New Roman" w:eastAsia="Times New Roman" w:cs="Times New Roman"/>
          <w:color w:val="000000"/>
          <w:szCs w:val="24"/>
          <w:lang w:eastAsia="en-GB"/>
        </w:rPr>
        <w:fldChar w:fldCharType="separate"/>
      </w:r>
      <w:r w:rsidRPr="00BC719D" w:rsidR="00BC719D">
        <w:rPr>
          <w:rFonts w:ascii="Times New Roman" w:hAnsi="Times New Roman" w:eastAsia="Times New Roman" w:cs="Times New Roman"/>
          <w:noProof/>
          <w:color w:val="000000"/>
          <w:szCs w:val="24"/>
          <w:lang w:eastAsia="en-GB"/>
        </w:rPr>
        <w:t>27</w:t>
      </w:r>
      <w:r w:rsidRPr="00BC719D">
        <w:rPr>
          <w:rFonts w:ascii="Times New Roman" w:hAnsi="Times New Roman" w:eastAsia="Times New Roman" w:cs="Times New Roman"/>
          <w:color w:val="000000"/>
          <w:szCs w:val="24"/>
          <w:lang w:eastAsia="en-GB"/>
        </w:rPr>
        <w:fldChar w:fldCharType="end"/>
      </w:r>
      <w:r w:rsidRPr="00BC719D">
        <w:rPr>
          <w:rFonts w:ascii="Times New Roman" w:hAnsi="Times New Roman" w:eastAsia="Times New Roman" w:cs="Times New Roman"/>
          <w:color w:val="000000"/>
          <w:szCs w:val="24"/>
          <w:lang w:eastAsia="en-GB"/>
        </w:rPr>
        <w:t>.  </w:t>
      </w:r>
      <w:r w:rsidRPr="00BC719D" w:rsidR="00D73A48">
        <w:rPr>
          <w:rFonts w:ascii="Times New Roman" w:hAnsi="Times New Roman" w:eastAsia="Times New Roman" w:cs="Times New Roman"/>
          <w:color w:val="000000"/>
          <w:szCs w:val="24"/>
          <w:lang w:eastAsia="en-GB"/>
        </w:rPr>
        <w:t xml:space="preserve">At the relevant time section 7(4) provided that serious crimes were intentional offences for which the punishment provided </w:t>
      </w:r>
      <w:r w:rsidRPr="00BC719D" w:rsidR="00A06F08">
        <w:rPr>
          <w:rFonts w:ascii="Times New Roman" w:hAnsi="Times New Roman" w:eastAsia="Times New Roman" w:cs="Times New Roman"/>
          <w:color w:val="000000"/>
          <w:szCs w:val="24"/>
          <w:lang w:eastAsia="en-GB"/>
        </w:rPr>
        <w:t>i</w:t>
      </w:r>
      <w:r w:rsidRPr="00BC719D" w:rsidR="00D73A48">
        <w:rPr>
          <w:rFonts w:ascii="Times New Roman" w:hAnsi="Times New Roman" w:eastAsia="Times New Roman" w:cs="Times New Roman"/>
          <w:color w:val="000000"/>
          <w:szCs w:val="24"/>
          <w:lang w:eastAsia="en-GB"/>
        </w:rPr>
        <w:t xml:space="preserve">n the Criminal Law was deprivation of liberty for a period </w:t>
      </w:r>
      <w:r w:rsidRPr="00BC719D" w:rsidR="00402E91">
        <w:rPr>
          <w:rFonts w:ascii="Times New Roman" w:hAnsi="Times New Roman" w:eastAsia="Times New Roman" w:cs="Times New Roman"/>
          <w:color w:val="000000"/>
          <w:szCs w:val="24"/>
          <w:lang w:eastAsia="en-GB"/>
        </w:rPr>
        <w:t xml:space="preserve">of </w:t>
      </w:r>
      <w:r w:rsidRPr="00BC719D" w:rsidR="00A02D9B">
        <w:rPr>
          <w:rFonts w:ascii="Times New Roman" w:hAnsi="Times New Roman" w:eastAsia="Times New Roman" w:cs="Times New Roman"/>
          <w:color w:val="000000"/>
          <w:szCs w:val="24"/>
          <w:lang w:eastAsia="en-GB"/>
        </w:rPr>
        <w:t xml:space="preserve">between </w:t>
      </w:r>
      <w:r w:rsidRPr="00BC719D" w:rsidR="00D73A48">
        <w:rPr>
          <w:rFonts w:ascii="Times New Roman" w:hAnsi="Times New Roman" w:eastAsia="Times New Roman" w:cs="Times New Roman"/>
          <w:color w:val="000000"/>
          <w:szCs w:val="24"/>
          <w:lang w:eastAsia="en-GB"/>
        </w:rPr>
        <w:t xml:space="preserve">five </w:t>
      </w:r>
      <w:r w:rsidRPr="00BC719D" w:rsidR="00A02D9B">
        <w:rPr>
          <w:rFonts w:ascii="Times New Roman" w:hAnsi="Times New Roman" w:eastAsia="Times New Roman" w:cs="Times New Roman"/>
          <w:color w:val="000000"/>
          <w:szCs w:val="24"/>
          <w:lang w:eastAsia="en-GB"/>
        </w:rPr>
        <w:t xml:space="preserve">and </w:t>
      </w:r>
      <w:r w:rsidRPr="00BC719D" w:rsidR="00D73A48">
        <w:rPr>
          <w:rFonts w:ascii="Times New Roman" w:hAnsi="Times New Roman" w:eastAsia="Times New Roman" w:cs="Times New Roman"/>
          <w:color w:val="000000"/>
          <w:szCs w:val="24"/>
          <w:lang w:eastAsia="en-GB"/>
        </w:rPr>
        <w:t xml:space="preserve">ten years. Section 7(5) </w:t>
      </w:r>
      <w:r w:rsidRPr="00BC719D">
        <w:rPr>
          <w:rFonts w:ascii="Times New Roman" w:hAnsi="Times New Roman" w:eastAsia="Times New Roman" w:cs="Times New Roman"/>
          <w:color w:val="000000"/>
          <w:szCs w:val="24"/>
          <w:lang w:eastAsia="en-GB"/>
        </w:rPr>
        <w:t xml:space="preserve">stated that especially serious crimes were intentional offences for which the punishment was deprivation of liberty for </w:t>
      </w:r>
      <w:r w:rsidRPr="00BC719D" w:rsidR="0001032C">
        <w:rPr>
          <w:rFonts w:ascii="Times New Roman" w:hAnsi="Times New Roman" w:eastAsia="Times New Roman" w:cs="Times New Roman"/>
          <w:color w:val="000000"/>
          <w:szCs w:val="24"/>
          <w:lang w:eastAsia="en-GB"/>
        </w:rPr>
        <w:t>m</w:t>
      </w:r>
      <w:r w:rsidRPr="00BC719D">
        <w:rPr>
          <w:rFonts w:ascii="Times New Roman" w:hAnsi="Times New Roman" w:eastAsia="Times New Roman" w:cs="Times New Roman"/>
          <w:color w:val="000000"/>
          <w:szCs w:val="24"/>
          <w:lang w:eastAsia="en-GB"/>
        </w:rPr>
        <w:t xml:space="preserve">ore than ten years, life imprisonment or </w:t>
      </w:r>
      <w:r w:rsidRPr="00BC719D" w:rsidR="00402E91">
        <w:rPr>
          <w:rFonts w:ascii="Times New Roman" w:hAnsi="Times New Roman" w:eastAsia="Times New Roman" w:cs="Times New Roman"/>
          <w:color w:val="000000"/>
          <w:szCs w:val="24"/>
          <w:lang w:eastAsia="en-GB"/>
        </w:rPr>
        <w:t xml:space="preserve">the </w:t>
      </w:r>
      <w:r w:rsidRPr="00BC719D">
        <w:rPr>
          <w:rFonts w:ascii="Times New Roman" w:hAnsi="Times New Roman" w:eastAsia="Times New Roman" w:cs="Times New Roman"/>
          <w:color w:val="000000"/>
          <w:szCs w:val="24"/>
          <w:lang w:eastAsia="en-GB"/>
        </w:rPr>
        <w:t>death penalty.</w:t>
      </w:r>
    </w:p>
    <w:p w:rsidRPr="00BC719D" w:rsidR="001A55E2" w:rsidP="00BC719D" w:rsidRDefault="0031563D">
      <w:pPr>
        <w:pStyle w:val="ECHRHeading2"/>
      </w:pPr>
      <w:r w:rsidRPr="00BC719D">
        <w:t>D</w:t>
      </w:r>
      <w:r w:rsidRPr="00BC719D" w:rsidR="003E4862">
        <w:t>.</w:t>
      </w:r>
      <w:r w:rsidRPr="00BC719D" w:rsidR="001A55E2">
        <w:t>  Law on the Constitutional Court</w:t>
      </w:r>
    </w:p>
    <w:p w:rsidRPr="00BC719D" w:rsidR="00331DC1" w:rsidP="00BC719D" w:rsidRDefault="00331DC1">
      <w:pPr>
        <w:pStyle w:val="ECHRPara"/>
        <w:rPr>
          <w:rFonts w:eastAsiaTheme="majorEastAsia"/>
        </w:rPr>
      </w:pPr>
      <w:r w:rsidRPr="00BC719D">
        <w:rPr>
          <w:rFonts w:eastAsiaTheme="majorEastAsia"/>
        </w:rPr>
        <w:fldChar w:fldCharType="begin"/>
      </w:r>
      <w:r w:rsidRPr="00BC719D">
        <w:rPr>
          <w:rFonts w:eastAsiaTheme="majorEastAsia"/>
        </w:rPr>
        <w:instrText xml:space="preserve"> SEQ level0 \*arabic </w:instrText>
      </w:r>
      <w:r w:rsidRPr="00BC719D">
        <w:rPr>
          <w:rFonts w:eastAsiaTheme="majorEastAsia"/>
        </w:rPr>
        <w:fldChar w:fldCharType="separate"/>
      </w:r>
      <w:r w:rsidRPr="00BC719D" w:rsidR="00BC719D">
        <w:rPr>
          <w:rFonts w:eastAsiaTheme="majorEastAsia"/>
          <w:noProof/>
        </w:rPr>
        <w:t>28</w:t>
      </w:r>
      <w:r w:rsidRPr="00BC719D">
        <w:rPr>
          <w:rFonts w:eastAsiaTheme="majorEastAsia"/>
        </w:rPr>
        <w:fldChar w:fldCharType="end"/>
      </w:r>
      <w:r w:rsidRPr="00BC719D">
        <w:rPr>
          <w:rFonts w:eastAsiaTheme="majorEastAsia"/>
        </w:rPr>
        <w:t xml:space="preserve">.  Section 17(1)(11) of the </w:t>
      </w:r>
      <w:r w:rsidRPr="00BC719D">
        <w:t>Law on the Constitutional Court</w:t>
      </w:r>
      <w:r w:rsidRPr="00BC719D">
        <w:rPr>
          <w:rFonts w:eastAsiaTheme="majorEastAsia"/>
        </w:rPr>
        <w:t xml:space="preserve"> provides that any person who considers that his or her fundamental rights have been breached has the right to submit an application to the Constitutional Court.</w:t>
      </w:r>
    </w:p>
    <w:p w:rsidRPr="00BC719D" w:rsidR="00331DC1" w:rsidP="00BC719D" w:rsidRDefault="00331DC1">
      <w:pPr>
        <w:pStyle w:val="ECHRPara"/>
      </w:pPr>
      <w:r w:rsidRPr="00BC719D">
        <w:rPr>
          <w:rFonts w:eastAsiaTheme="majorEastAsia"/>
        </w:rPr>
        <w:fldChar w:fldCharType="begin"/>
      </w:r>
      <w:r w:rsidRPr="00BC719D">
        <w:rPr>
          <w:rFonts w:eastAsiaTheme="majorEastAsia"/>
        </w:rPr>
        <w:instrText xml:space="preserve"> SEQ level0 \*arabic </w:instrText>
      </w:r>
      <w:r w:rsidRPr="00BC719D">
        <w:rPr>
          <w:rFonts w:eastAsiaTheme="majorEastAsia"/>
        </w:rPr>
        <w:fldChar w:fldCharType="separate"/>
      </w:r>
      <w:r w:rsidRPr="00BC719D" w:rsidR="00BC719D">
        <w:rPr>
          <w:rFonts w:eastAsiaTheme="majorEastAsia"/>
          <w:noProof/>
        </w:rPr>
        <w:t>29</w:t>
      </w:r>
      <w:r w:rsidRPr="00BC719D">
        <w:rPr>
          <w:rFonts w:eastAsiaTheme="majorEastAsia"/>
        </w:rPr>
        <w:fldChar w:fldCharType="end"/>
      </w:r>
      <w:r w:rsidRPr="00BC719D">
        <w:rPr>
          <w:rFonts w:eastAsiaTheme="majorEastAsia"/>
        </w:rPr>
        <w:t>.  Section 18</w:t>
      </w:r>
      <w:r w:rsidRPr="00BC719D">
        <w:t xml:space="preserve">(1) </w:t>
      </w:r>
      <w:r w:rsidRPr="00BC719D" w:rsidR="00772728">
        <w:t xml:space="preserve">lists the </w:t>
      </w:r>
      <w:r w:rsidRPr="00BC719D" w:rsidR="00A06F08">
        <w:t xml:space="preserve">elements </w:t>
      </w:r>
      <w:r w:rsidRPr="00BC719D" w:rsidR="00772728">
        <w:t xml:space="preserve">that have to be included in an </w:t>
      </w:r>
      <w:r w:rsidRPr="00BC719D">
        <w:t>application to the Constitutional Court.</w:t>
      </w:r>
      <w:r w:rsidRPr="00BC719D" w:rsidR="00E97353">
        <w:rPr>
          <w:rFonts w:eastAsiaTheme="majorEastAsia"/>
        </w:rPr>
        <w:t xml:space="preserve"> </w:t>
      </w:r>
      <w:r w:rsidRPr="00BC719D" w:rsidR="00214E41">
        <w:rPr>
          <w:rFonts w:eastAsiaTheme="majorEastAsia"/>
        </w:rPr>
        <w:t>“</w:t>
      </w:r>
      <w:r w:rsidRPr="00BC719D" w:rsidR="00E97353">
        <w:rPr>
          <w:rFonts w:eastAsiaTheme="majorEastAsia"/>
        </w:rPr>
        <w:t>L</w:t>
      </w:r>
      <w:r w:rsidRPr="00BC719D" w:rsidR="00E97353">
        <w:t>egal reasoning</w:t>
      </w:r>
      <w:r w:rsidRPr="00BC719D" w:rsidR="00214E41">
        <w:t>”</w:t>
      </w:r>
      <w:r w:rsidRPr="00BC719D" w:rsidR="00E97353">
        <w:t xml:space="preserve"> is listed as one of such elements.</w:t>
      </w:r>
    </w:p>
    <w:bookmarkStart w:name="Law_Constit_Court_19" w:id="15"/>
    <w:p w:rsidRPr="00BC719D" w:rsidR="00331DC1" w:rsidP="00BC719D" w:rsidRDefault="00331DC1">
      <w:pPr>
        <w:pStyle w:val="ECHRPara"/>
      </w:pPr>
      <w:r w:rsidRPr="00BC719D">
        <w:rPr>
          <w:rFonts w:eastAsiaTheme="majorEastAsia"/>
        </w:rPr>
        <w:fldChar w:fldCharType="begin"/>
      </w:r>
      <w:r w:rsidRPr="00BC719D">
        <w:rPr>
          <w:rFonts w:eastAsiaTheme="majorEastAsia"/>
        </w:rPr>
        <w:instrText xml:space="preserve"> SEQ level0 \*arabic </w:instrText>
      </w:r>
      <w:r w:rsidRPr="00BC719D">
        <w:rPr>
          <w:rFonts w:eastAsiaTheme="majorEastAsia"/>
        </w:rPr>
        <w:fldChar w:fldCharType="separate"/>
      </w:r>
      <w:r w:rsidRPr="00BC719D" w:rsidR="00BC719D">
        <w:rPr>
          <w:rFonts w:eastAsiaTheme="majorEastAsia"/>
          <w:noProof/>
        </w:rPr>
        <w:t>30</w:t>
      </w:r>
      <w:r w:rsidRPr="00BC719D">
        <w:rPr>
          <w:rFonts w:eastAsiaTheme="majorEastAsia"/>
        </w:rPr>
        <w:fldChar w:fldCharType="end"/>
      </w:r>
      <w:bookmarkEnd w:id="15"/>
      <w:r w:rsidRPr="00BC719D">
        <w:rPr>
          <w:rFonts w:eastAsiaTheme="majorEastAsia"/>
        </w:rPr>
        <w:t>.  Section 19</w:t>
      </w:r>
      <w:r w:rsidRPr="00BC719D">
        <w:rPr>
          <w:rFonts w:eastAsiaTheme="majorEastAsia"/>
          <w:vertAlign w:val="superscript"/>
        </w:rPr>
        <w:t>2</w:t>
      </w:r>
      <w:r w:rsidRPr="00BC719D">
        <w:rPr>
          <w:rFonts w:eastAsiaTheme="majorEastAsia"/>
        </w:rPr>
        <w:t xml:space="preserve"> of the </w:t>
      </w:r>
      <w:r w:rsidRPr="00BC719D">
        <w:t>Law on the Constitutional Court</w:t>
      </w:r>
      <w:r w:rsidRPr="00BC719D">
        <w:rPr>
          <w:rFonts w:eastAsiaTheme="majorEastAsia"/>
        </w:rPr>
        <w:t xml:space="preserve"> provides:</w:t>
      </w:r>
    </w:p>
    <w:p w:rsidRPr="00BC719D" w:rsidR="00E97353" w:rsidP="00BC719D" w:rsidRDefault="00331DC1">
      <w:pPr>
        <w:pStyle w:val="ECHRParaQuote"/>
        <w:rPr>
          <w:rFonts w:eastAsiaTheme="majorEastAsia"/>
        </w:rPr>
      </w:pPr>
      <w:r w:rsidRPr="00BC719D">
        <w:rPr>
          <w:rFonts w:eastAsiaTheme="majorEastAsia"/>
        </w:rPr>
        <w:t xml:space="preserve">“(1) Any person who considers that a legal provision </w:t>
      </w:r>
      <w:r w:rsidRPr="00BC719D" w:rsidR="00BA5F2B">
        <w:rPr>
          <w:rFonts w:eastAsiaTheme="majorEastAsia"/>
        </w:rPr>
        <w:t xml:space="preserve">that </w:t>
      </w:r>
      <w:r w:rsidRPr="00BC719D">
        <w:rPr>
          <w:rFonts w:eastAsiaTheme="majorEastAsia"/>
        </w:rPr>
        <w:t xml:space="preserve">is not in compliance with a provision </w:t>
      </w:r>
      <w:r w:rsidRPr="00BC719D" w:rsidR="00D431F4">
        <w:rPr>
          <w:rFonts w:eastAsiaTheme="majorEastAsia"/>
        </w:rPr>
        <w:t>of a</w:t>
      </w:r>
      <w:r w:rsidRPr="00BC719D">
        <w:rPr>
          <w:rFonts w:eastAsiaTheme="majorEastAsia"/>
        </w:rPr>
        <w:t xml:space="preserve"> superior legal force has infringed his or her fundamental rights under the Constitution may lodge a constitutional complaint (an application) with the Constitutional Court.</w:t>
      </w:r>
    </w:p>
    <w:p w:rsidRPr="00BC719D" w:rsidR="00331DC1" w:rsidP="00BC719D" w:rsidRDefault="00184B39">
      <w:pPr>
        <w:pStyle w:val="ECHRParaQuote"/>
        <w:rPr>
          <w:rFonts w:eastAsiaTheme="majorEastAsia"/>
        </w:rPr>
      </w:pPr>
      <w:r w:rsidRPr="00BC719D">
        <w:rPr>
          <w:rFonts w:eastAsiaTheme="majorEastAsia"/>
        </w:rPr>
        <w:t>...</w:t>
      </w:r>
    </w:p>
    <w:p w:rsidRPr="00BC719D" w:rsidR="00331DC1" w:rsidP="00BC719D" w:rsidRDefault="00331DC1">
      <w:pPr>
        <w:pStyle w:val="ECHRParaQuote"/>
      </w:pPr>
      <w:r w:rsidRPr="00BC719D">
        <w:rPr>
          <w:rFonts w:eastAsiaTheme="majorEastAsia"/>
        </w:rPr>
        <w:t xml:space="preserve">(6) In addition to </w:t>
      </w:r>
      <w:r w:rsidRPr="00BC719D" w:rsidR="00E169EE">
        <w:rPr>
          <w:rFonts w:eastAsiaTheme="majorEastAsia"/>
        </w:rPr>
        <w:t xml:space="preserve">the </w:t>
      </w:r>
      <w:r w:rsidRPr="00BC719D" w:rsidR="00D431F4">
        <w:rPr>
          <w:rFonts w:eastAsiaTheme="majorEastAsia"/>
        </w:rPr>
        <w:t>elements</w:t>
      </w:r>
      <w:r w:rsidRPr="00BC719D" w:rsidR="00E169EE">
        <w:rPr>
          <w:rFonts w:eastAsiaTheme="majorEastAsia"/>
        </w:rPr>
        <w:t xml:space="preserve"> </w:t>
      </w:r>
      <w:r w:rsidRPr="00BC719D">
        <w:rPr>
          <w:rFonts w:eastAsiaTheme="majorEastAsia"/>
        </w:rPr>
        <w:t xml:space="preserve">required </w:t>
      </w:r>
      <w:r w:rsidRPr="00BC719D" w:rsidR="00E169EE">
        <w:rPr>
          <w:rFonts w:eastAsiaTheme="majorEastAsia"/>
        </w:rPr>
        <w:t xml:space="preserve">under </w:t>
      </w:r>
      <w:r w:rsidRPr="00BC719D">
        <w:rPr>
          <w:rFonts w:eastAsiaTheme="majorEastAsia"/>
        </w:rPr>
        <w:t xml:space="preserve">section 18(1) of the present Law, a constitutional complaint (an application) must contain </w:t>
      </w:r>
      <w:r w:rsidRPr="00BC719D" w:rsidR="00F5184F">
        <w:rPr>
          <w:rFonts w:eastAsiaTheme="majorEastAsia"/>
        </w:rPr>
        <w:t>reasoning</w:t>
      </w:r>
      <w:r w:rsidRPr="00BC719D">
        <w:rPr>
          <w:rFonts w:eastAsiaTheme="majorEastAsia"/>
        </w:rPr>
        <w:t xml:space="preserve"> concerning:</w:t>
      </w:r>
    </w:p>
    <w:p w:rsidRPr="00BC719D" w:rsidR="00331DC1" w:rsidP="00BC719D" w:rsidRDefault="00331DC1">
      <w:pPr>
        <w:pStyle w:val="ECHRParaQuote"/>
      </w:pPr>
      <w:r w:rsidRPr="00BC719D">
        <w:rPr>
          <w:rFonts w:eastAsiaTheme="majorEastAsia"/>
        </w:rPr>
        <w:t xml:space="preserve">(i) the violation of </w:t>
      </w:r>
      <w:r w:rsidRPr="00BC719D" w:rsidR="003A4B27">
        <w:rPr>
          <w:rFonts w:eastAsiaTheme="majorEastAsia"/>
        </w:rPr>
        <w:t xml:space="preserve">the </w:t>
      </w:r>
      <w:r w:rsidRPr="00BC719D">
        <w:rPr>
          <w:rFonts w:eastAsiaTheme="majorEastAsia"/>
        </w:rPr>
        <w:t>app</w:t>
      </w:r>
      <w:r w:rsidRPr="00BC719D" w:rsidR="00EE44CB">
        <w:rPr>
          <w:rFonts w:eastAsiaTheme="majorEastAsia"/>
        </w:rPr>
        <w:t>lica</w:t>
      </w:r>
      <w:r w:rsidRPr="00BC719D">
        <w:rPr>
          <w:rFonts w:eastAsiaTheme="majorEastAsia"/>
        </w:rPr>
        <w:t>nt</w:t>
      </w:r>
      <w:r w:rsidRPr="00BC719D" w:rsidR="00BC719D">
        <w:rPr>
          <w:rFonts w:eastAsiaTheme="majorEastAsia"/>
        </w:rPr>
        <w:t>’</w:t>
      </w:r>
      <w:r w:rsidRPr="00BC719D">
        <w:rPr>
          <w:rFonts w:eastAsiaTheme="majorEastAsia"/>
        </w:rPr>
        <w:t>s fundamental rights</w:t>
      </w:r>
      <w:r w:rsidRPr="00BC719D" w:rsidR="00F60E8B">
        <w:rPr>
          <w:rFonts w:eastAsiaTheme="majorEastAsia"/>
        </w:rPr>
        <w:t>, [as]</w:t>
      </w:r>
      <w:r w:rsidRPr="00BC719D">
        <w:rPr>
          <w:rFonts w:eastAsiaTheme="majorEastAsia"/>
        </w:rPr>
        <w:t xml:space="preserve"> provided in the Constitution, and;</w:t>
      </w:r>
    </w:p>
    <w:p w:rsidRPr="00BC719D" w:rsidR="00331DC1" w:rsidP="00BC719D" w:rsidRDefault="00331DC1">
      <w:pPr>
        <w:pStyle w:val="ECHRParaQuote"/>
      </w:pPr>
      <w:r w:rsidRPr="00BC719D">
        <w:rPr>
          <w:rFonts w:eastAsiaTheme="majorEastAsia"/>
        </w:rPr>
        <w:t>(ii) the exhaustion of all ordinary remedies or the fact that no such remedies exist. </w:t>
      </w:r>
      <w:r w:rsidRPr="00BC719D" w:rsidR="00184B39">
        <w:rPr>
          <w:rFonts w:eastAsiaTheme="majorEastAsia"/>
        </w:rPr>
        <w:t>...</w:t>
      </w:r>
      <w:r w:rsidRPr="00BC719D">
        <w:rPr>
          <w:rFonts w:eastAsiaTheme="majorEastAsia"/>
        </w:rPr>
        <w:t>”</w:t>
      </w:r>
    </w:p>
    <w:bookmarkStart w:name="Law_Constit_Court_20" w:id="16"/>
    <w:p w:rsidRPr="00BC719D" w:rsidR="00331DC1" w:rsidP="00BC719D" w:rsidRDefault="00331DC1">
      <w:pPr>
        <w:pStyle w:val="ECHRPara"/>
      </w:pPr>
      <w:r w:rsidRPr="00BC719D">
        <w:fldChar w:fldCharType="begin"/>
      </w:r>
      <w:r w:rsidRPr="00BC719D">
        <w:instrText xml:space="preserve"> SEQ level0 \*arabic </w:instrText>
      </w:r>
      <w:r w:rsidRPr="00BC719D">
        <w:fldChar w:fldCharType="separate"/>
      </w:r>
      <w:r w:rsidRPr="00BC719D" w:rsidR="00BC719D">
        <w:rPr>
          <w:noProof/>
        </w:rPr>
        <w:t>31</w:t>
      </w:r>
      <w:r w:rsidRPr="00BC719D">
        <w:fldChar w:fldCharType="end"/>
      </w:r>
      <w:bookmarkEnd w:id="16"/>
      <w:r w:rsidRPr="00BC719D">
        <w:t>.  Section 20 at the relevant time provided:</w:t>
      </w:r>
    </w:p>
    <w:p w:rsidRPr="00BC719D" w:rsidR="00E169EE" w:rsidP="00BC719D" w:rsidRDefault="00331DC1">
      <w:pPr>
        <w:pStyle w:val="ECHRParaQuote"/>
      </w:pPr>
      <w:r w:rsidRPr="00BC719D">
        <w:t>“(1) An application shall be examined and the decision to institute proceedings or to</w:t>
      </w:r>
      <w:r w:rsidRPr="00BC719D" w:rsidR="0030620B">
        <w:t xml:space="preserve"> decline</w:t>
      </w:r>
      <w:r w:rsidRPr="00BC719D">
        <w:t xml:space="preserve"> </w:t>
      </w:r>
      <w:r w:rsidRPr="00BC719D" w:rsidR="00797863">
        <w:t xml:space="preserve">to institute </w:t>
      </w:r>
      <w:r w:rsidRPr="00BC719D">
        <w:t>proceedings shall be taken by a</w:t>
      </w:r>
      <w:r w:rsidRPr="00BC719D" w:rsidR="00E169EE">
        <w:t xml:space="preserve"> </w:t>
      </w:r>
      <w:r w:rsidRPr="00BC719D" w:rsidR="00214E41">
        <w:t>p</w:t>
      </w:r>
      <w:r w:rsidRPr="00BC719D" w:rsidR="00E169EE">
        <w:t>anel comprising three judges.</w:t>
      </w:r>
    </w:p>
    <w:p w:rsidRPr="00BC719D" w:rsidR="00331DC1" w:rsidP="00BC719D" w:rsidRDefault="00184B39">
      <w:pPr>
        <w:pStyle w:val="ECHRParaQuote"/>
      </w:pPr>
      <w:r w:rsidRPr="00BC719D">
        <w:t>...</w:t>
      </w:r>
    </w:p>
    <w:p w:rsidRPr="00BC719D" w:rsidR="00331DC1" w:rsidP="00BC719D" w:rsidRDefault="00331DC1">
      <w:pPr>
        <w:pStyle w:val="ECHRParaQuote"/>
      </w:pPr>
      <w:r w:rsidRPr="00BC719D">
        <w:t xml:space="preserve">(5) In examining applications, the </w:t>
      </w:r>
      <w:r w:rsidRPr="00BC719D" w:rsidR="00214E41">
        <w:t>p</w:t>
      </w:r>
      <w:r w:rsidRPr="00BC719D">
        <w:t xml:space="preserve">anel shall have </w:t>
      </w:r>
      <w:r w:rsidRPr="00BC719D" w:rsidR="0030620B">
        <w:t xml:space="preserve">the </w:t>
      </w:r>
      <w:r w:rsidRPr="00BC719D">
        <w:t xml:space="preserve">right to </w:t>
      </w:r>
      <w:r w:rsidRPr="00BC719D" w:rsidR="00592EE2">
        <w:t>decline</w:t>
      </w:r>
      <w:r w:rsidRPr="00BC719D">
        <w:t xml:space="preserve"> </w:t>
      </w:r>
      <w:r w:rsidRPr="00BC719D" w:rsidR="007730FD">
        <w:t>to institute</w:t>
      </w:r>
      <w:r w:rsidRPr="00BC719D" w:rsidR="00E169EE">
        <w:t xml:space="preserve"> proceedings if: </w:t>
      </w:r>
      <w:r w:rsidRPr="00BC719D" w:rsidR="00184B39">
        <w:t>...</w:t>
      </w:r>
    </w:p>
    <w:p w:rsidRPr="00BC719D" w:rsidR="00E169EE" w:rsidP="00BC719D" w:rsidRDefault="00331DC1">
      <w:pPr>
        <w:pStyle w:val="ECHRParaQuote"/>
      </w:pPr>
      <w:r w:rsidRPr="00BC719D">
        <w:t>3) the application does not comply with the re</w:t>
      </w:r>
      <w:r w:rsidRPr="00BC719D" w:rsidR="00E169EE">
        <w:t xml:space="preserve">quirements specified in </w:t>
      </w:r>
      <w:r w:rsidRPr="00BC719D" w:rsidR="00214E41">
        <w:t>s</w:t>
      </w:r>
      <w:r w:rsidRPr="00BC719D" w:rsidR="00E169EE">
        <w:t>ection</w:t>
      </w:r>
      <w:r w:rsidRPr="00BC719D">
        <w:t xml:space="preserve"> 18 or </w:t>
      </w:r>
      <w:r w:rsidRPr="00BC719D" w:rsidR="00214E41">
        <w:t>s</w:t>
      </w:r>
      <w:r w:rsidRPr="00BC719D" w:rsidR="00E169EE">
        <w:t xml:space="preserve">ections </w:t>
      </w:r>
      <w:r w:rsidRPr="00BC719D">
        <w:t>19-19</w:t>
      </w:r>
      <w:r w:rsidRPr="00BC719D">
        <w:rPr>
          <w:vertAlign w:val="superscript"/>
        </w:rPr>
        <w:t>2</w:t>
      </w:r>
      <w:r w:rsidRPr="00BC719D" w:rsidR="00E169EE">
        <w:t xml:space="preserve"> of this Law;</w:t>
      </w:r>
    </w:p>
    <w:p w:rsidRPr="00BC719D" w:rsidR="00331DC1" w:rsidP="00BC719D" w:rsidRDefault="00184B39">
      <w:pPr>
        <w:pStyle w:val="ECHRParaQuote"/>
      </w:pPr>
      <w:r w:rsidRPr="00BC719D">
        <w:t>...</w:t>
      </w:r>
    </w:p>
    <w:p w:rsidRPr="00BC719D" w:rsidR="00331DC1" w:rsidP="00BC719D" w:rsidRDefault="00331DC1">
      <w:pPr>
        <w:pStyle w:val="ECHRParaQuote"/>
      </w:pPr>
      <w:r w:rsidRPr="00BC719D">
        <w:t xml:space="preserve">(6) When examining a constitutional complaint (an application) the </w:t>
      </w:r>
      <w:r w:rsidRPr="00BC719D" w:rsidR="00214E41">
        <w:t>p</w:t>
      </w:r>
      <w:r w:rsidRPr="00BC719D">
        <w:t xml:space="preserve">anel may also </w:t>
      </w:r>
      <w:r w:rsidRPr="00BC719D" w:rsidR="00592EE2">
        <w:t>decline</w:t>
      </w:r>
      <w:r w:rsidRPr="00BC719D">
        <w:t xml:space="preserve"> to institute proceedings when the legal reasoning included in the complaint is evidently insufficient </w:t>
      </w:r>
      <w:r w:rsidRPr="00BC719D" w:rsidR="003D5993">
        <w:t>[to justify]</w:t>
      </w:r>
      <w:r w:rsidRPr="00BC719D">
        <w:t xml:space="preserve"> </w:t>
      </w:r>
      <w:r w:rsidRPr="00BC719D" w:rsidR="0026421B">
        <w:t>allowing</w:t>
      </w:r>
      <w:r w:rsidRPr="00BC719D">
        <w:t xml:space="preserve"> the claim.”</w:t>
      </w:r>
    </w:p>
    <w:p w:rsidRPr="00BC719D" w:rsidR="0033002A" w:rsidP="00BC719D" w:rsidRDefault="0031563D">
      <w:pPr>
        <w:pStyle w:val="ECHRHeading2"/>
      </w:pPr>
      <w:r w:rsidRPr="00BC719D">
        <w:t>E</w:t>
      </w:r>
      <w:r w:rsidRPr="00BC719D" w:rsidR="003E4862">
        <w:t>.</w:t>
      </w:r>
      <w:r w:rsidRPr="00BC719D" w:rsidR="0033002A">
        <w:t>  </w:t>
      </w:r>
      <w:r w:rsidRPr="00BC719D" w:rsidR="00494835">
        <w:t>Practice of the Constitutional Court</w:t>
      </w:r>
      <w:r w:rsidRPr="00BC719D" w:rsidR="00772728">
        <w:t xml:space="preserve"> concerning institution of constitutional proceedings</w:t>
      </w:r>
    </w:p>
    <w:bookmarkStart w:name="Constit_Court_competence" w:id="17"/>
    <w:p w:rsidRPr="00BC719D" w:rsidR="00014566" w:rsidP="00BC719D" w:rsidRDefault="00B32B88">
      <w:pPr>
        <w:pStyle w:val="ECHRPara"/>
      </w:pPr>
      <w:r w:rsidRPr="00BC719D">
        <w:fldChar w:fldCharType="begin"/>
      </w:r>
      <w:r w:rsidRPr="00BC719D">
        <w:instrText xml:space="preserve"> SEQ level0 \*arabic </w:instrText>
      </w:r>
      <w:r w:rsidRPr="00BC719D">
        <w:fldChar w:fldCharType="separate"/>
      </w:r>
      <w:r w:rsidRPr="00BC719D" w:rsidR="00BC719D">
        <w:rPr>
          <w:noProof/>
        </w:rPr>
        <w:t>32</w:t>
      </w:r>
      <w:r w:rsidRPr="00BC719D">
        <w:fldChar w:fldCharType="end"/>
      </w:r>
      <w:bookmarkEnd w:id="17"/>
      <w:r w:rsidRPr="00BC719D" w:rsidR="00014566">
        <w:t>.  </w:t>
      </w:r>
      <w:r w:rsidRPr="00BC719D" w:rsidR="00331DC1">
        <w:t>In the j</w:t>
      </w:r>
      <w:r w:rsidRPr="00BC719D" w:rsidR="009B0109">
        <w:t xml:space="preserve">udgment </w:t>
      </w:r>
      <w:r w:rsidRPr="00BC719D" w:rsidR="00331DC1">
        <w:t xml:space="preserve">of 22 February 2002 </w:t>
      </w:r>
      <w:r w:rsidRPr="00BC719D" w:rsidR="00EA1BA0">
        <w:t>(case no. 2001-06-03) the Constitutional Court held</w:t>
      </w:r>
      <w:r w:rsidRPr="00BC719D" w:rsidR="009B0109">
        <w:t>:</w:t>
      </w:r>
    </w:p>
    <w:p w:rsidRPr="00BC719D" w:rsidR="00925768" w:rsidP="00BC719D" w:rsidRDefault="00EA1BA0">
      <w:pPr>
        <w:pStyle w:val="ECHRParaQuote"/>
      </w:pPr>
      <w:r w:rsidRPr="00BC719D">
        <w:t xml:space="preserve"> “2.2. In accordance with section 19</w:t>
      </w:r>
      <w:r w:rsidRPr="00BC719D">
        <w:rPr>
          <w:vertAlign w:val="superscript"/>
        </w:rPr>
        <w:t>2</w:t>
      </w:r>
      <w:r w:rsidRPr="00BC719D">
        <w:t xml:space="preserve">(1) of the Law on the Constitutional Court a constitutional complaint may be lodged by a person who “considers” [that a legal provision has infringed his or her fundamental rights]. The law </w:t>
      </w:r>
      <w:r w:rsidRPr="00BC719D" w:rsidR="00C21680">
        <w:t xml:space="preserve">gives prominence to </w:t>
      </w:r>
      <w:r w:rsidRPr="00BC719D">
        <w:t xml:space="preserve">the view of the person, and not that of the court, about the violation of the fundamental rights. The law requires the person to be of </w:t>
      </w:r>
      <w:r w:rsidRPr="00BC719D" w:rsidR="000C016D">
        <w:t xml:space="preserve">the </w:t>
      </w:r>
      <w:r w:rsidRPr="00BC719D">
        <w:t xml:space="preserve">view that the fundamental rights granted to him or her </w:t>
      </w:r>
      <w:r w:rsidRPr="00BC719D" w:rsidR="000C016D">
        <w:t xml:space="preserve">under </w:t>
      </w:r>
      <w:r w:rsidRPr="00BC719D">
        <w:t>the Constitution have been breached. However, this requirement has to be seen together with section 19</w:t>
      </w:r>
      <w:r w:rsidRPr="00BC719D">
        <w:rPr>
          <w:vertAlign w:val="superscript"/>
        </w:rPr>
        <w:t>2</w:t>
      </w:r>
      <w:r w:rsidRPr="00BC719D">
        <w:t>(6) of the Law on the Constitutional Court, which requires this view to be substantiated. Hence, in order to institute proceedings on the basis of the constitutional complaint it has to be established that the application contains sufficient legal reasoning substantiating this “view</w:t>
      </w:r>
      <w:r w:rsidRPr="00BC719D" w:rsidR="000C016D">
        <w:t>”</w:t>
      </w:r>
      <w:r w:rsidRPr="00BC719D" w:rsidR="00925768">
        <w:t>;</w:t>
      </w:r>
      <w:r w:rsidRPr="00BC719D">
        <w:t xml:space="preserve"> nonetheless, the Panel of the Constitutional Court is not required to carry out a full assessment of this “view</w:t>
      </w:r>
      <w:r w:rsidRPr="00BC719D" w:rsidR="001313C6">
        <w:t>”</w:t>
      </w:r>
      <w:r w:rsidRPr="00BC719D">
        <w:t xml:space="preserve">. The Panel of the Constitutional Court has a right to </w:t>
      </w:r>
      <w:r w:rsidRPr="00BC719D" w:rsidR="00592EE2">
        <w:t>decline</w:t>
      </w:r>
      <w:r w:rsidRPr="00BC719D">
        <w:t xml:space="preserve"> </w:t>
      </w:r>
      <w:r w:rsidRPr="00BC719D" w:rsidR="001313C6">
        <w:t>to institute</w:t>
      </w:r>
      <w:r w:rsidRPr="00BC719D">
        <w:t xml:space="preserve"> proceedings only if the “legal reasoning substantiating the view” is evidently insufficient for the claim</w:t>
      </w:r>
      <w:r w:rsidRPr="00BC719D" w:rsidR="001313C6">
        <w:t xml:space="preserve"> to be </w:t>
      </w:r>
      <w:r w:rsidRPr="00BC719D" w:rsidR="0026421B">
        <w:t>allowed</w:t>
      </w:r>
      <w:r w:rsidRPr="00BC719D" w:rsidR="001F4978">
        <w:t>;</w:t>
      </w:r>
      <w:r w:rsidRPr="00BC719D">
        <w:t xml:space="preserve"> however, it has the obligation to do so only when the legal reasoning has not been provided at all.</w:t>
      </w:r>
    </w:p>
    <w:p w:rsidRPr="00BC719D" w:rsidR="00EA1BA0" w:rsidP="00BC719D" w:rsidRDefault="00184B39">
      <w:pPr>
        <w:pStyle w:val="ECHRParaQuote"/>
      </w:pPr>
      <w:r w:rsidRPr="00BC719D">
        <w:t>...</w:t>
      </w:r>
    </w:p>
    <w:p w:rsidRPr="00BC719D" w:rsidR="00EA1BA0" w:rsidP="00BC719D" w:rsidRDefault="00EA1BA0">
      <w:pPr>
        <w:pStyle w:val="ECHRParaQuote"/>
      </w:pPr>
      <w:r w:rsidRPr="00BC719D">
        <w:t xml:space="preserve">The purpose of section 20(6) of the Law on the Constitutional Court is to </w:t>
      </w:r>
      <w:r w:rsidRPr="00BC719D" w:rsidR="00662649">
        <w:t xml:space="preserve">save </w:t>
      </w:r>
      <w:r w:rsidRPr="00BC719D">
        <w:t xml:space="preserve">the Constitutional Court </w:t>
      </w:r>
      <w:r w:rsidRPr="00BC719D" w:rsidR="00662649">
        <w:t xml:space="preserve">the </w:t>
      </w:r>
      <w:r w:rsidRPr="00BC719D">
        <w:t xml:space="preserve">“idle work” </w:t>
      </w:r>
      <w:r w:rsidRPr="00BC719D" w:rsidR="00662649">
        <w:t xml:space="preserve">of dealing with </w:t>
      </w:r>
      <w:r w:rsidRPr="00BC719D">
        <w:t xml:space="preserve">manifestly unsubstantiated complaints. In </w:t>
      </w:r>
      <w:r w:rsidRPr="00BC719D" w:rsidR="002B606F">
        <w:t xml:space="preserve">situations when some </w:t>
      </w:r>
      <w:r w:rsidRPr="00BC719D">
        <w:t xml:space="preserve">legal reasoning is included but there are doubts as to whether it is not evidently insufficient for </w:t>
      </w:r>
      <w:r w:rsidRPr="00BC719D" w:rsidR="0026421B">
        <w:t>allowing</w:t>
      </w:r>
      <w:r w:rsidRPr="00BC719D">
        <w:t xml:space="preserve"> the claim, the said provision has to be interpreted in accordance with its purpose.”</w:t>
      </w:r>
    </w:p>
    <w:p w:rsidRPr="00BC719D" w:rsidR="00E3440D" w:rsidP="00BC719D" w:rsidRDefault="00E3440D">
      <w:pPr>
        <w:pStyle w:val="ECHRHeading1"/>
      </w:pPr>
      <w:r w:rsidRPr="00BC719D">
        <w:t xml:space="preserve">III.  RELEVANT </w:t>
      </w:r>
      <w:r w:rsidRPr="00BC719D" w:rsidR="00C422A7">
        <w:t>INTERNATIONAL LAW AND PRACTICE</w:t>
      </w:r>
    </w:p>
    <w:p w:rsidRPr="00BC719D" w:rsidR="002F1D51" w:rsidP="00BC719D" w:rsidRDefault="0031563D">
      <w:pPr>
        <w:pStyle w:val="ECHRHeading2"/>
      </w:pPr>
      <w:r w:rsidRPr="00BC719D">
        <w:t>A.</w:t>
      </w:r>
      <w:r w:rsidRPr="00BC719D" w:rsidR="00DD421C">
        <w:t>  </w:t>
      </w:r>
      <w:r w:rsidRPr="00BC719D" w:rsidR="002F1D51">
        <w:t>United Nations</w:t>
      </w:r>
    </w:p>
    <w:bookmarkStart w:name="Int_instruments_START" w:id="18"/>
    <w:bookmarkStart w:name="norme_ONU" w:id="19"/>
    <w:p w:rsidRPr="00BC719D" w:rsidR="00FF125B" w:rsidP="00BC719D" w:rsidRDefault="002F1D51">
      <w:pPr>
        <w:pStyle w:val="ECHRPara"/>
      </w:pPr>
      <w:r w:rsidRPr="00BC719D">
        <w:fldChar w:fldCharType="begin"/>
      </w:r>
      <w:r w:rsidRPr="00BC719D">
        <w:instrText xml:space="preserve"> SEQ level0 \*arabic </w:instrText>
      </w:r>
      <w:r w:rsidRPr="00BC719D">
        <w:fldChar w:fldCharType="separate"/>
      </w:r>
      <w:r w:rsidRPr="00BC719D" w:rsidR="00BC719D">
        <w:rPr>
          <w:noProof/>
        </w:rPr>
        <w:t>33</w:t>
      </w:r>
      <w:r w:rsidRPr="00BC719D">
        <w:fldChar w:fldCharType="end"/>
      </w:r>
      <w:bookmarkEnd w:id="18"/>
      <w:r w:rsidRPr="00BC719D">
        <w:t>.  </w:t>
      </w:r>
      <w:r w:rsidRPr="00BC719D" w:rsidR="00FF125B">
        <w:t>The set of norms and principles established within the United Nations concerning the treatment and protection of detainees is summari</w:t>
      </w:r>
      <w:r w:rsidRPr="00BC719D" w:rsidR="00285ABE">
        <w:t>s</w:t>
      </w:r>
      <w:r w:rsidRPr="00BC719D" w:rsidR="00FF125B">
        <w:t xml:space="preserve">ed in </w:t>
      </w:r>
      <w:r w:rsidRPr="00BC719D" w:rsidR="00FF125B">
        <w:rPr>
          <w:i/>
        </w:rPr>
        <w:t>Khoroshenko v. Russia</w:t>
      </w:r>
      <w:r w:rsidRPr="00BC719D" w:rsidR="00FF125B">
        <w:t xml:space="preserve"> ([GC], no. 41418/04, §§ 69-75, ECHR 2015). International standards </w:t>
      </w:r>
      <w:r w:rsidRPr="00BC719D" w:rsidR="00392FDD">
        <w:t xml:space="preserve">on </w:t>
      </w:r>
      <w:r w:rsidRPr="00BC719D" w:rsidR="00FF125B">
        <w:t xml:space="preserve">the protection of women </w:t>
      </w:r>
      <w:r w:rsidRPr="00BC719D" w:rsidR="00392FDD">
        <w:t xml:space="preserve">prisoners </w:t>
      </w:r>
      <w:r w:rsidRPr="00BC719D" w:rsidR="00FF125B">
        <w:t xml:space="preserve">are described in </w:t>
      </w:r>
      <w:r w:rsidRPr="00BC719D" w:rsidR="00FF125B">
        <w:rPr>
          <w:i/>
        </w:rPr>
        <w:t>Khamtokhu and Aksenchik v. Russia</w:t>
      </w:r>
      <w:r w:rsidRPr="00BC719D" w:rsidR="0084095E">
        <w:t xml:space="preserve"> ([GC], nos. </w:t>
      </w:r>
      <w:r w:rsidRPr="00BC719D" w:rsidR="00392FDD">
        <w:t>60367/08 and 961/11, §§ </w:t>
      </w:r>
      <w:r w:rsidRPr="00BC719D" w:rsidR="00FF125B">
        <w:t xml:space="preserve">27-31, </w:t>
      </w:r>
      <w:r w:rsidRPr="00BC719D" w:rsidR="001A70AE">
        <w:t xml:space="preserve">24 </w:t>
      </w:r>
      <w:r w:rsidRPr="00BC719D" w:rsidR="00FF125B">
        <w:t>January, 2017).</w:t>
      </w:r>
    </w:p>
    <w:p w:rsidRPr="00BC719D" w:rsidR="00205A24" w:rsidP="00BC719D" w:rsidRDefault="00E45F55">
      <w:pPr>
        <w:pStyle w:val="ECHRPara"/>
      </w:pPr>
      <w:r w:rsidRPr="00BC719D">
        <w:fldChar w:fldCharType="begin"/>
      </w:r>
      <w:r w:rsidRPr="00BC719D">
        <w:instrText xml:space="preserve"> SEQ level0 \*arabic </w:instrText>
      </w:r>
      <w:r w:rsidRPr="00BC719D">
        <w:fldChar w:fldCharType="separate"/>
      </w:r>
      <w:r w:rsidRPr="00BC719D" w:rsidR="00BC719D">
        <w:rPr>
          <w:noProof/>
        </w:rPr>
        <w:t>34</w:t>
      </w:r>
      <w:r w:rsidRPr="00BC719D">
        <w:fldChar w:fldCharType="end"/>
      </w:r>
      <w:r w:rsidRPr="00BC719D" w:rsidR="0084095E">
        <w:t>.  </w:t>
      </w:r>
      <w:r w:rsidRPr="00BC719D" w:rsidR="00205A24">
        <w:t>In addition, the</w:t>
      </w:r>
      <w:r w:rsidRPr="00BC719D" w:rsidR="00B75EAC">
        <w:t xml:space="preserve"> relevant parts of the </w:t>
      </w:r>
      <w:r w:rsidRPr="00BC719D" w:rsidR="00205A24">
        <w:t xml:space="preserve">UN </w:t>
      </w:r>
      <w:r w:rsidRPr="00BC719D" w:rsidR="00381FBD">
        <w:t>Standard Minimum Rules for the Treatment of Prisoners</w:t>
      </w:r>
      <w:r w:rsidRPr="00BC719D" w:rsidR="00E4699C">
        <w:t>, as revise</w:t>
      </w:r>
      <w:r w:rsidRPr="00BC719D" w:rsidR="00B75EAC">
        <w:t>d by the General Assembly on 17 </w:t>
      </w:r>
      <w:r w:rsidRPr="00BC719D" w:rsidR="00E4699C">
        <w:t>December 2015</w:t>
      </w:r>
      <w:r w:rsidRPr="00BC719D" w:rsidR="00381FBD">
        <w:t xml:space="preserve"> </w:t>
      </w:r>
      <w:r w:rsidRPr="00BC719D" w:rsidR="00205A24">
        <w:t>(</w:t>
      </w:r>
      <w:r w:rsidRPr="00BC719D" w:rsidR="00285ABE">
        <w:t>“</w:t>
      </w:r>
      <w:r w:rsidRPr="00BC719D" w:rsidR="00205A24">
        <w:t xml:space="preserve">the </w:t>
      </w:r>
      <w:r w:rsidRPr="00BC719D" w:rsidR="00E4699C">
        <w:t xml:space="preserve">Nelson Mandela </w:t>
      </w:r>
      <w:r w:rsidRPr="00BC719D" w:rsidR="00205A24">
        <w:t>Rules</w:t>
      </w:r>
      <w:r w:rsidRPr="00BC719D" w:rsidR="00285ABE">
        <w:t>”</w:t>
      </w:r>
      <w:r w:rsidRPr="00BC719D" w:rsidR="00205A24">
        <w:t>)</w:t>
      </w:r>
      <w:r w:rsidRPr="00BC719D" w:rsidR="00392FDD">
        <w:t>,</w:t>
      </w:r>
      <w:r w:rsidRPr="00BC719D" w:rsidR="00205A24">
        <w:t xml:space="preserve"> provide</w:t>
      </w:r>
      <w:r w:rsidRPr="00BC719D" w:rsidR="00E4699C">
        <w:t>:</w:t>
      </w:r>
    </w:p>
    <w:p w:rsidRPr="00BC719D" w:rsidR="00707092" w:rsidP="00BC719D" w:rsidRDefault="00707092">
      <w:pPr>
        <w:pStyle w:val="ECHRParaQuote"/>
        <w:keepNext/>
        <w:rPr>
          <w:b/>
        </w:rPr>
      </w:pPr>
      <w:r w:rsidRPr="00BC719D">
        <w:rPr>
          <w:rFonts w:eastAsiaTheme="minorHAnsi"/>
        </w:rPr>
        <w:t>“</w:t>
      </w:r>
      <w:r w:rsidRPr="00BC719D">
        <w:rPr>
          <w:b/>
        </w:rPr>
        <w:t>I. Rules of general application</w:t>
      </w:r>
    </w:p>
    <w:p w:rsidRPr="00BC719D" w:rsidR="00184B39" w:rsidP="00BC719D" w:rsidRDefault="00707092">
      <w:pPr>
        <w:pStyle w:val="ECHRParaQuote"/>
        <w:keepNext/>
        <w:rPr>
          <w:b/>
        </w:rPr>
      </w:pPr>
      <w:r w:rsidRPr="00BC719D">
        <w:rPr>
          <w:b/>
        </w:rPr>
        <w:t>Basic principles</w:t>
      </w:r>
    </w:p>
    <w:p w:rsidRPr="00BC719D" w:rsidR="00707092" w:rsidP="00BC719D" w:rsidRDefault="00184B39">
      <w:pPr>
        <w:pStyle w:val="ECHRParaQuote"/>
        <w:keepNext/>
      </w:pPr>
      <w:r w:rsidRPr="00BC719D">
        <w:t>...</w:t>
      </w:r>
    </w:p>
    <w:p w:rsidRPr="00BC719D" w:rsidR="00E27F43" w:rsidP="00BC719D" w:rsidRDefault="00E27F43">
      <w:pPr>
        <w:pStyle w:val="ECHRParaQuote"/>
        <w:keepNext/>
        <w:rPr>
          <w:i/>
        </w:rPr>
      </w:pPr>
      <w:r w:rsidRPr="00BC719D">
        <w:rPr>
          <w:i/>
        </w:rPr>
        <w:t>Rule 2</w:t>
      </w:r>
    </w:p>
    <w:p w:rsidRPr="00BC719D" w:rsidR="00E27F43" w:rsidP="00BC719D" w:rsidRDefault="00E27F43">
      <w:pPr>
        <w:pStyle w:val="ECHRParaQuote"/>
      </w:pPr>
      <w:r w:rsidRPr="00BC719D">
        <w:t>1. The present rules shall be applied impartially. There shall be no discrimination</w:t>
      </w:r>
      <w:r w:rsidRPr="00BC719D" w:rsidR="00707092">
        <w:t xml:space="preserve"> </w:t>
      </w:r>
      <w:r w:rsidRPr="00BC719D">
        <w:t>on the grounds of race, colour, sex, language, religion, political or other opinion,</w:t>
      </w:r>
      <w:r w:rsidRPr="00BC719D" w:rsidR="00707092">
        <w:t xml:space="preserve"> </w:t>
      </w:r>
      <w:r w:rsidRPr="00BC719D">
        <w:t>national or social origin, property, birth or any other status. The religious beliefs and</w:t>
      </w:r>
      <w:r w:rsidRPr="00BC719D" w:rsidR="00707092">
        <w:t xml:space="preserve"> </w:t>
      </w:r>
      <w:r w:rsidRPr="00BC719D">
        <w:t>moral precepts of prisoners shall be respected.</w:t>
      </w:r>
    </w:p>
    <w:p w:rsidRPr="00BC719D" w:rsidR="0084095E" w:rsidP="00BC719D" w:rsidRDefault="00E27F43">
      <w:pPr>
        <w:pStyle w:val="ECHRParaQuote"/>
      </w:pPr>
      <w:r w:rsidRPr="00BC719D">
        <w:t>2. In order for the principle of non-discrimination to be put into practice, prison</w:t>
      </w:r>
      <w:r w:rsidRPr="00BC719D" w:rsidR="00707092">
        <w:t xml:space="preserve"> </w:t>
      </w:r>
      <w:r w:rsidRPr="00BC719D">
        <w:t>administrations shall take account of the individual needs of prisoners, in particular</w:t>
      </w:r>
      <w:r w:rsidRPr="00BC719D" w:rsidR="00707092">
        <w:t xml:space="preserve"> </w:t>
      </w:r>
      <w:r w:rsidRPr="00BC719D">
        <w:t>the most vulnerable categories in prison settings. Measures to protect and promote</w:t>
      </w:r>
      <w:r w:rsidRPr="00BC719D" w:rsidR="00707092">
        <w:t xml:space="preserve"> </w:t>
      </w:r>
      <w:r w:rsidRPr="00BC719D">
        <w:t>the rights of prisoners with special needs are required and shall not be regarded as</w:t>
      </w:r>
      <w:r w:rsidRPr="00BC719D" w:rsidR="00707092">
        <w:t xml:space="preserve"> </w:t>
      </w:r>
      <w:r w:rsidRPr="00BC719D">
        <w:t>discriminatory.</w:t>
      </w:r>
    </w:p>
    <w:p w:rsidRPr="00BC719D" w:rsidR="00392FDD" w:rsidP="00BC719D" w:rsidRDefault="00184B39">
      <w:pPr>
        <w:pStyle w:val="ECHRParaQuote"/>
      </w:pPr>
      <w:r w:rsidRPr="00BC719D">
        <w:t>...</w:t>
      </w:r>
    </w:p>
    <w:p w:rsidRPr="00BC719D" w:rsidR="00E27F43" w:rsidP="00BC719D" w:rsidRDefault="00E27F43">
      <w:pPr>
        <w:pStyle w:val="ECHRParaQuote"/>
        <w:rPr>
          <w:b/>
        </w:rPr>
      </w:pPr>
      <w:r w:rsidRPr="00BC719D">
        <w:rPr>
          <w:b/>
        </w:rPr>
        <w:t>Separation of categories</w:t>
      </w:r>
    </w:p>
    <w:p w:rsidRPr="00BC719D" w:rsidR="00E27F43" w:rsidP="00BC719D" w:rsidRDefault="00E27F43">
      <w:pPr>
        <w:pStyle w:val="ECHRParaQuote"/>
        <w:rPr>
          <w:i/>
        </w:rPr>
      </w:pPr>
      <w:r w:rsidRPr="00BC719D">
        <w:rPr>
          <w:i/>
        </w:rPr>
        <w:t>Rule 11</w:t>
      </w:r>
    </w:p>
    <w:p w:rsidRPr="00BC719D" w:rsidR="00184B39" w:rsidP="00BC719D" w:rsidRDefault="00E27F43">
      <w:pPr>
        <w:pStyle w:val="ECHRParaQuote"/>
      </w:pPr>
      <w:r w:rsidRPr="00BC719D">
        <w:t>The different categories of prisoners shall be kept in separate institutions or</w:t>
      </w:r>
      <w:r w:rsidRPr="00BC719D" w:rsidR="00BD5FC5">
        <w:t xml:space="preserve"> </w:t>
      </w:r>
      <w:r w:rsidRPr="00BC719D">
        <w:t>parts of institutions, taking account of their sex, age, criminal record, the legal</w:t>
      </w:r>
      <w:r w:rsidRPr="00BC719D" w:rsidR="00BD5FC5">
        <w:t xml:space="preserve"> </w:t>
      </w:r>
      <w:r w:rsidRPr="00BC719D">
        <w:t>reason for their detention and the necessities of their treatment; thus:</w:t>
      </w:r>
    </w:p>
    <w:p w:rsidRPr="00BC719D" w:rsidR="00E27F43" w:rsidP="00BC719D" w:rsidRDefault="00E27F43">
      <w:pPr>
        <w:pStyle w:val="ECHRParaQuote"/>
      </w:pPr>
      <w:r w:rsidRPr="00BC719D">
        <w:t>(a) Men and women shall so far as possible be detained in separate</w:t>
      </w:r>
      <w:r w:rsidRPr="00BC719D" w:rsidR="00BD5FC5">
        <w:t xml:space="preserve"> </w:t>
      </w:r>
      <w:r w:rsidRPr="00BC719D">
        <w:t>institutions; in an institution which receives both men and women, the whole of the</w:t>
      </w:r>
      <w:r w:rsidRPr="00BC719D" w:rsidR="00BD5FC5">
        <w:t xml:space="preserve"> </w:t>
      </w:r>
      <w:r w:rsidRPr="00BC719D">
        <w:t>premises allocated to women shall be entirely separate;</w:t>
      </w:r>
    </w:p>
    <w:p w:rsidRPr="00BC719D" w:rsidR="00BD5FC5" w:rsidP="00BC719D" w:rsidRDefault="00184B39">
      <w:pPr>
        <w:pStyle w:val="ECHRParaQuote"/>
      </w:pPr>
      <w:r w:rsidRPr="00BC719D">
        <w:t>...</w:t>
      </w:r>
    </w:p>
    <w:p w:rsidRPr="00BC719D" w:rsidR="00AE0A09" w:rsidP="00BC719D" w:rsidRDefault="00AE0A09">
      <w:pPr>
        <w:pStyle w:val="ECHRParaQuote"/>
        <w:rPr>
          <w:b/>
        </w:rPr>
      </w:pPr>
      <w:r w:rsidRPr="00BC719D">
        <w:rPr>
          <w:b/>
        </w:rPr>
        <w:t>Notifications</w:t>
      </w:r>
    </w:p>
    <w:p w:rsidRPr="00BC719D" w:rsidR="00B75EAC" w:rsidP="00BC719D" w:rsidRDefault="00184B39">
      <w:pPr>
        <w:pStyle w:val="ECHRParaQuote"/>
      </w:pPr>
      <w:r w:rsidRPr="00BC719D">
        <w:t>...</w:t>
      </w:r>
    </w:p>
    <w:p w:rsidRPr="00BC719D" w:rsidR="00AE0A09" w:rsidP="00BC719D" w:rsidRDefault="00AE0A09">
      <w:pPr>
        <w:pStyle w:val="ECHRParaQuote"/>
        <w:rPr>
          <w:i/>
        </w:rPr>
      </w:pPr>
      <w:r w:rsidRPr="00BC719D">
        <w:rPr>
          <w:i/>
        </w:rPr>
        <w:t>Rule 70</w:t>
      </w:r>
    </w:p>
    <w:p w:rsidRPr="00BC719D" w:rsidR="00AE0A09" w:rsidP="00BC719D" w:rsidRDefault="00AE0A09">
      <w:pPr>
        <w:pStyle w:val="ECHRParaQuote"/>
      </w:pPr>
      <w:r w:rsidRPr="00BC719D">
        <w:t>The prison administration shall inform a prisoner at once of the serious illness</w:t>
      </w:r>
      <w:r w:rsidRPr="00BC719D" w:rsidR="00BD5FC5">
        <w:t xml:space="preserve"> </w:t>
      </w:r>
      <w:r w:rsidRPr="00BC719D">
        <w:t>or death of a near relative or any significant other. Whenever circumstances allow,</w:t>
      </w:r>
      <w:r w:rsidRPr="00BC719D" w:rsidR="00BD5FC5">
        <w:t xml:space="preserve"> </w:t>
      </w:r>
      <w:r w:rsidRPr="00BC719D">
        <w:t>the prisoner should be authorized to go, either under escort or alone, to the bedside</w:t>
      </w:r>
      <w:r w:rsidRPr="00BC719D" w:rsidR="00BD5FC5">
        <w:t xml:space="preserve"> </w:t>
      </w:r>
      <w:r w:rsidRPr="00BC719D">
        <w:t>of a near relative or significant other who is critically ill, or to attend the funeral of</w:t>
      </w:r>
      <w:r w:rsidRPr="00BC719D" w:rsidR="00BD5FC5">
        <w:t xml:space="preserve"> </w:t>
      </w:r>
      <w:r w:rsidRPr="00BC719D">
        <w:t>a near relative or significant other.</w:t>
      </w:r>
    </w:p>
    <w:p w:rsidRPr="00BC719D" w:rsidR="00B75EAC" w:rsidP="00BC719D" w:rsidRDefault="00184B39">
      <w:pPr>
        <w:pStyle w:val="ECHRParaQuote"/>
      </w:pPr>
      <w:r w:rsidRPr="00BC719D">
        <w:t>...</w:t>
      </w:r>
    </w:p>
    <w:p w:rsidRPr="00BC719D" w:rsidR="00E84D5E" w:rsidP="00BC719D" w:rsidRDefault="00E84D5E">
      <w:pPr>
        <w:pStyle w:val="ECHRParaQuote"/>
        <w:rPr>
          <w:b/>
        </w:rPr>
      </w:pPr>
      <w:r w:rsidRPr="00BC719D">
        <w:rPr>
          <w:b/>
        </w:rPr>
        <w:t>II. Rules applicable to special categories</w:t>
      </w:r>
    </w:p>
    <w:p w:rsidRPr="00BC719D" w:rsidR="00E84D5E" w:rsidP="00BC719D" w:rsidRDefault="00E84D5E">
      <w:pPr>
        <w:pStyle w:val="ECHRParaQuote"/>
        <w:rPr>
          <w:b/>
        </w:rPr>
      </w:pPr>
      <w:r w:rsidRPr="00BC719D">
        <w:rPr>
          <w:b/>
        </w:rPr>
        <w:t>A. Prisoners under sentence</w:t>
      </w:r>
    </w:p>
    <w:p w:rsidRPr="00BC719D" w:rsidR="00E84D5E" w:rsidP="00BC719D" w:rsidRDefault="00E84D5E">
      <w:pPr>
        <w:pStyle w:val="ECHRParaQuote"/>
        <w:rPr>
          <w:b/>
        </w:rPr>
      </w:pPr>
      <w:r w:rsidRPr="00BC719D">
        <w:rPr>
          <w:b/>
        </w:rPr>
        <w:t>Guiding principles</w:t>
      </w:r>
    </w:p>
    <w:p w:rsidRPr="00BC719D" w:rsidR="00E84D5E" w:rsidP="00BC719D" w:rsidRDefault="00933307">
      <w:pPr>
        <w:pStyle w:val="ECHRParaQuote"/>
      </w:pPr>
      <w:r w:rsidRPr="00BC719D">
        <w:t>...</w:t>
      </w:r>
    </w:p>
    <w:p w:rsidRPr="00BC719D" w:rsidR="00205A24" w:rsidP="00BC719D" w:rsidRDefault="00205A24">
      <w:pPr>
        <w:pStyle w:val="ECHRParaQuote"/>
        <w:rPr>
          <w:i/>
        </w:rPr>
      </w:pPr>
      <w:r w:rsidRPr="00BC719D">
        <w:rPr>
          <w:i/>
        </w:rPr>
        <w:t>Rule 89</w:t>
      </w:r>
    </w:p>
    <w:p w:rsidRPr="00BC719D" w:rsidR="00205A24" w:rsidP="00BC719D" w:rsidRDefault="00205A24">
      <w:pPr>
        <w:pStyle w:val="ECHRParaQuote"/>
      </w:pPr>
      <w:r w:rsidRPr="00BC719D">
        <w:t xml:space="preserve">1. The fulfilment of these </w:t>
      </w:r>
      <w:r w:rsidRPr="00BC719D" w:rsidR="00F5184F">
        <w:t xml:space="preserve">[guiding] </w:t>
      </w:r>
      <w:r w:rsidRPr="00BC719D">
        <w:t>principles requires individualization of treatment and</w:t>
      </w:r>
      <w:r w:rsidRPr="00BC719D" w:rsidR="00BD5FC5">
        <w:t xml:space="preserve"> </w:t>
      </w:r>
      <w:r w:rsidRPr="00BC719D">
        <w:t>for this purpose a flexible system of classifying prisoners in groups. It is therefore</w:t>
      </w:r>
      <w:r w:rsidRPr="00BC719D" w:rsidR="00BD5FC5">
        <w:t xml:space="preserve"> </w:t>
      </w:r>
      <w:r w:rsidRPr="00BC719D">
        <w:t>desirable that such groups should be distributed in separate prisons suitable for the</w:t>
      </w:r>
      <w:r w:rsidRPr="00BC719D" w:rsidR="00BD5FC5">
        <w:t xml:space="preserve"> </w:t>
      </w:r>
      <w:r w:rsidRPr="00BC719D">
        <w:t>treatment of each group.</w:t>
      </w:r>
    </w:p>
    <w:p w:rsidRPr="00BC719D" w:rsidR="000108BC" w:rsidP="00BC719D" w:rsidRDefault="00205A24">
      <w:pPr>
        <w:pStyle w:val="ECHRParaQuote"/>
      </w:pPr>
      <w:r w:rsidRPr="00BC719D">
        <w:t>2. These prisons do not need to provide the same degree of security for every</w:t>
      </w:r>
      <w:r w:rsidRPr="00BC719D" w:rsidR="00BD5FC5">
        <w:t xml:space="preserve"> </w:t>
      </w:r>
      <w:r w:rsidRPr="00BC719D">
        <w:t>group. It is desirable to provide varying degrees of security according to the needs</w:t>
      </w:r>
      <w:r w:rsidRPr="00BC719D" w:rsidR="00BD5FC5">
        <w:t xml:space="preserve"> </w:t>
      </w:r>
      <w:r w:rsidRPr="00BC719D">
        <w:t>of different groups</w:t>
      </w:r>
      <w:r w:rsidRPr="00BC719D" w:rsidR="00593A09">
        <w:t>.</w:t>
      </w:r>
      <w:r w:rsidRPr="00BC719D" w:rsidR="00D161C2">
        <w:t xml:space="preserve"> </w:t>
      </w:r>
      <w:r w:rsidRPr="00BC719D" w:rsidR="00933307">
        <w:t>...</w:t>
      </w:r>
      <w:r w:rsidRPr="00BC719D" w:rsidR="004D223C">
        <w:t>”</w:t>
      </w:r>
    </w:p>
    <w:p w:rsidRPr="00BC719D" w:rsidR="00314CCD" w:rsidP="00BC719D" w:rsidRDefault="00CA1922">
      <w:pPr>
        <w:pStyle w:val="ECHRPara"/>
      </w:pPr>
      <w:r w:rsidRPr="00BC719D">
        <w:fldChar w:fldCharType="begin"/>
      </w:r>
      <w:r w:rsidRPr="00BC719D">
        <w:instrText xml:space="preserve"> SEQ level0 \*arabic </w:instrText>
      </w:r>
      <w:r w:rsidRPr="00BC719D">
        <w:fldChar w:fldCharType="separate"/>
      </w:r>
      <w:r w:rsidRPr="00BC719D" w:rsidR="00BC719D">
        <w:rPr>
          <w:noProof/>
        </w:rPr>
        <w:t>35</w:t>
      </w:r>
      <w:r w:rsidRPr="00BC719D">
        <w:fldChar w:fldCharType="end"/>
      </w:r>
      <w:r w:rsidRPr="00BC719D">
        <w:t>.  </w:t>
      </w:r>
      <w:r w:rsidRPr="00BC719D" w:rsidR="0024700E">
        <w:t>T</w:t>
      </w:r>
      <w:r w:rsidRPr="00BC719D" w:rsidR="00314CCD">
        <w:t>he UN Rules for the Treatment of Wom</w:t>
      </w:r>
      <w:r w:rsidRPr="00BC719D" w:rsidR="00933307">
        <w:t>en Prisoners and Non</w:t>
      </w:r>
      <w:r w:rsidRPr="00BC719D" w:rsidR="00933307">
        <w:noBreakHyphen/>
      </w:r>
      <w:r w:rsidRPr="00BC719D" w:rsidR="007561A5">
        <w:t>custodial M</w:t>
      </w:r>
      <w:r w:rsidRPr="00BC719D" w:rsidR="00314CCD">
        <w:t>easures for Wome</w:t>
      </w:r>
      <w:r w:rsidRPr="00BC719D" w:rsidR="00FF125B">
        <w:t>n Offenders</w:t>
      </w:r>
      <w:r w:rsidRPr="00BC719D" w:rsidR="007561A5">
        <w:t xml:space="preserve">, adopted by the General Assembly on 21 December 2010 </w:t>
      </w:r>
      <w:r w:rsidRPr="00BC719D" w:rsidR="00FF125B">
        <w:t>(</w:t>
      </w:r>
      <w:r w:rsidRPr="00BC719D" w:rsidR="00285ABE">
        <w:t>“</w:t>
      </w:r>
      <w:r w:rsidRPr="00BC719D" w:rsidR="00FF125B">
        <w:t>the Bangkok Rules</w:t>
      </w:r>
      <w:r w:rsidRPr="00BC719D" w:rsidR="00285ABE">
        <w:t>”</w:t>
      </w:r>
      <w:r w:rsidRPr="00BC719D" w:rsidR="00FF125B">
        <w:t>)</w:t>
      </w:r>
      <w:r w:rsidRPr="00BC719D" w:rsidR="00B75EAC">
        <w:t xml:space="preserve">, supplement the Standard Minimum Rules for the Treatment of Prisoners by addressing the distinctive needs of women prisoners. The relevant parts of the Bangkok Rules </w:t>
      </w:r>
      <w:r w:rsidRPr="00BC719D" w:rsidR="00FF125B">
        <w:t>provide:</w:t>
      </w:r>
    </w:p>
    <w:p w:rsidRPr="00BC719D" w:rsidR="002B5D39" w:rsidP="00BC719D" w:rsidRDefault="00CA1922">
      <w:pPr>
        <w:pStyle w:val="ECHRParaQuote"/>
        <w:rPr>
          <w:b/>
        </w:rPr>
      </w:pPr>
      <w:r w:rsidRPr="00BC719D">
        <w:rPr>
          <w:iCs/>
        </w:rPr>
        <w:t>“</w:t>
      </w:r>
      <w:r w:rsidRPr="00BC719D" w:rsidR="002B5D39">
        <w:rPr>
          <w:b/>
        </w:rPr>
        <w:t>I. Rules of general application</w:t>
      </w:r>
    </w:p>
    <w:p w:rsidRPr="00BC719D" w:rsidR="002B5D39" w:rsidP="00BC719D" w:rsidRDefault="002B5D39">
      <w:pPr>
        <w:pStyle w:val="ECHRParaQuote"/>
        <w:rPr>
          <w:b/>
        </w:rPr>
      </w:pPr>
      <w:r w:rsidRPr="00BC719D">
        <w:rPr>
          <w:b/>
        </w:rPr>
        <w:t>1. Basic principle</w:t>
      </w:r>
    </w:p>
    <w:p w:rsidRPr="00BC719D" w:rsidR="000704CE" w:rsidP="00BC719D" w:rsidRDefault="000704CE">
      <w:pPr>
        <w:pStyle w:val="ECHRParaQuote"/>
      </w:pPr>
      <w:r w:rsidRPr="00BC719D">
        <w:rPr>
          <w:color w:val="000000"/>
          <w:szCs w:val="20"/>
        </w:rPr>
        <w:t>[</w:t>
      </w:r>
      <w:r w:rsidRPr="00BC719D">
        <w:rPr>
          <w:i/>
          <w:iCs/>
          <w:color w:val="000000"/>
          <w:szCs w:val="20"/>
        </w:rPr>
        <w:t>Supplements rule 2 of the United Nations Standard Minimum Rules for the Treatment of Prisoners (the Nelson Mandela Rules)</w:t>
      </w:r>
      <w:r w:rsidRPr="00BC719D">
        <w:rPr>
          <w:color w:val="000000"/>
          <w:szCs w:val="20"/>
        </w:rPr>
        <w:t>]</w:t>
      </w:r>
    </w:p>
    <w:p w:rsidRPr="00BC719D" w:rsidR="00CA1922" w:rsidP="00BC719D" w:rsidRDefault="00CA1922">
      <w:pPr>
        <w:pStyle w:val="ECHRParaQuote"/>
        <w:rPr>
          <w:i/>
        </w:rPr>
      </w:pPr>
      <w:r w:rsidRPr="00BC719D">
        <w:rPr>
          <w:i/>
        </w:rPr>
        <w:t>Rule 1</w:t>
      </w:r>
    </w:p>
    <w:p w:rsidRPr="00BC719D" w:rsidR="001A5C2D" w:rsidP="00BC719D" w:rsidRDefault="00CA1922">
      <w:pPr>
        <w:pStyle w:val="ECHRParaQuote"/>
      </w:pPr>
      <w:r w:rsidRPr="00BC719D">
        <w:t>In order for the principle of non-discrimination, embodied in rule 6 of the Standard Minimum Rules for the Treatment of Prisoners to be put into practice, account shall be taken of the distinctive needs of women prisoners in the application of the Rules. Providing for such needs in order to accomplish substantial gender equality shall not</w:t>
      </w:r>
      <w:r w:rsidRPr="00BC719D" w:rsidR="001A5C2D">
        <w:t xml:space="preserve"> be regarded as discriminatory.</w:t>
      </w:r>
    </w:p>
    <w:p w:rsidRPr="00BC719D" w:rsidR="00CA1922" w:rsidP="00BC719D" w:rsidRDefault="00184B39">
      <w:pPr>
        <w:pStyle w:val="ECHRParaQuote"/>
      </w:pPr>
      <w:r w:rsidRPr="00BC719D">
        <w:t>...</w:t>
      </w:r>
    </w:p>
    <w:p w:rsidRPr="00BC719D" w:rsidR="00184B39" w:rsidP="00BC719D" w:rsidRDefault="00CA1922">
      <w:pPr>
        <w:pStyle w:val="ECHRParaQuote"/>
        <w:rPr>
          <w:b/>
        </w:rPr>
      </w:pPr>
      <w:r w:rsidRPr="00BC719D">
        <w:rPr>
          <w:b/>
        </w:rPr>
        <w:t>II. Rules applicable to special categories</w:t>
      </w:r>
    </w:p>
    <w:p w:rsidRPr="00BC719D" w:rsidR="00184B39" w:rsidP="00BC719D" w:rsidRDefault="00CA1922">
      <w:pPr>
        <w:pStyle w:val="ECHRParaQuote"/>
        <w:rPr>
          <w:b/>
        </w:rPr>
      </w:pPr>
      <w:r w:rsidRPr="00BC719D">
        <w:rPr>
          <w:b/>
        </w:rPr>
        <w:t>A. Prisoners under sentence</w:t>
      </w:r>
    </w:p>
    <w:p w:rsidRPr="00BC719D" w:rsidR="00184B39" w:rsidP="00BC719D" w:rsidRDefault="00CA1922">
      <w:pPr>
        <w:pStyle w:val="ECHRParaQuote"/>
        <w:rPr>
          <w:b/>
        </w:rPr>
      </w:pPr>
      <w:r w:rsidRPr="00BC719D">
        <w:rPr>
          <w:b/>
        </w:rPr>
        <w:t>1. Classification and individualization</w:t>
      </w:r>
    </w:p>
    <w:p w:rsidRPr="00BC719D" w:rsidR="000704CE" w:rsidP="00BC719D" w:rsidRDefault="000704CE">
      <w:pPr>
        <w:pStyle w:val="ECHRParaQuote"/>
      </w:pPr>
      <w:r w:rsidRPr="00BC719D">
        <w:rPr>
          <w:i/>
          <w:iCs/>
          <w:color w:val="000000"/>
          <w:szCs w:val="20"/>
        </w:rPr>
        <w:t>[Supplements rules 93 and 94 of the Nelson Mandela Rules]</w:t>
      </w:r>
    </w:p>
    <w:p w:rsidRPr="00BC719D" w:rsidR="00CA1922" w:rsidP="00BC719D" w:rsidRDefault="00184B39">
      <w:pPr>
        <w:pStyle w:val="ECHRParaQuote"/>
        <w:rPr>
          <w:i/>
        </w:rPr>
      </w:pPr>
      <w:r w:rsidRPr="00BC719D">
        <w:t>...</w:t>
      </w:r>
    </w:p>
    <w:p w:rsidRPr="00BC719D" w:rsidR="00CA1922" w:rsidP="00BC719D" w:rsidRDefault="000704CE">
      <w:pPr>
        <w:pStyle w:val="ECHRParaQuote"/>
        <w:rPr>
          <w:i/>
        </w:rPr>
      </w:pPr>
      <w:r w:rsidRPr="00BC719D">
        <w:rPr>
          <w:i/>
        </w:rPr>
        <w:t>Rule 41</w:t>
      </w:r>
    </w:p>
    <w:p w:rsidRPr="00BC719D" w:rsidR="00184B39" w:rsidP="00BC719D" w:rsidRDefault="00CA1922">
      <w:pPr>
        <w:pStyle w:val="ECHRParaQuote"/>
      </w:pPr>
      <w:r w:rsidRPr="00BC719D">
        <w:t>The gender-sensitive risk assessment and classification of prisoners shall:</w:t>
      </w:r>
    </w:p>
    <w:p w:rsidRPr="00BC719D" w:rsidR="00184B39" w:rsidP="00BC719D" w:rsidRDefault="00CA1922">
      <w:pPr>
        <w:pStyle w:val="ECHRParaQuote"/>
      </w:pPr>
      <w:r w:rsidRPr="00BC719D">
        <w:t>(a) Take into account the generally lower risk posed by women prisoners to others, as well as the particularly harmful effects that high security measures and increased levels of isolation can have on women prisoners;</w:t>
      </w:r>
    </w:p>
    <w:p w:rsidRPr="00BC719D" w:rsidR="00CA1922" w:rsidP="00BC719D" w:rsidRDefault="00184B39">
      <w:pPr>
        <w:pStyle w:val="ECHRParaQuote"/>
      </w:pPr>
      <w:r w:rsidRPr="00BC719D">
        <w:t>...</w:t>
      </w:r>
    </w:p>
    <w:p w:rsidRPr="00BC719D" w:rsidR="00184B39" w:rsidP="00BC719D" w:rsidRDefault="00CA1922">
      <w:pPr>
        <w:pStyle w:val="ECHRParaQuote"/>
        <w:rPr>
          <w:b/>
        </w:rPr>
      </w:pPr>
      <w:r w:rsidRPr="00BC719D">
        <w:rPr>
          <w:b/>
        </w:rPr>
        <w:t>Social relations and aftercare</w:t>
      </w:r>
    </w:p>
    <w:p w:rsidRPr="00BC719D" w:rsidR="00184B39" w:rsidP="00BC719D" w:rsidRDefault="000108BC">
      <w:pPr>
        <w:pStyle w:val="ECHRParaQuote"/>
        <w:rPr>
          <w:i/>
          <w:iCs/>
          <w:color w:val="000000"/>
          <w:szCs w:val="20"/>
        </w:rPr>
      </w:pPr>
      <w:r w:rsidRPr="00BC719D">
        <w:rPr>
          <w:i/>
          <w:iCs/>
          <w:color w:val="000000"/>
          <w:szCs w:val="20"/>
        </w:rPr>
        <w:t>[Supplements rules 106 to 108 of the Nelson Mandela Rules]</w:t>
      </w:r>
    </w:p>
    <w:p w:rsidRPr="00BC719D" w:rsidR="00CA1922" w:rsidP="00BC719D" w:rsidRDefault="00184B39">
      <w:pPr>
        <w:pStyle w:val="ECHRParaQuote"/>
      </w:pPr>
      <w:r w:rsidRPr="00BC719D">
        <w:t>...</w:t>
      </w:r>
    </w:p>
    <w:p w:rsidRPr="00BC719D" w:rsidR="00184B39" w:rsidP="00BC719D" w:rsidRDefault="00CA1922">
      <w:pPr>
        <w:pStyle w:val="ECHRParaQuote"/>
      </w:pPr>
      <w:r w:rsidRPr="00BC719D">
        <w:t>Rule 45</w:t>
      </w:r>
    </w:p>
    <w:p w:rsidRPr="00BC719D" w:rsidR="00CA1922" w:rsidP="00BC719D" w:rsidRDefault="00CA1922">
      <w:pPr>
        <w:pStyle w:val="ECHRParaQuote"/>
      </w:pPr>
      <w:r w:rsidRPr="00BC719D">
        <w:t xml:space="preserve">Prison authorities shall utilize options such as home leave, open prisons, halfway houses and community-based programmes and services to the maximum possible extent for women prisoners, to ease their transition from prison to liberty, to reduce stigma and to re-establish their contact with their families </w:t>
      </w:r>
      <w:r w:rsidRPr="00BC719D" w:rsidR="000108BC">
        <w:t>at the earliest possible stage.</w:t>
      </w:r>
      <w:r w:rsidRPr="00BC719D" w:rsidR="00013EC5">
        <w:t>”</w:t>
      </w:r>
    </w:p>
    <w:p w:rsidRPr="00BC719D" w:rsidR="002F1D51" w:rsidP="00BC719D" w:rsidRDefault="0031563D">
      <w:pPr>
        <w:pStyle w:val="ECHRHeading2"/>
      </w:pPr>
      <w:bookmarkStart w:name="ReguliBangkok" w:id="20"/>
      <w:bookmarkEnd w:id="19"/>
      <w:r w:rsidRPr="00BC719D">
        <w:t>B.</w:t>
      </w:r>
      <w:r w:rsidRPr="00BC719D" w:rsidR="002F1D51">
        <w:t>  Council of Europe</w:t>
      </w:r>
    </w:p>
    <w:bookmarkEnd w:id="20"/>
    <w:p w:rsidRPr="00BC719D" w:rsidR="00195CEE" w:rsidP="00BC719D" w:rsidRDefault="008E6E5C">
      <w:pPr>
        <w:pStyle w:val="ECHRPara"/>
      </w:pPr>
      <w:r w:rsidRPr="00BC719D">
        <w:fldChar w:fldCharType="begin"/>
      </w:r>
      <w:r w:rsidRPr="00BC719D">
        <w:instrText xml:space="preserve"> SEQ level0 \*arabic </w:instrText>
      </w:r>
      <w:r w:rsidRPr="00BC719D">
        <w:fldChar w:fldCharType="separate"/>
      </w:r>
      <w:r w:rsidRPr="00BC719D" w:rsidR="00BC719D">
        <w:rPr>
          <w:noProof/>
        </w:rPr>
        <w:t>36</w:t>
      </w:r>
      <w:r w:rsidRPr="00BC719D">
        <w:fldChar w:fldCharType="end"/>
      </w:r>
      <w:r w:rsidRPr="00BC719D">
        <w:t>.  </w:t>
      </w:r>
      <w:r w:rsidRPr="00BC719D" w:rsidR="00195CEE">
        <w:t>On 11 January 2006 the Committee of Ministers of the Council of Europe adopted Recommendation Rec(2006)2 to member States on the European Prison Rules</w:t>
      </w:r>
      <w:r w:rsidRPr="00BC719D" w:rsidR="000108BC">
        <w:t xml:space="preserve"> </w:t>
      </w:r>
      <w:r w:rsidRPr="00BC719D" w:rsidR="00F33F4E">
        <w:t>(</w:t>
      </w:r>
      <w:r w:rsidRPr="00BC719D" w:rsidR="001F4978">
        <w:t>which replaced</w:t>
      </w:r>
      <w:r w:rsidRPr="00BC719D" w:rsidR="000108BC">
        <w:t xml:space="preserve"> Recommendation No. R (87) 3 on the European Prison Rules</w:t>
      </w:r>
      <w:r w:rsidRPr="00BC719D" w:rsidR="00F33F4E">
        <w:t xml:space="preserve">), </w:t>
      </w:r>
      <w:r w:rsidRPr="00BC719D" w:rsidR="00B4193C">
        <w:t>which took into account</w:t>
      </w:r>
      <w:r w:rsidRPr="00BC719D" w:rsidR="000108BC">
        <w:t xml:space="preserve"> the developments in penal policy, sentencing practice and the overall management of prisons in Europe.</w:t>
      </w:r>
      <w:r w:rsidRPr="00BC719D">
        <w:t xml:space="preserve"> </w:t>
      </w:r>
      <w:r w:rsidRPr="00BC719D" w:rsidR="00195CEE">
        <w:t xml:space="preserve">The </w:t>
      </w:r>
      <w:r w:rsidRPr="00BC719D" w:rsidR="002F1D51">
        <w:t xml:space="preserve">relevant parts of the </w:t>
      </w:r>
      <w:r w:rsidRPr="00BC719D" w:rsidR="00195CEE">
        <w:t>amended European Prison Rules read as follows:</w:t>
      </w:r>
    </w:p>
    <w:p w:rsidRPr="00BC719D" w:rsidR="000108BC" w:rsidP="00BC719D" w:rsidRDefault="0002031B">
      <w:pPr>
        <w:pStyle w:val="ECHRParaQuote"/>
        <w:rPr>
          <w:b/>
        </w:rPr>
      </w:pPr>
      <w:r w:rsidRPr="00BC719D">
        <w:t>“</w:t>
      </w:r>
      <w:r w:rsidRPr="00BC719D" w:rsidR="000108BC">
        <w:rPr>
          <w:b/>
        </w:rPr>
        <w:t>Part I</w:t>
      </w:r>
    </w:p>
    <w:p w:rsidRPr="00BC719D" w:rsidR="0002031B" w:rsidP="00BC719D" w:rsidRDefault="0002031B">
      <w:pPr>
        <w:pStyle w:val="ECHRParaQuote"/>
        <w:rPr>
          <w:i/>
        </w:rPr>
      </w:pPr>
      <w:r w:rsidRPr="00BC719D">
        <w:rPr>
          <w:i/>
        </w:rPr>
        <w:t>Basic principles</w:t>
      </w:r>
    </w:p>
    <w:p w:rsidRPr="00BC719D" w:rsidR="000108BC" w:rsidP="00BC719D" w:rsidRDefault="000108BC">
      <w:pPr>
        <w:pStyle w:val="ECHRParaQuote"/>
        <w:rPr>
          <w:rFonts w:eastAsiaTheme="minorHAnsi"/>
        </w:rPr>
      </w:pPr>
      <w:r w:rsidRPr="00BC719D">
        <w:rPr>
          <w:rFonts w:eastAsiaTheme="minorHAnsi"/>
        </w:rPr>
        <w:t>1. All persons deprived of their liberty shall be treated with respect for their human rights.</w:t>
      </w:r>
    </w:p>
    <w:p w:rsidRPr="00BC719D" w:rsidR="000108BC" w:rsidP="00BC719D" w:rsidRDefault="000108BC">
      <w:pPr>
        <w:pStyle w:val="ECHRParaQuote"/>
        <w:rPr>
          <w:rFonts w:eastAsiaTheme="minorHAnsi"/>
        </w:rPr>
      </w:pPr>
      <w:r w:rsidRPr="00BC719D">
        <w:rPr>
          <w:rFonts w:eastAsiaTheme="minorHAnsi"/>
        </w:rPr>
        <w:t>2. Persons deprived of their liberty retain all rights that are not lawfully taken away by the decision sentencing them or remanding them in custody.</w:t>
      </w:r>
    </w:p>
    <w:p w:rsidRPr="00BC719D" w:rsidR="000108BC" w:rsidP="00BC719D" w:rsidRDefault="000108BC">
      <w:pPr>
        <w:pStyle w:val="ECHRParaQuote"/>
        <w:rPr>
          <w:rFonts w:eastAsiaTheme="minorHAnsi"/>
        </w:rPr>
      </w:pPr>
      <w:r w:rsidRPr="00BC719D">
        <w:rPr>
          <w:rFonts w:eastAsiaTheme="minorHAnsi"/>
        </w:rPr>
        <w:t>3. Restrictions placed on persons deprived of their liberty shall be the minimum necessary and proportionate to the legitimate objective for which they are imposed.</w:t>
      </w:r>
    </w:p>
    <w:p w:rsidRPr="00BC719D" w:rsidR="000108BC" w:rsidP="00BC719D" w:rsidRDefault="00184B39">
      <w:pPr>
        <w:pStyle w:val="ECHRParaQuote"/>
        <w:rPr>
          <w:rFonts w:eastAsiaTheme="minorHAnsi"/>
        </w:rPr>
      </w:pPr>
      <w:r w:rsidRPr="00BC719D">
        <w:rPr>
          <w:rFonts w:eastAsiaTheme="minorHAnsi"/>
        </w:rPr>
        <w:t>...</w:t>
      </w:r>
    </w:p>
    <w:p w:rsidRPr="00BC719D" w:rsidR="000108BC" w:rsidP="00BC719D" w:rsidRDefault="000108BC">
      <w:pPr>
        <w:pStyle w:val="ECHRParaQuote"/>
        <w:rPr>
          <w:i/>
        </w:rPr>
      </w:pPr>
      <w:r w:rsidRPr="00BC719D">
        <w:rPr>
          <w:i/>
        </w:rPr>
        <w:t>Scope and application</w:t>
      </w:r>
    </w:p>
    <w:p w:rsidRPr="00BC719D" w:rsidR="000108BC" w:rsidP="00BC719D" w:rsidRDefault="00184B39">
      <w:pPr>
        <w:pStyle w:val="ECHRParaQuote"/>
        <w:rPr>
          <w:rFonts w:eastAsia="Times New Roman"/>
          <w:lang w:eastAsia="lv-LV"/>
        </w:rPr>
      </w:pPr>
      <w:r w:rsidRPr="00BC719D">
        <w:rPr>
          <w:rFonts w:eastAsia="Times New Roman"/>
          <w:lang w:eastAsia="lv-LV"/>
        </w:rPr>
        <w:t>...</w:t>
      </w:r>
    </w:p>
    <w:p w:rsidRPr="00BC719D" w:rsidR="0002031B" w:rsidP="00BC719D" w:rsidRDefault="0002031B">
      <w:pPr>
        <w:pStyle w:val="ECHRParaQuote"/>
        <w:rPr>
          <w:rFonts w:eastAsia="Times New Roman"/>
          <w:lang w:eastAsia="lv-LV"/>
        </w:rPr>
      </w:pPr>
      <w:r w:rsidRPr="00BC719D">
        <w:rPr>
          <w:rFonts w:eastAsia="Times New Roman"/>
          <w:lang w:eastAsia="lv-LV"/>
        </w:rPr>
        <w:t>13. These rules shall be applied impartially, without discrimination on any ground such as sex, race, colour, language, religion, political or other opinion, national or social origin, association with a national minority, propert</w:t>
      </w:r>
      <w:r w:rsidRPr="00BC719D" w:rsidR="00013EC5">
        <w:rPr>
          <w:rFonts w:eastAsia="Times New Roman"/>
          <w:lang w:eastAsia="lv-LV"/>
        </w:rPr>
        <w:t>y, birth or other status.</w:t>
      </w:r>
    </w:p>
    <w:p w:rsidRPr="00BC719D" w:rsidR="0002031B" w:rsidP="00BC719D" w:rsidRDefault="00184B39">
      <w:pPr>
        <w:pStyle w:val="ECHRParaQuote"/>
      </w:pPr>
      <w:r w:rsidRPr="00BC719D">
        <w:t>...</w:t>
      </w:r>
    </w:p>
    <w:p w:rsidRPr="00BC719D" w:rsidR="000108BC" w:rsidP="00BC719D" w:rsidRDefault="000108BC">
      <w:pPr>
        <w:pStyle w:val="ECHRParaQuote"/>
        <w:rPr>
          <w:rFonts w:eastAsiaTheme="minorHAnsi"/>
          <w:b/>
        </w:rPr>
      </w:pPr>
      <w:r w:rsidRPr="00BC719D">
        <w:rPr>
          <w:rFonts w:eastAsiaTheme="minorHAnsi"/>
          <w:b/>
        </w:rPr>
        <w:t>Part II</w:t>
      </w:r>
    </w:p>
    <w:p w:rsidRPr="00BC719D" w:rsidR="000108BC" w:rsidP="00BC719D" w:rsidRDefault="000108BC">
      <w:pPr>
        <w:pStyle w:val="ECHRParaQuote"/>
        <w:rPr>
          <w:b/>
          <w:i/>
        </w:rPr>
      </w:pPr>
      <w:r w:rsidRPr="00BC719D">
        <w:rPr>
          <w:rFonts w:eastAsiaTheme="minorHAnsi"/>
          <w:b/>
        </w:rPr>
        <w:t>Conditions of imprisonment</w:t>
      </w:r>
    </w:p>
    <w:p w:rsidRPr="00BC719D" w:rsidR="0002031B" w:rsidP="00BC719D" w:rsidRDefault="0002031B">
      <w:pPr>
        <w:pStyle w:val="ECHRParaQuote"/>
        <w:rPr>
          <w:i/>
        </w:rPr>
      </w:pPr>
      <w:r w:rsidRPr="00BC719D">
        <w:rPr>
          <w:i/>
        </w:rPr>
        <w:t>Allocation and accommodation</w:t>
      </w:r>
    </w:p>
    <w:p w:rsidRPr="00BC719D" w:rsidR="00013EC5" w:rsidP="00BC719D" w:rsidRDefault="00184B39">
      <w:pPr>
        <w:pStyle w:val="ECHRParaQuote"/>
        <w:rPr>
          <w:rFonts w:eastAsia="Times New Roman"/>
          <w:lang w:eastAsia="lv-LV"/>
        </w:rPr>
      </w:pPr>
      <w:r w:rsidRPr="00BC719D">
        <w:rPr>
          <w:rFonts w:eastAsia="Times New Roman"/>
          <w:lang w:eastAsia="lv-LV"/>
        </w:rPr>
        <w:t>...</w:t>
      </w:r>
    </w:p>
    <w:p w:rsidRPr="00BC719D" w:rsidR="00184B39" w:rsidP="00BC719D" w:rsidRDefault="0002031B">
      <w:pPr>
        <w:pStyle w:val="ECHRParaQuote"/>
        <w:rPr>
          <w:rFonts w:eastAsia="Times New Roman" w:cs="Arial"/>
          <w:lang w:eastAsia="lv-LV"/>
        </w:rPr>
      </w:pPr>
      <w:r w:rsidRPr="00BC719D">
        <w:rPr>
          <w:rFonts w:eastAsia="Times New Roman" w:cs="Arial"/>
          <w:lang w:eastAsia="lv-LV"/>
        </w:rPr>
        <w:t>18.10 Accommodation of all prisoners shall be in conditions with the least restrictive security arrangements compatible with the risk of their escaping or harming themselves or others.</w:t>
      </w:r>
    </w:p>
    <w:p w:rsidRPr="00BC719D" w:rsidR="0002031B" w:rsidP="00BC719D" w:rsidRDefault="00184B39">
      <w:pPr>
        <w:pStyle w:val="ECHRParaQuote"/>
        <w:rPr>
          <w:rFonts w:ascii="Arial" w:hAnsi="Arial" w:eastAsia="Times New Roman" w:cs="Arial"/>
          <w:color w:val="222222"/>
          <w:sz w:val="14"/>
          <w:szCs w:val="14"/>
          <w:lang w:eastAsia="lv-LV"/>
        </w:rPr>
      </w:pPr>
      <w:r w:rsidRPr="00BC719D">
        <w:rPr>
          <w:rFonts w:eastAsia="Times New Roman" w:cs="Arial"/>
          <w:lang w:eastAsia="lv-LV"/>
        </w:rPr>
        <w:t>...</w:t>
      </w:r>
    </w:p>
    <w:p w:rsidRPr="00BC719D" w:rsidR="0002031B" w:rsidP="00BC719D" w:rsidRDefault="0002031B">
      <w:pPr>
        <w:pStyle w:val="ECHRParaQuote"/>
        <w:rPr>
          <w:i/>
        </w:rPr>
      </w:pPr>
      <w:r w:rsidRPr="00BC719D">
        <w:rPr>
          <w:i/>
        </w:rPr>
        <w:t>Contact with the outside world</w:t>
      </w:r>
    </w:p>
    <w:p w:rsidRPr="00BC719D" w:rsidR="00644B82" w:rsidP="00BC719D" w:rsidRDefault="00184B39">
      <w:pPr>
        <w:pStyle w:val="ECHRParaQuote"/>
        <w:rPr>
          <w:rFonts w:eastAsia="Times New Roman"/>
          <w:lang w:eastAsia="lv-LV"/>
        </w:rPr>
      </w:pPr>
      <w:r w:rsidRPr="00BC719D">
        <w:rPr>
          <w:rFonts w:eastAsia="Times New Roman"/>
          <w:lang w:eastAsia="lv-LV"/>
        </w:rPr>
        <w:t>...</w:t>
      </w:r>
    </w:p>
    <w:p w:rsidRPr="00BC719D" w:rsidR="00D7125A" w:rsidP="00BC719D" w:rsidRDefault="00D7125A">
      <w:pPr>
        <w:pStyle w:val="ECHRParaQuote"/>
        <w:rPr>
          <w:rFonts w:eastAsia="Times New Roman"/>
          <w:lang w:eastAsia="lv-LV"/>
        </w:rPr>
      </w:pPr>
      <w:r w:rsidRPr="00BC719D">
        <w:rPr>
          <w:rFonts w:eastAsiaTheme="minorHAnsi"/>
        </w:rPr>
        <w:t>24.5 Prison authorities shall assist prisoners in maintaining adequate contact with the outside world and provide them with the appropriate welfare support to do so</w:t>
      </w:r>
      <w:r w:rsidRPr="00BC719D">
        <w:rPr>
          <w:rFonts w:eastAsia="Times New Roman"/>
          <w:lang w:eastAsia="lv-LV"/>
        </w:rPr>
        <w:t>.</w:t>
      </w:r>
    </w:p>
    <w:p w:rsidRPr="00BC719D" w:rsidR="0002031B" w:rsidP="00BC719D" w:rsidRDefault="0002031B">
      <w:pPr>
        <w:pStyle w:val="ECHRParaQuote"/>
        <w:rPr>
          <w:rFonts w:eastAsia="Times New Roman"/>
          <w:lang w:eastAsia="lv-LV"/>
        </w:rPr>
      </w:pPr>
      <w:r w:rsidRPr="00BC719D">
        <w:rPr>
          <w:rFonts w:eastAsia="Times New Roman"/>
          <w:lang w:eastAsia="lv-LV"/>
        </w:rPr>
        <w:t>24.6 Any information received of the death or serious illness of any near relative shall be promptly communicated to the prisoner.</w:t>
      </w:r>
    </w:p>
    <w:p w:rsidRPr="00BC719D" w:rsidR="0002031B" w:rsidP="00BC719D" w:rsidRDefault="0002031B">
      <w:pPr>
        <w:pStyle w:val="ECHRParaQuote"/>
        <w:rPr>
          <w:rFonts w:eastAsia="Times New Roman"/>
          <w:lang w:eastAsia="lv-LV"/>
        </w:rPr>
      </w:pPr>
      <w:r w:rsidRPr="00BC719D">
        <w:rPr>
          <w:rFonts w:eastAsia="Times New Roman"/>
          <w:lang w:eastAsia="lv-LV"/>
        </w:rPr>
        <w:t>24.7 Whenever circumstances allow, the prisoner should be authorised to leave prison either under escort or alone in order to visit a sick relative, attend a funeral or f</w:t>
      </w:r>
      <w:r w:rsidRPr="00BC719D" w:rsidR="00644B82">
        <w:rPr>
          <w:rFonts w:eastAsia="Times New Roman"/>
          <w:lang w:eastAsia="lv-LV"/>
        </w:rPr>
        <w:t>or other humanitarian reasons.</w:t>
      </w:r>
    </w:p>
    <w:p w:rsidRPr="00BC719D" w:rsidR="00644B82" w:rsidP="00BC719D" w:rsidRDefault="00184B39">
      <w:pPr>
        <w:pStyle w:val="ECHRParaQuote"/>
        <w:rPr>
          <w:rFonts w:eastAsia="Times New Roman"/>
          <w:lang w:eastAsia="lv-LV"/>
        </w:rPr>
      </w:pPr>
      <w:r w:rsidRPr="00BC719D">
        <w:rPr>
          <w:rFonts w:eastAsia="Times New Roman"/>
          <w:lang w:eastAsia="lv-LV"/>
        </w:rPr>
        <w:t>...</w:t>
      </w:r>
    </w:p>
    <w:p w:rsidRPr="00BC719D" w:rsidR="0002031B" w:rsidP="00BC719D" w:rsidRDefault="0002031B">
      <w:pPr>
        <w:pStyle w:val="ECHRParaQuote"/>
        <w:rPr>
          <w:rFonts w:eastAsia="Times New Roman"/>
          <w:lang w:eastAsia="lv-LV"/>
        </w:rPr>
      </w:pPr>
      <w:r w:rsidRPr="00BC719D">
        <w:rPr>
          <w:rFonts w:eastAsia="Times New Roman"/>
          <w:i/>
          <w:iCs/>
          <w:lang w:eastAsia="lv-LV"/>
        </w:rPr>
        <w:t>Women</w:t>
      </w:r>
    </w:p>
    <w:p w:rsidRPr="00BC719D" w:rsidR="0002031B" w:rsidP="00BC719D" w:rsidRDefault="0002031B">
      <w:pPr>
        <w:pStyle w:val="ECHRParaQuote"/>
        <w:rPr>
          <w:rFonts w:eastAsia="Times New Roman"/>
          <w:lang w:eastAsia="lv-LV"/>
        </w:rPr>
      </w:pPr>
      <w:r w:rsidRPr="00BC719D">
        <w:rPr>
          <w:rFonts w:eastAsia="Times New Roman"/>
          <w:lang w:eastAsia="lv-LV"/>
        </w:rPr>
        <w:t>34.1 In addition to the specific provisions in these rules dealing with women prisoners, the authorities shall pay particular attention to the requirements of women such as their physical, vocational, social and psychological needs when making decisions that affect any aspect of their detention.</w:t>
      </w:r>
    </w:p>
    <w:p w:rsidRPr="00BC719D" w:rsidR="0002031B" w:rsidP="00BC719D" w:rsidRDefault="00184B39">
      <w:pPr>
        <w:pStyle w:val="ECHRParaQuote"/>
        <w:rPr>
          <w:rFonts w:eastAsia="Times New Roman"/>
          <w:lang w:eastAsia="lv-LV"/>
        </w:rPr>
      </w:pPr>
      <w:r w:rsidRPr="00BC719D">
        <w:rPr>
          <w:rFonts w:eastAsia="Times New Roman"/>
          <w:lang w:eastAsia="lv-LV"/>
        </w:rPr>
        <w:t>...</w:t>
      </w:r>
    </w:p>
    <w:p w:rsidRPr="00BC719D" w:rsidR="008046AA" w:rsidP="00BC719D" w:rsidRDefault="008046AA">
      <w:pPr>
        <w:pStyle w:val="ECHRParaQuote"/>
        <w:rPr>
          <w:rFonts w:eastAsiaTheme="minorHAnsi"/>
          <w:b/>
        </w:rPr>
      </w:pPr>
      <w:r w:rsidRPr="00BC719D">
        <w:rPr>
          <w:rFonts w:eastAsiaTheme="minorHAnsi"/>
          <w:b/>
        </w:rPr>
        <w:t>Part IV</w:t>
      </w:r>
    </w:p>
    <w:p w:rsidRPr="00BC719D" w:rsidR="008046AA" w:rsidP="00BC719D" w:rsidRDefault="008046AA">
      <w:pPr>
        <w:pStyle w:val="ECHRParaQuote"/>
        <w:rPr>
          <w:rFonts w:eastAsiaTheme="minorHAnsi"/>
          <w:b/>
        </w:rPr>
      </w:pPr>
      <w:r w:rsidRPr="00BC719D">
        <w:rPr>
          <w:rFonts w:eastAsiaTheme="minorHAnsi"/>
          <w:b/>
        </w:rPr>
        <w:t>Good order</w:t>
      </w:r>
    </w:p>
    <w:p w:rsidRPr="00BC719D" w:rsidR="008046AA" w:rsidP="00BC719D" w:rsidRDefault="00184B39">
      <w:pPr>
        <w:pStyle w:val="ECHRParaQuote"/>
      </w:pPr>
      <w:r w:rsidRPr="00BC719D">
        <w:t>...</w:t>
      </w:r>
    </w:p>
    <w:p w:rsidRPr="00BC719D" w:rsidR="0002031B" w:rsidP="00BC719D" w:rsidRDefault="0002031B">
      <w:pPr>
        <w:pStyle w:val="ECHRParaQuote"/>
        <w:rPr>
          <w:i/>
        </w:rPr>
      </w:pPr>
      <w:r w:rsidRPr="00BC719D">
        <w:rPr>
          <w:i/>
        </w:rPr>
        <w:t>Security</w:t>
      </w:r>
    </w:p>
    <w:p w:rsidRPr="00BC719D" w:rsidR="0002031B" w:rsidP="00BC719D" w:rsidRDefault="0002031B">
      <w:pPr>
        <w:pStyle w:val="ECHRParaQuote"/>
        <w:rPr>
          <w:rFonts w:eastAsia="Times New Roman"/>
          <w:lang w:eastAsia="lv-LV"/>
        </w:rPr>
      </w:pPr>
      <w:r w:rsidRPr="00BC719D">
        <w:rPr>
          <w:rFonts w:eastAsia="Times New Roman"/>
          <w:lang w:eastAsia="lv-LV"/>
        </w:rPr>
        <w:t>51.1 The security measures applied to individual prisoners shall be the minimum necessary to achieve their secure custody.</w:t>
      </w:r>
    </w:p>
    <w:p w:rsidRPr="00BC719D" w:rsidR="00644B82" w:rsidP="00BC719D" w:rsidRDefault="00184B39">
      <w:pPr>
        <w:pStyle w:val="ECHRParaQuote"/>
        <w:rPr>
          <w:rFonts w:eastAsia="Times New Roman"/>
          <w:lang w:eastAsia="lv-LV"/>
        </w:rPr>
      </w:pPr>
      <w:r w:rsidRPr="00BC719D">
        <w:rPr>
          <w:rFonts w:eastAsia="Times New Roman"/>
          <w:lang w:eastAsia="lv-LV"/>
        </w:rPr>
        <w:t>...</w:t>
      </w:r>
    </w:p>
    <w:p w:rsidRPr="00BC719D" w:rsidR="0002031B" w:rsidP="00BC719D" w:rsidRDefault="0002031B">
      <w:pPr>
        <w:pStyle w:val="ECHRParaQuote"/>
        <w:rPr>
          <w:rFonts w:eastAsia="Times New Roman"/>
          <w:lang w:eastAsia="lv-LV"/>
        </w:rPr>
      </w:pPr>
      <w:r w:rsidRPr="00BC719D">
        <w:rPr>
          <w:rFonts w:eastAsia="Times New Roman"/>
          <w:lang w:eastAsia="lv-LV"/>
        </w:rPr>
        <w:t>51.3 As soon as possible after admission, prisoners shall be assessed to determine:</w:t>
      </w:r>
    </w:p>
    <w:p w:rsidRPr="00BC719D" w:rsidR="0002031B" w:rsidP="00BC719D" w:rsidRDefault="0002031B">
      <w:pPr>
        <w:pStyle w:val="ECHRParaQuote"/>
        <w:rPr>
          <w:rFonts w:eastAsia="Times New Roman"/>
          <w:lang w:eastAsia="lv-LV"/>
        </w:rPr>
      </w:pPr>
      <w:r w:rsidRPr="00BC719D">
        <w:rPr>
          <w:rFonts w:eastAsia="Times New Roman"/>
          <w:i/>
          <w:iCs/>
          <w:lang w:eastAsia="lv-LV"/>
        </w:rPr>
        <w:t>a.</w:t>
      </w:r>
      <w:r w:rsidRPr="00BC719D">
        <w:rPr>
          <w:rFonts w:eastAsia="Times New Roman"/>
          <w:lang w:eastAsia="lv-LV"/>
        </w:rPr>
        <w:t xml:space="preserve"> the risk that they would present to the community if they were to escape;</w:t>
      </w:r>
    </w:p>
    <w:p w:rsidRPr="00BC719D" w:rsidR="0002031B" w:rsidP="00BC719D" w:rsidRDefault="0002031B">
      <w:pPr>
        <w:pStyle w:val="ECHRParaQuote"/>
        <w:rPr>
          <w:rFonts w:eastAsia="Times New Roman"/>
          <w:lang w:eastAsia="lv-LV"/>
        </w:rPr>
      </w:pPr>
      <w:r w:rsidRPr="00BC719D">
        <w:rPr>
          <w:rFonts w:eastAsia="Times New Roman"/>
          <w:i/>
          <w:iCs/>
          <w:lang w:eastAsia="lv-LV"/>
        </w:rPr>
        <w:t>b.</w:t>
      </w:r>
      <w:r w:rsidRPr="00BC719D">
        <w:rPr>
          <w:rFonts w:eastAsia="Times New Roman"/>
          <w:lang w:eastAsia="lv-LV"/>
        </w:rPr>
        <w:t xml:space="preserve"> the risk that they will try to escape either on their own or with external assistance.</w:t>
      </w:r>
    </w:p>
    <w:p w:rsidRPr="00BC719D" w:rsidR="0002031B" w:rsidP="00BC719D" w:rsidRDefault="0002031B">
      <w:pPr>
        <w:pStyle w:val="ECHRParaQuote"/>
        <w:rPr>
          <w:rFonts w:eastAsia="Times New Roman"/>
          <w:lang w:eastAsia="lv-LV"/>
        </w:rPr>
      </w:pPr>
      <w:r w:rsidRPr="00BC719D">
        <w:rPr>
          <w:rFonts w:eastAsia="Times New Roman"/>
          <w:lang w:eastAsia="lv-LV"/>
        </w:rPr>
        <w:t>51.4 Each prisoner shall then be held in security conditions appropriate to these levels of risk.</w:t>
      </w:r>
    </w:p>
    <w:p w:rsidRPr="00BC719D" w:rsidR="0002031B" w:rsidP="00BC719D" w:rsidRDefault="0002031B">
      <w:pPr>
        <w:pStyle w:val="ECHRParaQuote"/>
        <w:rPr>
          <w:rFonts w:eastAsia="Times New Roman"/>
          <w:lang w:eastAsia="lv-LV"/>
        </w:rPr>
      </w:pPr>
      <w:r w:rsidRPr="00BC719D">
        <w:rPr>
          <w:rFonts w:eastAsia="Times New Roman"/>
          <w:lang w:eastAsia="lv-LV"/>
        </w:rPr>
        <w:t>51.5 The level of security necessary shall be reviewed at regular intervals throughout a person</w:t>
      </w:r>
      <w:r w:rsidRPr="00BC719D" w:rsidR="00BC719D">
        <w:rPr>
          <w:rFonts w:eastAsia="Times New Roman"/>
          <w:lang w:eastAsia="lv-LV"/>
        </w:rPr>
        <w:t>’</w:t>
      </w:r>
      <w:r w:rsidRPr="00BC719D">
        <w:rPr>
          <w:rFonts w:eastAsia="Times New Roman"/>
          <w:lang w:eastAsia="lv-LV"/>
        </w:rPr>
        <w:t>s imprisonment.</w:t>
      </w:r>
    </w:p>
    <w:p w:rsidRPr="00BC719D" w:rsidR="00644B82" w:rsidP="00BC719D" w:rsidRDefault="00184B39">
      <w:pPr>
        <w:pStyle w:val="ECHRParaQuote"/>
        <w:rPr>
          <w:i/>
        </w:rPr>
      </w:pPr>
      <w:r w:rsidRPr="00BC719D">
        <w:rPr>
          <w:rFonts w:eastAsia="Times New Roman"/>
          <w:i/>
          <w:iCs/>
          <w:lang w:eastAsia="lv-LV"/>
        </w:rPr>
        <w:t>...</w:t>
      </w:r>
    </w:p>
    <w:p w:rsidRPr="00BC719D" w:rsidR="008046AA" w:rsidP="00BC719D" w:rsidRDefault="008046AA">
      <w:pPr>
        <w:pStyle w:val="ECHRParaQuote"/>
        <w:rPr>
          <w:b/>
        </w:rPr>
      </w:pPr>
      <w:r w:rsidRPr="00BC719D">
        <w:rPr>
          <w:b/>
        </w:rPr>
        <w:t>Part VIII</w:t>
      </w:r>
    </w:p>
    <w:p w:rsidRPr="00BC719D" w:rsidR="008E6E5C" w:rsidP="00BC719D" w:rsidRDefault="008E6E5C">
      <w:pPr>
        <w:pStyle w:val="ECHRParaQuote"/>
        <w:rPr>
          <w:i/>
        </w:rPr>
      </w:pPr>
      <w:r w:rsidRPr="00BC719D">
        <w:rPr>
          <w:i/>
        </w:rPr>
        <w:t>Objective of the regime for sentenced prisoners</w:t>
      </w:r>
    </w:p>
    <w:p w:rsidRPr="00BC719D" w:rsidR="0002031B" w:rsidP="00BC719D" w:rsidRDefault="0002031B">
      <w:pPr>
        <w:pStyle w:val="ECHRParaQuote"/>
        <w:rPr>
          <w:rFonts w:eastAsia="Times New Roman"/>
          <w:lang w:eastAsia="lv-LV"/>
        </w:rPr>
      </w:pPr>
      <w:r w:rsidRPr="00BC719D">
        <w:rPr>
          <w:rFonts w:eastAsia="Times New Roman"/>
          <w:lang w:eastAsia="lv-LV"/>
        </w:rPr>
        <w:t>102.2 Imprisonment is by the deprivation of liberty a punishment in itself and therefore the regime for sentenced prisoners shall not aggravate the suffering inherent in imprisonment.</w:t>
      </w:r>
    </w:p>
    <w:p w:rsidRPr="00BC719D" w:rsidR="0002031B" w:rsidP="00BC719D" w:rsidRDefault="008E6E5C">
      <w:pPr>
        <w:pStyle w:val="ECHRParaQuote"/>
        <w:rPr>
          <w:i/>
        </w:rPr>
      </w:pPr>
      <w:r w:rsidRPr="00BC719D">
        <w:rPr>
          <w:i/>
        </w:rPr>
        <w:t>Implementation of the regime for sentenced prisoners</w:t>
      </w:r>
    </w:p>
    <w:p w:rsidRPr="00BC719D" w:rsidR="00644B82" w:rsidP="00BC719D" w:rsidRDefault="00184B39">
      <w:pPr>
        <w:pStyle w:val="ECHRParaQuote"/>
        <w:rPr>
          <w:rFonts w:eastAsia="Times New Roman"/>
          <w:lang w:eastAsia="lv-LV"/>
        </w:rPr>
      </w:pPr>
      <w:r w:rsidRPr="00BC719D">
        <w:rPr>
          <w:rFonts w:eastAsia="Times New Roman"/>
          <w:lang w:eastAsia="lv-LV"/>
        </w:rPr>
        <w:t>...</w:t>
      </w:r>
    </w:p>
    <w:p w:rsidRPr="00BC719D" w:rsidR="0002031B" w:rsidP="00BC719D" w:rsidRDefault="0002031B">
      <w:pPr>
        <w:pStyle w:val="ECHRParaQuote"/>
        <w:rPr>
          <w:rFonts w:eastAsia="Times New Roman"/>
          <w:lang w:eastAsia="lv-LV"/>
        </w:rPr>
      </w:pPr>
      <w:r w:rsidRPr="00BC719D">
        <w:rPr>
          <w:rFonts w:eastAsia="Times New Roman"/>
          <w:lang w:eastAsia="lv-LV"/>
        </w:rPr>
        <w:t>103.6 There shall be a system of prison leave as an integral part of the overall regime for sentenced prisoners</w:t>
      </w:r>
      <w:r w:rsidRPr="00BC719D" w:rsidR="00644B82">
        <w:rPr>
          <w:rFonts w:eastAsia="Times New Roman"/>
          <w:lang w:eastAsia="lv-LV"/>
        </w:rPr>
        <w:t>.</w:t>
      </w:r>
      <w:r w:rsidRPr="00BC719D" w:rsidR="008E6E5C">
        <w:rPr>
          <w:rFonts w:eastAsia="Times New Roman"/>
          <w:lang w:eastAsia="lv-LV"/>
        </w:rPr>
        <w:t>”</w:t>
      </w:r>
    </w:p>
    <w:bookmarkStart w:name="Int_instruments_END_women" w:id="21"/>
    <w:p w:rsidRPr="00BC719D" w:rsidR="00731E36" w:rsidP="00BC719D" w:rsidRDefault="00E00122">
      <w:pPr>
        <w:pStyle w:val="ECHRPara"/>
      </w:pPr>
      <w:r w:rsidRPr="00BC719D">
        <w:fldChar w:fldCharType="begin"/>
      </w:r>
      <w:r w:rsidRPr="00BC719D">
        <w:instrText xml:space="preserve"> SEQ level0 \*arabic </w:instrText>
      </w:r>
      <w:r w:rsidRPr="00BC719D">
        <w:fldChar w:fldCharType="separate"/>
      </w:r>
      <w:r w:rsidRPr="00BC719D" w:rsidR="00BC719D">
        <w:rPr>
          <w:noProof/>
        </w:rPr>
        <w:t>37</w:t>
      </w:r>
      <w:r w:rsidRPr="00BC719D">
        <w:fldChar w:fldCharType="end"/>
      </w:r>
      <w:bookmarkEnd w:id="21"/>
      <w:r w:rsidRPr="00BC719D">
        <w:t>.  </w:t>
      </w:r>
      <w:r w:rsidRPr="00BC719D" w:rsidR="008046AA">
        <w:t xml:space="preserve">The relevant parts of the </w:t>
      </w:r>
      <w:r w:rsidRPr="00BC719D">
        <w:t xml:space="preserve">Commentary on Recommendation Rec(2006)2 of the Committee of Ministers to member </w:t>
      </w:r>
      <w:r w:rsidRPr="00BC719D" w:rsidR="00B4193C">
        <w:t xml:space="preserve">States </w:t>
      </w:r>
      <w:r w:rsidRPr="00BC719D">
        <w:t>on the European Prison Rules</w:t>
      </w:r>
      <w:r w:rsidRPr="00BC719D" w:rsidR="008046AA">
        <w:t xml:space="preserve"> read</w:t>
      </w:r>
      <w:r w:rsidRPr="00BC719D">
        <w:t>:</w:t>
      </w:r>
    </w:p>
    <w:p w:rsidRPr="00BC719D" w:rsidR="00E00122" w:rsidP="00BC719D" w:rsidRDefault="0057697A">
      <w:pPr>
        <w:pStyle w:val="ECHRParaQuote"/>
      </w:pPr>
      <w:r w:rsidRPr="00BC719D">
        <w:t>“</w:t>
      </w:r>
      <w:r w:rsidRPr="00BC719D" w:rsidR="00E00122">
        <w:t>Rule 24.5</w:t>
      </w:r>
      <w:r w:rsidRPr="00BC719D">
        <w:t xml:space="preserve"> </w:t>
      </w:r>
      <w:r w:rsidRPr="00BC719D" w:rsidR="00E00122">
        <w:t>places a positive duty on the prison authorities to facilitate links with the outside world. One way in which this can be done is to consider allowing all prisoners leave from prison in terms of Rule 24.7 for humanitarian purposes. The ECtHR has held that this must be done for the funeral of a close relative, where there</w:t>
      </w:r>
      <w:r w:rsidRPr="00BC719D">
        <w:t xml:space="preserve"> </w:t>
      </w:r>
      <w:r w:rsidRPr="00BC719D" w:rsidR="00E00122">
        <w:t>is</w:t>
      </w:r>
      <w:r w:rsidRPr="00BC719D">
        <w:t xml:space="preserve"> </w:t>
      </w:r>
      <w:r w:rsidRPr="00BC719D" w:rsidR="00E00122">
        <w:t>no</w:t>
      </w:r>
      <w:r w:rsidRPr="00BC719D">
        <w:t xml:space="preserve"> </w:t>
      </w:r>
      <w:r w:rsidRPr="00BC719D" w:rsidR="00E00122">
        <w:t>risk</w:t>
      </w:r>
      <w:r w:rsidRPr="00BC719D">
        <w:t xml:space="preserve"> </w:t>
      </w:r>
      <w:r w:rsidRPr="00BC719D" w:rsidR="00E00122">
        <w:t>of the</w:t>
      </w:r>
      <w:r w:rsidRPr="00BC719D">
        <w:t xml:space="preserve"> </w:t>
      </w:r>
      <w:r w:rsidRPr="00BC719D" w:rsidR="00E00122">
        <w:t>prisoner</w:t>
      </w:r>
      <w:r w:rsidRPr="00BC719D">
        <w:t xml:space="preserve"> </w:t>
      </w:r>
      <w:r w:rsidRPr="00BC719D" w:rsidR="00E00122">
        <w:t>absconding (</w:t>
      </w:r>
      <w:r w:rsidRPr="00BC719D" w:rsidR="00E00122">
        <w:rPr>
          <w:i/>
        </w:rPr>
        <w:t>Ploski</w:t>
      </w:r>
      <w:r w:rsidRPr="00BC719D">
        <w:rPr>
          <w:i/>
        </w:rPr>
        <w:t xml:space="preserve"> </w:t>
      </w:r>
      <w:r w:rsidRPr="00BC719D" w:rsidR="00E00122">
        <w:rPr>
          <w:i/>
        </w:rPr>
        <w:t>v.</w:t>
      </w:r>
      <w:r w:rsidRPr="00BC719D">
        <w:rPr>
          <w:i/>
        </w:rPr>
        <w:t xml:space="preserve"> </w:t>
      </w:r>
      <w:r w:rsidRPr="00BC719D" w:rsidR="00E00122">
        <w:rPr>
          <w:i/>
        </w:rPr>
        <w:t>Poland</w:t>
      </w:r>
      <w:r w:rsidRPr="00BC719D" w:rsidR="00E00122">
        <w:t>,</w:t>
      </w:r>
      <w:r w:rsidRPr="00BC719D">
        <w:t xml:space="preserve"> </w:t>
      </w:r>
      <w:r w:rsidRPr="00BC719D" w:rsidR="00E00122">
        <w:t>No. 26761/95, judgment of 12/11/2002). Humanitarian reasons for leave may include family matters</w:t>
      </w:r>
      <w:r w:rsidRPr="00BC719D">
        <w:t xml:space="preserve"> </w:t>
      </w:r>
      <w:r w:rsidRPr="00BC719D" w:rsidR="00E00122">
        <w:t>such</w:t>
      </w:r>
      <w:r w:rsidRPr="00BC719D">
        <w:t xml:space="preserve"> </w:t>
      </w:r>
      <w:r w:rsidRPr="00BC719D" w:rsidR="00E00122">
        <w:t>as the</w:t>
      </w:r>
      <w:r w:rsidRPr="00BC719D">
        <w:t xml:space="preserve"> </w:t>
      </w:r>
      <w:r w:rsidRPr="00BC719D" w:rsidR="00E00122">
        <w:t>birth</w:t>
      </w:r>
      <w:r w:rsidRPr="00BC719D">
        <w:t xml:space="preserve"> </w:t>
      </w:r>
      <w:r w:rsidRPr="00BC719D" w:rsidR="00E00122">
        <w:t>of</w:t>
      </w:r>
      <w:r w:rsidRPr="00BC719D">
        <w:t xml:space="preserve"> </w:t>
      </w:r>
      <w:r w:rsidRPr="00BC719D" w:rsidR="00E00122">
        <w:t>a</w:t>
      </w:r>
      <w:r w:rsidRPr="00BC719D">
        <w:t xml:space="preserve"> </w:t>
      </w:r>
      <w:r w:rsidRPr="00BC719D" w:rsidR="00E00122">
        <w:t>child</w:t>
      </w:r>
      <w:r w:rsidRPr="00BC719D">
        <w:t>.</w:t>
      </w:r>
      <w:r w:rsidRPr="00BC719D" w:rsidR="00212A84">
        <w:t>”</w:t>
      </w:r>
    </w:p>
    <w:bookmarkStart w:name="CM_Recommendation_On_prison_leave" w:id="22"/>
    <w:p w:rsidRPr="00BC719D" w:rsidR="004249CA" w:rsidP="00BC719D" w:rsidRDefault="00195CEE">
      <w:pPr>
        <w:pStyle w:val="ECHRPara"/>
      </w:pPr>
      <w:r w:rsidRPr="00BC719D">
        <w:fldChar w:fldCharType="begin"/>
      </w:r>
      <w:r w:rsidRPr="00BC719D">
        <w:instrText xml:space="preserve"> SEQ level0 \*arabic </w:instrText>
      </w:r>
      <w:r w:rsidRPr="00BC719D">
        <w:fldChar w:fldCharType="separate"/>
      </w:r>
      <w:r w:rsidRPr="00BC719D" w:rsidR="00BC719D">
        <w:rPr>
          <w:noProof/>
        </w:rPr>
        <w:t>38</w:t>
      </w:r>
      <w:r w:rsidRPr="00BC719D">
        <w:fldChar w:fldCharType="end"/>
      </w:r>
      <w:bookmarkEnd w:id="22"/>
      <w:r w:rsidRPr="00BC719D">
        <w:t>.  </w:t>
      </w:r>
      <w:r w:rsidRPr="00BC719D" w:rsidR="008046AA">
        <w:t xml:space="preserve">The relevant parts of </w:t>
      </w:r>
      <w:r w:rsidRPr="00BC719D">
        <w:t xml:space="preserve">Recommendation No. R (82) 16 </w:t>
      </w:r>
      <w:r w:rsidRPr="00BC719D" w:rsidR="006052B8">
        <w:t xml:space="preserve">of the Committee of Ministers to </w:t>
      </w:r>
      <w:r w:rsidRPr="00BC719D" w:rsidR="00B4193C">
        <w:t xml:space="preserve">member </w:t>
      </w:r>
      <w:r w:rsidRPr="00BC719D" w:rsidR="006052B8">
        <w:t xml:space="preserve">States </w:t>
      </w:r>
      <w:r w:rsidRPr="00BC719D">
        <w:t>on prison leave</w:t>
      </w:r>
      <w:r w:rsidRPr="00BC719D" w:rsidR="008046AA">
        <w:t xml:space="preserve">, </w:t>
      </w:r>
      <w:r w:rsidRPr="00BC719D" w:rsidR="00B97FE8">
        <w:t>a</w:t>
      </w:r>
      <w:r w:rsidRPr="00BC719D" w:rsidR="008046AA">
        <w:t>dopted</w:t>
      </w:r>
      <w:r w:rsidRPr="00BC719D" w:rsidR="00F33F4E">
        <w:t xml:space="preserve"> on 24 </w:t>
      </w:r>
      <w:r w:rsidRPr="00BC719D" w:rsidR="008046AA">
        <w:t>September 1982</w:t>
      </w:r>
      <w:r w:rsidRPr="00BC719D" w:rsidR="00B97FE8">
        <w:t>, read</w:t>
      </w:r>
      <w:r w:rsidRPr="00BC719D" w:rsidR="006052B8">
        <w:t>:</w:t>
      </w:r>
    </w:p>
    <w:p w:rsidRPr="00BC719D" w:rsidR="00FD5405" w:rsidP="00BC719D" w:rsidRDefault="00FD5405">
      <w:pPr>
        <w:pStyle w:val="ECHRPara"/>
      </w:pPr>
    </w:p>
    <w:p w:rsidRPr="00BC719D" w:rsidR="00FD5405" w:rsidP="00BC719D" w:rsidRDefault="00FD5405">
      <w:pPr>
        <w:pStyle w:val="ECHRParaQuote"/>
      </w:pPr>
      <w:r w:rsidRPr="00BC719D">
        <w:t xml:space="preserve">“The Committee of Ministers </w:t>
      </w:r>
      <w:r w:rsidRPr="00BC719D" w:rsidR="00184B39">
        <w:t>...</w:t>
      </w:r>
    </w:p>
    <w:p w:rsidRPr="00BC719D" w:rsidR="004249CA" w:rsidP="00BC719D" w:rsidRDefault="004249CA">
      <w:pPr>
        <w:pStyle w:val="ECHRParaQuote"/>
      </w:pPr>
      <w:r w:rsidRPr="00BC719D">
        <w:t>Considering that prison leave contributes towards making prisons more humane and improving the conditions of detention;</w:t>
      </w:r>
    </w:p>
    <w:p w:rsidRPr="00BC719D" w:rsidR="00B97FE8" w:rsidP="00BC719D" w:rsidRDefault="004249CA">
      <w:pPr>
        <w:pStyle w:val="ECHRParaQuote"/>
      </w:pPr>
      <w:r w:rsidRPr="00BC719D">
        <w:t xml:space="preserve">Considering that prison leave is one of the means of facilitating the social reintegration of </w:t>
      </w:r>
      <w:r w:rsidRPr="00BC719D" w:rsidR="00B97FE8">
        <w:t>the prisoner;</w:t>
      </w:r>
    </w:p>
    <w:p w:rsidRPr="00BC719D" w:rsidR="004249CA" w:rsidP="00BC719D" w:rsidRDefault="00184B39">
      <w:pPr>
        <w:pStyle w:val="ECHRParaQuote"/>
      </w:pPr>
      <w:r w:rsidRPr="00BC719D">
        <w:t>...</w:t>
      </w:r>
    </w:p>
    <w:p w:rsidRPr="00BC719D" w:rsidR="004249CA" w:rsidP="00BC719D" w:rsidRDefault="004249CA">
      <w:pPr>
        <w:pStyle w:val="ECHRParaQuote"/>
      </w:pPr>
      <w:r w:rsidRPr="00BC719D">
        <w:t>Recommends the governments of member states:</w:t>
      </w:r>
    </w:p>
    <w:p w:rsidRPr="00BC719D" w:rsidR="004249CA" w:rsidP="00BC719D" w:rsidRDefault="004249CA">
      <w:pPr>
        <w:pStyle w:val="ECHRParaQuote"/>
      </w:pPr>
      <w:r w:rsidRPr="00BC719D">
        <w:t>1. to grant prison leave to the greatest extent possible on medical, educational, occupational,</w:t>
      </w:r>
      <w:r w:rsidRPr="00BC719D" w:rsidR="006052B8">
        <w:t xml:space="preserve"> </w:t>
      </w:r>
      <w:r w:rsidRPr="00BC719D">
        <w:t>family and other social grounds;</w:t>
      </w:r>
    </w:p>
    <w:p w:rsidRPr="00BC719D" w:rsidR="004249CA" w:rsidP="00BC719D" w:rsidRDefault="004249CA">
      <w:pPr>
        <w:pStyle w:val="ECHRParaQuote"/>
      </w:pPr>
      <w:r w:rsidRPr="00BC719D">
        <w:t>2. to take into consideration for the granting of leave:</w:t>
      </w:r>
    </w:p>
    <w:p w:rsidRPr="00BC719D" w:rsidR="004249CA" w:rsidP="00BC719D" w:rsidRDefault="004249CA">
      <w:pPr>
        <w:pStyle w:val="ECHRParaQuote"/>
      </w:pPr>
      <w:r w:rsidRPr="00BC719D">
        <w:t>- the nature and seriousness of the offence, the length of the sentence passed and the</w:t>
      </w:r>
      <w:r w:rsidRPr="00BC719D" w:rsidR="006052B8">
        <w:t xml:space="preserve"> </w:t>
      </w:r>
      <w:r w:rsidRPr="00BC719D">
        <w:t>period of detention already completed,</w:t>
      </w:r>
    </w:p>
    <w:p w:rsidRPr="00BC719D" w:rsidR="004249CA" w:rsidP="00BC719D" w:rsidRDefault="004249CA">
      <w:pPr>
        <w:pStyle w:val="ECHRParaQuote"/>
      </w:pPr>
      <w:r w:rsidRPr="00BC719D">
        <w:t>- the personality and behaviour of the prisoner and the risk, if any, he may present to</w:t>
      </w:r>
      <w:r w:rsidRPr="00BC719D" w:rsidR="006052B8">
        <w:t xml:space="preserve"> </w:t>
      </w:r>
      <w:r w:rsidRPr="00BC719D">
        <w:t>society,</w:t>
      </w:r>
    </w:p>
    <w:p w:rsidRPr="00BC719D" w:rsidR="00184B39" w:rsidP="00BC719D" w:rsidRDefault="004249CA">
      <w:pPr>
        <w:pStyle w:val="ECHRParaQuote"/>
      </w:pPr>
      <w:r w:rsidRPr="00BC719D">
        <w:t>- the prisoner</w:t>
      </w:r>
      <w:r w:rsidRPr="00BC719D" w:rsidR="00BC719D">
        <w:t>’</w:t>
      </w:r>
      <w:r w:rsidRPr="00BC719D">
        <w:t>s family and social situation, which may have changed during his detention,</w:t>
      </w:r>
    </w:p>
    <w:p w:rsidRPr="00BC719D" w:rsidR="004249CA" w:rsidP="00BC719D" w:rsidRDefault="004249CA">
      <w:pPr>
        <w:pStyle w:val="ECHRParaQuote"/>
      </w:pPr>
      <w:r w:rsidRPr="00BC719D">
        <w:t>- the purpose of leave, its duration and its terms and conditions;</w:t>
      </w:r>
    </w:p>
    <w:p w:rsidRPr="00BC719D" w:rsidR="004249CA" w:rsidP="00BC719D" w:rsidRDefault="004249CA">
      <w:pPr>
        <w:pStyle w:val="ECHRParaQuote"/>
      </w:pPr>
      <w:r w:rsidRPr="00BC719D">
        <w:t>3. to grant prison leave as soon and as frequently as possible having regard to the aforementioned</w:t>
      </w:r>
      <w:r w:rsidRPr="00BC719D" w:rsidR="006052B8">
        <w:t xml:space="preserve"> </w:t>
      </w:r>
      <w:r w:rsidRPr="00BC719D">
        <w:t>factors;</w:t>
      </w:r>
    </w:p>
    <w:p w:rsidRPr="00BC719D" w:rsidR="00B97FE8" w:rsidP="00BC719D" w:rsidRDefault="004249CA">
      <w:pPr>
        <w:pStyle w:val="ECHRParaQuote"/>
      </w:pPr>
      <w:r w:rsidRPr="00BC719D">
        <w:t>4. to grant prison leave not only to prisoners in open prisons but also to prisoners in closed</w:t>
      </w:r>
      <w:r w:rsidRPr="00BC719D" w:rsidR="006052B8">
        <w:t xml:space="preserve"> </w:t>
      </w:r>
      <w:r w:rsidRPr="00BC719D">
        <w:t>prisons, provided that it is not incompatible with public safety;</w:t>
      </w:r>
    </w:p>
    <w:p w:rsidRPr="00BC719D" w:rsidR="00B97FE8" w:rsidP="00BC719D" w:rsidRDefault="00184B39">
      <w:pPr>
        <w:pStyle w:val="ECHRParaQuote"/>
      </w:pPr>
      <w:r w:rsidRPr="00BC719D">
        <w:t>...</w:t>
      </w:r>
    </w:p>
    <w:p w:rsidRPr="00BC719D" w:rsidR="004249CA" w:rsidP="00BC719D" w:rsidRDefault="00B97FE8">
      <w:pPr>
        <w:pStyle w:val="ECHRParaQuote"/>
        <w:rPr>
          <w:rFonts w:ascii="Times New Roman" w:hAnsi="Times New Roman" w:cs="Times New Roman" w:eastAsiaTheme="minorHAnsi"/>
          <w:szCs w:val="20"/>
        </w:rPr>
      </w:pPr>
      <w:r w:rsidRPr="00BC719D">
        <w:rPr>
          <w:rFonts w:ascii="Times New Roman" w:hAnsi="Times New Roman" w:cs="Times New Roman" w:eastAsiaTheme="minorHAnsi"/>
          <w:szCs w:val="20"/>
        </w:rPr>
        <w:t>9. to inform the prisoner, to the greatest extent possible, of the reason</w:t>
      </w:r>
      <w:r w:rsidRPr="00BC719D" w:rsidR="00A06A03">
        <w:rPr>
          <w:rFonts w:ascii="Times New Roman" w:hAnsi="Times New Roman" w:cs="Times New Roman" w:eastAsiaTheme="minorHAnsi"/>
          <w:szCs w:val="20"/>
        </w:rPr>
        <w:t xml:space="preserve">s for a refusal of prison leave; </w:t>
      </w:r>
      <w:r w:rsidRPr="00BC719D" w:rsidR="00933307">
        <w:rPr>
          <w:rFonts w:ascii="Times New Roman" w:hAnsi="Times New Roman" w:cs="Times New Roman" w:eastAsiaTheme="minorHAnsi"/>
          <w:szCs w:val="20"/>
        </w:rPr>
        <w:t>...</w:t>
      </w:r>
      <w:r w:rsidRPr="00BC719D" w:rsidR="006052B8">
        <w:t>”</w:t>
      </w:r>
    </w:p>
    <w:bookmarkStart w:name="CPT_1" w:id="23"/>
    <w:p w:rsidRPr="00BC719D" w:rsidR="002F1D51" w:rsidP="00BC719D" w:rsidRDefault="003E4A98">
      <w:pPr>
        <w:pStyle w:val="ECHRPara"/>
      </w:pPr>
      <w:r w:rsidRPr="00BC719D">
        <w:fldChar w:fldCharType="begin"/>
      </w:r>
      <w:r w:rsidRPr="00BC719D">
        <w:instrText xml:space="preserve"> SEQ level0 \*arabic </w:instrText>
      </w:r>
      <w:r w:rsidRPr="00BC719D">
        <w:fldChar w:fldCharType="separate"/>
      </w:r>
      <w:r w:rsidRPr="00BC719D" w:rsidR="00BC719D">
        <w:rPr>
          <w:noProof/>
        </w:rPr>
        <w:t>39</w:t>
      </w:r>
      <w:r w:rsidRPr="00BC719D">
        <w:fldChar w:fldCharType="end"/>
      </w:r>
      <w:bookmarkEnd w:id="23"/>
      <w:r w:rsidRPr="00BC719D">
        <w:t>.  </w:t>
      </w:r>
      <w:r w:rsidRPr="00BC719D" w:rsidR="00B97FE8">
        <w:t>T</w:t>
      </w:r>
      <w:r w:rsidRPr="00BC719D" w:rsidR="002F1D51">
        <w:t>he European Committee for the Prevention of Torture and Inhuman or Degrading Treatment or Punishment (</w:t>
      </w:r>
      <w:r w:rsidRPr="00BC719D" w:rsidR="009F5D1C">
        <w:t xml:space="preserve">hereinafter “the </w:t>
      </w:r>
      <w:r w:rsidRPr="00BC719D" w:rsidR="002F1D51">
        <w:t>CPT</w:t>
      </w:r>
      <w:r w:rsidRPr="00BC719D" w:rsidR="009F5D1C">
        <w:t>”</w:t>
      </w:r>
      <w:r w:rsidRPr="00BC719D" w:rsidR="002F1D51">
        <w:t xml:space="preserve">) </w:t>
      </w:r>
      <w:r w:rsidRPr="00BC719D" w:rsidR="00B97FE8">
        <w:t xml:space="preserve">following a visit to Latvia that took place </w:t>
      </w:r>
      <w:r w:rsidRPr="00BC719D" w:rsidR="002F1D51">
        <w:t>from 5</w:t>
      </w:r>
      <w:r w:rsidRPr="00BC719D" w:rsidR="002F1D51">
        <w:rPr>
          <w:rFonts w:eastAsiaTheme="minorHAnsi"/>
        </w:rPr>
        <w:t xml:space="preserve"> to 15 September 2011</w:t>
      </w:r>
      <w:r w:rsidRPr="00BC719D" w:rsidR="00B97FE8">
        <w:t xml:space="preserve"> published a report to the Latvian Government, </w:t>
      </w:r>
      <w:r w:rsidRPr="00BC719D" w:rsidR="002F1D51">
        <w:t>dated 27 August 2013</w:t>
      </w:r>
      <w:r w:rsidRPr="00BC719D" w:rsidR="00B97FE8">
        <w:t>. The relevant parts of that report read</w:t>
      </w:r>
      <w:r w:rsidRPr="00BC719D" w:rsidR="002F1D51">
        <w:t>:</w:t>
      </w:r>
    </w:p>
    <w:p w:rsidRPr="00BC719D" w:rsidR="002F1D51" w:rsidP="00BC719D" w:rsidRDefault="002F1D51">
      <w:pPr>
        <w:pStyle w:val="ECHRParaQuote"/>
        <w:rPr>
          <w:rFonts w:eastAsiaTheme="minorHAnsi"/>
        </w:rPr>
      </w:pPr>
      <w:r w:rsidRPr="00BC719D">
        <w:rPr>
          <w:rFonts w:eastAsiaTheme="minorHAnsi"/>
        </w:rPr>
        <w:t>“47. Before setting out the delegation</w:t>
      </w:r>
      <w:r w:rsidRPr="00BC719D" w:rsidR="00BC719D">
        <w:rPr>
          <w:rFonts w:eastAsiaTheme="minorHAnsi"/>
        </w:rPr>
        <w:t>’</w:t>
      </w:r>
      <w:r w:rsidRPr="00BC719D">
        <w:rPr>
          <w:rFonts w:eastAsiaTheme="minorHAnsi"/>
        </w:rPr>
        <w:t>s findings regarding the establishments visited, the CPT would like to raise one issue of a more general nature concerning the regime applied to prisoners.</w:t>
      </w:r>
    </w:p>
    <w:p w:rsidRPr="00BC719D" w:rsidR="002F1D51" w:rsidP="00BC719D" w:rsidRDefault="002F1D51">
      <w:pPr>
        <w:pStyle w:val="ECHRParaQuote"/>
        <w:rPr>
          <w:rFonts w:eastAsiaTheme="minorHAnsi"/>
        </w:rPr>
      </w:pPr>
      <w:r w:rsidRPr="00BC719D">
        <w:rPr>
          <w:rFonts w:eastAsiaTheme="minorHAnsi"/>
        </w:rPr>
        <w:t>The Latvian Code of Execution of Sentences</w:t>
      </w:r>
      <w:r w:rsidRPr="00BC719D">
        <w:rPr>
          <w:rFonts w:eastAsiaTheme="minorHAnsi"/>
          <w:sz w:val="16"/>
          <w:szCs w:val="16"/>
        </w:rPr>
        <w:t xml:space="preserve"> </w:t>
      </w:r>
      <w:r w:rsidRPr="00BC719D">
        <w:rPr>
          <w:rFonts w:eastAsiaTheme="minorHAnsi"/>
        </w:rPr>
        <w:t xml:space="preserve">provides that all prisoners in closed and semi-closed prisons shall be subject to the </w:t>
      </w:r>
      <w:r w:rsidRPr="00BC719D">
        <w:rPr>
          <w:rFonts w:eastAsiaTheme="minorHAnsi"/>
          <w:i/>
          <w:iCs/>
        </w:rPr>
        <w:t>progressive sentence execution regime</w:t>
      </w:r>
      <w:r w:rsidRPr="00BC719D">
        <w:rPr>
          <w:rFonts w:eastAsiaTheme="minorHAnsi"/>
        </w:rPr>
        <w:t>, irrespective of the duration of the sentence imposed. Prisoners held in closed prisons serve their sentences in three consecutive regime levels: low, medium and high.</w:t>
      </w:r>
      <w:r w:rsidRPr="00BC719D">
        <w:rPr>
          <w:rFonts w:eastAsiaTheme="minorHAnsi"/>
          <w:sz w:val="16"/>
          <w:szCs w:val="16"/>
        </w:rPr>
        <w:t xml:space="preserve"> </w:t>
      </w:r>
      <w:r w:rsidRPr="00BC719D">
        <w:rPr>
          <w:rFonts w:eastAsiaTheme="minorHAnsi"/>
        </w:rPr>
        <w:t xml:space="preserve">The law requires that such prisoners serve at least a quarter of their sentence on the low regime level and demonstrate good behaviour in order to qualify for the medium level. After having served at least a quarter of their sentence on the medium regime level, they may be further transferred to the high regime level </w:t>
      </w:r>
      <w:r w:rsidRPr="00BC719D" w:rsidR="00184B39">
        <w:rPr>
          <w:rFonts w:eastAsiaTheme="minorHAnsi"/>
        </w:rPr>
        <w:t>...</w:t>
      </w:r>
      <w:r w:rsidRPr="00BC719D">
        <w:rPr>
          <w:rFonts w:eastAsiaTheme="minorHAnsi"/>
        </w:rPr>
        <w:t xml:space="preserve"> It is noteworthy that prisoners on the low regime level inter alia have generally limited work opportunities</w:t>
      </w:r>
      <w:r w:rsidRPr="00BC719D">
        <w:rPr>
          <w:rFonts w:eastAsiaTheme="minorHAnsi"/>
          <w:sz w:val="16"/>
          <w:szCs w:val="16"/>
        </w:rPr>
        <w:t xml:space="preserve"> </w:t>
      </w:r>
      <w:r w:rsidRPr="00BC719D">
        <w:rPr>
          <w:rFonts w:eastAsiaTheme="minorHAnsi"/>
        </w:rPr>
        <w:t xml:space="preserve">and fewer possibilities for maintaining contact with the outside world </w:t>
      </w:r>
      <w:r w:rsidRPr="00BC719D" w:rsidR="00184B39">
        <w:rPr>
          <w:rFonts w:eastAsiaTheme="minorHAnsi"/>
        </w:rPr>
        <w:t>...</w:t>
      </w:r>
    </w:p>
    <w:p w:rsidRPr="00BC719D" w:rsidR="002F1D51" w:rsidP="00BC719D" w:rsidRDefault="002F1D51">
      <w:pPr>
        <w:pStyle w:val="ECHRParaQuote"/>
        <w:rPr>
          <w:rFonts w:eastAsiaTheme="minorHAnsi"/>
        </w:rPr>
      </w:pPr>
      <w:r w:rsidRPr="00BC719D">
        <w:rPr>
          <w:rFonts w:eastAsiaTheme="minorHAnsi"/>
        </w:rPr>
        <w:t>The CPT recalls that “imprisonment is by the deprivation of liberty a punishment in itself and therefore the regime for sentenced prisoners shall not aggravate the suffering inherent in imprisonment.”</w:t>
      </w:r>
      <w:r w:rsidRPr="00BC719D">
        <w:rPr>
          <w:rFonts w:eastAsiaTheme="minorHAnsi"/>
          <w:sz w:val="16"/>
          <w:szCs w:val="16"/>
        </w:rPr>
        <w:t xml:space="preserve"> </w:t>
      </w:r>
      <w:r w:rsidRPr="00BC719D">
        <w:rPr>
          <w:rFonts w:eastAsiaTheme="minorHAnsi"/>
        </w:rPr>
        <w:t>Moreover, although it is for the judicial authority to determine the appropriate length of sentence for a given offence, prison authorities should be responsible for determining security and regime requirements, on the basis of professionally agreed criteria and individual assessments of prisoners. In this context, it is difficult to justify a prisoner being required to serve a minimum part of the prison sentence in a specific regime level (low or medium). In the CPT</w:t>
      </w:r>
      <w:r w:rsidRPr="00BC719D" w:rsidR="00BC719D">
        <w:rPr>
          <w:rFonts w:eastAsiaTheme="minorHAnsi"/>
        </w:rPr>
        <w:t>’</w:t>
      </w:r>
      <w:r w:rsidRPr="00BC719D">
        <w:rPr>
          <w:rFonts w:eastAsiaTheme="minorHAnsi"/>
        </w:rPr>
        <w:t>s view, progression from one regime level to another should be based on the prisoner</w:t>
      </w:r>
      <w:r w:rsidRPr="00BC719D" w:rsidR="00BC719D">
        <w:rPr>
          <w:rFonts w:eastAsiaTheme="minorHAnsi"/>
        </w:rPr>
        <w:t>’</w:t>
      </w:r>
      <w:r w:rsidRPr="00BC719D">
        <w:rPr>
          <w:rFonts w:eastAsiaTheme="minorHAnsi"/>
        </w:rPr>
        <w:t>s attitude, behaviour, participation in activities (e</w:t>
      </w:r>
      <w:r w:rsidRPr="00BC719D" w:rsidR="00F93BC4">
        <w:rPr>
          <w:rFonts w:eastAsiaTheme="minorHAnsi"/>
        </w:rPr>
        <w:t>ducational, vocational, or work</w:t>
      </w:r>
      <w:r w:rsidRPr="00BC719D" w:rsidR="00F93BC4">
        <w:rPr>
          <w:rFonts w:eastAsiaTheme="minorHAnsi"/>
        </w:rPr>
        <w:noBreakHyphen/>
      </w:r>
      <w:r w:rsidRPr="00BC719D">
        <w:rPr>
          <w:rFonts w:eastAsiaTheme="minorHAnsi"/>
        </w:rPr>
        <w:t>related), and in general adherence to reasonable pre-established targets set out in a sentence plan. For this purpose, regular individual reviews should be carried out.</w:t>
      </w:r>
    </w:p>
    <w:p w:rsidRPr="00BC719D" w:rsidR="002F1D51" w:rsidP="00BC719D" w:rsidRDefault="002F1D51">
      <w:pPr>
        <w:pStyle w:val="ECHRParaQuote"/>
        <w:rPr>
          <w:rFonts w:eastAsiaTheme="minorHAnsi"/>
        </w:rPr>
      </w:pPr>
      <w:r w:rsidRPr="00BC719D">
        <w:rPr>
          <w:rFonts w:eastAsiaTheme="minorHAnsi"/>
        </w:rPr>
        <w:t xml:space="preserve">The CPT invites the Latvian authorities to review the relevant legislation and practice in </w:t>
      </w:r>
      <w:r w:rsidRPr="00BC719D" w:rsidR="00A50C3E">
        <w:rPr>
          <w:rFonts w:eastAsiaTheme="minorHAnsi"/>
        </w:rPr>
        <w:t>the light of the above remarks.</w:t>
      </w:r>
      <w:r w:rsidRPr="00BC719D" w:rsidR="003E4A98">
        <w:rPr>
          <w:rFonts w:eastAsiaTheme="minorHAnsi"/>
        </w:rPr>
        <w:t>”</w:t>
      </w:r>
      <w:r w:rsidRPr="00BC719D" w:rsidR="00C33DAA">
        <w:rPr>
          <w:rFonts w:eastAsiaTheme="minorHAnsi"/>
        </w:rPr>
        <w:t xml:space="preserve"> </w:t>
      </w:r>
      <w:r w:rsidRPr="00BC719D" w:rsidR="00285ABE">
        <w:t>[</w:t>
      </w:r>
      <w:r w:rsidRPr="00BC719D" w:rsidR="00664B42">
        <w:t xml:space="preserve">emphasis and </w:t>
      </w:r>
      <w:r w:rsidRPr="00BC719D" w:rsidR="00C33DAA">
        <w:t>footnotes omitted</w:t>
      </w:r>
      <w:r w:rsidRPr="00BC719D" w:rsidR="00285ABE">
        <w:t>]</w:t>
      </w:r>
    </w:p>
    <w:bookmarkStart w:name="CPT_2" w:id="24"/>
    <w:p w:rsidRPr="00BC719D" w:rsidR="00455B6D" w:rsidP="00BC719D" w:rsidRDefault="002F1D51">
      <w:pPr>
        <w:pStyle w:val="ECHRPara"/>
      </w:pPr>
      <w:r w:rsidRPr="00BC719D">
        <w:fldChar w:fldCharType="begin"/>
      </w:r>
      <w:r w:rsidRPr="00BC719D">
        <w:instrText xml:space="preserve"> SEQ level0 \*arabic </w:instrText>
      </w:r>
      <w:r w:rsidRPr="00BC719D">
        <w:fldChar w:fldCharType="separate"/>
      </w:r>
      <w:r w:rsidRPr="00BC719D" w:rsidR="00BC719D">
        <w:rPr>
          <w:noProof/>
        </w:rPr>
        <w:t>40</w:t>
      </w:r>
      <w:r w:rsidRPr="00BC719D">
        <w:fldChar w:fldCharType="end"/>
      </w:r>
      <w:bookmarkEnd w:id="24"/>
      <w:r w:rsidRPr="00BC719D" w:rsidR="00A50C3E">
        <w:t>.  </w:t>
      </w:r>
      <w:r w:rsidRPr="00BC719D" w:rsidR="00B2447B">
        <w:t xml:space="preserve">Following the next visit </w:t>
      </w:r>
      <w:r w:rsidRPr="00BC719D" w:rsidR="00D51491">
        <w:t xml:space="preserve">to Latvia </w:t>
      </w:r>
      <w:r w:rsidRPr="00BC719D" w:rsidR="00B2447B">
        <w:t>that took pl</w:t>
      </w:r>
      <w:r w:rsidRPr="00BC719D" w:rsidR="00D51491">
        <w:t>a</w:t>
      </w:r>
      <w:r w:rsidRPr="00BC719D" w:rsidR="00B2447B">
        <w:t>ce from 12</w:t>
      </w:r>
      <w:r w:rsidRPr="00BC719D" w:rsidR="00F93BC4">
        <w:rPr>
          <w:rFonts w:eastAsiaTheme="minorHAnsi"/>
        </w:rPr>
        <w:t xml:space="preserve"> to 22 </w:t>
      </w:r>
      <w:r w:rsidRPr="00BC719D" w:rsidR="00B2447B">
        <w:rPr>
          <w:rFonts w:eastAsiaTheme="minorHAnsi"/>
        </w:rPr>
        <w:t xml:space="preserve">April 2016 the CPT in its report to the Latvian Government, dated </w:t>
      </w:r>
      <w:r w:rsidRPr="00BC719D" w:rsidR="00B2447B">
        <w:t xml:space="preserve">29 June 2017, referred back to </w:t>
      </w:r>
      <w:r w:rsidRPr="00BC719D" w:rsidR="00D51491">
        <w:t xml:space="preserve">the </w:t>
      </w:r>
      <w:r w:rsidRPr="00BC719D" w:rsidR="00B2447B">
        <w:t>fi</w:t>
      </w:r>
      <w:r w:rsidRPr="00BC719D" w:rsidR="00D51491">
        <w:t>n</w:t>
      </w:r>
      <w:r w:rsidRPr="00BC719D" w:rsidR="00B2447B">
        <w:t xml:space="preserve">dings </w:t>
      </w:r>
      <w:r w:rsidRPr="00BC719D" w:rsidR="00D51491">
        <w:t xml:space="preserve">it had </w:t>
      </w:r>
      <w:r w:rsidRPr="00BC719D" w:rsidR="00B2447B">
        <w:t xml:space="preserve">made during the visit of 2011. It reiterated its reservations </w:t>
      </w:r>
      <w:r w:rsidRPr="00BC719D" w:rsidR="00D51491">
        <w:t xml:space="preserve">about </w:t>
      </w:r>
      <w:r w:rsidRPr="00BC719D" w:rsidR="00B2447B">
        <w:t>the “progressive sentence execution” system and emphasised that the progression from one regime level to another should be determined by prison authorities, based on professionally agreed criteria and individual assessments.</w:t>
      </w:r>
    </w:p>
    <w:p w:rsidRPr="00BC719D" w:rsidR="00014566" w:rsidP="00BC719D" w:rsidRDefault="00014566">
      <w:pPr>
        <w:pStyle w:val="ECHRTitle1"/>
      </w:pPr>
      <w:r w:rsidRPr="00BC719D">
        <w:t>THE LAW</w:t>
      </w:r>
    </w:p>
    <w:p w:rsidRPr="00BC719D" w:rsidR="00211103" w:rsidP="00BC719D" w:rsidRDefault="00211103">
      <w:pPr>
        <w:pStyle w:val="ECHRHeading1"/>
      </w:pPr>
      <w:r w:rsidRPr="00BC719D">
        <w:t>I.  ALLEGED VIOLATION OF ARTICLE 14 OF THE CONVENTION, READ IN CONJUNCTION WITH ARTICLE 8</w:t>
      </w:r>
    </w:p>
    <w:p w:rsidRPr="00BC719D" w:rsidR="00211103" w:rsidP="00BC719D" w:rsidRDefault="00211103">
      <w:pPr>
        <w:pStyle w:val="ECHRPara"/>
      </w:pPr>
      <w:r w:rsidRPr="00BC719D">
        <w:fldChar w:fldCharType="begin"/>
      </w:r>
      <w:r w:rsidRPr="00BC719D">
        <w:instrText xml:space="preserve"> SEQ level0 \*arabic </w:instrText>
      </w:r>
      <w:r w:rsidRPr="00BC719D">
        <w:fldChar w:fldCharType="separate"/>
      </w:r>
      <w:r w:rsidRPr="00BC719D" w:rsidR="00BC719D">
        <w:rPr>
          <w:noProof/>
        </w:rPr>
        <w:t>41</w:t>
      </w:r>
      <w:r w:rsidRPr="00BC719D">
        <w:fldChar w:fldCharType="end"/>
      </w:r>
      <w:r w:rsidRPr="00BC719D">
        <w:t>.  The applicant complained about difference in treatment between men and women convicted of the same crimes in relation to the respective applicable prison regimes, in particular, with regard to the right to prison leave</w:t>
      </w:r>
      <w:r w:rsidRPr="00BC719D" w:rsidR="00406B09">
        <w:t>, which had led to a refusal to attend his father</w:t>
      </w:r>
      <w:r w:rsidRPr="00BC719D" w:rsidR="00BC719D">
        <w:t>’</w:t>
      </w:r>
      <w:r w:rsidRPr="00BC719D" w:rsidR="00406B09">
        <w:t>s funeral</w:t>
      </w:r>
      <w:r w:rsidRPr="00BC719D">
        <w:t>. He argued that this was contrary to Article 14 of the Convention, read in conjunction with Articles 5, 8 and 10 of the Convention.</w:t>
      </w:r>
    </w:p>
    <w:p w:rsidRPr="00BC719D" w:rsidR="00211103" w:rsidP="00BC719D" w:rsidRDefault="00211103">
      <w:pPr>
        <w:pStyle w:val="ECHRPara"/>
      </w:pPr>
      <w:r w:rsidRPr="00BC719D">
        <w:fldChar w:fldCharType="begin"/>
      </w:r>
      <w:r w:rsidRPr="00BC719D">
        <w:instrText xml:space="preserve"> SEQ level0 \*arabic </w:instrText>
      </w:r>
      <w:r w:rsidRPr="00BC719D">
        <w:fldChar w:fldCharType="separate"/>
      </w:r>
      <w:r w:rsidRPr="00BC719D" w:rsidR="00BC719D">
        <w:rPr>
          <w:noProof/>
        </w:rPr>
        <w:t>42</w:t>
      </w:r>
      <w:r w:rsidRPr="00BC719D">
        <w:fldChar w:fldCharType="end"/>
      </w:r>
      <w:r w:rsidRPr="00BC719D">
        <w:t xml:space="preserve">.  Having regard to the circumstances of the case and bearing in mind that it has the power to decide on the characterisation to be given in law to the facts of a complaint (see </w:t>
      </w:r>
      <w:r w:rsidRPr="00BC719D">
        <w:rPr>
          <w:i/>
          <w:iCs/>
        </w:rPr>
        <w:t>Radomilja and Others v. Croatia</w:t>
      </w:r>
      <w:r w:rsidRPr="00BC719D">
        <w:t xml:space="preserve"> [GC]</w:t>
      </w:r>
      <w:r w:rsidRPr="00BC719D">
        <w:rPr>
          <w:lang w:eastAsia="en-GB"/>
        </w:rPr>
        <w:t xml:space="preserve">, </w:t>
      </w:r>
      <w:r w:rsidRPr="00BC719D">
        <w:t>nos. 37685/10 and 22768/12</w:t>
      </w:r>
      <w:r w:rsidRPr="00BC719D">
        <w:rPr>
          <w:lang w:eastAsia="en-GB"/>
        </w:rPr>
        <w:t xml:space="preserve">, </w:t>
      </w:r>
      <w:r w:rsidRPr="00BC719D">
        <w:t>§ 126, 20 March 2018), the Court considers it appropriate to examine the applicant</w:t>
      </w:r>
      <w:r w:rsidRPr="00BC719D" w:rsidR="00BC719D">
        <w:t>’</w:t>
      </w:r>
      <w:r w:rsidRPr="00BC719D">
        <w:t>s grievances from the standpoint of Article 14 of the Convention, taken in conjunction with Article 8. Those provisions read as follows:</w:t>
      </w:r>
    </w:p>
    <w:p w:rsidRPr="00BC719D" w:rsidR="00211103" w:rsidP="00BC719D" w:rsidRDefault="00211103">
      <w:pPr>
        <w:pStyle w:val="ECHRTitleCentre3"/>
      </w:pPr>
      <w:r w:rsidRPr="00BC719D">
        <w:t>Article 8</w:t>
      </w:r>
    </w:p>
    <w:p w:rsidRPr="00BC719D" w:rsidR="00211103" w:rsidP="00BC719D" w:rsidRDefault="00211103">
      <w:pPr>
        <w:pStyle w:val="ECHRParaQuote"/>
      </w:pPr>
      <w:r w:rsidRPr="00BC719D">
        <w:t>“1.  Everyone has the right to respect for his private and family life, his home and his correspondence.</w:t>
      </w:r>
    </w:p>
    <w:p w:rsidRPr="00BC719D" w:rsidR="00211103" w:rsidP="00BC719D" w:rsidRDefault="00211103">
      <w:pPr>
        <w:pStyle w:val="ECHRParaQuote"/>
      </w:pPr>
      <w:r w:rsidRPr="00BC719D">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BC719D" w:rsidR="00211103" w:rsidP="00BC719D" w:rsidRDefault="00211103">
      <w:pPr>
        <w:pStyle w:val="ECHRTitleCentre3"/>
      </w:pPr>
      <w:r w:rsidRPr="00BC719D">
        <w:t>Article 14</w:t>
      </w:r>
    </w:p>
    <w:p w:rsidRPr="00BC719D" w:rsidR="00211103" w:rsidP="00BC719D" w:rsidRDefault="00211103">
      <w:pPr>
        <w:pStyle w:val="ECHRParaQuote"/>
      </w:pPr>
      <w:r w:rsidRPr="00BC719D">
        <w:t xml:space="preserve"> “The enjoyment of the rights and freedoms set forth in [the] Convention shall be secured without discrimination on any ground such as sex, race, colour, language, religion, political or other opinion, national or social origin, association with a national minority, property, birth or other status.”</w:t>
      </w:r>
    </w:p>
    <w:bookmarkStart w:name="sasaurinam_sudzibas_saturu" w:id="25"/>
    <w:p w:rsidRPr="00BC719D" w:rsidR="00211103" w:rsidP="00BC719D" w:rsidRDefault="00211103">
      <w:pPr>
        <w:pStyle w:val="ECHRPara"/>
      </w:pPr>
      <w:r w:rsidRPr="00BC719D">
        <w:fldChar w:fldCharType="begin"/>
      </w:r>
      <w:r w:rsidRPr="00BC719D">
        <w:instrText xml:space="preserve"> SEQ level0 \*arabic </w:instrText>
      </w:r>
      <w:r w:rsidRPr="00BC719D">
        <w:fldChar w:fldCharType="separate"/>
      </w:r>
      <w:r w:rsidRPr="00BC719D" w:rsidR="00BC719D">
        <w:rPr>
          <w:noProof/>
        </w:rPr>
        <w:t>43</w:t>
      </w:r>
      <w:r w:rsidRPr="00BC719D">
        <w:fldChar w:fldCharType="end"/>
      </w:r>
      <w:bookmarkEnd w:id="25"/>
      <w:r w:rsidRPr="00BC719D">
        <w:t>.  In addition, the Court notes that in cases arising from individual applications it is not the Court</w:t>
      </w:r>
      <w:r w:rsidRPr="00BC719D" w:rsidR="00BC719D">
        <w:t>’</w:t>
      </w:r>
      <w:r w:rsidRPr="00BC719D">
        <w:t xml:space="preserve">s task to examine the domestic legislation in the abstract, but it must examine the manner in which that legislation was applied to the applicant in the particular circumstances (see, for example, </w:t>
      </w:r>
      <w:r w:rsidRPr="00BC719D">
        <w:rPr>
          <w:i/>
        </w:rPr>
        <w:t>Sommerfeld v. Germany</w:t>
      </w:r>
      <w:r w:rsidRPr="00BC719D">
        <w:t xml:space="preserve"> [GC], no. 31871/96, § 86, ECHR 2003-VIII, compare also </w:t>
      </w:r>
      <w:r w:rsidRPr="00BC719D">
        <w:rPr>
          <w:i/>
        </w:rPr>
        <w:t>Van der Ven v. the Netherlands</w:t>
      </w:r>
      <w:r w:rsidRPr="00BC719D">
        <w:t>,</w:t>
      </w:r>
      <w:r w:rsidRPr="00BC719D">
        <w:rPr>
          <w:i/>
        </w:rPr>
        <w:t xml:space="preserve"> </w:t>
      </w:r>
      <w:r w:rsidRPr="00BC719D">
        <w:t>no. 50901/99, § 53, ECHR 2003</w:t>
      </w:r>
      <w:r w:rsidRPr="00BC719D">
        <w:noBreakHyphen/>
        <w:t>II).  Accordingly, in the present case the Court is not called upon to compare the entirety of the prison regime under which the applicant was serving his sentence with the prison regime that was applicable to women convicted of the same crimes. Instead, it has to address the issue that has affected the applicant directly and personally and has to determine whether the refusal to entertain his request to attend his father</w:t>
      </w:r>
      <w:r w:rsidRPr="00BC719D" w:rsidR="00BC719D">
        <w:t>’</w:t>
      </w:r>
      <w:r w:rsidRPr="00BC719D">
        <w:t>s funeral constituted discrimination on the basis of sex prohibited under Article 14 of the Convention, read in conjunction with Article 8 of the Convention.</w:t>
      </w:r>
    </w:p>
    <w:p w:rsidRPr="00BC719D" w:rsidR="00014566" w:rsidP="00BC719D" w:rsidRDefault="00211103">
      <w:pPr>
        <w:pStyle w:val="ECHRHeading2"/>
      </w:pPr>
      <w:r w:rsidRPr="00BC719D">
        <w:t>A</w:t>
      </w:r>
      <w:r w:rsidRPr="00BC719D" w:rsidR="00014566">
        <w:t>.  </w:t>
      </w:r>
      <w:r w:rsidRPr="00BC719D" w:rsidR="00017A7A">
        <w:t>T</w:t>
      </w:r>
      <w:r w:rsidRPr="00BC719D">
        <w:t>he Government</w:t>
      </w:r>
      <w:r w:rsidRPr="00BC719D" w:rsidR="00BC719D">
        <w:t>’</w:t>
      </w:r>
      <w:r w:rsidRPr="00BC719D">
        <w:t>s preliminary objection</w:t>
      </w:r>
    </w:p>
    <w:p w:rsidRPr="00BC719D" w:rsidR="00FB10C6" w:rsidP="00BC719D" w:rsidRDefault="005A291D">
      <w:pPr>
        <w:pStyle w:val="ECHRHeading3"/>
      </w:pPr>
      <w:r w:rsidRPr="00BC719D">
        <w:t>1.  </w:t>
      </w:r>
      <w:r w:rsidRPr="00BC719D" w:rsidR="00FB10C6">
        <w:t>Arguments of the parties</w:t>
      </w:r>
    </w:p>
    <w:p w:rsidRPr="00BC719D" w:rsidR="00184B39" w:rsidP="00BC719D" w:rsidRDefault="006D69EB">
      <w:pPr>
        <w:pStyle w:val="ECHRPara"/>
      </w:pPr>
      <w:r w:rsidRPr="00BC719D">
        <w:fldChar w:fldCharType="begin"/>
      </w:r>
      <w:r w:rsidRPr="00BC719D">
        <w:instrText xml:space="preserve"> SEQ level0 \*arabic </w:instrText>
      </w:r>
      <w:r w:rsidRPr="00BC719D">
        <w:fldChar w:fldCharType="separate"/>
      </w:r>
      <w:r w:rsidRPr="00BC719D" w:rsidR="00BC719D">
        <w:rPr>
          <w:noProof/>
        </w:rPr>
        <w:t>44</w:t>
      </w:r>
      <w:r w:rsidRPr="00BC719D">
        <w:fldChar w:fldCharType="end"/>
      </w:r>
      <w:r w:rsidRPr="00BC719D">
        <w:t xml:space="preserve">.  The Government submitted that the Court could not </w:t>
      </w:r>
      <w:r w:rsidRPr="00BC719D" w:rsidR="002F7B2E">
        <w:t xml:space="preserve">examine the case before the </w:t>
      </w:r>
      <w:r w:rsidRPr="00BC719D" w:rsidR="00C86BA5">
        <w:t xml:space="preserve">Constitutional Court had </w:t>
      </w:r>
      <w:r w:rsidRPr="00BC719D" w:rsidR="00EF6FC1">
        <w:t xml:space="preserve">made </w:t>
      </w:r>
      <w:r w:rsidRPr="00BC719D" w:rsidR="001638C0">
        <w:t xml:space="preserve">an </w:t>
      </w:r>
      <w:r w:rsidRPr="00BC719D" w:rsidR="00EF6FC1">
        <w:t xml:space="preserve">assessment as to whether </w:t>
      </w:r>
      <w:r w:rsidRPr="00BC719D" w:rsidR="002F7B2E">
        <w:t>section 50</w:t>
      </w:r>
      <w:r w:rsidRPr="00BC719D" w:rsidR="002F7B2E">
        <w:rPr>
          <w:vertAlign w:val="superscript"/>
        </w:rPr>
        <w:t>4</w:t>
      </w:r>
      <w:r w:rsidRPr="00BC719D" w:rsidR="002F7B2E">
        <w:t xml:space="preserve"> of the Sentence Enforcement Code </w:t>
      </w:r>
      <w:r w:rsidRPr="00BC719D" w:rsidR="00EF6FC1">
        <w:t xml:space="preserve">complied </w:t>
      </w:r>
      <w:r w:rsidRPr="00BC719D" w:rsidR="002F7B2E">
        <w:t>with the Convention</w:t>
      </w:r>
      <w:r w:rsidRPr="00BC719D">
        <w:t xml:space="preserve">. </w:t>
      </w:r>
      <w:r w:rsidRPr="00BC719D" w:rsidR="00C86BA5">
        <w:t xml:space="preserve">The Constitutional Court </w:t>
      </w:r>
      <w:r w:rsidRPr="00BC719D" w:rsidR="00A332F2">
        <w:t xml:space="preserve">was </w:t>
      </w:r>
      <w:r w:rsidRPr="00BC719D">
        <w:t>the effective domestic remedy</w:t>
      </w:r>
      <w:r w:rsidRPr="00BC719D" w:rsidR="00C86BA5">
        <w:t xml:space="preserve"> created for this particular purpose</w:t>
      </w:r>
      <w:r w:rsidRPr="00BC719D">
        <w:t xml:space="preserve">, </w:t>
      </w:r>
      <w:r w:rsidRPr="00BC719D" w:rsidR="00423CCA">
        <w:t xml:space="preserve">was </w:t>
      </w:r>
      <w:r w:rsidRPr="00BC719D">
        <w:t xml:space="preserve">capable of providing redress and </w:t>
      </w:r>
      <w:r w:rsidRPr="00BC719D" w:rsidR="00423CCA">
        <w:t xml:space="preserve">was </w:t>
      </w:r>
      <w:r w:rsidRPr="00BC719D">
        <w:t>available to the applicant both in law and in practice.</w:t>
      </w:r>
      <w:r w:rsidRPr="00BC719D" w:rsidR="00947A86">
        <w:t xml:space="preserve"> </w:t>
      </w:r>
      <w:r w:rsidRPr="00BC719D" w:rsidR="001638C0">
        <w:t>Even so</w:t>
      </w:r>
      <w:r w:rsidRPr="00BC719D" w:rsidR="00C86BA5">
        <w:t xml:space="preserve">, </w:t>
      </w:r>
      <w:r w:rsidRPr="00BC719D">
        <w:t>the applicant</w:t>
      </w:r>
      <w:r w:rsidRPr="00BC719D" w:rsidR="00BC719D">
        <w:t>’</w:t>
      </w:r>
      <w:r w:rsidRPr="00BC719D">
        <w:t xml:space="preserve">s constitutional complaints had been </w:t>
      </w:r>
      <w:r w:rsidRPr="00BC719D" w:rsidR="00EF6FC1">
        <w:t>rejected</w:t>
      </w:r>
      <w:r w:rsidRPr="00BC719D">
        <w:t xml:space="preserve"> for lack of sufficient legal reasoning. The applicant had been aware of the mandatory requirements of a constitutional complaint and could not bypass the </w:t>
      </w:r>
      <w:r w:rsidRPr="00BC719D" w:rsidR="00A71C5A">
        <w:t>obligation</w:t>
      </w:r>
      <w:r w:rsidRPr="00BC719D">
        <w:t xml:space="preserve"> to exhaust the available domestic remedies by deliberately and consistently submitting incomplete and insufficiently reasoned constitutional complaints. </w:t>
      </w:r>
      <w:r w:rsidRPr="00BC719D" w:rsidR="001638C0">
        <w:t>Moreover</w:t>
      </w:r>
      <w:r w:rsidRPr="00BC719D">
        <w:t>, the applicant had not been precluded from remedying the deficiencies identified by the Constitutional Court and lodging a</w:t>
      </w:r>
      <w:r w:rsidRPr="00BC719D" w:rsidR="00D638FC">
        <w:t xml:space="preserve">nother constitutional </w:t>
      </w:r>
      <w:r w:rsidRPr="00BC719D">
        <w:t>complaint.</w:t>
      </w:r>
    </w:p>
    <w:p w:rsidRPr="00BC719D" w:rsidR="00A71C5A" w:rsidP="00BC719D" w:rsidRDefault="00A71C5A">
      <w:pPr>
        <w:pStyle w:val="ECHRPara"/>
      </w:pPr>
      <w:r w:rsidRPr="00BC719D">
        <w:fldChar w:fldCharType="begin"/>
      </w:r>
      <w:r w:rsidRPr="00BC719D">
        <w:instrText xml:space="preserve"> SEQ level0 \*arabic </w:instrText>
      </w:r>
      <w:r w:rsidRPr="00BC719D">
        <w:fldChar w:fldCharType="separate"/>
      </w:r>
      <w:r w:rsidRPr="00BC719D" w:rsidR="00BC719D">
        <w:rPr>
          <w:noProof/>
        </w:rPr>
        <w:t>45</w:t>
      </w:r>
      <w:r w:rsidRPr="00BC719D">
        <w:fldChar w:fldCharType="end"/>
      </w:r>
      <w:r w:rsidRPr="00BC719D">
        <w:t>.  Furthermore, the applicant had no</w:t>
      </w:r>
      <w:r w:rsidRPr="00BC719D" w:rsidR="00C94F66">
        <w:t>t</w:t>
      </w:r>
      <w:r w:rsidRPr="00BC719D">
        <w:t xml:space="preserve"> challenged before the Constitutional Court the fact that the Sentence Enforcement Code did </w:t>
      </w:r>
      <w:r w:rsidRPr="00BC719D" w:rsidR="00D638FC">
        <w:t>not allow compassionate leave</w:t>
      </w:r>
      <w:r w:rsidRPr="00BC719D">
        <w:t xml:space="preserve"> for inmates serving t</w:t>
      </w:r>
      <w:r w:rsidRPr="00BC719D" w:rsidR="00C94F66">
        <w:t xml:space="preserve">heir sentence in closed prisons. </w:t>
      </w:r>
      <w:r w:rsidRPr="00BC719D" w:rsidR="00070042">
        <w:t>In particular, t</w:t>
      </w:r>
      <w:r w:rsidRPr="00BC719D">
        <w:t>he applicant had failed to challenge the provision specifying the differences in rights and obligations between convicts serving their sentences in different regimes.</w:t>
      </w:r>
    </w:p>
    <w:p w:rsidRPr="00BC719D" w:rsidR="00184B39" w:rsidP="00BC719D" w:rsidRDefault="006D69EB">
      <w:pPr>
        <w:pStyle w:val="ECHRPara"/>
      </w:pPr>
      <w:r w:rsidRPr="00BC719D">
        <w:fldChar w:fldCharType="begin"/>
      </w:r>
      <w:r w:rsidRPr="00BC719D">
        <w:instrText xml:space="preserve"> SEQ level0 \*arabic </w:instrText>
      </w:r>
      <w:r w:rsidRPr="00BC719D">
        <w:fldChar w:fldCharType="separate"/>
      </w:r>
      <w:r w:rsidRPr="00BC719D" w:rsidR="00BC719D">
        <w:rPr>
          <w:noProof/>
        </w:rPr>
        <w:t>46</w:t>
      </w:r>
      <w:r w:rsidRPr="00BC719D">
        <w:fldChar w:fldCharType="end"/>
      </w:r>
      <w:r w:rsidRPr="00BC719D">
        <w:t>.  The applicant submitted that he had tried, within the limits of his resources and abilities, to defend his rights before th</w:t>
      </w:r>
      <w:r w:rsidRPr="00BC719D" w:rsidR="00070042">
        <w:t>e Constitutional Court</w:t>
      </w:r>
      <w:r w:rsidRPr="00BC719D">
        <w:t>.</w:t>
      </w:r>
      <w:r w:rsidRPr="00BC719D" w:rsidR="004D169A">
        <w:t xml:space="preserve"> He asserted that </w:t>
      </w:r>
      <w:r w:rsidRPr="00BC719D">
        <w:t xml:space="preserve">an ordinary citizen could not enjoy the protection of the Constitutional Court, its standards being enormously high for a person without </w:t>
      </w:r>
      <w:r w:rsidRPr="00BC719D" w:rsidR="00822F95">
        <w:t xml:space="preserve">a </w:t>
      </w:r>
      <w:r w:rsidRPr="00BC719D">
        <w:t xml:space="preserve">legal education. </w:t>
      </w:r>
      <w:r w:rsidRPr="00BC719D" w:rsidR="004D169A">
        <w:t>D</w:t>
      </w:r>
      <w:r w:rsidRPr="00BC719D">
        <w:t xml:space="preserve">rafting a constitutional complaint was </w:t>
      </w:r>
      <w:r w:rsidRPr="00BC719D" w:rsidR="00822F95">
        <w:t xml:space="preserve">a </w:t>
      </w:r>
      <w:r w:rsidRPr="00BC719D">
        <w:t xml:space="preserve">difficult </w:t>
      </w:r>
      <w:r w:rsidRPr="00BC719D" w:rsidR="00822F95">
        <w:t xml:space="preserve">task </w:t>
      </w:r>
      <w:r w:rsidRPr="00BC719D">
        <w:t>even for legal professionals</w:t>
      </w:r>
      <w:r w:rsidRPr="00BC719D" w:rsidR="00B500F1">
        <w:t>;</w:t>
      </w:r>
      <w:r w:rsidRPr="00BC719D">
        <w:t xml:space="preserve"> thus</w:t>
      </w:r>
      <w:r w:rsidRPr="00BC719D" w:rsidR="00B500F1">
        <w:t>,</w:t>
      </w:r>
      <w:r w:rsidRPr="00BC719D">
        <w:t xml:space="preserve"> it was not fair to blame the applicant for his inability to </w:t>
      </w:r>
      <w:r w:rsidRPr="00BC719D" w:rsidR="00FD5405">
        <w:t xml:space="preserve">properly </w:t>
      </w:r>
      <w:r w:rsidRPr="00BC719D">
        <w:t>perform in this sophisticated legal field.</w:t>
      </w:r>
    </w:p>
    <w:p w:rsidRPr="00BC719D" w:rsidR="00FB10C6" w:rsidP="00BC719D" w:rsidRDefault="00F93BC4">
      <w:pPr>
        <w:pStyle w:val="ECHRHeading3"/>
      </w:pPr>
      <w:r w:rsidRPr="00BC719D">
        <w:t>2.  </w:t>
      </w:r>
      <w:r w:rsidRPr="00BC719D" w:rsidR="00D06DD2">
        <w:t>The Court</w:t>
      </w:r>
    </w:p>
    <w:p w:rsidRPr="00BC719D" w:rsidR="004477CE" w:rsidP="00BC719D" w:rsidRDefault="004477CE">
      <w:pPr>
        <w:pStyle w:val="ECHRPara"/>
        <w:rPr>
          <w:rFonts w:cs="Times New Roman"/>
        </w:rPr>
      </w:pPr>
      <w:r w:rsidRPr="00BC719D">
        <w:rPr>
          <w:rFonts w:cs="Times New Roman"/>
        </w:rPr>
        <w:fldChar w:fldCharType="begin"/>
      </w:r>
      <w:r w:rsidRPr="00BC719D">
        <w:rPr>
          <w:rFonts w:cs="Times New Roman"/>
        </w:rPr>
        <w:instrText xml:space="preserve"> SEQ level0 \*arabic </w:instrText>
      </w:r>
      <w:r w:rsidRPr="00BC719D">
        <w:rPr>
          <w:rFonts w:cs="Times New Roman"/>
        </w:rPr>
        <w:fldChar w:fldCharType="separate"/>
      </w:r>
      <w:r w:rsidRPr="00BC719D" w:rsidR="00BC719D">
        <w:rPr>
          <w:rFonts w:cs="Times New Roman"/>
          <w:noProof/>
        </w:rPr>
        <w:t>47</w:t>
      </w:r>
      <w:r w:rsidRPr="00BC719D">
        <w:rPr>
          <w:rFonts w:cs="Times New Roman"/>
        </w:rPr>
        <w:fldChar w:fldCharType="end"/>
      </w:r>
      <w:r w:rsidRPr="00BC719D">
        <w:rPr>
          <w:rFonts w:cs="Times New Roman"/>
        </w:rPr>
        <w:t>.  The Court reiterates that the machinery of protection established by the Convention is subsidiary to the national systems safeguarding human rights. The rule of exhaustion of d</w:t>
      </w:r>
      <w:r w:rsidRPr="00BC719D" w:rsidR="00C94F66">
        <w:rPr>
          <w:rFonts w:cs="Times New Roman"/>
        </w:rPr>
        <w:t>omestic remedies is therefore a</w:t>
      </w:r>
      <w:r w:rsidRPr="00BC719D">
        <w:rPr>
          <w:rFonts w:cs="Times New Roman"/>
        </w:rPr>
        <w:t xml:space="preserve"> </w:t>
      </w:r>
      <w:r w:rsidRPr="00BC719D" w:rsidR="00C94F66">
        <w:rPr>
          <w:rFonts w:cs="Times New Roman"/>
        </w:rPr>
        <w:t>fundamental</w:t>
      </w:r>
      <w:r w:rsidRPr="00BC719D">
        <w:rPr>
          <w:rFonts w:cs="Times New Roman"/>
        </w:rPr>
        <w:t xml:space="preserve"> part of the functioning of this system of protection. States are dispensed from answering before an international body for their acts before they have had an opportunity to put matters right through their own legal system</w:t>
      </w:r>
      <w:r w:rsidRPr="00BC719D" w:rsidR="008A1E08">
        <w:rPr>
          <w:rFonts w:cs="Times New Roman"/>
        </w:rPr>
        <w:t>s</w:t>
      </w:r>
      <w:r w:rsidRPr="00BC719D" w:rsidR="00DB11AB">
        <w:rPr>
          <w:rFonts w:cs="Times New Roman"/>
        </w:rPr>
        <w:t>,</w:t>
      </w:r>
      <w:r w:rsidRPr="00BC719D">
        <w:rPr>
          <w:rFonts w:cs="Times New Roman"/>
        </w:rPr>
        <w:t xml:space="preserve"> and those who wish to invoke the supervisory jurisdiction of the Court as concerns complaints against a State are thus obliged to use first the remedies provided by the national legal system (see </w:t>
      </w:r>
      <w:r w:rsidRPr="00BC719D">
        <w:rPr>
          <w:rFonts w:cs="Times New Roman"/>
          <w:i/>
        </w:rPr>
        <w:t>Chiragov</w:t>
      </w:r>
      <w:r w:rsidRPr="00BC719D" w:rsidR="00F93BC4">
        <w:rPr>
          <w:rFonts w:cs="Times New Roman"/>
          <w:i/>
        </w:rPr>
        <w:t xml:space="preserve"> and Others v</w:t>
      </w:r>
      <w:r w:rsidRPr="00BC719D" w:rsidR="00824C65">
        <w:rPr>
          <w:rFonts w:cs="Times New Roman"/>
          <w:i/>
        </w:rPr>
        <w:t>.</w:t>
      </w:r>
      <w:r w:rsidRPr="00BC719D" w:rsidR="00F93BC4">
        <w:rPr>
          <w:rFonts w:cs="Times New Roman"/>
          <w:i/>
        </w:rPr>
        <w:t> </w:t>
      </w:r>
      <w:r w:rsidRPr="00BC719D">
        <w:rPr>
          <w:rFonts w:cs="Times New Roman"/>
          <w:i/>
        </w:rPr>
        <w:t xml:space="preserve">Armenia </w:t>
      </w:r>
      <w:r w:rsidRPr="00BC719D">
        <w:rPr>
          <w:rFonts w:cs="Times New Roman"/>
        </w:rPr>
        <w:t>[GC], no. 13216/05, § 115, ECHR 2015).</w:t>
      </w:r>
    </w:p>
    <w:p w:rsidRPr="00BC719D" w:rsidR="00595F44" w:rsidP="00BC719D" w:rsidRDefault="00595F44">
      <w:pPr>
        <w:pStyle w:val="ECHRPara"/>
        <w:rPr>
          <w:snapToGrid w:val="0"/>
          <w:lang w:val="pt-PT"/>
        </w:rPr>
      </w:pPr>
      <w:r w:rsidRPr="00BC719D">
        <w:fldChar w:fldCharType="begin"/>
      </w:r>
      <w:r w:rsidRPr="00BC719D">
        <w:instrText xml:space="preserve"> SEQ level0 \*arabic </w:instrText>
      </w:r>
      <w:r w:rsidRPr="00BC719D">
        <w:fldChar w:fldCharType="separate"/>
      </w:r>
      <w:r w:rsidRPr="00BC719D" w:rsidR="00BC719D">
        <w:rPr>
          <w:noProof/>
        </w:rPr>
        <w:t>48</w:t>
      </w:r>
      <w:r w:rsidRPr="00BC719D">
        <w:fldChar w:fldCharType="end"/>
      </w:r>
      <w:r w:rsidRPr="00BC719D">
        <w:t>.  While Article 35 </w:t>
      </w:r>
      <w:r w:rsidRPr="00BC719D">
        <w:rPr>
          <w:rFonts w:cstheme="minorHAnsi"/>
        </w:rPr>
        <w:t>§</w:t>
      </w:r>
      <w:r w:rsidRPr="00BC719D">
        <w:t> 1 of the Convention must be applied with some degree of flexibility and without excessive formalism, it normally requires that complaints intended to be subsequently brought before the Court should have been made to the appropriate domestic courts, at least in substance and in compliance with the formal requirements and time-limits laid down in domestic law</w:t>
      </w:r>
      <w:bookmarkStart w:name="File3" w:id="26"/>
      <w:r w:rsidRPr="00BC719D" w:rsidR="005F1F5E">
        <w:rPr>
          <w:i/>
          <w:lang w:val="pt-PT"/>
        </w:rPr>
        <w:t xml:space="preserve"> </w:t>
      </w:r>
      <w:r w:rsidRPr="00BC719D" w:rsidR="005F1F5E">
        <w:rPr>
          <w:lang w:val="pt-PT"/>
        </w:rPr>
        <w:t xml:space="preserve">(see </w:t>
      </w:r>
      <w:bookmarkEnd w:id="26"/>
      <w:r w:rsidRPr="00BC719D" w:rsidR="003862CB">
        <w:rPr>
          <w:i/>
        </w:rPr>
        <w:t>Akdivar and Others v. Turkey</w:t>
      </w:r>
      <w:r w:rsidRPr="00BC719D" w:rsidR="003862CB">
        <w:t xml:space="preserve">, </w:t>
      </w:r>
      <w:r w:rsidRPr="00BC719D" w:rsidR="00D161C2">
        <w:t>16 </w:t>
      </w:r>
      <w:r w:rsidRPr="00BC719D" w:rsidR="00C56F67">
        <w:t>September 1996, §§ </w:t>
      </w:r>
      <w:r w:rsidRPr="00BC719D" w:rsidR="003862CB">
        <w:t xml:space="preserve">66 and 69, </w:t>
      </w:r>
      <w:r w:rsidRPr="00BC719D" w:rsidR="003862CB">
        <w:rPr>
          <w:i/>
        </w:rPr>
        <w:t>Reports of Judgments and Decisions</w:t>
      </w:r>
      <w:r w:rsidRPr="00BC719D" w:rsidR="003862CB">
        <w:t xml:space="preserve"> 1996</w:t>
      </w:r>
      <w:r w:rsidRPr="00BC719D" w:rsidR="003862CB">
        <w:noBreakHyphen/>
        <w:t>IV)</w:t>
      </w:r>
      <w:r w:rsidRPr="00BC719D">
        <w:t xml:space="preserve">. </w:t>
      </w:r>
      <w:r w:rsidRPr="00BC719D" w:rsidR="003862CB">
        <w:t>N</w:t>
      </w:r>
      <w:r w:rsidRPr="00BC719D">
        <w:t xml:space="preserve">on-exhaustion of domestic remedies cannot be held against </w:t>
      </w:r>
      <w:r w:rsidRPr="00BC719D" w:rsidR="003862CB">
        <w:t xml:space="preserve">the applicant </w:t>
      </w:r>
      <w:r w:rsidRPr="00BC719D">
        <w:t xml:space="preserve">if, in spite of his </w:t>
      </w:r>
      <w:r w:rsidRPr="00BC719D" w:rsidR="003862CB">
        <w:t xml:space="preserve">or her </w:t>
      </w:r>
      <w:r w:rsidRPr="00BC719D">
        <w:t>failure to obse</w:t>
      </w:r>
      <w:r w:rsidRPr="00BC719D" w:rsidR="00B500F1">
        <w:t>r</w:t>
      </w:r>
      <w:r w:rsidRPr="00BC719D">
        <w:t>ve the forms prescribed by law, the competent authority has nevertheless ex</w:t>
      </w:r>
      <w:r w:rsidRPr="00BC719D" w:rsidR="00B500F1">
        <w:t>a</w:t>
      </w:r>
      <w:r w:rsidRPr="00BC719D">
        <w:t xml:space="preserve">mined the substance of the appeal (see </w:t>
      </w:r>
      <w:r w:rsidRPr="00BC719D">
        <w:rPr>
          <w:i/>
        </w:rPr>
        <w:t>Gä</w:t>
      </w:r>
      <w:r w:rsidRPr="00BC719D" w:rsidR="00C56F67">
        <w:rPr>
          <w:i/>
        </w:rPr>
        <w:t>fgen v. </w:t>
      </w:r>
      <w:r w:rsidRPr="00BC719D">
        <w:rPr>
          <w:i/>
        </w:rPr>
        <w:t>Germany</w:t>
      </w:r>
      <w:r w:rsidRPr="00BC719D">
        <w:t xml:space="preserve"> [GC], no. 22978/05, § 143, ECHR 2010).</w:t>
      </w:r>
    </w:p>
    <w:p w:rsidRPr="00BC719D" w:rsidR="00184B39" w:rsidP="00BC719D" w:rsidRDefault="004477CE">
      <w:pPr>
        <w:pStyle w:val="ECHRPara"/>
      </w:pPr>
      <w:r w:rsidRPr="00BC719D">
        <w:fldChar w:fldCharType="begin"/>
      </w:r>
      <w:r w:rsidRPr="00BC719D">
        <w:instrText xml:space="preserve"> SEQ level0 \*arabic </w:instrText>
      </w:r>
      <w:r w:rsidRPr="00BC719D">
        <w:fldChar w:fldCharType="separate"/>
      </w:r>
      <w:r w:rsidRPr="00BC719D" w:rsidR="00BC719D">
        <w:rPr>
          <w:noProof/>
        </w:rPr>
        <w:t>49</w:t>
      </w:r>
      <w:r w:rsidRPr="00BC719D">
        <w:fldChar w:fldCharType="end"/>
      </w:r>
      <w:r w:rsidRPr="00BC719D">
        <w:t>.  </w:t>
      </w:r>
      <w:r w:rsidRPr="00BC719D" w:rsidR="00190D12">
        <w:t>In the present case t</w:t>
      </w:r>
      <w:r w:rsidRPr="00BC719D" w:rsidR="006D69EB">
        <w:t>he parties agree that the alleged interference with the applicant</w:t>
      </w:r>
      <w:r w:rsidRPr="00BC719D" w:rsidR="00BC719D">
        <w:t>’</w:t>
      </w:r>
      <w:r w:rsidRPr="00BC719D" w:rsidR="006D69EB">
        <w:t xml:space="preserve">s rights emanated from a domestic legal provision. As </w:t>
      </w:r>
      <w:r w:rsidRPr="00BC719D" w:rsidR="00BE1FBC">
        <w:t xml:space="preserve">the </w:t>
      </w:r>
      <w:r w:rsidRPr="00BC719D" w:rsidR="006D69EB">
        <w:t>Court</w:t>
      </w:r>
      <w:r w:rsidRPr="00BC719D" w:rsidR="00BD6D50">
        <w:t xml:space="preserve"> has consistently held</w:t>
      </w:r>
      <w:r w:rsidRPr="00BC719D" w:rsidR="006D69EB">
        <w:t>, where the source of the alleged breach of a Convention right is a provision of Latvian legislation, proceedings should, in principle, be brought before the Constitutional Court prior to being brought before the Court (see</w:t>
      </w:r>
      <w:r w:rsidRPr="00BC719D" w:rsidR="00190D12">
        <w:t>, for example,</w:t>
      </w:r>
      <w:r w:rsidRPr="00BC719D" w:rsidR="006D69EB">
        <w:t xml:space="preserve"> </w:t>
      </w:r>
      <w:r w:rsidRPr="00BC719D" w:rsidR="00F93BC4">
        <w:rPr>
          <w:i/>
        </w:rPr>
        <w:t>Grišankova and Grišankovs v. </w:t>
      </w:r>
      <w:r w:rsidRPr="00BC719D" w:rsidR="006D69EB">
        <w:rPr>
          <w:i/>
        </w:rPr>
        <w:t xml:space="preserve">Latvia </w:t>
      </w:r>
      <w:r w:rsidRPr="00BC719D" w:rsidR="006D69EB">
        <w:t>(dec.), no. 36</w:t>
      </w:r>
      <w:r w:rsidRPr="00BC719D" w:rsidR="00190D12">
        <w:t>117/02, ECHR 2003</w:t>
      </w:r>
      <w:r w:rsidRPr="00BC719D" w:rsidR="00190D12">
        <w:noBreakHyphen/>
        <w:t>II (extracts)</w:t>
      </w:r>
      <w:r w:rsidRPr="00BC719D" w:rsidR="00482C67">
        <w:t>,</w:t>
      </w:r>
      <w:r w:rsidRPr="00BC719D" w:rsidR="00190D12">
        <w:t xml:space="preserve"> and </w:t>
      </w:r>
      <w:r w:rsidRPr="00BC719D" w:rsidR="006D69EB">
        <w:rPr>
          <w:i/>
        </w:rPr>
        <w:t>Larionovs and Tess v.</w:t>
      </w:r>
      <w:r w:rsidRPr="00BC719D" w:rsidR="00C56F67">
        <w:rPr>
          <w:i/>
        </w:rPr>
        <w:t> </w:t>
      </w:r>
      <w:r w:rsidRPr="00BC719D" w:rsidR="006D69EB">
        <w:rPr>
          <w:i/>
        </w:rPr>
        <w:t xml:space="preserve">Latvia </w:t>
      </w:r>
      <w:r w:rsidRPr="00BC719D" w:rsidR="006D69EB">
        <w:t>(dec.), no. 4</w:t>
      </w:r>
      <w:r w:rsidRPr="00BC719D" w:rsidR="00BE1FBC">
        <w:t>5520/04, §§ 142-143 and 167, 25 </w:t>
      </w:r>
      <w:r w:rsidRPr="00BC719D" w:rsidR="006D69EB">
        <w:t>November 2014).</w:t>
      </w:r>
    </w:p>
    <w:p w:rsidRPr="00BC719D" w:rsidR="00A371F1" w:rsidP="00BC719D" w:rsidRDefault="006D69EB">
      <w:pPr>
        <w:pStyle w:val="ECHRPara"/>
      </w:pPr>
      <w:r w:rsidRPr="00BC719D">
        <w:fldChar w:fldCharType="begin"/>
      </w:r>
      <w:r w:rsidRPr="00BC719D">
        <w:instrText xml:space="preserve"> SEQ level0 \*arabic </w:instrText>
      </w:r>
      <w:r w:rsidRPr="00BC719D">
        <w:fldChar w:fldCharType="separate"/>
      </w:r>
      <w:r w:rsidRPr="00BC719D" w:rsidR="00BC719D">
        <w:rPr>
          <w:noProof/>
        </w:rPr>
        <w:t>50</w:t>
      </w:r>
      <w:r w:rsidRPr="00BC719D">
        <w:fldChar w:fldCharType="end"/>
      </w:r>
      <w:r w:rsidRPr="00BC719D">
        <w:t>.  The Court observes that</w:t>
      </w:r>
      <w:r w:rsidRPr="00BC719D" w:rsidR="00190D12">
        <w:t xml:space="preserve"> </w:t>
      </w:r>
      <w:r w:rsidRPr="00BC719D">
        <w:t xml:space="preserve">the applicant </w:t>
      </w:r>
      <w:r w:rsidRPr="00BC719D" w:rsidR="006A5AEF">
        <w:t xml:space="preserve">lodged </w:t>
      </w:r>
      <w:r w:rsidRPr="00BC719D">
        <w:t xml:space="preserve">three </w:t>
      </w:r>
      <w:r w:rsidRPr="00BC719D" w:rsidR="006A5AEF">
        <w:t xml:space="preserve">constitutional complaints challenging </w:t>
      </w:r>
      <w:r w:rsidRPr="00BC719D" w:rsidR="001A4A2D">
        <w:t xml:space="preserve">section </w:t>
      </w:r>
      <w:r w:rsidRPr="00BC719D" w:rsidR="006A5AEF">
        <w:t>50</w:t>
      </w:r>
      <w:r w:rsidRPr="00BC719D" w:rsidR="006A5AEF">
        <w:rPr>
          <w:vertAlign w:val="superscript"/>
        </w:rPr>
        <w:t>4</w:t>
      </w:r>
      <w:r w:rsidRPr="00BC719D" w:rsidR="006A5AEF">
        <w:t>(1) o</w:t>
      </w:r>
      <w:r w:rsidRPr="00BC719D" w:rsidR="0038454B">
        <w:t>f the Sentence Enforcement Code</w:t>
      </w:r>
      <w:r w:rsidRPr="00BC719D" w:rsidR="00BE1FBC">
        <w:t>.</w:t>
      </w:r>
      <w:r w:rsidRPr="00BC719D" w:rsidR="00610575">
        <w:t xml:space="preserve"> In his third constitutional complaint </w:t>
      </w:r>
      <w:r w:rsidRPr="00BC719D" w:rsidR="00D55C1F">
        <w:t>the applicant</w:t>
      </w:r>
      <w:r w:rsidRPr="00BC719D" w:rsidR="00610575">
        <w:t xml:space="preserve"> emphasised that this provision had resulted in his inability to attend his father</w:t>
      </w:r>
      <w:r w:rsidRPr="00BC719D" w:rsidR="00BC719D">
        <w:t>’</w:t>
      </w:r>
      <w:r w:rsidRPr="00BC719D" w:rsidR="00610575">
        <w:t>s funeral.</w:t>
      </w:r>
      <w:r w:rsidRPr="00BC719D" w:rsidR="00BE1FBC">
        <w:t xml:space="preserve"> </w:t>
      </w:r>
      <w:r w:rsidRPr="00BC719D" w:rsidR="00406B09">
        <w:t xml:space="preserve">Hence, </w:t>
      </w:r>
      <w:r w:rsidRPr="00BC719D" w:rsidR="00840F6A">
        <w:t>in relation to the complaint under the Court</w:t>
      </w:r>
      <w:r w:rsidRPr="00BC719D" w:rsidR="00BC719D">
        <w:t>’</w:t>
      </w:r>
      <w:r w:rsidRPr="00BC719D" w:rsidR="00840F6A">
        <w:t xml:space="preserve">s review (see paragraph </w:t>
      </w:r>
      <w:r w:rsidRPr="00BC719D" w:rsidR="00840F6A">
        <w:fldChar w:fldCharType="begin"/>
      </w:r>
      <w:r w:rsidRPr="00BC719D" w:rsidR="00840F6A">
        <w:instrText xml:space="preserve"> REF sasaurinam_sudzibas_saturu \h </w:instrText>
      </w:r>
      <w:r w:rsidRPr="00BC719D" w:rsidR="00840F6A">
        <w:fldChar w:fldCharType="separate"/>
      </w:r>
      <w:r w:rsidRPr="00BC719D" w:rsidR="00BC719D">
        <w:rPr>
          <w:noProof/>
        </w:rPr>
        <w:t>43</w:t>
      </w:r>
      <w:r w:rsidRPr="00BC719D" w:rsidR="00840F6A">
        <w:fldChar w:fldCharType="end"/>
      </w:r>
      <w:r w:rsidRPr="00BC719D" w:rsidR="00840F6A">
        <w:t xml:space="preserve"> above) </w:t>
      </w:r>
      <w:r w:rsidRPr="00BC719D" w:rsidR="00406B09">
        <w:t xml:space="preserve">it is </w:t>
      </w:r>
      <w:r w:rsidRPr="00BC719D" w:rsidR="00FA4492">
        <w:t>the applicant</w:t>
      </w:r>
      <w:r w:rsidRPr="00BC719D" w:rsidR="00BC719D">
        <w:t>’</w:t>
      </w:r>
      <w:r w:rsidRPr="00BC719D" w:rsidR="00FA4492">
        <w:t xml:space="preserve">s third </w:t>
      </w:r>
      <w:r w:rsidRPr="00BC719D" w:rsidR="00406B09">
        <w:t xml:space="preserve">constitutional complaint that is relevant for the purposes of exhaustion of domestic remedies. </w:t>
      </w:r>
      <w:r w:rsidRPr="00BC719D" w:rsidR="00FA4492">
        <w:t>T</w:t>
      </w:r>
      <w:r w:rsidRPr="00BC719D">
        <w:t xml:space="preserve">he Constitutional Court </w:t>
      </w:r>
      <w:r w:rsidRPr="00BC719D" w:rsidR="00592EE2">
        <w:t>declined</w:t>
      </w:r>
      <w:r w:rsidRPr="00BC719D">
        <w:t xml:space="preserve"> to institute proceedings</w:t>
      </w:r>
      <w:r w:rsidRPr="00BC719D" w:rsidR="00B500F1">
        <w:t>,</w:t>
      </w:r>
      <w:r w:rsidRPr="00BC719D">
        <w:t xml:space="preserve"> </w:t>
      </w:r>
      <w:r w:rsidRPr="00BC719D" w:rsidR="009B134D">
        <w:t xml:space="preserve">stating that his complaint </w:t>
      </w:r>
      <w:r w:rsidRPr="00BC719D" w:rsidR="0032061D">
        <w:t>lack</w:t>
      </w:r>
      <w:r w:rsidRPr="00BC719D" w:rsidR="009B134D">
        <w:t>ed</w:t>
      </w:r>
      <w:r w:rsidRPr="00BC719D" w:rsidR="0032061D">
        <w:t xml:space="preserve"> legal reasoning</w:t>
      </w:r>
      <w:r w:rsidRPr="00BC719D" w:rsidR="00B24C1E">
        <w:t>.</w:t>
      </w:r>
      <w:r w:rsidRPr="00BC719D" w:rsidR="00D2790F">
        <w:t xml:space="preserve"> </w:t>
      </w:r>
      <w:r w:rsidRPr="00BC719D" w:rsidR="00A371F1">
        <w:t>Accor</w:t>
      </w:r>
      <w:r w:rsidRPr="00BC719D" w:rsidR="00B500F1">
        <w:t>d</w:t>
      </w:r>
      <w:r w:rsidRPr="00BC719D" w:rsidR="00A371F1">
        <w:t>ingly, it falls to be determined whether</w:t>
      </w:r>
      <w:r w:rsidRPr="00BC719D" w:rsidR="00A448C2">
        <w:t xml:space="preserve"> </w:t>
      </w:r>
      <w:r w:rsidRPr="00BC719D" w:rsidR="00A371F1">
        <w:t xml:space="preserve">the applicant </w:t>
      </w:r>
      <w:r w:rsidRPr="00BC719D" w:rsidR="00A448C2">
        <w:t>discharged</w:t>
      </w:r>
      <w:r w:rsidRPr="00BC719D" w:rsidR="00A371F1">
        <w:t xml:space="preserve"> the obligation to exhaust the</w:t>
      </w:r>
      <w:r w:rsidRPr="00BC719D" w:rsidR="00D2790F">
        <w:t xml:space="preserve"> pertinent domestic remedy</w:t>
      </w:r>
      <w:r w:rsidRPr="00BC719D" w:rsidR="00A371F1">
        <w:t>.</w:t>
      </w:r>
    </w:p>
    <w:p w:rsidRPr="00BC719D" w:rsidR="004477CE" w:rsidP="00BC719D" w:rsidRDefault="003E353A">
      <w:pPr>
        <w:pStyle w:val="ECHRPara"/>
      </w:pPr>
      <w:r w:rsidRPr="00BC719D">
        <w:fldChar w:fldCharType="begin"/>
      </w:r>
      <w:r w:rsidRPr="00BC719D">
        <w:instrText xml:space="preserve"> SEQ level0 \*arabic </w:instrText>
      </w:r>
      <w:r w:rsidRPr="00BC719D">
        <w:fldChar w:fldCharType="separate"/>
      </w:r>
      <w:r w:rsidRPr="00BC719D" w:rsidR="00BC719D">
        <w:rPr>
          <w:noProof/>
        </w:rPr>
        <w:t>51</w:t>
      </w:r>
      <w:r w:rsidRPr="00BC719D">
        <w:fldChar w:fldCharType="end"/>
      </w:r>
      <w:r w:rsidRPr="00BC719D">
        <w:t>.  </w:t>
      </w:r>
      <w:r w:rsidRPr="00BC719D" w:rsidR="005F046E">
        <w:t>First</w:t>
      </w:r>
      <w:r w:rsidRPr="00BC719D" w:rsidR="00B500F1">
        <w:t>ly</w:t>
      </w:r>
      <w:r w:rsidRPr="00BC719D" w:rsidR="005F046E">
        <w:t>, t</w:t>
      </w:r>
      <w:r w:rsidRPr="00BC719D" w:rsidR="000F1FFF">
        <w:t xml:space="preserve">he Court </w:t>
      </w:r>
      <w:r w:rsidRPr="00BC719D" w:rsidR="008D39A7">
        <w:t xml:space="preserve">observes that under the Law on the Constitutional Court </w:t>
      </w:r>
      <w:r w:rsidRPr="00BC719D" w:rsidR="00B102FF">
        <w:t xml:space="preserve">there are two </w:t>
      </w:r>
      <w:r w:rsidRPr="00BC719D" w:rsidR="009B134D">
        <w:t xml:space="preserve">possible </w:t>
      </w:r>
      <w:r w:rsidRPr="00BC719D" w:rsidR="000F1FFF">
        <w:t xml:space="preserve">grounds </w:t>
      </w:r>
      <w:r w:rsidRPr="00BC719D" w:rsidR="00B102FF">
        <w:t xml:space="preserve">for </w:t>
      </w:r>
      <w:r w:rsidRPr="00BC719D" w:rsidR="00592EE2">
        <w:t>declining</w:t>
      </w:r>
      <w:r w:rsidRPr="00BC719D" w:rsidR="00B102FF">
        <w:t xml:space="preserve"> to institute proceedings</w:t>
      </w:r>
      <w:r w:rsidRPr="00BC719D" w:rsidR="00B24C1E">
        <w:t xml:space="preserve"> when </w:t>
      </w:r>
      <w:r w:rsidRPr="00BC719D" w:rsidR="00CD1867">
        <w:t>the</w:t>
      </w:r>
      <w:r w:rsidRPr="00BC719D" w:rsidR="009B134D">
        <w:t xml:space="preserve"> required</w:t>
      </w:r>
      <w:r w:rsidRPr="00BC719D" w:rsidR="00CD1867">
        <w:t xml:space="preserve"> </w:t>
      </w:r>
      <w:r w:rsidRPr="00BC719D" w:rsidR="00B24C1E">
        <w:t>legal reasoning is considered to be lacking</w:t>
      </w:r>
      <w:r w:rsidRPr="00BC719D" w:rsidR="00B102FF">
        <w:t xml:space="preserve">. The Constitutional Court may conclude that </w:t>
      </w:r>
      <w:r w:rsidRPr="00BC719D" w:rsidR="00FD5405">
        <w:t xml:space="preserve">an </w:t>
      </w:r>
      <w:r w:rsidRPr="00BC719D" w:rsidR="00B102FF">
        <w:t xml:space="preserve">applicant </w:t>
      </w:r>
      <w:r w:rsidRPr="00BC719D" w:rsidR="006E1713">
        <w:t xml:space="preserve">has </w:t>
      </w:r>
      <w:r w:rsidRPr="00BC719D" w:rsidR="00CD1867">
        <w:t>not complied</w:t>
      </w:r>
      <w:r w:rsidRPr="00BC719D" w:rsidR="00B102FF">
        <w:t xml:space="preserve"> with the formal requirements for submitting a constitutional complaint</w:t>
      </w:r>
      <w:r w:rsidRPr="00BC719D" w:rsidR="0032061D">
        <w:t xml:space="preserve"> </w:t>
      </w:r>
      <w:r w:rsidRPr="00BC719D" w:rsidR="00664B42">
        <w:t xml:space="preserve">(including the obligation to provide legal reasoning) </w:t>
      </w:r>
      <w:r w:rsidRPr="00BC719D" w:rsidR="00D2790F">
        <w:t xml:space="preserve">and invoke </w:t>
      </w:r>
      <w:r w:rsidRPr="00BC719D" w:rsidR="005F046E">
        <w:t>section 20(5)(3)</w:t>
      </w:r>
      <w:r w:rsidRPr="00BC719D" w:rsidR="00D2790F">
        <w:t xml:space="preserve"> of that Law. A</w:t>
      </w:r>
      <w:r w:rsidRPr="00BC719D" w:rsidR="005F046E">
        <w:t>lternatively,</w:t>
      </w:r>
      <w:r w:rsidRPr="00BC719D" w:rsidR="0032061D">
        <w:t xml:space="preserve"> </w:t>
      </w:r>
      <w:r w:rsidRPr="00BC719D" w:rsidR="00D2790F">
        <w:t xml:space="preserve">it may find </w:t>
      </w:r>
      <w:r w:rsidRPr="00BC719D" w:rsidR="00B102FF">
        <w:t>that the legal reasoning</w:t>
      </w:r>
      <w:r w:rsidRPr="00BC719D" w:rsidR="009B134D">
        <w:t xml:space="preserve"> submitted</w:t>
      </w:r>
      <w:r w:rsidRPr="00BC719D" w:rsidR="00B102FF">
        <w:t xml:space="preserve"> is </w:t>
      </w:r>
      <w:r w:rsidRPr="00BC719D" w:rsidR="009A4E32">
        <w:t>evidently</w:t>
      </w:r>
      <w:r w:rsidRPr="00BC719D" w:rsidR="00B102FF">
        <w:t xml:space="preserve"> insufficient for </w:t>
      </w:r>
      <w:r w:rsidRPr="00BC719D" w:rsidR="009B134D">
        <w:t xml:space="preserve">the </w:t>
      </w:r>
      <w:r w:rsidRPr="00BC719D" w:rsidR="00B102FF">
        <w:t>claim</w:t>
      </w:r>
      <w:r w:rsidRPr="00BC719D" w:rsidR="006E1713">
        <w:t xml:space="preserve"> </w:t>
      </w:r>
      <w:r w:rsidRPr="00BC719D" w:rsidR="00FD5405">
        <w:t xml:space="preserve">in question </w:t>
      </w:r>
      <w:r w:rsidRPr="00BC719D" w:rsidR="009B134D">
        <w:t xml:space="preserve">to be allowed </w:t>
      </w:r>
      <w:r w:rsidRPr="00BC719D" w:rsidR="00D2790F">
        <w:t xml:space="preserve">and rely on </w:t>
      </w:r>
      <w:r w:rsidRPr="00BC719D" w:rsidR="005F046E">
        <w:t>section 20(6)</w:t>
      </w:r>
      <w:r w:rsidRPr="00BC719D" w:rsidR="00D2790F">
        <w:t xml:space="preserve"> (</w:t>
      </w:r>
      <w:r w:rsidRPr="00BC719D" w:rsidR="005F046E">
        <w:t xml:space="preserve">see </w:t>
      </w:r>
      <w:r w:rsidRPr="00BC719D" w:rsidR="006D69EB">
        <w:t>paragraph</w:t>
      </w:r>
      <w:r w:rsidRPr="00BC719D" w:rsidR="006E1713">
        <w:t xml:space="preserve"> </w:t>
      </w:r>
      <w:r w:rsidRPr="00BC719D" w:rsidR="00670D7F">
        <w:fldChar w:fldCharType="begin"/>
      </w:r>
      <w:r w:rsidRPr="00BC719D" w:rsidR="00670D7F">
        <w:instrText xml:space="preserve"> REF Law_Constit_Court_20 \h </w:instrText>
      </w:r>
      <w:r w:rsidRPr="00BC719D" w:rsidR="00670D7F">
        <w:fldChar w:fldCharType="separate"/>
      </w:r>
      <w:r w:rsidRPr="00BC719D" w:rsidR="00BC719D">
        <w:rPr>
          <w:noProof/>
        </w:rPr>
        <w:t>31</w:t>
      </w:r>
      <w:r w:rsidRPr="00BC719D" w:rsidR="00670D7F">
        <w:fldChar w:fldCharType="end"/>
      </w:r>
      <w:r w:rsidRPr="00BC719D" w:rsidR="00670D7F">
        <w:t xml:space="preserve"> </w:t>
      </w:r>
      <w:r w:rsidRPr="00BC719D" w:rsidR="006E1713">
        <w:t>above)</w:t>
      </w:r>
      <w:r w:rsidRPr="00BC719D" w:rsidR="00664B42">
        <w:t xml:space="preserve"> – </w:t>
      </w:r>
      <w:r w:rsidRPr="00BC719D" w:rsidR="007E44E2">
        <w:t xml:space="preserve">a </w:t>
      </w:r>
      <w:r w:rsidRPr="00BC719D" w:rsidR="00664B42">
        <w:t>rejection ground that appears to have</w:t>
      </w:r>
      <w:r w:rsidRPr="00BC719D" w:rsidR="006210C0">
        <w:t xml:space="preserve"> a discretionary element</w:t>
      </w:r>
      <w:r w:rsidRPr="00BC719D" w:rsidR="009A4E32">
        <w:t xml:space="preserve"> </w:t>
      </w:r>
      <w:r w:rsidRPr="00BC719D" w:rsidR="00461FF3">
        <w:t xml:space="preserve">(see paragraph </w:t>
      </w:r>
      <w:r w:rsidRPr="00BC719D" w:rsidR="00670D7F">
        <w:fldChar w:fldCharType="begin"/>
      </w:r>
      <w:r w:rsidRPr="00BC719D" w:rsidR="00670D7F">
        <w:instrText xml:space="preserve"> REF Constit_Court_competence \h </w:instrText>
      </w:r>
      <w:r w:rsidRPr="00BC719D" w:rsidR="00670D7F">
        <w:fldChar w:fldCharType="separate"/>
      </w:r>
      <w:r w:rsidRPr="00BC719D" w:rsidR="00BC719D">
        <w:rPr>
          <w:noProof/>
        </w:rPr>
        <w:t>32</w:t>
      </w:r>
      <w:r w:rsidRPr="00BC719D" w:rsidR="00670D7F">
        <w:fldChar w:fldCharType="end"/>
      </w:r>
      <w:r w:rsidRPr="00BC719D" w:rsidR="00670D7F">
        <w:t xml:space="preserve"> </w:t>
      </w:r>
      <w:r w:rsidRPr="00BC719D" w:rsidR="006E1713">
        <w:t>above)</w:t>
      </w:r>
      <w:r w:rsidRPr="00BC719D" w:rsidR="006210C0">
        <w:t>.</w:t>
      </w:r>
      <w:r w:rsidRPr="00BC719D" w:rsidR="00476E49">
        <w:t xml:space="preserve"> </w:t>
      </w:r>
      <w:r w:rsidRPr="00BC719D" w:rsidR="00104AFE">
        <w:t>In light of the above, t</w:t>
      </w:r>
      <w:r w:rsidRPr="00BC719D" w:rsidR="009A4E32">
        <w:t xml:space="preserve">he Court attaches importance to the fact that </w:t>
      </w:r>
      <w:r w:rsidRPr="00BC719D" w:rsidR="00610575">
        <w:t xml:space="preserve">the third </w:t>
      </w:r>
      <w:r w:rsidRPr="00BC719D" w:rsidR="00DF3761">
        <w:t xml:space="preserve">constitutional </w:t>
      </w:r>
      <w:r w:rsidRPr="00BC719D" w:rsidR="009A4E32">
        <w:t>complaint</w:t>
      </w:r>
      <w:r w:rsidRPr="00BC719D" w:rsidR="00610575">
        <w:t>, just like the previous two,</w:t>
      </w:r>
      <w:r w:rsidRPr="00BC719D" w:rsidR="00104AFE">
        <w:t xml:space="preserve"> </w:t>
      </w:r>
      <w:r w:rsidRPr="00BC719D" w:rsidR="00610575">
        <w:t xml:space="preserve">was </w:t>
      </w:r>
      <w:r w:rsidRPr="00BC719D" w:rsidR="00C302D4">
        <w:t>rejected on the second ground</w:t>
      </w:r>
      <w:r w:rsidRPr="00BC719D" w:rsidR="00AB58C9">
        <w:t xml:space="preserve"> (see paragraphs </w:t>
      </w:r>
      <w:r w:rsidRPr="00BC719D" w:rsidR="00AB58C9">
        <w:fldChar w:fldCharType="begin"/>
      </w:r>
      <w:r w:rsidRPr="00BC719D" w:rsidR="00AB58C9">
        <w:instrText xml:space="preserve"> REF Facts_CC_refusal_first \h </w:instrText>
      </w:r>
      <w:r w:rsidRPr="00BC719D" w:rsidR="00AB58C9">
        <w:fldChar w:fldCharType="separate"/>
      </w:r>
      <w:r w:rsidRPr="00BC719D" w:rsidR="00BC719D">
        <w:rPr>
          <w:noProof/>
        </w:rPr>
        <w:t>16</w:t>
      </w:r>
      <w:r w:rsidRPr="00BC719D" w:rsidR="00AB58C9">
        <w:fldChar w:fldCharType="end"/>
      </w:r>
      <w:r w:rsidRPr="00BC719D" w:rsidR="00AB58C9">
        <w:t xml:space="preserve">, </w:t>
      </w:r>
      <w:r w:rsidRPr="00BC719D" w:rsidR="00AB58C9">
        <w:fldChar w:fldCharType="begin"/>
      </w:r>
      <w:r w:rsidRPr="00BC719D" w:rsidR="00AB58C9">
        <w:instrText xml:space="preserve"> REF Facts_CC_refusal_second \h </w:instrText>
      </w:r>
      <w:r w:rsidRPr="00BC719D" w:rsidR="00AB58C9">
        <w:fldChar w:fldCharType="separate"/>
      </w:r>
      <w:r w:rsidRPr="00BC719D" w:rsidR="00BC719D">
        <w:rPr>
          <w:noProof/>
        </w:rPr>
        <w:t>18</w:t>
      </w:r>
      <w:r w:rsidRPr="00BC719D" w:rsidR="00AB58C9">
        <w:fldChar w:fldCharType="end"/>
      </w:r>
      <w:r w:rsidRPr="00BC719D" w:rsidR="007E44E2">
        <w:t xml:space="preserve"> and</w:t>
      </w:r>
      <w:r w:rsidRPr="00BC719D" w:rsidR="00AB58C9">
        <w:t xml:space="preserve"> </w:t>
      </w:r>
      <w:r w:rsidRPr="00BC719D" w:rsidR="00AB58C9">
        <w:fldChar w:fldCharType="begin"/>
      </w:r>
      <w:r w:rsidRPr="00BC719D" w:rsidR="00AB58C9">
        <w:instrText xml:space="preserve"> REF Facts_CC_refusal_third \h </w:instrText>
      </w:r>
      <w:r w:rsidRPr="00BC719D" w:rsidR="00AB58C9">
        <w:fldChar w:fldCharType="separate"/>
      </w:r>
      <w:r w:rsidRPr="00BC719D" w:rsidR="00BC719D">
        <w:rPr>
          <w:noProof/>
        </w:rPr>
        <w:t>20</w:t>
      </w:r>
      <w:r w:rsidRPr="00BC719D" w:rsidR="00AB58C9">
        <w:fldChar w:fldCharType="end"/>
      </w:r>
      <w:r w:rsidRPr="00BC719D" w:rsidR="00A74DEF">
        <w:t xml:space="preserve"> above</w:t>
      </w:r>
      <w:r w:rsidRPr="00BC719D" w:rsidR="00AB58C9">
        <w:t>)</w:t>
      </w:r>
      <w:r w:rsidRPr="00BC719D" w:rsidR="009F6522">
        <w:t xml:space="preserve">. </w:t>
      </w:r>
      <w:r w:rsidRPr="00BC719D" w:rsidR="002A200E">
        <w:t xml:space="preserve">By </w:t>
      </w:r>
      <w:r w:rsidRPr="00BC719D" w:rsidR="009A4E32">
        <w:t>contrast, in</w:t>
      </w:r>
      <w:r w:rsidRPr="00BC719D" w:rsidR="00DF3761">
        <w:t xml:space="preserve"> </w:t>
      </w:r>
      <w:r w:rsidRPr="00BC719D" w:rsidR="002A200E">
        <w:t xml:space="preserve">those </w:t>
      </w:r>
      <w:r w:rsidRPr="00BC719D" w:rsidR="009A4E32">
        <w:t xml:space="preserve">cases </w:t>
      </w:r>
      <w:r w:rsidRPr="00BC719D" w:rsidR="00377CF0">
        <w:t xml:space="preserve">where the Court </w:t>
      </w:r>
      <w:r w:rsidRPr="00BC719D" w:rsidR="002A200E">
        <w:t xml:space="preserve">has </w:t>
      </w:r>
      <w:r w:rsidRPr="00BC719D" w:rsidR="00377CF0">
        <w:t xml:space="preserve">accepted </w:t>
      </w:r>
      <w:r w:rsidRPr="00BC719D" w:rsidR="00A4150D">
        <w:t xml:space="preserve">a </w:t>
      </w:r>
      <w:r w:rsidRPr="00BC719D" w:rsidR="00377CF0">
        <w:t>Government</w:t>
      </w:r>
      <w:r w:rsidRPr="00BC719D" w:rsidR="00BC719D">
        <w:t>’</w:t>
      </w:r>
      <w:r w:rsidRPr="00BC719D" w:rsidR="00F93BC4">
        <w:t>s non</w:t>
      </w:r>
      <w:r w:rsidRPr="00BC719D" w:rsidR="00F93BC4">
        <w:noBreakHyphen/>
      </w:r>
      <w:r w:rsidRPr="00BC719D" w:rsidR="00377CF0">
        <w:t>exhaustion plea</w:t>
      </w:r>
      <w:r w:rsidRPr="00BC719D" w:rsidR="00C302D4">
        <w:t xml:space="preserve"> </w:t>
      </w:r>
      <w:r w:rsidRPr="00BC719D" w:rsidR="002A200E">
        <w:t xml:space="preserve">owing </w:t>
      </w:r>
      <w:r w:rsidRPr="00BC719D" w:rsidR="00C302D4">
        <w:t>to insufficiently reasoned constitutional complaints</w:t>
      </w:r>
      <w:r w:rsidRPr="00BC719D" w:rsidR="00A4150D">
        <w:t>,</w:t>
      </w:r>
      <w:r w:rsidRPr="00BC719D" w:rsidR="00377CF0">
        <w:t xml:space="preserve"> </w:t>
      </w:r>
      <w:r w:rsidRPr="00BC719D" w:rsidR="009A4E32">
        <w:t>the Constitutional Court had concluded that the</w:t>
      </w:r>
      <w:r w:rsidRPr="00BC719D" w:rsidR="00377CF0">
        <w:t xml:space="preserve"> </w:t>
      </w:r>
      <w:r w:rsidRPr="00BC719D" w:rsidR="002A200E">
        <w:t xml:space="preserve">relevant </w:t>
      </w:r>
      <w:r w:rsidRPr="00BC719D" w:rsidR="009A4E32">
        <w:t>complaint</w:t>
      </w:r>
      <w:r w:rsidRPr="00BC719D" w:rsidR="00A4150D">
        <w:t xml:space="preserve"> </w:t>
      </w:r>
      <w:r w:rsidRPr="00BC719D" w:rsidR="002A200E">
        <w:t>had been</w:t>
      </w:r>
      <w:r w:rsidRPr="00BC719D" w:rsidR="00377CF0">
        <w:t xml:space="preserve"> incompatible </w:t>
      </w:r>
      <w:r w:rsidRPr="00BC719D" w:rsidR="009A4E32">
        <w:t xml:space="preserve">with </w:t>
      </w:r>
      <w:r w:rsidRPr="00BC719D" w:rsidR="002A200E">
        <w:t xml:space="preserve">section </w:t>
      </w:r>
      <w:r w:rsidRPr="00BC719D" w:rsidR="009A4E32">
        <w:t>19² of the Law on the Constitutional Court</w:t>
      </w:r>
      <w:r w:rsidRPr="00BC719D" w:rsidR="00377CF0">
        <w:t xml:space="preserve"> (</w:t>
      </w:r>
      <w:r w:rsidRPr="00BC719D" w:rsidR="00C302D4">
        <w:t xml:space="preserve">see </w:t>
      </w:r>
      <w:r w:rsidRPr="00BC719D" w:rsidR="00377CF0">
        <w:rPr>
          <w:i/>
        </w:rPr>
        <w:t>Gubenko v. Latvia</w:t>
      </w:r>
      <w:r w:rsidRPr="00BC719D" w:rsidR="00482C67">
        <w:t xml:space="preserve"> (dec.), no. </w:t>
      </w:r>
      <w:r w:rsidRPr="00BC719D" w:rsidR="00377CF0">
        <w:t xml:space="preserve">6674/06, </w:t>
      </w:r>
      <w:r w:rsidRPr="00BC719D" w:rsidR="00F93BC4">
        <w:rPr>
          <w:rFonts w:cs="Calibri"/>
        </w:rPr>
        <w:t>§§ </w:t>
      </w:r>
      <w:r w:rsidRPr="00BC719D" w:rsidR="00377CF0">
        <w:rPr>
          <w:rFonts w:cs="Calibri"/>
        </w:rPr>
        <w:t>9 and</w:t>
      </w:r>
      <w:r w:rsidRPr="00BC719D" w:rsidR="00F93BC4">
        <w:rPr>
          <w:rFonts w:cs="Calibri"/>
        </w:rPr>
        <w:t> </w:t>
      </w:r>
      <w:r w:rsidRPr="00BC719D" w:rsidR="00C84B6F">
        <w:rPr>
          <w:rFonts w:cs="Calibri"/>
        </w:rPr>
        <w:t>2</w:t>
      </w:r>
      <w:r w:rsidRPr="00BC719D" w:rsidR="00377CF0">
        <w:rPr>
          <w:rFonts w:cs="Calibri"/>
        </w:rPr>
        <w:t xml:space="preserve">5, </w:t>
      </w:r>
      <w:r w:rsidRPr="00BC719D" w:rsidR="00377CF0">
        <w:t>3 November 2015</w:t>
      </w:r>
      <w:r w:rsidRPr="00BC719D" w:rsidR="00482C67">
        <w:t>,</w:t>
      </w:r>
      <w:r w:rsidRPr="00BC719D" w:rsidR="00377CF0">
        <w:t xml:space="preserve"> and </w:t>
      </w:r>
      <w:r w:rsidRPr="00BC719D" w:rsidR="00377CF0">
        <w:rPr>
          <w:i/>
        </w:rPr>
        <w:t xml:space="preserve">Svārpstons and Others v. Latvia </w:t>
      </w:r>
      <w:r w:rsidRPr="00BC719D" w:rsidR="00377CF0">
        <w:t xml:space="preserve">(dec.), no. 14976/05, </w:t>
      </w:r>
      <w:r w:rsidRPr="00BC719D" w:rsidR="00377CF0">
        <w:rPr>
          <w:rFonts w:cs="Calibri"/>
        </w:rPr>
        <w:t>§§ 26 and 51,</w:t>
      </w:r>
      <w:r w:rsidRPr="00BC719D" w:rsidR="00A37681">
        <w:t xml:space="preserve"> 6 December 2016</w:t>
      </w:r>
      <w:r w:rsidRPr="00BC719D" w:rsidR="00377CF0">
        <w:t>)</w:t>
      </w:r>
      <w:r w:rsidRPr="00BC719D" w:rsidR="004477CE">
        <w:t>.</w:t>
      </w:r>
    </w:p>
    <w:p w:rsidRPr="00BC719D" w:rsidR="00377CF0" w:rsidP="00BC719D" w:rsidRDefault="00FF088C">
      <w:pPr>
        <w:pStyle w:val="ECHRPara"/>
      </w:pPr>
      <w:r w:rsidRPr="00BC719D">
        <w:fldChar w:fldCharType="begin"/>
      </w:r>
      <w:r w:rsidRPr="00BC719D">
        <w:instrText xml:space="preserve"> SEQ level0 \*arabic </w:instrText>
      </w:r>
      <w:r w:rsidRPr="00BC719D">
        <w:fldChar w:fldCharType="separate"/>
      </w:r>
      <w:r w:rsidRPr="00BC719D" w:rsidR="00BC719D">
        <w:rPr>
          <w:noProof/>
        </w:rPr>
        <w:t>52</w:t>
      </w:r>
      <w:r w:rsidRPr="00BC719D">
        <w:fldChar w:fldCharType="end"/>
      </w:r>
      <w:r w:rsidRPr="00BC719D">
        <w:t>.  </w:t>
      </w:r>
      <w:r w:rsidRPr="00BC719D" w:rsidR="008C1BE8">
        <w:t>Secondly</w:t>
      </w:r>
      <w:r w:rsidRPr="00BC719D" w:rsidR="00377CF0">
        <w:t xml:space="preserve">, </w:t>
      </w:r>
      <w:r w:rsidRPr="00BC719D" w:rsidR="006D2DA4">
        <w:t xml:space="preserve">in his </w:t>
      </w:r>
      <w:r w:rsidRPr="00BC719D" w:rsidR="00545282">
        <w:t xml:space="preserve">third </w:t>
      </w:r>
      <w:r w:rsidRPr="00BC719D" w:rsidR="006D2DA4">
        <w:t xml:space="preserve">constitutional complaint </w:t>
      </w:r>
      <w:r w:rsidRPr="00BC719D" w:rsidR="00DD53FE">
        <w:rPr>
          <w:rFonts w:cs="Times New Roman"/>
        </w:rPr>
        <w:t xml:space="preserve">the applicant </w:t>
      </w:r>
      <w:r w:rsidRPr="00BC719D" w:rsidR="00377CF0">
        <w:rPr>
          <w:rFonts w:cs="Times New Roman"/>
        </w:rPr>
        <w:t xml:space="preserve">expressly complained </w:t>
      </w:r>
      <w:r w:rsidRPr="00BC719D" w:rsidR="002A200E">
        <w:rPr>
          <w:rFonts w:cs="Times New Roman"/>
        </w:rPr>
        <w:t xml:space="preserve">of </w:t>
      </w:r>
      <w:r w:rsidRPr="00BC719D" w:rsidR="00377CF0">
        <w:rPr>
          <w:rFonts w:cs="Times New Roman"/>
        </w:rPr>
        <w:t xml:space="preserve">discrimination on the grounds of sex in that men were subjected to </w:t>
      </w:r>
      <w:r w:rsidRPr="00BC719D" w:rsidR="00BD59FF">
        <w:rPr>
          <w:rFonts w:cs="Times New Roman"/>
        </w:rPr>
        <w:t xml:space="preserve">a </w:t>
      </w:r>
      <w:r w:rsidRPr="00BC719D" w:rsidR="00377CF0">
        <w:rPr>
          <w:rFonts w:cs="Times New Roman"/>
        </w:rPr>
        <w:t>stricter prison regime and greater limita</w:t>
      </w:r>
      <w:r w:rsidRPr="00BC719D" w:rsidR="00DD53FE">
        <w:rPr>
          <w:rFonts w:cs="Times New Roman"/>
        </w:rPr>
        <w:t xml:space="preserve">tion of their rights than women. </w:t>
      </w:r>
      <w:r w:rsidRPr="00BC719D" w:rsidR="00545282">
        <w:t>He</w:t>
      </w:r>
      <w:r w:rsidRPr="00BC719D" w:rsidR="00DD53FE">
        <w:t xml:space="preserve"> emphasised that this distinction applied to men and women </w:t>
      </w:r>
      <w:r w:rsidRPr="00BC719D" w:rsidR="00C91121">
        <w:t xml:space="preserve">who had been </w:t>
      </w:r>
      <w:r w:rsidRPr="00BC719D" w:rsidR="00377CF0">
        <w:rPr>
          <w:rFonts w:cs="Times New Roman"/>
        </w:rPr>
        <w:t>convicted of the same crimes</w:t>
      </w:r>
      <w:r w:rsidRPr="00BC719D" w:rsidR="00DD53FE">
        <w:rPr>
          <w:rFonts w:cs="Times New Roman"/>
        </w:rPr>
        <w:t xml:space="preserve"> and given the same punishment</w:t>
      </w:r>
      <w:r w:rsidRPr="00BC719D" w:rsidR="00545282">
        <w:rPr>
          <w:rFonts w:cs="Times New Roman"/>
        </w:rPr>
        <w:t xml:space="preserve"> and therefore concerned groups of people who were in “comparable situations”</w:t>
      </w:r>
      <w:r w:rsidRPr="00BC719D" w:rsidR="00377CF0">
        <w:rPr>
          <w:rFonts w:cs="Times New Roman"/>
        </w:rPr>
        <w:t xml:space="preserve">. </w:t>
      </w:r>
      <w:r w:rsidRPr="00BC719D" w:rsidR="00545282">
        <w:rPr>
          <w:rFonts w:cs="Times New Roman"/>
        </w:rPr>
        <w:t xml:space="preserve">He argued that this resulted in unjustified </w:t>
      </w:r>
      <w:r w:rsidRPr="00BC719D" w:rsidR="00377CF0">
        <w:rPr>
          <w:rFonts w:cs="Times New Roman"/>
        </w:rPr>
        <w:t xml:space="preserve">difference with respect to </w:t>
      </w:r>
      <w:r w:rsidRPr="00BC719D" w:rsidR="004626BC">
        <w:rPr>
          <w:rFonts w:cs="Times New Roman"/>
        </w:rPr>
        <w:t>men and women</w:t>
      </w:r>
      <w:r w:rsidRPr="00BC719D" w:rsidR="00BC719D">
        <w:rPr>
          <w:rFonts w:cs="Times New Roman"/>
        </w:rPr>
        <w:t>’</w:t>
      </w:r>
      <w:r w:rsidRPr="00BC719D" w:rsidR="004626BC">
        <w:rPr>
          <w:rFonts w:cs="Times New Roman"/>
        </w:rPr>
        <w:t xml:space="preserve">s respective </w:t>
      </w:r>
      <w:r w:rsidRPr="00BC719D" w:rsidR="00377CF0">
        <w:rPr>
          <w:rFonts w:cs="Times New Roman"/>
        </w:rPr>
        <w:t xml:space="preserve">right to prison leave on compassionate grounds, as </w:t>
      </w:r>
      <w:r w:rsidRPr="00BC719D" w:rsidR="00D36B03">
        <w:rPr>
          <w:rFonts w:cs="Times New Roman"/>
        </w:rPr>
        <w:t xml:space="preserve">owing to </w:t>
      </w:r>
      <w:r w:rsidRPr="00BC719D" w:rsidR="00A37681">
        <w:rPr>
          <w:rFonts w:cs="Times New Roman"/>
        </w:rPr>
        <w:t xml:space="preserve">the prison regime they were subjected to </w:t>
      </w:r>
      <w:r w:rsidRPr="00BC719D" w:rsidR="00D36B03">
        <w:rPr>
          <w:rFonts w:cs="Times New Roman"/>
        </w:rPr>
        <w:t>male prisoners</w:t>
      </w:r>
      <w:r w:rsidRPr="00BC719D" w:rsidR="00377CF0">
        <w:rPr>
          <w:rFonts w:cs="Times New Roman"/>
        </w:rPr>
        <w:t xml:space="preserve"> were not even eligible </w:t>
      </w:r>
      <w:r w:rsidRPr="00BC719D" w:rsidR="00BD59FF">
        <w:rPr>
          <w:rFonts w:cs="Times New Roman"/>
        </w:rPr>
        <w:t>for such</w:t>
      </w:r>
      <w:r w:rsidRPr="00BC719D" w:rsidR="00377CF0">
        <w:rPr>
          <w:rFonts w:cs="Times New Roman"/>
        </w:rPr>
        <w:t xml:space="preserve"> </w:t>
      </w:r>
      <w:r w:rsidRPr="00BC719D" w:rsidR="00BD59FF">
        <w:rPr>
          <w:rFonts w:cs="Times New Roman"/>
        </w:rPr>
        <w:t xml:space="preserve">leave </w:t>
      </w:r>
      <w:r w:rsidRPr="00BC719D" w:rsidR="00377CF0">
        <w:rPr>
          <w:rFonts w:cs="Times New Roman"/>
        </w:rPr>
        <w:t xml:space="preserve">(see paragraphs </w:t>
      </w:r>
      <w:r w:rsidRPr="00BC719D" w:rsidR="00670D7F">
        <w:rPr>
          <w:rFonts w:cs="Times New Roman"/>
        </w:rPr>
        <w:fldChar w:fldCharType="begin"/>
      </w:r>
      <w:r w:rsidRPr="00BC719D" w:rsidR="00670D7F">
        <w:rPr>
          <w:rFonts w:cs="Times New Roman"/>
        </w:rPr>
        <w:instrText xml:space="preserve"> REF Facts_CC_complaint_first \h </w:instrText>
      </w:r>
      <w:r w:rsidRPr="00BC719D" w:rsidR="00670D7F">
        <w:rPr>
          <w:rFonts w:cs="Times New Roman"/>
        </w:rPr>
      </w:r>
      <w:r w:rsidRPr="00BC719D" w:rsidR="00670D7F">
        <w:rPr>
          <w:rFonts w:cs="Times New Roman"/>
        </w:rPr>
        <w:fldChar w:fldCharType="separate"/>
      </w:r>
      <w:r w:rsidRPr="00BC719D" w:rsidR="00BC719D">
        <w:rPr>
          <w:noProof/>
        </w:rPr>
        <w:t>15</w:t>
      </w:r>
      <w:r w:rsidRPr="00BC719D" w:rsidR="00670D7F">
        <w:rPr>
          <w:rFonts w:cs="Times New Roman"/>
        </w:rPr>
        <w:fldChar w:fldCharType="end"/>
      </w:r>
      <w:r w:rsidRPr="00BC719D" w:rsidR="00670D7F">
        <w:rPr>
          <w:rFonts w:cs="Times New Roman"/>
        </w:rPr>
        <w:t xml:space="preserve">, </w:t>
      </w:r>
      <w:r w:rsidRPr="00BC719D" w:rsidR="00670D7F">
        <w:rPr>
          <w:rFonts w:cs="Times New Roman"/>
        </w:rPr>
        <w:fldChar w:fldCharType="begin"/>
      </w:r>
      <w:r w:rsidRPr="00BC719D" w:rsidR="00670D7F">
        <w:rPr>
          <w:rFonts w:cs="Times New Roman"/>
        </w:rPr>
        <w:instrText xml:space="preserve"> REF Facts_CC_complaint_second \h </w:instrText>
      </w:r>
      <w:r w:rsidRPr="00BC719D" w:rsidR="00670D7F">
        <w:rPr>
          <w:rFonts w:cs="Times New Roman"/>
        </w:rPr>
      </w:r>
      <w:r w:rsidRPr="00BC719D" w:rsidR="00670D7F">
        <w:rPr>
          <w:rFonts w:cs="Times New Roman"/>
        </w:rPr>
        <w:fldChar w:fldCharType="separate"/>
      </w:r>
      <w:r w:rsidRPr="00BC719D" w:rsidR="00BC719D">
        <w:rPr>
          <w:noProof/>
        </w:rPr>
        <w:t>17</w:t>
      </w:r>
      <w:r w:rsidRPr="00BC719D" w:rsidR="00670D7F">
        <w:rPr>
          <w:rFonts w:cs="Times New Roman"/>
        </w:rPr>
        <w:fldChar w:fldCharType="end"/>
      </w:r>
      <w:r w:rsidRPr="00BC719D" w:rsidR="00670D7F">
        <w:rPr>
          <w:rFonts w:cs="Times New Roman"/>
        </w:rPr>
        <w:t xml:space="preserve"> and </w:t>
      </w:r>
      <w:r w:rsidRPr="00BC719D" w:rsidR="00670D7F">
        <w:rPr>
          <w:rFonts w:cs="Times New Roman"/>
        </w:rPr>
        <w:fldChar w:fldCharType="begin"/>
      </w:r>
      <w:r w:rsidRPr="00BC719D" w:rsidR="00670D7F">
        <w:rPr>
          <w:rFonts w:cs="Times New Roman"/>
        </w:rPr>
        <w:instrText xml:space="preserve"> REF Facts_CC_complaint_third \h </w:instrText>
      </w:r>
      <w:r w:rsidRPr="00BC719D" w:rsidR="00670D7F">
        <w:rPr>
          <w:rFonts w:cs="Times New Roman"/>
        </w:rPr>
      </w:r>
      <w:r w:rsidRPr="00BC719D" w:rsidR="00670D7F">
        <w:rPr>
          <w:rFonts w:cs="Times New Roman"/>
        </w:rPr>
        <w:fldChar w:fldCharType="separate"/>
      </w:r>
      <w:r w:rsidRPr="00BC719D" w:rsidR="00BC719D">
        <w:rPr>
          <w:noProof/>
        </w:rPr>
        <w:t>19</w:t>
      </w:r>
      <w:r w:rsidRPr="00BC719D" w:rsidR="00670D7F">
        <w:rPr>
          <w:rFonts w:cs="Times New Roman"/>
        </w:rPr>
        <w:fldChar w:fldCharType="end"/>
      </w:r>
      <w:r w:rsidRPr="00BC719D" w:rsidR="00670D7F">
        <w:rPr>
          <w:rFonts w:cs="Times New Roman"/>
        </w:rPr>
        <w:t xml:space="preserve"> </w:t>
      </w:r>
      <w:r w:rsidRPr="00BC719D" w:rsidR="00377CF0">
        <w:rPr>
          <w:rFonts w:cs="Times New Roman"/>
        </w:rPr>
        <w:t>above).</w:t>
      </w:r>
      <w:r w:rsidRPr="00BC719D" w:rsidR="00F0551B">
        <w:rPr>
          <w:rFonts w:cs="Times New Roman"/>
        </w:rPr>
        <w:t xml:space="preserve"> Th</w:t>
      </w:r>
      <w:r w:rsidRPr="00BC719D" w:rsidR="00C81327">
        <w:t xml:space="preserve">us, the </w:t>
      </w:r>
      <w:r w:rsidRPr="00BC719D" w:rsidR="00C91121">
        <w:t xml:space="preserve">Court considers that </w:t>
      </w:r>
      <w:r w:rsidRPr="00BC719D" w:rsidR="00A74DEF">
        <w:t xml:space="preserve">in his third constitutional complaint </w:t>
      </w:r>
      <w:r w:rsidRPr="00BC719D" w:rsidR="00C91121">
        <w:t xml:space="preserve">the </w:t>
      </w:r>
      <w:r w:rsidRPr="00BC719D" w:rsidR="00C81327">
        <w:t xml:space="preserve">applicant </w:t>
      </w:r>
      <w:r w:rsidRPr="00BC719D" w:rsidR="006C6EEB">
        <w:t>expressly and in substance</w:t>
      </w:r>
      <w:r w:rsidRPr="00BC719D" w:rsidR="00C81327">
        <w:t xml:space="preserve"> raise</w:t>
      </w:r>
      <w:r w:rsidRPr="00BC719D" w:rsidR="006C6EEB">
        <w:t>d</w:t>
      </w:r>
      <w:r w:rsidRPr="00BC719D" w:rsidR="00C81327">
        <w:t xml:space="preserve"> </w:t>
      </w:r>
      <w:r w:rsidRPr="00BC719D" w:rsidR="00F0551B">
        <w:t>the</w:t>
      </w:r>
      <w:r w:rsidRPr="00BC719D" w:rsidR="00813B8E">
        <w:t xml:space="preserve"> discrimination</w:t>
      </w:r>
      <w:r w:rsidRPr="00BC719D" w:rsidR="00F0551B">
        <w:t xml:space="preserve"> </w:t>
      </w:r>
      <w:r w:rsidRPr="00BC719D" w:rsidR="00C81327">
        <w:t xml:space="preserve">complaint </w:t>
      </w:r>
      <w:r w:rsidRPr="00BC719D" w:rsidR="004626BC">
        <w:t xml:space="preserve">that </w:t>
      </w:r>
      <w:r w:rsidRPr="00BC719D" w:rsidR="00C81327">
        <w:t xml:space="preserve">he </w:t>
      </w:r>
      <w:r w:rsidRPr="00BC719D" w:rsidR="00F0551B">
        <w:t xml:space="preserve">has </w:t>
      </w:r>
      <w:r w:rsidRPr="00BC719D" w:rsidR="00C81327">
        <w:t>now brought before the Court</w:t>
      </w:r>
      <w:r w:rsidRPr="00BC719D" w:rsidR="00C91121">
        <w:t xml:space="preserve"> </w:t>
      </w:r>
      <w:r w:rsidRPr="00BC719D" w:rsidR="00813B8E">
        <w:rPr>
          <w:snapToGrid w:val="0"/>
        </w:rPr>
        <w:t>(</w:t>
      </w:r>
      <w:r w:rsidRPr="00BC719D" w:rsidR="00C91121">
        <w:rPr>
          <w:snapToGrid w:val="0"/>
        </w:rPr>
        <w:t xml:space="preserve">compare </w:t>
      </w:r>
      <w:r w:rsidRPr="00BC719D" w:rsidR="006C6EEB">
        <w:rPr>
          <w:i/>
        </w:rPr>
        <w:t>Schwarzenberger v. Germany</w:t>
      </w:r>
      <w:r w:rsidRPr="00BC719D" w:rsidR="00F93BC4">
        <w:t>, no. 75737/01, § </w:t>
      </w:r>
      <w:r w:rsidRPr="00BC719D" w:rsidR="006C6EEB">
        <w:t>31, 10 August 2006</w:t>
      </w:r>
      <w:r w:rsidRPr="00BC719D" w:rsidR="00482C67">
        <w:t>,</w:t>
      </w:r>
      <w:r w:rsidRPr="00BC719D" w:rsidR="006C6EEB">
        <w:t xml:space="preserve"> and </w:t>
      </w:r>
      <w:r w:rsidRPr="00BC719D" w:rsidR="00813B8E">
        <w:rPr>
          <w:i/>
          <w:snapToGrid w:val="0"/>
        </w:rPr>
        <w:t xml:space="preserve">Luig v. Germany </w:t>
      </w:r>
      <w:r w:rsidRPr="00BC719D" w:rsidR="00813B8E">
        <w:rPr>
          <w:snapToGrid w:val="0"/>
        </w:rPr>
        <w:t>(de</w:t>
      </w:r>
      <w:r w:rsidRPr="00BC719D" w:rsidR="00C91121">
        <w:rPr>
          <w:snapToGrid w:val="0"/>
        </w:rPr>
        <w:t>c.), no. </w:t>
      </w:r>
      <w:r w:rsidRPr="00BC719D" w:rsidR="00813B8E">
        <w:rPr>
          <w:snapToGrid w:val="0"/>
        </w:rPr>
        <w:t>28782/04, 25 September 2007)</w:t>
      </w:r>
      <w:r w:rsidRPr="00BC719D" w:rsidR="006C6EEB">
        <w:rPr>
          <w:snapToGrid w:val="0"/>
        </w:rPr>
        <w:t>.</w:t>
      </w:r>
    </w:p>
    <w:p w:rsidRPr="00BC719D" w:rsidR="00EF2F75" w:rsidP="00BC719D" w:rsidRDefault="00F0551B">
      <w:pPr>
        <w:pStyle w:val="ECHRPara"/>
      </w:pPr>
      <w:r w:rsidRPr="00BC719D">
        <w:fldChar w:fldCharType="begin"/>
      </w:r>
      <w:r w:rsidRPr="00BC719D">
        <w:instrText xml:space="preserve"> SEQ level0 \*arabic </w:instrText>
      </w:r>
      <w:r w:rsidRPr="00BC719D">
        <w:fldChar w:fldCharType="separate"/>
      </w:r>
      <w:r w:rsidRPr="00BC719D" w:rsidR="00BC719D">
        <w:rPr>
          <w:noProof/>
        </w:rPr>
        <w:t>53</w:t>
      </w:r>
      <w:r w:rsidRPr="00BC719D">
        <w:fldChar w:fldCharType="end"/>
      </w:r>
      <w:r w:rsidRPr="00BC719D">
        <w:t>.  </w:t>
      </w:r>
      <w:r w:rsidRPr="00BC719D" w:rsidR="00A74DEF">
        <w:t>Thirdly, w</w:t>
      </w:r>
      <w:r w:rsidRPr="00BC719D" w:rsidR="00EF2F75">
        <w:t>ith regard to the Government</w:t>
      </w:r>
      <w:r w:rsidRPr="00BC719D" w:rsidR="00BC719D">
        <w:t>’</w:t>
      </w:r>
      <w:r w:rsidRPr="00BC719D" w:rsidR="00EF2F75">
        <w:t>s argument that the applicant could have lodged another complaint after remed</w:t>
      </w:r>
      <w:r w:rsidRPr="00BC719D" w:rsidR="00000D37">
        <w:t>ying</w:t>
      </w:r>
      <w:r w:rsidRPr="00BC719D" w:rsidR="00EF2F75">
        <w:t xml:space="preserve"> the deficiencies, the Court </w:t>
      </w:r>
      <w:r w:rsidRPr="00BC719D" w:rsidR="00E81FE1">
        <w:t xml:space="preserve">notes </w:t>
      </w:r>
      <w:r w:rsidRPr="00BC719D" w:rsidR="00EF2F75">
        <w:t xml:space="preserve">that in relation to all three complaints the </w:t>
      </w:r>
      <w:r w:rsidRPr="00BC719D" w:rsidR="006C2E1C">
        <w:t>Constitutional</w:t>
      </w:r>
      <w:r w:rsidRPr="00BC719D" w:rsidR="00EF2F75">
        <w:t xml:space="preserve"> Court considered that the applicant had failed to sufficiently substantiate his claim that men and women prisoners were in comparable situations</w:t>
      </w:r>
      <w:r w:rsidRPr="00BC719D" w:rsidR="00E81FE1">
        <w:t xml:space="preserve">, also after he </w:t>
      </w:r>
      <w:r w:rsidRPr="00BC719D" w:rsidR="00EF2F75">
        <w:t xml:space="preserve">emphasised that the difference in treatment concerned men and women who had been convicted of the same crimes and </w:t>
      </w:r>
      <w:r w:rsidRPr="00BC719D" w:rsidR="00000D37">
        <w:t xml:space="preserve">had been </w:t>
      </w:r>
      <w:r w:rsidRPr="00BC719D" w:rsidR="00EF2F75">
        <w:t>given the same sentences. Thus, the Court considers that through the reasons given in its decisions</w:t>
      </w:r>
      <w:r w:rsidRPr="00BC719D" w:rsidR="00CB7E0F">
        <w:t>,</w:t>
      </w:r>
      <w:r w:rsidRPr="00BC719D" w:rsidR="00EF2F75">
        <w:t xml:space="preserve"> </w:t>
      </w:r>
      <w:r w:rsidRPr="00BC719D" w:rsidR="00CB7E0F">
        <w:t xml:space="preserve">notably, when rejecting the third constitutional complaint, </w:t>
      </w:r>
      <w:r w:rsidRPr="00BC719D" w:rsidR="00EF2F75">
        <w:t>the Constitutional Court, at least partly, expressed its position on the substance of the applicant</w:t>
      </w:r>
      <w:r w:rsidRPr="00BC719D" w:rsidR="00BC719D">
        <w:t>’</w:t>
      </w:r>
      <w:r w:rsidRPr="00BC719D" w:rsidR="00EF2F75">
        <w:t xml:space="preserve">s discrimination complaint (compare </w:t>
      </w:r>
      <w:r w:rsidRPr="00BC719D" w:rsidR="00EF2F75">
        <w:rPr>
          <w:i/>
        </w:rPr>
        <w:t>Gäfgen</w:t>
      </w:r>
      <w:r w:rsidRPr="00BC719D" w:rsidR="00EF2F75">
        <w:t>,</w:t>
      </w:r>
      <w:r w:rsidRPr="00BC719D" w:rsidR="00482C67">
        <w:t xml:space="preserve"> cited above, </w:t>
      </w:r>
      <w:r w:rsidRPr="00BC719D" w:rsidR="00F93BC4">
        <w:t>§ </w:t>
      </w:r>
      <w:r w:rsidRPr="00BC719D" w:rsidR="00EF2F75">
        <w:t xml:space="preserve">145, and </w:t>
      </w:r>
      <w:r w:rsidRPr="00BC719D" w:rsidR="006D2DA4">
        <w:rPr>
          <w:i/>
        </w:rPr>
        <w:t>Jalloh</w:t>
      </w:r>
      <w:r w:rsidRPr="00BC719D" w:rsidR="00EF2F75">
        <w:rPr>
          <w:i/>
        </w:rPr>
        <w:t xml:space="preserve"> v. Germany</w:t>
      </w:r>
      <w:r w:rsidRPr="00BC719D" w:rsidR="00EF2F75">
        <w:t xml:space="preserve"> (dec.), no. </w:t>
      </w:r>
      <w:r w:rsidRPr="00BC719D" w:rsidR="006D2DA4">
        <w:t>54810</w:t>
      </w:r>
      <w:r w:rsidRPr="00BC719D" w:rsidR="00EF2F75">
        <w:t>/0</w:t>
      </w:r>
      <w:r w:rsidRPr="00BC719D" w:rsidR="006D2DA4">
        <w:t>0</w:t>
      </w:r>
      <w:r w:rsidRPr="00BC719D" w:rsidR="00EF2F75">
        <w:t xml:space="preserve">, </w:t>
      </w:r>
      <w:r w:rsidRPr="00BC719D" w:rsidR="006D2DA4">
        <w:t>2</w:t>
      </w:r>
      <w:r w:rsidRPr="00BC719D" w:rsidR="00EF2F75">
        <w:t xml:space="preserve">6 </w:t>
      </w:r>
      <w:r w:rsidRPr="00BC719D" w:rsidR="006D2DA4">
        <w:t xml:space="preserve">October </w:t>
      </w:r>
      <w:r w:rsidRPr="00BC719D" w:rsidR="00EF2F75">
        <w:t>2004).</w:t>
      </w:r>
    </w:p>
    <w:p w:rsidRPr="00BC719D" w:rsidR="00EB4F81" w:rsidP="00BC719D" w:rsidRDefault="001467C9">
      <w:pPr>
        <w:pStyle w:val="ECHRPara"/>
      </w:pPr>
      <w:r w:rsidRPr="00BC719D">
        <w:rPr>
          <w:snapToGrid w:val="0"/>
        </w:rPr>
        <w:fldChar w:fldCharType="begin"/>
      </w:r>
      <w:r w:rsidRPr="00BC719D">
        <w:rPr>
          <w:snapToGrid w:val="0"/>
        </w:rPr>
        <w:instrText xml:space="preserve"> SEQ level0 \*arabic </w:instrText>
      </w:r>
      <w:r w:rsidRPr="00BC719D">
        <w:rPr>
          <w:snapToGrid w:val="0"/>
        </w:rPr>
        <w:fldChar w:fldCharType="separate"/>
      </w:r>
      <w:r w:rsidRPr="00BC719D" w:rsidR="00BC719D">
        <w:rPr>
          <w:noProof/>
          <w:snapToGrid w:val="0"/>
        </w:rPr>
        <w:t>54</w:t>
      </w:r>
      <w:r w:rsidRPr="00BC719D">
        <w:rPr>
          <w:snapToGrid w:val="0"/>
        </w:rPr>
        <w:fldChar w:fldCharType="end"/>
      </w:r>
      <w:r w:rsidRPr="00BC719D">
        <w:rPr>
          <w:snapToGrid w:val="0"/>
        </w:rPr>
        <w:t>.  </w:t>
      </w:r>
      <w:r w:rsidRPr="00BC719D" w:rsidR="00C00EA0">
        <w:rPr>
          <w:snapToGrid w:val="0"/>
        </w:rPr>
        <w:t>Lastly</w:t>
      </w:r>
      <w:r w:rsidRPr="00BC719D" w:rsidR="00EB4F81">
        <w:rPr>
          <w:snapToGrid w:val="0"/>
        </w:rPr>
        <w:t>, in relation to the Government</w:t>
      </w:r>
      <w:r w:rsidRPr="00BC719D" w:rsidR="00BC719D">
        <w:rPr>
          <w:snapToGrid w:val="0"/>
        </w:rPr>
        <w:t>’</w:t>
      </w:r>
      <w:r w:rsidRPr="00BC719D" w:rsidR="00EB4F81">
        <w:rPr>
          <w:snapToGrid w:val="0"/>
        </w:rPr>
        <w:t>s argument that the applic</w:t>
      </w:r>
      <w:r w:rsidRPr="00BC719D" w:rsidR="00EB4F81">
        <w:t xml:space="preserve">ant had failed to challenge before the Constitutional Court the provision specifying the differences in rights and obligations between convicts serving their sentences in different regimes, the Court observes that the applicant does not complain </w:t>
      </w:r>
      <w:r w:rsidRPr="00BC719D" w:rsidR="00765C46">
        <w:t xml:space="preserve">about the fact that </w:t>
      </w:r>
      <w:r w:rsidRPr="00BC719D" w:rsidR="00C00EA0">
        <w:t xml:space="preserve">under </w:t>
      </w:r>
      <w:r w:rsidRPr="00BC719D" w:rsidR="00765C46">
        <w:t xml:space="preserve">different </w:t>
      </w:r>
      <w:r w:rsidRPr="00BC719D" w:rsidR="00813B8E">
        <w:t xml:space="preserve">prison </w:t>
      </w:r>
      <w:r w:rsidRPr="00BC719D" w:rsidR="00765C46">
        <w:t xml:space="preserve">regimes </w:t>
      </w:r>
      <w:r w:rsidRPr="00BC719D" w:rsidR="00813B8E">
        <w:t>prisoners</w:t>
      </w:r>
      <w:r w:rsidRPr="00BC719D" w:rsidR="00BC719D">
        <w:t>’</w:t>
      </w:r>
      <w:r w:rsidRPr="00BC719D" w:rsidR="00813B8E">
        <w:t xml:space="preserve"> rights are restricted to a varied extent</w:t>
      </w:r>
      <w:r w:rsidRPr="00BC719D" w:rsidR="00765C46">
        <w:t>.</w:t>
      </w:r>
      <w:r w:rsidRPr="00BC719D" w:rsidR="0023631E">
        <w:t xml:space="preserve"> Likewise, he does not complain that prisoners serving their sentence under a specific prison regime do not have </w:t>
      </w:r>
      <w:r w:rsidRPr="00BC719D" w:rsidR="0045347A">
        <w:t xml:space="preserve">a </w:t>
      </w:r>
      <w:r w:rsidRPr="00BC719D" w:rsidR="0023631E">
        <w:t xml:space="preserve">right </w:t>
      </w:r>
      <w:r w:rsidRPr="00BC719D" w:rsidR="0045347A">
        <w:t>t</w:t>
      </w:r>
      <w:r w:rsidRPr="00BC719D" w:rsidR="0023631E">
        <w:t>o prison leave.</w:t>
      </w:r>
      <w:r w:rsidRPr="00BC719D" w:rsidR="00765C46">
        <w:t xml:space="preserve"> Instead, his </w:t>
      </w:r>
      <w:r w:rsidRPr="00BC719D" w:rsidR="00EB4F81">
        <w:t xml:space="preserve">complaint concerns the fact that men and women </w:t>
      </w:r>
      <w:r w:rsidRPr="00BC719D" w:rsidR="0078186D">
        <w:t xml:space="preserve">who are </w:t>
      </w:r>
      <w:r w:rsidRPr="00BC719D" w:rsidR="00EB4F81">
        <w:t xml:space="preserve">convicted of the same crimes start serving their sentences </w:t>
      </w:r>
      <w:r w:rsidRPr="00BC719D" w:rsidR="00C00EA0">
        <w:t xml:space="preserve">under </w:t>
      </w:r>
      <w:r w:rsidRPr="00BC719D" w:rsidR="00EB4F81">
        <w:t>different</w:t>
      </w:r>
      <w:r w:rsidRPr="00BC719D" w:rsidR="00BD59FF">
        <w:t xml:space="preserve"> prison</w:t>
      </w:r>
      <w:r w:rsidRPr="00BC719D" w:rsidR="00EB4F81">
        <w:t xml:space="preserve"> regimes</w:t>
      </w:r>
      <w:r w:rsidRPr="00BC719D" w:rsidR="00813B8E">
        <w:t xml:space="preserve">, </w:t>
      </w:r>
      <w:r w:rsidRPr="00BC719D" w:rsidR="00C84B6F">
        <w:t>leading to differen</w:t>
      </w:r>
      <w:r w:rsidRPr="00BC719D" w:rsidR="00A74DEF">
        <w:t>c</w:t>
      </w:r>
      <w:r w:rsidRPr="00BC719D" w:rsidR="00C84B6F">
        <w:t xml:space="preserve">es in the restrictions </w:t>
      </w:r>
      <w:r w:rsidRPr="00BC719D" w:rsidR="00AB58C9">
        <w:t>placed on</w:t>
      </w:r>
      <w:r w:rsidRPr="00BC719D" w:rsidR="00C84B6F">
        <w:t xml:space="preserve"> their rights, particularly, </w:t>
      </w:r>
      <w:r w:rsidRPr="00BC719D" w:rsidR="00A9078A">
        <w:t xml:space="preserve">a blanket ban on the </w:t>
      </w:r>
      <w:r w:rsidRPr="00BC719D" w:rsidR="00840F6A">
        <w:t>male prisoner</w:t>
      </w:r>
      <w:r w:rsidRPr="00BC719D" w:rsidR="00BC719D">
        <w:t>’</w:t>
      </w:r>
      <w:r w:rsidRPr="00BC719D" w:rsidR="00840F6A">
        <w:t xml:space="preserve">s </w:t>
      </w:r>
      <w:r w:rsidRPr="00BC719D" w:rsidR="00A9078A">
        <w:t xml:space="preserve">right to request </w:t>
      </w:r>
      <w:r w:rsidRPr="00BC719D" w:rsidR="0078186D">
        <w:t>prison leave</w:t>
      </w:r>
      <w:r w:rsidRPr="00BC719D" w:rsidR="00765C46">
        <w:t xml:space="preserve">. Hence, the Court is not convinced that challenging </w:t>
      </w:r>
      <w:r w:rsidRPr="00BC719D" w:rsidR="00BD59FF">
        <w:t xml:space="preserve">before the Constitutional Court </w:t>
      </w:r>
      <w:r w:rsidRPr="00BC719D" w:rsidR="00765C46">
        <w:t xml:space="preserve">the provision setting out the rights and obligations applicable to certain </w:t>
      </w:r>
      <w:r w:rsidRPr="00BC719D" w:rsidR="00813B8E">
        <w:t xml:space="preserve">prison </w:t>
      </w:r>
      <w:r w:rsidRPr="00BC719D" w:rsidR="00765C46">
        <w:t>regime</w:t>
      </w:r>
      <w:r w:rsidRPr="00BC719D" w:rsidR="00813B8E">
        <w:t>s</w:t>
      </w:r>
      <w:r w:rsidRPr="00BC719D" w:rsidR="00765C46">
        <w:t xml:space="preserve"> would have </w:t>
      </w:r>
      <w:r w:rsidRPr="00BC719D" w:rsidR="000066AF">
        <w:t>been an effective remedy for the specific complaint</w:t>
      </w:r>
      <w:r w:rsidRPr="00BC719D" w:rsidR="00905D34">
        <w:t xml:space="preserve"> that</w:t>
      </w:r>
      <w:r w:rsidRPr="00BC719D" w:rsidR="000066AF">
        <w:t xml:space="preserve"> the applicant has brought before the Court</w:t>
      </w:r>
      <w:r w:rsidRPr="00BC719D" w:rsidR="00765C46">
        <w:t>.</w:t>
      </w:r>
    </w:p>
    <w:p w:rsidRPr="00BC719D" w:rsidR="00765C46" w:rsidP="00BC719D" w:rsidRDefault="001467C9">
      <w:pPr>
        <w:pStyle w:val="ECHRPara"/>
      </w:pPr>
      <w:r w:rsidRPr="00BC719D">
        <w:fldChar w:fldCharType="begin"/>
      </w:r>
      <w:r w:rsidRPr="00BC719D">
        <w:instrText xml:space="preserve"> SEQ level0 \*arabic </w:instrText>
      </w:r>
      <w:r w:rsidRPr="00BC719D">
        <w:fldChar w:fldCharType="separate"/>
      </w:r>
      <w:r w:rsidRPr="00BC719D" w:rsidR="00BC719D">
        <w:rPr>
          <w:noProof/>
        </w:rPr>
        <w:t>55</w:t>
      </w:r>
      <w:r w:rsidRPr="00BC719D">
        <w:fldChar w:fldCharType="end"/>
      </w:r>
      <w:r w:rsidRPr="00BC719D">
        <w:t>.  </w:t>
      </w:r>
      <w:r w:rsidRPr="00BC719D" w:rsidR="00765C46">
        <w:t xml:space="preserve">In </w:t>
      </w:r>
      <w:r w:rsidRPr="00BC719D" w:rsidR="0045347A">
        <w:t xml:space="preserve">the </w:t>
      </w:r>
      <w:r w:rsidRPr="00BC719D" w:rsidR="00765C46">
        <w:t xml:space="preserve">light of the above, </w:t>
      </w:r>
      <w:r w:rsidRPr="00BC719D" w:rsidR="00DD51DE">
        <w:t>the Court conclude</w:t>
      </w:r>
      <w:r w:rsidRPr="00BC719D" w:rsidR="00765C46">
        <w:t>s</w:t>
      </w:r>
      <w:r w:rsidRPr="00BC719D" w:rsidR="00DD51DE">
        <w:t xml:space="preserve"> that </w:t>
      </w:r>
      <w:r w:rsidRPr="00BC719D" w:rsidR="006672CC">
        <w:t>the applicant provided the national authorities with the opportunity</w:t>
      </w:r>
      <w:r w:rsidRPr="00BC719D" w:rsidR="00765C46">
        <w:t>,</w:t>
      </w:r>
      <w:r w:rsidRPr="00BC719D" w:rsidR="006672CC">
        <w:t xml:space="preserve"> which is in principle intended to be afforded to Contracting States </w:t>
      </w:r>
      <w:r w:rsidRPr="00BC719D" w:rsidR="00D830FE">
        <w:t xml:space="preserve">under </w:t>
      </w:r>
      <w:r w:rsidRPr="00BC719D" w:rsidR="006672CC">
        <w:t xml:space="preserve">Article 35 § 1 of the Convention, </w:t>
      </w:r>
      <w:r w:rsidRPr="00BC719D" w:rsidR="0045347A">
        <w:t xml:space="preserve">to </w:t>
      </w:r>
      <w:r w:rsidRPr="00BC719D" w:rsidR="006672CC">
        <w:t xml:space="preserve">put right the </w:t>
      </w:r>
      <w:r w:rsidRPr="00BC719D" w:rsidR="0078186D">
        <w:t>violations alleged against them (</w:t>
      </w:r>
      <w:r w:rsidRPr="00BC719D" w:rsidR="00D167B8">
        <w:t>compare</w:t>
      </w:r>
      <w:r w:rsidRPr="00BC719D" w:rsidR="0078186D">
        <w:t xml:space="preserve"> </w:t>
      </w:r>
      <w:r w:rsidRPr="00BC719D" w:rsidR="003E353A">
        <w:rPr>
          <w:i/>
          <w:lang w:val="pt-PT"/>
        </w:rPr>
        <w:t>Muršić v. Croatia</w:t>
      </w:r>
      <w:r w:rsidRPr="00BC719D" w:rsidR="003E353A">
        <w:rPr>
          <w:snapToGrid w:val="0"/>
          <w:lang w:val="pt-PT"/>
        </w:rPr>
        <w:t xml:space="preserve"> [GC], no. 7334/13</w:t>
      </w:r>
      <w:r w:rsidRPr="00BC719D" w:rsidR="003E353A">
        <w:rPr>
          <w:lang w:val="pt-PT"/>
        </w:rPr>
        <w:t>, § 72, 20 October 2016</w:t>
      </w:r>
      <w:r w:rsidRPr="00BC719D" w:rsidR="0078186D">
        <w:t xml:space="preserve">). </w:t>
      </w:r>
      <w:r w:rsidRPr="00BC719D" w:rsidR="00765C46">
        <w:t>Hence, the Government</w:t>
      </w:r>
      <w:r w:rsidRPr="00BC719D" w:rsidR="00BC719D">
        <w:t>’</w:t>
      </w:r>
      <w:r w:rsidRPr="00BC719D" w:rsidR="00765C46">
        <w:t>s objection of non-exhaustion of domestic remedies must be dismissed.</w:t>
      </w:r>
    </w:p>
    <w:p w:rsidRPr="00BC719D" w:rsidR="009F5D1C" w:rsidP="00BC719D" w:rsidRDefault="008C1BE8">
      <w:pPr>
        <w:pStyle w:val="ECHRHeading2"/>
      </w:pPr>
      <w:r w:rsidRPr="00BC719D">
        <w:t>B</w:t>
      </w:r>
      <w:r w:rsidRPr="00BC719D" w:rsidR="00211103">
        <w:t>. Admissibility and merits of the complaint</w:t>
      </w:r>
    </w:p>
    <w:p w:rsidRPr="00BC719D" w:rsidR="00AB00A0" w:rsidP="00BC719D" w:rsidRDefault="00211103">
      <w:pPr>
        <w:pStyle w:val="ECHRHeading3"/>
      </w:pPr>
      <w:r w:rsidRPr="00BC719D">
        <w:t>1</w:t>
      </w:r>
      <w:r w:rsidRPr="00BC719D" w:rsidR="00014566">
        <w:t>.  </w:t>
      </w:r>
      <w:r w:rsidRPr="00BC719D" w:rsidR="00AB00A0">
        <w:t>Arguments of the parties</w:t>
      </w:r>
    </w:p>
    <w:p w:rsidRPr="00BC719D" w:rsidR="00266EEB" w:rsidP="00BC719D" w:rsidRDefault="008C1BE8">
      <w:pPr>
        <w:pStyle w:val="ECHRHeading4"/>
      </w:pPr>
      <w:r w:rsidRPr="00BC719D">
        <w:t>(a)</w:t>
      </w:r>
      <w:r w:rsidRPr="00BC719D" w:rsidR="00F93BC4">
        <w:t>  </w:t>
      </w:r>
      <w:r w:rsidRPr="00BC719D" w:rsidR="00266EEB">
        <w:t>The applicant</w:t>
      </w:r>
    </w:p>
    <w:p w:rsidRPr="00BC719D" w:rsidR="003C666C" w:rsidP="00BC719D" w:rsidRDefault="00B32B88">
      <w:pPr>
        <w:pStyle w:val="ECHRPara"/>
      </w:pPr>
      <w:r w:rsidRPr="00BC719D">
        <w:fldChar w:fldCharType="begin"/>
      </w:r>
      <w:r w:rsidRPr="00BC719D">
        <w:instrText xml:space="preserve"> SEQ level0 \*arabic </w:instrText>
      </w:r>
      <w:r w:rsidRPr="00BC719D">
        <w:fldChar w:fldCharType="separate"/>
      </w:r>
      <w:r w:rsidRPr="00BC719D" w:rsidR="00BC719D">
        <w:rPr>
          <w:noProof/>
        </w:rPr>
        <w:t>56</w:t>
      </w:r>
      <w:r w:rsidRPr="00BC719D">
        <w:fldChar w:fldCharType="end"/>
      </w:r>
      <w:r w:rsidRPr="00BC719D" w:rsidR="00014566">
        <w:t xml:space="preserve">.  The applicant </w:t>
      </w:r>
      <w:r w:rsidRPr="00BC719D" w:rsidR="004F7F43">
        <w:t>argued that</w:t>
      </w:r>
      <w:r w:rsidRPr="00BC719D" w:rsidR="003C666C">
        <w:t xml:space="preserve"> he had been discriminated </w:t>
      </w:r>
      <w:r w:rsidRPr="00BC719D" w:rsidR="006D22F3">
        <w:t xml:space="preserve">against </w:t>
      </w:r>
      <w:r w:rsidRPr="00BC719D" w:rsidR="003C666C">
        <w:t xml:space="preserve">on the grounds of </w:t>
      </w:r>
      <w:r w:rsidRPr="00BC719D" w:rsidR="00E45F55">
        <w:t xml:space="preserve">his </w:t>
      </w:r>
      <w:r w:rsidRPr="00BC719D" w:rsidR="003C666C">
        <w:t xml:space="preserve">sex because </w:t>
      </w:r>
      <w:r w:rsidRPr="00BC719D" w:rsidR="006D22F3">
        <w:t xml:space="preserve">he, as a </w:t>
      </w:r>
      <w:r w:rsidRPr="00BC719D" w:rsidR="003C666C">
        <w:t>m</w:t>
      </w:r>
      <w:r w:rsidRPr="00BC719D" w:rsidR="006D22F3">
        <w:t>a</w:t>
      </w:r>
      <w:r w:rsidRPr="00BC719D" w:rsidR="003C666C">
        <w:t xml:space="preserve">n </w:t>
      </w:r>
      <w:r w:rsidRPr="00BC719D" w:rsidR="00087B12">
        <w:t>convicted of</w:t>
      </w:r>
      <w:r w:rsidRPr="00BC719D" w:rsidR="003C666C">
        <w:t xml:space="preserve"> serious and particularly serious crimes</w:t>
      </w:r>
      <w:r w:rsidRPr="00BC719D" w:rsidR="006D22F3">
        <w:t>,</w:t>
      </w:r>
      <w:r w:rsidRPr="00BC719D" w:rsidR="003C666C">
        <w:t xml:space="preserve"> start</w:t>
      </w:r>
      <w:r w:rsidRPr="00BC719D" w:rsidR="00087B12">
        <w:t>ed</w:t>
      </w:r>
      <w:r w:rsidRPr="00BC719D" w:rsidR="003C666C">
        <w:t xml:space="preserve"> serving </w:t>
      </w:r>
      <w:r w:rsidRPr="00BC719D" w:rsidR="006D22F3">
        <w:t xml:space="preserve">his </w:t>
      </w:r>
      <w:r w:rsidRPr="00BC719D" w:rsidR="003C666C">
        <w:t xml:space="preserve">sentence in </w:t>
      </w:r>
      <w:r w:rsidRPr="00BC719D" w:rsidR="006D22F3">
        <w:t>a closed prison. W</w:t>
      </w:r>
      <w:r w:rsidRPr="00BC719D" w:rsidR="003C666C">
        <w:t>omen convicted of the same cri</w:t>
      </w:r>
      <w:r w:rsidRPr="00BC719D" w:rsidR="00B12A55">
        <w:t xml:space="preserve">mes </w:t>
      </w:r>
      <w:r w:rsidRPr="00BC719D" w:rsidR="0023631E">
        <w:t>started</w:t>
      </w:r>
      <w:r w:rsidRPr="00BC719D" w:rsidR="00A21418">
        <w:t xml:space="preserve"> serving their sentence</w:t>
      </w:r>
      <w:r w:rsidRPr="00BC719D" w:rsidR="003C666C">
        <w:t xml:space="preserve"> </w:t>
      </w:r>
      <w:r w:rsidRPr="00BC719D" w:rsidR="00B12A55">
        <w:t>i</w:t>
      </w:r>
      <w:r w:rsidRPr="00BC719D" w:rsidR="003C666C">
        <w:t>n partly-closed prisons.</w:t>
      </w:r>
      <w:r w:rsidRPr="00BC719D" w:rsidR="004F7F43">
        <w:t xml:space="preserve"> </w:t>
      </w:r>
      <w:r w:rsidRPr="00BC719D" w:rsidR="003C666C">
        <w:t xml:space="preserve">Accordingly, </w:t>
      </w:r>
      <w:r w:rsidRPr="00BC719D" w:rsidR="006D22F3">
        <w:t xml:space="preserve">male and female prisoners who </w:t>
      </w:r>
      <w:r w:rsidRPr="00BC719D" w:rsidR="0023631E">
        <w:t>had been</w:t>
      </w:r>
      <w:r w:rsidRPr="00BC719D" w:rsidR="006D22F3">
        <w:t xml:space="preserve"> convicted of the same crimes and given the same sente</w:t>
      </w:r>
      <w:r w:rsidRPr="00BC719D" w:rsidR="00CA24F1">
        <w:t>n</w:t>
      </w:r>
      <w:r w:rsidRPr="00BC719D" w:rsidR="006D22F3">
        <w:t>ces were subjected to different prison regimes</w:t>
      </w:r>
      <w:r w:rsidRPr="00BC719D" w:rsidR="0045347A">
        <w:t>,</w:t>
      </w:r>
      <w:r w:rsidRPr="00BC719D" w:rsidR="006D22F3">
        <w:t xml:space="preserve"> and </w:t>
      </w:r>
      <w:r w:rsidRPr="00BC719D" w:rsidR="003C666C">
        <w:t>the rights of these two groups of prisoner</w:t>
      </w:r>
      <w:r w:rsidRPr="00BC719D" w:rsidR="00087B12">
        <w:t>s</w:t>
      </w:r>
      <w:r w:rsidRPr="00BC719D" w:rsidR="003C666C">
        <w:t xml:space="preserve"> </w:t>
      </w:r>
      <w:r w:rsidRPr="00BC719D" w:rsidR="00087B12">
        <w:t>were</w:t>
      </w:r>
      <w:r w:rsidRPr="00BC719D" w:rsidR="003C666C">
        <w:t xml:space="preserve"> restricted </w:t>
      </w:r>
      <w:r w:rsidRPr="00BC719D" w:rsidR="00087B12">
        <w:t>to a d</w:t>
      </w:r>
      <w:r w:rsidRPr="00BC719D" w:rsidR="003C666C">
        <w:t>ifferent</w:t>
      </w:r>
      <w:r w:rsidRPr="00BC719D" w:rsidR="00087B12">
        <w:t xml:space="preserve"> extent</w:t>
      </w:r>
      <w:r w:rsidRPr="00BC719D" w:rsidR="003C666C">
        <w:t xml:space="preserve">. </w:t>
      </w:r>
      <w:r w:rsidRPr="00BC719D" w:rsidR="00CA24F1">
        <w:t>Most notably</w:t>
      </w:r>
      <w:r w:rsidRPr="00BC719D" w:rsidR="003C666C">
        <w:t xml:space="preserve">, </w:t>
      </w:r>
      <w:r w:rsidRPr="00BC719D" w:rsidR="00A21418">
        <w:t>prisoners serving their sentence in clos</w:t>
      </w:r>
      <w:r w:rsidRPr="00BC719D" w:rsidR="006D22F3">
        <w:t xml:space="preserve">ed prisons were not eligible </w:t>
      </w:r>
      <w:r w:rsidRPr="00BC719D" w:rsidR="00C23DE8">
        <w:t xml:space="preserve">for </w:t>
      </w:r>
      <w:r w:rsidRPr="00BC719D" w:rsidR="00A21418">
        <w:t>prison leave, while prisoners in partly-closed prisons</w:t>
      </w:r>
      <w:r w:rsidRPr="00BC719D" w:rsidR="00D167B8">
        <w:t>, like female prisoners in a situation similar to the applicant</w:t>
      </w:r>
      <w:r w:rsidRPr="00BC719D" w:rsidR="00BC719D">
        <w:t>’</w:t>
      </w:r>
      <w:r w:rsidRPr="00BC719D" w:rsidR="00D167B8">
        <w:t>s,</w:t>
      </w:r>
      <w:r w:rsidRPr="00BC719D" w:rsidR="00A21418">
        <w:t xml:space="preserve"> did have such a right</w:t>
      </w:r>
      <w:r w:rsidRPr="00BC719D" w:rsidR="0041597A">
        <w:t>.</w:t>
      </w:r>
    </w:p>
    <w:p w:rsidRPr="00BC719D" w:rsidR="00EF2F75" w:rsidP="00BC719D" w:rsidRDefault="00B12A55">
      <w:pPr>
        <w:pStyle w:val="ECHRPara"/>
      </w:pPr>
      <w:r w:rsidRPr="00BC719D">
        <w:fldChar w:fldCharType="begin"/>
      </w:r>
      <w:r w:rsidRPr="00BC719D">
        <w:instrText xml:space="preserve"> SEQ level0 \*arabic </w:instrText>
      </w:r>
      <w:r w:rsidRPr="00BC719D">
        <w:fldChar w:fldCharType="separate"/>
      </w:r>
      <w:r w:rsidRPr="00BC719D" w:rsidR="00BC719D">
        <w:rPr>
          <w:noProof/>
        </w:rPr>
        <w:t>57</w:t>
      </w:r>
      <w:r w:rsidRPr="00BC719D">
        <w:fldChar w:fldCharType="end"/>
      </w:r>
      <w:r w:rsidRPr="00BC719D">
        <w:t>.  </w:t>
      </w:r>
      <w:r w:rsidRPr="00BC719D" w:rsidR="00087B12">
        <w:t>Further to</w:t>
      </w:r>
      <w:r w:rsidRPr="00BC719D">
        <w:t xml:space="preserve"> the Government</w:t>
      </w:r>
      <w:r w:rsidRPr="00BC719D" w:rsidR="00BC719D">
        <w:t>’</w:t>
      </w:r>
      <w:r w:rsidRPr="00BC719D">
        <w:t>s observations</w:t>
      </w:r>
      <w:r w:rsidRPr="00BC719D" w:rsidR="006D22F3">
        <w:t>,</w:t>
      </w:r>
      <w:r w:rsidRPr="00BC719D">
        <w:t xml:space="preserve"> the applicant </w:t>
      </w:r>
      <w:r w:rsidRPr="00BC719D" w:rsidR="007929A9">
        <w:t>argued that the fact women generally committed fewer crimes could not justify stricter prison conditions for men. Likewise, there was no justification for conclu</w:t>
      </w:r>
      <w:r w:rsidRPr="00BC719D" w:rsidR="00C23DE8">
        <w:t>ding</w:t>
      </w:r>
      <w:r w:rsidRPr="00BC719D" w:rsidR="007929A9">
        <w:t xml:space="preserve"> that he, as a man, would be less willing or should be less entitled to meet his family members and other relatives. Every person</w:t>
      </w:r>
      <w:r w:rsidRPr="00BC719D" w:rsidR="00BC719D">
        <w:t>’</w:t>
      </w:r>
      <w:r w:rsidRPr="00BC719D" w:rsidR="007929A9">
        <w:t xml:space="preserve">s attitude to family values was individual and by no means </w:t>
      </w:r>
      <w:r w:rsidRPr="00BC719D" w:rsidR="006C2E1C">
        <w:t>dependent</w:t>
      </w:r>
      <w:r w:rsidRPr="00BC719D" w:rsidR="007929A9">
        <w:t xml:space="preserve"> </w:t>
      </w:r>
      <w:r w:rsidRPr="00BC719D" w:rsidR="00C23DE8">
        <w:t>up</w:t>
      </w:r>
      <w:r w:rsidRPr="00BC719D" w:rsidR="007929A9">
        <w:t xml:space="preserve">on their sex. Besides, more opportunities of meeting family members and other relatives were conducive to </w:t>
      </w:r>
      <w:r w:rsidRPr="00BC719D" w:rsidR="004A4CC3">
        <w:t>prisoners</w:t>
      </w:r>
      <w:r w:rsidRPr="00BC719D" w:rsidR="00BC719D">
        <w:t>’</w:t>
      </w:r>
      <w:r w:rsidRPr="00BC719D" w:rsidR="004A4CC3">
        <w:t xml:space="preserve"> </w:t>
      </w:r>
      <w:r w:rsidRPr="00BC719D" w:rsidR="00EF6375">
        <w:t>social reintegration</w:t>
      </w:r>
      <w:r w:rsidRPr="00BC719D" w:rsidR="007929A9">
        <w:t>.</w:t>
      </w:r>
    </w:p>
    <w:p w:rsidRPr="00BC719D" w:rsidR="007929A9" w:rsidP="00BC719D" w:rsidRDefault="00266EEB">
      <w:pPr>
        <w:pStyle w:val="ECHRPara"/>
      </w:pPr>
      <w:r w:rsidRPr="00BC719D">
        <w:fldChar w:fldCharType="begin"/>
      </w:r>
      <w:r w:rsidRPr="00BC719D">
        <w:instrText xml:space="preserve"> SEQ level0 \*arabic </w:instrText>
      </w:r>
      <w:r w:rsidRPr="00BC719D">
        <w:fldChar w:fldCharType="separate"/>
      </w:r>
      <w:r w:rsidRPr="00BC719D" w:rsidR="00BC719D">
        <w:rPr>
          <w:noProof/>
        </w:rPr>
        <w:t>58</w:t>
      </w:r>
      <w:r w:rsidRPr="00BC719D">
        <w:fldChar w:fldCharType="end"/>
      </w:r>
      <w:r w:rsidRPr="00BC719D">
        <w:t>.  </w:t>
      </w:r>
      <w:r w:rsidRPr="00BC719D" w:rsidR="005407A9">
        <w:t xml:space="preserve">The applicant </w:t>
      </w:r>
      <w:r w:rsidRPr="00BC719D" w:rsidR="007929A9">
        <w:t xml:space="preserve">emphasised that his sex had been the only reason for his </w:t>
      </w:r>
      <w:r w:rsidRPr="00BC719D" w:rsidR="00C23DE8">
        <w:t xml:space="preserve">not being allowed </w:t>
      </w:r>
      <w:r w:rsidRPr="00BC719D" w:rsidR="007929A9">
        <w:t>to attend his father</w:t>
      </w:r>
      <w:r w:rsidRPr="00BC719D" w:rsidR="00BC719D">
        <w:t>’</w:t>
      </w:r>
      <w:r w:rsidRPr="00BC719D" w:rsidR="007929A9">
        <w:t>s funeral, as the refusal had been based solely on the prison regime</w:t>
      </w:r>
      <w:r w:rsidRPr="00BC719D" w:rsidR="00C23DE8">
        <w:t xml:space="preserve"> under which he had been serving his sentence</w:t>
      </w:r>
      <w:r w:rsidRPr="00BC719D" w:rsidR="007929A9">
        <w:t xml:space="preserve">. No other ground had played any role whatsoever, since he had committed no breaches of </w:t>
      </w:r>
      <w:r w:rsidRPr="00BC719D" w:rsidR="00C23DE8">
        <w:t xml:space="preserve">that </w:t>
      </w:r>
      <w:r w:rsidRPr="00BC719D" w:rsidR="007929A9">
        <w:t>regime that could have affected this decision. This was demonstrated by the fact that later, when he had been subjected to a different prison regime, he had been granted short</w:t>
      </w:r>
      <w:r w:rsidRPr="00BC719D" w:rsidR="00197BF9">
        <w:t>-</w:t>
      </w:r>
      <w:r w:rsidRPr="00BC719D" w:rsidR="007929A9">
        <w:t>term prison leave four times. On those occasions he had returned to the prison in due time and had caused no harm to society or any of its members.</w:t>
      </w:r>
    </w:p>
    <w:p w:rsidRPr="00BC719D" w:rsidR="00452A7D" w:rsidP="00BC719D" w:rsidRDefault="00DA3353">
      <w:pPr>
        <w:pStyle w:val="ECHRPara"/>
      </w:pPr>
      <w:r w:rsidRPr="00BC719D">
        <w:fldChar w:fldCharType="begin"/>
      </w:r>
      <w:r w:rsidRPr="00BC719D">
        <w:instrText xml:space="preserve"> SEQ level0 \*arabic </w:instrText>
      </w:r>
      <w:r w:rsidRPr="00BC719D">
        <w:fldChar w:fldCharType="separate"/>
      </w:r>
      <w:r w:rsidRPr="00BC719D" w:rsidR="00BC719D">
        <w:rPr>
          <w:noProof/>
        </w:rPr>
        <w:t>59</w:t>
      </w:r>
      <w:r w:rsidRPr="00BC719D">
        <w:fldChar w:fldCharType="end"/>
      </w:r>
      <w:r w:rsidRPr="00BC719D">
        <w:t>.  </w:t>
      </w:r>
      <w:r w:rsidRPr="00BC719D" w:rsidR="00A4799E">
        <w:t>The applicant submitted that n</w:t>
      </w:r>
      <w:r w:rsidRPr="00BC719D" w:rsidR="004F7F43">
        <w:t xml:space="preserve">o restitution </w:t>
      </w:r>
      <w:r w:rsidRPr="00BC719D" w:rsidR="00BC3F56">
        <w:t xml:space="preserve">was </w:t>
      </w:r>
      <w:r w:rsidRPr="00BC719D" w:rsidR="004F7F43">
        <w:t>possible fo</w:t>
      </w:r>
      <w:r w:rsidRPr="00BC719D" w:rsidR="00BC3F56">
        <w:t>r</w:t>
      </w:r>
      <w:r w:rsidRPr="00BC719D" w:rsidR="004F7F43">
        <w:t xml:space="preserve"> the fact</w:t>
      </w:r>
      <w:r w:rsidRPr="00BC719D" w:rsidR="00A4799E">
        <w:t xml:space="preserve"> </w:t>
      </w:r>
      <w:r w:rsidRPr="00BC719D" w:rsidR="004F7F43">
        <w:t xml:space="preserve">he </w:t>
      </w:r>
      <w:r w:rsidRPr="00BC719D" w:rsidR="00BC3F56">
        <w:t xml:space="preserve">had been </w:t>
      </w:r>
      <w:r w:rsidRPr="00BC719D" w:rsidR="004F7F43">
        <w:t>unable to attend his father</w:t>
      </w:r>
      <w:r w:rsidRPr="00BC719D" w:rsidR="00BC719D">
        <w:t>’</w:t>
      </w:r>
      <w:r w:rsidRPr="00BC719D" w:rsidR="004F7F43">
        <w:t>s funeral and comfort his relatives.</w:t>
      </w:r>
      <w:r w:rsidRPr="00BC719D" w:rsidR="00A4799E">
        <w:t xml:space="preserve"> Women prisoners, </w:t>
      </w:r>
      <w:r w:rsidRPr="00BC719D" w:rsidR="00C23DE8">
        <w:t xml:space="preserve">by </w:t>
      </w:r>
      <w:r w:rsidRPr="00BC719D" w:rsidR="00A4799E">
        <w:t xml:space="preserve">contrast, </w:t>
      </w:r>
      <w:r w:rsidRPr="00BC719D" w:rsidR="00452A7D">
        <w:t xml:space="preserve">were allowed </w:t>
      </w:r>
      <w:r w:rsidRPr="00BC719D" w:rsidR="00A4799E">
        <w:t>short-term prison leave</w:t>
      </w:r>
      <w:r w:rsidRPr="00BC719D" w:rsidR="00452A7D">
        <w:t xml:space="preserve"> </w:t>
      </w:r>
      <w:r w:rsidRPr="00BC719D">
        <w:t xml:space="preserve">not only </w:t>
      </w:r>
      <w:r w:rsidRPr="00BC719D" w:rsidR="00A4799E">
        <w:t>to attend relatives</w:t>
      </w:r>
      <w:r w:rsidRPr="00BC719D" w:rsidR="00BC719D">
        <w:t>’</w:t>
      </w:r>
      <w:r w:rsidRPr="00BC719D" w:rsidR="00A4799E">
        <w:t xml:space="preserve"> </w:t>
      </w:r>
      <w:r w:rsidRPr="00BC719D" w:rsidR="00452A7D">
        <w:t>funeral</w:t>
      </w:r>
      <w:r w:rsidRPr="00BC719D" w:rsidR="00197BF9">
        <w:t>s</w:t>
      </w:r>
      <w:r w:rsidRPr="00BC719D" w:rsidR="00452A7D">
        <w:t xml:space="preserve"> but also </w:t>
      </w:r>
      <w:r w:rsidRPr="00BC719D">
        <w:t>to visit family member</w:t>
      </w:r>
      <w:r w:rsidRPr="00BC719D" w:rsidR="00197BF9">
        <w:t>s</w:t>
      </w:r>
      <w:r w:rsidRPr="00BC719D">
        <w:t xml:space="preserve"> in </w:t>
      </w:r>
      <w:r w:rsidRPr="00BC719D" w:rsidR="001E515C">
        <w:t xml:space="preserve">the event </w:t>
      </w:r>
      <w:r w:rsidRPr="00BC719D">
        <w:t xml:space="preserve">of </w:t>
      </w:r>
      <w:r w:rsidRPr="00BC719D" w:rsidR="00CA24F1">
        <w:t xml:space="preserve">a </w:t>
      </w:r>
      <w:r w:rsidRPr="00BC719D" w:rsidR="00452A7D">
        <w:t xml:space="preserve">terminal illness. </w:t>
      </w:r>
      <w:r w:rsidRPr="00BC719D" w:rsidR="00A4799E">
        <w:t xml:space="preserve">The applicant submitted that, </w:t>
      </w:r>
      <w:r w:rsidRPr="00BC719D" w:rsidR="001E515C">
        <w:t xml:space="preserve">had </w:t>
      </w:r>
      <w:r w:rsidRPr="00BC719D" w:rsidR="006C2E1C">
        <w:t>he been a woman</w:t>
      </w:r>
      <w:r w:rsidRPr="00BC719D" w:rsidR="00452A7D">
        <w:t xml:space="preserve">, he would have been able to visit his father while </w:t>
      </w:r>
      <w:r w:rsidRPr="00BC719D" w:rsidR="001E515C">
        <w:t xml:space="preserve">he had </w:t>
      </w:r>
      <w:r w:rsidRPr="00BC719D" w:rsidR="00452A7D">
        <w:t>still</w:t>
      </w:r>
      <w:r w:rsidRPr="00BC719D" w:rsidR="001E515C">
        <w:t xml:space="preserve"> been</w:t>
      </w:r>
      <w:r w:rsidRPr="00BC719D" w:rsidR="00452A7D">
        <w:t xml:space="preserve"> in hospital</w:t>
      </w:r>
      <w:r w:rsidRPr="00BC719D" w:rsidR="00A4799E">
        <w:t>.</w:t>
      </w:r>
    </w:p>
    <w:p w:rsidRPr="00BC719D" w:rsidR="00B62CD4" w:rsidP="00BC719D" w:rsidRDefault="00266EEB">
      <w:pPr>
        <w:pStyle w:val="ECHRPara"/>
      </w:pPr>
      <w:r w:rsidRPr="00BC719D">
        <w:fldChar w:fldCharType="begin"/>
      </w:r>
      <w:r w:rsidRPr="00BC719D">
        <w:instrText xml:space="preserve"> SEQ level0 \*arabic </w:instrText>
      </w:r>
      <w:r w:rsidRPr="00BC719D">
        <w:fldChar w:fldCharType="separate"/>
      </w:r>
      <w:r w:rsidRPr="00BC719D" w:rsidR="00BC719D">
        <w:rPr>
          <w:noProof/>
        </w:rPr>
        <w:t>60</w:t>
      </w:r>
      <w:r w:rsidRPr="00BC719D">
        <w:fldChar w:fldCharType="end"/>
      </w:r>
      <w:r w:rsidRPr="00BC719D">
        <w:t>.  </w:t>
      </w:r>
      <w:r w:rsidRPr="00BC719D" w:rsidR="001E515C">
        <w:t>Lastly</w:t>
      </w:r>
      <w:r w:rsidRPr="00BC719D">
        <w:t xml:space="preserve">, the applicant </w:t>
      </w:r>
      <w:r w:rsidRPr="00BC719D" w:rsidR="00CA24F1">
        <w:t xml:space="preserve">argued </w:t>
      </w:r>
      <w:r w:rsidRPr="00BC719D">
        <w:t xml:space="preserve">that Latvia had </w:t>
      </w:r>
      <w:r w:rsidRPr="00BC719D" w:rsidR="00452A7D">
        <w:t>taken no steps</w:t>
      </w:r>
      <w:r w:rsidRPr="00BC719D">
        <w:t xml:space="preserve"> to implement </w:t>
      </w:r>
      <w:r w:rsidRPr="00BC719D" w:rsidR="00B62CD4">
        <w:t>Committee of Ministers Recommendation No</w:t>
      </w:r>
      <w:r w:rsidRPr="00BC719D" w:rsidR="00195CEE">
        <w:t>.</w:t>
      </w:r>
      <w:r w:rsidRPr="00BC719D" w:rsidR="00B62CD4">
        <w:t xml:space="preserve"> R </w:t>
      </w:r>
      <w:r w:rsidRPr="00BC719D" w:rsidR="00195CEE">
        <w:t>(</w:t>
      </w:r>
      <w:r w:rsidRPr="00BC719D" w:rsidR="00B62CD4">
        <w:t>82) 16 on prison leave</w:t>
      </w:r>
      <w:r w:rsidRPr="00BC719D" w:rsidR="00E45F55">
        <w:t xml:space="preserve"> (see paragraph </w:t>
      </w:r>
      <w:r w:rsidRPr="00BC719D" w:rsidR="00670D7F">
        <w:fldChar w:fldCharType="begin"/>
      </w:r>
      <w:r w:rsidRPr="00BC719D" w:rsidR="00670D7F">
        <w:instrText xml:space="preserve"> REF CM_Recommendation_On_prison_leave \h </w:instrText>
      </w:r>
      <w:r w:rsidRPr="00BC719D" w:rsidR="00670D7F">
        <w:fldChar w:fldCharType="separate"/>
      </w:r>
      <w:r w:rsidRPr="00BC719D" w:rsidR="00BC719D">
        <w:rPr>
          <w:noProof/>
        </w:rPr>
        <w:t>38</w:t>
      </w:r>
      <w:r w:rsidRPr="00BC719D" w:rsidR="00670D7F">
        <w:fldChar w:fldCharType="end"/>
      </w:r>
      <w:r w:rsidRPr="00BC719D" w:rsidR="00670D7F">
        <w:t xml:space="preserve"> </w:t>
      </w:r>
      <w:r w:rsidRPr="00BC719D" w:rsidR="00E45F55">
        <w:t>above)</w:t>
      </w:r>
      <w:r w:rsidRPr="00BC719D" w:rsidR="00B62CD4">
        <w:t>.</w:t>
      </w:r>
    </w:p>
    <w:p w:rsidRPr="00BC719D" w:rsidR="00266EEB" w:rsidP="00BC719D" w:rsidRDefault="008C1BE8">
      <w:pPr>
        <w:pStyle w:val="ECHRHeading4"/>
      </w:pPr>
      <w:r w:rsidRPr="00BC719D">
        <w:t>(b)</w:t>
      </w:r>
      <w:r w:rsidRPr="00BC719D" w:rsidR="00F93BC4">
        <w:t>  </w:t>
      </w:r>
      <w:r w:rsidRPr="00BC719D" w:rsidR="00266EEB">
        <w:t>The Government</w:t>
      </w:r>
    </w:p>
    <w:bookmarkStart w:name="GOV_arguments_A8" w:id="27"/>
    <w:p w:rsidRPr="00BC719D" w:rsidR="00AA04CB" w:rsidP="00BC719D" w:rsidRDefault="003646EE">
      <w:pPr>
        <w:pStyle w:val="ECHRPara"/>
      </w:pPr>
      <w:r w:rsidRPr="00BC719D">
        <w:fldChar w:fldCharType="begin"/>
      </w:r>
      <w:r w:rsidRPr="00BC719D">
        <w:instrText xml:space="preserve"> SEQ level0 \*arabic </w:instrText>
      </w:r>
      <w:r w:rsidRPr="00BC719D">
        <w:fldChar w:fldCharType="separate"/>
      </w:r>
      <w:r w:rsidRPr="00BC719D" w:rsidR="00BC719D">
        <w:rPr>
          <w:noProof/>
        </w:rPr>
        <w:t>61</w:t>
      </w:r>
      <w:r w:rsidRPr="00BC719D">
        <w:fldChar w:fldCharType="end"/>
      </w:r>
      <w:bookmarkEnd w:id="27"/>
      <w:r w:rsidRPr="00BC719D">
        <w:t>.  </w:t>
      </w:r>
      <w:r w:rsidRPr="00BC719D" w:rsidR="001C3FF4">
        <w:t xml:space="preserve">The </w:t>
      </w:r>
      <w:r w:rsidRPr="00BC719D" w:rsidR="006C2E1C">
        <w:t>Government</w:t>
      </w:r>
      <w:r w:rsidRPr="00BC719D" w:rsidR="001C3FF4">
        <w:t xml:space="preserve"> agreed that the</w:t>
      </w:r>
      <w:r w:rsidRPr="00BC719D" w:rsidR="00E41C60">
        <w:t xml:space="preserve"> refusal </w:t>
      </w:r>
      <w:r w:rsidRPr="00BC719D" w:rsidR="001C3FF4">
        <w:t xml:space="preserve">to grant the applicant prison leave in order </w:t>
      </w:r>
      <w:r w:rsidRPr="00BC719D" w:rsidR="001E515C">
        <w:t xml:space="preserve">for him </w:t>
      </w:r>
      <w:r w:rsidRPr="00BC719D" w:rsidR="001C3FF4">
        <w:t>to attend his father</w:t>
      </w:r>
      <w:r w:rsidRPr="00BC719D" w:rsidR="00BC719D">
        <w:t>’</w:t>
      </w:r>
      <w:r w:rsidRPr="00BC719D" w:rsidR="001C3FF4">
        <w:t xml:space="preserve">s funeral </w:t>
      </w:r>
      <w:r w:rsidRPr="00BC719D" w:rsidR="00E45F55">
        <w:t xml:space="preserve">had </w:t>
      </w:r>
      <w:r w:rsidRPr="00BC719D" w:rsidR="00E41C60">
        <w:t xml:space="preserve">interfered with </w:t>
      </w:r>
      <w:r w:rsidRPr="00BC719D" w:rsidR="001C3FF4">
        <w:t xml:space="preserve">his </w:t>
      </w:r>
      <w:r w:rsidRPr="00BC719D" w:rsidR="00E41C60">
        <w:t>righ</w:t>
      </w:r>
      <w:r w:rsidRPr="00BC719D" w:rsidR="00197BF9">
        <w:t>t</w:t>
      </w:r>
      <w:r w:rsidRPr="00BC719D" w:rsidR="00E41C60">
        <w:t xml:space="preserve"> to family life</w:t>
      </w:r>
      <w:r w:rsidRPr="00BC719D" w:rsidR="001C3FF4">
        <w:t>,</w:t>
      </w:r>
      <w:r w:rsidRPr="00BC719D" w:rsidR="00E41C60">
        <w:t xml:space="preserve"> </w:t>
      </w:r>
      <w:r w:rsidRPr="00BC719D" w:rsidR="001E515C">
        <w:t xml:space="preserve">as </w:t>
      </w:r>
      <w:r w:rsidRPr="00BC719D" w:rsidR="00E41C60">
        <w:t>guaranteed under Article 8</w:t>
      </w:r>
      <w:r w:rsidRPr="00BC719D" w:rsidR="001C3FF4">
        <w:t xml:space="preserve"> of the Convention</w:t>
      </w:r>
      <w:r w:rsidRPr="00BC719D" w:rsidR="00AA04CB">
        <w:t>.</w:t>
      </w:r>
      <w:r w:rsidRPr="00BC719D" w:rsidR="00A92A9D">
        <w:t xml:space="preserve"> </w:t>
      </w:r>
      <w:r w:rsidRPr="00BC719D" w:rsidR="007511C4">
        <w:t>T</w:t>
      </w:r>
      <w:r w:rsidRPr="00BC719D" w:rsidR="00AA04CB">
        <w:t>his interference had</w:t>
      </w:r>
      <w:r w:rsidRPr="00BC719D" w:rsidR="007511C4">
        <w:t xml:space="preserve">, nonetheless, </w:t>
      </w:r>
      <w:r w:rsidRPr="00BC719D" w:rsidR="00AA04CB">
        <w:t>been based on law</w:t>
      </w:r>
      <w:r w:rsidRPr="00BC719D" w:rsidR="00210140">
        <w:t xml:space="preserve"> and </w:t>
      </w:r>
      <w:r w:rsidRPr="00BC719D" w:rsidR="001E515C">
        <w:t xml:space="preserve">had </w:t>
      </w:r>
      <w:r w:rsidRPr="00BC719D" w:rsidR="00AA04CB">
        <w:t>pursued the aim of furthering the interests of public safety, preventing crime and protecting the rights o</w:t>
      </w:r>
      <w:r w:rsidRPr="00BC719D" w:rsidR="00197BF9">
        <w:t>r</w:t>
      </w:r>
      <w:r w:rsidRPr="00BC719D" w:rsidR="00AA04CB">
        <w:t xml:space="preserve"> freedoms of others.</w:t>
      </w:r>
      <w:r w:rsidRPr="00BC719D" w:rsidR="001C3FF4">
        <w:t xml:space="preserve"> According to the Government, this restriction had been based on an individual assessment, as after an inmate had served a certain proportion of the sentence</w:t>
      </w:r>
      <w:r w:rsidRPr="00BC719D" w:rsidR="00197BF9">
        <w:t>,</w:t>
      </w:r>
      <w:r w:rsidRPr="00BC719D" w:rsidR="001C3FF4">
        <w:t xml:space="preserve"> a special body could decide </w:t>
      </w:r>
      <w:r w:rsidRPr="00BC719D" w:rsidR="001E515C">
        <w:t xml:space="preserve">to </w:t>
      </w:r>
      <w:r w:rsidRPr="00BC719D" w:rsidR="001C3FF4">
        <w:t>transfer</w:t>
      </w:r>
      <w:r w:rsidRPr="00BC719D" w:rsidR="001E515C">
        <w:t xml:space="preserve"> him</w:t>
      </w:r>
      <w:r w:rsidRPr="00BC719D" w:rsidR="00C23C22">
        <w:t xml:space="preserve"> </w:t>
      </w:r>
      <w:r w:rsidRPr="00BC719D" w:rsidR="001C3FF4">
        <w:t xml:space="preserve">to a </w:t>
      </w:r>
      <w:r w:rsidRPr="00BC719D" w:rsidR="008A1E08">
        <w:t>lower-</w:t>
      </w:r>
      <w:r w:rsidRPr="00BC719D" w:rsidR="001C3FF4">
        <w:t>security prison. It also drew the Court</w:t>
      </w:r>
      <w:r w:rsidRPr="00BC719D" w:rsidR="00BC719D">
        <w:t>’</w:t>
      </w:r>
      <w:r w:rsidRPr="00BC719D" w:rsidR="001C3FF4">
        <w:t>s attention to the opinion of the Ombudsperson emphasising the dangerous nature of the inmates to whom this rest</w:t>
      </w:r>
      <w:r w:rsidRPr="00BC719D" w:rsidR="00184C9A">
        <w:t>riction applied (see paragraph</w:t>
      </w:r>
      <w:r w:rsidRPr="00BC719D" w:rsidR="001C3FF4">
        <w:t xml:space="preserve"> </w:t>
      </w:r>
      <w:r w:rsidRPr="00BC719D" w:rsidR="00670D7F">
        <w:fldChar w:fldCharType="begin"/>
      </w:r>
      <w:r w:rsidRPr="00BC719D" w:rsidR="00670D7F">
        <w:instrText xml:space="preserve"> REF Facts_Ombudsperson \h </w:instrText>
      </w:r>
      <w:r w:rsidRPr="00BC719D" w:rsidR="00670D7F">
        <w:fldChar w:fldCharType="separate"/>
      </w:r>
      <w:r w:rsidRPr="00BC719D" w:rsidR="00BC719D">
        <w:rPr>
          <w:noProof/>
        </w:rPr>
        <w:t>14</w:t>
      </w:r>
      <w:r w:rsidRPr="00BC719D" w:rsidR="00670D7F">
        <w:fldChar w:fldCharType="end"/>
      </w:r>
      <w:r w:rsidRPr="00BC719D" w:rsidR="001C3FF4">
        <w:t xml:space="preserve"> above). </w:t>
      </w:r>
      <w:r w:rsidRPr="00BC719D" w:rsidR="00CA24F1">
        <w:t>Further</w:t>
      </w:r>
      <w:r w:rsidRPr="00BC719D" w:rsidR="00BD15FB">
        <w:t>more</w:t>
      </w:r>
      <w:r w:rsidRPr="00BC719D" w:rsidR="00CA24F1">
        <w:t xml:space="preserve">, in </w:t>
      </w:r>
      <w:r w:rsidRPr="00BC719D" w:rsidR="00BD15FB">
        <w:t xml:space="preserve">the </w:t>
      </w:r>
      <w:r w:rsidRPr="00BC719D" w:rsidR="00CA24F1">
        <w:t>light of the cases</w:t>
      </w:r>
      <w:r w:rsidRPr="00BC719D" w:rsidR="00210140">
        <w:t xml:space="preserve"> of </w:t>
      </w:r>
      <w:r w:rsidRPr="00BC719D" w:rsidR="00210140">
        <w:rPr>
          <w:i/>
        </w:rPr>
        <w:t>Laduna v. Slovakia</w:t>
      </w:r>
      <w:r w:rsidRPr="00BC719D" w:rsidR="00A92A9D">
        <w:t xml:space="preserve"> (</w:t>
      </w:r>
      <w:r w:rsidRPr="00BC719D" w:rsidR="00210140">
        <w:t>no. 31827/02, ECHR 2011</w:t>
      </w:r>
      <w:r w:rsidRPr="00BC719D" w:rsidR="00A92A9D">
        <w:t>)</w:t>
      </w:r>
      <w:r w:rsidRPr="00BC719D" w:rsidR="00210140">
        <w:t xml:space="preserve"> and </w:t>
      </w:r>
      <w:r w:rsidRPr="00BC719D" w:rsidR="00210140">
        <w:rPr>
          <w:i/>
        </w:rPr>
        <w:t xml:space="preserve">Dickson v. the United Kingdom </w:t>
      </w:r>
      <w:r w:rsidRPr="00BC719D" w:rsidR="00A92A9D">
        <w:t>(</w:t>
      </w:r>
      <w:r w:rsidRPr="00BC719D" w:rsidR="00210140">
        <w:t>[GC], no. 44362/04, ECHR 2007</w:t>
      </w:r>
      <w:r w:rsidRPr="00BC719D" w:rsidR="00210140">
        <w:noBreakHyphen/>
        <w:t>V</w:t>
      </w:r>
      <w:r w:rsidRPr="00BC719D" w:rsidR="00A92A9D">
        <w:t>)</w:t>
      </w:r>
      <w:r w:rsidRPr="00BC719D" w:rsidR="00210140">
        <w:t xml:space="preserve"> </w:t>
      </w:r>
      <w:r w:rsidRPr="00BC719D" w:rsidR="007917D0">
        <w:t xml:space="preserve">a </w:t>
      </w:r>
      <w:r w:rsidRPr="00BC719D" w:rsidR="00AA04CB">
        <w:t xml:space="preserve">wide margin of appreciation </w:t>
      </w:r>
      <w:r w:rsidRPr="00BC719D" w:rsidR="00210140">
        <w:t>applied in questions of prisoners,</w:t>
      </w:r>
      <w:r w:rsidRPr="00BC719D" w:rsidR="00AA04CB">
        <w:t xml:space="preserve"> p</w:t>
      </w:r>
      <w:r w:rsidRPr="00BC719D" w:rsidR="001C3FF4">
        <w:t xml:space="preserve">enal policy and social strategy and, according to </w:t>
      </w:r>
      <w:r w:rsidRPr="00BC719D" w:rsidR="00265484">
        <w:rPr>
          <w:i/>
        </w:rPr>
        <w:t>Khoroshenko</w:t>
      </w:r>
      <w:r w:rsidRPr="00BC719D" w:rsidR="00F93BC4">
        <w:rPr>
          <w:i/>
        </w:rPr>
        <w:t xml:space="preserve"> v. </w:t>
      </w:r>
      <w:r w:rsidRPr="00BC719D" w:rsidR="00265484">
        <w:rPr>
          <w:i/>
        </w:rPr>
        <w:t xml:space="preserve">Russia </w:t>
      </w:r>
      <w:r w:rsidRPr="00BC719D" w:rsidR="00A92A9D">
        <w:t>(</w:t>
      </w:r>
      <w:r w:rsidRPr="00BC719D" w:rsidR="00265484">
        <w:t>[GC]</w:t>
      </w:r>
      <w:r w:rsidRPr="00BC719D" w:rsidR="00265484">
        <w:rPr>
          <w:snapToGrid w:val="0"/>
        </w:rPr>
        <w:t>, no.</w:t>
      </w:r>
      <w:r w:rsidRPr="00BC719D" w:rsidR="00265484">
        <w:t xml:space="preserve"> 41418/04, ECHR 2015</w:t>
      </w:r>
      <w:r w:rsidRPr="00BC719D" w:rsidR="00A92A9D">
        <w:t>)</w:t>
      </w:r>
      <w:r w:rsidRPr="00BC719D" w:rsidR="001C3FF4">
        <w:t>,</w:t>
      </w:r>
      <w:r w:rsidRPr="00BC719D" w:rsidR="00265484">
        <w:t xml:space="preserve"> </w:t>
      </w:r>
      <w:r w:rsidRPr="00BC719D" w:rsidR="007917D0">
        <w:t>the</w:t>
      </w:r>
      <w:r w:rsidRPr="00BC719D" w:rsidR="00265484">
        <w:t xml:space="preserve"> gravity of a sentence </w:t>
      </w:r>
      <w:r w:rsidRPr="00BC719D" w:rsidR="001C3FF4">
        <w:t xml:space="preserve">could </w:t>
      </w:r>
      <w:r w:rsidRPr="00BC719D" w:rsidR="00265484">
        <w:t>be tied, a least to some extent, to a type of a prison regime.</w:t>
      </w:r>
      <w:r w:rsidRPr="00BC719D" w:rsidR="001C3FF4">
        <w:t xml:space="preserve"> Hence, </w:t>
      </w:r>
      <w:r w:rsidRPr="00BC719D" w:rsidR="00265484">
        <w:t xml:space="preserve">the Government considered that </w:t>
      </w:r>
      <w:r w:rsidRPr="00BC719D" w:rsidR="001C3FF4">
        <w:t>this</w:t>
      </w:r>
      <w:r w:rsidRPr="00BC719D" w:rsidR="00AA04CB">
        <w:t xml:space="preserve"> interference </w:t>
      </w:r>
      <w:r w:rsidRPr="00BC719D" w:rsidR="001C3FF4">
        <w:t xml:space="preserve">had </w:t>
      </w:r>
      <w:r w:rsidRPr="00BC719D" w:rsidR="00265484">
        <w:t xml:space="preserve">corresponded to a pressing social need and </w:t>
      </w:r>
      <w:r w:rsidRPr="00BC719D" w:rsidR="001C3FF4">
        <w:t xml:space="preserve">had been </w:t>
      </w:r>
      <w:r w:rsidRPr="00BC719D" w:rsidR="00265484">
        <w:t>propo</w:t>
      </w:r>
      <w:r w:rsidRPr="00BC719D" w:rsidR="001C3FF4">
        <w:t xml:space="preserve">rtionate to the legitimate aim, thereby being </w:t>
      </w:r>
      <w:r w:rsidRPr="00BC719D" w:rsidR="00265484">
        <w:t>justified under Article 8 </w:t>
      </w:r>
      <w:r w:rsidRPr="00BC719D" w:rsidR="00AA04CB">
        <w:rPr>
          <w:rFonts w:cstheme="minorHAnsi"/>
        </w:rPr>
        <w:t>§</w:t>
      </w:r>
      <w:r w:rsidRPr="00BC719D" w:rsidR="00265484">
        <w:t> </w:t>
      </w:r>
      <w:r w:rsidRPr="00BC719D" w:rsidR="00AA04CB">
        <w:t>2</w:t>
      </w:r>
      <w:r w:rsidRPr="00BC719D" w:rsidR="00265484">
        <w:t xml:space="preserve"> of the Convention.</w:t>
      </w:r>
    </w:p>
    <w:p w:rsidRPr="00BC719D" w:rsidR="00184B39" w:rsidP="00BC719D" w:rsidRDefault="00B32B88">
      <w:pPr>
        <w:pStyle w:val="ECHRPara"/>
      </w:pPr>
      <w:r w:rsidRPr="00BC719D">
        <w:fldChar w:fldCharType="begin"/>
      </w:r>
      <w:r w:rsidRPr="00BC719D">
        <w:instrText xml:space="preserve"> SEQ level0 \*arabic </w:instrText>
      </w:r>
      <w:r w:rsidRPr="00BC719D">
        <w:fldChar w:fldCharType="separate"/>
      </w:r>
      <w:r w:rsidRPr="00BC719D" w:rsidR="00BC719D">
        <w:rPr>
          <w:noProof/>
        </w:rPr>
        <w:t>62</w:t>
      </w:r>
      <w:r w:rsidRPr="00BC719D">
        <w:fldChar w:fldCharType="end"/>
      </w:r>
      <w:r w:rsidRPr="00BC719D" w:rsidR="00014566">
        <w:t>.  </w:t>
      </w:r>
      <w:r w:rsidRPr="00BC719D" w:rsidR="003646EE">
        <w:t>With respect to Article 14 of the Convention t</w:t>
      </w:r>
      <w:r w:rsidRPr="00BC719D" w:rsidR="00494B26">
        <w:t xml:space="preserve">he Government submitted that </w:t>
      </w:r>
      <w:r w:rsidRPr="00BC719D" w:rsidR="003646EE">
        <w:t xml:space="preserve">the situation of </w:t>
      </w:r>
      <w:r w:rsidRPr="00BC719D" w:rsidR="00494B26">
        <w:t xml:space="preserve">male and </w:t>
      </w:r>
      <w:r w:rsidRPr="00BC719D" w:rsidR="003646EE">
        <w:t>fe</w:t>
      </w:r>
      <w:r w:rsidRPr="00BC719D" w:rsidR="00D02784">
        <w:t xml:space="preserve">male convicts serving </w:t>
      </w:r>
      <w:r w:rsidRPr="00BC719D" w:rsidR="00C23C22">
        <w:t xml:space="preserve">a </w:t>
      </w:r>
      <w:r w:rsidRPr="00BC719D" w:rsidR="00D02784">
        <w:t>sente</w:t>
      </w:r>
      <w:r w:rsidRPr="00BC719D" w:rsidR="000212E8">
        <w:t>n</w:t>
      </w:r>
      <w:r w:rsidRPr="00BC719D" w:rsidR="003646EE">
        <w:t>ce</w:t>
      </w:r>
      <w:r w:rsidRPr="00BC719D" w:rsidR="00D02784">
        <w:t xml:space="preserve"> for </w:t>
      </w:r>
      <w:r w:rsidRPr="00BC719D" w:rsidR="003646EE">
        <w:t xml:space="preserve">having committed </w:t>
      </w:r>
      <w:r w:rsidRPr="00BC719D" w:rsidR="000212E8">
        <w:t>s</w:t>
      </w:r>
      <w:r w:rsidRPr="00BC719D" w:rsidR="00D02784">
        <w:t>erious or especially serious crim</w:t>
      </w:r>
      <w:r w:rsidRPr="00BC719D" w:rsidR="000212E8">
        <w:t>es</w:t>
      </w:r>
      <w:r w:rsidRPr="00BC719D" w:rsidR="00D02784">
        <w:t xml:space="preserve"> </w:t>
      </w:r>
      <w:r w:rsidRPr="00BC719D" w:rsidR="00B8007E">
        <w:t>was</w:t>
      </w:r>
      <w:r w:rsidRPr="00BC719D" w:rsidR="00D764F0">
        <w:t xml:space="preserve"> </w:t>
      </w:r>
      <w:r w:rsidRPr="00BC719D" w:rsidR="00D02784">
        <w:t xml:space="preserve">not sufficiently similar </w:t>
      </w:r>
      <w:r w:rsidRPr="00BC719D" w:rsidR="007917D0">
        <w:t xml:space="preserve">for them </w:t>
      </w:r>
      <w:r w:rsidRPr="00BC719D" w:rsidR="00D02784">
        <w:t xml:space="preserve">to be compared </w:t>
      </w:r>
      <w:r w:rsidRPr="00BC719D" w:rsidR="00D764F0">
        <w:t xml:space="preserve">with </w:t>
      </w:r>
      <w:r w:rsidRPr="00BC719D" w:rsidR="00D02784">
        <w:t>each other.</w:t>
      </w:r>
      <w:r w:rsidRPr="00BC719D" w:rsidR="00B8007E">
        <w:t xml:space="preserve"> </w:t>
      </w:r>
      <w:r w:rsidRPr="00BC719D" w:rsidR="005D6B22">
        <w:t xml:space="preserve">Moreover, </w:t>
      </w:r>
      <w:r w:rsidRPr="00BC719D" w:rsidR="00E45F55">
        <w:t xml:space="preserve">the Bangkok Rules recognised women prisoners as one of the vulnerable groups that had specific needs and requirements. </w:t>
      </w:r>
      <w:r w:rsidRPr="00BC719D" w:rsidR="00D02784">
        <w:t xml:space="preserve">The principle of equality </w:t>
      </w:r>
      <w:r w:rsidRPr="00BC719D" w:rsidR="00D764F0">
        <w:t xml:space="preserve">did </w:t>
      </w:r>
      <w:r w:rsidRPr="00BC719D" w:rsidR="000212E8">
        <w:t>n</w:t>
      </w:r>
      <w:r w:rsidRPr="00BC719D" w:rsidR="00D02784">
        <w:t xml:space="preserve">ot </w:t>
      </w:r>
      <w:r w:rsidRPr="00BC719D" w:rsidR="00B8007E">
        <w:t>negate</w:t>
      </w:r>
      <w:r w:rsidRPr="00BC719D" w:rsidR="00D02784">
        <w:t xml:space="preserve"> the possibility </w:t>
      </w:r>
      <w:r w:rsidRPr="00BC719D" w:rsidR="007917D0">
        <w:t xml:space="preserve">or </w:t>
      </w:r>
      <w:r w:rsidRPr="00BC719D" w:rsidR="00494B26">
        <w:t xml:space="preserve">the </w:t>
      </w:r>
      <w:r w:rsidRPr="00BC719D" w:rsidR="00D02784">
        <w:t xml:space="preserve">necessity to organise different regimes </w:t>
      </w:r>
      <w:r w:rsidRPr="00BC719D" w:rsidR="007917D0">
        <w:t xml:space="preserve">in respect </w:t>
      </w:r>
      <w:r w:rsidRPr="00BC719D" w:rsidR="00D02784">
        <w:t xml:space="preserve">of </w:t>
      </w:r>
      <w:r w:rsidRPr="00BC719D" w:rsidR="007917D0">
        <w:t xml:space="preserve">the </w:t>
      </w:r>
      <w:r w:rsidRPr="00BC719D" w:rsidR="00D02784">
        <w:t>execution of criminal sentence</w:t>
      </w:r>
      <w:r w:rsidRPr="00BC719D" w:rsidR="00C23C22">
        <w:t>s</w:t>
      </w:r>
      <w:r w:rsidRPr="00BC719D" w:rsidR="00D02784">
        <w:t xml:space="preserve"> which would fully take into account </w:t>
      </w:r>
      <w:r w:rsidRPr="00BC719D" w:rsidR="00B8007E">
        <w:t xml:space="preserve">the </w:t>
      </w:r>
      <w:r w:rsidRPr="00BC719D" w:rsidR="00D02784">
        <w:t>differences am</w:t>
      </w:r>
      <w:r w:rsidRPr="00BC719D" w:rsidR="00494B26">
        <w:t>ong various groups of convicts.</w:t>
      </w:r>
    </w:p>
    <w:p w:rsidRPr="00BC719D" w:rsidR="00190170" w:rsidP="00BC719D" w:rsidRDefault="00190170">
      <w:pPr>
        <w:pStyle w:val="ECHRPara"/>
      </w:pPr>
      <w:r w:rsidRPr="00BC719D">
        <w:fldChar w:fldCharType="begin"/>
      </w:r>
      <w:r w:rsidRPr="00BC719D">
        <w:instrText xml:space="preserve"> SEQ level0 \*arabic </w:instrText>
      </w:r>
      <w:r w:rsidRPr="00BC719D">
        <w:fldChar w:fldCharType="separate"/>
      </w:r>
      <w:r w:rsidRPr="00BC719D" w:rsidR="00BC719D">
        <w:rPr>
          <w:noProof/>
        </w:rPr>
        <w:t>63</w:t>
      </w:r>
      <w:r w:rsidRPr="00BC719D">
        <w:fldChar w:fldCharType="end"/>
      </w:r>
      <w:r w:rsidRPr="00BC719D">
        <w:t>.  </w:t>
      </w:r>
      <w:r w:rsidRPr="00BC719D" w:rsidR="00D764F0">
        <w:t xml:space="preserve">The Government </w:t>
      </w:r>
      <w:r w:rsidRPr="00BC719D" w:rsidR="00700851">
        <w:t xml:space="preserve">argued </w:t>
      </w:r>
      <w:r w:rsidRPr="00BC719D" w:rsidR="00D764F0">
        <w:t>that there was unanimity between penal researche</w:t>
      </w:r>
      <w:r w:rsidRPr="00BC719D" w:rsidR="0023631E">
        <w:t>r</w:t>
      </w:r>
      <w:r w:rsidRPr="00BC719D" w:rsidR="00D764F0">
        <w:t xml:space="preserve">s, scientists and national policy makers that male and female convicts were different in most aspects and </w:t>
      </w:r>
      <w:r w:rsidRPr="00BC719D" w:rsidR="00700851">
        <w:t xml:space="preserve">that </w:t>
      </w:r>
      <w:r w:rsidRPr="00BC719D" w:rsidR="00D764F0">
        <w:t>identically tailored approaches</w:t>
      </w:r>
      <w:r w:rsidRPr="00BC719D" w:rsidR="003D1A8F">
        <w:t xml:space="preserve"> </w:t>
      </w:r>
      <w:r w:rsidRPr="00BC719D" w:rsidR="00D764F0">
        <w:t>did no</w:t>
      </w:r>
      <w:r w:rsidRPr="00BC719D" w:rsidR="00C23C22">
        <w:t>t</w:t>
      </w:r>
      <w:r w:rsidRPr="00BC719D" w:rsidR="00D764F0">
        <w:t xml:space="preserve"> facilitate </w:t>
      </w:r>
      <w:r w:rsidRPr="00BC719D" w:rsidR="00FF6CF3">
        <w:t xml:space="preserve">the </w:t>
      </w:r>
      <w:r w:rsidRPr="00BC719D" w:rsidR="004A4CC3">
        <w:t>resocialisation</w:t>
      </w:r>
      <w:r w:rsidRPr="00BC719D" w:rsidR="00D764F0">
        <w:t xml:space="preserve"> of female convicts.</w:t>
      </w:r>
      <w:r w:rsidRPr="00BC719D" w:rsidR="003D1A8F">
        <w:t xml:space="preserve"> </w:t>
      </w:r>
      <w:r w:rsidRPr="00BC719D" w:rsidR="005237ED">
        <w:t>P</w:t>
      </w:r>
      <w:r w:rsidRPr="00BC719D">
        <w:t xml:space="preserve">rison regimes which were designed to accommodate </w:t>
      </w:r>
      <w:r w:rsidRPr="00BC719D" w:rsidR="00C23C22">
        <w:t xml:space="preserve">a </w:t>
      </w:r>
      <w:r w:rsidRPr="00BC719D">
        <w:t xml:space="preserve">male prison population were, in general, much stricter </w:t>
      </w:r>
      <w:r w:rsidRPr="00BC719D" w:rsidR="00FF6CF3">
        <w:t xml:space="preserve">owing </w:t>
      </w:r>
      <w:r w:rsidRPr="00BC719D">
        <w:t xml:space="preserve">to potential risks and threats to prison security and staff, </w:t>
      </w:r>
      <w:r w:rsidRPr="00BC719D" w:rsidR="00FF6CF3">
        <w:t xml:space="preserve">as well as </w:t>
      </w:r>
      <w:r w:rsidRPr="00BC719D" w:rsidR="00D1375C">
        <w:t xml:space="preserve">the </w:t>
      </w:r>
      <w:r w:rsidRPr="00BC719D">
        <w:t xml:space="preserve">risk of inter-prisoner violence and </w:t>
      </w:r>
      <w:r w:rsidRPr="00BC719D" w:rsidR="00FF6CF3">
        <w:t>escape attempts</w:t>
      </w:r>
      <w:r w:rsidRPr="00BC719D">
        <w:t>. A</w:t>
      </w:r>
      <w:r w:rsidRPr="00BC719D" w:rsidR="00700851">
        <w:t>ll those</w:t>
      </w:r>
      <w:r w:rsidRPr="00BC719D">
        <w:t xml:space="preserve"> risks were sufficiently lower or absent </w:t>
      </w:r>
      <w:r w:rsidRPr="00BC719D" w:rsidR="00FF6CF3">
        <w:t>in the case of</w:t>
      </w:r>
      <w:r w:rsidRPr="00BC719D" w:rsidR="00C23C22">
        <w:t xml:space="preserve"> </w:t>
      </w:r>
      <w:r w:rsidRPr="00BC719D" w:rsidR="00700851">
        <w:t xml:space="preserve">the </w:t>
      </w:r>
      <w:r w:rsidRPr="00BC719D">
        <w:t xml:space="preserve">female inmate population. </w:t>
      </w:r>
      <w:r w:rsidRPr="00BC719D" w:rsidR="005237ED">
        <w:t xml:space="preserve">Female convicts, in general, were less violent and less prone to aggression towards other inmates or prison staff. </w:t>
      </w:r>
      <w:r w:rsidRPr="00BC719D">
        <w:t>Hence, there was no objective need to subject female inmates to conditions which were inherently stricter, yet completely unnecessary.</w:t>
      </w:r>
    </w:p>
    <w:p w:rsidRPr="00BC719D" w:rsidR="00190170" w:rsidP="00BC719D" w:rsidRDefault="004E5029">
      <w:pPr>
        <w:pStyle w:val="ECHRPara"/>
      </w:pPr>
      <w:r w:rsidRPr="00BC719D">
        <w:fldChar w:fldCharType="begin"/>
      </w:r>
      <w:r w:rsidRPr="00BC719D">
        <w:instrText xml:space="preserve"> SEQ level0 \*arabic </w:instrText>
      </w:r>
      <w:r w:rsidRPr="00BC719D">
        <w:fldChar w:fldCharType="separate"/>
      </w:r>
      <w:r w:rsidRPr="00BC719D" w:rsidR="00BC719D">
        <w:rPr>
          <w:noProof/>
        </w:rPr>
        <w:t>64</w:t>
      </w:r>
      <w:r w:rsidRPr="00BC719D">
        <w:fldChar w:fldCharType="end"/>
      </w:r>
      <w:r w:rsidRPr="00BC719D" w:rsidR="00190170">
        <w:t>.  </w:t>
      </w:r>
      <w:r w:rsidRPr="00BC719D" w:rsidR="00494B26">
        <w:t>In Latvia this issue h</w:t>
      </w:r>
      <w:r w:rsidRPr="00BC719D" w:rsidR="006D3067">
        <w:t xml:space="preserve">istorically </w:t>
      </w:r>
      <w:r w:rsidRPr="00BC719D" w:rsidR="00D764F0">
        <w:t xml:space="preserve">had </w:t>
      </w:r>
      <w:r w:rsidRPr="00BC719D" w:rsidR="00494B26">
        <w:t xml:space="preserve">been </w:t>
      </w:r>
      <w:r w:rsidRPr="00BC719D" w:rsidR="006D3067">
        <w:t xml:space="preserve">addressed by </w:t>
      </w:r>
      <w:r w:rsidRPr="00BC719D" w:rsidR="00494B26">
        <w:t xml:space="preserve">creating </w:t>
      </w:r>
      <w:r w:rsidRPr="00BC719D" w:rsidR="006D3067">
        <w:t>three different and distinct pri</w:t>
      </w:r>
      <w:r w:rsidRPr="00BC719D" w:rsidR="00AD172D">
        <w:t>s</w:t>
      </w:r>
      <w:r w:rsidRPr="00BC719D" w:rsidR="006D3067">
        <w:t>on regimes</w:t>
      </w:r>
      <w:r w:rsidRPr="00BC719D" w:rsidR="00494B26">
        <w:t xml:space="preserve">, as well as </w:t>
      </w:r>
      <w:r w:rsidRPr="00BC719D" w:rsidR="006D3067">
        <w:t>a separate prison faci</w:t>
      </w:r>
      <w:r w:rsidRPr="00BC719D" w:rsidR="00D764F0">
        <w:t>lity</w:t>
      </w:r>
      <w:r w:rsidRPr="00BC719D" w:rsidR="00F93BC4">
        <w:t> </w:t>
      </w:r>
      <w:r w:rsidRPr="00BC719D" w:rsidR="00F93BC4">
        <w:noBreakHyphen/>
        <w:t> </w:t>
      </w:r>
      <w:r w:rsidRPr="00BC719D" w:rsidR="00494B26">
        <w:t>a partly-</w:t>
      </w:r>
      <w:r w:rsidRPr="00BC719D" w:rsidR="006D3067">
        <w:t>closed prison</w:t>
      </w:r>
      <w:r w:rsidRPr="00BC719D" w:rsidR="00D764F0">
        <w:t xml:space="preserve">, </w:t>
      </w:r>
      <w:r w:rsidRPr="00BC719D" w:rsidR="006D3067">
        <w:t>accommodating only female convicts.</w:t>
      </w:r>
      <w:r w:rsidRPr="00BC719D" w:rsidR="00190170">
        <w:t xml:space="preserve"> </w:t>
      </w:r>
      <w:r w:rsidRPr="00BC719D" w:rsidR="00D764F0">
        <w:t>A mixed approach where</w:t>
      </w:r>
      <w:r w:rsidRPr="00BC719D" w:rsidR="00D1375C">
        <w:t>by</w:t>
      </w:r>
      <w:r w:rsidRPr="00BC719D" w:rsidR="00D764F0">
        <w:t xml:space="preserve"> male and female convicts were held separately within the same facility had been proved to be harmful towards female convicts because, as a result, they served </w:t>
      </w:r>
      <w:r w:rsidRPr="00BC719D" w:rsidR="00D1375C">
        <w:t xml:space="preserve">their </w:t>
      </w:r>
      <w:r w:rsidRPr="00BC719D" w:rsidR="00D764F0">
        <w:t>sentence</w:t>
      </w:r>
      <w:r w:rsidRPr="00BC719D" w:rsidR="00F60E8B">
        <w:t>s</w:t>
      </w:r>
      <w:r w:rsidRPr="00BC719D" w:rsidR="00D764F0">
        <w:t xml:space="preserve"> </w:t>
      </w:r>
      <w:r w:rsidRPr="00BC719D" w:rsidR="00D1375C">
        <w:t xml:space="preserve">under </w:t>
      </w:r>
      <w:r w:rsidRPr="00BC719D" w:rsidR="00D764F0">
        <w:t>a stricter regime than it would be objectively necessary.</w:t>
      </w:r>
    </w:p>
    <w:p w:rsidRPr="00BC719D" w:rsidR="00190170" w:rsidP="00BC719D" w:rsidRDefault="00190170">
      <w:pPr>
        <w:pStyle w:val="ECHRPara"/>
      </w:pPr>
      <w:r w:rsidRPr="00BC719D">
        <w:fldChar w:fldCharType="begin"/>
      </w:r>
      <w:r w:rsidRPr="00BC719D">
        <w:instrText xml:space="preserve"> SEQ level0 \*arabic </w:instrText>
      </w:r>
      <w:r w:rsidRPr="00BC719D">
        <w:fldChar w:fldCharType="separate"/>
      </w:r>
      <w:r w:rsidRPr="00BC719D" w:rsidR="00BC719D">
        <w:rPr>
          <w:noProof/>
        </w:rPr>
        <w:t>65</w:t>
      </w:r>
      <w:r w:rsidRPr="00BC719D">
        <w:fldChar w:fldCharType="end"/>
      </w:r>
      <w:r w:rsidRPr="00BC719D">
        <w:t>.  The Government argued that difference</w:t>
      </w:r>
      <w:r w:rsidRPr="00BC719D" w:rsidR="00F60E8B">
        <w:t>s</w:t>
      </w:r>
      <w:r w:rsidRPr="00BC719D">
        <w:t xml:space="preserve"> in prison regime</w:t>
      </w:r>
      <w:r w:rsidRPr="00BC719D" w:rsidR="00F60E8B">
        <w:t>s</w:t>
      </w:r>
      <w:r w:rsidRPr="00BC719D">
        <w:t xml:space="preserve"> allowed gender </w:t>
      </w:r>
      <w:r w:rsidRPr="00BC719D" w:rsidR="005D6B22">
        <w:t>disti</w:t>
      </w:r>
      <w:r w:rsidRPr="00BC719D" w:rsidR="002616E8">
        <w:t>n</w:t>
      </w:r>
      <w:r w:rsidRPr="00BC719D" w:rsidR="005D6B22">
        <w:t>ctions</w:t>
      </w:r>
      <w:r w:rsidRPr="00BC719D">
        <w:t xml:space="preserve"> in the </w:t>
      </w:r>
      <w:r w:rsidRPr="00BC719D" w:rsidR="004A4CC3">
        <w:t xml:space="preserve">statistical structure of </w:t>
      </w:r>
      <w:r w:rsidRPr="00BC719D">
        <w:t>crime</w:t>
      </w:r>
      <w:r w:rsidRPr="00BC719D" w:rsidR="004A4CC3">
        <w:t>s</w:t>
      </w:r>
      <w:r w:rsidRPr="00BC719D">
        <w:t xml:space="preserve"> to be taken into account. In Latvia, female convicts made up 6</w:t>
      </w:r>
      <w:r w:rsidRPr="00BC719D" w:rsidR="00AD172D">
        <w:t>.</w:t>
      </w:r>
      <w:r w:rsidRPr="00BC719D">
        <w:t>2% of the total number of convicts. Approximately 70% of the crimes committed by females were non-violent</w:t>
      </w:r>
      <w:r w:rsidRPr="00BC719D" w:rsidR="00AD172D">
        <w:t>,</w:t>
      </w:r>
      <w:r w:rsidRPr="00BC719D" w:rsidR="006C333D">
        <w:t xml:space="preserve"> </w:t>
      </w:r>
      <w:r w:rsidRPr="00BC719D">
        <w:t>and only approximately 10% of violent crimes were committed by women. As in Europe in general, in Latvia the majority of women sent to prison were convicted of relatively minor offences and did not represent a danger to the community.</w:t>
      </w:r>
    </w:p>
    <w:bookmarkStart w:name="GOV_medium_level_same" w:id="28"/>
    <w:p w:rsidRPr="00BC719D" w:rsidR="00B8007E" w:rsidP="00BC719D" w:rsidRDefault="00B8007E">
      <w:pPr>
        <w:pStyle w:val="ECHRPara"/>
      </w:pPr>
      <w:r w:rsidRPr="00BC719D">
        <w:fldChar w:fldCharType="begin"/>
      </w:r>
      <w:r w:rsidRPr="00BC719D">
        <w:instrText xml:space="preserve"> SEQ level0 \*arabic </w:instrText>
      </w:r>
      <w:r w:rsidRPr="00BC719D">
        <w:fldChar w:fldCharType="separate"/>
      </w:r>
      <w:r w:rsidRPr="00BC719D" w:rsidR="00BC719D">
        <w:rPr>
          <w:noProof/>
        </w:rPr>
        <w:t>66</w:t>
      </w:r>
      <w:r w:rsidRPr="00BC719D">
        <w:fldChar w:fldCharType="end"/>
      </w:r>
      <w:bookmarkEnd w:id="28"/>
      <w:r w:rsidRPr="00BC719D">
        <w:t>.  </w:t>
      </w:r>
      <w:r w:rsidRPr="00BC719D" w:rsidR="00700851">
        <w:t>T</w:t>
      </w:r>
      <w:r w:rsidRPr="00BC719D">
        <w:t>he Government</w:t>
      </w:r>
      <w:r w:rsidRPr="00BC719D" w:rsidR="00700851">
        <w:t xml:space="preserve"> also contended that</w:t>
      </w:r>
      <w:r w:rsidRPr="00BC719D">
        <w:t xml:space="preserve"> the Latvian penal system treated </w:t>
      </w:r>
      <w:r w:rsidRPr="00BC719D" w:rsidR="00006FF3">
        <w:t xml:space="preserve">in a similar fashion male and female </w:t>
      </w:r>
      <w:r w:rsidRPr="00BC719D">
        <w:t xml:space="preserve">inmates that fell within comparable groups. In particular, male and female inmates serving their sentences </w:t>
      </w:r>
      <w:r w:rsidRPr="00BC719D" w:rsidR="00170ABC">
        <w:t>at</w:t>
      </w:r>
      <w:r w:rsidRPr="00BC719D" w:rsidR="00006FF3">
        <w:t xml:space="preserve"> </w:t>
      </w:r>
      <w:r w:rsidRPr="00BC719D" w:rsidR="0030620B">
        <w:t xml:space="preserve">the </w:t>
      </w:r>
      <w:r w:rsidRPr="00BC719D" w:rsidR="009B6661">
        <w:t>medium-</w:t>
      </w:r>
      <w:r w:rsidRPr="00BC719D" w:rsidR="00E45F55">
        <w:t xml:space="preserve">security </w:t>
      </w:r>
      <w:r w:rsidRPr="00BC719D" w:rsidR="00170ABC">
        <w:t xml:space="preserve">level </w:t>
      </w:r>
      <w:r w:rsidRPr="00BC719D">
        <w:t>were both granted the same privileges</w:t>
      </w:r>
      <w:r w:rsidRPr="00BC719D" w:rsidR="00270C12">
        <w:t>.</w:t>
      </w:r>
      <w:r w:rsidRPr="00BC719D">
        <w:t xml:space="preserve"> </w:t>
      </w:r>
      <w:r w:rsidRPr="00BC719D" w:rsidR="00270C12">
        <w:t>This was confirmed by the fact that following the applicant</w:t>
      </w:r>
      <w:r w:rsidRPr="00BC719D" w:rsidR="00BC719D">
        <w:t>’</w:t>
      </w:r>
      <w:r w:rsidRPr="00BC719D" w:rsidR="00270C12">
        <w:t xml:space="preserve">s transfer to </w:t>
      </w:r>
      <w:r w:rsidRPr="00BC719D" w:rsidR="00D60422">
        <w:t xml:space="preserve">a </w:t>
      </w:r>
      <w:r w:rsidRPr="00BC719D" w:rsidR="00270C12">
        <w:t xml:space="preserve">medium prison </w:t>
      </w:r>
      <w:r w:rsidRPr="00BC719D" w:rsidR="00170ABC">
        <w:t xml:space="preserve">level </w:t>
      </w:r>
      <w:r w:rsidRPr="00BC719D" w:rsidR="00270C12">
        <w:t>he had been granted prison leave four times.</w:t>
      </w:r>
    </w:p>
    <w:p w:rsidRPr="00BC719D" w:rsidR="00086925" w:rsidP="00BC719D" w:rsidRDefault="00861397">
      <w:pPr>
        <w:pStyle w:val="ECHRPara"/>
      </w:pPr>
      <w:r w:rsidRPr="00BC719D">
        <w:fldChar w:fldCharType="begin"/>
      </w:r>
      <w:r w:rsidRPr="00BC719D">
        <w:instrText xml:space="preserve"> SEQ level0 \*arabic </w:instrText>
      </w:r>
      <w:r w:rsidRPr="00BC719D">
        <w:fldChar w:fldCharType="separate"/>
      </w:r>
      <w:r w:rsidRPr="00BC719D" w:rsidR="00BC719D">
        <w:rPr>
          <w:noProof/>
        </w:rPr>
        <w:t>67</w:t>
      </w:r>
      <w:r w:rsidRPr="00BC719D">
        <w:fldChar w:fldCharType="end"/>
      </w:r>
      <w:r w:rsidRPr="00BC719D">
        <w:t>.  </w:t>
      </w:r>
      <w:r w:rsidRPr="00BC719D" w:rsidR="00006FF3">
        <w:t>Lastly</w:t>
      </w:r>
      <w:r w:rsidRPr="00BC719D" w:rsidR="00C22FB9">
        <w:t xml:space="preserve">, the Government submitted that the key issue in the present case was </w:t>
      </w:r>
      <w:r w:rsidRPr="00BC719D" w:rsidR="00B8007E">
        <w:t xml:space="preserve">not the alleged discrimination on the grounds of </w:t>
      </w:r>
      <w:r w:rsidRPr="00BC719D" w:rsidR="00700851">
        <w:t>sex</w:t>
      </w:r>
      <w:r w:rsidRPr="00BC719D" w:rsidR="00B8007E">
        <w:t xml:space="preserve"> but rather </w:t>
      </w:r>
      <w:r w:rsidRPr="00BC719D" w:rsidR="00C22FB9">
        <w:t xml:space="preserve">the fact that the Sentence Enforcement Code did not </w:t>
      </w:r>
      <w:r w:rsidRPr="00BC719D" w:rsidR="005237ED">
        <w:t xml:space="preserve">envisage a possibility of granting </w:t>
      </w:r>
      <w:r w:rsidRPr="00BC719D" w:rsidR="00C22FB9">
        <w:t xml:space="preserve">compassionate </w:t>
      </w:r>
      <w:r w:rsidRPr="00BC719D" w:rsidR="00B8007E">
        <w:t xml:space="preserve">prison </w:t>
      </w:r>
      <w:r w:rsidRPr="00BC719D" w:rsidR="00C22FB9">
        <w:t xml:space="preserve">leaves for inmates serving their sentence in closed prisons </w:t>
      </w:r>
      <w:r w:rsidRPr="00BC719D" w:rsidR="00170ABC">
        <w:t xml:space="preserve">at </w:t>
      </w:r>
      <w:r w:rsidRPr="00BC719D" w:rsidR="00700851">
        <w:t>the</w:t>
      </w:r>
      <w:r w:rsidRPr="00BC719D" w:rsidR="00C22FB9">
        <w:t xml:space="preserve"> </w:t>
      </w:r>
      <w:r w:rsidRPr="00BC719D" w:rsidR="009B6661">
        <w:t>maximum-</w:t>
      </w:r>
      <w:r w:rsidRPr="00BC719D" w:rsidR="00C22FB9">
        <w:t xml:space="preserve">security </w:t>
      </w:r>
      <w:r w:rsidRPr="00BC719D" w:rsidR="00170ABC">
        <w:t>level</w:t>
      </w:r>
      <w:r w:rsidRPr="00BC719D" w:rsidR="00C22FB9">
        <w:t xml:space="preserve">. </w:t>
      </w:r>
      <w:r w:rsidRPr="00BC719D" w:rsidR="00006FF3">
        <w:t>Even so</w:t>
      </w:r>
      <w:r w:rsidRPr="00BC719D" w:rsidR="00485F22">
        <w:t>,</w:t>
      </w:r>
      <w:r w:rsidRPr="00BC719D" w:rsidR="00B8007E">
        <w:t xml:space="preserve"> </w:t>
      </w:r>
      <w:r w:rsidRPr="00BC719D" w:rsidR="00C22FB9">
        <w:t xml:space="preserve">such a complaint </w:t>
      </w:r>
      <w:r w:rsidRPr="00BC719D" w:rsidR="00485F22">
        <w:t xml:space="preserve">had not </w:t>
      </w:r>
      <w:r w:rsidRPr="00BC719D" w:rsidR="00B8007E">
        <w:t xml:space="preserve">been </w:t>
      </w:r>
      <w:r w:rsidRPr="00BC719D" w:rsidR="00C22FB9">
        <w:t>communicated to the Government.</w:t>
      </w:r>
      <w:r w:rsidRPr="00BC719D" w:rsidR="00485F22">
        <w:t xml:space="preserve"> </w:t>
      </w:r>
      <w:r w:rsidRPr="00BC719D" w:rsidR="00086925">
        <w:t>Simultaneously, the Government argued that in his reply to the Government</w:t>
      </w:r>
      <w:r w:rsidRPr="00BC719D" w:rsidR="00BC719D">
        <w:t>’</w:t>
      </w:r>
      <w:r w:rsidRPr="00BC719D" w:rsidR="00086925">
        <w:t>s observations the applicant had tried to present his complaint from the perspective of Article</w:t>
      </w:r>
      <w:r w:rsidRPr="00BC719D" w:rsidR="00C56F67">
        <w:t> </w:t>
      </w:r>
      <w:r w:rsidRPr="00BC719D" w:rsidR="00086925">
        <w:t>8 of the Convention. In the Government</w:t>
      </w:r>
      <w:r w:rsidRPr="00BC719D" w:rsidR="00BC719D">
        <w:t>’</w:t>
      </w:r>
      <w:r w:rsidRPr="00BC719D" w:rsidR="00086925">
        <w:t>s view, that constituted an attempt to arbitrarily expand the scope of the applicant</w:t>
      </w:r>
      <w:r w:rsidRPr="00BC719D" w:rsidR="00BC719D">
        <w:t>’</w:t>
      </w:r>
      <w:r w:rsidRPr="00BC719D" w:rsidR="00086925">
        <w:t>s complaint</w:t>
      </w:r>
      <w:r w:rsidRPr="00BC719D" w:rsidR="005237ED">
        <w:t>,</w:t>
      </w:r>
      <w:r w:rsidRPr="00BC719D" w:rsidR="00086925">
        <w:t xml:space="preserve"> as communicated to the Government.</w:t>
      </w:r>
    </w:p>
    <w:p w:rsidRPr="00BC719D" w:rsidR="00160E9F" w:rsidP="00BC719D" w:rsidRDefault="008C1BE8">
      <w:pPr>
        <w:pStyle w:val="ECHRHeading3"/>
      </w:pPr>
      <w:r w:rsidRPr="00BC719D">
        <w:t>2</w:t>
      </w:r>
      <w:r w:rsidRPr="00BC719D" w:rsidR="00F93BC4">
        <w:t>.  </w:t>
      </w:r>
      <w:r w:rsidRPr="00BC719D" w:rsidR="00160E9F">
        <w:t>The Court</w:t>
      </w:r>
    </w:p>
    <w:p w:rsidRPr="00BC719D" w:rsidR="00160E9F" w:rsidP="00BC719D" w:rsidRDefault="008C1BE8">
      <w:pPr>
        <w:pStyle w:val="ECHRHeading4"/>
      </w:pPr>
      <w:r w:rsidRPr="00BC719D">
        <w:t>(a)</w:t>
      </w:r>
      <w:r w:rsidRPr="00BC719D" w:rsidR="00F93BC4">
        <w:t>  </w:t>
      </w:r>
      <w:r w:rsidRPr="00BC719D" w:rsidR="00160E9F">
        <w:t>The scope of the case</w:t>
      </w:r>
    </w:p>
    <w:p w:rsidRPr="00BC719D" w:rsidR="006C2692" w:rsidP="00BC719D" w:rsidRDefault="005247CA">
      <w:pPr>
        <w:pStyle w:val="ECHRPara"/>
      </w:pPr>
      <w:r w:rsidRPr="00BC719D">
        <w:fldChar w:fldCharType="begin"/>
      </w:r>
      <w:r w:rsidRPr="00BC719D">
        <w:instrText xml:space="preserve"> SEQ level0 \*arabic </w:instrText>
      </w:r>
      <w:r w:rsidRPr="00BC719D">
        <w:fldChar w:fldCharType="separate"/>
      </w:r>
      <w:r w:rsidRPr="00BC719D" w:rsidR="00BC719D">
        <w:rPr>
          <w:noProof/>
        </w:rPr>
        <w:t>68</w:t>
      </w:r>
      <w:r w:rsidRPr="00BC719D">
        <w:fldChar w:fldCharType="end"/>
      </w:r>
      <w:r w:rsidRPr="00BC719D">
        <w:t>.  </w:t>
      </w:r>
      <w:r w:rsidRPr="00BC719D" w:rsidR="00C233E7">
        <w:t>The Court has held that the scope of a case “referred to” the Court in the exercise of the right of individual application is determined by the applicant</w:t>
      </w:r>
      <w:r w:rsidRPr="00BC719D" w:rsidR="00BC719D">
        <w:t>’</w:t>
      </w:r>
      <w:r w:rsidRPr="00BC719D" w:rsidR="00C233E7">
        <w:t xml:space="preserve">s complaint or “claim” (see </w:t>
      </w:r>
      <w:r w:rsidRPr="00BC719D" w:rsidR="00C233E7">
        <w:rPr>
          <w:i/>
          <w:iCs/>
        </w:rPr>
        <w:t>Radomilja and Others</w:t>
      </w:r>
      <w:r w:rsidRPr="00BC719D" w:rsidR="00E73B4F">
        <w:rPr>
          <w:iCs/>
        </w:rPr>
        <w:t>, cited above</w:t>
      </w:r>
      <w:r w:rsidRPr="00BC719D" w:rsidR="00C233E7">
        <w:rPr>
          <w:lang w:eastAsia="en-GB"/>
        </w:rPr>
        <w:t xml:space="preserve">, </w:t>
      </w:r>
      <w:r w:rsidRPr="00BC719D" w:rsidR="00C233E7">
        <w:t>§§</w:t>
      </w:r>
      <w:r w:rsidRPr="00BC719D" w:rsidR="00E73B4F">
        <w:t> </w:t>
      </w:r>
      <w:r w:rsidRPr="00BC719D" w:rsidR="009F5D1C">
        <w:t>108-09 and 120-</w:t>
      </w:r>
      <w:r w:rsidRPr="00BC719D" w:rsidR="00C233E7">
        <w:t>22). Allegations made after the communication of the case to the respondent Government can only be examined by the Court if they constitute an elaboration of the applicant</w:t>
      </w:r>
      <w:r w:rsidRPr="00BC719D" w:rsidR="00BC719D">
        <w:t>’</w:t>
      </w:r>
      <w:r w:rsidRPr="00BC719D" w:rsidR="00C233E7">
        <w:t xml:space="preserve">s original complaint to the Court (see </w:t>
      </w:r>
      <w:r w:rsidRPr="00BC719D" w:rsidR="00C233E7">
        <w:rPr>
          <w:i/>
          <w:iCs/>
        </w:rPr>
        <w:t>Piryanik v. Ukraine</w:t>
      </w:r>
      <w:r w:rsidRPr="00BC719D" w:rsidR="00C233E7">
        <w:t>, no. 75788/01, § 20, 19 April 2005)</w:t>
      </w:r>
      <w:r w:rsidRPr="00BC719D" w:rsidR="006C2692">
        <w:t>.</w:t>
      </w:r>
    </w:p>
    <w:p w:rsidRPr="00BC719D" w:rsidR="00DF34F3" w:rsidP="00BC719D" w:rsidRDefault="004E5029">
      <w:pPr>
        <w:pStyle w:val="ECHRPara"/>
      </w:pPr>
      <w:r w:rsidRPr="00BC719D">
        <w:fldChar w:fldCharType="begin"/>
      </w:r>
      <w:r w:rsidRPr="00BC719D">
        <w:instrText xml:space="preserve"> SEQ level0 \*arabic </w:instrText>
      </w:r>
      <w:r w:rsidRPr="00BC719D">
        <w:fldChar w:fldCharType="separate"/>
      </w:r>
      <w:r w:rsidRPr="00BC719D" w:rsidR="00BC719D">
        <w:rPr>
          <w:noProof/>
        </w:rPr>
        <w:t>69</w:t>
      </w:r>
      <w:r w:rsidRPr="00BC719D">
        <w:fldChar w:fldCharType="end"/>
      </w:r>
      <w:r w:rsidRPr="00BC719D">
        <w:t>.  </w:t>
      </w:r>
      <w:r w:rsidRPr="00BC719D" w:rsidR="001C6649">
        <w:t xml:space="preserve">The Court observes that in his application form the applicant complained </w:t>
      </w:r>
      <w:r w:rsidRPr="00BC719D" w:rsidR="00A45B90">
        <w:t xml:space="preserve">of </w:t>
      </w:r>
      <w:r w:rsidRPr="00BC719D" w:rsidR="001C6649">
        <w:t xml:space="preserve">discrimination on </w:t>
      </w:r>
      <w:r w:rsidRPr="00BC719D" w:rsidR="00EA6EE8">
        <w:t xml:space="preserve">the </w:t>
      </w:r>
      <w:r w:rsidRPr="00BC719D" w:rsidR="001C6649">
        <w:t>grounds of sex with regard to the applicable prison regime</w:t>
      </w:r>
      <w:r w:rsidRPr="00BC719D" w:rsidR="00E45F55">
        <w:t>,</w:t>
      </w:r>
      <w:r w:rsidRPr="00BC719D" w:rsidR="00D167B8">
        <w:t xml:space="preserve"> as a consequence of which he was not allowed to attend his father</w:t>
      </w:r>
      <w:r w:rsidRPr="00BC719D" w:rsidR="00BC719D">
        <w:t>’</w:t>
      </w:r>
      <w:r w:rsidRPr="00BC719D" w:rsidR="00D167B8">
        <w:t xml:space="preserve">s funeral. </w:t>
      </w:r>
      <w:r w:rsidRPr="00BC719D" w:rsidR="001C6649">
        <w:t>In his reply to the Government</w:t>
      </w:r>
      <w:r w:rsidRPr="00BC719D" w:rsidR="00BC719D">
        <w:t>’</w:t>
      </w:r>
      <w:r w:rsidRPr="00BC719D" w:rsidR="001C6649">
        <w:t>s observations</w:t>
      </w:r>
      <w:r w:rsidRPr="00BC719D" w:rsidR="00AE5B80">
        <w:t xml:space="preserve"> </w:t>
      </w:r>
      <w:r w:rsidRPr="00BC719D" w:rsidR="00DF34F3">
        <w:t xml:space="preserve">the applicant submitted further considerations concerning the allegedly discriminatory nature of </w:t>
      </w:r>
      <w:r w:rsidRPr="00BC719D" w:rsidR="003A5913">
        <w:t xml:space="preserve">the </w:t>
      </w:r>
      <w:r w:rsidRPr="00BC719D" w:rsidR="004D44C8">
        <w:t xml:space="preserve">lack of </w:t>
      </w:r>
      <w:r w:rsidRPr="00BC719D" w:rsidR="00F4610A">
        <w:t xml:space="preserve">the </w:t>
      </w:r>
      <w:r w:rsidRPr="00BC719D" w:rsidR="004D44C8">
        <w:t xml:space="preserve">right to </w:t>
      </w:r>
      <w:r w:rsidRPr="00BC719D" w:rsidR="00D865E0">
        <w:t>prison leave</w:t>
      </w:r>
      <w:r w:rsidRPr="00BC719D" w:rsidR="00EA6EE8">
        <w:t xml:space="preserve"> and the resulting refusal to attend his father</w:t>
      </w:r>
      <w:r w:rsidRPr="00BC719D" w:rsidR="00BC719D">
        <w:t>’</w:t>
      </w:r>
      <w:r w:rsidRPr="00BC719D" w:rsidR="00EA6EE8">
        <w:t>s funeral</w:t>
      </w:r>
      <w:r w:rsidRPr="00BC719D" w:rsidR="00DF34F3">
        <w:t>.</w:t>
      </w:r>
      <w:r w:rsidRPr="00BC719D" w:rsidR="004D44C8">
        <w:t xml:space="preserve"> </w:t>
      </w:r>
      <w:r w:rsidRPr="00BC719D" w:rsidR="0041597A">
        <w:t>T</w:t>
      </w:r>
      <w:r w:rsidRPr="00BC719D" w:rsidR="00DF34F3">
        <w:t>he Court considers that the applicant</w:t>
      </w:r>
      <w:r w:rsidRPr="00BC719D" w:rsidR="00BC719D">
        <w:t>’</w:t>
      </w:r>
      <w:r w:rsidRPr="00BC719D" w:rsidR="00DF34F3">
        <w:t xml:space="preserve">s submissions further elaborate </w:t>
      </w:r>
      <w:r w:rsidRPr="00BC719D" w:rsidR="004D44C8">
        <w:t>h</w:t>
      </w:r>
      <w:r w:rsidRPr="00BC719D" w:rsidR="00DF34F3">
        <w:t>is</w:t>
      </w:r>
      <w:r w:rsidRPr="00BC719D" w:rsidR="00C56F67">
        <w:t xml:space="preserve"> complaint raised under Article </w:t>
      </w:r>
      <w:r w:rsidRPr="00BC719D" w:rsidR="00DF34F3">
        <w:t>14 of the Convention, read in conju</w:t>
      </w:r>
      <w:r w:rsidRPr="00BC719D" w:rsidR="004D44C8">
        <w:t>n</w:t>
      </w:r>
      <w:r w:rsidRPr="00BC719D" w:rsidR="00DF34F3">
        <w:t xml:space="preserve">ction with Article 8, </w:t>
      </w:r>
      <w:r w:rsidRPr="00BC719D" w:rsidR="00EA6EE8">
        <w:t>as it was communicated to the Government</w:t>
      </w:r>
      <w:r w:rsidRPr="00BC719D" w:rsidR="003A5913">
        <w:t xml:space="preserve">, and do not constitute an attempt to </w:t>
      </w:r>
      <w:r w:rsidRPr="00BC719D" w:rsidR="00215A58">
        <w:t xml:space="preserve">raise a </w:t>
      </w:r>
      <w:r w:rsidRPr="00BC719D" w:rsidR="00EA6EE8">
        <w:t>new complaint.</w:t>
      </w:r>
    </w:p>
    <w:p w:rsidRPr="00BC719D" w:rsidR="00FE7469" w:rsidP="00BC719D" w:rsidRDefault="008C1BE8">
      <w:pPr>
        <w:pStyle w:val="ECHRHeading4"/>
      </w:pPr>
      <w:r w:rsidRPr="00BC719D">
        <w:t>(b)</w:t>
      </w:r>
      <w:bookmarkStart w:name="_Toc472673007" w:id="29"/>
      <w:bookmarkStart w:name="_Toc472944067" w:id="30"/>
      <w:bookmarkStart w:name="_Toc473098788" w:id="31"/>
      <w:bookmarkEnd w:id="29"/>
      <w:bookmarkEnd w:id="30"/>
      <w:r w:rsidRPr="00BC719D" w:rsidR="00FE7469">
        <w:t>  Admissibility</w:t>
      </w:r>
    </w:p>
    <w:bookmarkEnd w:id="31"/>
    <w:p w:rsidRPr="00BC719D" w:rsidR="007939BC" w:rsidP="00BC719D" w:rsidRDefault="00F93BC4">
      <w:pPr>
        <w:pStyle w:val="ECHRHeading5"/>
      </w:pPr>
      <w:r w:rsidRPr="00BC719D">
        <w:t>(</w:t>
      </w:r>
      <w:r w:rsidRPr="00BC719D" w:rsidR="008C1BE8">
        <w:t>i</w:t>
      </w:r>
      <w:r w:rsidRPr="00BC719D">
        <w:t>)  </w:t>
      </w:r>
      <w:r w:rsidRPr="00BC719D" w:rsidR="007939BC">
        <w:t>Whether the facts of the case fall “within the ambit” of Article 8</w:t>
      </w:r>
    </w:p>
    <w:p w:rsidRPr="00BC719D" w:rsidR="00532B95" w:rsidP="00BC719D" w:rsidRDefault="00B5707C">
      <w:pPr>
        <w:pStyle w:val="ECHRPara"/>
      </w:pPr>
      <w:r w:rsidRPr="00BC719D">
        <w:fldChar w:fldCharType="begin"/>
      </w:r>
      <w:r w:rsidRPr="00BC719D">
        <w:instrText xml:space="preserve"> SEQ level0 \*arabic </w:instrText>
      </w:r>
      <w:r w:rsidRPr="00BC719D">
        <w:fldChar w:fldCharType="separate"/>
      </w:r>
      <w:r w:rsidRPr="00BC719D" w:rsidR="00BC719D">
        <w:rPr>
          <w:noProof/>
        </w:rPr>
        <w:t>70</w:t>
      </w:r>
      <w:r w:rsidRPr="00BC719D">
        <w:fldChar w:fldCharType="end"/>
      </w:r>
      <w:r w:rsidRPr="00BC719D">
        <w:t>.  </w:t>
      </w:r>
      <w:r w:rsidRPr="00BC719D" w:rsidR="003A5913">
        <w:t>T</w:t>
      </w:r>
      <w:r w:rsidRPr="00BC719D" w:rsidR="008A2DB0">
        <w:t xml:space="preserve">he Court </w:t>
      </w:r>
      <w:r w:rsidRPr="00BC719D" w:rsidR="003A5913">
        <w:t xml:space="preserve">reiterates that </w:t>
      </w:r>
      <w:r w:rsidRPr="00BC719D" w:rsidR="008A2DB0">
        <w:t>Article 14 complements the other substantive provisions of the Convention and its Protocols. It has no independent existence since it has effect solely in relation to “the enjoyment of the rights and</w:t>
      </w:r>
      <w:r w:rsidRPr="00BC719D" w:rsidR="008A2DB0">
        <w:rPr>
          <w:rFonts w:eastAsiaTheme="majorEastAsia"/>
        </w:rPr>
        <w:t xml:space="preserve"> freedoms” safeguarded thereby. F</w:t>
      </w:r>
      <w:r w:rsidRPr="00BC719D" w:rsidR="008A2DB0">
        <w:t xml:space="preserve">or Article 14 to become applicable, it suffices that the facts of the case fall “within the ambit” of another substantive provision of the Convention or its Protocols. Hence, </w:t>
      </w:r>
      <w:r w:rsidRPr="00BC719D" w:rsidR="00686C80">
        <w:t>t</w:t>
      </w:r>
      <w:r w:rsidRPr="00BC719D" w:rsidR="008A2DB0">
        <w:rPr>
          <w:snapToGrid w:val="0"/>
        </w:rPr>
        <w:t xml:space="preserve">he Court must determine at the outset whether the facts of the case fall within the </w:t>
      </w:r>
      <w:r w:rsidRPr="00BC719D" w:rsidR="00C233E7">
        <w:rPr>
          <w:snapToGrid w:val="0"/>
        </w:rPr>
        <w:t xml:space="preserve">general </w:t>
      </w:r>
      <w:r w:rsidRPr="00BC719D" w:rsidR="008A2DB0">
        <w:rPr>
          <w:snapToGrid w:val="0"/>
        </w:rPr>
        <w:t xml:space="preserve">scope of Article 8 </w:t>
      </w:r>
      <w:r w:rsidRPr="00BC719D" w:rsidR="008A2DB0">
        <w:rPr>
          <w:rFonts w:eastAsiaTheme="majorEastAsia"/>
        </w:rPr>
        <w:t xml:space="preserve">(see </w:t>
      </w:r>
      <w:r w:rsidRPr="00BC719D" w:rsidR="008A2DB0">
        <w:rPr>
          <w:i/>
        </w:rPr>
        <w:t xml:space="preserve">Konstantin Markin v. Russia </w:t>
      </w:r>
      <w:r w:rsidRPr="00BC719D" w:rsidR="008A2DB0">
        <w:t>[GC]</w:t>
      </w:r>
      <w:r w:rsidRPr="00BC719D" w:rsidR="008A2DB0">
        <w:rPr>
          <w:snapToGrid w:val="0"/>
        </w:rPr>
        <w:t>, no.</w:t>
      </w:r>
      <w:r w:rsidRPr="00BC719D" w:rsidR="003A5913">
        <w:rPr>
          <w:snapToGrid w:val="0"/>
        </w:rPr>
        <w:t> </w:t>
      </w:r>
      <w:r w:rsidRPr="00BC719D" w:rsidR="008A2DB0">
        <w:t xml:space="preserve">30078/06, § 124, </w:t>
      </w:r>
      <w:r w:rsidRPr="00BC719D" w:rsidR="008A2DB0">
        <w:rPr>
          <w:snapToGrid w:val="0"/>
        </w:rPr>
        <w:t>ECHR 2012 (extracts)</w:t>
      </w:r>
      <w:r w:rsidRPr="00BC719D" w:rsidR="00532B95">
        <w:t>).</w:t>
      </w:r>
    </w:p>
    <w:p w:rsidRPr="00BC719D" w:rsidR="00184B39" w:rsidP="00BC719D" w:rsidRDefault="000F7FC4">
      <w:pPr>
        <w:pStyle w:val="ECHRPara"/>
      </w:pPr>
      <w:r w:rsidRPr="00BC719D">
        <w:fldChar w:fldCharType="begin"/>
      </w:r>
      <w:r w:rsidRPr="00BC719D">
        <w:instrText xml:space="preserve"> SEQ level0 \*arabic </w:instrText>
      </w:r>
      <w:r w:rsidRPr="00BC719D">
        <w:fldChar w:fldCharType="separate"/>
      </w:r>
      <w:r w:rsidRPr="00BC719D" w:rsidR="00BC719D">
        <w:rPr>
          <w:noProof/>
        </w:rPr>
        <w:t>71</w:t>
      </w:r>
      <w:r w:rsidRPr="00BC719D">
        <w:fldChar w:fldCharType="end"/>
      </w:r>
      <w:r w:rsidRPr="00BC719D">
        <w:t>.  T</w:t>
      </w:r>
      <w:r w:rsidRPr="00BC719D" w:rsidR="004A6DF4">
        <w:t xml:space="preserve">he Court has </w:t>
      </w:r>
      <w:r w:rsidRPr="00BC719D" w:rsidR="006332A7">
        <w:t xml:space="preserve">already </w:t>
      </w:r>
      <w:r w:rsidRPr="00BC719D" w:rsidR="004A6DF4">
        <w:t xml:space="preserve">considered complaints about </w:t>
      </w:r>
      <w:r w:rsidRPr="00BC719D">
        <w:t>refusals to allow a detainee</w:t>
      </w:r>
      <w:r w:rsidRPr="00BC719D" w:rsidR="00BC719D">
        <w:t>’</w:t>
      </w:r>
      <w:r w:rsidRPr="00BC719D">
        <w:t>s</w:t>
      </w:r>
      <w:r w:rsidRPr="00BC719D" w:rsidR="004A6DF4">
        <w:t xml:space="preserve"> </w:t>
      </w:r>
      <w:r w:rsidRPr="00BC719D">
        <w:t xml:space="preserve">request </w:t>
      </w:r>
      <w:r w:rsidRPr="00BC719D" w:rsidR="004A6DF4">
        <w:t>to visit an ailing relative or attend a relatives</w:t>
      </w:r>
      <w:r w:rsidRPr="00BC719D" w:rsidR="00BC719D">
        <w:t>’</w:t>
      </w:r>
      <w:r w:rsidRPr="00BC719D" w:rsidR="004A6DF4">
        <w:t xml:space="preserve"> funeral </w:t>
      </w:r>
      <w:r w:rsidRPr="00BC719D">
        <w:t xml:space="preserve">in a number of cases and has </w:t>
      </w:r>
      <w:r w:rsidRPr="00BC719D" w:rsidR="007660CF">
        <w:t xml:space="preserve">invariably </w:t>
      </w:r>
      <w:r w:rsidRPr="00BC719D">
        <w:t xml:space="preserve">found </w:t>
      </w:r>
      <w:r w:rsidRPr="00BC719D" w:rsidR="00406E07">
        <w:t xml:space="preserve">such refusals to constitute an interference in the right to family life </w:t>
      </w:r>
      <w:r w:rsidRPr="00BC719D">
        <w:t xml:space="preserve">guaranteed under Article 8 of the Convention </w:t>
      </w:r>
      <w:r w:rsidRPr="00BC719D" w:rsidR="004A6DF4">
        <w:t xml:space="preserve">(see </w:t>
      </w:r>
      <w:r w:rsidRPr="00BC719D" w:rsidR="004A6DF4">
        <w:rPr>
          <w:i/>
        </w:rPr>
        <w:t>Lind v. Russia</w:t>
      </w:r>
      <w:r w:rsidRPr="00BC719D" w:rsidR="007660CF">
        <w:t>, no. 25664/05, § 92, 6 </w:t>
      </w:r>
      <w:r w:rsidRPr="00BC719D" w:rsidR="004A6DF4">
        <w:t>December 2007</w:t>
      </w:r>
      <w:r w:rsidRPr="00BC719D" w:rsidR="009F5D1C">
        <w:t>;</w:t>
      </w:r>
      <w:r w:rsidRPr="00BC719D" w:rsidR="00406E07">
        <w:t xml:space="preserve"> </w:t>
      </w:r>
      <w:r w:rsidRPr="00BC719D" w:rsidR="00406E07">
        <w:rPr>
          <w:i/>
        </w:rPr>
        <w:t>Schemkamper v. France</w:t>
      </w:r>
      <w:r w:rsidRPr="00BC719D" w:rsidR="00406E07">
        <w:t>, no. 75833/01, § 31, 18 October 2005</w:t>
      </w:r>
      <w:r w:rsidRPr="00BC719D" w:rsidR="009F5D1C">
        <w:t>;</w:t>
      </w:r>
      <w:r w:rsidRPr="00BC719D" w:rsidR="00406E07">
        <w:t xml:space="preserve"> </w:t>
      </w:r>
      <w:r w:rsidRPr="00BC719D" w:rsidR="00F93BC4">
        <w:rPr>
          <w:i/>
        </w:rPr>
        <w:t>Płoski v. </w:t>
      </w:r>
      <w:r w:rsidRPr="00BC719D" w:rsidR="00406E07">
        <w:rPr>
          <w:i/>
        </w:rPr>
        <w:t>Poland</w:t>
      </w:r>
      <w:r w:rsidRPr="00BC719D" w:rsidR="00406E07">
        <w:t>, no.</w:t>
      </w:r>
      <w:r w:rsidRPr="00BC719D">
        <w:t> </w:t>
      </w:r>
      <w:r w:rsidRPr="00BC719D" w:rsidR="007660CF">
        <w:t>26761/95, §</w:t>
      </w:r>
      <w:r w:rsidRPr="00BC719D" w:rsidR="00406E07">
        <w:t xml:space="preserve"> 32, 12 November 2002</w:t>
      </w:r>
      <w:r w:rsidRPr="00BC719D" w:rsidR="009F5D1C">
        <w:t>;</w:t>
      </w:r>
      <w:r w:rsidRPr="00BC719D" w:rsidR="001A4F20">
        <w:t xml:space="preserve"> and</w:t>
      </w:r>
      <w:r w:rsidRPr="00BC719D" w:rsidR="00406E07">
        <w:t xml:space="preserve"> </w:t>
      </w:r>
      <w:r w:rsidRPr="00BC719D" w:rsidR="00406E07">
        <w:rPr>
          <w:i/>
        </w:rPr>
        <w:t>Giszczak v. Poland</w:t>
      </w:r>
      <w:r w:rsidRPr="00BC719D" w:rsidR="00406E07">
        <w:t>, no. 40195/08, §§</w:t>
      </w:r>
      <w:r w:rsidRPr="00BC719D">
        <w:t> </w:t>
      </w:r>
      <w:r w:rsidRPr="00BC719D" w:rsidR="00406E07">
        <w:t>36-37, 29 November 2011).</w:t>
      </w:r>
    </w:p>
    <w:p w:rsidRPr="00BC719D" w:rsidR="00CB18B0" w:rsidP="00BC719D" w:rsidRDefault="00C96031">
      <w:pPr>
        <w:pStyle w:val="ECHRPara"/>
      </w:pPr>
      <w:r w:rsidRPr="00BC719D">
        <w:fldChar w:fldCharType="begin"/>
      </w:r>
      <w:r w:rsidRPr="00BC719D">
        <w:instrText xml:space="preserve"> SEQ level0 \*arabic </w:instrText>
      </w:r>
      <w:r w:rsidRPr="00BC719D">
        <w:fldChar w:fldCharType="separate"/>
      </w:r>
      <w:r w:rsidRPr="00BC719D" w:rsidR="00BC719D">
        <w:rPr>
          <w:noProof/>
        </w:rPr>
        <w:t>72</w:t>
      </w:r>
      <w:r w:rsidRPr="00BC719D">
        <w:fldChar w:fldCharType="end"/>
      </w:r>
      <w:r w:rsidRPr="00BC719D">
        <w:t>.  </w:t>
      </w:r>
      <w:r w:rsidRPr="00BC719D" w:rsidR="00CB18B0">
        <w:t>Accordingly, the Court finds that the applicant</w:t>
      </w:r>
      <w:r w:rsidRPr="00BC719D" w:rsidR="00BC719D">
        <w:t>’</w:t>
      </w:r>
      <w:r w:rsidRPr="00BC719D" w:rsidR="00CB18B0">
        <w:t>s complaint about the alleged discrimination in the applicable prison regime resulting in a refusal to attend his father</w:t>
      </w:r>
      <w:r w:rsidRPr="00BC719D" w:rsidR="00BC719D">
        <w:t>’</w:t>
      </w:r>
      <w:r w:rsidRPr="00BC719D" w:rsidR="00CB18B0">
        <w:t>s funeral falls within the ambit of Article</w:t>
      </w:r>
      <w:r w:rsidRPr="00BC719D" w:rsidR="00C56F67">
        <w:t> </w:t>
      </w:r>
      <w:r w:rsidRPr="00BC719D" w:rsidR="00CB18B0">
        <w:t>8 of the Convention.</w:t>
      </w:r>
    </w:p>
    <w:p w:rsidRPr="00BC719D" w:rsidR="007939BC" w:rsidP="00BC719D" w:rsidRDefault="007939BC">
      <w:pPr>
        <w:pStyle w:val="ECHRHeading5"/>
      </w:pPr>
      <w:r w:rsidRPr="00BC719D">
        <w:t>(</w:t>
      </w:r>
      <w:r w:rsidRPr="00BC719D" w:rsidR="008C1BE8">
        <w:t>ii</w:t>
      </w:r>
      <w:r w:rsidRPr="00BC719D">
        <w:t>)</w:t>
      </w:r>
      <w:r w:rsidRPr="00BC719D" w:rsidR="00F93BC4">
        <w:t>  </w:t>
      </w:r>
      <w:r w:rsidRPr="00BC719D">
        <w:t>Whether the alleged difference in treatment related to any of the grounds in Article 14</w:t>
      </w:r>
    </w:p>
    <w:p w:rsidRPr="00BC719D" w:rsidR="00BB00F6" w:rsidP="00BC719D" w:rsidRDefault="00BB00F6">
      <w:pPr>
        <w:pStyle w:val="ECHRPara"/>
        <w:rPr>
          <w:lang w:val="pt-PT"/>
        </w:rPr>
      </w:pPr>
      <w:r w:rsidRPr="00BC719D">
        <w:rPr>
          <w:rStyle w:val="JuParaChar"/>
        </w:rPr>
        <w:fldChar w:fldCharType="begin"/>
      </w:r>
      <w:r w:rsidRPr="00BC719D">
        <w:rPr>
          <w:rStyle w:val="JuParaChar"/>
        </w:rPr>
        <w:instrText xml:space="preserve"> SEQ level0 \*arabic </w:instrText>
      </w:r>
      <w:r w:rsidRPr="00BC719D">
        <w:rPr>
          <w:rStyle w:val="JuParaChar"/>
        </w:rPr>
        <w:fldChar w:fldCharType="separate"/>
      </w:r>
      <w:r w:rsidRPr="00BC719D" w:rsidR="00BC719D">
        <w:rPr>
          <w:rStyle w:val="JuParaChar"/>
          <w:noProof/>
        </w:rPr>
        <w:t>73</w:t>
      </w:r>
      <w:r w:rsidRPr="00BC719D">
        <w:rPr>
          <w:rStyle w:val="JuParaChar"/>
        </w:rPr>
        <w:fldChar w:fldCharType="end"/>
      </w:r>
      <w:r w:rsidRPr="00BC719D">
        <w:rPr>
          <w:rStyle w:val="JuParaChar"/>
        </w:rPr>
        <w:t>.  </w:t>
      </w:r>
      <w:r w:rsidRPr="00BC719D" w:rsidR="000F0E0D">
        <w:rPr>
          <w:rStyle w:val="JuParaChar"/>
        </w:rPr>
        <w:t>Article</w:t>
      </w:r>
      <w:r w:rsidRPr="00BC719D" w:rsidR="000F0E0D">
        <w:rPr>
          <w:rFonts w:eastAsiaTheme="majorEastAsia"/>
        </w:rPr>
        <w:t xml:space="preserve"> 14 does not prohibit all differences in treatment, but only those differences based on an identifiable, objective or personal characteristic, or “status”, by which individuals or groups are distinguishable from one another. It lists specific grounds which constitute “status</w:t>
      </w:r>
      <w:r w:rsidRPr="00BC719D">
        <w:rPr>
          <w:rFonts w:eastAsiaTheme="majorEastAsia"/>
        </w:rPr>
        <w:t>;</w:t>
      </w:r>
      <w:r w:rsidRPr="00BC719D" w:rsidR="000F0E0D">
        <w:rPr>
          <w:rFonts w:eastAsiaTheme="majorEastAsia"/>
        </w:rPr>
        <w:t xml:space="preserve">” </w:t>
      </w:r>
      <w:r w:rsidRPr="00BC719D">
        <w:rPr>
          <w:rFonts w:eastAsiaTheme="majorEastAsia"/>
        </w:rPr>
        <w:t>h</w:t>
      </w:r>
      <w:r w:rsidRPr="00BC719D" w:rsidR="000F0E0D">
        <w:rPr>
          <w:rFonts w:eastAsiaTheme="majorEastAsia"/>
        </w:rPr>
        <w:t>owever, the list is illustrative and not exhaustive</w:t>
      </w:r>
      <w:r w:rsidRPr="00BC719D">
        <w:rPr>
          <w:rFonts w:eastAsiaTheme="majorEastAsia"/>
        </w:rPr>
        <w:t xml:space="preserve"> (see </w:t>
      </w:r>
      <w:r w:rsidRPr="00BC719D" w:rsidR="0054716D">
        <w:rPr>
          <w:i/>
          <w:lang w:val="pt-PT"/>
        </w:rPr>
        <w:t>Khamtokhu and Aksenchik v. Russia</w:t>
      </w:r>
      <w:r w:rsidRPr="00BC719D" w:rsidR="0054716D">
        <w:rPr>
          <w:lang w:val="pt-PT"/>
        </w:rPr>
        <w:t xml:space="preserve"> [GC], nos. 60367/08 and 961/11, § 61, 24 January 2017</w:t>
      </w:r>
      <w:r w:rsidRPr="00BC719D">
        <w:t>).</w:t>
      </w:r>
    </w:p>
    <w:p w:rsidRPr="00BC719D" w:rsidR="000F0E0D" w:rsidP="00BC719D" w:rsidRDefault="00BB00F6">
      <w:pPr>
        <w:pStyle w:val="ECHRPara"/>
      </w:pPr>
      <w:r w:rsidRPr="00BC719D">
        <w:rPr>
          <w:rFonts w:eastAsiaTheme="majorEastAsia"/>
        </w:rPr>
        <w:fldChar w:fldCharType="begin"/>
      </w:r>
      <w:r w:rsidRPr="00BC719D">
        <w:rPr>
          <w:rFonts w:eastAsiaTheme="majorEastAsia"/>
        </w:rPr>
        <w:instrText xml:space="preserve"> SEQ level0 \*arabic </w:instrText>
      </w:r>
      <w:r w:rsidRPr="00BC719D">
        <w:rPr>
          <w:rFonts w:eastAsiaTheme="majorEastAsia"/>
        </w:rPr>
        <w:fldChar w:fldCharType="separate"/>
      </w:r>
      <w:r w:rsidRPr="00BC719D" w:rsidR="00BC719D">
        <w:rPr>
          <w:rFonts w:eastAsiaTheme="majorEastAsia"/>
          <w:noProof/>
        </w:rPr>
        <w:t>74</w:t>
      </w:r>
      <w:r w:rsidRPr="00BC719D">
        <w:rPr>
          <w:rFonts w:eastAsiaTheme="majorEastAsia"/>
        </w:rPr>
        <w:fldChar w:fldCharType="end"/>
      </w:r>
      <w:r w:rsidRPr="00BC719D">
        <w:rPr>
          <w:rFonts w:eastAsiaTheme="majorEastAsia"/>
        </w:rPr>
        <w:t>.  The applicant contends</w:t>
      </w:r>
      <w:r w:rsidRPr="00BC719D" w:rsidR="000F0E0D">
        <w:rPr>
          <w:rFonts w:eastAsiaTheme="majorEastAsia"/>
        </w:rPr>
        <w:t xml:space="preserve"> that </w:t>
      </w:r>
      <w:r w:rsidRPr="00BC719D">
        <w:rPr>
          <w:rFonts w:eastAsiaTheme="majorEastAsia"/>
        </w:rPr>
        <w:t xml:space="preserve">he has been discriminated against on the grounds of sex, as male and female inmates are subjected to different prison regimes </w:t>
      </w:r>
      <w:r w:rsidRPr="00BC719D" w:rsidR="00FA2931">
        <w:rPr>
          <w:rFonts w:eastAsiaTheme="majorEastAsia"/>
        </w:rPr>
        <w:t xml:space="preserve">resulting in </w:t>
      </w:r>
      <w:r w:rsidRPr="00BC719D">
        <w:rPr>
          <w:rFonts w:eastAsiaTheme="majorEastAsia"/>
        </w:rPr>
        <w:t xml:space="preserve">a differentiation on the </w:t>
      </w:r>
      <w:r w:rsidRPr="00BC719D" w:rsidR="000F0E0D">
        <w:rPr>
          <w:rFonts w:eastAsiaTheme="majorEastAsia"/>
        </w:rPr>
        <w:t>basis of sex wi</w:t>
      </w:r>
      <w:r w:rsidRPr="00BC719D">
        <w:rPr>
          <w:rFonts w:eastAsiaTheme="majorEastAsia"/>
        </w:rPr>
        <w:t xml:space="preserve">th regard to the right to prison leave. </w:t>
      </w:r>
      <w:r w:rsidRPr="00BC719D" w:rsidR="000F0E0D">
        <w:rPr>
          <w:rFonts w:eastAsiaTheme="majorEastAsia"/>
        </w:rPr>
        <w:t>The Court notes that “sex” is explicitly mentioned in Article 14 as a prohibited ground of discrimination.</w:t>
      </w:r>
    </w:p>
    <w:p w:rsidRPr="00BC719D" w:rsidR="00FE7469" w:rsidP="00BC719D" w:rsidRDefault="00FE7469">
      <w:pPr>
        <w:pStyle w:val="ECHRHeading5"/>
      </w:pPr>
      <w:r w:rsidRPr="00BC719D">
        <w:t>(</w:t>
      </w:r>
      <w:r w:rsidRPr="00BC719D" w:rsidR="008C1BE8">
        <w:t>iii</w:t>
      </w:r>
      <w:r w:rsidRPr="00BC719D">
        <w:t>)  Conclusion</w:t>
      </w:r>
    </w:p>
    <w:p w:rsidRPr="00BC719D" w:rsidR="000F0E0D" w:rsidP="00BC719D" w:rsidRDefault="003A5913">
      <w:pPr>
        <w:pStyle w:val="ECHRPara"/>
      </w:pPr>
      <w:r w:rsidRPr="00BC719D">
        <w:fldChar w:fldCharType="begin"/>
      </w:r>
      <w:r w:rsidRPr="00BC719D">
        <w:instrText xml:space="preserve"> SEQ level0 \*arabic </w:instrText>
      </w:r>
      <w:r w:rsidRPr="00BC719D">
        <w:fldChar w:fldCharType="separate"/>
      </w:r>
      <w:r w:rsidRPr="00BC719D" w:rsidR="00BC719D">
        <w:rPr>
          <w:noProof/>
        </w:rPr>
        <w:t>75</w:t>
      </w:r>
      <w:r w:rsidRPr="00BC719D">
        <w:fldChar w:fldCharType="end"/>
      </w:r>
      <w:r w:rsidRPr="00BC719D">
        <w:t xml:space="preserve">.  Hence, </w:t>
      </w:r>
      <w:r w:rsidRPr="00BC719D" w:rsidR="000F0E0D">
        <w:t>Article 14 of the Convention taken in conjunction with Article 8 is applicable in the present case.</w:t>
      </w:r>
    </w:p>
    <w:p w:rsidRPr="00BC719D" w:rsidR="006306D4" w:rsidP="00BC719D" w:rsidRDefault="006306D4">
      <w:pPr>
        <w:pStyle w:val="ECHRPara"/>
      </w:pPr>
      <w:r w:rsidRPr="00BC719D">
        <w:fldChar w:fldCharType="begin"/>
      </w:r>
      <w:r w:rsidRPr="00BC719D">
        <w:instrText xml:space="preserve"> SEQ level0 \*arabic </w:instrText>
      </w:r>
      <w:r w:rsidRPr="00BC719D">
        <w:fldChar w:fldCharType="separate"/>
      </w:r>
      <w:r w:rsidRPr="00BC719D" w:rsidR="00BC719D">
        <w:rPr>
          <w:noProof/>
        </w:rPr>
        <w:t>76</w:t>
      </w:r>
      <w:r w:rsidRPr="00BC719D">
        <w:fldChar w:fldCharType="end"/>
      </w:r>
      <w:r w:rsidRPr="00BC719D">
        <w:t>.  The Court notes that this complaint is not manifestly ill-founded within the meaning of Article 35 § 3 (a) of the Convention. It furthermore notes that it is not inadmissible on any other grounds. It must therefore be declared admissible.</w:t>
      </w:r>
    </w:p>
    <w:p w:rsidRPr="00BC719D" w:rsidR="00FE7469" w:rsidP="00BC719D" w:rsidRDefault="008C1BE8">
      <w:pPr>
        <w:pStyle w:val="ECHRHeading4"/>
      </w:pPr>
      <w:bookmarkStart w:name="_Toc472673008" w:id="32"/>
      <w:bookmarkStart w:name="_Toc472944068" w:id="33"/>
      <w:bookmarkStart w:name="_Toc473098789" w:id="34"/>
      <w:bookmarkEnd w:id="32"/>
      <w:bookmarkEnd w:id="33"/>
      <w:r w:rsidRPr="00BC719D">
        <w:t>(c)</w:t>
      </w:r>
      <w:r w:rsidRPr="00BC719D" w:rsidR="00FE7469">
        <w:t>  Merits</w:t>
      </w:r>
    </w:p>
    <w:bookmarkEnd w:id="34"/>
    <w:p w:rsidRPr="00BC719D" w:rsidR="007939BC" w:rsidP="00BC719D" w:rsidRDefault="00F93BC4">
      <w:pPr>
        <w:pStyle w:val="ECHRHeading5"/>
      </w:pPr>
      <w:r w:rsidRPr="00BC719D">
        <w:t>(</w:t>
      </w:r>
      <w:r w:rsidRPr="00BC719D" w:rsidR="008C1BE8">
        <w:t>i</w:t>
      </w:r>
      <w:r w:rsidRPr="00BC719D">
        <w:t>)  </w:t>
      </w:r>
      <w:r w:rsidRPr="00BC719D" w:rsidR="00A1060D">
        <w:t>Whether the applicant</w:t>
      </w:r>
      <w:r w:rsidRPr="00BC719D" w:rsidR="007939BC">
        <w:t xml:space="preserve"> w</w:t>
      </w:r>
      <w:r w:rsidRPr="00BC719D" w:rsidR="00A1060D">
        <w:t>as</w:t>
      </w:r>
      <w:r w:rsidRPr="00BC719D" w:rsidR="007939BC">
        <w:t xml:space="preserve"> in an analogous or relevantly similar position to </w:t>
      </w:r>
      <w:r w:rsidRPr="00BC719D" w:rsidR="00A1060D">
        <w:t>female convicts</w:t>
      </w:r>
    </w:p>
    <w:p w:rsidRPr="00BC719D" w:rsidR="003A5913" w:rsidP="00BC719D" w:rsidRDefault="003A5913">
      <w:pPr>
        <w:pStyle w:val="ECHRPara"/>
      </w:pPr>
      <w:r w:rsidRPr="00BC719D">
        <w:fldChar w:fldCharType="begin"/>
      </w:r>
      <w:r w:rsidRPr="00BC719D">
        <w:instrText xml:space="preserve"> SEQ level0 \*arabic </w:instrText>
      </w:r>
      <w:r w:rsidRPr="00BC719D">
        <w:fldChar w:fldCharType="separate"/>
      </w:r>
      <w:r w:rsidRPr="00BC719D" w:rsidR="00BC719D">
        <w:rPr>
          <w:noProof/>
        </w:rPr>
        <w:t>77</w:t>
      </w:r>
      <w:r w:rsidRPr="00BC719D">
        <w:fldChar w:fldCharType="end"/>
      </w:r>
      <w:r w:rsidRPr="00BC719D">
        <w:t>.  The Government</w:t>
      </w:r>
      <w:r w:rsidRPr="00BC719D" w:rsidR="00BC719D">
        <w:t>’</w:t>
      </w:r>
      <w:r w:rsidRPr="00BC719D">
        <w:t>s position before the Court was based on an assertion that men and women prisoners were not sufficiently similar to be compared with each other.</w:t>
      </w:r>
    </w:p>
    <w:p w:rsidRPr="00BC719D" w:rsidR="00A1060D" w:rsidP="00BC719D" w:rsidRDefault="006E77F4">
      <w:pPr>
        <w:pStyle w:val="ECHRPara"/>
      </w:pPr>
      <w:r w:rsidRPr="00BC719D">
        <w:fldChar w:fldCharType="begin"/>
      </w:r>
      <w:r w:rsidRPr="00BC719D">
        <w:instrText xml:space="preserve"> SEQ level0 \*arabic </w:instrText>
      </w:r>
      <w:r w:rsidRPr="00BC719D">
        <w:fldChar w:fldCharType="separate"/>
      </w:r>
      <w:r w:rsidRPr="00BC719D" w:rsidR="00BC719D">
        <w:rPr>
          <w:noProof/>
        </w:rPr>
        <w:t>78</w:t>
      </w:r>
      <w:r w:rsidRPr="00BC719D">
        <w:fldChar w:fldCharType="end"/>
      </w:r>
      <w:r w:rsidRPr="00BC719D">
        <w:t>.  </w:t>
      </w:r>
      <w:r w:rsidRPr="00BC719D" w:rsidR="003A5913">
        <w:t>The Court has consistently held that i</w:t>
      </w:r>
      <w:r w:rsidRPr="00BC719D" w:rsidR="00942E42">
        <w:t xml:space="preserve">n order for an issue to arise under Article 14 there must be a difference in the treatment of persons in analogous, or </w:t>
      </w:r>
      <w:r w:rsidRPr="00BC719D" w:rsidR="003A5913">
        <w:t>relevantly similar, situations. T</w:t>
      </w:r>
      <w:r w:rsidRPr="00BC719D" w:rsidR="00942E42">
        <w:t xml:space="preserve">he requirement to demonstrate an analogous position does not require that the comparator groups be identical. An applicant must demonstrate that, having regard to the particular nature of his or her complaint, he or she was in a relevantly similar situation to others treated differently </w:t>
      </w:r>
      <w:r w:rsidRPr="00BC719D">
        <w:t>(see</w:t>
      </w:r>
      <w:r w:rsidRPr="00BC719D" w:rsidR="003A5913">
        <w:t xml:space="preserve">, for example, </w:t>
      </w:r>
      <w:r w:rsidRPr="00BC719D" w:rsidR="00A1060D">
        <w:rPr>
          <w:i/>
        </w:rPr>
        <w:t xml:space="preserve">Fábián </w:t>
      </w:r>
      <w:r w:rsidRPr="00BC719D" w:rsidR="00F93BC4">
        <w:rPr>
          <w:i/>
          <w:iCs/>
        </w:rPr>
        <w:t>v. </w:t>
      </w:r>
      <w:r w:rsidRPr="00BC719D" w:rsidR="00A1060D">
        <w:rPr>
          <w:i/>
          <w:iCs/>
        </w:rPr>
        <w:t>Hungary</w:t>
      </w:r>
      <w:r w:rsidRPr="00BC719D" w:rsidR="00A1060D">
        <w:rPr>
          <w:rStyle w:val="JuParaChar"/>
          <w:i/>
          <w:iCs/>
        </w:rPr>
        <w:t xml:space="preserve"> </w:t>
      </w:r>
      <w:r w:rsidRPr="00BC719D" w:rsidR="00A1060D">
        <w:t>[GC]</w:t>
      </w:r>
      <w:r w:rsidRPr="00BC719D" w:rsidR="00A1060D">
        <w:rPr>
          <w:lang w:eastAsia="en-GB"/>
        </w:rPr>
        <w:t xml:space="preserve">, </w:t>
      </w:r>
      <w:r w:rsidRPr="00BC719D" w:rsidR="00A1060D">
        <w:t>no. 78117/13, § 113, ECHR 2017 (extracts)</w:t>
      </w:r>
      <w:r w:rsidRPr="00BC719D">
        <w:t>).</w:t>
      </w:r>
    </w:p>
    <w:p w:rsidRPr="00BC719D" w:rsidR="00D15AD4" w:rsidP="00BC719D" w:rsidRDefault="007D7C83">
      <w:pPr>
        <w:pStyle w:val="ECHRPara"/>
      </w:pPr>
      <w:r w:rsidRPr="00BC719D">
        <w:rPr>
          <w:rFonts w:eastAsiaTheme="majorEastAsia"/>
        </w:rPr>
        <w:fldChar w:fldCharType="begin"/>
      </w:r>
      <w:r w:rsidRPr="00BC719D">
        <w:rPr>
          <w:rFonts w:eastAsiaTheme="majorEastAsia"/>
        </w:rPr>
        <w:instrText xml:space="preserve"> SEQ level0 \*arabic </w:instrText>
      </w:r>
      <w:r w:rsidRPr="00BC719D">
        <w:rPr>
          <w:rFonts w:eastAsiaTheme="majorEastAsia"/>
        </w:rPr>
        <w:fldChar w:fldCharType="separate"/>
      </w:r>
      <w:r w:rsidRPr="00BC719D" w:rsidR="00BC719D">
        <w:rPr>
          <w:rFonts w:eastAsiaTheme="majorEastAsia"/>
          <w:noProof/>
        </w:rPr>
        <w:t>79</w:t>
      </w:r>
      <w:r w:rsidRPr="00BC719D">
        <w:rPr>
          <w:rFonts w:eastAsiaTheme="majorEastAsia"/>
        </w:rPr>
        <w:fldChar w:fldCharType="end"/>
      </w:r>
      <w:r w:rsidRPr="00BC719D">
        <w:rPr>
          <w:rFonts w:eastAsiaTheme="majorEastAsia"/>
        </w:rPr>
        <w:t>.  </w:t>
      </w:r>
      <w:r w:rsidRPr="00BC719D" w:rsidR="00686C80">
        <w:rPr>
          <w:rFonts w:eastAsiaTheme="majorEastAsia"/>
        </w:rPr>
        <w:t>I</w:t>
      </w:r>
      <w:r w:rsidRPr="00BC719D">
        <w:rPr>
          <w:rFonts w:eastAsiaTheme="majorEastAsia"/>
        </w:rPr>
        <w:t xml:space="preserve">n </w:t>
      </w:r>
      <w:r w:rsidRPr="00BC719D" w:rsidR="00482C67">
        <w:rPr>
          <w:rFonts w:eastAsiaTheme="majorEastAsia"/>
        </w:rPr>
        <w:t xml:space="preserve">the case of </w:t>
      </w:r>
      <w:r w:rsidRPr="00BC719D" w:rsidR="00D15AD4">
        <w:rPr>
          <w:i/>
        </w:rPr>
        <w:t>Khamtokhu and Aksenchik</w:t>
      </w:r>
      <w:r w:rsidRPr="00BC719D" w:rsidR="00D15AD4">
        <w:t xml:space="preserve"> </w:t>
      </w:r>
      <w:r w:rsidRPr="00BC719D" w:rsidR="009F5D1C">
        <w:t>(cited above)</w:t>
      </w:r>
      <w:r w:rsidRPr="00BC719D" w:rsidR="004F3EA2">
        <w:t xml:space="preserve"> </w:t>
      </w:r>
      <w:r w:rsidRPr="00BC719D" w:rsidR="00D15AD4">
        <w:t xml:space="preserve">the </w:t>
      </w:r>
      <w:r w:rsidRPr="00BC719D" w:rsidR="00466291">
        <w:t xml:space="preserve">male </w:t>
      </w:r>
      <w:r w:rsidRPr="00BC719D" w:rsidR="00D15AD4">
        <w:t>applicants</w:t>
      </w:r>
      <w:r w:rsidRPr="00BC719D" w:rsidR="00BD5B45">
        <w:t xml:space="preserve">, </w:t>
      </w:r>
      <w:r w:rsidRPr="00BC719D" w:rsidR="00BD5B45">
        <w:rPr>
          <w:i/>
        </w:rPr>
        <w:t>in</w:t>
      </w:r>
      <w:r w:rsidRPr="00BC719D" w:rsidR="003A5913">
        <w:rPr>
          <w:i/>
        </w:rPr>
        <w:t>t</w:t>
      </w:r>
      <w:r w:rsidRPr="00BC719D" w:rsidR="00BD5B45">
        <w:rPr>
          <w:i/>
        </w:rPr>
        <w:t xml:space="preserve">er alia, </w:t>
      </w:r>
      <w:r w:rsidRPr="00BC719D" w:rsidR="00D15AD4">
        <w:t xml:space="preserve">complained </w:t>
      </w:r>
      <w:r w:rsidRPr="00BC719D" w:rsidR="00466291">
        <w:t xml:space="preserve">about </w:t>
      </w:r>
      <w:r w:rsidRPr="00BC719D" w:rsidR="00D15AD4">
        <w:t>discrimination</w:t>
      </w:r>
      <w:r w:rsidRPr="00BC719D" w:rsidR="00BD5B45">
        <w:t xml:space="preserve"> </w:t>
      </w:r>
      <w:r w:rsidRPr="00BC719D" w:rsidR="00D15AD4">
        <w:t xml:space="preserve">on the grounds of sex, as </w:t>
      </w:r>
      <w:r w:rsidRPr="00BC719D" w:rsidR="00BD5B45">
        <w:t>life imprisonment coul</w:t>
      </w:r>
      <w:r w:rsidRPr="00BC719D" w:rsidR="003A5913">
        <w:t>d</w:t>
      </w:r>
      <w:r w:rsidRPr="00BC719D" w:rsidR="00BD5B45">
        <w:t xml:space="preserve"> not be imposed on women</w:t>
      </w:r>
      <w:r w:rsidRPr="00BC719D" w:rsidR="00D15AD4">
        <w:t xml:space="preserve">. The Court </w:t>
      </w:r>
      <w:r w:rsidRPr="00BC719D" w:rsidR="003A5913">
        <w:t xml:space="preserve">found </w:t>
      </w:r>
      <w:r w:rsidRPr="00BC719D" w:rsidR="00D15AD4">
        <w:t xml:space="preserve">that </w:t>
      </w:r>
      <w:r w:rsidRPr="00BC719D" w:rsidR="00D15AD4">
        <w:rPr>
          <w:rFonts w:eastAsiaTheme="majorEastAsia"/>
        </w:rPr>
        <w:t xml:space="preserve">the applicants were in an analogous situation to </w:t>
      </w:r>
      <w:r w:rsidRPr="00BC719D" w:rsidR="002D2CA0">
        <w:rPr>
          <w:rFonts w:eastAsiaTheme="majorEastAsia"/>
        </w:rPr>
        <w:t xml:space="preserve">that of </w:t>
      </w:r>
      <w:r w:rsidRPr="00BC719D" w:rsidR="00D15AD4">
        <w:rPr>
          <w:rFonts w:eastAsiaTheme="majorEastAsia"/>
        </w:rPr>
        <w:t>all other offenders</w:t>
      </w:r>
      <w:r w:rsidRPr="00BC719D" w:rsidR="0054716D">
        <w:rPr>
          <w:rFonts w:eastAsiaTheme="majorEastAsia"/>
        </w:rPr>
        <w:t>, including female offenders,</w:t>
      </w:r>
      <w:r w:rsidRPr="00BC719D" w:rsidR="00D15AD4">
        <w:rPr>
          <w:rFonts w:eastAsiaTheme="majorEastAsia"/>
        </w:rPr>
        <w:t xml:space="preserve"> who had been convicted of the same or comparable offences (</w:t>
      </w:r>
      <w:r w:rsidRPr="00BC719D" w:rsidR="00364F39">
        <w:rPr>
          <w:rFonts w:eastAsiaTheme="majorEastAsia"/>
        </w:rPr>
        <w:t xml:space="preserve">see </w:t>
      </w:r>
      <w:r w:rsidRPr="00BC719D" w:rsidR="00D15AD4">
        <w:rPr>
          <w:i/>
        </w:rPr>
        <w:t>Khamtokhu and Aksenchik</w:t>
      </w:r>
      <w:r w:rsidRPr="00BC719D" w:rsidR="00D15AD4">
        <w:t xml:space="preserve">, </w:t>
      </w:r>
      <w:r w:rsidRPr="00BC719D" w:rsidR="001A4F20">
        <w:rPr>
          <w:rFonts w:ascii="Times New Roman" w:hAnsi="Times New Roman"/>
          <w:snapToGrid w:val="0"/>
          <w:szCs w:val="24"/>
        </w:rPr>
        <w:t>cited above</w:t>
      </w:r>
      <w:r w:rsidRPr="00BC719D" w:rsidR="00C56F67">
        <w:t>, § </w:t>
      </w:r>
      <w:r w:rsidRPr="00BC719D" w:rsidR="00D15AD4">
        <w:t>68</w:t>
      </w:r>
      <w:r w:rsidRPr="00BC719D" w:rsidR="008C2DFB">
        <w:t xml:space="preserve">; </w:t>
      </w:r>
      <w:r w:rsidRPr="00BC719D" w:rsidR="00686C80">
        <w:t>compare</w:t>
      </w:r>
      <w:r w:rsidRPr="00BC719D" w:rsidR="008C2DFB">
        <w:t xml:space="preserve"> also </w:t>
      </w:r>
      <w:r w:rsidRPr="00BC719D" w:rsidR="008C2DFB">
        <w:rPr>
          <w:i/>
        </w:rPr>
        <w:t>Laduna</w:t>
      </w:r>
      <w:r w:rsidRPr="00BC719D" w:rsidR="008C2DFB">
        <w:t>,</w:t>
      </w:r>
      <w:r w:rsidRPr="00BC719D" w:rsidR="008C2DFB">
        <w:rPr>
          <w:i/>
        </w:rPr>
        <w:t xml:space="preserve"> </w:t>
      </w:r>
      <w:r w:rsidRPr="00BC719D" w:rsidR="008C2DFB">
        <w:rPr>
          <w:rFonts w:eastAsiaTheme="majorEastAsia"/>
        </w:rPr>
        <w:t>cited above</w:t>
      </w:r>
      <w:r w:rsidRPr="00BC719D" w:rsidR="008C2DFB">
        <w:t xml:space="preserve">, §§ 56-58 and </w:t>
      </w:r>
      <w:r w:rsidRPr="00BC719D" w:rsidR="008C2DFB">
        <w:rPr>
          <w:i/>
        </w:rPr>
        <w:t>Clift v. the United Kingdom</w:t>
      </w:r>
      <w:r w:rsidRPr="00BC719D" w:rsidR="008C2DFB">
        <w:t>, no. 7205/07, §§ 67-68, 13 July 2010</w:t>
      </w:r>
      <w:r w:rsidRPr="00BC719D" w:rsidR="00D15AD4">
        <w:t>).</w:t>
      </w:r>
    </w:p>
    <w:p w:rsidRPr="00BC719D" w:rsidR="006C333D" w:rsidP="00BC719D" w:rsidRDefault="003A5913">
      <w:pPr>
        <w:pStyle w:val="ECHRPara"/>
      </w:pPr>
      <w:r w:rsidRPr="00BC719D">
        <w:rPr>
          <w:rFonts w:eastAsiaTheme="majorEastAsia"/>
        </w:rPr>
        <w:fldChar w:fldCharType="begin"/>
      </w:r>
      <w:r w:rsidRPr="00BC719D">
        <w:rPr>
          <w:rFonts w:eastAsiaTheme="majorEastAsia"/>
        </w:rPr>
        <w:instrText xml:space="preserve"> SEQ level0 \*arabic </w:instrText>
      </w:r>
      <w:r w:rsidRPr="00BC719D">
        <w:rPr>
          <w:rFonts w:eastAsiaTheme="majorEastAsia"/>
        </w:rPr>
        <w:fldChar w:fldCharType="separate"/>
      </w:r>
      <w:r w:rsidRPr="00BC719D" w:rsidR="00BC719D">
        <w:rPr>
          <w:rFonts w:eastAsiaTheme="majorEastAsia"/>
          <w:noProof/>
        </w:rPr>
        <w:t>80</w:t>
      </w:r>
      <w:r w:rsidRPr="00BC719D">
        <w:rPr>
          <w:rFonts w:eastAsiaTheme="majorEastAsia"/>
        </w:rPr>
        <w:fldChar w:fldCharType="end"/>
      </w:r>
      <w:r w:rsidRPr="00BC719D">
        <w:rPr>
          <w:rFonts w:eastAsiaTheme="majorEastAsia"/>
        </w:rPr>
        <w:t>.  </w:t>
      </w:r>
      <w:r w:rsidRPr="00BC719D" w:rsidR="00154E5F">
        <w:rPr>
          <w:rFonts w:eastAsiaTheme="majorEastAsia"/>
        </w:rPr>
        <w:t xml:space="preserve">In </w:t>
      </w:r>
      <w:r w:rsidRPr="00BC719D" w:rsidR="00BD5B45">
        <w:rPr>
          <w:rFonts w:eastAsiaTheme="majorEastAsia"/>
        </w:rPr>
        <w:t xml:space="preserve">the present case the difference in treatment concerns </w:t>
      </w:r>
      <w:r w:rsidRPr="00BC719D">
        <w:rPr>
          <w:rFonts w:eastAsiaTheme="majorEastAsia"/>
        </w:rPr>
        <w:t>men and women</w:t>
      </w:r>
      <w:r w:rsidRPr="00BC719D" w:rsidR="00BD5B45">
        <w:rPr>
          <w:rFonts w:eastAsiaTheme="majorEastAsia"/>
        </w:rPr>
        <w:t xml:space="preserve"> who </w:t>
      </w:r>
      <w:r w:rsidRPr="00BC719D" w:rsidR="004F3EA2">
        <w:rPr>
          <w:rFonts w:eastAsiaTheme="majorEastAsia"/>
        </w:rPr>
        <w:t xml:space="preserve">were </w:t>
      </w:r>
      <w:r w:rsidRPr="00BC719D" w:rsidR="00BD5B45">
        <w:rPr>
          <w:rFonts w:eastAsiaTheme="majorEastAsia"/>
        </w:rPr>
        <w:t>convicted of serious or especially serious crimes. Thus</w:t>
      </w:r>
      <w:r w:rsidRPr="00BC719D">
        <w:rPr>
          <w:rFonts w:eastAsiaTheme="majorEastAsia"/>
        </w:rPr>
        <w:t xml:space="preserve">, as in </w:t>
      </w:r>
      <w:r w:rsidRPr="00BC719D">
        <w:rPr>
          <w:i/>
        </w:rPr>
        <w:t>Khamtokhu and Aksenchik</w:t>
      </w:r>
      <w:r w:rsidRPr="00BC719D">
        <w:t>,</w:t>
      </w:r>
      <w:r w:rsidRPr="00BC719D" w:rsidR="00BD5B45">
        <w:rPr>
          <w:rFonts w:eastAsiaTheme="majorEastAsia"/>
        </w:rPr>
        <w:t xml:space="preserve"> it re</w:t>
      </w:r>
      <w:r w:rsidRPr="00BC719D" w:rsidR="0048089B">
        <w:rPr>
          <w:rFonts w:eastAsiaTheme="majorEastAsia"/>
        </w:rPr>
        <w:t xml:space="preserve">lates to </w:t>
      </w:r>
      <w:r w:rsidRPr="00BC719D" w:rsidR="00360A2B">
        <w:rPr>
          <w:rFonts w:eastAsiaTheme="majorEastAsia"/>
        </w:rPr>
        <w:t xml:space="preserve">persons </w:t>
      </w:r>
      <w:r w:rsidRPr="00BC719D" w:rsidR="0048089B">
        <w:rPr>
          <w:rFonts w:eastAsiaTheme="majorEastAsia"/>
        </w:rPr>
        <w:t xml:space="preserve">who committed the same or comparable </w:t>
      </w:r>
      <w:r w:rsidRPr="00BC719D" w:rsidR="00154E5F">
        <w:rPr>
          <w:rFonts w:eastAsiaTheme="majorEastAsia"/>
        </w:rPr>
        <w:t xml:space="preserve">offences and </w:t>
      </w:r>
      <w:r w:rsidRPr="00BC719D" w:rsidR="004F3EA2">
        <w:t>were</w:t>
      </w:r>
      <w:r w:rsidRPr="00BC719D" w:rsidR="00154E5F">
        <w:t xml:space="preserve"> </w:t>
      </w:r>
      <w:r w:rsidRPr="00BC719D" w:rsidR="004F3EA2">
        <w:t xml:space="preserve">all </w:t>
      </w:r>
      <w:r w:rsidRPr="00BC719D" w:rsidR="00154E5F">
        <w:t xml:space="preserve">sentenced to deprivation of liberty </w:t>
      </w:r>
      <w:r w:rsidRPr="00BC719D" w:rsidR="0048089B">
        <w:rPr>
          <w:rFonts w:eastAsiaTheme="majorEastAsia"/>
        </w:rPr>
        <w:t xml:space="preserve">(contrast </w:t>
      </w:r>
      <w:r w:rsidRPr="00BC719D" w:rsidR="0048089B">
        <w:rPr>
          <w:i/>
        </w:rPr>
        <w:t>Gerger v. Turkey</w:t>
      </w:r>
      <w:r w:rsidRPr="00BC719D" w:rsidR="0048089B">
        <w:t xml:space="preserve"> [GC], no. 24919/94, § 69, 8 July 1999, where the Court found that unfavourable treatment of persons convicted of terrorist offences was a distinction made not between different groups of people, but between </w:t>
      </w:r>
      <w:r w:rsidRPr="00BC719D" w:rsidR="0048089B">
        <w:rPr>
          <w:rFonts w:eastAsiaTheme="majorEastAsia"/>
        </w:rPr>
        <w:t>different types of offence).</w:t>
      </w:r>
      <w:r w:rsidRPr="00BC719D" w:rsidR="001F3DD0">
        <w:rPr>
          <w:rFonts w:eastAsiaTheme="majorEastAsia"/>
        </w:rPr>
        <w:t xml:space="preserve"> </w:t>
      </w:r>
      <w:r w:rsidRPr="00BC719D" w:rsidR="00154E5F">
        <w:t xml:space="preserve">As </w:t>
      </w:r>
      <w:r w:rsidRPr="00BC719D" w:rsidR="001F3ED8">
        <w:t>t</w:t>
      </w:r>
      <w:r w:rsidRPr="00BC719D" w:rsidR="001F3DD0">
        <w:t xml:space="preserve">o the nature of the complaint the Court observes that </w:t>
      </w:r>
      <w:r w:rsidRPr="00BC719D" w:rsidR="008300F5">
        <w:t xml:space="preserve">it relates to the manner in which the applicable prison regime affects </w:t>
      </w:r>
      <w:r w:rsidRPr="00BC719D" w:rsidR="0021379D">
        <w:t xml:space="preserve">the </w:t>
      </w:r>
      <w:r w:rsidRPr="00BC719D" w:rsidR="008300F5">
        <w:t>restriction</w:t>
      </w:r>
      <w:r w:rsidRPr="00BC719D">
        <w:t>s</w:t>
      </w:r>
      <w:r w:rsidRPr="00BC719D" w:rsidR="008300F5">
        <w:t xml:space="preserve"> </w:t>
      </w:r>
      <w:r w:rsidRPr="00BC719D" w:rsidR="00364F39">
        <w:t xml:space="preserve">on </w:t>
      </w:r>
      <w:r w:rsidRPr="00BC719D" w:rsidR="008300F5">
        <w:t>prisoners</w:t>
      </w:r>
      <w:r w:rsidRPr="00BC719D" w:rsidR="00BC719D">
        <w:t>’</w:t>
      </w:r>
      <w:r w:rsidRPr="00BC719D" w:rsidR="008300F5">
        <w:t xml:space="preserve"> </w:t>
      </w:r>
      <w:r w:rsidRPr="00BC719D" w:rsidR="00154E5F">
        <w:t xml:space="preserve">family </w:t>
      </w:r>
      <w:r w:rsidRPr="00BC719D" w:rsidR="008300F5">
        <w:t>li</w:t>
      </w:r>
      <w:r w:rsidRPr="00BC719D" w:rsidR="00364F39">
        <w:t>fe</w:t>
      </w:r>
      <w:r w:rsidRPr="00BC719D" w:rsidR="008300F5">
        <w:t>, in particular</w:t>
      </w:r>
      <w:r w:rsidRPr="00BC719D">
        <w:t>,</w:t>
      </w:r>
      <w:r w:rsidRPr="00BC719D" w:rsidR="008300F5">
        <w:t xml:space="preserve"> with regard to the</w:t>
      </w:r>
      <w:r w:rsidRPr="00BC719D">
        <w:t>ir</w:t>
      </w:r>
      <w:r w:rsidRPr="00BC719D" w:rsidR="008300F5">
        <w:t xml:space="preserve"> right to prison leave on compassionate grounds. Accordingly, the complaint </w:t>
      </w:r>
      <w:r w:rsidRPr="00BC719D">
        <w:t xml:space="preserve">concerns </w:t>
      </w:r>
      <w:r w:rsidRPr="00BC719D" w:rsidR="008300F5">
        <w:t xml:space="preserve">an issue </w:t>
      </w:r>
      <w:r w:rsidRPr="00BC719D">
        <w:t xml:space="preserve">that </w:t>
      </w:r>
      <w:r w:rsidRPr="00BC719D" w:rsidR="008300F5">
        <w:t xml:space="preserve">is </w:t>
      </w:r>
      <w:r w:rsidRPr="00BC719D" w:rsidR="00A56113">
        <w:t xml:space="preserve">of </w:t>
      </w:r>
      <w:r w:rsidRPr="00BC719D" w:rsidR="0021379D">
        <w:t xml:space="preserve">equal </w:t>
      </w:r>
      <w:r w:rsidRPr="00BC719D" w:rsidR="00A56113">
        <w:t xml:space="preserve">relevance to all </w:t>
      </w:r>
      <w:r w:rsidRPr="00BC719D">
        <w:t>prisoners</w:t>
      </w:r>
      <w:r w:rsidRPr="00BC719D" w:rsidR="001F3ED8">
        <w:t xml:space="preserve"> </w:t>
      </w:r>
      <w:r w:rsidRPr="00BC719D" w:rsidR="006C333D">
        <w:t xml:space="preserve">(compare </w:t>
      </w:r>
      <w:r w:rsidRPr="00BC719D" w:rsidR="006C333D">
        <w:rPr>
          <w:i/>
        </w:rPr>
        <w:t>Varnas v. Lithuania</w:t>
      </w:r>
      <w:r w:rsidRPr="00BC719D" w:rsidR="006107E4">
        <w:rPr>
          <w:snapToGrid w:val="0"/>
        </w:rPr>
        <w:t>, no. 42615/06, § </w:t>
      </w:r>
      <w:r w:rsidRPr="00BC719D" w:rsidR="006C333D">
        <w:rPr>
          <w:snapToGrid w:val="0"/>
        </w:rPr>
        <w:t>113, 9 July 2013</w:t>
      </w:r>
      <w:r w:rsidRPr="00BC719D" w:rsidR="006C333D">
        <w:t>)</w:t>
      </w:r>
      <w:r w:rsidRPr="00BC719D" w:rsidR="001F3ED8">
        <w:t>.</w:t>
      </w:r>
    </w:p>
    <w:p w:rsidRPr="00BC719D" w:rsidR="001F3ED8" w:rsidP="00BC719D" w:rsidRDefault="001F3ED8">
      <w:pPr>
        <w:pStyle w:val="ECHRPara"/>
      </w:pPr>
      <w:r w:rsidRPr="00BC719D">
        <w:fldChar w:fldCharType="begin"/>
      </w:r>
      <w:r w:rsidRPr="00BC719D">
        <w:instrText xml:space="preserve"> SEQ level0 \*arabic </w:instrText>
      </w:r>
      <w:r w:rsidRPr="00BC719D">
        <w:fldChar w:fldCharType="separate"/>
      </w:r>
      <w:r w:rsidRPr="00BC719D" w:rsidR="00BC719D">
        <w:rPr>
          <w:noProof/>
        </w:rPr>
        <w:t>81</w:t>
      </w:r>
      <w:r w:rsidRPr="00BC719D">
        <w:fldChar w:fldCharType="end"/>
      </w:r>
      <w:r w:rsidRPr="00BC719D">
        <w:t>.  </w:t>
      </w:r>
      <w:r w:rsidRPr="00BC719D" w:rsidR="00154E5F">
        <w:t xml:space="preserve">Thus, </w:t>
      </w:r>
      <w:r w:rsidRPr="00BC719D">
        <w:t>the Court finds that</w:t>
      </w:r>
      <w:r w:rsidRPr="00BC719D" w:rsidR="00154E5F">
        <w:t xml:space="preserve"> in </w:t>
      </w:r>
      <w:r w:rsidRPr="00BC719D" w:rsidR="00364F39">
        <w:t xml:space="preserve">the </w:t>
      </w:r>
      <w:r w:rsidRPr="00BC719D" w:rsidR="00154E5F">
        <w:t xml:space="preserve">light of </w:t>
      </w:r>
      <w:r w:rsidRPr="00BC719D">
        <w:t xml:space="preserve">the nature of the </w:t>
      </w:r>
      <w:r w:rsidRPr="00BC719D" w:rsidR="00154E5F">
        <w:t xml:space="preserve">particular </w:t>
      </w:r>
      <w:r w:rsidRPr="00BC719D">
        <w:t xml:space="preserve">complaint the applicant can claim to be in an analogous position to </w:t>
      </w:r>
      <w:r w:rsidRPr="00BC719D" w:rsidR="00364F39">
        <w:t xml:space="preserve">that of </w:t>
      </w:r>
      <w:r w:rsidRPr="00BC719D">
        <w:t xml:space="preserve">women prisoners convicted of </w:t>
      </w:r>
      <w:r w:rsidRPr="00BC719D" w:rsidR="00B156EB">
        <w:t>the same or comparable offences</w:t>
      </w:r>
      <w:r w:rsidRPr="00BC719D">
        <w:t>.</w:t>
      </w:r>
    </w:p>
    <w:p w:rsidRPr="00BC719D" w:rsidR="00F81B67" w:rsidP="00BC719D" w:rsidRDefault="00F81B67">
      <w:pPr>
        <w:pStyle w:val="ECHRHeading5"/>
      </w:pPr>
      <w:r w:rsidRPr="00BC719D">
        <w:t>(</w:t>
      </w:r>
      <w:r w:rsidRPr="00BC719D" w:rsidR="008C1BE8">
        <w:t>ii</w:t>
      </w:r>
      <w:r w:rsidRPr="00BC719D" w:rsidR="00F93BC4">
        <w:t>)  </w:t>
      </w:r>
      <w:r w:rsidRPr="00BC719D">
        <w:t>Whether the difference in treatment was objectively justified</w:t>
      </w:r>
    </w:p>
    <w:p w:rsidRPr="00BC719D" w:rsidR="000A3B22" w:rsidP="00BC719D" w:rsidRDefault="000A3B22">
      <w:pPr>
        <w:pStyle w:val="ECHRPara"/>
        <w:rPr>
          <w:rFonts w:ascii="Times New Roman" w:hAnsi="Times New Roman"/>
          <w:snapToGrid w:val="0"/>
          <w:szCs w:val="24"/>
        </w:rPr>
      </w:pPr>
      <w:r w:rsidRPr="00BC719D">
        <w:rPr>
          <w:rFonts w:ascii="Times New Roman" w:hAnsi="Times New Roman"/>
          <w:szCs w:val="24"/>
        </w:rPr>
        <w:fldChar w:fldCharType="begin"/>
      </w:r>
      <w:r w:rsidRPr="00BC719D">
        <w:rPr>
          <w:rFonts w:ascii="Times New Roman" w:hAnsi="Times New Roman"/>
          <w:szCs w:val="24"/>
        </w:rPr>
        <w:instrText xml:space="preserve"> SEQ level0 \*arabic </w:instrText>
      </w:r>
      <w:r w:rsidRPr="00BC719D">
        <w:rPr>
          <w:rFonts w:ascii="Times New Roman" w:hAnsi="Times New Roman"/>
          <w:szCs w:val="24"/>
        </w:rPr>
        <w:fldChar w:fldCharType="separate"/>
      </w:r>
      <w:r w:rsidRPr="00BC719D" w:rsidR="00BC719D">
        <w:rPr>
          <w:rFonts w:ascii="Times New Roman" w:hAnsi="Times New Roman"/>
          <w:noProof/>
          <w:szCs w:val="24"/>
        </w:rPr>
        <w:t>82</w:t>
      </w:r>
      <w:r w:rsidRPr="00BC719D">
        <w:rPr>
          <w:rFonts w:ascii="Times New Roman" w:hAnsi="Times New Roman"/>
          <w:szCs w:val="24"/>
        </w:rPr>
        <w:fldChar w:fldCharType="end"/>
      </w:r>
      <w:r w:rsidRPr="00BC719D">
        <w:rPr>
          <w:rFonts w:ascii="Times New Roman" w:hAnsi="Times New Roman"/>
          <w:szCs w:val="24"/>
        </w:rPr>
        <w:t>.  </w:t>
      </w:r>
      <w:r w:rsidRPr="00BC719D" w:rsidR="00BA2901">
        <w:rPr>
          <w:rFonts w:ascii="Times New Roman" w:hAnsi="Times New Roman"/>
          <w:szCs w:val="24"/>
        </w:rPr>
        <w:t>N</w:t>
      </w:r>
      <w:r w:rsidRPr="00BC719D">
        <w:rPr>
          <w:rFonts w:ascii="Times New Roman" w:hAnsi="Times New Roman"/>
          <w:szCs w:val="24"/>
        </w:rPr>
        <w:t xml:space="preserve">ot every difference in treatment will amount to a violation of Article 14. </w:t>
      </w:r>
      <w:r w:rsidRPr="00BC719D" w:rsidR="00BA2901">
        <w:rPr>
          <w:rFonts w:ascii="Times New Roman" w:hAnsi="Times New Roman"/>
          <w:szCs w:val="24"/>
        </w:rPr>
        <w:t>The Court has consistently held that a</w:t>
      </w:r>
      <w:r w:rsidRPr="00BC719D">
        <w:rPr>
          <w:rFonts w:ascii="Times New Roman" w:hAnsi="Times New Roman"/>
          <w:szCs w:val="24"/>
        </w:rPr>
        <w:t xml:space="preserve"> difference </w:t>
      </w:r>
      <w:r w:rsidRPr="00BC719D" w:rsidR="001C6C11">
        <w:rPr>
          <w:rFonts w:ascii="Times New Roman" w:hAnsi="Times New Roman"/>
          <w:szCs w:val="24"/>
        </w:rPr>
        <w:t xml:space="preserve">in </w:t>
      </w:r>
      <w:r w:rsidRPr="00BC719D">
        <w:rPr>
          <w:rFonts w:ascii="Times New Roman" w:hAnsi="Times New Roman"/>
          <w:szCs w:val="24"/>
        </w:rPr>
        <w:t>treatment is discriminatory if it has no objective and reasonable justification</w:t>
      </w:r>
      <w:r w:rsidRPr="00BC719D" w:rsidR="001C6C11">
        <w:rPr>
          <w:rFonts w:ascii="Times New Roman" w:hAnsi="Times New Roman"/>
          <w:szCs w:val="24"/>
        </w:rPr>
        <w:t xml:space="preserve"> –</w:t>
      </w:r>
      <w:r w:rsidRPr="00BC719D">
        <w:rPr>
          <w:rFonts w:ascii="Times New Roman" w:hAnsi="Times New Roman"/>
          <w:szCs w:val="24"/>
        </w:rPr>
        <w:t xml:space="preserve"> in other words, if it does not pursue a legitimate aim or if there is not a reasonable relationship of proportionality between the means employed and the aim sought to be realised (see</w:t>
      </w:r>
      <w:r w:rsidRPr="00BC719D" w:rsidR="00BA2901">
        <w:rPr>
          <w:rFonts w:ascii="Times New Roman" w:hAnsi="Times New Roman"/>
          <w:szCs w:val="24"/>
        </w:rPr>
        <w:t xml:space="preserve">, for example, </w:t>
      </w:r>
      <w:r w:rsidRPr="00BC719D" w:rsidR="001A4F20">
        <w:rPr>
          <w:rFonts w:ascii="Times New Roman" w:hAnsi="Times New Roman"/>
          <w:i/>
          <w:szCs w:val="24"/>
        </w:rPr>
        <w:t>Konstantin Markin</w:t>
      </w:r>
      <w:r w:rsidRPr="00BC719D">
        <w:rPr>
          <w:rFonts w:ascii="Times New Roman" w:hAnsi="Times New Roman"/>
          <w:snapToGrid w:val="0"/>
          <w:szCs w:val="24"/>
        </w:rPr>
        <w:t xml:space="preserve">, </w:t>
      </w:r>
      <w:r w:rsidRPr="00BC719D" w:rsidR="001A4F20">
        <w:rPr>
          <w:rFonts w:ascii="Times New Roman" w:hAnsi="Times New Roman"/>
          <w:snapToGrid w:val="0"/>
          <w:szCs w:val="24"/>
        </w:rPr>
        <w:t>cited above</w:t>
      </w:r>
      <w:r w:rsidRPr="00BC719D" w:rsidR="007E7675">
        <w:rPr>
          <w:rFonts w:ascii="Times New Roman" w:hAnsi="Times New Roman"/>
          <w:szCs w:val="24"/>
        </w:rPr>
        <w:t>, § </w:t>
      </w:r>
      <w:r w:rsidRPr="00BC719D">
        <w:rPr>
          <w:rFonts w:ascii="Times New Roman" w:hAnsi="Times New Roman"/>
          <w:szCs w:val="24"/>
        </w:rPr>
        <w:t>125</w:t>
      </w:r>
      <w:r w:rsidRPr="00BC719D">
        <w:rPr>
          <w:rFonts w:ascii="Times New Roman" w:hAnsi="Times New Roman"/>
          <w:snapToGrid w:val="0"/>
          <w:szCs w:val="24"/>
        </w:rPr>
        <w:t>).</w:t>
      </w:r>
    </w:p>
    <w:p w:rsidRPr="00BC719D" w:rsidR="00933307" w:rsidP="00BC719D" w:rsidRDefault="000A3B22">
      <w:pPr>
        <w:pStyle w:val="ECHRPara"/>
        <w:rPr>
          <w:rFonts w:ascii="Times New Roman" w:hAnsi="Times New Roman"/>
          <w:szCs w:val="24"/>
        </w:rPr>
      </w:pPr>
      <w:r w:rsidRPr="00BC719D">
        <w:rPr>
          <w:rFonts w:ascii="Times New Roman" w:hAnsi="Times New Roman" w:eastAsiaTheme="majorEastAsia"/>
          <w:szCs w:val="24"/>
        </w:rPr>
        <w:fldChar w:fldCharType="begin"/>
      </w:r>
      <w:r w:rsidRPr="00BC719D">
        <w:rPr>
          <w:rFonts w:ascii="Times New Roman" w:hAnsi="Times New Roman" w:eastAsiaTheme="majorEastAsia"/>
          <w:szCs w:val="24"/>
        </w:rPr>
        <w:instrText xml:space="preserve"> SEQ level0 \*arabic </w:instrText>
      </w:r>
      <w:r w:rsidRPr="00BC719D">
        <w:rPr>
          <w:rFonts w:ascii="Times New Roman" w:hAnsi="Times New Roman" w:eastAsiaTheme="majorEastAsia"/>
          <w:szCs w:val="24"/>
        </w:rPr>
        <w:fldChar w:fldCharType="separate"/>
      </w:r>
      <w:r w:rsidRPr="00BC719D" w:rsidR="00BC719D">
        <w:rPr>
          <w:rFonts w:ascii="Times New Roman" w:hAnsi="Times New Roman" w:eastAsiaTheme="majorEastAsia"/>
          <w:noProof/>
          <w:szCs w:val="24"/>
        </w:rPr>
        <w:t>83</w:t>
      </w:r>
      <w:r w:rsidRPr="00BC719D">
        <w:rPr>
          <w:rFonts w:ascii="Times New Roman" w:hAnsi="Times New Roman" w:eastAsiaTheme="majorEastAsia"/>
          <w:szCs w:val="24"/>
        </w:rPr>
        <w:fldChar w:fldCharType="end"/>
      </w:r>
      <w:r w:rsidRPr="00BC719D">
        <w:rPr>
          <w:rFonts w:ascii="Times New Roman" w:hAnsi="Times New Roman" w:eastAsiaTheme="majorEastAsia"/>
          <w:szCs w:val="24"/>
        </w:rPr>
        <w:t>.  The Contracting States enjoy a certain margin of appreciation in assessing whether and to what extent differences in otherwise similar situations jus</w:t>
      </w:r>
      <w:r w:rsidRPr="00BC719D" w:rsidR="006D610C">
        <w:rPr>
          <w:rFonts w:ascii="Times New Roman" w:hAnsi="Times New Roman" w:eastAsiaTheme="majorEastAsia"/>
          <w:szCs w:val="24"/>
        </w:rPr>
        <w:t xml:space="preserve">tify a difference in treatment. </w:t>
      </w:r>
      <w:r w:rsidRPr="00BC719D" w:rsidR="00D317B0">
        <w:t xml:space="preserve">The scope of that margin of appreciation will vary according to the circumstances, the subject matter and the background of the case </w:t>
      </w:r>
      <w:r w:rsidRPr="00BC719D" w:rsidR="00D317B0">
        <w:rPr>
          <w:rFonts w:ascii="Times New Roman" w:hAnsi="Times New Roman"/>
          <w:szCs w:val="24"/>
        </w:rPr>
        <w:t xml:space="preserve">(see </w:t>
      </w:r>
      <w:r w:rsidRPr="00BC719D" w:rsidR="00D317B0">
        <w:rPr>
          <w:rFonts w:ascii="Times New Roman" w:hAnsi="Times New Roman"/>
          <w:i/>
          <w:szCs w:val="24"/>
        </w:rPr>
        <w:t>Khamtokhu and Aksenchik</w:t>
      </w:r>
      <w:r w:rsidRPr="00BC719D" w:rsidR="00D317B0">
        <w:rPr>
          <w:rFonts w:ascii="Times New Roman" w:hAnsi="Times New Roman"/>
          <w:szCs w:val="24"/>
        </w:rPr>
        <w:t xml:space="preserve">, </w:t>
      </w:r>
      <w:r w:rsidRPr="00BC719D" w:rsidR="00D317B0">
        <w:rPr>
          <w:rFonts w:ascii="Times New Roman" w:hAnsi="Times New Roman"/>
          <w:snapToGrid w:val="0"/>
          <w:szCs w:val="24"/>
        </w:rPr>
        <w:t>cited above</w:t>
      </w:r>
      <w:r w:rsidRPr="00BC719D" w:rsidR="00C56F67">
        <w:rPr>
          <w:rFonts w:ascii="Times New Roman" w:hAnsi="Times New Roman"/>
          <w:szCs w:val="24"/>
        </w:rPr>
        <w:t>, § </w:t>
      </w:r>
      <w:r w:rsidRPr="00BC719D" w:rsidR="00D317B0">
        <w:rPr>
          <w:rFonts w:ascii="Times New Roman" w:hAnsi="Times New Roman"/>
          <w:szCs w:val="24"/>
        </w:rPr>
        <w:t>77)</w:t>
      </w:r>
      <w:r w:rsidRPr="00BC719D" w:rsidR="00D317B0">
        <w:t xml:space="preserve">. </w:t>
      </w:r>
      <w:r w:rsidRPr="00BC719D" w:rsidR="0094720F">
        <w:rPr>
          <w:rFonts w:ascii="Times New Roman" w:hAnsi="Times New Roman"/>
          <w:szCs w:val="24"/>
        </w:rPr>
        <w:t>T</w:t>
      </w:r>
      <w:r w:rsidRPr="00BC719D" w:rsidR="006D610C">
        <w:rPr>
          <w:rFonts w:ascii="Times New Roman" w:hAnsi="Times New Roman"/>
          <w:szCs w:val="24"/>
        </w:rPr>
        <w:t>he</w:t>
      </w:r>
      <w:r w:rsidRPr="00BC719D" w:rsidR="00D317B0">
        <w:rPr>
          <w:rFonts w:ascii="Times New Roman" w:hAnsi="Times New Roman"/>
          <w:szCs w:val="24"/>
        </w:rPr>
        <w:t xml:space="preserve"> </w:t>
      </w:r>
      <w:r w:rsidRPr="00BC719D" w:rsidR="006D610C">
        <w:rPr>
          <w:rFonts w:ascii="Times New Roman" w:hAnsi="Times New Roman"/>
          <w:szCs w:val="24"/>
        </w:rPr>
        <w:t>national authorities, whose duty it is also to consider the interests of society as a whole, should enjoy broad discretion when they are asked to make rulings on sensitive matters such as penal policy (</w:t>
      </w:r>
      <w:r w:rsidRPr="00BC719D" w:rsidR="00D317B0">
        <w:rPr>
          <w:rFonts w:ascii="Times New Roman" w:hAnsi="Times New Roman"/>
          <w:szCs w:val="24"/>
        </w:rPr>
        <w:t>ibid.</w:t>
      </w:r>
      <w:r w:rsidRPr="00BC719D" w:rsidR="006D610C">
        <w:rPr>
          <w:rFonts w:ascii="Times New Roman" w:hAnsi="Times New Roman"/>
          <w:szCs w:val="24"/>
        </w:rPr>
        <w:t xml:space="preserve">, § 85). </w:t>
      </w:r>
      <w:r w:rsidRPr="00BC719D" w:rsidR="00D317B0">
        <w:rPr>
          <w:rFonts w:ascii="Times New Roman" w:hAnsi="Times New Roman"/>
          <w:szCs w:val="24"/>
        </w:rPr>
        <w:t>A</w:t>
      </w:r>
      <w:r w:rsidRPr="00BC719D" w:rsidR="00AD4115">
        <w:rPr>
          <w:rFonts w:ascii="Times New Roman" w:hAnsi="Times New Roman"/>
          <w:szCs w:val="24"/>
        </w:rPr>
        <w:t xml:space="preserve">s pointed out by </w:t>
      </w:r>
      <w:r w:rsidRPr="00BC719D" w:rsidR="006C2E1C">
        <w:rPr>
          <w:rFonts w:ascii="Times New Roman" w:hAnsi="Times New Roman"/>
          <w:szCs w:val="24"/>
        </w:rPr>
        <w:t>the</w:t>
      </w:r>
      <w:r w:rsidRPr="00BC719D" w:rsidR="00AD4115">
        <w:rPr>
          <w:rFonts w:ascii="Times New Roman" w:hAnsi="Times New Roman"/>
          <w:szCs w:val="24"/>
        </w:rPr>
        <w:t xml:space="preserve"> Government, the Court has indeed accepted </w:t>
      </w:r>
      <w:r w:rsidRPr="00BC719D" w:rsidR="006D610C">
        <w:rPr>
          <w:rFonts w:ascii="Times New Roman" w:hAnsi="Times New Roman"/>
          <w:szCs w:val="24"/>
        </w:rPr>
        <w:t xml:space="preserve">that, in principle, a wide margin of appreciation applies in questions of prisoners and penal policy (see </w:t>
      </w:r>
      <w:r w:rsidRPr="00BC719D" w:rsidR="005247CA">
        <w:rPr>
          <w:i/>
          <w:iCs/>
          <w:lang w:val="pt-PT"/>
        </w:rPr>
        <w:t>Alexandru Enache v. Romania</w:t>
      </w:r>
      <w:r w:rsidRPr="00BC719D" w:rsidR="005247CA">
        <w:rPr>
          <w:iCs/>
          <w:snapToGrid w:val="0"/>
          <w:lang w:val="pt-PT"/>
        </w:rPr>
        <w:t>,</w:t>
      </w:r>
      <w:r w:rsidRPr="00BC719D" w:rsidR="005247CA">
        <w:rPr>
          <w:i/>
          <w:iCs/>
          <w:snapToGrid w:val="0"/>
          <w:lang w:val="pt-PT"/>
        </w:rPr>
        <w:t xml:space="preserve"> </w:t>
      </w:r>
      <w:r w:rsidRPr="00BC719D" w:rsidR="005247CA">
        <w:rPr>
          <w:snapToGrid w:val="0"/>
          <w:lang w:val="pt-PT"/>
        </w:rPr>
        <w:t xml:space="preserve">no. </w:t>
      </w:r>
      <w:r w:rsidRPr="00BC719D" w:rsidR="005247CA">
        <w:rPr>
          <w:lang w:val="pt-PT"/>
        </w:rPr>
        <w:t>16986/12</w:t>
      </w:r>
      <w:r w:rsidRPr="00BC719D" w:rsidR="005247CA">
        <w:rPr>
          <w:snapToGrid w:val="0"/>
          <w:lang w:val="pt-PT"/>
        </w:rPr>
        <w:t xml:space="preserve">, </w:t>
      </w:r>
      <w:r w:rsidRPr="00BC719D" w:rsidR="005247CA">
        <w:rPr>
          <w:lang w:val="pt-PT"/>
        </w:rPr>
        <w:t>§</w:t>
      </w:r>
      <w:r w:rsidRPr="00BC719D" w:rsidR="00C56F67">
        <w:rPr>
          <w:lang w:val="pt-PT"/>
        </w:rPr>
        <w:t> </w:t>
      </w:r>
      <w:r w:rsidRPr="00BC719D" w:rsidR="005247CA">
        <w:rPr>
          <w:lang w:val="pt-PT"/>
        </w:rPr>
        <w:t xml:space="preserve">78, 3 October 2017, and </w:t>
      </w:r>
      <w:r w:rsidRPr="00BC719D" w:rsidR="006D610C">
        <w:rPr>
          <w:rFonts w:ascii="Times New Roman" w:hAnsi="Times New Roman"/>
          <w:i/>
          <w:szCs w:val="24"/>
        </w:rPr>
        <w:t>Varnas</w:t>
      </w:r>
      <w:r w:rsidRPr="00BC719D" w:rsidR="00AD4115">
        <w:rPr>
          <w:rFonts w:ascii="Times New Roman" w:hAnsi="Times New Roman"/>
          <w:snapToGrid w:val="0"/>
          <w:szCs w:val="24"/>
        </w:rPr>
        <w:t xml:space="preserve">, </w:t>
      </w:r>
      <w:r w:rsidRPr="00BC719D" w:rsidR="005247CA">
        <w:rPr>
          <w:rFonts w:ascii="Times New Roman" w:hAnsi="Times New Roman"/>
          <w:snapToGrid w:val="0"/>
          <w:szCs w:val="24"/>
        </w:rPr>
        <w:t xml:space="preserve">cited above, </w:t>
      </w:r>
      <w:r w:rsidRPr="00BC719D" w:rsidR="006107E4">
        <w:rPr>
          <w:rFonts w:ascii="Times New Roman" w:hAnsi="Times New Roman"/>
          <w:snapToGrid w:val="0"/>
          <w:szCs w:val="24"/>
        </w:rPr>
        <w:t>§ </w:t>
      </w:r>
      <w:r w:rsidRPr="00BC719D" w:rsidR="006D610C">
        <w:rPr>
          <w:rFonts w:ascii="Times New Roman" w:hAnsi="Times New Roman"/>
          <w:snapToGrid w:val="0"/>
          <w:szCs w:val="24"/>
        </w:rPr>
        <w:t>115</w:t>
      </w:r>
      <w:r w:rsidRPr="00BC719D" w:rsidR="006D610C">
        <w:rPr>
          <w:rFonts w:ascii="Times New Roman" w:hAnsi="Times New Roman"/>
          <w:szCs w:val="24"/>
        </w:rPr>
        <w:t>).</w:t>
      </w:r>
    </w:p>
    <w:p w:rsidRPr="00BC719D" w:rsidR="004072A9" w:rsidP="00BC719D" w:rsidRDefault="004072A9">
      <w:pPr>
        <w:pStyle w:val="ECHRPara"/>
        <w:rPr>
          <w:rFonts w:ascii="Times New Roman" w:hAnsi="Times New Roman"/>
          <w:snapToGrid w:val="0"/>
          <w:szCs w:val="24"/>
        </w:rPr>
      </w:pPr>
      <w:r w:rsidRPr="00BC719D">
        <w:rPr>
          <w:rFonts w:ascii="Times New Roman" w:hAnsi="Times New Roman"/>
          <w:szCs w:val="24"/>
        </w:rPr>
        <w:fldChar w:fldCharType="begin"/>
      </w:r>
      <w:r w:rsidRPr="00BC719D">
        <w:rPr>
          <w:rFonts w:ascii="Times New Roman" w:hAnsi="Times New Roman"/>
          <w:szCs w:val="24"/>
        </w:rPr>
        <w:instrText xml:space="preserve"> SEQ level0 \*arabic </w:instrText>
      </w:r>
      <w:r w:rsidRPr="00BC719D">
        <w:rPr>
          <w:rFonts w:ascii="Times New Roman" w:hAnsi="Times New Roman"/>
          <w:szCs w:val="24"/>
        </w:rPr>
        <w:fldChar w:fldCharType="separate"/>
      </w:r>
      <w:r w:rsidRPr="00BC719D" w:rsidR="00BC719D">
        <w:rPr>
          <w:rFonts w:ascii="Times New Roman" w:hAnsi="Times New Roman"/>
          <w:noProof/>
          <w:szCs w:val="24"/>
        </w:rPr>
        <w:t>84</w:t>
      </w:r>
      <w:r w:rsidRPr="00BC719D">
        <w:rPr>
          <w:rFonts w:ascii="Times New Roman" w:hAnsi="Times New Roman"/>
          <w:szCs w:val="24"/>
        </w:rPr>
        <w:fldChar w:fldCharType="end"/>
      </w:r>
      <w:r w:rsidRPr="00BC719D">
        <w:rPr>
          <w:rFonts w:ascii="Times New Roman" w:hAnsi="Times New Roman"/>
          <w:szCs w:val="24"/>
        </w:rPr>
        <w:t>.  </w:t>
      </w:r>
      <w:r w:rsidRPr="00BC719D" w:rsidR="0094720F">
        <w:rPr>
          <w:rFonts w:ascii="Times New Roman" w:hAnsi="Times New Roman"/>
          <w:szCs w:val="24"/>
        </w:rPr>
        <w:t>On the other hand</w:t>
      </w:r>
      <w:r w:rsidRPr="00BC719D">
        <w:rPr>
          <w:rFonts w:ascii="Times New Roman" w:hAnsi="Times New Roman"/>
          <w:szCs w:val="24"/>
        </w:rPr>
        <w:t xml:space="preserve">, the Court has repeatedly held that the </w:t>
      </w:r>
      <w:r w:rsidRPr="00BC719D">
        <w:rPr>
          <w:rFonts w:ascii="Times New Roman" w:hAnsi="Times New Roman" w:eastAsiaTheme="majorEastAsia"/>
          <w:szCs w:val="24"/>
        </w:rPr>
        <w:t xml:space="preserve">advancement of gender equality is today a major goal in the member States of the Council of Europe, and very weighty reasons would have to be put forward before such a difference </w:t>
      </w:r>
      <w:r w:rsidRPr="00BC719D" w:rsidR="00B63352">
        <w:rPr>
          <w:rFonts w:ascii="Times New Roman" w:hAnsi="Times New Roman" w:eastAsiaTheme="majorEastAsia"/>
          <w:szCs w:val="24"/>
        </w:rPr>
        <w:t>in</w:t>
      </w:r>
      <w:r w:rsidRPr="00BC719D">
        <w:rPr>
          <w:rFonts w:ascii="Times New Roman" w:hAnsi="Times New Roman" w:eastAsiaTheme="majorEastAsia"/>
          <w:szCs w:val="24"/>
        </w:rPr>
        <w:t xml:space="preserve"> treatment could be regarded as compatible with the Convention. In particular, references to traditions, general assumptions or prevailing social attitudes in a particular country </w:t>
      </w:r>
      <w:r w:rsidRPr="00BC719D">
        <w:rPr>
          <w:rFonts w:ascii="Times New Roman" w:hAnsi="Times New Roman"/>
          <w:szCs w:val="24"/>
        </w:rPr>
        <w:t>cannot, by themselves, be considered to amount to sufficient justification for a difference in treatment, any more than similar stereotypes based on race, origin, colour or sexual orientation</w:t>
      </w:r>
      <w:r w:rsidRPr="00BC719D">
        <w:rPr>
          <w:rFonts w:ascii="Times New Roman" w:hAnsi="Times New Roman" w:eastAsiaTheme="majorEastAsia"/>
          <w:szCs w:val="24"/>
        </w:rPr>
        <w:t xml:space="preserve"> (see </w:t>
      </w:r>
      <w:r w:rsidRPr="00BC719D">
        <w:rPr>
          <w:rFonts w:ascii="Times New Roman" w:hAnsi="Times New Roman"/>
          <w:i/>
          <w:szCs w:val="24"/>
        </w:rPr>
        <w:t>Konstantin Markin</w:t>
      </w:r>
      <w:r w:rsidRPr="00BC719D">
        <w:rPr>
          <w:rFonts w:ascii="Times New Roman" w:hAnsi="Times New Roman"/>
          <w:snapToGrid w:val="0"/>
          <w:szCs w:val="24"/>
        </w:rPr>
        <w:t>, cited above</w:t>
      </w:r>
      <w:r w:rsidRPr="00BC719D">
        <w:rPr>
          <w:rFonts w:ascii="Times New Roman" w:hAnsi="Times New Roman"/>
          <w:szCs w:val="24"/>
        </w:rPr>
        <w:t>, § 127</w:t>
      </w:r>
      <w:r w:rsidRPr="00BC719D" w:rsidR="009F5D1C">
        <w:rPr>
          <w:rFonts w:ascii="Times New Roman" w:hAnsi="Times New Roman"/>
          <w:szCs w:val="24"/>
        </w:rPr>
        <w:t>;</w:t>
      </w:r>
      <w:r w:rsidRPr="00BC719D">
        <w:rPr>
          <w:rFonts w:ascii="Times New Roman" w:hAnsi="Times New Roman"/>
          <w:szCs w:val="24"/>
        </w:rPr>
        <w:t xml:space="preserve"> </w:t>
      </w:r>
      <w:r w:rsidRPr="00BC719D">
        <w:rPr>
          <w:rFonts w:ascii="Times New Roman" w:hAnsi="Times New Roman"/>
          <w:i/>
          <w:szCs w:val="24"/>
        </w:rPr>
        <w:t>Khamtokhu and Aksenchik</w:t>
      </w:r>
      <w:r w:rsidRPr="00BC719D">
        <w:rPr>
          <w:rFonts w:ascii="Times New Roman" w:hAnsi="Times New Roman"/>
          <w:szCs w:val="24"/>
        </w:rPr>
        <w:t xml:space="preserve">, </w:t>
      </w:r>
      <w:r w:rsidRPr="00BC719D">
        <w:rPr>
          <w:rFonts w:ascii="Times New Roman" w:hAnsi="Times New Roman"/>
          <w:snapToGrid w:val="0"/>
          <w:szCs w:val="24"/>
        </w:rPr>
        <w:t>cited above</w:t>
      </w:r>
      <w:r w:rsidRPr="00BC719D" w:rsidR="009F5D1C">
        <w:rPr>
          <w:rFonts w:ascii="Times New Roman" w:hAnsi="Times New Roman"/>
          <w:szCs w:val="24"/>
        </w:rPr>
        <w:t>;</w:t>
      </w:r>
      <w:r w:rsidRPr="00BC719D">
        <w:rPr>
          <w:rFonts w:ascii="Times New Roman" w:hAnsi="Times New Roman"/>
          <w:szCs w:val="24"/>
        </w:rPr>
        <w:t xml:space="preserve"> § 78, and </w:t>
      </w:r>
      <w:r w:rsidRPr="00BC719D">
        <w:rPr>
          <w:rFonts w:ascii="Times New Roman" w:hAnsi="Times New Roman"/>
          <w:i/>
          <w:iCs/>
          <w:szCs w:val="24"/>
        </w:rPr>
        <w:t>Ca</w:t>
      </w:r>
      <w:r w:rsidRPr="00BC719D" w:rsidR="00F93BC4">
        <w:rPr>
          <w:rFonts w:ascii="Times New Roman" w:hAnsi="Times New Roman"/>
          <w:i/>
          <w:iCs/>
          <w:szCs w:val="24"/>
        </w:rPr>
        <w:t>rvalho Pinto de Sousa Morais v. </w:t>
      </w:r>
      <w:r w:rsidRPr="00BC719D">
        <w:rPr>
          <w:rFonts w:ascii="Times New Roman" w:hAnsi="Times New Roman"/>
          <w:i/>
          <w:iCs/>
          <w:szCs w:val="24"/>
        </w:rPr>
        <w:t>Portugal</w:t>
      </w:r>
      <w:r w:rsidRPr="00BC719D">
        <w:rPr>
          <w:rFonts w:ascii="Times New Roman" w:hAnsi="Times New Roman"/>
          <w:szCs w:val="24"/>
          <w:lang w:eastAsia="en-GB"/>
        </w:rPr>
        <w:t>, no.</w:t>
      </w:r>
      <w:r w:rsidRPr="00BC719D">
        <w:rPr>
          <w:rFonts w:ascii="Times New Roman" w:hAnsi="Times New Roman"/>
          <w:szCs w:val="24"/>
        </w:rPr>
        <w:t>17484/15</w:t>
      </w:r>
      <w:r w:rsidRPr="00BC719D">
        <w:rPr>
          <w:rFonts w:ascii="Times New Roman" w:hAnsi="Times New Roman"/>
          <w:szCs w:val="24"/>
          <w:lang w:eastAsia="en-GB"/>
        </w:rPr>
        <w:t xml:space="preserve">, </w:t>
      </w:r>
      <w:r w:rsidRPr="00BC719D">
        <w:rPr>
          <w:rFonts w:ascii="Times New Roman" w:hAnsi="Times New Roman"/>
          <w:szCs w:val="24"/>
        </w:rPr>
        <w:t>§ 46, ECHR 2017</w:t>
      </w:r>
      <w:r w:rsidRPr="00BC719D">
        <w:rPr>
          <w:rFonts w:ascii="Times New Roman" w:hAnsi="Times New Roman"/>
          <w:snapToGrid w:val="0"/>
          <w:szCs w:val="24"/>
        </w:rPr>
        <w:t>).</w:t>
      </w:r>
    </w:p>
    <w:bookmarkStart w:name="genderequality" w:id="35"/>
    <w:p w:rsidRPr="00BC719D" w:rsidR="004072A9" w:rsidP="00BC719D" w:rsidRDefault="004072A9">
      <w:pPr>
        <w:pStyle w:val="ECHRPara"/>
        <w:rPr>
          <w:rFonts w:ascii="Times New Roman" w:hAnsi="Times New Roman" w:eastAsiaTheme="majorEastAsia"/>
          <w:szCs w:val="24"/>
        </w:rPr>
      </w:pPr>
      <w:r w:rsidRPr="00BC719D">
        <w:rPr>
          <w:rFonts w:ascii="Times New Roman" w:hAnsi="Times New Roman"/>
          <w:snapToGrid w:val="0"/>
          <w:szCs w:val="24"/>
        </w:rPr>
        <w:fldChar w:fldCharType="begin"/>
      </w:r>
      <w:r w:rsidRPr="00BC719D">
        <w:rPr>
          <w:rFonts w:ascii="Times New Roman" w:hAnsi="Times New Roman"/>
          <w:snapToGrid w:val="0"/>
          <w:szCs w:val="24"/>
        </w:rPr>
        <w:instrText xml:space="preserve"> SEQ level0 \*arabic </w:instrText>
      </w:r>
      <w:r w:rsidRPr="00BC719D">
        <w:rPr>
          <w:rFonts w:ascii="Times New Roman" w:hAnsi="Times New Roman"/>
          <w:snapToGrid w:val="0"/>
          <w:szCs w:val="24"/>
        </w:rPr>
        <w:fldChar w:fldCharType="separate"/>
      </w:r>
      <w:r w:rsidRPr="00BC719D" w:rsidR="00BC719D">
        <w:rPr>
          <w:rFonts w:ascii="Times New Roman" w:hAnsi="Times New Roman"/>
          <w:noProof/>
          <w:snapToGrid w:val="0"/>
          <w:szCs w:val="24"/>
        </w:rPr>
        <w:t>85</w:t>
      </w:r>
      <w:r w:rsidRPr="00BC719D">
        <w:rPr>
          <w:rFonts w:ascii="Times New Roman" w:hAnsi="Times New Roman"/>
          <w:snapToGrid w:val="0"/>
          <w:szCs w:val="24"/>
        </w:rPr>
        <w:fldChar w:fldCharType="end"/>
      </w:r>
      <w:r w:rsidRPr="00BC719D">
        <w:rPr>
          <w:rFonts w:ascii="Times New Roman" w:hAnsi="Times New Roman"/>
          <w:snapToGrid w:val="0"/>
          <w:szCs w:val="24"/>
        </w:rPr>
        <w:t>.  </w:t>
      </w:r>
      <w:r w:rsidRPr="00BC719D" w:rsidR="00C70916">
        <w:rPr>
          <w:rFonts w:ascii="Times New Roman" w:hAnsi="Times New Roman"/>
          <w:snapToGrid w:val="0"/>
          <w:szCs w:val="24"/>
        </w:rPr>
        <w:t>F</w:t>
      </w:r>
      <w:r w:rsidRPr="00BC719D" w:rsidR="00BE64F9">
        <w:rPr>
          <w:rFonts w:ascii="Times New Roman" w:hAnsi="Times New Roman" w:eastAsiaTheme="majorEastAsia"/>
          <w:szCs w:val="24"/>
        </w:rPr>
        <w:t xml:space="preserve">rom </w:t>
      </w:r>
      <w:r w:rsidRPr="00BC719D" w:rsidR="00FB490E">
        <w:rPr>
          <w:rFonts w:ascii="Times New Roman" w:hAnsi="Times New Roman" w:eastAsiaTheme="majorEastAsia"/>
          <w:szCs w:val="24"/>
        </w:rPr>
        <w:t xml:space="preserve">the arguments </w:t>
      </w:r>
      <w:r w:rsidRPr="00BC719D" w:rsidR="00BA2901">
        <w:rPr>
          <w:rFonts w:ascii="Times New Roman" w:hAnsi="Times New Roman" w:eastAsiaTheme="majorEastAsia"/>
          <w:szCs w:val="24"/>
        </w:rPr>
        <w:t xml:space="preserve">they </w:t>
      </w:r>
      <w:r w:rsidRPr="00BC719D" w:rsidR="00FB490E">
        <w:rPr>
          <w:rFonts w:ascii="Times New Roman" w:hAnsi="Times New Roman" w:eastAsiaTheme="majorEastAsia"/>
          <w:szCs w:val="24"/>
        </w:rPr>
        <w:t xml:space="preserve">put forward it </w:t>
      </w:r>
      <w:r w:rsidRPr="00BC719D" w:rsidR="00DF68D1">
        <w:rPr>
          <w:rFonts w:ascii="Times New Roman" w:hAnsi="Times New Roman" w:eastAsiaTheme="majorEastAsia"/>
          <w:szCs w:val="24"/>
        </w:rPr>
        <w:t xml:space="preserve">can be seen </w:t>
      </w:r>
      <w:r w:rsidRPr="00BC719D" w:rsidR="00BE64F9">
        <w:rPr>
          <w:rFonts w:ascii="Times New Roman" w:hAnsi="Times New Roman" w:eastAsiaTheme="majorEastAsia"/>
          <w:szCs w:val="24"/>
        </w:rPr>
        <w:t>that, according to the Government, the difference in treatment pursued the aim of protecting women prisoners from being adversely affected</w:t>
      </w:r>
      <w:r w:rsidRPr="00BC719D" w:rsidR="00525443">
        <w:rPr>
          <w:rFonts w:ascii="Times New Roman" w:hAnsi="Times New Roman" w:eastAsiaTheme="majorEastAsia"/>
          <w:szCs w:val="24"/>
        </w:rPr>
        <w:t xml:space="preserve"> by identically tailored approaches that woul</w:t>
      </w:r>
      <w:r w:rsidRPr="00BC719D" w:rsidR="00FB490E">
        <w:rPr>
          <w:rFonts w:ascii="Times New Roman" w:hAnsi="Times New Roman" w:eastAsiaTheme="majorEastAsia"/>
          <w:szCs w:val="24"/>
        </w:rPr>
        <w:t>d</w:t>
      </w:r>
      <w:r w:rsidRPr="00BC719D" w:rsidR="00525443">
        <w:rPr>
          <w:rFonts w:ascii="Times New Roman" w:hAnsi="Times New Roman" w:eastAsiaTheme="majorEastAsia"/>
          <w:szCs w:val="24"/>
        </w:rPr>
        <w:t xml:space="preserve"> not </w:t>
      </w:r>
      <w:r w:rsidRPr="00BC719D" w:rsidR="00FB490E">
        <w:rPr>
          <w:rFonts w:ascii="Times New Roman" w:hAnsi="Times New Roman" w:eastAsiaTheme="majorEastAsia"/>
          <w:szCs w:val="24"/>
        </w:rPr>
        <w:t xml:space="preserve">sufficiently </w:t>
      </w:r>
      <w:r w:rsidRPr="00BC719D" w:rsidR="00525443">
        <w:rPr>
          <w:rFonts w:ascii="Times New Roman" w:hAnsi="Times New Roman" w:eastAsiaTheme="majorEastAsia"/>
          <w:szCs w:val="24"/>
        </w:rPr>
        <w:t xml:space="preserve">take the </w:t>
      </w:r>
      <w:r w:rsidRPr="00BC719D" w:rsidR="00FB490E">
        <w:rPr>
          <w:rFonts w:ascii="Times New Roman" w:hAnsi="Times New Roman" w:eastAsiaTheme="majorEastAsia"/>
          <w:szCs w:val="24"/>
        </w:rPr>
        <w:t xml:space="preserve">specific </w:t>
      </w:r>
      <w:r w:rsidRPr="00BC719D" w:rsidR="00525443">
        <w:rPr>
          <w:rFonts w:ascii="Times New Roman" w:hAnsi="Times New Roman" w:eastAsiaTheme="majorEastAsia"/>
          <w:szCs w:val="24"/>
        </w:rPr>
        <w:t xml:space="preserve">needs </w:t>
      </w:r>
      <w:r w:rsidRPr="00BC719D" w:rsidR="00FB490E">
        <w:rPr>
          <w:rFonts w:ascii="Times New Roman" w:hAnsi="Times New Roman" w:eastAsiaTheme="majorEastAsia"/>
          <w:szCs w:val="24"/>
        </w:rPr>
        <w:t xml:space="preserve">of </w:t>
      </w:r>
      <w:r w:rsidRPr="00BC719D" w:rsidR="00525443">
        <w:rPr>
          <w:rFonts w:ascii="Times New Roman" w:hAnsi="Times New Roman" w:eastAsiaTheme="majorEastAsia"/>
          <w:szCs w:val="24"/>
        </w:rPr>
        <w:t>women prisoners</w:t>
      </w:r>
      <w:r w:rsidRPr="00BC719D" w:rsidR="005C1A84">
        <w:rPr>
          <w:rFonts w:ascii="Times New Roman" w:hAnsi="Times New Roman" w:eastAsiaTheme="majorEastAsia"/>
          <w:szCs w:val="24"/>
        </w:rPr>
        <w:t xml:space="preserve"> into account</w:t>
      </w:r>
      <w:r w:rsidRPr="00BC719D" w:rsidR="00525443">
        <w:rPr>
          <w:rFonts w:ascii="Times New Roman" w:hAnsi="Times New Roman" w:eastAsiaTheme="majorEastAsia"/>
          <w:szCs w:val="24"/>
        </w:rPr>
        <w:t>.</w:t>
      </w:r>
    </w:p>
    <w:p w:rsidRPr="00BC719D" w:rsidR="00770FF7" w:rsidP="00BC719D" w:rsidRDefault="002B5D39">
      <w:pPr>
        <w:pStyle w:val="ECHRPara"/>
        <w:rPr>
          <w:rFonts w:ascii="Times New Roman" w:hAnsi="Times New Roman" w:eastAsiaTheme="majorEastAsia"/>
          <w:szCs w:val="24"/>
        </w:rPr>
      </w:pPr>
      <w:r w:rsidRPr="00BC719D">
        <w:rPr>
          <w:rFonts w:ascii="Times New Roman" w:hAnsi="Times New Roman" w:eastAsiaTheme="majorEastAsia"/>
          <w:szCs w:val="24"/>
        </w:rPr>
        <w:fldChar w:fldCharType="begin"/>
      </w:r>
      <w:r w:rsidRPr="00BC719D">
        <w:rPr>
          <w:rFonts w:ascii="Times New Roman" w:hAnsi="Times New Roman" w:eastAsiaTheme="majorEastAsia"/>
          <w:szCs w:val="24"/>
        </w:rPr>
        <w:instrText xml:space="preserve"> SEQ level0 \*arabic </w:instrText>
      </w:r>
      <w:r w:rsidRPr="00BC719D">
        <w:rPr>
          <w:rFonts w:ascii="Times New Roman" w:hAnsi="Times New Roman" w:eastAsiaTheme="majorEastAsia"/>
          <w:szCs w:val="24"/>
        </w:rPr>
        <w:fldChar w:fldCharType="separate"/>
      </w:r>
      <w:r w:rsidRPr="00BC719D" w:rsidR="00BC719D">
        <w:rPr>
          <w:rFonts w:ascii="Times New Roman" w:hAnsi="Times New Roman" w:eastAsiaTheme="majorEastAsia"/>
          <w:noProof/>
          <w:szCs w:val="24"/>
        </w:rPr>
        <w:t>86</w:t>
      </w:r>
      <w:r w:rsidRPr="00BC719D">
        <w:rPr>
          <w:rFonts w:ascii="Times New Roman" w:hAnsi="Times New Roman" w:eastAsiaTheme="majorEastAsia"/>
          <w:szCs w:val="24"/>
        </w:rPr>
        <w:fldChar w:fldCharType="end"/>
      </w:r>
      <w:r w:rsidRPr="00BC719D">
        <w:rPr>
          <w:rFonts w:ascii="Times New Roman" w:hAnsi="Times New Roman" w:eastAsiaTheme="majorEastAsia"/>
          <w:szCs w:val="24"/>
        </w:rPr>
        <w:t>.  </w:t>
      </w:r>
      <w:r w:rsidRPr="00BC719D" w:rsidR="00C06A4E">
        <w:rPr>
          <w:rFonts w:ascii="Times New Roman" w:hAnsi="Times New Roman" w:eastAsiaTheme="majorEastAsia"/>
          <w:szCs w:val="24"/>
        </w:rPr>
        <w:t>The Court agrees that a difference in treatment that is aimed at ensuring substantive equality may be justified under Article 14 of the Convention.</w:t>
      </w:r>
      <w:r w:rsidRPr="00BC719D" w:rsidR="006A5C20">
        <w:rPr>
          <w:rFonts w:ascii="Times New Roman" w:hAnsi="Times New Roman" w:eastAsiaTheme="majorEastAsia"/>
          <w:szCs w:val="24"/>
        </w:rPr>
        <w:t xml:space="preserve"> The Court is mindful of the various European and international instruments drafted to ensure that the distinctive needs of women prisoners are adequately taken into account (see paragraphs </w:t>
      </w:r>
      <w:r w:rsidRPr="00BC719D" w:rsidR="0015726A">
        <w:rPr>
          <w:rFonts w:ascii="Times New Roman" w:hAnsi="Times New Roman" w:eastAsiaTheme="majorEastAsia"/>
          <w:szCs w:val="24"/>
        </w:rPr>
        <w:fldChar w:fldCharType="begin"/>
      </w:r>
      <w:r w:rsidRPr="00BC719D" w:rsidR="0015726A">
        <w:rPr>
          <w:rFonts w:ascii="Times New Roman" w:hAnsi="Times New Roman" w:eastAsiaTheme="majorEastAsia"/>
          <w:szCs w:val="24"/>
        </w:rPr>
        <w:instrText xml:space="preserve"> REF Int_instruments_START \h </w:instrText>
      </w:r>
      <w:r w:rsidRPr="00BC719D" w:rsidR="0015726A">
        <w:rPr>
          <w:rFonts w:ascii="Times New Roman" w:hAnsi="Times New Roman" w:eastAsiaTheme="majorEastAsia"/>
          <w:szCs w:val="24"/>
        </w:rPr>
      </w:r>
      <w:r w:rsidRPr="00BC719D" w:rsidR="0015726A">
        <w:rPr>
          <w:rFonts w:ascii="Times New Roman" w:hAnsi="Times New Roman" w:eastAsiaTheme="majorEastAsia"/>
          <w:szCs w:val="24"/>
        </w:rPr>
        <w:fldChar w:fldCharType="separate"/>
      </w:r>
      <w:r w:rsidRPr="00BC719D" w:rsidR="00BC719D">
        <w:rPr>
          <w:noProof/>
        </w:rPr>
        <w:t>33</w:t>
      </w:r>
      <w:r w:rsidRPr="00BC719D" w:rsidR="0015726A">
        <w:rPr>
          <w:rFonts w:ascii="Times New Roman" w:hAnsi="Times New Roman" w:eastAsiaTheme="majorEastAsia"/>
          <w:szCs w:val="24"/>
        </w:rPr>
        <w:fldChar w:fldCharType="end"/>
      </w:r>
      <w:r w:rsidRPr="00BC719D" w:rsidR="0015726A">
        <w:rPr>
          <w:rFonts w:ascii="Times New Roman" w:hAnsi="Times New Roman" w:eastAsiaTheme="majorEastAsia"/>
          <w:szCs w:val="24"/>
        </w:rPr>
        <w:t>-</w:t>
      </w:r>
      <w:r w:rsidRPr="00BC719D" w:rsidR="0015726A">
        <w:rPr>
          <w:rFonts w:ascii="Times New Roman" w:hAnsi="Times New Roman" w:eastAsiaTheme="majorEastAsia"/>
          <w:szCs w:val="24"/>
        </w:rPr>
        <w:fldChar w:fldCharType="begin"/>
      </w:r>
      <w:r w:rsidRPr="00BC719D" w:rsidR="0015726A">
        <w:rPr>
          <w:rFonts w:ascii="Times New Roman" w:hAnsi="Times New Roman" w:eastAsiaTheme="majorEastAsia"/>
          <w:szCs w:val="24"/>
        </w:rPr>
        <w:instrText xml:space="preserve"> REF Int_instruments_END_women \h </w:instrText>
      </w:r>
      <w:r w:rsidRPr="00BC719D" w:rsidR="0015726A">
        <w:rPr>
          <w:rFonts w:ascii="Times New Roman" w:hAnsi="Times New Roman" w:eastAsiaTheme="majorEastAsia"/>
          <w:szCs w:val="24"/>
        </w:rPr>
      </w:r>
      <w:r w:rsidRPr="00BC719D" w:rsidR="0015726A">
        <w:rPr>
          <w:rFonts w:ascii="Times New Roman" w:hAnsi="Times New Roman" w:eastAsiaTheme="majorEastAsia"/>
          <w:szCs w:val="24"/>
        </w:rPr>
        <w:fldChar w:fldCharType="separate"/>
      </w:r>
      <w:r w:rsidRPr="00BC719D" w:rsidR="00BC719D">
        <w:rPr>
          <w:noProof/>
        </w:rPr>
        <w:t>37</w:t>
      </w:r>
      <w:r w:rsidRPr="00BC719D" w:rsidR="0015726A">
        <w:rPr>
          <w:rFonts w:ascii="Times New Roman" w:hAnsi="Times New Roman" w:eastAsiaTheme="majorEastAsia"/>
          <w:szCs w:val="24"/>
        </w:rPr>
        <w:fldChar w:fldCharType="end"/>
      </w:r>
      <w:r w:rsidRPr="00BC719D" w:rsidR="006A5C20">
        <w:rPr>
          <w:rFonts w:ascii="Times New Roman" w:hAnsi="Times New Roman" w:eastAsiaTheme="majorEastAsia"/>
          <w:szCs w:val="24"/>
        </w:rPr>
        <w:t xml:space="preserve"> above). Also the Court </w:t>
      </w:r>
      <w:r w:rsidRPr="00BC719D">
        <w:rPr>
          <w:rFonts w:ascii="Times New Roman" w:hAnsi="Times New Roman"/>
          <w:szCs w:val="24"/>
        </w:rPr>
        <w:t xml:space="preserve">has acknowledged that providing for the distinctive needs of women prisoners, particularly in relation to maternity, in order to accomplish substantial gender equality </w:t>
      </w:r>
      <w:r w:rsidRPr="00BC719D" w:rsidR="00DF68D1">
        <w:rPr>
          <w:rFonts w:ascii="Times New Roman" w:hAnsi="Times New Roman"/>
          <w:szCs w:val="24"/>
        </w:rPr>
        <w:t xml:space="preserve">should </w:t>
      </w:r>
      <w:r w:rsidRPr="00BC719D">
        <w:rPr>
          <w:rFonts w:ascii="Times New Roman" w:hAnsi="Times New Roman"/>
          <w:szCs w:val="24"/>
        </w:rPr>
        <w:t xml:space="preserve">not be regarded as discriminatory (see </w:t>
      </w:r>
      <w:r w:rsidRPr="00BC719D" w:rsidR="0094720F">
        <w:rPr>
          <w:i/>
          <w:iCs/>
        </w:rPr>
        <w:t>Alexandru Enache</w:t>
      </w:r>
      <w:r w:rsidRPr="00BC719D" w:rsidR="0094720F">
        <w:rPr>
          <w:snapToGrid w:val="0"/>
        </w:rPr>
        <w:t xml:space="preserve">, </w:t>
      </w:r>
      <w:r w:rsidRPr="00BC719D" w:rsidR="005247CA">
        <w:rPr>
          <w:snapToGrid w:val="0"/>
        </w:rPr>
        <w:t xml:space="preserve">cited above, </w:t>
      </w:r>
      <w:r w:rsidRPr="00BC719D" w:rsidR="0094720F">
        <w:t>§ 77</w:t>
      </w:r>
      <w:r w:rsidRPr="00BC719D">
        <w:rPr>
          <w:rFonts w:ascii="Times New Roman" w:hAnsi="Times New Roman"/>
          <w:szCs w:val="24"/>
        </w:rPr>
        <w:t>).</w:t>
      </w:r>
      <w:r w:rsidRPr="00BC719D" w:rsidR="005C1A84">
        <w:rPr>
          <w:rFonts w:ascii="Times New Roman" w:hAnsi="Times New Roman"/>
          <w:szCs w:val="24"/>
        </w:rPr>
        <w:t xml:space="preserve"> </w:t>
      </w:r>
      <w:r w:rsidRPr="00BC719D" w:rsidR="005C1A84">
        <w:rPr>
          <w:rFonts w:ascii="Times New Roman" w:hAnsi="Times New Roman" w:eastAsiaTheme="majorEastAsia"/>
          <w:szCs w:val="24"/>
        </w:rPr>
        <w:t xml:space="preserve">Accordingly, certain differences in the prison regimes that are applicable to men and women are acceptable and may even be necessary </w:t>
      </w:r>
      <w:r w:rsidRPr="00BC719D" w:rsidR="00DF68D1">
        <w:rPr>
          <w:rFonts w:ascii="Times New Roman" w:hAnsi="Times New Roman" w:eastAsiaTheme="majorEastAsia"/>
          <w:szCs w:val="24"/>
        </w:rPr>
        <w:t xml:space="preserve">in order </w:t>
      </w:r>
      <w:r w:rsidRPr="00BC719D" w:rsidR="005C1A84">
        <w:rPr>
          <w:rFonts w:ascii="Times New Roman" w:hAnsi="Times New Roman" w:eastAsiaTheme="majorEastAsia"/>
          <w:szCs w:val="24"/>
        </w:rPr>
        <w:t xml:space="preserve">for substantive </w:t>
      </w:r>
      <w:r w:rsidRPr="00BC719D" w:rsidR="00B65CF4">
        <w:rPr>
          <w:rFonts w:ascii="Times New Roman" w:hAnsi="Times New Roman" w:eastAsiaTheme="majorEastAsia"/>
          <w:szCs w:val="24"/>
        </w:rPr>
        <w:t xml:space="preserve">gender </w:t>
      </w:r>
      <w:r w:rsidRPr="00BC719D" w:rsidR="005C1A84">
        <w:rPr>
          <w:rFonts w:ascii="Times New Roman" w:hAnsi="Times New Roman" w:eastAsiaTheme="majorEastAsia"/>
          <w:szCs w:val="24"/>
        </w:rPr>
        <w:t>equality to be ensured.</w:t>
      </w:r>
      <w:r w:rsidRPr="00BC719D" w:rsidR="00217ABB">
        <w:rPr>
          <w:rFonts w:ascii="Times New Roman" w:hAnsi="Times New Roman" w:eastAsiaTheme="majorEastAsia"/>
          <w:szCs w:val="24"/>
        </w:rPr>
        <w:t xml:space="preserve"> </w:t>
      </w:r>
      <w:r w:rsidRPr="00BC719D" w:rsidR="0066568F">
        <w:rPr>
          <w:rFonts w:ascii="Times New Roman" w:hAnsi="Times New Roman"/>
        </w:rPr>
        <w:t>Nonetheless</w:t>
      </w:r>
      <w:r w:rsidRPr="00BC719D" w:rsidR="009B68FE">
        <w:rPr>
          <w:rFonts w:ascii="Times New Roman" w:hAnsi="Times New Roman" w:eastAsiaTheme="majorEastAsia"/>
          <w:szCs w:val="24"/>
        </w:rPr>
        <w:t xml:space="preserve">, also </w:t>
      </w:r>
      <w:r w:rsidRPr="00BC719D" w:rsidR="009B6661">
        <w:rPr>
          <w:rFonts w:ascii="Times New Roman" w:hAnsi="Times New Roman" w:eastAsiaTheme="majorEastAsia"/>
          <w:szCs w:val="24"/>
        </w:rPr>
        <w:t>with</w:t>
      </w:r>
      <w:r w:rsidRPr="00BC719D" w:rsidR="00770FF7">
        <w:rPr>
          <w:rFonts w:ascii="Times New Roman" w:hAnsi="Times New Roman" w:eastAsiaTheme="majorEastAsia"/>
          <w:szCs w:val="24"/>
        </w:rPr>
        <w:t xml:space="preserve">in the context of </w:t>
      </w:r>
      <w:r w:rsidRPr="00BC719D" w:rsidR="00B65CF4">
        <w:rPr>
          <w:rFonts w:ascii="Times New Roman" w:hAnsi="Times New Roman" w:eastAsiaTheme="majorEastAsia"/>
          <w:szCs w:val="24"/>
        </w:rPr>
        <w:t xml:space="preserve">the </w:t>
      </w:r>
      <w:r w:rsidRPr="00BC719D" w:rsidR="00770FF7">
        <w:rPr>
          <w:rFonts w:ascii="Times New Roman" w:hAnsi="Times New Roman" w:eastAsiaTheme="majorEastAsia"/>
          <w:szCs w:val="24"/>
        </w:rPr>
        <w:t xml:space="preserve">penitentiary system and prison regimes </w:t>
      </w:r>
      <w:r w:rsidRPr="00BC719D" w:rsidR="002D4C9D">
        <w:rPr>
          <w:rFonts w:ascii="Times New Roman" w:hAnsi="Times New Roman" w:eastAsiaTheme="majorEastAsia"/>
          <w:szCs w:val="24"/>
        </w:rPr>
        <w:t xml:space="preserve">a </w:t>
      </w:r>
      <w:r w:rsidRPr="00BC719D" w:rsidR="00770FF7">
        <w:rPr>
          <w:rFonts w:ascii="Times New Roman" w:hAnsi="Times New Roman" w:eastAsiaTheme="majorEastAsia"/>
          <w:szCs w:val="24"/>
        </w:rPr>
        <w:t xml:space="preserve">difference in treatment that is based on sex has </w:t>
      </w:r>
      <w:r w:rsidRPr="00BC719D" w:rsidR="002E393E">
        <w:rPr>
          <w:rFonts w:ascii="Times New Roman" w:hAnsi="Times New Roman" w:eastAsiaTheme="majorEastAsia"/>
          <w:szCs w:val="24"/>
        </w:rPr>
        <w:t>to have a</w:t>
      </w:r>
      <w:r w:rsidRPr="00BC719D" w:rsidR="000803C8">
        <w:rPr>
          <w:rFonts w:ascii="Times New Roman" w:hAnsi="Times New Roman" w:eastAsiaTheme="majorEastAsia"/>
          <w:szCs w:val="24"/>
        </w:rPr>
        <w:t xml:space="preserve"> </w:t>
      </w:r>
      <w:r w:rsidRPr="00BC719D" w:rsidR="00770FF7">
        <w:rPr>
          <w:rFonts w:ascii="Times New Roman" w:hAnsi="Times New Roman"/>
          <w:szCs w:val="24"/>
        </w:rPr>
        <w:t xml:space="preserve">reasonable relationship of proportionality between the means employed and the aim sought to be </w:t>
      </w:r>
      <w:r w:rsidRPr="00BC719D" w:rsidR="000803C8">
        <w:rPr>
          <w:rFonts w:ascii="Times New Roman" w:hAnsi="Times New Roman"/>
          <w:szCs w:val="24"/>
        </w:rPr>
        <w:t>reali</w:t>
      </w:r>
      <w:r w:rsidRPr="00BC719D" w:rsidR="002D4C9D">
        <w:rPr>
          <w:rFonts w:ascii="Times New Roman" w:hAnsi="Times New Roman"/>
          <w:szCs w:val="24"/>
        </w:rPr>
        <w:t>s</w:t>
      </w:r>
      <w:r w:rsidRPr="00BC719D" w:rsidR="000803C8">
        <w:rPr>
          <w:rFonts w:ascii="Times New Roman" w:hAnsi="Times New Roman"/>
          <w:szCs w:val="24"/>
        </w:rPr>
        <w:t>ed (</w:t>
      </w:r>
      <w:r w:rsidRPr="00BC719D" w:rsidR="00D27459">
        <w:rPr>
          <w:rFonts w:ascii="Times New Roman" w:hAnsi="Times New Roman"/>
          <w:szCs w:val="24"/>
        </w:rPr>
        <w:t>ibid.</w:t>
      </w:r>
      <w:r w:rsidRPr="00BC719D" w:rsidR="00823C40">
        <w:rPr>
          <w:rFonts w:ascii="Times New Roman" w:hAnsi="Times New Roman"/>
          <w:snapToGrid w:val="0"/>
          <w:szCs w:val="24"/>
        </w:rPr>
        <w:t xml:space="preserve">, </w:t>
      </w:r>
      <w:r w:rsidRPr="00BC719D" w:rsidR="00823C40">
        <w:rPr>
          <w:rFonts w:ascii="Times New Roman" w:hAnsi="Times New Roman"/>
          <w:szCs w:val="24"/>
        </w:rPr>
        <w:t>§ 70</w:t>
      </w:r>
      <w:r w:rsidRPr="00BC719D" w:rsidR="000803C8">
        <w:rPr>
          <w:rFonts w:ascii="Times New Roman" w:hAnsi="Times New Roman"/>
          <w:szCs w:val="24"/>
        </w:rPr>
        <w:t>).</w:t>
      </w:r>
    </w:p>
    <w:p w:rsidRPr="00BC719D" w:rsidR="00DE5E5A" w:rsidP="00BC719D" w:rsidRDefault="00DE5E5A">
      <w:pPr>
        <w:pStyle w:val="ECHRPara"/>
      </w:pPr>
      <w:r w:rsidRPr="00BC719D">
        <w:fldChar w:fldCharType="begin"/>
      </w:r>
      <w:r w:rsidRPr="00BC719D">
        <w:instrText xml:space="preserve"> SEQ level0 \*arabic </w:instrText>
      </w:r>
      <w:r w:rsidRPr="00BC719D">
        <w:fldChar w:fldCharType="separate"/>
      </w:r>
      <w:r w:rsidRPr="00BC719D" w:rsidR="00BC719D">
        <w:rPr>
          <w:noProof/>
        </w:rPr>
        <w:t>87</w:t>
      </w:r>
      <w:r w:rsidRPr="00BC719D">
        <w:fldChar w:fldCharType="end"/>
      </w:r>
      <w:r w:rsidRPr="00BC719D">
        <w:t>.  The Court turns to the Government</w:t>
      </w:r>
      <w:r w:rsidRPr="00BC719D" w:rsidR="00BC719D">
        <w:t>’</w:t>
      </w:r>
      <w:r w:rsidRPr="00BC719D">
        <w:t xml:space="preserve">s claim that </w:t>
      </w:r>
      <w:r w:rsidRPr="00BC719D" w:rsidR="00B65CF4">
        <w:t xml:space="preserve">the </w:t>
      </w:r>
      <w:r w:rsidRPr="00BC719D">
        <w:t>Latvian penitentiar</w:t>
      </w:r>
      <w:r w:rsidRPr="00BC719D" w:rsidR="005330EE">
        <w:t>y</w:t>
      </w:r>
      <w:r w:rsidRPr="00BC719D">
        <w:t xml:space="preserve"> system treats comparable groups similarly, as male and female p</w:t>
      </w:r>
      <w:r w:rsidRPr="00BC719D" w:rsidR="00B65CF4">
        <w:t>risoners who serve their sentences</w:t>
      </w:r>
      <w:r w:rsidRPr="00BC719D">
        <w:t xml:space="preserve"> </w:t>
      </w:r>
      <w:r w:rsidRPr="00BC719D" w:rsidR="00794FB5">
        <w:t xml:space="preserve">at the </w:t>
      </w:r>
      <w:r w:rsidRPr="00BC719D" w:rsidR="009B6661">
        <w:t>medium-</w:t>
      </w:r>
      <w:r w:rsidRPr="00BC719D">
        <w:t xml:space="preserve">security </w:t>
      </w:r>
      <w:r w:rsidRPr="00BC719D" w:rsidR="00794FB5">
        <w:t xml:space="preserve">level </w:t>
      </w:r>
      <w:r w:rsidRPr="00BC719D">
        <w:t xml:space="preserve">are granted the same </w:t>
      </w:r>
      <w:r w:rsidRPr="00BC719D" w:rsidR="006C2E1C">
        <w:t>privileges</w:t>
      </w:r>
      <w:r w:rsidRPr="00BC719D" w:rsidR="005247CA">
        <w:t xml:space="preserve"> (see paragraph </w:t>
      </w:r>
      <w:r w:rsidRPr="00BC719D" w:rsidR="005247CA">
        <w:fldChar w:fldCharType="begin"/>
      </w:r>
      <w:r w:rsidRPr="00BC719D" w:rsidR="005247CA">
        <w:instrText xml:space="preserve"> REF GOV_medium_level_same \h </w:instrText>
      </w:r>
      <w:r w:rsidRPr="00BC719D" w:rsidR="00C05115">
        <w:instrText xml:space="preserve"> \* MERGEFORMAT </w:instrText>
      </w:r>
      <w:r w:rsidRPr="00BC719D" w:rsidR="005247CA">
        <w:fldChar w:fldCharType="separate"/>
      </w:r>
      <w:r w:rsidRPr="00BC719D" w:rsidR="00BC719D">
        <w:rPr>
          <w:noProof/>
        </w:rPr>
        <w:t>66</w:t>
      </w:r>
      <w:r w:rsidRPr="00BC719D" w:rsidR="005247CA">
        <w:fldChar w:fldCharType="end"/>
      </w:r>
      <w:r w:rsidRPr="00BC719D" w:rsidR="005247CA">
        <w:t xml:space="preserve"> above)</w:t>
      </w:r>
      <w:r w:rsidRPr="00BC719D">
        <w:t>. The</w:t>
      </w:r>
      <w:r w:rsidRPr="00BC719D" w:rsidR="007E3B4C">
        <w:t xml:space="preserve"> </w:t>
      </w:r>
      <w:r w:rsidRPr="00BC719D" w:rsidR="0096090C">
        <w:t>Court note</w:t>
      </w:r>
      <w:r w:rsidRPr="00BC719D" w:rsidR="0057616B">
        <w:t>s</w:t>
      </w:r>
      <w:r w:rsidRPr="00BC719D" w:rsidR="0096090C">
        <w:t xml:space="preserve"> that this</w:t>
      </w:r>
      <w:r w:rsidRPr="00BC719D">
        <w:t xml:space="preserve"> claim</w:t>
      </w:r>
      <w:r w:rsidRPr="00BC719D" w:rsidR="0057616B">
        <w:t xml:space="preserve"> </w:t>
      </w:r>
      <w:r w:rsidRPr="00BC719D" w:rsidR="005247CA">
        <w:t xml:space="preserve">disregards the fact that </w:t>
      </w:r>
      <w:r w:rsidRPr="00BC719D" w:rsidR="0057616B">
        <w:t>the gravity of the regime is determined not only by the security level but also by the type of the prison. M</w:t>
      </w:r>
      <w:r w:rsidRPr="00BC719D" w:rsidR="005247CA">
        <w:t xml:space="preserve">ale and female prisoners start serving their sentences in different types of prison, </w:t>
      </w:r>
      <w:r w:rsidRPr="00BC719D" w:rsidR="00C05115">
        <w:t xml:space="preserve">resulting in </w:t>
      </w:r>
      <w:r w:rsidRPr="00BC719D" w:rsidR="004552F8">
        <w:t>varied</w:t>
      </w:r>
      <w:r w:rsidRPr="00BC719D" w:rsidR="00C05115">
        <w:t xml:space="preserve"> degrees of restrictions of </w:t>
      </w:r>
      <w:r w:rsidRPr="00BC719D" w:rsidR="0057616B">
        <w:t xml:space="preserve">their </w:t>
      </w:r>
      <w:r w:rsidRPr="00BC719D" w:rsidR="00C05115">
        <w:t>rights at the medium-security level. In particular,</w:t>
      </w:r>
      <w:r w:rsidRPr="00BC719D" w:rsidR="0057616B">
        <w:t xml:space="preserve"> t</w:t>
      </w:r>
      <w:r w:rsidRPr="00BC719D">
        <w:t>he Sentence Enforcement Code</w:t>
      </w:r>
      <w:r w:rsidRPr="00BC719D" w:rsidR="00794FB5">
        <w:t xml:space="preserve"> provides that </w:t>
      </w:r>
      <w:r w:rsidRPr="00BC719D" w:rsidR="007E3B4C">
        <w:t xml:space="preserve">all male prisoners convicted of serious and particularly serious crimes </w:t>
      </w:r>
      <w:r w:rsidRPr="00BC719D" w:rsidR="00DF68D1">
        <w:t xml:space="preserve">must be </w:t>
      </w:r>
      <w:r w:rsidRPr="00BC719D" w:rsidR="007E3B4C">
        <w:t>placed in closed prisons at the maximum</w:t>
      </w:r>
      <w:r w:rsidRPr="00BC719D" w:rsidR="001F4978">
        <w:t>-</w:t>
      </w:r>
      <w:r w:rsidRPr="00BC719D" w:rsidR="007E3B4C">
        <w:t>security level</w:t>
      </w:r>
      <w:r w:rsidRPr="00BC719D" w:rsidR="00B63352">
        <w:t xml:space="preserve"> (see paragraphs </w:t>
      </w:r>
      <w:r w:rsidRPr="00BC719D" w:rsidR="002C146E">
        <w:fldChar w:fldCharType="begin"/>
      </w:r>
      <w:r w:rsidRPr="00BC719D" w:rsidR="002C146E">
        <w:instrText xml:space="preserve"> REF SEC_progressive_system \h </w:instrText>
      </w:r>
      <w:r w:rsidRPr="00BC719D" w:rsidR="00C05115">
        <w:instrText xml:space="preserve"> \* MERGEFORMAT </w:instrText>
      </w:r>
      <w:r w:rsidRPr="00BC719D" w:rsidR="002C146E">
        <w:fldChar w:fldCharType="separate"/>
      </w:r>
      <w:r w:rsidRPr="00BC719D" w:rsidR="00BC719D">
        <w:rPr>
          <w:noProof/>
        </w:rPr>
        <w:t>22</w:t>
      </w:r>
      <w:r w:rsidRPr="00BC719D" w:rsidR="002C146E">
        <w:fldChar w:fldCharType="end"/>
      </w:r>
      <w:r w:rsidRPr="00BC719D" w:rsidR="002C146E">
        <w:t>-</w:t>
      </w:r>
      <w:r w:rsidRPr="00BC719D" w:rsidR="002C146E">
        <w:fldChar w:fldCharType="begin"/>
      </w:r>
      <w:r w:rsidRPr="00BC719D" w:rsidR="002C146E">
        <w:instrText xml:space="preserve"> REF SEC_closed_prisons \h </w:instrText>
      </w:r>
      <w:r w:rsidRPr="00BC719D" w:rsidR="00C05115">
        <w:instrText xml:space="preserve"> \* MERGEFORMAT </w:instrText>
      </w:r>
      <w:r w:rsidRPr="00BC719D" w:rsidR="002C146E">
        <w:fldChar w:fldCharType="separate"/>
      </w:r>
      <w:r w:rsidRPr="00BC719D" w:rsidR="00BC719D">
        <w:rPr>
          <w:noProof/>
        </w:rPr>
        <w:t>23</w:t>
      </w:r>
      <w:r w:rsidRPr="00BC719D" w:rsidR="002C146E">
        <w:fldChar w:fldCharType="end"/>
      </w:r>
      <w:r w:rsidRPr="00BC719D" w:rsidR="00F03BDF">
        <w:t xml:space="preserve"> </w:t>
      </w:r>
      <w:r w:rsidRPr="00BC719D" w:rsidR="00B63352">
        <w:t>above)</w:t>
      </w:r>
      <w:r w:rsidRPr="00BC719D" w:rsidR="007E3B4C">
        <w:t xml:space="preserve">. </w:t>
      </w:r>
      <w:r w:rsidRPr="00BC719D" w:rsidR="00794FB5">
        <w:t>Further</w:t>
      </w:r>
      <w:r w:rsidRPr="00BC719D" w:rsidR="00DF68D1">
        <w:t>more</w:t>
      </w:r>
      <w:r w:rsidRPr="00BC719D" w:rsidR="00794FB5">
        <w:t xml:space="preserve">, </w:t>
      </w:r>
      <w:r w:rsidRPr="00BC719D">
        <w:t xml:space="preserve">no prisoner serving his sentence in a closed prison is entitled to prison leave (see paragraph </w:t>
      </w:r>
      <w:r w:rsidRPr="00BC719D" w:rsidR="002C146E">
        <w:fldChar w:fldCharType="begin"/>
      </w:r>
      <w:r w:rsidRPr="00BC719D" w:rsidR="002C146E">
        <w:instrText xml:space="preserve"> REF SEC_comparison_of_rights \h </w:instrText>
      </w:r>
      <w:r w:rsidRPr="00BC719D" w:rsidR="00C05115">
        <w:instrText xml:space="preserve"> \* MERGEFORMAT </w:instrText>
      </w:r>
      <w:r w:rsidRPr="00BC719D" w:rsidR="002C146E">
        <w:fldChar w:fldCharType="separate"/>
      </w:r>
      <w:r w:rsidRPr="00BC719D" w:rsidR="00BC719D">
        <w:rPr>
          <w:noProof/>
        </w:rPr>
        <w:t>25</w:t>
      </w:r>
      <w:r w:rsidRPr="00BC719D" w:rsidR="002C146E">
        <w:fldChar w:fldCharType="end"/>
      </w:r>
      <w:r w:rsidRPr="00BC719D" w:rsidR="00F03BDF">
        <w:t xml:space="preserve"> </w:t>
      </w:r>
      <w:r w:rsidRPr="00BC719D">
        <w:t xml:space="preserve">above). They would acquire such </w:t>
      </w:r>
      <w:r w:rsidRPr="00BC719D" w:rsidR="005330EE">
        <w:t xml:space="preserve">a </w:t>
      </w:r>
      <w:r w:rsidRPr="00BC719D">
        <w:t>right only after being mo</w:t>
      </w:r>
      <w:r w:rsidRPr="00BC719D" w:rsidR="00C56F67">
        <w:t>ved to a partly-closed prison </w:t>
      </w:r>
      <w:r w:rsidRPr="00BC719D" w:rsidR="00C56F67">
        <w:noBreakHyphen/>
        <w:t> </w:t>
      </w:r>
      <w:r w:rsidRPr="00BC719D" w:rsidR="00217ABB">
        <w:t xml:space="preserve">a transfer they </w:t>
      </w:r>
      <w:r w:rsidRPr="00BC719D" w:rsidR="00D865E0">
        <w:t xml:space="preserve">may </w:t>
      </w:r>
      <w:r w:rsidRPr="00BC719D" w:rsidR="00217ABB">
        <w:t xml:space="preserve">become eligible for </w:t>
      </w:r>
      <w:r w:rsidRPr="00BC719D" w:rsidR="00D865E0">
        <w:t xml:space="preserve">only </w:t>
      </w:r>
      <w:r w:rsidRPr="00BC719D" w:rsidR="00217ABB">
        <w:t>after serv</w:t>
      </w:r>
      <w:r w:rsidRPr="00BC719D" w:rsidR="00D865E0">
        <w:t>ing</w:t>
      </w:r>
      <w:r w:rsidRPr="00BC719D" w:rsidR="00217ABB">
        <w:t xml:space="preserve"> one half of the </w:t>
      </w:r>
      <w:r w:rsidRPr="00BC719D" w:rsidR="008A1E08">
        <w:t xml:space="preserve">imposed </w:t>
      </w:r>
      <w:r w:rsidRPr="00BC719D" w:rsidR="00217ABB">
        <w:t xml:space="preserve">sentence (see paragraph </w:t>
      </w:r>
      <w:r w:rsidRPr="00BC719D" w:rsidR="002C146E">
        <w:fldChar w:fldCharType="begin"/>
      </w:r>
      <w:r w:rsidRPr="00BC719D" w:rsidR="002C146E">
        <w:instrText xml:space="preserve"> REF SEC_closed_prisons \h </w:instrText>
      </w:r>
      <w:r w:rsidRPr="00BC719D" w:rsidR="00C05115">
        <w:instrText xml:space="preserve"> \* MERGEFORMAT </w:instrText>
      </w:r>
      <w:r w:rsidRPr="00BC719D" w:rsidR="002C146E">
        <w:fldChar w:fldCharType="separate"/>
      </w:r>
      <w:r w:rsidRPr="00BC719D" w:rsidR="00BC719D">
        <w:rPr>
          <w:noProof/>
        </w:rPr>
        <w:t>23</w:t>
      </w:r>
      <w:r w:rsidRPr="00BC719D" w:rsidR="002C146E">
        <w:fldChar w:fldCharType="end"/>
      </w:r>
      <w:r w:rsidRPr="00BC719D" w:rsidR="00217ABB">
        <w:t xml:space="preserve"> above). </w:t>
      </w:r>
      <w:r w:rsidRPr="00BC719D" w:rsidR="003722B7">
        <w:t>In contrast, w</w:t>
      </w:r>
      <w:r w:rsidRPr="00BC719D" w:rsidR="00217ABB">
        <w:t xml:space="preserve">omen prisoners who have been convicted of the same crimes are placed in this type of prison </w:t>
      </w:r>
      <w:r w:rsidRPr="00BC719D" w:rsidR="00764B05">
        <w:t>from the very</w:t>
      </w:r>
      <w:r w:rsidRPr="00BC719D" w:rsidR="00217ABB">
        <w:t xml:space="preserve"> beginning of their </w:t>
      </w:r>
      <w:r w:rsidRPr="00BC719D" w:rsidR="006C2E1C">
        <w:t>sentence</w:t>
      </w:r>
      <w:r w:rsidRPr="00BC719D" w:rsidR="00B63352">
        <w:t xml:space="preserve"> (see paragraph </w:t>
      </w:r>
      <w:r w:rsidRPr="00BC719D" w:rsidR="002C146E">
        <w:fldChar w:fldCharType="begin"/>
      </w:r>
      <w:r w:rsidRPr="00BC719D" w:rsidR="002C146E">
        <w:instrText xml:space="preserve"> REF SEC_partly_closed_prisons \h </w:instrText>
      </w:r>
      <w:r w:rsidRPr="00BC719D" w:rsidR="00C05115">
        <w:instrText xml:space="preserve"> \* MERGEFORMAT </w:instrText>
      </w:r>
      <w:r w:rsidRPr="00BC719D" w:rsidR="002C146E">
        <w:fldChar w:fldCharType="separate"/>
      </w:r>
      <w:r w:rsidRPr="00BC719D" w:rsidR="00BC719D">
        <w:rPr>
          <w:noProof/>
        </w:rPr>
        <w:t>24</w:t>
      </w:r>
      <w:r w:rsidRPr="00BC719D" w:rsidR="002C146E">
        <w:fldChar w:fldCharType="end"/>
      </w:r>
      <w:r w:rsidRPr="00BC719D" w:rsidR="00B63352">
        <w:t xml:space="preserve"> above)</w:t>
      </w:r>
      <w:r w:rsidRPr="00BC719D" w:rsidR="00217ABB">
        <w:t>.</w:t>
      </w:r>
    </w:p>
    <w:bookmarkStart w:name="Assessment_no_individualisation" w:id="36"/>
    <w:p w:rsidRPr="00BC719D" w:rsidR="00217ABB" w:rsidP="00BC719D" w:rsidRDefault="00217ABB">
      <w:pPr>
        <w:pStyle w:val="ECHRPara"/>
      </w:pPr>
      <w:r w:rsidRPr="00BC719D">
        <w:fldChar w:fldCharType="begin"/>
      </w:r>
      <w:r w:rsidRPr="00BC719D">
        <w:instrText xml:space="preserve"> SEQ level0 \*arabic </w:instrText>
      </w:r>
      <w:r w:rsidRPr="00BC719D">
        <w:fldChar w:fldCharType="separate"/>
      </w:r>
      <w:r w:rsidRPr="00BC719D" w:rsidR="00BC719D">
        <w:rPr>
          <w:noProof/>
        </w:rPr>
        <w:t>88</w:t>
      </w:r>
      <w:r w:rsidRPr="00BC719D">
        <w:fldChar w:fldCharType="end"/>
      </w:r>
      <w:bookmarkEnd w:id="36"/>
      <w:r w:rsidRPr="00BC719D">
        <w:t>.  The aforementioned is confirmed by the applicant</w:t>
      </w:r>
      <w:r w:rsidRPr="00BC719D" w:rsidR="00BC719D">
        <w:t>’</w:t>
      </w:r>
      <w:r w:rsidRPr="00BC719D">
        <w:t xml:space="preserve">s experience, as at the time </w:t>
      </w:r>
      <w:r w:rsidRPr="00BC719D" w:rsidR="00D865E0">
        <w:t xml:space="preserve">that </w:t>
      </w:r>
      <w:r w:rsidRPr="00BC719D">
        <w:t>he submitted his request for prison leave to attend his father</w:t>
      </w:r>
      <w:r w:rsidRPr="00BC719D" w:rsidR="00BC719D">
        <w:t>’</w:t>
      </w:r>
      <w:r w:rsidRPr="00BC719D">
        <w:t>s funeral he had already been moved to the medium</w:t>
      </w:r>
      <w:r w:rsidRPr="00BC719D" w:rsidR="00D6523D">
        <w:t>-</w:t>
      </w:r>
      <w:r w:rsidRPr="00BC719D">
        <w:t>security level of the closed prison (see paragraph</w:t>
      </w:r>
      <w:r w:rsidRPr="00BC719D" w:rsidR="00184C9A">
        <w:t xml:space="preserve">s </w:t>
      </w:r>
      <w:r w:rsidRPr="00BC719D" w:rsidR="002C146E">
        <w:fldChar w:fldCharType="begin"/>
      </w:r>
      <w:r w:rsidRPr="00BC719D" w:rsidR="002C146E">
        <w:instrText xml:space="preserve"> REF Facts_medium_regume \h </w:instrText>
      </w:r>
      <w:r w:rsidRPr="00BC719D" w:rsidR="002C146E">
        <w:fldChar w:fldCharType="separate"/>
      </w:r>
      <w:r w:rsidRPr="00BC719D" w:rsidR="00BC719D">
        <w:rPr>
          <w:noProof/>
        </w:rPr>
        <w:t>8</w:t>
      </w:r>
      <w:r w:rsidRPr="00BC719D" w:rsidR="002C146E">
        <w:fldChar w:fldCharType="end"/>
      </w:r>
      <w:r w:rsidRPr="00BC719D" w:rsidR="002C146E">
        <w:t xml:space="preserve"> and </w:t>
      </w:r>
      <w:r w:rsidRPr="00BC719D" w:rsidR="002C146E">
        <w:fldChar w:fldCharType="begin"/>
      </w:r>
      <w:r w:rsidRPr="00BC719D" w:rsidR="002C146E">
        <w:instrText xml:space="preserve"> REF Facts_refusal \h </w:instrText>
      </w:r>
      <w:r w:rsidRPr="00BC719D" w:rsidR="002C146E">
        <w:fldChar w:fldCharType="separate"/>
      </w:r>
      <w:r w:rsidRPr="00BC719D" w:rsidR="00BC719D">
        <w:rPr>
          <w:noProof/>
        </w:rPr>
        <w:t>10</w:t>
      </w:r>
      <w:r w:rsidRPr="00BC719D" w:rsidR="002C146E">
        <w:fldChar w:fldCharType="end"/>
      </w:r>
      <w:r w:rsidRPr="00BC719D" w:rsidR="00184C9A">
        <w:t xml:space="preserve"> </w:t>
      </w:r>
      <w:r w:rsidRPr="00BC719D">
        <w:t xml:space="preserve">above). His request was not entertained exactly on the </w:t>
      </w:r>
      <w:r w:rsidRPr="00BC719D" w:rsidR="006C2E1C">
        <w:t>grounds</w:t>
      </w:r>
      <w:r w:rsidRPr="00BC719D">
        <w:t xml:space="preserve"> of being placed at the </w:t>
      </w:r>
      <w:r w:rsidRPr="00BC719D" w:rsidR="009B6661">
        <w:t>medium-</w:t>
      </w:r>
      <w:r w:rsidRPr="00BC719D">
        <w:t xml:space="preserve">security level of the closed prison. Neither the domestic authorities, nor the Government have suggested that there was any other consideration that had informed this decision. Meanwhile, women prisoners in analogous circumstances, that is to say, convicted of the same crimes, given the same sentence, having served the same proportion of the sentence, and having progressed to the </w:t>
      </w:r>
      <w:r w:rsidRPr="00BC719D" w:rsidR="009B6661">
        <w:t>medium-</w:t>
      </w:r>
      <w:r w:rsidRPr="00BC719D">
        <w:t xml:space="preserve">security level, would have been </w:t>
      </w:r>
      <w:r w:rsidRPr="00BC719D" w:rsidR="005A2A62">
        <w:t>eligible for such prison leave.</w:t>
      </w:r>
    </w:p>
    <w:p w:rsidRPr="00BC719D" w:rsidR="00DE5E5A" w:rsidP="00BC719D" w:rsidRDefault="00DE5E5A">
      <w:pPr>
        <w:pStyle w:val="ECHRPara"/>
      </w:pPr>
      <w:r w:rsidRPr="00BC719D">
        <w:fldChar w:fldCharType="begin"/>
      </w:r>
      <w:r w:rsidRPr="00BC719D">
        <w:instrText xml:space="preserve"> SEQ level0 \*arabic </w:instrText>
      </w:r>
      <w:r w:rsidRPr="00BC719D">
        <w:fldChar w:fldCharType="separate"/>
      </w:r>
      <w:r w:rsidRPr="00BC719D" w:rsidR="00BC719D">
        <w:rPr>
          <w:noProof/>
        </w:rPr>
        <w:t>89</w:t>
      </w:r>
      <w:r w:rsidRPr="00BC719D">
        <w:fldChar w:fldCharType="end"/>
      </w:r>
      <w:r w:rsidRPr="00BC719D">
        <w:t>.  </w:t>
      </w:r>
      <w:r w:rsidRPr="00BC719D" w:rsidR="00C1319B">
        <w:t>In j</w:t>
      </w:r>
      <w:r w:rsidRPr="00BC719D" w:rsidR="005330EE">
        <w:t>ustifying this distinction t</w:t>
      </w:r>
      <w:r w:rsidRPr="00BC719D">
        <w:t xml:space="preserve">he Government </w:t>
      </w:r>
      <w:r w:rsidRPr="00BC719D" w:rsidR="005330EE">
        <w:t xml:space="preserve">argued </w:t>
      </w:r>
      <w:r w:rsidRPr="00BC719D">
        <w:t xml:space="preserve">that women prisoners, in general, were less violent and less prone to aggression towards other inmates or prison staff, whereas men prisoners were more predisposed </w:t>
      </w:r>
      <w:r w:rsidRPr="00BC719D" w:rsidR="005330EE">
        <w:t>to inter-prisoner violence and</w:t>
      </w:r>
      <w:r w:rsidRPr="00BC719D">
        <w:t xml:space="preserve"> attempted prison-breaks and </w:t>
      </w:r>
      <w:r w:rsidRPr="00BC719D" w:rsidR="005330EE">
        <w:t xml:space="preserve">they </w:t>
      </w:r>
      <w:r w:rsidRPr="00BC719D">
        <w:t xml:space="preserve">posed higher threats to prison security and staff. The Government have not, however, submitted </w:t>
      </w:r>
      <w:r w:rsidRPr="00BC719D" w:rsidR="005330EE">
        <w:t xml:space="preserve">any data supporting this claim. </w:t>
      </w:r>
      <w:r w:rsidRPr="00BC719D">
        <w:t xml:space="preserve">In particular, the </w:t>
      </w:r>
      <w:r w:rsidRPr="00BC719D" w:rsidR="00C06A4E">
        <w:t>Court lacks</w:t>
      </w:r>
      <w:r w:rsidRPr="00BC719D">
        <w:t xml:space="preserve"> information concerning the conduct of </w:t>
      </w:r>
      <w:r w:rsidRPr="00BC719D" w:rsidR="005330EE">
        <w:t xml:space="preserve">the relevant </w:t>
      </w:r>
      <w:r w:rsidRPr="00BC719D">
        <w:t>groups of prisoners</w:t>
      </w:r>
      <w:r w:rsidRPr="00BC719D" w:rsidR="005330EE">
        <w:t>, namely, men and women convicted of serious or especially serious crimes,</w:t>
      </w:r>
      <w:r w:rsidRPr="00BC719D">
        <w:t xml:space="preserve"> </w:t>
      </w:r>
      <w:r w:rsidRPr="00BC719D" w:rsidR="005330EE">
        <w:t xml:space="preserve">with regard to the compliance with prison regime and, even more importantly, </w:t>
      </w:r>
      <w:r w:rsidRPr="00BC719D" w:rsidR="004A6E11">
        <w:t xml:space="preserve">their conduct </w:t>
      </w:r>
      <w:r w:rsidRPr="00BC719D">
        <w:t xml:space="preserve">when </w:t>
      </w:r>
      <w:r w:rsidRPr="00BC719D" w:rsidR="005330EE">
        <w:t xml:space="preserve">released on </w:t>
      </w:r>
      <w:r w:rsidRPr="00BC719D">
        <w:t>prison leave.</w:t>
      </w:r>
    </w:p>
    <w:p w:rsidRPr="00BC719D" w:rsidR="002D11F4" w:rsidP="00BC719D" w:rsidRDefault="002D11F4">
      <w:pPr>
        <w:pStyle w:val="ECHRPara"/>
        <w:rPr>
          <w:lang w:val="pt-PT"/>
        </w:rPr>
      </w:pPr>
      <w:r w:rsidRPr="00BC719D">
        <w:fldChar w:fldCharType="begin"/>
      </w:r>
      <w:r w:rsidRPr="00BC719D">
        <w:instrText xml:space="preserve"> SEQ level0 \*arabic </w:instrText>
      </w:r>
      <w:r w:rsidRPr="00BC719D">
        <w:fldChar w:fldCharType="separate"/>
      </w:r>
      <w:r w:rsidRPr="00BC719D" w:rsidR="00BC719D">
        <w:rPr>
          <w:noProof/>
        </w:rPr>
        <w:t>90</w:t>
      </w:r>
      <w:r w:rsidRPr="00BC719D">
        <w:fldChar w:fldCharType="end"/>
      </w:r>
      <w:r w:rsidRPr="00BC719D">
        <w:t xml:space="preserve">.  Be it as it may, the Court is not persuaded that even if this claim had been supported by data, it would be sufficient to justify this </w:t>
      </w:r>
      <w:r w:rsidRPr="00BC719D" w:rsidR="006C2E1C">
        <w:t>distinction</w:t>
      </w:r>
      <w:r w:rsidRPr="00BC719D">
        <w:t xml:space="preserve">. Finding otherwise would be tantamount to concluding that all male prisoners, when compared to women who have committed exactly the same </w:t>
      </w:r>
      <w:r w:rsidRPr="00BC719D" w:rsidR="006C2E1C">
        <w:t>offences</w:t>
      </w:r>
      <w:r w:rsidRPr="00BC719D">
        <w:t>, are so much more dangerous that no individualised assessment is even purposeful. Such an approach would be incompatible with the case-law of the Court emphasising the need for an individualised risk assessment of all detainees</w:t>
      </w:r>
      <w:r w:rsidRPr="00BC719D" w:rsidR="00A57DA3">
        <w:t xml:space="preserve"> </w:t>
      </w:r>
      <w:r w:rsidRPr="00BC719D" w:rsidR="00360A2B">
        <w:t>with rega</w:t>
      </w:r>
      <w:r w:rsidRPr="00BC719D" w:rsidR="00C05115">
        <w:t>r</w:t>
      </w:r>
      <w:r w:rsidRPr="00BC719D" w:rsidR="00360A2B">
        <w:t xml:space="preserve">d to prison leave </w:t>
      </w:r>
      <w:r w:rsidRPr="00BC719D" w:rsidR="00A57DA3">
        <w:t>(see</w:t>
      </w:r>
      <w:r w:rsidRPr="00BC719D" w:rsidR="00CD47B6">
        <w:t xml:space="preserve"> paragraph </w:t>
      </w:r>
      <w:r w:rsidRPr="00BC719D" w:rsidR="00CD47B6">
        <w:fldChar w:fldCharType="begin"/>
      </w:r>
      <w:r w:rsidRPr="00BC719D" w:rsidR="00CD47B6">
        <w:instrText xml:space="preserve"> REF A8 \h </w:instrText>
      </w:r>
      <w:r w:rsidRPr="00BC719D" w:rsidR="00CD47B6">
        <w:fldChar w:fldCharType="separate"/>
      </w:r>
      <w:r w:rsidRPr="00BC719D" w:rsidR="00BC719D">
        <w:rPr>
          <w:rFonts w:ascii="Times New Roman" w:hAnsi="Times New Roman" w:eastAsiaTheme="majorEastAsia"/>
          <w:noProof/>
          <w:szCs w:val="24"/>
        </w:rPr>
        <w:t>91</w:t>
      </w:r>
      <w:r w:rsidRPr="00BC719D" w:rsidR="00CD47B6">
        <w:fldChar w:fldCharType="end"/>
      </w:r>
      <w:r w:rsidRPr="00BC719D" w:rsidR="00CD47B6">
        <w:t xml:space="preserve"> below</w:t>
      </w:r>
      <w:r w:rsidRPr="00BC719D" w:rsidR="00A57DA3">
        <w:rPr>
          <w:snapToGrid w:val="0"/>
          <w:lang w:val="pt-PT"/>
        </w:rPr>
        <w:t>)</w:t>
      </w:r>
      <w:r w:rsidRPr="00BC719D">
        <w:t xml:space="preserve">. </w:t>
      </w:r>
      <w:r w:rsidRPr="00BC719D" w:rsidR="00C91863">
        <w:rPr>
          <w:rFonts w:ascii="Times New Roman" w:hAnsi="Times New Roman" w:eastAsiaTheme="majorEastAsia"/>
          <w:szCs w:val="24"/>
        </w:rPr>
        <w:t>The Court also refers here to CPT</w:t>
      </w:r>
      <w:r w:rsidRPr="00BC719D" w:rsidR="00BC719D">
        <w:rPr>
          <w:rFonts w:ascii="Times New Roman" w:hAnsi="Times New Roman" w:eastAsiaTheme="majorEastAsia"/>
          <w:szCs w:val="24"/>
        </w:rPr>
        <w:t>’</w:t>
      </w:r>
      <w:r w:rsidRPr="00BC719D" w:rsidR="00C91863">
        <w:rPr>
          <w:rFonts w:ascii="Times New Roman" w:hAnsi="Times New Roman" w:eastAsiaTheme="majorEastAsia"/>
          <w:szCs w:val="24"/>
        </w:rPr>
        <w:t xml:space="preserve">s repeated criticism of </w:t>
      </w:r>
      <w:r w:rsidRPr="00BC719D" w:rsidR="00C91863">
        <w:t>the Latvian “progressive sentence execution” system under which all prisoners are required to spend a predetermined minimum amount of time at both the maximum- and the medium-security level since it is the p</w:t>
      </w:r>
      <w:r w:rsidRPr="00BC719D" w:rsidR="00C91863">
        <w:rPr>
          <w:rFonts w:eastAsiaTheme="minorHAnsi"/>
        </w:rPr>
        <w:t xml:space="preserve">rison authorities who should be responsible for determining security and regime requirements, on the basis of professionally agreed criteria and individual assessments of prisoners (see paragraphs </w:t>
      </w:r>
      <w:r w:rsidRPr="00BC719D" w:rsidR="00C91863">
        <w:rPr>
          <w:rFonts w:eastAsiaTheme="minorHAnsi"/>
        </w:rPr>
        <w:fldChar w:fldCharType="begin"/>
      </w:r>
      <w:r w:rsidRPr="00BC719D" w:rsidR="00C91863">
        <w:rPr>
          <w:rFonts w:eastAsiaTheme="minorHAnsi"/>
        </w:rPr>
        <w:instrText xml:space="preserve"> REF CPT_1 \h  \* MERGEFORMAT </w:instrText>
      </w:r>
      <w:r w:rsidRPr="00BC719D" w:rsidR="00C91863">
        <w:rPr>
          <w:rFonts w:eastAsiaTheme="minorHAnsi"/>
        </w:rPr>
      </w:r>
      <w:r w:rsidRPr="00BC719D" w:rsidR="00C91863">
        <w:rPr>
          <w:rFonts w:eastAsiaTheme="minorHAnsi"/>
        </w:rPr>
        <w:fldChar w:fldCharType="separate"/>
      </w:r>
      <w:r w:rsidRPr="00BC719D" w:rsidR="00BC719D">
        <w:rPr>
          <w:noProof/>
        </w:rPr>
        <w:t>39</w:t>
      </w:r>
      <w:r w:rsidRPr="00BC719D" w:rsidR="00C91863">
        <w:rPr>
          <w:rFonts w:eastAsiaTheme="minorHAnsi"/>
        </w:rPr>
        <w:fldChar w:fldCharType="end"/>
      </w:r>
      <w:r w:rsidRPr="00BC719D" w:rsidR="00C91863">
        <w:rPr>
          <w:rFonts w:eastAsiaTheme="minorHAnsi"/>
        </w:rPr>
        <w:t xml:space="preserve"> and </w:t>
      </w:r>
      <w:r w:rsidRPr="00BC719D" w:rsidR="00C91863">
        <w:rPr>
          <w:rFonts w:eastAsiaTheme="minorHAnsi"/>
        </w:rPr>
        <w:fldChar w:fldCharType="begin"/>
      </w:r>
      <w:r w:rsidRPr="00BC719D" w:rsidR="00C91863">
        <w:rPr>
          <w:rFonts w:eastAsiaTheme="minorHAnsi"/>
        </w:rPr>
        <w:instrText xml:space="preserve"> REF CPT_2 \h  \* MERGEFORMAT </w:instrText>
      </w:r>
      <w:r w:rsidRPr="00BC719D" w:rsidR="00C91863">
        <w:rPr>
          <w:rFonts w:eastAsiaTheme="minorHAnsi"/>
        </w:rPr>
      </w:r>
      <w:r w:rsidRPr="00BC719D" w:rsidR="00C91863">
        <w:rPr>
          <w:rFonts w:eastAsiaTheme="minorHAnsi"/>
        </w:rPr>
        <w:fldChar w:fldCharType="separate"/>
      </w:r>
      <w:r w:rsidRPr="00BC719D" w:rsidR="00BC719D">
        <w:rPr>
          <w:noProof/>
        </w:rPr>
        <w:t>40</w:t>
      </w:r>
      <w:r w:rsidRPr="00BC719D" w:rsidR="00C91863">
        <w:rPr>
          <w:rFonts w:eastAsiaTheme="minorHAnsi"/>
        </w:rPr>
        <w:fldChar w:fldCharType="end"/>
      </w:r>
      <w:r w:rsidRPr="00BC719D" w:rsidR="00C91863">
        <w:rPr>
          <w:rFonts w:eastAsiaTheme="minorHAnsi"/>
        </w:rPr>
        <w:t xml:space="preserve"> above).</w:t>
      </w:r>
    </w:p>
    <w:bookmarkStart w:name="A8" w:id="37"/>
    <w:p w:rsidRPr="00BC719D" w:rsidR="00933307" w:rsidP="00BC719D" w:rsidRDefault="00CB6A6B">
      <w:pPr>
        <w:pStyle w:val="ECHRPara"/>
      </w:pPr>
      <w:r w:rsidRPr="00BC719D">
        <w:rPr>
          <w:rFonts w:ascii="Times New Roman" w:hAnsi="Times New Roman" w:eastAsiaTheme="majorEastAsia"/>
          <w:szCs w:val="24"/>
        </w:rPr>
        <w:fldChar w:fldCharType="begin"/>
      </w:r>
      <w:r w:rsidRPr="00BC719D">
        <w:rPr>
          <w:rFonts w:ascii="Times New Roman" w:hAnsi="Times New Roman" w:eastAsiaTheme="majorEastAsia"/>
          <w:szCs w:val="24"/>
        </w:rPr>
        <w:instrText xml:space="preserve"> SEQ level0 \*arabic </w:instrText>
      </w:r>
      <w:r w:rsidRPr="00BC719D">
        <w:rPr>
          <w:rFonts w:ascii="Times New Roman" w:hAnsi="Times New Roman" w:eastAsiaTheme="majorEastAsia"/>
          <w:szCs w:val="24"/>
        </w:rPr>
        <w:fldChar w:fldCharType="separate"/>
      </w:r>
      <w:r w:rsidRPr="00BC719D" w:rsidR="00BC719D">
        <w:rPr>
          <w:rFonts w:ascii="Times New Roman" w:hAnsi="Times New Roman" w:eastAsiaTheme="majorEastAsia"/>
          <w:noProof/>
          <w:szCs w:val="24"/>
        </w:rPr>
        <w:t>91</w:t>
      </w:r>
      <w:r w:rsidRPr="00BC719D">
        <w:rPr>
          <w:rFonts w:ascii="Times New Roman" w:hAnsi="Times New Roman" w:eastAsiaTheme="majorEastAsia"/>
          <w:szCs w:val="24"/>
        </w:rPr>
        <w:fldChar w:fldCharType="end"/>
      </w:r>
      <w:bookmarkEnd w:id="37"/>
      <w:r w:rsidRPr="00BC719D">
        <w:rPr>
          <w:rFonts w:ascii="Times New Roman" w:hAnsi="Times New Roman" w:eastAsiaTheme="majorEastAsia"/>
          <w:szCs w:val="24"/>
        </w:rPr>
        <w:t>.  </w:t>
      </w:r>
      <w:r w:rsidRPr="00BC719D" w:rsidR="000459EB">
        <w:rPr>
          <w:rFonts w:ascii="Times New Roman" w:hAnsi="Times New Roman" w:eastAsiaTheme="majorEastAsia"/>
          <w:szCs w:val="24"/>
        </w:rPr>
        <w:t>The Court fully shares the Government</w:t>
      </w:r>
      <w:r w:rsidRPr="00BC719D" w:rsidR="00BC719D">
        <w:rPr>
          <w:rFonts w:ascii="Times New Roman" w:hAnsi="Times New Roman" w:eastAsiaTheme="majorEastAsia"/>
          <w:szCs w:val="24"/>
        </w:rPr>
        <w:t>’</w:t>
      </w:r>
      <w:r w:rsidRPr="00BC719D" w:rsidR="000459EB">
        <w:rPr>
          <w:rFonts w:ascii="Times New Roman" w:hAnsi="Times New Roman" w:eastAsiaTheme="majorEastAsia"/>
          <w:szCs w:val="24"/>
        </w:rPr>
        <w:t>s proposition that there is no objective need to subject women prisoners to conditions that are stricter than necessary. It emphas</w:t>
      </w:r>
      <w:r w:rsidRPr="00BC719D" w:rsidR="00532B95">
        <w:rPr>
          <w:rFonts w:ascii="Times New Roman" w:hAnsi="Times New Roman" w:eastAsiaTheme="majorEastAsia"/>
          <w:szCs w:val="24"/>
        </w:rPr>
        <w:t>is</w:t>
      </w:r>
      <w:r w:rsidRPr="00BC719D" w:rsidR="000459EB">
        <w:rPr>
          <w:rFonts w:ascii="Times New Roman" w:hAnsi="Times New Roman" w:eastAsiaTheme="majorEastAsia"/>
          <w:szCs w:val="24"/>
        </w:rPr>
        <w:t>es, however, that this principle is equally applicable to male prisoners.</w:t>
      </w:r>
      <w:r w:rsidRPr="00BC719D" w:rsidR="0091698C">
        <w:rPr>
          <w:rFonts w:ascii="Times New Roman" w:hAnsi="Times New Roman" w:eastAsiaTheme="majorEastAsia"/>
          <w:szCs w:val="24"/>
        </w:rPr>
        <w:t xml:space="preserve"> </w:t>
      </w:r>
      <w:r w:rsidRPr="00BC719D" w:rsidR="00956903">
        <w:t xml:space="preserve">The Court notes that </w:t>
      </w:r>
      <w:r w:rsidRPr="00BC719D" w:rsidR="00360A2B">
        <w:t xml:space="preserve">while </w:t>
      </w:r>
      <w:r w:rsidRPr="00BC719D" w:rsidR="00956903">
        <w:t xml:space="preserve">Article 8 of the Convention </w:t>
      </w:r>
      <w:r w:rsidRPr="00BC719D" w:rsidR="00360A2B">
        <w:t xml:space="preserve">does not guarantee a detained person an unconditional right to leave prison in order to attend the funeral of a relative, </w:t>
      </w:r>
      <w:r w:rsidRPr="00BC719D" w:rsidR="00956903">
        <w:rPr>
          <w:rFonts w:ascii="Times New Roman" w:hAnsi="Times New Roman" w:eastAsiaTheme="majorEastAsia"/>
          <w:szCs w:val="24"/>
        </w:rPr>
        <w:t xml:space="preserve">the domestic authorities are called upon to assess each </w:t>
      </w:r>
      <w:r w:rsidRPr="00BC719D" w:rsidR="00360A2B">
        <w:rPr>
          <w:rFonts w:ascii="Times New Roman" w:hAnsi="Times New Roman" w:eastAsiaTheme="majorEastAsia"/>
          <w:szCs w:val="24"/>
        </w:rPr>
        <w:t xml:space="preserve">such </w:t>
      </w:r>
      <w:r w:rsidRPr="00BC719D" w:rsidR="00956903">
        <w:rPr>
          <w:rFonts w:ascii="Times New Roman" w:hAnsi="Times New Roman" w:eastAsiaTheme="majorEastAsia"/>
          <w:szCs w:val="24"/>
        </w:rPr>
        <w:t xml:space="preserve">request on its merits (see </w:t>
      </w:r>
      <w:r w:rsidRPr="00BC719D" w:rsidR="00956903">
        <w:rPr>
          <w:rFonts w:ascii="Times New Roman" w:hAnsi="Times New Roman"/>
          <w:i/>
          <w:szCs w:val="24"/>
        </w:rPr>
        <w:t>Giszczak</w:t>
      </w:r>
      <w:r w:rsidRPr="00BC719D" w:rsidR="00956903">
        <w:rPr>
          <w:rFonts w:ascii="Times New Roman" w:hAnsi="Times New Roman"/>
          <w:szCs w:val="24"/>
        </w:rPr>
        <w:t xml:space="preserve">, cited above, § 36, and </w:t>
      </w:r>
      <w:r w:rsidRPr="00BC719D" w:rsidR="00956903">
        <w:rPr>
          <w:rFonts w:ascii="Times New Roman" w:hAnsi="Times New Roman"/>
          <w:i/>
          <w:szCs w:val="24"/>
        </w:rPr>
        <w:t>Płoski</w:t>
      </w:r>
      <w:r w:rsidRPr="00BC719D" w:rsidR="00956903">
        <w:rPr>
          <w:rFonts w:ascii="Times New Roman" w:hAnsi="Times New Roman"/>
          <w:szCs w:val="24"/>
        </w:rPr>
        <w:t>, cited above, § 38)</w:t>
      </w:r>
      <w:r w:rsidRPr="00BC719D" w:rsidR="00360A2B">
        <w:rPr>
          <w:rFonts w:ascii="Times New Roman" w:hAnsi="Times New Roman"/>
          <w:szCs w:val="24"/>
        </w:rPr>
        <w:t>. The Court</w:t>
      </w:r>
      <w:r w:rsidRPr="00BC719D" w:rsidR="00956903">
        <w:rPr>
          <w:rFonts w:ascii="Times New Roman" w:hAnsi="Times New Roman"/>
          <w:szCs w:val="24"/>
        </w:rPr>
        <w:t xml:space="preserve"> has</w:t>
      </w:r>
      <w:r w:rsidRPr="00BC719D" w:rsidR="00956903">
        <w:t xml:space="preserve"> found a violation of that Article </w:t>
      </w:r>
      <w:r w:rsidRPr="00BC719D" w:rsidR="00956903">
        <w:rPr>
          <w:rFonts w:ascii="Times New Roman" w:hAnsi="Times New Roman"/>
          <w:szCs w:val="24"/>
        </w:rPr>
        <w:t xml:space="preserve">where the domestic authorities </w:t>
      </w:r>
      <w:r w:rsidRPr="00BC719D" w:rsidR="00956903">
        <w:t xml:space="preserve">had failed to carry out a balancing exercise between the competing interests or had based their refusal solely on the grounds that the domestic law did not provide for such a right (see </w:t>
      </w:r>
      <w:r w:rsidRPr="00BC719D" w:rsidR="00956903">
        <w:rPr>
          <w:i/>
        </w:rPr>
        <w:t>Császy v. Hungary</w:t>
      </w:r>
      <w:r w:rsidRPr="00BC719D" w:rsidR="00956903">
        <w:t>, no. 14447/11</w:t>
      </w:r>
      <w:r w:rsidRPr="00BC719D" w:rsidR="00956903">
        <w:rPr>
          <w:snapToGrid w:val="0"/>
        </w:rPr>
        <w:t xml:space="preserve">, § 20, 21 October 2014, and </w:t>
      </w:r>
      <w:r w:rsidRPr="00BC719D" w:rsidR="00956903">
        <w:rPr>
          <w:i/>
        </w:rPr>
        <w:t>Feldman v. Ukraine (no. 2)</w:t>
      </w:r>
      <w:r w:rsidRPr="00BC719D" w:rsidR="00956903">
        <w:t>, no. 42921/09, § 35, 12 January 2012).</w:t>
      </w:r>
    </w:p>
    <w:p w:rsidRPr="00BC719D" w:rsidR="00184B39" w:rsidP="00BC719D" w:rsidRDefault="00362715">
      <w:pPr>
        <w:pStyle w:val="ECHRPara"/>
      </w:pPr>
      <w:r w:rsidRPr="00BC719D">
        <w:fldChar w:fldCharType="begin"/>
      </w:r>
      <w:r w:rsidRPr="00BC719D">
        <w:instrText xml:space="preserve"> SEQ level0 \*arabic </w:instrText>
      </w:r>
      <w:r w:rsidRPr="00BC719D">
        <w:fldChar w:fldCharType="separate"/>
      </w:r>
      <w:r w:rsidRPr="00BC719D" w:rsidR="00BC719D">
        <w:rPr>
          <w:noProof/>
        </w:rPr>
        <w:t>92</w:t>
      </w:r>
      <w:r w:rsidRPr="00BC719D">
        <w:fldChar w:fldCharType="end"/>
      </w:r>
      <w:r w:rsidRPr="00BC719D">
        <w:t xml:space="preserve">.  Finally, the Court </w:t>
      </w:r>
      <w:r w:rsidRPr="00BC719D" w:rsidR="00780DB7">
        <w:t>emphasises</w:t>
      </w:r>
      <w:r w:rsidRPr="00BC719D" w:rsidR="00E70486">
        <w:t xml:space="preserve"> that</w:t>
      </w:r>
      <w:r w:rsidRPr="00BC719D" w:rsidR="00F52B5D">
        <w:t>,</w:t>
      </w:r>
      <w:r w:rsidRPr="00BC719D" w:rsidR="00E70486">
        <w:t xml:space="preserve"> </w:t>
      </w:r>
      <w:r w:rsidRPr="00BC719D" w:rsidR="00F52B5D">
        <w:t>although there may be several legitimate penological grounds for a person</w:t>
      </w:r>
      <w:r w:rsidRPr="00BC719D" w:rsidR="00BC719D">
        <w:t>’</w:t>
      </w:r>
      <w:r w:rsidRPr="00BC719D" w:rsidR="00F52B5D">
        <w:t xml:space="preserve">s detention, </w:t>
      </w:r>
      <w:r w:rsidRPr="00BC719D" w:rsidR="00E70486">
        <w:t>the</w:t>
      </w:r>
      <w:r w:rsidRPr="00BC719D">
        <w:t xml:space="preserve"> </w:t>
      </w:r>
      <w:r w:rsidRPr="00BC719D" w:rsidR="00E70486">
        <w:t>emphasis in European penal policy is now on the rehabilitative aim of imprisonment</w:t>
      </w:r>
      <w:r w:rsidRPr="00BC719D" w:rsidR="00E70486">
        <w:rPr>
          <w:i/>
        </w:rPr>
        <w:t xml:space="preserve"> </w:t>
      </w:r>
      <w:r w:rsidRPr="00BC719D" w:rsidR="00D27752">
        <w:t xml:space="preserve">(see </w:t>
      </w:r>
      <w:r w:rsidRPr="00BC719D" w:rsidR="00D27752">
        <w:rPr>
          <w:i/>
        </w:rPr>
        <w:t xml:space="preserve">Vinter and Others v. the United Kingdom </w:t>
      </w:r>
      <w:r w:rsidRPr="00BC719D" w:rsidR="00D27752">
        <w:rPr>
          <w:snapToGrid w:val="0"/>
        </w:rPr>
        <w:t>[GC], nos. 66069/09</w:t>
      </w:r>
      <w:r w:rsidRPr="00BC719D" w:rsidR="00D27752">
        <w:t xml:space="preserve"> and 2 others, </w:t>
      </w:r>
      <w:r w:rsidRPr="00BC719D" w:rsidR="00D27752">
        <w:rPr>
          <w:snapToGrid w:val="0"/>
        </w:rPr>
        <w:t xml:space="preserve">§§ 111 and 115, </w:t>
      </w:r>
      <w:r w:rsidRPr="00BC719D" w:rsidR="00D27752">
        <w:t xml:space="preserve">ECHR 2013 (extracts)). </w:t>
      </w:r>
      <w:r w:rsidRPr="00BC719D" w:rsidR="008A7817">
        <w:t>While this principle applies regardless of the crime committed or the duration of the sentence imposed (ibid</w:t>
      </w:r>
      <w:r w:rsidRPr="00BC719D" w:rsidR="003D0790">
        <w:t xml:space="preserve">., </w:t>
      </w:r>
      <w:r w:rsidRPr="00BC719D" w:rsidR="00785DC1">
        <w:rPr>
          <w:snapToGrid w:val="0"/>
        </w:rPr>
        <w:t>§§ 111-</w:t>
      </w:r>
      <w:r w:rsidRPr="00BC719D" w:rsidR="003D0790">
        <w:rPr>
          <w:snapToGrid w:val="0"/>
        </w:rPr>
        <w:t>18</w:t>
      </w:r>
      <w:r w:rsidRPr="00BC719D" w:rsidR="008A7817">
        <w:t xml:space="preserve">), it also applies irrespective </w:t>
      </w:r>
      <w:r w:rsidRPr="00BC719D" w:rsidR="00F52B5D">
        <w:t>of the prisoner</w:t>
      </w:r>
      <w:r w:rsidRPr="00BC719D" w:rsidR="00BC719D">
        <w:t>’</w:t>
      </w:r>
      <w:r w:rsidRPr="00BC719D" w:rsidR="00F52B5D">
        <w:t>s sex.</w:t>
      </w:r>
      <w:r w:rsidRPr="00BC719D" w:rsidR="00780DB7">
        <w:t xml:space="preserve"> The Court underlines that maintenance of family ties is an essential means of aiding social reintegration and rehabilitation of all prisoners, regardless of their sex (compare </w:t>
      </w:r>
      <w:r w:rsidRPr="00BC719D" w:rsidR="00780DB7">
        <w:rPr>
          <w:i/>
        </w:rPr>
        <w:t>Khoroshenko</w:t>
      </w:r>
      <w:r w:rsidRPr="00BC719D" w:rsidR="00780DB7">
        <w:rPr>
          <w:snapToGrid w:val="0"/>
        </w:rPr>
        <w:t xml:space="preserve">, </w:t>
      </w:r>
      <w:r w:rsidRPr="00BC719D" w:rsidR="00780DB7">
        <w:rPr>
          <w:rFonts w:ascii="Times New Roman" w:hAnsi="Times New Roman"/>
          <w:snapToGrid w:val="0"/>
          <w:szCs w:val="24"/>
        </w:rPr>
        <w:t>cited above,</w:t>
      </w:r>
      <w:r w:rsidRPr="00BC719D" w:rsidR="00780DB7">
        <w:t xml:space="preserve"> § 144). </w:t>
      </w:r>
      <w:r w:rsidRPr="00BC719D" w:rsidR="00F50FF5">
        <w:t>Furthermore, also p</w:t>
      </w:r>
      <w:r w:rsidRPr="00BC719D" w:rsidR="008B531D">
        <w:t xml:space="preserve">rison leave is one of the means of facilitating social reintegration of </w:t>
      </w:r>
      <w:r w:rsidRPr="00BC719D" w:rsidR="00780DB7">
        <w:t xml:space="preserve">all </w:t>
      </w:r>
      <w:r w:rsidRPr="00BC719D" w:rsidR="008B531D">
        <w:t>prisoner</w:t>
      </w:r>
      <w:r w:rsidRPr="00BC719D" w:rsidR="0064792A">
        <w:t>s</w:t>
      </w:r>
      <w:r w:rsidRPr="00BC719D" w:rsidR="009863E3">
        <w:t xml:space="preserve"> </w:t>
      </w:r>
      <w:r w:rsidRPr="00BC719D" w:rsidR="00D27752">
        <w:t xml:space="preserve">(see </w:t>
      </w:r>
      <w:r w:rsidRPr="00BC719D" w:rsidR="00D27752">
        <w:rPr>
          <w:i/>
          <w:lang w:val="it-IT"/>
        </w:rPr>
        <w:t xml:space="preserve">Mastromatteo v. Italy </w:t>
      </w:r>
      <w:r w:rsidRPr="00BC719D" w:rsidR="00D27752">
        <w:rPr>
          <w:lang w:val="it-IT"/>
        </w:rPr>
        <w:t>[GC], no. 37703/97, § 72, ECHR 2002</w:t>
      </w:r>
      <w:r w:rsidRPr="00BC719D" w:rsidR="00D27752">
        <w:rPr>
          <w:lang w:val="it-IT"/>
        </w:rPr>
        <w:noBreakHyphen/>
        <w:t>VIII</w:t>
      </w:r>
      <w:r w:rsidRPr="00BC719D" w:rsidR="001A4F20">
        <w:rPr>
          <w:lang w:val="it-IT"/>
        </w:rPr>
        <w:t>,</w:t>
      </w:r>
      <w:r w:rsidRPr="00BC719D" w:rsidR="009863E3">
        <w:rPr>
          <w:lang w:val="it-IT"/>
        </w:rPr>
        <w:t xml:space="preserve"> and </w:t>
      </w:r>
      <w:r w:rsidRPr="00BC719D" w:rsidR="009863E3">
        <w:rPr>
          <w:i/>
        </w:rPr>
        <w:t>Schemkamper</w:t>
      </w:r>
      <w:r w:rsidRPr="00BC719D" w:rsidR="009863E3">
        <w:t xml:space="preserve">, </w:t>
      </w:r>
      <w:r w:rsidRPr="00BC719D" w:rsidR="001A4F20">
        <w:t>cited above</w:t>
      </w:r>
      <w:r w:rsidRPr="00BC719D" w:rsidR="009863E3">
        <w:t>, § 31).</w:t>
      </w:r>
    </w:p>
    <w:p w:rsidRPr="00BC719D" w:rsidR="003147D5" w:rsidP="00BC719D" w:rsidRDefault="00250EDE">
      <w:pPr>
        <w:pStyle w:val="ECHRPara"/>
      </w:pPr>
      <w:r w:rsidRPr="00BC719D">
        <w:fldChar w:fldCharType="begin"/>
      </w:r>
      <w:r w:rsidRPr="00BC719D">
        <w:instrText xml:space="preserve"> SEQ level0 \*arabic </w:instrText>
      </w:r>
      <w:r w:rsidRPr="00BC719D">
        <w:fldChar w:fldCharType="separate"/>
      </w:r>
      <w:r w:rsidRPr="00BC719D" w:rsidR="00BC719D">
        <w:rPr>
          <w:noProof/>
        </w:rPr>
        <w:t>93</w:t>
      </w:r>
      <w:r w:rsidRPr="00BC719D">
        <w:fldChar w:fldCharType="end"/>
      </w:r>
      <w:r w:rsidRPr="00BC719D">
        <w:t>.  </w:t>
      </w:r>
      <w:r w:rsidRPr="00BC719D" w:rsidR="008A7817">
        <w:t xml:space="preserve">In the light of that, and not discounting a possibility that </w:t>
      </w:r>
      <w:r w:rsidRPr="00BC719D" w:rsidR="00F50FF5">
        <w:t xml:space="preserve">certain divergences </w:t>
      </w:r>
      <w:r w:rsidRPr="00BC719D" w:rsidR="00A43F1D">
        <w:t xml:space="preserve">in the </w:t>
      </w:r>
      <w:r w:rsidRPr="00BC719D" w:rsidR="008A7817">
        <w:t>approaches to</w:t>
      </w:r>
      <w:r w:rsidRPr="00BC719D" w:rsidR="00A43F1D">
        <w:t>wards</w:t>
      </w:r>
      <w:r w:rsidRPr="00BC719D" w:rsidR="008A7817">
        <w:t xml:space="preserve"> male and female prisoners</w:t>
      </w:r>
      <w:r w:rsidRPr="00BC719D" w:rsidR="00175A72">
        <w:t xml:space="preserve"> </w:t>
      </w:r>
      <w:r w:rsidRPr="00BC719D" w:rsidR="004804E7">
        <w:t>may</w:t>
      </w:r>
      <w:r w:rsidRPr="00BC719D" w:rsidR="00175A72">
        <w:t xml:space="preserve"> be justified, the Court does not consider that </w:t>
      </w:r>
      <w:r w:rsidRPr="00BC719D" w:rsidR="006A0687">
        <w:rPr>
          <w:lang w:val="en-US"/>
        </w:rPr>
        <w:t>a blanket ban for men to leave the prison, even for attending a funeral of a family member,</w:t>
      </w:r>
      <w:r w:rsidRPr="00BC719D" w:rsidR="006A0687">
        <w:t xml:space="preserve"> </w:t>
      </w:r>
      <w:r w:rsidRPr="00BC719D" w:rsidR="00175A72">
        <w:t>was</w:t>
      </w:r>
      <w:bookmarkEnd w:id="35"/>
      <w:r w:rsidRPr="00BC719D" w:rsidR="003F396D">
        <w:t xml:space="preserve"> conducive to the goal of ensuring that the distinctive needs of women prisoners are taken into account.</w:t>
      </w:r>
    </w:p>
    <w:p w:rsidRPr="00BC719D" w:rsidR="00F50FF5" w:rsidP="00BC719D" w:rsidRDefault="00F50FF5">
      <w:pPr>
        <w:pStyle w:val="ECHRHeading5"/>
      </w:pPr>
      <w:r w:rsidRPr="00BC719D">
        <w:t>(</w:t>
      </w:r>
      <w:r w:rsidRPr="00BC719D" w:rsidR="008C1BE8">
        <w:t>iii</w:t>
      </w:r>
      <w:r w:rsidRPr="00BC719D">
        <w:t>)  Conclusion</w:t>
      </w:r>
    </w:p>
    <w:p w:rsidRPr="00BC719D" w:rsidR="00F50FF5" w:rsidP="00BC719D" w:rsidRDefault="00D161C2">
      <w:pPr>
        <w:pStyle w:val="ECHRPara"/>
        <w:rPr>
          <w:rFonts w:ascii="Times New Roman" w:hAnsi="Times New Roman"/>
          <w:szCs w:val="24"/>
        </w:rPr>
      </w:pPr>
      <w:r w:rsidRPr="00BC719D">
        <w:fldChar w:fldCharType="begin"/>
      </w:r>
      <w:r w:rsidRPr="00BC719D">
        <w:instrText xml:space="preserve"> SEQ level0 \*arabic </w:instrText>
      </w:r>
      <w:r w:rsidRPr="00BC719D">
        <w:fldChar w:fldCharType="separate"/>
      </w:r>
      <w:r w:rsidRPr="00BC719D" w:rsidR="00BC719D">
        <w:rPr>
          <w:noProof/>
        </w:rPr>
        <w:t>94</w:t>
      </w:r>
      <w:r w:rsidRPr="00BC719D">
        <w:fldChar w:fldCharType="end"/>
      </w:r>
      <w:r w:rsidRPr="00BC719D">
        <w:t>.  </w:t>
      </w:r>
      <w:r w:rsidRPr="00BC719D" w:rsidR="00F50FF5">
        <w:t>Having found that the refusal to entertain the applicant</w:t>
      </w:r>
      <w:r w:rsidRPr="00BC719D" w:rsidR="00BC719D">
        <w:t>’</w:t>
      </w:r>
      <w:r w:rsidRPr="00BC719D" w:rsidR="00F50FF5">
        <w:t>s request to attend his father</w:t>
      </w:r>
      <w:r w:rsidRPr="00BC719D" w:rsidR="00BC719D">
        <w:t>’</w:t>
      </w:r>
      <w:r w:rsidRPr="00BC719D" w:rsidR="00F50FF5">
        <w:t>s funeral on the basis of the prison regime to which he was subjected owing to his sex had no objective and reasonable justification, the Court concludes that this treatment was discriminatory.</w:t>
      </w:r>
    </w:p>
    <w:p w:rsidRPr="00BC719D" w:rsidR="00F50FF5" w:rsidP="00BC719D" w:rsidRDefault="00F50FF5">
      <w:pPr>
        <w:pStyle w:val="ECHRPara"/>
        <w:rPr>
          <w:rFonts w:ascii="Times New Roman" w:hAnsi="Times New Roman"/>
          <w:szCs w:val="24"/>
        </w:rPr>
      </w:pPr>
      <w:r w:rsidRPr="00BC719D">
        <w:rPr>
          <w:rFonts w:ascii="Times New Roman" w:hAnsi="Times New Roman"/>
          <w:szCs w:val="24"/>
        </w:rPr>
        <w:fldChar w:fldCharType="begin"/>
      </w:r>
      <w:r w:rsidRPr="00BC719D">
        <w:rPr>
          <w:rFonts w:ascii="Times New Roman" w:hAnsi="Times New Roman"/>
          <w:szCs w:val="24"/>
        </w:rPr>
        <w:instrText xml:space="preserve"> SEQ level0 \*arabic </w:instrText>
      </w:r>
      <w:r w:rsidRPr="00BC719D">
        <w:rPr>
          <w:rFonts w:ascii="Times New Roman" w:hAnsi="Times New Roman"/>
          <w:szCs w:val="24"/>
        </w:rPr>
        <w:fldChar w:fldCharType="separate"/>
      </w:r>
      <w:r w:rsidRPr="00BC719D" w:rsidR="00BC719D">
        <w:rPr>
          <w:rFonts w:ascii="Times New Roman" w:hAnsi="Times New Roman"/>
          <w:noProof/>
          <w:szCs w:val="24"/>
        </w:rPr>
        <w:t>95</w:t>
      </w:r>
      <w:r w:rsidRPr="00BC719D">
        <w:rPr>
          <w:rFonts w:ascii="Times New Roman" w:hAnsi="Times New Roman"/>
          <w:szCs w:val="24"/>
        </w:rPr>
        <w:fldChar w:fldCharType="end"/>
      </w:r>
      <w:r w:rsidRPr="00BC719D">
        <w:rPr>
          <w:rFonts w:ascii="Times New Roman" w:hAnsi="Times New Roman"/>
          <w:szCs w:val="24"/>
        </w:rPr>
        <w:t>.  There has accordingly been a violation of Article 14 of the Convention, read in conjunction with Article 8 of the Convention.</w:t>
      </w:r>
    </w:p>
    <w:p w:rsidRPr="00BC719D" w:rsidR="00F50FF5" w:rsidP="00BC719D" w:rsidRDefault="00F50FF5">
      <w:pPr>
        <w:pStyle w:val="ECHRPara"/>
      </w:pPr>
    </w:p>
    <w:p w:rsidRPr="00BC719D" w:rsidR="00014566" w:rsidP="00BC719D" w:rsidRDefault="008B531D">
      <w:pPr>
        <w:pStyle w:val="ECHRHeading1"/>
      </w:pPr>
      <w:r w:rsidRPr="00BC719D">
        <w:t>II</w:t>
      </w:r>
      <w:r w:rsidRPr="00BC719D" w:rsidR="00014566">
        <w:t>.  APPLICATION OF ARTICLE 41 OF THE CONVENTION</w:t>
      </w:r>
    </w:p>
    <w:p w:rsidRPr="00BC719D" w:rsidR="00014566" w:rsidP="00BC719D" w:rsidRDefault="00B32B88">
      <w:pPr>
        <w:pStyle w:val="ECHRPara"/>
      </w:pPr>
      <w:r w:rsidRPr="00BC719D">
        <w:fldChar w:fldCharType="begin"/>
      </w:r>
      <w:r w:rsidRPr="00BC719D">
        <w:instrText xml:space="preserve"> SEQ level0 \*arabic </w:instrText>
      </w:r>
      <w:r w:rsidRPr="00BC719D">
        <w:fldChar w:fldCharType="separate"/>
      </w:r>
      <w:r w:rsidRPr="00BC719D" w:rsidR="00BC719D">
        <w:rPr>
          <w:noProof/>
        </w:rPr>
        <w:t>96</w:t>
      </w:r>
      <w:r w:rsidRPr="00BC719D">
        <w:fldChar w:fldCharType="end"/>
      </w:r>
      <w:r w:rsidRPr="00BC719D" w:rsidR="00014566">
        <w:t>.  Article 41 of the Convention provides:</w:t>
      </w:r>
    </w:p>
    <w:p w:rsidRPr="00BC719D" w:rsidR="00014566" w:rsidP="00BC719D" w:rsidRDefault="00014566">
      <w:pPr>
        <w:pStyle w:val="ECHRParaQuote"/>
        <w:keepNext/>
        <w:keepLines/>
      </w:pPr>
      <w:r w:rsidRPr="00BC719D">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BC719D" w:rsidR="008B531D" w:rsidP="00BC719D" w:rsidRDefault="008B531D">
      <w:pPr>
        <w:pStyle w:val="ECHRHeading2"/>
      </w:pPr>
      <w:r w:rsidRPr="00BC719D">
        <w:t>A.  Damage</w:t>
      </w:r>
    </w:p>
    <w:p w:rsidRPr="00BC719D" w:rsidR="00014566" w:rsidP="00BC719D" w:rsidRDefault="00B32B88">
      <w:pPr>
        <w:pStyle w:val="ECHRPara"/>
      </w:pPr>
      <w:r w:rsidRPr="00BC719D">
        <w:fldChar w:fldCharType="begin"/>
      </w:r>
      <w:r w:rsidRPr="00BC719D">
        <w:instrText xml:space="preserve"> SEQ level0 \*arabic </w:instrText>
      </w:r>
      <w:r w:rsidRPr="00BC719D">
        <w:fldChar w:fldCharType="separate"/>
      </w:r>
      <w:r w:rsidRPr="00BC719D" w:rsidR="00BC719D">
        <w:rPr>
          <w:noProof/>
        </w:rPr>
        <w:t>97</w:t>
      </w:r>
      <w:r w:rsidRPr="00BC719D">
        <w:fldChar w:fldCharType="end"/>
      </w:r>
      <w:r w:rsidRPr="00BC719D" w:rsidR="00014566">
        <w:t xml:space="preserve">.  The applicant claimed </w:t>
      </w:r>
      <w:r w:rsidRPr="00BC719D" w:rsidR="008B531D">
        <w:t xml:space="preserve">20,000 </w:t>
      </w:r>
      <w:r w:rsidRPr="00BC719D" w:rsidR="00757B0E">
        <w:t>euros (EUR) in respect of non</w:t>
      </w:r>
      <w:r w:rsidRPr="00BC719D" w:rsidR="00757B0E">
        <w:noBreakHyphen/>
      </w:r>
      <w:r w:rsidRPr="00BC719D" w:rsidR="00014566">
        <w:t>pecuniary damage.</w:t>
      </w:r>
      <w:r w:rsidRPr="00BC719D" w:rsidR="008B531D">
        <w:t xml:space="preserve"> He submitted no claim with respect to pecuniary damage.</w:t>
      </w:r>
    </w:p>
    <w:p w:rsidRPr="00BC719D" w:rsidR="008B531D" w:rsidP="00BC719D" w:rsidRDefault="00B32B88">
      <w:pPr>
        <w:pStyle w:val="ECHRPara"/>
      </w:pPr>
      <w:r w:rsidRPr="00BC719D">
        <w:fldChar w:fldCharType="begin"/>
      </w:r>
      <w:r w:rsidRPr="00BC719D">
        <w:instrText xml:space="preserve"> SEQ level0 \*arabic </w:instrText>
      </w:r>
      <w:r w:rsidRPr="00BC719D">
        <w:fldChar w:fldCharType="separate"/>
      </w:r>
      <w:r w:rsidRPr="00BC719D" w:rsidR="00BC719D">
        <w:rPr>
          <w:noProof/>
        </w:rPr>
        <w:t>98</w:t>
      </w:r>
      <w:r w:rsidRPr="00BC719D">
        <w:fldChar w:fldCharType="end"/>
      </w:r>
      <w:r w:rsidRPr="00BC719D" w:rsidR="008B531D">
        <w:t xml:space="preserve">.  The Government argued that the applicant had failed to prove existence of a non-pecuniary damage and a causal link between the damage claimed and the violation of the Convention alleged. They also considered that a finding of a violation would constitute a sufficient compensation. In any event, the Government considered that the cases </w:t>
      </w:r>
      <w:r w:rsidRPr="00BC719D" w:rsidR="006C2E1C">
        <w:t xml:space="preserve">of </w:t>
      </w:r>
      <w:r w:rsidRPr="00BC719D" w:rsidR="00785DC1">
        <w:rPr>
          <w:i/>
        </w:rPr>
        <w:t>Płoski</w:t>
      </w:r>
      <w:r w:rsidRPr="00BC719D" w:rsidR="008B531D">
        <w:t xml:space="preserve"> (cited above), </w:t>
      </w:r>
      <w:r w:rsidRPr="00BC719D" w:rsidR="008B531D">
        <w:rPr>
          <w:i/>
        </w:rPr>
        <w:t>Watros v. Poland</w:t>
      </w:r>
      <w:r w:rsidRPr="00BC719D" w:rsidR="008B531D">
        <w:t xml:space="preserve"> ((dec.), no. 13384/10, 31 January 2012) and </w:t>
      </w:r>
      <w:r w:rsidRPr="00BC719D" w:rsidR="008B531D">
        <w:rPr>
          <w:i/>
        </w:rPr>
        <w:t>Pielak v.</w:t>
      </w:r>
      <w:r w:rsidRPr="00BC719D" w:rsidR="00C96E86">
        <w:rPr>
          <w:i/>
        </w:rPr>
        <w:t> </w:t>
      </w:r>
      <w:r w:rsidRPr="00BC719D" w:rsidR="008B531D">
        <w:rPr>
          <w:i/>
        </w:rPr>
        <w:t xml:space="preserve">Poland </w:t>
      </w:r>
      <w:r w:rsidRPr="00BC719D" w:rsidR="008B531D">
        <w:t>((dec.) [Committee], no. 9409/09, 25 September 2012) could serve a reference to determine the right amount of the compensation.</w:t>
      </w:r>
    </w:p>
    <w:p w:rsidRPr="00BC719D" w:rsidR="00014566" w:rsidP="00BC719D" w:rsidRDefault="00B32B88">
      <w:pPr>
        <w:pStyle w:val="ECHRPara"/>
      </w:pPr>
      <w:r w:rsidRPr="00BC719D">
        <w:fldChar w:fldCharType="begin"/>
      </w:r>
      <w:r w:rsidRPr="00BC719D">
        <w:instrText xml:space="preserve"> SEQ level0 \*arabic </w:instrText>
      </w:r>
      <w:r w:rsidRPr="00BC719D">
        <w:fldChar w:fldCharType="separate"/>
      </w:r>
      <w:r w:rsidRPr="00BC719D" w:rsidR="00BC719D">
        <w:rPr>
          <w:noProof/>
        </w:rPr>
        <w:t>99</w:t>
      </w:r>
      <w:r w:rsidRPr="00BC719D">
        <w:fldChar w:fldCharType="end"/>
      </w:r>
      <w:r w:rsidRPr="00BC719D" w:rsidR="008B531D">
        <w:t xml:space="preserve">.  Making its assessment on an equitable basis, as required by Article 41 of the Convention, the Court awards </w:t>
      </w:r>
      <w:r w:rsidRPr="00BC719D" w:rsidR="00014566">
        <w:t xml:space="preserve">the applicant EUR </w:t>
      </w:r>
      <w:r w:rsidRPr="00BC719D" w:rsidR="009F214F">
        <w:t>3</w:t>
      </w:r>
      <w:r w:rsidRPr="00BC719D" w:rsidR="008B531D">
        <w:t xml:space="preserve">,000 </w:t>
      </w:r>
      <w:r w:rsidRPr="00BC719D" w:rsidR="00014566">
        <w:t>in respect of non-pecuniary damage.</w:t>
      </w:r>
    </w:p>
    <w:p w:rsidRPr="00BC719D" w:rsidR="00014566" w:rsidP="00BC719D" w:rsidRDefault="00014566">
      <w:pPr>
        <w:pStyle w:val="ECHRHeading2"/>
      </w:pPr>
      <w:r w:rsidRPr="00BC719D">
        <w:t>B.  Costs and expenses</w:t>
      </w:r>
    </w:p>
    <w:p w:rsidRPr="00BC719D" w:rsidR="00014566" w:rsidP="00BC719D" w:rsidRDefault="00B32B88">
      <w:pPr>
        <w:pStyle w:val="ECHRPara"/>
      </w:pPr>
      <w:r w:rsidRPr="00BC719D">
        <w:fldChar w:fldCharType="begin"/>
      </w:r>
      <w:r w:rsidRPr="00BC719D">
        <w:instrText xml:space="preserve"> SEQ level0 \*arabic </w:instrText>
      </w:r>
      <w:r w:rsidRPr="00BC719D">
        <w:fldChar w:fldCharType="separate"/>
      </w:r>
      <w:r w:rsidRPr="00BC719D" w:rsidR="00BC719D">
        <w:rPr>
          <w:noProof/>
        </w:rPr>
        <w:t>100</w:t>
      </w:r>
      <w:r w:rsidRPr="00BC719D">
        <w:fldChar w:fldCharType="end"/>
      </w:r>
      <w:r w:rsidRPr="00BC719D" w:rsidR="00014566">
        <w:t xml:space="preserve">.  The applicant claimed </w:t>
      </w:r>
      <w:r w:rsidRPr="00BC719D" w:rsidR="008B531D">
        <w:t xml:space="preserve">no </w:t>
      </w:r>
      <w:r w:rsidRPr="00BC719D" w:rsidR="00014566">
        <w:t xml:space="preserve">costs </w:t>
      </w:r>
      <w:r w:rsidRPr="00BC719D" w:rsidR="008B531D">
        <w:t xml:space="preserve">or </w:t>
      </w:r>
      <w:r w:rsidRPr="00BC719D" w:rsidR="00014566">
        <w:t>expenses.</w:t>
      </w:r>
    </w:p>
    <w:p w:rsidRPr="00BC719D" w:rsidR="008B531D" w:rsidP="00BC719D" w:rsidRDefault="00B32B88">
      <w:pPr>
        <w:pStyle w:val="ECHRPara"/>
      </w:pPr>
      <w:r w:rsidRPr="00BC719D">
        <w:fldChar w:fldCharType="begin"/>
      </w:r>
      <w:r w:rsidRPr="00BC719D">
        <w:instrText xml:space="preserve"> SEQ level0 \*arabic </w:instrText>
      </w:r>
      <w:r w:rsidRPr="00BC719D">
        <w:fldChar w:fldCharType="separate"/>
      </w:r>
      <w:r w:rsidRPr="00BC719D" w:rsidR="00BC719D">
        <w:rPr>
          <w:noProof/>
        </w:rPr>
        <w:t>101</w:t>
      </w:r>
      <w:r w:rsidRPr="00BC719D">
        <w:fldChar w:fldCharType="end"/>
      </w:r>
      <w:r w:rsidRPr="00BC719D" w:rsidR="00014566">
        <w:t>.  </w:t>
      </w:r>
      <w:r w:rsidRPr="00BC719D" w:rsidR="008B531D">
        <w:t>Hence, the Court makes no award under this head.</w:t>
      </w:r>
    </w:p>
    <w:p w:rsidRPr="00BC719D" w:rsidR="00014566" w:rsidP="00BC719D" w:rsidRDefault="00014566">
      <w:pPr>
        <w:pStyle w:val="ECHRHeading2"/>
      </w:pPr>
      <w:r w:rsidRPr="00BC719D">
        <w:t>C.  Default interest</w:t>
      </w:r>
    </w:p>
    <w:p w:rsidRPr="00BC719D" w:rsidR="00014566" w:rsidP="00BC719D" w:rsidRDefault="00B32B88">
      <w:pPr>
        <w:pStyle w:val="ECHRPara"/>
      </w:pPr>
      <w:r w:rsidRPr="00BC719D">
        <w:fldChar w:fldCharType="begin"/>
      </w:r>
      <w:r w:rsidRPr="00BC719D">
        <w:instrText xml:space="preserve"> SEQ level0 \*arabic </w:instrText>
      </w:r>
      <w:r w:rsidRPr="00BC719D">
        <w:fldChar w:fldCharType="separate"/>
      </w:r>
      <w:r w:rsidRPr="00BC719D" w:rsidR="00BC719D">
        <w:rPr>
          <w:noProof/>
        </w:rPr>
        <w:t>102</w:t>
      </w:r>
      <w:r w:rsidRPr="00BC719D">
        <w:fldChar w:fldCharType="end"/>
      </w:r>
      <w:r w:rsidRPr="00BC719D" w:rsidR="00014566">
        <w:t>.  The Court considers it appropriate that the default interest rate should be based on the marginal lending rate of the European Central Bank, to which should be added three percentage points.</w:t>
      </w:r>
    </w:p>
    <w:p w:rsidRPr="00BC719D" w:rsidR="00014566" w:rsidP="00BC719D" w:rsidRDefault="00BB5883">
      <w:pPr>
        <w:pStyle w:val="ECHRTitle1"/>
      </w:pPr>
      <w:r w:rsidRPr="00BC719D">
        <w:t>FOR THESE REASONS, THE COURT</w:t>
      </w:r>
    </w:p>
    <w:p w:rsidRPr="00BC719D" w:rsidR="00B637B9" w:rsidP="00BC719D" w:rsidRDefault="00B637B9">
      <w:pPr>
        <w:pStyle w:val="JuList"/>
      </w:pPr>
      <w:r w:rsidRPr="00BC719D">
        <w:t>1.  </w:t>
      </w:r>
      <w:r w:rsidRPr="00BC719D">
        <w:rPr>
          <w:i/>
        </w:rPr>
        <w:t>Declares</w:t>
      </w:r>
      <w:r w:rsidRPr="00BC719D" w:rsidR="00D07D7E">
        <w:t>,</w:t>
      </w:r>
      <w:r w:rsidRPr="00BC719D" w:rsidR="00516CE6">
        <w:t xml:space="preserve"> </w:t>
      </w:r>
      <w:r w:rsidRPr="00BC719D" w:rsidR="00B32B88">
        <w:t>unanimously,</w:t>
      </w:r>
      <w:r w:rsidRPr="00BC719D" w:rsidR="00D07D7E">
        <w:rPr>
          <w:color w:val="000000"/>
        </w:rPr>
        <w:t xml:space="preserve"> </w:t>
      </w:r>
      <w:r w:rsidRPr="00BC719D">
        <w:t xml:space="preserve">the </w:t>
      </w:r>
      <w:r w:rsidRPr="00BC719D" w:rsidR="00B32B88">
        <w:t>application</w:t>
      </w:r>
      <w:r w:rsidRPr="00BC719D">
        <w:t xml:space="preserve"> admissible;</w:t>
      </w:r>
    </w:p>
    <w:p w:rsidRPr="00BC719D" w:rsidR="008B531D" w:rsidP="00BC719D" w:rsidRDefault="008B531D">
      <w:pPr>
        <w:pStyle w:val="JuList"/>
      </w:pPr>
    </w:p>
    <w:p w:rsidRPr="00BC719D" w:rsidR="00014566" w:rsidP="00BC719D" w:rsidRDefault="008B531D">
      <w:pPr>
        <w:pStyle w:val="JuList"/>
      </w:pPr>
      <w:r w:rsidRPr="00BC719D">
        <w:t>2</w:t>
      </w:r>
      <w:r w:rsidRPr="00BC719D" w:rsidR="00014566">
        <w:t>.  </w:t>
      </w:r>
      <w:r w:rsidRPr="00BC719D" w:rsidR="00014566">
        <w:rPr>
          <w:i/>
        </w:rPr>
        <w:t>Holds</w:t>
      </w:r>
      <w:r w:rsidRPr="00BC719D" w:rsidR="00B32B88">
        <w:t xml:space="preserve">, by </w:t>
      </w:r>
      <w:r w:rsidRPr="00BC719D" w:rsidR="00516CE6">
        <w:t>five</w:t>
      </w:r>
      <w:r w:rsidRPr="00BC719D" w:rsidR="00D07D7E">
        <w:t xml:space="preserve"> </w:t>
      </w:r>
      <w:r w:rsidRPr="00BC719D" w:rsidR="00B32B88">
        <w:t xml:space="preserve">votes to </w:t>
      </w:r>
      <w:r w:rsidRPr="00BC719D" w:rsidR="00516CE6">
        <w:t>two</w:t>
      </w:r>
      <w:r w:rsidRPr="00BC719D" w:rsidR="00D07D7E">
        <w:t xml:space="preserve">, </w:t>
      </w:r>
      <w:r w:rsidRPr="00BC719D" w:rsidR="00014566">
        <w:t xml:space="preserve">that there has been a violation of Article </w:t>
      </w:r>
      <w:r w:rsidRPr="00BC719D">
        <w:t>14 of the Convention taken in conjunction with Article 8</w:t>
      </w:r>
      <w:r w:rsidRPr="00BC719D" w:rsidR="00014566">
        <w:t xml:space="preserve"> of the Convention;</w:t>
      </w:r>
    </w:p>
    <w:p w:rsidRPr="00BC719D" w:rsidR="00014566" w:rsidP="00BC719D" w:rsidRDefault="00014566">
      <w:pPr>
        <w:pStyle w:val="JuList"/>
      </w:pPr>
    </w:p>
    <w:p w:rsidRPr="00BC719D" w:rsidR="00014566" w:rsidP="00BC719D" w:rsidRDefault="008B531D">
      <w:pPr>
        <w:pStyle w:val="JuList"/>
      </w:pPr>
      <w:r w:rsidRPr="00BC719D">
        <w:t>3</w:t>
      </w:r>
      <w:r w:rsidRPr="00BC719D" w:rsidR="00014566">
        <w:t>.  </w:t>
      </w:r>
      <w:r w:rsidRPr="00BC719D" w:rsidR="00014566">
        <w:rPr>
          <w:i/>
        </w:rPr>
        <w:t>Holds</w:t>
      </w:r>
      <w:r w:rsidRPr="00BC719D" w:rsidR="00B32B88">
        <w:t xml:space="preserve">, by </w:t>
      </w:r>
      <w:r w:rsidRPr="00BC719D" w:rsidR="00516CE6">
        <w:t xml:space="preserve">five </w:t>
      </w:r>
      <w:r w:rsidRPr="00BC719D" w:rsidR="00B32B88">
        <w:t xml:space="preserve">votes to </w:t>
      </w:r>
      <w:r w:rsidRPr="00BC719D" w:rsidR="00516CE6">
        <w:t>two</w:t>
      </w:r>
      <w:r w:rsidRPr="00BC719D" w:rsidR="00B32B88">
        <w:t>,</w:t>
      </w:r>
    </w:p>
    <w:p w:rsidRPr="00BC719D" w:rsidR="00014566" w:rsidP="00BC719D" w:rsidRDefault="00014566">
      <w:pPr>
        <w:pStyle w:val="JuLista"/>
      </w:pPr>
      <w:r w:rsidRPr="00BC719D">
        <w:t>(a)  that the respondent State is to pay the applicant, within three months</w:t>
      </w:r>
      <w:r w:rsidRPr="00BC719D" w:rsidR="00132A27">
        <w:t xml:space="preserve"> </w:t>
      </w:r>
      <w:r w:rsidRPr="00BC719D" w:rsidR="00B32B88">
        <w:t>from the date on which the judgment becomes final in accordance with Article 44 § 2 of the Convention</w:t>
      </w:r>
      <w:r w:rsidRPr="00BC719D">
        <w:t xml:space="preserve">  EUR </w:t>
      </w:r>
      <w:r w:rsidRPr="00BC719D" w:rsidR="009F5D1C">
        <w:t>3,</w:t>
      </w:r>
      <w:r w:rsidRPr="00BC719D" w:rsidR="00764B05">
        <w:t>000</w:t>
      </w:r>
      <w:r w:rsidRPr="00BC719D">
        <w:t xml:space="preserve"> (</w:t>
      </w:r>
      <w:r w:rsidRPr="00BC719D" w:rsidR="00764B05">
        <w:t xml:space="preserve">three thousand </w:t>
      </w:r>
      <w:r w:rsidRPr="00BC719D">
        <w:t>euros), plus any tax that may be chargeable,</w:t>
      </w:r>
      <w:r w:rsidRPr="00BC719D" w:rsidR="008B531D">
        <w:t xml:space="preserve"> </w:t>
      </w:r>
      <w:r w:rsidRPr="00BC719D">
        <w:t xml:space="preserve">in respect of </w:t>
      </w:r>
      <w:r w:rsidRPr="00BC719D" w:rsidR="008B531D">
        <w:t>non-</w:t>
      </w:r>
      <w:r w:rsidRPr="00BC719D">
        <w:t>pecuniary damage;</w:t>
      </w:r>
    </w:p>
    <w:p w:rsidRPr="00BC719D" w:rsidR="00014566" w:rsidP="00BC719D" w:rsidRDefault="008B531D">
      <w:pPr>
        <w:pStyle w:val="JuLista"/>
      </w:pPr>
      <w:r w:rsidRPr="00BC719D">
        <w:t xml:space="preserve"> </w:t>
      </w:r>
      <w:r w:rsidRPr="00BC719D" w:rsidR="00014566">
        <w:t>(b)  that from the expiry of the above-mentioned three months until settlement simple interest shall be payable on the above amount at a rate equal to the marginal lending rate of the European Central Bank during the default period plus three percentage points;</w:t>
      </w:r>
    </w:p>
    <w:p w:rsidRPr="00BC719D" w:rsidR="008B531D" w:rsidP="00BC719D" w:rsidRDefault="008B531D">
      <w:pPr>
        <w:pStyle w:val="JuList"/>
      </w:pPr>
    </w:p>
    <w:p w:rsidRPr="00BC719D" w:rsidR="00014566" w:rsidP="00BC719D" w:rsidRDefault="008B531D">
      <w:pPr>
        <w:pStyle w:val="JuList"/>
        <w:keepNext/>
        <w:keepLines/>
      </w:pPr>
      <w:r w:rsidRPr="00BC719D">
        <w:t>4.</w:t>
      </w:r>
      <w:r w:rsidRPr="00BC719D" w:rsidR="00014566">
        <w:t>  </w:t>
      </w:r>
      <w:r w:rsidRPr="00BC719D" w:rsidR="00014566">
        <w:rPr>
          <w:i/>
        </w:rPr>
        <w:t>Dismisses</w:t>
      </w:r>
      <w:r w:rsidRPr="00BC719D" w:rsidR="00B32B88">
        <w:t>, unanimously,</w:t>
      </w:r>
      <w:r w:rsidRPr="00BC719D" w:rsidR="00014566">
        <w:rPr>
          <w:color w:val="000000"/>
        </w:rPr>
        <w:t xml:space="preserve"> </w:t>
      </w:r>
      <w:r w:rsidRPr="00BC719D" w:rsidR="00014566">
        <w:t>the remainder of the applicant</w:t>
      </w:r>
      <w:r w:rsidRPr="00BC719D" w:rsidR="00BC719D">
        <w:t>’</w:t>
      </w:r>
      <w:r w:rsidRPr="00BC719D" w:rsidR="00B32B88">
        <w:t>s</w:t>
      </w:r>
      <w:r w:rsidRPr="00BC719D" w:rsidR="00014566">
        <w:t xml:space="preserve"> claim for just satisfaction.</w:t>
      </w:r>
    </w:p>
    <w:p w:rsidRPr="00BC719D" w:rsidR="00014566" w:rsidP="00BC719D" w:rsidRDefault="00014566">
      <w:pPr>
        <w:pStyle w:val="JuParaLast"/>
      </w:pPr>
      <w:r w:rsidRPr="00BC719D">
        <w:t xml:space="preserve">Done in English, and notified in writing on </w:t>
      </w:r>
      <w:r w:rsidRPr="00BC719D" w:rsidR="00B97CC4">
        <w:t>10 January 2019</w:t>
      </w:r>
      <w:r w:rsidRPr="00BC719D" w:rsidR="00C915FB">
        <w:t>, pursuant to Rule </w:t>
      </w:r>
      <w:r w:rsidRPr="00BC719D">
        <w:t>77</w:t>
      </w:r>
      <w:r w:rsidRPr="00BC719D" w:rsidR="00C915FB">
        <w:t> </w:t>
      </w:r>
      <w:r w:rsidRPr="00BC719D">
        <w:t>§§</w:t>
      </w:r>
      <w:r w:rsidRPr="00BC719D" w:rsidR="00C915FB">
        <w:t> </w:t>
      </w:r>
      <w:r w:rsidRPr="00BC719D">
        <w:t>2 and 3 of the Rules of Court.</w:t>
      </w:r>
    </w:p>
    <w:p w:rsidRPr="00BC719D" w:rsidR="002B3570" w:rsidP="00BC719D" w:rsidRDefault="00014566">
      <w:pPr>
        <w:pStyle w:val="JuSigned"/>
        <w:keepNext/>
        <w:keepLines/>
        <w:rPr>
          <w:lang w:val="de-DE"/>
        </w:rPr>
      </w:pPr>
      <w:r w:rsidRPr="00BC719D">
        <w:tab/>
      </w:r>
      <w:r w:rsidRPr="00BC719D" w:rsidR="009F5D1C">
        <w:rPr>
          <w:lang w:val="de-DE"/>
        </w:rPr>
        <w:t>Milan Blaško</w:t>
      </w:r>
      <w:r w:rsidRPr="00BC719D">
        <w:rPr>
          <w:lang w:val="de-DE"/>
        </w:rPr>
        <w:tab/>
      </w:r>
      <w:r w:rsidRPr="00BC719D" w:rsidR="00B32B88">
        <w:rPr>
          <w:szCs w:val="24"/>
          <w:lang w:val="de-DE"/>
        </w:rPr>
        <w:t>Angelika Nußberger</w:t>
      </w:r>
      <w:r w:rsidRPr="00BC719D" w:rsidR="00E1557C">
        <w:rPr>
          <w:szCs w:val="24"/>
          <w:lang w:val="de-DE"/>
        </w:rPr>
        <w:br/>
      </w:r>
      <w:r w:rsidRPr="00BC719D">
        <w:rPr>
          <w:lang w:val="de-DE"/>
        </w:rPr>
        <w:tab/>
      </w:r>
      <w:r w:rsidRPr="00BC719D" w:rsidR="009F5D1C">
        <w:rPr>
          <w:lang w:val="de-DE"/>
        </w:rPr>
        <w:t xml:space="preserve">Deputy </w:t>
      </w:r>
      <w:r w:rsidRPr="00BC719D" w:rsidR="00B32B88">
        <w:rPr>
          <w:iCs/>
          <w:lang w:val="de-DE"/>
        </w:rPr>
        <w:t>Registrar</w:t>
      </w:r>
      <w:r w:rsidRPr="00BC719D" w:rsidR="00BE60EC">
        <w:rPr>
          <w:lang w:val="de-DE"/>
        </w:rPr>
        <w:tab/>
        <w:t>President</w:t>
      </w:r>
    </w:p>
    <w:p w:rsidRPr="00BC719D" w:rsidR="001A4BB2" w:rsidP="00BC719D" w:rsidRDefault="001A4BB2">
      <w:pPr>
        <w:pStyle w:val="JuParaLast"/>
        <w:rPr>
          <w:lang w:val="de-DE"/>
        </w:rPr>
      </w:pPr>
    </w:p>
    <w:p w:rsidRPr="00BC719D" w:rsidR="00AF1805" w:rsidP="00BC719D" w:rsidRDefault="00AF1805">
      <w:pPr>
        <w:pStyle w:val="JuParaLast"/>
      </w:pPr>
      <w:r w:rsidRPr="00BC719D">
        <w:t xml:space="preserve">In accordance with Article 45 § 2 of the Convention and Rule 74 § 2 of the </w:t>
      </w:r>
      <w:r w:rsidRPr="00BC719D" w:rsidR="00624D69">
        <w:t xml:space="preserve">Rules of Court, </w:t>
      </w:r>
      <w:r w:rsidRPr="00BC719D" w:rsidR="009319FF">
        <w:t xml:space="preserve">the </w:t>
      </w:r>
      <w:r w:rsidRPr="00BC719D" w:rsidR="00624D69">
        <w:t>joint dissenting</w:t>
      </w:r>
      <w:r w:rsidRPr="00BC719D">
        <w:t xml:space="preserve"> opinion of Judge</w:t>
      </w:r>
      <w:r w:rsidRPr="00BC719D" w:rsidR="00FF5B53">
        <w:t>s</w:t>
      </w:r>
      <w:r w:rsidRPr="00BC719D">
        <w:t xml:space="preserve"> Grozev</w:t>
      </w:r>
      <w:r w:rsidRPr="00BC719D" w:rsidR="00FF5B53">
        <w:t xml:space="preserve"> </w:t>
      </w:r>
      <w:r w:rsidRPr="00BC719D" w:rsidR="00F9438E">
        <w:t xml:space="preserve">and </w:t>
      </w:r>
      <w:r w:rsidRPr="00BC719D" w:rsidR="00FF5B53">
        <w:t>O</w:t>
      </w:r>
      <w:r w:rsidRPr="00BC719D" w:rsidR="00BC719D">
        <w:t>’</w:t>
      </w:r>
      <w:r w:rsidRPr="00BC719D" w:rsidR="00FF5B53">
        <w:t>Leary</w:t>
      </w:r>
      <w:r w:rsidRPr="00BC719D" w:rsidR="00F9438E">
        <w:t xml:space="preserve"> is annexed to this judgment.</w:t>
      </w:r>
    </w:p>
    <w:p w:rsidRPr="00BC719D" w:rsidR="00624D69" w:rsidP="00BC719D" w:rsidRDefault="00624D69">
      <w:pPr>
        <w:pStyle w:val="ECHRPara"/>
        <w:keepNext/>
        <w:keepLines/>
      </w:pPr>
    </w:p>
    <w:p w:rsidRPr="00BC719D" w:rsidR="00AF1805" w:rsidP="00BC719D" w:rsidRDefault="00AF1805">
      <w:pPr>
        <w:pStyle w:val="ECHRPara"/>
        <w:keepNext/>
        <w:keepLines/>
      </w:pPr>
    </w:p>
    <w:p w:rsidRPr="00BC719D" w:rsidR="00FF5B53" w:rsidP="00BC719D" w:rsidRDefault="005A291D">
      <w:pPr>
        <w:pStyle w:val="JuInitialled"/>
      </w:pPr>
      <w:r w:rsidRPr="00BC719D">
        <w:t>A.N</w:t>
      </w:r>
      <w:r w:rsidRPr="00BC719D" w:rsidR="00AF1805">
        <w:t>.</w:t>
      </w:r>
      <w:r w:rsidRPr="00BC719D" w:rsidR="00AF1805">
        <w:br/>
      </w:r>
      <w:r w:rsidRPr="00BC719D">
        <w:t>M.B.</w:t>
      </w:r>
    </w:p>
    <w:p w:rsidRPr="00BC719D" w:rsidR="001A4BB2" w:rsidP="00BC719D" w:rsidRDefault="001A4BB2">
      <w:pPr>
        <w:pStyle w:val="JuInitialled"/>
      </w:pPr>
    </w:p>
    <w:p w:rsidRPr="00BC719D" w:rsidR="00F9438E" w:rsidP="00BC719D" w:rsidRDefault="00F9438E">
      <w:pPr>
        <w:keepNext/>
        <w:keepLines/>
        <w:spacing w:after="120"/>
        <w:jc w:val="center"/>
        <w:outlineLvl w:val="0"/>
        <w:rPr>
          <w:rFonts w:ascii="Times New Roman" w:hAnsi="Times New Roman" w:eastAsia="Times New Roman" w:cs="Times New Roman"/>
          <w:sz w:val="28"/>
        </w:rPr>
        <w:sectPr w:rsidRPr="00BC719D" w:rsidR="00F9438E" w:rsidSect="00BC4E64">
          <w:headerReference w:type="even" r:id="rId11"/>
          <w:headerReference w:type="default" r:id="rId12"/>
          <w:footerReference w:type="even" r:id="rId13"/>
          <w:footerReference w:type="default" r:id="rId14"/>
          <w:headerReference w:type="first" r:id="rId15"/>
          <w:footerReference w:type="first" r:id="rId16"/>
          <w:footnotePr>
            <w:numRestart w:val="eachSect"/>
          </w:footnotePr>
          <w:pgSz w:w="11906" w:h="16838" w:code="9"/>
          <w:pgMar w:top="2274" w:right="2274" w:bottom="2274" w:left="2274" w:header="1701" w:footer="720" w:gutter="0"/>
          <w:pgNumType w:start="1"/>
          <w:cols w:space="720"/>
          <w:docGrid w:linePitch="326"/>
        </w:sectPr>
      </w:pPr>
    </w:p>
    <w:p w:rsidRPr="00BC719D" w:rsidR="00FF5B53" w:rsidP="00BC719D" w:rsidRDefault="00FF5B53">
      <w:pPr>
        <w:pStyle w:val="ECHRTitle1"/>
        <w:jc w:val="center"/>
        <w:rPr>
          <w:rFonts w:eastAsia="Times New Roman"/>
        </w:rPr>
      </w:pPr>
      <w:r w:rsidRPr="00BC719D">
        <w:rPr>
          <w:rFonts w:eastAsia="Times New Roman"/>
        </w:rPr>
        <w:t>JOINT DISSENTING OPINION</w:t>
      </w:r>
      <w:r w:rsidRPr="00BC719D">
        <w:rPr>
          <w:rFonts w:eastAsia="Times New Roman"/>
          <w:b/>
          <w:szCs w:val="28"/>
          <w:lang w:val="en-US"/>
        </w:rPr>
        <w:t xml:space="preserve"> </w:t>
      </w:r>
      <w:r w:rsidRPr="00BC719D" w:rsidR="001A4BB2">
        <w:rPr>
          <w:rFonts w:eastAsia="Times New Roman"/>
          <w:b/>
          <w:szCs w:val="28"/>
          <w:lang w:val="en-US"/>
        </w:rPr>
        <w:br/>
      </w:r>
      <w:r w:rsidRPr="00BC719D">
        <w:rPr>
          <w:rFonts w:eastAsia="Times New Roman"/>
        </w:rPr>
        <w:t>OF JUDGES GROZEV AND O</w:t>
      </w:r>
      <w:r w:rsidRPr="00BC719D" w:rsidR="00BC719D">
        <w:rPr>
          <w:rFonts w:eastAsia="Times New Roman"/>
        </w:rPr>
        <w:t>’</w:t>
      </w:r>
      <w:r w:rsidRPr="00BC719D">
        <w:rPr>
          <w:rFonts w:eastAsia="Times New Roman"/>
        </w:rPr>
        <w:t>LEARY</w:t>
      </w:r>
    </w:p>
    <w:p w:rsidRPr="00BC719D" w:rsidR="00FF5B53" w:rsidP="00BC719D" w:rsidRDefault="005D469E">
      <w:pPr>
        <w:pStyle w:val="ECHRPara"/>
        <w:rPr>
          <w:rFonts w:eastAsia="Times New Roman"/>
          <w:lang w:val="en-US"/>
        </w:rPr>
      </w:pPr>
      <w:r w:rsidRPr="00BC719D">
        <w:rPr>
          <w:rFonts w:eastAsia="Times New Roman"/>
          <w:lang w:val="en-US"/>
        </w:rPr>
        <w:fldChar w:fldCharType="begin"/>
      </w:r>
      <w:r w:rsidRPr="00BC719D">
        <w:rPr>
          <w:rFonts w:eastAsia="Times New Roman"/>
          <w:lang w:val="en-US"/>
        </w:rPr>
        <w:instrText xml:space="preserve"> SEQ level0 \*arabic \r1 </w:instrText>
      </w:r>
      <w:r w:rsidRPr="00BC719D">
        <w:rPr>
          <w:rFonts w:eastAsia="Times New Roman"/>
          <w:lang w:val="en-US"/>
        </w:rPr>
        <w:fldChar w:fldCharType="separate"/>
      </w:r>
      <w:r w:rsidRPr="00BC719D" w:rsidR="00BC719D">
        <w:rPr>
          <w:rFonts w:eastAsia="Times New Roman"/>
          <w:noProof/>
          <w:lang w:val="en-US"/>
        </w:rPr>
        <w:t>1</w:t>
      </w:r>
      <w:r w:rsidRPr="00BC719D">
        <w:rPr>
          <w:rFonts w:eastAsia="Times New Roman"/>
          <w:lang w:val="en-US"/>
        </w:rPr>
        <w:fldChar w:fldCharType="end"/>
      </w:r>
      <w:r w:rsidRPr="00BC719D">
        <w:rPr>
          <w:rFonts w:eastAsia="Times New Roman"/>
          <w:lang w:val="en-US"/>
        </w:rPr>
        <w:t>.  </w:t>
      </w:r>
      <w:r w:rsidRPr="00BC719D" w:rsidR="00FF5B53">
        <w:rPr>
          <w:rFonts w:eastAsia="Times New Roman"/>
          <w:lang w:val="en-US"/>
        </w:rPr>
        <w:t>It is clear in the present case that the applicant</w:t>
      </w:r>
      <w:r w:rsidRPr="00BC719D" w:rsidR="00BC719D">
        <w:rPr>
          <w:rFonts w:eastAsia="Times New Roman"/>
          <w:lang w:val="en-US"/>
        </w:rPr>
        <w:t>’</w:t>
      </w:r>
      <w:r w:rsidRPr="00BC719D" w:rsidR="00FF5B53">
        <w:rPr>
          <w:rFonts w:eastAsia="Times New Roman"/>
          <w:lang w:val="en-US"/>
        </w:rPr>
        <w:t>s request to attend his father</w:t>
      </w:r>
      <w:r w:rsidRPr="00BC719D" w:rsidR="00BC719D">
        <w:rPr>
          <w:rFonts w:eastAsia="Times New Roman"/>
          <w:lang w:val="en-US"/>
        </w:rPr>
        <w:t>’</w:t>
      </w:r>
      <w:r w:rsidRPr="00BC719D" w:rsidR="00FF5B53">
        <w:rPr>
          <w:rFonts w:eastAsia="Times New Roman"/>
          <w:lang w:val="en-US"/>
        </w:rPr>
        <w:t>s funeral was not subject to an individual assessment on the merits before being refused. Given the case-law of the Court on Article 8 of the Convention in relation to requests for prison leave, we would have voted in</w:t>
      </w:r>
      <w:r w:rsidRPr="00BC719D" w:rsidR="00FF5B53">
        <w:rPr>
          <w:rFonts w:eastAsia="Times New Roman"/>
        </w:rPr>
        <w:t xml:space="preserve"> favour</w:t>
      </w:r>
      <w:r w:rsidRPr="00BC719D" w:rsidR="00FF5B53">
        <w:rPr>
          <w:rFonts w:eastAsia="Times New Roman"/>
          <w:lang w:val="en-US"/>
        </w:rPr>
        <w:t xml:space="preserve"> of a violation of this article had that complaint been before the Chamber on the merits.</w:t>
      </w:r>
    </w:p>
    <w:p w:rsidRPr="00BC719D" w:rsidR="00FF5B53" w:rsidP="00BC719D" w:rsidRDefault="004F4BB7">
      <w:pPr>
        <w:pStyle w:val="ECHRPara"/>
        <w:rPr>
          <w:rFonts w:eastAsia="Times New Roman"/>
          <w:lang w:val="en-US"/>
        </w:rPr>
      </w:pPr>
      <w:r w:rsidRPr="00BC719D">
        <w:rPr>
          <w:rFonts w:eastAsia="Times New Roman"/>
          <w:lang w:val="en-US"/>
        </w:rPr>
        <w:fldChar w:fldCharType="begin"/>
      </w:r>
      <w:r w:rsidRPr="00BC719D">
        <w:rPr>
          <w:rFonts w:eastAsia="Times New Roman"/>
          <w:lang w:val="en-US"/>
        </w:rPr>
        <w:instrText xml:space="preserve"> SEQ level0 \*arabic </w:instrText>
      </w:r>
      <w:r w:rsidRPr="00BC719D">
        <w:rPr>
          <w:rFonts w:eastAsia="Times New Roman"/>
          <w:lang w:val="en-US"/>
        </w:rPr>
        <w:fldChar w:fldCharType="separate"/>
      </w:r>
      <w:r w:rsidRPr="00BC719D" w:rsidR="00BC719D">
        <w:rPr>
          <w:rFonts w:eastAsia="Times New Roman"/>
          <w:noProof/>
          <w:lang w:val="en-US"/>
        </w:rPr>
        <w:t>2</w:t>
      </w:r>
      <w:r w:rsidRPr="00BC719D">
        <w:rPr>
          <w:rFonts w:eastAsia="Times New Roman"/>
          <w:lang w:val="en-US"/>
        </w:rPr>
        <w:fldChar w:fldCharType="end"/>
      </w:r>
      <w:r w:rsidRPr="00BC719D">
        <w:rPr>
          <w:rFonts w:eastAsia="Times New Roman"/>
          <w:lang w:val="en-US"/>
        </w:rPr>
        <w:t>.  </w:t>
      </w:r>
      <w:r w:rsidRPr="00BC719D" w:rsidR="00FF5B53">
        <w:rPr>
          <w:rFonts w:eastAsia="Times New Roman"/>
          <w:lang w:val="en-US"/>
        </w:rPr>
        <w:t xml:space="preserve">However, because of the manner in which the applicant litigated his complaint at national level, we are compelled to examine it, as the majority did, </w:t>
      </w:r>
      <w:r w:rsidRPr="00BC719D" w:rsidR="00FF5B53">
        <w:rPr>
          <w:rFonts w:eastAsia="Times New Roman"/>
          <w:i/>
          <w:lang w:val="en-US"/>
        </w:rPr>
        <w:t>only</w:t>
      </w:r>
      <w:r w:rsidRPr="00BC719D" w:rsidR="00FF5B53">
        <w:rPr>
          <w:rFonts w:eastAsia="Times New Roman"/>
          <w:lang w:val="en-US"/>
        </w:rPr>
        <w:t xml:space="preserve"> with reference to Article 14 of the Convention, in conjunction with Article 8. For the reasons outlined below, we find ourselves unable to join the majority in finding a violation of those two articles of the Convention combined.</w:t>
      </w:r>
    </w:p>
    <w:p w:rsidRPr="00BC719D" w:rsidR="00FF5B53" w:rsidP="00BC719D" w:rsidRDefault="00FF5B53">
      <w:pPr>
        <w:pStyle w:val="ECHRHeading2"/>
        <w:rPr>
          <w:rFonts w:eastAsia="Times New Roman"/>
          <w:lang w:val="en-US"/>
        </w:rPr>
      </w:pPr>
      <w:r w:rsidRPr="00BC719D">
        <w:rPr>
          <w:rFonts w:eastAsia="Times New Roman"/>
          <w:lang w:val="en-US"/>
        </w:rPr>
        <w:t>A.  Violation of Article 8 of the Convention</w:t>
      </w:r>
    </w:p>
    <w:p w:rsidRPr="00BC719D" w:rsidR="00FF5B53" w:rsidP="00BC719D" w:rsidRDefault="00FF5B53">
      <w:pPr>
        <w:pStyle w:val="ECHRPara"/>
        <w:rPr>
          <w:rFonts w:eastAsia="Times New Roman"/>
          <w:lang w:val="en-US"/>
        </w:rPr>
      </w:pPr>
      <w:r w:rsidRPr="00BC719D">
        <w:rPr>
          <w:rFonts w:eastAsia="Times New Roman"/>
          <w:lang w:val="en-US"/>
        </w:rPr>
        <w:fldChar w:fldCharType="begin"/>
      </w:r>
      <w:r w:rsidRPr="00BC719D">
        <w:rPr>
          <w:rFonts w:eastAsia="Times New Roman"/>
          <w:lang w:val="en-US"/>
        </w:rPr>
        <w:instrText xml:space="preserve"> SEQ level0 \*arabic </w:instrText>
      </w:r>
      <w:r w:rsidRPr="00BC719D">
        <w:rPr>
          <w:rFonts w:eastAsia="Times New Roman"/>
          <w:lang w:val="en-US"/>
        </w:rPr>
        <w:fldChar w:fldCharType="separate"/>
      </w:r>
      <w:r w:rsidRPr="00BC719D" w:rsidR="00BC719D">
        <w:rPr>
          <w:rFonts w:eastAsia="Times New Roman"/>
          <w:noProof/>
          <w:lang w:val="en-US"/>
        </w:rPr>
        <w:t>3</w:t>
      </w:r>
      <w:r w:rsidRPr="00BC719D">
        <w:rPr>
          <w:rFonts w:eastAsia="Times New Roman"/>
          <w:lang w:val="en-US"/>
        </w:rPr>
        <w:fldChar w:fldCharType="end"/>
      </w:r>
      <w:r w:rsidRPr="00BC719D">
        <w:rPr>
          <w:rFonts w:eastAsia="Times New Roman"/>
          <w:lang w:val="en-US"/>
        </w:rPr>
        <w:t>.  The Convention does not guarantee prisoners an unconditional right to leave to attend the funeral of a relative.</w:t>
      </w:r>
      <w:r w:rsidRPr="00BC719D">
        <w:rPr>
          <w:rFonts w:eastAsia="Times New Roman"/>
          <w:vertAlign w:val="superscript"/>
          <w:lang w:val="en-US"/>
        </w:rPr>
        <w:footnoteReference w:id="1"/>
      </w:r>
      <w:r w:rsidRPr="00BC719D">
        <w:rPr>
          <w:rFonts w:eastAsia="Times New Roman"/>
          <w:lang w:val="en-US"/>
        </w:rPr>
        <w:t xml:space="preserve"> What Article 8 requires domestic authorities to do is to assess each individual request for leave on its merits.</w:t>
      </w:r>
      <w:r w:rsidRPr="00BC719D">
        <w:rPr>
          <w:rFonts w:eastAsia="Times New Roman"/>
          <w:vertAlign w:val="superscript"/>
          <w:lang w:val="en-US"/>
        </w:rPr>
        <w:footnoteReference w:id="2"/>
      </w:r>
      <w:r w:rsidRPr="00BC719D">
        <w:rPr>
          <w:rFonts w:eastAsia="Times New Roman"/>
          <w:lang w:val="en-US"/>
        </w:rPr>
        <w:t xml:space="preserve"> Prisoners thus have a right to a process and the Court</w:t>
      </w:r>
      <w:r w:rsidRPr="00BC719D" w:rsidR="00BC719D">
        <w:rPr>
          <w:rFonts w:eastAsia="Times New Roman"/>
          <w:lang w:val="en-US"/>
        </w:rPr>
        <w:t>’</w:t>
      </w:r>
      <w:r w:rsidRPr="00BC719D">
        <w:rPr>
          <w:rFonts w:eastAsia="Times New Roman"/>
          <w:lang w:val="en-US"/>
        </w:rPr>
        <w:t>s review will be</w:t>
      </w:r>
      <w:r w:rsidRPr="00BC719D">
        <w:rPr>
          <w:rFonts w:eastAsia="Times New Roman"/>
        </w:rPr>
        <w:t xml:space="preserve"> focussed</w:t>
      </w:r>
      <w:r w:rsidRPr="00BC719D">
        <w:rPr>
          <w:rFonts w:eastAsia="Times New Roman"/>
          <w:lang w:val="en-US"/>
        </w:rPr>
        <w:t xml:space="preserve"> on that process and on whether relevant and sufficient reasons were provided to support any refusal.</w:t>
      </w:r>
    </w:p>
    <w:p w:rsidRPr="00BC719D" w:rsidR="00FF5B53" w:rsidP="00BC719D" w:rsidRDefault="00FF5B53">
      <w:pPr>
        <w:pStyle w:val="ECHRPara"/>
        <w:rPr>
          <w:rFonts w:eastAsia="Times New Roman"/>
          <w:lang w:val="en-US"/>
        </w:rPr>
      </w:pPr>
      <w:r w:rsidRPr="00BC719D">
        <w:rPr>
          <w:rFonts w:eastAsia="Times New Roman"/>
          <w:lang w:val="en-US"/>
        </w:rPr>
        <w:fldChar w:fldCharType="begin"/>
      </w:r>
      <w:r w:rsidRPr="00BC719D">
        <w:rPr>
          <w:rFonts w:eastAsia="Times New Roman"/>
          <w:lang w:val="en-US"/>
        </w:rPr>
        <w:instrText xml:space="preserve"> SEQ level0 \*arabic </w:instrText>
      </w:r>
      <w:r w:rsidRPr="00BC719D">
        <w:rPr>
          <w:rFonts w:eastAsia="Times New Roman"/>
          <w:lang w:val="en-US"/>
        </w:rPr>
        <w:fldChar w:fldCharType="separate"/>
      </w:r>
      <w:r w:rsidRPr="00BC719D" w:rsidR="00BC719D">
        <w:rPr>
          <w:rFonts w:eastAsia="Times New Roman"/>
          <w:noProof/>
          <w:lang w:val="en-US"/>
        </w:rPr>
        <w:t>4</w:t>
      </w:r>
      <w:r w:rsidRPr="00BC719D">
        <w:rPr>
          <w:rFonts w:eastAsia="Times New Roman"/>
          <w:lang w:val="en-US"/>
        </w:rPr>
        <w:fldChar w:fldCharType="end"/>
      </w:r>
      <w:r w:rsidRPr="00BC719D">
        <w:rPr>
          <w:rFonts w:eastAsia="Times New Roman"/>
          <w:lang w:val="en-US"/>
        </w:rPr>
        <w:t>.  Leave to attend a funeral can be refused for compelling reasons, with the Court</w:t>
      </w:r>
      <w:r w:rsidRPr="00BC719D">
        <w:rPr>
          <w:rFonts w:eastAsia="Times New Roman"/>
        </w:rPr>
        <w:t xml:space="preserve"> recognising</w:t>
      </w:r>
      <w:r w:rsidRPr="00BC719D">
        <w:rPr>
          <w:rFonts w:eastAsia="Times New Roman"/>
          <w:lang w:val="en-US"/>
        </w:rPr>
        <w:t xml:space="preserve"> the wide margin of appreciation enjoyed by States in this regard, as well as the financial and logistical difficulties which arranging for a prisoner to be escorted may entail.</w:t>
      </w:r>
      <w:r w:rsidRPr="00BC719D">
        <w:rPr>
          <w:rFonts w:eastAsia="Times New Roman"/>
          <w:vertAlign w:val="superscript"/>
          <w:lang w:val="en-US"/>
        </w:rPr>
        <w:footnoteReference w:id="3"/>
      </w:r>
      <w:r w:rsidRPr="00BC719D">
        <w:rPr>
          <w:rFonts w:eastAsia="Times New Roman"/>
          <w:lang w:val="en-US"/>
        </w:rPr>
        <w:t xml:space="preserve"> The highly circumscribed nature of the right to prison leave under Article 8 is logical given the purpose of detention – which is precisely to deprive someone of their liberty.</w:t>
      </w:r>
      <w:r w:rsidRPr="00BC719D">
        <w:rPr>
          <w:rFonts w:eastAsia="Times New Roman"/>
          <w:vertAlign w:val="superscript"/>
          <w:lang w:val="en-US"/>
        </w:rPr>
        <w:footnoteReference w:id="4"/>
      </w:r>
      <w:r w:rsidRPr="00BC719D">
        <w:rPr>
          <w:rFonts w:eastAsia="Times New Roman"/>
          <w:lang w:val="en-US"/>
        </w:rPr>
        <w:t xml:space="preserve"> It is also recognition that national authorities, whose duty it is to consider, within the limits of their jurisdiction, the interests of society as a whole, enjoy broad discretion when they are asked to make rulings on sensitive matters such as penal policy.</w:t>
      </w:r>
      <w:r w:rsidRPr="00BC719D">
        <w:rPr>
          <w:rFonts w:eastAsia="Times New Roman"/>
          <w:vertAlign w:val="superscript"/>
          <w:lang w:val="en-US"/>
        </w:rPr>
        <w:footnoteReference w:id="5"/>
      </w:r>
    </w:p>
    <w:p w:rsidRPr="00BC719D" w:rsidR="002124A6" w:rsidP="00BC719D" w:rsidRDefault="00FF5B53">
      <w:pPr>
        <w:pStyle w:val="ECHRPara"/>
        <w:rPr>
          <w:rFonts w:eastAsia="Times New Roman"/>
          <w:lang w:val="en-US"/>
        </w:rPr>
      </w:pPr>
      <w:r w:rsidRPr="00BC719D">
        <w:rPr>
          <w:rFonts w:eastAsia="Times New Roman"/>
          <w:lang w:val="en-US"/>
        </w:rPr>
        <w:fldChar w:fldCharType="begin"/>
      </w:r>
      <w:r w:rsidRPr="00BC719D">
        <w:rPr>
          <w:rFonts w:eastAsia="Times New Roman"/>
          <w:lang w:val="en-US"/>
        </w:rPr>
        <w:instrText xml:space="preserve"> SEQ level0 \*arabic </w:instrText>
      </w:r>
      <w:r w:rsidRPr="00BC719D">
        <w:rPr>
          <w:rFonts w:eastAsia="Times New Roman"/>
          <w:lang w:val="en-US"/>
        </w:rPr>
        <w:fldChar w:fldCharType="separate"/>
      </w:r>
      <w:r w:rsidRPr="00BC719D" w:rsidR="00BC719D">
        <w:rPr>
          <w:rFonts w:eastAsia="Times New Roman"/>
          <w:noProof/>
          <w:lang w:val="en-US"/>
        </w:rPr>
        <w:t>5</w:t>
      </w:r>
      <w:r w:rsidRPr="00BC719D">
        <w:rPr>
          <w:rFonts w:eastAsia="Times New Roman"/>
          <w:lang w:val="en-US"/>
        </w:rPr>
        <w:fldChar w:fldCharType="end"/>
      </w:r>
      <w:r w:rsidRPr="00BC719D">
        <w:rPr>
          <w:rFonts w:eastAsia="Times New Roman"/>
          <w:lang w:val="en-US"/>
        </w:rPr>
        <w:t>.  Where the possibility of escorted leave was afforded by domestic law, the Court has</w:t>
      </w:r>
      <w:r w:rsidRPr="00BC719D">
        <w:rPr>
          <w:rFonts w:eastAsia="Times New Roman"/>
        </w:rPr>
        <w:t xml:space="preserve"> criticised</w:t>
      </w:r>
      <w:r w:rsidRPr="00BC719D">
        <w:rPr>
          <w:rFonts w:eastAsia="Times New Roman"/>
          <w:lang w:val="en-US"/>
        </w:rPr>
        <w:t xml:space="preserve"> the domestic authorities</w:t>
      </w:r>
      <w:r w:rsidRPr="00BC719D" w:rsidR="00BC719D">
        <w:rPr>
          <w:rFonts w:eastAsia="Times New Roman"/>
          <w:lang w:val="en-US"/>
        </w:rPr>
        <w:t>’</w:t>
      </w:r>
      <w:r w:rsidRPr="00BC719D">
        <w:rPr>
          <w:rFonts w:eastAsia="Times New Roman"/>
          <w:lang w:val="en-US"/>
        </w:rPr>
        <w:t xml:space="preserve"> failure to even consider it.</w:t>
      </w:r>
      <w:r w:rsidRPr="00BC719D">
        <w:rPr>
          <w:rFonts w:eastAsia="Times New Roman"/>
          <w:vertAlign w:val="superscript"/>
          <w:lang w:val="en-US"/>
        </w:rPr>
        <w:footnoteReference w:id="6"/>
      </w:r>
      <w:r w:rsidRPr="00BC719D">
        <w:rPr>
          <w:rFonts w:eastAsia="Times New Roman"/>
          <w:lang w:val="en-US"/>
        </w:rPr>
        <w:t xml:space="preserve"> In its assessment of the proportionality of the refusal of leave by domestic authorities, the Court has considered the violent nature of the crime committed by the detainee, when he or she was eligible for release, whether or not family relations have otherwise been respected and communication made possible in some other form, the need to defend the public order and protect the security of the general public, the examination by the authorities of different possible solutions in order to accommodate the prisoner</w:t>
      </w:r>
      <w:r w:rsidRPr="00BC719D" w:rsidR="00BC719D">
        <w:rPr>
          <w:rFonts w:eastAsia="Times New Roman"/>
          <w:lang w:val="en-US"/>
        </w:rPr>
        <w:t>’</w:t>
      </w:r>
      <w:r w:rsidRPr="00BC719D">
        <w:rPr>
          <w:rFonts w:eastAsia="Times New Roman"/>
          <w:lang w:val="en-US"/>
        </w:rPr>
        <w:t>s request and the margin of appreciation just referred to.</w:t>
      </w:r>
      <w:r w:rsidRPr="00BC719D">
        <w:rPr>
          <w:rFonts w:eastAsia="Times New Roman"/>
          <w:vertAlign w:val="superscript"/>
          <w:lang w:val="en-US"/>
        </w:rPr>
        <w:footnoteReference w:id="7"/>
      </w:r>
    </w:p>
    <w:p w:rsidRPr="00BC719D" w:rsidR="00FF5B53" w:rsidP="00BC719D" w:rsidRDefault="00FF5B53">
      <w:pPr>
        <w:pStyle w:val="ECHRPara"/>
        <w:rPr>
          <w:rFonts w:eastAsia="Times New Roman"/>
          <w:lang w:val="en-US"/>
        </w:rPr>
      </w:pPr>
      <w:r w:rsidRPr="00BC719D">
        <w:rPr>
          <w:rFonts w:eastAsia="Times New Roman"/>
          <w:lang w:val="en-US"/>
        </w:rPr>
        <w:t>The Latvian Sentence Enforcement Code provides that:</w:t>
      </w:r>
    </w:p>
    <w:p w:rsidRPr="00BC719D" w:rsidR="00FF5B53" w:rsidP="00BC719D" w:rsidRDefault="00FF5B53">
      <w:pPr>
        <w:pStyle w:val="ECHRPara"/>
        <w:rPr>
          <w:rFonts w:eastAsia="Times New Roman"/>
          <w:lang w:val="en-US"/>
        </w:rPr>
      </w:pPr>
      <w:r w:rsidRPr="00BC719D">
        <w:rPr>
          <w:rFonts w:eastAsia="Times New Roman"/>
          <w:lang w:val="en-US"/>
        </w:rPr>
        <w:t>- Closed and partly-closed prisons o</w:t>
      </w:r>
      <w:r w:rsidRPr="00BC719D" w:rsidR="004F4BB7">
        <w:rPr>
          <w:rFonts w:eastAsia="Times New Roman"/>
          <w:lang w:val="en-US"/>
        </w:rPr>
        <w:t>perate three security regimes </w:t>
      </w:r>
      <w:r w:rsidRPr="00BC719D" w:rsidR="004F4BB7">
        <w:rPr>
          <w:rFonts w:eastAsia="Times New Roman"/>
          <w:lang w:val="en-US"/>
        </w:rPr>
        <w:noBreakHyphen/>
        <w:t> </w:t>
      </w:r>
      <w:r w:rsidRPr="00BC719D">
        <w:rPr>
          <w:rFonts w:eastAsia="Times New Roman"/>
          <w:lang w:val="en-US"/>
        </w:rPr>
        <w:t>maximum, medium and minimum – under which prison sentences are served.</w:t>
      </w:r>
    </w:p>
    <w:p w:rsidRPr="00BC719D" w:rsidR="00FF5B53" w:rsidP="00BC719D" w:rsidRDefault="00FF5B53">
      <w:pPr>
        <w:pStyle w:val="ECHRPara"/>
        <w:rPr>
          <w:rFonts w:eastAsia="Times New Roman"/>
          <w:lang w:val="en-US"/>
        </w:rPr>
      </w:pPr>
      <w:r w:rsidRPr="00BC719D">
        <w:rPr>
          <w:rFonts w:eastAsia="Times New Roman"/>
          <w:lang w:val="en-US"/>
        </w:rPr>
        <w:t>- All prisoners convicted of “serious or especially serious crimes”</w:t>
      </w:r>
      <w:r w:rsidRPr="00BC719D">
        <w:rPr>
          <w:rFonts w:eastAsia="Times New Roman"/>
          <w:vertAlign w:val="superscript"/>
          <w:lang w:val="en-US"/>
        </w:rPr>
        <w:footnoteReference w:id="8"/>
      </w:r>
      <w:r w:rsidRPr="00BC719D">
        <w:rPr>
          <w:rFonts w:eastAsia="Times New Roman"/>
          <w:lang w:val="en-US"/>
        </w:rPr>
        <w:t xml:space="preserve"> start serving their sentences in closed or partly-closed prisons at the maximum-security level.</w:t>
      </w:r>
    </w:p>
    <w:p w:rsidRPr="00BC719D" w:rsidR="00FF5B53" w:rsidP="00BC719D" w:rsidRDefault="00FF5B53">
      <w:pPr>
        <w:pStyle w:val="ECHRPara"/>
        <w:rPr>
          <w:rFonts w:eastAsia="Times New Roman"/>
          <w:lang w:val="en-US"/>
        </w:rPr>
      </w:pPr>
      <w:r w:rsidRPr="00BC719D">
        <w:rPr>
          <w:rFonts w:eastAsia="Times New Roman"/>
          <w:lang w:val="en-US"/>
        </w:rPr>
        <w:t>- The Latvian progressive sentence execution system means that prisoners can be transferred to more lenient prison regimes following an individual assessment but this can only occur after a set proportion of their sentence has been served under the stricter regime.</w:t>
      </w:r>
    </w:p>
    <w:p w:rsidRPr="00BC719D" w:rsidR="00FF5B53" w:rsidP="00BC719D" w:rsidRDefault="00FF5B53">
      <w:pPr>
        <w:pStyle w:val="ECHRPara"/>
        <w:rPr>
          <w:rFonts w:eastAsia="Times New Roman"/>
          <w:lang w:val="en-US"/>
        </w:rPr>
      </w:pPr>
      <w:r w:rsidRPr="00BC719D">
        <w:rPr>
          <w:rFonts w:eastAsia="Times New Roman"/>
          <w:lang w:val="en-US"/>
        </w:rPr>
        <w:t>- Men convicted of serious or especially serious crimes and prisoners transferred from partly-closed prisons owing to gross or systematic regime violations are detained in closed prisons.</w:t>
      </w:r>
      <w:r w:rsidRPr="00BC719D">
        <w:rPr>
          <w:rFonts w:eastAsia="Times New Roman"/>
          <w:vertAlign w:val="superscript"/>
          <w:lang w:val="en-US"/>
        </w:rPr>
        <w:footnoteReference w:id="9"/>
      </w:r>
    </w:p>
    <w:p w:rsidRPr="00BC719D" w:rsidR="00FF5B53" w:rsidP="00BC719D" w:rsidRDefault="00FF5B53">
      <w:pPr>
        <w:pStyle w:val="ECHRPara"/>
        <w:rPr>
          <w:rFonts w:eastAsia="Times New Roman"/>
          <w:lang w:val="en-US"/>
        </w:rPr>
      </w:pPr>
      <w:r w:rsidRPr="00BC719D">
        <w:rPr>
          <w:rFonts w:eastAsia="Times New Roman"/>
          <w:lang w:val="en-US"/>
        </w:rPr>
        <w:t xml:space="preserve">- Ten different groups of prisoners </w:t>
      </w:r>
      <w:r w:rsidRPr="00BC719D" w:rsidR="004F4BB7">
        <w:rPr>
          <w:rFonts w:eastAsia="Times New Roman"/>
          <w:lang w:val="en-US"/>
        </w:rPr>
        <w:t>serve their sentences in partly</w:t>
      </w:r>
      <w:r w:rsidRPr="00BC719D" w:rsidR="004F4BB7">
        <w:rPr>
          <w:rFonts w:eastAsia="Times New Roman"/>
          <w:lang w:val="en-US"/>
        </w:rPr>
        <w:noBreakHyphen/>
      </w:r>
      <w:r w:rsidRPr="00BC719D">
        <w:rPr>
          <w:rFonts w:eastAsia="Times New Roman"/>
          <w:lang w:val="en-US"/>
        </w:rPr>
        <w:t>closed prisons, including women convicted of “intentionally committed crimes” and men convicted of serious or especially serious crimes if they had not attained the age of eighteen years when the crime was committed.</w:t>
      </w:r>
      <w:r w:rsidRPr="00BC719D">
        <w:rPr>
          <w:rFonts w:eastAsia="Times New Roman"/>
          <w:vertAlign w:val="superscript"/>
          <w:lang w:val="en-US"/>
        </w:rPr>
        <w:footnoteReference w:id="10"/>
      </w:r>
    </w:p>
    <w:p w:rsidRPr="00BC719D" w:rsidR="00FF5B53" w:rsidP="00BC719D" w:rsidRDefault="00FF5B53">
      <w:pPr>
        <w:pStyle w:val="ECHRPara"/>
        <w:rPr>
          <w:rFonts w:eastAsia="Times New Roman"/>
          <w:lang w:val="en-US"/>
        </w:rPr>
      </w:pPr>
      <w:r w:rsidRPr="00BC719D">
        <w:rPr>
          <w:rFonts w:eastAsia="Times New Roman"/>
          <w:lang w:val="en-US"/>
        </w:rPr>
        <w:t>- Prisoners serving their sentences in closed prisons, regardless of the applicable security regime, as well as prisoners serving their sentence in partly-closed prisons at the maximum-security level, are not eligible for prison leave.</w:t>
      </w:r>
    </w:p>
    <w:p w:rsidRPr="00BC719D" w:rsidR="00FF5B53" w:rsidP="00BC719D" w:rsidRDefault="00FF5B53">
      <w:pPr>
        <w:pStyle w:val="ECHRPara"/>
        <w:rPr>
          <w:rFonts w:eastAsia="Times New Roman"/>
          <w:lang w:val="en-US"/>
        </w:rPr>
      </w:pPr>
      <w:r w:rsidRPr="00BC719D">
        <w:rPr>
          <w:rFonts w:eastAsia="Times New Roman"/>
          <w:lang w:val="en-US"/>
        </w:rPr>
        <w:t>- Prisoners, including women who had already served a proportion of their sentence at the maximum security level in a partly-closed prison, can apply for temporary leave on account of the death or life-threatening illness of a close relative.</w:t>
      </w:r>
    </w:p>
    <w:p w:rsidRPr="00BC719D" w:rsidR="00FF5B53" w:rsidP="00BC719D" w:rsidRDefault="00FF5B53">
      <w:pPr>
        <w:pStyle w:val="ECHRPara"/>
        <w:rPr>
          <w:rFonts w:eastAsia="Times New Roman"/>
          <w:lang w:val="en-US"/>
        </w:rPr>
      </w:pPr>
    </w:p>
    <w:p w:rsidRPr="00BC719D" w:rsidR="00FF5B53" w:rsidP="00BC719D" w:rsidRDefault="00FF5B53">
      <w:pPr>
        <w:pStyle w:val="ECHRPara"/>
        <w:rPr>
          <w:rFonts w:eastAsia="Times New Roman"/>
          <w:lang w:val="en-US"/>
        </w:rPr>
      </w:pPr>
      <w:r w:rsidRPr="00BC719D">
        <w:rPr>
          <w:rFonts w:eastAsia="Times New Roman"/>
          <w:lang w:val="en-US"/>
        </w:rPr>
        <w:fldChar w:fldCharType="begin"/>
      </w:r>
      <w:r w:rsidRPr="00BC719D">
        <w:rPr>
          <w:rFonts w:eastAsia="Times New Roman"/>
          <w:lang w:val="en-US"/>
        </w:rPr>
        <w:instrText xml:space="preserve"> SEQ level0 \*arabic </w:instrText>
      </w:r>
      <w:r w:rsidRPr="00BC719D">
        <w:rPr>
          <w:rFonts w:eastAsia="Times New Roman"/>
          <w:lang w:val="en-US"/>
        </w:rPr>
        <w:fldChar w:fldCharType="separate"/>
      </w:r>
      <w:r w:rsidRPr="00BC719D" w:rsidR="00BC719D">
        <w:rPr>
          <w:rFonts w:eastAsia="Times New Roman"/>
          <w:noProof/>
          <w:lang w:val="en-US"/>
        </w:rPr>
        <w:t>6</w:t>
      </w:r>
      <w:r w:rsidRPr="00BC719D">
        <w:rPr>
          <w:rFonts w:eastAsia="Times New Roman"/>
          <w:lang w:val="en-US"/>
        </w:rPr>
        <w:fldChar w:fldCharType="end"/>
      </w:r>
      <w:r w:rsidRPr="00BC719D">
        <w:rPr>
          <w:rFonts w:eastAsia="Times New Roman"/>
          <w:lang w:val="en-US"/>
        </w:rPr>
        <w:t>.  This legislation excludes an individual assessment of requests for leave by male prisoners held in closed prisons and by female prisoners held in partly-closed prisons at the maximum security level. As a result, when the applicant applied for leave to attend the funeral of his father his request was refused by the prison governor due to the fact that he was serving his sentence in a closed prison albeit, at that stage, under the medium security regime.</w:t>
      </w:r>
    </w:p>
    <w:p w:rsidRPr="00BC719D" w:rsidR="00FF5B53" w:rsidP="00BC719D" w:rsidRDefault="00FF5B53">
      <w:pPr>
        <w:pStyle w:val="ECHRPara"/>
        <w:rPr>
          <w:rFonts w:eastAsia="Times New Roman"/>
          <w:lang w:val="en-US"/>
        </w:rPr>
      </w:pPr>
      <w:r w:rsidRPr="00BC719D">
        <w:rPr>
          <w:rFonts w:eastAsia="Times New Roman"/>
          <w:lang w:val="en-US"/>
        </w:rPr>
        <w:fldChar w:fldCharType="begin"/>
      </w:r>
      <w:r w:rsidRPr="00BC719D">
        <w:rPr>
          <w:rFonts w:eastAsia="Times New Roman"/>
          <w:lang w:val="en-US"/>
        </w:rPr>
        <w:instrText xml:space="preserve"> SEQ level0 \*arabic </w:instrText>
      </w:r>
      <w:r w:rsidRPr="00BC719D">
        <w:rPr>
          <w:rFonts w:eastAsia="Times New Roman"/>
          <w:lang w:val="en-US"/>
        </w:rPr>
        <w:fldChar w:fldCharType="separate"/>
      </w:r>
      <w:r w:rsidRPr="00BC719D" w:rsidR="00BC719D">
        <w:rPr>
          <w:rFonts w:eastAsia="Times New Roman"/>
          <w:noProof/>
          <w:lang w:val="en-US"/>
        </w:rPr>
        <w:t>7</w:t>
      </w:r>
      <w:r w:rsidRPr="00BC719D">
        <w:rPr>
          <w:rFonts w:eastAsia="Times New Roman"/>
          <w:lang w:val="en-US"/>
        </w:rPr>
        <w:fldChar w:fldCharType="end"/>
      </w:r>
      <w:r w:rsidRPr="00BC719D">
        <w:rPr>
          <w:rFonts w:eastAsia="Times New Roman"/>
          <w:lang w:val="en-US"/>
        </w:rPr>
        <w:t>.  It is clear that the exclusion of any assessment on the merits of the applicant</w:t>
      </w:r>
      <w:r w:rsidRPr="00BC719D" w:rsidR="00BC719D">
        <w:rPr>
          <w:rFonts w:eastAsia="Times New Roman"/>
          <w:lang w:val="en-US"/>
        </w:rPr>
        <w:t>’</w:t>
      </w:r>
      <w:r w:rsidRPr="00BC719D">
        <w:rPr>
          <w:rFonts w:eastAsia="Times New Roman"/>
          <w:lang w:val="en-US"/>
        </w:rPr>
        <w:t>s request for leave falls foul of Article 8 of the Convention as interpreted by the Court in the case-law outlined above. Hence, we would have had no difficulty finding a violation of that provision in a case such as the applicant</w:t>
      </w:r>
      <w:r w:rsidRPr="00BC719D" w:rsidR="00BC719D">
        <w:rPr>
          <w:rFonts w:eastAsia="Times New Roman"/>
          <w:lang w:val="en-US"/>
        </w:rPr>
        <w:t>’</w:t>
      </w:r>
      <w:r w:rsidRPr="00BC719D">
        <w:rPr>
          <w:rFonts w:eastAsia="Times New Roman"/>
          <w:lang w:val="en-US"/>
        </w:rPr>
        <w:t>s.</w:t>
      </w:r>
    </w:p>
    <w:p w:rsidRPr="00BC719D" w:rsidR="00FF5B53" w:rsidP="00BC719D" w:rsidRDefault="002124A6">
      <w:pPr>
        <w:pStyle w:val="ECHRHeading2"/>
        <w:rPr>
          <w:rFonts w:eastAsia="Times New Roman"/>
          <w:lang w:val="en-US"/>
        </w:rPr>
      </w:pPr>
      <w:r w:rsidRPr="00BC719D">
        <w:rPr>
          <w:rFonts w:eastAsia="Times New Roman"/>
          <w:lang w:val="en-US"/>
        </w:rPr>
        <w:t>B</w:t>
      </w:r>
      <w:r w:rsidRPr="00BC719D" w:rsidR="00FF5B53">
        <w:rPr>
          <w:rFonts w:eastAsia="Times New Roman"/>
          <w:lang w:val="en-US"/>
        </w:rPr>
        <w:t>.  The sole complaint which the applicant exhausted</w:t>
      </w:r>
    </w:p>
    <w:p w:rsidRPr="00BC719D" w:rsidR="001A4BB2" w:rsidP="00BC719D" w:rsidRDefault="00FF5B53">
      <w:pPr>
        <w:pStyle w:val="ECHRPara"/>
        <w:rPr>
          <w:rFonts w:eastAsia="Times New Roman"/>
          <w:lang w:val="en-US"/>
        </w:rPr>
      </w:pPr>
      <w:r w:rsidRPr="00BC719D">
        <w:rPr>
          <w:rFonts w:eastAsia="Times New Roman"/>
          <w:lang w:val="en-US"/>
        </w:rPr>
        <w:fldChar w:fldCharType="begin"/>
      </w:r>
      <w:r w:rsidRPr="00BC719D">
        <w:rPr>
          <w:rFonts w:eastAsia="Times New Roman"/>
          <w:lang w:val="en-US"/>
        </w:rPr>
        <w:instrText xml:space="preserve"> SEQ level0 \*arabic </w:instrText>
      </w:r>
      <w:r w:rsidRPr="00BC719D">
        <w:rPr>
          <w:rFonts w:eastAsia="Times New Roman"/>
          <w:lang w:val="en-US"/>
        </w:rPr>
        <w:fldChar w:fldCharType="separate"/>
      </w:r>
      <w:r w:rsidRPr="00BC719D" w:rsidR="00BC719D">
        <w:rPr>
          <w:rFonts w:eastAsia="Times New Roman"/>
          <w:noProof/>
          <w:lang w:val="en-US"/>
        </w:rPr>
        <w:t>8</w:t>
      </w:r>
      <w:r w:rsidRPr="00BC719D">
        <w:rPr>
          <w:rFonts w:eastAsia="Times New Roman"/>
          <w:lang w:val="en-US"/>
        </w:rPr>
        <w:fldChar w:fldCharType="end"/>
      </w:r>
      <w:r w:rsidRPr="00BC719D">
        <w:rPr>
          <w:rFonts w:eastAsia="Times New Roman"/>
          <w:lang w:val="en-US"/>
        </w:rPr>
        <w:t>.  However, the applicant did not challenge the individual administrative decision refusing him leave despite the fact that he could have complained to the Prison Administration and thereafter to the administrative courts.</w:t>
      </w:r>
      <w:r w:rsidRPr="00BC719D">
        <w:rPr>
          <w:rFonts w:eastAsia="Times New Roman"/>
          <w:vertAlign w:val="superscript"/>
          <w:lang w:val="en-US"/>
        </w:rPr>
        <w:footnoteReference w:id="11"/>
      </w:r>
      <w:r w:rsidRPr="00BC719D">
        <w:rPr>
          <w:rFonts w:eastAsia="Times New Roman"/>
          <w:lang w:val="en-US"/>
        </w:rPr>
        <w:t xml:space="preserve"> Nor, crucially, did he complain about the lack of an individual assessment of his request before the Latvian Constitutional Court.</w:t>
      </w:r>
    </w:p>
    <w:p w:rsidRPr="00BC719D" w:rsidR="00FF5B53" w:rsidP="00BC719D" w:rsidRDefault="00FF5B53">
      <w:pPr>
        <w:pStyle w:val="ECHRPara"/>
        <w:rPr>
          <w:rFonts w:eastAsia="Times New Roman"/>
          <w:lang w:val="en-US"/>
        </w:rPr>
      </w:pPr>
      <w:r w:rsidRPr="00BC719D">
        <w:rPr>
          <w:rFonts w:eastAsia="Times New Roman"/>
          <w:lang w:val="en-US"/>
        </w:rPr>
        <w:fldChar w:fldCharType="begin"/>
      </w:r>
      <w:r w:rsidRPr="00BC719D">
        <w:rPr>
          <w:rFonts w:eastAsia="Times New Roman"/>
          <w:lang w:val="en-US"/>
        </w:rPr>
        <w:instrText xml:space="preserve"> SEQ level0 \*arabic </w:instrText>
      </w:r>
      <w:r w:rsidRPr="00BC719D">
        <w:rPr>
          <w:rFonts w:eastAsia="Times New Roman"/>
          <w:lang w:val="en-US"/>
        </w:rPr>
        <w:fldChar w:fldCharType="separate"/>
      </w:r>
      <w:r w:rsidRPr="00BC719D" w:rsidR="00BC719D">
        <w:rPr>
          <w:rFonts w:eastAsia="Times New Roman"/>
          <w:noProof/>
          <w:lang w:val="en-US"/>
        </w:rPr>
        <w:t>9</w:t>
      </w:r>
      <w:r w:rsidRPr="00BC719D">
        <w:rPr>
          <w:rFonts w:eastAsia="Times New Roman"/>
          <w:lang w:val="en-US"/>
        </w:rPr>
        <w:fldChar w:fldCharType="end"/>
      </w:r>
      <w:r w:rsidRPr="00BC719D">
        <w:rPr>
          <w:rFonts w:eastAsia="Times New Roman"/>
          <w:lang w:val="en-US"/>
        </w:rPr>
        <w:t>.  To understand the applicant</w:t>
      </w:r>
      <w:r w:rsidRPr="00BC719D" w:rsidR="00BC719D">
        <w:rPr>
          <w:rFonts w:eastAsia="Times New Roman"/>
          <w:lang w:val="en-US"/>
        </w:rPr>
        <w:t>’</w:t>
      </w:r>
      <w:r w:rsidRPr="00BC719D">
        <w:rPr>
          <w:rFonts w:eastAsia="Times New Roman"/>
          <w:lang w:val="en-US"/>
        </w:rPr>
        <w:t>s complaint and one of the reasons for our dissent, it is important to pay attention to the manner in which it was brought before the Latvian Constitutional Court and compare that to how it has been formulated subsequently by the majority in the judgment.</w:t>
      </w:r>
      <w:r w:rsidRPr="00BC719D">
        <w:rPr>
          <w:rFonts w:eastAsia="Times New Roman"/>
          <w:vertAlign w:val="superscript"/>
          <w:lang w:val="en-US"/>
        </w:rPr>
        <w:footnoteReference w:id="12"/>
      </w:r>
    </w:p>
    <w:p w:rsidRPr="00BC719D" w:rsidR="00FF5B53" w:rsidP="00BC719D" w:rsidRDefault="00FF5B53">
      <w:pPr>
        <w:pStyle w:val="ECHRPara"/>
        <w:rPr>
          <w:rFonts w:eastAsia="Times New Roman"/>
          <w:lang w:val="en-US"/>
        </w:rPr>
      </w:pPr>
      <w:r w:rsidRPr="00BC719D">
        <w:rPr>
          <w:rFonts w:eastAsia="Times New Roman"/>
          <w:lang w:val="en-US"/>
        </w:rPr>
        <w:fldChar w:fldCharType="begin"/>
      </w:r>
      <w:r w:rsidRPr="00BC719D">
        <w:rPr>
          <w:rFonts w:eastAsia="Times New Roman"/>
          <w:lang w:val="en-US"/>
        </w:rPr>
        <w:instrText xml:space="preserve"> SEQ level0 \*arabic </w:instrText>
      </w:r>
      <w:r w:rsidRPr="00BC719D">
        <w:rPr>
          <w:rFonts w:eastAsia="Times New Roman"/>
          <w:lang w:val="en-US"/>
        </w:rPr>
        <w:fldChar w:fldCharType="separate"/>
      </w:r>
      <w:r w:rsidRPr="00BC719D" w:rsidR="00BC719D">
        <w:rPr>
          <w:rFonts w:eastAsia="Times New Roman"/>
          <w:noProof/>
          <w:lang w:val="en-US"/>
        </w:rPr>
        <w:t>10</w:t>
      </w:r>
      <w:r w:rsidRPr="00BC719D">
        <w:rPr>
          <w:rFonts w:eastAsia="Times New Roman"/>
          <w:lang w:val="en-US"/>
        </w:rPr>
        <w:fldChar w:fldCharType="end"/>
      </w:r>
      <w:r w:rsidRPr="00BC719D">
        <w:rPr>
          <w:rFonts w:eastAsia="Times New Roman"/>
          <w:lang w:val="en-US"/>
        </w:rPr>
        <w:t>.  Having been convicted of serious crimes in 2001 the applicant claims to have</w:t>
      </w:r>
      <w:r w:rsidRPr="00BC719D">
        <w:rPr>
          <w:rFonts w:eastAsia="Times New Roman"/>
        </w:rPr>
        <w:t xml:space="preserve"> realised</w:t>
      </w:r>
      <w:r w:rsidRPr="00BC719D">
        <w:rPr>
          <w:rFonts w:eastAsia="Times New Roman"/>
          <w:lang w:val="en-US"/>
        </w:rPr>
        <w:t xml:space="preserve"> in 2008 that there was a difference in the treatment in Latvia of male and female prisoners with regard to the execution of their sentences. While men convicted of serious crimes were always placed in closed prisons, female prisoners who had been convicted of similar crimes were placed in partly-closed prisons. Since this affected the rights of male prisoners, the applicant lodged several and different complaints with the Ministry of Justice, the Ombudsman and the Constitutional Court. Before the latter the applicant claimed that section 50</w:t>
      </w:r>
      <w:r w:rsidRPr="00BC719D">
        <w:rPr>
          <w:rFonts w:eastAsia="Times New Roman"/>
          <w:vertAlign w:val="superscript"/>
          <w:lang w:val="en-US"/>
        </w:rPr>
        <w:t>4</w:t>
      </w:r>
      <w:r w:rsidRPr="00BC719D">
        <w:rPr>
          <w:rFonts w:eastAsia="Times New Roman"/>
          <w:lang w:val="en-US"/>
        </w:rPr>
        <w:t xml:space="preserve"> (1) of the Sentence Enforcement Code was discriminatory on grounds of gender contrary to the relevant provision of the Latvian Constitution. Prior to the death of the applicant</w:t>
      </w:r>
      <w:r w:rsidRPr="00BC719D" w:rsidR="00BC719D">
        <w:rPr>
          <w:rFonts w:eastAsia="Times New Roman"/>
          <w:lang w:val="en-US"/>
        </w:rPr>
        <w:t>’</w:t>
      </w:r>
      <w:r w:rsidRPr="00BC719D">
        <w:rPr>
          <w:rFonts w:eastAsia="Times New Roman"/>
          <w:lang w:val="en-US"/>
        </w:rPr>
        <w:t>s father – the event which led to his request for prison leave – the applicant had introduced two constitutional complaints challenging the Latvian legislation on this general ground. Both complaints were deemed inadmissible due to, in the first instance, the applicant</w:t>
      </w:r>
      <w:r w:rsidRPr="00BC719D" w:rsidR="00BC719D">
        <w:rPr>
          <w:rFonts w:eastAsia="Times New Roman"/>
          <w:lang w:val="en-US"/>
        </w:rPr>
        <w:t>’</w:t>
      </w:r>
      <w:r w:rsidRPr="00BC719D">
        <w:rPr>
          <w:rFonts w:eastAsia="Times New Roman"/>
          <w:lang w:val="en-US"/>
        </w:rPr>
        <w:t>s failure to properly substantiate the reasons for his complaint (§</w:t>
      </w:r>
      <w:r w:rsidRPr="00BC719D" w:rsidR="0077707C">
        <w:rPr>
          <w:rFonts w:eastAsia="Times New Roman"/>
          <w:lang w:val="en-US"/>
        </w:rPr>
        <w:t xml:space="preserve"> </w:t>
      </w:r>
      <w:r w:rsidRPr="00BC719D">
        <w:rPr>
          <w:rFonts w:eastAsia="Times New Roman"/>
          <w:lang w:val="en-US"/>
        </w:rPr>
        <w:t>15 of the majority judgment) and, in the second instance, the insufficiency of the legal reasoning presented on the question of comparability combined with the failure to specify the human right in conjunction with which the discrimination complained of had been made (§§</w:t>
      </w:r>
      <w:r w:rsidRPr="00BC719D" w:rsidR="0077707C">
        <w:rPr>
          <w:rFonts w:eastAsia="Times New Roman"/>
          <w:lang w:val="en-US"/>
        </w:rPr>
        <w:t xml:space="preserve"> </w:t>
      </w:r>
      <w:r w:rsidRPr="00BC719D">
        <w:rPr>
          <w:rFonts w:eastAsia="Times New Roman"/>
          <w:lang w:val="en-US"/>
        </w:rPr>
        <w:t>17-18 of the majority judgment).</w:t>
      </w:r>
    </w:p>
    <w:p w:rsidRPr="00BC719D" w:rsidR="001A4BB2" w:rsidP="00BC719D" w:rsidRDefault="00FF5B53">
      <w:pPr>
        <w:pStyle w:val="ECHRPara"/>
        <w:rPr>
          <w:rFonts w:eastAsia="Times New Roman"/>
          <w:lang w:val="en-US"/>
        </w:rPr>
      </w:pPr>
      <w:r w:rsidRPr="00BC719D">
        <w:rPr>
          <w:rFonts w:eastAsia="Times New Roman"/>
          <w:lang w:val="en-US"/>
        </w:rPr>
        <w:fldChar w:fldCharType="begin"/>
      </w:r>
      <w:r w:rsidRPr="00BC719D">
        <w:rPr>
          <w:rFonts w:eastAsia="Times New Roman"/>
          <w:lang w:val="en-US"/>
        </w:rPr>
        <w:instrText xml:space="preserve"> SEQ level0 \*arabic </w:instrText>
      </w:r>
      <w:r w:rsidRPr="00BC719D">
        <w:rPr>
          <w:rFonts w:eastAsia="Times New Roman"/>
          <w:lang w:val="en-US"/>
        </w:rPr>
        <w:fldChar w:fldCharType="separate"/>
      </w:r>
      <w:r w:rsidRPr="00BC719D" w:rsidR="00BC719D">
        <w:rPr>
          <w:rFonts w:eastAsia="Times New Roman"/>
          <w:noProof/>
          <w:lang w:val="en-US"/>
        </w:rPr>
        <w:t>11</w:t>
      </w:r>
      <w:r w:rsidRPr="00BC719D">
        <w:rPr>
          <w:rFonts w:eastAsia="Times New Roman"/>
          <w:lang w:val="en-US"/>
        </w:rPr>
        <w:fldChar w:fldCharType="end"/>
      </w:r>
      <w:r w:rsidRPr="00BC719D">
        <w:rPr>
          <w:rFonts w:eastAsia="Times New Roman"/>
          <w:lang w:val="en-US"/>
        </w:rPr>
        <w:t>.  The rejection of these two complaints, which predated the request for funeral leave, is clearly not relevant for the purposes of determining whether the applicant had exhausted domestic remedies. However, they do highlight the essential and general nature of the applicant</w:t>
      </w:r>
      <w:r w:rsidRPr="00BC719D" w:rsidR="00BC719D">
        <w:rPr>
          <w:rFonts w:eastAsia="Times New Roman"/>
          <w:lang w:val="en-US"/>
        </w:rPr>
        <w:t>’</w:t>
      </w:r>
      <w:r w:rsidRPr="00BC719D">
        <w:rPr>
          <w:rFonts w:eastAsia="Times New Roman"/>
          <w:lang w:val="en-US"/>
        </w:rPr>
        <w:t>s domestic discrimination complaint and demonstrate a pitfall which the majority has advertently or inadvertently not avoided.</w:t>
      </w:r>
    </w:p>
    <w:p w:rsidRPr="00BC719D" w:rsidR="001A4BB2" w:rsidP="00BC719D" w:rsidRDefault="00FF5B53">
      <w:pPr>
        <w:pStyle w:val="ECHRPara"/>
        <w:rPr>
          <w:rFonts w:eastAsia="Times New Roman"/>
          <w:lang w:val="en-US"/>
        </w:rPr>
      </w:pPr>
      <w:r w:rsidRPr="00BC719D">
        <w:rPr>
          <w:rFonts w:eastAsia="Times New Roman"/>
          <w:lang w:val="en-US"/>
        </w:rPr>
        <w:fldChar w:fldCharType="begin"/>
      </w:r>
      <w:r w:rsidRPr="00BC719D">
        <w:rPr>
          <w:rFonts w:eastAsia="Times New Roman"/>
          <w:lang w:val="en-US"/>
        </w:rPr>
        <w:instrText xml:space="preserve"> SEQ level0 \*arabic </w:instrText>
      </w:r>
      <w:r w:rsidRPr="00BC719D">
        <w:rPr>
          <w:rFonts w:eastAsia="Times New Roman"/>
          <w:lang w:val="en-US"/>
        </w:rPr>
        <w:fldChar w:fldCharType="separate"/>
      </w:r>
      <w:r w:rsidRPr="00BC719D" w:rsidR="00BC719D">
        <w:rPr>
          <w:rFonts w:eastAsia="Times New Roman"/>
          <w:noProof/>
          <w:lang w:val="en-US"/>
        </w:rPr>
        <w:t>12</w:t>
      </w:r>
      <w:r w:rsidRPr="00BC719D">
        <w:rPr>
          <w:rFonts w:eastAsia="Times New Roman"/>
          <w:lang w:val="en-US"/>
        </w:rPr>
        <w:fldChar w:fldCharType="end"/>
      </w:r>
      <w:r w:rsidRPr="00BC719D">
        <w:rPr>
          <w:rFonts w:eastAsia="Times New Roman"/>
          <w:lang w:val="en-US"/>
        </w:rPr>
        <w:t>.  The applicant, at domestic level and before the Court, thus complained about the allegedly discriminatory nature of the applicable Latvian prison regime writ large. However, the only complaint which this Court could consider on the merits was the specific complaint as formulated in the domestic proceedings and before this Court, namely that when refused permission to attend his father</w:t>
      </w:r>
      <w:r w:rsidRPr="00BC719D" w:rsidR="00BC719D">
        <w:rPr>
          <w:rFonts w:eastAsia="Times New Roman"/>
          <w:lang w:val="en-US"/>
        </w:rPr>
        <w:t>’</w:t>
      </w:r>
      <w:r w:rsidRPr="00BC719D">
        <w:rPr>
          <w:rFonts w:eastAsia="Times New Roman"/>
          <w:lang w:val="en-US"/>
        </w:rPr>
        <w:t>s funeral</w:t>
      </w:r>
      <w:r w:rsidRPr="00BC719D">
        <w:rPr>
          <w:rFonts w:eastAsia="Times New Roman"/>
          <w:i/>
          <w:lang w:val="en-US"/>
        </w:rPr>
        <w:t xml:space="preserve"> “he had [</w:t>
      </w:r>
      <w:r w:rsidRPr="00BC719D" w:rsidR="001A4BB2">
        <w:rPr>
          <w:rFonts w:eastAsia="Times New Roman"/>
          <w:i/>
          <w:lang w:val="en-US"/>
        </w:rPr>
        <w:t>...</w:t>
      </w:r>
      <w:r w:rsidRPr="00BC719D">
        <w:rPr>
          <w:rFonts w:eastAsia="Times New Roman"/>
          <w:i/>
          <w:lang w:val="en-US"/>
        </w:rPr>
        <w:t>] been discriminated against on the basis of sex</w:t>
      </w:r>
      <w:r w:rsidRPr="00BC719D">
        <w:rPr>
          <w:rFonts w:eastAsia="Times New Roman"/>
          <w:lang w:val="en-US"/>
        </w:rPr>
        <w:t xml:space="preserve">, as women in his situation </w:t>
      </w:r>
      <w:r w:rsidRPr="00BC719D">
        <w:rPr>
          <w:rFonts w:eastAsia="Times New Roman"/>
          <w:i/>
          <w:lang w:val="en-US"/>
        </w:rPr>
        <w:t>would have been able to attend the funeral</w:t>
      </w:r>
      <w:r w:rsidRPr="00BC719D">
        <w:rPr>
          <w:rFonts w:eastAsia="Times New Roman"/>
          <w:lang w:val="en-US"/>
        </w:rPr>
        <w:t>.”</w:t>
      </w:r>
      <w:r w:rsidRPr="00BC719D">
        <w:rPr>
          <w:rFonts w:eastAsia="Times New Roman"/>
          <w:vertAlign w:val="superscript"/>
          <w:lang w:val="en-US"/>
        </w:rPr>
        <w:footnoteReference w:id="13"/>
      </w:r>
    </w:p>
    <w:p w:rsidRPr="00BC719D" w:rsidR="00FF5B53" w:rsidP="00BC719D" w:rsidRDefault="00FF5B53">
      <w:pPr>
        <w:pStyle w:val="ECHRPara"/>
        <w:rPr>
          <w:rFonts w:eastAsia="Times New Roman"/>
          <w:lang w:val="en-US"/>
        </w:rPr>
      </w:pPr>
      <w:r w:rsidRPr="00BC719D">
        <w:rPr>
          <w:rFonts w:eastAsia="Times New Roman"/>
          <w:lang w:val="en-US"/>
        </w:rPr>
        <w:fldChar w:fldCharType="begin"/>
      </w:r>
      <w:r w:rsidRPr="00BC719D">
        <w:rPr>
          <w:rFonts w:eastAsia="Times New Roman"/>
          <w:lang w:val="en-US"/>
        </w:rPr>
        <w:instrText xml:space="preserve"> SEQ level0 \*arabic </w:instrText>
      </w:r>
      <w:r w:rsidRPr="00BC719D">
        <w:rPr>
          <w:rFonts w:eastAsia="Times New Roman"/>
          <w:lang w:val="en-US"/>
        </w:rPr>
        <w:fldChar w:fldCharType="separate"/>
      </w:r>
      <w:r w:rsidRPr="00BC719D" w:rsidR="00BC719D">
        <w:rPr>
          <w:rFonts w:eastAsia="Times New Roman"/>
          <w:noProof/>
          <w:lang w:val="en-US"/>
        </w:rPr>
        <w:t>13</w:t>
      </w:r>
      <w:r w:rsidRPr="00BC719D">
        <w:rPr>
          <w:rFonts w:eastAsia="Times New Roman"/>
          <w:lang w:val="en-US"/>
        </w:rPr>
        <w:fldChar w:fldCharType="end"/>
      </w:r>
      <w:r w:rsidRPr="00BC719D">
        <w:rPr>
          <w:rFonts w:eastAsia="Times New Roman"/>
          <w:lang w:val="en-US"/>
        </w:rPr>
        <w:t>.  The applicant pointed to this aspect of the discriminatory nature of the Latvian Sentence Enforcement Code before the Constitutional Court in his third complaint. The latter, on the basis of the relevant provisions of the Law on the Constitutional Court, rejected it on the grounds that the legal reasoning in the complaint was insufficient. The majority concludes, and we can accept, that in his third complaint the applicant raised “expressly and in substance” the discrimination complaint which he subsequently brought before this Court.</w:t>
      </w:r>
      <w:r w:rsidRPr="00BC719D">
        <w:rPr>
          <w:rFonts w:eastAsia="Times New Roman"/>
          <w:vertAlign w:val="superscript"/>
          <w:lang w:val="en-US"/>
        </w:rPr>
        <w:footnoteReference w:id="14"/>
      </w:r>
    </w:p>
    <w:p w:rsidRPr="00BC719D" w:rsidR="001A4BB2" w:rsidP="00BC719D" w:rsidRDefault="00FF5B53">
      <w:pPr>
        <w:pStyle w:val="ECHRPara"/>
        <w:rPr>
          <w:rFonts w:eastAsia="Times New Roman"/>
          <w:lang w:val="en-US"/>
        </w:rPr>
      </w:pPr>
      <w:r w:rsidRPr="00BC719D">
        <w:rPr>
          <w:rFonts w:eastAsia="Times New Roman"/>
          <w:lang w:val="en-US"/>
        </w:rPr>
        <w:fldChar w:fldCharType="begin"/>
      </w:r>
      <w:r w:rsidRPr="00BC719D">
        <w:rPr>
          <w:rFonts w:eastAsia="Times New Roman"/>
          <w:lang w:val="en-US"/>
        </w:rPr>
        <w:instrText xml:space="preserve"> SEQ level0 \*arabic </w:instrText>
      </w:r>
      <w:r w:rsidRPr="00BC719D">
        <w:rPr>
          <w:rFonts w:eastAsia="Times New Roman"/>
          <w:lang w:val="en-US"/>
        </w:rPr>
        <w:fldChar w:fldCharType="separate"/>
      </w:r>
      <w:r w:rsidRPr="00BC719D" w:rsidR="00BC719D">
        <w:rPr>
          <w:rFonts w:eastAsia="Times New Roman"/>
          <w:noProof/>
          <w:lang w:val="en-US"/>
        </w:rPr>
        <w:t>14</w:t>
      </w:r>
      <w:r w:rsidRPr="00BC719D">
        <w:rPr>
          <w:rFonts w:eastAsia="Times New Roman"/>
          <w:lang w:val="en-US"/>
        </w:rPr>
        <w:fldChar w:fldCharType="end"/>
      </w:r>
      <w:r w:rsidRPr="00BC719D">
        <w:rPr>
          <w:rFonts w:eastAsia="Times New Roman"/>
          <w:lang w:val="en-US"/>
        </w:rPr>
        <w:t>.  The applicant had argued that, but for his gender, he would have been</w:t>
      </w:r>
      <w:r w:rsidRPr="00BC719D">
        <w:rPr>
          <w:rFonts w:eastAsia="Times New Roman"/>
        </w:rPr>
        <w:t xml:space="preserve"> authorised</w:t>
      </w:r>
      <w:r w:rsidRPr="00BC719D">
        <w:rPr>
          <w:rFonts w:eastAsia="Times New Roman"/>
          <w:lang w:val="en-US"/>
        </w:rPr>
        <w:t xml:space="preserve"> to attend his father</w:t>
      </w:r>
      <w:r w:rsidRPr="00BC719D" w:rsidR="00BC719D">
        <w:rPr>
          <w:rFonts w:eastAsia="Times New Roman"/>
          <w:lang w:val="en-US"/>
        </w:rPr>
        <w:t>’</w:t>
      </w:r>
      <w:r w:rsidRPr="00BC719D">
        <w:rPr>
          <w:rFonts w:eastAsia="Times New Roman"/>
          <w:lang w:val="en-US"/>
        </w:rPr>
        <w:t>s funeral. In considering the applicant</w:t>
      </w:r>
      <w:r w:rsidRPr="00BC719D" w:rsidR="00BC719D">
        <w:rPr>
          <w:rFonts w:eastAsia="Times New Roman"/>
          <w:lang w:val="en-US"/>
        </w:rPr>
        <w:t>’</w:t>
      </w:r>
      <w:r w:rsidRPr="00BC719D">
        <w:rPr>
          <w:rFonts w:eastAsia="Times New Roman"/>
          <w:lang w:val="en-US"/>
        </w:rPr>
        <w:t>s complaint on the merits, the majority reformulated the discriminatory treatment of which he complained. It no longer considered the difference in treatment as defined by the applicant, namely refusal of leave, and turned its attention instead to the denial of an individual assessment of his request for such leave. We consider this a significant change, which renders the complaint different for the purposes of an Article 14 analysis. While the comparator group remains the same, namely women convicted of “intentionally committed crimes”, the difference in treatment is not the same. Being granted permission to leave and being allowed access to a procedure involving an individual assessment are not one and the same thing. The Latvian Constitutional Court not having been given the opportunity to address the complaint reformulated by the majority, we consider it inadmissible.</w:t>
      </w:r>
    </w:p>
    <w:p w:rsidRPr="00BC719D" w:rsidR="00FF5B53" w:rsidP="00BC719D" w:rsidRDefault="00FF5B53">
      <w:pPr>
        <w:pStyle w:val="ECHRPara"/>
        <w:rPr>
          <w:rFonts w:eastAsia="Times New Roman"/>
          <w:lang w:val="en-US"/>
        </w:rPr>
      </w:pPr>
      <w:r w:rsidRPr="00BC719D">
        <w:rPr>
          <w:rFonts w:eastAsia="Times New Roman"/>
          <w:lang w:val="en-US"/>
        </w:rPr>
        <w:fldChar w:fldCharType="begin"/>
      </w:r>
      <w:r w:rsidRPr="00BC719D">
        <w:rPr>
          <w:rFonts w:eastAsia="Times New Roman"/>
          <w:lang w:val="en-US"/>
        </w:rPr>
        <w:instrText xml:space="preserve"> SEQ level0 \*arabic </w:instrText>
      </w:r>
      <w:r w:rsidRPr="00BC719D">
        <w:rPr>
          <w:rFonts w:eastAsia="Times New Roman"/>
          <w:lang w:val="en-US"/>
        </w:rPr>
        <w:fldChar w:fldCharType="separate"/>
      </w:r>
      <w:r w:rsidRPr="00BC719D" w:rsidR="00BC719D">
        <w:rPr>
          <w:rFonts w:eastAsia="Times New Roman"/>
          <w:noProof/>
          <w:lang w:val="en-US"/>
        </w:rPr>
        <w:t>15</w:t>
      </w:r>
      <w:r w:rsidRPr="00BC719D">
        <w:rPr>
          <w:rFonts w:eastAsia="Times New Roman"/>
          <w:lang w:val="en-US"/>
        </w:rPr>
        <w:fldChar w:fldCharType="end"/>
      </w:r>
      <w:r w:rsidRPr="00BC719D">
        <w:rPr>
          <w:rFonts w:eastAsia="Times New Roman"/>
          <w:lang w:val="en-US"/>
        </w:rPr>
        <w:t>.  The exhaustion point in the present case is an important one, as this is the first time the Court addresses the specific procedure used in the present case before the Latvian Constitutional Court. The Court has previously examined non-exhaustion pleas in relation to constitutional complaints in Latvia. In those cases, it held that it is not the Court</w:t>
      </w:r>
      <w:r w:rsidRPr="00BC719D" w:rsidR="00BC719D">
        <w:rPr>
          <w:rFonts w:eastAsia="Times New Roman"/>
          <w:lang w:val="en-US"/>
        </w:rPr>
        <w:t>’</w:t>
      </w:r>
      <w:r w:rsidRPr="00BC719D">
        <w:rPr>
          <w:rFonts w:eastAsia="Times New Roman"/>
          <w:lang w:val="en-US"/>
        </w:rPr>
        <w:t>s “task to take the place of the Constitutional Court and to review its conclusion in relation to the quality of the applicant</w:t>
      </w:r>
      <w:r w:rsidRPr="00BC719D" w:rsidR="00BC719D">
        <w:rPr>
          <w:rFonts w:eastAsia="Times New Roman"/>
          <w:lang w:val="en-US"/>
        </w:rPr>
        <w:t>’</w:t>
      </w:r>
      <w:r w:rsidRPr="00BC719D">
        <w:rPr>
          <w:rFonts w:eastAsia="Times New Roman"/>
          <w:lang w:val="en-US"/>
        </w:rPr>
        <w:t>s complaint”.</w:t>
      </w:r>
      <w:r w:rsidRPr="00BC719D">
        <w:rPr>
          <w:rFonts w:eastAsia="Times New Roman"/>
          <w:vertAlign w:val="superscript"/>
          <w:lang w:val="en-US"/>
        </w:rPr>
        <w:footnoteReference w:id="15"/>
      </w:r>
      <w:r w:rsidRPr="00BC719D">
        <w:rPr>
          <w:rFonts w:eastAsia="Times New Roman"/>
          <w:lang w:val="en-US"/>
        </w:rPr>
        <w:t xml:space="preserve"> In the present case the majority has distinguished between the two grounds on which a Latvian constitutional complaint can be declined: a) failure to comply with formal requirements and b) insufficient reasoning (see § 51 of the majority judgment). As a result, in future cases the Court will differentiate between the two grounds on which the Latvian Constitutional Court declines complaints, reviewing the conclusion of the domestic court in one case but not in the other. In view of the shifting nature of the complaint in the present case, the domestic implications of this are unclear.</w:t>
      </w:r>
    </w:p>
    <w:p w:rsidRPr="00BC719D" w:rsidR="00FF5B53" w:rsidP="00BC719D" w:rsidRDefault="002124A6">
      <w:pPr>
        <w:pStyle w:val="ECHRHeading2"/>
        <w:rPr>
          <w:rFonts w:eastAsia="Times New Roman"/>
          <w:lang w:val="en-US"/>
        </w:rPr>
      </w:pPr>
      <w:r w:rsidRPr="00BC719D">
        <w:rPr>
          <w:rFonts w:eastAsia="Times New Roman"/>
          <w:lang w:val="en-US"/>
        </w:rPr>
        <w:t>C</w:t>
      </w:r>
      <w:r w:rsidRPr="00BC719D" w:rsidR="00FF5B53">
        <w:rPr>
          <w:rFonts w:eastAsia="Times New Roman"/>
          <w:lang w:val="en-US"/>
        </w:rPr>
        <w:t>.  Analysis of the discrimination claim under Article 14 combined with Article 8 of the Convention</w:t>
      </w:r>
    </w:p>
    <w:p w:rsidRPr="00BC719D" w:rsidR="001A4BB2" w:rsidP="00BC719D" w:rsidRDefault="00FF5B53">
      <w:pPr>
        <w:pStyle w:val="ECHRPara"/>
        <w:rPr>
          <w:rFonts w:eastAsia="Times New Roman"/>
          <w:lang w:val="en-US"/>
        </w:rPr>
      </w:pPr>
      <w:r w:rsidRPr="00BC719D">
        <w:rPr>
          <w:rFonts w:eastAsia="Times New Roman"/>
          <w:lang w:val="en-US"/>
        </w:rPr>
        <w:fldChar w:fldCharType="begin"/>
      </w:r>
      <w:r w:rsidRPr="00BC719D">
        <w:rPr>
          <w:rFonts w:eastAsia="Times New Roman"/>
          <w:lang w:val="en-US"/>
        </w:rPr>
        <w:instrText xml:space="preserve"> SEQ level0 \*arabic </w:instrText>
      </w:r>
      <w:r w:rsidRPr="00BC719D">
        <w:rPr>
          <w:rFonts w:eastAsia="Times New Roman"/>
          <w:lang w:val="en-US"/>
        </w:rPr>
        <w:fldChar w:fldCharType="separate"/>
      </w:r>
      <w:r w:rsidRPr="00BC719D" w:rsidR="00BC719D">
        <w:rPr>
          <w:rFonts w:eastAsia="Times New Roman"/>
          <w:noProof/>
          <w:lang w:val="en-US"/>
        </w:rPr>
        <w:t>16</w:t>
      </w:r>
      <w:r w:rsidRPr="00BC719D">
        <w:rPr>
          <w:rFonts w:eastAsia="Times New Roman"/>
          <w:lang w:val="en-US"/>
        </w:rPr>
        <w:fldChar w:fldCharType="end"/>
      </w:r>
      <w:r w:rsidRPr="00BC719D">
        <w:rPr>
          <w:rFonts w:eastAsia="Times New Roman"/>
          <w:lang w:val="en-US"/>
        </w:rPr>
        <w:t>.  Article 14 does not prohibit every difference in treatment in the exercise of rights and freedoms: “competent national authorities are frequently confronted with situations and problems which, on account of the differences inherent therein, call for different legal solutions; moreover certain legal inequalities tend only to correct factual inequalities.”</w:t>
      </w:r>
      <w:r w:rsidRPr="00BC719D">
        <w:rPr>
          <w:rFonts w:eastAsia="Times New Roman"/>
          <w:vertAlign w:val="superscript"/>
          <w:lang w:val="en-US"/>
        </w:rPr>
        <w:footnoteReference w:id="16"/>
      </w:r>
      <w:r w:rsidRPr="00BC719D">
        <w:rPr>
          <w:rFonts w:eastAsia="Times New Roman"/>
          <w:lang w:val="en-US"/>
        </w:rPr>
        <w:t xml:space="preserve"> Thus, in order for an issue to arise under Article 14, “there must be a difference in the treatment of persons in analogous, or relevantly similar, situations.”</w:t>
      </w:r>
      <w:r w:rsidRPr="00BC719D">
        <w:rPr>
          <w:rFonts w:eastAsia="Times New Roman"/>
          <w:vertAlign w:val="superscript"/>
          <w:lang w:val="en-US"/>
        </w:rPr>
        <w:footnoteReference w:id="17"/>
      </w:r>
      <w:r w:rsidRPr="00BC719D">
        <w:rPr>
          <w:rFonts w:eastAsia="Times New Roman"/>
          <w:lang w:val="en-US"/>
        </w:rPr>
        <w:t xml:space="preserve"> If that is the case, the difference in treatment in question shall be considered discriminatory if it has no objective and reasonable justification; in other words, if it does not pursue a legitimate aim or if there is not a reasonable relationship or proportionality between the means employed and the aim sought to be realized.</w:t>
      </w:r>
      <w:r w:rsidRPr="00BC719D">
        <w:rPr>
          <w:rFonts w:eastAsia="Times New Roman"/>
          <w:vertAlign w:val="superscript"/>
          <w:lang w:val="en-US"/>
        </w:rPr>
        <w:footnoteReference w:id="18"/>
      </w:r>
    </w:p>
    <w:p w:rsidRPr="00BC719D" w:rsidR="00FF5B53" w:rsidP="00BC719D" w:rsidRDefault="00FF5B53">
      <w:pPr>
        <w:pStyle w:val="ECHRPara"/>
        <w:rPr>
          <w:rFonts w:eastAsia="Times New Roman"/>
          <w:lang w:val="en-US"/>
        </w:rPr>
      </w:pPr>
      <w:r w:rsidRPr="00BC719D">
        <w:rPr>
          <w:rFonts w:eastAsia="Times New Roman"/>
          <w:lang w:val="en-US"/>
        </w:rPr>
        <w:fldChar w:fldCharType="begin"/>
      </w:r>
      <w:r w:rsidRPr="00BC719D">
        <w:rPr>
          <w:rFonts w:eastAsia="Times New Roman"/>
          <w:lang w:val="en-US"/>
        </w:rPr>
        <w:instrText xml:space="preserve"> SEQ level0 \*arabic </w:instrText>
      </w:r>
      <w:r w:rsidRPr="00BC719D">
        <w:rPr>
          <w:rFonts w:eastAsia="Times New Roman"/>
          <w:lang w:val="en-US"/>
        </w:rPr>
        <w:fldChar w:fldCharType="separate"/>
      </w:r>
      <w:r w:rsidRPr="00BC719D" w:rsidR="00BC719D">
        <w:rPr>
          <w:rFonts w:eastAsia="Times New Roman"/>
          <w:noProof/>
          <w:lang w:val="en-US"/>
        </w:rPr>
        <w:t>17</w:t>
      </w:r>
      <w:r w:rsidRPr="00BC719D">
        <w:rPr>
          <w:rFonts w:eastAsia="Times New Roman"/>
          <w:lang w:val="en-US"/>
        </w:rPr>
        <w:fldChar w:fldCharType="end"/>
      </w:r>
      <w:r w:rsidRPr="00BC719D">
        <w:rPr>
          <w:rFonts w:eastAsia="Times New Roman"/>
          <w:lang w:val="en-US"/>
        </w:rPr>
        <w:t>.  As indicated previously, the difference in treatment alleged by the applicant both before the domestic Constitutional Court and our Court was that he was not able to attend his father</w:t>
      </w:r>
      <w:r w:rsidRPr="00BC719D" w:rsidR="00BC719D">
        <w:rPr>
          <w:rFonts w:eastAsia="Times New Roman"/>
          <w:lang w:val="en-US"/>
        </w:rPr>
        <w:t>’</w:t>
      </w:r>
      <w:r w:rsidRPr="00BC719D">
        <w:rPr>
          <w:rFonts w:eastAsia="Times New Roman"/>
          <w:lang w:val="en-US"/>
        </w:rPr>
        <w:t>s funeral. He argued that had he been a female prisoner he would have been granted permission to attend the funeral. This, however, is simply not correct. Even if the applicant had been a female prisoner he would not have enjoyed an automatic and unconditional right to attend a relative</w:t>
      </w:r>
      <w:r w:rsidRPr="00BC719D" w:rsidR="00BC719D">
        <w:rPr>
          <w:rFonts w:eastAsia="Times New Roman"/>
          <w:lang w:val="en-US"/>
        </w:rPr>
        <w:t>’</w:t>
      </w:r>
      <w:r w:rsidRPr="00BC719D">
        <w:rPr>
          <w:rFonts w:eastAsia="Times New Roman"/>
          <w:lang w:val="en-US"/>
        </w:rPr>
        <w:t>s funeral. Those belonging to the comparator group indicated by the applicant, namely women convicted of “intentionally committed crimes”, would merely have been entitled to an individual assessment of their request because of the prison regime to which they were subject pursuant to Latvian law. In addition, they would only have been entitled to such an assessment once they were no longer detained at the maximum security level. However, the outcome of such an assessment is not clear and it is in no way certain that the requests of female prisoners in the comparator group would necessarily have been granted. As members of the suggested comparator group have no automatic right to leave, the difference in treatment alleged by the applicant has not been established and no violation of Article 14 combined with Article 8 can be found.</w:t>
      </w:r>
    </w:p>
    <w:p w:rsidRPr="00BC719D" w:rsidR="001A4BB2" w:rsidP="00BC719D" w:rsidRDefault="00FF5B53">
      <w:pPr>
        <w:pStyle w:val="ECHRPara"/>
        <w:rPr>
          <w:rFonts w:eastAsia="Times New Roman"/>
          <w:lang w:val="en-US"/>
        </w:rPr>
      </w:pPr>
      <w:r w:rsidRPr="00BC719D">
        <w:rPr>
          <w:rFonts w:eastAsia="Times New Roman"/>
          <w:lang w:val="en-US"/>
        </w:rPr>
        <w:fldChar w:fldCharType="begin"/>
      </w:r>
      <w:r w:rsidRPr="00BC719D">
        <w:rPr>
          <w:rFonts w:eastAsia="Times New Roman"/>
          <w:lang w:val="en-US"/>
        </w:rPr>
        <w:instrText xml:space="preserve"> SEQ level0 \*arabic </w:instrText>
      </w:r>
      <w:r w:rsidRPr="00BC719D">
        <w:rPr>
          <w:rFonts w:eastAsia="Times New Roman"/>
          <w:lang w:val="en-US"/>
        </w:rPr>
        <w:fldChar w:fldCharType="separate"/>
      </w:r>
      <w:r w:rsidRPr="00BC719D" w:rsidR="00BC719D">
        <w:rPr>
          <w:rFonts w:eastAsia="Times New Roman"/>
          <w:noProof/>
          <w:lang w:val="en-US"/>
        </w:rPr>
        <w:t>18</w:t>
      </w:r>
      <w:r w:rsidRPr="00BC719D">
        <w:rPr>
          <w:rFonts w:eastAsia="Times New Roman"/>
          <w:lang w:val="en-US"/>
        </w:rPr>
        <w:fldChar w:fldCharType="end"/>
      </w:r>
      <w:r w:rsidRPr="00BC719D">
        <w:rPr>
          <w:rFonts w:eastAsia="Times New Roman"/>
          <w:lang w:val="en-US"/>
        </w:rPr>
        <w:t>.  I</w:t>
      </w:r>
      <w:r w:rsidRPr="00BC719D">
        <w:rPr>
          <w:rFonts w:eastAsia="Times New Roman"/>
          <w:lang w:val="en-US" w:eastAsia="fr-FR"/>
        </w:rPr>
        <w:t>n cases where discrimination is alleged it is of crucial importance to adopt and then apply a sufficiently well elaborated and rigorous analytical framework.</w:t>
      </w:r>
      <w:r w:rsidRPr="00BC719D">
        <w:rPr>
          <w:rFonts w:eastAsia="Times New Roman"/>
          <w:vertAlign w:val="superscript"/>
          <w:lang w:val="en-US" w:eastAsia="fr-FR"/>
        </w:rPr>
        <w:footnoteReference w:id="19"/>
      </w:r>
      <w:r w:rsidRPr="00BC719D">
        <w:rPr>
          <w:rFonts w:eastAsia="Times New Roman"/>
          <w:lang w:val="en-US" w:eastAsia="fr-FR"/>
        </w:rPr>
        <w:t xml:space="preserve"> </w:t>
      </w:r>
      <w:r w:rsidRPr="00BC719D">
        <w:rPr>
          <w:rFonts w:eastAsia="Times New Roman"/>
          <w:lang w:val="en-US"/>
        </w:rPr>
        <w:t>We are concerned about the implications of the majority finding a violation of Article 14 given the reasoning employed and the circumstances of the case.</w:t>
      </w:r>
    </w:p>
    <w:p w:rsidRPr="00BC719D" w:rsidR="00FF5B53" w:rsidP="00BC719D" w:rsidRDefault="00FF5B53">
      <w:pPr>
        <w:pStyle w:val="ECHRPara"/>
        <w:rPr>
          <w:rFonts w:eastAsia="Times New Roman"/>
          <w:lang w:val="en-US" w:eastAsia="fr-FR"/>
        </w:rPr>
      </w:pPr>
      <w:r w:rsidRPr="00BC719D">
        <w:rPr>
          <w:rFonts w:eastAsia="Times New Roman"/>
          <w:lang w:val="en-US" w:eastAsia="fr-FR"/>
        </w:rPr>
        <w:fldChar w:fldCharType="begin"/>
      </w:r>
      <w:r w:rsidRPr="00BC719D">
        <w:rPr>
          <w:rFonts w:eastAsia="Times New Roman"/>
          <w:lang w:val="en-US" w:eastAsia="fr-FR"/>
        </w:rPr>
        <w:instrText xml:space="preserve"> SEQ level0 \*arabic </w:instrText>
      </w:r>
      <w:r w:rsidRPr="00BC719D">
        <w:rPr>
          <w:rFonts w:eastAsia="Times New Roman"/>
          <w:lang w:val="en-US" w:eastAsia="fr-FR"/>
        </w:rPr>
        <w:fldChar w:fldCharType="separate"/>
      </w:r>
      <w:r w:rsidRPr="00BC719D" w:rsidR="00BC719D">
        <w:rPr>
          <w:rFonts w:eastAsia="Times New Roman"/>
          <w:noProof/>
          <w:lang w:val="en-US" w:eastAsia="fr-FR"/>
        </w:rPr>
        <w:t>19</w:t>
      </w:r>
      <w:r w:rsidRPr="00BC719D">
        <w:rPr>
          <w:rFonts w:eastAsia="Times New Roman"/>
          <w:lang w:val="en-US" w:eastAsia="fr-FR"/>
        </w:rPr>
        <w:fldChar w:fldCharType="end"/>
      </w:r>
      <w:r w:rsidRPr="00BC719D">
        <w:rPr>
          <w:rFonts w:eastAsia="Times New Roman"/>
          <w:lang w:val="en-US" w:eastAsia="fr-FR"/>
        </w:rPr>
        <w:t xml:space="preserve">.  The first, critical question in an Article 14 analysis is whether two persons or groups of persons are in an analogous or relevantly similar situation. As indicated above, it is only where this condition is fulfilled that an issue arises under Article 14. In § 121 of its judgment in </w:t>
      </w:r>
      <w:r w:rsidRPr="00BC719D">
        <w:rPr>
          <w:rFonts w:eastAsia="Times New Roman"/>
          <w:i/>
          <w:lang w:val="en-US" w:eastAsia="fr-FR"/>
        </w:rPr>
        <w:t>Fabian v. Hungary</w:t>
      </w:r>
      <w:r w:rsidRPr="00BC719D">
        <w:rPr>
          <w:rFonts w:eastAsia="Times New Roman"/>
          <w:lang w:val="en-US" w:eastAsia="fr-FR"/>
        </w:rPr>
        <w:t>, the Grand Chamber indicated that:</w:t>
      </w:r>
    </w:p>
    <w:p w:rsidRPr="00BC719D" w:rsidR="00FF5B53" w:rsidP="00BC719D" w:rsidRDefault="00FF5B53">
      <w:pPr>
        <w:pStyle w:val="ECHRParaQuote"/>
        <w:rPr>
          <w:rFonts w:eastAsia="Times New Roman"/>
          <w:lang w:val="en-US" w:eastAsia="fr-FR"/>
        </w:rPr>
      </w:pPr>
      <w:r w:rsidRPr="00BC719D">
        <w:rPr>
          <w:rFonts w:eastAsia="Times New Roman"/>
          <w:lang w:val="en-US" w:eastAsia="fr-FR"/>
        </w:rPr>
        <w:t>“a difference in treatment may raise an issue from the point of view of the prohibition of discrimination as provided for in Article 14 of the Convention only if the persons subjected to different treatment are in a relevantly similar situation, taking into account the elements that</w:t>
      </w:r>
      <w:r w:rsidRPr="00BC719D">
        <w:rPr>
          <w:rFonts w:eastAsia="Times New Roman"/>
          <w:lang w:eastAsia="fr-FR"/>
        </w:rPr>
        <w:t xml:space="preserve"> characterise</w:t>
      </w:r>
      <w:r w:rsidRPr="00BC719D">
        <w:rPr>
          <w:rFonts w:eastAsia="Times New Roman"/>
          <w:lang w:val="en-US" w:eastAsia="fr-FR"/>
        </w:rPr>
        <w:t xml:space="preserve"> their circumstances in the particular context. The Court notes that the elements which</w:t>
      </w:r>
      <w:r w:rsidRPr="00BC719D">
        <w:rPr>
          <w:rFonts w:eastAsia="Times New Roman"/>
          <w:lang w:eastAsia="fr-FR"/>
        </w:rPr>
        <w:t xml:space="preserve"> characterise</w:t>
      </w:r>
      <w:r w:rsidRPr="00BC719D">
        <w:rPr>
          <w:rFonts w:eastAsia="Times New Roman"/>
          <w:lang w:val="en-US" w:eastAsia="fr-FR"/>
        </w:rPr>
        <w:t xml:space="preserve"> different situations, and determine their comparability, must be assessed in the light of the subject-matter and purpose of the measure which makes the distinction in question”.</w:t>
      </w:r>
    </w:p>
    <w:p w:rsidRPr="00BC719D" w:rsidR="00FF5B53" w:rsidP="00BC719D" w:rsidRDefault="00FF5B53">
      <w:pPr>
        <w:pStyle w:val="ECHRPara"/>
        <w:rPr>
          <w:rFonts w:eastAsia="Times New Roman"/>
          <w:lang w:val="en-US"/>
        </w:rPr>
      </w:pPr>
      <w:r w:rsidRPr="00BC719D">
        <w:rPr>
          <w:rFonts w:eastAsia="Times New Roman"/>
          <w:lang w:val="en-US" w:eastAsia="fr-FR"/>
        </w:rPr>
        <w:fldChar w:fldCharType="begin"/>
      </w:r>
      <w:r w:rsidRPr="00BC719D">
        <w:rPr>
          <w:rFonts w:eastAsia="Times New Roman"/>
          <w:lang w:val="en-US" w:eastAsia="fr-FR"/>
        </w:rPr>
        <w:instrText xml:space="preserve"> SEQ level0 \*arabic </w:instrText>
      </w:r>
      <w:r w:rsidRPr="00BC719D">
        <w:rPr>
          <w:rFonts w:eastAsia="Times New Roman"/>
          <w:lang w:val="en-US" w:eastAsia="fr-FR"/>
        </w:rPr>
        <w:fldChar w:fldCharType="separate"/>
      </w:r>
      <w:r w:rsidRPr="00BC719D" w:rsidR="00BC719D">
        <w:rPr>
          <w:rFonts w:eastAsia="Times New Roman"/>
          <w:noProof/>
          <w:lang w:val="en-US" w:eastAsia="fr-FR"/>
        </w:rPr>
        <w:t>20</w:t>
      </w:r>
      <w:r w:rsidRPr="00BC719D">
        <w:rPr>
          <w:rFonts w:eastAsia="Times New Roman"/>
          <w:lang w:val="en-US" w:eastAsia="fr-FR"/>
        </w:rPr>
        <w:fldChar w:fldCharType="end"/>
      </w:r>
      <w:r w:rsidRPr="00BC719D">
        <w:rPr>
          <w:rFonts w:eastAsia="Times New Roman"/>
          <w:lang w:val="en-US" w:eastAsia="fr-FR"/>
        </w:rPr>
        <w:t>.  In the present case, the majority</w:t>
      </w:r>
      <w:r w:rsidRPr="00BC719D" w:rsidR="00BC719D">
        <w:rPr>
          <w:rFonts w:eastAsia="Times New Roman"/>
          <w:lang w:val="en-US" w:eastAsia="fr-FR"/>
        </w:rPr>
        <w:t>’</w:t>
      </w:r>
      <w:r w:rsidRPr="00BC719D">
        <w:rPr>
          <w:rFonts w:eastAsia="Times New Roman"/>
          <w:lang w:val="en-US" w:eastAsia="fr-FR"/>
        </w:rPr>
        <w:t xml:space="preserve">s analysis constantly flits between the individual decision refusing leave (see paragraphs 43, 54, 87 – 88, 90 - 91) and the Latvian sentencing and prison regimes, which the applicant alleges are discriminatory at a general level (see paragraphs 41, 52, 54, 80, 85 – 87, 89 - 91). However, the broadening of the complaint and the finding of a violation </w:t>
      </w:r>
      <w:r w:rsidRPr="00BC719D">
        <w:rPr>
          <w:rFonts w:eastAsia="Times New Roman"/>
          <w:lang w:val="en-US"/>
        </w:rPr>
        <w:t>risk ruling out gender as a factor in risk assessment in the prison context, whether at a regulatory or individual assessment level, despite clear evidence that men and women present different security risks.</w:t>
      </w:r>
      <w:r w:rsidRPr="00BC719D">
        <w:rPr>
          <w:rFonts w:eastAsia="Times New Roman"/>
          <w:vertAlign w:val="superscript"/>
          <w:lang w:val="en-US"/>
        </w:rPr>
        <w:footnoteReference w:id="20"/>
      </w:r>
      <w:r w:rsidRPr="00BC719D">
        <w:rPr>
          <w:rFonts w:eastAsia="Times New Roman"/>
          <w:lang w:val="en-US"/>
        </w:rPr>
        <w:t xml:space="preserve"> In their admirable pursuit of substantive equality, the reasoning in the judgment ignores research which points to the fact that:</w:t>
      </w:r>
    </w:p>
    <w:p w:rsidRPr="00BC719D" w:rsidR="001A4BB2" w:rsidP="00BC719D" w:rsidRDefault="00FF5B53">
      <w:pPr>
        <w:pStyle w:val="ECHRPara"/>
        <w:rPr>
          <w:rFonts w:eastAsia="Times New Roman"/>
          <w:lang w:val="en-US"/>
        </w:rPr>
      </w:pPr>
      <w:r w:rsidRPr="00BC719D">
        <w:rPr>
          <w:rFonts w:eastAsia="Times New Roman"/>
          <w:lang w:val="en-US"/>
        </w:rPr>
        <w:t>“Screening processes tend to take too little account of specific issues affecting a large proportion of female prisoners [</w:t>
      </w:r>
      <w:r w:rsidRPr="00BC719D" w:rsidR="001A4BB2">
        <w:rPr>
          <w:rFonts w:eastAsia="Times New Roman"/>
          <w:lang w:val="en-US"/>
        </w:rPr>
        <w:t>...</w:t>
      </w:r>
      <w:r w:rsidRPr="00BC719D">
        <w:rPr>
          <w:rFonts w:eastAsia="Times New Roman"/>
          <w:lang w:val="en-US"/>
        </w:rPr>
        <w:t>] and of the actual security risk women present, all of which should influence their placement within the prison system. Consequently, women are routinely over-classified in terms of the requisite level of security, and insufficient programmes and services appropriate for their needs are provided”.</w:t>
      </w:r>
      <w:r w:rsidRPr="00BC719D">
        <w:rPr>
          <w:rFonts w:eastAsia="Times New Roman"/>
          <w:vertAlign w:val="superscript"/>
          <w:lang w:val="en-US"/>
        </w:rPr>
        <w:footnoteReference w:id="21"/>
      </w:r>
    </w:p>
    <w:p w:rsidRPr="00BC719D" w:rsidR="00FF5B53" w:rsidP="00BC719D" w:rsidRDefault="00FF5B53">
      <w:pPr>
        <w:pStyle w:val="ECHRPara"/>
        <w:rPr>
          <w:rFonts w:eastAsia="Times New Roman"/>
          <w:lang w:val="en-US" w:eastAsia="fr-FR"/>
        </w:rPr>
      </w:pPr>
      <w:r w:rsidRPr="00BC719D">
        <w:rPr>
          <w:rFonts w:eastAsia="Times New Roman"/>
          <w:lang w:val="en-US" w:eastAsia="fr-FR"/>
        </w:rPr>
        <w:fldChar w:fldCharType="begin"/>
      </w:r>
      <w:r w:rsidRPr="00BC719D">
        <w:rPr>
          <w:rFonts w:eastAsia="Times New Roman"/>
          <w:lang w:val="en-US" w:eastAsia="fr-FR"/>
        </w:rPr>
        <w:instrText xml:space="preserve"> SEQ level0 \*arabic </w:instrText>
      </w:r>
      <w:r w:rsidRPr="00BC719D">
        <w:rPr>
          <w:rFonts w:eastAsia="Times New Roman"/>
          <w:lang w:val="en-US" w:eastAsia="fr-FR"/>
        </w:rPr>
        <w:fldChar w:fldCharType="separate"/>
      </w:r>
      <w:r w:rsidRPr="00BC719D" w:rsidR="00BC719D">
        <w:rPr>
          <w:rFonts w:eastAsia="Times New Roman"/>
          <w:noProof/>
          <w:lang w:val="en-US" w:eastAsia="fr-FR"/>
        </w:rPr>
        <w:t>21</w:t>
      </w:r>
      <w:r w:rsidRPr="00BC719D">
        <w:rPr>
          <w:rFonts w:eastAsia="Times New Roman"/>
          <w:lang w:val="en-US" w:eastAsia="fr-FR"/>
        </w:rPr>
        <w:fldChar w:fldCharType="end"/>
      </w:r>
      <w:r w:rsidRPr="00BC719D">
        <w:rPr>
          <w:rFonts w:eastAsia="Times New Roman"/>
          <w:lang w:val="en-US" w:eastAsia="fr-FR"/>
        </w:rPr>
        <w:t>.  The majority concludes a) that the complaint relates to the manner in which the applicable prison regime affects restrictions on prisoners</w:t>
      </w:r>
      <w:r w:rsidRPr="00BC719D" w:rsidR="00BC719D">
        <w:rPr>
          <w:rFonts w:eastAsia="Times New Roman"/>
          <w:lang w:val="en-US" w:eastAsia="fr-FR"/>
        </w:rPr>
        <w:t>’</w:t>
      </w:r>
      <w:r w:rsidRPr="00BC719D">
        <w:rPr>
          <w:rFonts w:eastAsia="Times New Roman"/>
          <w:lang w:val="en-US" w:eastAsia="fr-FR"/>
        </w:rPr>
        <w:t xml:space="preserve"> rights, “in particular”, with regard to the right to prison leave; b) that, as such, the complaint concerns an issue of equal relevance to all prisoners and c) that the applicant can claim to be in an analogous position to that of female prisoners convicted of the same or comparable offences (see §</w:t>
      </w:r>
      <w:r w:rsidRPr="00BC719D" w:rsidR="0077707C">
        <w:rPr>
          <w:rFonts w:eastAsia="Times New Roman"/>
          <w:lang w:val="en-US" w:eastAsia="fr-FR"/>
        </w:rPr>
        <w:t>§</w:t>
      </w:r>
      <w:r w:rsidRPr="00BC719D">
        <w:rPr>
          <w:rFonts w:eastAsia="Times New Roman"/>
          <w:lang w:val="en-US" w:eastAsia="fr-FR"/>
        </w:rPr>
        <w:t xml:space="preserve"> 80-81 of the majority judgment). Reliance is placed on the Grand Chamber judgment in </w:t>
      </w:r>
      <w:r w:rsidRPr="00BC719D">
        <w:rPr>
          <w:rFonts w:eastAsia="Times New Roman"/>
          <w:i/>
          <w:lang w:val="en-US" w:eastAsia="fr-FR"/>
        </w:rPr>
        <w:t>Khamtokhu and Aksenchik</w:t>
      </w:r>
      <w:r w:rsidRPr="00BC719D">
        <w:rPr>
          <w:rFonts w:eastAsia="Times New Roman"/>
          <w:lang w:val="en-US" w:eastAsia="fr-FR"/>
        </w:rPr>
        <w:t xml:space="preserve"> in which the complaint under Article 14 in conjunction with Article 5 related to “the sentencing of offenders who have been found guilty of particularly serious crimes punishable with imprisonment for life”. Whereas the applicants in that case were given life sentences, female offenders convicted of the same or comparable offences would not have been so sentenced due to a statutory prohibition. The Court in </w:t>
      </w:r>
      <w:r w:rsidRPr="00BC719D">
        <w:rPr>
          <w:rFonts w:eastAsia="Times New Roman"/>
          <w:i/>
          <w:lang w:val="en-US" w:eastAsia="fr-FR"/>
        </w:rPr>
        <w:t xml:space="preserve">Khamtokhu and Aksenchik </w:t>
      </w:r>
      <w:r w:rsidRPr="00BC719D">
        <w:rPr>
          <w:rFonts w:eastAsia="Times New Roman"/>
          <w:lang w:val="en-US" w:eastAsia="fr-FR"/>
        </w:rPr>
        <w:t>did not examine the question of comparability in any detail and simply held that the applicants, male prisoners, were in an analogous situation to all other offenders who had been convicted of the same or comparable offences.</w:t>
      </w:r>
      <w:r w:rsidRPr="00BC719D">
        <w:rPr>
          <w:rFonts w:eastAsia="Times New Roman"/>
          <w:vertAlign w:val="superscript"/>
          <w:lang w:val="en-US" w:eastAsia="fr-FR"/>
        </w:rPr>
        <w:footnoteReference w:id="22"/>
      </w:r>
      <w:r w:rsidRPr="00BC719D">
        <w:rPr>
          <w:rFonts w:eastAsia="Times New Roman"/>
          <w:lang w:val="en-US" w:eastAsia="fr-FR"/>
        </w:rPr>
        <w:t xml:space="preserve"> This is a seductive but not entirely convincing approach and, when followed, it requires the Court to ensure that the next two stages of the discrimination assessment – justification and proportionality – are done with great</w:t>
      </w:r>
      <w:r w:rsidRPr="00BC719D">
        <w:rPr>
          <w:rFonts w:eastAsia="Times New Roman"/>
          <w:lang w:eastAsia="fr-FR"/>
        </w:rPr>
        <w:t xml:space="preserve"> rigour</w:t>
      </w:r>
      <w:r w:rsidRPr="00BC719D">
        <w:rPr>
          <w:rFonts w:eastAsia="Times New Roman"/>
          <w:lang w:val="en-US" w:eastAsia="fr-FR"/>
        </w:rPr>
        <w:t>.</w:t>
      </w:r>
    </w:p>
    <w:p w:rsidRPr="00BC719D" w:rsidR="00FF5B53" w:rsidP="00BC719D" w:rsidRDefault="00FF5B53">
      <w:pPr>
        <w:pStyle w:val="ECHRPara"/>
        <w:rPr>
          <w:rFonts w:eastAsia="Times New Roman"/>
          <w:lang w:val="en-US" w:eastAsia="fr-FR"/>
        </w:rPr>
      </w:pPr>
      <w:r w:rsidRPr="00BC719D">
        <w:rPr>
          <w:rFonts w:eastAsia="Times New Roman"/>
          <w:lang w:val="en-US" w:eastAsia="fr-FR"/>
        </w:rPr>
        <w:fldChar w:fldCharType="begin"/>
      </w:r>
      <w:r w:rsidRPr="00BC719D">
        <w:rPr>
          <w:rFonts w:eastAsia="Times New Roman"/>
          <w:lang w:val="en-US" w:eastAsia="fr-FR"/>
        </w:rPr>
        <w:instrText xml:space="preserve"> SEQ level0 \*arabic </w:instrText>
      </w:r>
      <w:r w:rsidRPr="00BC719D">
        <w:rPr>
          <w:rFonts w:eastAsia="Times New Roman"/>
          <w:lang w:val="en-US" w:eastAsia="fr-FR"/>
        </w:rPr>
        <w:fldChar w:fldCharType="separate"/>
      </w:r>
      <w:r w:rsidRPr="00BC719D" w:rsidR="00BC719D">
        <w:rPr>
          <w:rFonts w:eastAsia="Times New Roman"/>
          <w:noProof/>
          <w:lang w:val="en-US" w:eastAsia="fr-FR"/>
        </w:rPr>
        <w:t>22</w:t>
      </w:r>
      <w:r w:rsidRPr="00BC719D">
        <w:rPr>
          <w:rFonts w:eastAsia="Times New Roman"/>
          <w:lang w:val="en-US" w:eastAsia="fr-FR"/>
        </w:rPr>
        <w:fldChar w:fldCharType="end"/>
      </w:r>
      <w:r w:rsidRPr="00BC719D">
        <w:rPr>
          <w:rFonts w:eastAsia="Times New Roman"/>
          <w:lang w:val="en-US" w:eastAsia="fr-FR"/>
        </w:rPr>
        <w:t xml:space="preserve">.  On the subject of justification and proportionality, the majority in the present case accepts that States enjoy a wide margin of appreciation in relation to questions of prisoners and penal policy and appears to accept that certain differences in the prison regimes applicable to male and female prisoners are acceptable and may be necessary in order for substantive gender equality to be ensured (see §§ 83 and 85 of the majority judgment). However, the refusal of leave to male prisoners in closed prisons generally and to the applicant in particular </w:t>
      </w:r>
      <w:r w:rsidRPr="00BC719D" w:rsidR="00AC7D0F">
        <w:rPr>
          <w:rFonts w:eastAsia="Times New Roman"/>
          <w:lang w:val="en-US" w:eastAsia="fr-FR"/>
        </w:rPr>
        <w:t>is</w:t>
      </w:r>
      <w:r w:rsidRPr="00BC719D">
        <w:rPr>
          <w:rFonts w:eastAsia="Times New Roman"/>
          <w:lang w:val="en-US" w:eastAsia="fr-FR"/>
        </w:rPr>
        <w:t xml:space="preserve"> considered disproportionate because it was determined by the prison regime in which he had been placed and by no other consideration. While the respondent government pointed to differences between male and female prisoners – with the latter generally convicted of less serious and violent crimes, proven to be less violent in prison and posing lower security risks – the majority both</w:t>
      </w:r>
      <w:r w:rsidRPr="00BC719D">
        <w:rPr>
          <w:rFonts w:eastAsia="Times New Roman"/>
          <w:lang w:eastAsia="fr-FR"/>
        </w:rPr>
        <w:t xml:space="preserve"> criticise</w:t>
      </w:r>
      <w:r w:rsidRPr="00BC719D" w:rsidR="00AC7D0F">
        <w:rPr>
          <w:rFonts w:eastAsia="Times New Roman"/>
          <w:lang w:eastAsia="fr-FR"/>
        </w:rPr>
        <w:t>s</w:t>
      </w:r>
      <w:r w:rsidRPr="00BC719D">
        <w:rPr>
          <w:rFonts w:eastAsia="Times New Roman"/>
          <w:lang w:val="en-US" w:eastAsia="fr-FR"/>
        </w:rPr>
        <w:t xml:space="preserve"> the absence of data supporting these arguments and indicate</w:t>
      </w:r>
      <w:r w:rsidRPr="00BC719D" w:rsidR="00AC7D0F">
        <w:rPr>
          <w:rFonts w:eastAsia="Times New Roman"/>
          <w:lang w:val="en-US" w:eastAsia="fr-FR"/>
        </w:rPr>
        <w:t>s</w:t>
      </w:r>
      <w:r w:rsidRPr="00BC719D">
        <w:rPr>
          <w:rFonts w:eastAsia="Times New Roman"/>
          <w:lang w:val="en-US" w:eastAsia="fr-FR"/>
        </w:rPr>
        <w:t xml:space="preserve"> that data would not in any event have sufficed as such a</w:t>
      </w:r>
      <w:r w:rsidRPr="00BC719D">
        <w:rPr>
          <w:rFonts w:eastAsia="Times New Roman"/>
          <w:lang w:eastAsia="fr-FR"/>
        </w:rPr>
        <w:t xml:space="preserve"> generalised</w:t>
      </w:r>
      <w:r w:rsidRPr="00BC719D">
        <w:rPr>
          <w:rFonts w:eastAsia="Times New Roman"/>
          <w:lang w:val="en-US" w:eastAsia="fr-FR"/>
        </w:rPr>
        <w:t xml:space="preserve"> approach would conflict with the need for an individual assessment</w:t>
      </w:r>
      <w:r w:rsidRPr="00BC719D" w:rsidR="00C67BC3">
        <w:rPr>
          <w:rFonts w:eastAsia="Times New Roman"/>
          <w:lang w:val="en-US" w:eastAsia="fr-FR"/>
        </w:rPr>
        <w:t xml:space="preserve"> (see §§ 89–</w:t>
      </w:r>
      <w:r w:rsidRPr="00BC719D">
        <w:rPr>
          <w:rFonts w:eastAsia="Times New Roman"/>
          <w:lang w:val="en-US" w:eastAsia="fr-FR"/>
        </w:rPr>
        <w:t>90 of the majority judgment).</w:t>
      </w:r>
    </w:p>
    <w:p w:rsidRPr="00BC719D" w:rsidR="00FF5B53" w:rsidP="00BC719D" w:rsidRDefault="00FF5B53">
      <w:pPr>
        <w:pStyle w:val="ECHRPara"/>
        <w:rPr>
          <w:rFonts w:eastAsia="Times New Roman"/>
          <w:lang w:val="en-US" w:eastAsia="fr-FR"/>
        </w:rPr>
      </w:pPr>
      <w:r w:rsidRPr="00BC719D">
        <w:rPr>
          <w:rFonts w:eastAsia="Times New Roman"/>
          <w:lang w:val="en-US" w:eastAsia="fr-FR"/>
        </w:rPr>
        <w:fldChar w:fldCharType="begin"/>
      </w:r>
      <w:r w:rsidRPr="00BC719D">
        <w:rPr>
          <w:rFonts w:eastAsia="Times New Roman"/>
          <w:lang w:val="en-US" w:eastAsia="fr-FR"/>
        </w:rPr>
        <w:instrText xml:space="preserve"> SEQ level0 \*arabic </w:instrText>
      </w:r>
      <w:r w:rsidRPr="00BC719D">
        <w:rPr>
          <w:rFonts w:eastAsia="Times New Roman"/>
          <w:lang w:val="en-US" w:eastAsia="fr-FR"/>
        </w:rPr>
        <w:fldChar w:fldCharType="separate"/>
      </w:r>
      <w:r w:rsidRPr="00BC719D" w:rsidR="00BC719D">
        <w:rPr>
          <w:rFonts w:eastAsia="Times New Roman"/>
          <w:noProof/>
          <w:lang w:val="en-US" w:eastAsia="fr-FR"/>
        </w:rPr>
        <w:t>23</w:t>
      </w:r>
      <w:r w:rsidRPr="00BC719D">
        <w:rPr>
          <w:rFonts w:eastAsia="Times New Roman"/>
          <w:lang w:val="en-US" w:eastAsia="fr-FR"/>
        </w:rPr>
        <w:fldChar w:fldCharType="end"/>
      </w:r>
      <w:r w:rsidRPr="00BC719D">
        <w:rPr>
          <w:rFonts w:eastAsia="Times New Roman"/>
          <w:lang w:val="en-US" w:eastAsia="fr-FR"/>
        </w:rPr>
        <w:t>.  As indicated previously, as a result of the flawed exhaustion of domestic remedies, the majority switches between, on the one hand, the only and specific complaint in relation to which the applicant could be said to have exhausted domestic remedies – the complaint that he was not permitted to attend the funeral on discriminatory grounds – and, on the other, the absence of an</w:t>
      </w:r>
      <w:r w:rsidRPr="00BC719D">
        <w:rPr>
          <w:rFonts w:eastAsia="Times New Roman"/>
          <w:lang w:eastAsia="fr-FR"/>
        </w:rPr>
        <w:t xml:space="preserve"> individualised</w:t>
      </w:r>
      <w:r w:rsidRPr="00BC719D">
        <w:rPr>
          <w:rFonts w:eastAsia="Times New Roman"/>
          <w:lang w:val="en-US" w:eastAsia="fr-FR"/>
        </w:rPr>
        <w:t xml:space="preserve"> assessment of his request for prison leave and the much broader question of the justification and proportionality of a general prison regime which differentiates between male and female prisoners. This becomes particularly clear in § 90 of the majority judgment, where the analysis strays well beyond the question of prison leave to the CPT</w:t>
      </w:r>
      <w:r w:rsidRPr="00BC719D" w:rsidR="00BC719D">
        <w:rPr>
          <w:rFonts w:eastAsia="Times New Roman"/>
          <w:lang w:val="en-US" w:eastAsia="fr-FR"/>
        </w:rPr>
        <w:t>’</w:t>
      </w:r>
      <w:r w:rsidRPr="00BC719D">
        <w:rPr>
          <w:rFonts w:eastAsia="Times New Roman"/>
          <w:lang w:val="en-US" w:eastAsia="fr-FR"/>
        </w:rPr>
        <w:t>s criticism of the Latvian progressive sentence execution regime. However, the assessment which the Court must undertake in relation to an individual decision and a general legislative choice is qualitatively different.</w:t>
      </w:r>
    </w:p>
    <w:p w:rsidRPr="00BC719D" w:rsidR="00FF5B53" w:rsidP="00BC719D" w:rsidRDefault="00FF5B53">
      <w:pPr>
        <w:pStyle w:val="ECHRPara"/>
        <w:rPr>
          <w:rFonts w:eastAsia="Times New Roman"/>
          <w:lang w:val="en-US" w:eastAsia="fr-FR"/>
        </w:rPr>
      </w:pPr>
      <w:r w:rsidRPr="00BC719D">
        <w:rPr>
          <w:rFonts w:eastAsia="Times New Roman"/>
          <w:lang w:val="en-US" w:eastAsia="fr-FR"/>
        </w:rPr>
        <w:fldChar w:fldCharType="begin"/>
      </w:r>
      <w:r w:rsidRPr="00BC719D">
        <w:rPr>
          <w:rFonts w:eastAsia="Times New Roman"/>
          <w:lang w:val="en-US" w:eastAsia="fr-FR"/>
        </w:rPr>
        <w:instrText xml:space="preserve"> SEQ level0 \*arabic </w:instrText>
      </w:r>
      <w:r w:rsidRPr="00BC719D">
        <w:rPr>
          <w:rFonts w:eastAsia="Times New Roman"/>
          <w:lang w:val="en-US" w:eastAsia="fr-FR"/>
        </w:rPr>
        <w:fldChar w:fldCharType="separate"/>
      </w:r>
      <w:r w:rsidRPr="00BC719D" w:rsidR="00BC719D">
        <w:rPr>
          <w:rFonts w:eastAsia="Times New Roman"/>
          <w:noProof/>
          <w:lang w:val="en-US" w:eastAsia="fr-FR"/>
        </w:rPr>
        <w:t>24</w:t>
      </w:r>
      <w:r w:rsidRPr="00BC719D">
        <w:rPr>
          <w:rFonts w:eastAsia="Times New Roman"/>
          <w:lang w:val="en-US" w:eastAsia="fr-FR"/>
        </w:rPr>
        <w:fldChar w:fldCharType="end"/>
      </w:r>
      <w:r w:rsidRPr="00BC719D">
        <w:rPr>
          <w:rFonts w:eastAsia="Times New Roman"/>
          <w:lang w:val="en-US" w:eastAsia="fr-FR"/>
        </w:rPr>
        <w:t>.  In order to determine the proportionality of a general measure, the Court will primarily assess the legislative choices underlying it.</w:t>
      </w:r>
      <w:r w:rsidRPr="00BC719D">
        <w:rPr>
          <w:rFonts w:eastAsia="Times New Roman"/>
          <w:vertAlign w:val="superscript"/>
          <w:lang w:val="en-US" w:eastAsia="fr-FR"/>
        </w:rPr>
        <w:footnoteReference w:id="23"/>
      </w:r>
      <w:r w:rsidRPr="00BC719D">
        <w:rPr>
          <w:rFonts w:eastAsia="Times New Roman"/>
          <w:lang w:val="en-US"/>
        </w:rPr>
        <w:t xml:space="preserve"> Had the legislature when adopting its general measure</w:t>
      </w:r>
      <w:r w:rsidRPr="00BC719D">
        <w:rPr>
          <w:rFonts w:eastAsia="Times New Roman"/>
          <w:lang w:val="en-US" w:eastAsia="fr-FR"/>
        </w:rPr>
        <w:t xml:space="preserve"> sought to weigh the competing interests or assess the proportionality of any restrictions placed?</w:t>
      </w:r>
      <w:r w:rsidRPr="00BC719D">
        <w:rPr>
          <w:rFonts w:eastAsia="Times New Roman"/>
          <w:vertAlign w:val="superscript"/>
          <w:lang w:val="en-US" w:eastAsia="fr-FR"/>
        </w:rPr>
        <w:footnoteReference w:id="24"/>
      </w:r>
      <w:r w:rsidRPr="00BC719D">
        <w:rPr>
          <w:rFonts w:eastAsia="Times New Roman"/>
          <w:lang w:val="en-US" w:eastAsia="fr-FR"/>
        </w:rPr>
        <w:t xml:space="preserve"> Yet the chamber did not question the respondent government in this regard and nowhere in the majority judgment did it seek to present, explain or test the legislative choices lying behind the Latvian Sentence Enforcement Code which it had decided to tackle in quite a broad manner. Attempts by the respondent government to explain and justify its differentiated prison regime, the differences between male and female prisoners and the different nature of the crimes committed by men and women are all dismissed rather cursorily. While the quality of the data presented by the respondent Government may not have been exemplary,</w:t>
      </w:r>
      <w:r w:rsidRPr="00BC719D">
        <w:rPr>
          <w:rFonts w:eastAsia="Times New Roman"/>
          <w:vertAlign w:val="superscript"/>
          <w:lang w:val="en-US" w:eastAsia="fr-FR"/>
        </w:rPr>
        <w:footnoteReference w:id="25"/>
      </w:r>
      <w:r w:rsidRPr="00BC719D">
        <w:rPr>
          <w:rFonts w:eastAsia="Times New Roman"/>
          <w:lang w:val="en-US" w:eastAsia="fr-FR"/>
        </w:rPr>
        <w:t xml:space="preserve"> it is surprising in a discrimination context to dismiss such data as being in any event insufficient.</w:t>
      </w:r>
    </w:p>
    <w:p w:rsidRPr="00BC719D" w:rsidR="00FF5B53" w:rsidP="00BC719D" w:rsidRDefault="00FF5B53">
      <w:pPr>
        <w:ind w:firstLine="284"/>
        <w:rPr>
          <w:rFonts w:ascii="Times New Roman" w:hAnsi="Times New Roman" w:eastAsia="Times New Roman" w:cs="Times New Roman"/>
          <w:lang w:val="en-US" w:eastAsia="fr-FR"/>
        </w:rPr>
      </w:pPr>
      <w:r w:rsidRPr="00BC719D">
        <w:rPr>
          <w:rFonts w:ascii="Times New Roman" w:hAnsi="Times New Roman" w:eastAsia="Times New Roman" w:cs="Times New Roman"/>
          <w:lang w:val="en-US" w:eastAsia="fr-FR"/>
        </w:rPr>
        <w:fldChar w:fldCharType="begin"/>
      </w:r>
      <w:r w:rsidRPr="00BC719D">
        <w:rPr>
          <w:rFonts w:ascii="Times New Roman" w:hAnsi="Times New Roman" w:eastAsia="Times New Roman" w:cs="Times New Roman"/>
          <w:lang w:val="en-US" w:eastAsia="fr-FR"/>
        </w:rPr>
        <w:instrText xml:space="preserve"> SEQ level0 \*arabic </w:instrText>
      </w:r>
      <w:r w:rsidRPr="00BC719D">
        <w:rPr>
          <w:rFonts w:ascii="Times New Roman" w:hAnsi="Times New Roman" w:eastAsia="Times New Roman" w:cs="Times New Roman"/>
          <w:lang w:val="en-US" w:eastAsia="fr-FR"/>
        </w:rPr>
        <w:fldChar w:fldCharType="separate"/>
      </w:r>
      <w:r w:rsidRPr="00BC719D" w:rsidR="00BC719D">
        <w:rPr>
          <w:rFonts w:ascii="Times New Roman" w:hAnsi="Times New Roman" w:eastAsia="Times New Roman" w:cs="Times New Roman"/>
          <w:noProof/>
          <w:lang w:val="en-US" w:eastAsia="fr-FR"/>
        </w:rPr>
        <w:t>25</w:t>
      </w:r>
      <w:r w:rsidRPr="00BC719D">
        <w:rPr>
          <w:rFonts w:ascii="Times New Roman" w:hAnsi="Times New Roman" w:eastAsia="Times New Roman" w:cs="Times New Roman"/>
          <w:lang w:val="en-US" w:eastAsia="fr-FR"/>
        </w:rPr>
        <w:fldChar w:fldCharType="end"/>
      </w:r>
      <w:r w:rsidRPr="00BC719D">
        <w:rPr>
          <w:rFonts w:ascii="Times New Roman" w:hAnsi="Times New Roman" w:eastAsia="Times New Roman" w:cs="Times New Roman"/>
          <w:lang w:val="en-US" w:eastAsia="fr-FR"/>
        </w:rPr>
        <w:t>.  </w:t>
      </w:r>
      <w:r w:rsidRPr="00BC719D">
        <w:rPr>
          <w:rStyle w:val="JuParaChar"/>
        </w:rPr>
        <w:t>Indeed it is difficult to read the majority judgment without questioning whether it sits easily with the acceptance in prior Article 14 cases of positive discrimination in prisons and in domestic penal policy as a possibly justified and proportionate means to accommodate the differences between male and female prisoners and their particular needs. In Khamtokhu and Aksenchik, for example, the Court pointed to the statistical data provided by the respondent government showing a considerable difference between the total number of male and female prison inmates and stated:</w:t>
      </w:r>
    </w:p>
    <w:p w:rsidRPr="00BC719D" w:rsidR="00FF5B53" w:rsidP="00BC719D" w:rsidRDefault="00FF5B53">
      <w:pPr>
        <w:pStyle w:val="ECHRParaQuote"/>
        <w:rPr>
          <w:rFonts w:eastAsia="Times New Roman"/>
          <w:lang w:val="en-US" w:eastAsia="fr-FR"/>
        </w:rPr>
      </w:pPr>
      <w:r w:rsidRPr="00BC719D">
        <w:rPr>
          <w:rFonts w:eastAsia="Times New Roman"/>
          <w:lang w:val="en-US" w:eastAsia="fr-FR"/>
        </w:rPr>
        <w:t>“it is not for the Court to reassess the evaluation made by the domestic authorities of the data in their possession or of the penological rationale which such data purports to demonstrate. In the particular circumstances of the case, the available data [</w:t>
      </w:r>
      <w:r w:rsidRPr="00BC719D" w:rsidR="001A4BB2">
        <w:rPr>
          <w:rFonts w:eastAsia="Times New Roman"/>
          <w:lang w:val="en-US" w:eastAsia="fr-FR"/>
        </w:rPr>
        <w:t>...</w:t>
      </w:r>
      <w:r w:rsidRPr="00BC719D">
        <w:rPr>
          <w:rFonts w:eastAsia="Times New Roman"/>
          <w:lang w:val="en-US" w:eastAsia="fr-FR"/>
        </w:rPr>
        <w:t>] provide(s) a sufficient basis for the Court to conclude that there exists a public interest underlying the exemption of female offenders from life imprisonment by way of a general rule”.</w:t>
      </w:r>
      <w:r w:rsidRPr="00BC719D">
        <w:rPr>
          <w:rFonts w:eastAsia="Times New Roman"/>
          <w:vertAlign w:val="superscript"/>
          <w:lang w:val="en-US" w:eastAsia="fr-FR"/>
        </w:rPr>
        <w:footnoteReference w:id="26"/>
      </w:r>
    </w:p>
    <w:p w:rsidRPr="00BC719D" w:rsidR="00FF5B53" w:rsidP="00BC719D" w:rsidRDefault="00FF5B53">
      <w:pPr>
        <w:ind w:firstLine="284"/>
        <w:rPr>
          <w:rStyle w:val="JuParaChar"/>
        </w:rPr>
      </w:pPr>
      <w:r w:rsidRPr="00BC719D">
        <w:rPr>
          <w:rFonts w:ascii="Times New Roman" w:hAnsi="Times New Roman" w:eastAsia="Times New Roman" w:cs="Times New Roman"/>
          <w:lang w:val="en-US"/>
        </w:rPr>
        <w:fldChar w:fldCharType="begin"/>
      </w:r>
      <w:r w:rsidRPr="00BC719D">
        <w:rPr>
          <w:rFonts w:ascii="Times New Roman" w:hAnsi="Times New Roman" w:eastAsia="Times New Roman" w:cs="Times New Roman"/>
          <w:lang w:val="en-US"/>
        </w:rPr>
        <w:instrText xml:space="preserve"> SEQ level0 \*arabic </w:instrText>
      </w:r>
      <w:r w:rsidRPr="00BC719D">
        <w:rPr>
          <w:rFonts w:ascii="Times New Roman" w:hAnsi="Times New Roman" w:eastAsia="Times New Roman" w:cs="Times New Roman"/>
          <w:lang w:val="en-US"/>
        </w:rPr>
        <w:fldChar w:fldCharType="separate"/>
      </w:r>
      <w:r w:rsidRPr="00BC719D" w:rsidR="00BC719D">
        <w:rPr>
          <w:rFonts w:ascii="Times New Roman" w:hAnsi="Times New Roman" w:eastAsia="Times New Roman" w:cs="Times New Roman"/>
          <w:noProof/>
          <w:lang w:val="en-US"/>
        </w:rPr>
        <w:t>26</w:t>
      </w:r>
      <w:r w:rsidRPr="00BC719D">
        <w:rPr>
          <w:rFonts w:ascii="Times New Roman" w:hAnsi="Times New Roman" w:eastAsia="Times New Roman" w:cs="Times New Roman"/>
          <w:lang w:val="en-US"/>
        </w:rPr>
        <w:fldChar w:fldCharType="end"/>
      </w:r>
      <w:r w:rsidRPr="00BC719D">
        <w:rPr>
          <w:rFonts w:ascii="Times New Roman" w:hAnsi="Times New Roman" w:eastAsia="Times New Roman" w:cs="Times New Roman"/>
          <w:lang w:val="en-US"/>
        </w:rPr>
        <w:t>.  </w:t>
      </w:r>
      <w:r w:rsidRPr="00BC719D">
        <w:rPr>
          <w:rStyle w:val="JuParaChar"/>
        </w:rPr>
        <w:t>Rule 1 of the Bangkok Rules states that in order for the principle of non-discrimination to be put into practice, account shall be taken of the distinctive needs of women prisoners in the application of those rules. Providing for such needs in order to accomplish substantial gender equality shall not be regarded as discriminatory.</w:t>
      </w:r>
      <w:r w:rsidRPr="00BC719D">
        <w:rPr>
          <w:rStyle w:val="JuParaChar"/>
          <w:vertAlign w:val="superscript"/>
        </w:rPr>
        <w:footnoteReference w:id="27"/>
      </w:r>
      <w:r w:rsidRPr="00BC719D">
        <w:rPr>
          <w:rStyle w:val="JuParaChar"/>
        </w:rPr>
        <w:t xml:space="preserve"> The reference to substantive equality in § 86 of the majority judgment is to be welcomed. However, it sits uneasily with elements of the discrimination analysis which then follow.</w:t>
      </w:r>
    </w:p>
    <w:p w:rsidRPr="00BC719D" w:rsidR="00FF5B53" w:rsidP="00BC719D" w:rsidRDefault="00FF5B53">
      <w:pPr>
        <w:ind w:firstLine="284"/>
        <w:rPr>
          <w:rFonts w:ascii="Times New Roman" w:hAnsi="Times New Roman" w:eastAsia="Times New Roman" w:cs="Times New Roman"/>
          <w:lang w:val="en-US"/>
        </w:rPr>
      </w:pPr>
      <w:r w:rsidRPr="00BC719D">
        <w:rPr>
          <w:rFonts w:ascii="Times New Roman" w:hAnsi="Times New Roman" w:eastAsia="Times New Roman" w:cs="Times New Roman"/>
          <w:lang w:val="en-US"/>
        </w:rPr>
        <w:fldChar w:fldCharType="begin"/>
      </w:r>
      <w:r w:rsidRPr="00BC719D">
        <w:rPr>
          <w:rFonts w:ascii="Times New Roman" w:hAnsi="Times New Roman" w:eastAsia="Times New Roman" w:cs="Times New Roman"/>
          <w:lang w:val="en-US"/>
        </w:rPr>
        <w:instrText xml:space="preserve"> SEQ level0 \*arabic </w:instrText>
      </w:r>
      <w:r w:rsidRPr="00BC719D">
        <w:rPr>
          <w:rFonts w:ascii="Times New Roman" w:hAnsi="Times New Roman" w:eastAsia="Times New Roman" w:cs="Times New Roman"/>
          <w:lang w:val="en-US"/>
        </w:rPr>
        <w:fldChar w:fldCharType="separate"/>
      </w:r>
      <w:r w:rsidRPr="00BC719D" w:rsidR="00BC719D">
        <w:rPr>
          <w:rFonts w:ascii="Times New Roman" w:hAnsi="Times New Roman" w:eastAsia="Times New Roman" w:cs="Times New Roman"/>
          <w:noProof/>
          <w:lang w:val="en-US"/>
        </w:rPr>
        <w:t>27</w:t>
      </w:r>
      <w:r w:rsidRPr="00BC719D">
        <w:rPr>
          <w:rFonts w:ascii="Times New Roman" w:hAnsi="Times New Roman" w:eastAsia="Times New Roman" w:cs="Times New Roman"/>
          <w:lang w:val="en-US"/>
        </w:rPr>
        <w:fldChar w:fldCharType="end"/>
      </w:r>
      <w:r w:rsidRPr="00BC719D">
        <w:rPr>
          <w:rFonts w:ascii="Times New Roman" w:hAnsi="Times New Roman" w:eastAsia="Times New Roman" w:cs="Times New Roman"/>
          <w:lang w:val="en-US"/>
        </w:rPr>
        <w:t>.  </w:t>
      </w:r>
      <w:r w:rsidRPr="00BC719D">
        <w:rPr>
          <w:rStyle w:val="JuParaChar"/>
        </w:rPr>
        <w:t>We do not mean to suggest that refusing prisoners – male or female – an individual assessment on the merits of a request for prison leave is Convention compatible. It is not. However, since the judges in the majority were not in a position to concentrate on that straightforward Article 8 question and since they did not limit themselves to the complaint which the applicant had actually exhausted, they extended their review to the Latvian Sentence Enforcement Code more generally, to differences in the treatment of male and female prisoners more generally (with the treatment of leave requests just one issue) and indeed to the progressive sentence execution system under which all prisoners are required to spend a predetermined minimum amount of time at both maximum and medium security levels. This was a mistake given that, as the majority recognises, it is not the task of this Court to examine domestic legislation in the abstract.</w:t>
      </w:r>
    </w:p>
    <w:p w:rsidRPr="00BC719D" w:rsidR="00FF5B53" w:rsidP="00BC719D" w:rsidRDefault="00FF5B53">
      <w:pPr>
        <w:keepNext/>
        <w:keepLines/>
        <w:spacing w:before="360" w:after="240"/>
        <w:ind w:left="357" w:hanging="357"/>
        <w:outlineLvl w:val="1"/>
        <w:rPr>
          <w:rFonts w:ascii="Times New Roman" w:hAnsi="Times New Roman" w:eastAsia="Times New Roman" w:cs="Times New Roman"/>
          <w:b/>
          <w:bCs/>
          <w:szCs w:val="28"/>
          <w:lang w:val="en-US"/>
        </w:rPr>
      </w:pPr>
      <w:r w:rsidRPr="00BC719D">
        <w:rPr>
          <w:rFonts w:ascii="Times New Roman" w:hAnsi="Times New Roman" w:eastAsia="Times New Roman" w:cs="Times New Roman"/>
          <w:b/>
          <w:bCs/>
          <w:szCs w:val="28"/>
          <w:lang w:val="en-US"/>
        </w:rPr>
        <w:t>Conclusions</w:t>
      </w:r>
    </w:p>
    <w:p w:rsidRPr="00BC719D" w:rsidR="001A4BB2" w:rsidP="00BC719D" w:rsidRDefault="00FF5B53">
      <w:pPr>
        <w:ind w:firstLine="284"/>
        <w:rPr>
          <w:rFonts w:ascii="Times New Roman" w:hAnsi="Times New Roman" w:eastAsia="Times New Roman" w:cs="Times New Roman"/>
          <w:lang w:val="en-US"/>
        </w:rPr>
      </w:pPr>
      <w:r w:rsidRPr="00BC719D">
        <w:rPr>
          <w:rFonts w:ascii="Times New Roman" w:hAnsi="Times New Roman" w:eastAsia="Times New Roman" w:cs="Times New Roman"/>
          <w:lang w:val="en-US"/>
        </w:rPr>
        <w:fldChar w:fldCharType="begin"/>
      </w:r>
      <w:r w:rsidRPr="00BC719D">
        <w:rPr>
          <w:rFonts w:ascii="Times New Roman" w:hAnsi="Times New Roman" w:eastAsia="Times New Roman" w:cs="Times New Roman"/>
          <w:lang w:val="en-US"/>
        </w:rPr>
        <w:instrText xml:space="preserve"> SEQ level0 \*arabic </w:instrText>
      </w:r>
      <w:r w:rsidRPr="00BC719D">
        <w:rPr>
          <w:rFonts w:ascii="Times New Roman" w:hAnsi="Times New Roman" w:eastAsia="Times New Roman" w:cs="Times New Roman"/>
          <w:lang w:val="en-US"/>
        </w:rPr>
        <w:fldChar w:fldCharType="separate"/>
      </w:r>
      <w:r w:rsidRPr="00BC719D" w:rsidR="00BC719D">
        <w:rPr>
          <w:rFonts w:ascii="Times New Roman" w:hAnsi="Times New Roman" w:eastAsia="Times New Roman" w:cs="Times New Roman"/>
          <w:noProof/>
          <w:lang w:val="en-US"/>
        </w:rPr>
        <w:t>28</w:t>
      </w:r>
      <w:r w:rsidRPr="00BC719D">
        <w:rPr>
          <w:rFonts w:ascii="Times New Roman" w:hAnsi="Times New Roman" w:eastAsia="Times New Roman" w:cs="Times New Roman"/>
          <w:lang w:val="en-US"/>
        </w:rPr>
        <w:fldChar w:fldCharType="end"/>
      </w:r>
      <w:r w:rsidRPr="00BC719D">
        <w:rPr>
          <w:rFonts w:ascii="Times New Roman" w:hAnsi="Times New Roman" w:eastAsia="Times New Roman" w:cs="Times New Roman"/>
          <w:lang w:val="en-US"/>
        </w:rPr>
        <w:t>.  </w:t>
      </w:r>
      <w:r w:rsidRPr="00BC719D">
        <w:rPr>
          <w:rStyle w:val="JuParaChar"/>
        </w:rPr>
        <w:t>Had the applicant raised a complaint before the domestic courts about the lack of individual assessment of his request to attend the funeral of his father, this Court could have focused the present case on Article 8, finding a violation and thereby ensuring that detainees in Latvian prisons would be entitled to such individualised assessments of leave requests. A targeted finding of this nature would thereafter have required a targeted adjustment of Latvian penal legislation and practice. If the Latvian prison regime and Sentence Enforcement Code are vitiated by other problems, these could and should be raised in appropriate proceedings before the domestic courts in full compliance with the principle of exhaustion.</w:t>
      </w:r>
    </w:p>
    <w:p w:rsidRPr="00BC719D" w:rsidR="00FF5B53" w:rsidP="00BC719D" w:rsidRDefault="00FF5B53">
      <w:pPr>
        <w:ind w:firstLine="284"/>
        <w:rPr>
          <w:rFonts w:ascii="Times New Roman" w:hAnsi="Times New Roman" w:eastAsia="Times New Roman" w:cs="Times New Roman"/>
          <w:lang w:val="en-US"/>
        </w:rPr>
      </w:pPr>
    </w:p>
    <w:sectPr w:rsidRPr="00BC719D" w:rsidR="00FF5B53" w:rsidSect="00F9438E">
      <w:headerReference w:type="even" r:id="rId17"/>
      <w:headerReference w:type="default" r:id="rId18"/>
      <w:footerReference w:type="even" r:id="rId19"/>
      <w:footerReference w:type="default" r:id="rId20"/>
      <w:headerReference w:type="first" r:id="rId21"/>
      <w:footerReference w:type="first" r:id="rId22"/>
      <w:footnotePr>
        <w:numRestart w:val="eachSect"/>
      </w:footnotePr>
      <w:pgSz w:w="11906" w:h="16838" w:code="9"/>
      <w:pgMar w:top="2274" w:right="2274" w:bottom="2274" w:left="2274" w:header="1701" w:footer="720"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84F060B" w16cid:durableId="1EAD17AE"/>
  <w16cid:commentId w16cid:paraId="4AA79DE0" w16cid:durableId="1EAD17AF"/>
  <w16cid:commentId w16cid:paraId="1B6077F7" w16cid:durableId="1EAD17B0"/>
  <w16cid:commentId w16cid:paraId="5EE6ED2F" w16cid:durableId="1EAD17B1"/>
  <w16cid:commentId w16cid:paraId="5C261597" w16cid:durableId="1EAD17B2"/>
  <w16cid:commentId w16cid:paraId="3C1722D0" w16cid:durableId="1EAD17B3"/>
  <w16cid:commentId w16cid:paraId="5E9F610C" w16cid:durableId="1EAD17B4"/>
  <w16cid:commentId w16cid:paraId="5CD4B7A8" w16cid:durableId="1EAD17B5"/>
  <w16cid:commentId w16cid:paraId="6482933B" w16cid:durableId="1EAD17B6"/>
  <w16cid:commentId w16cid:paraId="5C6F4CC0" w16cid:durableId="1EAD17B7"/>
  <w16cid:commentId w16cid:paraId="21BCA193" w16cid:durableId="1EAD17B8"/>
  <w16cid:commentId w16cid:paraId="5B627415" w16cid:durableId="1EAD17B9"/>
  <w16cid:commentId w16cid:paraId="33CE9835" w16cid:durableId="1EAD17BA"/>
  <w16cid:commentId w16cid:paraId="4CE63A68" w16cid:durableId="1EAD1AB0"/>
  <w16cid:commentId w16cid:paraId="79C35F4A" w16cid:durableId="1EAD1AF0"/>
  <w16cid:commentId w16cid:paraId="0867BAFE" w16cid:durableId="1EAD25BD"/>
  <w16cid:commentId w16cid:paraId="0E030B04" w16cid:durableId="1EAD250B"/>
  <w16cid:commentId w16cid:paraId="7C10B3E4" w16cid:durableId="1EAD856C"/>
  <w16cid:commentId w16cid:paraId="02E8E310" w16cid:durableId="1EAD861D"/>
  <w16cid:commentId w16cid:paraId="2AECA165" w16cid:durableId="1EAD8A17"/>
  <w16cid:commentId w16cid:paraId="5DEFBAE1" w16cid:durableId="1EAD306C"/>
  <w16cid:commentId w16cid:paraId="4F3B6D63" w16cid:durableId="1EAD7BA7"/>
  <w16cid:commentId w16cid:paraId="145D1E0A" w16cid:durableId="1EAD7EB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4D69" w:rsidRPr="00B8275B" w:rsidRDefault="00624D69" w:rsidP="00014566">
      <w:r w:rsidRPr="00B8275B">
        <w:separator/>
      </w:r>
    </w:p>
  </w:endnote>
  <w:endnote w:type="continuationSeparator" w:id="0">
    <w:p w:rsidR="00624D69" w:rsidRPr="00B8275B" w:rsidRDefault="00624D69" w:rsidP="00014566">
      <w:r w:rsidRPr="00B8275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4D69" w:rsidRPr="00150BFA" w:rsidRDefault="00624D69" w:rsidP="00933307">
    <w:pPr>
      <w:jc w:val="center"/>
    </w:pPr>
    <w:r>
      <w:rPr>
        <w:noProof/>
        <w:lang w:val="en-US" w:eastAsia="ja-JP"/>
      </w:rPr>
      <w:drawing>
        <wp:inline distT="0" distB="0" distL="0" distR="0" wp14:anchorId="14F5DE3D" wp14:editId="375B8880">
          <wp:extent cx="771525" cy="619125"/>
          <wp:effectExtent l="0" t="0" r="9525" b="9525"/>
          <wp:docPr id="33" name="Picture 3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624D69" w:rsidRDefault="00624D6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4BB7" w:rsidRDefault="004F4BB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4BB7" w:rsidRDefault="004F4BB7">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4BB7" w:rsidRPr="00150BFA" w:rsidRDefault="004F4BB7" w:rsidP="00933307">
    <w:pPr>
      <w:jc w:val="center"/>
    </w:pPr>
    <w:r>
      <w:rPr>
        <w:noProof/>
        <w:lang w:val="en-US" w:eastAsia="ja-JP"/>
      </w:rPr>
      <w:drawing>
        <wp:inline distT="0" distB="0" distL="0" distR="0" wp14:anchorId="74B0752F" wp14:editId="308C7247">
          <wp:extent cx="771525" cy="619125"/>
          <wp:effectExtent l="0" t="0" r="9525" b="9525"/>
          <wp:docPr id="2" name="Picture 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4F4BB7" w:rsidRDefault="004F4BB7">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4BB7" w:rsidRDefault="004F4BB7">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4BB7" w:rsidRDefault="004F4BB7">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4BB7" w:rsidRPr="00150BFA" w:rsidRDefault="004F4BB7" w:rsidP="00933307">
    <w:pPr>
      <w:jc w:val="center"/>
    </w:pPr>
    <w:r>
      <w:rPr>
        <w:noProof/>
        <w:lang w:val="en-US" w:eastAsia="ja-JP"/>
      </w:rPr>
      <w:drawing>
        <wp:inline distT="0" distB="0" distL="0" distR="0" wp14:anchorId="3F32AAC5" wp14:editId="15CE2EBF">
          <wp:extent cx="771525" cy="619125"/>
          <wp:effectExtent l="0" t="0" r="9525" b="9525"/>
          <wp:docPr id="4" name="Picture 4"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4F4BB7" w:rsidRDefault="004F4B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4D69" w:rsidRPr="00B8275B" w:rsidRDefault="00624D69" w:rsidP="00014566">
      <w:r w:rsidRPr="00B8275B">
        <w:separator/>
      </w:r>
    </w:p>
  </w:footnote>
  <w:footnote w:type="continuationSeparator" w:id="0">
    <w:p w:rsidR="00624D69" w:rsidRPr="00B8275B" w:rsidRDefault="00624D69" w:rsidP="00014566">
      <w:r w:rsidRPr="00B8275B">
        <w:continuationSeparator/>
      </w:r>
    </w:p>
  </w:footnote>
  <w:footnote w:id="1">
    <w:p w:rsidR="00624D69" w:rsidRPr="00DC4623" w:rsidRDefault="00624D69" w:rsidP="00FF5B53">
      <w:pPr>
        <w:pStyle w:val="FootnoteText"/>
        <w:rPr>
          <w:rFonts w:ascii="Times New Roman" w:hAnsi="Times New Roman" w:cs="Times New Roman"/>
        </w:rPr>
      </w:pPr>
      <w:r w:rsidRPr="00DC4623">
        <w:rPr>
          <w:rStyle w:val="FootnoteReference"/>
          <w:rFonts w:ascii="Times New Roman" w:hAnsi="Times New Roman" w:cs="Times New Roman"/>
        </w:rPr>
        <w:footnoteRef/>
      </w:r>
      <w:r w:rsidRPr="00DC4623">
        <w:rPr>
          <w:rFonts w:ascii="Times New Roman" w:hAnsi="Times New Roman" w:cs="Times New Roman"/>
        </w:rPr>
        <w:t xml:space="preserve"> See, for example, </w:t>
      </w:r>
      <w:r w:rsidRPr="00DC4623">
        <w:rPr>
          <w:rFonts w:ascii="Times New Roman" w:hAnsi="Times New Roman" w:cs="Times New Roman"/>
          <w:i/>
        </w:rPr>
        <w:t>Marincola and Sestito v. Italy</w:t>
      </w:r>
      <w:r w:rsidRPr="00DC4623">
        <w:rPr>
          <w:rFonts w:ascii="Times New Roman" w:hAnsi="Times New Roman" w:cs="Times New Roman"/>
        </w:rPr>
        <w:t xml:space="preserve">, no. 42662/98, 25 November 1999, unreported; </w:t>
      </w:r>
      <w:r w:rsidRPr="00DC4623">
        <w:rPr>
          <w:rFonts w:ascii="Times New Roman" w:hAnsi="Times New Roman" w:cs="Times New Roman"/>
          <w:i/>
        </w:rPr>
        <w:t>Georgiou v. Greece</w:t>
      </w:r>
      <w:r w:rsidRPr="00DC4623">
        <w:rPr>
          <w:rFonts w:ascii="Times New Roman" w:hAnsi="Times New Roman" w:cs="Times New Roman"/>
        </w:rPr>
        <w:t xml:space="preserve">, no. 45138/98, 13 January 2000, unreported, and </w:t>
      </w:r>
      <w:r w:rsidRPr="00DC4623">
        <w:rPr>
          <w:rFonts w:ascii="Times New Roman" w:hAnsi="Times New Roman" w:cs="Times New Roman"/>
          <w:i/>
        </w:rPr>
        <w:t>Sannino v. Italy</w:t>
      </w:r>
      <w:r w:rsidRPr="00DC4623">
        <w:rPr>
          <w:rFonts w:ascii="Times New Roman" w:hAnsi="Times New Roman" w:cs="Times New Roman"/>
        </w:rPr>
        <w:t xml:space="preserve"> (dec.), no. 72639/01, 3 May 2005.</w:t>
      </w:r>
    </w:p>
  </w:footnote>
  <w:footnote w:id="2">
    <w:p w:rsidR="00624D69" w:rsidRPr="00DC4623" w:rsidRDefault="00624D69" w:rsidP="00FF5B53">
      <w:pPr>
        <w:pStyle w:val="FootnoteText"/>
        <w:rPr>
          <w:rFonts w:ascii="Times New Roman" w:hAnsi="Times New Roman" w:cs="Times New Roman"/>
        </w:rPr>
      </w:pPr>
      <w:r w:rsidRPr="00DC4623">
        <w:rPr>
          <w:rStyle w:val="FootnoteReference"/>
          <w:rFonts w:ascii="Times New Roman" w:hAnsi="Times New Roman" w:cs="Times New Roman"/>
        </w:rPr>
        <w:footnoteRef/>
      </w:r>
      <w:r>
        <w:rPr>
          <w:rFonts w:ascii="Times New Roman" w:hAnsi="Times New Roman" w:cs="Times New Roman"/>
        </w:rPr>
        <w:t xml:space="preserve"> </w:t>
      </w:r>
      <w:r w:rsidRPr="00DC4623">
        <w:rPr>
          <w:rFonts w:ascii="Times New Roman" w:hAnsi="Times New Roman" w:cs="Times New Roman"/>
        </w:rPr>
        <w:t xml:space="preserve">See, for example, </w:t>
      </w:r>
      <w:r w:rsidRPr="00DC4623">
        <w:rPr>
          <w:rFonts w:ascii="Times New Roman" w:hAnsi="Times New Roman" w:cs="Times New Roman"/>
          <w:i/>
        </w:rPr>
        <w:t>Feldman v. Ukraine</w:t>
      </w:r>
      <w:r w:rsidRPr="00DC4623">
        <w:rPr>
          <w:rFonts w:ascii="Times New Roman" w:hAnsi="Times New Roman" w:cs="Times New Roman"/>
        </w:rPr>
        <w:t xml:space="preserve"> </w:t>
      </w:r>
      <w:r w:rsidRPr="00DC4623">
        <w:rPr>
          <w:rStyle w:val="s7d2086b4"/>
          <w:rFonts w:ascii="Times New Roman" w:hAnsi="Times New Roman" w:cs="Times New Roman"/>
        </w:rPr>
        <w:t>(no. 2)</w:t>
      </w:r>
      <w:r w:rsidRPr="00DC4623">
        <w:rPr>
          <w:rFonts w:ascii="Times New Roman" w:hAnsi="Times New Roman" w:cs="Times New Roman"/>
        </w:rPr>
        <w:t xml:space="preserve">, no. 42921/09, 12 January 2012, § 35; </w:t>
      </w:r>
      <w:r w:rsidRPr="00DC4623">
        <w:rPr>
          <w:rFonts w:ascii="Times New Roman" w:hAnsi="Times New Roman" w:cs="Times New Roman"/>
          <w:i/>
        </w:rPr>
        <w:t>Kanalas v. Romania</w:t>
      </w:r>
      <w:r w:rsidRPr="00DC4623">
        <w:rPr>
          <w:rFonts w:ascii="Times New Roman" w:hAnsi="Times New Roman" w:cs="Times New Roman"/>
        </w:rPr>
        <w:t>, no. 20323/14, 6 December 2016, § 66.</w:t>
      </w:r>
    </w:p>
  </w:footnote>
  <w:footnote w:id="3">
    <w:p w:rsidR="00624D69" w:rsidRPr="00DC4623" w:rsidRDefault="00624D69" w:rsidP="00FF5B53">
      <w:pPr>
        <w:pStyle w:val="FootnoteText"/>
        <w:rPr>
          <w:rFonts w:ascii="Times New Roman" w:hAnsi="Times New Roman" w:cs="Times New Roman"/>
        </w:rPr>
      </w:pPr>
      <w:r w:rsidRPr="00DC4623">
        <w:rPr>
          <w:rStyle w:val="FootnoteReference"/>
          <w:rFonts w:ascii="Times New Roman" w:hAnsi="Times New Roman" w:cs="Times New Roman"/>
        </w:rPr>
        <w:footnoteRef/>
      </w:r>
      <w:r w:rsidRPr="00DC4623">
        <w:rPr>
          <w:rFonts w:ascii="Times New Roman" w:hAnsi="Times New Roman" w:cs="Times New Roman"/>
        </w:rPr>
        <w:t xml:space="preserve"> See, </w:t>
      </w:r>
      <w:r w:rsidRPr="00DC4623">
        <w:rPr>
          <w:rFonts w:ascii="Times New Roman" w:hAnsi="Times New Roman" w:cs="Times New Roman"/>
          <w:i/>
        </w:rPr>
        <w:t>Płoski v. Poland</w:t>
      </w:r>
      <w:r w:rsidRPr="00DC4623">
        <w:rPr>
          <w:rFonts w:ascii="Times New Roman" w:hAnsi="Times New Roman" w:cs="Times New Roman"/>
        </w:rPr>
        <w:t xml:space="preserve">, no. 26761/95, 12 November 2002. </w:t>
      </w:r>
    </w:p>
  </w:footnote>
  <w:footnote w:id="4">
    <w:p w:rsidR="00624D69" w:rsidRPr="00DC4623" w:rsidRDefault="00624D69" w:rsidP="00FF5B53">
      <w:pPr>
        <w:pStyle w:val="FootnoteText"/>
        <w:rPr>
          <w:rFonts w:ascii="Times New Roman" w:hAnsi="Times New Roman" w:cs="Times New Roman"/>
        </w:rPr>
      </w:pPr>
      <w:r w:rsidRPr="00DC4623">
        <w:rPr>
          <w:rStyle w:val="FootnoteReference"/>
          <w:rFonts w:ascii="Times New Roman" w:hAnsi="Times New Roman" w:cs="Times New Roman"/>
        </w:rPr>
        <w:footnoteRef/>
      </w:r>
      <w:r w:rsidRPr="00DC4623">
        <w:rPr>
          <w:rFonts w:ascii="Times New Roman" w:hAnsi="Times New Roman" w:cs="Times New Roman"/>
        </w:rPr>
        <w:t xml:space="preserve"> The Court has held that detention, similarly to any other measure depriving a person of his or her liberty, entails inherent limitations on private and family life. Restrictions such as limitations on the number of family visits and the supervision of those visits constitute an interference with a detained person’s rights under Article 8 of the Convention but are not, of themselves, in breach of that provision (see, among other authorities, </w:t>
      </w:r>
      <w:r w:rsidRPr="00DC4623">
        <w:rPr>
          <w:rFonts w:ascii="Times New Roman" w:hAnsi="Times New Roman" w:cs="Times New Roman"/>
          <w:i/>
        </w:rPr>
        <w:t>Laduna v. Slovakia</w:t>
      </w:r>
      <w:r w:rsidRPr="00DC4623">
        <w:rPr>
          <w:rFonts w:ascii="Times New Roman" w:hAnsi="Times New Roman" w:cs="Times New Roman"/>
        </w:rPr>
        <w:t xml:space="preserve">, no. 31827/02, § 52, 13 December 2011; </w:t>
      </w:r>
      <w:r w:rsidRPr="00DC4623">
        <w:rPr>
          <w:rFonts w:ascii="Times New Roman" w:hAnsi="Times New Roman" w:cs="Times New Roman"/>
          <w:i/>
        </w:rPr>
        <w:t>Bogusław Krawczak v. Poland</w:t>
      </w:r>
      <w:r>
        <w:rPr>
          <w:rFonts w:ascii="Times New Roman" w:hAnsi="Times New Roman" w:cs="Times New Roman"/>
        </w:rPr>
        <w:t>, no. </w:t>
      </w:r>
      <w:r w:rsidRPr="00DC4623">
        <w:rPr>
          <w:rFonts w:ascii="Times New Roman" w:hAnsi="Times New Roman" w:cs="Times New Roman"/>
        </w:rPr>
        <w:t xml:space="preserve">24205/06, §§ 107-08, 31 May 2011, and </w:t>
      </w:r>
      <w:r w:rsidRPr="00DC4623">
        <w:rPr>
          <w:rFonts w:ascii="Times New Roman" w:hAnsi="Times New Roman" w:cs="Times New Roman"/>
          <w:i/>
        </w:rPr>
        <w:t>Moiseyev v. Russia</w:t>
      </w:r>
      <w:r>
        <w:rPr>
          <w:rFonts w:ascii="Times New Roman" w:hAnsi="Times New Roman" w:cs="Times New Roman"/>
        </w:rPr>
        <w:t>, no. 62936/00, §§ 207-08, 9 </w:t>
      </w:r>
      <w:r w:rsidRPr="00DC4623">
        <w:rPr>
          <w:rFonts w:ascii="Times New Roman" w:hAnsi="Times New Roman" w:cs="Times New Roman"/>
        </w:rPr>
        <w:t>October 2008).</w:t>
      </w:r>
    </w:p>
  </w:footnote>
  <w:footnote w:id="5">
    <w:p w:rsidR="00624D69" w:rsidRPr="00DC4623" w:rsidRDefault="00624D69" w:rsidP="00FF5B53">
      <w:pPr>
        <w:pStyle w:val="FootnoteText"/>
        <w:rPr>
          <w:rFonts w:ascii="Times New Roman" w:hAnsi="Times New Roman" w:cs="Times New Roman"/>
        </w:rPr>
      </w:pPr>
      <w:r w:rsidRPr="00DC4623">
        <w:rPr>
          <w:rStyle w:val="FootnoteReference"/>
          <w:rFonts w:ascii="Times New Roman" w:hAnsi="Times New Roman" w:cs="Times New Roman"/>
        </w:rPr>
        <w:footnoteRef/>
      </w:r>
      <w:r w:rsidRPr="00DC4623">
        <w:rPr>
          <w:rFonts w:ascii="Times New Roman" w:hAnsi="Times New Roman" w:cs="Times New Roman"/>
        </w:rPr>
        <w:t xml:space="preserve"> See </w:t>
      </w:r>
      <w:r w:rsidRPr="00DC4623">
        <w:rPr>
          <w:rFonts w:ascii="Times New Roman" w:hAnsi="Times New Roman" w:cs="Times New Roman"/>
          <w:i/>
        </w:rPr>
        <w:t xml:space="preserve">Khamtokhu and Aksenchik v. Russia </w:t>
      </w:r>
      <w:r w:rsidRPr="00DC4623">
        <w:rPr>
          <w:rFonts w:ascii="Times New Roman" w:hAnsi="Times New Roman" w:cs="Times New Roman"/>
        </w:rPr>
        <w:sym w:font="Symbol" w:char="F05B"/>
      </w:r>
      <w:r w:rsidRPr="00DC4623">
        <w:rPr>
          <w:rFonts w:ascii="Times New Roman" w:hAnsi="Times New Roman" w:cs="Times New Roman"/>
        </w:rPr>
        <w:t>GC</w:t>
      </w:r>
      <w:r w:rsidRPr="00DC4623">
        <w:rPr>
          <w:rFonts w:ascii="Times New Roman" w:hAnsi="Times New Roman" w:cs="Times New Roman"/>
        </w:rPr>
        <w:sym w:font="Symbol" w:char="F05D"/>
      </w:r>
      <w:r w:rsidRPr="00DC4623">
        <w:rPr>
          <w:rFonts w:ascii="Times New Roman" w:hAnsi="Times New Roman" w:cs="Times New Roman"/>
        </w:rPr>
        <w:t xml:space="preserve">, nos. 60367/08 and 961/11, § 85, 24 January 2017; see also </w:t>
      </w:r>
      <w:r w:rsidRPr="00DC4623">
        <w:rPr>
          <w:rFonts w:ascii="Times New Roman" w:hAnsi="Times New Roman" w:cs="Times New Roman"/>
          <w:i/>
        </w:rPr>
        <w:t>Clift v. the United Kingdom</w:t>
      </w:r>
      <w:r w:rsidRPr="00DC4623">
        <w:rPr>
          <w:rFonts w:ascii="Times New Roman" w:hAnsi="Times New Roman" w:cs="Times New Roman"/>
        </w:rPr>
        <w:t xml:space="preserve">, no. 7205/07, § 73, 13 July 2010, and the cases referred to therein, and </w:t>
      </w:r>
      <w:r w:rsidRPr="00DC4623">
        <w:rPr>
          <w:rFonts w:ascii="Times New Roman" w:hAnsi="Times New Roman" w:cs="Times New Roman"/>
          <w:i/>
        </w:rPr>
        <w:t>Costel Gaciu v. Romania</w:t>
      </w:r>
      <w:r w:rsidRPr="00DC4623">
        <w:rPr>
          <w:rFonts w:ascii="Times New Roman" w:hAnsi="Times New Roman" w:cs="Times New Roman"/>
        </w:rPr>
        <w:t>, no. 39633/10, § 56, 23 June 2015.</w:t>
      </w:r>
    </w:p>
  </w:footnote>
  <w:footnote w:id="6">
    <w:p w:rsidR="00624D69" w:rsidRPr="00DC4623" w:rsidRDefault="00624D69" w:rsidP="00FF5B53">
      <w:pPr>
        <w:pStyle w:val="FootnoteText"/>
        <w:rPr>
          <w:rFonts w:ascii="Times New Roman" w:hAnsi="Times New Roman" w:cs="Times New Roman"/>
        </w:rPr>
      </w:pPr>
      <w:r w:rsidRPr="00DC4623">
        <w:rPr>
          <w:rStyle w:val="FootnoteReference"/>
          <w:rFonts w:ascii="Times New Roman" w:hAnsi="Times New Roman" w:cs="Times New Roman"/>
        </w:rPr>
        <w:footnoteRef/>
      </w:r>
      <w:r>
        <w:rPr>
          <w:rFonts w:ascii="Times New Roman" w:hAnsi="Times New Roman" w:cs="Times New Roman"/>
        </w:rPr>
        <w:t xml:space="preserve"> </w:t>
      </w:r>
      <w:r w:rsidRPr="00DC4623">
        <w:rPr>
          <w:rFonts w:ascii="Times New Roman" w:hAnsi="Times New Roman" w:cs="Times New Roman"/>
          <w:i/>
        </w:rPr>
        <w:t>Płoski v. Poland</w:t>
      </w:r>
      <w:r w:rsidRPr="00DC4623">
        <w:rPr>
          <w:rFonts w:ascii="Times New Roman" w:hAnsi="Times New Roman" w:cs="Times New Roman"/>
        </w:rPr>
        <w:t xml:space="preserve">, cited above, § 36. </w:t>
      </w:r>
    </w:p>
  </w:footnote>
  <w:footnote w:id="7">
    <w:p w:rsidR="00624D69" w:rsidRPr="00DC4623" w:rsidRDefault="00624D69" w:rsidP="00FF5B53">
      <w:pPr>
        <w:pStyle w:val="FootnoteText"/>
        <w:rPr>
          <w:rFonts w:ascii="Times New Roman" w:hAnsi="Times New Roman" w:cs="Times New Roman"/>
        </w:rPr>
      </w:pPr>
      <w:r w:rsidRPr="00DC4623">
        <w:rPr>
          <w:rStyle w:val="FootnoteReference"/>
          <w:rFonts w:ascii="Times New Roman" w:hAnsi="Times New Roman" w:cs="Times New Roman"/>
        </w:rPr>
        <w:footnoteRef/>
      </w:r>
      <w:r w:rsidRPr="00DC4623">
        <w:rPr>
          <w:rFonts w:ascii="Times New Roman" w:hAnsi="Times New Roman" w:cs="Times New Roman"/>
        </w:rPr>
        <w:t xml:space="preserve"> It should be pointed out that § 71 of the majority judgment represents only partially the case-law of the Court just outlined. There it is stated that the Court has already considered “complaints about refusals to allow a detainee’s request […] to attend a relative[’]s funeral […] and has invariably found such refusals to constitute an interference in the right to family life guaranteed under Article 8”. On the one hand, it is the absence of an individual assessment which has often been problematic, a prisoner not having an unconditional right to leave. On the other, while the Court has recognised the existence of an interference, it has also found, in the specific circumstances of several cases, that it was a justified and proportionate one, reference being had to the factors just listed.</w:t>
      </w:r>
    </w:p>
  </w:footnote>
  <w:footnote w:id="8">
    <w:p w:rsidR="00624D69" w:rsidRPr="00DC4623" w:rsidRDefault="00624D69" w:rsidP="00FF5B53">
      <w:pPr>
        <w:pStyle w:val="FootnoteText"/>
        <w:rPr>
          <w:rFonts w:ascii="Times New Roman" w:hAnsi="Times New Roman" w:cs="Times New Roman"/>
        </w:rPr>
      </w:pPr>
      <w:r w:rsidRPr="00DC4623">
        <w:rPr>
          <w:rStyle w:val="FootnoteReference"/>
          <w:rFonts w:ascii="Times New Roman" w:hAnsi="Times New Roman" w:cs="Times New Roman"/>
        </w:rPr>
        <w:footnoteRef/>
      </w:r>
      <w:r w:rsidRPr="00DC4623">
        <w:rPr>
          <w:rFonts w:ascii="Times New Roman" w:hAnsi="Times New Roman" w:cs="Times New Roman"/>
        </w:rPr>
        <w:t xml:space="preserve"> </w:t>
      </w:r>
      <w:r>
        <w:rPr>
          <w:rFonts w:ascii="Times New Roman" w:hAnsi="Times New Roman" w:cs="Times New Roman"/>
        </w:rPr>
        <w:t>The terms used in the Code as regards the crimes committed by men and women differ but we have had to accept as given, on the basis of the information available, that the same or similar crimes are being referred to</w:t>
      </w:r>
      <w:r w:rsidRPr="00DC4623">
        <w:rPr>
          <w:rFonts w:ascii="Times New Roman" w:hAnsi="Times New Roman" w:cs="Times New Roman"/>
        </w:rPr>
        <w:t>.</w:t>
      </w:r>
    </w:p>
  </w:footnote>
  <w:footnote w:id="9">
    <w:p w:rsidR="00624D69" w:rsidRPr="00DC4623" w:rsidRDefault="00624D69" w:rsidP="00FF5B53">
      <w:pPr>
        <w:pStyle w:val="FootnoteText"/>
        <w:rPr>
          <w:rFonts w:ascii="Times New Roman" w:hAnsi="Times New Roman" w:cs="Times New Roman"/>
        </w:rPr>
      </w:pPr>
      <w:r w:rsidRPr="00DC4623">
        <w:rPr>
          <w:rStyle w:val="FootnoteReference"/>
          <w:rFonts w:ascii="Times New Roman" w:hAnsi="Times New Roman" w:cs="Times New Roman"/>
        </w:rPr>
        <w:footnoteRef/>
      </w:r>
      <w:r w:rsidRPr="00DC4623">
        <w:rPr>
          <w:rFonts w:ascii="Times New Roman" w:hAnsi="Times New Roman" w:cs="Times New Roman"/>
        </w:rPr>
        <w:t xml:space="preserve"> Section 50</w:t>
      </w:r>
      <w:r w:rsidRPr="00DC4623">
        <w:rPr>
          <w:rFonts w:ascii="Times New Roman" w:hAnsi="Times New Roman" w:cs="Times New Roman"/>
          <w:vertAlign w:val="superscript"/>
        </w:rPr>
        <w:t>4</w:t>
      </w:r>
      <w:r>
        <w:rPr>
          <w:rFonts w:ascii="Times New Roman" w:hAnsi="Times New Roman" w:cs="Times New Roman"/>
        </w:rPr>
        <w:t xml:space="preserve"> (1) of the Sentence</w:t>
      </w:r>
      <w:r w:rsidRPr="00DC4623">
        <w:rPr>
          <w:rFonts w:ascii="Times New Roman" w:hAnsi="Times New Roman" w:cs="Times New Roman"/>
        </w:rPr>
        <w:t xml:space="preserve"> Enforcement Code.</w:t>
      </w:r>
    </w:p>
  </w:footnote>
  <w:footnote w:id="10">
    <w:p w:rsidR="00624D69" w:rsidRPr="00DC4623" w:rsidRDefault="00624D69" w:rsidP="00FF5B53">
      <w:pPr>
        <w:pStyle w:val="FootnoteText"/>
        <w:rPr>
          <w:rFonts w:ascii="Times New Roman" w:hAnsi="Times New Roman" w:cs="Times New Roman"/>
        </w:rPr>
      </w:pPr>
      <w:r w:rsidRPr="00DC4623">
        <w:rPr>
          <w:rStyle w:val="FootnoteReference"/>
          <w:rFonts w:ascii="Times New Roman" w:hAnsi="Times New Roman" w:cs="Times New Roman"/>
        </w:rPr>
        <w:footnoteRef/>
      </w:r>
      <w:r w:rsidRPr="00DC4623">
        <w:rPr>
          <w:rFonts w:ascii="Times New Roman" w:hAnsi="Times New Roman" w:cs="Times New Roman"/>
        </w:rPr>
        <w:t xml:space="preserve"> Ibid, Section 50</w:t>
      </w:r>
      <w:r w:rsidRPr="00DC4623">
        <w:rPr>
          <w:rFonts w:ascii="Times New Roman" w:hAnsi="Times New Roman" w:cs="Times New Roman"/>
          <w:vertAlign w:val="superscript"/>
        </w:rPr>
        <w:t>5</w:t>
      </w:r>
      <w:r w:rsidRPr="00DC4623">
        <w:rPr>
          <w:rFonts w:ascii="Times New Roman" w:hAnsi="Times New Roman" w:cs="Times New Roman"/>
        </w:rPr>
        <w:t xml:space="preserve"> (1). </w:t>
      </w:r>
      <w:r w:rsidRPr="00DC4623">
        <w:rPr>
          <w:rFonts w:ascii="Times New Roman" w:hAnsi="Times New Roman" w:cs="Times New Roman"/>
          <w:vertAlign w:val="superscript"/>
        </w:rPr>
        <w:t xml:space="preserve"> </w:t>
      </w:r>
    </w:p>
  </w:footnote>
  <w:footnote w:id="11">
    <w:p w:rsidR="00624D69" w:rsidRPr="00DC4623" w:rsidRDefault="00624D69" w:rsidP="00FF5B53">
      <w:pPr>
        <w:pStyle w:val="FootnoteText"/>
        <w:rPr>
          <w:rFonts w:ascii="Times New Roman" w:hAnsi="Times New Roman" w:cs="Times New Roman"/>
        </w:rPr>
      </w:pPr>
      <w:r w:rsidRPr="00DC4623">
        <w:rPr>
          <w:rStyle w:val="FootnoteReference"/>
          <w:rFonts w:ascii="Times New Roman" w:hAnsi="Times New Roman" w:cs="Times New Roman"/>
        </w:rPr>
        <w:footnoteRef/>
      </w:r>
      <w:r w:rsidRPr="00DC4623">
        <w:rPr>
          <w:rFonts w:ascii="Times New Roman" w:hAnsi="Times New Roman" w:cs="Times New Roman"/>
        </w:rPr>
        <w:t xml:space="preserve"> See Article 49</w:t>
      </w:r>
      <w:r w:rsidRPr="00DC4623">
        <w:rPr>
          <w:rFonts w:ascii="Times New Roman" w:hAnsi="Times New Roman" w:cs="Times New Roman"/>
          <w:vertAlign w:val="superscript"/>
        </w:rPr>
        <w:t>2</w:t>
      </w:r>
      <w:r w:rsidRPr="00DC4623">
        <w:rPr>
          <w:rFonts w:ascii="Times New Roman" w:hAnsi="Times New Roman" w:cs="Times New Roman"/>
        </w:rPr>
        <w:t xml:space="preserve"> of the Sentence Enforcement Code and, for an example, </w:t>
      </w:r>
      <w:r w:rsidRPr="00DC4623">
        <w:rPr>
          <w:rFonts w:ascii="Times New Roman" w:hAnsi="Times New Roman" w:cs="Times New Roman"/>
          <w:i/>
        </w:rPr>
        <w:t>Bannikov v. Latvia</w:t>
      </w:r>
      <w:r w:rsidRPr="00DC4623">
        <w:rPr>
          <w:rFonts w:ascii="Times New Roman" w:hAnsi="Times New Roman" w:cs="Times New Roman"/>
        </w:rPr>
        <w:t xml:space="preserve">, no. 19279/03, 11 June 2013. </w:t>
      </w:r>
    </w:p>
  </w:footnote>
  <w:footnote w:id="12">
    <w:p w:rsidR="00624D69" w:rsidRPr="00DC4623" w:rsidRDefault="00624D69" w:rsidP="00FF5B53">
      <w:pPr>
        <w:pStyle w:val="FootnoteText"/>
        <w:rPr>
          <w:rFonts w:ascii="Times New Roman" w:hAnsi="Times New Roman" w:cs="Times New Roman"/>
        </w:rPr>
      </w:pPr>
      <w:r w:rsidRPr="00DC4623">
        <w:rPr>
          <w:rStyle w:val="FootnoteReference"/>
          <w:rFonts w:ascii="Times New Roman" w:hAnsi="Times New Roman" w:cs="Times New Roman"/>
        </w:rPr>
        <w:footnoteRef/>
      </w:r>
      <w:r w:rsidRPr="00DC4623">
        <w:rPr>
          <w:rFonts w:ascii="Times New Roman" w:hAnsi="Times New Roman" w:cs="Times New Roman"/>
        </w:rPr>
        <w:t xml:space="preserve"> § 41 of the majority judgment formulates the complaint as follows: “The applicant complained about difference in treatment between men and women convicted of the same crimes in relation to the respective applicable prison regimes, </w:t>
      </w:r>
      <w:r w:rsidRPr="00DC4623">
        <w:rPr>
          <w:rFonts w:ascii="Times New Roman" w:hAnsi="Times New Roman" w:cs="Times New Roman"/>
          <w:i/>
        </w:rPr>
        <w:t>in particular</w:t>
      </w:r>
      <w:r w:rsidRPr="00DC4623">
        <w:rPr>
          <w:rFonts w:ascii="Times New Roman" w:hAnsi="Times New Roman" w:cs="Times New Roman"/>
        </w:rPr>
        <w:t>, with the right to regard to prison leave, which led to a refusal to attend his father’s funeral” (emphasis added); a formula repeated in § 80. See also the generality of the applicant’s complaint as it appears in § 56 of the majority judgment, with, once again, the strategic addition of “most notably”.</w:t>
      </w:r>
    </w:p>
  </w:footnote>
  <w:footnote w:id="13">
    <w:p w:rsidR="00624D69" w:rsidRPr="00DC4623" w:rsidRDefault="00624D69" w:rsidP="00FF5B53">
      <w:pPr>
        <w:pStyle w:val="FootnoteText"/>
        <w:rPr>
          <w:rFonts w:ascii="Times New Roman" w:hAnsi="Times New Roman" w:cs="Times New Roman"/>
        </w:rPr>
      </w:pPr>
      <w:r w:rsidRPr="00DC4623">
        <w:rPr>
          <w:rStyle w:val="FootnoteReference"/>
          <w:rFonts w:ascii="Times New Roman" w:hAnsi="Times New Roman" w:cs="Times New Roman"/>
        </w:rPr>
        <w:footnoteRef/>
      </w:r>
      <w:r w:rsidRPr="00DC4623">
        <w:rPr>
          <w:rFonts w:ascii="Times New Roman" w:hAnsi="Times New Roman" w:cs="Times New Roman"/>
        </w:rPr>
        <w:t xml:space="preserve"> See § 19 of the majority judgment (emphasis added).</w:t>
      </w:r>
    </w:p>
  </w:footnote>
  <w:footnote w:id="14">
    <w:p w:rsidR="00624D69" w:rsidRPr="00DC4623" w:rsidRDefault="00624D69" w:rsidP="00FF5B53">
      <w:pPr>
        <w:pStyle w:val="FootnoteText"/>
        <w:rPr>
          <w:rFonts w:ascii="Times New Roman" w:hAnsi="Times New Roman" w:cs="Times New Roman"/>
        </w:rPr>
      </w:pPr>
      <w:r w:rsidRPr="00DC4623">
        <w:rPr>
          <w:rStyle w:val="FootnoteReference"/>
          <w:rFonts w:ascii="Times New Roman" w:hAnsi="Times New Roman" w:cs="Times New Roman"/>
        </w:rPr>
        <w:footnoteRef/>
      </w:r>
      <w:r w:rsidRPr="00DC4623">
        <w:rPr>
          <w:rFonts w:ascii="Times New Roman" w:hAnsi="Times New Roman" w:cs="Times New Roman"/>
        </w:rPr>
        <w:t xml:space="preserve"> See § 52 of the majority judgment. </w:t>
      </w:r>
    </w:p>
  </w:footnote>
  <w:footnote w:id="15">
    <w:p w:rsidR="00624D69" w:rsidRPr="00DC4623" w:rsidRDefault="00624D69" w:rsidP="00FF5B53">
      <w:pPr>
        <w:pStyle w:val="FootnoteText"/>
        <w:rPr>
          <w:rFonts w:ascii="Times New Roman" w:hAnsi="Times New Roman" w:cs="Times New Roman"/>
        </w:rPr>
      </w:pPr>
      <w:r w:rsidRPr="00DC4623">
        <w:rPr>
          <w:rStyle w:val="FootnoteReference"/>
          <w:rFonts w:ascii="Times New Roman" w:hAnsi="Times New Roman" w:cs="Times New Roman"/>
        </w:rPr>
        <w:footnoteRef/>
      </w:r>
      <w:r w:rsidRPr="00DC4623">
        <w:rPr>
          <w:rFonts w:ascii="Times New Roman" w:hAnsi="Times New Roman" w:cs="Times New Roman"/>
        </w:rPr>
        <w:t xml:space="preserve"> See, for example, </w:t>
      </w:r>
      <w:r w:rsidRPr="00DC4623">
        <w:rPr>
          <w:rFonts w:ascii="Times New Roman" w:hAnsi="Times New Roman" w:cs="Times New Roman"/>
          <w:i/>
        </w:rPr>
        <w:t xml:space="preserve">Gubenko v. Latvia </w:t>
      </w:r>
      <w:r w:rsidRPr="00DC4623">
        <w:rPr>
          <w:rFonts w:ascii="Times New Roman" w:hAnsi="Times New Roman" w:cs="Times New Roman"/>
        </w:rPr>
        <w:t xml:space="preserve">(dec.), no. 6674/06, §§ 9 and 25, 3 November 2015, and </w:t>
      </w:r>
      <w:r w:rsidRPr="00DC4623">
        <w:rPr>
          <w:rFonts w:ascii="Times New Roman" w:hAnsi="Times New Roman" w:cs="Times New Roman"/>
          <w:i/>
        </w:rPr>
        <w:t>Svārpstons and Others v. Latvia</w:t>
      </w:r>
      <w:r w:rsidRPr="00DC4623">
        <w:rPr>
          <w:rFonts w:ascii="Times New Roman" w:hAnsi="Times New Roman" w:cs="Times New Roman"/>
        </w:rPr>
        <w:t xml:space="preserve"> (dec.), no. 14976/05, §§ 26 and 51, 6 December 2016.</w:t>
      </w:r>
    </w:p>
  </w:footnote>
  <w:footnote w:id="16">
    <w:p w:rsidR="00624D69" w:rsidRPr="00DC4623" w:rsidRDefault="00624D69" w:rsidP="00FF5B53">
      <w:pPr>
        <w:pStyle w:val="FootnoteText"/>
        <w:rPr>
          <w:rFonts w:ascii="Times New Roman" w:hAnsi="Times New Roman" w:cs="Times New Roman"/>
        </w:rPr>
      </w:pPr>
      <w:r w:rsidRPr="00DC4623">
        <w:rPr>
          <w:rStyle w:val="FootnoteReference"/>
          <w:rFonts w:ascii="Times New Roman" w:hAnsi="Times New Roman" w:cs="Times New Roman"/>
        </w:rPr>
        <w:footnoteRef/>
      </w:r>
      <w:r w:rsidRPr="00DC4623">
        <w:rPr>
          <w:rFonts w:ascii="Times New Roman" w:hAnsi="Times New Roman" w:cs="Times New Roman"/>
        </w:rPr>
        <w:t xml:space="preserve"> See </w:t>
      </w:r>
      <w:r w:rsidRPr="00DC4623">
        <w:rPr>
          <w:rFonts w:ascii="Times New Roman" w:hAnsi="Times New Roman" w:cs="Times New Roman"/>
          <w:i/>
        </w:rPr>
        <w:t>“the Belgian linguistic case” (merits)</w:t>
      </w:r>
      <w:r w:rsidRPr="00DC4623">
        <w:rPr>
          <w:rFonts w:ascii="Times New Roman" w:hAnsi="Times New Roman" w:cs="Times New Roman"/>
        </w:rPr>
        <w:t xml:space="preserve">, judgment of 23 July 1968, Series </w:t>
      </w:r>
      <w:r>
        <w:rPr>
          <w:rFonts w:ascii="Times New Roman" w:hAnsi="Times New Roman" w:cs="Times New Roman"/>
        </w:rPr>
        <w:t>A no. 6, § </w:t>
      </w:r>
      <w:r w:rsidRPr="00DC4623">
        <w:rPr>
          <w:rFonts w:ascii="Times New Roman" w:hAnsi="Times New Roman" w:cs="Times New Roman"/>
        </w:rPr>
        <w:t>10.</w:t>
      </w:r>
    </w:p>
  </w:footnote>
  <w:footnote w:id="17">
    <w:p w:rsidR="00624D69" w:rsidRPr="00DC4623" w:rsidRDefault="00624D69" w:rsidP="00FF5B53">
      <w:pPr>
        <w:pStyle w:val="FootnoteText"/>
        <w:rPr>
          <w:rFonts w:ascii="Times New Roman" w:hAnsi="Times New Roman" w:cs="Times New Roman"/>
        </w:rPr>
      </w:pPr>
      <w:r w:rsidRPr="00DC4623">
        <w:rPr>
          <w:rStyle w:val="FootnoteReference"/>
          <w:rFonts w:ascii="Times New Roman" w:hAnsi="Times New Roman" w:cs="Times New Roman"/>
        </w:rPr>
        <w:footnoteRef/>
      </w:r>
      <w:r w:rsidRPr="00DC4623">
        <w:rPr>
          <w:rFonts w:ascii="Times New Roman" w:hAnsi="Times New Roman" w:cs="Times New Roman"/>
        </w:rPr>
        <w:t xml:space="preserve"> See the authorities cited in § 113 of the majority judgment.</w:t>
      </w:r>
    </w:p>
  </w:footnote>
  <w:footnote w:id="18">
    <w:p w:rsidR="00624D69" w:rsidRPr="00DC4623" w:rsidRDefault="00624D69" w:rsidP="00FF5B53">
      <w:pPr>
        <w:pStyle w:val="FootnoteText"/>
        <w:rPr>
          <w:rFonts w:ascii="Times New Roman" w:hAnsi="Times New Roman" w:cs="Times New Roman"/>
        </w:rPr>
      </w:pPr>
      <w:r w:rsidRPr="00DC4623">
        <w:rPr>
          <w:rStyle w:val="FootnoteReference"/>
          <w:rFonts w:ascii="Times New Roman" w:hAnsi="Times New Roman" w:cs="Times New Roman"/>
        </w:rPr>
        <w:footnoteRef/>
      </w:r>
      <w:r w:rsidRPr="00DC4623">
        <w:rPr>
          <w:rFonts w:ascii="Times New Roman" w:hAnsi="Times New Roman" w:cs="Times New Roman"/>
        </w:rPr>
        <w:t xml:space="preserve"> See, for example, </w:t>
      </w:r>
      <w:r w:rsidRPr="00DC4623">
        <w:rPr>
          <w:rFonts w:ascii="Times New Roman" w:hAnsi="Times New Roman" w:cs="Times New Roman"/>
          <w:i/>
        </w:rPr>
        <w:t xml:space="preserve">Stec and Others v. the United Kingdom </w:t>
      </w:r>
      <w:r w:rsidRPr="00DC4623">
        <w:rPr>
          <w:rFonts w:ascii="Times New Roman" w:hAnsi="Times New Roman" w:cs="Times New Roman"/>
        </w:rPr>
        <w:t xml:space="preserve">[GC], nos. 65731/01 and 65900/01, § 51, 12 April 2006. </w:t>
      </w:r>
    </w:p>
  </w:footnote>
  <w:footnote w:id="19">
    <w:p w:rsidR="00624D69" w:rsidRPr="00DC4623" w:rsidRDefault="00624D69" w:rsidP="00FF5B53">
      <w:pPr>
        <w:pStyle w:val="FootnoteText"/>
        <w:rPr>
          <w:rFonts w:ascii="Times New Roman" w:hAnsi="Times New Roman" w:cs="Times New Roman"/>
        </w:rPr>
      </w:pPr>
      <w:r w:rsidRPr="00DC4623">
        <w:rPr>
          <w:rStyle w:val="FootnoteReference"/>
          <w:rFonts w:ascii="Times New Roman" w:hAnsi="Times New Roman" w:cs="Times New Roman"/>
        </w:rPr>
        <w:footnoteRef/>
      </w:r>
      <w:r w:rsidRPr="00DC4623">
        <w:rPr>
          <w:rFonts w:ascii="Times New Roman" w:hAnsi="Times New Roman" w:cs="Times New Roman"/>
        </w:rPr>
        <w:t xml:space="preserve"> See, in the same vein, the concurring opinion of Judges O’Leary and Koskelo in </w:t>
      </w:r>
      <w:r w:rsidRPr="00DC4623">
        <w:rPr>
          <w:rFonts w:ascii="Times New Roman" w:hAnsi="Times New Roman" w:cs="Times New Roman"/>
          <w:i/>
        </w:rPr>
        <w:t>Fabian v. Hungary</w:t>
      </w:r>
      <w:r w:rsidRPr="00DC4623">
        <w:rPr>
          <w:rFonts w:ascii="Times New Roman" w:hAnsi="Times New Roman" w:cs="Times New Roman"/>
        </w:rPr>
        <w:t xml:space="preserve"> </w:t>
      </w:r>
      <w:r w:rsidRPr="00DC4623">
        <w:rPr>
          <w:rFonts w:ascii="Times New Roman" w:hAnsi="Times New Roman" w:cs="Times New Roman"/>
        </w:rPr>
        <w:sym w:font="Symbol" w:char="F05B"/>
      </w:r>
      <w:r w:rsidRPr="00DC4623">
        <w:rPr>
          <w:rFonts w:ascii="Times New Roman" w:hAnsi="Times New Roman" w:cs="Times New Roman"/>
        </w:rPr>
        <w:t>GC</w:t>
      </w:r>
      <w:r w:rsidRPr="00DC4623">
        <w:rPr>
          <w:rFonts w:ascii="Times New Roman" w:hAnsi="Times New Roman" w:cs="Times New Roman"/>
        </w:rPr>
        <w:sym w:font="Symbol" w:char="F05D"/>
      </w:r>
      <w:r w:rsidRPr="00DC4623">
        <w:rPr>
          <w:rFonts w:ascii="Times New Roman" w:hAnsi="Times New Roman" w:cs="Times New Roman"/>
        </w:rPr>
        <w:t xml:space="preserve">, no. 78117/13, 5 September 2017.  </w:t>
      </w:r>
    </w:p>
  </w:footnote>
  <w:footnote w:id="20">
    <w:p w:rsidR="00624D69" w:rsidRPr="006D152A" w:rsidRDefault="00624D69" w:rsidP="00FF5B53">
      <w:pPr>
        <w:pStyle w:val="FootnoteText"/>
        <w:rPr>
          <w:rFonts w:ascii="Times New Roman" w:hAnsi="Times New Roman" w:cs="Times New Roman"/>
          <w:i/>
        </w:rPr>
      </w:pPr>
      <w:r w:rsidRPr="00DC4623">
        <w:rPr>
          <w:rStyle w:val="FootnoteReference"/>
          <w:rFonts w:ascii="Times New Roman" w:hAnsi="Times New Roman" w:cs="Times New Roman"/>
        </w:rPr>
        <w:footnoteRef/>
      </w:r>
      <w:r w:rsidRPr="00DC4623">
        <w:rPr>
          <w:rFonts w:ascii="Times New Roman" w:hAnsi="Times New Roman" w:cs="Times New Roman"/>
        </w:rPr>
        <w:t xml:space="preserve"> See</w:t>
      </w:r>
      <w:r>
        <w:rPr>
          <w:rFonts w:ascii="Times New Roman" w:hAnsi="Times New Roman" w:cs="Times New Roman"/>
        </w:rPr>
        <w:t>, variously,</w:t>
      </w:r>
      <w:r w:rsidRPr="006D152A">
        <w:rPr>
          <w:rFonts w:ascii="Times New Roman" w:hAnsi="Times New Roman" w:cs="Times New Roman"/>
        </w:rPr>
        <w:t xml:space="preserve"> UNODC, </w:t>
      </w:r>
      <w:r w:rsidRPr="006D152A">
        <w:rPr>
          <w:rFonts w:ascii="Times New Roman" w:hAnsi="Times New Roman" w:cs="Times New Roman"/>
          <w:i/>
        </w:rPr>
        <w:t>Handbook on Women and Imprisonment</w:t>
      </w:r>
      <w:r>
        <w:rPr>
          <w:rFonts w:ascii="Times New Roman" w:hAnsi="Times New Roman" w:cs="Times New Roman"/>
        </w:rPr>
        <w:t>, 2</w:t>
      </w:r>
      <w:r w:rsidRPr="006D152A">
        <w:rPr>
          <w:rFonts w:ascii="Times New Roman" w:hAnsi="Times New Roman" w:cs="Times New Roman"/>
          <w:vertAlign w:val="superscript"/>
        </w:rPr>
        <w:t>nd</w:t>
      </w:r>
      <w:r w:rsidRPr="006D152A">
        <w:rPr>
          <w:rFonts w:ascii="Times New Roman" w:hAnsi="Times New Roman" w:cs="Times New Roman"/>
        </w:rPr>
        <w:t xml:space="preserve"> ed</w:t>
      </w:r>
      <w:r>
        <w:rPr>
          <w:rFonts w:ascii="Times New Roman" w:hAnsi="Times New Roman" w:cs="Times New Roman"/>
        </w:rPr>
        <w:t>., 2014</w:t>
      </w:r>
      <w:r w:rsidRPr="006D152A">
        <w:rPr>
          <w:rFonts w:ascii="Times New Roman" w:hAnsi="Times New Roman" w:cs="Times New Roman"/>
        </w:rPr>
        <w:t xml:space="preserve">, </w:t>
      </w:r>
      <w:r>
        <w:rPr>
          <w:rFonts w:ascii="Times New Roman" w:hAnsi="Times New Roman" w:cs="Times New Roman"/>
        </w:rPr>
        <w:t>pp. 33</w:t>
      </w:r>
      <w:r>
        <w:rPr>
          <w:rFonts w:ascii="Times New Roman" w:hAnsi="Times New Roman" w:cs="Times New Roman"/>
        </w:rPr>
        <w:noBreakHyphen/>
      </w:r>
      <w:r w:rsidRPr="006D152A">
        <w:rPr>
          <w:rFonts w:ascii="Times New Roman" w:hAnsi="Times New Roman" w:cs="Times New Roman"/>
        </w:rPr>
        <w:t xml:space="preserve">35, referring to “the generally lower risk posed by women prisoners to others”, as stated </w:t>
      </w:r>
      <w:r>
        <w:rPr>
          <w:rFonts w:ascii="Times New Roman" w:hAnsi="Times New Roman" w:cs="Times New Roman"/>
        </w:rPr>
        <w:t>in</w:t>
      </w:r>
      <w:r w:rsidRPr="006D152A">
        <w:rPr>
          <w:rFonts w:ascii="Times New Roman" w:hAnsi="Times New Roman" w:cs="Times New Roman"/>
        </w:rPr>
        <w:t xml:space="preserve"> Rule 41 of the </w:t>
      </w:r>
      <w:r w:rsidRPr="00DC4623">
        <w:rPr>
          <w:rFonts w:ascii="Times New Roman" w:hAnsi="Times New Roman" w:cs="Times New Roman"/>
        </w:rPr>
        <w:t>United Nations Rules on the Treatment of Women Prisoners and Non-Custodial Measures for Women (the Bangkok Rules</w:t>
      </w:r>
      <w:r>
        <w:rPr>
          <w:rFonts w:ascii="Times New Roman" w:hAnsi="Times New Roman" w:cs="Times New Roman"/>
        </w:rPr>
        <w:t>)</w:t>
      </w:r>
      <w:r w:rsidRPr="006D152A">
        <w:rPr>
          <w:rFonts w:ascii="Times New Roman" w:hAnsi="Times New Roman" w:cs="Times New Roman"/>
        </w:rPr>
        <w:t>; A</w:t>
      </w:r>
      <w:r>
        <w:rPr>
          <w:rFonts w:ascii="Times New Roman" w:hAnsi="Times New Roman" w:cs="Times New Roman"/>
        </w:rPr>
        <w:t>.</w:t>
      </w:r>
      <w:r w:rsidRPr="006D152A">
        <w:rPr>
          <w:rFonts w:ascii="Times New Roman" w:hAnsi="Times New Roman" w:cs="Times New Roman"/>
        </w:rPr>
        <w:t xml:space="preserve"> Coyle and H</w:t>
      </w:r>
      <w:r>
        <w:rPr>
          <w:rFonts w:ascii="Times New Roman" w:hAnsi="Times New Roman" w:cs="Times New Roman"/>
        </w:rPr>
        <w:t>.</w:t>
      </w:r>
      <w:r w:rsidRPr="006D152A">
        <w:rPr>
          <w:rFonts w:ascii="Times New Roman" w:hAnsi="Times New Roman" w:cs="Times New Roman"/>
        </w:rPr>
        <w:t xml:space="preserve"> Fair, </w:t>
      </w:r>
      <w:r w:rsidRPr="006D152A">
        <w:rPr>
          <w:rFonts w:ascii="Times New Roman" w:hAnsi="Times New Roman" w:cs="Times New Roman"/>
          <w:i/>
        </w:rPr>
        <w:t>A Human Rights</w:t>
      </w:r>
      <w:r>
        <w:rPr>
          <w:rFonts w:ascii="Times New Roman" w:hAnsi="Times New Roman" w:cs="Times New Roman"/>
          <w:i/>
        </w:rPr>
        <w:t xml:space="preserve"> Approach to Prison Management: </w:t>
      </w:r>
      <w:r w:rsidRPr="006D152A">
        <w:rPr>
          <w:rFonts w:ascii="Times New Roman" w:hAnsi="Times New Roman" w:cs="Times New Roman"/>
          <w:i/>
        </w:rPr>
        <w:t>Handbook for Prison Staff</w:t>
      </w:r>
      <w:r>
        <w:rPr>
          <w:rFonts w:ascii="Times New Roman" w:hAnsi="Times New Roman" w:cs="Times New Roman"/>
        </w:rPr>
        <w:t xml:space="preserve">, </w:t>
      </w:r>
      <w:r w:rsidRPr="006D152A">
        <w:rPr>
          <w:rFonts w:ascii="Times New Roman" w:hAnsi="Times New Roman" w:cs="Times New Roman"/>
        </w:rPr>
        <w:t>3</w:t>
      </w:r>
      <w:r w:rsidRPr="006D152A">
        <w:rPr>
          <w:rFonts w:ascii="Times New Roman" w:hAnsi="Times New Roman" w:cs="Times New Roman"/>
          <w:vertAlign w:val="superscript"/>
        </w:rPr>
        <w:t>rd</w:t>
      </w:r>
      <w:r w:rsidRPr="006D152A">
        <w:rPr>
          <w:rFonts w:ascii="Times New Roman" w:hAnsi="Times New Roman" w:cs="Times New Roman"/>
        </w:rPr>
        <w:t xml:space="preserve"> ed</w:t>
      </w:r>
      <w:r>
        <w:rPr>
          <w:rFonts w:ascii="Times New Roman" w:hAnsi="Times New Roman" w:cs="Times New Roman"/>
        </w:rPr>
        <w:t>.</w:t>
      </w:r>
      <w:r w:rsidRPr="006D152A">
        <w:rPr>
          <w:rFonts w:ascii="Times New Roman" w:hAnsi="Times New Roman" w:cs="Times New Roman"/>
        </w:rPr>
        <w:t>, Institute for Criminal Policy Research</w:t>
      </w:r>
      <w:r>
        <w:rPr>
          <w:rFonts w:ascii="Times New Roman" w:hAnsi="Times New Roman" w:cs="Times New Roman"/>
        </w:rPr>
        <w:t xml:space="preserve"> </w:t>
      </w:r>
      <w:r w:rsidRPr="006D152A">
        <w:rPr>
          <w:rFonts w:ascii="Times New Roman" w:hAnsi="Times New Roman" w:cs="Times New Roman"/>
        </w:rPr>
        <w:t>at Birkbeck, University of London</w:t>
      </w:r>
      <w:r>
        <w:rPr>
          <w:rFonts w:ascii="Times New Roman" w:hAnsi="Times New Roman" w:cs="Times New Roman"/>
        </w:rPr>
        <w:t>, 2018</w:t>
      </w:r>
      <w:r w:rsidRPr="006D152A">
        <w:rPr>
          <w:rFonts w:ascii="Times New Roman" w:hAnsi="Times New Roman" w:cs="Times New Roman"/>
        </w:rPr>
        <w:t xml:space="preserve">, </w:t>
      </w:r>
      <w:r>
        <w:rPr>
          <w:rFonts w:ascii="Times New Roman" w:hAnsi="Times New Roman" w:cs="Times New Roman"/>
        </w:rPr>
        <w:t xml:space="preserve">pp. </w:t>
      </w:r>
      <w:r w:rsidRPr="006D152A">
        <w:rPr>
          <w:rFonts w:ascii="Times New Roman" w:hAnsi="Times New Roman" w:cs="Times New Roman"/>
        </w:rPr>
        <w:t>152-53</w:t>
      </w:r>
      <w:r>
        <w:rPr>
          <w:rFonts w:ascii="Times New Roman" w:hAnsi="Times New Roman" w:cs="Times New Roman"/>
        </w:rPr>
        <w:t xml:space="preserve">, and </w:t>
      </w:r>
      <w:r w:rsidRPr="00DC4623">
        <w:rPr>
          <w:rFonts w:ascii="Times New Roman" w:hAnsi="Times New Roman" w:cs="Times New Roman"/>
        </w:rPr>
        <w:t xml:space="preserve">the discussion in M. Krabbe and P.H. van Kempen, “Women in Prison: a Transnational Perspective” in P.H. van Kempen and M. Krabbe, </w:t>
      </w:r>
      <w:r w:rsidRPr="00DC4623">
        <w:rPr>
          <w:rFonts w:ascii="Times New Roman" w:hAnsi="Times New Roman" w:cs="Times New Roman"/>
          <w:i/>
        </w:rPr>
        <w:t>Women in Prison. The Bangkok Rules and Beyond</w:t>
      </w:r>
      <w:r w:rsidRPr="00DC4623">
        <w:rPr>
          <w:rFonts w:ascii="Times New Roman" w:hAnsi="Times New Roman" w:cs="Times New Roman"/>
        </w:rPr>
        <w:t>, Intersentia, 2017, pp. 3-34, at p.3: “Research on women in prison demonstrates, however, that female prisoners diverge from their male counterparts in that (i) they generally end up in prison for different reasons and, once in prison (ii) they have other needs”. Crimonological factors – the causes of criminal behaviour, the types of crime prevalent and t</w:t>
      </w:r>
      <w:r>
        <w:rPr>
          <w:rFonts w:ascii="Times New Roman" w:hAnsi="Times New Roman" w:cs="Times New Roman"/>
        </w:rPr>
        <w:t xml:space="preserve">he sentences imposed – may </w:t>
      </w:r>
      <w:r w:rsidRPr="00DC4623">
        <w:rPr>
          <w:rFonts w:ascii="Times New Roman" w:hAnsi="Times New Roman" w:cs="Times New Roman"/>
        </w:rPr>
        <w:t>d</w:t>
      </w:r>
      <w:r>
        <w:rPr>
          <w:rFonts w:ascii="Times New Roman" w:hAnsi="Times New Roman" w:cs="Times New Roman"/>
        </w:rPr>
        <w:t>iffer between men and women.</w:t>
      </w:r>
    </w:p>
  </w:footnote>
  <w:footnote w:id="21">
    <w:p w:rsidR="00624D69" w:rsidRPr="00DC4623" w:rsidRDefault="00624D69" w:rsidP="00FF5B53">
      <w:pPr>
        <w:pStyle w:val="FootnoteText"/>
        <w:rPr>
          <w:rFonts w:ascii="Times New Roman" w:hAnsi="Times New Roman" w:cs="Times New Roman"/>
        </w:rPr>
      </w:pPr>
      <w:r w:rsidRPr="00DC4623">
        <w:rPr>
          <w:rStyle w:val="FootnoteReference"/>
          <w:rFonts w:ascii="Times New Roman" w:hAnsi="Times New Roman" w:cs="Times New Roman"/>
        </w:rPr>
        <w:footnoteRef/>
      </w:r>
      <w:r w:rsidRPr="00DC4623">
        <w:rPr>
          <w:rFonts w:ascii="Times New Roman" w:hAnsi="Times New Roman" w:cs="Times New Roman"/>
        </w:rPr>
        <w:t xml:space="preserve"> See J. Ashdown and M. James, “Women in Detention” (2010) 92 </w:t>
      </w:r>
      <w:r w:rsidRPr="00DC4623">
        <w:rPr>
          <w:rFonts w:ascii="Times New Roman" w:hAnsi="Times New Roman" w:cs="Times New Roman"/>
          <w:i/>
        </w:rPr>
        <w:t>International Review of the Red Cross</w:t>
      </w:r>
      <w:r w:rsidRPr="00DC4623">
        <w:rPr>
          <w:rFonts w:ascii="Times New Roman" w:hAnsi="Times New Roman" w:cs="Times New Roman"/>
        </w:rPr>
        <w:t xml:space="preserve"> 123-141, 130.</w:t>
      </w:r>
    </w:p>
  </w:footnote>
  <w:footnote w:id="22">
    <w:p w:rsidR="00624D69" w:rsidRPr="00DC4623" w:rsidRDefault="00624D69" w:rsidP="00FF5B53">
      <w:pPr>
        <w:pStyle w:val="FootnoteText"/>
        <w:rPr>
          <w:rFonts w:ascii="Times New Roman" w:hAnsi="Times New Roman" w:cs="Times New Roman"/>
        </w:rPr>
      </w:pPr>
      <w:r w:rsidRPr="00DC4623">
        <w:rPr>
          <w:rStyle w:val="FootnoteReference"/>
          <w:rFonts w:ascii="Times New Roman" w:hAnsi="Times New Roman" w:cs="Times New Roman"/>
        </w:rPr>
        <w:footnoteRef/>
      </w:r>
      <w:r w:rsidRPr="00DC4623">
        <w:rPr>
          <w:rFonts w:ascii="Times New Roman" w:hAnsi="Times New Roman" w:cs="Times New Roman"/>
        </w:rPr>
        <w:t xml:space="preserve"> </w:t>
      </w:r>
      <w:r w:rsidRPr="00DC4623">
        <w:rPr>
          <w:rFonts w:ascii="Times New Roman" w:hAnsi="Times New Roman" w:cs="Times New Roman"/>
          <w:i/>
        </w:rPr>
        <w:t>Khamtokhu and Aksenchik</w:t>
      </w:r>
      <w:r w:rsidRPr="00DC4623">
        <w:rPr>
          <w:rFonts w:ascii="Times New Roman" w:hAnsi="Times New Roman" w:cs="Times New Roman"/>
        </w:rPr>
        <w:t>, cited above, §§ 67-68.</w:t>
      </w:r>
    </w:p>
  </w:footnote>
  <w:footnote w:id="23">
    <w:p w:rsidR="00624D69" w:rsidRPr="00DC4623" w:rsidRDefault="00624D69" w:rsidP="00FF5B53">
      <w:pPr>
        <w:pStyle w:val="FootnoteText"/>
        <w:rPr>
          <w:rFonts w:ascii="Times New Roman" w:hAnsi="Times New Roman" w:cs="Times New Roman"/>
        </w:rPr>
      </w:pPr>
      <w:r w:rsidRPr="00DC4623">
        <w:rPr>
          <w:rStyle w:val="FootnoteReference"/>
          <w:rFonts w:ascii="Times New Roman" w:hAnsi="Times New Roman" w:cs="Times New Roman"/>
        </w:rPr>
        <w:footnoteRef/>
      </w:r>
      <w:r w:rsidRPr="00DC4623">
        <w:rPr>
          <w:rFonts w:ascii="Times New Roman" w:hAnsi="Times New Roman" w:cs="Times New Roman"/>
        </w:rPr>
        <w:t xml:space="preserve"> </w:t>
      </w:r>
      <w:r w:rsidRPr="00DC4623">
        <w:rPr>
          <w:rFonts w:ascii="Times New Roman" w:hAnsi="Times New Roman" w:cs="Times New Roman"/>
          <w:lang w:eastAsia="fr-FR"/>
        </w:rPr>
        <w:t xml:space="preserve">See, for example, </w:t>
      </w:r>
      <w:r w:rsidRPr="00DC4623">
        <w:rPr>
          <w:rFonts w:ascii="Times New Roman" w:hAnsi="Times New Roman" w:cs="Times New Roman"/>
          <w:i/>
          <w:lang w:eastAsia="fr-FR"/>
        </w:rPr>
        <w:t>Animal Defenders International v. the United Kingdom</w:t>
      </w:r>
      <w:r w:rsidRPr="00DC4623">
        <w:rPr>
          <w:rFonts w:ascii="Times New Roman" w:hAnsi="Times New Roman" w:cs="Times New Roman"/>
          <w:lang w:eastAsia="fr-FR"/>
        </w:rPr>
        <w:t xml:space="preserve"> </w:t>
      </w:r>
      <w:r w:rsidRPr="00DC4623">
        <w:rPr>
          <w:rFonts w:ascii="Times New Roman" w:hAnsi="Times New Roman" w:cs="Times New Roman"/>
          <w:lang w:eastAsia="fr-FR"/>
        </w:rPr>
        <w:sym w:font="Symbol" w:char="F05B"/>
      </w:r>
      <w:r w:rsidRPr="00DC4623">
        <w:rPr>
          <w:rFonts w:ascii="Times New Roman" w:hAnsi="Times New Roman" w:cs="Times New Roman"/>
          <w:lang w:eastAsia="fr-FR"/>
        </w:rPr>
        <w:t>GC</w:t>
      </w:r>
      <w:r w:rsidRPr="00DC4623">
        <w:rPr>
          <w:rFonts w:ascii="Times New Roman" w:hAnsi="Times New Roman" w:cs="Times New Roman"/>
          <w:lang w:eastAsia="fr-FR"/>
        </w:rPr>
        <w:sym w:font="Symbol" w:char="F05D"/>
      </w:r>
      <w:r w:rsidRPr="00DC4623">
        <w:rPr>
          <w:rFonts w:ascii="Times New Roman" w:hAnsi="Times New Roman" w:cs="Times New Roman"/>
          <w:lang w:eastAsia="fr-FR"/>
        </w:rPr>
        <w:t xml:space="preserve">, </w:t>
      </w:r>
      <w:r>
        <w:rPr>
          <w:rStyle w:val="s6b621b36"/>
          <w:rFonts w:ascii="Times New Roman" w:hAnsi="Times New Roman" w:cs="Times New Roman"/>
        </w:rPr>
        <w:t>no. </w:t>
      </w:r>
      <w:r w:rsidR="001A4BB2">
        <w:rPr>
          <w:rFonts w:ascii="Times New Roman" w:hAnsi="Times New Roman" w:cs="Times New Roman"/>
          <w:lang w:eastAsia="fr-FR"/>
        </w:rPr>
        <w:t xml:space="preserve">48876/08, </w:t>
      </w:r>
      <w:r w:rsidRPr="00DC4623">
        <w:rPr>
          <w:rFonts w:ascii="Times New Roman" w:hAnsi="Times New Roman" w:cs="Times New Roman"/>
          <w:lang w:eastAsia="fr-FR"/>
        </w:rPr>
        <w:t>§ 108, 22 April 2013.</w:t>
      </w:r>
    </w:p>
  </w:footnote>
  <w:footnote w:id="24">
    <w:p w:rsidR="00624D69" w:rsidRPr="00DC4623" w:rsidRDefault="00624D69" w:rsidP="00FF5B53">
      <w:pPr>
        <w:pStyle w:val="FootnoteText"/>
        <w:rPr>
          <w:rFonts w:ascii="Times New Roman" w:hAnsi="Times New Roman" w:cs="Times New Roman"/>
        </w:rPr>
      </w:pPr>
      <w:r w:rsidRPr="00DC4623">
        <w:rPr>
          <w:rStyle w:val="FootnoteReference"/>
          <w:rFonts w:ascii="Times New Roman" w:hAnsi="Times New Roman" w:cs="Times New Roman"/>
        </w:rPr>
        <w:footnoteRef/>
      </w:r>
      <w:r w:rsidRPr="00DC4623">
        <w:rPr>
          <w:rFonts w:ascii="Times New Roman" w:hAnsi="Times New Roman" w:cs="Times New Roman"/>
        </w:rPr>
        <w:t xml:space="preserve"> See, for example, </w:t>
      </w:r>
      <w:r w:rsidRPr="00DC4623">
        <w:rPr>
          <w:rFonts w:ascii="Times New Roman" w:hAnsi="Times New Roman" w:cs="Times New Roman"/>
          <w:i/>
        </w:rPr>
        <w:t>Dickson v. the United Kingdom</w:t>
      </w:r>
      <w:r w:rsidRPr="00DC4623">
        <w:rPr>
          <w:rFonts w:ascii="Times New Roman" w:hAnsi="Times New Roman" w:cs="Times New Roman"/>
        </w:rPr>
        <w:t xml:space="preserve"> </w:t>
      </w:r>
      <w:r w:rsidRPr="00DC4623">
        <w:rPr>
          <w:rFonts w:ascii="Times New Roman" w:hAnsi="Times New Roman" w:cs="Times New Roman"/>
        </w:rPr>
        <w:sym w:font="Symbol" w:char="F05B"/>
      </w:r>
      <w:r w:rsidRPr="00DC4623">
        <w:rPr>
          <w:rFonts w:ascii="Times New Roman" w:hAnsi="Times New Roman" w:cs="Times New Roman"/>
        </w:rPr>
        <w:t>GC</w:t>
      </w:r>
      <w:r w:rsidRPr="00DC4623">
        <w:rPr>
          <w:rFonts w:ascii="Times New Roman" w:hAnsi="Times New Roman" w:cs="Times New Roman"/>
        </w:rPr>
        <w:sym w:font="Symbol" w:char="F05D"/>
      </w:r>
      <w:r w:rsidRPr="00DC4623">
        <w:rPr>
          <w:rFonts w:ascii="Times New Roman" w:hAnsi="Times New Roman" w:cs="Times New Roman"/>
        </w:rPr>
        <w:t xml:space="preserve">, no. 44362/04, § 79, 4 December 2007, and also </w:t>
      </w:r>
      <w:r w:rsidRPr="00DC4623">
        <w:rPr>
          <w:rFonts w:ascii="Times New Roman" w:hAnsi="Times New Roman" w:cs="Times New Roman"/>
          <w:i/>
        </w:rPr>
        <w:t>Hirst v. the United Kingdom</w:t>
      </w:r>
      <w:r w:rsidRPr="00DC4623">
        <w:rPr>
          <w:rFonts w:ascii="Times New Roman" w:hAnsi="Times New Roman" w:cs="Times New Roman"/>
        </w:rPr>
        <w:t xml:space="preserve"> </w:t>
      </w:r>
      <w:r w:rsidRPr="00DC4623">
        <w:rPr>
          <w:rFonts w:ascii="Times New Roman" w:hAnsi="Times New Roman" w:cs="Times New Roman"/>
          <w:i/>
        </w:rPr>
        <w:t>(no. 2)</w:t>
      </w:r>
      <w:r w:rsidRPr="00DC4623">
        <w:rPr>
          <w:rFonts w:ascii="Times New Roman" w:hAnsi="Times New Roman" w:cs="Times New Roman"/>
        </w:rPr>
        <w:t xml:space="preserve">, no. 74025/01, § 79, 6 October 2005. </w:t>
      </w:r>
    </w:p>
  </w:footnote>
  <w:footnote w:id="25">
    <w:p w:rsidR="00624D69" w:rsidRPr="00DC4623" w:rsidRDefault="00624D69" w:rsidP="00FF5B53">
      <w:pPr>
        <w:pStyle w:val="FootnoteText"/>
        <w:rPr>
          <w:rFonts w:ascii="Times New Roman" w:hAnsi="Times New Roman" w:cs="Times New Roman"/>
        </w:rPr>
      </w:pPr>
      <w:r w:rsidRPr="00DC4623">
        <w:rPr>
          <w:rStyle w:val="FootnoteReference"/>
          <w:rFonts w:ascii="Times New Roman" w:hAnsi="Times New Roman" w:cs="Times New Roman"/>
        </w:rPr>
        <w:footnoteRef/>
      </w:r>
      <w:r w:rsidRPr="00DC4623">
        <w:rPr>
          <w:rFonts w:ascii="Times New Roman" w:hAnsi="Times New Roman" w:cs="Times New Roman"/>
        </w:rPr>
        <w:t xml:space="preserve"> See, however, the concurring opinion of Judge Sajó in </w:t>
      </w:r>
      <w:r w:rsidRPr="00DC4623">
        <w:rPr>
          <w:rFonts w:ascii="Times New Roman" w:hAnsi="Times New Roman" w:cs="Times New Roman"/>
          <w:i/>
        </w:rPr>
        <w:t>Khamtokhu and Aksenchik</w:t>
      </w:r>
      <w:r w:rsidRPr="00DC4623">
        <w:rPr>
          <w:rFonts w:ascii="Times New Roman" w:hAnsi="Times New Roman" w:cs="Times New Roman"/>
        </w:rPr>
        <w:t>, cited above, explaining why such a poor defence should not necessarily be fatal.</w:t>
      </w:r>
    </w:p>
  </w:footnote>
  <w:footnote w:id="26">
    <w:p w:rsidR="00624D69" w:rsidRPr="00DC4623" w:rsidRDefault="00624D69" w:rsidP="00FF5B53">
      <w:pPr>
        <w:pStyle w:val="FootnoteText"/>
        <w:rPr>
          <w:rFonts w:ascii="Times New Roman" w:hAnsi="Times New Roman" w:cs="Times New Roman"/>
        </w:rPr>
      </w:pPr>
      <w:r w:rsidRPr="00DC4623">
        <w:rPr>
          <w:rStyle w:val="FootnoteReference"/>
          <w:rFonts w:ascii="Times New Roman" w:hAnsi="Times New Roman" w:cs="Times New Roman"/>
        </w:rPr>
        <w:footnoteRef/>
      </w:r>
      <w:r w:rsidRPr="00DC4623">
        <w:rPr>
          <w:rFonts w:ascii="Times New Roman" w:hAnsi="Times New Roman" w:cs="Times New Roman"/>
        </w:rPr>
        <w:t xml:space="preserve"> </w:t>
      </w:r>
      <w:r w:rsidRPr="00DC4623">
        <w:rPr>
          <w:rFonts w:ascii="Times New Roman" w:hAnsi="Times New Roman" w:cs="Times New Roman"/>
          <w:i/>
        </w:rPr>
        <w:t>Khamtokhu and Aksenchik</w:t>
      </w:r>
      <w:r w:rsidRPr="00DC4623">
        <w:rPr>
          <w:rFonts w:ascii="Times New Roman" w:hAnsi="Times New Roman" w:cs="Times New Roman"/>
        </w:rPr>
        <w:t>, cited above, § 82.</w:t>
      </w:r>
    </w:p>
  </w:footnote>
  <w:footnote w:id="27">
    <w:p w:rsidR="00624D69" w:rsidRPr="002A5618" w:rsidRDefault="00624D69" w:rsidP="00FF5B53">
      <w:pPr>
        <w:pStyle w:val="FootnoteText"/>
        <w:rPr>
          <w:i/>
        </w:rPr>
      </w:pPr>
      <w:r w:rsidRPr="00DC4623">
        <w:rPr>
          <w:rStyle w:val="FootnoteReference"/>
          <w:rFonts w:ascii="Times New Roman" w:hAnsi="Times New Roman" w:cs="Times New Roman"/>
        </w:rPr>
        <w:footnoteRef/>
      </w:r>
      <w:r w:rsidRPr="00DC4623">
        <w:rPr>
          <w:rFonts w:ascii="Times New Roman" w:hAnsi="Times New Roman" w:cs="Times New Roman"/>
        </w:rPr>
        <w:t xml:space="preserve"> See further UNODOC, </w:t>
      </w:r>
      <w:r w:rsidRPr="00DC4623">
        <w:rPr>
          <w:rFonts w:ascii="Times New Roman" w:hAnsi="Times New Roman" w:cs="Times New Roman"/>
          <w:i/>
        </w:rPr>
        <w:t>Handbook on Women and Imprisonment</w:t>
      </w:r>
      <w:r w:rsidRPr="006D152A">
        <w:rPr>
          <w:rFonts w:ascii="Times New Roman" w:hAnsi="Times New Roman" w:cs="Times New Roman"/>
        </w:rPr>
        <w:t>, cited above</w:t>
      </w:r>
      <w:r w:rsidRPr="00DC4623">
        <w:rPr>
          <w:rFonts w:ascii="Times New Roman" w:hAnsi="Times New Roman" w:cs="Times New Roman"/>
        </w:rPr>
        <w:t>.</w:t>
      </w:r>
      <w:r>
        <w:rPr>
          <w:rFonts w:ascii="Times New Roman" w:hAnsi="Times New Roman" w:cs="Times New Roman"/>
        </w:rPr>
        <w:t xml:space="preserve"> See also </w:t>
      </w:r>
      <w:r w:rsidRPr="00843D33">
        <w:rPr>
          <w:rFonts w:ascii="Times New Roman" w:hAnsi="Times New Roman" w:cs="Times New Roman"/>
        </w:rPr>
        <w:t>L</w:t>
      </w:r>
      <w:r>
        <w:rPr>
          <w:rFonts w:ascii="Times New Roman" w:hAnsi="Times New Roman" w:cs="Times New Roman"/>
        </w:rPr>
        <w:t>. </w:t>
      </w:r>
      <w:r w:rsidRPr="00843D33">
        <w:rPr>
          <w:rFonts w:ascii="Times New Roman" w:hAnsi="Times New Roman" w:cs="Times New Roman"/>
        </w:rPr>
        <w:t xml:space="preserve">Paprzycki, </w:t>
      </w:r>
      <w:r>
        <w:rPr>
          <w:rFonts w:ascii="Times New Roman" w:hAnsi="Times New Roman" w:cs="Times New Roman"/>
        </w:rPr>
        <w:t>“</w:t>
      </w:r>
      <w:r w:rsidRPr="00843D33">
        <w:rPr>
          <w:rFonts w:ascii="Times New Roman" w:hAnsi="Times New Roman" w:cs="Times New Roman"/>
        </w:rPr>
        <w:t>Protection of Women in Prison under the Euro</w:t>
      </w:r>
      <w:r>
        <w:rPr>
          <w:rFonts w:ascii="Times New Roman" w:hAnsi="Times New Roman" w:cs="Times New Roman"/>
        </w:rPr>
        <w:t>pean Convention on Human Rights”</w:t>
      </w:r>
      <w:r w:rsidRPr="00843D33">
        <w:rPr>
          <w:rFonts w:ascii="Times New Roman" w:hAnsi="Times New Roman" w:cs="Times New Roman"/>
        </w:rPr>
        <w:t xml:space="preserve"> in P</w:t>
      </w:r>
      <w:r>
        <w:rPr>
          <w:rFonts w:ascii="Times New Roman" w:hAnsi="Times New Roman" w:cs="Times New Roman"/>
        </w:rPr>
        <w:t>.H.</w:t>
      </w:r>
      <w:r w:rsidRPr="00843D33">
        <w:rPr>
          <w:rFonts w:ascii="Times New Roman" w:hAnsi="Times New Roman" w:cs="Times New Roman"/>
        </w:rPr>
        <w:t xml:space="preserve"> van Kempen and M</w:t>
      </w:r>
      <w:r>
        <w:rPr>
          <w:rFonts w:ascii="Times New Roman" w:hAnsi="Times New Roman" w:cs="Times New Roman"/>
        </w:rPr>
        <w:t>.</w:t>
      </w:r>
      <w:r w:rsidRPr="00843D33">
        <w:rPr>
          <w:rFonts w:ascii="Times New Roman" w:hAnsi="Times New Roman" w:cs="Times New Roman"/>
        </w:rPr>
        <w:t xml:space="preserve"> Krabbe (eds.),</w:t>
      </w:r>
      <w:r>
        <w:rPr>
          <w:rFonts w:ascii="Times New Roman" w:hAnsi="Times New Roman" w:cs="Times New Roman"/>
        </w:rPr>
        <w:t xml:space="preserve"> cited above</w:t>
      </w:r>
      <w:r w:rsidRPr="00843D33">
        <w:rPr>
          <w:rFonts w:ascii="Times New Roman" w:hAnsi="Times New Roman" w:cs="Times New Roman"/>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4D69" w:rsidRPr="00933307" w:rsidRDefault="00624D69" w:rsidP="00933307">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4D69" w:rsidRPr="00A45145" w:rsidRDefault="00624D69" w:rsidP="00933307">
    <w:pPr>
      <w:jc w:val="center"/>
    </w:pPr>
    <w:r>
      <w:rPr>
        <w:noProof/>
        <w:lang w:val="en-US" w:eastAsia="ja-JP"/>
      </w:rPr>
      <w:drawing>
        <wp:inline distT="0" distB="0" distL="0" distR="0" wp14:anchorId="69C20B0A" wp14:editId="542E72C5">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624D69" w:rsidRDefault="00624D6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438E" w:rsidRPr="00B8275B" w:rsidRDefault="00BC4E64" w:rsidP="00F9438E">
    <w:pPr>
      <w:pStyle w:val="ECHRHeader"/>
      <w:tabs>
        <w:tab w:val="clear" w:pos="3686"/>
        <w:tab w:val="clear" w:pos="7371"/>
        <w:tab w:val="center" w:pos="3685"/>
      </w:tabs>
    </w:pPr>
    <w:r>
      <w:rPr>
        <w:rStyle w:val="PageNumber"/>
        <w:szCs w:val="18"/>
      </w:rPr>
      <w:fldChar w:fldCharType="begin"/>
    </w:r>
    <w:r>
      <w:rPr>
        <w:rStyle w:val="PageNumber"/>
        <w:szCs w:val="18"/>
      </w:rPr>
      <w:instrText xml:space="preserve"> PAGE  \* Arabic </w:instrText>
    </w:r>
    <w:r>
      <w:rPr>
        <w:rStyle w:val="PageNumber"/>
        <w:szCs w:val="18"/>
      </w:rPr>
      <w:fldChar w:fldCharType="separate"/>
    </w:r>
    <w:r w:rsidR="00BC719D">
      <w:rPr>
        <w:rStyle w:val="PageNumber"/>
        <w:noProof/>
        <w:szCs w:val="18"/>
      </w:rPr>
      <w:t>8</w:t>
    </w:r>
    <w:r>
      <w:rPr>
        <w:rStyle w:val="PageNumber"/>
        <w:szCs w:val="18"/>
      </w:rPr>
      <w:fldChar w:fldCharType="end"/>
    </w:r>
    <w:r>
      <w:rPr>
        <w:rStyle w:val="PageNumber"/>
        <w:szCs w:val="18"/>
      </w:rPr>
      <w:fldChar w:fldCharType="begin"/>
    </w:r>
    <w:r>
      <w:rPr>
        <w:rStyle w:val="PageNumber"/>
        <w:szCs w:val="18"/>
      </w:rPr>
      <w:instrText xml:space="preserve">  </w:instrText>
    </w:r>
    <w:r>
      <w:rPr>
        <w:rStyle w:val="PageNumber"/>
        <w:szCs w:val="18"/>
      </w:rPr>
      <w:fldChar w:fldCharType="end"/>
    </w:r>
    <w:r w:rsidR="00F9438E" w:rsidRPr="00B8275B">
      <w:tab/>
    </w:r>
    <w:r w:rsidR="00281BA0">
      <w:t>ĒCIS v. LATVIA 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438E" w:rsidRPr="00B8275B" w:rsidRDefault="00F9438E" w:rsidP="00F9438E">
    <w:pPr>
      <w:pStyle w:val="ECHRHeader"/>
      <w:tabs>
        <w:tab w:val="clear" w:pos="3686"/>
        <w:tab w:val="clear" w:pos="7371"/>
        <w:tab w:val="center" w:pos="3685"/>
        <w:tab w:val="right" w:pos="7370"/>
      </w:tabs>
    </w:pPr>
    <w:r w:rsidRPr="00B8275B">
      <w:tab/>
    </w:r>
    <w:r>
      <w:t xml:space="preserve">ĒCIS v. LATVIA </w:t>
    </w:r>
    <w:r w:rsidR="00281BA0">
      <w:t>JUDGMENT</w:t>
    </w:r>
    <w:r w:rsidRPr="00B8275B">
      <w:tab/>
    </w:r>
    <w:r w:rsidRPr="00B8275B">
      <w:rPr>
        <w:rStyle w:val="PageNumber"/>
        <w:szCs w:val="18"/>
      </w:rPr>
      <w:fldChar w:fldCharType="begin"/>
    </w:r>
    <w:r w:rsidRPr="00B8275B">
      <w:rPr>
        <w:rStyle w:val="PageNumber"/>
        <w:szCs w:val="18"/>
      </w:rPr>
      <w:instrText xml:space="preserve"> PAGE </w:instrText>
    </w:r>
    <w:r w:rsidRPr="00B8275B">
      <w:rPr>
        <w:rStyle w:val="PageNumber"/>
        <w:szCs w:val="18"/>
      </w:rPr>
      <w:fldChar w:fldCharType="separate"/>
    </w:r>
    <w:r w:rsidR="00BC719D">
      <w:rPr>
        <w:rStyle w:val="PageNumber"/>
        <w:noProof/>
        <w:szCs w:val="18"/>
      </w:rPr>
      <w:t>7</w:t>
    </w:r>
    <w:r w:rsidRPr="00B8275B">
      <w:rPr>
        <w:rStyle w:val="PageNumber"/>
        <w:szCs w:val="18"/>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4BB7" w:rsidRPr="00A45145" w:rsidRDefault="004F4BB7" w:rsidP="00933307">
    <w:pPr>
      <w:jc w:val="center"/>
    </w:pPr>
    <w:r>
      <w:rPr>
        <w:noProof/>
        <w:lang w:val="en-US" w:eastAsia="ja-JP"/>
      </w:rPr>
      <w:drawing>
        <wp:inline distT="0" distB="0" distL="0" distR="0" wp14:anchorId="4D907522" wp14:editId="39EA830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4F4BB7" w:rsidRDefault="004F4BB7">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438E" w:rsidRPr="00B8275B" w:rsidRDefault="00F9438E" w:rsidP="00F9438E">
    <w:pPr>
      <w:pStyle w:val="ECHRHeader"/>
      <w:tabs>
        <w:tab w:val="clear" w:pos="3686"/>
        <w:tab w:val="clear" w:pos="7371"/>
        <w:tab w:val="center" w:pos="3685"/>
      </w:tabs>
    </w:pPr>
    <w:r w:rsidRPr="00B8275B">
      <w:rPr>
        <w:rStyle w:val="PageNumber"/>
        <w:szCs w:val="18"/>
      </w:rPr>
      <w:fldChar w:fldCharType="begin"/>
    </w:r>
    <w:r w:rsidRPr="00B8275B">
      <w:rPr>
        <w:rStyle w:val="PageNumber"/>
        <w:szCs w:val="18"/>
      </w:rPr>
      <w:instrText xml:space="preserve"> PAGE </w:instrText>
    </w:r>
    <w:r w:rsidRPr="00B8275B">
      <w:rPr>
        <w:rStyle w:val="PageNumber"/>
        <w:szCs w:val="18"/>
      </w:rPr>
      <w:fldChar w:fldCharType="separate"/>
    </w:r>
    <w:r w:rsidR="00BC719D">
      <w:rPr>
        <w:rStyle w:val="PageNumber"/>
        <w:noProof/>
        <w:szCs w:val="18"/>
      </w:rPr>
      <w:t>38</w:t>
    </w:r>
    <w:r w:rsidRPr="00B8275B">
      <w:rPr>
        <w:rStyle w:val="PageNumber"/>
        <w:szCs w:val="18"/>
      </w:rPr>
      <w:fldChar w:fldCharType="end"/>
    </w:r>
    <w:r w:rsidRPr="00B8275B">
      <w:tab/>
    </w:r>
    <w:r>
      <w:t>ĒCIS v. LATVIA – SEPARATE OPINION</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438E" w:rsidRPr="00B8275B" w:rsidRDefault="00F9438E" w:rsidP="00F9438E">
    <w:pPr>
      <w:pStyle w:val="ECHRHeader"/>
      <w:tabs>
        <w:tab w:val="clear" w:pos="3686"/>
        <w:tab w:val="clear" w:pos="7371"/>
        <w:tab w:val="center" w:pos="3685"/>
        <w:tab w:val="right" w:pos="7370"/>
      </w:tabs>
    </w:pPr>
    <w:r w:rsidRPr="00B8275B">
      <w:tab/>
    </w:r>
    <w:r>
      <w:t>ĒCIS v. LATVIA – SEPARATE OPINION</w:t>
    </w:r>
    <w:r w:rsidRPr="00B8275B">
      <w:tab/>
    </w:r>
    <w:r w:rsidRPr="00B8275B">
      <w:rPr>
        <w:rStyle w:val="PageNumber"/>
        <w:szCs w:val="18"/>
      </w:rPr>
      <w:fldChar w:fldCharType="begin"/>
    </w:r>
    <w:r w:rsidRPr="00B8275B">
      <w:rPr>
        <w:rStyle w:val="PageNumber"/>
        <w:szCs w:val="18"/>
      </w:rPr>
      <w:instrText xml:space="preserve"> PAGE </w:instrText>
    </w:r>
    <w:r w:rsidRPr="00B8275B">
      <w:rPr>
        <w:rStyle w:val="PageNumber"/>
        <w:szCs w:val="18"/>
      </w:rPr>
      <w:fldChar w:fldCharType="separate"/>
    </w:r>
    <w:r w:rsidR="00BC719D">
      <w:rPr>
        <w:rStyle w:val="PageNumber"/>
        <w:noProof/>
        <w:szCs w:val="18"/>
      </w:rPr>
      <w:t>37</w:t>
    </w:r>
    <w:r w:rsidRPr="00B8275B">
      <w:rPr>
        <w:rStyle w:val="PageNumber"/>
        <w:szCs w:val="18"/>
      </w:rPr>
      <w:fldChar w:fldCharType="end"/>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4BB7" w:rsidRPr="00A45145" w:rsidRDefault="004F4BB7" w:rsidP="00933307">
    <w:pPr>
      <w:jc w:val="center"/>
    </w:pPr>
    <w:r>
      <w:rPr>
        <w:noProof/>
        <w:lang w:val="en-US" w:eastAsia="ja-JP"/>
      </w:rPr>
      <w:drawing>
        <wp:inline distT="0" distB="0" distL="0" distR="0" wp14:anchorId="56CC4009" wp14:editId="74C185B0">
          <wp:extent cx="2962275" cy="1219200"/>
          <wp:effectExtent l="0" t="0" r="9525" b="0"/>
          <wp:docPr id="3" name="Picture 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4F4BB7" w:rsidRDefault="004F4BB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hideSpellingErrors/>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3276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B32B88"/>
    <w:rsid w:val="00000067"/>
    <w:rsid w:val="00000D37"/>
    <w:rsid w:val="000010ED"/>
    <w:rsid w:val="000019A5"/>
    <w:rsid w:val="000041F8"/>
    <w:rsid w:val="000042A8"/>
    <w:rsid w:val="00004308"/>
    <w:rsid w:val="00005BF0"/>
    <w:rsid w:val="000066AF"/>
    <w:rsid w:val="00006FF3"/>
    <w:rsid w:val="00007154"/>
    <w:rsid w:val="0001032C"/>
    <w:rsid w:val="000103AE"/>
    <w:rsid w:val="000108BC"/>
    <w:rsid w:val="00011063"/>
    <w:rsid w:val="000117B0"/>
    <w:rsid w:val="00011D69"/>
    <w:rsid w:val="00011EC7"/>
    <w:rsid w:val="00012AD3"/>
    <w:rsid w:val="000138D6"/>
    <w:rsid w:val="00013EC5"/>
    <w:rsid w:val="00014566"/>
    <w:rsid w:val="000151E9"/>
    <w:rsid w:val="00015C2D"/>
    <w:rsid w:val="00015F00"/>
    <w:rsid w:val="00017A7A"/>
    <w:rsid w:val="0002031B"/>
    <w:rsid w:val="000212E8"/>
    <w:rsid w:val="00022C1D"/>
    <w:rsid w:val="00034987"/>
    <w:rsid w:val="00034B02"/>
    <w:rsid w:val="000350E3"/>
    <w:rsid w:val="00037122"/>
    <w:rsid w:val="00043312"/>
    <w:rsid w:val="000440D6"/>
    <w:rsid w:val="0004465A"/>
    <w:rsid w:val="00044CAD"/>
    <w:rsid w:val="0004514E"/>
    <w:rsid w:val="000459EB"/>
    <w:rsid w:val="00047673"/>
    <w:rsid w:val="00051088"/>
    <w:rsid w:val="00054FEE"/>
    <w:rsid w:val="000574CF"/>
    <w:rsid w:val="000602DF"/>
    <w:rsid w:val="00060A2A"/>
    <w:rsid w:val="00061B05"/>
    <w:rsid w:val="00062973"/>
    <w:rsid w:val="00062D5D"/>
    <w:rsid w:val="000632D5"/>
    <w:rsid w:val="000644EE"/>
    <w:rsid w:val="00065407"/>
    <w:rsid w:val="00066302"/>
    <w:rsid w:val="00066F84"/>
    <w:rsid w:val="0006729A"/>
    <w:rsid w:val="00070042"/>
    <w:rsid w:val="000704CE"/>
    <w:rsid w:val="00070B8E"/>
    <w:rsid w:val="00071ABC"/>
    <w:rsid w:val="000803C8"/>
    <w:rsid w:val="0008441F"/>
    <w:rsid w:val="000856D7"/>
    <w:rsid w:val="00085BE4"/>
    <w:rsid w:val="00086925"/>
    <w:rsid w:val="000871FD"/>
    <w:rsid w:val="000877EE"/>
    <w:rsid w:val="00087B12"/>
    <w:rsid w:val="000902AD"/>
    <w:rsid w:val="00090F23"/>
    <w:rsid w:val="00091FFE"/>
    <w:rsid w:val="000925AD"/>
    <w:rsid w:val="00096C3C"/>
    <w:rsid w:val="000977D9"/>
    <w:rsid w:val="00097AC0"/>
    <w:rsid w:val="000A08F6"/>
    <w:rsid w:val="000A1A6F"/>
    <w:rsid w:val="000A24EB"/>
    <w:rsid w:val="000A3B22"/>
    <w:rsid w:val="000A4560"/>
    <w:rsid w:val="000A6CA5"/>
    <w:rsid w:val="000A6F0D"/>
    <w:rsid w:val="000B015F"/>
    <w:rsid w:val="000B1326"/>
    <w:rsid w:val="000B356F"/>
    <w:rsid w:val="000B6923"/>
    <w:rsid w:val="000C016D"/>
    <w:rsid w:val="000C033C"/>
    <w:rsid w:val="000C1D1D"/>
    <w:rsid w:val="000C3090"/>
    <w:rsid w:val="000C5F3C"/>
    <w:rsid w:val="000C6DCC"/>
    <w:rsid w:val="000C6EDD"/>
    <w:rsid w:val="000C712E"/>
    <w:rsid w:val="000D1296"/>
    <w:rsid w:val="000D2FA8"/>
    <w:rsid w:val="000D47AA"/>
    <w:rsid w:val="000D659B"/>
    <w:rsid w:val="000D721F"/>
    <w:rsid w:val="000D7AF1"/>
    <w:rsid w:val="000E069B"/>
    <w:rsid w:val="000E0B0D"/>
    <w:rsid w:val="000E0E82"/>
    <w:rsid w:val="000E1DC5"/>
    <w:rsid w:val="000E223F"/>
    <w:rsid w:val="000E35AC"/>
    <w:rsid w:val="000E4094"/>
    <w:rsid w:val="000E58BB"/>
    <w:rsid w:val="000E7D45"/>
    <w:rsid w:val="000F0E0D"/>
    <w:rsid w:val="000F1FFF"/>
    <w:rsid w:val="000F5CDE"/>
    <w:rsid w:val="000F7851"/>
    <w:rsid w:val="000F7FC4"/>
    <w:rsid w:val="00101217"/>
    <w:rsid w:val="001036B1"/>
    <w:rsid w:val="00104AFE"/>
    <w:rsid w:val="00104E23"/>
    <w:rsid w:val="00111A4E"/>
    <w:rsid w:val="00111B0C"/>
    <w:rsid w:val="00115BB6"/>
    <w:rsid w:val="001170E6"/>
    <w:rsid w:val="00120D6C"/>
    <w:rsid w:val="00122F8D"/>
    <w:rsid w:val="00123B64"/>
    <w:rsid w:val="001257EC"/>
    <w:rsid w:val="001263AB"/>
    <w:rsid w:val="00126A7F"/>
    <w:rsid w:val="001313C6"/>
    <w:rsid w:val="00132A27"/>
    <w:rsid w:val="00132C6A"/>
    <w:rsid w:val="00133D33"/>
    <w:rsid w:val="00134D64"/>
    <w:rsid w:val="00135A30"/>
    <w:rsid w:val="0013612C"/>
    <w:rsid w:val="00137FF6"/>
    <w:rsid w:val="001402DF"/>
    <w:rsid w:val="0014125F"/>
    <w:rsid w:val="00141650"/>
    <w:rsid w:val="00141E9B"/>
    <w:rsid w:val="001457D8"/>
    <w:rsid w:val="001467C9"/>
    <w:rsid w:val="00154E5F"/>
    <w:rsid w:val="00156A5B"/>
    <w:rsid w:val="0015726A"/>
    <w:rsid w:val="00160E9F"/>
    <w:rsid w:val="001611D5"/>
    <w:rsid w:val="00162738"/>
    <w:rsid w:val="00162A12"/>
    <w:rsid w:val="001638C0"/>
    <w:rsid w:val="00164704"/>
    <w:rsid w:val="00166530"/>
    <w:rsid w:val="00167E98"/>
    <w:rsid w:val="001700EB"/>
    <w:rsid w:val="0017016F"/>
    <w:rsid w:val="00170ABC"/>
    <w:rsid w:val="001715E6"/>
    <w:rsid w:val="00175A72"/>
    <w:rsid w:val="00175D58"/>
    <w:rsid w:val="00175D63"/>
    <w:rsid w:val="0017626B"/>
    <w:rsid w:val="001803C4"/>
    <w:rsid w:val="001832BD"/>
    <w:rsid w:val="00184B39"/>
    <w:rsid w:val="00184C9A"/>
    <w:rsid w:val="001875AD"/>
    <w:rsid w:val="00190170"/>
    <w:rsid w:val="00190D12"/>
    <w:rsid w:val="00191813"/>
    <w:rsid w:val="00191F0D"/>
    <w:rsid w:val="001943B5"/>
    <w:rsid w:val="00194CEA"/>
    <w:rsid w:val="00195134"/>
    <w:rsid w:val="00195CEE"/>
    <w:rsid w:val="00195EC3"/>
    <w:rsid w:val="00197BF9"/>
    <w:rsid w:val="001A145B"/>
    <w:rsid w:val="001A317B"/>
    <w:rsid w:val="001A40C3"/>
    <w:rsid w:val="001A4A2D"/>
    <w:rsid w:val="001A4BB2"/>
    <w:rsid w:val="001A4F20"/>
    <w:rsid w:val="001A55E2"/>
    <w:rsid w:val="001A5C2D"/>
    <w:rsid w:val="001A674C"/>
    <w:rsid w:val="001A70AE"/>
    <w:rsid w:val="001B3B24"/>
    <w:rsid w:val="001B6D68"/>
    <w:rsid w:val="001C0F98"/>
    <w:rsid w:val="001C16C5"/>
    <w:rsid w:val="001C2A42"/>
    <w:rsid w:val="001C3FF4"/>
    <w:rsid w:val="001C6649"/>
    <w:rsid w:val="001C6C11"/>
    <w:rsid w:val="001C6DD0"/>
    <w:rsid w:val="001D0DE8"/>
    <w:rsid w:val="001D63ED"/>
    <w:rsid w:val="001D7348"/>
    <w:rsid w:val="001D7DF7"/>
    <w:rsid w:val="001E035B"/>
    <w:rsid w:val="001E04AA"/>
    <w:rsid w:val="001E0961"/>
    <w:rsid w:val="001E1376"/>
    <w:rsid w:val="001E3EAE"/>
    <w:rsid w:val="001E430E"/>
    <w:rsid w:val="001E515C"/>
    <w:rsid w:val="001E5348"/>
    <w:rsid w:val="001E6F32"/>
    <w:rsid w:val="001F2145"/>
    <w:rsid w:val="001F3702"/>
    <w:rsid w:val="001F3DD0"/>
    <w:rsid w:val="001F3ED8"/>
    <w:rsid w:val="001F4978"/>
    <w:rsid w:val="001F4C31"/>
    <w:rsid w:val="001F6262"/>
    <w:rsid w:val="001F67B0"/>
    <w:rsid w:val="001F7796"/>
    <w:rsid w:val="001F7B3D"/>
    <w:rsid w:val="001F7D28"/>
    <w:rsid w:val="0020335F"/>
    <w:rsid w:val="00205A24"/>
    <w:rsid w:val="00205F9F"/>
    <w:rsid w:val="00207AF0"/>
    <w:rsid w:val="00210140"/>
    <w:rsid w:val="00210338"/>
    <w:rsid w:val="00210CEC"/>
    <w:rsid w:val="00211103"/>
    <w:rsid w:val="002115FC"/>
    <w:rsid w:val="002124A6"/>
    <w:rsid w:val="00212A84"/>
    <w:rsid w:val="002133F8"/>
    <w:rsid w:val="0021379D"/>
    <w:rsid w:val="0021423C"/>
    <w:rsid w:val="00214E41"/>
    <w:rsid w:val="00215A58"/>
    <w:rsid w:val="00217ABB"/>
    <w:rsid w:val="002236DA"/>
    <w:rsid w:val="0022697D"/>
    <w:rsid w:val="002269A1"/>
    <w:rsid w:val="002279DC"/>
    <w:rsid w:val="00230D00"/>
    <w:rsid w:val="00231DF7"/>
    <w:rsid w:val="00231FD1"/>
    <w:rsid w:val="0023221D"/>
    <w:rsid w:val="002339E0"/>
    <w:rsid w:val="00233CF8"/>
    <w:rsid w:val="0023553D"/>
    <w:rsid w:val="0023575D"/>
    <w:rsid w:val="00235E97"/>
    <w:rsid w:val="0023631E"/>
    <w:rsid w:val="0023675D"/>
    <w:rsid w:val="00237148"/>
    <w:rsid w:val="0024222D"/>
    <w:rsid w:val="00244B0E"/>
    <w:rsid w:val="00244F6C"/>
    <w:rsid w:val="0024700E"/>
    <w:rsid w:val="002470ED"/>
    <w:rsid w:val="00247622"/>
    <w:rsid w:val="00250EDE"/>
    <w:rsid w:val="0025179B"/>
    <w:rsid w:val="00252BC0"/>
    <w:rsid w:val="002532C5"/>
    <w:rsid w:val="002547EB"/>
    <w:rsid w:val="00255419"/>
    <w:rsid w:val="00260718"/>
    <w:rsid w:val="00260C03"/>
    <w:rsid w:val="002616E8"/>
    <w:rsid w:val="0026421B"/>
    <w:rsid w:val="0026540E"/>
    <w:rsid w:val="00265484"/>
    <w:rsid w:val="00266EEB"/>
    <w:rsid w:val="002671D1"/>
    <w:rsid w:val="00267EBA"/>
    <w:rsid w:val="00270C12"/>
    <w:rsid w:val="00272055"/>
    <w:rsid w:val="0027221C"/>
    <w:rsid w:val="0027225C"/>
    <w:rsid w:val="0027242D"/>
    <w:rsid w:val="00272DFC"/>
    <w:rsid w:val="00274096"/>
    <w:rsid w:val="00275123"/>
    <w:rsid w:val="002765CE"/>
    <w:rsid w:val="00281BA0"/>
    <w:rsid w:val="00282240"/>
    <w:rsid w:val="00282860"/>
    <w:rsid w:val="002849A0"/>
    <w:rsid w:val="00285063"/>
    <w:rsid w:val="0028572A"/>
    <w:rsid w:val="00285ABE"/>
    <w:rsid w:val="00286772"/>
    <w:rsid w:val="002876D2"/>
    <w:rsid w:val="00291EDB"/>
    <w:rsid w:val="002948AD"/>
    <w:rsid w:val="00294C05"/>
    <w:rsid w:val="00294C92"/>
    <w:rsid w:val="00294FC1"/>
    <w:rsid w:val="002A01CC"/>
    <w:rsid w:val="002A0223"/>
    <w:rsid w:val="002A200E"/>
    <w:rsid w:val="002A61B1"/>
    <w:rsid w:val="002A663C"/>
    <w:rsid w:val="002A72C6"/>
    <w:rsid w:val="002B1E6C"/>
    <w:rsid w:val="002B3570"/>
    <w:rsid w:val="002B444B"/>
    <w:rsid w:val="002B5887"/>
    <w:rsid w:val="002B5D39"/>
    <w:rsid w:val="002B606F"/>
    <w:rsid w:val="002C0692"/>
    <w:rsid w:val="002C0E27"/>
    <w:rsid w:val="002C146E"/>
    <w:rsid w:val="002C3040"/>
    <w:rsid w:val="002C5CFD"/>
    <w:rsid w:val="002D022D"/>
    <w:rsid w:val="002D11F4"/>
    <w:rsid w:val="002D24BB"/>
    <w:rsid w:val="002D2CA0"/>
    <w:rsid w:val="002D42A8"/>
    <w:rsid w:val="002D4C9D"/>
    <w:rsid w:val="002D5E70"/>
    <w:rsid w:val="002D7DB0"/>
    <w:rsid w:val="002E03D9"/>
    <w:rsid w:val="002E393E"/>
    <w:rsid w:val="002E60DE"/>
    <w:rsid w:val="002F171B"/>
    <w:rsid w:val="002F1D51"/>
    <w:rsid w:val="002F2195"/>
    <w:rsid w:val="002F2AF7"/>
    <w:rsid w:val="002F586D"/>
    <w:rsid w:val="002F6E7B"/>
    <w:rsid w:val="002F7B2E"/>
    <w:rsid w:val="002F7E1C"/>
    <w:rsid w:val="00301A75"/>
    <w:rsid w:val="00302F70"/>
    <w:rsid w:val="0030336F"/>
    <w:rsid w:val="0030375E"/>
    <w:rsid w:val="0030620B"/>
    <w:rsid w:val="00306532"/>
    <w:rsid w:val="003076CE"/>
    <w:rsid w:val="00307D85"/>
    <w:rsid w:val="0031102C"/>
    <w:rsid w:val="00312A30"/>
    <w:rsid w:val="003147D5"/>
    <w:rsid w:val="00314CCD"/>
    <w:rsid w:val="0031563D"/>
    <w:rsid w:val="00316670"/>
    <w:rsid w:val="0032061D"/>
    <w:rsid w:val="00320F72"/>
    <w:rsid w:val="003212A8"/>
    <w:rsid w:val="00324126"/>
    <w:rsid w:val="0032463E"/>
    <w:rsid w:val="00326224"/>
    <w:rsid w:val="0032676F"/>
    <w:rsid w:val="00326DE6"/>
    <w:rsid w:val="0033002A"/>
    <w:rsid w:val="00331DC1"/>
    <w:rsid w:val="00331EAC"/>
    <w:rsid w:val="003349BE"/>
    <w:rsid w:val="0033570F"/>
    <w:rsid w:val="00337EE4"/>
    <w:rsid w:val="00340FFD"/>
    <w:rsid w:val="00341DE7"/>
    <w:rsid w:val="00344FAC"/>
    <w:rsid w:val="00345551"/>
    <w:rsid w:val="003455ED"/>
    <w:rsid w:val="003466A2"/>
    <w:rsid w:val="003506B1"/>
    <w:rsid w:val="00353E82"/>
    <w:rsid w:val="0035582B"/>
    <w:rsid w:val="00356AC7"/>
    <w:rsid w:val="003609FA"/>
    <w:rsid w:val="00360A2B"/>
    <w:rsid w:val="00362715"/>
    <w:rsid w:val="003646EE"/>
    <w:rsid w:val="00364772"/>
    <w:rsid w:val="00364F39"/>
    <w:rsid w:val="00365C67"/>
    <w:rsid w:val="003710C8"/>
    <w:rsid w:val="003722B7"/>
    <w:rsid w:val="003741AC"/>
    <w:rsid w:val="003750BE"/>
    <w:rsid w:val="00375B26"/>
    <w:rsid w:val="00376627"/>
    <w:rsid w:val="00377CF0"/>
    <w:rsid w:val="00380C52"/>
    <w:rsid w:val="00381FBD"/>
    <w:rsid w:val="00384035"/>
    <w:rsid w:val="00384114"/>
    <w:rsid w:val="0038454B"/>
    <w:rsid w:val="00385B70"/>
    <w:rsid w:val="003862CB"/>
    <w:rsid w:val="00386B0B"/>
    <w:rsid w:val="00386B4D"/>
    <w:rsid w:val="00387B9D"/>
    <w:rsid w:val="00392FDD"/>
    <w:rsid w:val="0039364F"/>
    <w:rsid w:val="00396686"/>
    <w:rsid w:val="0039778E"/>
    <w:rsid w:val="003A23F9"/>
    <w:rsid w:val="003A25AB"/>
    <w:rsid w:val="003A441D"/>
    <w:rsid w:val="003A4B27"/>
    <w:rsid w:val="003A5913"/>
    <w:rsid w:val="003A7F36"/>
    <w:rsid w:val="003B0F4F"/>
    <w:rsid w:val="003B4941"/>
    <w:rsid w:val="003C3589"/>
    <w:rsid w:val="003C4E76"/>
    <w:rsid w:val="003C5714"/>
    <w:rsid w:val="003C666C"/>
    <w:rsid w:val="003C6B9F"/>
    <w:rsid w:val="003C6E2A"/>
    <w:rsid w:val="003D0299"/>
    <w:rsid w:val="003D0790"/>
    <w:rsid w:val="003D0AE9"/>
    <w:rsid w:val="003D1A8F"/>
    <w:rsid w:val="003D2480"/>
    <w:rsid w:val="003D2FCE"/>
    <w:rsid w:val="003D5993"/>
    <w:rsid w:val="003D5BD2"/>
    <w:rsid w:val="003E0271"/>
    <w:rsid w:val="003E353A"/>
    <w:rsid w:val="003E377F"/>
    <w:rsid w:val="003E4862"/>
    <w:rsid w:val="003E4A98"/>
    <w:rsid w:val="003E6D80"/>
    <w:rsid w:val="003F05FA"/>
    <w:rsid w:val="003F100C"/>
    <w:rsid w:val="003F244A"/>
    <w:rsid w:val="003F2D61"/>
    <w:rsid w:val="003F30B8"/>
    <w:rsid w:val="003F396D"/>
    <w:rsid w:val="003F4C45"/>
    <w:rsid w:val="003F5949"/>
    <w:rsid w:val="003F5F7B"/>
    <w:rsid w:val="003F7D64"/>
    <w:rsid w:val="00400447"/>
    <w:rsid w:val="00401C43"/>
    <w:rsid w:val="00402B14"/>
    <w:rsid w:val="00402E91"/>
    <w:rsid w:val="00403833"/>
    <w:rsid w:val="004042E2"/>
    <w:rsid w:val="0040493F"/>
    <w:rsid w:val="00406B09"/>
    <w:rsid w:val="00406E07"/>
    <w:rsid w:val="004072A9"/>
    <w:rsid w:val="00414300"/>
    <w:rsid w:val="0041597A"/>
    <w:rsid w:val="004167E9"/>
    <w:rsid w:val="00423788"/>
    <w:rsid w:val="00423CCA"/>
    <w:rsid w:val="004249CA"/>
    <w:rsid w:val="00425C67"/>
    <w:rsid w:val="00427E7A"/>
    <w:rsid w:val="00430064"/>
    <w:rsid w:val="004327A7"/>
    <w:rsid w:val="00436307"/>
    <w:rsid w:val="004367F2"/>
    <w:rsid w:val="00436C49"/>
    <w:rsid w:val="00437478"/>
    <w:rsid w:val="004412F9"/>
    <w:rsid w:val="004443EC"/>
    <w:rsid w:val="00445366"/>
    <w:rsid w:val="004477CE"/>
    <w:rsid w:val="00447F5B"/>
    <w:rsid w:val="00452A7D"/>
    <w:rsid w:val="0045347A"/>
    <w:rsid w:val="004552F8"/>
    <w:rsid w:val="00455B6D"/>
    <w:rsid w:val="004619F2"/>
    <w:rsid w:val="00461DB0"/>
    <w:rsid w:val="00461FF3"/>
    <w:rsid w:val="004626BC"/>
    <w:rsid w:val="00463926"/>
    <w:rsid w:val="00464097"/>
    <w:rsid w:val="004646E0"/>
    <w:rsid w:val="004649CC"/>
    <w:rsid w:val="00464C9A"/>
    <w:rsid w:val="00466291"/>
    <w:rsid w:val="00471503"/>
    <w:rsid w:val="00472686"/>
    <w:rsid w:val="00472DFE"/>
    <w:rsid w:val="00474F3D"/>
    <w:rsid w:val="0047547D"/>
    <w:rsid w:val="00476009"/>
    <w:rsid w:val="00476E49"/>
    <w:rsid w:val="00477E3A"/>
    <w:rsid w:val="004804E7"/>
    <w:rsid w:val="0048089B"/>
    <w:rsid w:val="00482C67"/>
    <w:rsid w:val="00483AEB"/>
    <w:rsid w:val="00483E5F"/>
    <w:rsid w:val="00485F22"/>
    <w:rsid w:val="00485FF9"/>
    <w:rsid w:val="004907F0"/>
    <w:rsid w:val="0049140B"/>
    <w:rsid w:val="004923A5"/>
    <w:rsid w:val="00494835"/>
    <w:rsid w:val="00494B26"/>
    <w:rsid w:val="00496BFB"/>
    <w:rsid w:val="00497D11"/>
    <w:rsid w:val="004A0D16"/>
    <w:rsid w:val="004A15C7"/>
    <w:rsid w:val="004A4CC3"/>
    <w:rsid w:val="004A5200"/>
    <w:rsid w:val="004A6304"/>
    <w:rsid w:val="004A6DF4"/>
    <w:rsid w:val="004A6E11"/>
    <w:rsid w:val="004A7842"/>
    <w:rsid w:val="004B013B"/>
    <w:rsid w:val="004B0B16"/>
    <w:rsid w:val="004B0FD3"/>
    <w:rsid w:val="004B112B"/>
    <w:rsid w:val="004B146B"/>
    <w:rsid w:val="004B4E8C"/>
    <w:rsid w:val="004C01E4"/>
    <w:rsid w:val="004C086C"/>
    <w:rsid w:val="004C1F56"/>
    <w:rsid w:val="004C27BC"/>
    <w:rsid w:val="004D15F3"/>
    <w:rsid w:val="004D169A"/>
    <w:rsid w:val="004D19F2"/>
    <w:rsid w:val="004D223C"/>
    <w:rsid w:val="004D347F"/>
    <w:rsid w:val="004D44C8"/>
    <w:rsid w:val="004D5311"/>
    <w:rsid w:val="004D5D03"/>
    <w:rsid w:val="004D5DCC"/>
    <w:rsid w:val="004D68E0"/>
    <w:rsid w:val="004E49AC"/>
    <w:rsid w:val="004E5029"/>
    <w:rsid w:val="004E7FAB"/>
    <w:rsid w:val="004F027B"/>
    <w:rsid w:val="004F08A9"/>
    <w:rsid w:val="004F10AF"/>
    <w:rsid w:val="004F11A4"/>
    <w:rsid w:val="004F2389"/>
    <w:rsid w:val="004F304D"/>
    <w:rsid w:val="004F3EA2"/>
    <w:rsid w:val="004F4BB7"/>
    <w:rsid w:val="004F61BE"/>
    <w:rsid w:val="004F65CB"/>
    <w:rsid w:val="004F66B1"/>
    <w:rsid w:val="004F7F43"/>
    <w:rsid w:val="00502325"/>
    <w:rsid w:val="00502A0D"/>
    <w:rsid w:val="00511940"/>
    <w:rsid w:val="00511C07"/>
    <w:rsid w:val="00512D5D"/>
    <w:rsid w:val="00515842"/>
    <w:rsid w:val="00516CE6"/>
    <w:rsid w:val="005173A6"/>
    <w:rsid w:val="00520BAA"/>
    <w:rsid w:val="0052151F"/>
    <w:rsid w:val="00522284"/>
    <w:rsid w:val="005225D1"/>
    <w:rsid w:val="005237ED"/>
    <w:rsid w:val="005247CA"/>
    <w:rsid w:val="00525208"/>
    <w:rsid w:val="00525443"/>
    <w:rsid w:val="005254FC"/>
    <w:rsid w:val="005257A5"/>
    <w:rsid w:val="005264C0"/>
    <w:rsid w:val="00526A8A"/>
    <w:rsid w:val="00526B94"/>
    <w:rsid w:val="00530586"/>
    <w:rsid w:val="00531DF2"/>
    <w:rsid w:val="00532B95"/>
    <w:rsid w:val="005330EE"/>
    <w:rsid w:val="00533CF7"/>
    <w:rsid w:val="00535BB8"/>
    <w:rsid w:val="00537E56"/>
    <w:rsid w:val="005407A9"/>
    <w:rsid w:val="00540A31"/>
    <w:rsid w:val="0054290F"/>
    <w:rsid w:val="00542B0E"/>
    <w:rsid w:val="0054390C"/>
    <w:rsid w:val="005442EE"/>
    <w:rsid w:val="00545282"/>
    <w:rsid w:val="0054716D"/>
    <w:rsid w:val="00547353"/>
    <w:rsid w:val="005474E7"/>
    <w:rsid w:val="005511D4"/>
    <w:rsid w:val="005512A3"/>
    <w:rsid w:val="00556C2C"/>
    <w:rsid w:val="005576EE"/>
    <w:rsid w:val="005578CE"/>
    <w:rsid w:val="005603B8"/>
    <w:rsid w:val="00561803"/>
    <w:rsid w:val="00562781"/>
    <w:rsid w:val="00563E83"/>
    <w:rsid w:val="0057271C"/>
    <w:rsid w:val="00572845"/>
    <w:rsid w:val="00573582"/>
    <w:rsid w:val="0057616B"/>
    <w:rsid w:val="0057697A"/>
    <w:rsid w:val="0057745F"/>
    <w:rsid w:val="00577E01"/>
    <w:rsid w:val="00592772"/>
    <w:rsid w:val="00592EE2"/>
    <w:rsid w:val="00593A09"/>
    <w:rsid w:val="0059574A"/>
    <w:rsid w:val="00595F44"/>
    <w:rsid w:val="005A1B9B"/>
    <w:rsid w:val="005A291D"/>
    <w:rsid w:val="005A2A62"/>
    <w:rsid w:val="005A303A"/>
    <w:rsid w:val="005A6751"/>
    <w:rsid w:val="005A747D"/>
    <w:rsid w:val="005A7E1D"/>
    <w:rsid w:val="005B092E"/>
    <w:rsid w:val="005B152C"/>
    <w:rsid w:val="005B1EE0"/>
    <w:rsid w:val="005B2B24"/>
    <w:rsid w:val="005B4425"/>
    <w:rsid w:val="005B4B94"/>
    <w:rsid w:val="005C04A0"/>
    <w:rsid w:val="005C1A84"/>
    <w:rsid w:val="005C2471"/>
    <w:rsid w:val="005C3EE8"/>
    <w:rsid w:val="005C52C6"/>
    <w:rsid w:val="005D0823"/>
    <w:rsid w:val="005D334D"/>
    <w:rsid w:val="005D34F9"/>
    <w:rsid w:val="005D4190"/>
    <w:rsid w:val="005D469E"/>
    <w:rsid w:val="005D67A3"/>
    <w:rsid w:val="005D6B22"/>
    <w:rsid w:val="005D7EB6"/>
    <w:rsid w:val="005E1D39"/>
    <w:rsid w:val="005E2988"/>
    <w:rsid w:val="005E2A43"/>
    <w:rsid w:val="005E3085"/>
    <w:rsid w:val="005E438A"/>
    <w:rsid w:val="005E7047"/>
    <w:rsid w:val="005F046E"/>
    <w:rsid w:val="005F1F5E"/>
    <w:rsid w:val="005F2ED2"/>
    <w:rsid w:val="005F30EB"/>
    <w:rsid w:val="005F328C"/>
    <w:rsid w:val="005F3DFC"/>
    <w:rsid w:val="005F51E1"/>
    <w:rsid w:val="00600D08"/>
    <w:rsid w:val="0060427C"/>
    <w:rsid w:val="006052B8"/>
    <w:rsid w:val="00610575"/>
    <w:rsid w:val="006105B7"/>
    <w:rsid w:val="006107E4"/>
    <w:rsid w:val="006109E1"/>
    <w:rsid w:val="00611C80"/>
    <w:rsid w:val="00613103"/>
    <w:rsid w:val="006133A3"/>
    <w:rsid w:val="0061603D"/>
    <w:rsid w:val="00617D18"/>
    <w:rsid w:val="00620692"/>
    <w:rsid w:val="006210C0"/>
    <w:rsid w:val="006242CA"/>
    <w:rsid w:val="00624CD5"/>
    <w:rsid w:val="00624D69"/>
    <w:rsid w:val="006251B9"/>
    <w:rsid w:val="00627507"/>
    <w:rsid w:val="006306D4"/>
    <w:rsid w:val="006332A7"/>
    <w:rsid w:val="00633717"/>
    <w:rsid w:val="00633E63"/>
    <w:rsid w:val="006344E1"/>
    <w:rsid w:val="006416C3"/>
    <w:rsid w:val="006435EC"/>
    <w:rsid w:val="0064398A"/>
    <w:rsid w:val="00644B82"/>
    <w:rsid w:val="006478CD"/>
    <w:rsid w:val="0064792A"/>
    <w:rsid w:val="00647E0F"/>
    <w:rsid w:val="00647E9B"/>
    <w:rsid w:val="006528A6"/>
    <w:rsid w:val="006545C4"/>
    <w:rsid w:val="00657BB5"/>
    <w:rsid w:val="00657CC4"/>
    <w:rsid w:val="00661971"/>
    <w:rsid w:val="00661CE8"/>
    <w:rsid w:val="006623D9"/>
    <w:rsid w:val="00662649"/>
    <w:rsid w:val="00662946"/>
    <w:rsid w:val="00664B42"/>
    <w:rsid w:val="0066550C"/>
    <w:rsid w:val="0066568F"/>
    <w:rsid w:val="006672CC"/>
    <w:rsid w:val="00670D7F"/>
    <w:rsid w:val="006716F2"/>
    <w:rsid w:val="006718CD"/>
    <w:rsid w:val="0067225B"/>
    <w:rsid w:val="00676960"/>
    <w:rsid w:val="006772E2"/>
    <w:rsid w:val="00677631"/>
    <w:rsid w:val="006779B9"/>
    <w:rsid w:val="006818F5"/>
    <w:rsid w:val="006829CA"/>
    <w:rsid w:val="00682BF2"/>
    <w:rsid w:val="006859CE"/>
    <w:rsid w:val="00686C80"/>
    <w:rsid w:val="00691270"/>
    <w:rsid w:val="0069164E"/>
    <w:rsid w:val="00694349"/>
    <w:rsid w:val="00694BA8"/>
    <w:rsid w:val="00696790"/>
    <w:rsid w:val="006A037C"/>
    <w:rsid w:val="006A0687"/>
    <w:rsid w:val="006A21C4"/>
    <w:rsid w:val="006A29A6"/>
    <w:rsid w:val="006A36F4"/>
    <w:rsid w:val="006A406F"/>
    <w:rsid w:val="006A4A6F"/>
    <w:rsid w:val="006A5AEF"/>
    <w:rsid w:val="006A5C20"/>
    <w:rsid w:val="006A5D3A"/>
    <w:rsid w:val="006A5EF2"/>
    <w:rsid w:val="006C23D4"/>
    <w:rsid w:val="006C2692"/>
    <w:rsid w:val="006C2E1C"/>
    <w:rsid w:val="006C333D"/>
    <w:rsid w:val="006C43D2"/>
    <w:rsid w:val="006C6EEB"/>
    <w:rsid w:val="006C7BB0"/>
    <w:rsid w:val="006C7C1E"/>
    <w:rsid w:val="006D22F3"/>
    <w:rsid w:val="006D2DA4"/>
    <w:rsid w:val="006D3067"/>
    <w:rsid w:val="006D3237"/>
    <w:rsid w:val="006D41FA"/>
    <w:rsid w:val="006D610C"/>
    <w:rsid w:val="006D69EB"/>
    <w:rsid w:val="006E1713"/>
    <w:rsid w:val="006E2E37"/>
    <w:rsid w:val="006E3CF1"/>
    <w:rsid w:val="006E4C00"/>
    <w:rsid w:val="006E77F4"/>
    <w:rsid w:val="006E7AB1"/>
    <w:rsid w:val="006E7C4B"/>
    <w:rsid w:val="006E7E80"/>
    <w:rsid w:val="006F1DF9"/>
    <w:rsid w:val="006F23DF"/>
    <w:rsid w:val="006F24DB"/>
    <w:rsid w:val="006F40F6"/>
    <w:rsid w:val="006F4519"/>
    <w:rsid w:val="006F48CA"/>
    <w:rsid w:val="006F64DD"/>
    <w:rsid w:val="006F7265"/>
    <w:rsid w:val="007000A7"/>
    <w:rsid w:val="00700851"/>
    <w:rsid w:val="00707092"/>
    <w:rsid w:val="00707997"/>
    <w:rsid w:val="00713313"/>
    <w:rsid w:val="00715127"/>
    <w:rsid w:val="00715E8E"/>
    <w:rsid w:val="00717BB1"/>
    <w:rsid w:val="007217DA"/>
    <w:rsid w:val="00723580"/>
    <w:rsid w:val="00723755"/>
    <w:rsid w:val="00724A68"/>
    <w:rsid w:val="0072638B"/>
    <w:rsid w:val="0073136C"/>
    <w:rsid w:val="00731E36"/>
    <w:rsid w:val="00731F0F"/>
    <w:rsid w:val="00733250"/>
    <w:rsid w:val="00741404"/>
    <w:rsid w:val="0074401B"/>
    <w:rsid w:val="007449E5"/>
    <w:rsid w:val="00746C5A"/>
    <w:rsid w:val="00747FF0"/>
    <w:rsid w:val="007509D5"/>
    <w:rsid w:val="007511C4"/>
    <w:rsid w:val="00754335"/>
    <w:rsid w:val="007561A5"/>
    <w:rsid w:val="00757B0E"/>
    <w:rsid w:val="00764423"/>
    <w:rsid w:val="00764B05"/>
    <w:rsid w:val="00764D4E"/>
    <w:rsid w:val="00765106"/>
    <w:rsid w:val="00765A1F"/>
    <w:rsid w:val="00765C46"/>
    <w:rsid w:val="007660CF"/>
    <w:rsid w:val="00770FF7"/>
    <w:rsid w:val="007716DC"/>
    <w:rsid w:val="00772728"/>
    <w:rsid w:val="00772F0A"/>
    <w:rsid w:val="007730FD"/>
    <w:rsid w:val="007742F8"/>
    <w:rsid w:val="00774A6E"/>
    <w:rsid w:val="007759CF"/>
    <w:rsid w:val="00775B6D"/>
    <w:rsid w:val="00776D68"/>
    <w:rsid w:val="0077707C"/>
    <w:rsid w:val="00780DB7"/>
    <w:rsid w:val="0078186D"/>
    <w:rsid w:val="007850EE"/>
    <w:rsid w:val="00785B95"/>
    <w:rsid w:val="00785DC1"/>
    <w:rsid w:val="00790433"/>
    <w:rsid w:val="00790E96"/>
    <w:rsid w:val="007917D0"/>
    <w:rsid w:val="00792869"/>
    <w:rsid w:val="007929A9"/>
    <w:rsid w:val="00792AFF"/>
    <w:rsid w:val="00793366"/>
    <w:rsid w:val="007939BC"/>
    <w:rsid w:val="00794FB5"/>
    <w:rsid w:val="00797863"/>
    <w:rsid w:val="007A716F"/>
    <w:rsid w:val="007A7C53"/>
    <w:rsid w:val="007B270A"/>
    <w:rsid w:val="007B7166"/>
    <w:rsid w:val="007B7E4B"/>
    <w:rsid w:val="007C0695"/>
    <w:rsid w:val="007C2BDD"/>
    <w:rsid w:val="007C3873"/>
    <w:rsid w:val="007C419A"/>
    <w:rsid w:val="007C4CC8"/>
    <w:rsid w:val="007C5426"/>
    <w:rsid w:val="007C5798"/>
    <w:rsid w:val="007D0EB7"/>
    <w:rsid w:val="007D188F"/>
    <w:rsid w:val="007D4139"/>
    <w:rsid w:val="007D4832"/>
    <w:rsid w:val="007D7C83"/>
    <w:rsid w:val="007E21B2"/>
    <w:rsid w:val="007E2C4E"/>
    <w:rsid w:val="007E3B4C"/>
    <w:rsid w:val="007E44E2"/>
    <w:rsid w:val="007E7675"/>
    <w:rsid w:val="007F1864"/>
    <w:rsid w:val="007F1905"/>
    <w:rsid w:val="007F250B"/>
    <w:rsid w:val="007F67E6"/>
    <w:rsid w:val="0080048F"/>
    <w:rsid w:val="00801300"/>
    <w:rsid w:val="00802C64"/>
    <w:rsid w:val="00803AB6"/>
    <w:rsid w:val="00803BBE"/>
    <w:rsid w:val="008046AA"/>
    <w:rsid w:val="00805E52"/>
    <w:rsid w:val="008061D0"/>
    <w:rsid w:val="00810B38"/>
    <w:rsid w:val="0081119C"/>
    <w:rsid w:val="008128CE"/>
    <w:rsid w:val="00813B8E"/>
    <w:rsid w:val="008143AD"/>
    <w:rsid w:val="008204C7"/>
    <w:rsid w:val="00820992"/>
    <w:rsid w:val="00821D6F"/>
    <w:rsid w:val="00822F95"/>
    <w:rsid w:val="00823602"/>
    <w:rsid w:val="00823C40"/>
    <w:rsid w:val="00823FFC"/>
    <w:rsid w:val="00824722"/>
    <w:rsid w:val="00824A43"/>
    <w:rsid w:val="00824C65"/>
    <w:rsid w:val="008255F5"/>
    <w:rsid w:val="008300F5"/>
    <w:rsid w:val="0083014E"/>
    <w:rsid w:val="00831CAC"/>
    <w:rsid w:val="0083214A"/>
    <w:rsid w:val="00832519"/>
    <w:rsid w:val="00834220"/>
    <w:rsid w:val="0083426B"/>
    <w:rsid w:val="0084095E"/>
    <w:rsid w:val="00840F6A"/>
    <w:rsid w:val="008443CF"/>
    <w:rsid w:val="00844EC7"/>
    <w:rsid w:val="008451BD"/>
    <w:rsid w:val="00845723"/>
    <w:rsid w:val="0084592B"/>
    <w:rsid w:val="00845B56"/>
    <w:rsid w:val="00851EF9"/>
    <w:rsid w:val="00855EA4"/>
    <w:rsid w:val="00857248"/>
    <w:rsid w:val="008577FD"/>
    <w:rsid w:val="00857F08"/>
    <w:rsid w:val="00860B03"/>
    <w:rsid w:val="00861397"/>
    <w:rsid w:val="0086347D"/>
    <w:rsid w:val="00863A91"/>
    <w:rsid w:val="0086497A"/>
    <w:rsid w:val="008713A1"/>
    <w:rsid w:val="00874A2A"/>
    <w:rsid w:val="008754AB"/>
    <w:rsid w:val="008801B3"/>
    <w:rsid w:val="0088060C"/>
    <w:rsid w:val="00880B07"/>
    <w:rsid w:val="00881874"/>
    <w:rsid w:val="00881AF4"/>
    <w:rsid w:val="00885490"/>
    <w:rsid w:val="008855D8"/>
    <w:rsid w:val="0089300A"/>
    <w:rsid w:val="00893576"/>
    <w:rsid w:val="00893E73"/>
    <w:rsid w:val="00893F88"/>
    <w:rsid w:val="00897A6A"/>
    <w:rsid w:val="008A0FDD"/>
    <w:rsid w:val="008A1E08"/>
    <w:rsid w:val="008A2DB0"/>
    <w:rsid w:val="008A43C4"/>
    <w:rsid w:val="008A464E"/>
    <w:rsid w:val="008A4E09"/>
    <w:rsid w:val="008A71DF"/>
    <w:rsid w:val="008A7240"/>
    <w:rsid w:val="008A7817"/>
    <w:rsid w:val="008B02DC"/>
    <w:rsid w:val="008B531D"/>
    <w:rsid w:val="008B57CE"/>
    <w:rsid w:val="008B659F"/>
    <w:rsid w:val="008B66B6"/>
    <w:rsid w:val="008C1BE8"/>
    <w:rsid w:val="008C26DE"/>
    <w:rsid w:val="008C2A33"/>
    <w:rsid w:val="008C2DFB"/>
    <w:rsid w:val="008C4A53"/>
    <w:rsid w:val="008C6F5E"/>
    <w:rsid w:val="008D19BF"/>
    <w:rsid w:val="008D2225"/>
    <w:rsid w:val="008D39A7"/>
    <w:rsid w:val="008D4752"/>
    <w:rsid w:val="008D552A"/>
    <w:rsid w:val="008D5CDB"/>
    <w:rsid w:val="008E1CCB"/>
    <w:rsid w:val="008E271C"/>
    <w:rsid w:val="008E292A"/>
    <w:rsid w:val="008E418E"/>
    <w:rsid w:val="008E526C"/>
    <w:rsid w:val="008E54F2"/>
    <w:rsid w:val="008E5BC6"/>
    <w:rsid w:val="008E5FFB"/>
    <w:rsid w:val="008E6A25"/>
    <w:rsid w:val="008E6E5C"/>
    <w:rsid w:val="008F17B5"/>
    <w:rsid w:val="008F2B98"/>
    <w:rsid w:val="008F5193"/>
    <w:rsid w:val="008F62BD"/>
    <w:rsid w:val="00900CA6"/>
    <w:rsid w:val="009013A7"/>
    <w:rsid w:val="009017FB"/>
    <w:rsid w:val="009017FC"/>
    <w:rsid w:val="0090186D"/>
    <w:rsid w:val="009030B5"/>
    <w:rsid w:val="00903710"/>
    <w:rsid w:val="00903B43"/>
    <w:rsid w:val="00904328"/>
    <w:rsid w:val="0090506B"/>
    <w:rsid w:val="009050C9"/>
    <w:rsid w:val="00905D34"/>
    <w:rsid w:val="009066FC"/>
    <w:rsid w:val="00910397"/>
    <w:rsid w:val="00913174"/>
    <w:rsid w:val="009140A3"/>
    <w:rsid w:val="009144A2"/>
    <w:rsid w:val="00914567"/>
    <w:rsid w:val="0091510C"/>
    <w:rsid w:val="00915ED2"/>
    <w:rsid w:val="009162B1"/>
    <w:rsid w:val="009163D1"/>
    <w:rsid w:val="00916584"/>
    <w:rsid w:val="0091698C"/>
    <w:rsid w:val="00920320"/>
    <w:rsid w:val="00920C4F"/>
    <w:rsid w:val="0092339A"/>
    <w:rsid w:val="0092454A"/>
    <w:rsid w:val="00924886"/>
    <w:rsid w:val="00925768"/>
    <w:rsid w:val="009259AC"/>
    <w:rsid w:val="00926B14"/>
    <w:rsid w:val="00926F38"/>
    <w:rsid w:val="0092737E"/>
    <w:rsid w:val="0092749F"/>
    <w:rsid w:val="00927500"/>
    <w:rsid w:val="0093116C"/>
    <w:rsid w:val="009319FF"/>
    <w:rsid w:val="00933307"/>
    <w:rsid w:val="00934301"/>
    <w:rsid w:val="0093619F"/>
    <w:rsid w:val="00936CD1"/>
    <w:rsid w:val="00941747"/>
    <w:rsid w:val="00941EFB"/>
    <w:rsid w:val="00942E42"/>
    <w:rsid w:val="00943B43"/>
    <w:rsid w:val="00943DEF"/>
    <w:rsid w:val="0094720F"/>
    <w:rsid w:val="00947A86"/>
    <w:rsid w:val="00947AFB"/>
    <w:rsid w:val="00951D7D"/>
    <w:rsid w:val="00952C12"/>
    <w:rsid w:val="009563C3"/>
    <w:rsid w:val="00956903"/>
    <w:rsid w:val="0096090C"/>
    <w:rsid w:val="00961280"/>
    <w:rsid w:val="009630C7"/>
    <w:rsid w:val="0096562E"/>
    <w:rsid w:val="00972B55"/>
    <w:rsid w:val="009735E0"/>
    <w:rsid w:val="00973B67"/>
    <w:rsid w:val="00973C04"/>
    <w:rsid w:val="009743B7"/>
    <w:rsid w:val="00980C8A"/>
    <w:rsid w:val="0098228B"/>
    <w:rsid w:val="009828DA"/>
    <w:rsid w:val="0098417B"/>
    <w:rsid w:val="0098516D"/>
    <w:rsid w:val="00985BAB"/>
    <w:rsid w:val="009863E3"/>
    <w:rsid w:val="009864B7"/>
    <w:rsid w:val="00991177"/>
    <w:rsid w:val="0099725C"/>
    <w:rsid w:val="00997F03"/>
    <w:rsid w:val="009A0B93"/>
    <w:rsid w:val="009A362A"/>
    <w:rsid w:val="009A41B9"/>
    <w:rsid w:val="009A46DF"/>
    <w:rsid w:val="009A4C87"/>
    <w:rsid w:val="009A4E32"/>
    <w:rsid w:val="009B0109"/>
    <w:rsid w:val="009B0A7C"/>
    <w:rsid w:val="009B0AAD"/>
    <w:rsid w:val="009B134D"/>
    <w:rsid w:val="009B1866"/>
    <w:rsid w:val="009B1B5F"/>
    <w:rsid w:val="009B2EC2"/>
    <w:rsid w:val="009B3827"/>
    <w:rsid w:val="009B3FAE"/>
    <w:rsid w:val="009B6661"/>
    <w:rsid w:val="009B6673"/>
    <w:rsid w:val="009B68FE"/>
    <w:rsid w:val="009C191B"/>
    <w:rsid w:val="009C2BD6"/>
    <w:rsid w:val="009C35B7"/>
    <w:rsid w:val="009C5BB6"/>
    <w:rsid w:val="009D10CF"/>
    <w:rsid w:val="009D4636"/>
    <w:rsid w:val="009D51F9"/>
    <w:rsid w:val="009E0AC8"/>
    <w:rsid w:val="009E0C29"/>
    <w:rsid w:val="009E1F32"/>
    <w:rsid w:val="009E22C6"/>
    <w:rsid w:val="009E2B4C"/>
    <w:rsid w:val="009E3CD5"/>
    <w:rsid w:val="009E56CE"/>
    <w:rsid w:val="009E5829"/>
    <w:rsid w:val="009E776C"/>
    <w:rsid w:val="009F214F"/>
    <w:rsid w:val="009F478F"/>
    <w:rsid w:val="009F5D1C"/>
    <w:rsid w:val="009F6522"/>
    <w:rsid w:val="009F6BD9"/>
    <w:rsid w:val="00A012E9"/>
    <w:rsid w:val="00A01895"/>
    <w:rsid w:val="00A02D9B"/>
    <w:rsid w:val="00A038FB"/>
    <w:rsid w:val="00A0538F"/>
    <w:rsid w:val="00A062D5"/>
    <w:rsid w:val="00A06A03"/>
    <w:rsid w:val="00A06A34"/>
    <w:rsid w:val="00A06F08"/>
    <w:rsid w:val="00A1060D"/>
    <w:rsid w:val="00A130B4"/>
    <w:rsid w:val="00A15040"/>
    <w:rsid w:val="00A161C2"/>
    <w:rsid w:val="00A16C9B"/>
    <w:rsid w:val="00A1726E"/>
    <w:rsid w:val="00A204CF"/>
    <w:rsid w:val="00A21418"/>
    <w:rsid w:val="00A23D49"/>
    <w:rsid w:val="00A27004"/>
    <w:rsid w:val="00A30C29"/>
    <w:rsid w:val="00A3122D"/>
    <w:rsid w:val="00A31480"/>
    <w:rsid w:val="00A332F2"/>
    <w:rsid w:val="00A34DD6"/>
    <w:rsid w:val="00A35CE2"/>
    <w:rsid w:val="00A36819"/>
    <w:rsid w:val="00A36989"/>
    <w:rsid w:val="00A371F1"/>
    <w:rsid w:val="00A37681"/>
    <w:rsid w:val="00A4150D"/>
    <w:rsid w:val="00A428FD"/>
    <w:rsid w:val="00A43628"/>
    <w:rsid w:val="00A43F1D"/>
    <w:rsid w:val="00A448C2"/>
    <w:rsid w:val="00A45B90"/>
    <w:rsid w:val="00A45D69"/>
    <w:rsid w:val="00A4799E"/>
    <w:rsid w:val="00A47D4F"/>
    <w:rsid w:val="00A50C3E"/>
    <w:rsid w:val="00A5170B"/>
    <w:rsid w:val="00A54192"/>
    <w:rsid w:val="00A549E4"/>
    <w:rsid w:val="00A56113"/>
    <w:rsid w:val="00A57DA3"/>
    <w:rsid w:val="00A6035E"/>
    <w:rsid w:val="00A6144C"/>
    <w:rsid w:val="00A66617"/>
    <w:rsid w:val="00A6689C"/>
    <w:rsid w:val="00A671F8"/>
    <w:rsid w:val="00A673A4"/>
    <w:rsid w:val="00A70F7B"/>
    <w:rsid w:val="00A71C5A"/>
    <w:rsid w:val="00A724AE"/>
    <w:rsid w:val="00A73329"/>
    <w:rsid w:val="00A73F08"/>
    <w:rsid w:val="00A74DEF"/>
    <w:rsid w:val="00A77D0B"/>
    <w:rsid w:val="00A82359"/>
    <w:rsid w:val="00A82F02"/>
    <w:rsid w:val="00A82FE4"/>
    <w:rsid w:val="00A84E71"/>
    <w:rsid w:val="00A865D2"/>
    <w:rsid w:val="00A9078A"/>
    <w:rsid w:val="00A91033"/>
    <w:rsid w:val="00A92A9D"/>
    <w:rsid w:val="00A94C20"/>
    <w:rsid w:val="00A95313"/>
    <w:rsid w:val="00A95D2D"/>
    <w:rsid w:val="00A96ED6"/>
    <w:rsid w:val="00A970C8"/>
    <w:rsid w:val="00A97603"/>
    <w:rsid w:val="00AA04CB"/>
    <w:rsid w:val="00AA227F"/>
    <w:rsid w:val="00AA3253"/>
    <w:rsid w:val="00AA3BC7"/>
    <w:rsid w:val="00AA754A"/>
    <w:rsid w:val="00AB00A0"/>
    <w:rsid w:val="00AB099E"/>
    <w:rsid w:val="00AB4328"/>
    <w:rsid w:val="00AB57ED"/>
    <w:rsid w:val="00AB58C9"/>
    <w:rsid w:val="00AB5FA0"/>
    <w:rsid w:val="00AC1ECE"/>
    <w:rsid w:val="00AC4A3C"/>
    <w:rsid w:val="00AC5AA5"/>
    <w:rsid w:val="00AC65C1"/>
    <w:rsid w:val="00AC7D0F"/>
    <w:rsid w:val="00AD131B"/>
    <w:rsid w:val="00AD172D"/>
    <w:rsid w:val="00AD4115"/>
    <w:rsid w:val="00AD7281"/>
    <w:rsid w:val="00AE0A09"/>
    <w:rsid w:val="00AE0A2E"/>
    <w:rsid w:val="00AE18C0"/>
    <w:rsid w:val="00AE2E9F"/>
    <w:rsid w:val="00AE354C"/>
    <w:rsid w:val="00AE4C6F"/>
    <w:rsid w:val="00AE5B80"/>
    <w:rsid w:val="00AE6C70"/>
    <w:rsid w:val="00AF0746"/>
    <w:rsid w:val="00AF0E97"/>
    <w:rsid w:val="00AF1805"/>
    <w:rsid w:val="00AF1F53"/>
    <w:rsid w:val="00AF33AE"/>
    <w:rsid w:val="00AF3D3C"/>
    <w:rsid w:val="00AF4B07"/>
    <w:rsid w:val="00AF6186"/>
    <w:rsid w:val="00AF7A3A"/>
    <w:rsid w:val="00B02CB3"/>
    <w:rsid w:val="00B045A0"/>
    <w:rsid w:val="00B102FF"/>
    <w:rsid w:val="00B1284E"/>
    <w:rsid w:val="00B12A55"/>
    <w:rsid w:val="00B1308B"/>
    <w:rsid w:val="00B132B6"/>
    <w:rsid w:val="00B156EB"/>
    <w:rsid w:val="00B160DB"/>
    <w:rsid w:val="00B1791A"/>
    <w:rsid w:val="00B20836"/>
    <w:rsid w:val="00B212B5"/>
    <w:rsid w:val="00B21E05"/>
    <w:rsid w:val="00B235BB"/>
    <w:rsid w:val="00B2447B"/>
    <w:rsid w:val="00B24C1E"/>
    <w:rsid w:val="00B25A2F"/>
    <w:rsid w:val="00B26215"/>
    <w:rsid w:val="00B272AB"/>
    <w:rsid w:val="00B27A44"/>
    <w:rsid w:val="00B27C30"/>
    <w:rsid w:val="00B303FE"/>
    <w:rsid w:val="00B30BBF"/>
    <w:rsid w:val="00B30E74"/>
    <w:rsid w:val="00B32B88"/>
    <w:rsid w:val="00B33C03"/>
    <w:rsid w:val="00B4193C"/>
    <w:rsid w:val="00B44E56"/>
    <w:rsid w:val="00B4555E"/>
    <w:rsid w:val="00B462AE"/>
    <w:rsid w:val="00B46543"/>
    <w:rsid w:val="00B46EF0"/>
    <w:rsid w:val="00B47D33"/>
    <w:rsid w:val="00B500F1"/>
    <w:rsid w:val="00B52BE0"/>
    <w:rsid w:val="00B54133"/>
    <w:rsid w:val="00B56003"/>
    <w:rsid w:val="00B5707C"/>
    <w:rsid w:val="00B576C8"/>
    <w:rsid w:val="00B60C53"/>
    <w:rsid w:val="00B6137E"/>
    <w:rsid w:val="00B628F5"/>
    <w:rsid w:val="00B62CD4"/>
    <w:rsid w:val="00B63352"/>
    <w:rsid w:val="00B637B9"/>
    <w:rsid w:val="00B65CF4"/>
    <w:rsid w:val="00B701ED"/>
    <w:rsid w:val="00B7224A"/>
    <w:rsid w:val="00B75EAC"/>
    <w:rsid w:val="00B76074"/>
    <w:rsid w:val="00B8007E"/>
    <w:rsid w:val="00B8086C"/>
    <w:rsid w:val="00B8275B"/>
    <w:rsid w:val="00B85D79"/>
    <w:rsid w:val="00B860D1"/>
    <w:rsid w:val="00B861B4"/>
    <w:rsid w:val="00B86DFE"/>
    <w:rsid w:val="00B90990"/>
    <w:rsid w:val="00B917AF"/>
    <w:rsid w:val="00B922FF"/>
    <w:rsid w:val="00B92491"/>
    <w:rsid w:val="00B9281E"/>
    <w:rsid w:val="00B93925"/>
    <w:rsid w:val="00B939AF"/>
    <w:rsid w:val="00B95187"/>
    <w:rsid w:val="00B97CC4"/>
    <w:rsid w:val="00B97FE8"/>
    <w:rsid w:val="00BA2901"/>
    <w:rsid w:val="00BA2D55"/>
    <w:rsid w:val="00BA36E4"/>
    <w:rsid w:val="00BA3A78"/>
    <w:rsid w:val="00BA5F2B"/>
    <w:rsid w:val="00BA71B1"/>
    <w:rsid w:val="00BB00F6"/>
    <w:rsid w:val="00BB0637"/>
    <w:rsid w:val="00BB345F"/>
    <w:rsid w:val="00BB4326"/>
    <w:rsid w:val="00BB5883"/>
    <w:rsid w:val="00BB68EA"/>
    <w:rsid w:val="00BC1C27"/>
    <w:rsid w:val="00BC344C"/>
    <w:rsid w:val="00BC3F56"/>
    <w:rsid w:val="00BC4E64"/>
    <w:rsid w:val="00BC6BBF"/>
    <w:rsid w:val="00BC719D"/>
    <w:rsid w:val="00BC7516"/>
    <w:rsid w:val="00BD1572"/>
    <w:rsid w:val="00BD15FB"/>
    <w:rsid w:val="00BD4ECE"/>
    <w:rsid w:val="00BD59FF"/>
    <w:rsid w:val="00BD5B45"/>
    <w:rsid w:val="00BD5FC5"/>
    <w:rsid w:val="00BD6D50"/>
    <w:rsid w:val="00BE05FC"/>
    <w:rsid w:val="00BE0FBF"/>
    <w:rsid w:val="00BE14E3"/>
    <w:rsid w:val="00BE16BE"/>
    <w:rsid w:val="00BE1FBC"/>
    <w:rsid w:val="00BE3774"/>
    <w:rsid w:val="00BE41E5"/>
    <w:rsid w:val="00BE452E"/>
    <w:rsid w:val="00BE60EC"/>
    <w:rsid w:val="00BE64F9"/>
    <w:rsid w:val="00BE67E6"/>
    <w:rsid w:val="00BF0BBB"/>
    <w:rsid w:val="00BF197C"/>
    <w:rsid w:val="00BF2212"/>
    <w:rsid w:val="00BF4109"/>
    <w:rsid w:val="00BF4CC3"/>
    <w:rsid w:val="00C00EA0"/>
    <w:rsid w:val="00C030EE"/>
    <w:rsid w:val="00C05115"/>
    <w:rsid w:val="00C054C7"/>
    <w:rsid w:val="00C057B5"/>
    <w:rsid w:val="00C06A4E"/>
    <w:rsid w:val="00C07B66"/>
    <w:rsid w:val="00C1319B"/>
    <w:rsid w:val="00C170B5"/>
    <w:rsid w:val="00C20CEE"/>
    <w:rsid w:val="00C21542"/>
    <w:rsid w:val="00C21680"/>
    <w:rsid w:val="00C21EA6"/>
    <w:rsid w:val="00C22111"/>
    <w:rsid w:val="00C22687"/>
    <w:rsid w:val="00C22C8E"/>
    <w:rsid w:val="00C22FB9"/>
    <w:rsid w:val="00C233E7"/>
    <w:rsid w:val="00C23C22"/>
    <w:rsid w:val="00C23DE8"/>
    <w:rsid w:val="00C302D4"/>
    <w:rsid w:val="00C3289F"/>
    <w:rsid w:val="00C32E4D"/>
    <w:rsid w:val="00C333A0"/>
    <w:rsid w:val="00C33DAA"/>
    <w:rsid w:val="00C3493B"/>
    <w:rsid w:val="00C3546A"/>
    <w:rsid w:val="00C36A81"/>
    <w:rsid w:val="00C403CC"/>
    <w:rsid w:val="00C412BB"/>
    <w:rsid w:val="00C41974"/>
    <w:rsid w:val="00C422A7"/>
    <w:rsid w:val="00C43E6E"/>
    <w:rsid w:val="00C447AD"/>
    <w:rsid w:val="00C47B68"/>
    <w:rsid w:val="00C53F4A"/>
    <w:rsid w:val="00C54125"/>
    <w:rsid w:val="00C559C4"/>
    <w:rsid w:val="00C55B54"/>
    <w:rsid w:val="00C56F67"/>
    <w:rsid w:val="00C5715C"/>
    <w:rsid w:val="00C6098E"/>
    <w:rsid w:val="00C6152C"/>
    <w:rsid w:val="00C621C2"/>
    <w:rsid w:val="00C630D5"/>
    <w:rsid w:val="00C6335C"/>
    <w:rsid w:val="00C634CB"/>
    <w:rsid w:val="00C65655"/>
    <w:rsid w:val="00C67BC3"/>
    <w:rsid w:val="00C70916"/>
    <w:rsid w:val="00C71D01"/>
    <w:rsid w:val="00C72A8D"/>
    <w:rsid w:val="00C72D42"/>
    <w:rsid w:val="00C730E9"/>
    <w:rsid w:val="00C74810"/>
    <w:rsid w:val="00C74B12"/>
    <w:rsid w:val="00C77185"/>
    <w:rsid w:val="00C7738F"/>
    <w:rsid w:val="00C81327"/>
    <w:rsid w:val="00C84B6F"/>
    <w:rsid w:val="00C85127"/>
    <w:rsid w:val="00C85483"/>
    <w:rsid w:val="00C86895"/>
    <w:rsid w:val="00C86BA5"/>
    <w:rsid w:val="00C86CCA"/>
    <w:rsid w:val="00C90D68"/>
    <w:rsid w:val="00C91121"/>
    <w:rsid w:val="00C9128B"/>
    <w:rsid w:val="00C915FB"/>
    <w:rsid w:val="00C91863"/>
    <w:rsid w:val="00C91F83"/>
    <w:rsid w:val="00C939FE"/>
    <w:rsid w:val="00C94F66"/>
    <w:rsid w:val="00C96031"/>
    <w:rsid w:val="00C96065"/>
    <w:rsid w:val="00C96E86"/>
    <w:rsid w:val="00C97B9C"/>
    <w:rsid w:val="00CA1922"/>
    <w:rsid w:val="00CA24F1"/>
    <w:rsid w:val="00CA3C32"/>
    <w:rsid w:val="00CA4784"/>
    <w:rsid w:val="00CA4BDA"/>
    <w:rsid w:val="00CB18B0"/>
    <w:rsid w:val="00CB1F66"/>
    <w:rsid w:val="00CB2951"/>
    <w:rsid w:val="00CB32CC"/>
    <w:rsid w:val="00CB39CB"/>
    <w:rsid w:val="00CB3AC4"/>
    <w:rsid w:val="00CB3C26"/>
    <w:rsid w:val="00CB58D6"/>
    <w:rsid w:val="00CB6A6B"/>
    <w:rsid w:val="00CB7E0F"/>
    <w:rsid w:val="00CC1F2D"/>
    <w:rsid w:val="00CC2A4E"/>
    <w:rsid w:val="00CC350E"/>
    <w:rsid w:val="00CC672B"/>
    <w:rsid w:val="00CD1867"/>
    <w:rsid w:val="00CD282B"/>
    <w:rsid w:val="00CD43B4"/>
    <w:rsid w:val="00CD47B6"/>
    <w:rsid w:val="00CD4C35"/>
    <w:rsid w:val="00CD5009"/>
    <w:rsid w:val="00CD7369"/>
    <w:rsid w:val="00CE0B0E"/>
    <w:rsid w:val="00CE0EE0"/>
    <w:rsid w:val="00CE2475"/>
    <w:rsid w:val="00CE2F1E"/>
    <w:rsid w:val="00CE3831"/>
    <w:rsid w:val="00CE621B"/>
    <w:rsid w:val="00CF120E"/>
    <w:rsid w:val="00CF280A"/>
    <w:rsid w:val="00D00ABB"/>
    <w:rsid w:val="00D023CB"/>
    <w:rsid w:val="00D02784"/>
    <w:rsid w:val="00D02EEC"/>
    <w:rsid w:val="00D03551"/>
    <w:rsid w:val="00D0390E"/>
    <w:rsid w:val="00D05E09"/>
    <w:rsid w:val="00D065BF"/>
    <w:rsid w:val="00D06A63"/>
    <w:rsid w:val="00D06DD2"/>
    <w:rsid w:val="00D07D7E"/>
    <w:rsid w:val="00D07E0E"/>
    <w:rsid w:val="00D11478"/>
    <w:rsid w:val="00D133E9"/>
    <w:rsid w:val="00D1375C"/>
    <w:rsid w:val="00D15AD4"/>
    <w:rsid w:val="00D15ED0"/>
    <w:rsid w:val="00D161C2"/>
    <w:rsid w:val="00D167B8"/>
    <w:rsid w:val="00D16E76"/>
    <w:rsid w:val="00D17FA5"/>
    <w:rsid w:val="00D218C8"/>
    <w:rsid w:val="00D21B3E"/>
    <w:rsid w:val="00D21FED"/>
    <w:rsid w:val="00D23F94"/>
    <w:rsid w:val="00D24251"/>
    <w:rsid w:val="00D2472B"/>
    <w:rsid w:val="00D271D1"/>
    <w:rsid w:val="00D273AD"/>
    <w:rsid w:val="00D27459"/>
    <w:rsid w:val="00D27752"/>
    <w:rsid w:val="00D2790F"/>
    <w:rsid w:val="00D317B0"/>
    <w:rsid w:val="00D31DDA"/>
    <w:rsid w:val="00D343E2"/>
    <w:rsid w:val="00D35795"/>
    <w:rsid w:val="00D361A2"/>
    <w:rsid w:val="00D36B03"/>
    <w:rsid w:val="00D40B03"/>
    <w:rsid w:val="00D41A07"/>
    <w:rsid w:val="00D431F4"/>
    <w:rsid w:val="00D44C2E"/>
    <w:rsid w:val="00D45414"/>
    <w:rsid w:val="00D51491"/>
    <w:rsid w:val="00D5162A"/>
    <w:rsid w:val="00D53BAF"/>
    <w:rsid w:val="00D53C0F"/>
    <w:rsid w:val="00D53E4D"/>
    <w:rsid w:val="00D54C66"/>
    <w:rsid w:val="00D55C1F"/>
    <w:rsid w:val="00D566BD"/>
    <w:rsid w:val="00D57A4D"/>
    <w:rsid w:val="00D60422"/>
    <w:rsid w:val="00D60AA7"/>
    <w:rsid w:val="00D60D87"/>
    <w:rsid w:val="00D63367"/>
    <w:rsid w:val="00D638FC"/>
    <w:rsid w:val="00D6435F"/>
    <w:rsid w:val="00D6523D"/>
    <w:rsid w:val="00D7125A"/>
    <w:rsid w:val="00D73512"/>
    <w:rsid w:val="00D73A48"/>
    <w:rsid w:val="00D752DB"/>
    <w:rsid w:val="00D75E28"/>
    <w:rsid w:val="00D764F0"/>
    <w:rsid w:val="00D772C2"/>
    <w:rsid w:val="00D77E2C"/>
    <w:rsid w:val="00D8008E"/>
    <w:rsid w:val="00D82C45"/>
    <w:rsid w:val="00D830FE"/>
    <w:rsid w:val="00D835EA"/>
    <w:rsid w:val="00D865E0"/>
    <w:rsid w:val="00D908A8"/>
    <w:rsid w:val="00D936A5"/>
    <w:rsid w:val="00D948FD"/>
    <w:rsid w:val="00D964AF"/>
    <w:rsid w:val="00D977B6"/>
    <w:rsid w:val="00DA3353"/>
    <w:rsid w:val="00DA4A31"/>
    <w:rsid w:val="00DA61F2"/>
    <w:rsid w:val="00DA79DB"/>
    <w:rsid w:val="00DA7B04"/>
    <w:rsid w:val="00DB11AB"/>
    <w:rsid w:val="00DB2882"/>
    <w:rsid w:val="00DB36C2"/>
    <w:rsid w:val="00DB7196"/>
    <w:rsid w:val="00DC02DD"/>
    <w:rsid w:val="00DC169B"/>
    <w:rsid w:val="00DC1976"/>
    <w:rsid w:val="00DC1CDC"/>
    <w:rsid w:val="00DC2AB9"/>
    <w:rsid w:val="00DC310A"/>
    <w:rsid w:val="00DC3FF5"/>
    <w:rsid w:val="00DC63F0"/>
    <w:rsid w:val="00DC701D"/>
    <w:rsid w:val="00DD421C"/>
    <w:rsid w:val="00DD51DE"/>
    <w:rsid w:val="00DD53FE"/>
    <w:rsid w:val="00DD567A"/>
    <w:rsid w:val="00DD66D5"/>
    <w:rsid w:val="00DD6EE5"/>
    <w:rsid w:val="00DE1B8E"/>
    <w:rsid w:val="00DE386C"/>
    <w:rsid w:val="00DE4140"/>
    <w:rsid w:val="00DE4D35"/>
    <w:rsid w:val="00DE5E5A"/>
    <w:rsid w:val="00DF0549"/>
    <w:rsid w:val="00DF098B"/>
    <w:rsid w:val="00DF11C4"/>
    <w:rsid w:val="00DF18CD"/>
    <w:rsid w:val="00DF210C"/>
    <w:rsid w:val="00DF27F7"/>
    <w:rsid w:val="00DF34F3"/>
    <w:rsid w:val="00DF3761"/>
    <w:rsid w:val="00DF4B6A"/>
    <w:rsid w:val="00DF68D1"/>
    <w:rsid w:val="00E00122"/>
    <w:rsid w:val="00E00F45"/>
    <w:rsid w:val="00E02C09"/>
    <w:rsid w:val="00E02DC6"/>
    <w:rsid w:val="00E04D59"/>
    <w:rsid w:val="00E071AF"/>
    <w:rsid w:val="00E07DA1"/>
    <w:rsid w:val="00E123CB"/>
    <w:rsid w:val="00E1254E"/>
    <w:rsid w:val="00E127B2"/>
    <w:rsid w:val="00E1557C"/>
    <w:rsid w:val="00E157DD"/>
    <w:rsid w:val="00E169EE"/>
    <w:rsid w:val="00E20E13"/>
    <w:rsid w:val="00E21C27"/>
    <w:rsid w:val="00E21DBC"/>
    <w:rsid w:val="00E25DF8"/>
    <w:rsid w:val="00E26C12"/>
    <w:rsid w:val="00E275D7"/>
    <w:rsid w:val="00E27DBE"/>
    <w:rsid w:val="00E27F43"/>
    <w:rsid w:val="00E32AB1"/>
    <w:rsid w:val="00E32D79"/>
    <w:rsid w:val="00E3440D"/>
    <w:rsid w:val="00E346F3"/>
    <w:rsid w:val="00E36C71"/>
    <w:rsid w:val="00E40057"/>
    <w:rsid w:val="00E40404"/>
    <w:rsid w:val="00E4133A"/>
    <w:rsid w:val="00E41C17"/>
    <w:rsid w:val="00E41C60"/>
    <w:rsid w:val="00E459C6"/>
    <w:rsid w:val="00E45F55"/>
    <w:rsid w:val="00E4699C"/>
    <w:rsid w:val="00E47589"/>
    <w:rsid w:val="00E503CA"/>
    <w:rsid w:val="00E64915"/>
    <w:rsid w:val="00E661D4"/>
    <w:rsid w:val="00E70091"/>
    <w:rsid w:val="00E70486"/>
    <w:rsid w:val="00E70F6F"/>
    <w:rsid w:val="00E720F5"/>
    <w:rsid w:val="00E73B4F"/>
    <w:rsid w:val="00E73C20"/>
    <w:rsid w:val="00E7616D"/>
    <w:rsid w:val="00E76D47"/>
    <w:rsid w:val="00E81834"/>
    <w:rsid w:val="00E81FE1"/>
    <w:rsid w:val="00E849F7"/>
    <w:rsid w:val="00E84D5E"/>
    <w:rsid w:val="00E866A5"/>
    <w:rsid w:val="00E87BC7"/>
    <w:rsid w:val="00E90302"/>
    <w:rsid w:val="00E9597F"/>
    <w:rsid w:val="00E97353"/>
    <w:rsid w:val="00E97396"/>
    <w:rsid w:val="00EA0813"/>
    <w:rsid w:val="00EA1850"/>
    <w:rsid w:val="00EA185E"/>
    <w:rsid w:val="00EA1BA0"/>
    <w:rsid w:val="00EA592A"/>
    <w:rsid w:val="00EA6EE8"/>
    <w:rsid w:val="00EA737F"/>
    <w:rsid w:val="00EB14E4"/>
    <w:rsid w:val="00EB32A5"/>
    <w:rsid w:val="00EB34ED"/>
    <w:rsid w:val="00EB4F81"/>
    <w:rsid w:val="00EB5179"/>
    <w:rsid w:val="00EB62F2"/>
    <w:rsid w:val="00EB689F"/>
    <w:rsid w:val="00EB7383"/>
    <w:rsid w:val="00EB7BE0"/>
    <w:rsid w:val="00EC1103"/>
    <w:rsid w:val="00EC315E"/>
    <w:rsid w:val="00EC380F"/>
    <w:rsid w:val="00EC78CE"/>
    <w:rsid w:val="00ED077C"/>
    <w:rsid w:val="00ED1190"/>
    <w:rsid w:val="00ED1358"/>
    <w:rsid w:val="00ED6544"/>
    <w:rsid w:val="00EE0277"/>
    <w:rsid w:val="00EE1DA9"/>
    <w:rsid w:val="00EE2F3C"/>
    <w:rsid w:val="00EE3E00"/>
    <w:rsid w:val="00EE44CB"/>
    <w:rsid w:val="00EE5DD2"/>
    <w:rsid w:val="00EE6C6D"/>
    <w:rsid w:val="00EE7BE0"/>
    <w:rsid w:val="00EF0073"/>
    <w:rsid w:val="00EF258D"/>
    <w:rsid w:val="00EF2F75"/>
    <w:rsid w:val="00EF3AFA"/>
    <w:rsid w:val="00EF41F1"/>
    <w:rsid w:val="00EF4F08"/>
    <w:rsid w:val="00EF573B"/>
    <w:rsid w:val="00EF6375"/>
    <w:rsid w:val="00EF6FC1"/>
    <w:rsid w:val="00F00A79"/>
    <w:rsid w:val="00F00E86"/>
    <w:rsid w:val="00F00F8B"/>
    <w:rsid w:val="00F0202C"/>
    <w:rsid w:val="00F0210A"/>
    <w:rsid w:val="00F0392D"/>
    <w:rsid w:val="00F03BDF"/>
    <w:rsid w:val="00F0551B"/>
    <w:rsid w:val="00F07C1E"/>
    <w:rsid w:val="00F105DB"/>
    <w:rsid w:val="00F132BC"/>
    <w:rsid w:val="00F13D80"/>
    <w:rsid w:val="00F16AAA"/>
    <w:rsid w:val="00F200B9"/>
    <w:rsid w:val="00F21161"/>
    <w:rsid w:val="00F218EF"/>
    <w:rsid w:val="00F21A11"/>
    <w:rsid w:val="00F21BC7"/>
    <w:rsid w:val="00F266A2"/>
    <w:rsid w:val="00F312CA"/>
    <w:rsid w:val="00F32269"/>
    <w:rsid w:val="00F33F4E"/>
    <w:rsid w:val="00F3400D"/>
    <w:rsid w:val="00F34178"/>
    <w:rsid w:val="00F37093"/>
    <w:rsid w:val="00F40011"/>
    <w:rsid w:val="00F40790"/>
    <w:rsid w:val="00F4457E"/>
    <w:rsid w:val="00F4610A"/>
    <w:rsid w:val="00F50FF5"/>
    <w:rsid w:val="00F5184F"/>
    <w:rsid w:val="00F52B5D"/>
    <w:rsid w:val="00F5549F"/>
    <w:rsid w:val="00F56A6F"/>
    <w:rsid w:val="00F56FDA"/>
    <w:rsid w:val="00F5709C"/>
    <w:rsid w:val="00F57290"/>
    <w:rsid w:val="00F60E8B"/>
    <w:rsid w:val="00F6166A"/>
    <w:rsid w:val="00F63ED9"/>
    <w:rsid w:val="00F64ED4"/>
    <w:rsid w:val="00F64EF1"/>
    <w:rsid w:val="00F650B3"/>
    <w:rsid w:val="00F72536"/>
    <w:rsid w:val="00F74A4F"/>
    <w:rsid w:val="00F775F8"/>
    <w:rsid w:val="00F81B67"/>
    <w:rsid w:val="00F82D35"/>
    <w:rsid w:val="00F8765F"/>
    <w:rsid w:val="00F90767"/>
    <w:rsid w:val="00F91383"/>
    <w:rsid w:val="00F93BC4"/>
    <w:rsid w:val="00F9438E"/>
    <w:rsid w:val="00FA2931"/>
    <w:rsid w:val="00FA4492"/>
    <w:rsid w:val="00FA685B"/>
    <w:rsid w:val="00FB00A2"/>
    <w:rsid w:val="00FB0C01"/>
    <w:rsid w:val="00FB10C6"/>
    <w:rsid w:val="00FB2F67"/>
    <w:rsid w:val="00FB4257"/>
    <w:rsid w:val="00FB46AD"/>
    <w:rsid w:val="00FB46F4"/>
    <w:rsid w:val="00FB490E"/>
    <w:rsid w:val="00FC18F2"/>
    <w:rsid w:val="00FC39E5"/>
    <w:rsid w:val="00FC3A78"/>
    <w:rsid w:val="00FC49C3"/>
    <w:rsid w:val="00FC5FFE"/>
    <w:rsid w:val="00FD0D51"/>
    <w:rsid w:val="00FD1005"/>
    <w:rsid w:val="00FD2F56"/>
    <w:rsid w:val="00FD3180"/>
    <w:rsid w:val="00FD5405"/>
    <w:rsid w:val="00FD6623"/>
    <w:rsid w:val="00FD6C75"/>
    <w:rsid w:val="00FE07DB"/>
    <w:rsid w:val="00FE11F3"/>
    <w:rsid w:val="00FE4032"/>
    <w:rsid w:val="00FE568E"/>
    <w:rsid w:val="00FE71B3"/>
    <w:rsid w:val="00FE7469"/>
    <w:rsid w:val="00FF088C"/>
    <w:rsid w:val="00FF125B"/>
    <w:rsid w:val="00FF2AC9"/>
    <w:rsid w:val="00FF42C5"/>
    <w:rsid w:val="00FF5B53"/>
    <w:rsid w:val="00FF6CF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27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48" w:unhideWhenUsed="1"/>
    <w:lsdException w:name="footer" w:semiHidden="1" w:uiPriority="57" w:unhideWhenUsed="1"/>
    <w:lsdException w:name="index heading" w:semiHidden="1" w:unhideWhenUsed="1"/>
    <w:lsdException w:name="caption" w:semiHidden="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lsdException w:name="List Number" w:semiHidden="1" w:unhideWhenUsed="1"/>
    <w:lsdException w:name="List 2" w:semiHidden="1" w:unhideWhenUsed="1"/>
    <w:lsdException w:name="List 3" w:semiHidden="1"/>
    <w:lsdException w:name="List 4" w:semiHidden="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lsdException w:name="Subtitle" w:semiHidden="1" w:qFormat="1"/>
    <w:lsdException w:name="Salutation" w:semiHidden="1"/>
    <w:lsdException w:name="Date" w:semiHidden="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933307"/>
    <w:pPr>
      <w:jc w:val="both"/>
    </w:pPr>
    <w:rPr>
      <w:rFonts w:eastAsiaTheme="minorEastAsia"/>
      <w:sz w:val="24"/>
      <w:lang w:val="en-GB"/>
    </w:rPr>
  </w:style>
  <w:style w:type="paragraph" w:styleId="Heading1">
    <w:name w:val="heading 1"/>
    <w:basedOn w:val="Normal"/>
    <w:next w:val="Normal"/>
    <w:link w:val="Heading1Char"/>
    <w:uiPriority w:val="99"/>
    <w:semiHidden/>
    <w:rsid w:val="00933307"/>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933307"/>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933307"/>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933307"/>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933307"/>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93330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933307"/>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933307"/>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933307"/>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933307"/>
    <w:rPr>
      <w:rFonts w:ascii="Tahoma" w:hAnsi="Tahoma" w:cs="Tahoma"/>
      <w:sz w:val="16"/>
      <w:szCs w:val="16"/>
    </w:rPr>
  </w:style>
  <w:style w:type="character" w:customStyle="1" w:styleId="BalloonTextChar">
    <w:name w:val="Balloon Text Char"/>
    <w:basedOn w:val="DefaultParagraphFont"/>
    <w:link w:val="BalloonText"/>
    <w:uiPriority w:val="99"/>
    <w:semiHidden/>
    <w:rsid w:val="00933307"/>
    <w:rPr>
      <w:rFonts w:ascii="Tahoma" w:eastAsiaTheme="minorEastAsia" w:hAnsi="Tahoma" w:cs="Tahoma"/>
      <w:sz w:val="16"/>
      <w:szCs w:val="16"/>
      <w:lang w:val="en-GB"/>
    </w:rPr>
  </w:style>
  <w:style w:type="character" w:styleId="BookTitle">
    <w:name w:val="Book Title"/>
    <w:uiPriority w:val="99"/>
    <w:semiHidden/>
    <w:qFormat/>
    <w:rsid w:val="00933307"/>
    <w:rPr>
      <w:i/>
      <w:iCs/>
      <w:smallCaps/>
      <w:spacing w:val="5"/>
    </w:rPr>
  </w:style>
  <w:style w:type="paragraph" w:customStyle="1" w:styleId="ECHRHeader">
    <w:name w:val="ECHR_Header"/>
    <w:aliases w:val="Ju_Header"/>
    <w:basedOn w:val="Header"/>
    <w:uiPriority w:val="4"/>
    <w:qFormat/>
    <w:rsid w:val="00933307"/>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933307"/>
    <w:pPr>
      <w:jc w:val="left"/>
    </w:pPr>
    <w:rPr>
      <w:sz w:val="8"/>
    </w:rPr>
  </w:style>
  <w:style w:type="character" w:styleId="Strong">
    <w:name w:val="Strong"/>
    <w:uiPriority w:val="99"/>
    <w:semiHidden/>
    <w:qFormat/>
    <w:rsid w:val="00933307"/>
    <w:rPr>
      <w:b/>
      <w:bCs/>
    </w:rPr>
  </w:style>
  <w:style w:type="paragraph" w:styleId="NoSpacing">
    <w:name w:val="No Spacing"/>
    <w:basedOn w:val="Normal"/>
    <w:link w:val="NoSpacingChar"/>
    <w:semiHidden/>
    <w:qFormat/>
    <w:rsid w:val="00933307"/>
    <w:rPr>
      <w:sz w:val="22"/>
      <w:lang w:val="en-US"/>
    </w:rPr>
  </w:style>
  <w:style w:type="character" w:customStyle="1" w:styleId="NoSpacingChar">
    <w:name w:val="No Spacing Char"/>
    <w:basedOn w:val="DefaultParagraphFont"/>
    <w:link w:val="NoSpacing"/>
    <w:semiHidden/>
    <w:rsid w:val="00933307"/>
    <w:rPr>
      <w:rFonts w:eastAsiaTheme="minorEastAsia"/>
    </w:rPr>
  </w:style>
  <w:style w:type="paragraph" w:customStyle="1" w:styleId="ECHRFooterLine">
    <w:name w:val="ECHR_Footer_Line"/>
    <w:aliases w:val="Footer_Line"/>
    <w:basedOn w:val="Normal"/>
    <w:next w:val="ECHRFooter"/>
    <w:uiPriority w:val="57"/>
    <w:semiHidden/>
    <w:rsid w:val="00933307"/>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933307"/>
  </w:style>
  <w:style w:type="paragraph" w:customStyle="1" w:styleId="DecList">
    <w:name w:val="Dec_List"/>
    <w:basedOn w:val="Normal"/>
    <w:uiPriority w:val="9"/>
    <w:semiHidden/>
    <w:qFormat/>
    <w:rsid w:val="00933307"/>
    <w:pPr>
      <w:spacing w:before="240"/>
      <w:ind w:left="284"/>
    </w:pPr>
  </w:style>
  <w:style w:type="paragraph" w:customStyle="1" w:styleId="DummyStyle">
    <w:name w:val="Dummy_Style"/>
    <w:basedOn w:val="Normal"/>
    <w:semiHidden/>
    <w:qFormat/>
    <w:rsid w:val="00933307"/>
    <w:rPr>
      <w:color w:val="00B050"/>
    </w:rPr>
  </w:style>
  <w:style w:type="paragraph" w:customStyle="1" w:styleId="ECHRTitleCentre3">
    <w:name w:val="ECHR_Title_Centre_3"/>
    <w:aliases w:val="Ju_H_Article"/>
    <w:basedOn w:val="Normal"/>
    <w:next w:val="ECHRParaQuote"/>
    <w:uiPriority w:val="27"/>
    <w:qFormat/>
    <w:rsid w:val="00933307"/>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933307"/>
    <w:pPr>
      <w:keepNext/>
      <w:keepLines/>
      <w:spacing w:after="240"/>
      <w:jc w:val="center"/>
      <w:outlineLvl w:val="0"/>
    </w:pPr>
    <w:rPr>
      <w:rFonts w:asciiTheme="majorHAnsi" w:hAnsiTheme="majorHAnsi"/>
      <w:sz w:val="28"/>
    </w:rPr>
  </w:style>
  <w:style w:type="paragraph" w:customStyle="1" w:styleId="JuAppQuestion">
    <w:name w:val="Ju_App_Question"/>
    <w:basedOn w:val="Normal"/>
    <w:uiPriority w:val="5"/>
    <w:semiHidden/>
    <w:qFormat/>
    <w:rsid w:val="00933307"/>
    <w:pPr>
      <w:numPr>
        <w:numId w:val="22"/>
      </w:numPr>
      <w:jc w:val="left"/>
    </w:pPr>
    <w:rPr>
      <w:b/>
    </w:rPr>
  </w:style>
  <w:style w:type="paragraph" w:customStyle="1" w:styleId="JuCase">
    <w:name w:val="Ju_Case"/>
    <w:basedOn w:val="Normal"/>
    <w:next w:val="ECHRPara"/>
    <w:uiPriority w:val="10"/>
    <w:rsid w:val="00933307"/>
    <w:pPr>
      <w:ind w:firstLine="284"/>
    </w:pPr>
    <w:rPr>
      <w:b/>
    </w:rPr>
  </w:style>
  <w:style w:type="paragraph" w:customStyle="1" w:styleId="JuCourt">
    <w:name w:val="Ju_Court"/>
    <w:basedOn w:val="Normal"/>
    <w:next w:val="Normal"/>
    <w:uiPriority w:val="16"/>
    <w:qFormat/>
    <w:rsid w:val="00933307"/>
    <w:pPr>
      <w:tabs>
        <w:tab w:val="left" w:pos="907"/>
        <w:tab w:val="left" w:pos="1701"/>
        <w:tab w:val="right" w:pos="7371"/>
      </w:tabs>
      <w:spacing w:before="240"/>
      <w:ind w:left="397" w:hanging="397"/>
      <w:jc w:val="left"/>
    </w:pPr>
    <w:rPr>
      <w:lang w:bidi="en-US"/>
    </w:rPr>
  </w:style>
  <w:style w:type="paragraph" w:customStyle="1" w:styleId="ECHRTitleCentre2">
    <w:name w:val="ECHR_Title_Centre_2"/>
    <w:aliases w:val="Dec_H_Case"/>
    <w:basedOn w:val="Normal"/>
    <w:next w:val="ECHRPara"/>
    <w:uiPriority w:val="8"/>
    <w:qFormat/>
    <w:rsid w:val="00933307"/>
    <w:pPr>
      <w:spacing w:after="240"/>
      <w:jc w:val="center"/>
      <w:outlineLvl w:val="0"/>
    </w:pPr>
    <w:rPr>
      <w:rFonts w:asciiTheme="majorHAnsi" w:hAnsiTheme="majorHAnsi"/>
    </w:rPr>
  </w:style>
  <w:style w:type="paragraph" w:customStyle="1" w:styleId="JuHeaderLandscape">
    <w:name w:val="Ju_Header_Landscape"/>
    <w:basedOn w:val="ECHRHeader"/>
    <w:uiPriority w:val="4"/>
    <w:qFormat/>
    <w:rsid w:val="00933307"/>
    <w:pPr>
      <w:tabs>
        <w:tab w:val="clear" w:pos="3686"/>
        <w:tab w:val="clear" w:pos="7371"/>
        <w:tab w:val="center" w:pos="6146"/>
        <w:tab w:val="right" w:pos="12293"/>
      </w:tabs>
    </w:pPr>
  </w:style>
  <w:style w:type="paragraph" w:styleId="Title">
    <w:name w:val="Title"/>
    <w:basedOn w:val="Normal"/>
    <w:next w:val="Normal"/>
    <w:link w:val="TitleChar"/>
    <w:uiPriority w:val="99"/>
    <w:semiHidden/>
    <w:qFormat/>
    <w:rsid w:val="00933307"/>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933307"/>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933307"/>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933307"/>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933307"/>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933307"/>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933307"/>
    <w:pPr>
      <w:keepNext/>
      <w:keepLines/>
      <w:spacing w:before="240" w:after="120"/>
      <w:ind w:left="1236"/>
    </w:pPr>
    <w:rPr>
      <w:sz w:val="20"/>
      <w:lang w:val="en-GB"/>
    </w:rPr>
  </w:style>
  <w:style w:type="paragraph" w:customStyle="1" w:styleId="JuQuotSub">
    <w:name w:val="Ju_Quot_Sub"/>
    <w:basedOn w:val="ECHRParaQuote"/>
    <w:uiPriority w:val="15"/>
    <w:qFormat/>
    <w:rsid w:val="00933307"/>
    <w:pPr>
      <w:ind w:left="567"/>
    </w:pPr>
  </w:style>
  <w:style w:type="paragraph" w:customStyle="1" w:styleId="JuInitialled">
    <w:name w:val="Ju_Initialled"/>
    <w:basedOn w:val="Normal"/>
    <w:uiPriority w:val="31"/>
    <w:qFormat/>
    <w:rsid w:val="00933307"/>
    <w:pPr>
      <w:tabs>
        <w:tab w:val="center" w:pos="6407"/>
      </w:tabs>
      <w:spacing w:before="720"/>
      <w:jc w:val="right"/>
    </w:pPr>
  </w:style>
  <w:style w:type="paragraph" w:customStyle="1" w:styleId="JuListi">
    <w:name w:val="Ju_List_i"/>
    <w:basedOn w:val="Normal"/>
    <w:next w:val="JuLista"/>
    <w:uiPriority w:val="28"/>
    <w:qFormat/>
    <w:rsid w:val="00933307"/>
    <w:pPr>
      <w:ind w:left="794"/>
    </w:pPr>
  </w:style>
  <w:style w:type="paragraph" w:styleId="Header">
    <w:name w:val="header"/>
    <w:basedOn w:val="Normal"/>
    <w:link w:val="HeaderChar"/>
    <w:uiPriority w:val="48"/>
    <w:rsid w:val="00933307"/>
    <w:pPr>
      <w:tabs>
        <w:tab w:val="center" w:pos="4536"/>
        <w:tab w:val="right" w:pos="9072"/>
      </w:tabs>
    </w:pPr>
    <w:rPr>
      <w:rFonts w:eastAsiaTheme="minorHAnsi"/>
    </w:rPr>
  </w:style>
  <w:style w:type="character" w:customStyle="1" w:styleId="HeaderChar">
    <w:name w:val="Header Char"/>
    <w:basedOn w:val="DefaultParagraphFont"/>
    <w:link w:val="Header"/>
    <w:uiPriority w:val="48"/>
    <w:rsid w:val="00933307"/>
    <w:rPr>
      <w:sz w:val="24"/>
      <w:lang w:val="en-GB"/>
    </w:rPr>
  </w:style>
  <w:style w:type="character" w:customStyle="1" w:styleId="Heading1Char">
    <w:name w:val="Heading 1 Char"/>
    <w:basedOn w:val="DefaultParagraphFont"/>
    <w:link w:val="Heading1"/>
    <w:uiPriority w:val="99"/>
    <w:semiHidden/>
    <w:rsid w:val="00933307"/>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uiPriority w:val="19"/>
    <w:qFormat/>
    <w:rsid w:val="00933307"/>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933307"/>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933307"/>
    <w:rPr>
      <w:rFonts w:asciiTheme="majorHAnsi" w:eastAsiaTheme="majorEastAsia" w:hAnsiTheme="majorHAnsi" w:cstheme="majorBidi"/>
      <w:b/>
      <w:bCs/>
      <w:color w:val="4D4D4D"/>
      <w:sz w:val="26"/>
      <w:szCs w:val="26"/>
      <w:lang w:val="en-GB"/>
    </w:rPr>
  </w:style>
  <w:style w:type="character" w:customStyle="1" w:styleId="JUNAMES">
    <w:name w:val="JU_NAMES"/>
    <w:uiPriority w:val="17"/>
    <w:qFormat/>
    <w:rsid w:val="00933307"/>
    <w:rPr>
      <w:caps w:val="0"/>
      <w:smallCaps/>
    </w:rPr>
  </w:style>
  <w:style w:type="paragraph" w:customStyle="1" w:styleId="JuParaSub">
    <w:name w:val="Ju_Para_Sub"/>
    <w:basedOn w:val="ECHRPara"/>
    <w:uiPriority w:val="13"/>
    <w:qFormat/>
    <w:rsid w:val="00933307"/>
    <w:pPr>
      <w:ind w:left="284"/>
    </w:pPr>
  </w:style>
  <w:style w:type="character" w:customStyle="1" w:styleId="Heading3Char">
    <w:name w:val="Heading 3 Char"/>
    <w:basedOn w:val="DefaultParagraphFont"/>
    <w:link w:val="Heading3"/>
    <w:uiPriority w:val="99"/>
    <w:semiHidden/>
    <w:rsid w:val="00933307"/>
    <w:rPr>
      <w:rFonts w:asciiTheme="majorHAnsi" w:eastAsiaTheme="majorEastAsia" w:hAnsiTheme="majorHAnsi" w:cstheme="majorBidi"/>
      <w:b/>
      <w:bCs/>
      <w:color w:val="5F5F5F"/>
      <w:sz w:val="24"/>
      <w:lang w:val="en-GB"/>
    </w:rPr>
  </w:style>
  <w:style w:type="character" w:customStyle="1" w:styleId="Heading4Char">
    <w:name w:val="Heading 4 Char"/>
    <w:basedOn w:val="DefaultParagraphFont"/>
    <w:link w:val="Heading4"/>
    <w:uiPriority w:val="99"/>
    <w:semiHidden/>
    <w:rsid w:val="00933307"/>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933307"/>
    <w:rPr>
      <w:rFonts w:asciiTheme="majorHAnsi" w:eastAsiaTheme="majorEastAsia" w:hAnsiTheme="majorHAnsi" w:cstheme="majorBidi"/>
      <w:b/>
      <w:bCs/>
      <w:color w:val="808080"/>
    </w:rPr>
  </w:style>
  <w:style w:type="character" w:styleId="SubtleEmphasis">
    <w:name w:val="Subtle Emphasis"/>
    <w:uiPriority w:val="99"/>
    <w:semiHidden/>
    <w:qFormat/>
    <w:rsid w:val="00933307"/>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933307"/>
    <w:pPr>
      <w:keepNext/>
      <w:keepLines/>
      <w:spacing w:before="720" w:after="240"/>
      <w:outlineLvl w:val="0"/>
    </w:pPr>
    <w:rPr>
      <w:rFonts w:asciiTheme="majorHAnsi" w:hAnsiTheme="majorHAnsi"/>
      <w:sz w:val="28"/>
    </w:rPr>
  </w:style>
  <w:style w:type="character" w:styleId="Emphasis">
    <w:name w:val="Emphasis"/>
    <w:uiPriority w:val="99"/>
    <w:semiHidden/>
    <w:qFormat/>
    <w:rsid w:val="00933307"/>
    <w:rPr>
      <w:b/>
      <w:bCs/>
      <w:i/>
      <w:iCs/>
      <w:spacing w:val="10"/>
      <w:bdr w:val="none" w:sz="0" w:space="0" w:color="auto"/>
      <w:shd w:val="clear" w:color="auto" w:fill="auto"/>
    </w:rPr>
  </w:style>
  <w:style w:type="paragraph" w:styleId="Footer">
    <w:name w:val="footer"/>
    <w:basedOn w:val="Normal"/>
    <w:link w:val="FooterChar"/>
    <w:uiPriority w:val="57"/>
    <w:semiHidden/>
    <w:rsid w:val="00933307"/>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933307"/>
    <w:rPr>
      <w:sz w:val="24"/>
      <w:lang w:val="en-GB"/>
    </w:rPr>
  </w:style>
  <w:style w:type="character" w:styleId="FootnoteReference">
    <w:name w:val="footnote reference"/>
    <w:basedOn w:val="DefaultParagraphFont"/>
    <w:uiPriority w:val="99"/>
    <w:rsid w:val="00933307"/>
    <w:rPr>
      <w:vertAlign w:val="superscript"/>
    </w:rPr>
  </w:style>
  <w:style w:type="paragraph" w:styleId="FootnoteText">
    <w:name w:val="footnote text"/>
    <w:basedOn w:val="Normal"/>
    <w:link w:val="FootnoteTextChar"/>
    <w:uiPriority w:val="99"/>
    <w:rsid w:val="00933307"/>
    <w:rPr>
      <w:sz w:val="20"/>
      <w:szCs w:val="20"/>
    </w:rPr>
  </w:style>
  <w:style w:type="character" w:customStyle="1" w:styleId="FootnoteTextChar">
    <w:name w:val="Footnote Text Char"/>
    <w:basedOn w:val="DefaultParagraphFont"/>
    <w:link w:val="FootnoteText"/>
    <w:uiPriority w:val="99"/>
    <w:rsid w:val="00933307"/>
    <w:rPr>
      <w:rFonts w:eastAsiaTheme="minorEastAsia"/>
      <w:sz w:val="20"/>
      <w:szCs w:val="20"/>
      <w:lang w:val="en-GB"/>
    </w:rPr>
  </w:style>
  <w:style w:type="character" w:customStyle="1" w:styleId="Heading6Char">
    <w:name w:val="Heading 6 Char"/>
    <w:basedOn w:val="DefaultParagraphFont"/>
    <w:link w:val="Heading6"/>
    <w:uiPriority w:val="99"/>
    <w:semiHidden/>
    <w:rsid w:val="00933307"/>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933307"/>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933307"/>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933307"/>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rsid w:val="00933307"/>
    <w:rPr>
      <w:color w:val="0072BC" w:themeColor="hyperlink"/>
      <w:u w:val="single"/>
    </w:rPr>
  </w:style>
  <w:style w:type="character" w:styleId="IntenseEmphasis">
    <w:name w:val="Intense Emphasis"/>
    <w:uiPriority w:val="99"/>
    <w:semiHidden/>
    <w:qFormat/>
    <w:rsid w:val="00933307"/>
    <w:rPr>
      <w:b/>
      <w:bCs/>
    </w:rPr>
  </w:style>
  <w:style w:type="paragraph" w:styleId="IntenseQuote">
    <w:name w:val="Intense Quote"/>
    <w:basedOn w:val="Normal"/>
    <w:next w:val="Normal"/>
    <w:link w:val="IntenseQuoteChar"/>
    <w:uiPriority w:val="99"/>
    <w:semiHidden/>
    <w:qFormat/>
    <w:rsid w:val="00933307"/>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933307"/>
    <w:rPr>
      <w:rFonts w:eastAsiaTheme="minorEastAsia"/>
      <w:b/>
      <w:bCs/>
      <w:i/>
      <w:iCs/>
      <w:lang w:bidi="en-US"/>
    </w:rPr>
  </w:style>
  <w:style w:type="character" w:styleId="IntenseReference">
    <w:name w:val="Intense Reference"/>
    <w:uiPriority w:val="99"/>
    <w:semiHidden/>
    <w:qFormat/>
    <w:rsid w:val="00933307"/>
    <w:rPr>
      <w:smallCaps/>
      <w:spacing w:val="5"/>
      <w:u w:val="single"/>
    </w:rPr>
  </w:style>
  <w:style w:type="paragraph" w:styleId="ListParagraph">
    <w:name w:val="List Paragraph"/>
    <w:basedOn w:val="Normal"/>
    <w:uiPriority w:val="99"/>
    <w:semiHidden/>
    <w:qFormat/>
    <w:rsid w:val="00933307"/>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933307"/>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933307"/>
    <w:rPr>
      <w:rFonts w:eastAsiaTheme="minorEastAsia"/>
      <w:i/>
      <w:iCs/>
      <w:lang w:bidi="en-US"/>
    </w:rPr>
  </w:style>
  <w:style w:type="character" w:styleId="SubtleReference">
    <w:name w:val="Subtle Reference"/>
    <w:uiPriority w:val="99"/>
    <w:semiHidden/>
    <w:qFormat/>
    <w:rsid w:val="00933307"/>
    <w:rPr>
      <w:smallCaps/>
    </w:rPr>
  </w:style>
  <w:style w:type="table" w:styleId="TableGrid">
    <w:name w:val="Table Grid"/>
    <w:basedOn w:val="TableNormal"/>
    <w:uiPriority w:val="59"/>
    <w:semiHidden/>
    <w:rsid w:val="0093330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933307"/>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933307"/>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933307"/>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933307"/>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933307"/>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933307"/>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933307"/>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933307"/>
    <w:pPr>
      <w:spacing w:before="120" w:after="120"/>
      <w:ind w:left="425" w:firstLine="142"/>
    </w:pPr>
    <w:rPr>
      <w:sz w:val="20"/>
    </w:rPr>
  </w:style>
  <w:style w:type="paragraph" w:customStyle="1" w:styleId="ECHRPara">
    <w:name w:val="ECHR_Para"/>
    <w:aliases w:val="Ju_Para"/>
    <w:basedOn w:val="Normal"/>
    <w:link w:val="JuParaChar"/>
    <w:qFormat/>
    <w:rsid w:val="00933307"/>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93330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933307"/>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933307"/>
    <w:pPr>
      <w:ind w:left="340" w:hanging="340"/>
    </w:pPr>
  </w:style>
  <w:style w:type="paragraph" w:customStyle="1" w:styleId="JuSigned">
    <w:name w:val="Ju_Signed"/>
    <w:basedOn w:val="Normal"/>
    <w:next w:val="JuParaLast"/>
    <w:uiPriority w:val="32"/>
    <w:qFormat/>
    <w:rsid w:val="00933307"/>
    <w:pPr>
      <w:tabs>
        <w:tab w:val="center" w:pos="851"/>
        <w:tab w:val="center" w:pos="6407"/>
      </w:tabs>
      <w:spacing w:before="720"/>
      <w:jc w:val="left"/>
    </w:pPr>
  </w:style>
  <w:style w:type="paragraph" w:customStyle="1" w:styleId="JuParaLast">
    <w:name w:val="Ju_Para_Last"/>
    <w:basedOn w:val="Normal"/>
    <w:next w:val="ECHRPara"/>
    <w:uiPriority w:val="30"/>
    <w:qFormat/>
    <w:rsid w:val="00933307"/>
    <w:pPr>
      <w:keepNext/>
      <w:keepLines/>
      <w:spacing w:before="240"/>
      <w:ind w:firstLine="284"/>
    </w:pPr>
  </w:style>
  <w:style w:type="paragraph" w:customStyle="1" w:styleId="JuTitle">
    <w:name w:val="Ju_Title"/>
    <w:basedOn w:val="Normal"/>
    <w:next w:val="ECHRPara"/>
    <w:uiPriority w:val="3"/>
    <w:semiHidden/>
    <w:qFormat/>
    <w:rsid w:val="00933307"/>
    <w:pPr>
      <w:spacing w:before="720" w:after="240"/>
      <w:jc w:val="center"/>
      <w:outlineLvl w:val="0"/>
    </w:pPr>
    <w:rPr>
      <w:rFonts w:asciiTheme="majorHAnsi" w:hAnsiTheme="majorHAnsi"/>
      <w:b/>
      <w:caps/>
    </w:rPr>
  </w:style>
  <w:style w:type="character" w:styleId="PageNumber">
    <w:name w:val="page number"/>
    <w:uiPriority w:val="99"/>
    <w:semiHidden/>
    <w:rsid w:val="00014566"/>
    <w:rPr>
      <w:sz w:val="18"/>
    </w:rPr>
  </w:style>
  <w:style w:type="paragraph" w:customStyle="1" w:styleId="JuLista">
    <w:name w:val="Ju_List_a"/>
    <w:basedOn w:val="JuList"/>
    <w:uiPriority w:val="28"/>
    <w:qFormat/>
    <w:rsid w:val="00933307"/>
    <w:pPr>
      <w:ind w:left="346" w:firstLine="0"/>
    </w:pPr>
  </w:style>
  <w:style w:type="paragraph" w:customStyle="1" w:styleId="OpiH1">
    <w:name w:val="Opi_H_1"/>
    <w:basedOn w:val="ECHRHeading2"/>
    <w:uiPriority w:val="42"/>
    <w:qFormat/>
    <w:rsid w:val="00933307"/>
    <w:pPr>
      <w:ind w:left="635" w:hanging="357"/>
      <w:outlineLvl w:val="2"/>
    </w:pPr>
  </w:style>
  <w:style w:type="character" w:styleId="CommentReference">
    <w:name w:val="annotation reference"/>
    <w:semiHidden/>
    <w:rsid w:val="00014566"/>
    <w:rPr>
      <w:sz w:val="16"/>
    </w:rPr>
  </w:style>
  <w:style w:type="paragraph" w:styleId="CommentText">
    <w:name w:val="annotation text"/>
    <w:basedOn w:val="Normal"/>
    <w:link w:val="CommentTextChar"/>
    <w:semiHidden/>
    <w:rsid w:val="00014566"/>
    <w:rPr>
      <w:sz w:val="20"/>
    </w:rPr>
  </w:style>
  <w:style w:type="character" w:customStyle="1" w:styleId="CommentTextChar">
    <w:name w:val="Comment Text Char"/>
    <w:basedOn w:val="DefaultParagraphFont"/>
    <w:link w:val="CommentText"/>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basedOn w:val="DefaultParagraphFont"/>
    <w:uiPriority w:val="99"/>
    <w:semiHidden/>
    <w:rsid w:val="00933307"/>
    <w:rPr>
      <w:vertAlign w:val="superscript"/>
    </w:rPr>
  </w:style>
  <w:style w:type="paragraph" w:styleId="EndnoteText">
    <w:name w:val="endnote text"/>
    <w:basedOn w:val="Normal"/>
    <w:link w:val="EndnoteTextChar"/>
    <w:uiPriority w:val="99"/>
    <w:semiHidden/>
    <w:rsid w:val="00933307"/>
    <w:rPr>
      <w:sz w:val="20"/>
      <w:szCs w:val="20"/>
    </w:rPr>
  </w:style>
  <w:style w:type="character" w:customStyle="1" w:styleId="EndnoteTextChar">
    <w:name w:val="Endnote Text Char"/>
    <w:basedOn w:val="DefaultParagraphFont"/>
    <w:link w:val="EndnoteText"/>
    <w:uiPriority w:val="99"/>
    <w:semiHidden/>
    <w:rsid w:val="00933307"/>
    <w:rPr>
      <w:rFonts w:eastAsiaTheme="minorEastAsia"/>
      <w:sz w:val="20"/>
      <w:szCs w:val="20"/>
      <w:lang w:val="en-GB"/>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paragraph" w:customStyle="1" w:styleId="OpiHa">
    <w:name w:val="Opi_H_a"/>
    <w:basedOn w:val="ECHRHeading3"/>
    <w:uiPriority w:val="43"/>
    <w:qFormat/>
    <w:rsid w:val="00933307"/>
    <w:pPr>
      <w:ind w:left="833" w:hanging="357"/>
      <w:outlineLvl w:val="3"/>
    </w:pPr>
    <w:rPr>
      <w:b/>
      <w:i w:val="0"/>
      <w:sz w:val="20"/>
    </w:rPr>
  </w:style>
  <w:style w:type="paragraph" w:styleId="ListBullet">
    <w:name w:val="List Bullet"/>
    <w:basedOn w:val="Normal"/>
    <w:uiPriority w:val="99"/>
    <w:semiHidden/>
    <w:rsid w:val="00014566"/>
    <w:pPr>
      <w:numPr>
        <w:numId w:val="1"/>
      </w:numPr>
    </w:pPr>
  </w:style>
  <w:style w:type="character" w:customStyle="1" w:styleId="JuITMark">
    <w:name w:val="Ju_ITMark"/>
    <w:basedOn w:val="DefaultParagraphFont"/>
    <w:uiPriority w:val="38"/>
    <w:qFormat/>
    <w:rsid w:val="00933307"/>
    <w:rPr>
      <w:vanish w:val="0"/>
      <w:color w:val="auto"/>
      <w:sz w:val="14"/>
      <w:bdr w:val="none" w:sz="0" w:space="0" w:color="auto"/>
      <w:shd w:val="clear" w:color="auto" w:fill="BEE5FF" w:themeFill="background1" w:themeFillTint="33"/>
    </w:rPr>
  </w:style>
  <w:style w:type="paragraph" w:styleId="Subtitle">
    <w:name w:val="Subtitle"/>
    <w:basedOn w:val="Normal"/>
    <w:next w:val="Normal"/>
    <w:link w:val="SubtitleChar"/>
    <w:uiPriority w:val="99"/>
    <w:semiHidden/>
    <w:qFormat/>
    <w:rsid w:val="00933307"/>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933307"/>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style>
  <w:style w:type="character" w:customStyle="1" w:styleId="NoteHeadingChar">
    <w:name w:val="Note Heading Char"/>
    <w:basedOn w:val="DefaultParagraphFont"/>
    <w:link w:val="NoteHeading"/>
    <w:uiPriority w:val="99"/>
    <w:semiHidden/>
    <w:rsid w:val="00014566"/>
    <w:rPr>
      <w:rFonts w:eastAsiaTheme="minorEastAsia"/>
      <w:sz w:val="24"/>
    </w:rPr>
  </w:style>
  <w:style w:type="character" w:styleId="PlaceholderText">
    <w:name w:val="Placeholder Text"/>
    <w:basedOn w:val="DefaultParagraphFont"/>
    <w:uiPriority w:val="99"/>
    <w:rsid w:val="00933307"/>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933307"/>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933307"/>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HA0">
    <w:name w:val="Opi_H_A"/>
    <w:basedOn w:val="ECHRHeading1"/>
    <w:next w:val="OpiPara"/>
    <w:uiPriority w:val="41"/>
    <w:qFormat/>
    <w:rsid w:val="00933307"/>
    <w:pPr>
      <w:tabs>
        <w:tab w:val="clear" w:pos="357"/>
      </w:tabs>
      <w:outlineLvl w:val="1"/>
    </w:pPr>
    <w:rPr>
      <w:b/>
    </w:rPr>
  </w:style>
  <w:style w:type="paragraph" w:customStyle="1" w:styleId="OpiHi">
    <w:name w:val="Opi_H_i"/>
    <w:basedOn w:val="ECHRHeading4"/>
    <w:uiPriority w:val="44"/>
    <w:qFormat/>
    <w:rsid w:val="00933307"/>
    <w:pPr>
      <w:ind w:left="1037" w:hanging="357"/>
      <w:outlineLvl w:val="4"/>
    </w:pPr>
    <w:rPr>
      <w:b w:val="0"/>
      <w:i/>
    </w:rPr>
  </w:style>
  <w:style w:type="paragraph" w:customStyle="1" w:styleId="OpiPara">
    <w:name w:val="Opi_Para"/>
    <w:basedOn w:val="ECHRPara"/>
    <w:uiPriority w:val="46"/>
    <w:qFormat/>
    <w:rsid w:val="00933307"/>
  </w:style>
  <w:style w:type="paragraph" w:customStyle="1" w:styleId="OpiParaSub">
    <w:name w:val="Opi_Para_Sub"/>
    <w:basedOn w:val="JuParaSub"/>
    <w:uiPriority w:val="47"/>
    <w:qFormat/>
    <w:rsid w:val="00933307"/>
  </w:style>
  <w:style w:type="paragraph" w:customStyle="1" w:styleId="OpiQuot">
    <w:name w:val="Opi_Quot"/>
    <w:basedOn w:val="ECHRParaQuote"/>
    <w:uiPriority w:val="48"/>
    <w:qFormat/>
    <w:rsid w:val="00933307"/>
  </w:style>
  <w:style w:type="paragraph" w:customStyle="1" w:styleId="OpiQuotSub">
    <w:name w:val="Opi_Quot_Sub"/>
    <w:basedOn w:val="JuQuotSub"/>
    <w:uiPriority w:val="49"/>
    <w:qFormat/>
    <w:rsid w:val="00933307"/>
  </w:style>
  <w:style w:type="paragraph" w:customStyle="1" w:styleId="OpiTranslation">
    <w:name w:val="Opi_Translation"/>
    <w:basedOn w:val="Normal"/>
    <w:next w:val="OpiPara"/>
    <w:uiPriority w:val="40"/>
    <w:qFormat/>
    <w:rsid w:val="00933307"/>
    <w:pPr>
      <w:jc w:val="center"/>
      <w:outlineLvl w:val="0"/>
    </w:pPr>
    <w:rPr>
      <w:i/>
    </w:rPr>
  </w:style>
  <w:style w:type="character" w:customStyle="1" w:styleId="JuParaChar">
    <w:name w:val="Ju_Para Char"/>
    <w:aliases w:val="ECHR_Para Char"/>
    <w:basedOn w:val="DefaultParagraphFont"/>
    <w:link w:val="ECHRPara"/>
    <w:uiPriority w:val="12"/>
    <w:rsid w:val="00B32B88"/>
    <w:rPr>
      <w:rFonts w:eastAsiaTheme="minorEastAsia"/>
      <w:sz w:val="24"/>
      <w:lang w:val="en-GB"/>
    </w:rPr>
  </w:style>
  <w:style w:type="paragraph" w:styleId="Revision">
    <w:name w:val="Revision"/>
    <w:hidden/>
    <w:uiPriority w:val="99"/>
    <w:semiHidden/>
    <w:rsid w:val="00CA3C32"/>
    <w:rPr>
      <w:rFonts w:eastAsiaTheme="minorEastAsia"/>
      <w:sz w:val="24"/>
    </w:rPr>
  </w:style>
  <w:style w:type="paragraph" w:customStyle="1" w:styleId="ECHRParaSpaced">
    <w:name w:val="ECHR_Para_Spaced"/>
    <w:aliases w:val="Para_Spaced"/>
    <w:basedOn w:val="ECHRPara"/>
    <w:uiPriority w:val="4"/>
    <w:rsid w:val="000A3B22"/>
    <w:pPr>
      <w:spacing w:before="120" w:after="120"/>
      <w:ind w:firstLine="0"/>
    </w:pPr>
    <w:rPr>
      <w:rFonts w:eastAsia="Times New Roman" w:cs="Times New Roman"/>
      <w:sz w:val="22"/>
    </w:rPr>
  </w:style>
  <w:style w:type="character" w:customStyle="1" w:styleId="s7d2086b4">
    <w:name w:val="s7d2086b4"/>
    <w:basedOn w:val="DefaultParagraphFont"/>
    <w:rsid w:val="00FF5B53"/>
  </w:style>
  <w:style w:type="character" w:customStyle="1" w:styleId="s6b621b36">
    <w:name w:val="s6b621b36"/>
    <w:basedOn w:val="DefaultParagraphFont"/>
    <w:rsid w:val="00FF5B53"/>
  </w:style>
  <w:style w:type="paragraph" w:customStyle="1" w:styleId="jupara">
    <w:name w:val="jupara"/>
    <w:basedOn w:val="Normal"/>
    <w:rsid w:val="00BC719D"/>
    <w:pPr>
      <w:ind w:firstLine="284"/>
    </w:pPr>
    <w:rPr>
      <w:rFonts w:ascii="Times New Roman" w:eastAsia="Times New Roman" w:hAnsi="Times New Roman" w:cs="Times New Roman"/>
      <w:szCs w:val="24"/>
      <w:lang w:eastAsia="en-GB"/>
    </w:rPr>
  </w:style>
  <w:style w:type="paragraph" w:customStyle="1" w:styleId="jucase0">
    <w:name w:val="jucase"/>
    <w:basedOn w:val="Normal"/>
    <w:rsid w:val="00BC719D"/>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936684">
      <w:bodyDiv w:val="1"/>
      <w:marLeft w:val="0"/>
      <w:marRight w:val="0"/>
      <w:marTop w:val="0"/>
      <w:marBottom w:val="0"/>
      <w:divBdr>
        <w:top w:val="none" w:sz="0" w:space="0" w:color="auto"/>
        <w:left w:val="none" w:sz="0" w:space="0" w:color="auto"/>
        <w:bottom w:val="none" w:sz="0" w:space="0" w:color="auto"/>
        <w:right w:val="none" w:sz="0" w:space="0" w:color="auto"/>
      </w:divBdr>
      <w:divsChild>
        <w:div w:id="1211721238">
          <w:marLeft w:val="0"/>
          <w:marRight w:val="0"/>
          <w:marTop w:val="0"/>
          <w:marBottom w:val="0"/>
          <w:divBdr>
            <w:top w:val="none" w:sz="0" w:space="0" w:color="auto"/>
            <w:left w:val="none" w:sz="0" w:space="0" w:color="auto"/>
            <w:bottom w:val="none" w:sz="0" w:space="0" w:color="auto"/>
            <w:right w:val="none" w:sz="0" w:space="0" w:color="auto"/>
          </w:divBdr>
          <w:divsChild>
            <w:div w:id="1661153038">
              <w:marLeft w:val="0"/>
              <w:marRight w:val="0"/>
              <w:marTop w:val="0"/>
              <w:marBottom w:val="0"/>
              <w:divBdr>
                <w:top w:val="none" w:sz="0" w:space="0" w:color="auto"/>
                <w:left w:val="none" w:sz="0" w:space="0" w:color="auto"/>
                <w:bottom w:val="none" w:sz="0" w:space="0" w:color="auto"/>
                <w:right w:val="none" w:sz="0" w:space="0" w:color="auto"/>
              </w:divBdr>
              <w:divsChild>
                <w:div w:id="789209581">
                  <w:marLeft w:val="0"/>
                  <w:marRight w:val="0"/>
                  <w:marTop w:val="0"/>
                  <w:marBottom w:val="0"/>
                  <w:divBdr>
                    <w:top w:val="none" w:sz="0" w:space="0" w:color="auto"/>
                    <w:left w:val="none" w:sz="0" w:space="0" w:color="auto"/>
                    <w:bottom w:val="none" w:sz="0" w:space="0" w:color="auto"/>
                    <w:right w:val="none" w:sz="0" w:space="0" w:color="auto"/>
                  </w:divBdr>
                  <w:divsChild>
                    <w:div w:id="1108816474">
                      <w:marLeft w:val="0"/>
                      <w:marRight w:val="0"/>
                      <w:marTop w:val="0"/>
                      <w:marBottom w:val="0"/>
                      <w:divBdr>
                        <w:top w:val="none" w:sz="0" w:space="0" w:color="auto"/>
                        <w:left w:val="none" w:sz="0" w:space="0" w:color="auto"/>
                        <w:bottom w:val="none" w:sz="0" w:space="0" w:color="auto"/>
                        <w:right w:val="none" w:sz="0" w:space="0" w:color="auto"/>
                      </w:divBdr>
                      <w:divsChild>
                        <w:div w:id="714814836">
                          <w:marLeft w:val="0"/>
                          <w:marRight w:val="0"/>
                          <w:marTop w:val="0"/>
                          <w:marBottom w:val="0"/>
                          <w:divBdr>
                            <w:top w:val="none" w:sz="0" w:space="0" w:color="auto"/>
                            <w:left w:val="none" w:sz="0" w:space="0" w:color="auto"/>
                            <w:bottom w:val="none" w:sz="0" w:space="0" w:color="auto"/>
                            <w:right w:val="none" w:sz="0" w:space="0" w:color="auto"/>
                          </w:divBdr>
                          <w:divsChild>
                            <w:div w:id="1274097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684747">
      <w:bodyDiv w:val="1"/>
      <w:marLeft w:val="0"/>
      <w:marRight w:val="0"/>
      <w:marTop w:val="0"/>
      <w:marBottom w:val="0"/>
      <w:divBdr>
        <w:top w:val="none" w:sz="0" w:space="0" w:color="auto"/>
        <w:left w:val="none" w:sz="0" w:space="0" w:color="auto"/>
        <w:bottom w:val="none" w:sz="0" w:space="0" w:color="auto"/>
        <w:right w:val="none" w:sz="0" w:space="0" w:color="auto"/>
      </w:divBdr>
      <w:divsChild>
        <w:div w:id="47611763">
          <w:marLeft w:val="0"/>
          <w:marRight w:val="0"/>
          <w:marTop w:val="0"/>
          <w:marBottom w:val="0"/>
          <w:divBdr>
            <w:top w:val="none" w:sz="0" w:space="0" w:color="auto"/>
            <w:left w:val="none" w:sz="0" w:space="0" w:color="auto"/>
            <w:bottom w:val="none" w:sz="0" w:space="0" w:color="auto"/>
            <w:right w:val="none" w:sz="0" w:space="0" w:color="auto"/>
          </w:divBdr>
          <w:divsChild>
            <w:div w:id="159469133">
              <w:marLeft w:val="0"/>
              <w:marRight w:val="0"/>
              <w:marTop w:val="0"/>
              <w:marBottom w:val="0"/>
              <w:divBdr>
                <w:top w:val="none" w:sz="0" w:space="0" w:color="auto"/>
                <w:left w:val="none" w:sz="0" w:space="0" w:color="auto"/>
                <w:bottom w:val="none" w:sz="0" w:space="0" w:color="auto"/>
                <w:right w:val="none" w:sz="0" w:space="0" w:color="auto"/>
              </w:divBdr>
              <w:divsChild>
                <w:div w:id="1560746283">
                  <w:marLeft w:val="0"/>
                  <w:marRight w:val="0"/>
                  <w:marTop w:val="0"/>
                  <w:marBottom w:val="0"/>
                  <w:divBdr>
                    <w:top w:val="none" w:sz="0" w:space="0" w:color="auto"/>
                    <w:left w:val="none" w:sz="0" w:space="0" w:color="auto"/>
                    <w:bottom w:val="none" w:sz="0" w:space="0" w:color="auto"/>
                    <w:right w:val="none" w:sz="0" w:space="0" w:color="auto"/>
                  </w:divBdr>
                  <w:divsChild>
                    <w:div w:id="224613337">
                      <w:marLeft w:val="0"/>
                      <w:marRight w:val="0"/>
                      <w:marTop w:val="0"/>
                      <w:marBottom w:val="0"/>
                      <w:divBdr>
                        <w:top w:val="none" w:sz="0" w:space="0" w:color="auto"/>
                        <w:left w:val="none" w:sz="0" w:space="0" w:color="auto"/>
                        <w:bottom w:val="none" w:sz="0" w:space="0" w:color="auto"/>
                        <w:right w:val="none" w:sz="0" w:space="0" w:color="auto"/>
                      </w:divBdr>
                      <w:divsChild>
                        <w:div w:id="2053383508">
                          <w:marLeft w:val="0"/>
                          <w:marRight w:val="0"/>
                          <w:marTop w:val="0"/>
                          <w:marBottom w:val="0"/>
                          <w:divBdr>
                            <w:top w:val="none" w:sz="0" w:space="0" w:color="auto"/>
                            <w:left w:val="none" w:sz="0" w:space="0" w:color="auto"/>
                            <w:bottom w:val="none" w:sz="0" w:space="0" w:color="auto"/>
                            <w:right w:val="none" w:sz="0" w:space="0" w:color="auto"/>
                          </w:divBdr>
                          <w:divsChild>
                            <w:div w:id="1821380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900333">
      <w:bodyDiv w:val="1"/>
      <w:marLeft w:val="0"/>
      <w:marRight w:val="0"/>
      <w:marTop w:val="0"/>
      <w:marBottom w:val="0"/>
      <w:divBdr>
        <w:top w:val="none" w:sz="0" w:space="0" w:color="auto"/>
        <w:left w:val="none" w:sz="0" w:space="0" w:color="auto"/>
        <w:bottom w:val="none" w:sz="0" w:space="0" w:color="auto"/>
        <w:right w:val="none" w:sz="0" w:space="0" w:color="auto"/>
      </w:divBdr>
      <w:divsChild>
        <w:div w:id="1380475884">
          <w:marLeft w:val="0"/>
          <w:marRight w:val="0"/>
          <w:marTop w:val="0"/>
          <w:marBottom w:val="0"/>
          <w:divBdr>
            <w:top w:val="none" w:sz="0" w:space="0" w:color="auto"/>
            <w:left w:val="none" w:sz="0" w:space="0" w:color="auto"/>
            <w:bottom w:val="none" w:sz="0" w:space="0" w:color="auto"/>
            <w:right w:val="none" w:sz="0" w:space="0" w:color="auto"/>
          </w:divBdr>
          <w:divsChild>
            <w:div w:id="1339885684">
              <w:marLeft w:val="0"/>
              <w:marRight w:val="0"/>
              <w:marTop w:val="0"/>
              <w:marBottom w:val="0"/>
              <w:divBdr>
                <w:top w:val="none" w:sz="0" w:space="0" w:color="auto"/>
                <w:left w:val="none" w:sz="0" w:space="0" w:color="auto"/>
                <w:bottom w:val="none" w:sz="0" w:space="0" w:color="auto"/>
                <w:right w:val="none" w:sz="0" w:space="0" w:color="auto"/>
              </w:divBdr>
              <w:divsChild>
                <w:div w:id="2082215673">
                  <w:marLeft w:val="0"/>
                  <w:marRight w:val="0"/>
                  <w:marTop w:val="0"/>
                  <w:marBottom w:val="0"/>
                  <w:divBdr>
                    <w:top w:val="none" w:sz="0" w:space="0" w:color="auto"/>
                    <w:left w:val="none" w:sz="0" w:space="0" w:color="auto"/>
                    <w:bottom w:val="none" w:sz="0" w:space="0" w:color="auto"/>
                    <w:right w:val="none" w:sz="0" w:space="0" w:color="auto"/>
                  </w:divBdr>
                  <w:divsChild>
                    <w:div w:id="1665279752">
                      <w:marLeft w:val="0"/>
                      <w:marRight w:val="0"/>
                      <w:marTop w:val="0"/>
                      <w:marBottom w:val="0"/>
                      <w:divBdr>
                        <w:top w:val="none" w:sz="0" w:space="0" w:color="auto"/>
                        <w:left w:val="none" w:sz="0" w:space="0" w:color="auto"/>
                        <w:bottom w:val="none" w:sz="0" w:space="0" w:color="auto"/>
                        <w:right w:val="none" w:sz="0" w:space="0" w:color="auto"/>
                      </w:divBdr>
                      <w:divsChild>
                        <w:div w:id="1936551289">
                          <w:marLeft w:val="0"/>
                          <w:marRight w:val="0"/>
                          <w:marTop w:val="0"/>
                          <w:marBottom w:val="0"/>
                          <w:divBdr>
                            <w:top w:val="none" w:sz="0" w:space="0" w:color="auto"/>
                            <w:left w:val="none" w:sz="0" w:space="0" w:color="auto"/>
                            <w:bottom w:val="none" w:sz="0" w:space="0" w:color="auto"/>
                            <w:right w:val="none" w:sz="0" w:space="0" w:color="auto"/>
                          </w:divBdr>
                          <w:divsChild>
                            <w:div w:id="144322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817099">
      <w:bodyDiv w:val="1"/>
      <w:marLeft w:val="0"/>
      <w:marRight w:val="0"/>
      <w:marTop w:val="0"/>
      <w:marBottom w:val="0"/>
      <w:divBdr>
        <w:top w:val="none" w:sz="0" w:space="0" w:color="auto"/>
        <w:left w:val="none" w:sz="0" w:space="0" w:color="auto"/>
        <w:bottom w:val="none" w:sz="0" w:space="0" w:color="auto"/>
        <w:right w:val="none" w:sz="0" w:space="0" w:color="auto"/>
      </w:divBdr>
      <w:divsChild>
        <w:div w:id="1843473404">
          <w:marLeft w:val="0"/>
          <w:marRight w:val="0"/>
          <w:marTop w:val="0"/>
          <w:marBottom w:val="0"/>
          <w:divBdr>
            <w:top w:val="none" w:sz="0" w:space="0" w:color="auto"/>
            <w:left w:val="none" w:sz="0" w:space="0" w:color="auto"/>
            <w:bottom w:val="none" w:sz="0" w:space="0" w:color="auto"/>
            <w:right w:val="none" w:sz="0" w:space="0" w:color="auto"/>
          </w:divBdr>
          <w:divsChild>
            <w:div w:id="1758213687">
              <w:marLeft w:val="0"/>
              <w:marRight w:val="0"/>
              <w:marTop w:val="0"/>
              <w:marBottom w:val="0"/>
              <w:divBdr>
                <w:top w:val="none" w:sz="0" w:space="0" w:color="auto"/>
                <w:left w:val="none" w:sz="0" w:space="0" w:color="auto"/>
                <w:bottom w:val="none" w:sz="0" w:space="0" w:color="auto"/>
                <w:right w:val="none" w:sz="0" w:space="0" w:color="auto"/>
              </w:divBdr>
              <w:divsChild>
                <w:div w:id="1371149339">
                  <w:marLeft w:val="0"/>
                  <w:marRight w:val="0"/>
                  <w:marTop w:val="0"/>
                  <w:marBottom w:val="0"/>
                  <w:divBdr>
                    <w:top w:val="none" w:sz="0" w:space="0" w:color="auto"/>
                    <w:left w:val="none" w:sz="0" w:space="0" w:color="auto"/>
                    <w:bottom w:val="none" w:sz="0" w:space="0" w:color="auto"/>
                    <w:right w:val="none" w:sz="0" w:space="0" w:color="auto"/>
                  </w:divBdr>
                  <w:divsChild>
                    <w:div w:id="1937058057">
                      <w:marLeft w:val="0"/>
                      <w:marRight w:val="0"/>
                      <w:marTop w:val="0"/>
                      <w:marBottom w:val="0"/>
                      <w:divBdr>
                        <w:top w:val="none" w:sz="0" w:space="0" w:color="auto"/>
                        <w:left w:val="none" w:sz="0" w:space="0" w:color="auto"/>
                        <w:bottom w:val="none" w:sz="0" w:space="0" w:color="auto"/>
                        <w:right w:val="none" w:sz="0" w:space="0" w:color="auto"/>
                      </w:divBdr>
                      <w:divsChild>
                        <w:div w:id="948009418">
                          <w:marLeft w:val="0"/>
                          <w:marRight w:val="0"/>
                          <w:marTop w:val="0"/>
                          <w:marBottom w:val="0"/>
                          <w:divBdr>
                            <w:top w:val="none" w:sz="0" w:space="0" w:color="auto"/>
                            <w:left w:val="none" w:sz="0" w:space="0" w:color="auto"/>
                            <w:bottom w:val="none" w:sz="0" w:space="0" w:color="auto"/>
                            <w:right w:val="none" w:sz="0" w:space="0" w:color="auto"/>
                          </w:divBdr>
                          <w:divsChild>
                            <w:div w:id="918101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354096">
      <w:bodyDiv w:val="1"/>
      <w:marLeft w:val="0"/>
      <w:marRight w:val="0"/>
      <w:marTop w:val="0"/>
      <w:marBottom w:val="0"/>
      <w:divBdr>
        <w:top w:val="none" w:sz="0" w:space="0" w:color="auto"/>
        <w:left w:val="none" w:sz="0" w:space="0" w:color="auto"/>
        <w:bottom w:val="none" w:sz="0" w:space="0" w:color="auto"/>
        <w:right w:val="none" w:sz="0" w:space="0" w:color="auto"/>
      </w:divBdr>
      <w:divsChild>
        <w:div w:id="586429944">
          <w:marLeft w:val="0"/>
          <w:marRight w:val="0"/>
          <w:marTop w:val="0"/>
          <w:marBottom w:val="0"/>
          <w:divBdr>
            <w:top w:val="none" w:sz="0" w:space="0" w:color="auto"/>
            <w:left w:val="none" w:sz="0" w:space="0" w:color="auto"/>
            <w:bottom w:val="none" w:sz="0" w:space="0" w:color="auto"/>
            <w:right w:val="none" w:sz="0" w:space="0" w:color="auto"/>
          </w:divBdr>
          <w:divsChild>
            <w:div w:id="166677200">
              <w:marLeft w:val="0"/>
              <w:marRight w:val="0"/>
              <w:marTop w:val="0"/>
              <w:marBottom w:val="0"/>
              <w:divBdr>
                <w:top w:val="none" w:sz="0" w:space="0" w:color="auto"/>
                <w:left w:val="none" w:sz="0" w:space="0" w:color="auto"/>
                <w:bottom w:val="none" w:sz="0" w:space="0" w:color="auto"/>
                <w:right w:val="none" w:sz="0" w:space="0" w:color="auto"/>
              </w:divBdr>
              <w:divsChild>
                <w:div w:id="679507896">
                  <w:marLeft w:val="0"/>
                  <w:marRight w:val="0"/>
                  <w:marTop w:val="0"/>
                  <w:marBottom w:val="0"/>
                  <w:divBdr>
                    <w:top w:val="none" w:sz="0" w:space="0" w:color="auto"/>
                    <w:left w:val="none" w:sz="0" w:space="0" w:color="auto"/>
                    <w:bottom w:val="none" w:sz="0" w:space="0" w:color="auto"/>
                    <w:right w:val="none" w:sz="0" w:space="0" w:color="auto"/>
                  </w:divBdr>
                  <w:divsChild>
                    <w:div w:id="1497725915">
                      <w:marLeft w:val="0"/>
                      <w:marRight w:val="0"/>
                      <w:marTop w:val="0"/>
                      <w:marBottom w:val="0"/>
                      <w:divBdr>
                        <w:top w:val="none" w:sz="0" w:space="0" w:color="auto"/>
                        <w:left w:val="none" w:sz="0" w:space="0" w:color="auto"/>
                        <w:bottom w:val="none" w:sz="0" w:space="0" w:color="auto"/>
                        <w:right w:val="none" w:sz="0" w:space="0" w:color="auto"/>
                      </w:divBdr>
                      <w:divsChild>
                        <w:div w:id="1170561810">
                          <w:marLeft w:val="0"/>
                          <w:marRight w:val="0"/>
                          <w:marTop w:val="0"/>
                          <w:marBottom w:val="0"/>
                          <w:divBdr>
                            <w:top w:val="none" w:sz="0" w:space="0" w:color="auto"/>
                            <w:left w:val="none" w:sz="0" w:space="0" w:color="auto"/>
                            <w:bottom w:val="none" w:sz="0" w:space="0" w:color="auto"/>
                            <w:right w:val="none" w:sz="0" w:space="0" w:color="auto"/>
                          </w:divBdr>
                          <w:divsChild>
                            <w:div w:id="1223368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959541">
      <w:bodyDiv w:val="1"/>
      <w:marLeft w:val="0"/>
      <w:marRight w:val="0"/>
      <w:marTop w:val="0"/>
      <w:marBottom w:val="0"/>
      <w:divBdr>
        <w:top w:val="none" w:sz="0" w:space="0" w:color="auto"/>
        <w:left w:val="none" w:sz="0" w:space="0" w:color="auto"/>
        <w:bottom w:val="none" w:sz="0" w:space="0" w:color="auto"/>
        <w:right w:val="none" w:sz="0" w:space="0" w:color="auto"/>
      </w:divBdr>
      <w:divsChild>
        <w:div w:id="1975016765">
          <w:marLeft w:val="0"/>
          <w:marRight w:val="0"/>
          <w:marTop w:val="0"/>
          <w:marBottom w:val="0"/>
          <w:divBdr>
            <w:top w:val="none" w:sz="0" w:space="0" w:color="auto"/>
            <w:left w:val="none" w:sz="0" w:space="0" w:color="auto"/>
            <w:bottom w:val="none" w:sz="0" w:space="0" w:color="auto"/>
            <w:right w:val="none" w:sz="0" w:space="0" w:color="auto"/>
          </w:divBdr>
          <w:divsChild>
            <w:div w:id="153381518">
              <w:marLeft w:val="0"/>
              <w:marRight w:val="0"/>
              <w:marTop w:val="0"/>
              <w:marBottom w:val="0"/>
              <w:divBdr>
                <w:top w:val="none" w:sz="0" w:space="0" w:color="auto"/>
                <w:left w:val="none" w:sz="0" w:space="0" w:color="auto"/>
                <w:bottom w:val="none" w:sz="0" w:space="0" w:color="auto"/>
                <w:right w:val="none" w:sz="0" w:space="0" w:color="auto"/>
              </w:divBdr>
              <w:divsChild>
                <w:div w:id="626395540">
                  <w:marLeft w:val="0"/>
                  <w:marRight w:val="0"/>
                  <w:marTop w:val="0"/>
                  <w:marBottom w:val="0"/>
                  <w:divBdr>
                    <w:top w:val="none" w:sz="0" w:space="0" w:color="auto"/>
                    <w:left w:val="none" w:sz="0" w:space="0" w:color="auto"/>
                    <w:bottom w:val="none" w:sz="0" w:space="0" w:color="auto"/>
                    <w:right w:val="none" w:sz="0" w:space="0" w:color="auto"/>
                  </w:divBdr>
                  <w:divsChild>
                    <w:div w:id="1877037937">
                      <w:marLeft w:val="0"/>
                      <w:marRight w:val="0"/>
                      <w:marTop w:val="0"/>
                      <w:marBottom w:val="0"/>
                      <w:divBdr>
                        <w:top w:val="none" w:sz="0" w:space="0" w:color="auto"/>
                        <w:left w:val="none" w:sz="0" w:space="0" w:color="auto"/>
                        <w:bottom w:val="none" w:sz="0" w:space="0" w:color="auto"/>
                        <w:right w:val="none" w:sz="0" w:space="0" w:color="auto"/>
                      </w:divBdr>
                      <w:divsChild>
                        <w:div w:id="1370953762">
                          <w:marLeft w:val="0"/>
                          <w:marRight w:val="0"/>
                          <w:marTop w:val="0"/>
                          <w:marBottom w:val="0"/>
                          <w:divBdr>
                            <w:top w:val="none" w:sz="0" w:space="0" w:color="auto"/>
                            <w:left w:val="none" w:sz="0" w:space="0" w:color="auto"/>
                            <w:bottom w:val="none" w:sz="0" w:space="0" w:color="auto"/>
                            <w:right w:val="none" w:sz="0" w:space="0" w:color="auto"/>
                          </w:divBdr>
                          <w:divsChild>
                            <w:div w:id="1076635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514116">
      <w:bodyDiv w:val="1"/>
      <w:marLeft w:val="0"/>
      <w:marRight w:val="0"/>
      <w:marTop w:val="0"/>
      <w:marBottom w:val="0"/>
      <w:divBdr>
        <w:top w:val="none" w:sz="0" w:space="0" w:color="auto"/>
        <w:left w:val="none" w:sz="0" w:space="0" w:color="auto"/>
        <w:bottom w:val="none" w:sz="0" w:space="0" w:color="auto"/>
        <w:right w:val="none" w:sz="0" w:space="0" w:color="auto"/>
      </w:divBdr>
      <w:divsChild>
        <w:div w:id="1079904627">
          <w:marLeft w:val="0"/>
          <w:marRight w:val="0"/>
          <w:marTop w:val="0"/>
          <w:marBottom w:val="0"/>
          <w:divBdr>
            <w:top w:val="none" w:sz="0" w:space="0" w:color="auto"/>
            <w:left w:val="none" w:sz="0" w:space="0" w:color="auto"/>
            <w:bottom w:val="none" w:sz="0" w:space="0" w:color="auto"/>
            <w:right w:val="none" w:sz="0" w:space="0" w:color="auto"/>
          </w:divBdr>
          <w:divsChild>
            <w:div w:id="1692489579">
              <w:marLeft w:val="0"/>
              <w:marRight w:val="0"/>
              <w:marTop w:val="0"/>
              <w:marBottom w:val="0"/>
              <w:divBdr>
                <w:top w:val="none" w:sz="0" w:space="0" w:color="auto"/>
                <w:left w:val="none" w:sz="0" w:space="0" w:color="auto"/>
                <w:bottom w:val="none" w:sz="0" w:space="0" w:color="auto"/>
                <w:right w:val="none" w:sz="0" w:space="0" w:color="auto"/>
              </w:divBdr>
              <w:divsChild>
                <w:div w:id="1587227083">
                  <w:marLeft w:val="0"/>
                  <w:marRight w:val="0"/>
                  <w:marTop w:val="0"/>
                  <w:marBottom w:val="0"/>
                  <w:divBdr>
                    <w:top w:val="none" w:sz="0" w:space="0" w:color="auto"/>
                    <w:left w:val="none" w:sz="0" w:space="0" w:color="auto"/>
                    <w:bottom w:val="none" w:sz="0" w:space="0" w:color="auto"/>
                    <w:right w:val="none" w:sz="0" w:space="0" w:color="auto"/>
                  </w:divBdr>
                  <w:divsChild>
                    <w:div w:id="121728771">
                      <w:marLeft w:val="0"/>
                      <w:marRight w:val="0"/>
                      <w:marTop w:val="0"/>
                      <w:marBottom w:val="0"/>
                      <w:divBdr>
                        <w:top w:val="none" w:sz="0" w:space="0" w:color="auto"/>
                        <w:left w:val="none" w:sz="0" w:space="0" w:color="auto"/>
                        <w:bottom w:val="none" w:sz="0" w:space="0" w:color="auto"/>
                        <w:right w:val="none" w:sz="0" w:space="0" w:color="auto"/>
                      </w:divBdr>
                      <w:divsChild>
                        <w:div w:id="1753773711">
                          <w:marLeft w:val="0"/>
                          <w:marRight w:val="0"/>
                          <w:marTop w:val="0"/>
                          <w:marBottom w:val="0"/>
                          <w:divBdr>
                            <w:top w:val="none" w:sz="0" w:space="0" w:color="auto"/>
                            <w:left w:val="none" w:sz="0" w:space="0" w:color="auto"/>
                            <w:bottom w:val="none" w:sz="0" w:space="0" w:color="auto"/>
                            <w:right w:val="none" w:sz="0" w:space="0" w:color="auto"/>
                          </w:divBdr>
                          <w:divsChild>
                            <w:div w:id="136264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288080">
      <w:bodyDiv w:val="1"/>
      <w:marLeft w:val="0"/>
      <w:marRight w:val="0"/>
      <w:marTop w:val="0"/>
      <w:marBottom w:val="0"/>
      <w:divBdr>
        <w:top w:val="none" w:sz="0" w:space="0" w:color="auto"/>
        <w:left w:val="none" w:sz="0" w:space="0" w:color="auto"/>
        <w:bottom w:val="none" w:sz="0" w:space="0" w:color="auto"/>
        <w:right w:val="none" w:sz="0" w:space="0" w:color="auto"/>
      </w:divBdr>
      <w:divsChild>
        <w:div w:id="305863485">
          <w:marLeft w:val="0"/>
          <w:marRight w:val="0"/>
          <w:marTop w:val="0"/>
          <w:marBottom w:val="0"/>
          <w:divBdr>
            <w:top w:val="none" w:sz="0" w:space="0" w:color="auto"/>
            <w:left w:val="none" w:sz="0" w:space="0" w:color="auto"/>
            <w:bottom w:val="none" w:sz="0" w:space="0" w:color="auto"/>
            <w:right w:val="none" w:sz="0" w:space="0" w:color="auto"/>
          </w:divBdr>
          <w:divsChild>
            <w:div w:id="241259429">
              <w:marLeft w:val="0"/>
              <w:marRight w:val="0"/>
              <w:marTop w:val="0"/>
              <w:marBottom w:val="0"/>
              <w:divBdr>
                <w:top w:val="none" w:sz="0" w:space="0" w:color="auto"/>
                <w:left w:val="none" w:sz="0" w:space="0" w:color="auto"/>
                <w:bottom w:val="none" w:sz="0" w:space="0" w:color="auto"/>
                <w:right w:val="none" w:sz="0" w:space="0" w:color="auto"/>
              </w:divBdr>
              <w:divsChild>
                <w:div w:id="1984116743">
                  <w:marLeft w:val="0"/>
                  <w:marRight w:val="0"/>
                  <w:marTop w:val="0"/>
                  <w:marBottom w:val="0"/>
                  <w:divBdr>
                    <w:top w:val="none" w:sz="0" w:space="0" w:color="auto"/>
                    <w:left w:val="none" w:sz="0" w:space="0" w:color="auto"/>
                    <w:bottom w:val="none" w:sz="0" w:space="0" w:color="auto"/>
                    <w:right w:val="none" w:sz="0" w:space="0" w:color="auto"/>
                  </w:divBdr>
                  <w:divsChild>
                    <w:div w:id="2317775">
                      <w:marLeft w:val="0"/>
                      <w:marRight w:val="0"/>
                      <w:marTop w:val="0"/>
                      <w:marBottom w:val="0"/>
                      <w:divBdr>
                        <w:top w:val="none" w:sz="0" w:space="0" w:color="auto"/>
                        <w:left w:val="none" w:sz="0" w:space="0" w:color="auto"/>
                        <w:bottom w:val="none" w:sz="0" w:space="0" w:color="auto"/>
                        <w:right w:val="none" w:sz="0" w:space="0" w:color="auto"/>
                      </w:divBdr>
                      <w:divsChild>
                        <w:div w:id="1144928310">
                          <w:marLeft w:val="0"/>
                          <w:marRight w:val="0"/>
                          <w:marTop w:val="0"/>
                          <w:marBottom w:val="0"/>
                          <w:divBdr>
                            <w:top w:val="none" w:sz="0" w:space="0" w:color="auto"/>
                            <w:left w:val="none" w:sz="0" w:space="0" w:color="auto"/>
                            <w:bottom w:val="none" w:sz="0" w:space="0" w:color="auto"/>
                            <w:right w:val="none" w:sz="0" w:space="0" w:color="auto"/>
                          </w:divBdr>
                          <w:divsChild>
                            <w:div w:id="85269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871348">
      <w:bodyDiv w:val="1"/>
      <w:marLeft w:val="0"/>
      <w:marRight w:val="0"/>
      <w:marTop w:val="0"/>
      <w:marBottom w:val="0"/>
      <w:divBdr>
        <w:top w:val="none" w:sz="0" w:space="0" w:color="auto"/>
        <w:left w:val="none" w:sz="0" w:space="0" w:color="auto"/>
        <w:bottom w:val="none" w:sz="0" w:space="0" w:color="auto"/>
        <w:right w:val="none" w:sz="0" w:space="0" w:color="auto"/>
      </w:divBdr>
      <w:divsChild>
        <w:div w:id="1018855103">
          <w:marLeft w:val="0"/>
          <w:marRight w:val="0"/>
          <w:marTop w:val="0"/>
          <w:marBottom w:val="0"/>
          <w:divBdr>
            <w:top w:val="none" w:sz="0" w:space="0" w:color="auto"/>
            <w:left w:val="none" w:sz="0" w:space="0" w:color="auto"/>
            <w:bottom w:val="none" w:sz="0" w:space="0" w:color="auto"/>
            <w:right w:val="none" w:sz="0" w:space="0" w:color="auto"/>
          </w:divBdr>
          <w:divsChild>
            <w:div w:id="1753818837">
              <w:marLeft w:val="0"/>
              <w:marRight w:val="0"/>
              <w:marTop w:val="0"/>
              <w:marBottom w:val="0"/>
              <w:divBdr>
                <w:top w:val="none" w:sz="0" w:space="0" w:color="auto"/>
                <w:left w:val="none" w:sz="0" w:space="0" w:color="auto"/>
                <w:bottom w:val="none" w:sz="0" w:space="0" w:color="auto"/>
                <w:right w:val="none" w:sz="0" w:space="0" w:color="auto"/>
              </w:divBdr>
              <w:divsChild>
                <w:div w:id="1175805371">
                  <w:marLeft w:val="0"/>
                  <w:marRight w:val="0"/>
                  <w:marTop w:val="0"/>
                  <w:marBottom w:val="0"/>
                  <w:divBdr>
                    <w:top w:val="none" w:sz="0" w:space="0" w:color="auto"/>
                    <w:left w:val="none" w:sz="0" w:space="0" w:color="auto"/>
                    <w:bottom w:val="none" w:sz="0" w:space="0" w:color="auto"/>
                    <w:right w:val="none" w:sz="0" w:space="0" w:color="auto"/>
                  </w:divBdr>
                  <w:divsChild>
                    <w:div w:id="2124836863">
                      <w:marLeft w:val="0"/>
                      <w:marRight w:val="0"/>
                      <w:marTop w:val="0"/>
                      <w:marBottom w:val="0"/>
                      <w:divBdr>
                        <w:top w:val="none" w:sz="0" w:space="0" w:color="auto"/>
                        <w:left w:val="none" w:sz="0" w:space="0" w:color="auto"/>
                        <w:bottom w:val="none" w:sz="0" w:space="0" w:color="auto"/>
                        <w:right w:val="none" w:sz="0" w:space="0" w:color="auto"/>
                      </w:divBdr>
                      <w:divsChild>
                        <w:div w:id="644555138">
                          <w:marLeft w:val="0"/>
                          <w:marRight w:val="0"/>
                          <w:marTop w:val="0"/>
                          <w:marBottom w:val="0"/>
                          <w:divBdr>
                            <w:top w:val="none" w:sz="0" w:space="0" w:color="auto"/>
                            <w:left w:val="none" w:sz="0" w:space="0" w:color="auto"/>
                            <w:bottom w:val="none" w:sz="0" w:space="0" w:color="auto"/>
                            <w:right w:val="none" w:sz="0" w:space="0" w:color="auto"/>
                          </w:divBdr>
                          <w:divsChild>
                            <w:div w:id="1241477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263883">
      <w:bodyDiv w:val="1"/>
      <w:marLeft w:val="0"/>
      <w:marRight w:val="0"/>
      <w:marTop w:val="0"/>
      <w:marBottom w:val="0"/>
      <w:divBdr>
        <w:top w:val="none" w:sz="0" w:space="0" w:color="auto"/>
        <w:left w:val="none" w:sz="0" w:space="0" w:color="auto"/>
        <w:bottom w:val="none" w:sz="0" w:space="0" w:color="auto"/>
        <w:right w:val="none" w:sz="0" w:space="0" w:color="auto"/>
      </w:divBdr>
      <w:divsChild>
        <w:div w:id="1472097822">
          <w:marLeft w:val="0"/>
          <w:marRight w:val="0"/>
          <w:marTop w:val="0"/>
          <w:marBottom w:val="0"/>
          <w:divBdr>
            <w:top w:val="none" w:sz="0" w:space="0" w:color="auto"/>
            <w:left w:val="none" w:sz="0" w:space="0" w:color="auto"/>
            <w:bottom w:val="none" w:sz="0" w:space="0" w:color="auto"/>
            <w:right w:val="none" w:sz="0" w:space="0" w:color="auto"/>
          </w:divBdr>
          <w:divsChild>
            <w:div w:id="1607226052">
              <w:marLeft w:val="0"/>
              <w:marRight w:val="0"/>
              <w:marTop w:val="0"/>
              <w:marBottom w:val="0"/>
              <w:divBdr>
                <w:top w:val="none" w:sz="0" w:space="0" w:color="auto"/>
                <w:left w:val="none" w:sz="0" w:space="0" w:color="auto"/>
                <w:bottom w:val="none" w:sz="0" w:space="0" w:color="auto"/>
                <w:right w:val="none" w:sz="0" w:space="0" w:color="auto"/>
              </w:divBdr>
              <w:divsChild>
                <w:div w:id="424572572">
                  <w:marLeft w:val="0"/>
                  <w:marRight w:val="0"/>
                  <w:marTop w:val="0"/>
                  <w:marBottom w:val="0"/>
                  <w:divBdr>
                    <w:top w:val="none" w:sz="0" w:space="0" w:color="auto"/>
                    <w:left w:val="none" w:sz="0" w:space="0" w:color="auto"/>
                    <w:bottom w:val="none" w:sz="0" w:space="0" w:color="auto"/>
                    <w:right w:val="none" w:sz="0" w:space="0" w:color="auto"/>
                  </w:divBdr>
                  <w:divsChild>
                    <w:div w:id="398528277">
                      <w:marLeft w:val="0"/>
                      <w:marRight w:val="0"/>
                      <w:marTop w:val="0"/>
                      <w:marBottom w:val="0"/>
                      <w:divBdr>
                        <w:top w:val="none" w:sz="0" w:space="0" w:color="auto"/>
                        <w:left w:val="none" w:sz="0" w:space="0" w:color="auto"/>
                        <w:bottom w:val="none" w:sz="0" w:space="0" w:color="auto"/>
                        <w:right w:val="none" w:sz="0" w:space="0" w:color="auto"/>
                      </w:divBdr>
                      <w:divsChild>
                        <w:div w:id="1755056446">
                          <w:marLeft w:val="0"/>
                          <w:marRight w:val="0"/>
                          <w:marTop w:val="0"/>
                          <w:marBottom w:val="0"/>
                          <w:divBdr>
                            <w:top w:val="none" w:sz="0" w:space="0" w:color="auto"/>
                            <w:left w:val="none" w:sz="0" w:space="0" w:color="auto"/>
                            <w:bottom w:val="none" w:sz="0" w:space="0" w:color="auto"/>
                            <w:right w:val="none" w:sz="0" w:space="0" w:color="auto"/>
                          </w:divBdr>
                          <w:divsChild>
                            <w:div w:id="766535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7639858">
      <w:bodyDiv w:val="1"/>
      <w:marLeft w:val="0"/>
      <w:marRight w:val="0"/>
      <w:marTop w:val="0"/>
      <w:marBottom w:val="0"/>
      <w:divBdr>
        <w:top w:val="none" w:sz="0" w:space="0" w:color="auto"/>
        <w:left w:val="none" w:sz="0" w:space="0" w:color="auto"/>
        <w:bottom w:val="none" w:sz="0" w:space="0" w:color="auto"/>
        <w:right w:val="none" w:sz="0" w:space="0" w:color="auto"/>
      </w:divBdr>
      <w:divsChild>
        <w:div w:id="1307902316">
          <w:marLeft w:val="0"/>
          <w:marRight w:val="0"/>
          <w:marTop w:val="0"/>
          <w:marBottom w:val="0"/>
          <w:divBdr>
            <w:top w:val="none" w:sz="0" w:space="0" w:color="auto"/>
            <w:left w:val="none" w:sz="0" w:space="0" w:color="auto"/>
            <w:bottom w:val="none" w:sz="0" w:space="0" w:color="auto"/>
            <w:right w:val="none" w:sz="0" w:space="0" w:color="auto"/>
          </w:divBdr>
          <w:divsChild>
            <w:div w:id="1950116877">
              <w:marLeft w:val="0"/>
              <w:marRight w:val="0"/>
              <w:marTop w:val="0"/>
              <w:marBottom w:val="0"/>
              <w:divBdr>
                <w:top w:val="none" w:sz="0" w:space="0" w:color="auto"/>
                <w:left w:val="none" w:sz="0" w:space="0" w:color="auto"/>
                <w:bottom w:val="none" w:sz="0" w:space="0" w:color="auto"/>
                <w:right w:val="none" w:sz="0" w:space="0" w:color="auto"/>
              </w:divBdr>
              <w:divsChild>
                <w:div w:id="580255984">
                  <w:marLeft w:val="0"/>
                  <w:marRight w:val="0"/>
                  <w:marTop w:val="0"/>
                  <w:marBottom w:val="0"/>
                  <w:divBdr>
                    <w:top w:val="none" w:sz="0" w:space="0" w:color="auto"/>
                    <w:left w:val="none" w:sz="0" w:space="0" w:color="auto"/>
                    <w:bottom w:val="none" w:sz="0" w:space="0" w:color="auto"/>
                    <w:right w:val="none" w:sz="0" w:space="0" w:color="auto"/>
                  </w:divBdr>
                  <w:divsChild>
                    <w:div w:id="1550722545">
                      <w:marLeft w:val="0"/>
                      <w:marRight w:val="0"/>
                      <w:marTop w:val="0"/>
                      <w:marBottom w:val="0"/>
                      <w:divBdr>
                        <w:top w:val="none" w:sz="0" w:space="0" w:color="auto"/>
                        <w:left w:val="none" w:sz="0" w:space="0" w:color="auto"/>
                        <w:bottom w:val="none" w:sz="0" w:space="0" w:color="auto"/>
                        <w:right w:val="none" w:sz="0" w:space="0" w:color="auto"/>
                      </w:divBdr>
                      <w:divsChild>
                        <w:div w:id="2001304990">
                          <w:marLeft w:val="0"/>
                          <w:marRight w:val="0"/>
                          <w:marTop w:val="0"/>
                          <w:marBottom w:val="0"/>
                          <w:divBdr>
                            <w:top w:val="none" w:sz="0" w:space="0" w:color="auto"/>
                            <w:left w:val="none" w:sz="0" w:space="0" w:color="auto"/>
                            <w:bottom w:val="none" w:sz="0" w:space="0" w:color="auto"/>
                            <w:right w:val="none" w:sz="0" w:space="0" w:color="auto"/>
                          </w:divBdr>
                          <w:divsChild>
                            <w:div w:id="329480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7246898">
      <w:bodyDiv w:val="1"/>
      <w:marLeft w:val="0"/>
      <w:marRight w:val="0"/>
      <w:marTop w:val="0"/>
      <w:marBottom w:val="0"/>
      <w:divBdr>
        <w:top w:val="none" w:sz="0" w:space="0" w:color="auto"/>
        <w:left w:val="none" w:sz="0" w:space="0" w:color="auto"/>
        <w:bottom w:val="none" w:sz="0" w:space="0" w:color="auto"/>
        <w:right w:val="none" w:sz="0" w:space="0" w:color="auto"/>
      </w:divBdr>
      <w:divsChild>
        <w:div w:id="2053649482">
          <w:marLeft w:val="0"/>
          <w:marRight w:val="0"/>
          <w:marTop w:val="0"/>
          <w:marBottom w:val="0"/>
          <w:divBdr>
            <w:top w:val="none" w:sz="0" w:space="0" w:color="auto"/>
            <w:left w:val="none" w:sz="0" w:space="0" w:color="auto"/>
            <w:bottom w:val="none" w:sz="0" w:space="0" w:color="auto"/>
            <w:right w:val="none" w:sz="0" w:space="0" w:color="auto"/>
          </w:divBdr>
          <w:divsChild>
            <w:div w:id="503665870">
              <w:marLeft w:val="0"/>
              <w:marRight w:val="0"/>
              <w:marTop w:val="0"/>
              <w:marBottom w:val="0"/>
              <w:divBdr>
                <w:top w:val="none" w:sz="0" w:space="0" w:color="auto"/>
                <w:left w:val="none" w:sz="0" w:space="0" w:color="auto"/>
                <w:bottom w:val="none" w:sz="0" w:space="0" w:color="auto"/>
                <w:right w:val="none" w:sz="0" w:space="0" w:color="auto"/>
              </w:divBdr>
              <w:divsChild>
                <w:div w:id="637683140">
                  <w:marLeft w:val="0"/>
                  <w:marRight w:val="0"/>
                  <w:marTop w:val="0"/>
                  <w:marBottom w:val="0"/>
                  <w:divBdr>
                    <w:top w:val="none" w:sz="0" w:space="0" w:color="auto"/>
                    <w:left w:val="none" w:sz="0" w:space="0" w:color="auto"/>
                    <w:bottom w:val="none" w:sz="0" w:space="0" w:color="auto"/>
                    <w:right w:val="none" w:sz="0" w:space="0" w:color="auto"/>
                  </w:divBdr>
                  <w:divsChild>
                    <w:div w:id="631522984">
                      <w:marLeft w:val="0"/>
                      <w:marRight w:val="0"/>
                      <w:marTop w:val="0"/>
                      <w:marBottom w:val="0"/>
                      <w:divBdr>
                        <w:top w:val="none" w:sz="0" w:space="0" w:color="auto"/>
                        <w:left w:val="none" w:sz="0" w:space="0" w:color="auto"/>
                        <w:bottom w:val="none" w:sz="0" w:space="0" w:color="auto"/>
                        <w:right w:val="none" w:sz="0" w:space="0" w:color="auto"/>
                      </w:divBdr>
                      <w:divsChild>
                        <w:div w:id="649755087">
                          <w:marLeft w:val="0"/>
                          <w:marRight w:val="0"/>
                          <w:marTop w:val="0"/>
                          <w:marBottom w:val="0"/>
                          <w:divBdr>
                            <w:top w:val="none" w:sz="0" w:space="0" w:color="auto"/>
                            <w:left w:val="none" w:sz="0" w:space="0" w:color="auto"/>
                            <w:bottom w:val="none" w:sz="0" w:space="0" w:color="auto"/>
                            <w:right w:val="none" w:sz="0" w:space="0" w:color="auto"/>
                          </w:divBdr>
                          <w:divsChild>
                            <w:div w:id="1394162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0870016">
      <w:bodyDiv w:val="1"/>
      <w:marLeft w:val="0"/>
      <w:marRight w:val="0"/>
      <w:marTop w:val="0"/>
      <w:marBottom w:val="0"/>
      <w:divBdr>
        <w:top w:val="none" w:sz="0" w:space="0" w:color="auto"/>
        <w:left w:val="none" w:sz="0" w:space="0" w:color="auto"/>
        <w:bottom w:val="none" w:sz="0" w:space="0" w:color="auto"/>
        <w:right w:val="none" w:sz="0" w:space="0" w:color="auto"/>
      </w:divBdr>
      <w:divsChild>
        <w:div w:id="574314749">
          <w:marLeft w:val="0"/>
          <w:marRight w:val="0"/>
          <w:marTop w:val="0"/>
          <w:marBottom w:val="0"/>
          <w:divBdr>
            <w:top w:val="none" w:sz="0" w:space="0" w:color="auto"/>
            <w:left w:val="none" w:sz="0" w:space="0" w:color="auto"/>
            <w:bottom w:val="none" w:sz="0" w:space="0" w:color="auto"/>
            <w:right w:val="none" w:sz="0" w:space="0" w:color="auto"/>
          </w:divBdr>
          <w:divsChild>
            <w:div w:id="1728912447">
              <w:marLeft w:val="0"/>
              <w:marRight w:val="0"/>
              <w:marTop w:val="0"/>
              <w:marBottom w:val="0"/>
              <w:divBdr>
                <w:top w:val="none" w:sz="0" w:space="0" w:color="auto"/>
                <w:left w:val="none" w:sz="0" w:space="0" w:color="auto"/>
                <w:bottom w:val="none" w:sz="0" w:space="0" w:color="auto"/>
                <w:right w:val="none" w:sz="0" w:space="0" w:color="auto"/>
              </w:divBdr>
              <w:divsChild>
                <w:div w:id="1970237727">
                  <w:marLeft w:val="0"/>
                  <w:marRight w:val="0"/>
                  <w:marTop w:val="0"/>
                  <w:marBottom w:val="0"/>
                  <w:divBdr>
                    <w:top w:val="none" w:sz="0" w:space="0" w:color="auto"/>
                    <w:left w:val="none" w:sz="0" w:space="0" w:color="auto"/>
                    <w:bottom w:val="none" w:sz="0" w:space="0" w:color="auto"/>
                    <w:right w:val="none" w:sz="0" w:space="0" w:color="auto"/>
                  </w:divBdr>
                  <w:divsChild>
                    <w:div w:id="889998835">
                      <w:marLeft w:val="0"/>
                      <w:marRight w:val="0"/>
                      <w:marTop w:val="0"/>
                      <w:marBottom w:val="0"/>
                      <w:divBdr>
                        <w:top w:val="none" w:sz="0" w:space="0" w:color="auto"/>
                        <w:left w:val="none" w:sz="0" w:space="0" w:color="auto"/>
                        <w:bottom w:val="none" w:sz="0" w:space="0" w:color="auto"/>
                        <w:right w:val="none" w:sz="0" w:space="0" w:color="auto"/>
                      </w:divBdr>
                      <w:divsChild>
                        <w:div w:id="1155417181">
                          <w:marLeft w:val="0"/>
                          <w:marRight w:val="0"/>
                          <w:marTop w:val="0"/>
                          <w:marBottom w:val="0"/>
                          <w:divBdr>
                            <w:top w:val="none" w:sz="0" w:space="0" w:color="auto"/>
                            <w:left w:val="none" w:sz="0" w:space="0" w:color="auto"/>
                            <w:bottom w:val="none" w:sz="0" w:space="0" w:color="auto"/>
                            <w:right w:val="none" w:sz="0" w:space="0" w:color="auto"/>
                          </w:divBdr>
                          <w:divsChild>
                            <w:div w:id="2126264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8148706">
      <w:bodyDiv w:val="1"/>
      <w:marLeft w:val="0"/>
      <w:marRight w:val="0"/>
      <w:marTop w:val="0"/>
      <w:marBottom w:val="0"/>
      <w:divBdr>
        <w:top w:val="none" w:sz="0" w:space="0" w:color="auto"/>
        <w:left w:val="none" w:sz="0" w:space="0" w:color="auto"/>
        <w:bottom w:val="none" w:sz="0" w:space="0" w:color="auto"/>
        <w:right w:val="none" w:sz="0" w:space="0" w:color="auto"/>
      </w:divBdr>
    </w:div>
    <w:div w:id="348339052">
      <w:bodyDiv w:val="1"/>
      <w:marLeft w:val="0"/>
      <w:marRight w:val="0"/>
      <w:marTop w:val="0"/>
      <w:marBottom w:val="0"/>
      <w:divBdr>
        <w:top w:val="none" w:sz="0" w:space="0" w:color="auto"/>
        <w:left w:val="none" w:sz="0" w:space="0" w:color="auto"/>
        <w:bottom w:val="none" w:sz="0" w:space="0" w:color="auto"/>
        <w:right w:val="none" w:sz="0" w:space="0" w:color="auto"/>
      </w:divBdr>
      <w:divsChild>
        <w:div w:id="701825782">
          <w:marLeft w:val="0"/>
          <w:marRight w:val="0"/>
          <w:marTop w:val="0"/>
          <w:marBottom w:val="0"/>
          <w:divBdr>
            <w:top w:val="none" w:sz="0" w:space="0" w:color="auto"/>
            <w:left w:val="none" w:sz="0" w:space="0" w:color="auto"/>
            <w:bottom w:val="none" w:sz="0" w:space="0" w:color="auto"/>
            <w:right w:val="none" w:sz="0" w:space="0" w:color="auto"/>
          </w:divBdr>
          <w:divsChild>
            <w:div w:id="1944995679">
              <w:marLeft w:val="0"/>
              <w:marRight w:val="0"/>
              <w:marTop w:val="0"/>
              <w:marBottom w:val="0"/>
              <w:divBdr>
                <w:top w:val="none" w:sz="0" w:space="0" w:color="auto"/>
                <w:left w:val="none" w:sz="0" w:space="0" w:color="auto"/>
                <w:bottom w:val="none" w:sz="0" w:space="0" w:color="auto"/>
                <w:right w:val="none" w:sz="0" w:space="0" w:color="auto"/>
              </w:divBdr>
              <w:divsChild>
                <w:div w:id="555244250">
                  <w:marLeft w:val="0"/>
                  <w:marRight w:val="0"/>
                  <w:marTop w:val="0"/>
                  <w:marBottom w:val="0"/>
                  <w:divBdr>
                    <w:top w:val="none" w:sz="0" w:space="0" w:color="auto"/>
                    <w:left w:val="none" w:sz="0" w:space="0" w:color="auto"/>
                    <w:bottom w:val="none" w:sz="0" w:space="0" w:color="auto"/>
                    <w:right w:val="none" w:sz="0" w:space="0" w:color="auto"/>
                  </w:divBdr>
                  <w:divsChild>
                    <w:div w:id="1802454662">
                      <w:marLeft w:val="0"/>
                      <w:marRight w:val="0"/>
                      <w:marTop w:val="0"/>
                      <w:marBottom w:val="0"/>
                      <w:divBdr>
                        <w:top w:val="none" w:sz="0" w:space="0" w:color="auto"/>
                        <w:left w:val="none" w:sz="0" w:space="0" w:color="auto"/>
                        <w:bottom w:val="none" w:sz="0" w:space="0" w:color="auto"/>
                        <w:right w:val="none" w:sz="0" w:space="0" w:color="auto"/>
                      </w:divBdr>
                      <w:divsChild>
                        <w:div w:id="1464929427">
                          <w:marLeft w:val="0"/>
                          <w:marRight w:val="0"/>
                          <w:marTop w:val="0"/>
                          <w:marBottom w:val="0"/>
                          <w:divBdr>
                            <w:top w:val="none" w:sz="0" w:space="0" w:color="auto"/>
                            <w:left w:val="none" w:sz="0" w:space="0" w:color="auto"/>
                            <w:bottom w:val="none" w:sz="0" w:space="0" w:color="auto"/>
                            <w:right w:val="none" w:sz="0" w:space="0" w:color="auto"/>
                          </w:divBdr>
                          <w:divsChild>
                            <w:div w:id="284233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2847300">
      <w:bodyDiv w:val="1"/>
      <w:marLeft w:val="0"/>
      <w:marRight w:val="0"/>
      <w:marTop w:val="0"/>
      <w:marBottom w:val="0"/>
      <w:divBdr>
        <w:top w:val="none" w:sz="0" w:space="0" w:color="auto"/>
        <w:left w:val="none" w:sz="0" w:space="0" w:color="auto"/>
        <w:bottom w:val="none" w:sz="0" w:space="0" w:color="auto"/>
        <w:right w:val="none" w:sz="0" w:space="0" w:color="auto"/>
      </w:divBdr>
      <w:divsChild>
        <w:div w:id="209460617">
          <w:marLeft w:val="0"/>
          <w:marRight w:val="0"/>
          <w:marTop w:val="0"/>
          <w:marBottom w:val="0"/>
          <w:divBdr>
            <w:top w:val="none" w:sz="0" w:space="0" w:color="auto"/>
            <w:left w:val="none" w:sz="0" w:space="0" w:color="auto"/>
            <w:bottom w:val="none" w:sz="0" w:space="0" w:color="auto"/>
            <w:right w:val="none" w:sz="0" w:space="0" w:color="auto"/>
          </w:divBdr>
          <w:divsChild>
            <w:div w:id="1298871627">
              <w:marLeft w:val="0"/>
              <w:marRight w:val="0"/>
              <w:marTop w:val="0"/>
              <w:marBottom w:val="0"/>
              <w:divBdr>
                <w:top w:val="none" w:sz="0" w:space="0" w:color="auto"/>
                <w:left w:val="none" w:sz="0" w:space="0" w:color="auto"/>
                <w:bottom w:val="none" w:sz="0" w:space="0" w:color="auto"/>
                <w:right w:val="none" w:sz="0" w:space="0" w:color="auto"/>
              </w:divBdr>
              <w:divsChild>
                <w:div w:id="643388167">
                  <w:marLeft w:val="0"/>
                  <w:marRight w:val="0"/>
                  <w:marTop w:val="0"/>
                  <w:marBottom w:val="0"/>
                  <w:divBdr>
                    <w:top w:val="none" w:sz="0" w:space="0" w:color="auto"/>
                    <w:left w:val="none" w:sz="0" w:space="0" w:color="auto"/>
                    <w:bottom w:val="none" w:sz="0" w:space="0" w:color="auto"/>
                    <w:right w:val="none" w:sz="0" w:space="0" w:color="auto"/>
                  </w:divBdr>
                  <w:divsChild>
                    <w:div w:id="1435594357">
                      <w:marLeft w:val="0"/>
                      <w:marRight w:val="0"/>
                      <w:marTop w:val="0"/>
                      <w:marBottom w:val="0"/>
                      <w:divBdr>
                        <w:top w:val="none" w:sz="0" w:space="0" w:color="auto"/>
                        <w:left w:val="none" w:sz="0" w:space="0" w:color="auto"/>
                        <w:bottom w:val="none" w:sz="0" w:space="0" w:color="auto"/>
                        <w:right w:val="none" w:sz="0" w:space="0" w:color="auto"/>
                      </w:divBdr>
                      <w:divsChild>
                        <w:div w:id="1663657026">
                          <w:marLeft w:val="0"/>
                          <w:marRight w:val="0"/>
                          <w:marTop w:val="0"/>
                          <w:marBottom w:val="0"/>
                          <w:divBdr>
                            <w:top w:val="none" w:sz="0" w:space="0" w:color="auto"/>
                            <w:left w:val="none" w:sz="0" w:space="0" w:color="auto"/>
                            <w:bottom w:val="none" w:sz="0" w:space="0" w:color="auto"/>
                            <w:right w:val="none" w:sz="0" w:space="0" w:color="auto"/>
                          </w:divBdr>
                          <w:divsChild>
                            <w:div w:id="1723597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1921429">
      <w:bodyDiv w:val="1"/>
      <w:marLeft w:val="0"/>
      <w:marRight w:val="0"/>
      <w:marTop w:val="0"/>
      <w:marBottom w:val="0"/>
      <w:divBdr>
        <w:top w:val="none" w:sz="0" w:space="0" w:color="auto"/>
        <w:left w:val="none" w:sz="0" w:space="0" w:color="auto"/>
        <w:bottom w:val="none" w:sz="0" w:space="0" w:color="auto"/>
        <w:right w:val="none" w:sz="0" w:space="0" w:color="auto"/>
      </w:divBdr>
      <w:divsChild>
        <w:div w:id="1655328988">
          <w:marLeft w:val="0"/>
          <w:marRight w:val="0"/>
          <w:marTop w:val="0"/>
          <w:marBottom w:val="0"/>
          <w:divBdr>
            <w:top w:val="none" w:sz="0" w:space="0" w:color="auto"/>
            <w:left w:val="none" w:sz="0" w:space="0" w:color="auto"/>
            <w:bottom w:val="none" w:sz="0" w:space="0" w:color="auto"/>
            <w:right w:val="none" w:sz="0" w:space="0" w:color="auto"/>
          </w:divBdr>
          <w:divsChild>
            <w:div w:id="482888064">
              <w:marLeft w:val="0"/>
              <w:marRight w:val="0"/>
              <w:marTop w:val="0"/>
              <w:marBottom w:val="0"/>
              <w:divBdr>
                <w:top w:val="none" w:sz="0" w:space="0" w:color="auto"/>
                <w:left w:val="none" w:sz="0" w:space="0" w:color="auto"/>
                <w:bottom w:val="none" w:sz="0" w:space="0" w:color="auto"/>
                <w:right w:val="none" w:sz="0" w:space="0" w:color="auto"/>
              </w:divBdr>
              <w:divsChild>
                <w:div w:id="732385149">
                  <w:marLeft w:val="0"/>
                  <w:marRight w:val="0"/>
                  <w:marTop w:val="0"/>
                  <w:marBottom w:val="0"/>
                  <w:divBdr>
                    <w:top w:val="none" w:sz="0" w:space="0" w:color="auto"/>
                    <w:left w:val="none" w:sz="0" w:space="0" w:color="auto"/>
                    <w:bottom w:val="none" w:sz="0" w:space="0" w:color="auto"/>
                    <w:right w:val="none" w:sz="0" w:space="0" w:color="auto"/>
                  </w:divBdr>
                  <w:divsChild>
                    <w:div w:id="1219122810">
                      <w:marLeft w:val="0"/>
                      <w:marRight w:val="0"/>
                      <w:marTop w:val="0"/>
                      <w:marBottom w:val="0"/>
                      <w:divBdr>
                        <w:top w:val="none" w:sz="0" w:space="0" w:color="auto"/>
                        <w:left w:val="none" w:sz="0" w:space="0" w:color="auto"/>
                        <w:bottom w:val="none" w:sz="0" w:space="0" w:color="auto"/>
                        <w:right w:val="none" w:sz="0" w:space="0" w:color="auto"/>
                      </w:divBdr>
                      <w:divsChild>
                        <w:div w:id="785659763">
                          <w:marLeft w:val="0"/>
                          <w:marRight w:val="0"/>
                          <w:marTop w:val="0"/>
                          <w:marBottom w:val="0"/>
                          <w:divBdr>
                            <w:top w:val="none" w:sz="0" w:space="0" w:color="auto"/>
                            <w:left w:val="none" w:sz="0" w:space="0" w:color="auto"/>
                            <w:bottom w:val="none" w:sz="0" w:space="0" w:color="auto"/>
                            <w:right w:val="none" w:sz="0" w:space="0" w:color="auto"/>
                          </w:divBdr>
                          <w:divsChild>
                            <w:div w:id="1541085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7362960">
      <w:bodyDiv w:val="1"/>
      <w:marLeft w:val="0"/>
      <w:marRight w:val="0"/>
      <w:marTop w:val="0"/>
      <w:marBottom w:val="0"/>
      <w:divBdr>
        <w:top w:val="none" w:sz="0" w:space="0" w:color="auto"/>
        <w:left w:val="none" w:sz="0" w:space="0" w:color="auto"/>
        <w:bottom w:val="none" w:sz="0" w:space="0" w:color="auto"/>
        <w:right w:val="none" w:sz="0" w:space="0" w:color="auto"/>
      </w:divBdr>
      <w:divsChild>
        <w:div w:id="1822623999">
          <w:marLeft w:val="0"/>
          <w:marRight w:val="0"/>
          <w:marTop w:val="0"/>
          <w:marBottom w:val="0"/>
          <w:divBdr>
            <w:top w:val="none" w:sz="0" w:space="0" w:color="auto"/>
            <w:left w:val="none" w:sz="0" w:space="0" w:color="auto"/>
            <w:bottom w:val="none" w:sz="0" w:space="0" w:color="auto"/>
            <w:right w:val="none" w:sz="0" w:space="0" w:color="auto"/>
          </w:divBdr>
          <w:divsChild>
            <w:div w:id="1521353818">
              <w:marLeft w:val="0"/>
              <w:marRight w:val="0"/>
              <w:marTop w:val="0"/>
              <w:marBottom w:val="0"/>
              <w:divBdr>
                <w:top w:val="none" w:sz="0" w:space="0" w:color="auto"/>
                <w:left w:val="none" w:sz="0" w:space="0" w:color="auto"/>
                <w:bottom w:val="none" w:sz="0" w:space="0" w:color="auto"/>
                <w:right w:val="none" w:sz="0" w:space="0" w:color="auto"/>
              </w:divBdr>
              <w:divsChild>
                <w:div w:id="1347823578">
                  <w:marLeft w:val="0"/>
                  <w:marRight w:val="0"/>
                  <w:marTop w:val="0"/>
                  <w:marBottom w:val="0"/>
                  <w:divBdr>
                    <w:top w:val="none" w:sz="0" w:space="0" w:color="auto"/>
                    <w:left w:val="none" w:sz="0" w:space="0" w:color="auto"/>
                    <w:bottom w:val="none" w:sz="0" w:space="0" w:color="auto"/>
                    <w:right w:val="none" w:sz="0" w:space="0" w:color="auto"/>
                  </w:divBdr>
                  <w:divsChild>
                    <w:div w:id="1270241485">
                      <w:marLeft w:val="0"/>
                      <w:marRight w:val="0"/>
                      <w:marTop w:val="0"/>
                      <w:marBottom w:val="0"/>
                      <w:divBdr>
                        <w:top w:val="none" w:sz="0" w:space="0" w:color="auto"/>
                        <w:left w:val="none" w:sz="0" w:space="0" w:color="auto"/>
                        <w:bottom w:val="none" w:sz="0" w:space="0" w:color="auto"/>
                        <w:right w:val="none" w:sz="0" w:space="0" w:color="auto"/>
                      </w:divBdr>
                      <w:divsChild>
                        <w:div w:id="1169755292">
                          <w:marLeft w:val="0"/>
                          <w:marRight w:val="0"/>
                          <w:marTop w:val="0"/>
                          <w:marBottom w:val="0"/>
                          <w:divBdr>
                            <w:top w:val="none" w:sz="0" w:space="0" w:color="auto"/>
                            <w:left w:val="none" w:sz="0" w:space="0" w:color="auto"/>
                            <w:bottom w:val="none" w:sz="0" w:space="0" w:color="auto"/>
                            <w:right w:val="none" w:sz="0" w:space="0" w:color="auto"/>
                          </w:divBdr>
                          <w:divsChild>
                            <w:div w:id="1584951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2593568">
      <w:bodyDiv w:val="1"/>
      <w:marLeft w:val="0"/>
      <w:marRight w:val="0"/>
      <w:marTop w:val="0"/>
      <w:marBottom w:val="0"/>
      <w:divBdr>
        <w:top w:val="none" w:sz="0" w:space="0" w:color="auto"/>
        <w:left w:val="none" w:sz="0" w:space="0" w:color="auto"/>
        <w:bottom w:val="none" w:sz="0" w:space="0" w:color="auto"/>
        <w:right w:val="none" w:sz="0" w:space="0" w:color="auto"/>
      </w:divBdr>
    </w:div>
    <w:div w:id="583953183">
      <w:bodyDiv w:val="1"/>
      <w:marLeft w:val="0"/>
      <w:marRight w:val="0"/>
      <w:marTop w:val="0"/>
      <w:marBottom w:val="0"/>
      <w:divBdr>
        <w:top w:val="none" w:sz="0" w:space="0" w:color="auto"/>
        <w:left w:val="none" w:sz="0" w:space="0" w:color="auto"/>
        <w:bottom w:val="none" w:sz="0" w:space="0" w:color="auto"/>
        <w:right w:val="none" w:sz="0" w:space="0" w:color="auto"/>
      </w:divBdr>
      <w:divsChild>
        <w:div w:id="481433139">
          <w:marLeft w:val="0"/>
          <w:marRight w:val="0"/>
          <w:marTop w:val="0"/>
          <w:marBottom w:val="0"/>
          <w:divBdr>
            <w:top w:val="none" w:sz="0" w:space="0" w:color="auto"/>
            <w:left w:val="none" w:sz="0" w:space="0" w:color="auto"/>
            <w:bottom w:val="none" w:sz="0" w:space="0" w:color="auto"/>
            <w:right w:val="none" w:sz="0" w:space="0" w:color="auto"/>
          </w:divBdr>
          <w:divsChild>
            <w:div w:id="2078673001">
              <w:marLeft w:val="0"/>
              <w:marRight w:val="0"/>
              <w:marTop w:val="0"/>
              <w:marBottom w:val="0"/>
              <w:divBdr>
                <w:top w:val="none" w:sz="0" w:space="0" w:color="auto"/>
                <w:left w:val="none" w:sz="0" w:space="0" w:color="auto"/>
                <w:bottom w:val="none" w:sz="0" w:space="0" w:color="auto"/>
                <w:right w:val="none" w:sz="0" w:space="0" w:color="auto"/>
              </w:divBdr>
              <w:divsChild>
                <w:div w:id="1049957090">
                  <w:marLeft w:val="0"/>
                  <w:marRight w:val="0"/>
                  <w:marTop w:val="0"/>
                  <w:marBottom w:val="0"/>
                  <w:divBdr>
                    <w:top w:val="none" w:sz="0" w:space="0" w:color="auto"/>
                    <w:left w:val="none" w:sz="0" w:space="0" w:color="auto"/>
                    <w:bottom w:val="none" w:sz="0" w:space="0" w:color="auto"/>
                    <w:right w:val="none" w:sz="0" w:space="0" w:color="auto"/>
                  </w:divBdr>
                  <w:divsChild>
                    <w:div w:id="2065907681">
                      <w:marLeft w:val="0"/>
                      <w:marRight w:val="0"/>
                      <w:marTop w:val="0"/>
                      <w:marBottom w:val="0"/>
                      <w:divBdr>
                        <w:top w:val="none" w:sz="0" w:space="0" w:color="auto"/>
                        <w:left w:val="none" w:sz="0" w:space="0" w:color="auto"/>
                        <w:bottom w:val="none" w:sz="0" w:space="0" w:color="auto"/>
                        <w:right w:val="none" w:sz="0" w:space="0" w:color="auto"/>
                      </w:divBdr>
                      <w:divsChild>
                        <w:div w:id="1708332814">
                          <w:marLeft w:val="0"/>
                          <w:marRight w:val="0"/>
                          <w:marTop w:val="0"/>
                          <w:marBottom w:val="0"/>
                          <w:divBdr>
                            <w:top w:val="none" w:sz="0" w:space="0" w:color="auto"/>
                            <w:left w:val="none" w:sz="0" w:space="0" w:color="auto"/>
                            <w:bottom w:val="none" w:sz="0" w:space="0" w:color="auto"/>
                            <w:right w:val="none" w:sz="0" w:space="0" w:color="auto"/>
                          </w:divBdr>
                          <w:divsChild>
                            <w:div w:id="259610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3365102">
      <w:bodyDiv w:val="1"/>
      <w:marLeft w:val="0"/>
      <w:marRight w:val="0"/>
      <w:marTop w:val="0"/>
      <w:marBottom w:val="0"/>
      <w:divBdr>
        <w:top w:val="none" w:sz="0" w:space="0" w:color="auto"/>
        <w:left w:val="none" w:sz="0" w:space="0" w:color="auto"/>
        <w:bottom w:val="none" w:sz="0" w:space="0" w:color="auto"/>
        <w:right w:val="none" w:sz="0" w:space="0" w:color="auto"/>
      </w:divBdr>
      <w:divsChild>
        <w:div w:id="2068651608">
          <w:marLeft w:val="0"/>
          <w:marRight w:val="0"/>
          <w:marTop w:val="0"/>
          <w:marBottom w:val="0"/>
          <w:divBdr>
            <w:top w:val="none" w:sz="0" w:space="0" w:color="auto"/>
            <w:left w:val="none" w:sz="0" w:space="0" w:color="auto"/>
            <w:bottom w:val="none" w:sz="0" w:space="0" w:color="auto"/>
            <w:right w:val="none" w:sz="0" w:space="0" w:color="auto"/>
          </w:divBdr>
          <w:divsChild>
            <w:div w:id="200630652">
              <w:marLeft w:val="0"/>
              <w:marRight w:val="0"/>
              <w:marTop w:val="0"/>
              <w:marBottom w:val="0"/>
              <w:divBdr>
                <w:top w:val="none" w:sz="0" w:space="0" w:color="auto"/>
                <w:left w:val="none" w:sz="0" w:space="0" w:color="auto"/>
                <w:bottom w:val="none" w:sz="0" w:space="0" w:color="auto"/>
                <w:right w:val="none" w:sz="0" w:space="0" w:color="auto"/>
              </w:divBdr>
              <w:divsChild>
                <w:div w:id="1069302409">
                  <w:marLeft w:val="0"/>
                  <w:marRight w:val="0"/>
                  <w:marTop w:val="0"/>
                  <w:marBottom w:val="0"/>
                  <w:divBdr>
                    <w:top w:val="none" w:sz="0" w:space="0" w:color="auto"/>
                    <w:left w:val="none" w:sz="0" w:space="0" w:color="auto"/>
                    <w:bottom w:val="none" w:sz="0" w:space="0" w:color="auto"/>
                    <w:right w:val="none" w:sz="0" w:space="0" w:color="auto"/>
                  </w:divBdr>
                  <w:divsChild>
                    <w:div w:id="676659498">
                      <w:marLeft w:val="0"/>
                      <w:marRight w:val="0"/>
                      <w:marTop w:val="0"/>
                      <w:marBottom w:val="0"/>
                      <w:divBdr>
                        <w:top w:val="none" w:sz="0" w:space="0" w:color="auto"/>
                        <w:left w:val="none" w:sz="0" w:space="0" w:color="auto"/>
                        <w:bottom w:val="none" w:sz="0" w:space="0" w:color="auto"/>
                        <w:right w:val="none" w:sz="0" w:space="0" w:color="auto"/>
                      </w:divBdr>
                      <w:divsChild>
                        <w:div w:id="1193884347">
                          <w:marLeft w:val="0"/>
                          <w:marRight w:val="0"/>
                          <w:marTop w:val="0"/>
                          <w:marBottom w:val="0"/>
                          <w:divBdr>
                            <w:top w:val="none" w:sz="0" w:space="0" w:color="auto"/>
                            <w:left w:val="none" w:sz="0" w:space="0" w:color="auto"/>
                            <w:bottom w:val="none" w:sz="0" w:space="0" w:color="auto"/>
                            <w:right w:val="none" w:sz="0" w:space="0" w:color="auto"/>
                          </w:divBdr>
                          <w:divsChild>
                            <w:div w:id="157411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8948297">
      <w:bodyDiv w:val="1"/>
      <w:marLeft w:val="0"/>
      <w:marRight w:val="0"/>
      <w:marTop w:val="0"/>
      <w:marBottom w:val="0"/>
      <w:divBdr>
        <w:top w:val="none" w:sz="0" w:space="0" w:color="auto"/>
        <w:left w:val="none" w:sz="0" w:space="0" w:color="auto"/>
        <w:bottom w:val="none" w:sz="0" w:space="0" w:color="auto"/>
        <w:right w:val="none" w:sz="0" w:space="0" w:color="auto"/>
      </w:divBdr>
      <w:divsChild>
        <w:div w:id="491794783">
          <w:marLeft w:val="0"/>
          <w:marRight w:val="0"/>
          <w:marTop w:val="0"/>
          <w:marBottom w:val="0"/>
          <w:divBdr>
            <w:top w:val="none" w:sz="0" w:space="0" w:color="auto"/>
            <w:left w:val="none" w:sz="0" w:space="0" w:color="auto"/>
            <w:bottom w:val="none" w:sz="0" w:space="0" w:color="auto"/>
            <w:right w:val="none" w:sz="0" w:space="0" w:color="auto"/>
          </w:divBdr>
          <w:divsChild>
            <w:div w:id="1797286550">
              <w:marLeft w:val="0"/>
              <w:marRight w:val="0"/>
              <w:marTop w:val="0"/>
              <w:marBottom w:val="0"/>
              <w:divBdr>
                <w:top w:val="none" w:sz="0" w:space="0" w:color="auto"/>
                <w:left w:val="none" w:sz="0" w:space="0" w:color="auto"/>
                <w:bottom w:val="none" w:sz="0" w:space="0" w:color="auto"/>
                <w:right w:val="none" w:sz="0" w:space="0" w:color="auto"/>
              </w:divBdr>
              <w:divsChild>
                <w:div w:id="1095588499">
                  <w:marLeft w:val="0"/>
                  <w:marRight w:val="0"/>
                  <w:marTop w:val="0"/>
                  <w:marBottom w:val="0"/>
                  <w:divBdr>
                    <w:top w:val="none" w:sz="0" w:space="0" w:color="auto"/>
                    <w:left w:val="none" w:sz="0" w:space="0" w:color="auto"/>
                    <w:bottom w:val="none" w:sz="0" w:space="0" w:color="auto"/>
                    <w:right w:val="none" w:sz="0" w:space="0" w:color="auto"/>
                  </w:divBdr>
                  <w:divsChild>
                    <w:div w:id="780614301">
                      <w:marLeft w:val="0"/>
                      <w:marRight w:val="0"/>
                      <w:marTop w:val="0"/>
                      <w:marBottom w:val="0"/>
                      <w:divBdr>
                        <w:top w:val="none" w:sz="0" w:space="0" w:color="auto"/>
                        <w:left w:val="none" w:sz="0" w:space="0" w:color="auto"/>
                        <w:bottom w:val="none" w:sz="0" w:space="0" w:color="auto"/>
                        <w:right w:val="none" w:sz="0" w:space="0" w:color="auto"/>
                      </w:divBdr>
                      <w:divsChild>
                        <w:div w:id="25525768">
                          <w:marLeft w:val="0"/>
                          <w:marRight w:val="0"/>
                          <w:marTop w:val="0"/>
                          <w:marBottom w:val="0"/>
                          <w:divBdr>
                            <w:top w:val="none" w:sz="0" w:space="0" w:color="auto"/>
                            <w:left w:val="none" w:sz="0" w:space="0" w:color="auto"/>
                            <w:bottom w:val="none" w:sz="0" w:space="0" w:color="auto"/>
                            <w:right w:val="none" w:sz="0" w:space="0" w:color="auto"/>
                          </w:divBdr>
                          <w:divsChild>
                            <w:div w:id="1946036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9577258">
      <w:bodyDiv w:val="1"/>
      <w:marLeft w:val="0"/>
      <w:marRight w:val="0"/>
      <w:marTop w:val="0"/>
      <w:marBottom w:val="0"/>
      <w:divBdr>
        <w:top w:val="none" w:sz="0" w:space="0" w:color="auto"/>
        <w:left w:val="none" w:sz="0" w:space="0" w:color="auto"/>
        <w:bottom w:val="none" w:sz="0" w:space="0" w:color="auto"/>
        <w:right w:val="none" w:sz="0" w:space="0" w:color="auto"/>
      </w:divBdr>
      <w:divsChild>
        <w:div w:id="200483220">
          <w:marLeft w:val="0"/>
          <w:marRight w:val="0"/>
          <w:marTop w:val="0"/>
          <w:marBottom w:val="0"/>
          <w:divBdr>
            <w:top w:val="none" w:sz="0" w:space="0" w:color="auto"/>
            <w:left w:val="none" w:sz="0" w:space="0" w:color="auto"/>
            <w:bottom w:val="none" w:sz="0" w:space="0" w:color="auto"/>
            <w:right w:val="none" w:sz="0" w:space="0" w:color="auto"/>
          </w:divBdr>
          <w:divsChild>
            <w:div w:id="1034959966">
              <w:marLeft w:val="0"/>
              <w:marRight w:val="0"/>
              <w:marTop w:val="0"/>
              <w:marBottom w:val="0"/>
              <w:divBdr>
                <w:top w:val="none" w:sz="0" w:space="0" w:color="auto"/>
                <w:left w:val="none" w:sz="0" w:space="0" w:color="auto"/>
                <w:bottom w:val="none" w:sz="0" w:space="0" w:color="auto"/>
                <w:right w:val="none" w:sz="0" w:space="0" w:color="auto"/>
              </w:divBdr>
              <w:divsChild>
                <w:div w:id="1934392467">
                  <w:marLeft w:val="0"/>
                  <w:marRight w:val="0"/>
                  <w:marTop w:val="0"/>
                  <w:marBottom w:val="0"/>
                  <w:divBdr>
                    <w:top w:val="none" w:sz="0" w:space="0" w:color="auto"/>
                    <w:left w:val="none" w:sz="0" w:space="0" w:color="auto"/>
                    <w:bottom w:val="none" w:sz="0" w:space="0" w:color="auto"/>
                    <w:right w:val="none" w:sz="0" w:space="0" w:color="auto"/>
                  </w:divBdr>
                  <w:divsChild>
                    <w:div w:id="1404599037">
                      <w:marLeft w:val="0"/>
                      <w:marRight w:val="0"/>
                      <w:marTop w:val="0"/>
                      <w:marBottom w:val="0"/>
                      <w:divBdr>
                        <w:top w:val="none" w:sz="0" w:space="0" w:color="auto"/>
                        <w:left w:val="none" w:sz="0" w:space="0" w:color="auto"/>
                        <w:bottom w:val="none" w:sz="0" w:space="0" w:color="auto"/>
                        <w:right w:val="none" w:sz="0" w:space="0" w:color="auto"/>
                      </w:divBdr>
                      <w:divsChild>
                        <w:div w:id="808985031">
                          <w:marLeft w:val="0"/>
                          <w:marRight w:val="0"/>
                          <w:marTop w:val="0"/>
                          <w:marBottom w:val="0"/>
                          <w:divBdr>
                            <w:top w:val="none" w:sz="0" w:space="0" w:color="auto"/>
                            <w:left w:val="none" w:sz="0" w:space="0" w:color="auto"/>
                            <w:bottom w:val="none" w:sz="0" w:space="0" w:color="auto"/>
                            <w:right w:val="none" w:sz="0" w:space="0" w:color="auto"/>
                          </w:divBdr>
                          <w:divsChild>
                            <w:div w:id="1270551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5079103">
      <w:bodyDiv w:val="1"/>
      <w:marLeft w:val="0"/>
      <w:marRight w:val="0"/>
      <w:marTop w:val="0"/>
      <w:marBottom w:val="0"/>
      <w:divBdr>
        <w:top w:val="none" w:sz="0" w:space="0" w:color="auto"/>
        <w:left w:val="none" w:sz="0" w:space="0" w:color="auto"/>
        <w:bottom w:val="none" w:sz="0" w:space="0" w:color="auto"/>
        <w:right w:val="none" w:sz="0" w:space="0" w:color="auto"/>
      </w:divBdr>
      <w:divsChild>
        <w:div w:id="2119444821">
          <w:marLeft w:val="0"/>
          <w:marRight w:val="0"/>
          <w:marTop w:val="0"/>
          <w:marBottom w:val="0"/>
          <w:divBdr>
            <w:top w:val="none" w:sz="0" w:space="0" w:color="auto"/>
            <w:left w:val="none" w:sz="0" w:space="0" w:color="auto"/>
            <w:bottom w:val="none" w:sz="0" w:space="0" w:color="auto"/>
            <w:right w:val="none" w:sz="0" w:space="0" w:color="auto"/>
          </w:divBdr>
          <w:divsChild>
            <w:div w:id="114712970">
              <w:marLeft w:val="0"/>
              <w:marRight w:val="0"/>
              <w:marTop w:val="0"/>
              <w:marBottom w:val="0"/>
              <w:divBdr>
                <w:top w:val="none" w:sz="0" w:space="0" w:color="auto"/>
                <w:left w:val="none" w:sz="0" w:space="0" w:color="auto"/>
                <w:bottom w:val="none" w:sz="0" w:space="0" w:color="auto"/>
                <w:right w:val="none" w:sz="0" w:space="0" w:color="auto"/>
              </w:divBdr>
              <w:divsChild>
                <w:div w:id="646472297">
                  <w:marLeft w:val="0"/>
                  <w:marRight w:val="0"/>
                  <w:marTop w:val="0"/>
                  <w:marBottom w:val="0"/>
                  <w:divBdr>
                    <w:top w:val="none" w:sz="0" w:space="0" w:color="auto"/>
                    <w:left w:val="none" w:sz="0" w:space="0" w:color="auto"/>
                    <w:bottom w:val="none" w:sz="0" w:space="0" w:color="auto"/>
                    <w:right w:val="none" w:sz="0" w:space="0" w:color="auto"/>
                  </w:divBdr>
                  <w:divsChild>
                    <w:div w:id="904725031">
                      <w:marLeft w:val="0"/>
                      <w:marRight w:val="0"/>
                      <w:marTop w:val="0"/>
                      <w:marBottom w:val="0"/>
                      <w:divBdr>
                        <w:top w:val="none" w:sz="0" w:space="0" w:color="auto"/>
                        <w:left w:val="none" w:sz="0" w:space="0" w:color="auto"/>
                        <w:bottom w:val="none" w:sz="0" w:space="0" w:color="auto"/>
                        <w:right w:val="none" w:sz="0" w:space="0" w:color="auto"/>
                      </w:divBdr>
                      <w:divsChild>
                        <w:div w:id="770470304">
                          <w:marLeft w:val="0"/>
                          <w:marRight w:val="0"/>
                          <w:marTop w:val="0"/>
                          <w:marBottom w:val="0"/>
                          <w:divBdr>
                            <w:top w:val="none" w:sz="0" w:space="0" w:color="auto"/>
                            <w:left w:val="none" w:sz="0" w:space="0" w:color="auto"/>
                            <w:bottom w:val="none" w:sz="0" w:space="0" w:color="auto"/>
                            <w:right w:val="none" w:sz="0" w:space="0" w:color="auto"/>
                          </w:divBdr>
                          <w:divsChild>
                            <w:div w:id="1534998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733372">
      <w:bodyDiv w:val="1"/>
      <w:marLeft w:val="0"/>
      <w:marRight w:val="0"/>
      <w:marTop w:val="0"/>
      <w:marBottom w:val="0"/>
      <w:divBdr>
        <w:top w:val="none" w:sz="0" w:space="0" w:color="auto"/>
        <w:left w:val="none" w:sz="0" w:space="0" w:color="auto"/>
        <w:bottom w:val="none" w:sz="0" w:space="0" w:color="auto"/>
        <w:right w:val="none" w:sz="0" w:space="0" w:color="auto"/>
      </w:divBdr>
      <w:divsChild>
        <w:div w:id="1328753021">
          <w:marLeft w:val="0"/>
          <w:marRight w:val="0"/>
          <w:marTop w:val="0"/>
          <w:marBottom w:val="0"/>
          <w:divBdr>
            <w:top w:val="none" w:sz="0" w:space="0" w:color="auto"/>
            <w:left w:val="none" w:sz="0" w:space="0" w:color="auto"/>
            <w:bottom w:val="none" w:sz="0" w:space="0" w:color="auto"/>
            <w:right w:val="none" w:sz="0" w:space="0" w:color="auto"/>
          </w:divBdr>
          <w:divsChild>
            <w:div w:id="1801151157">
              <w:marLeft w:val="0"/>
              <w:marRight w:val="0"/>
              <w:marTop w:val="0"/>
              <w:marBottom w:val="0"/>
              <w:divBdr>
                <w:top w:val="none" w:sz="0" w:space="0" w:color="auto"/>
                <w:left w:val="none" w:sz="0" w:space="0" w:color="auto"/>
                <w:bottom w:val="none" w:sz="0" w:space="0" w:color="auto"/>
                <w:right w:val="none" w:sz="0" w:space="0" w:color="auto"/>
              </w:divBdr>
              <w:divsChild>
                <w:div w:id="2034570641">
                  <w:marLeft w:val="0"/>
                  <w:marRight w:val="0"/>
                  <w:marTop w:val="0"/>
                  <w:marBottom w:val="0"/>
                  <w:divBdr>
                    <w:top w:val="none" w:sz="0" w:space="0" w:color="auto"/>
                    <w:left w:val="none" w:sz="0" w:space="0" w:color="auto"/>
                    <w:bottom w:val="none" w:sz="0" w:space="0" w:color="auto"/>
                    <w:right w:val="none" w:sz="0" w:space="0" w:color="auto"/>
                  </w:divBdr>
                  <w:divsChild>
                    <w:div w:id="302085572">
                      <w:marLeft w:val="0"/>
                      <w:marRight w:val="0"/>
                      <w:marTop w:val="0"/>
                      <w:marBottom w:val="0"/>
                      <w:divBdr>
                        <w:top w:val="none" w:sz="0" w:space="0" w:color="auto"/>
                        <w:left w:val="none" w:sz="0" w:space="0" w:color="auto"/>
                        <w:bottom w:val="none" w:sz="0" w:space="0" w:color="auto"/>
                        <w:right w:val="none" w:sz="0" w:space="0" w:color="auto"/>
                      </w:divBdr>
                      <w:divsChild>
                        <w:div w:id="441724495">
                          <w:marLeft w:val="0"/>
                          <w:marRight w:val="0"/>
                          <w:marTop w:val="0"/>
                          <w:marBottom w:val="0"/>
                          <w:divBdr>
                            <w:top w:val="none" w:sz="0" w:space="0" w:color="auto"/>
                            <w:left w:val="none" w:sz="0" w:space="0" w:color="auto"/>
                            <w:bottom w:val="none" w:sz="0" w:space="0" w:color="auto"/>
                            <w:right w:val="none" w:sz="0" w:space="0" w:color="auto"/>
                          </w:divBdr>
                          <w:divsChild>
                            <w:div w:id="1809350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9758511">
      <w:bodyDiv w:val="1"/>
      <w:marLeft w:val="0"/>
      <w:marRight w:val="0"/>
      <w:marTop w:val="0"/>
      <w:marBottom w:val="0"/>
      <w:divBdr>
        <w:top w:val="none" w:sz="0" w:space="0" w:color="auto"/>
        <w:left w:val="none" w:sz="0" w:space="0" w:color="auto"/>
        <w:bottom w:val="none" w:sz="0" w:space="0" w:color="auto"/>
        <w:right w:val="none" w:sz="0" w:space="0" w:color="auto"/>
      </w:divBdr>
    </w:div>
    <w:div w:id="947010300">
      <w:bodyDiv w:val="1"/>
      <w:marLeft w:val="0"/>
      <w:marRight w:val="0"/>
      <w:marTop w:val="0"/>
      <w:marBottom w:val="0"/>
      <w:divBdr>
        <w:top w:val="none" w:sz="0" w:space="0" w:color="auto"/>
        <w:left w:val="none" w:sz="0" w:space="0" w:color="auto"/>
        <w:bottom w:val="none" w:sz="0" w:space="0" w:color="auto"/>
        <w:right w:val="none" w:sz="0" w:space="0" w:color="auto"/>
      </w:divBdr>
      <w:divsChild>
        <w:div w:id="872499553">
          <w:marLeft w:val="0"/>
          <w:marRight w:val="0"/>
          <w:marTop w:val="0"/>
          <w:marBottom w:val="0"/>
          <w:divBdr>
            <w:top w:val="none" w:sz="0" w:space="0" w:color="auto"/>
            <w:left w:val="none" w:sz="0" w:space="0" w:color="auto"/>
            <w:bottom w:val="none" w:sz="0" w:space="0" w:color="auto"/>
            <w:right w:val="none" w:sz="0" w:space="0" w:color="auto"/>
          </w:divBdr>
          <w:divsChild>
            <w:div w:id="845555019">
              <w:marLeft w:val="0"/>
              <w:marRight w:val="0"/>
              <w:marTop w:val="0"/>
              <w:marBottom w:val="0"/>
              <w:divBdr>
                <w:top w:val="none" w:sz="0" w:space="0" w:color="auto"/>
                <w:left w:val="none" w:sz="0" w:space="0" w:color="auto"/>
                <w:bottom w:val="none" w:sz="0" w:space="0" w:color="auto"/>
                <w:right w:val="none" w:sz="0" w:space="0" w:color="auto"/>
              </w:divBdr>
              <w:divsChild>
                <w:div w:id="1978798880">
                  <w:marLeft w:val="0"/>
                  <w:marRight w:val="0"/>
                  <w:marTop w:val="0"/>
                  <w:marBottom w:val="0"/>
                  <w:divBdr>
                    <w:top w:val="none" w:sz="0" w:space="0" w:color="auto"/>
                    <w:left w:val="none" w:sz="0" w:space="0" w:color="auto"/>
                    <w:bottom w:val="none" w:sz="0" w:space="0" w:color="auto"/>
                    <w:right w:val="none" w:sz="0" w:space="0" w:color="auto"/>
                  </w:divBdr>
                  <w:divsChild>
                    <w:div w:id="2122062930">
                      <w:marLeft w:val="0"/>
                      <w:marRight w:val="0"/>
                      <w:marTop w:val="0"/>
                      <w:marBottom w:val="0"/>
                      <w:divBdr>
                        <w:top w:val="none" w:sz="0" w:space="0" w:color="auto"/>
                        <w:left w:val="none" w:sz="0" w:space="0" w:color="auto"/>
                        <w:bottom w:val="none" w:sz="0" w:space="0" w:color="auto"/>
                        <w:right w:val="none" w:sz="0" w:space="0" w:color="auto"/>
                      </w:divBdr>
                      <w:divsChild>
                        <w:div w:id="1528562755">
                          <w:marLeft w:val="0"/>
                          <w:marRight w:val="0"/>
                          <w:marTop w:val="0"/>
                          <w:marBottom w:val="0"/>
                          <w:divBdr>
                            <w:top w:val="none" w:sz="0" w:space="0" w:color="auto"/>
                            <w:left w:val="none" w:sz="0" w:space="0" w:color="auto"/>
                            <w:bottom w:val="none" w:sz="0" w:space="0" w:color="auto"/>
                            <w:right w:val="none" w:sz="0" w:space="0" w:color="auto"/>
                          </w:divBdr>
                          <w:divsChild>
                            <w:div w:id="1259605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6861011">
      <w:bodyDiv w:val="1"/>
      <w:marLeft w:val="0"/>
      <w:marRight w:val="0"/>
      <w:marTop w:val="0"/>
      <w:marBottom w:val="0"/>
      <w:divBdr>
        <w:top w:val="none" w:sz="0" w:space="0" w:color="auto"/>
        <w:left w:val="none" w:sz="0" w:space="0" w:color="auto"/>
        <w:bottom w:val="none" w:sz="0" w:space="0" w:color="auto"/>
        <w:right w:val="none" w:sz="0" w:space="0" w:color="auto"/>
      </w:divBdr>
      <w:divsChild>
        <w:div w:id="618490355">
          <w:marLeft w:val="0"/>
          <w:marRight w:val="0"/>
          <w:marTop w:val="0"/>
          <w:marBottom w:val="0"/>
          <w:divBdr>
            <w:top w:val="none" w:sz="0" w:space="0" w:color="auto"/>
            <w:left w:val="none" w:sz="0" w:space="0" w:color="auto"/>
            <w:bottom w:val="none" w:sz="0" w:space="0" w:color="auto"/>
            <w:right w:val="none" w:sz="0" w:space="0" w:color="auto"/>
          </w:divBdr>
          <w:divsChild>
            <w:div w:id="371655794">
              <w:marLeft w:val="0"/>
              <w:marRight w:val="0"/>
              <w:marTop w:val="0"/>
              <w:marBottom w:val="0"/>
              <w:divBdr>
                <w:top w:val="single" w:sz="6" w:space="7" w:color="F1C674"/>
                <w:left w:val="single" w:sz="6" w:space="5" w:color="F1C674"/>
                <w:bottom w:val="single" w:sz="6" w:space="7" w:color="F1C674"/>
                <w:right w:val="single" w:sz="6" w:space="5" w:color="F1C674"/>
              </w:divBdr>
              <w:divsChild>
                <w:div w:id="1479373382">
                  <w:marLeft w:val="0"/>
                  <w:marRight w:val="0"/>
                  <w:marTop w:val="0"/>
                  <w:marBottom w:val="0"/>
                  <w:divBdr>
                    <w:top w:val="none" w:sz="0" w:space="0" w:color="auto"/>
                    <w:left w:val="none" w:sz="0" w:space="0" w:color="auto"/>
                    <w:bottom w:val="none" w:sz="0" w:space="0" w:color="auto"/>
                    <w:right w:val="none" w:sz="0" w:space="0" w:color="auto"/>
                  </w:divBdr>
                  <w:divsChild>
                    <w:div w:id="379208594">
                      <w:marLeft w:val="0"/>
                      <w:marRight w:val="0"/>
                      <w:marTop w:val="0"/>
                      <w:marBottom w:val="0"/>
                      <w:divBdr>
                        <w:top w:val="none" w:sz="0" w:space="0" w:color="auto"/>
                        <w:left w:val="none" w:sz="0" w:space="0" w:color="auto"/>
                        <w:bottom w:val="none" w:sz="0" w:space="0" w:color="auto"/>
                        <w:right w:val="none" w:sz="0" w:space="0" w:color="auto"/>
                      </w:divBdr>
                      <w:divsChild>
                        <w:div w:id="669219312">
                          <w:marLeft w:val="0"/>
                          <w:marRight w:val="0"/>
                          <w:marTop w:val="0"/>
                          <w:marBottom w:val="0"/>
                          <w:divBdr>
                            <w:top w:val="none" w:sz="0" w:space="0" w:color="auto"/>
                            <w:left w:val="none" w:sz="0" w:space="0" w:color="auto"/>
                            <w:bottom w:val="none" w:sz="0" w:space="0" w:color="auto"/>
                            <w:right w:val="none" w:sz="0" w:space="0" w:color="auto"/>
                          </w:divBdr>
                          <w:divsChild>
                            <w:div w:id="525868765">
                              <w:marLeft w:val="0"/>
                              <w:marRight w:val="0"/>
                              <w:marTop w:val="0"/>
                              <w:marBottom w:val="0"/>
                              <w:divBdr>
                                <w:top w:val="none" w:sz="0" w:space="0" w:color="auto"/>
                                <w:left w:val="none" w:sz="0" w:space="0" w:color="auto"/>
                                <w:bottom w:val="none" w:sz="0" w:space="0" w:color="auto"/>
                                <w:right w:val="none" w:sz="0" w:space="0" w:color="auto"/>
                              </w:divBdr>
                              <w:divsChild>
                                <w:div w:id="1365598803">
                                  <w:marLeft w:val="0"/>
                                  <w:marRight w:val="0"/>
                                  <w:marTop w:val="0"/>
                                  <w:marBottom w:val="0"/>
                                  <w:divBdr>
                                    <w:top w:val="single" w:sz="6" w:space="0" w:color="CCCCCC"/>
                                    <w:left w:val="single" w:sz="6" w:space="0" w:color="CCCCCC"/>
                                    <w:bottom w:val="single" w:sz="6" w:space="0" w:color="CCCCCC"/>
                                    <w:right w:val="single" w:sz="6" w:space="0" w:color="CCCCCC"/>
                                  </w:divBdr>
                                  <w:divsChild>
                                    <w:div w:id="1008555897">
                                      <w:marLeft w:val="0"/>
                                      <w:marRight w:val="0"/>
                                      <w:marTop w:val="0"/>
                                      <w:marBottom w:val="0"/>
                                      <w:divBdr>
                                        <w:top w:val="none" w:sz="0" w:space="0" w:color="auto"/>
                                        <w:left w:val="none" w:sz="0" w:space="0" w:color="auto"/>
                                        <w:bottom w:val="none" w:sz="0" w:space="0" w:color="auto"/>
                                        <w:right w:val="none" w:sz="0" w:space="0" w:color="auto"/>
                                      </w:divBdr>
                                      <w:divsChild>
                                        <w:div w:id="673915090">
                                          <w:marLeft w:val="0"/>
                                          <w:marRight w:val="0"/>
                                          <w:marTop w:val="0"/>
                                          <w:marBottom w:val="0"/>
                                          <w:divBdr>
                                            <w:top w:val="none" w:sz="0" w:space="0" w:color="auto"/>
                                            <w:left w:val="none" w:sz="0" w:space="0" w:color="auto"/>
                                            <w:bottom w:val="none" w:sz="0" w:space="0" w:color="auto"/>
                                            <w:right w:val="none" w:sz="0" w:space="0" w:color="auto"/>
                                          </w:divBdr>
                                          <w:divsChild>
                                            <w:div w:id="328873603">
                                              <w:marLeft w:val="-15"/>
                                              <w:marRight w:val="-15"/>
                                              <w:marTop w:val="0"/>
                                              <w:marBottom w:val="0"/>
                                              <w:divBdr>
                                                <w:top w:val="none" w:sz="0" w:space="0" w:color="auto"/>
                                                <w:left w:val="none" w:sz="0" w:space="0" w:color="auto"/>
                                                <w:bottom w:val="none" w:sz="0" w:space="0" w:color="auto"/>
                                                <w:right w:val="none" w:sz="0" w:space="0" w:color="auto"/>
                                              </w:divBdr>
                                              <w:divsChild>
                                                <w:div w:id="1601450995">
                                                  <w:marLeft w:val="-6000"/>
                                                  <w:marRight w:val="0"/>
                                                  <w:marTop w:val="0"/>
                                                  <w:marBottom w:val="135"/>
                                                  <w:divBdr>
                                                    <w:top w:val="none" w:sz="0" w:space="0" w:color="auto"/>
                                                    <w:left w:val="none" w:sz="0" w:space="0" w:color="auto"/>
                                                    <w:bottom w:val="none" w:sz="0" w:space="0" w:color="auto"/>
                                                    <w:right w:val="none" w:sz="0" w:space="0" w:color="auto"/>
                                                  </w:divBdr>
                                                  <w:divsChild>
                                                    <w:div w:id="1261984947">
                                                      <w:marLeft w:val="0"/>
                                                      <w:marRight w:val="0"/>
                                                      <w:marTop w:val="0"/>
                                                      <w:marBottom w:val="0"/>
                                                      <w:divBdr>
                                                        <w:top w:val="none" w:sz="0" w:space="0" w:color="auto"/>
                                                        <w:left w:val="none" w:sz="0" w:space="0" w:color="auto"/>
                                                        <w:bottom w:val="none" w:sz="0" w:space="0" w:color="auto"/>
                                                        <w:right w:val="none" w:sz="0" w:space="0" w:color="auto"/>
                                                      </w:divBdr>
                                                      <w:divsChild>
                                                        <w:div w:id="1204368306">
                                                          <w:marLeft w:val="0"/>
                                                          <w:marRight w:val="0"/>
                                                          <w:marTop w:val="0"/>
                                                          <w:marBottom w:val="0"/>
                                                          <w:divBdr>
                                                            <w:top w:val="none" w:sz="0" w:space="0" w:color="auto"/>
                                                            <w:left w:val="none" w:sz="0" w:space="0" w:color="auto"/>
                                                            <w:bottom w:val="none" w:sz="0" w:space="0" w:color="auto"/>
                                                            <w:right w:val="none" w:sz="0" w:space="0" w:color="auto"/>
                                                          </w:divBdr>
                                                          <w:divsChild>
                                                            <w:div w:id="434062369">
                                                              <w:marLeft w:val="0"/>
                                                              <w:marRight w:val="0"/>
                                                              <w:marTop w:val="0"/>
                                                              <w:marBottom w:val="0"/>
                                                              <w:divBdr>
                                                                <w:top w:val="none" w:sz="0" w:space="0" w:color="auto"/>
                                                                <w:left w:val="none" w:sz="0" w:space="0" w:color="auto"/>
                                                                <w:bottom w:val="none" w:sz="0" w:space="0" w:color="auto"/>
                                                                <w:right w:val="none" w:sz="0" w:space="0" w:color="auto"/>
                                                              </w:divBdr>
                                                              <w:divsChild>
                                                                <w:div w:id="1596278432">
                                                                  <w:marLeft w:val="0"/>
                                                                  <w:marRight w:val="0"/>
                                                                  <w:marTop w:val="0"/>
                                                                  <w:marBottom w:val="0"/>
                                                                  <w:divBdr>
                                                                    <w:top w:val="single" w:sz="6" w:space="0" w:color="666666"/>
                                                                    <w:left w:val="single" w:sz="6" w:space="0" w:color="CCCCCC"/>
                                                                    <w:bottom w:val="single" w:sz="6" w:space="0" w:color="CCCCCC"/>
                                                                    <w:right w:val="single" w:sz="6" w:space="0" w:color="CCCCCC"/>
                                                                  </w:divBdr>
                                                                  <w:divsChild>
                                                                    <w:div w:id="1984117603">
                                                                      <w:marLeft w:val="30"/>
                                                                      <w:marRight w:val="0"/>
                                                                      <w:marTop w:val="0"/>
                                                                      <w:marBottom w:val="0"/>
                                                                      <w:divBdr>
                                                                        <w:top w:val="none" w:sz="0" w:space="0" w:color="auto"/>
                                                                        <w:left w:val="none" w:sz="0" w:space="0" w:color="auto"/>
                                                                        <w:bottom w:val="none" w:sz="0" w:space="0" w:color="auto"/>
                                                                        <w:right w:val="none" w:sz="0" w:space="0" w:color="auto"/>
                                                                      </w:divBdr>
                                                                      <w:divsChild>
                                                                        <w:div w:id="689796384">
                                                                          <w:marLeft w:val="0"/>
                                                                          <w:marRight w:val="0"/>
                                                                          <w:marTop w:val="0"/>
                                                                          <w:marBottom w:val="0"/>
                                                                          <w:divBdr>
                                                                            <w:top w:val="none" w:sz="0" w:space="0" w:color="auto"/>
                                                                            <w:left w:val="none" w:sz="0" w:space="0" w:color="auto"/>
                                                                            <w:bottom w:val="none" w:sz="0" w:space="0" w:color="auto"/>
                                                                            <w:right w:val="none" w:sz="0" w:space="0" w:color="auto"/>
                                                                          </w:divBdr>
                                                                          <w:divsChild>
                                                                            <w:div w:id="1235360858">
                                                                              <w:marLeft w:val="0"/>
                                                                              <w:marRight w:val="0"/>
                                                                              <w:marTop w:val="0"/>
                                                                              <w:marBottom w:val="0"/>
                                                                              <w:divBdr>
                                                                                <w:top w:val="none" w:sz="0" w:space="0" w:color="auto"/>
                                                                                <w:left w:val="none" w:sz="0" w:space="0" w:color="auto"/>
                                                                                <w:bottom w:val="none" w:sz="0" w:space="0" w:color="auto"/>
                                                                                <w:right w:val="none" w:sz="0" w:space="0" w:color="auto"/>
                                                                              </w:divBdr>
                                                                            </w:div>
                                                                            <w:div w:id="2019649284">
                                                                              <w:marLeft w:val="0"/>
                                                                              <w:marRight w:val="0"/>
                                                                              <w:marTop w:val="0"/>
                                                                              <w:marBottom w:val="0"/>
                                                                              <w:divBdr>
                                                                                <w:top w:val="none" w:sz="0" w:space="0" w:color="auto"/>
                                                                                <w:left w:val="none" w:sz="0" w:space="0" w:color="auto"/>
                                                                                <w:bottom w:val="none" w:sz="0" w:space="0" w:color="auto"/>
                                                                                <w:right w:val="none" w:sz="0" w:space="0" w:color="auto"/>
                                                                              </w:divBdr>
                                                                              <w:divsChild>
                                                                                <w:div w:id="466507395">
                                                                                  <w:marLeft w:val="0"/>
                                                                                  <w:marRight w:val="0"/>
                                                                                  <w:marTop w:val="0"/>
                                                                                  <w:marBottom w:val="0"/>
                                                                                  <w:divBdr>
                                                                                    <w:top w:val="none" w:sz="0" w:space="0" w:color="auto"/>
                                                                                    <w:left w:val="none" w:sz="0" w:space="0" w:color="auto"/>
                                                                                    <w:bottom w:val="none" w:sz="0" w:space="0" w:color="auto"/>
                                                                                    <w:right w:val="none" w:sz="0" w:space="0" w:color="auto"/>
                                                                                  </w:divBdr>
                                                                                </w:div>
                                                                                <w:div w:id="1168210913">
                                                                                  <w:marLeft w:val="0"/>
                                                                                  <w:marRight w:val="0"/>
                                                                                  <w:marTop w:val="0"/>
                                                                                  <w:marBottom w:val="0"/>
                                                                                  <w:divBdr>
                                                                                    <w:top w:val="none" w:sz="0" w:space="0" w:color="auto"/>
                                                                                    <w:left w:val="none" w:sz="0" w:space="0" w:color="auto"/>
                                                                                    <w:bottom w:val="none" w:sz="0" w:space="0" w:color="auto"/>
                                                                                    <w:right w:val="none" w:sz="0" w:space="0" w:color="auto"/>
                                                                                  </w:divBdr>
                                                                                </w:div>
                                                                                <w:div w:id="1678539828">
                                                                                  <w:marLeft w:val="0"/>
                                                                                  <w:marRight w:val="0"/>
                                                                                  <w:marTop w:val="0"/>
                                                                                  <w:marBottom w:val="0"/>
                                                                                  <w:divBdr>
                                                                                    <w:top w:val="none" w:sz="0" w:space="0" w:color="auto"/>
                                                                                    <w:left w:val="none" w:sz="0" w:space="0" w:color="auto"/>
                                                                                    <w:bottom w:val="none" w:sz="0" w:space="0" w:color="auto"/>
                                                                                    <w:right w:val="none" w:sz="0" w:space="0" w:color="auto"/>
                                                                                  </w:divBdr>
                                                                                </w:div>
                                                                                <w:div w:id="1894080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090822">
                                                                          <w:marLeft w:val="0"/>
                                                                          <w:marRight w:val="0"/>
                                                                          <w:marTop w:val="0"/>
                                                                          <w:marBottom w:val="0"/>
                                                                          <w:divBdr>
                                                                            <w:top w:val="none" w:sz="0" w:space="0" w:color="auto"/>
                                                                            <w:left w:val="none" w:sz="0" w:space="0" w:color="auto"/>
                                                                            <w:bottom w:val="none" w:sz="0" w:space="0" w:color="auto"/>
                                                                            <w:right w:val="none" w:sz="0" w:space="0" w:color="auto"/>
                                                                          </w:divBdr>
                                                                        </w:div>
                                                                        <w:div w:id="1951233768">
                                                                          <w:marLeft w:val="0"/>
                                                                          <w:marRight w:val="0"/>
                                                                          <w:marTop w:val="0"/>
                                                                          <w:marBottom w:val="0"/>
                                                                          <w:divBdr>
                                                                            <w:top w:val="none" w:sz="0" w:space="0" w:color="auto"/>
                                                                            <w:left w:val="none" w:sz="0" w:space="0" w:color="auto"/>
                                                                            <w:bottom w:val="none" w:sz="0" w:space="0" w:color="auto"/>
                                                                            <w:right w:val="none" w:sz="0" w:space="0" w:color="auto"/>
                                                                          </w:divBdr>
                                                                        </w:div>
                                                                        <w:div w:id="201340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977879409">
      <w:bodyDiv w:val="1"/>
      <w:marLeft w:val="0"/>
      <w:marRight w:val="0"/>
      <w:marTop w:val="0"/>
      <w:marBottom w:val="0"/>
      <w:divBdr>
        <w:top w:val="none" w:sz="0" w:space="0" w:color="auto"/>
        <w:left w:val="none" w:sz="0" w:space="0" w:color="auto"/>
        <w:bottom w:val="none" w:sz="0" w:space="0" w:color="auto"/>
        <w:right w:val="none" w:sz="0" w:space="0" w:color="auto"/>
      </w:divBdr>
      <w:divsChild>
        <w:div w:id="1697195779">
          <w:marLeft w:val="0"/>
          <w:marRight w:val="0"/>
          <w:marTop w:val="0"/>
          <w:marBottom w:val="0"/>
          <w:divBdr>
            <w:top w:val="none" w:sz="0" w:space="0" w:color="auto"/>
            <w:left w:val="none" w:sz="0" w:space="0" w:color="auto"/>
            <w:bottom w:val="none" w:sz="0" w:space="0" w:color="auto"/>
            <w:right w:val="none" w:sz="0" w:space="0" w:color="auto"/>
          </w:divBdr>
          <w:divsChild>
            <w:div w:id="649941521">
              <w:marLeft w:val="0"/>
              <w:marRight w:val="0"/>
              <w:marTop w:val="0"/>
              <w:marBottom w:val="0"/>
              <w:divBdr>
                <w:top w:val="none" w:sz="0" w:space="0" w:color="auto"/>
                <w:left w:val="none" w:sz="0" w:space="0" w:color="auto"/>
                <w:bottom w:val="none" w:sz="0" w:space="0" w:color="auto"/>
                <w:right w:val="none" w:sz="0" w:space="0" w:color="auto"/>
              </w:divBdr>
              <w:divsChild>
                <w:div w:id="1052314412">
                  <w:marLeft w:val="0"/>
                  <w:marRight w:val="0"/>
                  <w:marTop w:val="0"/>
                  <w:marBottom w:val="0"/>
                  <w:divBdr>
                    <w:top w:val="none" w:sz="0" w:space="0" w:color="auto"/>
                    <w:left w:val="none" w:sz="0" w:space="0" w:color="auto"/>
                    <w:bottom w:val="none" w:sz="0" w:space="0" w:color="auto"/>
                    <w:right w:val="none" w:sz="0" w:space="0" w:color="auto"/>
                  </w:divBdr>
                  <w:divsChild>
                    <w:div w:id="1876041825">
                      <w:marLeft w:val="0"/>
                      <w:marRight w:val="0"/>
                      <w:marTop w:val="0"/>
                      <w:marBottom w:val="0"/>
                      <w:divBdr>
                        <w:top w:val="none" w:sz="0" w:space="0" w:color="auto"/>
                        <w:left w:val="none" w:sz="0" w:space="0" w:color="auto"/>
                        <w:bottom w:val="none" w:sz="0" w:space="0" w:color="auto"/>
                        <w:right w:val="none" w:sz="0" w:space="0" w:color="auto"/>
                      </w:divBdr>
                      <w:divsChild>
                        <w:div w:id="1310475614">
                          <w:marLeft w:val="0"/>
                          <w:marRight w:val="0"/>
                          <w:marTop w:val="0"/>
                          <w:marBottom w:val="0"/>
                          <w:divBdr>
                            <w:top w:val="none" w:sz="0" w:space="0" w:color="auto"/>
                            <w:left w:val="none" w:sz="0" w:space="0" w:color="auto"/>
                            <w:bottom w:val="none" w:sz="0" w:space="0" w:color="auto"/>
                            <w:right w:val="none" w:sz="0" w:space="0" w:color="auto"/>
                          </w:divBdr>
                          <w:divsChild>
                            <w:div w:id="47727996">
                              <w:marLeft w:val="0"/>
                              <w:marRight w:val="0"/>
                              <w:marTop w:val="0"/>
                              <w:marBottom w:val="0"/>
                              <w:divBdr>
                                <w:top w:val="none" w:sz="0" w:space="0" w:color="auto"/>
                                <w:left w:val="none" w:sz="0" w:space="0" w:color="auto"/>
                                <w:bottom w:val="none" w:sz="0" w:space="0" w:color="auto"/>
                                <w:right w:val="none" w:sz="0" w:space="0" w:color="auto"/>
                              </w:divBdr>
                              <w:divsChild>
                                <w:div w:id="517735881">
                                  <w:marLeft w:val="0"/>
                                  <w:marRight w:val="0"/>
                                  <w:marTop w:val="0"/>
                                  <w:marBottom w:val="0"/>
                                  <w:divBdr>
                                    <w:top w:val="none" w:sz="0" w:space="0" w:color="auto"/>
                                    <w:left w:val="none" w:sz="0" w:space="0" w:color="auto"/>
                                    <w:bottom w:val="none" w:sz="0" w:space="0" w:color="auto"/>
                                    <w:right w:val="none" w:sz="0" w:space="0" w:color="auto"/>
                                  </w:divBdr>
                                </w:div>
                              </w:divsChild>
                            </w:div>
                            <w:div w:id="1055860292">
                              <w:marLeft w:val="0"/>
                              <w:marRight w:val="0"/>
                              <w:marTop w:val="0"/>
                              <w:marBottom w:val="0"/>
                              <w:divBdr>
                                <w:top w:val="none" w:sz="0" w:space="0" w:color="auto"/>
                                <w:left w:val="none" w:sz="0" w:space="0" w:color="auto"/>
                                <w:bottom w:val="none" w:sz="0" w:space="0" w:color="auto"/>
                                <w:right w:val="none" w:sz="0" w:space="0" w:color="auto"/>
                              </w:divBdr>
                              <w:divsChild>
                                <w:div w:id="1285190742">
                                  <w:marLeft w:val="0"/>
                                  <w:marRight w:val="0"/>
                                  <w:marTop w:val="0"/>
                                  <w:marBottom w:val="0"/>
                                  <w:divBdr>
                                    <w:top w:val="none" w:sz="0" w:space="0" w:color="auto"/>
                                    <w:left w:val="none" w:sz="0" w:space="0" w:color="auto"/>
                                    <w:bottom w:val="none" w:sz="0" w:space="0" w:color="auto"/>
                                    <w:right w:val="none" w:sz="0" w:space="0" w:color="auto"/>
                                  </w:divBdr>
                                </w:div>
                              </w:divsChild>
                            </w:div>
                            <w:div w:id="1535576530">
                              <w:marLeft w:val="0"/>
                              <w:marRight w:val="0"/>
                              <w:marTop w:val="0"/>
                              <w:marBottom w:val="0"/>
                              <w:divBdr>
                                <w:top w:val="none" w:sz="0" w:space="0" w:color="auto"/>
                                <w:left w:val="none" w:sz="0" w:space="0" w:color="auto"/>
                                <w:bottom w:val="none" w:sz="0" w:space="0" w:color="auto"/>
                                <w:right w:val="none" w:sz="0" w:space="0" w:color="auto"/>
                              </w:divBdr>
                              <w:divsChild>
                                <w:div w:id="1173031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2052430">
      <w:bodyDiv w:val="1"/>
      <w:marLeft w:val="0"/>
      <w:marRight w:val="0"/>
      <w:marTop w:val="0"/>
      <w:marBottom w:val="0"/>
      <w:divBdr>
        <w:top w:val="none" w:sz="0" w:space="0" w:color="auto"/>
        <w:left w:val="none" w:sz="0" w:space="0" w:color="auto"/>
        <w:bottom w:val="none" w:sz="0" w:space="0" w:color="auto"/>
        <w:right w:val="none" w:sz="0" w:space="0" w:color="auto"/>
      </w:divBdr>
      <w:divsChild>
        <w:div w:id="1279098246">
          <w:marLeft w:val="0"/>
          <w:marRight w:val="0"/>
          <w:marTop w:val="0"/>
          <w:marBottom w:val="0"/>
          <w:divBdr>
            <w:top w:val="none" w:sz="0" w:space="0" w:color="auto"/>
            <w:left w:val="none" w:sz="0" w:space="0" w:color="auto"/>
            <w:bottom w:val="none" w:sz="0" w:space="0" w:color="auto"/>
            <w:right w:val="none" w:sz="0" w:space="0" w:color="auto"/>
          </w:divBdr>
          <w:divsChild>
            <w:div w:id="1622764780">
              <w:marLeft w:val="0"/>
              <w:marRight w:val="0"/>
              <w:marTop w:val="0"/>
              <w:marBottom w:val="0"/>
              <w:divBdr>
                <w:top w:val="none" w:sz="0" w:space="0" w:color="auto"/>
                <w:left w:val="none" w:sz="0" w:space="0" w:color="auto"/>
                <w:bottom w:val="none" w:sz="0" w:space="0" w:color="auto"/>
                <w:right w:val="none" w:sz="0" w:space="0" w:color="auto"/>
              </w:divBdr>
              <w:divsChild>
                <w:div w:id="2008166522">
                  <w:marLeft w:val="0"/>
                  <w:marRight w:val="0"/>
                  <w:marTop w:val="0"/>
                  <w:marBottom w:val="0"/>
                  <w:divBdr>
                    <w:top w:val="none" w:sz="0" w:space="0" w:color="auto"/>
                    <w:left w:val="none" w:sz="0" w:space="0" w:color="auto"/>
                    <w:bottom w:val="none" w:sz="0" w:space="0" w:color="auto"/>
                    <w:right w:val="none" w:sz="0" w:space="0" w:color="auto"/>
                  </w:divBdr>
                  <w:divsChild>
                    <w:div w:id="928854449">
                      <w:marLeft w:val="0"/>
                      <w:marRight w:val="0"/>
                      <w:marTop w:val="0"/>
                      <w:marBottom w:val="0"/>
                      <w:divBdr>
                        <w:top w:val="none" w:sz="0" w:space="0" w:color="auto"/>
                        <w:left w:val="none" w:sz="0" w:space="0" w:color="auto"/>
                        <w:bottom w:val="none" w:sz="0" w:space="0" w:color="auto"/>
                        <w:right w:val="none" w:sz="0" w:space="0" w:color="auto"/>
                      </w:divBdr>
                      <w:divsChild>
                        <w:div w:id="1088381079">
                          <w:marLeft w:val="0"/>
                          <w:marRight w:val="0"/>
                          <w:marTop w:val="0"/>
                          <w:marBottom w:val="0"/>
                          <w:divBdr>
                            <w:top w:val="none" w:sz="0" w:space="0" w:color="auto"/>
                            <w:left w:val="none" w:sz="0" w:space="0" w:color="auto"/>
                            <w:bottom w:val="none" w:sz="0" w:space="0" w:color="auto"/>
                            <w:right w:val="none" w:sz="0" w:space="0" w:color="auto"/>
                          </w:divBdr>
                          <w:divsChild>
                            <w:div w:id="126249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1301921">
      <w:bodyDiv w:val="1"/>
      <w:marLeft w:val="0"/>
      <w:marRight w:val="0"/>
      <w:marTop w:val="0"/>
      <w:marBottom w:val="0"/>
      <w:divBdr>
        <w:top w:val="none" w:sz="0" w:space="0" w:color="auto"/>
        <w:left w:val="none" w:sz="0" w:space="0" w:color="auto"/>
        <w:bottom w:val="none" w:sz="0" w:space="0" w:color="auto"/>
        <w:right w:val="none" w:sz="0" w:space="0" w:color="auto"/>
      </w:divBdr>
      <w:divsChild>
        <w:div w:id="1600260158">
          <w:marLeft w:val="0"/>
          <w:marRight w:val="0"/>
          <w:marTop w:val="0"/>
          <w:marBottom w:val="0"/>
          <w:divBdr>
            <w:top w:val="none" w:sz="0" w:space="0" w:color="auto"/>
            <w:left w:val="none" w:sz="0" w:space="0" w:color="auto"/>
            <w:bottom w:val="none" w:sz="0" w:space="0" w:color="auto"/>
            <w:right w:val="none" w:sz="0" w:space="0" w:color="auto"/>
          </w:divBdr>
          <w:divsChild>
            <w:div w:id="1298610189">
              <w:marLeft w:val="0"/>
              <w:marRight w:val="0"/>
              <w:marTop w:val="0"/>
              <w:marBottom w:val="0"/>
              <w:divBdr>
                <w:top w:val="none" w:sz="0" w:space="0" w:color="auto"/>
                <w:left w:val="none" w:sz="0" w:space="0" w:color="auto"/>
                <w:bottom w:val="none" w:sz="0" w:space="0" w:color="auto"/>
                <w:right w:val="none" w:sz="0" w:space="0" w:color="auto"/>
              </w:divBdr>
              <w:divsChild>
                <w:div w:id="18775865">
                  <w:marLeft w:val="0"/>
                  <w:marRight w:val="0"/>
                  <w:marTop w:val="0"/>
                  <w:marBottom w:val="0"/>
                  <w:divBdr>
                    <w:top w:val="none" w:sz="0" w:space="0" w:color="auto"/>
                    <w:left w:val="none" w:sz="0" w:space="0" w:color="auto"/>
                    <w:bottom w:val="none" w:sz="0" w:space="0" w:color="auto"/>
                    <w:right w:val="none" w:sz="0" w:space="0" w:color="auto"/>
                  </w:divBdr>
                  <w:divsChild>
                    <w:div w:id="408500778">
                      <w:marLeft w:val="0"/>
                      <w:marRight w:val="0"/>
                      <w:marTop w:val="0"/>
                      <w:marBottom w:val="0"/>
                      <w:divBdr>
                        <w:top w:val="none" w:sz="0" w:space="0" w:color="auto"/>
                        <w:left w:val="none" w:sz="0" w:space="0" w:color="auto"/>
                        <w:bottom w:val="none" w:sz="0" w:space="0" w:color="auto"/>
                        <w:right w:val="none" w:sz="0" w:space="0" w:color="auto"/>
                      </w:divBdr>
                      <w:divsChild>
                        <w:div w:id="628317178">
                          <w:marLeft w:val="0"/>
                          <w:marRight w:val="0"/>
                          <w:marTop w:val="0"/>
                          <w:marBottom w:val="0"/>
                          <w:divBdr>
                            <w:top w:val="none" w:sz="0" w:space="0" w:color="auto"/>
                            <w:left w:val="none" w:sz="0" w:space="0" w:color="auto"/>
                            <w:bottom w:val="none" w:sz="0" w:space="0" w:color="auto"/>
                            <w:right w:val="none" w:sz="0" w:space="0" w:color="auto"/>
                          </w:divBdr>
                          <w:divsChild>
                            <w:div w:id="213077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0536499">
      <w:bodyDiv w:val="1"/>
      <w:marLeft w:val="0"/>
      <w:marRight w:val="0"/>
      <w:marTop w:val="0"/>
      <w:marBottom w:val="0"/>
      <w:divBdr>
        <w:top w:val="none" w:sz="0" w:space="0" w:color="auto"/>
        <w:left w:val="none" w:sz="0" w:space="0" w:color="auto"/>
        <w:bottom w:val="none" w:sz="0" w:space="0" w:color="auto"/>
        <w:right w:val="none" w:sz="0" w:space="0" w:color="auto"/>
      </w:divBdr>
      <w:divsChild>
        <w:div w:id="733044637">
          <w:marLeft w:val="0"/>
          <w:marRight w:val="0"/>
          <w:marTop w:val="0"/>
          <w:marBottom w:val="0"/>
          <w:divBdr>
            <w:top w:val="none" w:sz="0" w:space="0" w:color="auto"/>
            <w:left w:val="none" w:sz="0" w:space="0" w:color="auto"/>
            <w:bottom w:val="none" w:sz="0" w:space="0" w:color="auto"/>
            <w:right w:val="none" w:sz="0" w:space="0" w:color="auto"/>
          </w:divBdr>
          <w:divsChild>
            <w:div w:id="70347684">
              <w:marLeft w:val="0"/>
              <w:marRight w:val="0"/>
              <w:marTop w:val="0"/>
              <w:marBottom w:val="0"/>
              <w:divBdr>
                <w:top w:val="none" w:sz="0" w:space="0" w:color="auto"/>
                <w:left w:val="none" w:sz="0" w:space="0" w:color="auto"/>
                <w:bottom w:val="none" w:sz="0" w:space="0" w:color="auto"/>
                <w:right w:val="none" w:sz="0" w:space="0" w:color="auto"/>
              </w:divBdr>
              <w:divsChild>
                <w:div w:id="121045943">
                  <w:marLeft w:val="0"/>
                  <w:marRight w:val="0"/>
                  <w:marTop w:val="0"/>
                  <w:marBottom w:val="0"/>
                  <w:divBdr>
                    <w:top w:val="none" w:sz="0" w:space="0" w:color="auto"/>
                    <w:left w:val="none" w:sz="0" w:space="0" w:color="auto"/>
                    <w:bottom w:val="none" w:sz="0" w:space="0" w:color="auto"/>
                    <w:right w:val="none" w:sz="0" w:space="0" w:color="auto"/>
                  </w:divBdr>
                  <w:divsChild>
                    <w:div w:id="1175655389">
                      <w:marLeft w:val="0"/>
                      <w:marRight w:val="0"/>
                      <w:marTop w:val="0"/>
                      <w:marBottom w:val="0"/>
                      <w:divBdr>
                        <w:top w:val="none" w:sz="0" w:space="0" w:color="auto"/>
                        <w:left w:val="none" w:sz="0" w:space="0" w:color="auto"/>
                        <w:bottom w:val="none" w:sz="0" w:space="0" w:color="auto"/>
                        <w:right w:val="none" w:sz="0" w:space="0" w:color="auto"/>
                      </w:divBdr>
                      <w:divsChild>
                        <w:div w:id="1217083444">
                          <w:marLeft w:val="0"/>
                          <w:marRight w:val="0"/>
                          <w:marTop w:val="0"/>
                          <w:marBottom w:val="0"/>
                          <w:divBdr>
                            <w:top w:val="none" w:sz="0" w:space="0" w:color="auto"/>
                            <w:left w:val="none" w:sz="0" w:space="0" w:color="auto"/>
                            <w:bottom w:val="none" w:sz="0" w:space="0" w:color="auto"/>
                            <w:right w:val="none" w:sz="0" w:space="0" w:color="auto"/>
                          </w:divBdr>
                          <w:divsChild>
                            <w:div w:id="801311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1974581">
      <w:bodyDiv w:val="1"/>
      <w:marLeft w:val="0"/>
      <w:marRight w:val="0"/>
      <w:marTop w:val="0"/>
      <w:marBottom w:val="0"/>
      <w:divBdr>
        <w:top w:val="none" w:sz="0" w:space="0" w:color="auto"/>
        <w:left w:val="none" w:sz="0" w:space="0" w:color="auto"/>
        <w:bottom w:val="none" w:sz="0" w:space="0" w:color="auto"/>
        <w:right w:val="none" w:sz="0" w:space="0" w:color="auto"/>
      </w:divBdr>
      <w:divsChild>
        <w:div w:id="1205945017">
          <w:marLeft w:val="0"/>
          <w:marRight w:val="0"/>
          <w:marTop w:val="0"/>
          <w:marBottom w:val="0"/>
          <w:divBdr>
            <w:top w:val="none" w:sz="0" w:space="0" w:color="auto"/>
            <w:left w:val="none" w:sz="0" w:space="0" w:color="auto"/>
            <w:bottom w:val="none" w:sz="0" w:space="0" w:color="auto"/>
            <w:right w:val="none" w:sz="0" w:space="0" w:color="auto"/>
          </w:divBdr>
          <w:divsChild>
            <w:div w:id="1350065527">
              <w:marLeft w:val="0"/>
              <w:marRight w:val="0"/>
              <w:marTop w:val="0"/>
              <w:marBottom w:val="0"/>
              <w:divBdr>
                <w:top w:val="none" w:sz="0" w:space="0" w:color="auto"/>
                <w:left w:val="none" w:sz="0" w:space="0" w:color="auto"/>
                <w:bottom w:val="none" w:sz="0" w:space="0" w:color="auto"/>
                <w:right w:val="none" w:sz="0" w:space="0" w:color="auto"/>
              </w:divBdr>
              <w:divsChild>
                <w:div w:id="540092881">
                  <w:marLeft w:val="0"/>
                  <w:marRight w:val="0"/>
                  <w:marTop w:val="0"/>
                  <w:marBottom w:val="0"/>
                  <w:divBdr>
                    <w:top w:val="none" w:sz="0" w:space="0" w:color="auto"/>
                    <w:left w:val="none" w:sz="0" w:space="0" w:color="auto"/>
                    <w:bottom w:val="none" w:sz="0" w:space="0" w:color="auto"/>
                    <w:right w:val="none" w:sz="0" w:space="0" w:color="auto"/>
                  </w:divBdr>
                  <w:divsChild>
                    <w:div w:id="399400020">
                      <w:marLeft w:val="0"/>
                      <w:marRight w:val="0"/>
                      <w:marTop w:val="0"/>
                      <w:marBottom w:val="0"/>
                      <w:divBdr>
                        <w:top w:val="none" w:sz="0" w:space="0" w:color="auto"/>
                        <w:left w:val="none" w:sz="0" w:space="0" w:color="auto"/>
                        <w:bottom w:val="none" w:sz="0" w:space="0" w:color="auto"/>
                        <w:right w:val="none" w:sz="0" w:space="0" w:color="auto"/>
                      </w:divBdr>
                      <w:divsChild>
                        <w:div w:id="864633915">
                          <w:marLeft w:val="0"/>
                          <w:marRight w:val="0"/>
                          <w:marTop w:val="0"/>
                          <w:marBottom w:val="0"/>
                          <w:divBdr>
                            <w:top w:val="none" w:sz="0" w:space="0" w:color="auto"/>
                            <w:left w:val="none" w:sz="0" w:space="0" w:color="auto"/>
                            <w:bottom w:val="none" w:sz="0" w:space="0" w:color="auto"/>
                            <w:right w:val="none" w:sz="0" w:space="0" w:color="auto"/>
                          </w:divBdr>
                          <w:divsChild>
                            <w:div w:id="119119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151018">
      <w:bodyDiv w:val="1"/>
      <w:marLeft w:val="0"/>
      <w:marRight w:val="0"/>
      <w:marTop w:val="0"/>
      <w:marBottom w:val="0"/>
      <w:divBdr>
        <w:top w:val="none" w:sz="0" w:space="0" w:color="auto"/>
        <w:left w:val="none" w:sz="0" w:space="0" w:color="auto"/>
        <w:bottom w:val="none" w:sz="0" w:space="0" w:color="auto"/>
        <w:right w:val="none" w:sz="0" w:space="0" w:color="auto"/>
      </w:divBdr>
      <w:divsChild>
        <w:div w:id="1962614227">
          <w:marLeft w:val="0"/>
          <w:marRight w:val="0"/>
          <w:marTop w:val="0"/>
          <w:marBottom w:val="0"/>
          <w:divBdr>
            <w:top w:val="none" w:sz="0" w:space="0" w:color="auto"/>
            <w:left w:val="none" w:sz="0" w:space="0" w:color="auto"/>
            <w:bottom w:val="none" w:sz="0" w:space="0" w:color="auto"/>
            <w:right w:val="none" w:sz="0" w:space="0" w:color="auto"/>
          </w:divBdr>
          <w:divsChild>
            <w:div w:id="279655330">
              <w:marLeft w:val="0"/>
              <w:marRight w:val="0"/>
              <w:marTop w:val="0"/>
              <w:marBottom w:val="0"/>
              <w:divBdr>
                <w:top w:val="none" w:sz="0" w:space="0" w:color="auto"/>
                <w:left w:val="none" w:sz="0" w:space="0" w:color="auto"/>
                <w:bottom w:val="none" w:sz="0" w:space="0" w:color="auto"/>
                <w:right w:val="none" w:sz="0" w:space="0" w:color="auto"/>
              </w:divBdr>
              <w:divsChild>
                <w:div w:id="1389958389">
                  <w:marLeft w:val="0"/>
                  <w:marRight w:val="0"/>
                  <w:marTop w:val="0"/>
                  <w:marBottom w:val="0"/>
                  <w:divBdr>
                    <w:top w:val="none" w:sz="0" w:space="0" w:color="auto"/>
                    <w:left w:val="none" w:sz="0" w:space="0" w:color="auto"/>
                    <w:bottom w:val="none" w:sz="0" w:space="0" w:color="auto"/>
                    <w:right w:val="none" w:sz="0" w:space="0" w:color="auto"/>
                  </w:divBdr>
                  <w:divsChild>
                    <w:div w:id="1352994105">
                      <w:marLeft w:val="0"/>
                      <w:marRight w:val="0"/>
                      <w:marTop w:val="0"/>
                      <w:marBottom w:val="0"/>
                      <w:divBdr>
                        <w:top w:val="none" w:sz="0" w:space="0" w:color="auto"/>
                        <w:left w:val="none" w:sz="0" w:space="0" w:color="auto"/>
                        <w:bottom w:val="none" w:sz="0" w:space="0" w:color="auto"/>
                        <w:right w:val="none" w:sz="0" w:space="0" w:color="auto"/>
                      </w:divBdr>
                      <w:divsChild>
                        <w:div w:id="863860196">
                          <w:marLeft w:val="0"/>
                          <w:marRight w:val="0"/>
                          <w:marTop w:val="0"/>
                          <w:marBottom w:val="0"/>
                          <w:divBdr>
                            <w:top w:val="none" w:sz="0" w:space="0" w:color="auto"/>
                            <w:left w:val="none" w:sz="0" w:space="0" w:color="auto"/>
                            <w:bottom w:val="none" w:sz="0" w:space="0" w:color="auto"/>
                            <w:right w:val="none" w:sz="0" w:space="0" w:color="auto"/>
                          </w:divBdr>
                          <w:divsChild>
                            <w:div w:id="74860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6072148">
      <w:bodyDiv w:val="1"/>
      <w:marLeft w:val="0"/>
      <w:marRight w:val="0"/>
      <w:marTop w:val="0"/>
      <w:marBottom w:val="0"/>
      <w:divBdr>
        <w:top w:val="none" w:sz="0" w:space="0" w:color="auto"/>
        <w:left w:val="none" w:sz="0" w:space="0" w:color="auto"/>
        <w:bottom w:val="none" w:sz="0" w:space="0" w:color="auto"/>
        <w:right w:val="none" w:sz="0" w:space="0" w:color="auto"/>
      </w:divBdr>
      <w:divsChild>
        <w:div w:id="1163856565">
          <w:marLeft w:val="0"/>
          <w:marRight w:val="0"/>
          <w:marTop w:val="0"/>
          <w:marBottom w:val="0"/>
          <w:divBdr>
            <w:top w:val="none" w:sz="0" w:space="0" w:color="auto"/>
            <w:left w:val="none" w:sz="0" w:space="0" w:color="auto"/>
            <w:bottom w:val="none" w:sz="0" w:space="0" w:color="auto"/>
            <w:right w:val="none" w:sz="0" w:space="0" w:color="auto"/>
          </w:divBdr>
          <w:divsChild>
            <w:div w:id="1418746698">
              <w:marLeft w:val="0"/>
              <w:marRight w:val="0"/>
              <w:marTop w:val="0"/>
              <w:marBottom w:val="0"/>
              <w:divBdr>
                <w:top w:val="none" w:sz="0" w:space="0" w:color="auto"/>
                <w:left w:val="none" w:sz="0" w:space="0" w:color="auto"/>
                <w:bottom w:val="none" w:sz="0" w:space="0" w:color="auto"/>
                <w:right w:val="none" w:sz="0" w:space="0" w:color="auto"/>
              </w:divBdr>
              <w:divsChild>
                <w:div w:id="770320836">
                  <w:marLeft w:val="0"/>
                  <w:marRight w:val="0"/>
                  <w:marTop w:val="0"/>
                  <w:marBottom w:val="0"/>
                  <w:divBdr>
                    <w:top w:val="none" w:sz="0" w:space="0" w:color="auto"/>
                    <w:left w:val="none" w:sz="0" w:space="0" w:color="auto"/>
                    <w:bottom w:val="none" w:sz="0" w:space="0" w:color="auto"/>
                    <w:right w:val="none" w:sz="0" w:space="0" w:color="auto"/>
                  </w:divBdr>
                  <w:divsChild>
                    <w:div w:id="1953053114">
                      <w:marLeft w:val="0"/>
                      <w:marRight w:val="0"/>
                      <w:marTop w:val="0"/>
                      <w:marBottom w:val="0"/>
                      <w:divBdr>
                        <w:top w:val="none" w:sz="0" w:space="0" w:color="auto"/>
                        <w:left w:val="none" w:sz="0" w:space="0" w:color="auto"/>
                        <w:bottom w:val="none" w:sz="0" w:space="0" w:color="auto"/>
                        <w:right w:val="none" w:sz="0" w:space="0" w:color="auto"/>
                      </w:divBdr>
                      <w:divsChild>
                        <w:div w:id="1484161019">
                          <w:marLeft w:val="0"/>
                          <w:marRight w:val="0"/>
                          <w:marTop w:val="0"/>
                          <w:marBottom w:val="0"/>
                          <w:divBdr>
                            <w:top w:val="none" w:sz="0" w:space="0" w:color="auto"/>
                            <w:left w:val="none" w:sz="0" w:space="0" w:color="auto"/>
                            <w:bottom w:val="none" w:sz="0" w:space="0" w:color="auto"/>
                            <w:right w:val="none" w:sz="0" w:space="0" w:color="auto"/>
                          </w:divBdr>
                          <w:divsChild>
                            <w:div w:id="8252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3129849">
      <w:bodyDiv w:val="1"/>
      <w:marLeft w:val="0"/>
      <w:marRight w:val="0"/>
      <w:marTop w:val="0"/>
      <w:marBottom w:val="0"/>
      <w:divBdr>
        <w:top w:val="none" w:sz="0" w:space="0" w:color="auto"/>
        <w:left w:val="none" w:sz="0" w:space="0" w:color="auto"/>
        <w:bottom w:val="none" w:sz="0" w:space="0" w:color="auto"/>
        <w:right w:val="none" w:sz="0" w:space="0" w:color="auto"/>
      </w:divBdr>
      <w:divsChild>
        <w:div w:id="1386178536">
          <w:marLeft w:val="0"/>
          <w:marRight w:val="0"/>
          <w:marTop w:val="0"/>
          <w:marBottom w:val="0"/>
          <w:divBdr>
            <w:top w:val="none" w:sz="0" w:space="0" w:color="auto"/>
            <w:left w:val="none" w:sz="0" w:space="0" w:color="auto"/>
            <w:bottom w:val="none" w:sz="0" w:space="0" w:color="auto"/>
            <w:right w:val="none" w:sz="0" w:space="0" w:color="auto"/>
          </w:divBdr>
          <w:divsChild>
            <w:div w:id="1573200730">
              <w:marLeft w:val="0"/>
              <w:marRight w:val="0"/>
              <w:marTop w:val="0"/>
              <w:marBottom w:val="0"/>
              <w:divBdr>
                <w:top w:val="none" w:sz="0" w:space="0" w:color="auto"/>
                <w:left w:val="none" w:sz="0" w:space="0" w:color="auto"/>
                <w:bottom w:val="none" w:sz="0" w:space="0" w:color="auto"/>
                <w:right w:val="none" w:sz="0" w:space="0" w:color="auto"/>
              </w:divBdr>
              <w:divsChild>
                <w:div w:id="644507127">
                  <w:marLeft w:val="0"/>
                  <w:marRight w:val="0"/>
                  <w:marTop w:val="0"/>
                  <w:marBottom w:val="0"/>
                  <w:divBdr>
                    <w:top w:val="none" w:sz="0" w:space="0" w:color="auto"/>
                    <w:left w:val="none" w:sz="0" w:space="0" w:color="auto"/>
                    <w:bottom w:val="none" w:sz="0" w:space="0" w:color="auto"/>
                    <w:right w:val="none" w:sz="0" w:space="0" w:color="auto"/>
                  </w:divBdr>
                  <w:divsChild>
                    <w:div w:id="1203782451">
                      <w:marLeft w:val="0"/>
                      <w:marRight w:val="0"/>
                      <w:marTop w:val="0"/>
                      <w:marBottom w:val="0"/>
                      <w:divBdr>
                        <w:top w:val="none" w:sz="0" w:space="0" w:color="auto"/>
                        <w:left w:val="none" w:sz="0" w:space="0" w:color="auto"/>
                        <w:bottom w:val="none" w:sz="0" w:space="0" w:color="auto"/>
                        <w:right w:val="none" w:sz="0" w:space="0" w:color="auto"/>
                      </w:divBdr>
                      <w:divsChild>
                        <w:div w:id="1439569283">
                          <w:marLeft w:val="0"/>
                          <w:marRight w:val="0"/>
                          <w:marTop w:val="0"/>
                          <w:marBottom w:val="0"/>
                          <w:divBdr>
                            <w:top w:val="none" w:sz="0" w:space="0" w:color="auto"/>
                            <w:left w:val="none" w:sz="0" w:space="0" w:color="auto"/>
                            <w:bottom w:val="none" w:sz="0" w:space="0" w:color="auto"/>
                            <w:right w:val="none" w:sz="0" w:space="0" w:color="auto"/>
                          </w:divBdr>
                          <w:divsChild>
                            <w:div w:id="868495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9049329">
      <w:bodyDiv w:val="1"/>
      <w:marLeft w:val="0"/>
      <w:marRight w:val="0"/>
      <w:marTop w:val="0"/>
      <w:marBottom w:val="0"/>
      <w:divBdr>
        <w:top w:val="none" w:sz="0" w:space="0" w:color="auto"/>
        <w:left w:val="none" w:sz="0" w:space="0" w:color="auto"/>
        <w:bottom w:val="none" w:sz="0" w:space="0" w:color="auto"/>
        <w:right w:val="none" w:sz="0" w:space="0" w:color="auto"/>
      </w:divBdr>
    </w:div>
    <w:div w:id="1265961829">
      <w:bodyDiv w:val="1"/>
      <w:marLeft w:val="0"/>
      <w:marRight w:val="0"/>
      <w:marTop w:val="0"/>
      <w:marBottom w:val="0"/>
      <w:divBdr>
        <w:top w:val="none" w:sz="0" w:space="0" w:color="auto"/>
        <w:left w:val="none" w:sz="0" w:space="0" w:color="auto"/>
        <w:bottom w:val="none" w:sz="0" w:space="0" w:color="auto"/>
        <w:right w:val="none" w:sz="0" w:space="0" w:color="auto"/>
      </w:divBdr>
      <w:divsChild>
        <w:div w:id="822159458">
          <w:marLeft w:val="0"/>
          <w:marRight w:val="0"/>
          <w:marTop w:val="0"/>
          <w:marBottom w:val="0"/>
          <w:divBdr>
            <w:top w:val="none" w:sz="0" w:space="0" w:color="auto"/>
            <w:left w:val="none" w:sz="0" w:space="0" w:color="auto"/>
            <w:bottom w:val="none" w:sz="0" w:space="0" w:color="auto"/>
            <w:right w:val="none" w:sz="0" w:space="0" w:color="auto"/>
          </w:divBdr>
          <w:divsChild>
            <w:div w:id="669647243">
              <w:marLeft w:val="0"/>
              <w:marRight w:val="0"/>
              <w:marTop w:val="0"/>
              <w:marBottom w:val="0"/>
              <w:divBdr>
                <w:top w:val="none" w:sz="0" w:space="0" w:color="auto"/>
                <w:left w:val="none" w:sz="0" w:space="0" w:color="auto"/>
                <w:bottom w:val="none" w:sz="0" w:space="0" w:color="auto"/>
                <w:right w:val="none" w:sz="0" w:space="0" w:color="auto"/>
              </w:divBdr>
              <w:divsChild>
                <w:div w:id="42410641">
                  <w:marLeft w:val="0"/>
                  <w:marRight w:val="0"/>
                  <w:marTop w:val="0"/>
                  <w:marBottom w:val="0"/>
                  <w:divBdr>
                    <w:top w:val="none" w:sz="0" w:space="0" w:color="auto"/>
                    <w:left w:val="none" w:sz="0" w:space="0" w:color="auto"/>
                    <w:bottom w:val="none" w:sz="0" w:space="0" w:color="auto"/>
                    <w:right w:val="none" w:sz="0" w:space="0" w:color="auto"/>
                  </w:divBdr>
                  <w:divsChild>
                    <w:div w:id="2128625028">
                      <w:marLeft w:val="0"/>
                      <w:marRight w:val="0"/>
                      <w:marTop w:val="0"/>
                      <w:marBottom w:val="0"/>
                      <w:divBdr>
                        <w:top w:val="none" w:sz="0" w:space="0" w:color="auto"/>
                        <w:left w:val="none" w:sz="0" w:space="0" w:color="auto"/>
                        <w:bottom w:val="none" w:sz="0" w:space="0" w:color="auto"/>
                        <w:right w:val="none" w:sz="0" w:space="0" w:color="auto"/>
                      </w:divBdr>
                      <w:divsChild>
                        <w:div w:id="1434666639">
                          <w:marLeft w:val="0"/>
                          <w:marRight w:val="0"/>
                          <w:marTop w:val="0"/>
                          <w:marBottom w:val="0"/>
                          <w:divBdr>
                            <w:top w:val="none" w:sz="0" w:space="0" w:color="auto"/>
                            <w:left w:val="none" w:sz="0" w:space="0" w:color="auto"/>
                            <w:bottom w:val="none" w:sz="0" w:space="0" w:color="auto"/>
                            <w:right w:val="none" w:sz="0" w:space="0" w:color="auto"/>
                          </w:divBdr>
                          <w:divsChild>
                            <w:div w:id="1712725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2667613">
      <w:bodyDiv w:val="1"/>
      <w:marLeft w:val="0"/>
      <w:marRight w:val="0"/>
      <w:marTop w:val="0"/>
      <w:marBottom w:val="0"/>
      <w:divBdr>
        <w:top w:val="none" w:sz="0" w:space="0" w:color="auto"/>
        <w:left w:val="none" w:sz="0" w:space="0" w:color="auto"/>
        <w:bottom w:val="none" w:sz="0" w:space="0" w:color="auto"/>
        <w:right w:val="none" w:sz="0" w:space="0" w:color="auto"/>
      </w:divBdr>
      <w:divsChild>
        <w:div w:id="1949118312">
          <w:marLeft w:val="0"/>
          <w:marRight w:val="0"/>
          <w:marTop w:val="0"/>
          <w:marBottom w:val="0"/>
          <w:divBdr>
            <w:top w:val="none" w:sz="0" w:space="0" w:color="auto"/>
            <w:left w:val="none" w:sz="0" w:space="0" w:color="auto"/>
            <w:bottom w:val="none" w:sz="0" w:space="0" w:color="auto"/>
            <w:right w:val="none" w:sz="0" w:space="0" w:color="auto"/>
          </w:divBdr>
          <w:divsChild>
            <w:div w:id="784352123">
              <w:marLeft w:val="0"/>
              <w:marRight w:val="0"/>
              <w:marTop w:val="0"/>
              <w:marBottom w:val="0"/>
              <w:divBdr>
                <w:top w:val="none" w:sz="0" w:space="0" w:color="auto"/>
                <w:left w:val="none" w:sz="0" w:space="0" w:color="auto"/>
                <w:bottom w:val="none" w:sz="0" w:space="0" w:color="auto"/>
                <w:right w:val="none" w:sz="0" w:space="0" w:color="auto"/>
              </w:divBdr>
              <w:divsChild>
                <w:div w:id="1460758026">
                  <w:marLeft w:val="0"/>
                  <w:marRight w:val="0"/>
                  <w:marTop w:val="0"/>
                  <w:marBottom w:val="0"/>
                  <w:divBdr>
                    <w:top w:val="none" w:sz="0" w:space="0" w:color="auto"/>
                    <w:left w:val="none" w:sz="0" w:space="0" w:color="auto"/>
                    <w:bottom w:val="none" w:sz="0" w:space="0" w:color="auto"/>
                    <w:right w:val="none" w:sz="0" w:space="0" w:color="auto"/>
                  </w:divBdr>
                  <w:divsChild>
                    <w:div w:id="1893300872">
                      <w:marLeft w:val="0"/>
                      <w:marRight w:val="0"/>
                      <w:marTop w:val="0"/>
                      <w:marBottom w:val="0"/>
                      <w:divBdr>
                        <w:top w:val="none" w:sz="0" w:space="0" w:color="auto"/>
                        <w:left w:val="none" w:sz="0" w:space="0" w:color="auto"/>
                        <w:bottom w:val="none" w:sz="0" w:space="0" w:color="auto"/>
                        <w:right w:val="none" w:sz="0" w:space="0" w:color="auto"/>
                      </w:divBdr>
                      <w:divsChild>
                        <w:div w:id="633948575">
                          <w:marLeft w:val="0"/>
                          <w:marRight w:val="0"/>
                          <w:marTop w:val="0"/>
                          <w:marBottom w:val="0"/>
                          <w:divBdr>
                            <w:top w:val="none" w:sz="0" w:space="0" w:color="auto"/>
                            <w:left w:val="none" w:sz="0" w:space="0" w:color="auto"/>
                            <w:bottom w:val="none" w:sz="0" w:space="0" w:color="auto"/>
                            <w:right w:val="none" w:sz="0" w:space="0" w:color="auto"/>
                          </w:divBdr>
                          <w:divsChild>
                            <w:div w:id="110168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6155988">
      <w:bodyDiv w:val="1"/>
      <w:marLeft w:val="0"/>
      <w:marRight w:val="0"/>
      <w:marTop w:val="0"/>
      <w:marBottom w:val="0"/>
      <w:divBdr>
        <w:top w:val="none" w:sz="0" w:space="0" w:color="auto"/>
        <w:left w:val="none" w:sz="0" w:space="0" w:color="auto"/>
        <w:bottom w:val="none" w:sz="0" w:space="0" w:color="auto"/>
        <w:right w:val="none" w:sz="0" w:space="0" w:color="auto"/>
      </w:divBdr>
      <w:divsChild>
        <w:div w:id="90199114">
          <w:marLeft w:val="0"/>
          <w:marRight w:val="0"/>
          <w:marTop w:val="0"/>
          <w:marBottom w:val="0"/>
          <w:divBdr>
            <w:top w:val="none" w:sz="0" w:space="0" w:color="auto"/>
            <w:left w:val="none" w:sz="0" w:space="0" w:color="auto"/>
            <w:bottom w:val="none" w:sz="0" w:space="0" w:color="auto"/>
            <w:right w:val="none" w:sz="0" w:space="0" w:color="auto"/>
          </w:divBdr>
          <w:divsChild>
            <w:div w:id="588152371">
              <w:marLeft w:val="0"/>
              <w:marRight w:val="0"/>
              <w:marTop w:val="0"/>
              <w:marBottom w:val="0"/>
              <w:divBdr>
                <w:top w:val="none" w:sz="0" w:space="0" w:color="auto"/>
                <w:left w:val="none" w:sz="0" w:space="0" w:color="auto"/>
                <w:bottom w:val="none" w:sz="0" w:space="0" w:color="auto"/>
                <w:right w:val="none" w:sz="0" w:space="0" w:color="auto"/>
              </w:divBdr>
              <w:divsChild>
                <w:div w:id="1839348484">
                  <w:marLeft w:val="0"/>
                  <w:marRight w:val="0"/>
                  <w:marTop w:val="0"/>
                  <w:marBottom w:val="0"/>
                  <w:divBdr>
                    <w:top w:val="none" w:sz="0" w:space="0" w:color="auto"/>
                    <w:left w:val="none" w:sz="0" w:space="0" w:color="auto"/>
                    <w:bottom w:val="none" w:sz="0" w:space="0" w:color="auto"/>
                    <w:right w:val="none" w:sz="0" w:space="0" w:color="auto"/>
                  </w:divBdr>
                  <w:divsChild>
                    <w:div w:id="1931810804">
                      <w:marLeft w:val="0"/>
                      <w:marRight w:val="0"/>
                      <w:marTop w:val="0"/>
                      <w:marBottom w:val="0"/>
                      <w:divBdr>
                        <w:top w:val="none" w:sz="0" w:space="0" w:color="auto"/>
                        <w:left w:val="none" w:sz="0" w:space="0" w:color="auto"/>
                        <w:bottom w:val="none" w:sz="0" w:space="0" w:color="auto"/>
                        <w:right w:val="none" w:sz="0" w:space="0" w:color="auto"/>
                      </w:divBdr>
                      <w:divsChild>
                        <w:div w:id="1462067233">
                          <w:marLeft w:val="0"/>
                          <w:marRight w:val="0"/>
                          <w:marTop w:val="0"/>
                          <w:marBottom w:val="0"/>
                          <w:divBdr>
                            <w:top w:val="none" w:sz="0" w:space="0" w:color="auto"/>
                            <w:left w:val="none" w:sz="0" w:space="0" w:color="auto"/>
                            <w:bottom w:val="none" w:sz="0" w:space="0" w:color="auto"/>
                            <w:right w:val="none" w:sz="0" w:space="0" w:color="auto"/>
                          </w:divBdr>
                          <w:divsChild>
                            <w:div w:id="1179852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1813508">
      <w:bodyDiv w:val="1"/>
      <w:marLeft w:val="0"/>
      <w:marRight w:val="0"/>
      <w:marTop w:val="0"/>
      <w:marBottom w:val="0"/>
      <w:divBdr>
        <w:top w:val="none" w:sz="0" w:space="0" w:color="auto"/>
        <w:left w:val="none" w:sz="0" w:space="0" w:color="auto"/>
        <w:bottom w:val="none" w:sz="0" w:space="0" w:color="auto"/>
        <w:right w:val="none" w:sz="0" w:space="0" w:color="auto"/>
      </w:divBdr>
      <w:divsChild>
        <w:div w:id="1212382385">
          <w:marLeft w:val="0"/>
          <w:marRight w:val="0"/>
          <w:marTop w:val="0"/>
          <w:marBottom w:val="0"/>
          <w:divBdr>
            <w:top w:val="none" w:sz="0" w:space="0" w:color="auto"/>
            <w:left w:val="none" w:sz="0" w:space="0" w:color="auto"/>
            <w:bottom w:val="none" w:sz="0" w:space="0" w:color="auto"/>
            <w:right w:val="none" w:sz="0" w:space="0" w:color="auto"/>
          </w:divBdr>
          <w:divsChild>
            <w:div w:id="1658799918">
              <w:marLeft w:val="0"/>
              <w:marRight w:val="0"/>
              <w:marTop w:val="0"/>
              <w:marBottom w:val="0"/>
              <w:divBdr>
                <w:top w:val="none" w:sz="0" w:space="0" w:color="auto"/>
                <w:left w:val="none" w:sz="0" w:space="0" w:color="auto"/>
                <w:bottom w:val="none" w:sz="0" w:space="0" w:color="auto"/>
                <w:right w:val="none" w:sz="0" w:space="0" w:color="auto"/>
              </w:divBdr>
              <w:divsChild>
                <w:div w:id="820585167">
                  <w:marLeft w:val="0"/>
                  <w:marRight w:val="0"/>
                  <w:marTop w:val="0"/>
                  <w:marBottom w:val="0"/>
                  <w:divBdr>
                    <w:top w:val="none" w:sz="0" w:space="0" w:color="auto"/>
                    <w:left w:val="none" w:sz="0" w:space="0" w:color="auto"/>
                    <w:bottom w:val="none" w:sz="0" w:space="0" w:color="auto"/>
                    <w:right w:val="none" w:sz="0" w:space="0" w:color="auto"/>
                  </w:divBdr>
                  <w:divsChild>
                    <w:div w:id="1816219338">
                      <w:marLeft w:val="0"/>
                      <w:marRight w:val="0"/>
                      <w:marTop w:val="0"/>
                      <w:marBottom w:val="0"/>
                      <w:divBdr>
                        <w:top w:val="none" w:sz="0" w:space="0" w:color="auto"/>
                        <w:left w:val="none" w:sz="0" w:space="0" w:color="auto"/>
                        <w:bottom w:val="none" w:sz="0" w:space="0" w:color="auto"/>
                        <w:right w:val="none" w:sz="0" w:space="0" w:color="auto"/>
                      </w:divBdr>
                      <w:divsChild>
                        <w:div w:id="827937167">
                          <w:marLeft w:val="0"/>
                          <w:marRight w:val="0"/>
                          <w:marTop w:val="0"/>
                          <w:marBottom w:val="0"/>
                          <w:divBdr>
                            <w:top w:val="none" w:sz="0" w:space="0" w:color="auto"/>
                            <w:left w:val="none" w:sz="0" w:space="0" w:color="auto"/>
                            <w:bottom w:val="none" w:sz="0" w:space="0" w:color="auto"/>
                            <w:right w:val="none" w:sz="0" w:space="0" w:color="auto"/>
                          </w:divBdr>
                          <w:divsChild>
                            <w:div w:id="1262955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1085802">
      <w:bodyDiv w:val="1"/>
      <w:marLeft w:val="0"/>
      <w:marRight w:val="0"/>
      <w:marTop w:val="0"/>
      <w:marBottom w:val="0"/>
      <w:divBdr>
        <w:top w:val="none" w:sz="0" w:space="0" w:color="auto"/>
        <w:left w:val="none" w:sz="0" w:space="0" w:color="auto"/>
        <w:bottom w:val="none" w:sz="0" w:space="0" w:color="auto"/>
        <w:right w:val="none" w:sz="0" w:space="0" w:color="auto"/>
      </w:divBdr>
      <w:divsChild>
        <w:div w:id="1925258174">
          <w:marLeft w:val="0"/>
          <w:marRight w:val="0"/>
          <w:marTop w:val="0"/>
          <w:marBottom w:val="0"/>
          <w:divBdr>
            <w:top w:val="none" w:sz="0" w:space="0" w:color="auto"/>
            <w:left w:val="none" w:sz="0" w:space="0" w:color="auto"/>
            <w:bottom w:val="none" w:sz="0" w:space="0" w:color="auto"/>
            <w:right w:val="none" w:sz="0" w:space="0" w:color="auto"/>
          </w:divBdr>
          <w:divsChild>
            <w:div w:id="267783752">
              <w:marLeft w:val="0"/>
              <w:marRight w:val="0"/>
              <w:marTop w:val="0"/>
              <w:marBottom w:val="0"/>
              <w:divBdr>
                <w:top w:val="none" w:sz="0" w:space="0" w:color="auto"/>
                <w:left w:val="none" w:sz="0" w:space="0" w:color="auto"/>
                <w:bottom w:val="none" w:sz="0" w:space="0" w:color="auto"/>
                <w:right w:val="none" w:sz="0" w:space="0" w:color="auto"/>
              </w:divBdr>
              <w:divsChild>
                <w:div w:id="1065567647">
                  <w:marLeft w:val="0"/>
                  <w:marRight w:val="0"/>
                  <w:marTop w:val="0"/>
                  <w:marBottom w:val="0"/>
                  <w:divBdr>
                    <w:top w:val="none" w:sz="0" w:space="0" w:color="auto"/>
                    <w:left w:val="none" w:sz="0" w:space="0" w:color="auto"/>
                    <w:bottom w:val="none" w:sz="0" w:space="0" w:color="auto"/>
                    <w:right w:val="none" w:sz="0" w:space="0" w:color="auto"/>
                  </w:divBdr>
                  <w:divsChild>
                    <w:div w:id="1988049519">
                      <w:marLeft w:val="0"/>
                      <w:marRight w:val="0"/>
                      <w:marTop w:val="0"/>
                      <w:marBottom w:val="0"/>
                      <w:divBdr>
                        <w:top w:val="none" w:sz="0" w:space="0" w:color="auto"/>
                        <w:left w:val="none" w:sz="0" w:space="0" w:color="auto"/>
                        <w:bottom w:val="none" w:sz="0" w:space="0" w:color="auto"/>
                        <w:right w:val="none" w:sz="0" w:space="0" w:color="auto"/>
                      </w:divBdr>
                      <w:divsChild>
                        <w:div w:id="1256861222">
                          <w:marLeft w:val="0"/>
                          <w:marRight w:val="0"/>
                          <w:marTop w:val="0"/>
                          <w:marBottom w:val="0"/>
                          <w:divBdr>
                            <w:top w:val="none" w:sz="0" w:space="0" w:color="auto"/>
                            <w:left w:val="none" w:sz="0" w:space="0" w:color="auto"/>
                            <w:bottom w:val="none" w:sz="0" w:space="0" w:color="auto"/>
                            <w:right w:val="none" w:sz="0" w:space="0" w:color="auto"/>
                          </w:divBdr>
                          <w:divsChild>
                            <w:div w:id="2128161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295645">
      <w:bodyDiv w:val="1"/>
      <w:marLeft w:val="0"/>
      <w:marRight w:val="0"/>
      <w:marTop w:val="0"/>
      <w:marBottom w:val="0"/>
      <w:divBdr>
        <w:top w:val="none" w:sz="0" w:space="0" w:color="auto"/>
        <w:left w:val="none" w:sz="0" w:space="0" w:color="auto"/>
        <w:bottom w:val="none" w:sz="0" w:space="0" w:color="auto"/>
        <w:right w:val="none" w:sz="0" w:space="0" w:color="auto"/>
      </w:divBdr>
      <w:divsChild>
        <w:div w:id="9571564">
          <w:marLeft w:val="0"/>
          <w:marRight w:val="0"/>
          <w:marTop w:val="0"/>
          <w:marBottom w:val="0"/>
          <w:divBdr>
            <w:top w:val="none" w:sz="0" w:space="0" w:color="auto"/>
            <w:left w:val="none" w:sz="0" w:space="0" w:color="auto"/>
            <w:bottom w:val="none" w:sz="0" w:space="0" w:color="auto"/>
            <w:right w:val="none" w:sz="0" w:space="0" w:color="auto"/>
          </w:divBdr>
          <w:divsChild>
            <w:div w:id="852840387">
              <w:marLeft w:val="0"/>
              <w:marRight w:val="0"/>
              <w:marTop w:val="0"/>
              <w:marBottom w:val="0"/>
              <w:divBdr>
                <w:top w:val="none" w:sz="0" w:space="0" w:color="auto"/>
                <w:left w:val="none" w:sz="0" w:space="0" w:color="auto"/>
                <w:bottom w:val="none" w:sz="0" w:space="0" w:color="auto"/>
                <w:right w:val="none" w:sz="0" w:space="0" w:color="auto"/>
              </w:divBdr>
              <w:divsChild>
                <w:div w:id="1068574117">
                  <w:marLeft w:val="0"/>
                  <w:marRight w:val="0"/>
                  <w:marTop w:val="0"/>
                  <w:marBottom w:val="0"/>
                  <w:divBdr>
                    <w:top w:val="none" w:sz="0" w:space="0" w:color="auto"/>
                    <w:left w:val="none" w:sz="0" w:space="0" w:color="auto"/>
                    <w:bottom w:val="none" w:sz="0" w:space="0" w:color="auto"/>
                    <w:right w:val="none" w:sz="0" w:space="0" w:color="auto"/>
                  </w:divBdr>
                  <w:divsChild>
                    <w:div w:id="1467308450">
                      <w:marLeft w:val="0"/>
                      <w:marRight w:val="0"/>
                      <w:marTop w:val="0"/>
                      <w:marBottom w:val="0"/>
                      <w:divBdr>
                        <w:top w:val="none" w:sz="0" w:space="0" w:color="auto"/>
                        <w:left w:val="none" w:sz="0" w:space="0" w:color="auto"/>
                        <w:bottom w:val="none" w:sz="0" w:space="0" w:color="auto"/>
                        <w:right w:val="none" w:sz="0" w:space="0" w:color="auto"/>
                      </w:divBdr>
                      <w:divsChild>
                        <w:div w:id="993099714">
                          <w:marLeft w:val="0"/>
                          <w:marRight w:val="0"/>
                          <w:marTop w:val="0"/>
                          <w:marBottom w:val="0"/>
                          <w:divBdr>
                            <w:top w:val="none" w:sz="0" w:space="0" w:color="auto"/>
                            <w:left w:val="none" w:sz="0" w:space="0" w:color="auto"/>
                            <w:bottom w:val="none" w:sz="0" w:space="0" w:color="auto"/>
                            <w:right w:val="none" w:sz="0" w:space="0" w:color="auto"/>
                          </w:divBdr>
                          <w:divsChild>
                            <w:div w:id="1294022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9228884">
      <w:bodyDiv w:val="1"/>
      <w:marLeft w:val="0"/>
      <w:marRight w:val="0"/>
      <w:marTop w:val="0"/>
      <w:marBottom w:val="0"/>
      <w:divBdr>
        <w:top w:val="none" w:sz="0" w:space="0" w:color="auto"/>
        <w:left w:val="none" w:sz="0" w:space="0" w:color="auto"/>
        <w:bottom w:val="none" w:sz="0" w:space="0" w:color="auto"/>
        <w:right w:val="none" w:sz="0" w:space="0" w:color="auto"/>
      </w:divBdr>
      <w:divsChild>
        <w:div w:id="430321639">
          <w:marLeft w:val="0"/>
          <w:marRight w:val="0"/>
          <w:marTop w:val="0"/>
          <w:marBottom w:val="0"/>
          <w:divBdr>
            <w:top w:val="none" w:sz="0" w:space="0" w:color="auto"/>
            <w:left w:val="none" w:sz="0" w:space="0" w:color="auto"/>
            <w:bottom w:val="none" w:sz="0" w:space="0" w:color="auto"/>
            <w:right w:val="none" w:sz="0" w:space="0" w:color="auto"/>
          </w:divBdr>
          <w:divsChild>
            <w:div w:id="277807441">
              <w:marLeft w:val="0"/>
              <w:marRight w:val="0"/>
              <w:marTop w:val="0"/>
              <w:marBottom w:val="0"/>
              <w:divBdr>
                <w:top w:val="none" w:sz="0" w:space="0" w:color="auto"/>
                <w:left w:val="none" w:sz="0" w:space="0" w:color="auto"/>
                <w:bottom w:val="none" w:sz="0" w:space="0" w:color="auto"/>
                <w:right w:val="none" w:sz="0" w:space="0" w:color="auto"/>
              </w:divBdr>
              <w:divsChild>
                <w:div w:id="339938672">
                  <w:marLeft w:val="0"/>
                  <w:marRight w:val="0"/>
                  <w:marTop w:val="0"/>
                  <w:marBottom w:val="0"/>
                  <w:divBdr>
                    <w:top w:val="none" w:sz="0" w:space="0" w:color="auto"/>
                    <w:left w:val="none" w:sz="0" w:space="0" w:color="auto"/>
                    <w:bottom w:val="none" w:sz="0" w:space="0" w:color="auto"/>
                    <w:right w:val="none" w:sz="0" w:space="0" w:color="auto"/>
                  </w:divBdr>
                  <w:divsChild>
                    <w:div w:id="71049305">
                      <w:marLeft w:val="0"/>
                      <w:marRight w:val="0"/>
                      <w:marTop w:val="0"/>
                      <w:marBottom w:val="0"/>
                      <w:divBdr>
                        <w:top w:val="none" w:sz="0" w:space="0" w:color="auto"/>
                        <w:left w:val="none" w:sz="0" w:space="0" w:color="auto"/>
                        <w:bottom w:val="none" w:sz="0" w:space="0" w:color="auto"/>
                        <w:right w:val="none" w:sz="0" w:space="0" w:color="auto"/>
                      </w:divBdr>
                      <w:divsChild>
                        <w:div w:id="112674077">
                          <w:marLeft w:val="0"/>
                          <w:marRight w:val="0"/>
                          <w:marTop w:val="0"/>
                          <w:marBottom w:val="0"/>
                          <w:divBdr>
                            <w:top w:val="none" w:sz="0" w:space="0" w:color="auto"/>
                            <w:left w:val="none" w:sz="0" w:space="0" w:color="auto"/>
                            <w:bottom w:val="none" w:sz="0" w:space="0" w:color="auto"/>
                            <w:right w:val="none" w:sz="0" w:space="0" w:color="auto"/>
                          </w:divBdr>
                          <w:divsChild>
                            <w:div w:id="1723402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6554401">
      <w:bodyDiv w:val="1"/>
      <w:marLeft w:val="0"/>
      <w:marRight w:val="0"/>
      <w:marTop w:val="0"/>
      <w:marBottom w:val="0"/>
      <w:divBdr>
        <w:top w:val="none" w:sz="0" w:space="0" w:color="auto"/>
        <w:left w:val="none" w:sz="0" w:space="0" w:color="auto"/>
        <w:bottom w:val="none" w:sz="0" w:space="0" w:color="auto"/>
        <w:right w:val="none" w:sz="0" w:space="0" w:color="auto"/>
      </w:divBdr>
      <w:divsChild>
        <w:div w:id="659386451">
          <w:marLeft w:val="0"/>
          <w:marRight w:val="0"/>
          <w:marTop w:val="0"/>
          <w:marBottom w:val="0"/>
          <w:divBdr>
            <w:top w:val="none" w:sz="0" w:space="0" w:color="auto"/>
            <w:left w:val="none" w:sz="0" w:space="0" w:color="auto"/>
            <w:bottom w:val="none" w:sz="0" w:space="0" w:color="auto"/>
            <w:right w:val="none" w:sz="0" w:space="0" w:color="auto"/>
          </w:divBdr>
          <w:divsChild>
            <w:div w:id="1354112864">
              <w:marLeft w:val="0"/>
              <w:marRight w:val="0"/>
              <w:marTop w:val="0"/>
              <w:marBottom w:val="0"/>
              <w:divBdr>
                <w:top w:val="none" w:sz="0" w:space="0" w:color="auto"/>
                <w:left w:val="none" w:sz="0" w:space="0" w:color="auto"/>
                <w:bottom w:val="none" w:sz="0" w:space="0" w:color="auto"/>
                <w:right w:val="none" w:sz="0" w:space="0" w:color="auto"/>
              </w:divBdr>
              <w:divsChild>
                <w:div w:id="1426993241">
                  <w:marLeft w:val="0"/>
                  <w:marRight w:val="0"/>
                  <w:marTop w:val="0"/>
                  <w:marBottom w:val="0"/>
                  <w:divBdr>
                    <w:top w:val="none" w:sz="0" w:space="0" w:color="auto"/>
                    <w:left w:val="none" w:sz="0" w:space="0" w:color="auto"/>
                    <w:bottom w:val="none" w:sz="0" w:space="0" w:color="auto"/>
                    <w:right w:val="none" w:sz="0" w:space="0" w:color="auto"/>
                  </w:divBdr>
                  <w:divsChild>
                    <w:div w:id="1974479460">
                      <w:marLeft w:val="0"/>
                      <w:marRight w:val="0"/>
                      <w:marTop w:val="0"/>
                      <w:marBottom w:val="0"/>
                      <w:divBdr>
                        <w:top w:val="none" w:sz="0" w:space="0" w:color="auto"/>
                        <w:left w:val="none" w:sz="0" w:space="0" w:color="auto"/>
                        <w:bottom w:val="none" w:sz="0" w:space="0" w:color="auto"/>
                        <w:right w:val="none" w:sz="0" w:space="0" w:color="auto"/>
                      </w:divBdr>
                      <w:divsChild>
                        <w:div w:id="1356035307">
                          <w:marLeft w:val="0"/>
                          <w:marRight w:val="0"/>
                          <w:marTop w:val="0"/>
                          <w:marBottom w:val="0"/>
                          <w:divBdr>
                            <w:top w:val="none" w:sz="0" w:space="0" w:color="auto"/>
                            <w:left w:val="none" w:sz="0" w:space="0" w:color="auto"/>
                            <w:bottom w:val="none" w:sz="0" w:space="0" w:color="auto"/>
                            <w:right w:val="none" w:sz="0" w:space="0" w:color="auto"/>
                          </w:divBdr>
                          <w:divsChild>
                            <w:div w:id="737093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3306544">
      <w:bodyDiv w:val="1"/>
      <w:marLeft w:val="0"/>
      <w:marRight w:val="0"/>
      <w:marTop w:val="0"/>
      <w:marBottom w:val="0"/>
      <w:divBdr>
        <w:top w:val="none" w:sz="0" w:space="0" w:color="auto"/>
        <w:left w:val="none" w:sz="0" w:space="0" w:color="auto"/>
        <w:bottom w:val="none" w:sz="0" w:space="0" w:color="auto"/>
        <w:right w:val="none" w:sz="0" w:space="0" w:color="auto"/>
      </w:divBdr>
      <w:divsChild>
        <w:div w:id="126432836">
          <w:marLeft w:val="0"/>
          <w:marRight w:val="0"/>
          <w:marTop w:val="0"/>
          <w:marBottom w:val="0"/>
          <w:divBdr>
            <w:top w:val="none" w:sz="0" w:space="0" w:color="auto"/>
            <w:left w:val="none" w:sz="0" w:space="0" w:color="auto"/>
            <w:bottom w:val="none" w:sz="0" w:space="0" w:color="auto"/>
            <w:right w:val="none" w:sz="0" w:space="0" w:color="auto"/>
          </w:divBdr>
          <w:divsChild>
            <w:div w:id="1848860255">
              <w:marLeft w:val="0"/>
              <w:marRight w:val="0"/>
              <w:marTop w:val="0"/>
              <w:marBottom w:val="0"/>
              <w:divBdr>
                <w:top w:val="none" w:sz="0" w:space="0" w:color="auto"/>
                <w:left w:val="none" w:sz="0" w:space="0" w:color="auto"/>
                <w:bottom w:val="none" w:sz="0" w:space="0" w:color="auto"/>
                <w:right w:val="none" w:sz="0" w:space="0" w:color="auto"/>
              </w:divBdr>
              <w:divsChild>
                <w:div w:id="759376154">
                  <w:marLeft w:val="0"/>
                  <w:marRight w:val="0"/>
                  <w:marTop w:val="0"/>
                  <w:marBottom w:val="0"/>
                  <w:divBdr>
                    <w:top w:val="none" w:sz="0" w:space="0" w:color="auto"/>
                    <w:left w:val="none" w:sz="0" w:space="0" w:color="auto"/>
                    <w:bottom w:val="none" w:sz="0" w:space="0" w:color="auto"/>
                    <w:right w:val="none" w:sz="0" w:space="0" w:color="auto"/>
                  </w:divBdr>
                  <w:divsChild>
                    <w:div w:id="693964916">
                      <w:marLeft w:val="0"/>
                      <w:marRight w:val="0"/>
                      <w:marTop w:val="0"/>
                      <w:marBottom w:val="0"/>
                      <w:divBdr>
                        <w:top w:val="none" w:sz="0" w:space="0" w:color="auto"/>
                        <w:left w:val="none" w:sz="0" w:space="0" w:color="auto"/>
                        <w:bottom w:val="none" w:sz="0" w:space="0" w:color="auto"/>
                        <w:right w:val="none" w:sz="0" w:space="0" w:color="auto"/>
                      </w:divBdr>
                      <w:divsChild>
                        <w:div w:id="689988889">
                          <w:marLeft w:val="0"/>
                          <w:marRight w:val="0"/>
                          <w:marTop w:val="0"/>
                          <w:marBottom w:val="0"/>
                          <w:divBdr>
                            <w:top w:val="none" w:sz="0" w:space="0" w:color="auto"/>
                            <w:left w:val="none" w:sz="0" w:space="0" w:color="auto"/>
                            <w:bottom w:val="none" w:sz="0" w:space="0" w:color="auto"/>
                            <w:right w:val="none" w:sz="0" w:space="0" w:color="auto"/>
                          </w:divBdr>
                          <w:divsChild>
                            <w:div w:id="291181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4297030">
      <w:bodyDiv w:val="1"/>
      <w:marLeft w:val="0"/>
      <w:marRight w:val="0"/>
      <w:marTop w:val="0"/>
      <w:marBottom w:val="0"/>
      <w:divBdr>
        <w:top w:val="none" w:sz="0" w:space="0" w:color="auto"/>
        <w:left w:val="none" w:sz="0" w:space="0" w:color="auto"/>
        <w:bottom w:val="none" w:sz="0" w:space="0" w:color="auto"/>
        <w:right w:val="none" w:sz="0" w:space="0" w:color="auto"/>
      </w:divBdr>
      <w:divsChild>
        <w:div w:id="1221550042">
          <w:marLeft w:val="0"/>
          <w:marRight w:val="0"/>
          <w:marTop w:val="0"/>
          <w:marBottom w:val="0"/>
          <w:divBdr>
            <w:top w:val="none" w:sz="0" w:space="0" w:color="auto"/>
            <w:left w:val="none" w:sz="0" w:space="0" w:color="auto"/>
            <w:bottom w:val="none" w:sz="0" w:space="0" w:color="auto"/>
            <w:right w:val="none" w:sz="0" w:space="0" w:color="auto"/>
          </w:divBdr>
          <w:divsChild>
            <w:div w:id="1520269489">
              <w:marLeft w:val="0"/>
              <w:marRight w:val="0"/>
              <w:marTop w:val="0"/>
              <w:marBottom w:val="0"/>
              <w:divBdr>
                <w:top w:val="none" w:sz="0" w:space="0" w:color="auto"/>
                <w:left w:val="none" w:sz="0" w:space="0" w:color="auto"/>
                <w:bottom w:val="none" w:sz="0" w:space="0" w:color="auto"/>
                <w:right w:val="none" w:sz="0" w:space="0" w:color="auto"/>
              </w:divBdr>
              <w:divsChild>
                <w:div w:id="348025820">
                  <w:marLeft w:val="0"/>
                  <w:marRight w:val="0"/>
                  <w:marTop w:val="0"/>
                  <w:marBottom w:val="0"/>
                  <w:divBdr>
                    <w:top w:val="none" w:sz="0" w:space="0" w:color="auto"/>
                    <w:left w:val="none" w:sz="0" w:space="0" w:color="auto"/>
                    <w:bottom w:val="none" w:sz="0" w:space="0" w:color="auto"/>
                    <w:right w:val="none" w:sz="0" w:space="0" w:color="auto"/>
                  </w:divBdr>
                  <w:divsChild>
                    <w:div w:id="1214998462">
                      <w:marLeft w:val="0"/>
                      <w:marRight w:val="0"/>
                      <w:marTop w:val="0"/>
                      <w:marBottom w:val="0"/>
                      <w:divBdr>
                        <w:top w:val="none" w:sz="0" w:space="0" w:color="auto"/>
                        <w:left w:val="none" w:sz="0" w:space="0" w:color="auto"/>
                        <w:bottom w:val="none" w:sz="0" w:space="0" w:color="auto"/>
                        <w:right w:val="none" w:sz="0" w:space="0" w:color="auto"/>
                      </w:divBdr>
                      <w:divsChild>
                        <w:div w:id="1811554268">
                          <w:marLeft w:val="0"/>
                          <w:marRight w:val="0"/>
                          <w:marTop w:val="0"/>
                          <w:marBottom w:val="0"/>
                          <w:divBdr>
                            <w:top w:val="none" w:sz="0" w:space="0" w:color="auto"/>
                            <w:left w:val="none" w:sz="0" w:space="0" w:color="auto"/>
                            <w:bottom w:val="none" w:sz="0" w:space="0" w:color="auto"/>
                            <w:right w:val="none" w:sz="0" w:space="0" w:color="auto"/>
                          </w:divBdr>
                          <w:divsChild>
                            <w:div w:id="299768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4322818">
      <w:bodyDiv w:val="1"/>
      <w:marLeft w:val="0"/>
      <w:marRight w:val="0"/>
      <w:marTop w:val="0"/>
      <w:marBottom w:val="0"/>
      <w:divBdr>
        <w:top w:val="none" w:sz="0" w:space="0" w:color="auto"/>
        <w:left w:val="none" w:sz="0" w:space="0" w:color="auto"/>
        <w:bottom w:val="none" w:sz="0" w:space="0" w:color="auto"/>
        <w:right w:val="none" w:sz="0" w:space="0" w:color="auto"/>
      </w:divBdr>
      <w:divsChild>
        <w:div w:id="1174032262">
          <w:marLeft w:val="0"/>
          <w:marRight w:val="0"/>
          <w:marTop w:val="0"/>
          <w:marBottom w:val="0"/>
          <w:divBdr>
            <w:top w:val="none" w:sz="0" w:space="0" w:color="auto"/>
            <w:left w:val="none" w:sz="0" w:space="0" w:color="auto"/>
            <w:bottom w:val="none" w:sz="0" w:space="0" w:color="auto"/>
            <w:right w:val="none" w:sz="0" w:space="0" w:color="auto"/>
          </w:divBdr>
          <w:divsChild>
            <w:div w:id="1908105051">
              <w:marLeft w:val="0"/>
              <w:marRight w:val="0"/>
              <w:marTop w:val="0"/>
              <w:marBottom w:val="0"/>
              <w:divBdr>
                <w:top w:val="none" w:sz="0" w:space="0" w:color="auto"/>
                <w:left w:val="none" w:sz="0" w:space="0" w:color="auto"/>
                <w:bottom w:val="none" w:sz="0" w:space="0" w:color="auto"/>
                <w:right w:val="none" w:sz="0" w:space="0" w:color="auto"/>
              </w:divBdr>
              <w:divsChild>
                <w:div w:id="35543216">
                  <w:marLeft w:val="0"/>
                  <w:marRight w:val="0"/>
                  <w:marTop w:val="0"/>
                  <w:marBottom w:val="0"/>
                  <w:divBdr>
                    <w:top w:val="none" w:sz="0" w:space="0" w:color="auto"/>
                    <w:left w:val="none" w:sz="0" w:space="0" w:color="auto"/>
                    <w:bottom w:val="none" w:sz="0" w:space="0" w:color="auto"/>
                    <w:right w:val="none" w:sz="0" w:space="0" w:color="auto"/>
                  </w:divBdr>
                  <w:divsChild>
                    <w:div w:id="1531452368">
                      <w:marLeft w:val="0"/>
                      <w:marRight w:val="0"/>
                      <w:marTop w:val="0"/>
                      <w:marBottom w:val="0"/>
                      <w:divBdr>
                        <w:top w:val="none" w:sz="0" w:space="0" w:color="auto"/>
                        <w:left w:val="none" w:sz="0" w:space="0" w:color="auto"/>
                        <w:bottom w:val="none" w:sz="0" w:space="0" w:color="auto"/>
                        <w:right w:val="none" w:sz="0" w:space="0" w:color="auto"/>
                      </w:divBdr>
                      <w:divsChild>
                        <w:div w:id="831260688">
                          <w:marLeft w:val="0"/>
                          <w:marRight w:val="0"/>
                          <w:marTop w:val="0"/>
                          <w:marBottom w:val="0"/>
                          <w:divBdr>
                            <w:top w:val="none" w:sz="0" w:space="0" w:color="auto"/>
                            <w:left w:val="none" w:sz="0" w:space="0" w:color="auto"/>
                            <w:bottom w:val="none" w:sz="0" w:space="0" w:color="auto"/>
                            <w:right w:val="none" w:sz="0" w:space="0" w:color="auto"/>
                          </w:divBdr>
                          <w:divsChild>
                            <w:div w:id="86903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7162913">
      <w:bodyDiv w:val="1"/>
      <w:marLeft w:val="0"/>
      <w:marRight w:val="0"/>
      <w:marTop w:val="0"/>
      <w:marBottom w:val="0"/>
      <w:divBdr>
        <w:top w:val="none" w:sz="0" w:space="0" w:color="auto"/>
        <w:left w:val="none" w:sz="0" w:space="0" w:color="auto"/>
        <w:bottom w:val="none" w:sz="0" w:space="0" w:color="auto"/>
        <w:right w:val="none" w:sz="0" w:space="0" w:color="auto"/>
      </w:divBdr>
      <w:divsChild>
        <w:div w:id="1392193295">
          <w:marLeft w:val="0"/>
          <w:marRight w:val="0"/>
          <w:marTop w:val="0"/>
          <w:marBottom w:val="0"/>
          <w:divBdr>
            <w:top w:val="none" w:sz="0" w:space="0" w:color="auto"/>
            <w:left w:val="none" w:sz="0" w:space="0" w:color="auto"/>
            <w:bottom w:val="none" w:sz="0" w:space="0" w:color="auto"/>
            <w:right w:val="none" w:sz="0" w:space="0" w:color="auto"/>
          </w:divBdr>
          <w:divsChild>
            <w:div w:id="1611081372">
              <w:marLeft w:val="0"/>
              <w:marRight w:val="0"/>
              <w:marTop w:val="0"/>
              <w:marBottom w:val="0"/>
              <w:divBdr>
                <w:top w:val="none" w:sz="0" w:space="0" w:color="auto"/>
                <w:left w:val="none" w:sz="0" w:space="0" w:color="auto"/>
                <w:bottom w:val="none" w:sz="0" w:space="0" w:color="auto"/>
                <w:right w:val="none" w:sz="0" w:space="0" w:color="auto"/>
              </w:divBdr>
              <w:divsChild>
                <w:div w:id="876503306">
                  <w:marLeft w:val="0"/>
                  <w:marRight w:val="0"/>
                  <w:marTop w:val="0"/>
                  <w:marBottom w:val="0"/>
                  <w:divBdr>
                    <w:top w:val="none" w:sz="0" w:space="0" w:color="auto"/>
                    <w:left w:val="none" w:sz="0" w:space="0" w:color="auto"/>
                    <w:bottom w:val="none" w:sz="0" w:space="0" w:color="auto"/>
                    <w:right w:val="none" w:sz="0" w:space="0" w:color="auto"/>
                  </w:divBdr>
                  <w:divsChild>
                    <w:div w:id="616571788">
                      <w:marLeft w:val="0"/>
                      <w:marRight w:val="0"/>
                      <w:marTop w:val="0"/>
                      <w:marBottom w:val="0"/>
                      <w:divBdr>
                        <w:top w:val="none" w:sz="0" w:space="0" w:color="auto"/>
                        <w:left w:val="none" w:sz="0" w:space="0" w:color="auto"/>
                        <w:bottom w:val="none" w:sz="0" w:space="0" w:color="auto"/>
                        <w:right w:val="none" w:sz="0" w:space="0" w:color="auto"/>
                      </w:divBdr>
                      <w:divsChild>
                        <w:div w:id="1593398129">
                          <w:marLeft w:val="0"/>
                          <w:marRight w:val="0"/>
                          <w:marTop w:val="0"/>
                          <w:marBottom w:val="0"/>
                          <w:divBdr>
                            <w:top w:val="none" w:sz="0" w:space="0" w:color="auto"/>
                            <w:left w:val="none" w:sz="0" w:space="0" w:color="auto"/>
                            <w:bottom w:val="none" w:sz="0" w:space="0" w:color="auto"/>
                            <w:right w:val="none" w:sz="0" w:space="0" w:color="auto"/>
                          </w:divBdr>
                          <w:divsChild>
                            <w:div w:id="700470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5150051">
      <w:bodyDiv w:val="1"/>
      <w:marLeft w:val="0"/>
      <w:marRight w:val="0"/>
      <w:marTop w:val="0"/>
      <w:marBottom w:val="0"/>
      <w:divBdr>
        <w:top w:val="none" w:sz="0" w:space="0" w:color="auto"/>
        <w:left w:val="none" w:sz="0" w:space="0" w:color="auto"/>
        <w:bottom w:val="none" w:sz="0" w:space="0" w:color="auto"/>
        <w:right w:val="none" w:sz="0" w:space="0" w:color="auto"/>
      </w:divBdr>
      <w:divsChild>
        <w:div w:id="574823895">
          <w:marLeft w:val="0"/>
          <w:marRight w:val="0"/>
          <w:marTop w:val="0"/>
          <w:marBottom w:val="0"/>
          <w:divBdr>
            <w:top w:val="none" w:sz="0" w:space="0" w:color="auto"/>
            <w:left w:val="none" w:sz="0" w:space="0" w:color="auto"/>
            <w:bottom w:val="none" w:sz="0" w:space="0" w:color="auto"/>
            <w:right w:val="none" w:sz="0" w:space="0" w:color="auto"/>
          </w:divBdr>
          <w:divsChild>
            <w:div w:id="628702877">
              <w:marLeft w:val="0"/>
              <w:marRight w:val="0"/>
              <w:marTop w:val="0"/>
              <w:marBottom w:val="0"/>
              <w:divBdr>
                <w:top w:val="none" w:sz="0" w:space="0" w:color="auto"/>
                <w:left w:val="none" w:sz="0" w:space="0" w:color="auto"/>
                <w:bottom w:val="none" w:sz="0" w:space="0" w:color="auto"/>
                <w:right w:val="none" w:sz="0" w:space="0" w:color="auto"/>
              </w:divBdr>
              <w:divsChild>
                <w:div w:id="1646662491">
                  <w:marLeft w:val="0"/>
                  <w:marRight w:val="0"/>
                  <w:marTop w:val="0"/>
                  <w:marBottom w:val="0"/>
                  <w:divBdr>
                    <w:top w:val="none" w:sz="0" w:space="0" w:color="auto"/>
                    <w:left w:val="none" w:sz="0" w:space="0" w:color="auto"/>
                    <w:bottom w:val="none" w:sz="0" w:space="0" w:color="auto"/>
                    <w:right w:val="none" w:sz="0" w:space="0" w:color="auto"/>
                  </w:divBdr>
                  <w:divsChild>
                    <w:div w:id="167257070">
                      <w:marLeft w:val="0"/>
                      <w:marRight w:val="0"/>
                      <w:marTop w:val="0"/>
                      <w:marBottom w:val="0"/>
                      <w:divBdr>
                        <w:top w:val="none" w:sz="0" w:space="0" w:color="auto"/>
                        <w:left w:val="none" w:sz="0" w:space="0" w:color="auto"/>
                        <w:bottom w:val="none" w:sz="0" w:space="0" w:color="auto"/>
                        <w:right w:val="none" w:sz="0" w:space="0" w:color="auto"/>
                      </w:divBdr>
                      <w:divsChild>
                        <w:div w:id="349572924">
                          <w:marLeft w:val="0"/>
                          <w:marRight w:val="0"/>
                          <w:marTop w:val="0"/>
                          <w:marBottom w:val="0"/>
                          <w:divBdr>
                            <w:top w:val="none" w:sz="0" w:space="0" w:color="auto"/>
                            <w:left w:val="none" w:sz="0" w:space="0" w:color="auto"/>
                            <w:bottom w:val="none" w:sz="0" w:space="0" w:color="auto"/>
                            <w:right w:val="none" w:sz="0" w:space="0" w:color="auto"/>
                          </w:divBdr>
                          <w:divsChild>
                            <w:div w:id="299042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697652">
      <w:bodyDiv w:val="1"/>
      <w:marLeft w:val="0"/>
      <w:marRight w:val="0"/>
      <w:marTop w:val="0"/>
      <w:marBottom w:val="0"/>
      <w:divBdr>
        <w:top w:val="none" w:sz="0" w:space="0" w:color="auto"/>
        <w:left w:val="none" w:sz="0" w:space="0" w:color="auto"/>
        <w:bottom w:val="none" w:sz="0" w:space="0" w:color="auto"/>
        <w:right w:val="none" w:sz="0" w:space="0" w:color="auto"/>
      </w:divBdr>
      <w:divsChild>
        <w:div w:id="1706523098">
          <w:marLeft w:val="0"/>
          <w:marRight w:val="0"/>
          <w:marTop w:val="0"/>
          <w:marBottom w:val="0"/>
          <w:divBdr>
            <w:top w:val="none" w:sz="0" w:space="0" w:color="auto"/>
            <w:left w:val="none" w:sz="0" w:space="0" w:color="auto"/>
            <w:bottom w:val="none" w:sz="0" w:space="0" w:color="auto"/>
            <w:right w:val="none" w:sz="0" w:space="0" w:color="auto"/>
          </w:divBdr>
          <w:divsChild>
            <w:div w:id="48696513">
              <w:marLeft w:val="0"/>
              <w:marRight w:val="0"/>
              <w:marTop w:val="0"/>
              <w:marBottom w:val="0"/>
              <w:divBdr>
                <w:top w:val="none" w:sz="0" w:space="0" w:color="auto"/>
                <w:left w:val="none" w:sz="0" w:space="0" w:color="auto"/>
                <w:bottom w:val="none" w:sz="0" w:space="0" w:color="auto"/>
                <w:right w:val="none" w:sz="0" w:space="0" w:color="auto"/>
              </w:divBdr>
              <w:divsChild>
                <w:div w:id="819885942">
                  <w:marLeft w:val="0"/>
                  <w:marRight w:val="0"/>
                  <w:marTop w:val="0"/>
                  <w:marBottom w:val="0"/>
                  <w:divBdr>
                    <w:top w:val="none" w:sz="0" w:space="0" w:color="auto"/>
                    <w:left w:val="none" w:sz="0" w:space="0" w:color="auto"/>
                    <w:bottom w:val="none" w:sz="0" w:space="0" w:color="auto"/>
                    <w:right w:val="none" w:sz="0" w:space="0" w:color="auto"/>
                  </w:divBdr>
                  <w:divsChild>
                    <w:div w:id="2034846393">
                      <w:marLeft w:val="0"/>
                      <w:marRight w:val="0"/>
                      <w:marTop w:val="0"/>
                      <w:marBottom w:val="0"/>
                      <w:divBdr>
                        <w:top w:val="none" w:sz="0" w:space="0" w:color="auto"/>
                        <w:left w:val="none" w:sz="0" w:space="0" w:color="auto"/>
                        <w:bottom w:val="none" w:sz="0" w:space="0" w:color="auto"/>
                        <w:right w:val="none" w:sz="0" w:space="0" w:color="auto"/>
                      </w:divBdr>
                      <w:divsChild>
                        <w:div w:id="2032564839">
                          <w:marLeft w:val="0"/>
                          <w:marRight w:val="0"/>
                          <w:marTop w:val="0"/>
                          <w:marBottom w:val="0"/>
                          <w:divBdr>
                            <w:top w:val="none" w:sz="0" w:space="0" w:color="auto"/>
                            <w:left w:val="none" w:sz="0" w:space="0" w:color="auto"/>
                            <w:bottom w:val="none" w:sz="0" w:space="0" w:color="auto"/>
                            <w:right w:val="none" w:sz="0" w:space="0" w:color="auto"/>
                          </w:divBdr>
                          <w:divsChild>
                            <w:div w:id="122672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1457398">
      <w:bodyDiv w:val="1"/>
      <w:marLeft w:val="0"/>
      <w:marRight w:val="0"/>
      <w:marTop w:val="0"/>
      <w:marBottom w:val="0"/>
      <w:divBdr>
        <w:top w:val="none" w:sz="0" w:space="0" w:color="auto"/>
        <w:left w:val="none" w:sz="0" w:space="0" w:color="auto"/>
        <w:bottom w:val="none" w:sz="0" w:space="0" w:color="auto"/>
        <w:right w:val="none" w:sz="0" w:space="0" w:color="auto"/>
      </w:divBdr>
      <w:divsChild>
        <w:div w:id="807623619">
          <w:marLeft w:val="0"/>
          <w:marRight w:val="0"/>
          <w:marTop w:val="0"/>
          <w:marBottom w:val="0"/>
          <w:divBdr>
            <w:top w:val="none" w:sz="0" w:space="0" w:color="auto"/>
            <w:left w:val="none" w:sz="0" w:space="0" w:color="auto"/>
            <w:bottom w:val="none" w:sz="0" w:space="0" w:color="auto"/>
            <w:right w:val="none" w:sz="0" w:space="0" w:color="auto"/>
          </w:divBdr>
          <w:divsChild>
            <w:div w:id="838958140">
              <w:marLeft w:val="0"/>
              <w:marRight w:val="0"/>
              <w:marTop w:val="0"/>
              <w:marBottom w:val="0"/>
              <w:divBdr>
                <w:top w:val="none" w:sz="0" w:space="0" w:color="auto"/>
                <w:left w:val="none" w:sz="0" w:space="0" w:color="auto"/>
                <w:bottom w:val="none" w:sz="0" w:space="0" w:color="auto"/>
                <w:right w:val="none" w:sz="0" w:space="0" w:color="auto"/>
              </w:divBdr>
              <w:divsChild>
                <w:div w:id="707611768">
                  <w:marLeft w:val="0"/>
                  <w:marRight w:val="0"/>
                  <w:marTop w:val="0"/>
                  <w:marBottom w:val="0"/>
                  <w:divBdr>
                    <w:top w:val="none" w:sz="0" w:space="0" w:color="auto"/>
                    <w:left w:val="none" w:sz="0" w:space="0" w:color="auto"/>
                    <w:bottom w:val="none" w:sz="0" w:space="0" w:color="auto"/>
                    <w:right w:val="none" w:sz="0" w:space="0" w:color="auto"/>
                  </w:divBdr>
                  <w:divsChild>
                    <w:div w:id="258175715">
                      <w:marLeft w:val="0"/>
                      <w:marRight w:val="0"/>
                      <w:marTop w:val="0"/>
                      <w:marBottom w:val="0"/>
                      <w:divBdr>
                        <w:top w:val="none" w:sz="0" w:space="0" w:color="auto"/>
                        <w:left w:val="none" w:sz="0" w:space="0" w:color="auto"/>
                        <w:bottom w:val="none" w:sz="0" w:space="0" w:color="auto"/>
                        <w:right w:val="none" w:sz="0" w:space="0" w:color="auto"/>
                      </w:divBdr>
                      <w:divsChild>
                        <w:div w:id="1121876594">
                          <w:marLeft w:val="0"/>
                          <w:marRight w:val="0"/>
                          <w:marTop w:val="0"/>
                          <w:marBottom w:val="0"/>
                          <w:divBdr>
                            <w:top w:val="none" w:sz="0" w:space="0" w:color="auto"/>
                            <w:left w:val="none" w:sz="0" w:space="0" w:color="auto"/>
                            <w:bottom w:val="none" w:sz="0" w:space="0" w:color="auto"/>
                            <w:right w:val="none" w:sz="0" w:space="0" w:color="auto"/>
                          </w:divBdr>
                          <w:divsChild>
                            <w:div w:id="15788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6819197">
      <w:bodyDiv w:val="1"/>
      <w:marLeft w:val="0"/>
      <w:marRight w:val="0"/>
      <w:marTop w:val="0"/>
      <w:marBottom w:val="0"/>
      <w:divBdr>
        <w:top w:val="none" w:sz="0" w:space="0" w:color="auto"/>
        <w:left w:val="none" w:sz="0" w:space="0" w:color="auto"/>
        <w:bottom w:val="none" w:sz="0" w:space="0" w:color="auto"/>
        <w:right w:val="none" w:sz="0" w:space="0" w:color="auto"/>
      </w:divBdr>
      <w:divsChild>
        <w:div w:id="276790493">
          <w:marLeft w:val="0"/>
          <w:marRight w:val="0"/>
          <w:marTop w:val="0"/>
          <w:marBottom w:val="0"/>
          <w:divBdr>
            <w:top w:val="none" w:sz="0" w:space="0" w:color="auto"/>
            <w:left w:val="none" w:sz="0" w:space="0" w:color="auto"/>
            <w:bottom w:val="none" w:sz="0" w:space="0" w:color="auto"/>
            <w:right w:val="none" w:sz="0" w:space="0" w:color="auto"/>
          </w:divBdr>
          <w:divsChild>
            <w:div w:id="300185839">
              <w:marLeft w:val="0"/>
              <w:marRight w:val="0"/>
              <w:marTop w:val="0"/>
              <w:marBottom w:val="0"/>
              <w:divBdr>
                <w:top w:val="none" w:sz="0" w:space="0" w:color="auto"/>
                <w:left w:val="none" w:sz="0" w:space="0" w:color="auto"/>
                <w:bottom w:val="none" w:sz="0" w:space="0" w:color="auto"/>
                <w:right w:val="none" w:sz="0" w:space="0" w:color="auto"/>
              </w:divBdr>
              <w:divsChild>
                <w:div w:id="1333684909">
                  <w:marLeft w:val="0"/>
                  <w:marRight w:val="0"/>
                  <w:marTop w:val="0"/>
                  <w:marBottom w:val="0"/>
                  <w:divBdr>
                    <w:top w:val="none" w:sz="0" w:space="0" w:color="auto"/>
                    <w:left w:val="none" w:sz="0" w:space="0" w:color="auto"/>
                    <w:bottom w:val="none" w:sz="0" w:space="0" w:color="auto"/>
                    <w:right w:val="none" w:sz="0" w:space="0" w:color="auto"/>
                  </w:divBdr>
                  <w:divsChild>
                    <w:div w:id="1205404591">
                      <w:marLeft w:val="0"/>
                      <w:marRight w:val="0"/>
                      <w:marTop w:val="0"/>
                      <w:marBottom w:val="0"/>
                      <w:divBdr>
                        <w:top w:val="none" w:sz="0" w:space="0" w:color="auto"/>
                        <w:left w:val="none" w:sz="0" w:space="0" w:color="auto"/>
                        <w:bottom w:val="none" w:sz="0" w:space="0" w:color="auto"/>
                        <w:right w:val="none" w:sz="0" w:space="0" w:color="auto"/>
                      </w:divBdr>
                      <w:divsChild>
                        <w:div w:id="2008510520">
                          <w:marLeft w:val="0"/>
                          <w:marRight w:val="0"/>
                          <w:marTop w:val="0"/>
                          <w:marBottom w:val="0"/>
                          <w:divBdr>
                            <w:top w:val="none" w:sz="0" w:space="0" w:color="auto"/>
                            <w:left w:val="none" w:sz="0" w:space="0" w:color="auto"/>
                            <w:bottom w:val="none" w:sz="0" w:space="0" w:color="auto"/>
                            <w:right w:val="none" w:sz="0" w:space="0" w:color="auto"/>
                          </w:divBdr>
                          <w:divsChild>
                            <w:div w:id="1859000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9295061">
      <w:bodyDiv w:val="1"/>
      <w:marLeft w:val="0"/>
      <w:marRight w:val="0"/>
      <w:marTop w:val="0"/>
      <w:marBottom w:val="0"/>
      <w:divBdr>
        <w:top w:val="none" w:sz="0" w:space="0" w:color="auto"/>
        <w:left w:val="none" w:sz="0" w:space="0" w:color="auto"/>
        <w:bottom w:val="none" w:sz="0" w:space="0" w:color="auto"/>
        <w:right w:val="none" w:sz="0" w:space="0" w:color="auto"/>
      </w:divBdr>
      <w:divsChild>
        <w:div w:id="525488566">
          <w:marLeft w:val="0"/>
          <w:marRight w:val="0"/>
          <w:marTop w:val="0"/>
          <w:marBottom w:val="0"/>
          <w:divBdr>
            <w:top w:val="none" w:sz="0" w:space="0" w:color="auto"/>
            <w:left w:val="none" w:sz="0" w:space="0" w:color="auto"/>
            <w:bottom w:val="none" w:sz="0" w:space="0" w:color="auto"/>
            <w:right w:val="none" w:sz="0" w:space="0" w:color="auto"/>
          </w:divBdr>
          <w:divsChild>
            <w:div w:id="189609008">
              <w:marLeft w:val="0"/>
              <w:marRight w:val="0"/>
              <w:marTop w:val="0"/>
              <w:marBottom w:val="0"/>
              <w:divBdr>
                <w:top w:val="none" w:sz="0" w:space="0" w:color="auto"/>
                <w:left w:val="none" w:sz="0" w:space="0" w:color="auto"/>
                <w:bottom w:val="none" w:sz="0" w:space="0" w:color="auto"/>
                <w:right w:val="none" w:sz="0" w:space="0" w:color="auto"/>
              </w:divBdr>
              <w:divsChild>
                <w:div w:id="2134665200">
                  <w:marLeft w:val="0"/>
                  <w:marRight w:val="0"/>
                  <w:marTop w:val="0"/>
                  <w:marBottom w:val="0"/>
                  <w:divBdr>
                    <w:top w:val="none" w:sz="0" w:space="0" w:color="auto"/>
                    <w:left w:val="none" w:sz="0" w:space="0" w:color="auto"/>
                    <w:bottom w:val="none" w:sz="0" w:space="0" w:color="auto"/>
                    <w:right w:val="none" w:sz="0" w:space="0" w:color="auto"/>
                  </w:divBdr>
                  <w:divsChild>
                    <w:div w:id="384063961">
                      <w:marLeft w:val="0"/>
                      <w:marRight w:val="0"/>
                      <w:marTop w:val="0"/>
                      <w:marBottom w:val="0"/>
                      <w:divBdr>
                        <w:top w:val="none" w:sz="0" w:space="0" w:color="auto"/>
                        <w:left w:val="none" w:sz="0" w:space="0" w:color="auto"/>
                        <w:bottom w:val="none" w:sz="0" w:space="0" w:color="auto"/>
                        <w:right w:val="none" w:sz="0" w:space="0" w:color="auto"/>
                      </w:divBdr>
                      <w:divsChild>
                        <w:div w:id="1180046918">
                          <w:marLeft w:val="0"/>
                          <w:marRight w:val="0"/>
                          <w:marTop w:val="0"/>
                          <w:marBottom w:val="0"/>
                          <w:divBdr>
                            <w:top w:val="none" w:sz="0" w:space="0" w:color="auto"/>
                            <w:left w:val="none" w:sz="0" w:space="0" w:color="auto"/>
                            <w:bottom w:val="none" w:sz="0" w:space="0" w:color="auto"/>
                            <w:right w:val="none" w:sz="0" w:space="0" w:color="auto"/>
                          </w:divBdr>
                          <w:divsChild>
                            <w:div w:id="1488284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0378698">
      <w:bodyDiv w:val="1"/>
      <w:marLeft w:val="0"/>
      <w:marRight w:val="0"/>
      <w:marTop w:val="0"/>
      <w:marBottom w:val="0"/>
      <w:divBdr>
        <w:top w:val="none" w:sz="0" w:space="0" w:color="auto"/>
        <w:left w:val="none" w:sz="0" w:space="0" w:color="auto"/>
        <w:bottom w:val="none" w:sz="0" w:space="0" w:color="auto"/>
        <w:right w:val="none" w:sz="0" w:space="0" w:color="auto"/>
      </w:divBdr>
      <w:divsChild>
        <w:div w:id="608780115">
          <w:marLeft w:val="0"/>
          <w:marRight w:val="0"/>
          <w:marTop w:val="0"/>
          <w:marBottom w:val="0"/>
          <w:divBdr>
            <w:top w:val="none" w:sz="0" w:space="0" w:color="auto"/>
            <w:left w:val="none" w:sz="0" w:space="0" w:color="auto"/>
            <w:bottom w:val="none" w:sz="0" w:space="0" w:color="auto"/>
            <w:right w:val="none" w:sz="0" w:space="0" w:color="auto"/>
          </w:divBdr>
          <w:divsChild>
            <w:div w:id="1976372382">
              <w:marLeft w:val="0"/>
              <w:marRight w:val="0"/>
              <w:marTop w:val="0"/>
              <w:marBottom w:val="0"/>
              <w:divBdr>
                <w:top w:val="none" w:sz="0" w:space="0" w:color="auto"/>
                <w:left w:val="none" w:sz="0" w:space="0" w:color="auto"/>
                <w:bottom w:val="none" w:sz="0" w:space="0" w:color="auto"/>
                <w:right w:val="none" w:sz="0" w:space="0" w:color="auto"/>
              </w:divBdr>
              <w:divsChild>
                <w:div w:id="707686257">
                  <w:marLeft w:val="0"/>
                  <w:marRight w:val="0"/>
                  <w:marTop w:val="0"/>
                  <w:marBottom w:val="0"/>
                  <w:divBdr>
                    <w:top w:val="none" w:sz="0" w:space="0" w:color="auto"/>
                    <w:left w:val="none" w:sz="0" w:space="0" w:color="auto"/>
                    <w:bottom w:val="none" w:sz="0" w:space="0" w:color="auto"/>
                    <w:right w:val="none" w:sz="0" w:space="0" w:color="auto"/>
                  </w:divBdr>
                  <w:divsChild>
                    <w:div w:id="657420290">
                      <w:marLeft w:val="0"/>
                      <w:marRight w:val="0"/>
                      <w:marTop w:val="0"/>
                      <w:marBottom w:val="0"/>
                      <w:divBdr>
                        <w:top w:val="none" w:sz="0" w:space="0" w:color="auto"/>
                        <w:left w:val="none" w:sz="0" w:space="0" w:color="auto"/>
                        <w:bottom w:val="none" w:sz="0" w:space="0" w:color="auto"/>
                        <w:right w:val="none" w:sz="0" w:space="0" w:color="auto"/>
                      </w:divBdr>
                      <w:divsChild>
                        <w:div w:id="1831284283">
                          <w:marLeft w:val="0"/>
                          <w:marRight w:val="0"/>
                          <w:marTop w:val="0"/>
                          <w:marBottom w:val="0"/>
                          <w:divBdr>
                            <w:top w:val="none" w:sz="0" w:space="0" w:color="auto"/>
                            <w:left w:val="none" w:sz="0" w:space="0" w:color="auto"/>
                            <w:bottom w:val="none" w:sz="0" w:space="0" w:color="auto"/>
                            <w:right w:val="none" w:sz="0" w:space="0" w:color="auto"/>
                          </w:divBdr>
                          <w:divsChild>
                            <w:div w:id="194939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3844807">
      <w:bodyDiv w:val="1"/>
      <w:marLeft w:val="0"/>
      <w:marRight w:val="0"/>
      <w:marTop w:val="0"/>
      <w:marBottom w:val="0"/>
      <w:divBdr>
        <w:top w:val="none" w:sz="0" w:space="0" w:color="auto"/>
        <w:left w:val="none" w:sz="0" w:space="0" w:color="auto"/>
        <w:bottom w:val="none" w:sz="0" w:space="0" w:color="auto"/>
        <w:right w:val="none" w:sz="0" w:space="0" w:color="auto"/>
      </w:divBdr>
      <w:divsChild>
        <w:div w:id="1288469292">
          <w:marLeft w:val="0"/>
          <w:marRight w:val="0"/>
          <w:marTop w:val="0"/>
          <w:marBottom w:val="0"/>
          <w:divBdr>
            <w:top w:val="none" w:sz="0" w:space="0" w:color="auto"/>
            <w:left w:val="none" w:sz="0" w:space="0" w:color="auto"/>
            <w:bottom w:val="none" w:sz="0" w:space="0" w:color="auto"/>
            <w:right w:val="none" w:sz="0" w:space="0" w:color="auto"/>
          </w:divBdr>
          <w:divsChild>
            <w:div w:id="1938443138">
              <w:marLeft w:val="0"/>
              <w:marRight w:val="0"/>
              <w:marTop w:val="0"/>
              <w:marBottom w:val="0"/>
              <w:divBdr>
                <w:top w:val="none" w:sz="0" w:space="0" w:color="auto"/>
                <w:left w:val="none" w:sz="0" w:space="0" w:color="auto"/>
                <w:bottom w:val="none" w:sz="0" w:space="0" w:color="auto"/>
                <w:right w:val="none" w:sz="0" w:space="0" w:color="auto"/>
              </w:divBdr>
              <w:divsChild>
                <w:div w:id="879243954">
                  <w:marLeft w:val="0"/>
                  <w:marRight w:val="0"/>
                  <w:marTop w:val="0"/>
                  <w:marBottom w:val="0"/>
                  <w:divBdr>
                    <w:top w:val="none" w:sz="0" w:space="0" w:color="auto"/>
                    <w:left w:val="none" w:sz="0" w:space="0" w:color="auto"/>
                    <w:bottom w:val="none" w:sz="0" w:space="0" w:color="auto"/>
                    <w:right w:val="none" w:sz="0" w:space="0" w:color="auto"/>
                  </w:divBdr>
                  <w:divsChild>
                    <w:div w:id="208109318">
                      <w:marLeft w:val="0"/>
                      <w:marRight w:val="0"/>
                      <w:marTop w:val="0"/>
                      <w:marBottom w:val="0"/>
                      <w:divBdr>
                        <w:top w:val="none" w:sz="0" w:space="0" w:color="auto"/>
                        <w:left w:val="none" w:sz="0" w:space="0" w:color="auto"/>
                        <w:bottom w:val="none" w:sz="0" w:space="0" w:color="auto"/>
                        <w:right w:val="none" w:sz="0" w:space="0" w:color="auto"/>
                      </w:divBdr>
                      <w:divsChild>
                        <w:div w:id="91512692">
                          <w:marLeft w:val="0"/>
                          <w:marRight w:val="0"/>
                          <w:marTop w:val="0"/>
                          <w:marBottom w:val="0"/>
                          <w:divBdr>
                            <w:top w:val="none" w:sz="0" w:space="0" w:color="auto"/>
                            <w:left w:val="none" w:sz="0" w:space="0" w:color="auto"/>
                            <w:bottom w:val="none" w:sz="0" w:space="0" w:color="auto"/>
                            <w:right w:val="none" w:sz="0" w:space="0" w:color="auto"/>
                          </w:divBdr>
                          <w:divsChild>
                            <w:div w:id="1865971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19233202">
      <w:bodyDiv w:val="1"/>
      <w:marLeft w:val="0"/>
      <w:marRight w:val="0"/>
      <w:marTop w:val="0"/>
      <w:marBottom w:val="0"/>
      <w:divBdr>
        <w:top w:val="none" w:sz="0" w:space="0" w:color="auto"/>
        <w:left w:val="none" w:sz="0" w:space="0" w:color="auto"/>
        <w:bottom w:val="none" w:sz="0" w:space="0" w:color="auto"/>
        <w:right w:val="none" w:sz="0" w:space="0" w:color="auto"/>
      </w:divBdr>
      <w:divsChild>
        <w:div w:id="1641643777">
          <w:marLeft w:val="0"/>
          <w:marRight w:val="0"/>
          <w:marTop w:val="0"/>
          <w:marBottom w:val="0"/>
          <w:divBdr>
            <w:top w:val="none" w:sz="0" w:space="0" w:color="auto"/>
            <w:left w:val="none" w:sz="0" w:space="0" w:color="auto"/>
            <w:bottom w:val="none" w:sz="0" w:space="0" w:color="auto"/>
            <w:right w:val="none" w:sz="0" w:space="0" w:color="auto"/>
          </w:divBdr>
          <w:divsChild>
            <w:div w:id="445396384">
              <w:marLeft w:val="0"/>
              <w:marRight w:val="0"/>
              <w:marTop w:val="0"/>
              <w:marBottom w:val="0"/>
              <w:divBdr>
                <w:top w:val="none" w:sz="0" w:space="0" w:color="auto"/>
                <w:left w:val="none" w:sz="0" w:space="0" w:color="auto"/>
                <w:bottom w:val="none" w:sz="0" w:space="0" w:color="auto"/>
                <w:right w:val="none" w:sz="0" w:space="0" w:color="auto"/>
              </w:divBdr>
              <w:divsChild>
                <w:div w:id="1853690311">
                  <w:marLeft w:val="0"/>
                  <w:marRight w:val="0"/>
                  <w:marTop w:val="0"/>
                  <w:marBottom w:val="0"/>
                  <w:divBdr>
                    <w:top w:val="none" w:sz="0" w:space="0" w:color="auto"/>
                    <w:left w:val="none" w:sz="0" w:space="0" w:color="auto"/>
                    <w:bottom w:val="none" w:sz="0" w:space="0" w:color="auto"/>
                    <w:right w:val="none" w:sz="0" w:space="0" w:color="auto"/>
                  </w:divBdr>
                  <w:divsChild>
                    <w:div w:id="2058314702">
                      <w:marLeft w:val="0"/>
                      <w:marRight w:val="0"/>
                      <w:marTop w:val="0"/>
                      <w:marBottom w:val="0"/>
                      <w:divBdr>
                        <w:top w:val="none" w:sz="0" w:space="0" w:color="auto"/>
                        <w:left w:val="none" w:sz="0" w:space="0" w:color="auto"/>
                        <w:bottom w:val="none" w:sz="0" w:space="0" w:color="auto"/>
                        <w:right w:val="none" w:sz="0" w:space="0" w:color="auto"/>
                      </w:divBdr>
                      <w:divsChild>
                        <w:div w:id="180901217">
                          <w:marLeft w:val="0"/>
                          <w:marRight w:val="0"/>
                          <w:marTop w:val="0"/>
                          <w:marBottom w:val="0"/>
                          <w:divBdr>
                            <w:top w:val="none" w:sz="0" w:space="0" w:color="auto"/>
                            <w:left w:val="none" w:sz="0" w:space="0" w:color="auto"/>
                            <w:bottom w:val="none" w:sz="0" w:space="0" w:color="auto"/>
                            <w:right w:val="none" w:sz="0" w:space="0" w:color="auto"/>
                          </w:divBdr>
                          <w:divsChild>
                            <w:div w:id="81915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6242066">
      <w:bodyDiv w:val="1"/>
      <w:marLeft w:val="0"/>
      <w:marRight w:val="0"/>
      <w:marTop w:val="0"/>
      <w:marBottom w:val="0"/>
      <w:divBdr>
        <w:top w:val="none" w:sz="0" w:space="0" w:color="auto"/>
        <w:left w:val="none" w:sz="0" w:space="0" w:color="auto"/>
        <w:bottom w:val="none" w:sz="0" w:space="0" w:color="auto"/>
        <w:right w:val="none" w:sz="0" w:space="0" w:color="auto"/>
      </w:divBdr>
      <w:divsChild>
        <w:div w:id="197284399">
          <w:marLeft w:val="0"/>
          <w:marRight w:val="0"/>
          <w:marTop w:val="0"/>
          <w:marBottom w:val="0"/>
          <w:divBdr>
            <w:top w:val="none" w:sz="0" w:space="0" w:color="auto"/>
            <w:left w:val="none" w:sz="0" w:space="0" w:color="auto"/>
            <w:bottom w:val="none" w:sz="0" w:space="0" w:color="auto"/>
            <w:right w:val="none" w:sz="0" w:space="0" w:color="auto"/>
          </w:divBdr>
          <w:divsChild>
            <w:div w:id="2057662982">
              <w:marLeft w:val="0"/>
              <w:marRight w:val="0"/>
              <w:marTop w:val="0"/>
              <w:marBottom w:val="0"/>
              <w:divBdr>
                <w:top w:val="none" w:sz="0" w:space="0" w:color="auto"/>
                <w:left w:val="none" w:sz="0" w:space="0" w:color="auto"/>
                <w:bottom w:val="none" w:sz="0" w:space="0" w:color="auto"/>
                <w:right w:val="none" w:sz="0" w:space="0" w:color="auto"/>
              </w:divBdr>
              <w:divsChild>
                <w:div w:id="1725441980">
                  <w:marLeft w:val="0"/>
                  <w:marRight w:val="0"/>
                  <w:marTop w:val="0"/>
                  <w:marBottom w:val="0"/>
                  <w:divBdr>
                    <w:top w:val="none" w:sz="0" w:space="0" w:color="auto"/>
                    <w:left w:val="none" w:sz="0" w:space="0" w:color="auto"/>
                    <w:bottom w:val="none" w:sz="0" w:space="0" w:color="auto"/>
                    <w:right w:val="none" w:sz="0" w:space="0" w:color="auto"/>
                  </w:divBdr>
                  <w:divsChild>
                    <w:div w:id="1405954687">
                      <w:marLeft w:val="0"/>
                      <w:marRight w:val="0"/>
                      <w:marTop w:val="0"/>
                      <w:marBottom w:val="0"/>
                      <w:divBdr>
                        <w:top w:val="none" w:sz="0" w:space="0" w:color="auto"/>
                        <w:left w:val="none" w:sz="0" w:space="0" w:color="auto"/>
                        <w:bottom w:val="none" w:sz="0" w:space="0" w:color="auto"/>
                        <w:right w:val="none" w:sz="0" w:space="0" w:color="auto"/>
                      </w:divBdr>
                      <w:divsChild>
                        <w:div w:id="1212302503">
                          <w:marLeft w:val="0"/>
                          <w:marRight w:val="0"/>
                          <w:marTop w:val="0"/>
                          <w:marBottom w:val="0"/>
                          <w:divBdr>
                            <w:top w:val="none" w:sz="0" w:space="0" w:color="auto"/>
                            <w:left w:val="none" w:sz="0" w:space="0" w:color="auto"/>
                            <w:bottom w:val="none" w:sz="0" w:space="0" w:color="auto"/>
                            <w:right w:val="none" w:sz="0" w:space="0" w:color="auto"/>
                          </w:divBdr>
                          <w:divsChild>
                            <w:div w:id="157470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1434895">
      <w:bodyDiv w:val="1"/>
      <w:marLeft w:val="0"/>
      <w:marRight w:val="0"/>
      <w:marTop w:val="0"/>
      <w:marBottom w:val="0"/>
      <w:divBdr>
        <w:top w:val="none" w:sz="0" w:space="0" w:color="auto"/>
        <w:left w:val="none" w:sz="0" w:space="0" w:color="auto"/>
        <w:bottom w:val="none" w:sz="0" w:space="0" w:color="auto"/>
        <w:right w:val="none" w:sz="0" w:space="0" w:color="auto"/>
      </w:divBdr>
      <w:divsChild>
        <w:div w:id="1145392243">
          <w:marLeft w:val="0"/>
          <w:marRight w:val="0"/>
          <w:marTop w:val="0"/>
          <w:marBottom w:val="0"/>
          <w:divBdr>
            <w:top w:val="none" w:sz="0" w:space="0" w:color="auto"/>
            <w:left w:val="none" w:sz="0" w:space="0" w:color="auto"/>
            <w:bottom w:val="none" w:sz="0" w:space="0" w:color="auto"/>
            <w:right w:val="none" w:sz="0" w:space="0" w:color="auto"/>
          </w:divBdr>
          <w:divsChild>
            <w:div w:id="1771584404">
              <w:marLeft w:val="0"/>
              <w:marRight w:val="0"/>
              <w:marTop w:val="0"/>
              <w:marBottom w:val="0"/>
              <w:divBdr>
                <w:top w:val="none" w:sz="0" w:space="0" w:color="auto"/>
                <w:left w:val="none" w:sz="0" w:space="0" w:color="auto"/>
                <w:bottom w:val="none" w:sz="0" w:space="0" w:color="auto"/>
                <w:right w:val="none" w:sz="0" w:space="0" w:color="auto"/>
              </w:divBdr>
              <w:divsChild>
                <w:div w:id="866405264">
                  <w:marLeft w:val="0"/>
                  <w:marRight w:val="0"/>
                  <w:marTop w:val="0"/>
                  <w:marBottom w:val="0"/>
                  <w:divBdr>
                    <w:top w:val="none" w:sz="0" w:space="0" w:color="auto"/>
                    <w:left w:val="none" w:sz="0" w:space="0" w:color="auto"/>
                    <w:bottom w:val="none" w:sz="0" w:space="0" w:color="auto"/>
                    <w:right w:val="none" w:sz="0" w:space="0" w:color="auto"/>
                  </w:divBdr>
                  <w:divsChild>
                    <w:div w:id="464465831">
                      <w:marLeft w:val="0"/>
                      <w:marRight w:val="0"/>
                      <w:marTop w:val="0"/>
                      <w:marBottom w:val="0"/>
                      <w:divBdr>
                        <w:top w:val="none" w:sz="0" w:space="0" w:color="auto"/>
                        <w:left w:val="none" w:sz="0" w:space="0" w:color="auto"/>
                        <w:bottom w:val="none" w:sz="0" w:space="0" w:color="auto"/>
                        <w:right w:val="none" w:sz="0" w:space="0" w:color="auto"/>
                      </w:divBdr>
                      <w:divsChild>
                        <w:div w:id="704016806">
                          <w:marLeft w:val="0"/>
                          <w:marRight w:val="0"/>
                          <w:marTop w:val="0"/>
                          <w:marBottom w:val="0"/>
                          <w:divBdr>
                            <w:top w:val="none" w:sz="0" w:space="0" w:color="auto"/>
                            <w:left w:val="none" w:sz="0" w:space="0" w:color="auto"/>
                            <w:bottom w:val="none" w:sz="0" w:space="0" w:color="auto"/>
                            <w:right w:val="none" w:sz="0" w:space="0" w:color="auto"/>
                          </w:divBdr>
                          <w:divsChild>
                            <w:div w:id="74804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3210527">
      <w:bodyDiv w:val="1"/>
      <w:marLeft w:val="0"/>
      <w:marRight w:val="0"/>
      <w:marTop w:val="0"/>
      <w:marBottom w:val="0"/>
      <w:divBdr>
        <w:top w:val="none" w:sz="0" w:space="0" w:color="auto"/>
        <w:left w:val="none" w:sz="0" w:space="0" w:color="auto"/>
        <w:bottom w:val="none" w:sz="0" w:space="0" w:color="auto"/>
        <w:right w:val="none" w:sz="0" w:space="0" w:color="auto"/>
      </w:divBdr>
      <w:divsChild>
        <w:div w:id="237595468">
          <w:marLeft w:val="0"/>
          <w:marRight w:val="0"/>
          <w:marTop w:val="0"/>
          <w:marBottom w:val="0"/>
          <w:divBdr>
            <w:top w:val="none" w:sz="0" w:space="0" w:color="auto"/>
            <w:left w:val="none" w:sz="0" w:space="0" w:color="auto"/>
            <w:bottom w:val="none" w:sz="0" w:space="0" w:color="auto"/>
            <w:right w:val="none" w:sz="0" w:space="0" w:color="auto"/>
          </w:divBdr>
          <w:divsChild>
            <w:div w:id="949555365">
              <w:marLeft w:val="0"/>
              <w:marRight w:val="0"/>
              <w:marTop w:val="0"/>
              <w:marBottom w:val="0"/>
              <w:divBdr>
                <w:top w:val="none" w:sz="0" w:space="0" w:color="auto"/>
                <w:left w:val="none" w:sz="0" w:space="0" w:color="auto"/>
                <w:bottom w:val="none" w:sz="0" w:space="0" w:color="auto"/>
                <w:right w:val="none" w:sz="0" w:space="0" w:color="auto"/>
              </w:divBdr>
              <w:divsChild>
                <w:div w:id="720061202">
                  <w:marLeft w:val="0"/>
                  <w:marRight w:val="0"/>
                  <w:marTop w:val="0"/>
                  <w:marBottom w:val="0"/>
                  <w:divBdr>
                    <w:top w:val="none" w:sz="0" w:space="0" w:color="auto"/>
                    <w:left w:val="none" w:sz="0" w:space="0" w:color="auto"/>
                    <w:bottom w:val="none" w:sz="0" w:space="0" w:color="auto"/>
                    <w:right w:val="none" w:sz="0" w:space="0" w:color="auto"/>
                  </w:divBdr>
                  <w:divsChild>
                    <w:div w:id="414279608">
                      <w:marLeft w:val="0"/>
                      <w:marRight w:val="0"/>
                      <w:marTop w:val="0"/>
                      <w:marBottom w:val="0"/>
                      <w:divBdr>
                        <w:top w:val="none" w:sz="0" w:space="0" w:color="auto"/>
                        <w:left w:val="none" w:sz="0" w:space="0" w:color="auto"/>
                        <w:bottom w:val="none" w:sz="0" w:space="0" w:color="auto"/>
                        <w:right w:val="none" w:sz="0" w:space="0" w:color="auto"/>
                      </w:divBdr>
                      <w:divsChild>
                        <w:div w:id="1943805664">
                          <w:marLeft w:val="0"/>
                          <w:marRight w:val="0"/>
                          <w:marTop w:val="0"/>
                          <w:marBottom w:val="0"/>
                          <w:divBdr>
                            <w:top w:val="none" w:sz="0" w:space="0" w:color="auto"/>
                            <w:left w:val="none" w:sz="0" w:space="0" w:color="auto"/>
                            <w:bottom w:val="none" w:sz="0" w:space="0" w:color="auto"/>
                            <w:right w:val="none" w:sz="0" w:space="0" w:color="auto"/>
                          </w:divBdr>
                          <w:divsChild>
                            <w:div w:id="1724408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9398584">
      <w:bodyDiv w:val="1"/>
      <w:marLeft w:val="0"/>
      <w:marRight w:val="0"/>
      <w:marTop w:val="0"/>
      <w:marBottom w:val="0"/>
      <w:divBdr>
        <w:top w:val="none" w:sz="0" w:space="0" w:color="auto"/>
        <w:left w:val="none" w:sz="0" w:space="0" w:color="auto"/>
        <w:bottom w:val="none" w:sz="0" w:space="0" w:color="auto"/>
        <w:right w:val="none" w:sz="0" w:space="0" w:color="auto"/>
      </w:divBdr>
      <w:divsChild>
        <w:div w:id="476993405">
          <w:marLeft w:val="0"/>
          <w:marRight w:val="0"/>
          <w:marTop w:val="0"/>
          <w:marBottom w:val="0"/>
          <w:divBdr>
            <w:top w:val="none" w:sz="0" w:space="0" w:color="auto"/>
            <w:left w:val="none" w:sz="0" w:space="0" w:color="auto"/>
            <w:bottom w:val="none" w:sz="0" w:space="0" w:color="auto"/>
            <w:right w:val="none" w:sz="0" w:space="0" w:color="auto"/>
          </w:divBdr>
          <w:divsChild>
            <w:div w:id="400831162">
              <w:marLeft w:val="0"/>
              <w:marRight w:val="0"/>
              <w:marTop w:val="0"/>
              <w:marBottom w:val="0"/>
              <w:divBdr>
                <w:top w:val="single" w:sz="6" w:space="7" w:color="F1C674"/>
                <w:left w:val="single" w:sz="6" w:space="5" w:color="F1C674"/>
                <w:bottom w:val="single" w:sz="6" w:space="7" w:color="F1C674"/>
                <w:right w:val="single" w:sz="6" w:space="5" w:color="F1C674"/>
              </w:divBdr>
              <w:divsChild>
                <w:div w:id="1403868383">
                  <w:marLeft w:val="0"/>
                  <w:marRight w:val="0"/>
                  <w:marTop w:val="0"/>
                  <w:marBottom w:val="0"/>
                  <w:divBdr>
                    <w:top w:val="none" w:sz="0" w:space="0" w:color="auto"/>
                    <w:left w:val="none" w:sz="0" w:space="0" w:color="auto"/>
                    <w:bottom w:val="none" w:sz="0" w:space="0" w:color="auto"/>
                    <w:right w:val="none" w:sz="0" w:space="0" w:color="auto"/>
                  </w:divBdr>
                  <w:divsChild>
                    <w:div w:id="78137151">
                      <w:marLeft w:val="0"/>
                      <w:marRight w:val="0"/>
                      <w:marTop w:val="0"/>
                      <w:marBottom w:val="0"/>
                      <w:divBdr>
                        <w:top w:val="none" w:sz="0" w:space="0" w:color="auto"/>
                        <w:left w:val="none" w:sz="0" w:space="0" w:color="auto"/>
                        <w:bottom w:val="none" w:sz="0" w:space="0" w:color="auto"/>
                        <w:right w:val="none" w:sz="0" w:space="0" w:color="auto"/>
                      </w:divBdr>
                      <w:divsChild>
                        <w:div w:id="2145150783">
                          <w:marLeft w:val="0"/>
                          <w:marRight w:val="0"/>
                          <w:marTop w:val="0"/>
                          <w:marBottom w:val="0"/>
                          <w:divBdr>
                            <w:top w:val="none" w:sz="0" w:space="0" w:color="auto"/>
                            <w:left w:val="none" w:sz="0" w:space="0" w:color="auto"/>
                            <w:bottom w:val="none" w:sz="0" w:space="0" w:color="auto"/>
                            <w:right w:val="none" w:sz="0" w:space="0" w:color="auto"/>
                          </w:divBdr>
                          <w:divsChild>
                            <w:div w:id="93668583">
                              <w:marLeft w:val="0"/>
                              <w:marRight w:val="0"/>
                              <w:marTop w:val="0"/>
                              <w:marBottom w:val="0"/>
                              <w:divBdr>
                                <w:top w:val="none" w:sz="0" w:space="0" w:color="auto"/>
                                <w:left w:val="none" w:sz="0" w:space="0" w:color="auto"/>
                                <w:bottom w:val="none" w:sz="0" w:space="0" w:color="auto"/>
                                <w:right w:val="none" w:sz="0" w:space="0" w:color="auto"/>
                              </w:divBdr>
                              <w:divsChild>
                                <w:div w:id="700935853">
                                  <w:marLeft w:val="0"/>
                                  <w:marRight w:val="0"/>
                                  <w:marTop w:val="0"/>
                                  <w:marBottom w:val="0"/>
                                  <w:divBdr>
                                    <w:top w:val="single" w:sz="6" w:space="0" w:color="CCCCCC"/>
                                    <w:left w:val="single" w:sz="6" w:space="0" w:color="CCCCCC"/>
                                    <w:bottom w:val="single" w:sz="6" w:space="0" w:color="CCCCCC"/>
                                    <w:right w:val="single" w:sz="6" w:space="0" w:color="CCCCCC"/>
                                  </w:divBdr>
                                  <w:divsChild>
                                    <w:div w:id="987129637">
                                      <w:marLeft w:val="0"/>
                                      <w:marRight w:val="0"/>
                                      <w:marTop w:val="0"/>
                                      <w:marBottom w:val="0"/>
                                      <w:divBdr>
                                        <w:top w:val="none" w:sz="0" w:space="0" w:color="auto"/>
                                        <w:left w:val="none" w:sz="0" w:space="0" w:color="auto"/>
                                        <w:bottom w:val="none" w:sz="0" w:space="0" w:color="auto"/>
                                        <w:right w:val="none" w:sz="0" w:space="0" w:color="auto"/>
                                      </w:divBdr>
                                      <w:divsChild>
                                        <w:div w:id="166752806">
                                          <w:marLeft w:val="0"/>
                                          <w:marRight w:val="0"/>
                                          <w:marTop w:val="0"/>
                                          <w:marBottom w:val="0"/>
                                          <w:divBdr>
                                            <w:top w:val="none" w:sz="0" w:space="0" w:color="auto"/>
                                            <w:left w:val="none" w:sz="0" w:space="0" w:color="auto"/>
                                            <w:bottom w:val="none" w:sz="0" w:space="0" w:color="auto"/>
                                            <w:right w:val="none" w:sz="0" w:space="0" w:color="auto"/>
                                          </w:divBdr>
                                          <w:divsChild>
                                            <w:div w:id="90905242">
                                              <w:marLeft w:val="-15"/>
                                              <w:marRight w:val="-15"/>
                                              <w:marTop w:val="0"/>
                                              <w:marBottom w:val="0"/>
                                              <w:divBdr>
                                                <w:top w:val="none" w:sz="0" w:space="0" w:color="auto"/>
                                                <w:left w:val="none" w:sz="0" w:space="0" w:color="auto"/>
                                                <w:bottom w:val="none" w:sz="0" w:space="0" w:color="auto"/>
                                                <w:right w:val="none" w:sz="0" w:space="0" w:color="auto"/>
                                              </w:divBdr>
                                              <w:divsChild>
                                                <w:div w:id="720907064">
                                                  <w:marLeft w:val="-6000"/>
                                                  <w:marRight w:val="0"/>
                                                  <w:marTop w:val="0"/>
                                                  <w:marBottom w:val="135"/>
                                                  <w:divBdr>
                                                    <w:top w:val="none" w:sz="0" w:space="0" w:color="auto"/>
                                                    <w:left w:val="none" w:sz="0" w:space="0" w:color="auto"/>
                                                    <w:bottom w:val="none" w:sz="0" w:space="0" w:color="auto"/>
                                                    <w:right w:val="none" w:sz="0" w:space="0" w:color="auto"/>
                                                  </w:divBdr>
                                                  <w:divsChild>
                                                    <w:div w:id="728115611">
                                                      <w:marLeft w:val="0"/>
                                                      <w:marRight w:val="0"/>
                                                      <w:marTop w:val="0"/>
                                                      <w:marBottom w:val="0"/>
                                                      <w:divBdr>
                                                        <w:top w:val="none" w:sz="0" w:space="0" w:color="auto"/>
                                                        <w:left w:val="none" w:sz="0" w:space="0" w:color="auto"/>
                                                        <w:bottom w:val="none" w:sz="0" w:space="0" w:color="auto"/>
                                                        <w:right w:val="none" w:sz="0" w:space="0" w:color="auto"/>
                                                      </w:divBdr>
                                                      <w:divsChild>
                                                        <w:div w:id="560136530">
                                                          <w:marLeft w:val="0"/>
                                                          <w:marRight w:val="0"/>
                                                          <w:marTop w:val="0"/>
                                                          <w:marBottom w:val="0"/>
                                                          <w:divBdr>
                                                            <w:top w:val="none" w:sz="0" w:space="0" w:color="auto"/>
                                                            <w:left w:val="none" w:sz="0" w:space="0" w:color="auto"/>
                                                            <w:bottom w:val="none" w:sz="0" w:space="0" w:color="auto"/>
                                                            <w:right w:val="none" w:sz="0" w:space="0" w:color="auto"/>
                                                          </w:divBdr>
                                                          <w:divsChild>
                                                            <w:div w:id="491919993">
                                                              <w:marLeft w:val="0"/>
                                                              <w:marRight w:val="0"/>
                                                              <w:marTop w:val="0"/>
                                                              <w:marBottom w:val="0"/>
                                                              <w:divBdr>
                                                                <w:top w:val="none" w:sz="0" w:space="0" w:color="auto"/>
                                                                <w:left w:val="none" w:sz="0" w:space="0" w:color="auto"/>
                                                                <w:bottom w:val="none" w:sz="0" w:space="0" w:color="auto"/>
                                                                <w:right w:val="none" w:sz="0" w:space="0" w:color="auto"/>
                                                              </w:divBdr>
                                                              <w:divsChild>
                                                                <w:div w:id="1012805953">
                                                                  <w:marLeft w:val="0"/>
                                                                  <w:marRight w:val="0"/>
                                                                  <w:marTop w:val="0"/>
                                                                  <w:marBottom w:val="0"/>
                                                                  <w:divBdr>
                                                                    <w:top w:val="single" w:sz="6" w:space="0" w:color="666666"/>
                                                                    <w:left w:val="single" w:sz="6" w:space="0" w:color="CCCCCC"/>
                                                                    <w:bottom w:val="single" w:sz="6" w:space="0" w:color="CCCCCC"/>
                                                                    <w:right w:val="single" w:sz="6" w:space="0" w:color="CCCCCC"/>
                                                                  </w:divBdr>
                                                                  <w:divsChild>
                                                                    <w:div w:id="1259756095">
                                                                      <w:marLeft w:val="30"/>
                                                                      <w:marRight w:val="0"/>
                                                                      <w:marTop w:val="0"/>
                                                                      <w:marBottom w:val="0"/>
                                                                      <w:divBdr>
                                                                        <w:top w:val="none" w:sz="0" w:space="0" w:color="auto"/>
                                                                        <w:left w:val="none" w:sz="0" w:space="0" w:color="auto"/>
                                                                        <w:bottom w:val="none" w:sz="0" w:space="0" w:color="auto"/>
                                                                        <w:right w:val="none" w:sz="0" w:space="0" w:color="auto"/>
                                                                      </w:divBdr>
                                                                      <w:divsChild>
                                                                        <w:div w:id="71437848">
                                                                          <w:marLeft w:val="0"/>
                                                                          <w:marRight w:val="0"/>
                                                                          <w:marTop w:val="0"/>
                                                                          <w:marBottom w:val="0"/>
                                                                          <w:divBdr>
                                                                            <w:top w:val="none" w:sz="0" w:space="0" w:color="auto"/>
                                                                            <w:left w:val="none" w:sz="0" w:space="0" w:color="auto"/>
                                                                            <w:bottom w:val="none" w:sz="0" w:space="0" w:color="auto"/>
                                                                            <w:right w:val="none" w:sz="0" w:space="0" w:color="auto"/>
                                                                          </w:divBdr>
                                                                        </w:div>
                                                                        <w:div w:id="96097359">
                                                                          <w:marLeft w:val="0"/>
                                                                          <w:marRight w:val="0"/>
                                                                          <w:marTop w:val="0"/>
                                                                          <w:marBottom w:val="0"/>
                                                                          <w:divBdr>
                                                                            <w:top w:val="none" w:sz="0" w:space="0" w:color="auto"/>
                                                                            <w:left w:val="none" w:sz="0" w:space="0" w:color="auto"/>
                                                                            <w:bottom w:val="none" w:sz="0" w:space="0" w:color="auto"/>
                                                                            <w:right w:val="none" w:sz="0" w:space="0" w:color="auto"/>
                                                                          </w:divBdr>
                                                                        </w:div>
                                                                        <w:div w:id="122042860">
                                                                          <w:marLeft w:val="0"/>
                                                                          <w:marRight w:val="0"/>
                                                                          <w:marTop w:val="0"/>
                                                                          <w:marBottom w:val="0"/>
                                                                          <w:divBdr>
                                                                            <w:top w:val="none" w:sz="0" w:space="0" w:color="auto"/>
                                                                            <w:left w:val="none" w:sz="0" w:space="0" w:color="auto"/>
                                                                            <w:bottom w:val="none" w:sz="0" w:space="0" w:color="auto"/>
                                                                            <w:right w:val="none" w:sz="0" w:space="0" w:color="auto"/>
                                                                          </w:divBdr>
                                                                        </w:div>
                                                                        <w:div w:id="141587582">
                                                                          <w:marLeft w:val="0"/>
                                                                          <w:marRight w:val="0"/>
                                                                          <w:marTop w:val="0"/>
                                                                          <w:marBottom w:val="0"/>
                                                                          <w:divBdr>
                                                                            <w:top w:val="none" w:sz="0" w:space="0" w:color="auto"/>
                                                                            <w:left w:val="none" w:sz="0" w:space="0" w:color="auto"/>
                                                                            <w:bottom w:val="none" w:sz="0" w:space="0" w:color="auto"/>
                                                                            <w:right w:val="none" w:sz="0" w:space="0" w:color="auto"/>
                                                                          </w:divBdr>
                                                                        </w:div>
                                                                        <w:div w:id="217472151">
                                                                          <w:marLeft w:val="0"/>
                                                                          <w:marRight w:val="0"/>
                                                                          <w:marTop w:val="0"/>
                                                                          <w:marBottom w:val="0"/>
                                                                          <w:divBdr>
                                                                            <w:top w:val="none" w:sz="0" w:space="0" w:color="auto"/>
                                                                            <w:left w:val="none" w:sz="0" w:space="0" w:color="auto"/>
                                                                            <w:bottom w:val="none" w:sz="0" w:space="0" w:color="auto"/>
                                                                            <w:right w:val="none" w:sz="0" w:space="0" w:color="auto"/>
                                                                          </w:divBdr>
                                                                          <w:divsChild>
                                                                            <w:div w:id="96945160">
                                                                              <w:marLeft w:val="0"/>
                                                                              <w:marRight w:val="0"/>
                                                                              <w:marTop w:val="0"/>
                                                                              <w:marBottom w:val="0"/>
                                                                              <w:divBdr>
                                                                                <w:top w:val="none" w:sz="0" w:space="0" w:color="auto"/>
                                                                                <w:left w:val="none" w:sz="0" w:space="0" w:color="auto"/>
                                                                                <w:bottom w:val="none" w:sz="0" w:space="0" w:color="auto"/>
                                                                                <w:right w:val="none" w:sz="0" w:space="0" w:color="auto"/>
                                                                              </w:divBdr>
                                                                            </w:div>
                                                                            <w:div w:id="119543500">
                                                                              <w:marLeft w:val="0"/>
                                                                              <w:marRight w:val="0"/>
                                                                              <w:marTop w:val="0"/>
                                                                              <w:marBottom w:val="0"/>
                                                                              <w:divBdr>
                                                                                <w:top w:val="none" w:sz="0" w:space="0" w:color="auto"/>
                                                                                <w:left w:val="none" w:sz="0" w:space="0" w:color="auto"/>
                                                                                <w:bottom w:val="none" w:sz="0" w:space="0" w:color="auto"/>
                                                                                <w:right w:val="none" w:sz="0" w:space="0" w:color="auto"/>
                                                                              </w:divBdr>
                                                                            </w:div>
                                                                            <w:div w:id="145166190">
                                                                              <w:marLeft w:val="0"/>
                                                                              <w:marRight w:val="0"/>
                                                                              <w:marTop w:val="0"/>
                                                                              <w:marBottom w:val="0"/>
                                                                              <w:divBdr>
                                                                                <w:top w:val="none" w:sz="0" w:space="0" w:color="auto"/>
                                                                                <w:left w:val="none" w:sz="0" w:space="0" w:color="auto"/>
                                                                                <w:bottom w:val="none" w:sz="0" w:space="0" w:color="auto"/>
                                                                                <w:right w:val="none" w:sz="0" w:space="0" w:color="auto"/>
                                                                              </w:divBdr>
                                                                            </w:div>
                                                                            <w:div w:id="1994216264">
                                                                              <w:marLeft w:val="0"/>
                                                                              <w:marRight w:val="0"/>
                                                                              <w:marTop w:val="0"/>
                                                                              <w:marBottom w:val="0"/>
                                                                              <w:divBdr>
                                                                                <w:top w:val="none" w:sz="0" w:space="0" w:color="auto"/>
                                                                                <w:left w:val="none" w:sz="0" w:space="0" w:color="auto"/>
                                                                                <w:bottom w:val="none" w:sz="0" w:space="0" w:color="auto"/>
                                                                                <w:right w:val="none" w:sz="0" w:space="0" w:color="auto"/>
                                                                              </w:divBdr>
                                                                            </w:div>
                                                                          </w:divsChild>
                                                                        </w:div>
                                                                        <w:div w:id="290864715">
                                                                          <w:marLeft w:val="0"/>
                                                                          <w:marRight w:val="0"/>
                                                                          <w:marTop w:val="0"/>
                                                                          <w:marBottom w:val="0"/>
                                                                          <w:divBdr>
                                                                            <w:top w:val="none" w:sz="0" w:space="0" w:color="auto"/>
                                                                            <w:left w:val="none" w:sz="0" w:space="0" w:color="auto"/>
                                                                            <w:bottom w:val="none" w:sz="0" w:space="0" w:color="auto"/>
                                                                            <w:right w:val="none" w:sz="0" w:space="0" w:color="auto"/>
                                                                          </w:divBdr>
                                                                        </w:div>
                                                                        <w:div w:id="420026175">
                                                                          <w:marLeft w:val="0"/>
                                                                          <w:marRight w:val="0"/>
                                                                          <w:marTop w:val="0"/>
                                                                          <w:marBottom w:val="0"/>
                                                                          <w:divBdr>
                                                                            <w:top w:val="none" w:sz="0" w:space="0" w:color="auto"/>
                                                                            <w:left w:val="none" w:sz="0" w:space="0" w:color="auto"/>
                                                                            <w:bottom w:val="none" w:sz="0" w:space="0" w:color="auto"/>
                                                                            <w:right w:val="none" w:sz="0" w:space="0" w:color="auto"/>
                                                                          </w:divBdr>
                                                                        </w:div>
                                                                        <w:div w:id="483813483">
                                                                          <w:marLeft w:val="0"/>
                                                                          <w:marRight w:val="0"/>
                                                                          <w:marTop w:val="0"/>
                                                                          <w:marBottom w:val="0"/>
                                                                          <w:divBdr>
                                                                            <w:top w:val="none" w:sz="0" w:space="0" w:color="auto"/>
                                                                            <w:left w:val="none" w:sz="0" w:space="0" w:color="auto"/>
                                                                            <w:bottom w:val="none" w:sz="0" w:space="0" w:color="auto"/>
                                                                            <w:right w:val="none" w:sz="0" w:space="0" w:color="auto"/>
                                                                          </w:divBdr>
                                                                        </w:div>
                                                                        <w:div w:id="526218235">
                                                                          <w:marLeft w:val="0"/>
                                                                          <w:marRight w:val="0"/>
                                                                          <w:marTop w:val="0"/>
                                                                          <w:marBottom w:val="0"/>
                                                                          <w:divBdr>
                                                                            <w:top w:val="none" w:sz="0" w:space="0" w:color="auto"/>
                                                                            <w:left w:val="none" w:sz="0" w:space="0" w:color="auto"/>
                                                                            <w:bottom w:val="none" w:sz="0" w:space="0" w:color="auto"/>
                                                                            <w:right w:val="none" w:sz="0" w:space="0" w:color="auto"/>
                                                                          </w:divBdr>
                                                                        </w:div>
                                                                        <w:div w:id="831022258">
                                                                          <w:marLeft w:val="0"/>
                                                                          <w:marRight w:val="0"/>
                                                                          <w:marTop w:val="0"/>
                                                                          <w:marBottom w:val="0"/>
                                                                          <w:divBdr>
                                                                            <w:top w:val="none" w:sz="0" w:space="0" w:color="auto"/>
                                                                            <w:left w:val="none" w:sz="0" w:space="0" w:color="auto"/>
                                                                            <w:bottom w:val="none" w:sz="0" w:space="0" w:color="auto"/>
                                                                            <w:right w:val="none" w:sz="0" w:space="0" w:color="auto"/>
                                                                          </w:divBdr>
                                                                          <w:divsChild>
                                                                            <w:div w:id="1481846155">
                                                                              <w:marLeft w:val="0"/>
                                                                              <w:marRight w:val="0"/>
                                                                              <w:marTop w:val="0"/>
                                                                              <w:marBottom w:val="0"/>
                                                                              <w:divBdr>
                                                                                <w:top w:val="none" w:sz="0" w:space="0" w:color="auto"/>
                                                                                <w:left w:val="none" w:sz="0" w:space="0" w:color="auto"/>
                                                                                <w:bottom w:val="none" w:sz="0" w:space="0" w:color="auto"/>
                                                                                <w:right w:val="none" w:sz="0" w:space="0" w:color="auto"/>
                                                                              </w:divBdr>
                                                                            </w:div>
                                                                            <w:div w:id="2092503460">
                                                                              <w:marLeft w:val="0"/>
                                                                              <w:marRight w:val="0"/>
                                                                              <w:marTop w:val="0"/>
                                                                              <w:marBottom w:val="0"/>
                                                                              <w:divBdr>
                                                                                <w:top w:val="none" w:sz="0" w:space="0" w:color="auto"/>
                                                                                <w:left w:val="none" w:sz="0" w:space="0" w:color="auto"/>
                                                                                <w:bottom w:val="none" w:sz="0" w:space="0" w:color="auto"/>
                                                                                <w:right w:val="none" w:sz="0" w:space="0" w:color="auto"/>
                                                                              </w:divBdr>
                                                                            </w:div>
                                                                          </w:divsChild>
                                                                        </w:div>
                                                                        <w:div w:id="903375114">
                                                                          <w:marLeft w:val="0"/>
                                                                          <w:marRight w:val="0"/>
                                                                          <w:marTop w:val="0"/>
                                                                          <w:marBottom w:val="0"/>
                                                                          <w:divBdr>
                                                                            <w:top w:val="none" w:sz="0" w:space="0" w:color="auto"/>
                                                                            <w:left w:val="none" w:sz="0" w:space="0" w:color="auto"/>
                                                                            <w:bottom w:val="none" w:sz="0" w:space="0" w:color="auto"/>
                                                                            <w:right w:val="none" w:sz="0" w:space="0" w:color="auto"/>
                                                                          </w:divBdr>
                                                                        </w:div>
                                                                        <w:div w:id="1047412613">
                                                                          <w:marLeft w:val="0"/>
                                                                          <w:marRight w:val="0"/>
                                                                          <w:marTop w:val="0"/>
                                                                          <w:marBottom w:val="0"/>
                                                                          <w:divBdr>
                                                                            <w:top w:val="none" w:sz="0" w:space="0" w:color="auto"/>
                                                                            <w:left w:val="none" w:sz="0" w:space="0" w:color="auto"/>
                                                                            <w:bottom w:val="none" w:sz="0" w:space="0" w:color="auto"/>
                                                                            <w:right w:val="none" w:sz="0" w:space="0" w:color="auto"/>
                                                                          </w:divBdr>
                                                                        </w:div>
                                                                        <w:div w:id="1095903909">
                                                                          <w:marLeft w:val="0"/>
                                                                          <w:marRight w:val="0"/>
                                                                          <w:marTop w:val="0"/>
                                                                          <w:marBottom w:val="0"/>
                                                                          <w:divBdr>
                                                                            <w:top w:val="none" w:sz="0" w:space="0" w:color="auto"/>
                                                                            <w:left w:val="none" w:sz="0" w:space="0" w:color="auto"/>
                                                                            <w:bottom w:val="none" w:sz="0" w:space="0" w:color="auto"/>
                                                                            <w:right w:val="none" w:sz="0" w:space="0" w:color="auto"/>
                                                                          </w:divBdr>
                                                                        </w:div>
                                                                        <w:div w:id="1114717462">
                                                                          <w:marLeft w:val="0"/>
                                                                          <w:marRight w:val="0"/>
                                                                          <w:marTop w:val="0"/>
                                                                          <w:marBottom w:val="0"/>
                                                                          <w:divBdr>
                                                                            <w:top w:val="none" w:sz="0" w:space="0" w:color="auto"/>
                                                                            <w:left w:val="none" w:sz="0" w:space="0" w:color="auto"/>
                                                                            <w:bottom w:val="none" w:sz="0" w:space="0" w:color="auto"/>
                                                                            <w:right w:val="none" w:sz="0" w:space="0" w:color="auto"/>
                                                                          </w:divBdr>
                                                                        </w:div>
                                                                        <w:div w:id="1263034067">
                                                                          <w:marLeft w:val="0"/>
                                                                          <w:marRight w:val="0"/>
                                                                          <w:marTop w:val="0"/>
                                                                          <w:marBottom w:val="0"/>
                                                                          <w:divBdr>
                                                                            <w:top w:val="none" w:sz="0" w:space="0" w:color="auto"/>
                                                                            <w:left w:val="none" w:sz="0" w:space="0" w:color="auto"/>
                                                                            <w:bottom w:val="none" w:sz="0" w:space="0" w:color="auto"/>
                                                                            <w:right w:val="none" w:sz="0" w:space="0" w:color="auto"/>
                                                                          </w:divBdr>
                                                                          <w:divsChild>
                                                                            <w:div w:id="57213290">
                                                                              <w:marLeft w:val="0"/>
                                                                              <w:marRight w:val="0"/>
                                                                              <w:marTop w:val="0"/>
                                                                              <w:marBottom w:val="0"/>
                                                                              <w:divBdr>
                                                                                <w:top w:val="none" w:sz="0" w:space="0" w:color="auto"/>
                                                                                <w:left w:val="none" w:sz="0" w:space="0" w:color="auto"/>
                                                                                <w:bottom w:val="none" w:sz="0" w:space="0" w:color="auto"/>
                                                                                <w:right w:val="none" w:sz="0" w:space="0" w:color="auto"/>
                                                                              </w:divBdr>
                                                                            </w:div>
                                                                            <w:div w:id="594825701">
                                                                              <w:marLeft w:val="0"/>
                                                                              <w:marRight w:val="0"/>
                                                                              <w:marTop w:val="0"/>
                                                                              <w:marBottom w:val="0"/>
                                                                              <w:divBdr>
                                                                                <w:top w:val="none" w:sz="0" w:space="0" w:color="auto"/>
                                                                                <w:left w:val="none" w:sz="0" w:space="0" w:color="auto"/>
                                                                                <w:bottom w:val="none" w:sz="0" w:space="0" w:color="auto"/>
                                                                                <w:right w:val="none" w:sz="0" w:space="0" w:color="auto"/>
                                                                              </w:divBdr>
                                                                            </w:div>
                                                                            <w:div w:id="1548495171">
                                                                              <w:marLeft w:val="0"/>
                                                                              <w:marRight w:val="0"/>
                                                                              <w:marTop w:val="0"/>
                                                                              <w:marBottom w:val="0"/>
                                                                              <w:divBdr>
                                                                                <w:top w:val="none" w:sz="0" w:space="0" w:color="auto"/>
                                                                                <w:left w:val="none" w:sz="0" w:space="0" w:color="auto"/>
                                                                                <w:bottom w:val="none" w:sz="0" w:space="0" w:color="auto"/>
                                                                                <w:right w:val="none" w:sz="0" w:space="0" w:color="auto"/>
                                                                              </w:divBdr>
                                                                            </w:div>
                                                                          </w:divsChild>
                                                                        </w:div>
                                                                        <w:div w:id="1523974153">
                                                                          <w:marLeft w:val="0"/>
                                                                          <w:marRight w:val="0"/>
                                                                          <w:marTop w:val="0"/>
                                                                          <w:marBottom w:val="0"/>
                                                                          <w:divBdr>
                                                                            <w:top w:val="none" w:sz="0" w:space="0" w:color="auto"/>
                                                                            <w:left w:val="none" w:sz="0" w:space="0" w:color="auto"/>
                                                                            <w:bottom w:val="none" w:sz="0" w:space="0" w:color="auto"/>
                                                                            <w:right w:val="none" w:sz="0" w:space="0" w:color="auto"/>
                                                                          </w:divBdr>
                                                                        </w:div>
                                                                        <w:div w:id="1574312498">
                                                                          <w:marLeft w:val="0"/>
                                                                          <w:marRight w:val="0"/>
                                                                          <w:marTop w:val="0"/>
                                                                          <w:marBottom w:val="0"/>
                                                                          <w:divBdr>
                                                                            <w:top w:val="none" w:sz="0" w:space="0" w:color="auto"/>
                                                                            <w:left w:val="none" w:sz="0" w:space="0" w:color="auto"/>
                                                                            <w:bottom w:val="none" w:sz="0" w:space="0" w:color="auto"/>
                                                                            <w:right w:val="none" w:sz="0" w:space="0" w:color="auto"/>
                                                                          </w:divBdr>
                                                                        </w:div>
                                                                        <w:div w:id="1612666089">
                                                                          <w:marLeft w:val="0"/>
                                                                          <w:marRight w:val="0"/>
                                                                          <w:marTop w:val="0"/>
                                                                          <w:marBottom w:val="0"/>
                                                                          <w:divBdr>
                                                                            <w:top w:val="none" w:sz="0" w:space="0" w:color="auto"/>
                                                                            <w:left w:val="none" w:sz="0" w:space="0" w:color="auto"/>
                                                                            <w:bottom w:val="none" w:sz="0" w:space="0" w:color="auto"/>
                                                                            <w:right w:val="none" w:sz="0" w:space="0" w:color="auto"/>
                                                                          </w:divBdr>
                                                                        </w:div>
                                                                        <w:div w:id="1762798812">
                                                                          <w:marLeft w:val="0"/>
                                                                          <w:marRight w:val="0"/>
                                                                          <w:marTop w:val="0"/>
                                                                          <w:marBottom w:val="0"/>
                                                                          <w:divBdr>
                                                                            <w:top w:val="none" w:sz="0" w:space="0" w:color="auto"/>
                                                                            <w:left w:val="none" w:sz="0" w:space="0" w:color="auto"/>
                                                                            <w:bottom w:val="none" w:sz="0" w:space="0" w:color="auto"/>
                                                                            <w:right w:val="none" w:sz="0" w:space="0" w:color="auto"/>
                                                                          </w:divBdr>
                                                                          <w:divsChild>
                                                                            <w:div w:id="1872456374">
                                                                              <w:marLeft w:val="0"/>
                                                                              <w:marRight w:val="0"/>
                                                                              <w:marTop w:val="0"/>
                                                                              <w:marBottom w:val="0"/>
                                                                              <w:divBdr>
                                                                                <w:top w:val="none" w:sz="0" w:space="0" w:color="auto"/>
                                                                                <w:left w:val="none" w:sz="0" w:space="0" w:color="auto"/>
                                                                                <w:bottom w:val="none" w:sz="0" w:space="0" w:color="auto"/>
                                                                                <w:right w:val="none" w:sz="0" w:space="0" w:color="auto"/>
                                                                              </w:divBdr>
                                                                            </w:div>
                                                                          </w:divsChild>
                                                                        </w:div>
                                                                        <w:div w:id="1812865052">
                                                                          <w:marLeft w:val="0"/>
                                                                          <w:marRight w:val="0"/>
                                                                          <w:marTop w:val="0"/>
                                                                          <w:marBottom w:val="0"/>
                                                                          <w:divBdr>
                                                                            <w:top w:val="none" w:sz="0" w:space="0" w:color="auto"/>
                                                                            <w:left w:val="none" w:sz="0" w:space="0" w:color="auto"/>
                                                                            <w:bottom w:val="none" w:sz="0" w:space="0" w:color="auto"/>
                                                                            <w:right w:val="none" w:sz="0" w:space="0" w:color="auto"/>
                                                                          </w:divBdr>
                                                                        </w:div>
                                                                        <w:div w:id="1872179712">
                                                                          <w:marLeft w:val="0"/>
                                                                          <w:marRight w:val="0"/>
                                                                          <w:marTop w:val="0"/>
                                                                          <w:marBottom w:val="0"/>
                                                                          <w:divBdr>
                                                                            <w:top w:val="none" w:sz="0" w:space="0" w:color="auto"/>
                                                                            <w:left w:val="none" w:sz="0" w:space="0" w:color="auto"/>
                                                                            <w:bottom w:val="none" w:sz="0" w:space="0" w:color="auto"/>
                                                                            <w:right w:val="none" w:sz="0" w:space="0" w:color="auto"/>
                                                                          </w:divBdr>
                                                                          <w:divsChild>
                                                                            <w:div w:id="936525284">
                                                                              <w:marLeft w:val="0"/>
                                                                              <w:marRight w:val="0"/>
                                                                              <w:marTop w:val="0"/>
                                                                              <w:marBottom w:val="0"/>
                                                                              <w:divBdr>
                                                                                <w:top w:val="none" w:sz="0" w:space="0" w:color="auto"/>
                                                                                <w:left w:val="none" w:sz="0" w:space="0" w:color="auto"/>
                                                                                <w:bottom w:val="none" w:sz="0" w:space="0" w:color="auto"/>
                                                                                <w:right w:val="none" w:sz="0" w:space="0" w:color="auto"/>
                                                                              </w:divBdr>
                                                                            </w:div>
                                                                          </w:divsChild>
                                                                        </w:div>
                                                                        <w:div w:id="1987391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85941742">
      <w:bodyDiv w:val="1"/>
      <w:marLeft w:val="0"/>
      <w:marRight w:val="0"/>
      <w:marTop w:val="0"/>
      <w:marBottom w:val="0"/>
      <w:divBdr>
        <w:top w:val="none" w:sz="0" w:space="0" w:color="auto"/>
        <w:left w:val="none" w:sz="0" w:space="0" w:color="auto"/>
        <w:bottom w:val="none" w:sz="0" w:space="0" w:color="auto"/>
        <w:right w:val="none" w:sz="0" w:space="0" w:color="auto"/>
      </w:divBdr>
      <w:divsChild>
        <w:div w:id="1046760389">
          <w:marLeft w:val="0"/>
          <w:marRight w:val="0"/>
          <w:marTop w:val="0"/>
          <w:marBottom w:val="0"/>
          <w:divBdr>
            <w:top w:val="none" w:sz="0" w:space="0" w:color="auto"/>
            <w:left w:val="none" w:sz="0" w:space="0" w:color="auto"/>
            <w:bottom w:val="none" w:sz="0" w:space="0" w:color="auto"/>
            <w:right w:val="none" w:sz="0" w:space="0" w:color="auto"/>
          </w:divBdr>
          <w:divsChild>
            <w:div w:id="1331912465">
              <w:marLeft w:val="0"/>
              <w:marRight w:val="0"/>
              <w:marTop w:val="0"/>
              <w:marBottom w:val="0"/>
              <w:divBdr>
                <w:top w:val="none" w:sz="0" w:space="0" w:color="auto"/>
                <w:left w:val="none" w:sz="0" w:space="0" w:color="auto"/>
                <w:bottom w:val="none" w:sz="0" w:space="0" w:color="auto"/>
                <w:right w:val="none" w:sz="0" w:space="0" w:color="auto"/>
              </w:divBdr>
              <w:divsChild>
                <w:div w:id="1968462022">
                  <w:marLeft w:val="0"/>
                  <w:marRight w:val="0"/>
                  <w:marTop w:val="0"/>
                  <w:marBottom w:val="0"/>
                  <w:divBdr>
                    <w:top w:val="none" w:sz="0" w:space="0" w:color="auto"/>
                    <w:left w:val="none" w:sz="0" w:space="0" w:color="auto"/>
                    <w:bottom w:val="none" w:sz="0" w:space="0" w:color="auto"/>
                    <w:right w:val="none" w:sz="0" w:space="0" w:color="auto"/>
                  </w:divBdr>
                  <w:divsChild>
                    <w:div w:id="1831287752">
                      <w:marLeft w:val="0"/>
                      <w:marRight w:val="0"/>
                      <w:marTop w:val="0"/>
                      <w:marBottom w:val="0"/>
                      <w:divBdr>
                        <w:top w:val="none" w:sz="0" w:space="0" w:color="auto"/>
                        <w:left w:val="none" w:sz="0" w:space="0" w:color="auto"/>
                        <w:bottom w:val="none" w:sz="0" w:space="0" w:color="auto"/>
                        <w:right w:val="none" w:sz="0" w:space="0" w:color="auto"/>
                      </w:divBdr>
                      <w:divsChild>
                        <w:div w:id="269898397">
                          <w:marLeft w:val="0"/>
                          <w:marRight w:val="0"/>
                          <w:marTop w:val="0"/>
                          <w:marBottom w:val="0"/>
                          <w:divBdr>
                            <w:top w:val="none" w:sz="0" w:space="0" w:color="auto"/>
                            <w:left w:val="none" w:sz="0" w:space="0" w:color="auto"/>
                            <w:bottom w:val="none" w:sz="0" w:space="0" w:color="auto"/>
                            <w:right w:val="none" w:sz="0" w:space="0" w:color="auto"/>
                          </w:divBdr>
                          <w:divsChild>
                            <w:div w:id="145827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4288160">
      <w:bodyDiv w:val="1"/>
      <w:marLeft w:val="0"/>
      <w:marRight w:val="0"/>
      <w:marTop w:val="0"/>
      <w:marBottom w:val="0"/>
      <w:divBdr>
        <w:top w:val="none" w:sz="0" w:space="0" w:color="auto"/>
        <w:left w:val="none" w:sz="0" w:space="0" w:color="auto"/>
        <w:bottom w:val="none" w:sz="0" w:space="0" w:color="auto"/>
        <w:right w:val="none" w:sz="0" w:space="0" w:color="auto"/>
      </w:divBdr>
      <w:divsChild>
        <w:div w:id="215557195">
          <w:marLeft w:val="0"/>
          <w:marRight w:val="0"/>
          <w:marTop w:val="0"/>
          <w:marBottom w:val="0"/>
          <w:divBdr>
            <w:top w:val="none" w:sz="0" w:space="0" w:color="auto"/>
            <w:left w:val="none" w:sz="0" w:space="0" w:color="auto"/>
            <w:bottom w:val="none" w:sz="0" w:space="0" w:color="auto"/>
            <w:right w:val="none" w:sz="0" w:space="0" w:color="auto"/>
          </w:divBdr>
          <w:divsChild>
            <w:div w:id="641345005">
              <w:marLeft w:val="0"/>
              <w:marRight w:val="0"/>
              <w:marTop w:val="0"/>
              <w:marBottom w:val="0"/>
              <w:divBdr>
                <w:top w:val="none" w:sz="0" w:space="0" w:color="auto"/>
                <w:left w:val="none" w:sz="0" w:space="0" w:color="auto"/>
                <w:bottom w:val="none" w:sz="0" w:space="0" w:color="auto"/>
                <w:right w:val="none" w:sz="0" w:space="0" w:color="auto"/>
              </w:divBdr>
              <w:divsChild>
                <w:div w:id="677266815">
                  <w:marLeft w:val="0"/>
                  <w:marRight w:val="0"/>
                  <w:marTop w:val="0"/>
                  <w:marBottom w:val="0"/>
                  <w:divBdr>
                    <w:top w:val="none" w:sz="0" w:space="0" w:color="auto"/>
                    <w:left w:val="none" w:sz="0" w:space="0" w:color="auto"/>
                    <w:bottom w:val="none" w:sz="0" w:space="0" w:color="auto"/>
                    <w:right w:val="none" w:sz="0" w:space="0" w:color="auto"/>
                  </w:divBdr>
                  <w:divsChild>
                    <w:div w:id="1786920175">
                      <w:marLeft w:val="0"/>
                      <w:marRight w:val="0"/>
                      <w:marTop w:val="0"/>
                      <w:marBottom w:val="0"/>
                      <w:divBdr>
                        <w:top w:val="none" w:sz="0" w:space="0" w:color="auto"/>
                        <w:left w:val="none" w:sz="0" w:space="0" w:color="auto"/>
                        <w:bottom w:val="none" w:sz="0" w:space="0" w:color="auto"/>
                        <w:right w:val="none" w:sz="0" w:space="0" w:color="auto"/>
                      </w:divBdr>
                      <w:divsChild>
                        <w:div w:id="1809084917">
                          <w:marLeft w:val="0"/>
                          <w:marRight w:val="0"/>
                          <w:marTop w:val="0"/>
                          <w:marBottom w:val="0"/>
                          <w:divBdr>
                            <w:top w:val="none" w:sz="0" w:space="0" w:color="auto"/>
                            <w:left w:val="none" w:sz="0" w:space="0" w:color="auto"/>
                            <w:bottom w:val="none" w:sz="0" w:space="0" w:color="auto"/>
                            <w:right w:val="none" w:sz="0" w:space="0" w:color="auto"/>
                          </w:divBdr>
                          <w:divsChild>
                            <w:div w:id="1873421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5602513">
      <w:bodyDiv w:val="1"/>
      <w:marLeft w:val="0"/>
      <w:marRight w:val="0"/>
      <w:marTop w:val="0"/>
      <w:marBottom w:val="0"/>
      <w:divBdr>
        <w:top w:val="none" w:sz="0" w:space="0" w:color="auto"/>
        <w:left w:val="none" w:sz="0" w:space="0" w:color="auto"/>
        <w:bottom w:val="none" w:sz="0" w:space="0" w:color="auto"/>
        <w:right w:val="none" w:sz="0" w:space="0" w:color="auto"/>
      </w:divBdr>
      <w:divsChild>
        <w:div w:id="836966208">
          <w:marLeft w:val="0"/>
          <w:marRight w:val="0"/>
          <w:marTop w:val="0"/>
          <w:marBottom w:val="0"/>
          <w:divBdr>
            <w:top w:val="none" w:sz="0" w:space="0" w:color="auto"/>
            <w:left w:val="none" w:sz="0" w:space="0" w:color="auto"/>
            <w:bottom w:val="none" w:sz="0" w:space="0" w:color="auto"/>
            <w:right w:val="none" w:sz="0" w:space="0" w:color="auto"/>
          </w:divBdr>
          <w:divsChild>
            <w:div w:id="1333026987">
              <w:marLeft w:val="0"/>
              <w:marRight w:val="0"/>
              <w:marTop w:val="0"/>
              <w:marBottom w:val="0"/>
              <w:divBdr>
                <w:top w:val="none" w:sz="0" w:space="0" w:color="auto"/>
                <w:left w:val="none" w:sz="0" w:space="0" w:color="auto"/>
                <w:bottom w:val="none" w:sz="0" w:space="0" w:color="auto"/>
                <w:right w:val="none" w:sz="0" w:space="0" w:color="auto"/>
              </w:divBdr>
              <w:divsChild>
                <w:div w:id="1642271891">
                  <w:marLeft w:val="0"/>
                  <w:marRight w:val="0"/>
                  <w:marTop w:val="0"/>
                  <w:marBottom w:val="0"/>
                  <w:divBdr>
                    <w:top w:val="none" w:sz="0" w:space="0" w:color="auto"/>
                    <w:left w:val="none" w:sz="0" w:space="0" w:color="auto"/>
                    <w:bottom w:val="none" w:sz="0" w:space="0" w:color="auto"/>
                    <w:right w:val="none" w:sz="0" w:space="0" w:color="auto"/>
                  </w:divBdr>
                  <w:divsChild>
                    <w:div w:id="1409570451">
                      <w:marLeft w:val="0"/>
                      <w:marRight w:val="0"/>
                      <w:marTop w:val="0"/>
                      <w:marBottom w:val="0"/>
                      <w:divBdr>
                        <w:top w:val="none" w:sz="0" w:space="0" w:color="auto"/>
                        <w:left w:val="none" w:sz="0" w:space="0" w:color="auto"/>
                        <w:bottom w:val="none" w:sz="0" w:space="0" w:color="auto"/>
                        <w:right w:val="none" w:sz="0" w:space="0" w:color="auto"/>
                      </w:divBdr>
                      <w:divsChild>
                        <w:div w:id="1231816550">
                          <w:marLeft w:val="0"/>
                          <w:marRight w:val="0"/>
                          <w:marTop w:val="0"/>
                          <w:marBottom w:val="0"/>
                          <w:divBdr>
                            <w:top w:val="none" w:sz="0" w:space="0" w:color="auto"/>
                            <w:left w:val="none" w:sz="0" w:space="0" w:color="auto"/>
                            <w:bottom w:val="none" w:sz="0" w:space="0" w:color="auto"/>
                            <w:right w:val="none" w:sz="0" w:space="0" w:color="auto"/>
                          </w:divBdr>
                          <w:divsChild>
                            <w:div w:id="1258247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4004152">
      <w:bodyDiv w:val="1"/>
      <w:marLeft w:val="0"/>
      <w:marRight w:val="0"/>
      <w:marTop w:val="0"/>
      <w:marBottom w:val="0"/>
      <w:divBdr>
        <w:top w:val="none" w:sz="0" w:space="0" w:color="auto"/>
        <w:left w:val="none" w:sz="0" w:space="0" w:color="auto"/>
        <w:bottom w:val="none" w:sz="0" w:space="0" w:color="auto"/>
        <w:right w:val="none" w:sz="0" w:space="0" w:color="auto"/>
      </w:divBdr>
      <w:divsChild>
        <w:div w:id="922909771">
          <w:marLeft w:val="0"/>
          <w:marRight w:val="0"/>
          <w:marTop w:val="0"/>
          <w:marBottom w:val="0"/>
          <w:divBdr>
            <w:top w:val="none" w:sz="0" w:space="0" w:color="auto"/>
            <w:left w:val="none" w:sz="0" w:space="0" w:color="auto"/>
            <w:bottom w:val="none" w:sz="0" w:space="0" w:color="auto"/>
            <w:right w:val="none" w:sz="0" w:space="0" w:color="auto"/>
          </w:divBdr>
          <w:divsChild>
            <w:div w:id="1594163605">
              <w:marLeft w:val="0"/>
              <w:marRight w:val="0"/>
              <w:marTop w:val="0"/>
              <w:marBottom w:val="0"/>
              <w:divBdr>
                <w:top w:val="none" w:sz="0" w:space="0" w:color="auto"/>
                <w:left w:val="none" w:sz="0" w:space="0" w:color="auto"/>
                <w:bottom w:val="none" w:sz="0" w:space="0" w:color="auto"/>
                <w:right w:val="none" w:sz="0" w:space="0" w:color="auto"/>
              </w:divBdr>
              <w:divsChild>
                <w:div w:id="875701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3683514">
      <w:bodyDiv w:val="1"/>
      <w:marLeft w:val="0"/>
      <w:marRight w:val="0"/>
      <w:marTop w:val="0"/>
      <w:marBottom w:val="0"/>
      <w:divBdr>
        <w:top w:val="none" w:sz="0" w:space="0" w:color="auto"/>
        <w:left w:val="none" w:sz="0" w:space="0" w:color="auto"/>
        <w:bottom w:val="none" w:sz="0" w:space="0" w:color="auto"/>
        <w:right w:val="none" w:sz="0" w:space="0" w:color="auto"/>
      </w:divBdr>
      <w:divsChild>
        <w:div w:id="1229995849">
          <w:marLeft w:val="0"/>
          <w:marRight w:val="0"/>
          <w:marTop w:val="0"/>
          <w:marBottom w:val="0"/>
          <w:divBdr>
            <w:top w:val="none" w:sz="0" w:space="0" w:color="auto"/>
            <w:left w:val="none" w:sz="0" w:space="0" w:color="auto"/>
            <w:bottom w:val="none" w:sz="0" w:space="0" w:color="auto"/>
            <w:right w:val="none" w:sz="0" w:space="0" w:color="auto"/>
          </w:divBdr>
          <w:divsChild>
            <w:div w:id="96947794">
              <w:marLeft w:val="0"/>
              <w:marRight w:val="0"/>
              <w:marTop w:val="0"/>
              <w:marBottom w:val="0"/>
              <w:divBdr>
                <w:top w:val="none" w:sz="0" w:space="0" w:color="auto"/>
                <w:left w:val="none" w:sz="0" w:space="0" w:color="auto"/>
                <w:bottom w:val="none" w:sz="0" w:space="0" w:color="auto"/>
                <w:right w:val="none" w:sz="0" w:space="0" w:color="auto"/>
              </w:divBdr>
              <w:divsChild>
                <w:div w:id="114521640">
                  <w:marLeft w:val="0"/>
                  <w:marRight w:val="0"/>
                  <w:marTop w:val="0"/>
                  <w:marBottom w:val="0"/>
                  <w:divBdr>
                    <w:top w:val="none" w:sz="0" w:space="0" w:color="auto"/>
                    <w:left w:val="none" w:sz="0" w:space="0" w:color="auto"/>
                    <w:bottom w:val="none" w:sz="0" w:space="0" w:color="auto"/>
                    <w:right w:val="none" w:sz="0" w:space="0" w:color="auto"/>
                  </w:divBdr>
                  <w:divsChild>
                    <w:div w:id="1128864263">
                      <w:marLeft w:val="0"/>
                      <w:marRight w:val="0"/>
                      <w:marTop w:val="0"/>
                      <w:marBottom w:val="0"/>
                      <w:divBdr>
                        <w:top w:val="none" w:sz="0" w:space="0" w:color="auto"/>
                        <w:left w:val="none" w:sz="0" w:space="0" w:color="auto"/>
                        <w:bottom w:val="none" w:sz="0" w:space="0" w:color="auto"/>
                        <w:right w:val="none" w:sz="0" w:space="0" w:color="auto"/>
                      </w:divBdr>
                      <w:divsChild>
                        <w:div w:id="1431511881">
                          <w:marLeft w:val="0"/>
                          <w:marRight w:val="0"/>
                          <w:marTop w:val="0"/>
                          <w:marBottom w:val="0"/>
                          <w:divBdr>
                            <w:top w:val="none" w:sz="0" w:space="0" w:color="auto"/>
                            <w:left w:val="none" w:sz="0" w:space="0" w:color="auto"/>
                            <w:bottom w:val="none" w:sz="0" w:space="0" w:color="auto"/>
                            <w:right w:val="none" w:sz="0" w:space="0" w:color="auto"/>
                          </w:divBdr>
                          <w:divsChild>
                            <w:div w:id="1236936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3634598">
      <w:bodyDiv w:val="1"/>
      <w:marLeft w:val="0"/>
      <w:marRight w:val="0"/>
      <w:marTop w:val="0"/>
      <w:marBottom w:val="0"/>
      <w:divBdr>
        <w:top w:val="none" w:sz="0" w:space="0" w:color="auto"/>
        <w:left w:val="none" w:sz="0" w:space="0" w:color="auto"/>
        <w:bottom w:val="none" w:sz="0" w:space="0" w:color="auto"/>
        <w:right w:val="none" w:sz="0" w:space="0" w:color="auto"/>
      </w:divBdr>
      <w:divsChild>
        <w:div w:id="1568808441">
          <w:marLeft w:val="0"/>
          <w:marRight w:val="0"/>
          <w:marTop w:val="0"/>
          <w:marBottom w:val="0"/>
          <w:divBdr>
            <w:top w:val="none" w:sz="0" w:space="0" w:color="auto"/>
            <w:left w:val="none" w:sz="0" w:space="0" w:color="auto"/>
            <w:bottom w:val="none" w:sz="0" w:space="0" w:color="auto"/>
            <w:right w:val="none" w:sz="0" w:space="0" w:color="auto"/>
          </w:divBdr>
          <w:divsChild>
            <w:div w:id="1045105657">
              <w:marLeft w:val="0"/>
              <w:marRight w:val="0"/>
              <w:marTop w:val="0"/>
              <w:marBottom w:val="0"/>
              <w:divBdr>
                <w:top w:val="none" w:sz="0" w:space="0" w:color="auto"/>
                <w:left w:val="none" w:sz="0" w:space="0" w:color="auto"/>
                <w:bottom w:val="none" w:sz="0" w:space="0" w:color="auto"/>
                <w:right w:val="none" w:sz="0" w:space="0" w:color="auto"/>
              </w:divBdr>
              <w:divsChild>
                <w:div w:id="587621408">
                  <w:marLeft w:val="0"/>
                  <w:marRight w:val="0"/>
                  <w:marTop w:val="0"/>
                  <w:marBottom w:val="0"/>
                  <w:divBdr>
                    <w:top w:val="none" w:sz="0" w:space="0" w:color="auto"/>
                    <w:left w:val="none" w:sz="0" w:space="0" w:color="auto"/>
                    <w:bottom w:val="none" w:sz="0" w:space="0" w:color="auto"/>
                    <w:right w:val="none" w:sz="0" w:space="0" w:color="auto"/>
                  </w:divBdr>
                  <w:divsChild>
                    <w:div w:id="1338851400">
                      <w:marLeft w:val="0"/>
                      <w:marRight w:val="0"/>
                      <w:marTop w:val="0"/>
                      <w:marBottom w:val="0"/>
                      <w:divBdr>
                        <w:top w:val="none" w:sz="0" w:space="0" w:color="auto"/>
                        <w:left w:val="none" w:sz="0" w:space="0" w:color="auto"/>
                        <w:bottom w:val="none" w:sz="0" w:space="0" w:color="auto"/>
                        <w:right w:val="none" w:sz="0" w:space="0" w:color="auto"/>
                      </w:divBdr>
                      <w:divsChild>
                        <w:div w:id="1707833998">
                          <w:marLeft w:val="0"/>
                          <w:marRight w:val="0"/>
                          <w:marTop w:val="0"/>
                          <w:marBottom w:val="0"/>
                          <w:divBdr>
                            <w:top w:val="none" w:sz="0" w:space="0" w:color="auto"/>
                            <w:left w:val="none" w:sz="0" w:space="0" w:color="auto"/>
                            <w:bottom w:val="none" w:sz="0" w:space="0" w:color="auto"/>
                            <w:right w:val="none" w:sz="0" w:space="0" w:color="auto"/>
                          </w:divBdr>
                          <w:divsChild>
                            <w:div w:id="2051298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6734954">
      <w:bodyDiv w:val="1"/>
      <w:marLeft w:val="0"/>
      <w:marRight w:val="0"/>
      <w:marTop w:val="0"/>
      <w:marBottom w:val="0"/>
      <w:divBdr>
        <w:top w:val="none" w:sz="0" w:space="0" w:color="auto"/>
        <w:left w:val="none" w:sz="0" w:space="0" w:color="auto"/>
        <w:bottom w:val="none" w:sz="0" w:space="0" w:color="auto"/>
        <w:right w:val="none" w:sz="0" w:space="0" w:color="auto"/>
      </w:divBdr>
    </w:div>
    <w:div w:id="2043817432">
      <w:bodyDiv w:val="1"/>
      <w:marLeft w:val="0"/>
      <w:marRight w:val="0"/>
      <w:marTop w:val="0"/>
      <w:marBottom w:val="0"/>
      <w:divBdr>
        <w:top w:val="none" w:sz="0" w:space="0" w:color="auto"/>
        <w:left w:val="none" w:sz="0" w:space="0" w:color="auto"/>
        <w:bottom w:val="none" w:sz="0" w:space="0" w:color="auto"/>
        <w:right w:val="none" w:sz="0" w:space="0" w:color="auto"/>
      </w:divBdr>
      <w:divsChild>
        <w:div w:id="909073104">
          <w:marLeft w:val="0"/>
          <w:marRight w:val="0"/>
          <w:marTop w:val="0"/>
          <w:marBottom w:val="0"/>
          <w:divBdr>
            <w:top w:val="none" w:sz="0" w:space="0" w:color="auto"/>
            <w:left w:val="none" w:sz="0" w:space="0" w:color="auto"/>
            <w:bottom w:val="none" w:sz="0" w:space="0" w:color="auto"/>
            <w:right w:val="none" w:sz="0" w:space="0" w:color="auto"/>
          </w:divBdr>
          <w:divsChild>
            <w:div w:id="1427992972">
              <w:marLeft w:val="0"/>
              <w:marRight w:val="0"/>
              <w:marTop w:val="0"/>
              <w:marBottom w:val="0"/>
              <w:divBdr>
                <w:top w:val="none" w:sz="0" w:space="0" w:color="auto"/>
                <w:left w:val="none" w:sz="0" w:space="0" w:color="auto"/>
                <w:bottom w:val="none" w:sz="0" w:space="0" w:color="auto"/>
                <w:right w:val="none" w:sz="0" w:space="0" w:color="auto"/>
              </w:divBdr>
              <w:divsChild>
                <w:div w:id="1051996779">
                  <w:marLeft w:val="0"/>
                  <w:marRight w:val="0"/>
                  <w:marTop w:val="0"/>
                  <w:marBottom w:val="0"/>
                  <w:divBdr>
                    <w:top w:val="none" w:sz="0" w:space="0" w:color="auto"/>
                    <w:left w:val="none" w:sz="0" w:space="0" w:color="auto"/>
                    <w:bottom w:val="none" w:sz="0" w:space="0" w:color="auto"/>
                    <w:right w:val="none" w:sz="0" w:space="0" w:color="auto"/>
                  </w:divBdr>
                  <w:divsChild>
                    <w:div w:id="1997419258">
                      <w:marLeft w:val="0"/>
                      <w:marRight w:val="0"/>
                      <w:marTop w:val="0"/>
                      <w:marBottom w:val="0"/>
                      <w:divBdr>
                        <w:top w:val="none" w:sz="0" w:space="0" w:color="auto"/>
                        <w:left w:val="none" w:sz="0" w:space="0" w:color="auto"/>
                        <w:bottom w:val="none" w:sz="0" w:space="0" w:color="auto"/>
                        <w:right w:val="none" w:sz="0" w:space="0" w:color="auto"/>
                      </w:divBdr>
                      <w:divsChild>
                        <w:div w:id="1693191475">
                          <w:marLeft w:val="0"/>
                          <w:marRight w:val="0"/>
                          <w:marTop w:val="0"/>
                          <w:marBottom w:val="0"/>
                          <w:divBdr>
                            <w:top w:val="none" w:sz="0" w:space="0" w:color="auto"/>
                            <w:left w:val="none" w:sz="0" w:space="0" w:color="auto"/>
                            <w:bottom w:val="none" w:sz="0" w:space="0" w:color="auto"/>
                            <w:right w:val="none" w:sz="0" w:space="0" w:color="auto"/>
                          </w:divBdr>
                          <w:divsChild>
                            <w:div w:id="1415980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7751029">
      <w:bodyDiv w:val="1"/>
      <w:marLeft w:val="0"/>
      <w:marRight w:val="0"/>
      <w:marTop w:val="0"/>
      <w:marBottom w:val="0"/>
      <w:divBdr>
        <w:top w:val="none" w:sz="0" w:space="0" w:color="auto"/>
        <w:left w:val="none" w:sz="0" w:space="0" w:color="auto"/>
        <w:bottom w:val="none" w:sz="0" w:space="0" w:color="auto"/>
        <w:right w:val="none" w:sz="0" w:space="0" w:color="auto"/>
      </w:divBdr>
      <w:divsChild>
        <w:div w:id="1207139970">
          <w:marLeft w:val="0"/>
          <w:marRight w:val="0"/>
          <w:marTop w:val="0"/>
          <w:marBottom w:val="0"/>
          <w:divBdr>
            <w:top w:val="none" w:sz="0" w:space="0" w:color="auto"/>
            <w:left w:val="none" w:sz="0" w:space="0" w:color="auto"/>
            <w:bottom w:val="none" w:sz="0" w:space="0" w:color="auto"/>
            <w:right w:val="none" w:sz="0" w:space="0" w:color="auto"/>
          </w:divBdr>
          <w:divsChild>
            <w:div w:id="121118427">
              <w:marLeft w:val="0"/>
              <w:marRight w:val="0"/>
              <w:marTop w:val="0"/>
              <w:marBottom w:val="0"/>
              <w:divBdr>
                <w:top w:val="none" w:sz="0" w:space="0" w:color="auto"/>
                <w:left w:val="none" w:sz="0" w:space="0" w:color="auto"/>
                <w:bottom w:val="none" w:sz="0" w:space="0" w:color="auto"/>
                <w:right w:val="none" w:sz="0" w:space="0" w:color="auto"/>
              </w:divBdr>
              <w:divsChild>
                <w:div w:id="2012828514">
                  <w:marLeft w:val="0"/>
                  <w:marRight w:val="0"/>
                  <w:marTop w:val="0"/>
                  <w:marBottom w:val="0"/>
                  <w:divBdr>
                    <w:top w:val="none" w:sz="0" w:space="0" w:color="auto"/>
                    <w:left w:val="none" w:sz="0" w:space="0" w:color="auto"/>
                    <w:bottom w:val="none" w:sz="0" w:space="0" w:color="auto"/>
                    <w:right w:val="none" w:sz="0" w:space="0" w:color="auto"/>
                  </w:divBdr>
                  <w:divsChild>
                    <w:div w:id="1349067284">
                      <w:marLeft w:val="0"/>
                      <w:marRight w:val="0"/>
                      <w:marTop w:val="0"/>
                      <w:marBottom w:val="0"/>
                      <w:divBdr>
                        <w:top w:val="none" w:sz="0" w:space="0" w:color="auto"/>
                        <w:left w:val="none" w:sz="0" w:space="0" w:color="auto"/>
                        <w:bottom w:val="none" w:sz="0" w:space="0" w:color="auto"/>
                        <w:right w:val="none" w:sz="0" w:space="0" w:color="auto"/>
                      </w:divBdr>
                      <w:divsChild>
                        <w:div w:id="1859464034">
                          <w:marLeft w:val="0"/>
                          <w:marRight w:val="0"/>
                          <w:marTop w:val="0"/>
                          <w:marBottom w:val="0"/>
                          <w:divBdr>
                            <w:top w:val="none" w:sz="0" w:space="0" w:color="auto"/>
                            <w:left w:val="none" w:sz="0" w:space="0" w:color="auto"/>
                            <w:bottom w:val="none" w:sz="0" w:space="0" w:color="auto"/>
                            <w:right w:val="none" w:sz="0" w:space="0" w:color="auto"/>
                          </w:divBdr>
                          <w:divsChild>
                            <w:div w:id="888685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6144805">
      <w:bodyDiv w:val="1"/>
      <w:marLeft w:val="0"/>
      <w:marRight w:val="0"/>
      <w:marTop w:val="0"/>
      <w:marBottom w:val="0"/>
      <w:divBdr>
        <w:top w:val="none" w:sz="0" w:space="0" w:color="auto"/>
        <w:left w:val="none" w:sz="0" w:space="0" w:color="auto"/>
        <w:bottom w:val="none" w:sz="0" w:space="0" w:color="auto"/>
        <w:right w:val="none" w:sz="0" w:space="0" w:color="auto"/>
      </w:divBdr>
      <w:divsChild>
        <w:div w:id="510142944">
          <w:marLeft w:val="0"/>
          <w:marRight w:val="0"/>
          <w:marTop w:val="0"/>
          <w:marBottom w:val="0"/>
          <w:divBdr>
            <w:top w:val="none" w:sz="0" w:space="0" w:color="auto"/>
            <w:left w:val="none" w:sz="0" w:space="0" w:color="auto"/>
            <w:bottom w:val="none" w:sz="0" w:space="0" w:color="auto"/>
            <w:right w:val="none" w:sz="0" w:space="0" w:color="auto"/>
          </w:divBdr>
          <w:divsChild>
            <w:div w:id="910700595">
              <w:marLeft w:val="0"/>
              <w:marRight w:val="0"/>
              <w:marTop w:val="0"/>
              <w:marBottom w:val="0"/>
              <w:divBdr>
                <w:top w:val="none" w:sz="0" w:space="0" w:color="auto"/>
                <w:left w:val="none" w:sz="0" w:space="0" w:color="auto"/>
                <w:bottom w:val="none" w:sz="0" w:space="0" w:color="auto"/>
                <w:right w:val="none" w:sz="0" w:space="0" w:color="auto"/>
              </w:divBdr>
              <w:divsChild>
                <w:div w:id="1296372218">
                  <w:marLeft w:val="0"/>
                  <w:marRight w:val="0"/>
                  <w:marTop w:val="0"/>
                  <w:marBottom w:val="0"/>
                  <w:divBdr>
                    <w:top w:val="none" w:sz="0" w:space="0" w:color="auto"/>
                    <w:left w:val="none" w:sz="0" w:space="0" w:color="auto"/>
                    <w:bottom w:val="none" w:sz="0" w:space="0" w:color="auto"/>
                    <w:right w:val="none" w:sz="0" w:space="0" w:color="auto"/>
                  </w:divBdr>
                  <w:divsChild>
                    <w:div w:id="1927952904">
                      <w:marLeft w:val="0"/>
                      <w:marRight w:val="0"/>
                      <w:marTop w:val="0"/>
                      <w:marBottom w:val="0"/>
                      <w:divBdr>
                        <w:top w:val="none" w:sz="0" w:space="0" w:color="auto"/>
                        <w:left w:val="none" w:sz="0" w:space="0" w:color="auto"/>
                        <w:bottom w:val="none" w:sz="0" w:space="0" w:color="auto"/>
                        <w:right w:val="none" w:sz="0" w:space="0" w:color="auto"/>
                      </w:divBdr>
                      <w:divsChild>
                        <w:div w:id="262541813">
                          <w:marLeft w:val="0"/>
                          <w:marRight w:val="0"/>
                          <w:marTop w:val="0"/>
                          <w:marBottom w:val="0"/>
                          <w:divBdr>
                            <w:top w:val="none" w:sz="0" w:space="0" w:color="auto"/>
                            <w:left w:val="none" w:sz="0" w:space="0" w:color="auto"/>
                            <w:bottom w:val="none" w:sz="0" w:space="0" w:color="auto"/>
                            <w:right w:val="none" w:sz="0" w:space="0" w:color="auto"/>
                          </w:divBdr>
                          <w:divsChild>
                            <w:div w:id="152000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header" Target="header7.xml"/><Relationship Id="rId3" Type="http://schemas.openxmlformats.org/officeDocument/2006/relationships/styles" Target="styles.xml"/><Relationship Id="rId21" Type="http://schemas.openxmlformats.org/officeDocument/2006/relationships/header" Target="header8.xml"/><Relationship Id="rId34"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header" Target="header6.xml"/><Relationship Id="rId33"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theme" Target="theme/theme1.xml"/><Relationship Id="rId32"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footer" Target="footer5.xml"/><Relationship Id="rId31" Type="http://schemas.microsoft.com/office/2016/09/relationships/commentsIds" Target="commentsIds.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oter" Target="footer7.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er7.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4F2120D-F7B0-4CC6-B06A-CAA5F4B67140}"/>
</file>

<file path=customXml/itemProps2.xml><?xml version="1.0" encoding="utf-8"?>
<ds:datastoreItem xmlns:ds="http://schemas.openxmlformats.org/officeDocument/2006/customXml" ds:itemID="{D746CE51-8145-4864-97E4-08AF0BF71D1F}"/>
</file>

<file path=customXml/itemProps3.xml><?xml version="1.0" encoding="utf-8"?>
<ds:datastoreItem xmlns:ds="http://schemas.openxmlformats.org/officeDocument/2006/customXml" ds:itemID="{481BD4DD-5A0A-45FB-BB18-8146CAE9B7E3}"/>
</file>

<file path=customXml/itemProps4.xml><?xml version="1.0" encoding="utf-8"?>
<ds:datastoreItem xmlns:ds="http://schemas.openxmlformats.org/officeDocument/2006/customXml" ds:itemID="{EF3F34D1-A2C4-4A06-A63B-8DE80EB01943}"/>
</file>

<file path=docProps/app.xml><?xml version="1.0" encoding="utf-8"?>
<Properties xmlns="http://schemas.openxmlformats.org/officeDocument/2006/extended-properties" xmlns:vt="http://schemas.openxmlformats.org/officeDocument/2006/docPropsVTypes">
  <Template>Normal.dotm</Template>
  <TotalTime>0</TotalTime>
  <Pages>1</Pages>
  <Words>14548</Words>
  <Characters>82926</Characters>
  <Application>Microsoft Office Word</Application>
  <DocSecurity>0</DocSecurity>
  <Lines>691</Lines>
  <Paragraphs>194</Paragraphs>
  <ScaleCrop>false</ScaleCrop>
  <HeadingPairs>
    <vt:vector size="2" baseType="variant">
      <vt:variant>
        <vt:lpstr>Title</vt:lpstr>
      </vt:variant>
      <vt:variant>
        <vt:i4>1</vt:i4>
      </vt:variant>
    </vt:vector>
  </HeadingPairs>
  <TitlesOfParts>
    <vt:vector size="1" baseType="lpstr">
      <vt:lpstr>ECHR</vt:lpstr>
    </vt:vector>
  </TitlesOfParts>
  <LinksUpToDate>false</LinksUpToDate>
  <CharactersWithSpaces>97280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2020-10-19T03:53:00Z</dcterms:created>
  <dcterms:modified xsi:type="dcterms:W3CDTF">2020-10-19T03:53:00Z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12879/09</vt:lpwstr>
  </property>
  <property fmtid="{D5CDD505-2E9C-101B-9397-08002B2CF9AE}" pid="4" name="CASEID">
    <vt:lpwstr>559136</vt:lpwstr>
  </property>
  <property fmtid="{D5CDD505-2E9C-101B-9397-08002B2CF9AE}" pid="5" name="ContentTypeId">
    <vt:lpwstr>0x010100558EB02BDB9E204AB350EDD385B68E10</vt:lpwstr>
  </property>
</Properties>
</file>