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59C35" w14:textId="77777777" w:rsidR="00103264" w:rsidRPr="009E2DF5" w:rsidRDefault="00103264" w:rsidP="00103264">
      <w:pPr>
        <w:pStyle w:val="s86194a7e"/>
        <w:spacing w:before="0" w:beforeAutospacing="0" w:after="0" w:afterAutospacing="0"/>
        <w:jc w:val="both"/>
        <w:rPr>
          <w:sz w:val="20"/>
          <w:szCs w:val="20"/>
          <w:lang w:val="en-GB"/>
        </w:rPr>
      </w:pPr>
      <w:r w:rsidRPr="009E2DF5">
        <w:rPr>
          <w:rStyle w:val="sfbbfee58"/>
          <w:sz w:val="20"/>
          <w:szCs w:val="20"/>
        </w:rPr>
        <w:t>© Ministerstwo Spraw Wewnętrznych i Administracji,</w:t>
      </w:r>
      <w:r w:rsidRPr="009E2DF5">
        <w:rPr>
          <w:sz w:val="20"/>
          <w:szCs w:val="20"/>
        </w:rPr>
        <w:t xml:space="preserve"> </w:t>
      </w:r>
      <w:hyperlink r:id="rId8" w:history="1">
        <w:r w:rsidRPr="009E2DF5">
          <w:rPr>
            <w:rStyle w:val="Hipercze"/>
            <w:rFonts w:eastAsiaTheme="majorEastAsia"/>
          </w:rPr>
          <w:t>https://www.gov.pl/mswia</w:t>
        </w:r>
      </w:hyperlink>
      <w:r w:rsidRPr="009E2DF5">
        <w:rPr>
          <w:rStyle w:val="sfbbfee58"/>
          <w:sz w:val="20"/>
          <w:szCs w:val="20"/>
        </w:rPr>
        <w:t xml:space="preserve">. </w:t>
      </w:r>
      <w:r w:rsidRPr="009E2DF5">
        <w:rPr>
          <w:rStyle w:val="sfbbfee58"/>
          <w:sz w:val="20"/>
          <w:szCs w:val="20"/>
          <w:lang w:val="en-GB"/>
        </w:rPr>
        <w:t>Permission to re-publish this translation has been granted by the Polish Ministry of the Interior and Administration for the sole purpose of its inclusion in the Court’s database HUDOC.</w:t>
      </w:r>
    </w:p>
    <w:p w14:paraId="3F0664BC" w14:textId="77777777" w:rsidR="00103264" w:rsidRPr="009E2DF5" w:rsidRDefault="00103264" w:rsidP="00103264">
      <w:pPr>
        <w:pStyle w:val="s86194a7e"/>
        <w:spacing w:before="0" w:beforeAutospacing="0" w:after="120" w:afterAutospacing="0"/>
        <w:jc w:val="both"/>
        <w:rPr>
          <w:sz w:val="20"/>
          <w:szCs w:val="20"/>
        </w:rPr>
      </w:pPr>
      <w:r w:rsidRPr="009E2DF5">
        <w:rPr>
          <w:rStyle w:val="sfbbfee58"/>
          <w:sz w:val="20"/>
          <w:szCs w:val="20"/>
        </w:rPr>
        <w:t xml:space="preserve">© Ministerstwo Spraw Wewnętrznych i Administracji, </w:t>
      </w:r>
      <w:hyperlink r:id="rId9" w:history="1">
        <w:r w:rsidRPr="009E2DF5">
          <w:rPr>
            <w:rStyle w:val="Hipercze"/>
            <w:rFonts w:eastAsiaTheme="majorEastAsia"/>
          </w:rPr>
          <w:t>https://www.gov.pl/mswia</w:t>
        </w:r>
      </w:hyperlink>
      <w:r w:rsidRPr="009E2DF5">
        <w:rPr>
          <w:rStyle w:val="s8fa5caae"/>
          <w:sz w:val="20"/>
          <w:szCs w:val="20"/>
        </w:rPr>
        <w:t xml:space="preserve">. </w:t>
      </w:r>
      <w:r w:rsidRPr="009E2DF5">
        <w:rPr>
          <w:rStyle w:val="sfbbfee58"/>
          <w:sz w:val="20"/>
          <w:szCs w:val="20"/>
        </w:rPr>
        <w:t>Zezwolenie na publikację tego tłumaczenia zostało udzielone przez Ministerstwo Spraw Wewnętrznych i Administracji wyłącznie w celu zamieszczenia w bazie Trybunału HUDOC.</w:t>
      </w:r>
    </w:p>
    <w:p w14:paraId="44A422D7" w14:textId="2FB4DF9C" w:rsidR="0098410D" w:rsidRPr="006113B7" w:rsidRDefault="00B62731" w:rsidP="00103264">
      <w:pPr>
        <w:pStyle w:val="DecHTitle"/>
        <w:spacing w:after="120"/>
      </w:pPr>
      <w:r>
        <w:t>PIERWSZA SEKCJA</w:t>
      </w:r>
    </w:p>
    <w:p w14:paraId="67D97A54" w14:textId="0CDA958C" w:rsidR="008E6217" w:rsidRPr="006113B7" w:rsidRDefault="008E6217" w:rsidP="00103264">
      <w:pPr>
        <w:pStyle w:val="JuTitle"/>
        <w:spacing w:before="0" w:after="120"/>
      </w:pPr>
      <w:bookmarkStart w:id="0" w:name="To"/>
      <w:r>
        <w:t>SPRAWA</w:t>
      </w:r>
      <w:r w:rsidR="00D00F86">
        <w:t xml:space="preserve"> </w:t>
      </w:r>
      <w:bookmarkEnd w:id="0"/>
      <w:r>
        <w:t>A.B. I INNI przeciwko POLSCE</w:t>
      </w:r>
    </w:p>
    <w:p w14:paraId="1D36DBC2" w14:textId="17D3C1DE" w:rsidR="00D74888" w:rsidRPr="006113B7" w:rsidRDefault="008E6217" w:rsidP="00103264">
      <w:pPr>
        <w:pStyle w:val="ECHRCoverTitle4"/>
        <w:spacing w:after="120"/>
      </w:pPr>
      <w:r>
        <w:t>(Skarga nr 42907/17)</w:t>
      </w:r>
    </w:p>
    <w:p w14:paraId="75888DCC" w14:textId="2FF1B11B" w:rsidR="006113B7" w:rsidRPr="006113B7" w:rsidRDefault="00103264" w:rsidP="00103264">
      <w:pPr>
        <w:pStyle w:val="DecHCase"/>
        <w:spacing w:after="120"/>
      </w:pPr>
      <w:r>
        <w:t>WYROK</w:t>
      </w:r>
    </w:p>
    <w:p w14:paraId="52EDCDBF" w14:textId="77777777" w:rsidR="006113B7" w:rsidRPr="00AD0CCC" w:rsidRDefault="006113B7" w:rsidP="00103264">
      <w:pPr>
        <w:pStyle w:val="JuPara"/>
        <w:pBdr>
          <w:top w:val="single" w:sz="4" w:space="1" w:color="auto"/>
          <w:left w:val="single" w:sz="4" w:space="4" w:color="auto"/>
          <w:bottom w:val="single" w:sz="4" w:space="1" w:color="auto"/>
          <w:right w:val="single" w:sz="4" w:space="4" w:color="auto"/>
        </w:pBdr>
        <w:spacing w:after="120"/>
        <w:ind w:firstLine="0"/>
        <w:rPr>
          <w:sz w:val="22"/>
          <w:szCs w:val="22"/>
        </w:rPr>
      </w:pPr>
      <w:r>
        <w:rPr>
          <w:sz w:val="22"/>
          <w:szCs w:val="22"/>
        </w:rPr>
        <w:t>Art. 3 • Wydalenie • Odmowa przyjęcia przez straż graniczną wniosków o udzielenie azylu i wydalenie do państwa trzeciego w postępowaniu uproszczonym, narażające skarżących na ryzyko „odesłania łańcuchowego” (</w:t>
      </w:r>
      <w:r>
        <w:rPr>
          <w:i/>
          <w:iCs/>
          <w:sz w:val="22"/>
          <w:szCs w:val="22"/>
        </w:rPr>
        <w:t>chain-refoulement</w:t>
      </w:r>
      <w:r>
        <w:rPr>
          <w:sz w:val="22"/>
          <w:szCs w:val="22"/>
        </w:rPr>
        <w:t>) do kraju pochodzenia oraz nieludzkie i poniżające traktowanie i tortury • Systematyczna praktyka fałszywego przedstawiania oświadczeń składanych przez osoby ubiegające się o azyl • Obowiązek zapewnienia przez państwo bezpieczeństwa skarżącym, w szczególności przez zezwolenie im na pozostanie pod jego jurysdykcją do czasu rozpatrzenia ich wniosku o udzielenie ochrony międzynarodowej</w:t>
      </w:r>
    </w:p>
    <w:p w14:paraId="07FAED82" w14:textId="77777777" w:rsidR="006113B7" w:rsidRPr="00AD0CCC" w:rsidRDefault="006113B7" w:rsidP="00103264">
      <w:pPr>
        <w:pStyle w:val="JuPara"/>
        <w:pBdr>
          <w:top w:val="single" w:sz="4" w:space="1" w:color="auto"/>
          <w:left w:val="single" w:sz="4" w:space="4" w:color="auto"/>
          <w:bottom w:val="single" w:sz="4" w:space="1" w:color="auto"/>
          <w:right w:val="single" w:sz="4" w:space="4" w:color="auto"/>
        </w:pBdr>
        <w:spacing w:after="120"/>
        <w:ind w:firstLine="0"/>
        <w:rPr>
          <w:sz w:val="22"/>
          <w:szCs w:val="22"/>
        </w:rPr>
      </w:pPr>
      <w:r>
        <w:rPr>
          <w:sz w:val="22"/>
          <w:szCs w:val="22"/>
        </w:rPr>
        <w:t>Art. 4 Protokołu nr 4 • Zbiorowe wydalanie cudzoziemców poprzez szerzej zakrojoną politykę odmowy wjazdu, z pominięciem zamiaru ubiegania się przez skarżących o ochronę międzynarodową</w:t>
      </w:r>
    </w:p>
    <w:p w14:paraId="407654E4" w14:textId="77777777" w:rsidR="006113B7" w:rsidRPr="00AD0CCC" w:rsidRDefault="006113B7" w:rsidP="00103264">
      <w:pPr>
        <w:pStyle w:val="JuPara"/>
        <w:pBdr>
          <w:top w:val="single" w:sz="4" w:space="1" w:color="auto"/>
          <w:left w:val="single" w:sz="4" w:space="4" w:color="auto"/>
          <w:bottom w:val="single" w:sz="4" w:space="1" w:color="auto"/>
          <w:right w:val="single" w:sz="4" w:space="4" w:color="auto"/>
        </w:pBdr>
        <w:spacing w:after="120"/>
        <w:ind w:firstLine="0"/>
        <w:rPr>
          <w:sz w:val="22"/>
          <w:szCs w:val="22"/>
        </w:rPr>
      </w:pPr>
      <w:r>
        <w:rPr>
          <w:sz w:val="22"/>
          <w:szCs w:val="22"/>
        </w:rPr>
        <w:t xml:space="preserve">Art. 13 (+ Art. 3 i Art. 4 Protokołu nr 4) • Brak skutecznego środka odwoławczego umożliwiającego złożenie skargi do władz krajowych </w:t>
      </w:r>
    </w:p>
    <w:p w14:paraId="12B4B97B" w14:textId="16A37F4E" w:rsidR="006113B7" w:rsidRPr="00AD0CCC" w:rsidRDefault="006113B7" w:rsidP="00103264">
      <w:pPr>
        <w:pStyle w:val="JuPara"/>
        <w:pBdr>
          <w:top w:val="single" w:sz="4" w:space="1" w:color="auto"/>
          <w:left w:val="single" w:sz="4" w:space="4" w:color="auto"/>
          <w:bottom w:val="single" w:sz="4" w:space="1" w:color="auto"/>
          <w:right w:val="single" w:sz="4" w:space="4" w:color="auto"/>
        </w:pBdr>
        <w:spacing w:after="120"/>
        <w:ind w:firstLine="0"/>
        <w:rPr>
          <w:sz w:val="22"/>
          <w:szCs w:val="22"/>
        </w:rPr>
      </w:pPr>
      <w:r>
        <w:rPr>
          <w:sz w:val="22"/>
          <w:szCs w:val="22"/>
        </w:rPr>
        <w:t>Art. 34 • Utrudnianie wykonywania prawa do złożenia skargi • Nieprzestrzeganie środka tymczasowego na podstawie Reguły 39 [Regulaminu Trybunału]</w:t>
      </w:r>
    </w:p>
    <w:p w14:paraId="7DD77E7E" w14:textId="77777777" w:rsidR="0098410D" w:rsidRPr="006113B7" w:rsidRDefault="0098410D" w:rsidP="00103264">
      <w:pPr>
        <w:pStyle w:val="DecHCase"/>
        <w:spacing w:after="120"/>
      </w:pPr>
      <w:r>
        <w:t>STRASBURG</w:t>
      </w:r>
    </w:p>
    <w:p w14:paraId="4F1CA919" w14:textId="0352F04C" w:rsidR="0098410D" w:rsidRPr="006113B7" w:rsidRDefault="00B62731" w:rsidP="00103264">
      <w:pPr>
        <w:pStyle w:val="DecHCase"/>
        <w:spacing w:after="120"/>
      </w:pPr>
      <w:r>
        <w:rPr>
          <w:rFonts w:ascii="Times New Roman" w:hAnsi="Times New Roman"/>
        </w:rPr>
        <w:t>30 czerwca 2022 r.</w:t>
      </w:r>
    </w:p>
    <w:p w14:paraId="2DA7B33B" w14:textId="77777777" w:rsidR="00AD0CCC" w:rsidRDefault="00AD0CCC" w:rsidP="00103264">
      <w:pPr>
        <w:pStyle w:val="jucase0"/>
        <w:spacing w:after="120"/>
        <w:ind w:firstLine="0"/>
        <w:jc w:val="center"/>
        <w:rPr>
          <w:color w:val="FF0000"/>
          <w:sz w:val="28"/>
          <w:szCs w:val="28"/>
          <w:u w:val="single"/>
        </w:rPr>
      </w:pPr>
      <w:bookmarkStart w:id="1" w:name="_Hlk59706592"/>
      <w:bookmarkStart w:id="2" w:name="_Hlk59704667"/>
      <w:r>
        <w:rPr>
          <w:color w:val="FF0000"/>
          <w:sz w:val="28"/>
          <w:szCs w:val="28"/>
          <w:u w:val="single"/>
        </w:rPr>
        <w:t>OSTATECZNY</w:t>
      </w:r>
    </w:p>
    <w:p w14:paraId="5C1A493E" w14:textId="3094DDAE" w:rsidR="00AD0CCC" w:rsidRDefault="00AD0CCC" w:rsidP="00103264">
      <w:pPr>
        <w:pStyle w:val="jucase0"/>
        <w:spacing w:after="120"/>
        <w:ind w:firstLine="0"/>
        <w:jc w:val="center"/>
        <w:rPr>
          <w:b w:val="0"/>
          <w:color w:val="FF0000"/>
          <w:sz w:val="28"/>
          <w:szCs w:val="28"/>
        </w:rPr>
      </w:pPr>
      <w:r>
        <w:rPr>
          <w:b w:val="0"/>
          <w:color w:val="FF0000"/>
          <w:sz w:val="28"/>
          <w:szCs w:val="28"/>
        </w:rPr>
        <w:t>14</w:t>
      </w:r>
      <w:r w:rsidR="008903B6">
        <w:rPr>
          <w:b w:val="0"/>
          <w:color w:val="FF0000"/>
          <w:sz w:val="28"/>
          <w:szCs w:val="28"/>
        </w:rPr>
        <w:t>/</w:t>
      </w:r>
      <w:r>
        <w:rPr>
          <w:b w:val="0"/>
          <w:color w:val="FF0000"/>
          <w:sz w:val="28"/>
          <w:szCs w:val="28"/>
        </w:rPr>
        <w:t>11</w:t>
      </w:r>
      <w:r w:rsidR="008903B6">
        <w:rPr>
          <w:b w:val="0"/>
          <w:color w:val="FF0000"/>
          <w:sz w:val="28"/>
          <w:szCs w:val="28"/>
        </w:rPr>
        <w:t>/</w:t>
      </w:r>
      <w:r w:rsidR="00205F2F">
        <w:rPr>
          <w:b w:val="0"/>
          <w:color w:val="FF0000"/>
          <w:sz w:val="28"/>
          <w:szCs w:val="28"/>
        </w:rPr>
        <w:t>2022</w:t>
      </w:r>
      <w:bookmarkStart w:id="3" w:name="_GoBack"/>
      <w:bookmarkEnd w:id="3"/>
    </w:p>
    <w:p w14:paraId="4703F644" w14:textId="7CDF98FE" w:rsidR="002422B6" w:rsidRPr="006113B7" w:rsidRDefault="00AD0CCC" w:rsidP="00103264">
      <w:pPr>
        <w:spacing w:after="120"/>
        <w:jc w:val="center"/>
        <w:rPr>
          <w:i/>
          <w:sz w:val="22"/>
        </w:rPr>
      </w:pPr>
      <w:r>
        <w:rPr>
          <w:i/>
          <w:iCs/>
          <w:sz w:val="22"/>
          <w:szCs w:val="22"/>
        </w:rPr>
        <w:t>Niniejszy wyrok stał się ostateczny zgodnie z warunkami określonymi w art. 44 ust. 2 Konwencji. Wyrok może podlegać korekcie wydawniczej.</w:t>
      </w:r>
      <w:bookmarkEnd w:id="1"/>
      <w:bookmarkEnd w:id="2"/>
    </w:p>
    <w:p w14:paraId="7E0B5A4D" w14:textId="77777777" w:rsidR="0098410D" w:rsidRPr="006113B7" w:rsidRDefault="0098410D" w:rsidP="006113B7">
      <w:pPr>
        <w:sectPr w:rsidR="0098410D" w:rsidRPr="006113B7" w:rsidSect="00853346">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560" w:right="2274" w:bottom="1985" w:left="2274" w:header="1701" w:footer="720" w:gutter="0"/>
          <w:pgNumType w:start="1"/>
          <w:cols w:space="720"/>
          <w:noEndnote/>
          <w:titlePg/>
        </w:sectPr>
      </w:pPr>
    </w:p>
    <w:p w14:paraId="149446BE" w14:textId="3B73A0C9" w:rsidR="0098410D" w:rsidRPr="006113B7" w:rsidRDefault="0098410D" w:rsidP="006113B7">
      <w:pPr>
        <w:pStyle w:val="JuCase"/>
      </w:pPr>
      <w:r>
        <w:lastRenderedPageBreak/>
        <w:t>W sprawie A.B. i Inni przeciwko Polsce,</w:t>
      </w:r>
    </w:p>
    <w:p w14:paraId="176AA9CA" w14:textId="56814DE8" w:rsidR="009F4C8F" w:rsidRPr="006113B7" w:rsidRDefault="009F4C8F" w:rsidP="006113B7">
      <w:pPr>
        <w:pStyle w:val="JuPara"/>
      </w:pPr>
      <w:r>
        <w:t>Europejski Trybunał Praw Człowieka (pierwsza sekcja), zasiadając jako Izba w składzie:</w:t>
      </w:r>
    </w:p>
    <w:p w14:paraId="720057C9" w14:textId="7CE5F648" w:rsidR="009F4C8F" w:rsidRPr="006113B7" w:rsidRDefault="00BA61F2" w:rsidP="006113B7">
      <w:pPr>
        <w:pStyle w:val="JuJudges"/>
      </w:pPr>
      <w:r>
        <w:tab/>
        <w:t>Marko Bošnjak,</w:t>
      </w:r>
      <w:r>
        <w:rPr>
          <w:i/>
        </w:rPr>
        <w:t xml:space="preserve"> Przewodniczący,</w:t>
      </w:r>
      <w:r>
        <w:rPr>
          <w:i/>
        </w:rPr>
        <w:br/>
      </w:r>
      <w:r>
        <w:tab/>
        <w:t>Péter Paczolay,</w:t>
      </w:r>
      <w:r>
        <w:rPr>
          <w:i/>
        </w:rPr>
        <w:br/>
      </w:r>
      <w:r>
        <w:tab/>
        <w:t>Krzysztof Wojtyczek,</w:t>
      </w:r>
      <w:r>
        <w:rPr>
          <w:i/>
        </w:rPr>
        <w:br/>
      </w:r>
      <w:r>
        <w:tab/>
        <w:t>Alena Poláčková,</w:t>
      </w:r>
      <w:r>
        <w:rPr>
          <w:i/>
        </w:rPr>
        <w:br/>
      </w:r>
      <w:r>
        <w:tab/>
        <w:t>Raffaele Sabato,</w:t>
      </w:r>
      <w:r>
        <w:rPr>
          <w:i/>
        </w:rPr>
        <w:br/>
      </w:r>
      <w:r>
        <w:tab/>
        <w:t>Lorraine Schembri Orland,</w:t>
      </w:r>
      <w:r>
        <w:rPr>
          <w:i/>
        </w:rPr>
        <w:br/>
      </w:r>
      <w:r>
        <w:tab/>
        <w:t>Ioannis Ktistakis,</w:t>
      </w:r>
      <w:r>
        <w:rPr>
          <w:i/>
        </w:rPr>
        <w:t xml:space="preserve"> Sędziowie,</w:t>
      </w:r>
      <w:r>
        <w:rPr>
          <w:i/>
        </w:rPr>
        <w:br/>
      </w:r>
      <w:r>
        <w:t xml:space="preserve">oraz Liv Tigerstedt, </w:t>
      </w:r>
      <w:r>
        <w:rPr>
          <w:i/>
          <w:iCs/>
        </w:rPr>
        <w:t>Zastępca Kanclerza Sekcji,</w:t>
      </w:r>
    </w:p>
    <w:p w14:paraId="1234BD12" w14:textId="77777777" w:rsidR="00B62731" w:rsidRPr="006113B7" w:rsidRDefault="00B62731" w:rsidP="006113B7">
      <w:pPr>
        <w:pStyle w:val="JuPara"/>
      </w:pPr>
      <w:r>
        <w:t>Mając na uwadze:</w:t>
      </w:r>
    </w:p>
    <w:p w14:paraId="0C46298B" w14:textId="78D3BB5F" w:rsidR="00B62731" w:rsidRPr="006113B7" w:rsidRDefault="00B62731" w:rsidP="006113B7">
      <w:pPr>
        <w:pStyle w:val="JuPara"/>
      </w:pPr>
      <w:r>
        <w:t>skargę (nr 42907/17) przeciwko Rzeczypospolitej Polskiej wniesioną do Trybunału na podstawie art. 34 Konwencji o ochronie praw człowieka i podstawowych wolności („Konwencja") przez sześciu obywateli Rosji, pana A.B. (pierwszy skarżący), panią A.E. (druga skarżąca), ich troje małoletnich dzieci oraz panią A.K. (trzecia skarżąca) („skarżący”), w dniu 16 czerwca 2017 r.;</w:t>
      </w:r>
    </w:p>
    <w:p w14:paraId="7AB47057" w14:textId="7B1024ED" w:rsidR="00B62731" w:rsidRPr="006113B7" w:rsidRDefault="00B62731" w:rsidP="006113B7">
      <w:pPr>
        <w:pStyle w:val="JuPara"/>
      </w:pPr>
      <w:r>
        <w:t>decyzję o zawiadomieniu o skardze Rządu polskiego („Rząd");</w:t>
      </w:r>
    </w:p>
    <w:p w14:paraId="7746B84E" w14:textId="7AD6611D" w:rsidR="00B62731" w:rsidRPr="006113B7" w:rsidRDefault="00B62731" w:rsidP="006113B7">
      <w:pPr>
        <w:pStyle w:val="JuPara"/>
      </w:pPr>
      <w:r>
        <w:t>decyzję o nieujawnianiu nazwisk skarżących;</w:t>
      </w:r>
    </w:p>
    <w:p w14:paraId="6F198E88" w14:textId="16FFED3E" w:rsidR="00B62731" w:rsidRPr="006113B7" w:rsidRDefault="00B62731" w:rsidP="006113B7">
      <w:pPr>
        <w:pStyle w:val="JuPara"/>
      </w:pPr>
      <w:r>
        <w:t>uwagi stron;</w:t>
      </w:r>
    </w:p>
    <w:p w14:paraId="427DDD89" w14:textId="3B5007D5" w:rsidR="009F4C8F" w:rsidRPr="006113B7" w:rsidRDefault="009F4C8F" w:rsidP="006113B7">
      <w:pPr>
        <w:pStyle w:val="JuPara"/>
      </w:pPr>
      <w:r>
        <w:t>obradując na posiedzeniu niejawnym w dniu 7 czerwca 2022 r.,</w:t>
      </w:r>
    </w:p>
    <w:p w14:paraId="71A89A6C" w14:textId="77777777" w:rsidR="009F4C8F" w:rsidRPr="006113B7" w:rsidRDefault="009F4C8F" w:rsidP="006113B7">
      <w:pPr>
        <w:pStyle w:val="JuPara"/>
      </w:pPr>
      <w:r>
        <w:t>wydaje następujący wyrok, który został przyjęty w tym dniu:</w:t>
      </w:r>
    </w:p>
    <w:p w14:paraId="6C391047" w14:textId="77777777" w:rsidR="00B62731" w:rsidRPr="006113B7" w:rsidRDefault="00B62731" w:rsidP="006113B7">
      <w:pPr>
        <w:pStyle w:val="JuHHead"/>
      </w:pPr>
      <w:r>
        <w:t>WPROWADZENIE</w:t>
      </w:r>
    </w:p>
    <w:p w14:paraId="6432551F" w14:textId="1C1701E5" w:rsidR="00B62731" w:rsidRPr="006113B7" w:rsidRDefault="00D00F86" w:rsidP="006113B7">
      <w:pPr>
        <w:pStyle w:val="JuPara"/>
        <w:rPr>
          <w:rFonts w:asciiTheme="majorHAnsi" w:eastAsiaTheme="majorEastAsia" w:hAnsiTheme="majorHAnsi" w:cstheme="majorBidi"/>
          <w:bCs/>
          <w:caps/>
          <w:sz w:val="28"/>
          <w:szCs w:val="28"/>
        </w:rPr>
      </w:pPr>
      <w:fldSimple w:instr=" SEQ level0 \*arabic ">
        <w:r w:rsidR="006113B7" w:rsidRPr="006113B7">
          <w:t>1</w:t>
        </w:r>
      </w:fldSimple>
      <w:r w:rsidR="00B62731">
        <w:t>.</w:t>
      </w:r>
      <w:r>
        <w:t xml:space="preserve"> </w:t>
      </w:r>
      <w:r w:rsidR="00B62731">
        <w:t xml:space="preserve">Niniejsza sprawa dotyczy odmowy przyjęcia przez funkcjonariuszy Straży Granicznej wniosków o udzielenie azylu skarżącym oraz wydalenia do państwa trzeciego w postępowaniu uproszczonym, z ryzykiem odesłania </w:t>
      </w:r>
      <w:r w:rsidR="00B62731">
        <w:rPr>
          <w:i/>
          <w:iCs/>
        </w:rPr>
        <w:t>(refoulement</w:t>
      </w:r>
      <w:r w:rsidR="00B62731">
        <w:t>) do kraju pochodzenia i złego traktowania w tym kraju.</w:t>
      </w:r>
    </w:p>
    <w:p w14:paraId="79F884AA" w14:textId="77777777" w:rsidR="00B62731" w:rsidRPr="006113B7" w:rsidRDefault="00B62731" w:rsidP="006113B7">
      <w:pPr>
        <w:pStyle w:val="JuHHead"/>
      </w:pPr>
      <w:r>
        <w:t>FAKTY</w:t>
      </w:r>
    </w:p>
    <w:p w14:paraId="4E065801" w14:textId="40F593E5" w:rsidR="00B62731" w:rsidRPr="006113B7" w:rsidRDefault="00D00F86" w:rsidP="006113B7">
      <w:pPr>
        <w:pStyle w:val="JuPara"/>
      </w:pPr>
      <w:fldSimple w:instr=" SEQ level0 \*arabic \* MERGEFORMAT ">
        <w:r w:rsidR="006113B7" w:rsidRPr="006113B7">
          <w:t>2</w:t>
        </w:r>
      </w:fldSimple>
      <w:r w:rsidR="00F45141">
        <w:t>.</w:t>
      </w:r>
      <w:r>
        <w:t xml:space="preserve"> </w:t>
      </w:r>
      <w:r w:rsidR="00F45141">
        <w:t>Dane skarżących przedstawiono w załączonej tabeli. Pierwszy skarżący i druga skarżąca są małżeństwem i mają troje małoletnich dzieci (skarżący czwarty, piąty i szósty). Trzecia skarżąca zamieszkuje we wspólnym gospodarstwie domowym z pierwszym skarżącym i drugą skarżącą. Byli oni reprezentowani przez pana M. Matsiushchankau, prawnika praktykującego w Wilnie.</w:t>
      </w:r>
    </w:p>
    <w:p w14:paraId="646B0E14" w14:textId="74DEE61D" w:rsidR="00B62731" w:rsidRPr="006113B7" w:rsidRDefault="00D00F86" w:rsidP="006113B7">
      <w:pPr>
        <w:pStyle w:val="JuPara"/>
      </w:pPr>
      <w:fldSimple w:instr=" SEQ level0 \*arabic \* MERGEFORMAT ">
        <w:r w:rsidR="006113B7" w:rsidRPr="006113B7">
          <w:t>3</w:t>
        </w:r>
      </w:fldSimple>
      <w:r w:rsidR="00F45141">
        <w:t>.</w:t>
      </w:r>
      <w:r>
        <w:t xml:space="preserve"> </w:t>
      </w:r>
      <w:r w:rsidR="00F45141">
        <w:t>Rząd był reprezentowany przez swojego pełnomocnika, pana J. Sobczaka z Ministerstwa Spraw Zagranicznych.</w:t>
      </w:r>
    </w:p>
    <w:p w14:paraId="7A080ECC" w14:textId="6DB050ED" w:rsidR="00B62731" w:rsidRPr="006113B7" w:rsidRDefault="00D00F86" w:rsidP="006113B7">
      <w:pPr>
        <w:pStyle w:val="JuPara"/>
      </w:pPr>
      <w:fldSimple w:instr=" SEQ level0 \*arabic ">
        <w:r w:rsidR="006113B7" w:rsidRPr="006113B7">
          <w:t>4</w:t>
        </w:r>
      </w:fldSimple>
      <w:r w:rsidR="00B62731">
        <w:t>.</w:t>
      </w:r>
      <w:r>
        <w:t xml:space="preserve"> </w:t>
      </w:r>
      <w:r w:rsidR="00B62731">
        <w:t>Okoliczności faktyczne sprawy można podsumować w następujący sposób.</w:t>
      </w:r>
    </w:p>
    <w:p w14:paraId="222C99C7" w14:textId="1B6EE3F5" w:rsidR="00B62731" w:rsidRPr="006113B7" w:rsidRDefault="00B62731" w:rsidP="006113B7">
      <w:pPr>
        <w:pStyle w:val="JuHIRoman"/>
      </w:pPr>
      <w:r>
        <w:lastRenderedPageBreak/>
        <w:t>PRZYBYCIE SKARŻĄCYCH DO POLSKI</w:t>
      </w:r>
    </w:p>
    <w:p w14:paraId="24142FE7" w14:textId="270EDF55" w:rsidR="00B62731" w:rsidRPr="006113B7" w:rsidRDefault="00D00F86" w:rsidP="006113B7">
      <w:pPr>
        <w:pStyle w:val="JuPara"/>
      </w:pPr>
      <w:fldSimple w:instr=" SEQ level0 \*arabic \* MERGEFORMAT ">
        <w:r w:rsidR="006113B7" w:rsidRPr="006113B7">
          <w:t>5</w:t>
        </w:r>
      </w:fldSimple>
      <w:r w:rsidR="00F45141">
        <w:t>.</w:t>
      </w:r>
      <w:r>
        <w:t xml:space="preserve"> </w:t>
      </w:r>
      <w:r w:rsidR="00F45141">
        <w:t>W dniach od 21 lutego do 14 kwietnia 2017 r. skarżący dwudziestoczterokrotnie przybyli na polsko-białoruskie przejście graniczne w Terespolu. Według nich, przy każdej okazji wyrażali chęć złożenia wniosku o udzielenie ochrony międzynarodowej.</w:t>
      </w:r>
    </w:p>
    <w:p w14:paraId="357E64C5" w14:textId="420B876D" w:rsidR="00B62731" w:rsidRPr="006113B7" w:rsidRDefault="00D00F86" w:rsidP="006113B7">
      <w:pPr>
        <w:pStyle w:val="JuPara"/>
      </w:pPr>
      <w:fldSimple w:instr=" SEQ level0 \*arabic ">
        <w:r w:rsidR="006113B7" w:rsidRPr="006113B7">
          <w:t>6</w:t>
        </w:r>
      </w:fldSimple>
      <w:r w:rsidR="00B62731">
        <w:t>.</w:t>
      </w:r>
      <w:r>
        <w:t xml:space="preserve"> </w:t>
      </w:r>
      <w:r w:rsidR="00B62731">
        <w:t>Skarżący oświadczyli, że podczas rozmowy z funkcjonariuszami Straży Granicznej zgłosili obawy o swoje bezpieczeństwo. Powiedzieli funkcjonariuszom Straży Granicznej, że pochodzą z Czeczenii. Pierwszy skarżący stwierdził, że on i jego ojciec byli prześladowani przez funkcjonariuszy reżimu Kadyrowa, którzy grozili konfiskatą ich gospodarstwa i oskarżali ich o wspieranie terroryzmu. Po odmowie oddania gospodarstwa, pierwszy skarżący był wielokrotnie aresztowany i torturowany. Następnie pierwszemu skarżącemu grożono oskarżeniem o terroryzm, po czym jego ojciec zgodził się oddać rodzinne gospodarstwo. Następnie on, druga skarżąca, ich dzieci oraz trzecia skarżąca opuścili swój dom i udali się razem na Białoruś, z zamiarem dalszej podróży do Polski. Powiedzieli oni funkcjonariuszom Straży Granicznej, że nie mogą pozostać na Białorusi i że nie będzie możliwe uzyskanie tam ochrony międzynarodowej. Następnie Straż Graniczna odmówiła im wjazdu w postępowaniu uproszczonym i odesłała ich na Białoruś.</w:t>
      </w:r>
    </w:p>
    <w:p w14:paraId="4CECA7B7" w14:textId="2A716F7A" w:rsidR="00B62731" w:rsidRPr="006113B7" w:rsidRDefault="00D00F86" w:rsidP="006113B7">
      <w:pPr>
        <w:pStyle w:val="JuPara"/>
      </w:pPr>
      <w:fldSimple w:instr=" SEQ level0 \*arabic ">
        <w:r w:rsidR="006113B7" w:rsidRPr="006113B7">
          <w:t>7</w:t>
        </w:r>
      </w:fldSimple>
      <w:r w:rsidR="00B62731">
        <w:t>.</w:t>
      </w:r>
      <w:r>
        <w:t xml:space="preserve"> </w:t>
      </w:r>
      <w:r w:rsidR="00B62731">
        <w:t>We wszystkich przypadkach, w których skarżący zgłaszali się na przejściu granicznym w Terespolu, wydawano decyzje administracyjne o odmowie wjazdu do Polski, uzasadniając to faktem, iż nie posiadali żadnych dokumentów zezwalających na wjazd do Polski i nie oświadczyli, że są narażeni na prześladowania w swoim kraju, lecz po prostu próbują wyemigrować z powodów ekonomicznych lub osobistych. W notatkach służbowych sporządzonych przez funkcjonariuszy Straży Granicznej odnotowano, że skarżący powoływali się w szczególności na (i) chęć pracy w Europie, (ii) utratę rodzinnej firmy i trudności finansowe, (iii) brak możliwości zatrudnienia w Czeczenii, (iv) chęć zapewnienia lepszej przyszłości swoim dzieciom oraz (v) chęć dołączenia do członków rodziny mieszkających w Polsce, którzy mogliby pomóc im w znalezieniu pracy. Skarżący nie odwołali się od wydanych przy tych okazjach decyzji administracyjnych.</w:t>
      </w:r>
    </w:p>
    <w:p w14:paraId="2DEB02A1" w14:textId="75AB4BFF" w:rsidR="00B62731" w:rsidRPr="006113B7" w:rsidRDefault="00D00F86" w:rsidP="006113B7">
      <w:pPr>
        <w:pStyle w:val="JuPara"/>
      </w:pPr>
      <w:fldSimple w:instr=" SEQ level0 \*arabic ">
        <w:r w:rsidR="006113B7" w:rsidRPr="006113B7">
          <w:t>8</w:t>
        </w:r>
      </w:fldSimple>
      <w:r w:rsidR="00B62731">
        <w:t>.</w:t>
      </w:r>
      <w:r>
        <w:t xml:space="preserve"> </w:t>
      </w:r>
      <w:r w:rsidR="00B62731">
        <w:t>W ośmiu kolejnych przypadkach, w kwietniu i maju 2017 r., skarżący ponownie udali się na przejście graniczne w Terespolu. W tych przypadkach mieli ze sobą pisemny wniosek o udzielenie ochrony międzynarodowej, który - według ich twierdzeń - próbowali złożyć u funkcjonariuszy Straży Granicznej. Skarżącym ponownie odmówiono wjazdu do Polski i odesłano ich na Białoruś.</w:t>
      </w:r>
    </w:p>
    <w:p w14:paraId="2BD0AA97" w14:textId="77777777" w:rsidR="00B62731" w:rsidRPr="006113B7" w:rsidRDefault="00B62731" w:rsidP="006113B7">
      <w:pPr>
        <w:pStyle w:val="JuHIRoman"/>
      </w:pPr>
      <w:r>
        <w:lastRenderedPageBreak/>
        <w:t>ŚRODEK TYMCZASOWY WSKAZANY PRZEZ TRYBUNAŁ</w:t>
      </w:r>
    </w:p>
    <w:p w14:paraId="7F2D1CFF" w14:textId="656F0D70" w:rsidR="00B62731" w:rsidRPr="006113B7" w:rsidRDefault="00D00F86" w:rsidP="006113B7">
      <w:pPr>
        <w:pStyle w:val="JuPara"/>
      </w:pPr>
      <w:fldSimple w:instr=" SEQ level0 \*arabic ">
        <w:r w:rsidR="006113B7" w:rsidRPr="006113B7">
          <w:t>9</w:t>
        </w:r>
      </w:fldSimple>
      <w:r w:rsidR="00B62731">
        <w:t>.</w:t>
      </w:r>
      <w:r>
        <w:t xml:space="preserve"> </w:t>
      </w:r>
      <w:r w:rsidR="00B62731">
        <w:t>W dniu 16 czerwca 2017 r., kiedy skarżący zgłosili się na przejściu granicznym w Terespolu, ich pełnomocnik złożył wniosek na podstawie Reguły 39 Regulaminu Trybunału, zwracając się do Trybunału o zapobieżenie ich wydaleniu na Białoruś. Wskazał, że jako obywatele Rosji, nie mają faktycznej możliwości ubiegania się o udzielenie ochrony międzynarodowej na Białorusi oraz że są ciągle zagrożeni wydaleniem do Czeczenii, gdzie groziłyby im tortury oraz inne formy nieludzkiego i poniżającego traktowania.</w:t>
      </w:r>
    </w:p>
    <w:p w14:paraId="00BE610C" w14:textId="308FA6A3" w:rsidR="00B62731" w:rsidRPr="006113B7" w:rsidRDefault="00D00F86" w:rsidP="006113B7">
      <w:pPr>
        <w:pStyle w:val="JuPara"/>
      </w:pPr>
      <w:fldSimple w:instr=" SEQ level0 \*arabic ">
        <w:bookmarkStart w:id="4" w:name="paragraph00009"/>
        <w:r w:rsidR="006113B7" w:rsidRPr="006113B7">
          <w:t>10</w:t>
        </w:r>
        <w:bookmarkEnd w:id="4"/>
      </w:fldSimple>
      <w:r w:rsidR="00B62731">
        <w:t>.</w:t>
      </w:r>
      <w:r>
        <w:t xml:space="preserve"> </w:t>
      </w:r>
      <w:r w:rsidR="00B62731">
        <w:t>W dniu 16 czerwca 2017 r., o godz. 10.48, Trybunał (sędzia dyżurny) postanowił zastosować Regułę 39 Regulaminu Trybunału, wskazując Rządowi polskiemu, że skarżący nie powinni być wydalani na Białoruś do dnia 30 czerwca 2017 r. Rząd został poinformowany o środku tymczasowym przed planowanym terminem wydalenia. Tym niemniej, o godz. 11.25 skarżący zostali odesłani na Białoruś. W notatce służbowej sporządzonej przy tej okazji przez funkcjonariuszy Straży Granicznej stwierdzono, że będąc na granicy, skarżący wyrazili chęć wjazdu do Polski, ponieważ stracili cały swój majątek, mieli długi i pragnęli mieszkać i pracować w Europie.</w:t>
      </w:r>
    </w:p>
    <w:p w14:paraId="229DA6F5" w14:textId="77777777" w:rsidR="00B62731" w:rsidRPr="006113B7" w:rsidRDefault="00B62731" w:rsidP="006113B7">
      <w:pPr>
        <w:pStyle w:val="JuHIRoman"/>
      </w:pPr>
      <w:r>
        <w:t>ROZWÓJ SYTUACJI PO ZASTOSOWANIU ŚRODKA TYMCZASOWEGO</w:t>
      </w:r>
    </w:p>
    <w:p w14:paraId="151AD52E" w14:textId="057E6E2A" w:rsidR="00B62731" w:rsidRPr="006113B7" w:rsidRDefault="00D00F86" w:rsidP="006113B7">
      <w:pPr>
        <w:pStyle w:val="JuPara"/>
      </w:pPr>
      <w:fldSimple w:instr=" SEQ level0 \*arabic ">
        <w:bookmarkStart w:id="5" w:name="paragraph00010"/>
        <w:r w:rsidR="006113B7" w:rsidRPr="006113B7">
          <w:t>11</w:t>
        </w:r>
        <w:bookmarkEnd w:id="5"/>
      </w:fldSimple>
      <w:r w:rsidR="00B62731">
        <w:t>.</w:t>
      </w:r>
      <w:r>
        <w:t xml:space="preserve"> </w:t>
      </w:r>
      <w:r w:rsidR="00B62731">
        <w:t>W dniu 19 czerwca 2017 r. skarżący powrócili do punktu odprawy granicznej w Terespolu. Oświadczyli, że mieli przy sobie (i) kopię pisma informującego ich pełnomocnika o postanowieniu Trybunału w sprawie środka tymczasowego oraz (ii) pisemny wniosek o udzielenie ochrony międzynarodowej. Ponadto wyraźnie zadeklarowali zamiar złożenia takich wniosków. Zostali ponownie odesłani na Białoruś.</w:t>
      </w:r>
    </w:p>
    <w:p w14:paraId="41711253" w14:textId="3136B5EE" w:rsidR="00B62731" w:rsidRPr="006113B7" w:rsidRDefault="00D00F86" w:rsidP="006113B7">
      <w:pPr>
        <w:pStyle w:val="JuPara"/>
      </w:pPr>
      <w:fldSimple w:instr=" SEQ level0 \*arabic ">
        <w:r w:rsidR="006113B7" w:rsidRPr="006113B7">
          <w:t>12</w:t>
        </w:r>
      </w:fldSimple>
      <w:r w:rsidR="00B62731">
        <w:t>.</w:t>
      </w:r>
      <w:r>
        <w:t xml:space="preserve"> </w:t>
      </w:r>
      <w:r w:rsidR="00B62731">
        <w:t>W czasie pobytu skarżących na przejściu granicznym, polska prawnik współpracująca z pełnomocnikiem skarżących przesłała kopię ich wniosku o udzielenie ochrony międzynarodowej za pośrednictwem poczty elektronicznej, faksu i ePUAP do Straży Granicznej w Terespolu oraz do Komendy Głównej Straży Granicznej w Warszawie. Poinformowała również o tym fakcie departament Ministerstwa Spraw Zagranicznych odpowiedzialny za prowadzenie postępowań przed międzynarodowymi organami zajmującymi się prawami człowieka (w którym usytuowany jest pełnomocnik Rządu polskiego do spraw postępowań przed Trybunałem).</w:t>
      </w:r>
      <w:r>
        <w:t xml:space="preserve"> </w:t>
      </w:r>
      <w:r w:rsidR="00B62731">
        <w:t>W swoim piśmie odniosła się również do środka tymczasowego wskazanego przez Trybunał w dniu 16 czerwca 2017 r. na podstawie Reguły 39 Regulaminu Trybunału.</w:t>
      </w:r>
    </w:p>
    <w:p w14:paraId="29D8DCB9" w14:textId="3E5075E6" w:rsidR="00B62731" w:rsidRPr="006113B7" w:rsidRDefault="00D00F86" w:rsidP="006113B7">
      <w:pPr>
        <w:pStyle w:val="JuPara"/>
      </w:pPr>
      <w:fldSimple w:instr=" SEQ level0 \*arabic ">
        <w:r w:rsidR="006113B7" w:rsidRPr="006113B7">
          <w:t>13</w:t>
        </w:r>
      </w:fldSimple>
      <w:r w:rsidR="00B62731">
        <w:t>.</w:t>
      </w:r>
      <w:r>
        <w:t xml:space="preserve"> </w:t>
      </w:r>
      <w:r w:rsidR="00B62731">
        <w:t xml:space="preserve">Rząd zarzucił, że podczas pobytu na granicy skarżący nie wyrazili chęci ubiegania się o ochronę międzynarodową, ani nie przedstawili </w:t>
      </w:r>
      <w:r w:rsidR="00B62731">
        <w:lastRenderedPageBreak/>
        <w:t>żadnych dokumentów. W notatkach służbowych sporządzonych przez funkcjonariuszy Straży Granicznej stwierdzono, że podczas przesłuchania w dniu 19 czerwca 2017 r. skarżący złożyli oświadczenie, iż chcą wjechać do Polski, ponieważ nie chcą dłużej mieszkać w Czeczenii, stracili majątek, mieli długi i chcą mieszkać w Polsce.</w:t>
      </w:r>
    </w:p>
    <w:p w14:paraId="7F9869D6" w14:textId="2157CD6C" w:rsidR="00B62731" w:rsidRPr="006113B7" w:rsidRDefault="00D00F86" w:rsidP="006113B7">
      <w:pPr>
        <w:pStyle w:val="JuPara"/>
      </w:pPr>
      <w:fldSimple w:instr=" SEQ level0 \*arabic ">
        <w:r w:rsidR="006113B7" w:rsidRPr="006113B7">
          <w:t>14</w:t>
        </w:r>
      </w:fldSimple>
      <w:r w:rsidR="00B62731">
        <w:t>.</w:t>
      </w:r>
      <w:r>
        <w:t xml:space="preserve"> </w:t>
      </w:r>
      <w:r w:rsidR="00B62731">
        <w:t>W dniu 23 czerwca 2017 r. Rząd zwrócił się do Trybunału o uchylenie środka tymczasowego wskazanego na podstawie art. 39 Regulaminu Trybunału. Argumentował, że skarżący nigdy nie wnioskowali o ochronę międzynarodową, ani nie podali żadnych powodów uzasadniających taką ochronę. Rząd stwierdził, że w jego opinii skarżący nadużyli środka tymczasowego w celu wywarcia presji na funkcjonariuszy polskiej Straży Granicznej, aby udzielili im pozwolenia na wjazd do Polski.</w:t>
      </w:r>
    </w:p>
    <w:p w14:paraId="152145A2" w14:textId="36BF4A23" w:rsidR="00B62731" w:rsidRPr="006113B7" w:rsidRDefault="00D00F86" w:rsidP="006113B7">
      <w:pPr>
        <w:pStyle w:val="JuPara"/>
      </w:pPr>
      <w:fldSimple w:instr=" SEQ level0 \*arabic ">
        <w:r w:rsidR="006113B7" w:rsidRPr="006113B7">
          <w:t>15</w:t>
        </w:r>
      </w:fldSimple>
      <w:r w:rsidR="00B62731">
        <w:t>.</w:t>
      </w:r>
      <w:r>
        <w:t xml:space="preserve"> </w:t>
      </w:r>
      <w:r w:rsidR="00B62731">
        <w:t>W dniu 30 czerwca 2017 r. Trybunał (sędzia dyżurny) postanowił, że środek tymczasowy nie zostanie uchylony, lecz przedłużony do dnia 21 lipca 2017 r., oraz wskazał Rządowi, że w świetle uwag przedstawionych Trybunałowi (w szczególności dokumentów dołączonych do wniosku o zastosowanie środka tymczasowego oraz pism skarżących skierowanych do Trybunału, których kopie zostały przesłane Rządowi) - wydawało się, że skarżący próbowali złożyć wniosek o udzielenie ochrony międzynarodowej.</w:t>
      </w:r>
    </w:p>
    <w:p w14:paraId="38791A50" w14:textId="09D62542" w:rsidR="00B62731" w:rsidRPr="006113B7" w:rsidRDefault="00D00F86" w:rsidP="006113B7">
      <w:pPr>
        <w:pStyle w:val="JuPara"/>
      </w:pPr>
      <w:fldSimple w:instr=" SEQ level0 \*arabic ">
        <w:r w:rsidR="006113B7" w:rsidRPr="006113B7">
          <w:t>16</w:t>
        </w:r>
      </w:fldSimple>
      <w:r w:rsidR="00B62731">
        <w:t>.</w:t>
      </w:r>
      <w:r>
        <w:t xml:space="preserve"> </w:t>
      </w:r>
      <w:r w:rsidR="00B62731">
        <w:t>W dniu 17 lipca 2017 r. skarżący poinformowali Trybunał, że opuścili obszar polskiej granicy i powrócili do Rosji. W związku z tym, w dniu 19 lipca 2017 r. Trybunał (sędzia dyżurny) postanowił umorzyć stosowanie środka tymczasowego w sprawie skarżących.</w:t>
      </w:r>
    </w:p>
    <w:p w14:paraId="18F34D53" w14:textId="77777777" w:rsidR="00B62731" w:rsidRPr="006113B7" w:rsidRDefault="00B62731" w:rsidP="006113B7">
      <w:pPr>
        <w:pStyle w:val="JuHHead"/>
      </w:pPr>
      <w:r>
        <w:t>WŁAŚCIWE RAMY PRAWNE I PRAKTYKA</w:t>
      </w:r>
    </w:p>
    <w:p w14:paraId="48EA2FF6" w14:textId="542F8A24" w:rsidR="00B62731" w:rsidRPr="006113B7" w:rsidRDefault="00D00F86" w:rsidP="006113B7">
      <w:pPr>
        <w:pStyle w:val="JuPara"/>
      </w:pPr>
      <w:fldSimple w:instr=" SEQ level0 \*arabic ">
        <w:r w:rsidR="006113B7" w:rsidRPr="006113B7">
          <w:t>17</w:t>
        </w:r>
      </w:fldSimple>
      <w:r w:rsidR="00B62731">
        <w:t>.</w:t>
      </w:r>
      <w:r>
        <w:t xml:space="preserve"> </w:t>
      </w:r>
      <w:r w:rsidR="00B62731">
        <w:t>Właściwe ramy prawne i praktyka dotycząca udzielania cudzoziemcom ochrony międzynarodowej oraz procedury odmowy wjazdu zostały przedstawione w wyroku Trybunału w sprawie</w:t>
      </w:r>
      <w:r w:rsidR="00B62731">
        <w:rPr>
          <w:i/>
          <w:iCs/>
        </w:rPr>
        <w:t xml:space="preserve"> M.K. i Inni przeciwko Polsce</w:t>
      </w:r>
      <w:r w:rsidR="00B62731">
        <w:t xml:space="preserve"> (nr 40503/17 i</w:t>
      </w:r>
      <w:r>
        <w:t xml:space="preserve"> </w:t>
      </w:r>
      <w:r w:rsidR="00B62731">
        <w:t>2 inne, §§ 67-77, 23 lipca 2020 r.).</w:t>
      </w:r>
    </w:p>
    <w:p w14:paraId="5B3EBCCB" w14:textId="77777777" w:rsidR="00B62731" w:rsidRPr="006113B7" w:rsidRDefault="00B62731" w:rsidP="006113B7">
      <w:pPr>
        <w:pStyle w:val="JuHHead"/>
      </w:pPr>
      <w:r>
        <w:t>PRAWO</w:t>
      </w:r>
    </w:p>
    <w:p w14:paraId="10DD9C14" w14:textId="4FBB17B6" w:rsidR="00B62731" w:rsidRPr="006113B7" w:rsidRDefault="00D00F86" w:rsidP="006113B7">
      <w:pPr>
        <w:pStyle w:val="JuPara"/>
      </w:pPr>
      <w:fldSimple w:instr=" SEQ level0 \*arabic \* MERGEFORMAT ">
        <w:r w:rsidR="006113B7" w:rsidRPr="006113B7">
          <w:t>18</w:t>
        </w:r>
      </w:fldSimple>
      <w:r w:rsidR="00F45141">
        <w:t>.</w:t>
      </w:r>
      <w:r>
        <w:t xml:space="preserve"> </w:t>
      </w:r>
      <w:r w:rsidR="00F45141">
        <w:t>Skarżący złożyli różne skargi na podstawie art. 3 Konwencji, art. 4 Protokołu nr 4 do Konwencji, art. 13 Konwencji w związku z art. 3 Konwencji i art. 4 Protokołu nr 4 oraz na podstawie art. 34 Konwencji.</w:t>
      </w:r>
    </w:p>
    <w:p w14:paraId="20B96710" w14:textId="77777777" w:rsidR="00B62731" w:rsidRPr="006113B7" w:rsidRDefault="00B62731" w:rsidP="006113B7">
      <w:pPr>
        <w:pStyle w:val="JuHIRoman"/>
      </w:pPr>
      <w:r>
        <w:t>DOPUSZCZALNOŚĆ</w:t>
      </w:r>
    </w:p>
    <w:p w14:paraId="03B38258" w14:textId="3071C397" w:rsidR="00B62731" w:rsidRPr="006113B7" w:rsidRDefault="00B62731" w:rsidP="006113B7">
      <w:pPr>
        <w:pStyle w:val="JuHA"/>
        <w:rPr>
          <w:rFonts w:eastAsia="Times New Roman"/>
        </w:rPr>
      </w:pPr>
      <w:r>
        <w:t>Wstępne zarzuty Rządu</w:t>
      </w:r>
    </w:p>
    <w:p w14:paraId="189C1FEB" w14:textId="53A8B35C"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19</w:t>
      </w:r>
      <w:r w:rsidRPr="006113B7">
        <w:rPr>
          <w:rFonts w:eastAsia="Times New Roman"/>
        </w:rPr>
        <w:fldChar w:fldCharType="end"/>
      </w:r>
      <w:r>
        <w:t>.</w:t>
      </w:r>
      <w:r w:rsidR="00D00F86">
        <w:t xml:space="preserve"> </w:t>
      </w:r>
      <w:r>
        <w:t xml:space="preserve">Rząd stwierdził, że skarga jest niedopuszczalna ze względu na niewyczerpanie krajowych środków odwoławczych. Dalej stwierdził, że </w:t>
      </w:r>
      <w:r>
        <w:lastRenderedPageBreak/>
        <w:t>skarga powinna zostać uznana za niedopuszczalną jako w sposób oczywisty nieuzasadniona w rozumieniu art. 35 ust. 3 lit. a) Konwencji.</w:t>
      </w:r>
    </w:p>
    <w:p w14:paraId="38814BD2" w14:textId="3B1D119E" w:rsidR="00B62731" w:rsidRPr="006113B7" w:rsidRDefault="00B62731" w:rsidP="006113B7">
      <w:pPr>
        <w:pStyle w:val="JuHA"/>
        <w:rPr>
          <w:rFonts w:eastAsia="Times New Roman"/>
        </w:rPr>
      </w:pPr>
      <w:r>
        <w:t>Oświadczenia stron</w:t>
      </w:r>
    </w:p>
    <w:p w14:paraId="53467BC6" w14:textId="327A4807"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20</w:t>
      </w:r>
      <w:r w:rsidRPr="006113B7">
        <w:rPr>
          <w:rFonts w:eastAsia="Times New Roman"/>
        </w:rPr>
        <w:fldChar w:fldCharType="end"/>
      </w:r>
      <w:r>
        <w:t>.</w:t>
      </w:r>
      <w:r w:rsidR="00D00F86">
        <w:t xml:space="preserve"> </w:t>
      </w:r>
      <w:r>
        <w:t>Rząd stwierdził, że skarżący nie odwołali się od decyzji odmawiających im wjazdu do Polski, pozbawiając tym samym polskie władze administracyjne, a dalej sądy administracyjne, możliwości rozpatrzenia ich zarzutów o naruszenie Konwencji.</w:t>
      </w:r>
    </w:p>
    <w:p w14:paraId="52073584" w14:textId="1EE42962" w:rsidR="00B62731" w:rsidRPr="006113B7" w:rsidRDefault="00B62731" w:rsidP="006113B7">
      <w:pPr>
        <w:pStyle w:val="JuPara"/>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21</w:t>
      </w:r>
      <w:r w:rsidRPr="006113B7">
        <w:rPr>
          <w:rFonts w:eastAsia="Times New Roman"/>
        </w:rPr>
        <w:fldChar w:fldCharType="end"/>
      </w:r>
      <w:r>
        <w:t>.</w:t>
      </w:r>
      <w:r w:rsidR="00D00F86">
        <w:t xml:space="preserve"> </w:t>
      </w:r>
      <w:r>
        <w:t xml:space="preserve">Skarżący stwierdzili, że Trybunał zbadał już środki odwoławcze powołane przez Rząd i stwierdził, że nie można ich uznać za „skuteczne" w rozumieniu art. 35 ust. 1 Konwencji. W tym kontekście powołali się na wyrok w sprawie </w:t>
      </w:r>
      <w:bookmarkStart w:id="6" w:name="_Hlk103864139"/>
      <w:r>
        <w:rPr>
          <w:i/>
        </w:rPr>
        <w:t xml:space="preserve">M.K. i Inni </w:t>
      </w:r>
      <w:bookmarkStart w:id="7" w:name="_Hlk97798178"/>
      <w:r>
        <w:rPr>
          <w:i/>
          <w:iCs/>
        </w:rPr>
        <w:t>przeciwko Polsce</w:t>
      </w:r>
      <w:bookmarkEnd w:id="7"/>
      <w:r>
        <w:t>,</w:t>
      </w:r>
      <w:bookmarkEnd w:id="6"/>
      <w:r>
        <w:t xml:space="preserve"> cyt. powyżej, §§ 147-49.</w:t>
      </w:r>
    </w:p>
    <w:p w14:paraId="799CF9F1" w14:textId="7088280E" w:rsidR="00B62731" w:rsidRPr="006113B7" w:rsidRDefault="00B62731" w:rsidP="006113B7">
      <w:pPr>
        <w:pStyle w:val="JuHA"/>
        <w:rPr>
          <w:rFonts w:eastAsia="Times New Roman"/>
        </w:rPr>
      </w:pPr>
      <w:r>
        <w:t>Ocena Trybunału</w:t>
      </w:r>
    </w:p>
    <w:p w14:paraId="162D8F76" w14:textId="4F463720"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22</w:t>
      </w:r>
      <w:r w:rsidRPr="006113B7">
        <w:rPr>
          <w:rFonts w:eastAsia="Times New Roman"/>
        </w:rPr>
        <w:fldChar w:fldCharType="end"/>
      </w:r>
      <w:r>
        <w:t>.</w:t>
      </w:r>
      <w:r w:rsidR="00D00F86">
        <w:t xml:space="preserve"> </w:t>
      </w:r>
      <w:r>
        <w:t>Trybunał zauważa, że wszystkie zarzuty podniesione przez skarżących w niniejszej sprawie na podstawie różnych artykułów Konwencji i jej Protokołu nr 4 dotyczą tych samych okoliczności, a mianowicie faktu, że skarżący zostali zawróceni na polskiej granicy i odesłani na Białoruś bez wszczęcia procedury azylowej. Dlatego też należy zbadać skuteczność dostępnego im środka odwoławczego pod kątem jego wykonania, łącznie dla wszystkich skarg.</w:t>
      </w:r>
    </w:p>
    <w:p w14:paraId="6CE54D8C" w14:textId="2F8AA6D5"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bookmarkStart w:id="8" w:name="paragraph00021"/>
      <w:r w:rsidR="006113B7" w:rsidRPr="006113B7">
        <w:rPr>
          <w:rFonts w:eastAsia="Times New Roman"/>
        </w:rPr>
        <w:t>23</w:t>
      </w:r>
      <w:bookmarkEnd w:id="8"/>
      <w:r w:rsidRPr="006113B7">
        <w:rPr>
          <w:rFonts w:eastAsia="Times New Roman"/>
        </w:rPr>
        <w:fldChar w:fldCharType="end"/>
      </w:r>
      <w:r>
        <w:t>.</w:t>
      </w:r>
      <w:r w:rsidR="00D00F86">
        <w:t xml:space="preserve"> </w:t>
      </w:r>
      <w:r>
        <w:t>Trybunał faktycznie zbadał już skuteczność środka odwoławczego, na który powołuje się Rząd i stwierdził, że sam fakt, iż odwołanie od decyzji o odmowie wjazdu nie miałoby skutku zawieszającego (i w konsekwencji nie mogłoby zapobiec zawróceniu skarżących na Białoruś) wystarcza, aby uznać, że takie odwołanie - i wszelkie dalsze odwołania do sądów administracyjnych, które mogłyby być wniesione w jego następstwie - nie stanowiły skutecznego środka odwoławczego w rozumieniu Konwencji (</w:t>
      </w:r>
      <w:r>
        <w:rPr>
          <w:i/>
          <w:iCs/>
        </w:rPr>
        <w:t>M.K. i Inni przeciwko Polsce</w:t>
      </w:r>
      <w:r>
        <w:t>, cyt. powyżej, § 148). Trybunał nie widzi powodu, aby uznać inaczej w obecnej sprawie.</w:t>
      </w:r>
    </w:p>
    <w:p w14:paraId="33DCF017" w14:textId="26410836"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24</w:t>
      </w:r>
      <w:r w:rsidRPr="006113B7">
        <w:rPr>
          <w:rFonts w:eastAsia="Times New Roman"/>
        </w:rPr>
        <w:fldChar w:fldCharType="end"/>
      </w:r>
      <w:r>
        <w:t>.</w:t>
      </w:r>
      <w:r w:rsidR="00D00F86">
        <w:t xml:space="preserve"> </w:t>
      </w:r>
      <w:r>
        <w:t>W związku z powyższym, Trybunał oddala sprzeciw Rządu dotyczący niewyczerpania krajowych środków odwoławczych.</w:t>
      </w:r>
    </w:p>
    <w:p w14:paraId="3DF3827D" w14:textId="77777777" w:rsidR="00B62731" w:rsidRPr="006113B7" w:rsidRDefault="00B62731" w:rsidP="006113B7">
      <w:pPr>
        <w:pStyle w:val="JuHA"/>
        <w:rPr>
          <w:rFonts w:eastAsia="Times New Roman"/>
        </w:rPr>
      </w:pPr>
      <w:r>
        <w:t>Wnioski dotyczące dopuszczalności</w:t>
      </w:r>
    </w:p>
    <w:p w14:paraId="41E1D0F9" w14:textId="10B3B7F9" w:rsidR="00B62731" w:rsidRPr="006113B7" w:rsidRDefault="00B62731" w:rsidP="006113B7">
      <w:pPr>
        <w:pStyle w:val="JuPara"/>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25</w:t>
      </w:r>
      <w:r w:rsidRPr="006113B7">
        <w:rPr>
          <w:rFonts w:eastAsia="Times New Roman"/>
        </w:rPr>
        <w:fldChar w:fldCharType="end"/>
      </w:r>
      <w:r>
        <w:t>.</w:t>
      </w:r>
      <w:r w:rsidR="00D00F86">
        <w:t xml:space="preserve"> </w:t>
      </w:r>
      <w:r>
        <w:t>Trybunał zauważa, że niniejsza skarga nie jest w sposób oczywisty nieuzasadniona, ani nie jest niedopuszczalna z jakichkolwiek innych powodów wymienionych w art. 35 Konwencji. Należy ją zatem uznać za dopuszczalną.</w:t>
      </w:r>
    </w:p>
    <w:p w14:paraId="0F1AB8F3" w14:textId="77777777" w:rsidR="00B62731" w:rsidRPr="006113B7" w:rsidRDefault="00B62731" w:rsidP="006113B7">
      <w:pPr>
        <w:pStyle w:val="JuHIRoman"/>
      </w:pPr>
      <w:r>
        <w:lastRenderedPageBreak/>
        <w:t>ZARZUCANE NARUSZENIE ART. 3 KONWENCJI</w:t>
      </w:r>
    </w:p>
    <w:p w14:paraId="0F36099D" w14:textId="3EB29519" w:rsidR="00B62731" w:rsidRPr="006113B7" w:rsidRDefault="00D00F86" w:rsidP="006113B7">
      <w:pPr>
        <w:pStyle w:val="JuPara"/>
      </w:pPr>
      <w:fldSimple w:instr=" SEQ level0 \*arabic ">
        <w:r w:rsidR="006113B7" w:rsidRPr="006113B7">
          <w:t>26</w:t>
        </w:r>
      </w:fldSimple>
      <w:r w:rsidR="00B62731">
        <w:t>.</w:t>
      </w:r>
      <w:r>
        <w:t xml:space="preserve"> </w:t>
      </w:r>
      <w:r w:rsidR="00B62731">
        <w:t>Skarżący zarzucili, że zostali narażeni na ryzyko tortur bądź nieludzkiego lub poniżającego traktowania w Czeczenii w wyniku zawrócenia ich na Białoruś, skąd mogli zostać odesłani do Rosji, oraz że ich traktowanie przez władze polskie miało charakter poniżający. Powoływali się na art. 3 Konwencji, który stanowi:</w:t>
      </w:r>
    </w:p>
    <w:p w14:paraId="271B7C84" w14:textId="77777777" w:rsidR="00B62731" w:rsidRPr="006113B7" w:rsidRDefault="00B62731" w:rsidP="006113B7">
      <w:pPr>
        <w:pStyle w:val="JuQuot"/>
      </w:pPr>
      <w:r>
        <w:t>„Nikt nie może być poddany torturom ani nieludzkiemu lub poniżającemu traktowaniu albo karaniu”.</w:t>
      </w:r>
    </w:p>
    <w:p w14:paraId="64849B6F" w14:textId="44F047A9" w:rsidR="00B62731" w:rsidRPr="006113B7" w:rsidRDefault="00B62731" w:rsidP="006113B7">
      <w:pPr>
        <w:pStyle w:val="JuHA"/>
      </w:pPr>
      <w:r>
        <w:t>Oświadczenia stron</w:t>
      </w:r>
    </w:p>
    <w:p w14:paraId="4E4BD61A" w14:textId="23476CAF" w:rsidR="00B62731" w:rsidRPr="006113B7" w:rsidRDefault="00D00F86" w:rsidP="006113B7">
      <w:pPr>
        <w:pStyle w:val="JuPara"/>
        <w:rPr>
          <w:rFonts w:eastAsia="Times New Roman"/>
        </w:rPr>
      </w:pPr>
      <w:fldSimple w:instr=" SEQ level0 \*arabic ">
        <w:r w:rsidR="006113B7" w:rsidRPr="006113B7">
          <w:t>27</w:t>
        </w:r>
      </w:fldSimple>
      <w:r w:rsidR="00B62731">
        <w:t>.</w:t>
      </w:r>
      <w:r>
        <w:t xml:space="preserve"> </w:t>
      </w:r>
      <w:r w:rsidR="00B62731">
        <w:t>Skarżący powtórzyli, że za każdym razem, gdy byli przesłuchiwani w ramach kontroli granicznej drugiej linii, wyrażali chęć ubiegania się o ochronę międzynarodową oraz opowiadali o prześladowaniach, których doświadczyli w Czeczenii. Stwierdzili, że straż graniczna zignorowała ich oświadczenia oraz - w niektórych przypadkach - ich pisemne wnioski o udzielenie ochrony międzynarodowej. Według skarżących taka praktyka była rutynowo stosowana na polsko-białoruskim przejściu granicznym w Terespolu.</w:t>
      </w:r>
    </w:p>
    <w:p w14:paraId="4E61890C" w14:textId="4627303B"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28</w:t>
      </w:r>
      <w:r w:rsidRPr="006113B7">
        <w:rPr>
          <w:rFonts w:eastAsia="Times New Roman"/>
        </w:rPr>
        <w:fldChar w:fldCharType="end"/>
      </w:r>
      <w:r>
        <w:t>.</w:t>
      </w:r>
      <w:r w:rsidR="00D00F86">
        <w:t xml:space="preserve"> </w:t>
      </w:r>
      <w:r>
        <w:t>Skarżący twierdzili również, że notatki służbowe sporządzone przez funkcjonariuszy Straży Granicznej nie odzwierciedlały w odpowiedni sposób złożonych przez nich wyjaśnień i że nie należy ich uznawać za ważne dowody potwierdzające te wyjaśnienia. Zarzucili, że ich powrót na Białoruś naraził ich na ryzyko deportacji do Czeczenii z uwagi na fakt, że Białoruś nie jest krajem bezpiecznym dla uchodźców z Rosji. Nie wszczynając postępowania o udzielenie ochrony międzynarodowej w co najmniej trzydziestu trzech przypadkach, gdy skarżący stawili się na granicy, władze polskie świadomie naraziły ich na ryzyko „odesłania łańcuchowego” (</w:t>
      </w:r>
      <w:r>
        <w:rPr>
          <w:i/>
          <w:iCs/>
        </w:rPr>
        <w:t>chain-refoulement</w:t>
      </w:r>
      <w:r>
        <w:t>) i traktowania zabronionego przez art. 3 Konwencji. Ponadto stwierdzili, że ich wnioski o udzielenie ochrony międzynarodowej zawierały podsumowanie powodów. Przedstawili kopię swojego wniosku z dnia 16 czerwca 2017 r. oraz korespondencję wysłaną przez ich adwokata do różnych polskich władz i stwierdzili, że najpóźniej w tym dniu funkcjonariusze Straży Granicznej byli lub powinni byli być świadomi, że skarżący wymagają ochrony międzynarodowej.</w:t>
      </w:r>
    </w:p>
    <w:p w14:paraId="0ED376E4" w14:textId="189A06B1" w:rsidR="00B62731" w:rsidRPr="006113B7" w:rsidRDefault="00D00F86" w:rsidP="006113B7">
      <w:pPr>
        <w:pStyle w:val="JuPara"/>
        <w:rPr>
          <w:rFonts w:eastAsia="Times New Roman"/>
        </w:rPr>
      </w:pPr>
      <w:fldSimple w:instr=" SEQ level0 \*arabic ">
        <w:r w:rsidR="006113B7" w:rsidRPr="006113B7">
          <w:t>29</w:t>
        </w:r>
      </w:fldSimple>
      <w:r w:rsidR="00B62731">
        <w:t>.</w:t>
      </w:r>
      <w:r>
        <w:t xml:space="preserve"> </w:t>
      </w:r>
      <w:r w:rsidR="00B62731">
        <w:t>Rząd zauważył, że granica polsko-białoruska jest jednocześnie zewnętrzną granicą Unii Europejskiej. W konsekwencji organy prowadzące kontrolę graniczną są związane zarówno przepisami prawa krajowego, jak i prawa Unii Europejskiej (między innymi kodeksem granicznym Schengen).</w:t>
      </w:r>
      <w:r>
        <w:t xml:space="preserve"> </w:t>
      </w:r>
      <w:r w:rsidR="00B62731">
        <w:t>Podkreślił również główne obowiązki Straży Granicznej - mianowicie ochronę granic i kontrolę ruchu granicznego, a także zapobieganie nielegalnej migracji i wjazdowi na terytorium państwa cudzoziemców niespełniających wymaganych warunków.</w:t>
      </w:r>
    </w:p>
    <w:p w14:paraId="6184C106" w14:textId="4D0C05A7" w:rsidR="00B62731" w:rsidRPr="006113B7" w:rsidRDefault="00B62731" w:rsidP="006113B7">
      <w:pPr>
        <w:pStyle w:val="JuPara"/>
        <w:rPr>
          <w:rFonts w:eastAsia="Times New Roman"/>
        </w:rPr>
      </w:pPr>
      <w:r w:rsidRPr="006113B7">
        <w:rPr>
          <w:rFonts w:eastAsia="Times New Roman"/>
        </w:rPr>
        <w:lastRenderedPageBreak/>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30</w:t>
      </w:r>
      <w:r w:rsidRPr="006113B7">
        <w:rPr>
          <w:rFonts w:eastAsia="Times New Roman"/>
        </w:rPr>
        <w:fldChar w:fldCharType="end"/>
      </w:r>
      <w:r>
        <w:t>.</w:t>
      </w:r>
      <w:r w:rsidR="00D00F86">
        <w:t xml:space="preserve"> </w:t>
      </w:r>
      <w:r>
        <w:t>Rząd wyjaśnił, że wszyscy cudzoziemcy, którzy stawiają się na granicy polsko-białoruskiej, są poddawani tej samej procedurze, regulowanej przez polskie ustawodawstwo i prawo UE. W ramach kontroli granicznej pierwszej linii weryfikowane są ich dokumenty (dokumenty podróży i wizy). Jeśli nie spełniają warunków koniecznych do wjazdu, są kierowani do kontroli granicznej drugiej linii, w ramach której funkcjonariusze Straży Granicznej przeprowadzają szczegółowe przesłuchania. Przesłuchanie, podczas którego obecny jest tylko funkcjonariusz Straży Granicznej i dany cudzoziemiec, jest kluczowym elementem tej części odprawy granicznej, a oświadczenia złożone przez cudzoziemca przy tej okazji są jedyną podstawą umożliwiającą uznanie cudzoziemca za osobę ubiegającą się o ochronę międzynarodową. Jeżeli z oświadczeń złożonych przez cudzoziemca wyraźnie wynika, że ubiega się on o taką ochronę, wniosek w tym zakresie jest przyjmowany i przekazywany do rozpatrzenia przez właściwy organ w terminie czterdziestu ośmiu godzin, a cudzoziemca kieruje się do właściwego ośrodka dla cudzoziemców. Jeśli jednak dany cudzoziemiec wskazuje inne powody swojej próby wjazdu do Polski (na przykład ekonomiczne lub osobiste), jest wydawana decyzja o odmowie wjazdu, która podlega natychmiastowemu wykonaniu.</w:t>
      </w:r>
    </w:p>
    <w:p w14:paraId="3CEDE5DC" w14:textId="31B94916"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31</w:t>
      </w:r>
      <w:r w:rsidRPr="006113B7">
        <w:rPr>
          <w:rFonts w:eastAsia="Times New Roman"/>
        </w:rPr>
        <w:fldChar w:fldCharType="end"/>
      </w:r>
      <w:r>
        <w:t>.</w:t>
      </w:r>
      <w:r w:rsidR="00D00F86">
        <w:t xml:space="preserve"> </w:t>
      </w:r>
      <w:r>
        <w:t>Odnosząc się do okoliczności niniejszej sprawy, Rząd stwierdził, że we wszystkich przypadkach, w których skarżący przybyli do punktów odprawy granicznej w Terespolu, zostali poddani kontroli granicznej drugiej linii i przesłuchani przez funkcjonariuszy Straży Granicznej. Rząd stwierdził, że na żadnym etapie żaden ze skarżących nie podał powodów, które uzasadniałyby udzielenie mu ochrony międzynarodowej. W rezultacie żaden z wniosków nie został przekazany Szefowi Urzędu do Spraw Cudzoziemców.</w:t>
      </w:r>
    </w:p>
    <w:p w14:paraId="0D980B3B" w14:textId="11D2BC32"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32</w:t>
      </w:r>
      <w:r w:rsidRPr="006113B7">
        <w:rPr>
          <w:rFonts w:eastAsia="Times New Roman"/>
        </w:rPr>
        <w:fldChar w:fldCharType="end"/>
      </w:r>
      <w:r>
        <w:t>.</w:t>
      </w:r>
      <w:r w:rsidR="00D00F86">
        <w:t xml:space="preserve"> </w:t>
      </w:r>
      <w:r>
        <w:t>Rząd podkreślił, że w swoich ustnych oświadczeniach złożonych przed Strażą Graniczną skarżący nie powoływali się na jakiekolwiek traktowanie naruszające art. 3 Konwencji ani na ryzyko związane z narażeniem na takie traktowanie</w:t>
      </w:r>
      <w:r w:rsidR="00D00F86">
        <w:t xml:space="preserve"> </w:t>
      </w:r>
      <w:r>
        <w:t>podczas pobytu na Białorusi.</w:t>
      </w:r>
    </w:p>
    <w:p w14:paraId="1CF395E6" w14:textId="4B10AB13"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33</w:t>
      </w:r>
      <w:r w:rsidRPr="006113B7">
        <w:rPr>
          <w:rFonts w:eastAsia="Times New Roman"/>
        </w:rPr>
        <w:fldChar w:fldCharType="end"/>
      </w:r>
      <w:r>
        <w:t>.</w:t>
      </w:r>
      <w:r w:rsidR="00D00F86">
        <w:t xml:space="preserve"> </w:t>
      </w:r>
      <w:r>
        <w:t>W związku z tym Rząd stwierdził, że nie ma dowodów na to, że skarżącym groziło traktowanie naruszające art. 3 Konwencji.</w:t>
      </w:r>
    </w:p>
    <w:p w14:paraId="47CA6CA0" w14:textId="1FAF5EB4" w:rsidR="00B62731" w:rsidRPr="006113B7" w:rsidRDefault="00B62731" w:rsidP="006113B7">
      <w:pPr>
        <w:pStyle w:val="JuHA"/>
      </w:pPr>
      <w:r>
        <w:t>Ocena Trybunału</w:t>
      </w:r>
    </w:p>
    <w:p w14:paraId="3BB60852" w14:textId="164B06F5" w:rsidR="00B62731" w:rsidRPr="006113B7" w:rsidRDefault="00D00F86" w:rsidP="006113B7">
      <w:pPr>
        <w:pStyle w:val="JuPara"/>
      </w:pPr>
      <w:fldSimple w:instr=" SEQ level0 \*arabic \* MERGEFORMAT ">
        <w:r w:rsidR="006113B7" w:rsidRPr="006113B7">
          <w:t>34</w:t>
        </w:r>
      </w:fldSimple>
      <w:r w:rsidR="00F45141">
        <w:t>.</w:t>
      </w:r>
      <w:r>
        <w:t xml:space="preserve"> </w:t>
      </w:r>
      <w:r w:rsidR="00F45141">
        <w:t xml:space="preserve">Odpowiednie zasady ogólne dotyczące zasady </w:t>
      </w:r>
      <w:r w:rsidR="00F45141">
        <w:rPr>
          <w:i/>
          <w:iCs/>
        </w:rPr>
        <w:t>non-refoulement</w:t>
      </w:r>
      <w:r w:rsidR="00F45141">
        <w:t xml:space="preserve">, zawracania osób ubiegających się o azyl w kontekście zakazu tortur i innego poniżającego lub nieludzkiego traktowania zostały streszczone w wyroku w sprawie </w:t>
      </w:r>
      <w:r w:rsidR="00F45141">
        <w:rPr>
          <w:i/>
          <w:iCs/>
        </w:rPr>
        <w:t>M.K. i Inni przeciwko Polsce</w:t>
      </w:r>
      <w:r w:rsidR="00F45141">
        <w:t>, cyt. powyżej, §§ 166-73.</w:t>
      </w:r>
    </w:p>
    <w:p w14:paraId="516A1598" w14:textId="33F5CC63"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bookmarkStart w:id="9" w:name="paragraph00033"/>
      <w:r w:rsidR="006113B7" w:rsidRPr="006113B7">
        <w:rPr>
          <w:rFonts w:eastAsia="Times New Roman"/>
        </w:rPr>
        <w:t>35</w:t>
      </w:r>
      <w:bookmarkEnd w:id="9"/>
      <w:r w:rsidRPr="006113B7">
        <w:rPr>
          <w:rFonts w:eastAsia="Times New Roman"/>
        </w:rPr>
        <w:fldChar w:fldCharType="end"/>
      </w:r>
      <w:r>
        <w:t>.</w:t>
      </w:r>
      <w:r w:rsidR="00D00F86">
        <w:t xml:space="preserve"> </w:t>
      </w:r>
      <w:r>
        <w:t xml:space="preserve">Trybunał zauważa, że w swoim wyroku w sprawie </w:t>
      </w:r>
      <w:r>
        <w:rPr>
          <w:i/>
          <w:iCs/>
        </w:rPr>
        <w:t>M.K. i Inni przeciwko Polsce</w:t>
      </w:r>
      <w:r>
        <w:t xml:space="preserve"> ustalił już, iż w odpowiednim czasie w punktach odprawy granicznej między Polską a Białorusią istniała systemowa praktyka </w:t>
      </w:r>
      <w:r>
        <w:lastRenderedPageBreak/>
        <w:t xml:space="preserve">fałszywego przedstawiania oświadczeń składanych przez osoby ubiegające się o azyl w notatkach służbowych sporządzanych przez funkcjonariuszy Straży Granicznej (ibidem, § 174). Istnienie takiej praktyki jest potwierdzone przez dużą liczbę relacji zebranych od innych świadków przez krajowe instytucje ochrony praw człowieka (w szczególności przez Rzecznika Praw Dziecka - ibidem, </w:t>
      </w:r>
      <w:bookmarkStart w:id="10" w:name="_Hlk97817253"/>
      <w:r>
        <w:t>§§ </w:t>
      </w:r>
      <w:bookmarkEnd w:id="10"/>
      <w:r>
        <w:t xml:space="preserve">109-14) i dodatkowo uwiarygodnione przez oświadczenia Wysokiego Komisarza Narodów Zjednoczonych do spraw Uchodźców (zob. </w:t>
      </w:r>
      <w:r>
        <w:rPr>
          <w:i/>
          <w:iCs/>
        </w:rPr>
        <w:t>D.A. i inni przeciwko Polsce</w:t>
      </w:r>
      <w:r>
        <w:t>, nr 51246/17, § 53, 8 lipca 2021 r.).</w:t>
      </w:r>
    </w:p>
    <w:bookmarkStart w:id="11" w:name="docs_produced"/>
    <w:p w14:paraId="6DCB3FF5" w14:textId="04B9D2F2"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36</w:t>
      </w:r>
      <w:r w:rsidRPr="006113B7">
        <w:rPr>
          <w:rFonts w:eastAsia="Times New Roman"/>
        </w:rPr>
        <w:fldChar w:fldCharType="end"/>
      </w:r>
      <w:bookmarkEnd w:id="11"/>
      <w:r>
        <w:t>.</w:t>
      </w:r>
      <w:r w:rsidR="00D00F86">
        <w:t xml:space="preserve"> </w:t>
      </w:r>
      <w:r>
        <w:t xml:space="preserve">Relacja skarżących dotycząca oświadczeń, które złożyli na granicy, znajduje potwierdzenie również w szeregu dokumentów przedstawionych przez nich Trybunałowi, w szczególności kopiach wniosków o udzielenie ochrony międzynarodowej, zwłaszcza wniosku z dnia 16 czerwca 2017 r., które skarżący </w:t>
      </w:r>
      <w:bookmarkStart w:id="12" w:name="_Hlk97817371"/>
      <w:r>
        <w:t>mieli przy sobie</w:t>
      </w:r>
      <w:bookmarkEnd w:id="12"/>
      <w:r>
        <w:t xml:space="preserve"> w chwili stawienia się na granicy. Trybunał nie uznaje za wiarygodne, aby skarżący posiadali te dokumenty (które przedłożyli Trybunałowi), ale nie przekazali ich funkcjonariuszom Straży Granicznej, do których należała decyzja o udzieleniu im pozwolenia na wjazd do Polski lub o zawróceniu ich na Białoruś. Za wersją wydarzeń przedstawioną przez skarżących w tym zakresie przemawia również fakt, że podejmowali oni liczne próby przekroczenia granicy.</w:t>
      </w:r>
    </w:p>
    <w:bookmarkStart w:id="13" w:name="risk_refoulement"/>
    <w:p w14:paraId="29618EBE" w14:textId="56EC4F11"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37</w:t>
      </w:r>
      <w:r w:rsidRPr="006113B7">
        <w:rPr>
          <w:rFonts w:eastAsia="Times New Roman"/>
        </w:rPr>
        <w:fldChar w:fldCharType="end"/>
      </w:r>
      <w:bookmarkEnd w:id="13"/>
      <w:r>
        <w:t>.</w:t>
      </w:r>
      <w:r w:rsidR="00D00F86">
        <w:t xml:space="preserve"> </w:t>
      </w:r>
      <w:r>
        <w:t>W związku z powyższym, Trybunał nie może przyjąć argumentu Rządu polskiego, że skarżący nie przedstawili żadnych dowodów na to, że groziło im traktowanie naruszające art. 3. Skarżący wskazali konkretne okoliczności, które - ich zdaniem - uzasadniały ich wnioski o udzielenie ochrony międzynarodowej oraz przedstawili dokumenty na poparcie swoich twierdzeń. Podnieśli również argumenty dotyczące powodów, dla których nie uznają Białorusi za bezpieczne dla nich państwo trzecie, oraz wyjaśnili, dlaczego ich zdaniem zawrócenie ich na Białoruś naraziłoby ich na ryzyko „odesłania łańcuchowego”. Argumenty te znalazły poparcie w oficjalnych statystykach, które wskazują na to, że procedura azylowa na Białorusi jest nieskuteczna w przypadku obywateli rosyjskich (</w:t>
      </w:r>
      <w:r>
        <w:rPr>
          <w:i/>
          <w:iCs/>
        </w:rPr>
        <w:t>M.K. i Inni przeciwko Polsce</w:t>
      </w:r>
      <w:r>
        <w:t>, cyt. powyżej, § 177).</w:t>
      </w:r>
    </w:p>
    <w:p w14:paraId="1EADE8DD" w14:textId="5E6A4E59"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38</w:t>
      </w:r>
      <w:r w:rsidRPr="006113B7">
        <w:rPr>
          <w:rFonts w:eastAsia="Times New Roman"/>
        </w:rPr>
        <w:fldChar w:fldCharType="end"/>
      </w:r>
      <w:r>
        <w:t>.</w:t>
      </w:r>
      <w:r w:rsidR="00D00F86">
        <w:t xml:space="preserve"> </w:t>
      </w:r>
      <w:r>
        <w:t xml:space="preserve">Trybunał uznaje zatem, że skarżący mogli w uzasadniony sposób twierdzić, że nie istnieje gwarancja, że ich wnioski o udzielenie azylu zostaną rzetelnie rozpatrzone przez władze białoruskie, oraz że ich powrót do Czeczenii może stanowić naruszenie art. 3 Konwencji Ocena tych roszczeń powinna była zostać przeprowadzona przez polskie władze działające zgodnie ze swoimi obowiązkami proceduralnymi wynikającymi z art. 3 Konwencji. Ponadto państwo polskie miało obowiązek zapewnienia skarżącym bezpieczeństwa, w szczególności poprzez umożliwienie im pozostania w obrębie polskiej jurysdykcji do czasu, aż ich roszczenia zostaną należycie rozpatrzone przez właściwy organ krajowy. Biorąc pod uwagę bezwzględny charakter prawa zagwarantowanego na podstawie art. 3, zakres tego obowiązku nie zależał od tego, czy skarżący mieli przy sobie </w:t>
      </w:r>
      <w:r>
        <w:lastRenderedPageBreak/>
        <w:t>dokumenty uprawniające ich do przekroczenia polskiej granicy, ani od tego, czy zgodnie z prawem udzielono im pozwolenia na wjazd na terytorium Polski na innej podstawie.</w:t>
      </w:r>
    </w:p>
    <w:p w14:paraId="10CB37F6" w14:textId="2A646260"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39</w:t>
      </w:r>
      <w:r w:rsidRPr="006113B7">
        <w:rPr>
          <w:rFonts w:eastAsia="Times New Roman"/>
        </w:rPr>
        <w:fldChar w:fldCharType="end"/>
      </w:r>
      <w:r>
        <w:t>.</w:t>
      </w:r>
      <w:r w:rsidR="00D00F86">
        <w:t xml:space="preserve"> </w:t>
      </w:r>
      <w:r>
        <w:t>Ponadto zdaniem Trybunału w celu skutecznego dopełnienia obowiązku wynikającego z art. 3 Konwencji, osobie ubiegającej się o ochronę międzynarodową należy zapewnić zabezpieczenie przed przymusowym powrotem do kraju pochodzenia do czasu rzetelnego rozpatrzenia jej zarzutów. Trybunał uznaje zatem, że do czasu rozpatrzenia wniosku o udzielenie ochrony międzynarodowej państwo nie może odmówić dostępu do swojego terytorium osobie stawiającej się w punkcie odprawy granicznej, która utrzymuje, że może zostać poddana złemu traktowaniu, jeżeli pozostanie na terytorium państwa sąsiadującego, chyba że zostaną podjęte odpowiednie środki w celu wyeliminowania takiego ryzyka.</w:t>
      </w:r>
    </w:p>
    <w:p w14:paraId="5F2E8B64" w14:textId="00934E01"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40</w:t>
      </w:r>
      <w:r w:rsidRPr="006113B7">
        <w:rPr>
          <w:rFonts w:eastAsia="Times New Roman"/>
        </w:rPr>
        <w:fldChar w:fldCharType="end"/>
      </w:r>
      <w:r>
        <w:t>.</w:t>
      </w:r>
      <w:r w:rsidR="00D00F86">
        <w:t xml:space="preserve"> </w:t>
      </w:r>
      <w:r>
        <w:t xml:space="preserve">Trybunał odnotowuje również argument pozwanego państwa, że odmawiając skarżącym wjazdu do Polski, działało ono zgodnie z ciążącymi na nim obowiązkami prawnymi wynikającymi z członkostwa Polski w Unii Europejskiej. Trybunał rozpatrywał już podobne argumenty w sprawie </w:t>
      </w:r>
      <w:bookmarkStart w:id="14" w:name="_Hlk103867915"/>
      <w:r>
        <w:rPr>
          <w:i/>
          <w:iCs/>
        </w:rPr>
        <w:t>M.K. i Inni przeciwko Polsce</w:t>
      </w:r>
      <w:r>
        <w:t xml:space="preserve"> </w:t>
      </w:r>
      <w:bookmarkEnd w:id="14"/>
      <w:r>
        <w:t>(cyt. powyżej, §§ 181-82) i nie widzi powodu, aby w niniejszej sprawie dojść do innych wniosków.</w:t>
      </w:r>
    </w:p>
    <w:p w14:paraId="17A66FEB" w14:textId="3C382932"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41</w:t>
      </w:r>
      <w:r w:rsidRPr="006113B7">
        <w:rPr>
          <w:rFonts w:eastAsia="Times New Roman"/>
        </w:rPr>
        <w:fldChar w:fldCharType="end"/>
      </w:r>
      <w:r>
        <w:t>.</w:t>
      </w:r>
      <w:r w:rsidR="00D00F86">
        <w:t xml:space="preserve"> </w:t>
      </w:r>
      <w:r>
        <w:t>W świetle powyższego Trybunał uznaje, że skarżący nie korzystali ze skutecznych gwarancji, które chroniłyby ich przed narażeniem na realne ryzyko nieludzkiego lub poniżającego traktowania, a także tortur.</w:t>
      </w:r>
    </w:p>
    <w:p w14:paraId="6720561F" w14:textId="49924B85"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42</w:t>
      </w:r>
      <w:r w:rsidRPr="006113B7">
        <w:rPr>
          <w:rFonts w:eastAsia="Times New Roman"/>
        </w:rPr>
        <w:fldChar w:fldCharType="end"/>
      </w:r>
      <w:r>
        <w:t>.</w:t>
      </w:r>
      <w:r w:rsidR="00D00F86">
        <w:t xml:space="preserve"> </w:t>
      </w:r>
      <w:r>
        <w:t>Fakt, że w trzydziestu trzech przypadkach, gdy skarżący przebywali na polskim przejściu granicznym nie zostało wszczęte żadne postępowanie, w toku którego możliwe byłoby rozpatrzenie wniosków o udzielenie ochrony międzynarodowej skarżących, stanowił naruszenie art. 3 Konwencji. Ponadto, biorąc pod uwagę sytuację w sąsiednim państwie (</w:t>
      </w:r>
      <w:r>
        <w:rPr>
          <w:i/>
          <w:iCs/>
        </w:rPr>
        <w:t>M.K. i Inni przeciwko Polsce</w:t>
      </w:r>
      <w:r>
        <w:t>, cyt. powyżej, §§116-17), władze polskie, nie zezwalając skarżącym na pozostanie na terytorium Polski do czasu rozpatrzenia ich wniosków, władze polskie świadomie naraziły ich na poważne ryzyko „odesłania łańcuchowego” i traktowania zabronionego przez art. 3 Konwencji.</w:t>
      </w:r>
    </w:p>
    <w:p w14:paraId="5E94D59A" w14:textId="0E2C581A"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bookmarkStart w:id="15" w:name="paragraph00041"/>
      <w:r w:rsidR="006113B7" w:rsidRPr="006113B7">
        <w:rPr>
          <w:rFonts w:eastAsia="Times New Roman"/>
        </w:rPr>
        <w:t>43</w:t>
      </w:r>
      <w:bookmarkEnd w:id="15"/>
      <w:r w:rsidRPr="006113B7">
        <w:rPr>
          <w:rFonts w:eastAsia="Times New Roman"/>
        </w:rPr>
        <w:fldChar w:fldCharType="end"/>
      </w:r>
      <w:r>
        <w:t>.</w:t>
      </w:r>
      <w:r w:rsidR="00D00F86">
        <w:t xml:space="preserve"> </w:t>
      </w:r>
      <w:r>
        <w:t>W związku z powyższym, nastąpiło naruszenie art. 3 Konwencji.</w:t>
      </w:r>
    </w:p>
    <w:p w14:paraId="0ED355D5" w14:textId="77777777" w:rsidR="00B62731" w:rsidRPr="006113B7" w:rsidRDefault="00B62731" w:rsidP="006113B7">
      <w:pPr>
        <w:pStyle w:val="JuHIRoman"/>
      </w:pPr>
      <w:r>
        <w:t>ZARZUCANE NARUSZENIE ART. 4 PROTOKOŁU NR 4 DO KONWENCJI</w:t>
      </w:r>
    </w:p>
    <w:p w14:paraId="5C907A89" w14:textId="6EEC243F" w:rsidR="00B62731" w:rsidRPr="006113B7" w:rsidRDefault="00D00F86" w:rsidP="006113B7">
      <w:pPr>
        <w:pStyle w:val="JuPara"/>
      </w:pPr>
      <w:fldSimple w:instr=" SEQ level0 \*arabic \* MERGEFORMAT ">
        <w:r w:rsidR="006113B7" w:rsidRPr="006113B7">
          <w:t>44</w:t>
        </w:r>
      </w:fldSimple>
      <w:r w:rsidR="00F45141">
        <w:t>.</w:t>
      </w:r>
      <w:r>
        <w:t xml:space="preserve"> </w:t>
      </w:r>
      <w:r w:rsidR="00F45141">
        <w:t>Skarżący zarzucili, że zostali poddani zbiorowemu wydaleniu cudzoziemców. Powołali się na art. 4 Protokołu nr 4 do Konwencji, który stanowi:</w:t>
      </w:r>
    </w:p>
    <w:p w14:paraId="2DB9AF6A" w14:textId="77777777" w:rsidR="00B62731" w:rsidRPr="006113B7" w:rsidRDefault="00B62731" w:rsidP="006113B7">
      <w:pPr>
        <w:pStyle w:val="JuQuot"/>
      </w:pPr>
      <w:r>
        <w:t>„Zbiorowe wydalanie cudzoziemców jest zabronione".</w:t>
      </w:r>
    </w:p>
    <w:p w14:paraId="478B4096" w14:textId="0AD97721" w:rsidR="00B62731" w:rsidRPr="006113B7" w:rsidRDefault="00B62731" w:rsidP="006113B7">
      <w:pPr>
        <w:pStyle w:val="JuHA"/>
      </w:pPr>
      <w:r>
        <w:lastRenderedPageBreak/>
        <w:t>Oświadczenia stron</w:t>
      </w:r>
    </w:p>
    <w:p w14:paraId="4439947B" w14:textId="0DB23ADE" w:rsidR="00B62731" w:rsidRPr="006113B7" w:rsidRDefault="00B62731" w:rsidP="006113B7">
      <w:pPr>
        <w:pStyle w:val="JuPara"/>
      </w:pPr>
      <w:r w:rsidRPr="006113B7">
        <w:rPr>
          <w:rFonts w:ascii="Times New Roman" w:eastAsia="Times New Roman" w:hAnsi="Times New Roman" w:cs="Times New Roman"/>
        </w:rPr>
        <w:fldChar w:fldCharType="begin"/>
      </w:r>
      <w:r w:rsidRPr="006113B7">
        <w:rPr>
          <w:rFonts w:ascii="Times New Roman" w:eastAsia="Times New Roman" w:hAnsi="Times New Roman" w:cs="Times New Roman"/>
        </w:rPr>
        <w:instrText xml:space="preserve"> SEQ level0 \*arabic \* MERGEFORMAT </w:instrText>
      </w:r>
      <w:r w:rsidRPr="006113B7">
        <w:rPr>
          <w:rFonts w:ascii="Times New Roman" w:eastAsia="Times New Roman" w:hAnsi="Times New Roman" w:cs="Times New Roman"/>
        </w:rPr>
        <w:fldChar w:fldCharType="separate"/>
      </w:r>
      <w:r w:rsidR="006113B7" w:rsidRPr="006113B7">
        <w:rPr>
          <w:rFonts w:ascii="Times New Roman" w:eastAsia="Times New Roman" w:hAnsi="Times New Roman" w:cs="Times New Roman"/>
        </w:rPr>
        <w:t>45</w:t>
      </w:r>
      <w:r w:rsidRPr="006113B7">
        <w:rPr>
          <w:rFonts w:ascii="Times New Roman" w:eastAsia="Times New Roman" w:hAnsi="Times New Roman" w:cs="Times New Roman"/>
        </w:rPr>
        <w:fldChar w:fldCharType="end"/>
      </w:r>
      <w:r>
        <w:rPr>
          <w:rFonts w:ascii="Times New Roman" w:hAnsi="Times New Roman"/>
        </w:rPr>
        <w:t>.</w:t>
      </w:r>
      <w:r w:rsidR="00D00F86">
        <w:rPr>
          <w:rFonts w:ascii="Times New Roman" w:hAnsi="Times New Roman"/>
        </w:rPr>
        <w:t xml:space="preserve"> </w:t>
      </w:r>
      <w:r>
        <w:t xml:space="preserve">Skarżący odnieśli się do szerszej polityki nieprzyjmowania wniosków o ochronę międzynarodową od osób stawiających się na granicy polsko-białoruskiej i odsyłania tych osób na Białoruś, sytuacji opisanej w </w:t>
      </w:r>
      <w:r>
        <w:rPr>
          <w:i/>
          <w:iCs/>
        </w:rPr>
        <w:t>M.K. i Inni przeciwko Polsce</w:t>
      </w:r>
      <w:r>
        <w:t xml:space="preserve"> (cyt. powyżej, §§ 204-11). Stwierdzili, że byli ofiarami tej samej polityki, ponieważ w trzydziestu trzech przypadkach straż graniczna nie uwzględniła ich wniosków o udzielenie ochrony międzynarodowej, co stanowiło naruszenie art. 4 Protokołu nr 4 do Konwencji.</w:t>
      </w:r>
    </w:p>
    <w:p w14:paraId="7002124A" w14:textId="6C6F9B9A" w:rsidR="00B62731" w:rsidRPr="006113B7" w:rsidRDefault="00D00F86" w:rsidP="006113B7">
      <w:pPr>
        <w:pStyle w:val="JuPara"/>
      </w:pPr>
      <w:fldSimple w:instr=" SEQ level0 \*arabic \* MERGEFORMAT ">
        <w:r w:rsidR="006113B7" w:rsidRPr="006113B7">
          <w:t>46</w:t>
        </w:r>
      </w:fldSimple>
      <w:r w:rsidR="00F45141">
        <w:t>.</w:t>
      </w:r>
      <w:r>
        <w:t xml:space="preserve"> </w:t>
      </w:r>
      <w:r w:rsidR="00F45141">
        <w:t>Rząd stwierdził, że każda decyzja o odmowie wjazdu do Polski wydana w sprawie skarżących opierała się na indywidualnej ocenie ich sytuacji i w konsekwencji nie wiązała się ze zbiorowym wydaleniem cudzoziemców.</w:t>
      </w:r>
    </w:p>
    <w:p w14:paraId="1A849865" w14:textId="52F060B2" w:rsidR="00B62731" w:rsidRPr="006113B7" w:rsidRDefault="00D00F86" w:rsidP="006113B7">
      <w:pPr>
        <w:pStyle w:val="JuPara"/>
      </w:pPr>
      <w:fldSimple w:instr=" SEQ level0 \*arabic \* MERGEFORMAT ">
        <w:r w:rsidR="006113B7" w:rsidRPr="006113B7">
          <w:t>47</w:t>
        </w:r>
      </w:fldSimple>
      <w:r w:rsidR="00F45141">
        <w:t>.</w:t>
      </w:r>
      <w:r>
        <w:t xml:space="preserve"> </w:t>
      </w:r>
      <w:r w:rsidR="00F45141">
        <w:t>Po pierwsze, Rząd ponownie podkreślił, że ponieważ skarżący nie posiadali ważnych wiz uprawniających do wjazdu do Polski, zostali skierowani na drugą linię kontroli granicznej, gdzie przeprowadzono z nimi indywidualne przesłuchania w języku zrozumiałym dla skarżących. Celem tych przesłuchań było uzyskanie pełnych informacji dotyczących powodów, dla których skarżący przybyli na granicę bez niezbędnych dokumentów. Po drugie, Rząd stwierdził, że każde przesłuchanie udokumentowano w postaci notatki służbowej zawierającej wskazane przez poszczególnych skarżących szczegółowe powody, dla których starali się o wjazd do Polski, oraz – w stosownych przypadkach – wszelkie inne okoliczności ich sprawy.</w:t>
      </w:r>
      <w:r>
        <w:t xml:space="preserve"> </w:t>
      </w:r>
      <w:r w:rsidR="00F45141">
        <w:t>Po trzecie, wskazał, że decyzje o odmowie wjazdu sporządzono w formie odrębnych dokumentów dotyczących poszczególnych pełnoletnich skarżących (to znaczy w sposób indywidualny) po dokładnym zbadaniu ich odpowiednich sytuacji</w:t>
      </w:r>
    </w:p>
    <w:p w14:paraId="6BD729BD" w14:textId="0FD5282E" w:rsidR="00B62731" w:rsidRPr="006113B7" w:rsidRDefault="00D00F86" w:rsidP="006113B7">
      <w:pPr>
        <w:pStyle w:val="JuPara"/>
      </w:pPr>
      <w:fldSimple w:instr=" SEQ level0 \*arabic \* MERGEFORMAT ">
        <w:r w:rsidR="006113B7" w:rsidRPr="006113B7">
          <w:t>48</w:t>
        </w:r>
      </w:fldSimple>
      <w:r w:rsidR="00F45141">
        <w:t>.</w:t>
      </w:r>
      <w:r>
        <w:t xml:space="preserve"> </w:t>
      </w:r>
      <w:r w:rsidR="00F45141">
        <w:t>Rząd stwierdził, że decyzje o odmowie wjazdu wydawano na ujednoliconym wzorze i wobec tego mogły się one wydawać podobne do siebie; jednak w każdym przypadku zostały one wydane na podstawie indywidualnej oceny sytuacji każdego ze skarżących. Wszystkim skarżącym została przedstawiona indywidualna decyzja.</w:t>
      </w:r>
    </w:p>
    <w:p w14:paraId="386929B4" w14:textId="6B42B405" w:rsidR="00B62731" w:rsidRPr="006113B7" w:rsidRDefault="00B62731" w:rsidP="006113B7">
      <w:pPr>
        <w:pStyle w:val="JuHA"/>
      </w:pPr>
      <w:r>
        <w:t>Ocena Trybunału</w:t>
      </w:r>
    </w:p>
    <w:p w14:paraId="3571A38D" w14:textId="7F7879AA" w:rsidR="00B62731" w:rsidRPr="006113B7" w:rsidRDefault="00D00F86" w:rsidP="006113B7">
      <w:pPr>
        <w:pStyle w:val="JuPara"/>
      </w:pPr>
      <w:fldSimple w:instr=" SEQ level0 \*arabic \* MERGEFORMAT ">
        <w:r w:rsidR="006113B7" w:rsidRPr="006113B7">
          <w:t>49</w:t>
        </w:r>
      </w:fldSimple>
      <w:r w:rsidR="00F45141">
        <w:t>.</w:t>
      </w:r>
      <w:r>
        <w:t xml:space="preserve"> </w:t>
      </w:r>
      <w:bookmarkStart w:id="16" w:name="_Hlk95298539"/>
      <w:r w:rsidR="00F45141">
        <w:t xml:space="preserve">Odpowiednie zasady ogólne dotyczące zbiorowego wydalenia cudzoziemców zostały streszczone w wyroku </w:t>
      </w:r>
      <w:r w:rsidR="00F45141">
        <w:rPr>
          <w:i/>
          <w:iCs/>
        </w:rPr>
        <w:t>w sprawie M.K. i inni przeciwko Polsce</w:t>
      </w:r>
      <w:r w:rsidR="00F45141">
        <w:t>, cyt. powyżej, §§ 197-203.</w:t>
      </w:r>
      <w:bookmarkEnd w:id="16"/>
    </w:p>
    <w:p w14:paraId="639C24CC" w14:textId="7CE81B48"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50</w:t>
      </w:r>
      <w:r w:rsidRPr="006113B7">
        <w:rPr>
          <w:rFonts w:eastAsia="Times New Roman"/>
        </w:rPr>
        <w:fldChar w:fldCharType="end"/>
      </w:r>
      <w:r>
        <w:t>.</w:t>
      </w:r>
      <w:r w:rsidR="00D00F86">
        <w:t xml:space="preserve"> </w:t>
      </w:r>
      <w:r>
        <w:t xml:space="preserve">Trybunał uznał już w podobnych okolicznościach, że decyzje o odmowie wjazdu skarżących do Polski wydane w punktach odprawy granicznej stanowiły „wydalenie” w rozumieniu art. 4 Protokołu nr 4 (ibidem, §§ 204-05). Nie widzi powodu, by w niniejszej sprawie uznać </w:t>
      </w:r>
      <w:r>
        <w:lastRenderedPageBreak/>
        <w:t xml:space="preserve">inaczej. </w:t>
      </w:r>
      <w:r>
        <w:rPr>
          <w:rFonts w:ascii="Times New Roman" w:hAnsi="Times New Roman"/>
        </w:rPr>
        <w:t>Pozostaje do ustalenia, czy owo wydalenie miało charakter „zbiorowy”.</w:t>
      </w:r>
    </w:p>
    <w:p w14:paraId="783C985F" w14:textId="0DEFCFB6"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51</w:t>
      </w:r>
      <w:r w:rsidRPr="006113B7">
        <w:rPr>
          <w:rFonts w:eastAsia="Times New Roman"/>
        </w:rPr>
        <w:fldChar w:fldCharType="end"/>
      </w:r>
      <w:r>
        <w:t>.</w:t>
      </w:r>
      <w:r w:rsidR="00D00F86">
        <w:t xml:space="preserve"> </w:t>
      </w:r>
      <w:r>
        <w:t xml:space="preserve">Trybunał odnotowuje argument Rządu, że za każdym razem skarżący byli przesłuchiwani przez funkcjonariuszy Straży Granicznej i otrzymywali indywidualne decyzje o odmowie wjazdu do Polski. Jednak Trybunał wskazał już, że w jego ocenie w trakcie tego postępowania zlekceważono złożone przez skarżących oświadczenia dotyczące ich zamiaru złożenia wniosków o udzielenie ochrony międzynarodowej (zob. paragrafy </w:t>
      </w:r>
      <w:bookmarkStart w:id="17" w:name="paragraph00053"/>
      <w:bookmarkStart w:id="18" w:name="statements_disregarded"/>
      <w:r w:rsidRPr="006113B7">
        <w:rPr>
          <w:rFonts w:eastAsia="Times New Roman"/>
        </w:rPr>
        <w:fldChar w:fldCharType="begin"/>
      </w:r>
      <w:r w:rsidRPr="006113B7">
        <w:rPr>
          <w:rFonts w:eastAsia="Times New Roman"/>
        </w:rPr>
        <w:instrText xml:space="preserve"> REF docs_produced \h </w:instrText>
      </w:r>
      <w:r w:rsidRPr="006113B7">
        <w:rPr>
          <w:rFonts w:eastAsia="Times New Roman"/>
        </w:rPr>
      </w:r>
      <w:r w:rsidRPr="006113B7">
        <w:rPr>
          <w:rFonts w:eastAsia="Times New Roman"/>
        </w:rPr>
        <w:fldChar w:fldCharType="separate"/>
      </w:r>
      <w:r w:rsidR="006113B7" w:rsidRPr="006113B7">
        <w:rPr>
          <w:rFonts w:eastAsia="Times New Roman"/>
        </w:rPr>
        <w:t>36</w:t>
      </w:r>
      <w:r w:rsidRPr="006113B7">
        <w:rPr>
          <w:rFonts w:eastAsia="Times New Roman"/>
        </w:rPr>
        <w:fldChar w:fldCharType="end"/>
      </w:r>
      <w:bookmarkEnd w:id="17"/>
      <w:bookmarkEnd w:id="18"/>
      <w:r>
        <w:t xml:space="preserve">- </w:t>
      </w:r>
      <w:r w:rsidRPr="006113B7">
        <w:rPr>
          <w:rFonts w:eastAsia="Times New Roman"/>
        </w:rPr>
        <w:fldChar w:fldCharType="begin"/>
      </w:r>
      <w:r w:rsidRPr="006113B7">
        <w:rPr>
          <w:rFonts w:eastAsia="Times New Roman"/>
        </w:rPr>
        <w:instrText xml:space="preserve"> REF risk_refoulement \h </w:instrText>
      </w:r>
      <w:r w:rsidRPr="006113B7">
        <w:rPr>
          <w:rFonts w:eastAsia="Times New Roman"/>
        </w:rPr>
      </w:r>
      <w:r w:rsidRPr="006113B7">
        <w:rPr>
          <w:rFonts w:eastAsia="Times New Roman"/>
        </w:rPr>
        <w:fldChar w:fldCharType="separate"/>
      </w:r>
      <w:r w:rsidR="006113B7" w:rsidRPr="006113B7">
        <w:rPr>
          <w:rFonts w:eastAsia="Times New Roman"/>
        </w:rPr>
        <w:t>37</w:t>
      </w:r>
      <w:r w:rsidRPr="006113B7">
        <w:rPr>
          <w:rFonts w:eastAsia="Times New Roman"/>
        </w:rPr>
        <w:fldChar w:fldCharType="end"/>
      </w:r>
      <w:r>
        <w:t xml:space="preserve"> powyżej) oraz że nawet jeśli w odniesieniu do każdego skarżącego wydano indywidualne decyzje, nie odzwierciedlały one właściwie powodów podanych przez skarżących na uzasadnienie ich obaw przed prześladowaniem.</w:t>
      </w:r>
    </w:p>
    <w:p w14:paraId="47AE74CA" w14:textId="53D2EAE0"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52</w:t>
      </w:r>
      <w:r w:rsidRPr="006113B7">
        <w:rPr>
          <w:rFonts w:eastAsia="Times New Roman"/>
        </w:rPr>
        <w:fldChar w:fldCharType="end"/>
      </w:r>
      <w:r>
        <w:t>.</w:t>
      </w:r>
      <w:r w:rsidR="00D00F86">
        <w:t xml:space="preserve"> </w:t>
      </w:r>
      <w:r>
        <w:t>Trybunał podkreśla ponadto, że skarżący w niniejszej sprawie próbowali skorzystać z procedury przyjmowania wniosków o ochronę międzynarodową, która powinna być dla nich dostępna na mocy prawa krajowego. Próbowali oni przekroczyć granicę w sposób legalny, korzystając z oficjalnego punktu odprawy granicznej i poddając się kontroli granicznej zgodnie z wymogami obowiązującego prawa. Zatem faktu, iż państwo odmówiło rozpatrzenia ich argumentów uzasadniających ich wnioski o udzielenie ochrony międzynarodowej, nie można przypisać własnym działaniom skarżących (por.</w:t>
      </w:r>
      <w:r>
        <w:rPr>
          <w:i/>
          <w:iCs/>
        </w:rPr>
        <w:t xml:space="preserve"> N.D. i N.T. przeciwko Hiszpanii</w:t>
      </w:r>
      <w:r>
        <w:t>, nr 8675/15 i 8697/15, § 231, 13 lutego 2020 r.).</w:t>
      </w:r>
    </w:p>
    <w:p w14:paraId="0AC34207" w14:textId="7D9F9818"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53</w:t>
      </w:r>
      <w:r w:rsidRPr="006113B7">
        <w:rPr>
          <w:rFonts w:eastAsia="Times New Roman"/>
        </w:rPr>
        <w:fldChar w:fldCharType="end"/>
      </w:r>
      <w:r>
        <w:t>.</w:t>
      </w:r>
      <w:r w:rsidR="00D00F86">
        <w:t xml:space="preserve"> </w:t>
      </w:r>
      <w:r>
        <w:t xml:space="preserve">Ponadto w niezależnych raportach dotyczących przedmiotowej sytuacji (w szczególności dotyczących punktu odprawy granicznej w Terespolu) wskazano, że sprawa skarżących stanowi przykład szerzej zakrojonej polityki państwa polegającej na odmawianiu wjazdu cudzoziemcom przybywającym z Białorusi, niezależnie od tego, czy są oni ewidentnie migrantami ekonomicznymi, czy też wyrażają obawę przed prześladowaniem w swoich krajach pochodzenia. (zob. </w:t>
      </w:r>
      <w:r>
        <w:rPr>
          <w:i/>
          <w:iCs/>
        </w:rPr>
        <w:t>M.K. i Inni przeciwko Polsce</w:t>
      </w:r>
      <w:r>
        <w:t>, cyt. powyżej, §§ 98-114 i 208-09).</w:t>
      </w:r>
    </w:p>
    <w:p w14:paraId="7FC8B572" w14:textId="359732B6"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bookmarkStart w:id="19" w:name="paragraph00052"/>
      <w:r w:rsidR="006113B7" w:rsidRPr="006113B7">
        <w:rPr>
          <w:rFonts w:eastAsia="Times New Roman"/>
        </w:rPr>
        <w:t>54</w:t>
      </w:r>
      <w:bookmarkEnd w:id="19"/>
      <w:r w:rsidRPr="006113B7">
        <w:rPr>
          <w:rFonts w:eastAsia="Times New Roman"/>
        </w:rPr>
        <w:fldChar w:fldCharType="end"/>
      </w:r>
      <w:r>
        <w:t>.</w:t>
      </w:r>
      <w:r w:rsidR="00D00F86">
        <w:t xml:space="preserve"> </w:t>
      </w:r>
      <w:r>
        <w:t>Trybunał stwierdza, że decyzji o odmowie wjazdu do Polski wydanych w sprawach skarżących nie podjęto z należytym uwzględnieniem indywidualnej sytuacji każdego ze skarżących i że stanowiły one część szerzej zakrojonej polityki polegającej na nieprzyjmowaniu wniosków o udzielenie ochrony międzynarodowej od osób stawiających się na granicy polsko-białoruskiej i zawracaniu tych osób na Białoruś z naruszeniem prawa krajowego i międzynarodowego.</w:t>
      </w:r>
      <w:r w:rsidR="00D00F86">
        <w:t xml:space="preserve"> </w:t>
      </w:r>
      <w:r>
        <w:t>Decyzje te stanowiły zbiorowe wydalenie cudzoziemców w rozumieniu art. 4 Protokołu nr 4.</w:t>
      </w:r>
    </w:p>
    <w:p w14:paraId="51E5CB60" w14:textId="6B2DD0A6"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55</w:t>
      </w:r>
      <w:r w:rsidRPr="006113B7">
        <w:rPr>
          <w:rFonts w:eastAsia="Times New Roman"/>
        </w:rPr>
        <w:fldChar w:fldCharType="end"/>
      </w:r>
      <w:r>
        <w:t>.</w:t>
      </w:r>
      <w:r w:rsidR="00D00F86">
        <w:t xml:space="preserve"> </w:t>
      </w:r>
      <w:r>
        <w:t>Wobec powyższego Trybunał stwierdza, że w przedmiotowej sprawie doszło do naruszenia art. 4 Protokołu nr 4 do Konwencji.</w:t>
      </w:r>
    </w:p>
    <w:p w14:paraId="77B8108A" w14:textId="1EE47F28" w:rsidR="00B62731" w:rsidRPr="006113B7" w:rsidRDefault="00B62731" w:rsidP="006113B7">
      <w:pPr>
        <w:pStyle w:val="JuHIRoman"/>
      </w:pPr>
      <w:r>
        <w:lastRenderedPageBreak/>
        <w:t>ZARZUT NARUSZENIA ART. 13 KONWENCJI W ZWIĄZKU Z ART. 3 KONWENCJI I ART. 4 PROTOKOŁU NR 4 DO KONWENCJI</w:t>
      </w:r>
    </w:p>
    <w:p w14:paraId="6B5F8933" w14:textId="3C808CE1" w:rsidR="00B62731" w:rsidRPr="006113B7" w:rsidRDefault="00D00F86" w:rsidP="006113B7">
      <w:pPr>
        <w:pStyle w:val="JuPara"/>
      </w:pPr>
      <w:fldSimple w:instr=" SEQ level0 \*arabic \* MERGEFORMAT ">
        <w:r w:rsidR="006113B7" w:rsidRPr="006113B7">
          <w:t>56</w:t>
        </w:r>
      </w:fldSimple>
      <w:r w:rsidR="00F45141">
        <w:t>.</w:t>
      </w:r>
      <w:r>
        <w:t xml:space="preserve"> </w:t>
      </w:r>
      <w:r w:rsidR="00F45141">
        <w:t>Skarżący zarzucili ponadto, że w prawie polskim nie mieli skutecznego środka odwoławczego, za pomocą którego mogliby wnieść do władz krajowych swoje skargi na podstawie art. 3 Konwencji i art. 4 Protokołu nr 4. Powoływali się na artykuł 13 Konwencji, który stanowi:</w:t>
      </w:r>
    </w:p>
    <w:p w14:paraId="4B1F4829" w14:textId="77777777" w:rsidR="00B62731" w:rsidRPr="006113B7" w:rsidRDefault="00B62731" w:rsidP="006113B7">
      <w:pPr>
        <w:pStyle w:val="JuQuot"/>
      </w:pPr>
      <w:r>
        <w:t>„Każdy, czyje prawa i wolności określone w Konwencji zostały naruszone, będzie miał skuteczny środek odwoławczy przed organem krajowym, niezależnie od tego, że naruszenie zostało dokonane przez osoby działające w charakterze urzędowym".</w:t>
      </w:r>
    </w:p>
    <w:p w14:paraId="0A20369F" w14:textId="23CB1C98" w:rsidR="00B62731" w:rsidRPr="006113B7" w:rsidRDefault="00B62731" w:rsidP="006113B7">
      <w:pPr>
        <w:pStyle w:val="JuHA"/>
      </w:pPr>
      <w:r>
        <w:t>Oświadczenia stron</w:t>
      </w:r>
    </w:p>
    <w:p w14:paraId="10DC308E" w14:textId="3FF4C2EA" w:rsidR="00B62731" w:rsidRPr="006113B7" w:rsidRDefault="00D00F86" w:rsidP="006113B7">
      <w:pPr>
        <w:pStyle w:val="JuPara"/>
      </w:pPr>
      <w:fldSimple w:instr=" SEQ level0 \*arabic \* MERGEFORMAT ">
        <w:r w:rsidR="006113B7" w:rsidRPr="006113B7">
          <w:t>57</w:t>
        </w:r>
      </w:fldSimple>
      <w:r w:rsidR="00F45141">
        <w:t>.</w:t>
      </w:r>
      <w:r>
        <w:t xml:space="preserve"> </w:t>
      </w:r>
      <w:r w:rsidR="00F45141">
        <w:t>Skarżący powołali się na ustalenia Trybunału w sprawie M.K. i Inni przeciwko Polsce (cyt. powyżej, §§ 219-20). Stwierdzili, że ich sytuacja była podobna do rozpatrywanej w tamtym wyroku oraz że Rząd nie przedstawił żadnych nowych okoliczności.</w:t>
      </w:r>
    </w:p>
    <w:p w14:paraId="6A3F734D" w14:textId="6EEBEB99" w:rsidR="00B62731" w:rsidRPr="006113B7" w:rsidRDefault="00D00F86" w:rsidP="006113B7">
      <w:pPr>
        <w:pStyle w:val="JuPara"/>
      </w:pPr>
      <w:fldSimple w:instr=" SEQ level0 \*arabic \* MERGEFORMAT ">
        <w:r w:rsidR="006113B7" w:rsidRPr="006113B7">
          <w:t>58</w:t>
        </w:r>
      </w:fldSimple>
      <w:r w:rsidR="00F45141">
        <w:t>.</w:t>
      </w:r>
      <w:r>
        <w:t xml:space="preserve"> </w:t>
      </w:r>
      <w:r w:rsidR="00F45141">
        <w:t>Rząd stwierdził, że skarżący mieli do dyspozycji skuteczny środek odwoławczy - mianowicie odwołanie od decyzji dotyczących odmowy wjazdu do Komendanta Głównego Straży Granicznej - z którego nie skorzystali. Rząd przyznał, że odwołanie nie ma skutku zawieszającego, ale twierdził, że przepisy krajowe są w tym zakresie zgodne z prawem Unii Europejskiej, na podstawie którego Rząd ma obowiązek zapewnienia, aby obywatel państwa trzeciego, któremu odmówiono wjazdu do państwa członkowskiego, nie wjechał na terytorium tego państwa. Rząd podkreślił, że brak skutku zawieszającego przedmiotowego odwołania wynika ze szczególnego charakteru decyzji o odmowie wjazdu, którą należy wykonać natychmiast, ponieważ nie istnieją podstawy uzasadniające pozostanie przez cudzoziemca na terytorium Polski.</w:t>
      </w:r>
      <w:r>
        <w:t xml:space="preserve"> </w:t>
      </w:r>
      <w:r w:rsidR="00F45141">
        <w:t>Rząd wskazał również, że w przypadku wydania przez Komendanta Głównego Straży Granicznej decyzji odmownej, prawo wewnętrzne przewiduje możliwość wniesienia skargi do sądu administracyjnego.</w:t>
      </w:r>
    </w:p>
    <w:p w14:paraId="1F374843" w14:textId="60B11FC6" w:rsidR="00B62731" w:rsidRPr="006113B7" w:rsidRDefault="00D00F86" w:rsidP="006113B7">
      <w:pPr>
        <w:pStyle w:val="JuPara"/>
      </w:pPr>
      <w:fldSimple w:instr=" SEQ level0 \*arabic \* MERGEFORMAT ">
        <w:r w:rsidR="006113B7" w:rsidRPr="006113B7">
          <w:t>59</w:t>
        </w:r>
      </w:fldSimple>
      <w:r w:rsidR="00F45141">
        <w:t>.</w:t>
      </w:r>
      <w:r>
        <w:t xml:space="preserve"> </w:t>
      </w:r>
      <w:r w:rsidR="00F45141">
        <w:t>Ponadto Rząd argumentował, że funkcjonariusze Straży Granicznej wydawali decyzje o odmowie wjazdu w sprawach skarżących w sposób indywidualny, uwzględniwszy okoliczności zachodzące w chwili wydania poszczególnych decyzji. Rząd podkreślił, że skarżący mogli ponownie przybyć do punktu odprawy granicznej i - w przypadku spełnienia warunków wymaganych do wjazdu - uzyskać pozwolenie na wjazd na terytorium Polski.</w:t>
      </w:r>
    </w:p>
    <w:p w14:paraId="26DBEC69" w14:textId="282E86AA" w:rsidR="00B62731" w:rsidRPr="006113B7" w:rsidRDefault="00B62731" w:rsidP="006113B7">
      <w:pPr>
        <w:pStyle w:val="JuHA"/>
      </w:pPr>
      <w:r>
        <w:lastRenderedPageBreak/>
        <w:t>Ocena Trybunału</w:t>
      </w:r>
    </w:p>
    <w:p w14:paraId="5E094937" w14:textId="3AA0F340" w:rsidR="00B62731" w:rsidRPr="006113B7" w:rsidRDefault="00D00F86" w:rsidP="006113B7">
      <w:pPr>
        <w:pStyle w:val="JuPara"/>
      </w:pPr>
      <w:fldSimple w:instr=" SEQ level0 \*arabic \* MERGEFORMAT ">
        <w:r w:rsidR="006113B7" w:rsidRPr="006113B7">
          <w:t>60</w:t>
        </w:r>
      </w:fldSimple>
      <w:r w:rsidR="00F45141">
        <w:t>.</w:t>
      </w:r>
      <w:r>
        <w:t xml:space="preserve"> </w:t>
      </w:r>
      <w:r w:rsidR="00F45141">
        <w:t xml:space="preserve">Trybunał stwierdził już, że zawrócenie skarżących na Białoruś stanowiło naruszenie art. 3 Konwencji i art. 4 Protokołu nr 4 (zob. paragrafy </w:t>
      </w:r>
      <w:r w:rsidR="00B62731" w:rsidRPr="006113B7">
        <w:fldChar w:fldCharType="begin"/>
      </w:r>
      <w:r w:rsidR="00B62731" w:rsidRPr="006113B7">
        <w:instrText xml:space="preserve"> REF paragraph00041 \h  \* CharFormat </w:instrText>
      </w:r>
      <w:r w:rsidR="00B62731" w:rsidRPr="006113B7">
        <w:fldChar w:fldCharType="separate"/>
      </w:r>
      <w:r w:rsidR="006113B7" w:rsidRPr="006113B7">
        <w:t>43</w:t>
      </w:r>
      <w:r w:rsidR="00B62731" w:rsidRPr="006113B7">
        <w:fldChar w:fldCharType="end"/>
      </w:r>
      <w:r w:rsidR="00F45141">
        <w:t xml:space="preserve"> i </w:t>
      </w:r>
      <w:r w:rsidR="00B62731" w:rsidRPr="006113B7">
        <w:fldChar w:fldCharType="begin"/>
      </w:r>
      <w:r w:rsidR="00B62731" w:rsidRPr="006113B7">
        <w:instrText xml:space="preserve"> REF paragraph00053 \h  \* CharFormat </w:instrText>
      </w:r>
      <w:r w:rsidR="00B62731" w:rsidRPr="006113B7">
        <w:fldChar w:fldCharType="separate"/>
      </w:r>
      <w:r w:rsidR="006113B7" w:rsidRPr="006113B7">
        <w:t>36</w:t>
      </w:r>
      <w:r w:rsidR="00B62731" w:rsidRPr="006113B7">
        <w:fldChar w:fldCharType="end"/>
      </w:r>
      <w:r w:rsidR="00F45141">
        <w:t xml:space="preserve"> powyżej). Zarzuty zgłoszone przez skarżących w tym zakresie są zatem zarzutami „dającymi się uzasadnić” do celów art. 13 (zob. w szczególności </w:t>
      </w:r>
      <w:r w:rsidR="00F45141">
        <w:rPr>
          <w:i/>
          <w:iCs/>
        </w:rPr>
        <w:t>Hirsi Jamaa i Inni przeciwko Włochom</w:t>
      </w:r>
      <w:r w:rsidR="00F45141">
        <w:t xml:space="preserve"> [WI], nr 27765/09, § 201, ECHR 2012). Ponadto Trybunał orzekł, że skarżących w niniejszej sprawie należy traktować jak osoby ubiegające się o azyl (zob. paragraf</w:t>
      </w:r>
      <w:r>
        <w:t xml:space="preserve"> </w:t>
      </w:r>
      <w:r w:rsidR="00B62731" w:rsidRPr="006113B7">
        <w:fldChar w:fldCharType="begin"/>
      </w:r>
      <w:r w:rsidR="00B62731" w:rsidRPr="006113B7">
        <w:instrText xml:space="preserve"> REF paragraph00033 \h  \* CharFormat </w:instrText>
      </w:r>
      <w:r w:rsidR="00B62731" w:rsidRPr="006113B7">
        <w:fldChar w:fldCharType="separate"/>
      </w:r>
      <w:r w:rsidR="006113B7" w:rsidRPr="006113B7">
        <w:t>35</w:t>
      </w:r>
      <w:r w:rsidR="00B62731" w:rsidRPr="006113B7">
        <w:fldChar w:fldCharType="end"/>
      </w:r>
      <w:r>
        <w:t xml:space="preserve"> </w:t>
      </w:r>
      <w:r w:rsidR="00F45141">
        <w:t>powyżej); ustalił również, że organy odpowiedzialne za kontrolę graniczną zlekceważyły twierdzenia skarżących dotyczące ryzyka narażenia na traktowanie niezgodne z art. 3 w razie ich zawrócenia na Białoruś oraz że nie uwzględniono osobistej sytuacji skarżących (zob. paragraf </w:t>
      </w:r>
      <w:r w:rsidR="00B62731" w:rsidRPr="006113B7">
        <w:fldChar w:fldCharType="begin"/>
      </w:r>
      <w:r w:rsidR="00B62731" w:rsidRPr="006113B7">
        <w:instrText xml:space="preserve"> REF paragraph00052 \h  \* CharFormat </w:instrText>
      </w:r>
      <w:r w:rsidR="00B62731" w:rsidRPr="006113B7">
        <w:fldChar w:fldCharType="separate"/>
      </w:r>
      <w:r w:rsidR="006113B7" w:rsidRPr="006113B7">
        <w:t>54</w:t>
      </w:r>
      <w:r w:rsidR="00B62731" w:rsidRPr="006113B7">
        <w:fldChar w:fldCharType="end"/>
      </w:r>
      <w:r w:rsidR="00F45141">
        <w:t xml:space="preserve"> powyżej).</w:t>
      </w:r>
    </w:p>
    <w:p w14:paraId="254AB15A" w14:textId="6F41C1D8" w:rsidR="00B62731" w:rsidRPr="006113B7" w:rsidRDefault="00D00F86" w:rsidP="006113B7">
      <w:pPr>
        <w:pStyle w:val="JuPara"/>
      </w:pPr>
      <w:fldSimple w:instr=" SEQ level0 \*arabic \* MERGEFORMAT ">
        <w:r w:rsidR="006113B7" w:rsidRPr="006113B7">
          <w:t>61</w:t>
        </w:r>
      </w:fldSimple>
      <w:r w:rsidR="00F45141">
        <w:t>.</w:t>
      </w:r>
      <w:r>
        <w:t xml:space="preserve"> </w:t>
      </w:r>
      <w:r w:rsidR="00F45141">
        <w:t xml:space="preserve">Ponadto Trybunał uznał już, że odwołanie od decyzji o odmowie wjazdu i dalsze skargi do sądów administracyjnych nie stanowią skutecznego środka odwoławczego w rozumieniu Konwencji, ponieważ nie mają automatycznego skutku zawieszającego (zob. paragraf </w:t>
      </w:r>
      <w:r w:rsidR="00B62731" w:rsidRPr="006113B7">
        <w:fldChar w:fldCharType="begin"/>
      </w:r>
      <w:r w:rsidR="00B62731" w:rsidRPr="006113B7">
        <w:instrText xml:space="preserve"> REF paragraph00021 \h  \* CharFormat </w:instrText>
      </w:r>
      <w:r w:rsidR="00B62731" w:rsidRPr="006113B7">
        <w:fldChar w:fldCharType="separate"/>
      </w:r>
      <w:r w:rsidR="006113B7" w:rsidRPr="006113B7">
        <w:t>23</w:t>
      </w:r>
      <w:r w:rsidR="00B62731" w:rsidRPr="006113B7">
        <w:fldChar w:fldCharType="end"/>
      </w:r>
      <w:r w:rsidR="00F45141">
        <w:t xml:space="preserve"> powyżej). Rząd nie wskazał żadnych innych środków odwoławczych, które mogłyby spełniać kryteria określone w art. 13 Konwencji. W związku z tym Trybunał stwierdza, że doszło do naruszenia art. 13 Konwencji w związku z art. 3 Konwencji oraz art. 4 Protokołu nr 4 do Konwencji.</w:t>
      </w:r>
    </w:p>
    <w:p w14:paraId="3D829287" w14:textId="77777777" w:rsidR="00B62731" w:rsidRPr="006113B7" w:rsidRDefault="00B62731" w:rsidP="006113B7">
      <w:pPr>
        <w:pStyle w:val="JuHIRoman"/>
      </w:pPr>
      <w:r>
        <w:t>ZARZUCANE NARUSZENIE ART. 34 KONWENCJI</w:t>
      </w:r>
    </w:p>
    <w:p w14:paraId="553C0DCC" w14:textId="1AADB2ED" w:rsidR="00B62731" w:rsidRPr="006113B7" w:rsidRDefault="00D00F86" w:rsidP="006113B7">
      <w:pPr>
        <w:pStyle w:val="JuPara"/>
      </w:pPr>
      <w:fldSimple w:instr=" SEQ level0 \*arabic \* MERGEFORMAT ">
        <w:r w:rsidR="006113B7" w:rsidRPr="006113B7">
          <w:t>62</w:t>
        </w:r>
      </w:fldSimple>
      <w:r w:rsidR="00F45141">
        <w:t>.</w:t>
      </w:r>
      <w:r>
        <w:t xml:space="preserve"> </w:t>
      </w:r>
      <w:r w:rsidR="00F45141">
        <w:t>Na koniec skarżący zarzucili, że Rząd nie zastosował do środka tymczasowego wskazanego przez Trybunał w sprawie skarżących. Powołali się na art. 34 Konwencji, który stanowi:</w:t>
      </w:r>
    </w:p>
    <w:p w14:paraId="7BEA3342" w14:textId="24FF8382" w:rsidR="00B62731" w:rsidRPr="006113B7" w:rsidRDefault="00B62731" w:rsidP="006113B7">
      <w:pPr>
        <w:pStyle w:val="JuQuot"/>
      </w:pPr>
      <w:r>
        <w:rPr>
          <w:rFonts w:asciiTheme="majorHAnsi" w:hAnsiTheme="majorHAnsi"/>
          <w:color w:val="000000"/>
          <w:szCs w:val="20"/>
        </w:rPr>
        <w:t>„Trybunał może przyjmować skargi każdej osoby, organizacji pozarządowej lub grupy jednostek, która uważa, że stała się ofiarą naruszenia przez jedną z Wysokich Układających się Stron praw zawartych w niniejszej konwencji lub jej protokołach.</w:t>
      </w:r>
      <w:r w:rsidR="00D00F86">
        <w:rPr>
          <w:rFonts w:asciiTheme="majorHAnsi" w:hAnsiTheme="majorHAnsi"/>
          <w:color w:val="000000"/>
          <w:szCs w:val="20"/>
        </w:rPr>
        <w:t xml:space="preserve"> </w:t>
      </w:r>
      <w:r>
        <w:rPr>
          <w:rFonts w:asciiTheme="majorHAnsi" w:hAnsiTheme="majorHAnsi"/>
          <w:color w:val="000000"/>
          <w:szCs w:val="20"/>
        </w:rPr>
        <w:t>Wysokie Układające się Strony zobowiązują się nie przeszkadzać w żaden sposób skutecznemu wykonywaniu tego prawa."</w:t>
      </w:r>
    </w:p>
    <w:p w14:paraId="62BD573F" w14:textId="77777777" w:rsidR="00B62731" w:rsidRPr="006113B7" w:rsidRDefault="00B62731" w:rsidP="006113B7">
      <w:pPr>
        <w:pStyle w:val="JuPara"/>
        <w:keepNext/>
        <w:keepLines/>
      </w:pPr>
      <w:r>
        <w:t>Reguła 39 Regulaminu Trybunału stanowi, w odpowiednim zakresie:</w:t>
      </w:r>
    </w:p>
    <w:p w14:paraId="14C8F7DD" w14:textId="2FACFAC1" w:rsidR="00B62731" w:rsidRPr="006113B7" w:rsidRDefault="00B62731" w:rsidP="006113B7">
      <w:pPr>
        <w:pStyle w:val="JuQuot"/>
        <w:keepNext/>
        <w:keepLines/>
      </w:pPr>
      <w:r>
        <w:rPr>
          <w:rFonts w:asciiTheme="majorHAnsi" w:hAnsiTheme="majorHAnsi"/>
          <w:color w:val="000000"/>
          <w:szCs w:val="20"/>
        </w:rPr>
        <w:t>„1.</w:t>
      </w:r>
      <w:r w:rsidR="00D00F86">
        <w:rPr>
          <w:rFonts w:asciiTheme="majorHAnsi" w:hAnsiTheme="majorHAnsi"/>
          <w:color w:val="000000"/>
          <w:szCs w:val="20"/>
        </w:rPr>
        <w:t xml:space="preserve"> </w:t>
      </w:r>
      <w:r>
        <w:rPr>
          <w:rFonts w:asciiTheme="majorHAnsi" w:hAnsiTheme="majorHAnsi"/>
          <w:color w:val="000000"/>
          <w:szCs w:val="20"/>
        </w:rPr>
        <w:t>Izba lub, tam gdzie to właściwe, Przewodniczący Sekcji lub sędzia dyżurny wyznaczony zgodnie z ustępem 4 niniejszego Artykułu, mogą, na wniosek strony lub innej osoby zainteresowanej, albo z urzędu, zalecić stronom środek tymczasowy, jaki należy według nich zastosować w interesie stron lub właściwego przebiegu postępowania".</w:t>
      </w:r>
    </w:p>
    <w:p w14:paraId="7CD982F1" w14:textId="604A054F" w:rsidR="00B62731" w:rsidRPr="006113B7" w:rsidRDefault="00B62731" w:rsidP="006113B7">
      <w:pPr>
        <w:pStyle w:val="JuQuot"/>
      </w:pPr>
      <w:r>
        <w:rPr>
          <w:rFonts w:asciiTheme="majorHAnsi" w:hAnsiTheme="majorHAnsi"/>
          <w:color w:val="000000"/>
          <w:szCs w:val="20"/>
        </w:rPr>
        <w:t>...”</w:t>
      </w:r>
    </w:p>
    <w:p w14:paraId="3F815774" w14:textId="45769E2B" w:rsidR="00B62731" w:rsidRPr="006113B7" w:rsidRDefault="00B62731" w:rsidP="006113B7">
      <w:pPr>
        <w:pStyle w:val="JuHA"/>
        <w:rPr>
          <w:rFonts w:eastAsia="Times New Roman"/>
        </w:rPr>
      </w:pPr>
      <w:r>
        <w:t>Oświadczenia stron</w:t>
      </w:r>
    </w:p>
    <w:p w14:paraId="6004D960" w14:textId="5482CE62"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63</w:t>
      </w:r>
      <w:r w:rsidRPr="006113B7">
        <w:rPr>
          <w:rFonts w:eastAsia="Times New Roman"/>
        </w:rPr>
        <w:fldChar w:fldCharType="end"/>
      </w:r>
      <w:r>
        <w:t>.</w:t>
      </w:r>
      <w:r w:rsidR="00D00F86">
        <w:t xml:space="preserve"> </w:t>
      </w:r>
      <w:r>
        <w:t xml:space="preserve">Skarżący argumentowali, że niezastosowanie przez polski Rząd środka tymczasowego wskazanego przez Trybunał w odniesieniu do ich </w:t>
      </w:r>
      <w:r>
        <w:lastRenderedPageBreak/>
        <w:t>sprawy stanowiło naruszenie art. 34. Wskazali, że Rząd zakwestionował środek tymczasowy i świadomie go nie zastosował.</w:t>
      </w:r>
    </w:p>
    <w:p w14:paraId="351428B8" w14:textId="2A35789A"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64</w:t>
      </w:r>
      <w:r w:rsidRPr="006113B7">
        <w:rPr>
          <w:rFonts w:eastAsia="Times New Roman"/>
        </w:rPr>
        <w:fldChar w:fldCharType="end"/>
      </w:r>
      <w:r>
        <w:t>.</w:t>
      </w:r>
      <w:r w:rsidR="00D00F86">
        <w:t xml:space="preserve"> </w:t>
      </w:r>
      <w:r>
        <w:t xml:space="preserve">Rząd argumentował, że pozwane państwo nie stworzyło żadnych przeszkód dla skutecznego wykonania przysługującego skarżącym prawa do złożenia skargi. Rząd stwierdził w szczególności, że niezastosowanie środka tymczasowego wskazanego przez Trybunał w dniu 16 czerwca 2017 r. nie stanowiło - w okolicznościach niniejszej sprawy - naruszenia art. 34 Konwencji. </w:t>
      </w:r>
      <w:r>
        <w:rPr>
          <w:rFonts w:asciiTheme="majorHAnsi" w:hAnsiTheme="majorHAnsi"/>
        </w:rPr>
        <w:t>Rząd zakwestionował ponadto możliwość zastosowania środka tymczasowego, wskazując, że skarżący nigdy nie zostali zgodnie z prawem przyjęci do Polski w pierwszej kolejności, a zatem nie mogli zostać usunięci.</w:t>
      </w:r>
    </w:p>
    <w:p w14:paraId="616AE373" w14:textId="2401F6ED" w:rsidR="00B62731" w:rsidRPr="006113B7" w:rsidRDefault="00B62731" w:rsidP="006113B7">
      <w:pPr>
        <w:pStyle w:val="JuHA"/>
        <w:rPr>
          <w:rFonts w:eastAsia="Times New Roman"/>
        </w:rPr>
      </w:pPr>
      <w:r>
        <w:t>Ocena Trybunału</w:t>
      </w:r>
    </w:p>
    <w:p w14:paraId="5CA48CFD" w14:textId="7089523E" w:rsidR="00B62731" w:rsidRPr="006113B7" w:rsidRDefault="00D00F86" w:rsidP="006113B7">
      <w:pPr>
        <w:pStyle w:val="JuPara"/>
        <w:rPr>
          <w:rFonts w:eastAsia="Times New Roman"/>
        </w:rPr>
      </w:pPr>
      <w:fldSimple w:instr=" SEQ level0 \*arabic \* MERGEFORMAT ">
        <w:r w:rsidR="006113B7" w:rsidRPr="006113B7">
          <w:t>65</w:t>
        </w:r>
      </w:fldSimple>
      <w:r w:rsidR="00F45141">
        <w:t>.</w:t>
      </w:r>
      <w:r>
        <w:t xml:space="preserve"> </w:t>
      </w:r>
      <w:r w:rsidR="00F45141">
        <w:t xml:space="preserve">Odpowiednie zasady ogólne dotyczące niezastosowania przez pozwane państwo środków tymczasowych wskazanych przez Trybunał na podstawie Reguły 39 Regulaminu Trybunału zostały streszczone w wyroku w sprawie </w:t>
      </w:r>
      <w:r w:rsidR="00F45141">
        <w:rPr>
          <w:i/>
          <w:iCs/>
        </w:rPr>
        <w:t>M.K. i Inni przeciwko Polsce</w:t>
      </w:r>
      <w:r w:rsidR="00F45141">
        <w:t xml:space="preserve"> (cyt. powyżej, §§ 229-34).</w:t>
      </w:r>
    </w:p>
    <w:p w14:paraId="2FC1BA6D" w14:textId="2BBA61F4"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66</w:t>
      </w:r>
      <w:r w:rsidRPr="006113B7">
        <w:rPr>
          <w:rFonts w:eastAsia="Times New Roman"/>
        </w:rPr>
        <w:fldChar w:fldCharType="end"/>
      </w:r>
      <w:r>
        <w:t>.</w:t>
      </w:r>
      <w:r w:rsidR="00D00F86">
        <w:t xml:space="preserve"> </w:t>
      </w:r>
      <w:r>
        <w:t>Trybunał przede wszystkim zauważa, że środek tymczasowy wskazany w sprawie skarżących w dniu 16 czerwca 2017 r. obejmował skierowane do władz polecenie zaniechania zawrócenia skarżących na Białoruś. Pomimo wskazania środka tymczasowego, skarżący zostali zawróceni z punktu odprawy granicznej nie tylko w dniu, w którym środek został wskazany (zob. paragraf </w:t>
      </w:r>
      <w:r w:rsidRPr="006113B7">
        <w:rPr>
          <w:rFonts w:eastAsia="Times New Roman"/>
        </w:rPr>
        <w:fldChar w:fldCharType="begin"/>
      </w:r>
      <w:r w:rsidRPr="006113B7">
        <w:rPr>
          <w:rFonts w:eastAsia="Times New Roman"/>
        </w:rPr>
        <w:instrText xml:space="preserve"> REF paragraph00009 \h  \* CharFormat </w:instrText>
      </w:r>
      <w:r w:rsidRPr="006113B7">
        <w:rPr>
          <w:rFonts w:eastAsia="Times New Roman"/>
        </w:rPr>
      </w:r>
      <w:r w:rsidRPr="006113B7">
        <w:rPr>
          <w:rFonts w:eastAsia="Times New Roman"/>
        </w:rPr>
        <w:fldChar w:fldCharType="separate"/>
      </w:r>
      <w:r w:rsidR="006113B7" w:rsidRPr="006113B7">
        <w:rPr>
          <w:rFonts w:eastAsia="Times New Roman"/>
        </w:rPr>
        <w:t>10</w:t>
      </w:r>
      <w:r w:rsidRPr="006113B7">
        <w:rPr>
          <w:rFonts w:eastAsia="Times New Roman"/>
        </w:rPr>
        <w:fldChar w:fldCharType="end"/>
      </w:r>
      <w:r>
        <w:t xml:space="preserve"> powyżej), ale także przy innej okazji, w dniu 19 czerwca 2017 r. (zob. paragraf </w:t>
      </w:r>
      <w:r w:rsidRPr="006113B7">
        <w:rPr>
          <w:rFonts w:eastAsia="Times New Roman"/>
        </w:rPr>
        <w:fldChar w:fldCharType="begin"/>
      </w:r>
      <w:r w:rsidRPr="006113B7">
        <w:rPr>
          <w:rFonts w:eastAsia="Times New Roman"/>
        </w:rPr>
        <w:instrText xml:space="preserve"> REF paragraph00010 \h  \* CharFormat </w:instrText>
      </w:r>
      <w:r w:rsidRPr="006113B7">
        <w:rPr>
          <w:rFonts w:eastAsia="Times New Roman"/>
        </w:rPr>
      </w:r>
      <w:r w:rsidRPr="006113B7">
        <w:rPr>
          <w:rFonts w:eastAsia="Times New Roman"/>
        </w:rPr>
        <w:fldChar w:fldCharType="separate"/>
      </w:r>
      <w:r w:rsidR="006113B7" w:rsidRPr="006113B7">
        <w:rPr>
          <w:rFonts w:eastAsia="Times New Roman"/>
        </w:rPr>
        <w:t>11</w:t>
      </w:r>
      <w:r w:rsidRPr="006113B7">
        <w:rPr>
          <w:rFonts w:eastAsia="Times New Roman"/>
        </w:rPr>
        <w:fldChar w:fldCharType="end"/>
      </w:r>
      <w:r>
        <w:t xml:space="preserve"> powyżej).</w:t>
      </w:r>
      <w:r w:rsidR="00D00F86">
        <w:t xml:space="preserve"> </w:t>
      </w:r>
      <w:r>
        <w:t>Należy zauważyć, że przy tej okazji skarżący mieli przy sobie kopię pisma informującego ich o wskazaniu środka tymczasowego w ich sprawie.</w:t>
      </w:r>
    </w:p>
    <w:p w14:paraId="3619AC62" w14:textId="1F6E8F1C"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67</w:t>
      </w:r>
      <w:r w:rsidRPr="006113B7">
        <w:rPr>
          <w:rFonts w:eastAsia="Times New Roman"/>
        </w:rPr>
        <w:fldChar w:fldCharType="end"/>
      </w:r>
      <w:r>
        <w:t>.</w:t>
      </w:r>
      <w:r w:rsidR="00D00F86">
        <w:t xml:space="preserve"> </w:t>
      </w:r>
      <w:r>
        <w:t>Wobec powyższego Trybunał stwierdza, że Polska nie wywiązała się ze swoich obowiązków wynikających z art. 34 Konwencji.</w:t>
      </w:r>
    </w:p>
    <w:p w14:paraId="11F6FBB4" w14:textId="77777777" w:rsidR="00B62731" w:rsidRPr="006113B7" w:rsidRDefault="00B62731" w:rsidP="006113B7">
      <w:pPr>
        <w:pStyle w:val="JuHIRoman"/>
      </w:pPr>
      <w:r>
        <w:t>ZASTOSOWANIE ART. 41 KONWENCJI</w:t>
      </w:r>
    </w:p>
    <w:p w14:paraId="4B22E289" w14:textId="7140831F" w:rsidR="00B62731" w:rsidRPr="006113B7" w:rsidRDefault="00D00F86" w:rsidP="006113B7">
      <w:pPr>
        <w:pStyle w:val="JuPara"/>
        <w:keepNext/>
        <w:keepLines/>
      </w:pPr>
      <w:fldSimple w:instr=" SEQ level0 \*arabic ">
        <w:r w:rsidR="006113B7" w:rsidRPr="006113B7">
          <w:t>68</w:t>
        </w:r>
      </w:fldSimple>
      <w:r w:rsidR="00B62731">
        <w:t>.</w:t>
      </w:r>
      <w:r>
        <w:t xml:space="preserve"> </w:t>
      </w:r>
      <w:r w:rsidR="00B62731">
        <w:t>Art. 41 Konwencji stanowi:</w:t>
      </w:r>
    </w:p>
    <w:p w14:paraId="145979D0" w14:textId="77777777" w:rsidR="00B62731" w:rsidRPr="006113B7" w:rsidRDefault="00B62731" w:rsidP="006113B7">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47A2E473" w14:textId="77777777" w:rsidR="00B62731" w:rsidRPr="006113B7" w:rsidRDefault="00B62731" w:rsidP="006113B7">
      <w:pPr>
        <w:pStyle w:val="JuHA"/>
        <w:rPr>
          <w:rFonts w:eastAsia="Times New Roman"/>
        </w:rPr>
      </w:pPr>
      <w:r>
        <w:t>Szkoda</w:t>
      </w:r>
    </w:p>
    <w:p w14:paraId="4F22D8FB" w14:textId="5458A189"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69</w:t>
      </w:r>
      <w:r w:rsidRPr="006113B7">
        <w:rPr>
          <w:rFonts w:eastAsia="Times New Roman"/>
        </w:rPr>
        <w:fldChar w:fldCharType="end"/>
      </w:r>
      <w:r>
        <w:t>.</w:t>
      </w:r>
      <w:r w:rsidR="00D00F86">
        <w:t xml:space="preserve"> </w:t>
      </w:r>
      <w:r>
        <w:t>Skarżący domagali się 34.000 euro (EUR) tytułem zadośćuczynienia za szkodę niemajątkową oraz 1.056 euro (EUR) tytułem zadośćuczynienia za szkodę majątkową z tytułu wydatków poniesionych na bilety kolejowe z Brześcia do Terespola dla całej rodziny w trzydziestu trzech przypadkach.</w:t>
      </w:r>
    </w:p>
    <w:p w14:paraId="06EB00C9" w14:textId="313502D2" w:rsidR="00B62731" w:rsidRPr="006113B7" w:rsidRDefault="00B62731" w:rsidP="006113B7">
      <w:pPr>
        <w:pStyle w:val="JuPara"/>
        <w:rPr>
          <w:rFonts w:eastAsia="Times New Roman"/>
        </w:rPr>
      </w:pPr>
      <w:r w:rsidRPr="006113B7">
        <w:rPr>
          <w:rFonts w:eastAsia="Times New Roman"/>
        </w:rPr>
        <w:lastRenderedPageBreak/>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70</w:t>
      </w:r>
      <w:r w:rsidRPr="006113B7">
        <w:rPr>
          <w:rFonts w:eastAsia="Times New Roman"/>
        </w:rPr>
        <w:fldChar w:fldCharType="end"/>
      </w:r>
      <w:r>
        <w:t>.</w:t>
      </w:r>
      <w:r w:rsidR="00D00F86">
        <w:t xml:space="preserve"> </w:t>
      </w:r>
      <w:r>
        <w:t>Rząd twierdził, że kwoty wskazane przez skarżących są całkowicie nieuzasadnione i wygórowane.</w:t>
      </w:r>
    </w:p>
    <w:p w14:paraId="0089CC35" w14:textId="4FA71439" w:rsidR="00B62731" w:rsidRPr="006113B7" w:rsidRDefault="00B62731" w:rsidP="006113B7">
      <w:pPr>
        <w:pStyle w:val="JuPara"/>
        <w:rPr>
          <w:rFonts w:eastAsia="Times New Roman"/>
        </w:rPr>
      </w:pPr>
      <w:r w:rsidRPr="006113B7">
        <w:rPr>
          <w:rFonts w:eastAsia="Times New Roman"/>
        </w:rPr>
        <w:fldChar w:fldCharType="begin"/>
      </w:r>
      <w:r w:rsidRPr="006113B7">
        <w:rPr>
          <w:rFonts w:eastAsia="Times New Roman"/>
        </w:rPr>
        <w:instrText xml:space="preserve"> SEQ level0 \*arabic \* MERGEFORMAT </w:instrText>
      </w:r>
      <w:r w:rsidRPr="006113B7">
        <w:rPr>
          <w:rFonts w:eastAsia="Times New Roman"/>
        </w:rPr>
        <w:fldChar w:fldCharType="separate"/>
      </w:r>
      <w:r w:rsidR="006113B7" w:rsidRPr="006113B7">
        <w:rPr>
          <w:rFonts w:eastAsia="Times New Roman"/>
        </w:rPr>
        <w:t>71</w:t>
      </w:r>
      <w:r w:rsidRPr="006113B7">
        <w:rPr>
          <w:rFonts w:eastAsia="Times New Roman"/>
        </w:rPr>
        <w:fldChar w:fldCharType="end"/>
      </w:r>
      <w:r>
        <w:t>.</w:t>
      </w:r>
      <w:r w:rsidR="00D00F86">
        <w:t xml:space="preserve"> </w:t>
      </w:r>
      <w:r>
        <w:t>Trybunał, orzekając na zasadzie słuszności, przyznaje skarżącym 30.000 euro łącznie tytułem zadośćuczynienia za szkodę majątkową i niemajątkową.</w:t>
      </w:r>
    </w:p>
    <w:p w14:paraId="416BAEAC" w14:textId="77777777" w:rsidR="00B62731" w:rsidRPr="006113B7" w:rsidRDefault="00B62731" w:rsidP="006113B7">
      <w:pPr>
        <w:pStyle w:val="JuHA"/>
        <w:rPr>
          <w:rFonts w:eastAsia="Times New Roman"/>
        </w:rPr>
      </w:pPr>
      <w:r>
        <w:t>Koszty i wydatki</w:t>
      </w:r>
    </w:p>
    <w:p w14:paraId="5B18D6C6" w14:textId="6F167001" w:rsidR="00B62731" w:rsidRPr="006113B7" w:rsidRDefault="00D00F86" w:rsidP="006113B7">
      <w:pPr>
        <w:pStyle w:val="JuPara"/>
      </w:pPr>
      <w:fldSimple w:instr=" SEQ level0 \*arabic ">
        <w:r w:rsidR="006113B7" w:rsidRPr="006113B7">
          <w:t>72</w:t>
        </w:r>
      </w:fldSimple>
      <w:r w:rsidR="00B62731">
        <w:t>.</w:t>
      </w:r>
      <w:r>
        <w:t xml:space="preserve"> </w:t>
      </w:r>
      <w:r w:rsidR="00B62731">
        <w:t>Skarżący domagali się 722,44 euro (EUR) tytułem poniesionych kosztów i wydatków.</w:t>
      </w:r>
    </w:p>
    <w:p w14:paraId="62F44A83" w14:textId="376BDD6F" w:rsidR="00B62731" w:rsidRPr="006113B7" w:rsidRDefault="00D00F86" w:rsidP="006113B7">
      <w:pPr>
        <w:pStyle w:val="JuPara"/>
      </w:pPr>
      <w:fldSimple w:instr=" SEQ level0 \*arabic ">
        <w:r w:rsidR="006113B7" w:rsidRPr="006113B7">
          <w:t>73</w:t>
        </w:r>
      </w:fldSimple>
      <w:r w:rsidR="00B62731">
        <w:t>.</w:t>
      </w:r>
      <w:r>
        <w:t xml:space="preserve"> </w:t>
      </w:r>
      <w:r w:rsidR="00B62731">
        <w:t>Rząd uznał to roszczenie za wygórowane.</w:t>
      </w:r>
    </w:p>
    <w:p w14:paraId="50DB6299" w14:textId="5AB4F457" w:rsidR="00B62731" w:rsidRPr="006113B7" w:rsidRDefault="00D00F86" w:rsidP="006113B7">
      <w:pPr>
        <w:pStyle w:val="JuPara"/>
      </w:pPr>
      <w:fldSimple w:instr=" SEQ level0 \*arabic ">
        <w:r w:rsidR="006113B7" w:rsidRPr="006113B7">
          <w:t>74</w:t>
        </w:r>
      </w:fldSimple>
      <w:r w:rsidR="00B62731">
        <w:t>.</w:t>
      </w:r>
      <w:r>
        <w:t xml:space="preserve"> </w:t>
      </w:r>
      <w:r w:rsidR="00B62731">
        <w:t>Z orzecznictwa Trybunału wynika, że skarżący jest uprawniony do zwrotu kosztów i wydatków jedynie w zakresie, w jakim zostało wykazane, że zostały one faktycznie i koniecznie poniesione oraz były rozsądne co do wysokości. W niniejszej sprawie, biorąc pod uwagę dokumenty będące w jego posiadaniu oraz powyższe kryteria, Trybunał uważa za zasadne zasądzenie na rzecz skarżących kwoty 700 euro (EUR), plus wszelkie należne podatki, obejmującej koszty ze wszystkich tytułów.</w:t>
      </w:r>
    </w:p>
    <w:p w14:paraId="0B626DB6" w14:textId="77777777" w:rsidR="00B62731" w:rsidRPr="006113B7" w:rsidRDefault="00B62731" w:rsidP="006113B7">
      <w:pPr>
        <w:pStyle w:val="JuHA"/>
      </w:pPr>
      <w:r>
        <w:t>Odsetki z tytułu zwłoki</w:t>
      </w:r>
    </w:p>
    <w:p w14:paraId="5A17A8B2" w14:textId="26D0D933" w:rsidR="00B62731" w:rsidRPr="006113B7" w:rsidRDefault="00D00F86" w:rsidP="006113B7">
      <w:pPr>
        <w:pStyle w:val="JuPara"/>
      </w:pPr>
      <w:fldSimple w:instr=" SEQ level0 \*arabic ">
        <w:r w:rsidR="006113B7" w:rsidRPr="006113B7">
          <w:t>75</w:t>
        </w:r>
      </w:fldSimple>
      <w:r w:rsidR="00B62731">
        <w:t>.</w:t>
      </w:r>
      <w:r>
        <w:t xml:space="preserve"> </w:t>
      </w:r>
      <w:r w:rsidR="00B62731">
        <w:t>Trybunał uznaje za słuszne wyznaczenie wysokości odsetek za zwłokę na podstawie marginalnej stopy procentowej Europejskiego Banku Centralnego powiększonej o trzy punkty procentowe.</w:t>
      </w:r>
    </w:p>
    <w:p w14:paraId="58AF9CBD" w14:textId="77777777" w:rsidR="00B62731" w:rsidRPr="006113B7" w:rsidRDefault="00B62731" w:rsidP="006113B7">
      <w:pPr>
        <w:pStyle w:val="JuHHead"/>
      </w:pPr>
      <w:r>
        <w:t>Z TYCH WZGLĘDÓW TRYBUNAŁ JEDNOMYŚLNIE</w:t>
      </w:r>
    </w:p>
    <w:p w14:paraId="641CE3F6" w14:textId="77777777" w:rsidR="00B62731" w:rsidRPr="006113B7" w:rsidRDefault="00B62731" w:rsidP="006113B7">
      <w:pPr>
        <w:pStyle w:val="JuList"/>
      </w:pPr>
      <w:r>
        <w:rPr>
          <w:i/>
        </w:rPr>
        <w:t>Uznaje</w:t>
      </w:r>
      <w:r>
        <w:t xml:space="preserve"> skargę za dopuszczalną;</w:t>
      </w:r>
    </w:p>
    <w:p w14:paraId="43624463" w14:textId="77777777" w:rsidR="00B62731" w:rsidRPr="006113B7" w:rsidRDefault="00B62731" w:rsidP="006113B7">
      <w:pPr>
        <w:pStyle w:val="JuList"/>
      </w:pPr>
      <w:r>
        <w:rPr>
          <w:i/>
        </w:rPr>
        <w:t>Uznaje,</w:t>
      </w:r>
      <w:r>
        <w:t xml:space="preserve"> że nastąpiło naruszenie art. 3 Konwencji;</w:t>
      </w:r>
    </w:p>
    <w:p w14:paraId="2BE652A6" w14:textId="77777777" w:rsidR="00B62731" w:rsidRPr="006113B7" w:rsidRDefault="00B62731" w:rsidP="006113B7">
      <w:pPr>
        <w:pStyle w:val="JuList"/>
      </w:pPr>
      <w:r>
        <w:rPr>
          <w:i/>
        </w:rPr>
        <w:t>Uznaje,</w:t>
      </w:r>
      <w:r>
        <w:rPr>
          <w:color w:val="000000"/>
        </w:rPr>
        <w:t xml:space="preserve"> </w:t>
      </w:r>
      <w:r>
        <w:t>że nastąpiło naruszenie art. 4 Protokołu nr 4 do Konwencji;</w:t>
      </w:r>
    </w:p>
    <w:p w14:paraId="3DFD6520" w14:textId="62B44F32" w:rsidR="00B62731" w:rsidRPr="006113B7" w:rsidRDefault="00B62731" w:rsidP="006113B7">
      <w:pPr>
        <w:pStyle w:val="JuList"/>
      </w:pPr>
      <w:r>
        <w:rPr>
          <w:i/>
        </w:rPr>
        <w:t>Uznaje,</w:t>
      </w:r>
      <w:r>
        <w:rPr>
          <w:color w:val="000000"/>
        </w:rPr>
        <w:t xml:space="preserve"> </w:t>
      </w:r>
      <w:r>
        <w:t>że nastąpiło naruszenie art. 13 Konwencji w związku z art. 3 Konwencji oraz art. 4 Protokołu nr 4 do Konwencji;</w:t>
      </w:r>
    </w:p>
    <w:p w14:paraId="3D1D46A8" w14:textId="77777777" w:rsidR="00B62731" w:rsidRPr="006113B7" w:rsidRDefault="00B62731" w:rsidP="006113B7">
      <w:pPr>
        <w:pStyle w:val="JuList"/>
      </w:pPr>
      <w:r>
        <w:rPr>
          <w:i/>
        </w:rPr>
        <w:t>Uznaje,</w:t>
      </w:r>
      <w:r>
        <w:t xml:space="preserve"> że nastąpiło naruszenie art. 34 Konwencji;</w:t>
      </w:r>
    </w:p>
    <w:p w14:paraId="272C6031" w14:textId="77777777" w:rsidR="00B62731" w:rsidRPr="006113B7" w:rsidRDefault="00B62731" w:rsidP="006113B7">
      <w:pPr>
        <w:pStyle w:val="JuList"/>
      </w:pPr>
      <w:r>
        <w:rPr>
          <w:i/>
        </w:rPr>
        <w:t>Uznaje</w:t>
      </w:r>
    </w:p>
    <w:p w14:paraId="6C730460" w14:textId="77777777" w:rsidR="00B62731" w:rsidRPr="006113B7" w:rsidRDefault="00B62731" w:rsidP="006113B7">
      <w:pPr>
        <w:pStyle w:val="JuLista"/>
      </w:pPr>
      <w:r>
        <w:t>że pozwane Państwo powinno, w terminie trzech miesięcy, uiścić na rzecz skarżących wspólnie następujące kwoty,</w:t>
      </w:r>
      <w:bookmarkStart w:id="20" w:name="_Hlk97904369"/>
      <w:r>
        <w:t xml:space="preserve"> przeliczone na walutę pozwanego państwa </w:t>
      </w:r>
      <w:bookmarkEnd w:id="20"/>
      <w:r>
        <w:t>według kursu obowiązującego w dniu płatności:</w:t>
      </w:r>
    </w:p>
    <w:p w14:paraId="137BC925" w14:textId="77777777" w:rsidR="00B62731" w:rsidRPr="006113B7" w:rsidRDefault="00B62731" w:rsidP="006113B7">
      <w:pPr>
        <w:pStyle w:val="JuListi"/>
      </w:pPr>
      <w:r>
        <w:lastRenderedPageBreak/>
        <w:t>30.000 EUR (trzydzieści tysięcy euro), plus wszelkie należne podatki, tytułem zadośćuczynienia za szkodę majątkową i niemajątkową;</w:t>
      </w:r>
    </w:p>
    <w:p w14:paraId="0EE04412" w14:textId="77777777" w:rsidR="00B62731" w:rsidRPr="006113B7" w:rsidRDefault="00B62731" w:rsidP="006113B7">
      <w:pPr>
        <w:pStyle w:val="JuListi"/>
      </w:pPr>
      <w:r>
        <w:t>700 EUR (siedemset euro), plus wszelkie należne podatki, tytułem poniesionych kosztów i wydatków;</w:t>
      </w:r>
    </w:p>
    <w:p w14:paraId="4CA01FC9" w14:textId="77777777" w:rsidR="00B62731" w:rsidRPr="006113B7" w:rsidRDefault="00B62731" w:rsidP="006113B7">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35F0332B" w14:textId="758644AD" w:rsidR="004D0EC7" w:rsidRPr="006113B7" w:rsidRDefault="00B62731" w:rsidP="006113B7">
      <w:pPr>
        <w:pStyle w:val="JuList"/>
      </w:pPr>
      <w:r>
        <w:rPr>
          <w:i/>
          <w:iCs/>
        </w:rPr>
        <w:t>Oddala</w:t>
      </w:r>
      <w:r>
        <w:t xml:space="preserve"> pozostałą część żądania skarżących o słuszne zadośćuczynienie.</w:t>
      </w:r>
    </w:p>
    <w:p w14:paraId="5AE7C798" w14:textId="7D4CE065" w:rsidR="008E3A08" w:rsidRPr="006113B7" w:rsidRDefault="007E2C8C" w:rsidP="006113B7">
      <w:pPr>
        <w:pStyle w:val="JuParaLast"/>
      </w:pPr>
      <w:r>
        <w:t>Sporządzono w języku angielskim i obwieszczono pisemnie w dniu 30 czerwca 2022 r., zgodnie z Regułą 77 §§ 2 i 3 Regulaminu Trybunału.</w:t>
      </w:r>
    </w:p>
    <w:p w14:paraId="08E0FD4C" w14:textId="5461E815" w:rsidR="008B092C" w:rsidRPr="006113B7" w:rsidRDefault="00281B7C" w:rsidP="006113B7">
      <w:pPr>
        <w:pStyle w:val="ECHRPlaceholder"/>
        <w:rPr>
          <w:szCs w:val="22"/>
        </w:rPr>
      </w:pPr>
      <w:r>
        <w:tab/>
      </w:r>
    </w:p>
    <w:p w14:paraId="3A61EF60" w14:textId="720CD96A" w:rsidR="001C055B" w:rsidRPr="006113B7" w:rsidRDefault="002E7764" w:rsidP="006113B7">
      <w:pPr>
        <w:pStyle w:val="JuSigned"/>
      </w:pPr>
      <w:r>
        <w:tab/>
        <w:t xml:space="preserve">Liv Tigerstedt </w:t>
      </w:r>
      <w:r>
        <w:tab/>
        <w:t>Marko Bošnjak</w:t>
      </w:r>
      <w:r>
        <w:br/>
      </w:r>
      <w:r>
        <w:tab/>
        <w:t>Zastępca Kanclerza</w:t>
      </w:r>
      <w:r>
        <w:tab/>
        <w:t>Przewodniczący</w:t>
      </w:r>
    </w:p>
    <w:p w14:paraId="5A291A81" w14:textId="77777777" w:rsidR="00675AF2" w:rsidRPr="006113B7" w:rsidRDefault="00675AF2" w:rsidP="006113B7">
      <w:pPr>
        <w:pStyle w:val="JuPara"/>
      </w:pPr>
    </w:p>
    <w:p w14:paraId="680E39F1" w14:textId="77777777" w:rsidR="005E0DB7" w:rsidRPr="006113B7" w:rsidRDefault="005E0DB7" w:rsidP="006113B7">
      <w:pPr>
        <w:rPr>
          <w:rFonts w:asciiTheme="majorHAnsi" w:hAnsiTheme="majorHAnsi"/>
          <w:sz w:val="28"/>
        </w:rPr>
      </w:pPr>
      <w:r>
        <w:br w:type="page"/>
      </w:r>
    </w:p>
    <w:p w14:paraId="4242D237" w14:textId="425593A7" w:rsidR="00B62731" w:rsidRPr="006113B7" w:rsidRDefault="00B62731" w:rsidP="006113B7">
      <w:pPr>
        <w:pStyle w:val="DecHTitle"/>
      </w:pPr>
      <w:r>
        <w:lastRenderedPageBreak/>
        <w:t>ZAŁĄCZNIK</w:t>
      </w:r>
    </w:p>
    <w:p w14:paraId="1B989A49" w14:textId="77777777" w:rsidR="00B62731" w:rsidRPr="006113B7" w:rsidRDefault="00B62731" w:rsidP="006113B7">
      <w:pPr>
        <w:ind w:firstLine="284"/>
        <w:jc w:val="both"/>
      </w:pPr>
    </w:p>
    <w:tbl>
      <w:tblPr>
        <w:tblStyle w:val="ECHRListTable1"/>
        <w:tblW w:w="3490" w:type="pct"/>
        <w:tblLook w:val="0420" w:firstRow="1" w:lastRow="0" w:firstColumn="0" w:lastColumn="0" w:noHBand="0" w:noVBand="1"/>
      </w:tblPr>
      <w:tblGrid>
        <w:gridCol w:w="496"/>
        <w:gridCol w:w="1878"/>
        <w:gridCol w:w="1243"/>
        <w:gridCol w:w="1670"/>
      </w:tblGrid>
      <w:tr w:rsidR="00B62731" w:rsidRPr="006113B7" w14:paraId="6ED01552" w14:textId="77777777" w:rsidTr="004910F6">
        <w:trPr>
          <w:cnfStyle w:val="100000000000" w:firstRow="1" w:lastRow="0" w:firstColumn="0" w:lastColumn="0" w:oddVBand="0" w:evenVBand="0" w:oddHBand="0" w:evenHBand="0" w:firstRowFirstColumn="0" w:firstRowLastColumn="0" w:lastRowFirstColumn="0" w:lastRowLastColumn="0"/>
        </w:trPr>
        <w:tc>
          <w:tcPr>
            <w:tcW w:w="539" w:type="pct"/>
          </w:tcPr>
          <w:p w14:paraId="4863B457" w14:textId="77777777" w:rsidR="00B62731" w:rsidRPr="006113B7" w:rsidRDefault="00B62731" w:rsidP="006113B7">
            <w:r>
              <w:t>Nr</w:t>
            </w:r>
          </w:p>
        </w:tc>
        <w:tc>
          <w:tcPr>
            <w:tcW w:w="1932" w:type="pct"/>
          </w:tcPr>
          <w:p w14:paraId="340A54EF" w14:textId="62CF3828" w:rsidR="00B62731" w:rsidRPr="006113B7" w:rsidRDefault="00B62731" w:rsidP="006113B7">
            <w:r>
              <w:t>Imię i nazwisko skarżącego</w:t>
            </w:r>
          </w:p>
        </w:tc>
        <w:tc>
          <w:tcPr>
            <w:tcW w:w="1239" w:type="pct"/>
          </w:tcPr>
          <w:p w14:paraId="0B691AD0" w14:textId="77777777" w:rsidR="00B62731" w:rsidRPr="006113B7" w:rsidRDefault="00B62731" w:rsidP="006113B7">
            <w:r>
              <w:t>Rok urodzenia</w:t>
            </w:r>
          </w:p>
        </w:tc>
        <w:tc>
          <w:tcPr>
            <w:tcW w:w="1289" w:type="pct"/>
          </w:tcPr>
          <w:p w14:paraId="5A3643B3" w14:textId="77777777" w:rsidR="00B62731" w:rsidRPr="006113B7" w:rsidRDefault="00B62731" w:rsidP="006113B7">
            <w:r>
              <w:t>Obywatelstwo</w:t>
            </w:r>
          </w:p>
        </w:tc>
      </w:tr>
      <w:tr w:rsidR="00B62731" w:rsidRPr="006113B7" w14:paraId="1E09D26F" w14:textId="77777777" w:rsidTr="004910F6">
        <w:tc>
          <w:tcPr>
            <w:tcW w:w="539" w:type="pct"/>
          </w:tcPr>
          <w:p w14:paraId="3FCEEF30" w14:textId="77777777" w:rsidR="00B62731" w:rsidRPr="006113B7" w:rsidRDefault="00B62731" w:rsidP="006113B7">
            <w:r>
              <w:t>1</w:t>
            </w:r>
          </w:p>
        </w:tc>
        <w:tc>
          <w:tcPr>
            <w:tcW w:w="1932" w:type="pct"/>
          </w:tcPr>
          <w:p w14:paraId="00BADCC8" w14:textId="77777777" w:rsidR="00B62731" w:rsidRPr="006113B7" w:rsidRDefault="00B62731" w:rsidP="006113B7">
            <w:r>
              <w:t>Pan A.B.</w:t>
            </w:r>
          </w:p>
        </w:tc>
        <w:tc>
          <w:tcPr>
            <w:tcW w:w="1239" w:type="pct"/>
          </w:tcPr>
          <w:p w14:paraId="1BB49E0E" w14:textId="77777777" w:rsidR="00B62731" w:rsidRPr="006113B7" w:rsidRDefault="00B62731" w:rsidP="006113B7">
            <w:r>
              <w:t>1991</w:t>
            </w:r>
          </w:p>
        </w:tc>
        <w:tc>
          <w:tcPr>
            <w:tcW w:w="1289" w:type="pct"/>
          </w:tcPr>
          <w:p w14:paraId="7B2037CE" w14:textId="77777777" w:rsidR="00B62731" w:rsidRPr="006113B7" w:rsidRDefault="00B62731" w:rsidP="006113B7">
            <w:r>
              <w:t>rosyjskie</w:t>
            </w:r>
          </w:p>
        </w:tc>
      </w:tr>
      <w:tr w:rsidR="00B62731" w:rsidRPr="006113B7" w14:paraId="50B7E0E0" w14:textId="77777777" w:rsidTr="004910F6">
        <w:tc>
          <w:tcPr>
            <w:tcW w:w="539" w:type="pct"/>
          </w:tcPr>
          <w:p w14:paraId="79DAC077" w14:textId="77777777" w:rsidR="00B62731" w:rsidRPr="006113B7" w:rsidRDefault="00B62731" w:rsidP="006113B7">
            <w:r>
              <w:t>2</w:t>
            </w:r>
          </w:p>
        </w:tc>
        <w:tc>
          <w:tcPr>
            <w:tcW w:w="1932" w:type="pct"/>
          </w:tcPr>
          <w:p w14:paraId="581694C2" w14:textId="77777777" w:rsidR="00B62731" w:rsidRPr="006113B7" w:rsidRDefault="00B62731" w:rsidP="006113B7">
            <w:r>
              <w:t>Pani A.E.</w:t>
            </w:r>
          </w:p>
        </w:tc>
        <w:tc>
          <w:tcPr>
            <w:tcW w:w="1239" w:type="pct"/>
          </w:tcPr>
          <w:p w14:paraId="7555B64F" w14:textId="77777777" w:rsidR="00B62731" w:rsidRPr="006113B7" w:rsidRDefault="00B62731" w:rsidP="006113B7">
            <w:r>
              <w:t>1992</w:t>
            </w:r>
          </w:p>
        </w:tc>
        <w:tc>
          <w:tcPr>
            <w:tcW w:w="1289" w:type="pct"/>
          </w:tcPr>
          <w:p w14:paraId="743FDAC0" w14:textId="77777777" w:rsidR="00B62731" w:rsidRPr="006113B7" w:rsidRDefault="00B62731" w:rsidP="006113B7">
            <w:r>
              <w:t>rosyjskie</w:t>
            </w:r>
          </w:p>
        </w:tc>
      </w:tr>
      <w:tr w:rsidR="00B62731" w:rsidRPr="006113B7" w14:paraId="19340A15" w14:textId="77777777" w:rsidTr="004910F6">
        <w:tc>
          <w:tcPr>
            <w:tcW w:w="539" w:type="pct"/>
          </w:tcPr>
          <w:p w14:paraId="393AC538" w14:textId="77777777" w:rsidR="00B62731" w:rsidRPr="006113B7" w:rsidRDefault="00B62731" w:rsidP="006113B7">
            <w:r>
              <w:t>3</w:t>
            </w:r>
          </w:p>
        </w:tc>
        <w:tc>
          <w:tcPr>
            <w:tcW w:w="1932" w:type="pct"/>
          </w:tcPr>
          <w:p w14:paraId="1EACD900" w14:textId="77777777" w:rsidR="00B62731" w:rsidRPr="006113B7" w:rsidRDefault="00B62731" w:rsidP="006113B7">
            <w:r>
              <w:t>Pani A.K.</w:t>
            </w:r>
          </w:p>
        </w:tc>
        <w:tc>
          <w:tcPr>
            <w:tcW w:w="1239" w:type="pct"/>
          </w:tcPr>
          <w:p w14:paraId="680D9ECD" w14:textId="77777777" w:rsidR="00B62731" w:rsidRPr="006113B7" w:rsidRDefault="00B62731" w:rsidP="006113B7">
            <w:r>
              <w:t>1996</w:t>
            </w:r>
          </w:p>
        </w:tc>
        <w:tc>
          <w:tcPr>
            <w:tcW w:w="1289" w:type="pct"/>
          </w:tcPr>
          <w:p w14:paraId="6D921B73" w14:textId="77777777" w:rsidR="00B62731" w:rsidRPr="006113B7" w:rsidRDefault="00B62731" w:rsidP="006113B7">
            <w:r>
              <w:t>rosyjskie</w:t>
            </w:r>
          </w:p>
        </w:tc>
      </w:tr>
      <w:tr w:rsidR="00B62731" w:rsidRPr="006113B7" w14:paraId="1A99DB86" w14:textId="77777777" w:rsidTr="004910F6">
        <w:tc>
          <w:tcPr>
            <w:tcW w:w="539" w:type="pct"/>
          </w:tcPr>
          <w:p w14:paraId="7C73927B" w14:textId="77777777" w:rsidR="00B62731" w:rsidRPr="006113B7" w:rsidRDefault="00B62731" w:rsidP="006113B7">
            <w:r>
              <w:t>4</w:t>
            </w:r>
          </w:p>
        </w:tc>
        <w:tc>
          <w:tcPr>
            <w:tcW w:w="1932" w:type="pct"/>
          </w:tcPr>
          <w:p w14:paraId="78C76421" w14:textId="77777777" w:rsidR="00B62731" w:rsidRPr="006113B7" w:rsidRDefault="00B62731" w:rsidP="006113B7">
            <w:r>
              <w:t>I.B.</w:t>
            </w:r>
          </w:p>
        </w:tc>
        <w:tc>
          <w:tcPr>
            <w:tcW w:w="1239" w:type="pct"/>
          </w:tcPr>
          <w:p w14:paraId="1459321D" w14:textId="77777777" w:rsidR="00B62731" w:rsidRPr="006113B7" w:rsidRDefault="00B62731" w:rsidP="006113B7">
            <w:r>
              <w:t>2009</w:t>
            </w:r>
          </w:p>
        </w:tc>
        <w:tc>
          <w:tcPr>
            <w:tcW w:w="1289" w:type="pct"/>
          </w:tcPr>
          <w:p w14:paraId="3CE43A35" w14:textId="77777777" w:rsidR="00B62731" w:rsidRPr="006113B7" w:rsidRDefault="00B62731" w:rsidP="006113B7">
            <w:r>
              <w:t>rosyjskie</w:t>
            </w:r>
          </w:p>
        </w:tc>
      </w:tr>
      <w:tr w:rsidR="00B62731" w:rsidRPr="006113B7" w14:paraId="6A17C730" w14:textId="77777777" w:rsidTr="004910F6">
        <w:tc>
          <w:tcPr>
            <w:tcW w:w="539" w:type="pct"/>
          </w:tcPr>
          <w:p w14:paraId="1B87561C" w14:textId="77777777" w:rsidR="00B62731" w:rsidRPr="006113B7" w:rsidRDefault="00B62731" w:rsidP="006113B7">
            <w:r>
              <w:t>5</w:t>
            </w:r>
          </w:p>
        </w:tc>
        <w:tc>
          <w:tcPr>
            <w:tcW w:w="1932" w:type="pct"/>
          </w:tcPr>
          <w:p w14:paraId="31FF2D04" w14:textId="77777777" w:rsidR="00B62731" w:rsidRPr="006113B7" w:rsidRDefault="00B62731" w:rsidP="006113B7">
            <w:r>
              <w:t>A.B.</w:t>
            </w:r>
          </w:p>
        </w:tc>
        <w:tc>
          <w:tcPr>
            <w:tcW w:w="1239" w:type="pct"/>
          </w:tcPr>
          <w:p w14:paraId="256EB8D0" w14:textId="77777777" w:rsidR="00B62731" w:rsidRPr="006113B7" w:rsidRDefault="00B62731" w:rsidP="006113B7">
            <w:r>
              <w:t>2012</w:t>
            </w:r>
          </w:p>
        </w:tc>
        <w:tc>
          <w:tcPr>
            <w:tcW w:w="1289" w:type="pct"/>
          </w:tcPr>
          <w:p w14:paraId="23B4CC8B" w14:textId="77777777" w:rsidR="00B62731" w:rsidRPr="006113B7" w:rsidRDefault="00B62731" w:rsidP="006113B7">
            <w:r>
              <w:t>rosyjskie</w:t>
            </w:r>
          </w:p>
        </w:tc>
      </w:tr>
      <w:tr w:rsidR="00B62731" w:rsidRPr="006113B7" w14:paraId="09A6748E" w14:textId="77777777" w:rsidTr="004910F6">
        <w:tc>
          <w:tcPr>
            <w:tcW w:w="539" w:type="pct"/>
          </w:tcPr>
          <w:p w14:paraId="2D415C59" w14:textId="77777777" w:rsidR="00B62731" w:rsidRPr="006113B7" w:rsidRDefault="00B62731" w:rsidP="006113B7">
            <w:r>
              <w:t>6</w:t>
            </w:r>
          </w:p>
        </w:tc>
        <w:tc>
          <w:tcPr>
            <w:tcW w:w="1932" w:type="pct"/>
          </w:tcPr>
          <w:p w14:paraId="3F8088FD" w14:textId="77777777" w:rsidR="00B62731" w:rsidRPr="006113B7" w:rsidRDefault="00B62731" w:rsidP="006113B7">
            <w:r>
              <w:t>A.B.</w:t>
            </w:r>
          </w:p>
        </w:tc>
        <w:tc>
          <w:tcPr>
            <w:tcW w:w="1239" w:type="pct"/>
          </w:tcPr>
          <w:p w14:paraId="411436C4" w14:textId="77777777" w:rsidR="00B62731" w:rsidRPr="006113B7" w:rsidRDefault="00B62731" w:rsidP="006113B7">
            <w:r>
              <w:t>2015</w:t>
            </w:r>
          </w:p>
        </w:tc>
        <w:tc>
          <w:tcPr>
            <w:tcW w:w="1289" w:type="pct"/>
          </w:tcPr>
          <w:p w14:paraId="3F85C369" w14:textId="77777777" w:rsidR="00B62731" w:rsidRPr="006113B7" w:rsidRDefault="00B62731" w:rsidP="006113B7">
            <w:r>
              <w:t>rosyjskie</w:t>
            </w:r>
          </w:p>
        </w:tc>
      </w:tr>
    </w:tbl>
    <w:p w14:paraId="7608C91A" w14:textId="1D3546E5" w:rsidR="00182EBA" w:rsidRPr="006113B7" w:rsidRDefault="00182EBA" w:rsidP="006113B7"/>
    <w:sectPr w:rsidR="00182EBA" w:rsidRPr="006113B7" w:rsidSect="007D3701">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A658E" w14:textId="77777777" w:rsidR="006B0325" w:rsidRPr="00E67565" w:rsidRDefault="006B0325" w:rsidP="0098410D">
      <w:r w:rsidRPr="00E67565">
        <w:separator/>
      </w:r>
    </w:p>
  </w:endnote>
  <w:endnote w:type="continuationSeparator" w:id="0">
    <w:p w14:paraId="732CF302" w14:textId="77777777" w:rsidR="006B0325" w:rsidRPr="00E67565" w:rsidRDefault="006B032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6926F" w14:textId="77777777" w:rsidR="00B62731" w:rsidRDefault="00B6273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9DBC1" w14:textId="00D5CB7A" w:rsidR="00B62731" w:rsidRPr="00150BFA" w:rsidRDefault="00B62731" w:rsidP="0020718E">
    <w:pPr>
      <w:jc w:val="center"/>
    </w:pPr>
    <w:r>
      <w:rPr>
        <w:noProof/>
        <w:lang w:eastAsia="pl-PL"/>
      </w:rPr>
      <w:drawing>
        <wp:inline distT="0" distB="0" distL="0" distR="0" wp14:anchorId="7D7AA513" wp14:editId="651BB25A">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EFEF1B9" w14:textId="729608A0"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18360" w14:textId="68E47B52" w:rsidR="00B62731" w:rsidRPr="00150BFA" w:rsidRDefault="00B62731" w:rsidP="0020718E">
    <w:pPr>
      <w:jc w:val="center"/>
    </w:pPr>
    <w:r>
      <w:rPr>
        <w:noProof/>
        <w:lang w:eastAsia="pl-PL"/>
      </w:rPr>
      <w:drawing>
        <wp:inline distT="0" distB="0" distL="0" distR="0" wp14:anchorId="2EC5370F" wp14:editId="5EDDF8A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BFB56F" w14:textId="04987C48"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5FC6E" w14:textId="782CA684" w:rsidR="00182EBA" w:rsidRDefault="00B62731" w:rsidP="009A115C">
    <w:pPr>
      <w:pStyle w:val="JuHeader"/>
    </w:pPr>
    <w:r>
      <w:rPr>
        <w:rStyle w:val="Numerstrony"/>
      </w:rPr>
      <w:fldChar w:fldCharType="begin"/>
    </w:r>
    <w:r>
      <w:rPr>
        <w:rStyle w:val="Numerstrony"/>
      </w:rPr>
      <w:instrText xml:space="preserve"> PAGE </w:instrText>
    </w:r>
    <w:r>
      <w:rPr>
        <w:rStyle w:val="Numerstrony"/>
      </w:rPr>
      <w:fldChar w:fldCharType="separate"/>
    </w:r>
    <w:r w:rsidR="00205F2F">
      <w:rPr>
        <w:rStyle w:val="Numerstrony"/>
        <w:noProof/>
      </w:rPr>
      <w:t>16</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41FC7" w14:textId="43B3778F" w:rsidR="00182EBA" w:rsidRPr="000B7195" w:rsidRDefault="00B62731" w:rsidP="007D3701">
    <w:pPr>
      <w:pStyle w:val="JuHeader"/>
    </w:pPr>
    <w:r>
      <w:fldChar w:fldCharType="begin"/>
    </w:r>
    <w:r>
      <w:instrText xml:space="preserve"> PAGE </w:instrText>
    </w:r>
    <w:r>
      <w:fldChar w:fldCharType="separate"/>
    </w:r>
    <w:r w:rsidR="00205F2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573AD" w14:textId="77777777" w:rsidR="006B0325" w:rsidRPr="00E67565" w:rsidRDefault="006B0325" w:rsidP="0098410D">
      <w:r w:rsidRPr="00E67565">
        <w:separator/>
      </w:r>
    </w:p>
  </w:footnote>
  <w:footnote w:type="continuationSeparator" w:id="0">
    <w:p w14:paraId="3F36D172" w14:textId="77777777" w:rsidR="006B0325" w:rsidRPr="00E67565" w:rsidRDefault="006B0325"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AFD75" w14:textId="77777777" w:rsidR="00B62731" w:rsidRDefault="00B627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389C5" w14:textId="7DF4D1F8" w:rsidR="00B62731" w:rsidRPr="00A45145" w:rsidRDefault="00B62731" w:rsidP="00A45145">
    <w:pPr>
      <w:jc w:val="center"/>
    </w:pPr>
    <w:r>
      <w:rPr>
        <w:noProof/>
        <w:lang w:eastAsia="pl-PL"/>
      </w:rPr>
      <w:drawing>
        <wp:inline distT="0" distB="0" distL="0" distR="0" wp14:anchorId="481F31C5" wp14:editId="6FC53BE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B8166CF" w14:textId="7C9868AE"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ADD54" w14:textId="48DC9BBA" w:rsidR="00B62731" w:rsidRPr="00A45145" w:rsidRDefault="00B62731" w:rsidP="00A45145">
    <w:pPr>
      <w:jc w:val="center"/>
    </w:pPr>
    <w:r>
      <w:rPr>
        <w:noProof/>
        <w:lang w:eastAsia="pl-PL"/>
      </w:rPr>
      <w:drawing>
        <wp:inline distT="0" distB="0" distL="0" distR="0" wp14:anchorId="7AE4E1A7" wp14:editId="39B1BE8D">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E37CC74" w14:textId="72E7FCDD"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455DC" w14:textId="4FB86B4B" w:rsidR="00182EBA" w:rsidRPr="004D0EC7" w:rsidRDefault="00B62731" w:rsidP="004D0EC7">
    <w:pPr>
      <w:pStyle w:val="JuHeader"/>
    </w:pPr>
    <w:r>
      <w:t>A.B. I INNI przeciwko POLSCE, WYROK</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0C934" w14:textId="343EC67C" w:rsidR="00182EBA" w:rsidRPr="00882CD5" w:rsidRDefault="00B62731" w:rsidP="007D3701">
    <w:pPr>
      <w:pStyle w:val="JuHeader"/>
    </w:pPr>
    <w:r>
      <w:t>A.B. I INNI przeciwko POLSCE, WYROK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3"/>
  </w:docVars>
  <w:rsids>
    <w:rsidRoot w:val="00B6273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3264"/>
    <w:rsid w:val="00104E23"/>
    <w:rsid w:val="00110DA8"/>
    <w:rsid w:val="00111B0C"/>
    <w:rsid w:val="00120D6C"/>
    <w:rsid w:val="001257EC"/>
    <w:rsid w:val="00133D33"/>
    <w:rsid w:val="00134B6A"/>
    <w:rsid w:val="00134CDC"/>
    <w:rsid w:val="00134D64"/>
    <w:rsid w:val="00135A30"/>
    <w:rsid w:val="0013612C"/>
    <w:rsid w:val="00137FF6"/>
    <w:rsid w:val="00141650"/>
    <w:rsid w:val="001561B6"/>
    <w:rsid w:val="00162A12"/>
    <w:rsid w:val="00165CEB"/>
    <w:rsid w:val="00166530"/>
    <w:rsid w:val="00170027"/>
    <w:rsid w:val="00182EBA"/>
    <w:rsid w:val="001832BD"/>
    <w:rsid w:val="001943B5"/>
    <w:rsid w:val="00195134"/>
    <w:rsid w:val="001A020C"/>
    <w:rsid w:val="001A145B"/>
    <w:rsid w:val="001A3E09"/>
    <w:rsid w:val="001A674C"/>
    <w:rsid w:val="001B3B24"/>
    <w:rsid w:val="001C055B"/>
    <w:rsid w:val="001C0F98"/>
    <w:rsid w:val="001C29EA"/>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2F"/>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61AB"/>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0DB7"/>
    <w:rsid w:val="005E2988"/>
    <w:rsid w:val="005E3085"/>
    <w:rsid w:val="005F0EB3"/>
    <w:rsid w:val="005F51E1"/>
    <w:rsid w:val="006113B7"/>
    <w:rsid w:val="00611C80"/>
    <w:rsid w:val="006128F4"/>
    <w:rsid w:val="00620692"/>
    <w:rsid w:val="006242CA"/>
    <w:rsid w:val="00625AC5"/>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3FBF"/>
    <w:rsid w:val="006A406F"/>
    <w:rsid w:val="006A5D3A"/>
    <w:rsid w:val="006B0325"/>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3346"/>
    <w:rsid w:val="008577FD"/>
    <w:rsid w:val="00860B03"/>
    <w:rsid w:val="0086497A"/>
    <w:rsid w:val="00867066"/>
    <w:rsid w:val="008713A1"/>
    <w:rsid w:val="00872584"/>
    <w:rsid w:val="008754AB"/>
    <w:rsid w:val="0088060C"/>
    <w:rsid w:val="00882CD5"/>
    <w:rsid w:val="00883151"/>
    <w:rsid w:val="008903B6"/>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3CE2"/>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3146"/>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0CCC"/>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62731"/>
    <w:rsid w:val="00B701ED"/>
    <w:rsid w:val="00B748F7"/>
    <w:rsid w:val="00B8086C"/>
    <w:rsid w:val="00B81C58"/>
    <w:rsid w:val="00B861B4"/>
    <w:rsid w:val="00B86DFE"/>
    <w:rsid w:val="00B90990"/>
    <w:rsid w:val="00B922FF"/>
    <w:rsid w:val="00B9281E"/>
    <w:rsid w:val="00B93925"/>
    <w:rsid w:val="00B95187"/>
    <w:rsid w:val="00BA2D55"/>
    <w:rsid w:val="00BA61F2"/>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0F86"/>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40E"/>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5141"/>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A8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113B7"/>
    <w:rPr>
      <w:sz w:val="24"/>
      <w:szCs w:val="24"/>
    </w:rPr>
  </w:style>
  <w:style w:type="paragraph" w:styleId="Nagwek1">
    <w:name w:val="heading 1"/>
    <w:basedOn w:val="Normalny"/>
    <w:next w:val="Normalny"/>
    <w:link w:val="Nagwek1Znak"/>
    <w:uiPriority w:val="98"/>
    <w:semiHidden/>
    <w:rsid w:val="006113B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113B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113B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113B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113B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113B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113B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113B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113B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113B7"/>
    <w:rPr>
      <w:rFonts w:ascii="Tahoma" w:hAnsi="Tahoma" w:cs="Tahoma"/>
      <w:sz w:val="16"/>
      <w:szCs w:val="16"/>
    </w:rPr>
  </w:style>
  <w:style w:type="character" w:customStyle="1" w:styleId="TekstdymkaZnak">
    <w:name w:val="Tekst dymka Znak"/>
    <w:basedOn w:val="Domylnaczcionkaakapitu"/>
    <w:link w:val="Tekstdymka"/>
    <w:uiPriority w:val="98"/>
    <w:semiHidden/>
    <w:rsid w:val="006113B7"/>
    <w:rPr>
      <w:rFonts w:ascii="Tahoma" w:hAnsi="Tahoma" w:cs="Tahoma"/>
      <w:sz w:val="16"/>
      <w:szCs w:val="16"/>
      <w:lang w:val="pl-PL"/>
    </w:rPr>
  </w:style>
  <w:style w:type="character" w:styleId="Tytuksiki">
    <w:name w:val="Book Title"/>
    <w:uiPriority w:val="98"/>
    <w:semiHidden/>
    <w:qFormat/>
    <w:rsid w:val="006113B7"/>
    <w:rPr>
      <w:i/>
      <w:iCs/>
      <w:smallCaps/>
      <w:spacing w:val="5"/>
    </w:rPr>
  </w:style>
  <w:style w:type="paragraph" w:customStyle="1" w:styleId="JuHeader">
    <w:name w:val="Ju_Header"/>
    <w:aliases w:val="_Header"/>
    <w:basedOn w:val="Nagwek"/>
    <w:uiPriority w:val="29"/>
    <w:qFormat/>
    <w:rsid w:val="006113B7"/>
    <w:pPr>
      <w:tabs>
        <w:tab w:val="clear" w:pos="4536"/>
        <w:tab w:val="clear" w:pos="9072"/>
      </w:tabs>
      <w:jc w:val="center"/>
    </w:pPr>
    <w:rPr>
      <w:sz w:val="18"/>
    </w:rPr>
  </w:style>
  <w:style w:type="paragraph" w:customStyle="1" w:styleId="NormalJustified">
    <w:name w:val="Normal_Justified"/>
    <w:basedOn w:val="Normalny"/>
    <w:semiHidden/>
    <w:rsid w:val="006113B7"/>
    <w:pPr>
      <w:jc w:val="both"/>
    </w:pPr>
  </w:style>
  <w:style w:type="character" w:styleId="Pogrubienie">
    <w:name w:val="Strong"/>
    <w:uiPriority w:val="98"/>
    <w:semiHidden/>
    <w:qFormat/>
    <w:rsid w:val="006113B7"/>
    <w:rPr>
      <w:b/>
      <w:bCs/>
    </w:rPr>
  </w:style>
  <w:style w:type="paragraph" w:styleId="Bezodstpw">
    <w:name w:val="No Spacing"/>
    <w:basedOn w:val="Normalny"/>
    <w:link w:val="BezodstpwZnak"/>
    <w:uiPriority w:val="98"/>
    <w:semiHidden/>
    <w:qFormat/>
    <w:rsid w:val="006113B7"/>
  </w:style>
  <w:style w:type="character" w:customStyle="1" w:styleId="BezodstpwZnak">
    <w:name w:val="Bez odstępów Znak"/>
    <w:basedOn w:val="Domylnaczcionkaakapitu"/>
    <w:link w:val="Bezodstpw"/>
    <w:uiPriority w:val="98"/>
    <w:semiHidden/>
    <w:rsid w:val="006113B7"/>
    <w:rPr>
      <w:sz w:val="24"/>
      <w:szCs w:val="24"/>
      <w:lang w:val="pl-PL"/>
    </w:rPr>
  </w:style>
  <w:style w:type="paragraph" w:customStyle="1" w:styleId="JuQuot">
    <w:name w:val="Ju_Quot"/>
    <w:aliases w:val="_Quote"/>
    <w:basedOn w:val="NormalJustified"/>
    <w:uiPriority w:val="20"/>
    <w:qFormat/>
    <w:rsid w:val="006113B7"/>
    <w:pPr>
      <w:spacing w:before="120" w:after="120"/>
      <w:ind w:left="425" w:firstLine="142"/>
    </w:pPr>
    <w:rPr>
      <w:sz w:val="20"/>
    </w:rPr>
  </w:style>
  <w:style w:type="table" w:customStyle="1" w:styleId="Tabelasiatki1jasna1">
    <w:name w:val="Tabela siatki 1 — jasna1"/>
    <w:basedOn w:val="Standardowy"/>
    <w:uiPriority w:val="46"/>
    <w:semiHidden/>
    <w:rsid w:val="00165CE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6113B7"/>
    <w:pPr>
      <w:numPr>
        <w:numId w:val="20"/>
      </w:numPr>
      <w:spacing w:before="280" w:after="60"/>
    </w:pPr>
  </w:style>
  <w:style w:type="paragraph" w:customStyle="1" w:styleId="JuLista">
    <w:name w:val="Ju_List_a"/>
    <w:aliases w:val="_List_2"/>
    <w:basedOn w:val="NormalJustified"/>
    <w:uiPriority w:val="23"/>
    <w:rsid w:val="006113B7"/>
    <w:pPr>
      <w:numPr>
        <w:ilvl w:val="1"/>
        <w:numId w:val="20"/>
      </w:numPr>
    </w:pPr>
  </w:style>
  <w:style w:type="paragraph" w:customStyle="1" w:styleId="JuListi">
    <w:name w:val="Ju_List_i"/>
    <w:aliases w:val="_List_3"/>
    <w:basedOn w:val="NormalJustified"/>
    <w:uiPriority w:val="23"/>
    <w:rsid w:val="006113B7"/>
    <w:pPr>
      <w:numPr>
        <w:ilvl w:val="2"/>
        <w:numId w:val="20"/>
      </w:numPr>
    </w:pPr>
  </w:style>
  <w:style w:type="paragraph" w:customStyle="1" w:styleId="JuHArticle">
    <w:name w:val="Ju_H_Article"/>
    <w:aliases w:val="_Title_Quote"/>
    <w:basedOn w:val="Normalny"/>
    <w:next w:val="JuQuot"/>
    <w:uiPriority w:val="19"/>
    <w:qFormat/>
    <w:rsid w:val="006113B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113B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113B7"/>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113B7"/>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6113B7"/>
    <w:pPr>
      <w:numPr>
        <w:numId w:val="14"/>
      </w:numPr>
    </w:pPr>
  </w:style>
  <w:style w:type="paragraph" w:customStyle="1" w:styleId="JuSigned">
    <w:name w:val="Ju_Signed"/>
    <w:aliases w:val="_Signature"/>
    <w:basedOn w:val="Normalny"/>
    <w:next w:val="JuPara"/>
    <w:uiPriority w:val="31"/>
    <w:qFormat/>
    <w:rsid w:val="006113B7"/>
    <w:pPr>
      <w:tabs>
        <w:tab w:val="center" w:pos="1418"/>
        <w:tab w:val="center" w:pos="5954"/>
      </w:tabs>
      <w:spacing w:before="720"/>
    </w:pPr>
  </w:style>
  <w:style w:type="paragraph" w:styleId="Tytu">
    <w:name w:val="Title"/>
    <w:basedOn w:val="Normalny"/>
    <w:next w:val="Normalny"/>
    <w:link w:val="TytuZnak"/>
    <w:uiPriority w:val="98"/>
    <w:semiHidden/>
    <w:qFormat/>
    <w:rsid w:val="006113B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113B7"/>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6113B7"/>
    <w:pPr>
      <w:numPr>
        <w:numId w:val="15"/>
      </w:numPr>
    </w:pPr>
  </w:style>
  <w:style w:type="numbering" w:customStyle="1" w:styleId="ECHRA1StyleNumberedList">
    <w:name w:val="ECHR_A1_Style_Numbered_List"/>
    <w:basedOn w:val="Bezlisty"/>
    <w:rsid w:val="006113B7"/>
    <w:pPr>
      <w:numPr>
        <w:numId w:val="16"/>
      </w:numPr>
    </w:pPr>
  </w:style>
  <w:style w:type="table" w:customStyle="1" w:styleId="ECHRTable2019">
    <w:name w:val="ECHR_Table_2019"/>
    <w:basedOn w:val="Standardowy"/>
    <w:uiPriority w:val="99"/>
    <w:rsid w:val="006113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6113B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113B7"/>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113B7"/>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6113B7"/>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6113B7"/>
    <w:pPr>
      <w:tabs>
        <w:tab w:val="center" w:pos="4536"/>
        <w:tab w:val="right" w:pos="9072"/>
      </w:tabs>
    </w:pPr>
  </w:style>
  <w:style w:type="character" w:customStyle="1" w:styleId="NagwekZnak">
    <w:name w:val="Nagłówek Znak"/>
    <w:basedOn w:val="Domylnaczcionkaakapitu"/>
    <w:link w:val="Nagwek"/>
    <w:uiPriority w:val="98"/>
    <w:semiHidden/>
    <w:rsid w:val="006113B7"/>
    <w:rPr>
      <w:sz w:val="24"/>
      <w:szCs w:val="24"/>
      <w:lang w:val="pl-PL"/>
    </w:rPr>
  </w:style>
  <w:style w:type="character" w:customStyle="1" w:styleId="Nagwek1Znak">
    <w:name w:val="Nagłówek 1 Znak"/>
    <w:basedOn w:val="Domylnaczcionkaakapitu"/>
    <w:link w:val="Nagwek1"/>
    <w:uiPriority w:val="98"/>
    <w:semiHidden/>
    <w:rsid w:val="006113B7"/>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6113B7"/>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6113B7"/>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6113B7"/>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6113B7"/>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6113B7"/>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6113B7"/>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6113B7"/>
    <w:pPr>
      <w:keepNext/>
      <w:keepLines/>
      <w:spacing w:before="240" w:after="240"/>
      <w:ind w:firstLine="284"/>
    </w:pPr>
  </w:style>
  <w:style w:type="paragraph" w:customStyle="1" w:styleId="JuJudges">
    <w:name w:val="Ju_Judges"/>
    <w:aliases w:val="_Judges"/>
    <w:basedOn w:val="Normalny"/>
    <w:uiPriority w:val="32"/>
    <w:qFormat/>
    <w:rsid w:val="006113B7"/>
    <w:pPr>
      <w:tabs>
        <w:tab w:val="left" w:pos="567"/>
        <w:tab w:val="left" w:pos="1134"/>
      </w:tabs>
    </w:pPr>
  </w:style>
  <w:style w:type="character" w:customStyle="1" w:styleId="Nagwek4Znak">
    <w:name w:val="Nagłówek 4 Znak"/>
    <w:basedOn w:val="Domylnaczcionkaakapitu"/>
    <w:link w:val="Nagwek4"/>
    <w:uiPriority w:val="98"/>
    <w:semiHidden/>
    <w:rsid w:val="006113B7"/>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6113B7"/>
    <w:pPr>
      <w:tabs>
        <w:tab w:val="center" w:pos="6407"/>
      </w:tabs>
      <w:spacing w:before="720"/>
      <w:jc w:val="right"/>
    </w:pPr>
  </w:style>
  <w:style w:type="character" w:customStyle="1" w:styleId="Nagwek5Znak">
    <w:name w:val="Nagłówek 5 Znak"/>
    <w:basedOn w:val="Domylnaczcionkaakapitu"/>
    <w:link w:val="Nagwek5"/>
    <w:uiPriority w:val="98"/>
    <w:semiHidden/>
    <w:rsid w:val="006113B7"/>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6113B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113B7"/>
    <w:rPr>
      <w:caps w:val="0"/>
      <w:smallCaps/>
    </w:rPr>
  </w:style>
  <w:style w:type="character" w:styleId="Wyrnieniedelikatne">
    <w:name w:val="Subtle Emphasis"/>
    <w:uiPriority w:val="98"/>
    <w:semiHidden/>
    <w:qFormat/>
    <w:rsid w:val="006113B7"/>
    <w:rPr>
      <w:i/>
      <w:iCs/>
    </w:rPr>
  </w:style>
  <w:style w:type="table" w:customStyle="1" w:styleId="ECHRTable">
    <w:name w:val="ECHR_Table"/>
    <w:basedOn w:val="Standardowy"/>
    <w:rsid w:val="006113B7"/>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113B7"/>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6113B7"/>
    <w:rPr>
      <w:b/>
      <w:bCs/>
      <w:i/>
      <w:iCs/>
      <w:spacing w:val="10"/>
      <w:bdr w:val="none" w:sz="0" w:space="0" w:color="auto"/>
      <w:shd w:val="clear" w:color="auto" w:fill="auto"/>
    </w:rPr>
  </w:style>
  <w:style w:type="paragraph" w:styleId="Stopka">
    <w:name w:val="footer"/>
    <w:basedOn w:val="Normalny"/>
    <w:link w:val="StopkaZnak"/>
    <w:uiPriority w:val="98"/>
    <w:semiHidden/>
    <w:rsid w:val="006113B7"/>
    <w:pPr>
      <w:tabs>
        <w:tab w:val="center" w:pos="3686"/>
        <w:tab w:val="right" w:pos="7371"/>
      </w:tabs>
    </w:pPr>
  </w:style>
  <w:style w:type="character" w:customStyle="1" w:styleId="StopkaZnak">
    <w:name w:val="Stopka Znak"/>
    <w:basedOn w:val="Domylnaczcionkaakapitu"/>
    <w:link w:val="Stopka"/>
    <w:uiPriority w:val="98"/>
    <w:semiHidden/>
    <w:rsid w:val="006113B7"/>
    <w:rPr>
      <w:sz w:val="24"/>
      <w:szCs w:val="24"/>
      <w:lang w:val="pl-PL"/>
    </w:rPr>
  </w:style>
  <w:style w:type="character" w:styleId="Odwoanieprzypisudolnego">
    <w:name w:val="footnote reference"/>
    <w:basedOn w:val="Domylnaczcionkaakapitu"/>
    <w:uiPriority w:val="98"/>
    <w:semiHidden/>
    <w:rsid w:val="006113B7"/>
    <w:rPr>
      <w:vertAlign w:val="superscript"/>
    </w:rPr>
  </w:style>
  <w:style w:type="paragraph" w:styleId="Tekstprzypisudolnego">
    <w:name w:val="footnote text"/>
    <w:basedOn w:val="NormalJustified"/>
    <w:link w:val="TekstprzypisudolnegoZnak"/>
    <w:uiPriority w:val="98"/>
    <w:semiHidden/>
    <w:rsid w:val="006113B7"/>
    <w:rPr>
      <w:sz w:val="20"/>
      <w:szCs w:val="20"/>
    </w:rPr>
  </w:style>
  <w:style w:type="character" w:customStyle="1" w:styleId="TekstprzypisudolnegoZnak">
    <w:name w:val="Tekst przypisu dolnego Znak"/>
    <w:basedOn w:val="Domylnaczcionkaakapitu"/>
    <w:link w:val="Tekstprzypisudolnego"/>
    <w:uiPriority w:val="98"/>
    <w:semiHidden/>
    <w:rsid w:val="006113B7"/>
    <w:rPr>
      <w:sz w:val="20"/>
      <w:szCs w:val="20"/>
      <w:lang w:val="pl-PL"/>
    </w:rPr>
  </w:style>
  <w:style w:type="character" w:customStyle="1" w:styleId="Nagwek6Znak">
    <w:name w:val="Nagłówek 6 Znak"/>
    <w:basedOn w:val="Domylnaczcionkaakapitu"/>
    <w:link w:val="Nagwek6"/>
    <w:uiPriority w:val="98"/>
    <w:semiHidden/>
    <w:rsid w:val="006113B7"/>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6113B7"/>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6113B7"/>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6113B7"/>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6113B7"/>
    <w:rPr>
      <w:color w:val="0072BC" w:themeColor="hyperlink"/>
      <w:u w:val="single"/>
    </w:rPr>
  </w:style>
  <w:style w:type="character" w:styleId="Wyrnienieintensywne">
    <w:name w:val="Intense Emphasis"/>
    <w:uiPriority w:val="98"/>
    <w:semiHidden/>
    <w:qFormat/>
    <w:rsid w:val="006113B7"/>
    <w:rPr>
      <w:b/>
      <w:bCs/>
    </w:rPr>
  </w:style>
  <w:style w:type="paragraph" w:styleId="Cytatintensywny">
    <w:name w:val="Intense Quote"/>
    <w:basedOn w:val="Normalny"/>
    <w:next w:val="Normalny"/>
    <w:link w:val="CytatintensywnyZnak"/>
    <w:uiPriority w:val="98"/>
    <w:semiHidden/>
    <w:qFormat/>
    <w:rsid w:val="006113B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113B7"/>
    <w:rPr>
      <w:b/>
      <w:bCs/>
      <w:i/>
      <w:iCs/>
      <w:sz w:val="24"/>
      <w:szCs w:val="24"/>
      <w:lang w:val="pl-PL" w:bidi="en-US"/>
    </w:rPr>
  </w:style>
  <w:style w:type="character" w:styleId="Odwoanieintensywne">
    <w:name w:val="Intense Reference"/>
    <w:uiPriority w:val="98"/>
    <w:semiHidden/>
    <w:qFormat/>
    <w:rsid w:val="006113B7"/>
    <w:rPr>
      <w:smallCaps/>
      <w:spacing w:val="5"/>
      <w:u w:val="single"/>
    </w:rPr>
  </w:style>
  <w:style w:type="paragraph" w:styleId="Akapitzlist">
    <w:name w:val="List Paragraph"/>
    <w:basedOn w:val="Normalny"/>
    <w:uiPriority w:val="98"/>
    <w:semiHidden/>
    <w:qFormat/>
    <w:rsid w:val="006113B7"/>
    <w:pPr>
      <w:ind w:left="720"/>
      <w:contextualSpacing/>
    </w:pPr>
  </w:style>
  <w:style w:type="table" w:customStyle="1" w:styleId="LtrTableAddress">
    <w:name w:val="Ltr_Table_Address"/>
    <w:aliases w:val="ECHR_Ltr_Table_Address"/>
    <w:basedOn w:val="Standardowy"/>
    <w:uiPriority w:val="99"/>
    <w:rsid w:val="006113B7"/>
    <w:rPr>
      <w:sz w:val="24"/>
      <w:szCs w:val="24"/>
    </w:rPr>
    <w:tblPr>
      <w:tblInd w:w="5103" w:type="dxa"/>
    </w:tblPr>
  </w:style>
  <w:style w:type="paragraph" w:styleId="Cytat">
    <w:name w:val="Quote"/>
    <w:basedOn w:val="Normalny"/>
    <w:next w:val="Normalny"/>
    <w:link w:val="CytatZnak"/>
    <w:uiPriority w:val="98"/>
    <w:semiHidden/>
    <w:qFormat/>
    <w:rsid w:val="006113B7"/>
    <w:pPr>
      <w:spacing w:before="200"/>
      <w:ind w:left="360" w:right="360"/>
    </w:pPr>
    <w:rPr>
      <w:i/>
      <w:iCs/>
      <w:lang w:bidi="en-US"/>
    </w:rPr>
  </w:style>
  <w:style w:type="character" w:customStyle="1" w:styleId="CytatZnak">
    <w:name w:val="Cytat Znak"/>
    <w:basedOn w:val="Domylnaczcionkaakapitu"/>
    <w:link w:val="Cytat"/>
    <w:uiPriority w:val="98"/>
    <w:semiHidden/>
    <w:rsid w:val="006113B7"/>
    <w:rPr>
      <w:i/>
      <w:iCs/>
      <w:sz w:val="24"/>
      <w:szCs w:val="24"/>
      <w:lang w:val="pl-PL" w:bidi="en-US"/>
    </w:rPr>
  </w:style>
  <w:style w:type="character" w:styleId="Odwoaniedelikatne">
    <w:name w:val="Subtle Reference"/>
    <w:uiPriority w:val="98"/>
    <w:semiHidden/>
    <w:qFormat/>
    <w:rsid w:val="006113B7"/>
    <w:rPr>
      <w:smallCaps/>
    </w:rPr>
  </w:style>
  <w:style w:type="table" w:styleId="Tabela-Siatka">
    <w:name w:val="Table Grid"/>
    <w:basedOn w:val="Standardowy"/>
    <w:uiPriority w:val="59"/>
    <w:semiHidden/>
    <w:rsid w:val="006113B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113B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113B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113B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113B7"/>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113B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113B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113B7"/>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113B7"/>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113B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113B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113B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113B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113B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6113B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113B7"/>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6113B7"/>
    <w:pPr>
      <w:numPr>
        <w:numId w:val="1"/>
      </w:numPr>
    </w:pPr>
  </w:style>
  <w:style w:type="paragraph" w:customStyle="1" w:styleId="JuPara">
    <w:name w:val="Ju_Para"/>
    <w:aliases w:val="_Para"/>
    <w:basedOn w:val="NormalJustified"/>
    <w:link w:val="JuParaChar"/>
    <w:uiPriority w:val="4"/>
    <w:qFormat/>
    <w:rsid w:val="006113B7"/>
    <w:pPr>
      <w:ind w:firstLine="284"/>
    </w:pPr>
  </w:style>
  <w:style w:type="numbering" w:styleId="1ai">
    <w:name w:val="Outline List 1"/>
    <w:basedOn w:val="Bezlisty"/>
    <w:uiPriority w:val="99"/>
    <w:semiHidden/>
    <w:unhideWhenUsed/>
    <w:rsid w:val="006113B7"/>
    <w:pPr>
      <w:numPr>
        <w:numId w:val="2"/>
      </w:numPr>
    </w:pPr>
  </w:style>
  <w:style w:type="table" w:customStyle="1" w:styleId="ECHRTableSimpleBox">
    <w:name w:val="ECHR_Table_Simple_Box"/>
    <w:basedOn w:val="Standardowy"/>
    <w:uiPriority w:val="99"/>
    <w:rsid w:val="006113B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113B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113B7"/>
    <w:pPr>
      <w:numPr>
        <w:numId w:val="3"/>
      </w:numPr>
    </w:pPr>
  </w:style>
  <w:style w:type="table" w:customStyle="1" w:styleId="ECHRTableForInternalUse">
    <w:name w:val="ECHR_Table_For_Internal_Use"/>
    <w:basedOn w:val="Standardowy"/>
    <w:uiPriority w:val="99"/>
    <w:rsid w:val="006113B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113B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113B7"/>
  </w:style>
  <w:style w:type="paragraph" w:styleId="Tekstblokowy">
    <w:name w:val="Block Text"/>
    <w:basedOn w:val="Normalny"/>
    <w:uiPriority w:val="98"/>
    <w:semiHidden/>
    <w:rsid w:val="006113B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113B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113B7"/>
    <w:pPr>
      <w:spacing w:after="120"/>
    </w:pPr>
  </w:style>
  <w:style w:type="character" w:customStyle="1" w:styleId="TekstpodstawowyZnak">
    <w:name w:val="Tekst podstawowy Znak"/>
    <w:basedOn w:val="Domylnaczcionkaakapitu"/>
    <w:link w:val="Tekstpodstawowy"/>
    <w:uiPriority w:val="98"/>
    <w:semiHidden/>
    <w:rsid w:val="006113B7"/>
    <w:rPr>
      <w:sz w:val="24"/>
      <w:szCs w:val="24"/>
      <w:lang w:val="pl-PL"/>
    </w:rPr>
  </w:style>
  <w:style w:type="table" w:customStyle="1" w:styleId="ECHRTableOddBanded">
    <w:name w:val="ECHR_Table_Odd_Banded"/>
    <w:basedOn w:val="Standardowy"/>
    <w:uiPriority w:val="99"/>
    <w:rsid w:val="006113B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113B7"/>
    <w:pPr>
      <w:spacing w:after="120" w:line="480" w:lineRule="auto"/>
    </w:pPr>
  </w:style>
  <w:style w:type="table" w:customStyle="1" w:styleId="ECHRHeaderTableReduced">
    <w:name w:val="ECHR_Header_Table_Reduced"/>
    <w:basedOn w:val="Standardowy"/>
    <w:uiPriority w:val="99"/>
    <w:rsid w:val="006113B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113B7"/>
    <w:pPr>
      <w:ind w:firstLine="284"/>
    </w:pPr>
    <w:rPr>
      <w:b/>
    </w:rPr>
  </w:style>
  <w:style w:type="character" w:styleId="Numerstrony">
    <w:name w:val="page number"/>
    <w:uiPriority w:val="98"/>
    <w:semiHidden/>
    <w:rsid w:val="006113B7"/>
    <w:rPr>
      <w:sz w:val="18"/>
    </w:rPr>
  </w:style>
  <w:style w:type="paragraph" w:styleId="Listapunktowana">
    <w:name w:val="List Bullet"/>
    <w:basedOn w:val="Normalny"/>
    <w:uiPriority w:val="98"/>
    <w:semiHidden/>
    <w:rsid w:val="006113B7"/>
    <w:pPr>
      <w:numPr>
        <w:numId w:val="4"/>
      </w:numPr>
    </w:pPr>
  </w:style>
  <w:style w:type="paragraph" w:styleId="Listapunktowana3">
    <w:name w:val="List Bullet 3"/>
    <w:basedOn w:val="Normalny"/>
    <w:uiPriority w:val="98"/>
    <w:semiHidden/>
    <w:rsid w:val="006113B7"/>
    <w:pPr>
      <w:numPr>
        <w:numId w:val="6"/>
      </w:numPr>
      <w:contextualSpacing/>
    </w:pPr>
  </w:style>
  <w:style w:type="character" w:customStyle="1" w:styleId="Tekstpodstawowy2Znak">
    <w:name w:val="Tekst podstawowy 2 Znak"/>
    <w:basedOn w:val="Domylnaczcionkaakapitu"/>
    <w:link w:val="Tekstpodstawowy2"/>
    <w:uiPriority w:val="98"/>
    <w:semiHidden/>
    <w:rsid w:val="006113B7"/>
    <w:rPr>
      <w:sz w:val="24"/>
      <w:szCs w:val="24"/>
      <w:lang w:val="pl-PL"/>
    </w:rPr>
  </w:style>
  <w:style w:type="paragraph" w:styleId="Tekstpodstawowy3">
    <w:name w:val="Body Text 3"/>
    <w:basedOn w:val="Normalny"/>
    <w:link w:val="Tekstpodstawowy3Znak"/>
    <w:uiPriority w:val="98"/>
    <w:semiHidden/>
    <w:rsid w:val="006113B7"/>
    <w:pPr>
      <w:spacing w:after="120"/>
    </w:pPr>
    <w:rPr>
      <w:sz w:val="16"/>
      <w:szCs w:val="16"/>
    </w:rPr>
  </w:style>
  <w:style w:type="character" w:customStyle="1" w:styleId="Tekstpodstawowy3Znak">
    <w:name w:val="Tekst podstawowy 3 Znak"/>
    <w:basedOn w:val="Domylnaczcionkaakapitu"/>
    <w:link w:val="Tekstpodstawowy3"/>
    <w:uiPriority w:val="98"/>
    <w:semiHidden/>
    <w:rsid w:val="006113B7"/>
    <w:rPr>
      <w:sz w:val="16"/>
      <w:szCs w:val="16"/>
      <w:lang w:val="pl-PL"/>
    </w:rPr>
  </w:style>
  <w:style w:type="paragraph" w:styleId="Tekstpodstawowyzwciciem">
    <w:name w:val="Body Text First Indent"/>
    <w:basedOn w:val="Tekstpodstawowy"/>
    <w:link w:val="TekstpodstawowyzwciciemZnak"/>
    <w:uiPriority w:val="98"/>
    <w:semiHidden/>
    <w:rsid w:val="006113B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113B7"/>
    <w:rPr>
      <w:sz w:val="24"/>
      <w:szCs w:val="24"/>
      <w:lang w:val="pl-PL"/>
    </w:rPr>
  </w:style>
  <w:style w:type="paragraph" w:styleId="Tekstpodstawowywcity">
    <w:name w:val="Body Text Indent"/>
    <w:basedOn w:val="Normalny"/>
    <w:link w:val="TekstpodstawowywcityZnak"/>
    <w:uiPriority w:val="98"/>
    <w:semiHidden/>
    <w:rsid w:val="006113B7"/>
    <w:pPr>
      <w:spacing w:after="120"/>
      <w:ind w:left="283"/>
    </w:pPr>
  </w:style>
  <w:style w:type="character" w:customStyle="1" w:styleId="TekstpodstawowywcityZnak">
    <w:name w:val="Tekst podstawowy wcięty Znak"/>
    <w:basedOn w:val="Domylnaczcionkaakapitu"/>
    <w:link w:val="Tekstpodstawowywcity"/>
    <w:uiPriority w:val="98"/>
    <w:semiHidden/>
    <w:rsid w:val="006113B7"/>
    <w:rPr>
      <w:sz w:val="24"/>
      <w:szCs w:val="24"/>
      <w:lang w:val="pl-PL"/>
    </w:rPr>
  </w:style>
  <w:style w:type="paragraph" w:styleId="Tekstpodstawowyzwciciem2">
    <w:name w:val="Body Text First Indent 2"/>
    <w:basedOn w:val="Tekstpodstawowywcity"/>
    <w:link w:val="Tekstpodstawowyzwciciem2Znak"/>
    <w:uiPriority w:val="98"/>
    <w:semiHidden/>
    <w:rsid w:val="006113B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113B7"/>
    <w:rPr>
      <w:sz w:val="24"/>
      <w:szCs w:val="24"/>
      <w:lang w:val="pl-PL"/>
    </w:rPr>
  </w:style>
  <w:style w:type="paragraph" w:styleId="Tekstpodstawowywcity2">
    <w:name w:val="Body Text Indent 2"/>
    <w:basedOn w:val="Normalny"/>
    <w:link w:val="Tekstpodstawowywcity2Znak"/>
    <w:uiPriority w:val="98"/>
    <w:semiHidden/>
    <w:rsid w:val="006113B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113B7"/>
    <w:rPr>
      <w:sz w:val="24"/>
      <w:szCs w:val="24"/>
      <w:lang w:val="pl-PL"/>
    </w:rPr>
  </w:style>
  <w:style w:type="paragraph" w:styleId="Tekstpodstawowywcity3">
    <w:name w:val="Body Text Indent 3"/>
    <w:basedOn w:val="Normalny"/>
    <w:link w:val="Tekstpodstawowywcity3Znak"/>
    <w:uiPriority w:val="98"/>
    <w:semiHidden/>
    <w:rsid w:val="006113B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113B7"/>
    <w:rPr>
      <w:sz w:val="16"/>
      <w:szCs w:val="16"/>
      <w:lang w:val="pl-PL"/>
    </w:rPr>
  </w:style>
  <w:style w:type="paragraph" w:styleId="Legenda">
    <w:name w:val="caption"/>
    <w:basedOn w:val="Normalny"/>
    <w:next w:val="Normalny"/>
    <w:uiPriority w:val="98"/>
    <w:semiHidden/>
    <w:qFormat/>
    <w:rsid w:val="006113B7"/>
    <w:pPr>
      <w:spacing w:after="200"/>
    </w:pPr>
    <w:rPr>
      <w:b/>
      <w:bCs/>
      <w:color w:val="0072BC" w:themeColor="accent1"/>
      <w:sz w:val="18"/>
      <w:szCs w:val="18"/>
    </w:rPr>
  </w:style>
  <w:style w:type="paragraph" w:styleId="Zwrotpoegnalny">
    <w:name w:val="Closing"/>
    <w:basedOn w:val="Normalny"/>
    <w:link w:val="ZwrotpoegnalnyZnak"/>
    <w:uiPriority w:val="98"/>
    <w:semiHidden/>
    <w:rsid w:val="006113B7"/>
    <w:pPr>
      <w:ind w:left="4252"/>
    </w:pPr>
  </w:style>
  <w:style w:type="character" w:customStyle="1" w:styleId="ZwrotpoegnalnyZnak">
    <w:name w:val="Zwrot pożegnalny Znak"/>
    <w:basedOn w:val="Domylnaczcionkaakapitu"/>
    <w:link w:val="Zwrotpoegnalny"/>
    <w:uiPriority w:val="98"/>
    <w:semiHidden/>
    <w:rsid w:val="006113B7"/>
    <w:rPr>
      <w:sz w:val="24"/>
      <w:szCs w:val="24"/>
      <w:lang w:val="pl-PL"/>
    </w:rPr>
  </w:style>
  <w:style w:type="table" w:styleId="Kolorowasiatka">
    <w:name w:val="Colorful Grid"/>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113B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113B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113B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113B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113B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113B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113B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113B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113B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113B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113B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113B7"/>
    <w:rPr>
      <w:sz w:val="16"/>
      <w:szCs w:val="16"/>
    </w:rPr>
  </w:style>
  <w:style w:type="paragraph" w:styleId="Tekstkomentarza">
    <w:name w:val="annotation text"/>
    <w:basedOn w:val="Normalny"/>
    <w:link w:val="TekstkomentarzaZnak"/>
    <w:uiPriority w:val="98"/>
    <w:semiHidden/>
    <w:rsid w:val="006113B7"/>
    <w:rPr>
      <w:sz w:val="20"/>
      <w:szCs w:val="20"/>
    </w:rPr>
  </w:style>
  <w:style w:type="character" w:customStyle="1" w:styleId="TekstkomentarzaZnak">
    <w:name w:val="Tekst komentarza Znak"/>
    <w:basedOn w:val="Domylnaczcionkaakapitu"/>
    <w:link w:val="Tekstkomentarza"/>
    <w:uiPriority w:val="98"/>
    <w:semiHidden/>
    <w:rsid w:val="006113B7"/>
    <w:rPr>
      <w:sz w:val="20"/>
      <w:szCs w:val="20"/>
      <w:lang w:val="pl-PL"/>
    </w:rPr>
  </w:style>
  <w:style w:type="paragraph" w:styleId="Tematkomentarza">
    <w:name w:val="annotation subject"/>
    <w:basedOn w:val="Tekstkomentarza"/>
    <w:next w:val="Tekstkomentarza"/>
    <w:link w:val="TematkomentarzaZnak"/>
    <w:uiPriority w:val="98"/>
    <w:semiHidden/>
    <w:rsid w:val="006113B7"/>
    <w:rPr>
      <w:b/>
      <w:bCs/>
    </w:rPr>
  </w:style>
  <w:style w:type="character" w:customStyle="1" w:styleId="TematkomentarzaZnak">
    <w:name w:val="Temat komentarza Znak"/>
    <w:basedOn w:val="TekstkomentarzaZnak"/>
    <w:link w:val="Tematkomentarza"/>
    <w:uiPriority w:val="98"/>
    <w:semiHidden/>
    <w:rsid w:val="006113B7"/>
    <w:rPr>
      <w:b/>
      <w:bCs/>
      <w:sz w:val="20"/>
      <w:szCs w:val="20"/>
      <w:lang w:val="pl-PL"/>
    </w:rPr>
  </w:style>
  <w:style w:type="table" w:styleId="Ciemnalista">
    <w:name w:val="Dark List"/>
    <w:basedOn w:val="Standardowy"/>
    <w:uiPriority w:val="70"/>
    <w:semiHidden/>
    <w:rsid w:val="006113B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113B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113B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113B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113B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113B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113B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113B7"/>
  </w:style>
  <w:style w:type="character" w:customStyle="1" w:styleId="DataZnak">
    <w:name w:val="Data Znak"/>
    <w:basedOn w:val="Domylnaczcionkaakapitu"/>
    <w:link w:val="Data"/>
    <w:uiPriority w:val="98"/>
    <w:semiHidden/>
    <w:rsid w:val="006113B7"/>
    <w:rPr>
      <w:sz w:val="24"/>
      <w:szCs w:val="24"/>
      <w:lang w:val="pl-PL"/>
    </w:rPr>
  </w:style>
  <w:style w:type="paragraph" w:styleId="Mapadokumentu">
    <w:name w:val="Document Map"/>
    <w:basedOn w:val="Normalny"/>
    <w:link w:val="MapadokumentuZnak"/>
    <w:uiPriority w:val="98"/>
    <w:semiHidden/>
    <w:rsid w:val="006113B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113B7"/>
    <w:rPr>
      <w:rFonts w:ascii="Tahoma" w:hAnsi="Tahoma" w:cs="Tahoma"/>
      <w:sz w:val="16"/>
      <w:szCs w:val="16"/>
      <w:lang w:val="pl-PL"/>
    </w:rPr>
  </w:style>
  <w:style w:type="paragraph" w:styleId="Podpise-mail">
    <w:name w:val="E-mail Signature"/>
    <w:basedOn w:val="Normalny"/>
    <w:link w:val="Podpise-mailZnak"/>
    <w:uiPriority w:val="98"/>
    <w:semiHidden/>
    <w:rsid w:val="006113B7"/>
  </w:style>
  <w:style w:type="character" w:customStyle="1" w:styleId="Podpise-mailZnak">
    <w:name w:val="Podpis e-mail Znak"/>
    <w:basedOn w:val="Domylnaczcionkaakapitu"/>
    <w:link w:val="Podpise-mail"/>
    <w:uiPriority w:val="98"/>
    <w:semiHidden/>
    <w:rsid w:val="006113B7"/>
    <w:rPr>
      <w:sz w:val="24"/>
      <w:szCs w:val="24"/>
      <w:lang w:val="pl-PL"/>
    </w:rPr>
  </w:style>
  <w:style w:type="character" w:styleId="Odwoanieprzypisukocowego">
    <w:name w:val="endnote reference"/>
    <w:basedOn w:val="Domylnaczcionkaakapitu"/>
    <w:uiPriority w:val="98"/>
    <w:semiHidden/>
    <w:rsid w:val="006113B7"/>
    <w:rPr>
      <w:vertAlign w:val="superscript"/>
    </w:rPr>
  </w:style>
  <w:style w:type="paragraph" w:styleId="Tekstprzypisukocowego">
    <w:name w:val="endnote text"/>
    <w:basedOn w:val="Normalny"/>
    <w:link w:val="TekstprzypisukocowegoZnak"/>
    <w:uiPriority w:val="98"/>
    <w:semiHidden/>
    <w:rsid w:val="006113B7"/>
    <w:rPr>
      <w:sz w:val="20"/>
      <w:szCs w:val="20"/>
    </w:rPr>
  </w:style>
  <w:style w:type="character" w:customStyle="1" w:styleId="TekstprzypisukocowegoZnak">
    <w:name w:val="Tekst przypisu końcowego Znak"/>
    <w:basedOn w:val="Domylnaczcionkaakapitu"/>
    <w:link w:val="Tekstprzypisukocowego"/>
    <w:uiPriority w:val="98"/>
    <w:semiHidden/>
    <w:rsid w:val="006113B7"/>
    <w:rPr>
      <w:sz w:val="20"/>
      <w:szCs w:val="20"/>
      <w:lang w:val="pl-PL"/>
    </w:rPr>
  </w:style>
  <w:style w:type="paragraph" w:styleId="Adresnakopercie">
    <w:name w:val="envelope address"/>
    <w:basedOn w:val="Normalny"/>
    <w:uiPriority w:val="98"/>
    <w:semiHidden/>
    <w:rsid w:val="006113B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113B7"/>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113B7"/>
    <w:rPr>
      <w:color w:val="7030A0" w:themeColor="followedHyperlink"/>
      <w:u w:val="single"/>
    </w:rPr>
  </w:style>
  <w:style w:type="character" w:styleId="HTML-akronim">
    <w:name w:val="HTML Acronym"/>
    <w:basedOn w:val="Domylnaczcionkaakapitu"/>
    <w:uiPriority w:val="98"/>
    <w:semiHidden/>
    <w:rsid w:val="006113B7"/>
  </w:style>
  <w:style w:type="paragraph" w:styleId="HTML-adres">
    <w:name w:val="HTML Address"/>
    <w:basedOn w:val="Normalny"/>
    <w:link w:val="HTML-adresZnak"/>
    <w:uiPriority w:val="98"/>
    <w:semiHidden/>
    <w:rsid w:val="006113B7"/>
    <w:rPr>
      <w:i/>
      <w:iCs/>
    </w:rPr>
  </w:style>
  <w:style w:type="character" w:customStyle="1" w:styleId="HTML-adresZnak">
    <w:name w:val="HTML - adres Znak"/>
    <w:basedOn w:val="Domylnaczcionkaakapitu"/>
    <w:link w:val="HTML-adres"/>
    <w:uiPriority w:val="98"/>
    <w:semiHidden/>
    <w:rsid w:val="006113B7"/>
    <w:rPr>
      <w:i/>
      <w:iCs/>
      <w:sz w:val="24"/>
      <w:szCs w:val="24"/>
      <w:lang w:val="pl-PL"/>
    </w:rPr>
  </w:style>
  <w:style w:type="character" w:styleId="HTML-cytat">
    <w:name w:val="HTML Cite"/>
    <w:basedOn w:val="Domylnaczcionkaakapitu"/>
    <w:uiPriority w:val="98"/>
    <w:semiHidden/>
    <w:rsid w:val="006113B7"/>
    <w:rPr>
      <w:i/>
      <w:iCs/>
    </w:rPr>
  </w:style>
  <w:style w:type="character" w:styleId="HTML-kod">
    <w:name w:val="HTML Code"/>
    <w:basedOn w:val="Domylnaczcionkaakapitu"/>
    <w:uiPriority w:val="98"/>
    <w:semiHidden/>
    <w:rsid w:val="006113B7"/>
    <w:rPr>
      <w:rFonts w:ascii="Consolas" w:hAnsi="Consolas" w:cs="Consolas"/>
      <w:sz w:val="20"/>
      <w:szCs w:val="20"/>
    </w:rPr>
  </w:style>
  <w:style w:type="character" w:styleId="HTML-definicja">
    <w:name w:val="HTML Definition"/>
    <w:basedOn w:val="Domylnaczcionkaakapitu"/>
    <w:uiPriority w:val="98"/>
    <w:semiHidden/>
    <w:rsid w:val="006113B7"/>
    <w:rPr>
      <w:i/>
      <w:iCs/>
    </w:rPr>
  </w:style>
  <w:style w:type="character" w:styleId="HTML-klawiatura">
    <w:name w:val="HTML Keyboard"/>
    <w:basedOn w:val="Domylnaczcionkaakapitu"/>
    <w:uiPriority w:val="98"/>
    <w:semiHidden/>
    <w:rsid w:val="006113B7"/>
    <w:rPr>
      <w:rFonts w:ascii="Consolas" w:hAnsi="Consolas" w:cs="Consolas"/>
      <w:sz w:val="20"/>
      <w:szCs w:val="20"/>
    </w:rPr>
  </w:style>
  <w:style w:type="paragraph" w:styleId="HTML-wstpniesformatowany">
    <w:name w:val="HTML Preformatted"/>
    <w:basedOn w:val="Normalny"/>
    <w:link w:val="HTML-wstpniesformatowanyZnak"/>
    <w:uiPriority w:val="98"/>
    <w:semiHidden/>
    <w:rsid w:val="006113B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113B7"/>
    <w:rPr>
      <w:rFonts w:ascii="Consolas" w:hAnsi="Consolas" w:cs="Consolas"/>
      <w:sz w:val="20"/>
      <w:szCs w:val="20"/>
      <w:lang w:val="pl-PL"/>
    </w:rPr>
  </w:style>
  <w:style w:type="character" w:styleId="HTML-przykad">
    <w:name w:val="HTML Sample"/>
    <w:basedOn w:val="Domylnaczcionkaakapitu"/>
    <w:uiPriority w:val="98"/>
    <w:semiHidden/>
    <w:rsid w:val="006113B7"/>
    <w:rPr>
      <w:rFonts w:ascii="Consolas" w:hAnsi="Consolas" w:cs="Consolas"/>
      <w:sz w:val="24"/>
      <w:szCs w:val="24"/>
    </w:rPr>
  </w:style>
  <w:style w:type="character" w:styleId="HTML-staaszeroko">
    <w:name w:val="HTML Typewriter"/>
    <w:basedOn w:val="Domylnaczcionkaakapitu"/>
    <w:uiPriority w:val="98"/>
    <w:semiHidden/>
    <w:rsid w:val="006113B7"/>
    <w:rPr>
      <w:rFonts w:ascii="Consolas" w:hAnsi="Consolas" w:cs="Consolas"/>
      <w:sz w:val="20"/>
      <w:szCs w:val="20"/>
    </w:rPr>
  </w:style>
  <w:style w:type="character" w:styleId="HTML-zmienna">
    <w:name w:val="HTML Variable"/>
    <w:basedOn w:val="Domylnaczcionkaakapitu"/>
    <w:uiPriority w:val="98"/>
    <w:semiHidden/>
    <w:rsid w:val="006113B7"/>
    <w:rPr>
      <w:i/>
      <w:iCs/>
    </w:rPr>
  </w:style>
  <w:style w:type="paragraph" w:styleId="Indeks1">
    <w:name w:val="index 1"/>
    <w:basedOn w:val="Normalny"/>
    <w:next w:val="Normalny"/>
    <w:autoRedefine/>
    <w:uiPriority w:val="98"/>
    <w:semiHidden/>
    <w:rsid w:val="006113B7"/>
    <w:pPr>
      <w:ind w:left="240" w:hanging="240"/>
    </w:pPr>
  </w:style>
  <w:style w:type="paragraph" w:styleId="Indeks2">
    <w:name w:val="index 2"/>
    <w:basedOn w:val="Normalny"/>
    <w:next w:val="Normalny"/>
    <w:autoRedefine/>
    <w:uiPriority w:val="98"/>
    <w:semiHidden/>
    <w:rsid w:val="006113B7"/>
    <w:pPr>
      <w:ind w:left="480" w:hanging="240"/>
    </w:pPr>
  </w:style>
  <w:style w:type="paragraph" w:styleId="Indeks3">
    <w:name w:val="index 3"/>
    <w:basedOn w:val="Normalny"/>
    <w:next w:val="Normalny"/>
    <w:autoRedefine/>
    <w:uiPriority w:val="98"/>
    <w:semiHidden/>
    <w:rsid w:val="006113B7"/>
    <w:pPr>
      <w:ind w:left="720" w:hanging="240"/>
    </w:pPr>
  </w:style>
  <w:style w:type="paragraph" w:styleId="Indeks4">
    <w:name w:val="index 4"/>
    <w:basedOn w:val="Normalny"/>
    <w:next w:val="Normalny"/>
    <w:autoRedefine/>
    <w:uiPriority w:val="98"/>
    <w:semiHidden/>
    <w:rsid w:val="006113B7"/>
    <w:pPr>
      <w:ind w:left="960" w:hanging="240"/>
    </w:pPr>
  </w:style>
  <w:style w:type="paragraph" w:styleId="Indeks5">
    <w:name w:val="index 5"/>
    <w:basedOn w:val="Normalny"/>
    <w:next w:val="Normalny"/>
    <w:autoRedefine/>
    <w:uiPriority w:val="98"/>
    <w:semiHidden/>
    <w:rsid w:val="006113B7"/>
    <w:pPr>
      <w:ind w:left="1200" w:hanging="240"/>
    </w:pPr>
  </w:style>
  <w:style w:type="paragraph" w:styleId="Indeks6">
    <w:name w:val="index 6"/>
    <w:basedOn w:val="Normalny"/>
    <w:next w:val="Normalny"/>
    <w:autoRedefine/>
    <w:uiPriority w:val="98"/>
    <w:semiHidden/>
    <w:rsid w:val="006113B7"/>
    <w:pPr>
      <w:ind w:left="1440" w:hanging="240"/>
    </w:pPr>
  </w:style>
  <w:style w:type="paragraph" w:styleId="Indeks7">
    <w:name w:val="index 7"/>
    <w:basedOn w:val="Normalny"/>
    <w:next w:val="Normalny"/>
    <w:autoRedefine/>
    <w:uiPriority w:val="98"/>
    <w:semiHidden/>
    <w:rsid w:val="006113B7"/>
    <w:pPr>
      <w:ind w:left="1680" w:hanging="240"/>
    </w:pPr>
  </w:style>
  <w:style w:type="paragraph" w:styleId="Indeks8">
    <w:name w:val="index 8"/>
    <w:basedOn w:val="Normalny"/>
    <w:next w:val="Normalny"/>
    <w:autoRedefine/>
    <w:uiPriority w:val="98"/>
    <w:semiHidden/>
    <w:rsid w:val="006113B7"/>
    <w:pPr>
      <w:ind w:left="1920" w:hanging="240"/>
    </w:pPr>
  </w:style>
  <w:style w:type="paragraph" w:styleId="Indeks9">
    <w:name w:val="index 9"/>
    <w:basedOn w:val="Normalny"/>
    <w:next w:val="Normalny"/>
    <w:autoRedefine/>
    <w:uiPriority w:val="98"/>
    <w:semiHidden/>
    <w:rsid w:val="006113B7"/>
    <w:pPr>
      <w:ind w:left="2160" w:hanging="240"/>
    </w:pPr>
  </w:style>
  <w:style w:type="paragraph" w:styleId="Nagwekindeksu">
    <w:name w:val="index heading"/>
    <w:basedOn w:val="Normalny"/>
    <w:next w:val="Indeks1"/>
    <w:uiPriority w:val="98"/>
    <w:semiHidden/>
    <w:rsid w:val="006113B7"/>
    <w:rPr>
      <w:rFonts w:asciiTheme="majorHAnsi" w:eastAsiaTheme="majorEastAsia" w:hAnsiTheme="majorHAnsi" w:cstheme="majorBidi"/>
      <w:b/>
      <w:bCs/>
    </w:rPr>
  </w:style>
  <w:style w:type="table" w:styleId="Jasnasiatka">
    <w:name w:val="Light Grid"/>
    <w:basedOn w:val="Standardowy"/>
    <w:uiPriority w:val="62"/>
    <w:semiHidden/>
    <w:rsid w:val="006113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113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113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113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113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113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113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113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113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113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113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113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113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113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113B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113B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113B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113B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113B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113B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113B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113B7"/>
  </w:style>
  <w:style w:type="paragraph" w:styleId="Lista">
    <w:name w:val="List"/>
    <w:basedOn w:val="Normalny"/>
    <w:uiPriority w:val="98"/>
    <w:semiHidden/>
    <w:rsid w:val="006113B7"/>
    <w:pPr>
      <w:ind w:left="283" w:hanging="283"/>
      <w:contextualSpacing/>
    </w:pPr>
  </w:style>
  <w:style w:type="paragraph" w:styleId="Lista2">
    <w:name w:val="List 2"/>
    <w:basedOn w:val="Normalny"/>
    <w:uiPriority w:val="98"/>
    <w:semiHidden/>
    <w:rsid w:val="006113B7"/>
    <w:pPr>
      <w:ind w:left="566" w:hanging="283"/>
      <w:contextualSpacing/>
    </w:pPr>
  </w:style>
  <w:style w:type="paragraph" w:styleId="Lista3">
    <w:name w:val="List 3"/>
    <w:basedOn w:val="Normalny"/>
    <w:uiPriority w:val="98"/>
    <w:semiHidden/>
    <w:rsid w:val="006113B7"/>
    <w:pPr>
      <w:ind w:left="849" w:hanging="283"/>
      <w:contextualSpacing/>
    </w:pPr>
  </w:style>
  <w:style w:type="paragraph" w:styleId="Lista4">
    <w:name w:val="List 4"/>
    <w:basedOn w:val="Normalny"/>
    <w:uiPriority w:val="98"/>
    <w:semiHidden/>
    <w:rsid w:val="006113B7"/>
    <w:pPr>
      <w:ind w:left="1132" w:hanging="283"/>
      <w:contextualSpacing/>
    </w:pPr>
  </w:style>
  <w:style w:type="paragraph" w:styleId="Lista5">
    <w:name w:val="List 5"/>
    <w:basedOn w:val="Normalny"/>
    <w:uiPriority w:val="98"/>
    <w:semiHidden/>
    <w:rsid w:val="006113B7"/>
    <w:pPr>
      <w:ind w:left="1415" w:hanging="283"/>
      <w:contextualSpacing/>
    </w:pPr>
  </w:style>
  <w:style w:type="paragraph" w:styleId="Listapunktowana2">
    <w:name w:val="List Bullet 2"/>
    <w:basedOn w:val="Normalny"/>
    <w:uiPriority w:val="98"/>
    <w:semiHidden/>
    <w:rsid w:val="006113B7"/>
    <w:pPr>
      <w:numPr>
        <w:numId w:val="5"/>
      </w:numPr>
      <w:contextualSpacing/>
    </w:pPr>
  </w:style>
  <w:style w:type="paragraph" w:styleId="Listapunktowana4">
    <w:name w:val="List Bullet 4"/>
    <w:basedOn w:val="Normalny"/>
    <w:uiPriority w:val="98"/>
    <w:semiHidden/>
    <w:rsid w:val="006113B7"/>
    <w:pPr>
      <w:numPr>
        <w:numId w:val="7"/>
      </w:numPr>
      <w:contextualSpacing/>
    </w:pPr>
  </w:style>
  <w:style w:type="paragraph" w:styleId="Listapunktowana5">
    <w:name w:val="List Bullet 5"/>
    <w:basedOn w:val="Normalny"/>
    <w:uiPriority w:val="98"/>
    <w:semiHidden/>
    <w:rsid w:val="006113B7"/>
    <w:pPr>
      <w:numPr>
        <w:numId w:val="8"/>
      </w:numPr>
      <w:contextualSpacing/>
    </w:pPr>
  </w:style>
  <w:style w:type="paragraph" w:styleId="Lista-kontynuacja">
    <w:name w:val="List Continue"/>
    <w:basedOn w:val="Normalny"/>
    <w:uiPriority w:val="98"/>
    <w:semiHidden/>
    <w:rsid w:val="006113B7"/>
    <w:pPr>
      <w:spacing w:after="120"/>
      <w:ind w:left="283"/>
      <w:contextualSpacing/>
    </w:pPr>
  </w:style>
  <w:style w:type="paragraph" w:styleId="Lista-kontynuacja2">
    <w:name w:val="List Continue 2"/>
    <w:basedOn w:val="Normalny"/>
    <w:uiPriority w:val="98"/>
    <w:semiHidden/>
    <w:rsid w:val="006113B7"/>
    <w:pPr>
      <w:spacing w:after="120"/>
      <w:ind w:left="566"/>
      <w:contextualSpacing/>
    </w:pPr>
  </w:style>
  <w:style w:type="paragraph" w:styleId="Lista-kontynuacja3">
    <w:name w:val="List Continue 3"/>
    <w:basedOn w:val="Normalny"/>
    <w:uiPriority w:val="98"/>
    <w:semiHidden/>
    <w:rsid w:val="006113B7"/>
    <w:pPr>
      <w:spacing w:after="120"/>
      <w:ind w:left="849"/>
      <w:contextualSpacing/>
    </w:pPr>
  </w:style>
  <w:style w:type="paragraph" w:styleId="Lista-kontynuacja4">
    <w:name w:val="List Continue 4"/>
    <w:basedOn w:val="Normalny"/>
    <w:uiPriority w:val="98"/>
    <w:semiHidden/>
    <w:rsid w:val="006113B7"/>
    <w:pPr>
      <w:spacing w:after="120"/>
      <w:ind w:left="1132"/>
      <w:contextualSpacing/>
    </w:pPr>
  </w:style>
  <w:style w:type="paragraph" w:styleId="Lista-kontynuacja5">
    <w:name w:val="List Continue 5"/>
    <w:basedOn w:val="Normalny"/>
    <w:uiPriority w:val="98"/>
    <w:semiHidden/>
    <w:rsid w:val="006113B7"/>
    <w:pPr>
      <w:spacing w:after="120"/>
      <w:ind w:left="1415"/>
      <w:contextualSpacing/>
    </w:pPr>
  </w:style>
  <w:style w:type="paragraph" w:styleId="Listanumerowana">
    <w:name w:val="List Number"/>
    <w:basedOn w:val="Normalny"/>
    <w:uiPriority w:val="98"/>
    <w:semiHidden/>
    <w:rsid w:val="006113B7"/>
    <w:pPr>
      <w:numPr>
        <w:numId w:val="9"/>
      </w:numPr>
      <w:contextualSpacing/>
    </w:pPr>
  </w:style>
  <w:style w:type="paragraph" w:styleId="Listanumerowana2">
    <w:name w:val="List Number 2"/>
    <w:basedOn w:val="Normalny"/>
    <w:uiPriority w:val="98"/>
    <w:semiHidden/>
    <w:rsid w:val="006113B7"/>
    <w:pPr>
      <w:numPr>
        <w:numId w:val="10"/>
      </w:numPr>
      <w:contextualSpacing/>
    </w:pPr>
  </w:style>
  <w:style w:type="paragraph" w:styleId="Listanumerowana3">
    <w:name w:val="List Number 3"/>
    <w:basedOn w:val="Normalny"/>
    <w:uiPriority w:val="98"/>
    <w:semiHidden/>
    <w:rsid w:val="006113B7"/>
    <w:pPr>
      <w:numPr>
        <w:numId w:val="11"/>
      </w:numPr>
      <w:contextualSpacing/>
    </w:pPr>
  </w:style>
  <w:style w:type="paragraph" w:styleId="Listanumerowana4">
    <w:name w:val="List Number 4"/>
    <w:basedOn w:val="Normalny"/>
    <w:uiPriority w:val="98"/>
    <w:semiHidden/>
    <w:rsid w:val="006113B7"/>
    <w:pPr>
      <w:numPr>
        <w:numId w:val="12"/>
      </w:numPr>
      <w:contextualSpacing/>
    </w:pPr>
  </w:style>
  <w:style w:type="paragraph" w:styleId="Listanumerowana5">
    <w:name w:val="List Number 5"/>
    <w:basedOn w:val="Normalny"/>
    <w:uiPriority w:val="98"/>
    <w:semiHidden/>
    <w:rsid w:val="006113B7"/>
    <w:pPr>
      <w:numPr>
        <w:numId w:val="13"/>
      </w:numPr>
      <w:contextualSpacing/>
    </w:pPr>
  </w:style>
  <w:style w:type="paragraph" w:styleId="Tekstmakra">
    <w:name w:val="macro"/>
    <w:link w:val="TekstmakraZnak"/>
    <w:uiPriority w:val="98"/>
    <w:semiHidden/>
    <w:rsid w:val="006113B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113B7"/>
    <w:rPr>
      <w:rFonts w:ascii="Consolas" w:eastAsiaTheme="minorEastAsia" w:hAnsi="Consolas" w:cs="Consolas"/>
      <w:sz w:val="20"/>
      <w:szCs w:val="20"/>
    </w:rPr>
  </w:style>
  <w:style w:type="table" w:styleId="redniasiatka1">
    <w:name w:val="Medium Grid 1"/>
    <w:basedOn w:val="Standardowy"/>
    <w:uiPriority w:val="67"/>
    <w:semiHidden/>
    <w:rsid w:val="006113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113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113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113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113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113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113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113B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113B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113B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113B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113B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113B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113B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113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113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113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113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113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113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113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113B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113B7"/>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6113B7"/>
    <w:rPr>
      <w:rFonts w:ascii="Times New Roman" w:hAnsi="Times New Roman" w:cs="Times New Roman"/>
    </w:rPr>
  </w:style>
  <w:style w:type="paragraph" w:styleId="Wcicienormalne">
    <w:name w:val="Normal Indent"/>
    <w:basedOn w:val="Normalny"/>
    <w:uiPriority w:val="98"/>
    <w:semiHidden/>
    <w:rsid w:val="006113B7"/>
    <w:pPr>
      <w:ind w:left="720"/>
    </w:pPr>
  </w:style>
  <w:style w:type="paragraph" w:styleId="Nagweknotatki">
    <w:name w:val="Note Heading"/>
    <w:basedOn w:val="Normalny"/>
    <w:next w:val="Normalny"/>
    <w:link w:val="NagweknotatkiZnak"/>
    <w:uiPriority w:val="98"/>
    <w:semiHidden/>
    <w:rsid w:val="006113B7"/>
  </w:style>
  <w:style w:type="character" w:customStyle="1" w:styleId="NagweknotatkiZnak">
    <w:name w:val="Nagłówek notatki Znak"/>
    <w:basedOn w:val="Domylnaczcionkaakapitu"/>
    <w:link w:val="Nagweknotatki"/>
    <w:uiPriority w:val="98"/>
    <w:semiHidden/>
    <w:rsid w:val="006113B7"/>
    <w:rPr>
      <w:sz w:val="24"/>
      <w:szCs w:val="24"/>
      <w:lang w:val="pl-PL"/>
    </w:rPr>
  </w:style>
  <w:style w:type="character" w:styleId="Tekstzastpczy">
    <w:name w:val="Placeholder Text"/>
    <w:basedOn w:val="Domylnaczcionkaakapitu"/>
    <w:uiPriority w:val="98"/>
    <w:semiHidden/>
    <w:rsid w:val="006113B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113B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113B7"/>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6113B7"/>
  </w:style>
  <w:style w:type="character" w:customStyle="1" w:styleId="ZwrotgrzecznociowyZnak">
    <w:name w:val="Zwrot grzecznościowy Znak"/>
    <w:basedOn w:val="Domylnaczcionkaakapitu"/>
    <w:link w:val="Zwrotgrzecznociowy"/>
    <w:uiPriority w:val="98"/>
    <w:semiHidden/>
    <w:rsid w:val="006113B7"/>
    <w:rPr>
      <w:sz w:val="24"/>
      <w:szCs w:val="24"/>
      <w:lang w:val="pl-PL"/>
    </w:rPr>
  </w:style>
  <w:style w:type="paragraph" w:styleId="Podpis">
    <w:name w:val="Signature"/>
    <w:basedOn w:val="Normalny"/>
    <w:link w:val="PodpisZnak"/>
    <w:uiPriority w:val="98"/>
    <w:semiHidden/>
    <w:rsid w:val="006113B7"/>
    <w:pPr>
      <w:ind w:left="4252"/>
    </w:pPr>
  </w:style>
  <w:style w:type="character" w:customStyle="1" w:styleId="PodpisZnak">
    <w:name w:val="Podpis Znak"/>
    <w:basedOn w:val="Domylnaczcionkaakapitu"/>
    <w:link w:val="Podpis"/>
    <w:uiPriority w:val="98"/>
    <w:semiHidden/>
    <w:rsid w:val="006113B7"/>
    <w:rPr>
      <w:sz w:val="24"/>
      <w:szCs w:val="24"/>
      <w:lang w:val="pl-PL"/>
    </w:rPr>
  </w:style>
  <w:style w:type="table" w:styleId="Tabela-Efekty3W1">
    <w:name w:val="Table 3D effects 1"/>
    <w:basedOn w:val="Standardowy"/>
    <w:uiPriority w:val="99"/>
    <w:semiHidden/>
    <w:unhideWhenUsed/>
    <w:rsid w:val="006113B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113B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113B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113B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113B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113B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113B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113B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113B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113B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113B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113B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113B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113B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113B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113B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113B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113B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113B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113B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113B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113B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113B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113B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113B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113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113B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113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113B7"/>
    <w:pPr>
      <w:ind w:left="240" w:hanging="240"/>
    </w:pPr>
  </w:style>
  <w:style w:type="paragraph" w:styleId="Spisilustracji">
    <w:name w:val="table of figures"/>
    <w:basedOn w:val="Normalny"/>
    <w:next w:val="Normalny"/>
    <w:uiPriority w:val="98"/>
    <w:semiHidden/>
    <w:rsid w:val="006113B7"/>
  </w:style>
  <w:style w:type="table" w:styleId="Tabela-Profesjonalny">
    <w:name w:val="Table Professional"/>
    <w:basedOn w:val="Standardowy"/>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113B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113B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113B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113B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113B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113B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113B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113B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113B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113B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113B7"/>
    <w:pPr>
      <w:spacing w:after="100"/>
      <w:ind w:left="1680"/>
    </w:pPr>
  </w:style>
  <w:style w:type="paragraph" w:styleId="Spistreci9">
    <w:name w:val="toc 9"/>
    <w:basedOn w:val="Normalny"/>
    <w:next w:val="Normalny"/>
    <w:autoRedefine/>
    <w:uiPriority w:val="98"/>
    <w:semiHidden/>
    <w:rsid w:val="006113B7"/>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6113B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113B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113B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113B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113B7"/>
    <w:pPr>
      <w:numPr>
        <w:numId w:val="17"/>
      </w:numPr>
      <w:spacing w:before="60" w:after="60"/>
    </w:pPr>
  </w:style>
  <w:style w:type="paragraph" w:customStyle="1" w:styleId="ECHRBullet2">
    <w:name w:val="ECHR_Bullet_2"/>
    <w:aliases w:val="_Bul_2"/>
    <w:basedOn w:val="ECHRBullet1"/>
    <w:uiPriority w:val="23"/>
    <w:semiHidden/>
    <w:rsid w:val="006113B7"/>
    <w:pPr>
      <w:numPr>
        <w:ilvl w:val="1"/>
      </w:numPr>
    </w:pPr>
  </w:style>
  <w:style w:type="paragraph" w:customStyle="1" w:styleId="ECHRBullet3">
    <w:name w:val="ECHR_Bullet_3"/>
    <w:aliases w:val="_Bul_3"/>
    <w:basedOn w:val="ECHRBullet2"/>
    <w:uiPriority w:val="23"/>
    <w:semiHidden/>
    <w:rsid w:val="006113B7"/>
    <w:pPr>
      <w:numPr>
        <w:ilvl w:val="2"/>
      </w:numPr>
    </w:pPr>
  </w:style>
  <w:style w:type="paragraph" w:customStyle="1" w:styleId="ECHRBullet4">
    <w:name w:val="ECHR_Bullet_4"/>
    <w:aliases w:val="_Bul_4"/>
    <w:basedOn w:val="ECHRBullet3"/>
    <w:uiPriority w:val="23"/>
    <w:semiHidden/>
    <w:rsid w:val="006113B7"/>
    <w:pPr>
      <w:numPr>
        <w:ilvl w:val="3"/>
      </w:numPr>
    </w:pPr>
  </w:style>
  <w:style w:type="paragraph" w:customStyle="1" w:styleId="ECHRConfidential">
    <w:name w:val="ECHR_Confidential"/>
    <w:aliases w:val="_Confidential"/>
    <w:basedOn w:val="Normalny"/>
    <w:next w:val="Normalny"/>
    <w:uiPriority w:val="42"/>
    <w:semiHidden/>
    <w:qFormat/>
    <w:rsid w:val="006113B7"/>
    <w:pPr>
      <w:jc w:val="right"/>
    </w:pPr>
    <w:rPr>
      <w:color w:val="C00000"/>
      <w:sz w:val="20"/>
    </w:rPr>
  </w:style>
  <w:style w:type="paragraph" w:customStyle="1" w:styleId="ECHRDecisionBody">
    <w:name w:val="ECHR_Decision_Body"/>
    <w:aliases w:val="_Decision_Body"/>
    <w:basedOn w:val="NormalJustified"/>
    <w:uiPriority w:val="54"/>
    <w:semiHidden/>
    <w:rsid w:val="006113B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113B7"/>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113B7"/>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6113B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113B7"/>
    <w:pPr>
      <w:jc w:val="right"/>
    </w:pPr>
    <w:rPr>
      <w:sz w:val="20"/>
    </w:rPr>
  </w:style>
  <w:style w:type="paragraph" w:customStyle="1" w:styleId="ECHRHeaderRefIt">
    <w:name w:val="ECHR_Header_Ref_It"/>
    <w:aliases w:val="_Ref_Ital"/>
    <w:basedOn w:val="Normalny"/>
    <w:next w:val="ECHRHeaderDate"/>
    <w:uiPriority w:val="43"/>
    <w:semiHidden/>
    <w:qFormat/>
    <w:rsid w:val="006113B7"/>
    <w:pPr>
      <w:jc w:val="right"/>
    </w:pPr>
    <w:rPr>
      <w:i/>
      <w:sz w:val="20"/>
    </w:rPr>
  </w:style>
  <w:style w:type="paragraph" w:customStyle="1" w:styleId="ECHRHeading9">
    <w:name w:val="ECHR_Heading_9"/>
    <w:aliases w:val="_Head_9"/>
    <w:basedOn w:val="Nagwek9"/>
    <w:uiPriority w:val="17"/>
    <w:semiHidden/>
    <w:rsid w:val="006113B7"/>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6113B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113B7"/>
    <w:pPr>
      <w:numPr>
        <w:numId w:val="18"/>
      </w:numPr>
      <w:spacing w:before="60" w:after="60"/>
    </w:pPr>
  </w:style>
  <w:style w:type="paragraph" w:customStyle="1" w:styleId="ECHRNumberedList2">
    <w:name w:val="ECHR_Numbered_List_2"/>
    <w:aliases w:val="_Num_2"/>
    <w:basedOn w:val="ECHRNumberedList1"/>
    <w:uiPriority w:val="23"/>
    <w:semiHidden/>
    <w:rsid w:val="006113B7"/>
    <w:pPr>
      <w:numPr>
        <w:ilvl w:val="1"/>
      </w:numPr>
    </w:pPr>
  </w:style>
  <w:style w:type="paragraph" w:customStyle="1" w:styleId="ECHRNumberedList3">
    <w:name w:val="ECHR_Numbered_List_3"/>
    <w:aliases w:val="_Num_3"/>
    <w:basedOn w:val="ECHRNumberedList2"/>
    <w:uiPriority w:val="23"/>
    <w:semiHidden/>
    <w:rsid w:val="006113B7"/>
    <w:pPr>
      <w:numPr>
        <w:ilvl w:val="2"/>
      </w:numPr>
    </w:pPr>
  </w:style>
  <w:style w:type="paragraph" w:customStyle="1" w:styleId="ECHRParaHanging">
    <w:name w:val="ECHR_Para_Hanging"/>
    <w:aliases w:val="_Hanging"/>
    <w:basedOn w:val="NormalJustified"/>
    <w:uiPriority w:val="8"/>
    <w:semiHidden/>
    <w:qFormat/>
    <w:rsid w:val="006113B7"/>
    <w:pPr>
      <w:ind w:left="567" w:hanging="567"/>
    </w:pPr>
  </w:style>
  <w:style w:type="paragraph" w:customStyle="1" w:styleId="ECHRParaIndent">
    <w:name w:val="ECHR_Para_Indent"/>
    <w:aliases w:val="_Indent"/>
    <w:basedOn w:val="NormalJustified"/>
    <w:uiPriority w:val="7"/>
    <w:semiHidden/>
    <w:qFormat/>
    <w:rsid w:val="006113B7"/>
    <w:pPr>
      <w:spacing w:before="120" w:after="120"/>
      <w:ind w:left="284"/>
    </w:pPr>
  </w:style>
  <w:style w:type="character" w:customStyle="1" w:styleId="ECHRRed">
    <w:name w:val="ECHR_Red"/>
    <w:aliases w:val="_Red"/>
    <w:basedOn w:val="Domylnaczcionkaakapitu"/>
    <w:uiPriority w:val="15"/>
    <w:semiHidden/>
    <w:qFormat/>
    <w:rsid w:val="006113B7"/>
    <w:rPr>
      <w:color w:val="C00000" w:themeColor="accent2"/>
    </w:rPr>
  </w:style>
  <w:style w:type="paragraph" w:customStyle="1" w:styleId="DecList">
    <w:name w:val="Dec_List"/>
    <w:aliases w:val="_List"/>
    <w:basedOn w:val="JuList"/>
    <w:uiPriority w:val="22"/>
    <w:rsid w:val="006113B7"/>
    <w:pPr>
      <w:numPr>
        <w:numId w:val="0"/>
      </w:numPr>
      <w:ind w:left="284"/>
    </w:pPr>
  </w:style>
  <w:style w:type="table" w:customStyle="1" w:styleId="ECHRTable2">
    <w:name w:val="ECHR_Table_2"/>
    <w:basedOn w:val="Standardowy"/>
    <w:uiPriority w:val="99"/>
    <w:rsid w:val="006113B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113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113B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113B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113B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113B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113B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6113B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113B7"/>
    <w:pPr>
      <w:outlineLvl w:val="0"/>
    </w:pPr>
  </w:style>
  <w:style w:type="paragraph" w:customStyle="1" w:styleId="ECHRTitleTOC1">
    <w:name w:val="ECHR_Title_TOC_1"/>
    <w:aliases w:val="_Title_L_TOC"/>
    <w:basedOn w:val="ECHRTitle1"/>
    <w:next w:val="Normalny"/>
    <w:uiPriority w:val="27"/>
    <w:semiHidden/>
    <w:qFormat/>
    <w:rsid w:val="006113B7"/>
    <w:pPr>
      <w:outlineLvl w:val="0"/>
    </w:pPr>
  </w:style>
  <w:style w:type="paragraph" w:customStyle="1" w:styleId="ECHRPlaceholder">
    <w:name w:val="ECHR_Placeholder"/>
    <w:aliases w:val="_Placeholder"/>
    <w:basedOn w:val="JuSigned"/>
    <w:uiPriority w:val="31"/>
    <w:rsid w:val="006113B7"/>
    <w:rPr>
      <w:color w:val="FFFFFF"/>
    </w:rPr>
  </w:style>
  <w:style w:type="paragraph" w:customStyle="1" w:styleId="ECHRSpacer">
    <w:name w:val="ECHR_Spacer"/>
    <w:aliases w:val="_Spacer"/>
    <w:basedOn w:val="Normalny"/>
    <w:uiPriority w:val="45"/>
    <w:semiHidden/>
    <w:rsid w:val="006113B7"/>
    <w:rPr>
      <w:sz w:val="4"/>
    </w:rPr>
  </w:style>
  <w:style w:type="table" w:customStyle="1" w:styleId="ECHRTableGrey">
    <w:name w:val="ECHR_Table_Grey"/>
    <w:basedOn w:val="Standardowy"/>
    <w:uiPriority w:val="99"/>
    <w:rsid w:val="006113B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6113B7"/>
    <w:rPr>
      <w:color w:val="605E5C"/>
      <w:shd w:val="clear" w:color="auto" w:fill="E1DFDD"/>
    </w:rPr>
  </w:style>
  <w:style w:type="character" w:customStyle="1" w:styleId="JuParaChar">
    <w:name w:val="Ju_Para Char"/>
    <w:aliases w:val="_Para Char"/>
    <w:link w:val="JuPara"/>
    <w:uiPriority w:val="4"/>
    <w:rsid w:val="00B62731"/>
    <w:rPr>
      <w:sz w:val="24"/>
      <w:szCs w:val="24"/>
      <w:lang w:val="pl-PL"/>
    </w:rPr>
  </w:style>
  <w:style w:type="table" w:customStyle="1" w:styleId="ECHRListTable1">
    <w:name w:val="ECHR_List_Table1"/>
    <w:basedOn w:val="Standardowy"/>
    <w:uiPriority w:val="99"/>
    <w:rsid w:val="00B6273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Tabelasiatki1jasnaakcent11">
    <w:name w:val="Tabela siatki 1 — jasna — akcent 11"/>
    <w:basedOn w:val="Standardowy"/>
    <w:uiPriority w:val="46"/>
    <w:semiHidden/>
    <w:rsid w:val="00165CE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165CE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165CE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165CE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165CE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165CE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165CE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165CE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165CE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165CE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165CE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165CE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165CE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165C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165CE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165CE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165CE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165CE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165CE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165CE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165C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165CE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165CE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165CE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165CE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165CE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165CE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65CEB"/>
    <w:rPr>
      <w:color w:val="2B579A"/>
      <w:shd w:val="clear" w:color="auto" w:fill="E1DFDD"/>
    </w:rPr>
  </w:style>
  <w:style w:type="table" w:customStyle="1" w:styleId="Tabelalisty1jasna1">
    <w:name w:val="Tabela listy 1 — jasna1"/>
    <w:basedOn w:val="Standardowy"/>
    <w:uiPriority w:val="46"/>
    <w:semiHidden/>
    <w:rsid w:val="00165CE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165CE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165CE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165CE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165CE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165CE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165CE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165CE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165CE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165CE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165CE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165CE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165CE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165CE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165CE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165CE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165CE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165CE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165CE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165CE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165CE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165CE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165CE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165CE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165CE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165CE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165CE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165CE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165CE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165CE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165CE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165CE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165CE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165CE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165CE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165CE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165CE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165CE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165CE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165CE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165CE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165CE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65CEB"/>
    <w:rPr>
      <w:color w:val="2B579A"/>
      <w:shd w:val="clear" w:color="auto" w:fill="E1DFDD"/>
    </w:rPr>
  </w:style>
  <w:style w:type="table" w:customStyle="1" w:styleId="Zwykatabela11">
    <w:name w:val="Zwykła tabela 11"/>
    <w:basedOn w:val="Standardowy"/>
    <w:uiPriority w:val="41"/>
    <w:semiHidden/>
    <w:rsid w:val="00165CE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165CE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165CE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165CE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165CE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65CEB"/>
    <w:rPr>
      <w:u w:val="dotted"/>
    </w:rPr>
  </w:style>
  <w:style w:type="character" w:customStyle="1" w:styleId="Inteligentnylink1">
    <w:name w:val="Inteligentny link1"/>
    <w:basedOn w:val="Domylnaczcionkaakapitu"/>
    <w:uiPriority w:val="99"/>
    <w:semiHidden/>
    <w:unhideWhenUsed/>
    <w:rsid w:val="00165CEB"/>
    <w:rPr>
      <w:color w:val="0000FF"/>
      <w:u w:val="single"/>
      <w:shd w:val="clear" w:color="auto" w:fill="F3F2F1"/>
    </w:rPr>
  </w:style>
  <w:style w:type="table" w:customStyle="1" w:styleId="Siatkatabelijasna1">
    <w:name w:val="Siatka tabeli — jasna1"/>
    <w:basedOn w:val="Standardowy"/>
    <w:uiPriority w:val="40"/>
    <w:semiHidden/>
    <w:rsid w:val="00165CE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6113B7"/>
    <w:rPr>
      <w:color w:val="00B050"/>
      <w:sz w:val="22"/>
    </w:rPr>
  </w:style>
  <w:style w:type="paragraph" w:customStyle="1" w:styleId="jupara0">
    <w:name w:val="jupara"/>
    <w:basedOn w:val="Normalny"/>
    <w:rsid w:val="00AD0CCC"/>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D0CCC"/>
    <w:pPr>
      <w:ind w:firstLine="284"/>
      <w:jc w:val="both"/>
    </w:pPr>
    <w:rPr>
      <w:rFonts w:ascii="Times New Roman" w:eastAsia="Times New Roman" w:hAnsi="Times New Roman" w:cs="Times New Roman"/>
      <w:b/>
      <w:bCs/>
      <w:lang w:eastAsia="en-GB"/>
    </w:rPr>
  </w:style>
  <w:style w:type="paragraph" w:customStyle="1" w:styleId="s86194a7e">
    <w:name w:val="s86194a7e"/>
    <w:basedOn w:val="Normalny"/>
    <w:rsid w:val="00103264"/>
    <w:pPr>
      <w:spacing w:before="100" w:beforeAutospacing="1" w:after="100" w:afterAutospacing="1"/>
    </w:pPr>
    <w:rPr>
      <w:rFonts w:ascii="Times New Roman" w:eastAsia="Times New Roman" w:hAnsi="Times New Roman" w:cs="Times New Roman"/>
      <w:lang w:eastAsia="pl-PL"/>
    </w:rPr>
  </w:style>
  <w:style w:type="character" w:customStyle="1" w:styleId="sfbbfee58">
    <w:name w:val="sfbbfee58"/>
    <w:rsid w:val="00103264"/>
  </w:style>
  <w:style w:type="character" w:customStyle="1" w:styleId="s8fa5caae">
    <w:name w:val="s8fa5caae"/>
    <w:rsid w:val="00103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mswia"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gov.pl/mswia"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1EA22-05A2-44BA-BE63-965A09E57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6639</Words>
  <Characters>34860</Characters>
  <Application>Microsoft Office Word</Application>
  <DocSecurity>0</DocSecurity>
  <Lines>850</Lines>
  <Paragraphs>159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2023-03-17T10:21:00Z</dcterms:created>
  <dcterms:modified xsi:type="dcterms:W3CDTF">2024-12-13T20:53:00Z</dcterms:modified>
  <cp:category/>
</cp:coreProperties>
</file>