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02E3C" w14:textId="77777777" w:rsidR="00AA4209" w:rsidRPr="00E47061" w:rsidRDefault="00AA4209" w:rsidP="00E47061">
      <w:pPr>
        <w:jc w:val="center"/>
      </w:pPr>
    </w:p>
    <w:p w14:paraId="2D4AA205" w14:textId="77777777" w:rsidR="00AA4209" w:rsidRPr="00E47061" w:rsidRDefault="00AA4209" w:rsidP="00E47061">
      <w:pPr>
        <w:jc w:val="center"/>
        <w:rPr>
          <w:sz w:val="4"/>
          <w:szCs w:val="4"/>
        </w:rPr>
      </w:pPr>
    </w:p>
    <w:p w14:paraId="233654B6" w14:textId="77777777" w:rsidR="00AA4209" w:rsidRPr="00E47061" w:rsidRDefault="00F240BF" w:rsidP="00E47061">
      <w:pPr>
        <w:pStyle w:val="DecHTitle"/>
      </w:pPr>
      <w:r>
        <w:t>SEKCJA PIERWSZA</w:t>
      </w:r>
    </w:p>
    <w:p w14:paraId="765C9B1D" w14:textId="77777777" w:rsidR="00AA4209" w:rsidRPr="00E47061" w:rsidRDefault="00F240BF" w:rsidP="00E47061">
      <w:pPr>
        <w:pStyle w:val="DecHTitle"/>
      </w:pPr>
      <w:r>
        <w:t>DECYZJA</w:t>
      </w:r>
    </w:p>
    <w:p w14:paraId="59B78EEF" w14:textId="77777777" w:rsidR="00AA4209" w:rsidRPr="00E47061" w:rsidRDefault="00F240BF" w:rsidP="00E47061">
      <w:pPr>
        <w:pStyle w:val="DecHCase"/>
        <w:rPr>
          <w:i/>
        </w:rPr>
      </w:pPr>
      <w:r>
        <w:t>Skargi nr 41097/20 i 39577/22</w:t>
      </w:r>
      <w:r>
        <w:br/>
        <w:t>Wiesław DUDEK przeciwko Polsce</w:t>
      </w:r>
      <w:r>
        <w:br/>
        <w:t>i Dariusz LAZUR przeciwko Polsce</w:t>
      </w:r>
    </w:p>
    <w:p w14:paraId="71F35A23" w14:textId="77777777" w:rsidR="00AA4209" w:rsidRPr="00E47061" w:rsidRDefault="00AA4209" w:rsidP="00E47061">
      <w:pPr>
        <w:rPr>
          <w:sz w:val="2"/>
          <w:szCs w:val="2"/>
        </w:rPr>
      </w:pPr>
    </w:p>
    <w:p w14:paraId="1FD5DF76" w14:textId="32A8AF07" w:rsidR="00642627" w:rsidRPr="00E47061" w:rsidRDefault="00F240BF" w:rsidP="00E47061">
      <w:pPr>
        <w:pStyle w:val="JuPara"/>
      </w:pPr>
      <w:r>
        <w:t>Europejski Trybunał Praw Człowieka (Sekcja Pierwsza</w:t>
      </w:r>
      <w:r>
        <w:t>), na posiedzeniu</w:t>
      </w:r>
      <w:r>
        <w:t xml:space="preserve"> w dniu 8 października 2024 r. </w:t>
      </w:r>
      <w:r>
        <w:t>w składzie Izby złożonej z</w:t>
      </w:r>
      <w:r>
        <w:t>:</w:t>
      </w:r>
    </w:p>
    <w:p w14:paraId="6AEA7753" w14:textId="77777777" w:rsidR="00642627" w:rsidRPr="00E47061" w:rsidRDefault="00F240BF" w:rsidP="00E47061">
      <w:pPr>
        <w:pStyle w:val="JuJudges"/>
      </w:pPr>
      <w:r>
        <w:tab/>
        <w:t>Ivana Jelić</w:t>
      </w:r>
      <w:r>
        <w:rPr>
          <w:i/>
        </w:rPr>
        <w:t>, Przewodnicząca</w:t>
      </w:r>
      <w:r>
        <w:t>,</w:t>
      </w:r>
      <w:r>
        <w:br/>
      </w:r>
      <w:r>
        <w:tab/>
        <w:t>Alena Poláčková,</w:t>
      </w:r>
      <w:r>
        <w:br/>
      </w:r>
      <w:r>
        <w:tab/>
        <w:t>Krzysztof Wojtyczek,</w:t>
      </w:r>
      <w:r>
        <w:br/>
      </w:r>
      <w:r>
        <w:tab/>
        <w:t>L</w:t>
      </w:r>
      <w:r>
        <w:t>ə</w:t>
      </w:r>
      <w:r>
        <w:t>tif Hüseynov,</w:t>
      </w:r>
      <w:r>
        <w:br/>
      </w:r>
      <w:r>
        <w:tab/>
        <w:t>Péter Paczolay,</w:t>
      </w:r>
      <w:r>
        <w:br/>
      </w:r>
      <w:r>
        <w:tab/>
        <w:t>Erik Wennerström,</w:t>
      </w:r>
      <w:r>
        <w:br/>
      </w:r>
      <w:r>
        <w:tab/>
        <w:t>Raffaele Sabato</w:t>
      </w:r>
      <w:r>
        <w:rPr>
          <w:i/>
        </w:rPr>
        <w:t xml:space="preserve">, </w:t>
      </w:r>
      <w:r>
        <w:rPr>
          <w:i/>
          <w:iCs/>
        </w:rPr>
        <w:t>Sędziowie</w:t>
      </w:r>
      <w:r>
        <w:t>,</w:t>
      </w:r>
    </w:p>
    <w:p w14:paraId="3FF0939A" w14:textId="77777777" w:rsidR="00642627" w:rsidRPr="00E47061" w:rsidRDefault="00F240BF" w:rsidP="00E47061">
      <w:pPr>
        <w:pStyle w:val="JuJudges"/>
      </w:pPr>
      <w:r>
        <w:t xml:space="preserve">oraz Ilse Freiwirth, </w:t>
      </w:r>
      <w:r>
        <w:rPr>
          <w:i/>
          <w:iCs/>
        </w:rPr>
        <w:t>Kanclerz Sekcji</w:t>
      </w:r>
      <w:r>
        <w:rPr>
          <w:i/>
        </w:rPr>
        <w:t>,</w:t>
      </w:r>
    </w:p>
    <w:p w14:paraId="0B5B5CE1" w14:textId="024C54A6" w:rsidR="00642627" w:rsidRPr="00E47061" w:rsidRDefault="00F240BF" w:rsidP="00E47061">
      <w:pPr>
        <w:pStyle w:val="JuPara"/>
      </w:pPr>
      <w:r>
        <w:t>Uwzględniając</w:t>
      </w:r>
      <w:r>
        <w:t xml:space="preserve"> powyższe skargi złożone</w:t>
      </w:r>
      <w:r>
        <w:t xml:space="preserve"> odpowiednio w dniach 1 września 2020 r. oraz 28 lipca 2022 r.,</w:t>
      </w:r>
    </w:p>
    <w:p w14:paraId="4B06E6B9" w14:textId="106F3294" w:rsidR="00642627" w:rsidRPr="00E47061" w:rsidRDefault="005243CC" w:rsidP="00E47061">
      <w:pPr>
        <w:pStyle w:val="JuPara"/>
      </w:pPr>
      <w:r>
        <w:t>U</w:t>
      </w:r>
      <w:r w:rsidR="00F240BF">
        <w:t>względniając złożone przez pozwany Rząd w dniach 19 i 20 czerwca 2024 r. deklaracje, w których zwrócono się do Trybunału o skreślenie skarg z listy spraw, oraz odpowiedź skarżących na te deklaracje,</w:t>
      </w:r>
    </w:p>
    <w:p w14:paraId="62CE2FE1" w14:textId="72295224" w:rsidR="00642627" w:rsidRPr="00E47061" w:rsidRDefault="005243CC" w:rsidP="00E47061">
      <w:pPr>
        <w:pStyle w:val="JuPara"/>
      </w:pPr>
      <w:r>
        <w:t>Po naradzie postanawia, co następuje</w:t>
      </w:r>
      <w:r w:rsidR="00F240BF">
        <w:t>:</w:t>
      </w:r>
    </w:p>
    <w:p w14:paraId="1B0FC16D" w14:textId="77777777" w:rsidR="00642627" w:rsidRPr="00E47061" w:rsidRDefault="00F240BF" w:rsidP="00E47061">
      <w:pPr>
        <w:pStyle w:val="JuHHead"/>
      </w:pPr>
      <w:r>
        <w:t>STAN FAKTYCZNY I POSTĘPOWANIE</w:t>
      </w:r>
    </w:p>
    <w:p w14:paraId="467C41A6" w14:textId="5AB66C74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</w:t>
      </w:r>
      <w:r w:rsidRPr="00E47061">
        <w:fldChar w:fldCharType="end"/>
      </w:r>
      <w:r>
        <w:t>.  Szczegóły dotyczące skarżących i ich spraw przedstawiono w załączonej tabeli.</w:t>
      </w:r>
    </w:p>
    <w:p w14:paraId="27EF48FC" w14:textId="75C09F6D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</w:t>
      </w:r>
      <w:r w:rsidRPr="00E47061">
        <w:fldChar w:fldCharType="end"/>
      </w:r>
      <w:r>
        <w:t>.  Rząd polski („Rząd”) reprezentowany był przez swojego pełnomocnika J. Sobczaka, a następnie przez A. Kozińską-Makowską z Ministerstwa Spraw Zagranicznych.</w:t>
      </w:r>
    </w:p>
    <w:p w14:paraId="21CFB08F" w14:textId="325A76E3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3</w:t>
      </w:r>
      <w:r w:rsidRPr="00E47061">
        <w:fldChar w:fldCharType="end"/>
      </w:r>
      <w:r>
        <w:t xml:space="preserve">.  Pierwszy skarżący był zaangażowany w spór cywilny, który był rozpatrywany przez sądy w dwóch instancjach. W dniu 5 listopada 2019 r. Sąd Najwyższy odmówił rozpoznania skargi kasacyjnej skarżącego. Obradował on na posiedzeniu niejawnym w składzie jednego sędziego w osobie sędzi M. Manowskiej, powołanej do tego sądu przez Prezydenta RP </w:t>
      </w:r>
      <w:r>
        <w:lastRenderedPageBreak/>
        <w:t>w dniu 10 października 2018 r. z rekomendacji Krajowej Rady Sądownictwa („KRS”) (uchwała nr 330/2018 z dnia 28 sierpnia 2018 r.).</w:t>
      </w:r>
    </w:p>
    <w:p w14:paraId="37B51C97" w14:textId="13720822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4</w:t>
      </w:r>
      <w:r w:rsidRPr="00E47061">
        <w:fldChar w:fldCharType="end"/>
      </w:r>
      <w:r>
        <w:t>.  Drugi skarżący został uznany za winnego w postępowaniu karnym przez sądy dwóch instancji i skazany na karę pozbawienia wolności. W dniu 21 stycznia 2022 r. Sąd Najwyższy oddalił jego skargę kasacyjną. Obradował on na posiedzeniu niejawnym w składzie jednego sędziego w osobie sędziego M. Siwka, powołanego do tego sądu przez Prezydenta RP w dniu 10 października 2018 r. z rekomendacji KRS (uchwała nr 331/2018 z dnia 28 sierpnia 2018 r.).</w:t>
      </w:r>
    </w:p>
    <w:p w14:paraId="3A16A100" w14:textId="6DF74E85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5</w:t>
      </w:r>
      <w:r w:rsidRPr="00E47061">
        <w:fldChar w:fldCharType="end"/>
      </w:r>
      <w:r>
        <w:t>.  Skarżący wnieśli skargę na podstawie artykułu 6 ust. 1 Konwencji na naruszenie ich prawa do rozpatrzenia sprawy przez „niezawisły i bezstronny sąd ustanowiony ustawą”, ponieważ ich sprawy cywilne lub karne zostały rozstrzygnięte przez składy Izb Cywilnej lub Karnej Sądu Najwyższego, złożone z sędziów powołanych do tego sądu przez Prezydenta RP, zgodnie z zaleceniem KRS utworzonej na podstawie ustawy z dnia 8 grudnia 2017 r. o zmianie ustawy o KRS oraz niektórych innych ustaw („KRS w nowo ukształtowanym składzie”).</w:t>
      </w:r>
    </w:p>
    <w:p w14:paraId="112B562B" w14:textId="209BEF30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6</w:t>
      </w:r>
      <w:r w:rsidRPr="00E47061">
        <w:fldChar w:fldCharType="end"/>
      </w:r>
      <w:r>
        <w:t>.  Skargi zostały zakomunikowane Rządowi.</w:t>
      </w:r>
    </w:p>
    <w:p w14:paraId="469568F1" w14:textId="77777777" w:rsidR="00642627" w:rsidRPr="00E47061" w:rsidRDefault="00F240BF" w:rsidP="00E47061">
      <w:pPr>
        <w:pStyle w:val="JuHHead"/>
      </w:pPr>
      <w:r>
        <w:t>PRAWO</w:t>
      </w:r>
    </w:p>
    <w:p w14:paraId="6CE7BDAA" w14:textId="058F4612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7</w:t>
      </w:r>
      <w:r w:rsidRPr="00E47061">
        <w:fldChar w:fldCharType="end"/>
      </w:r>
      <w:r>
        <w:t>.  Mając na uwadze podobieństwo przedmiotu skarg, Trybunał uznaje za stosowne rozstrzygnąć je łącznie w jednej decyzji (Reguła 42 § 1 Regulaminu Trybunału).</w:t>
      </w:r>
    </w:p>
    <w:p w14:paraId="116413FA" w14:textId="684E054C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8</w:t>
      </w:r>
      <w:r w:rsidRPr="00E47061">
        <w:fldChar w:fldCharType="end"/>
      </w:r>
      <w:r>
        <w:t>.  Skarżący podnieśli, że skład orzekający Sądu Najwyższego, który rozpatrywał ich sprawy, doprowadził do naruszenia ich prawa do „niezawisłego i bezstronnego sądu ustanowionego ustawą”.</w:t>
      </w:r>
    </w:p>
    <w:p w14:paraId="475F22FB" w14:textId="690DA0CE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9</w:t>
      </w:r>
      <w:r w:rsidRPr="00E47061">
        <w:fldChar w:fldCharType="end"/>
      </w:r>
      <w:r>
        <w:t>.  Po nieudanych próbach polubownego załatwienia sprawy, odpowiednio w pismach z 19 i 20 czerwca 2024 r., Rząd poinformował Trybunał, że zaproponował złożenie jednostronnych deklaracji w celu rozwiązania kwestii podniesionej w skargach. Ponadto zwrócił się do Trybunału o skreślenie skarg z listy zgodnie z art. 37 Konwencji.</w:t>
      </w:r>
    </w:p>
    <w:bookmarkStart w:id="0" w:name="declaration"/>
    <w:p w14:paraId="27CDC3C3" w14:textId="3754E09F" w:rsidR="00642627" w:rsidRPr="00E47061" w:rsidRDefault="00F240BF" w:rsidP="00E47061">
      <w:pPr>
        <w:pStyle w:val="JuPara"/>
      </w:pPr>
      <w:r w:rsidRPr="00E47061">
        <w:fldChar w:fldCharType="begin"/>
      </w:r>
      <w:r w:rsidRPr="00E47061"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10</w:t>
      </w:r>
      <w:r w:rsidRPr="00E47061">
        <w:fldChar w:fldCharType="end"/>
      </w:r>
      <w:bookmarkEnd w:id="0"/>
      <w:r>
        <w:t>.  W deklaracjach stwierdzono, co następuje:</w:t>
      </w:r>
    </w:p>
    <w:p w14:paraId="1BDBDBBF" w14:textId="77777777" w:rsidR="00642627" w:rsidRPr="00E47061" w:rsidRDefault="00F240BF" w:rsidP="00E47061">
      <w:pPr>
        <w:pStyle w:val="JuQuot"/>
      </w:pPr>
      <w:r>
        <w:t xml:space="preserve">„Rząd zauważa, że komunikat dotyczy zarzutów naruszenia prawa do »niezawisłego i bezstronnego sądu ustanowionego ustawą« w rozumieniu art. 6 ust. 1 Konwencji. Rząd odnotowuje i uznaje orzecznictwo Trybunału dotyczące procedury powoływania sędziów Sądu Najwyższego oraz organizacji Krajowej Rady Sądownictwa w Polsce (zob. w szczególności </w:t>
      </w:r>
      <w:r>
        <w:rPr>
          <w:i/>
          <w:iCs/>
        </w:rPr>
        <w:t>Wałęsa przeciwko Polsce</w:t>
      </w:r>
      <w:r>
        <w:t>, nr 50849/21, 23 listopada 2023 r.).</w:t>
      </w:r>
    </w:p>
    <w:p w14:paraId="5C89E1F0" w14:textId="77777777" w:rsidR="00642627" w:rsidRPr="00E47061" w:rsidRDefault="00F240BF" w:rsidP="00E47061">
      <w:pPr>
        <w:pStyle w:val="JuQuot"/>
      </w:pPr>
      <w:r>
        <w:t>[...]</w:t>
      </w:r>
    </w:p>
    <w:p w14:paraId="30AD8CD4" w14:textId="77777777" w:rsidR="00642627" w:rsidRPr="00E47061" w:rsidRDefault="00F240BF" w:rsidP="00E47061">
      <w:pPr>
        <w:pStyle w:val="JuQuot"/>
      </w:pPr>
      <w:r>
        <w:t>Rząd niniejszym pragnie wyrazić – w drodze jednostronnej deklaracji – potwierdzenie naruszenia art. 6 ust. 1 Konwencji dotyczącego prawa do „niezawisłego i bezstronnego sądu ustanowionego ustawą”.</w:t>
      </w:r>
    </w:p>
    <w:p w14:paraId="0D00764A" w14:textId="77777777" w:rsidR="00642627" w:rsidRPr="00E47061" w:rsidRDefault="00F240BF" w:rsidP="00E47061">
      <w:pPr>
        <w:pStyle w:val="JuQuot"/>
      </w:pPr>
      <w:r>
        <w:lastRenderedPageBreak/>
        <w:t xml:space="preserve">Jednocześnie Rząd deklaruje, że jest gotów zapłacić skarżącemu kwotę 10 000 EUR (dziesięć tysięcy euro), którą uważa za rozsądną w świetle orzecznictwa Trybunału (zob. </w:t>
      </w:r>
      <w:r>
        <w:rPr>
          <w:i/>
          <w:iCs/>
        </w:rPr>
        <w:t>Advance Pharma Sp. z o.o. przeciwko Polsce</w:t>
      </w:r>
      <w:r>
        <w:t>, nr 1469/20, 3 lutego 2022 r.).</w:t>
      </w:r>
    </w:p>
    <w:p w14:paraId="65C69D1E" w14:textId="77777777" w:rsidR="00642627" w:rsidRPr="00E47061" w:rsidRDefault="00F240BF" w:rsidP="00E47061">
      <w:pPr>
        <w:pStyle w:val="JuQuot"/>
      </w:pPr>
      <w:r>
        <w:t xml:space="preserve">Kwota, o której mowa powyżej, ma pokryć wszelkie szkody materialne i niematerialne, jak również koszty i wydatki, i będzie wolna od wszelkich należnych podatków. Zostanie ona przeliczona na walutę pozwanego państwa (PLN) po kursie obowiązującym w dniu rozliczenia i będzie płatna w ciągu trzech miesięcy od daty notyfikacji ostatecznego orzeczenia podjętego przez Trybunał zgodnie z art. 37 ust. 1 Konwencji. W przypadku nieuregulowania należności we wspomnianym terminie trzech miesięcy Rząd zobowiązuje się do </w:t>
      </w:r>
      <w:r>
        <w:t>zapłaty odsetek zwykłych, naliczanych od momentu upływu tego terminu do chwili rozliczenia, według stopy równej marginalnej stopie procentowej Europejskiego Banku Centralnego obowiązującej w tym okresie, powiększonej o trzy punkty procentowe”.</w:t>
      </w:r>
    </w:p>
    <w:p w14:paraId="0F86767F" w14:textId="50E91AE8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11</w:t>
      </w:r>
      <w:r w:rsidRPr="00E47061">
        <w:fldChar w:fldCharType="end"/>
      </w:r>
      <w:r>
        <w:t>.  W pismach odpowiednio z 18 i 24 lipca 2024 r. skarżący wskazali, że nie są zadowoleni z warunków przedstawionych w jednostronnych deklaracjach. Skarżyli się, że zaproponowana kwota była zbyt niska i nie obejmowała odszkodowania za szkodę materialną. Ponadto wyrazili życzenie, aby Trybunał wydał wyrok stwierdzający naruszenie prawa do niezawisłego i bezstronnego „sądu ustanowionego ustawą”, co otworzyłoby możliwość wznowienia postępowania krajowego.</w:t>
      </w:r>
    </w:p>
    <w:p w14:paraId="347C9D82" w14:textId="13D08DF6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12</w:t>
      </w:r>
      <w:r w:rsidRPr="00E47061">
        <w:fldChar w:fldCharType="end"/>
      </w:r>
      <w:r>
        <w:t>.  Trybunał przypomina, że art. 37 Konwencji stanowi, że w każdej fazie postępowania może on zdecydować o skreśleniu skargi z listy spraw, jeżeli okoliczności prowadzą do jednego z wniosków określonych w art. 37 ust. 1 lit. a, b lub c.</w:t>
      </w:r>
    </w:p>
    <w:p w14:paraId="2BB366FC" w14:textId="77777777" w:rsidR="00642627" w:rsidRPr="00E47061" w:rsidRDefault="00F240BF" w:rsidP="00E47061">
      <w:pPr>
        <w:pStyle w:val="JuPara"/>
      </w:pPr>
      <w:r>
        <w:t>W szczególności art. 37 ust. 1 lit. c umożliwia Trybunałowi skreślenie sprawy z listy, jeżeli:</w:t>
      </w:r>
    </w:p>
    <w:p w14:paraId="1C829476" w14:textId="77777777" w:rsidR="00642627" w:rsidRPr="00E47061" w:rsidRDefault="00F240BF" w:rsidP="00E47061">
      <w:pPr>
        <w:pStyle w:val="JuQuot"/>
      </w:pPr>
      <w:r>
        <w:t>„z jakiejkolwiek innej przyczyny ustalonej przez Trybunał nie jest uzasadnione dalsze rozpatrywanie skargi”.</w:t>
      </w:r>
    </w:p>
    <w:p w14:paraId="58862E36" w14:textId="77777777" w:rsidR="00642627" w:rsidRPr="00E47061" w:rsidRDefault="00F240BF" w:rsidP="00E47061">
      <w:pPr>
        <w:pStyle w:val="JuPara"/>
      </w:pPr>
      <w:r>
        <w:t xml:space="preserve">Artykuł 37 ust. 1 </w:t>
      </w:r>
      <w:r>
        <w:rPr>
          <w:i/>
          <w:iCs/>
        </w:rPr>
        <w:t>in fine</w:t>
      </w:r>
      <w:r>
        <w:t xml:space="preserve"> zawiera zastrzeżenie o następującej treści:</w:t>
      </w:r>
    </w:p>
    <w:p w14:paraId="2EA7A210" w14:textId="77777777" w:rsidR="00642627" w:rsidRPr="00E47061" w:rsidRDefault="00F240BF" w:rsidP="00E47061">
      <w:pPr>
        <w:pStyle w:val="JuQuot"/>
      </w:pPr>
      <w:r>
        <w:t>„Jednakże Trybunał kontynuuje rozpatrywanie skargi, jeśli wymaga tego poszanowanie praw człowieka w rozumieniu niniejszej konwencji i jej protokołów”.</w:t>
      </w:r>
    </w:p>
    <w:p w14:paraId="70010E7C" w14:textId="2473DA2F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13</w:t>
      </w:r>
      <w:r w:rsidRPr="00E47061">
        <w:fldChar w:fldCharType="end"/>
      </w:r>
      <w:r>
        <w:t>.  Trybunał przypomina również, że w pewnych okolicznościach może skreślić skargę z listy zgodnie z art. 37 ust. 1 lit. c na podstawie jednostronnej deklaracji pozwanego Rządu, nawet jeżeli skarżący wyraża wolę dalszego prowadzenia sprawy.</w:t>
      </w:r>
    </w:p>
    <w:p w14:paraId="7395A09B" w14:textId="0A54EC55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14</w:t>
      </w:r>
      <w:r w:rsidRPr="00E47061">
        <w:fldChar w:fldCharType="end"/>
      </w:r>
      <w:r>
        <w:t xml:space="preserve">.  W tym celu Trybunał przeanalizował treść deklaracji w świetle zasad wynikających z jego orzecznictwa, w szczególności z wyroku </w:t>
      </w:r>
      <w:r>
        <w:rPr>
          <w:i/>
          <w:iCs/>
        </w:rPr>
        <w:t xml:space="preserve">Tahsin Acar </w:t>
      </w:r>
      <w:r>
        <w:t>(</w:t>
      </w:r>
      <w:r>
        <w:rPr>
          <w:i/>
        </w:rPr>
        <w:t>Tahsin Acar przeciwko Turcji</w:t>
      </w:r>
      <w:r>
        <w:t xml:space="preserve"> (zarzuty wstępne) [WI], nr 26307/95, §§ 75–77, ETPCz 2003-VI; </w:t>
      </w:r>
      <w:r>
        <w:rPr>
          <w:i/>
        </w:rPr>
        <w:t>WAZA Sp. z o.o. przeciwko Polsce</w:t>
      </w:r>
      <w:r>
        <w:t xml:space="preserve"> (dec.), nr 11602/02, 26 czerwca 2007 r.; oraz </w:t>
      </w:r>
      <w:r>
        <w:rPr>
          <w:i/>
        </w:rPr>
        <w:t>Sulwińska przeciwko Polsce</w:t>
      </w:r>
      <w:r>
        <w:t xml:space="preserve"> (dec.), nr 28953/03, 18 września 2007 r.). W tym względzie istotne czynniki obejmują charakter podniesionych skarg, to, czy podniesione kwestie są porównywalne z kwestiami już rozstrzygniętymi przez Trybunał w poprzednich sprawach, charakter i zakres wszelkich środków podjętych przez pozwany Rząd </w:t>
      </w:r>
      <w:r>
        <w:lastRenderedPageBreak/>
        <w:t xml:space="preserve">w kontekście wykonywania wyroków wydanych przez Trybunał w takich poprzednich sprawach oraz wpływ tych środków na rozpatrywaną sprawę (zob. </w:t>
      </w:r>
      <w:r>
        <w:rPr>
          <w:i/>
          <w:iCs/>
        </w:rPr>
        <w:t>Tahsin Acar</w:t>
      </w:r>
      <w:r>
        <w:t>, cytowany powyżej, § 76). Inne istotne czynniki mogą obejmować kwestię tego, czy Rząd przyznał się do zarzucanych naruszeń Konwencji, a jeśli tak, to jaki był zakres takich przyznań i sposób, w jaki zamierza on zapewnić skarżącemu zadośćuczynienie (</w:t>
      </w:r>
      <w:r>
        <w:rPr>
          <w:i/>
          <w:iCs/>
        </w:rPr>
        <w:t>ibid.</w:t>
      </w:r>
      <w:r>
        <w:t>).</w:t>
      </w:r>
    </w:p>
    <w:p w14:paraId="4E3F5A5C" w14:textId="4EA4931C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15</w:t>
      </w:r>
      <w:r w:rsidRPr="00E47061">
        <w:fldChar w:fldCharType="end"/>
      </w:r>
      <w:r>
        <w:t xml:space="preserve">.  Trybunał zauważa, że skarżący twierdzili, iż ich sprawy nie zostały rozpatrzone przez bezstronny i niezawisły „sąd ustanowiony ustawą”, co stanowi naruszenie art. 6 ust. 1 Konwencji. Trybunał powtarza, że celem wymogu, aby „sąd” był „ustanowiony ustawą”, jest zapewnienie, „aby ustrój sądownictwa w demokratycznym społeczeństwie nie był zależny od uznania władzy wykonawczej, lecz regulowany prawem pochodzącym od Parlamentu” (zob. </w:t>
      </w:r>
      <w:r>
        <w:rPr>
          <w:i/>
          <w:iCs/>
        </w:rPr>
        <w:t>Guðmundur Andri Ástráðsson przeciwko Islandii</w:t>
      </w:r>
      <w:r>
        <w:t xml:space="preserve"> [WI], nr 26374/18, § 214, 1 grudnia 2020 r.).</w:t>
      </w:r>
    </w:p>
    <w:p w14:paraId="6F7A6598" w14:textId="0B777311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16</w:t>
      </w:r>
      <w:r w:rsidRPr="00E47061">
        <w:fldChar w:fldCharType="end"/>
      </w:r>
      <w:r>
        <w:t xml:space="preserve">.  Reorganizacja sądownictwa w Polsce zainicjowana przez Rząd w 2017 r. i wdrożona kolejnymi ustawami nowelizującymi była przedmiotem nie tylko intensywnej debaty publicznej w Polsce i na szczeblu europejskim, lecz także licznych postępowań przed Trybunałem, sądami polskimi i Trybunałem Sprawiedliwości Unii Europejskiej, innych skarg przed instytucjami Unii Europejskiej, rezolucji Parlamentu Europejskiego, procedury monitorowania Zgromadzenia Parlamentarnego Rady Europy i jego rezolucji oraz różnych sprawozdań organów Rady Europy i Organizacji Narodów Zjednoczonych (zob. </w:t>
      </w:r>
      <w:bookmarkStart w:id="1" w:name="_cl40859THELAW"/>
      <w:r>
        <w:rPr>
          <w:i/>
          <w:iCs/>
        </w:rPr>
        <w:t>Reczkowicz przeciwko Polsce</w:t>
      </w:r>
      <w:bookmarkEnd w:id="1"/>
      <w:r>
        <w:t>, nr 43447/19, § 178, 22 lipca 2021 r.).</w:t>
      </w:r>
    </w:p>
    <w:p w14:paraId="459860D2" w14:textId="5432EF00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17</w:t>
      </w:r>
      <w:r w:rsidRPr="00E47061">
        <w:fldChar w:fldCharType="end"/>
      </w:r>
      <w:r>
        <w:t>.  Trybunał zauważa ponadto, że reformy sądownictwa w Polsce, których celem było osłabienie niezależności sądów, zostały zbadane w szeregu orzeczeń, począwszy od poważnych nieprawidłowości w wyborze sędziów Trybunału Konstytucyjnego w grudniu 2015 r. (zob.</w:t>
      </w:r>
      <w:r>
        <w:rPr>
          <w:i/>
          <w:iCs/>
        </w:rPr>
        <w:t xml:space="preserve"> Xero Flor w Polsce sp. z o.o. przeciwko Polsce</w:t>
      </w:r>
      <w:r>
        <w:t xml:space="preserve">, nr 4907/18, 7 maja 2021 r.), a następnie w szczególności przekształcenia KRS i utworzenia nowych izb w Sądzie Najwyższym, przy jednoczesnym rozszerzeniu kontroli Ministra Sprawiedliwości nad sądami i zwiększeniu jego roli w sprawach dyscypliny sądowej (zob. </w:t>
      </w:r>
      <w:r>
        <w:rPr>
          <w:i/>
          <w:iCs/>
        </w:rPr>
        <w:t>Grzęda przeciwko Polsce</w:t>
      </w:r>
      <w:r>
        <w:t xml:space="preserve"> [WI], nr 43572/18, § 348, 15 marca 2022 r.).</w:t>
      </w:r>
    </w:p>
    <w:p w14:paraId="01C721A6" w14:textId="7EA8E9A8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18</w:t>
      </w:r>
      <w:r w:rsidRPr="00E47061">
        <w:fldChar w:fldCharType="end"/>
      </w:r>
      <w:r>
        <w:t xml:space="preserve">.  W sprawach </w:t>
      </w:r>
      <w:r>
        <w:rPr>
          <w:i/>
          <w:iCs/>
        </w:rPr>
        <w:t>Reczkowicz</w:t>
      </w:r>
      <w:r>
        <w:t xml:space="preserve">, cytowanej powyżej, </w:t>
      </w:r>
      <w:r>
        <w:rPr>
          <w:i/>
          <w:iCs/>
        </w:rPr>
        <w:t>Dolińska-Ficek i Ozimek przeciwko Polsce</w:t>
      </w:r>
      <w:r>
        <w:t xml:space="preserve">, nr 49868/19 i 57511/19, 8 listopada 2021 r., oraz </w:t>
      </w:r>
      <w:r>
        <w:rPr>
          <w:i/>
          <w:iCs/>
        </w:rPr>
        <w:t>Advance Pharma sp. z o.o. przeciwko Polsce</w:t>
      </w:r>
      <w:r>
        <w:t xml:space="preserve">, nr 1469/20, 3 lutego 2022 r., Trybunał zastosował trzyetapowy test sformułowany w wyroku w sprawie </w:t>
      </w:r>
      <w:r>
        <w:rPr>
          <w:i/>
          <w:iCs/>
        </w:rPr>
        <w:t>Guðmundur Andri Ástráðsson</w:t>
      </w:r>
      <w:r>
        <w:t xml:space="preserve"> (cytowany powyżej) i stwierdził, że doszło do oczywistego naruszenia prawa krajowego, co niekorzystnie wpłynęło na podstawowe zasady procedury powoływania sędziów do różnych Izb Sądu Najwyższego. Naruszenie prawa krajowego wynikało w szczególności z wadliwej procedury powoływania sędziów, w której uczestniczyła KRS, ustanowiona na mocy ustawy nowelizującej z 2017 r., a więc organ, który nie </w:t>
      </w:r>
      <w:r>
        <w:lastRenderedPageBreak/>
        <w:t>zapewniał już wystarczających gwarancji niezależności od władzy ustawodawczej czy wykonawczej.</w:t>
      </w:r>
    </w:p>
    <w:p w14:paraId="4F628A1C" w14:textId="2D9E57C8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19</w:t>
      </w:r>
      <w:r w:rsidRPr="00E47061">
        <w:fldChar w:fldCharType="end"/>
      </w:r>
      <w:r>
        <w:t xml:space="preserve">.  Naruszenia prawa skarżących do rozpatrzenia sprawy przez „niezawisły i bezstronny sąd ustanowiony ustawą”, chronionego przez art. 6 ust. 1 Konwencji, zostały stwierdzone w odniesieniu do Izby Dyscyplinarnej Sądu Najwyższego (zob. </w:t>
      </w:r>
      <w:r>
        <w:rPr>
          <w:i/>
          <w:iCs/>
        </w:rPr>
        <w:t>Reczkowicz</w:t>
      </w:r>
      <w:r>
        <w:t xml:space="preserve">, cytowany powyżej), Izby Kontroli Nadzwyczajnej i Spraw Publicznych (zob. </w:t>
      </w:r>
      <w:r>
        <w:rPr>
          <w:i/>
          <w:iCs/>
        </w:rPr>
        <w:t>Dolińska-Ficek i Ozimek</w:t>
      </w:r>
      <w:r>
        <w:t xml:space="preserve">, cytowany powyżej) oraz składów Izby Cywilnej Sądu Najwyższego (zob. </w:t>
      </w:r>
      <w:r>
        <w:rPr>
          <w:i/>
          <w:iCs/>
        </w:rPr>
        <w:t>Advance Pharma sp. z o.o.</w:t>
      </w:r>
      <w:r>
        <w:t>, cytowany powyżej).</w:t>
      </w:r>
    </w:p>
    <w:p w14:paraId="125945D8" w14:textId="2BE9B1B8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20</w:t>
      </w:r>
      <w:r w:rsidRPr="00E47061">
        <w:fldChar w:fldCharType="end"/>
      </w:r>
      <w:r>
        <w:t xml:space="preserve">.  Wreszcie w wyroku pilotażowym Trybunał sporządził listę powiązanych ze sobą problemów systemowych, które pociągają za sobą powtarzające się naruszenia podstawowych zasad praworządności, podziału władzy i niezależności sądownictwa (zob. </w:t>
      </w:r>
      <w:r>
        <w:rPr>
          <w:i/>
          <w:iCs/>
        </w:rPr>
        <w:t>Wałęsa</w:t>
      </w:r>
      <w:r>
        <w:t>, cytowany powyżej, § 324).</w:t>
      </w:r>
    </w:p>
    <w:p w14:paraId="05D928A5" w14:textId="7A1DF932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21</w:t>
      </w:r>
      <w:r w:rsidRPr="00E47061">
        <w:fldChar w:fldCharType="end"/>
      </w:r>
      <w:r>
        <w:t>.  Trybunał stwierdza zatem, że zarzuty podniesione przez skarżących mają bardzo poważny charakter i dotykają samej istoty ich prawa chronionego na mocy art. 6 Konwencji. Zauważa również, że kwestie podniesione w rozpatrywanych sprawach zostały już wnikliwie zbadane przez Trybunał.</w:t>
      </w:r>
    </w:p>
    <w:p w14:paraId="76F8E5C1" w14:textId="6B92DCC9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22</w:t>
      </w:r>
      <w:r w:rsidRPr="00E47061">
        <w:fldChar w:fldCharType="end"/>
      </w:r>
      <w:r>
        <w:t xml:space="preserve">.  Trybunał wielokrotnie wzywał Rząd do wyciągnięcia niezbędnych wniosków z jego orzeczeń i podjęcia wszelkich stosownych środków indywidualnych lub ogólnych, pod nadzorem Komitetu Ministrów, w celu rozwiązania problemów leżących u podstaw naruszeń stwierdzonych przez Trybunał i zapobieżenia podobnym naruszeniom w przyszłości (zob. </w:t>
      </w:r>
      <w:r>
        <w:rPr>
          <w:i/>
          <w:iCs/>
        </w:rPr>
        <w:t>Dolińska-Ficek i Ozimek</w:t>
      </w:r>
      <w:r>
        <w:t xml:space="preserve">, cytowany powyżej, § 369, oraz </w:t>
      </w:r>
      <w:r>
        <w:rPr>
          <w:i/>
          <w:iCs/>
        </w:rPr>
        <w:t>Advance Pharma sp. z o.o.</w:t>
      </w:r>
      <w:r>
        <w:t xml:space="preserve">, cytowany powyżej, § 366). Bardziej szczegółowe wskazówki co do ogólnych środków, jakie należy podjąć w związku z systemowym problemem zidentyfikowanym powyżej, podano w wyroku pilotażowym (zob. </w:t>
      </w:r>
      <w:r>
        <w:rPr>
          <w:i/>
          <w:iCs/>
        </w:rPr>
        <w:t>Wałęsa</w:t>
      </w:r>
      <w:r>
        <w:t>, cytowany powyżej, §§ 328–332).</w:t>
      </w:r>
    </w:p>
    <w:p w14:paraId="45931692" w14:textId="0215FA22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23</w:t>
      </w:r>
      <w:r w:rsidRPr="00E47061">
        <w:fldChar w:fldCharType="end"/>
      </w:r>
      <w:r>
        <w:t xml:space="preserve">.  Obecnie w rejestrze Trybunału znajduje się około 700 spraw przeciwko Polsce dotyczących rzekomego naruszenia prawa do „niezawisłego i bezstronnego sądu ustanowionego ustawą” z uwagi na fakt, że w składach orzekających różnych sądów, które rozpoznawały sprawy skarżących, zasiadali sędziowie powołani przez Prezydenta RP na wniosek KRS w nowo ukształtowanym składzie. Wadliwa procedura powoływania sędziów z udziałem KRS, ustanowiona na mocy ustawy nowelizującej z 2017 r., ma nieodłączny i trwały wpływ na niezależność w ten sposób powołanych sędziów. Ogromna skala problemu została podkreślona w wyroku pilotażowym, w którym odroczono rozpatrywanie większości spraw, a mianowicie tych, o których Rząd nie został jeszcze powiadomiony, do czasu przyjęcia przez państwo polskie środków ogólnych (zob. </w:t>
      </w:r>
      <w:r>
        <w:rPr>
          <w:i/>
          <w:iCs/>
        </w:rPr>
        <w:t>Wałęsa</w:t>
      </w:r>
      <w:r>
        <w:t>, cytowany powyżej, § 335). Trybunał zauważa, że polski Rząd, który objął urząd w grudniu 2023 r., „uznał orzecznictwo Trybunału” dotyczące powoływania sędziów Sądu Najwyższego (zob. paragraf </w:t>
      </w:r>
      <w:r w:rsidRPr="00E47061">
        <w:fldChar w:fldCharType="begin"/>
      </w:r>
      <w:r w:rsidRPr="00E47061">
        <w:instrText xml:space="preserve"> REF declaration \h </w:instrText>
      </w:r>
      <w:r w:rsidRPr="00E47061">
        <w:fldChar w:fldCharType="separate"/>
      </w:r>
      <w:r w:rsidR="00165129">
        <w:rPr>
          <w:noProof/>
        </w:rPr>
        <w:t>10</w:t>
      </w:r>
      <w:r w:rsidRPr="00E47061">
        <w:fldChar w:fldCharType="end"/>
      </w:r>
      <w:r>
        <w:t xml:space="preserve"> powyżej) </w:t>
      </w:r>
      <w:r>
        <w:lastRenderedPageBreak/>
        <w:t>i wyraził zamiar rozwiązania problemów systemowych leżących u podstaw naruszeń stwierdzonych przez Trybunał. Trybunał szczegółowo zbada rozwój sytuacji na szczeblu krajowym po podjęciu decyzji o dalszym postępowaniu w odroczonych sprawach.</w:t>
      </w:r>
    </w:p>
    <w:p w14:paraId="36D5C9D0" w14:textId="68EBAEE6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24</w:t>
      </w:r>
      <w:r w:rsidRPr="00E47061">
        <w:fldChar w:fldCharType="end"/>
      </w:r>
      <w:r>
        <w:t xml:space="preserve">.  W wyroku pilotażowym Trybunał postanowił nie odraczać zakomunikowanych spraw i kontynuować ich rozpatrywanie (zob. </w:t>
      </w:r>
      <w:r>
        <w:rPr>
          <w:i/>
          <w:iCs/>
        </w:rPr>
        <w:t>Wałęsa</w:t>
      </w:r>
      <w:r>
        <w:t>, cytowany powyżej, § 335). Trybunał zauważa, że deklaracje Rządu w niniejszych sprawach zawierają, po pierwsze, bezwarunkowe uznanie naruszenia art. 6 ust. 1 Konwencji dotyczącego prawa do niezawisłego i bezstronnego „sądu ustanowionego ustawą”. Po drugie, Rząd zobowiązuje się zapłacić skarżącym kwotę 10 000 euro (EUR), co stanowi kwotę zgodną z kwotami przyznawanymi w podobnych sprawach.</w:t>
      </w:r>
    </w:p>
    <w:p w14:paraId="42AC042F" w14:textId="1C561A83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25</w:t>
      </w:r>
      <w:r w:rsidRPr="00E47061">
        <w:fldChar w:fldCharType="end"/>
      </w:r>
      <w:r>
        <w:t>.  Trybunał zauważa również, że obaj skarżący podnieśli argument, że skreślenie sprawy z listy w wyniku jednostronnych deklaracji Rządu uniemożliwiłoby im wznowienie spraw na szczeblu krajowym.</w:t>
      </w:r>
    </w:p>
    <w:p w14:paraId="5C294DD3" w14:textId="055805D5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26</w:t>
      </w:r>
      <w:r w:rsidRPr="00E47061">
        <w:fldChar w:fldCharType="end"/>
      </w:r>
      <w:r>
        <w:t xml:space="preserve">.  W odniesieniu do drugiego skarżącego, którego wyrok skazujący za przestępstwo został utrzymany w mocy przez Sąd Najwyższy w dniu 21 stycznia 2022 r., Trybunał zauważa, że art. 540 § 3 Kodeksu postępowania karnego umożliwia wznowienie postępowania krajowego, jeżeli „potrzeba taka wynika z rozstrzygnięcia organu międzynarodowego działającego na mocy umowy międzynarodowej ratyfikowanej przez Rzeczpospolitą Polską”. Przepis ten nie ogranicza wprost możliwości wznowienia postępowań krajowych do „wyroków”. Co więcej, Sąd Najwyższy w wyroku z 16 kwietnia 2021 r. w tej sprawie (V KA 1/20) wyraźnie potwierdził, że decyzję Trybunału o skreśleniu sprawy z listy można uznać za orzeczenie organu międzynarodowego, jeżeli wynika ona z jednostronnej deklaracji zawierającej uznanie przez państwo, że prawa skarżącego wynikające z Konwencji zostały naruszone. Trybunał stwierdza, że skarżący, jeżeli złoży taki wniosek, może domagać się wznowienia postępowania krajowego również na podstawie decyzji Trybunału o skreśleniu sprawy z listy w wyniku jednostronnej deklaracji Rządu (zob. </w:t>
      </w:r>
      <w:r>
        <w:rPr>
          <w:i/>
          <w:iCs/>
        </w:rPr>
        <w:t>Sroka przeciwko Polsce</w:t>
      </w:r>
      <w:r>
        <w:t xml:space="preserve"> (dec.), nr </w:t>
      </w:r>
      <w:hyperlink r:id="rId8" w:anchor="{%22appno%22:[%2242801/07%22]}" w:tgtFrame="_blank" w:history="1">
        <w:r>
          <w:t>42801/07</w:t>
        </w:r>
      </w:hyperlink>
      <w:r>
        <w:t>, 6 marca 2012 r.).</w:t>
      </w:r>
    </w:p>
    <w:p w14:paraId="379B6DD2" w14:textId="76D4AEBD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27</w:t>
      </w:r>
      <w:r w:rsidRPr="00E47061">
        <w:fldChar w:fldCharType="end"/>
      </w:r>
      <w:r>
        <w:t xml:space="preserve">.  Sprawa cywilna pierwszego skarżącego została rozpatrzona przez Izbę Cywilną Sądu Najwyższego 5 listopada 2019 r. Trybunał zauważa, że Kodeks postępowania cywilnego nie zawiera przepisu analogicznego do wskazanego w art. 540 § 3 Kodeksu postępowania karnego, który to analogiczny przepis wprost regulowałby możliwość wystąpienia o wznowienie postępowania cywilnego po wydaniu orzeczenia przez organ międzynarodowy. Trybunał przypomina, że to </w:t>
      </w:r>
      <w:r w:rsidR="00343670">
        <w:t>Układające</w:t>
      </w:r>
      <w:r>
        <w:t xml:space="preserve"> się Państwa decydują, w jaki sposób najlepiej wdrażać orzeczenia Trybunału, nie naruszając nadmiernie zasad powagi rzeczy osądzonej ani pewności prawa w sporach cywilnych, w szczególności gdy spory takie dotyczą osób trzecich, których własne uzasadnione interesy wymagają ochrony (zob. </w:t>
      </w:r>
      <w:bookmarkStart w:id="2" w:name="_cl22339THELAW"/>
      <w:r>
        <w:rPr>
          <w:i/>
          <w:iCs/>
        </w:rPr>
        <w:t>Bochan przeciwko Ukrainie</w:t>
      </w:r>
      <w:r>
        <w:t xml:space="preserve"> (nr 2)</w:t>
      </w:r>
      <w:bookmarkEnd w:id="2"/>
      <w:r>
        <w:t xml:space="preserve"> [WI], nr 22251/08, § 57, ETPCz 2015). Ponadto </w:t>
      </w:r>
      <w:r>
        <w:lastRenderedPageBreak/>
        <w:t>Trybunał uważa, że skarżący nie udowodnił, iż gdyby Trybunał wydał decyzję, a nie wyrok, skarżący znalazłby w niekorzystnej sytuacji w zakresie możliwości ubiegania się o wznowienie postępowania cywilnego.</w:t>
      </w:r>
    </w:p>
    <w:p w14:paraId="60D0E6C8" w14:textId="39D3FE85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28</w:t>
      </w:r>
      <w:r w:rsidRPr="00E47061">
        <w:fldChar w:fldCharType="end"/>
      </w:r>
      <w:r>
        <w:t xml:space="preserve">.  Biorąc pod uwagę wszystkie powyższe rozważania, </w:t>
      </w:r>
      <w:r w:rsidR="002970EF">
        <w:t xml:space="preserve">naturę oświadczeń </w:t>
      </w:r>
      <w:r>
        <w:t xml:space="preserve">zawartych w deklaracjach Rządu, a także kwotę proponowanego odszkodowania, Trybunał uznaje, że dalsze rozpatrywanie skarg nie jest już uzasadnione (art. 37 ust. 1 lit. c, zob. także </w:t>
      </w:r>
      <w:r>
        <w:rPr>
          <w:i/>
          <w:iCs/>
        </w:rPr>
        <w:t>Haukur Sigurbjörn Magnússon przeciwko Islandii</w:t>
      </w:r>
      <w:r>
        <w:t xml:space="preserve"> (dec.), nr 6696/19, § 13, 2 czerwca 2022 r.).</w:t>
      </w:r>
    </w:p>
    <w:p w14:paraId="49326A29" w14:textId="493E05B6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29</w:t>
      </w:r>
      <w:r w:rsidRPr="00E47061">
        <w:fldChar w:fldCharType="end"/>
      </w:r>
      <w:r>
        <w:t>.  Ponadto</w:t>
      </w:r>
      <w:r w:rsidR="009641AA">
        <w:t>,</w:t>
      </w:r>
      <w:r>
        <w:t xml:space="preserve"> w świetle powyższych rozważań, w szczególności biorąc pod uwagę jasne i obszerne orzecznictwo w tym zakresie, Trybunał jest przekonany, że poszanowanie praw człowieka w rozumieniu Konwencji i jej protokołów nie wymaga od niego dalszego rozpatrywania tych skarg (art. 37 ust. 1 </w:t>
      </w:r>
      <w:r>
        <w:rPr>
          <w:i/>
          <w:iCs/>
        </w:rPr>
        <w:t>in fine</w:t>
      </w:r>
      <w:r>
        <w:t>).</w:t>
      </w:r>
    </w:p>
    <w:p w14:paraId="2E1F8920" w14:textId="4B072BC1" w:rsidR="00642627" w:rsidRPr="00E47061" w:rsidRDefault="00E47061" w:rsidP="00E47061">
      <w:pPr>
        <w:pStyle w:val="JuPara"/>
      </w:pPr>
      <w:r w:rsidRPr="00E47061">
        <w:fldChar w:fldCharType="begin"/>
      </w:r>
      <w:r>
        <w:instrText xml:space="preserve"> SEQ level0 \*arabic \* MERGEFORMAT </w:instrText>
      </w:r>
      <w:r w:rsidRPr="00E47061">
        <w:fldChar w:fldCharType="separate"/>
      </w:r>
      <w:r w:rsidR="00165129">
        <w:rPr>
          <w:noProof/>
        </w:rPr>
        <w:t>30</w:t>
      </w:r>
      <w:r w:rsidRPr="00E47061">
        <w:fldChar w:fldCharType="end"/>
      </w:r>
      <w:r>
        <w:t>.  Wreszcie</w:t>
      </w:r>
      <w:r w:rsidR="00834A56">
        <w:t>,</w:t>
      </w:r>
      <w:r>
        <w:t xml:space="preserve"> Trybunał podkreśla, że </w:t>
      </w:r>
      <w:r w:rsidR="00834A56">
        <w:t>jeżeli Rząd nie wywiąże się z warunków zawartych w swoich jednostronnych deklaracjach, skargi</w:t>
      </w:r>
      <w:r>
        <w:t xml:space="preserve"> mo</w:t>
      </w:r>
      <w:r w:rsidR="00834A56">
        <w:t>gą</w:t>
      </w:r>
      <w:r>
        <w:t xml:space="preserve"> zostać ponownie wpisan</w:t>
      </w:r>
      <w:r w:rsidR="00834A56">
        <w:t>e</w:t>
      </w:r>
      <w:r>
        <w:t xml:space="preserve"> na listę</w:t>
      </w:r>
      <w:r w:rsidR="00834A56">
        <w:t xml:space="preserve"> spraw</w:t>
      </w:r>
      <w:r>
        <w:t xml:space="preserve"> zgodnie z art. 37 ust. 2 Konwencji (</w:t>
      </w:r>
      <w:r>
        <w:rPr>
          <w:i/>
        </w:rPr>
        <w:t xml:space="preserve">Josipović przeciwko Serbii </w:t>
      </w:r>
      <w:r>
        <w:t>(dec.), nr 18369/07, 4 marca 2008 r.).</w:t>
      </w:r>
    </w:p>
    <w:p w14:paraId="0ADC6F7D" w14:textId="168A3F35" w:rsidR="00642627" w:rsidRPr="00E47061" w:rsidRDefault="00F240BF" w:rsidP="00E47061">
      <w:pPr>
        <w:pStyle w:val="JuPara"/>
      </w:pPr>
      <w:r>
        <w:t>W związku z powyższym</w:t>
      </w:r>
      <w:r w:rsidR="00834A56">
        <w:t>, sprawy powinny zostać</w:t>
      </w:r>
      <w:r>
        <w:t xml:space="preserve"> </w:t>
      </w:r>
      <w:r w:rsidR="00834A56">
        <w:t>skreślone z listy skarg.</w:t>
      </w:r>
    </w:p>
    <w:p w14:paraId="45ADC03D" w14:textId="47F1CCE1" w:rsidR="00642627" w:rsidRPr="00E47061" w:rsidRDefault="00F240BF" w:rsidP="00E47061">
      <w:pPr>
        <w:pStyle w:val="JuParaLast"/>
        <w:rPr>
          <w:color w:val="000000"/>
        </w:rPr>
      </w:pPr>
      <w:r>
        <w:t>Z powyższych względów</w:t>
      </w:r>
      <w:r w:rsidR="00834A56">
        <w:t>,</w:t>
      </w:r>
      <w:r>
        <w:t xml:space="preserve"> Trybunał</w:t>
      </w:r>
      <w:r w:rsidR="00834A56">
        <w:t>,</w:t>
      </w:r>
      <w:r>
        <w:t xml:space="preserve"> jednogłośnie:</w:t>
      </w:r>
    </w:p>
    <w:p w14:paraId="35B4B5FC" w14:textId="57989137" w:rsidR="00642627" w:rsidRPr="00E47061" w:rsidRDefault="00834A56" w:rsidP="00E47061">
      <w:pPr>
        <w:pStyle w:val="DecList"/>
      </w:pPr>
      <w:r>
        <w:rPr>
          <w:i/>
          <w:iCs/>
        </w:rPr>
        <w:t>Decyduje</w:t>
      </w:r>
      <w:r w:rsidR="00F240BF">
        <w:t xml:space="preserve"> połączyć skargi</w:t>
      </w:r>
      <w:r>
        <w:t xml:space="preserve"> do wspólnego rozpoznania</w:t>
      </w:r>
      <w:r w:rsidR="00F240BF">
        <w:t>;</w:t>
      </w:r>
    </w:p>
    <w:p w14:paraId="70B64582" w14:textId="65CF43F6" w:rsidR="00642627" w:rsidRPr="00E47061" w:rsidRDefault="00834A56" w:rsidP="00E47061">
      <w:pPr>
        <w:pStyle w:val="DecList"/>
      </w:pPr>
      <w:r>
        <w:rPr>
          <w:i/>
          <w:iCs/>
        </w:rPr>
        <w:t>Odnotowuje</w:t>
      </w:r>
      <w:r w:rsidR="00F240BF">
        <w:t xml:space="preserve"> </w:t>
      </w:r>
      <w:r>
        <w:t>warunki</w:t>
      </w:r>
      <w:r w:rsidR="00F240BF">
        <w:t xml:space="preserve"> deklaracji </w:t>
      </w:r>
      <w:r>
        <w:t>[jednostronnych]</w:t>
      </w:r>
      <w:r w:rsidR="00F240BF">
        <w:t xml:space="preserve"> Rządu</w:t>
      </w:r>
      <w:r>
        <w:t>, a także ustaleń mających na celu</w:t>
      </w:r>
      <w:r w:rsidR="00F240BF">
        <w:t xml:space="preserve"> zapewnieni</w:t>
      </w:r>
      <w:r>
        <w:t>e</w:t>
      </w:r>
      <w:r w:rsidR="00F240BF">
        <w:t xml:space="preserve"> przestrzegania </w:t>
      </w:r>
      <w:r>
        <w:t>określonych w nich</w:t>
      </w:r>
      <w:r w:rsidR="00F240BF">
        <w:t>;</w:t>
      </w:r>
    </w:p>
    <w:p w14:paraId="1B957893" w14:textId="044815B8" w:rsidR="00642627" w:rsidRPr="00E47061" w:rsidRDefault="00834A56" w:rsidP="00E47061">
      <w:pPr>
        <w:pStyle w:val="DecList"/>
      </w:pPr>
      <w:r>
        <w:rPr>
          <w:i/>
        </w:rPr>
        <w:t>Decyduje</w:t>
      </w:r>
      <w:r w:rsidR="00F240BF">
        <w:t xml:space="preserve"> skreślić skargi z listy spraw zgodnie z art. 37 ust. 1 lit. c Konwencji.</w:t>
      </w:r>
    </w:p>
    <w:p w14:paraId="503F6C0E" w14:textId="0093D55C" w:rsidR="00BD1692" w:rsidRPr="00E47061" w:rsidRDefault="00F240BF" w:rsidP="00E47061">
      <w:pPr>
        <w:pStyle w:val="JuParaLast"/>
        <w:rPr>
          <w:sz w:val="14"/>
        </w:rPr>
      </w:pPr>
      <w:r>
        <w:t>Sporządzono w języku angielskim i o</w:t>
      </w:r>
      <w:r w:rsidR="00834A56">
        <w:t>głoszono</w:t>
      </w:r>
      <w:r>
        <w:t xml:space="preserve"> </w:t>
      </w:r>
      <w:r w:rsidR="00834A56">
        <w:t>na piśmie</w:t>
      </w:r>
      <w:r>
        <w:t xml:space="preserve"> </w:t>
      </w:r>
      <w:r w:rsidR="00834A56">
        <w:t xml:space="preserve">w dniu </w:t>
      </w:r>
      <w:r>
        <w:t>7 listopada 2024 r.</w:t>
      </w:r>
    </w:p>
    <w:p w14:paraId="2C2127F5" w14:textId="77777777" w:rsidR="00BD1692" w:rsidRPr="00E47061" w:rsidRDefault="00F240BF" w:rsidP="00E47061">
      <w:pPr>
        <w:pStyle w:val="ECHRPlaceholder"/>
      </w:pPr>
      <w:r>
        <w:tab/>
      </w:r>
    </w:p>
    <w:p w14:paraId="0F06B7CD" w14:textId="77777777" w:rsidR="00AA4209" w:rsidRPr="00E47061" w:rsidRDefault="00F240BF" w:rsidP="00E47061">
      <w:pPr>
        <w:pStyle w:val="JuSigned"/>
      </w:pPr>
      <w:r>
        <w:tab/>
        <w:t>Ilse Freiwirth</w:t>
      </w:r>
      <w:r>
        <w:tab/>
        <w:t>Ivana Jelić</w:t>
      </w:r>
      <w:r>
        <w:br/>
      </w:r>
      <w:r>
        <w:tab/>
      </w:r>
      <w:r>
        <w:t>Kanclerz Sekcji</w:t>
      </w:r>
      <w:r>
        <w:tab/>
        <w:t>Przewodnicząca</w:t>
      </w:r>
    </w:p>
    <w:p w14:paraId="0FC5E621" w14:textId="77777777" w:rsidR="001E02ED" w:rsidRPr="00E47061" w:rsidRDefault="001E02ED" w:rsidP="00E47061">
      <w:pPr>
        <w:pStyle w:val="JuPara"/>
      </w:pPr>
    </w:p>
    <w:p w14:paraId="361A2B5F" w14:textId="77777777" w:rsidR="001E02ED" w:rsidRPr="00E47061" w:rsidRDefault="001E02ED" w:rsidP="00E47061">
      <w:pPr>
        <w:pStyle w:val="JuPara"/>
      </w:pPr>
    </w:p>
    <w:p w14:paraId="24FEBBDF" w14:textId="77777777" w:rsidR="006E2ADE" w:rsidRPr="00E47061" w:rsidRDefault="00F240BF" w:rsidP="00E47061">
      <w:r>
        <w:br w:type="page"/>
      </w:r>
    </w:p>
    <w:p w14:paraId="5B7A241D" w14:textId="77777777" w:rsidR="00CB3BD9" w:rsidRPr="00E47061" w:rsidRDefault="00CB3BD9" w:rsidP="00E47061"/>
    <w:p w14:paraId="77C85F06" w14:textId="77777777" w:rsidR="00642627" w:rsidRPr="00E47061" w:rsidRDefault="00F240BF" w:rsidP="00E47061">
      <w:pPr>
        <w:spacing w:after="2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</w:rPr>
        <w:t>Lista spraw:</w:t>
      </w:r>
    </w:p>
    <w:p w14:paraId="5CF257FF" w14:textId="77777777" w:rsidR="00642627" w:rsidRPr="00E47061" w:rsidRDefault="00642627" w:rsidP="00E47061"/>
    <w:tbl>
      <w:tblPr>
        <w:tblStyle w:val="ECHRListTable"/>
        <w:tblW w:w="8113" w:type="dxa"/>
        <w:tblLook w:val="0420" w:firstRow="1" w:lastRow="0" w:firstColumn="0" w:lastColumn="0" w:noHBand="0" w:noVBand="1"/>
      </w:tblPr>
      <w:tblGrid>
        <w:gridCol w:w="570"/>
        <w:gridCol w:w="1126"/>
        <w:gridCol w:w="1216"/>
        <w:gridCol w:w="1510"/>
        <w:gridCol w:w="1809"/>
        <w:gridCol w:w="1882"/>
      </w:tblGrid>
      <w:tr w:rsidR="00DB511D" w14:paraId="20381A71" w14:textId="77777777" w:rsidTr="00DB51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hideMark/>
          </w:tcPr>
          <w:p w14:paraId="5826C45A" w14:textId="77777777" w:rsidR="00642627" w:rsidRPr="00E47061" w:rsidRDefault="00F240BF" w:rsidP="00E47061">
            <w:pPr>
              <w:rPr>
                <w:rFonts w:eastAsia="Times New Roman"/>
              </w:rPr>
            </w:pPr>
            <w:bookmarkStart w:id="3" w:name="AppTableStart"/>
            <w:bookmarkEnd w:id="3"/>
            <w:r>
              <w:t>Lp.</w:t>
            </w:r>
          </w:p>
        </w:tc>
        <w:tc>
          <w:tcPr>
            <w:tcW w:w="0" w:type="auto"/>
            <w:hideMark/>
          </w:tcPr>
          <w:p w14:paraId="62478E0E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Nr skargi</w:t>
            </w:r>
          </w:p>
        </w:tc>
        <w:tc>
          <w:tcPr>
            <w:tcW w:w="1133" w:type="dxa"/>
            <w:hideMark/>
          </w:tcPr>
          <w:p w14:paraId="6E21955C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Nazwa sprawy</w:t>
            </w:r>
          </w:p>
        </w:tc>
        <w:tc>
          <w:tcPr>
            <w:tcW w:w="0" w:type="auto"/>
            <w:hideMark/>
          </w:tcPr>
          <w:p w14:paraId="196BE84E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Złożona w dniu</w:t>
            </w:r>
          </w:p>
        </w:tc>
        <w:tc>
          <w:tcPr>
            <w:tcW w:w="1809" w:type="dxa"/>
            <w:hideMark/>
          </w:tcPr>
          <w:p w14:paraId="5BBBB1CE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Skarżący</w:t>
            </w:r>
            <w:r>
              <w:br/>
              <w:t>Rok urodzenia</w:t>
            </w:r>
            <w:r>
              <w:br/>
              <w:t>Obywatelstwo</w:t>
            </w:r>
          </w:p>
        </w:tc>
        <w:tc>
          <w:tcPr>
            <w:tcW w:w="0" w:type="auto"/>
            <w:hideMark/>
          </w:tcPr>
          <w:p w14:paraId="4AA111E3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Pełnomocnik procesowy</w:t>
            </w:r>
          </w:p>
        </w:tc>
      </w:tr>
      <w:tr w:rsidR="00DB511D" w14:paraId="2FFD3FC1" w14:textId="77777777" w:rsidTr="00DB511D">
        <w:tc>
          <w:tcPr>
            <w:tcW w:w="0" w:type="auto"/>
            <w:hideMark/>
          </w:tcPr>
          <w:p w14:paraId="235B26E3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1.</w:t>
            </w:r>
          </w:p>
        </w:tc>
        <w:tc>
          <w:tcPr>
            <w:tcW w:w="0" w:type="auto"/>
            <w:hideMark/>
          </w:tcPr>
          <w:p w14:paraId="7AEF9107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41097/20</w:t>
            </w:r>
          </w:p>
        </w:tc>
        <w:tc>
          <w:tcPr>
            <w:tcW w:w="1133" w:type="dxa"/>
            <w:hideMark/>
          </w:tcPr>
          <w:p w14:paraId="539BAD15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Dudek przeciwko Polsce</w:t>
            </w:r>
          </w:p>
        </w:tc>
        <w:tc>
          <w:tcPr>
            <w:tcW w:w="0" w:type="auto"/>
            <w:hideMark/>
          </w:tcPr>
          <w:p w14:paraId="164BDC11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01.09.2020 r.</w:t>
            </w:r>
          </w:p>
        </w:tc>
        <w:tc>
          <w:tcPr>
            <w:tcW w:w="1809" w:type="dxa"/>
            <w:hideMark/>
          </w:tcPr>
          <w:p w14:paraId="77463F0E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rPr>
                <w:b/>
                <w:bCs/>
              </w:rPr>
              <w:t>Wiesław DUDEK</w:t>
            </w:r>
            <w:r>
              <w:br/>
              <w:t>1971 r.</w:t>
            </w:r>
            <w:r>
              <w:br/>
              <w:t>polskie</w:t>
            </w:r>
          </w:p>
        </w:tc>
        <w:tc>
          <w:tcPr>
            <w:tcW w:w="0" w:type="auto"/>
            <w:hideMark/>
          </w:tcPr>
          <w:p w14:paraId="5CEDF5D8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 xml:space="preserve">Dorota </w:t>
            </w:r>
            <w:r>
              <w:t>KALINOWSKA</w:t>
            </w:r>
          </w:p>
        </w:tc>
      </w:tr>
      <w:tr w:rsidR="00DB511D" w14:paraId="74295945" w14:textId="77777777" w:rsidTr="00DB511D">
        <w:tc>
          <w:tcPr>
            <w:tcW w:w="0" w:type="auto"/>
            <w:hideMark/>
          </w:tcPr>
          <w:p w14:paraId="21839240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2.</w:t>
            </w:r>
          </w:p>
        </w:tc>
        <w:tc>
          <w:tcPr>
            <w:tcW w:w="0" w:type="auto"/>
            <w:hideMark/>
          </w:tcPr>
          <w:p w14:paraId="4F8E717F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39577/22</w:t>
            </w:r>
          </w:p>
        </w:tc>
        <w:tc>
          <w:tcPr>
            <w:tcW w:w="1133" w:type="dxa"/>
            <w:hideMark/>
          </w:tcPr>
          <w:p w14:paraId="26A50395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Lazur przeciwko Polsce</w:t>
            </w:r>
          </w:p>
        </w:tc>
        <w:tc>
          <w:tcPr>
            <w:tcW w:w="0" w:type="auto"/>
            <w:hideMark/>
          </w:tcPr>
          <w:p w14:paraId="23873AEE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28.07.2022 r.</w:t>
            </w:r>
          </w:p>
        </w:tc>
        <w:tc>
          <w:tcPr>
            <w:tcW w:w="1809" w:type="dxa"/>
            <w:hideMark/>
          </w:tcPr>
          <w:p w14:paraId="15EC8119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rPr>
                <w:b/>
                <w:bCs/>
              </w:rPr>
              <w:t>Dariusz Ryszard LAZUR</w:t>
            </w:r>
            <w:r>
              <w:br/>
              <w:t>1978 r.</w:t>
            </w:r>
            <w:r>
              <w:br/>
              <w:t>polskie</w:t>
            </w:r>
          </w:p>
        </w:tc>
        <w:tc>
          <w:tcPr>
            <w:tcW w:w="0" w:type="auto"/>
            <w:hideMark/>
          </w:tcPr>
          <w:p w14:paraId="2D215E3F" w14:textId="77777777" w:rsidR="00642627" w:rsidRPr="00E47061" w:rsidRDefault="00F240BF" w:rsidP="00E47061">
            <w:pPr>
              <w:rPr>
                <w:rFonts w:eastAsia="Times New Roman"/>
              </w:rPr>
            </w:pPr>
            <w:r>
              <w:t>Mateusz CZEPUKOJĆ</w:t>
            </w:r>
          </w:p>
        </w:tc>
      </w:tr>
    </w:tbl>
    <w:p w14:paraId="0B45E937" w14:textId="77777777" w:rsidR="00CB3BD9" w:rsidRPr="00E47061" w:rsidRDefault="00CB3BD9" w:rsidP="00834A56"/>
    <w:sectPr w:rsidR="00CB3BD9" w:rsidRPr="00E47061" w:rsidSect="007604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7945E" w14:textId="77777777" w:rsidR="001118F7" w:rsidRDefault="001118F7">
      <w:r>
        <w:separator/>
      </w:r>
    </w:p>
  </w:endnote>
  <w:endnote w:type="continuationSeparator" w:id="0">
    <w:p w14:paraId="745CDD89" w14:textId="77777777" w:rsidR="001118F7" w:rsidRDefault="00111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FFDD7" w14:textId="77777777" w:rsidR="00AA4209" w:rsidRPr="00642627" w:rsidRDefault="00F240BF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56C3D" w14:textId="77777777" w:rsidR="00AA4209" w:rsidRPr="00642627" w:rsidRDefault="00F240BF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30431" w14:textId="77777777" w:rsidR="00642627" w:rsidRPr="00150BFA" w:rsidRDefault="00F240BF" w:rsidP="0020718E">
    <w:pPr>
      <w:jc w:val="center"/>
    </w:pPr>
    <w:r>
      <w:rPr>
        <w:noProof/>
      </w:rPr>
      <w:drawing>
        <wp:inline distT="0" distB="0" distL="0" distR="0" wp14:anchorId="133ECA32" wp14:editId="6ADF8FE4">
          <wp:extent cx="771525" cy="619125"/>
          <wp:effectExtent l="0" t="0" r="9525" b="9525"/>
          <wp:docPr id="25" name="Picture 2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4489EA" w14:textId="77777777" w:rsidR="00AA4209" w:rsidRPr="00642627" w:rsidRDefault="00AA4209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DE440" w14:textId="77777777" w:rsidR="001118F7" w:rsidRDefault="001118F7">
      <w:r>
        <w:separator/>
      </w:r>
    </w:p>
  </w:footnote>
  <w:footnote w:type="continuationSeparator" w:id="0">
    <w:p w14:paraId="0F83E628" w14:textId="77777777" w:rsidR="001118F7" w:rsidRDefault="00111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E6105" w14:textId="77777777" w:rsidR="00AA4209" w:rsidRPr="00642627" w:rsidRDefault="00F240BF" w:rsidP="0076040F">
    <w:pPr>
      <w:pStyle w:val="JuHeader"/>
    </w:pPr>
    <w:r>
      <w:t>DECYZJA W SPRAWIE DUDEK PRZECIWKO POLSCE I LAZUR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8DAB5" w14:textId="77777777" w:rsidR="00AA4209" w:rsidRPr="00642627" w:rsidRDefault="00F240BF" w:rsidP="000D61E7">
    <w:pPr>
      <w:pStyle w:val="JuHeader"/>
    </w:pPr>
    <w:r>
      <w:t xml:space="preserve">DECYZJA W SPRAWIE DUDEK PRZECIWKO POLSCE I LAZUR PRZECIWKO </w:t>
    </w:r>
    <w:r>
      <w:t>POLSCE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6EB06" w14:textId="77777777" w:rsidR="00642627" w:rsidRPr="00A45145" w:rsidRDefault="00F240BF" w:rsidP="00A45145">
    <w:pPr>
      <w:jc w:val="center"/>
    </w:pPr>
    <w:r>
      <w:rPr>
        <w:noProof/>
      </w:rPr>
      <w:drawing>
        <wp:inline distT="0" distB="0" distL="0" distR="0" wp14:anchorId="29CCACC8" wp14:editId="2C0D3F36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1342FC" w14:textId="77777777" w:rsidR="00AA4209" w:rsidRPr="00642627" w:rsidRDefault="00AA4209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DEBA17DE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D7CA1F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C5840D5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B98CA33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1BCC8C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BD4AE00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A680EF0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DA4D84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2F6A6CD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658197922">
    <w:abstractNumId w:val="14"/>
  </w:num>
  <w:num w:numId="2" w16cid:durableId="572397705">
    <w:abstractNumId w:val="12"/>
  </w:num>
  <w:num w:numId="3" w16cid:durableId="406458864">
    <w:abstractNumId w:val="11"/>
  </w:num>
  <w:num w:numId="4" w16cid:durableId="2083604511">
    <w:abstractNumId w:val="17"/>
  </w:num>
  <w:num w:numId="5" w16cid:durableId="1048845052">
    <w:abstractNumId w:val="7"/>
  </w:num>
  <w:num w:numId="6" w16cid:durableId="900096800">
    <w:abstractNumId w:val="6"/>
  </w:num>
  <w:num w:numId="7" w16cid:durableId="1351564731">
    <w:abstractNumId w:val="5"/>
  </w:num>
  <w:num w:numId="8" w16cid:durableId="1278877424">
    <w:abstractNumId w:val="4"/>
  </w:num>
  <w:num w:numId="9" w16cid:durableId="1598252377">
    <w:abstractNumId w:val="8"/>
  </w:num>
  <w:num w:numId="10" w16cid:durableId="1240604196">
    <w:abstractNumId w:val="3"/>
  </w:num>
  <w:num w:numId="11" w16cid:durableId="1557352613">
    <w:abstractNumId w:val="2"/>
  </w:num>
  <w:num w:numId="12" w16cid:durableId="1511793901">
    <w:abstractNumId w:val="1"/>
  </w:num>
  <w:num w:numId="13" w16cid:durableId="794912420">
    <w:abstractNumId w:val="0"/>
  </w:num>
  <w:num w:numId="14" w16cid:durableId="608465448">
    <w:abstractNumId w:val="15"/>
  </w:num>
  <w:num w:numId="15" w16cid:durableId="528109801">
    <w:abstractNumId w:val="13"/>
  </w:num>
  <w:num w:numId="16" w16cid:durableId="1024131225">
    <w:abstractNumId w:val="16"/>
  </w:num>
  <w:num w:numId="17" w16cid:durableId="1120026350">
    <w:abstractNumId w:val="15"/>
  </w:num>
  <w:num w:numId="18" w16cid:durableId="1794403615">
    <w:abstractNumId w:val="16"/>
  </w:num>
  <w:num w:numId="19" w16cid:durableId="1310792480">
    <w:abstractNumId w:val="10"/>
  </w:num>
  <w:num w:numId="20" w16cid:durableId="12521557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EMM" w:val="0"/>
    <w:docVar w:name="NBEMMDOC" w:val="0"/>
    <w:docVar w:name="Plural" w:val="2"/>
  </w:docVars>
  <w:rsids>
    <w:rsidRoot w:val="00642627"/>
    <w:rsid w:val="000237E4"/>
    <w:rsid w:val="00095FD8"/>
    <w:rsid w:val="000B1FA9"/>
    <w:rsid w:val="000D61E7"/>
    <w:rsid w:val="000E3A89"/>
    <w:rsid w:val="001118F7"/>
    <w:rsid w:val="00132029"/>
    <w:rsid w:val="00144EBC"/>
    <w:rsid w:val="00150BFA"/>
    <w:rsid w:val="00165129"/>
    <w:rsid w:val="001A698F"/>
    <w:rsid w:val="001D1233"/>
    <w:rsid w:val="001E02ED"/>
    <w:rsid w:val="0020718E"/>
    <w:rsid w:val="00223591"/>
    <w:rsid w:val="002970EF"/>
    <w:rsid w:val="002A7443"/>
    <w:rsid w:val="002E0930"/>
    <w:rsid w:val="002E2C77"/>
    <w:rsid w:val="00343670"/>
    <w:rsid w:val="003B50D7"/>
    <w:rsid w:val="003E3C60"/>
    <w:rsid w:val="0042417C"/>
    <w:rsid w:val="00452087"/>
    <w:rsid w:val="00464268"/>
    <w:rsid w:val="004A4C71"/>
    <w:rsid w:val="004B4E73"/>
    <w:rsid w:val="005243CC"/>
    <w:rsid w:val="005E56C2"/>
    <w:rsid w:val="005F11CB"/>
    <w:rsid w:val="006262FA"/>
    <w:rsid w:val="006267D3"/>
    <w:rsid w:val="006300E9"/>
    <w:rsid w:val="00642627"/>
    <w:rsid w:val="00653EF4"/>
    <w:rsid w:val="00656B81"/>
    <w:rsid w:val="006D4D63"/>
    <w:rsid w:val="006E123B"/>
    <w:rsid w:val="006E2ADE"/>
    <w:rsid w:val="0076040F"/>
    <w:rsid w:val="007907C0"/>
    <w:rsid w:val="0079382F"/>
    <w:rsid w:val="007A74FC"/>
    <w:rsid w:val="007B2364"/>
    <w:rsid w:val="00812D10"/>
    <w:rsid w:val="00834A56"/>
    <w:rsid w:val="008D10E4"/>
    <w:rsid w:val="008F0A92"/>
    <w:rsid w:val="008F7189"/>
    <w:rsid w:val="00956B2A"/>
    <w:rsid w:val="0096293E"/>
    <w:rsid w:val="009641AA"/>
    <w:rsid w:val="009656DE"/>
    <w:rsid w:val="00977960"/>
    <w:rsid w:val="009B6F49"/>
    <w:rsid w:val="009C21E8"/>
    <w:rsid w:val="009E01FB"/>
    <w:rsid w:val="00A45145"/>
    <w:rsid w:val="00A458B0"/>
    <w:rsid w:val="00AA4209"/>
    <w:rsid w:val="00AA5AEE"/>
    <w:rsid w:val="00AC58E5"/>
    <w:rsid w:val="00AF572D"/>
    <w:rsid w:val="00B140D3"/>
    <w:rsid w:val="00B86B65"/>
    <w:rsid w:val="00BD1692"/>
    <w:rsid w:val="00BD6533"/>
    <w:rsid w:val="00C42C12"/>
    <w:rsid w:val="00C46E94"/>
    <w:rsid w:val="00C8038F"/>
    <w:rsid w:val="00CA4A71"/>
    <w:rsid w:val="00CB3BD9"/>
    <w:rsid w:val="00D415D6"/>
    <w:rsid w:val="00D45B34"/>
    <w:rsid w:val="00D81CE2"/>
    <w:rsid w:val="00DB511D"/>
    <w:rsid w:val="00DB6354"/>
    <w:rsid w:val="00E47061"/>
    <w:rsid w:val="00E5464B"/>
    <w:rsid w:val="00EA1004"/>
    <w:rsid w:val="00EE38CA"/>
    <w:rsid w:val="00F0534F"/>
    <w:rsid w:val="00F14518"/>
    <w:rsid w:val="00F16C42"/>
    <w:rsid w:val="00F240BF"/>
    <w:rsid w:val="00F24AB9"/>
    <w:rsid w:val="00F537FD"/>
    <w:rsid w:val="00F77615"/>
    <w:rsid w:val="00FC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0FADE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C46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C46E9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C46E9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C46E9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C46E9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C46E9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C46E9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C46E94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C46E94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C46E9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C46E94"/>
    <w:pPr>
      <w:tabs>
        <w:tab w:val="center" w:pos="1418"/>
        <w:tab w:val="center" w:pos="5954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C46E94"/>
    <w:pPr>
      <w:ind w:firstLine="284"/>
    </w:pPr>
  </w:style>
  <w:style w:type="character" w:styleId="Numerstrony">
    <w:name w:val="page number"/>
    <w:uiPriority w:val="98"/>
    <w:semiHidden/>
    <w:rsid w:val="00C46E94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C46E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C46E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C46E94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C46E94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C46E94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C46E94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JuHeader">
    <w:name w:val="Ju_Header"/>
    <w:aliases w:val="_Header"/>
    <w:basedOn w:val="Nagwek"/>
    <w:uiPriority w:val="29"/>
    <w:qFormat/>
    <w:rsid w:val="00C46E94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Nagwek">
    <w:name w:val="header"/>
    <w:basedOn w:val="Normalny"/>
    <w:link w:val="NagwekZnak"/>
    <w:uiPriority w:val="98"/>
    <w:semiHidden/>
    <w:rsid w:val="00C46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C46E94"/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8"/>
    <w:semiHidden/>
    <w:rsid w:val="00C46E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C46E94"/>
    <w:rPr>
      <w:rFonts w:ascii="Tahoma" w:hAnsi="Tahoma" w:cs="Tahoma"/>
      <w:sz w:val="16"/>
      <w:szCs w:val="16"/>
      <w:lang w:val="pl-PL"/>
    </w:rPr>
  </w:style>
  <w:style w:type="paragraph" w:customStyle="1" w:styleId="DummyStyle">
    <w:name w:val="Dummy_Style"/>
    <w:aliases w:val="_Dummy"/>
    <w:basedOn w:val="Normalny"/>
    <w:semiHidden/>
    <w:qFormat/>
    <w:rsid w:val="00C46E94"/>
    <w:rPr>
      <w:color w:val="00B050"/>
      <w:sz w:val="22"/>
    </w:rPr>
  </w:style>
  <w:style w:type="paragraph" w:customStyle="1" w:styleId="NormalJustified">
    <w:name w:val="Normal_Justified"/>
    <w:basedOn w:val="Normalny"/>
    <w:semiHidden/>
    <w:rsid w:val="00C46E94"/>
    <w:pPr>
      <w:jc w:val="both"/>
    </w:pPr>
  </w:style>
  <w:style w:type="paragraph" w:customStyle="1" w:styleId="JuQuot">
    <w:name w:val="Ju_Quot"/>
    <w:aliases w:val="_Quote"/>
    <w:basedOn w:val="NormalJustified"/>
    <w:uiPriority w:val="20"/>
    <w:qFormat/>
    <w:rsid w:val="00C46E94"/>
    <w:pPr>
      <w:spacing w:before="120" w:after="120"/>
      <w:ind w:left="425" w:firstLine="142"/>
    </w:pPr>
    <w:rPr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C46E94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C46E94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C46E94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C46E94"/>
    <w:pPr>
      <w:numPr>
        <w:numId w:val="15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C46E94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NumberedList">
    <w:name w:val="ECHR_A1_Style_Numbered_List"/>
    <w:basedOn w:val="Bezlisty"/>
    <w:rsid w:val="00C46E94"/>
    <w:pPr>
      <w:numPr>
        <w:numId w:val="16"/>
      </w:numPr>
    </w:pPr>
  </w:style>
  <w:style w:type="table" w:customStyle="1" w:styleId="ECHRHeaderTable">
    <w:name w:val="ECHR_Header_Table"/>
    <w:basedOn w:val="Standardowy"/>
    <w:uiPriority w:val="99"/>
    <w:rsid w:val="00C46E94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C46E94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paragraph" w:customStyle="1" w:styleId="JuInitialled">
    <w:name w:val="Ju_Initialled"/>
    <w:aliases w:val="_Right"/>
    <w:basedOn w:val="Normalny"/>
    <w:uiPriority w:val="30"/>
    <w:qFormat/>
    <w:rsid w:val="00C46E94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C46E94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aliases w:val="_Ju_Names"/>
    <w:uiPriority w:val="33"/>
    <w:qFormat/>
    <w:rsid w:val="00C46E94"/>
    <w:rPr>
      <w:caps w:val="0"/>
      <w:smallCaps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C46E94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table" w:customStyle="1" w:styleId="ECHRTable2019">
    <w:name w:val="ECHR_Table_2019"/>
    <w:basedOn w:val="Standardowy"/>
    <w:uiPriority w:val="99"/>
    <w:rsid w:val="00C46E9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C46E94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C46E94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C46E94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C46E94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C46E94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1">
    <w:name w:val="Ju_H_1."/>
    <w:aliases w:val="_Head_4"/>
    <w:basedOn w:val="Nagwek4"/>
    <w:next w:val="JuPara"/>
    <w:uiPriority w:val="17"/>
    <w:rsid w:val="00C46E94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C46E94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C46E94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C46E94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C46E94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C46E94"/>
    <w:rPr>
      <w:rFonts w:asciiTheme="majorHAnsi" w:eastAsiaTheme="majorEastAsia" w:hAnsiTheme="majorHAnsi" w:cstheme="majorBidi"/>
      <w:b/>
      <w:bCs/>
      <w:color w:val="808080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C46E94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C46E94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C46E94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C46E94"/>
    <w:rPr>
      <w:rFonts w:asciiTheme="majorHAnsi" w:eastAsiaTheme="majorEastAsia" w:hAnsiTheme="majorHAnsi" w:cstheme="majorBidi"/>
      <w:i/>
      <w:iCs/>
      <w:lang w:val="pl-PL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C46E94"/>
    <w:pPr>
      <w:keepNext/>
      <w:keepLines/>
      <w:spacing w:before="240" w:after="240"/>
      <w:ind w:firstLine="284"/>
    </w:pPr>
  </w:style>
  <w:style w:type="table" w:customStyle="1" w:styleId="ECHRTableBoxHeader">
    <w:name w:val="ECHR_Table_Box_Header"/>
    <w:basedOn w:val="Standardowy"/>
    <w:rsid w:val="00C46E94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customStyle="1" w:styleId="JuJudges">
    <w:name w:val="Ju_Judges"/>
    <w:aliases w:val="_Judges"/>
    <w:basedOn w:val="Normalny"/>
    <w:uiPriority w:val="32"/>
    <w:qFormat/>
    <w:rsid w:val="00C46E94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C46E94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C46E94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C46E94"/>
    <w:pPr>
      <w:numPr>
        <w:ilvl w:val="2"/>
        <w:numId w:val="20"/>
      </w:numPr>
    </w:pPr>
  </w:style>
  <w:style w:type="table" w:customStyle="1" w:styleId="ECHRTableFax">
    <w:name w:val="ECHR_Table_Fax"/>
    <w:basedOn w:val="Standardowy"/>
    <w:uiPriority w:val="99"/>
    <w:rsid w:val="00C46E94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C46E94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C46E94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C46E94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C46E94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C46E9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C46E94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C46E94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C46E94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character" w:styleId="Pogrubienie">
    <w:name w:val="Strong"/>
    <w:uiPriority w:val="98"/>
    <w:semiHidden/>
    <w:qFormat/>
    <w:rsid w:val="00C46E94"/>
    <w:rPr>
      <w:b/>
      <w:bCs/>
    </w:rPr>
  </w:style>
  <w:style w:type="character" w:styleId="Uwydatnienie">
    <w:name w:val="Emphasis"/>
    <w:uiPriority w:val="98"/>
    <w:semiHidden/>
    <w:qFormat/>
    <w:rsid w:val="00C46E9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C46E94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C46E94"/>
    <w:rPr>
      <w:sz w:val="24"/>
      <w:szCs w:val="24"/>
      <w:lang w:val="pl-PL"/>
    </w:rPr>
  </w:style>
  <w:style w:type="paragraph" w:styleId="Akapitzlist">
    <w:name w:val="List Paragraph"/>
    <w:basedOn w:val="Normalny"/>
    <w:uiPriority w:val="98"/>
    <w:semiHidden/>
    <w:qFormat/>
    <w:rsid w:val="00C46E9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C46E9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C46E94"/>
    <w:rPr>
      <w:i/>
      <w:iCs/>
      <w:sz w:val="24"/>
      <w:szCs w:val="24"/>
      <w:lang w:val="pl-PL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C46E9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C46E94"/>
    <w:rPr>
      <w:b/>
      <w:bCs/>
      <w:i/>
      <w:iCs/>
      <w:sz w:val="24"/>
      <w:szCs w:val="24"/>
      <w:lang w:val="pl-PL" w:bidi="en-US"/>
    </w:rPr>
  </w:style>
  <w:style w:type="character" w:styleId="Wyrnieniedelikatne">
    <w:name w:val="Subtle Emphasis"/>
    <w:uiPriority w:val="98"/>
    <w:semiHidden/>
    <w:qFormat/>
    <w:rsid w:val="00C46E94"/>
    <w:rPr>
      <w:i/>
      <w:iCs/>
    </w:rPr>
  </w:style>
  <w:style w:type="character" w:styleId="Wyrnienieintensywne">
    <w:name w:val="Intense Emphasis"/>
    <w:uiPriority w:val="98"/>
    <w:semiHidden/>
    <w:qFormat/>
    <w:rsid w:val="00C46E94"/>
    <w:rPr>
      <w:b/>
      <w:bCs/>
    </w:rPr>
  </w:style>
  <w:style w:type="character" w:styleId="Odwoaniedelikatne">
    <w:name w:val="Subtle Reference"/>
    <w:uiPriority w:val="98"/>
    <w:semiHidden/>
    <w:qFormat/>
    <w:rsid w:val="00C46E94"/>
    <w:rPr>
      <w:smallCaps/>
    </w:rPr>
  </w:style>
  <w:style w:type="character" w:styleId="Odwoanieintensywne">
    <w:name w:val="Intense Reference"/>
    <w:uiPriority w:val="98"/>
    <w:semiHidden/>
    <w:qFormat/>
    <w:rsid w:val="00C46E94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C46E94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C46E9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C46E94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C46E94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C46E94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8"/>
    <w:semiHidden/>
    <w:rsid w:val="00C46E94"/>
  </w:style>
  <w:style w:type="paragraph" w:styleId="Tekstblokowy">
    <w:name w:val="Block Text"/>
    <w:basedOn w:val="Normalny"/>
    <w:uiPriority w:val="98"/>
    <w:semiHidden/>
    <w:rsid w:val="00C46E94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C46E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C46E94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C46E9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C46E94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C46E9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C46E94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C46E9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C46E94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C46E9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C46E94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C46E9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C46E94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C46E9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C46E94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C46E9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C46E94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C46E94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C46E94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C46E94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C46E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C46E94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C46E94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C46E94"/>
  </w:style>
  <w:style w:type="character" w:customStyle="1" w:styleId="DataZnak">
    <w:name w:val="Data Znak"/>
    <w:basedOn w:val="Domylnaczcionkaakapitu"/>
    <w:link w:val="Data"/>
    <w:uiPriority w:val="98"/>
    <w:semiHidden/>
    <w:rsid w:val="00C46E94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C46E9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C46E94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C46E94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C46E94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C46E9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C46E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C46E94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C46E94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C46E94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C46E94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C46E94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C46E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C46E94"/>
    <w:rPr>
      <w:sz w:val="20"/>
      <w:szCs w:val="20"/>
      <w:lang w:val="pl-PL"/>
    </w:rPr>
  </w:style>
  <w:style w:type="character" w:styleId="HTML-akronim">
    <w:name w:val="HTML Acronym"/>
    <w:basedOn w:val="Domylnaczcionkaakapitu"/>
    <w:uiPriority w:val="98"/>
    <w:semiHidden/>
    <w:rsid w:val="00C46E94"/>
  </w:style>
  <w:style w:type="paragraph" w:styleId="HTML-adres">
    <w:name w:val="HTML Address"/>
    <w:basedOn w:val="Normalny"/>
    <w:link w:val="HTML-adresZnak"/>
    <w:uiPriority w:val="98"/>
    <w:semiHidden/>
    <w:rsid w:val="00C46E94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C46E94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C46E94"/>
    <w:rPr>
      <w:i/>
      <w:iCs/>
    </w:rPr>
  </w:style>
  <w:style w:type="character" w:styleId="HTML-kod">
    <w:name w:val="HTML Code"/>
    <w:basedOn w:val="Domylnaczcionkaakapitu"/>
    <w:uiPriority w:val="98"/>
    <w:semiHidden/>
    <w:rsid w:val="00C46E9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C46E94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C46E9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C46E9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C46E94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C46E9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C46E9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C46E94"/>
    <w:rPr>
      <w:i/>
      <w:iCs/>
    </w:rPr>
  </w:style>
  <w:style w:type="character" w:styleId="Hipercze">
    <w:name w:val="Hyperlink"/>
    <w:basedOn w:val="Domylnaczcionkaakapitu"/>
    <w:uiPriority w:val="98"/>
    <w:semiHidden/>
    <w:rsid w:val="00C46E94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C46E9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C46E9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C46E9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C46E9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C46E9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C46E9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C46E9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C46E9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C46E94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C46E94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C46E94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C46E94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C46E94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C46E94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C46E94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C46E94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C46E94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C46E94"/>
  </w:style>
  <w:style w:type="paragraph" w:styleId="Lista">
    <w:name w:val="List"/>
    <w:basedOn w:val="Normalny"/>
    <w:uiPriority w:val="98"/>
    <w:semiHidden/>
    <w:rsid w:val="00C46E94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C46E94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C46E94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C46E94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C46E94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C46E94"/>
    <w:pPr>
      <w:numPr>
        <w:numId w:val="4"/>
      </w:numPr>
    </w:pPr>
  </w:style>
  <w:style w:type="paragraph" w:styleId="Listapunktowana2">
    <w:name w:val="List Bullet 2"/>
    <w:basedOn w:val="Normalny"/>
    <w:uiPriority w:val="98"/>
    <w:semiHidden/>
    <w:rsid w:val="00C46E94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C46E94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C46E94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C46E94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C46E9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C46E9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C46E9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C46E9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C46E9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C46E94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C46E94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C46E94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C46E94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C46E94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C46E9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C46E94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C46E9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C46E9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C46E9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C46E9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C46E94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C46E94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C46E94"/>
    <w:pPr>
      <w:ind w:left="720"/>
    </w:pPr>
  </w:style>
  <w:style w:type="table" w:customStyle="1" w:styleId="ECHRTableNoLines">
    <w:name w:val="ECHR_Table_No_Lines"/>
    <w:basedOn w:val="Standardowy"/>
    <w:uiPriority w:val="99"/>
    <w:rsid w:val="00C46E94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C46E94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8"/>
    <w:semiHidden/>
    <w:rsid w:val="00C46E9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C46E9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C46E94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C46E94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C46E94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C46E94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C46E94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C46E94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C46E94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C46E94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C46E94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C46E94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C46E94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C46E94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C46E94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C46E94"/>
  </w:style>
  <w:style w:type="table" w:styleId="Tabela-Profesjonalny">
    <w:name w:val="Table Professional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C46E94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C46E9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C46E9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C46E9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C46E9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C46E94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C46E9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C46E9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C46E9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C46E9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C46E94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0D61E7"/>
    <w:rPr>
      <w:sz w:val="8"/>
    </w:rPr>
  </w:style>
  <w:style w:type="paragraph" w:styleId="Stopka">
    <w:name w:val="footer"/>
    <w:basedOn w:val="Normalny"/>
    <w:link w:val="StopkaZnak"/>
    <w:uiPriority w:val="98"/>
    <w:semiHidden/>
    <w:rsid w:val="00C46E94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C46E94"/>
    <w:rPr>
      <w:sz w:val="24"/>
      <w:szCs w:val="24"/>
      <w:lang w:val="pl-PL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C46E94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C46E94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C46E94"/>
    <w:pPr>
      <w:ind w:firstLine="284"/>
    </w:pPr>
    <w:rPr>
      <w:b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C46E94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C46E94"/>
    <w:rPr>
      <w:sz w:val="24"/>
      <w:szCs w:val="24"/>
      <w:lang w:val="pl-PL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C46E94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C46E94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C46E94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C46E94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C46E94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C46E94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C46E94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C46E94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C46E94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C46E94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C46E94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C46E94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C46E94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C46E94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C46E94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C46E94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C46E94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C46E94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C46E94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C46E94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C46E94"/>
    <w:pPr>
      <w:numPr>
        <w:numId w:val="0"/>
      </w:numPr>
      <w:ind w:left="284"/>
    </w:pPr>
  </w:style>
  <w:style w:type="table" w:customStyle="1" w:styleId="ECHRTable">
    <w:name w:val="ECHR_Table"/>
    <w:basedOn w:val="Standardowy"/>
    <w:rsid w:val="00C46E94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2">
    <w:name w:val="ECHR_Table_2"/>
    <w:basedOn w:val="Standardowy"/>
    <w:uiPriority w:val="99"/>
    <w:rsid w:val="00C46E94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C46E9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C46E94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C46E94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C46E94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C46E9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C46E9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C46E9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C46E94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C46E94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C46E94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C46E94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UGTable">
    <w:name w:val="UG_Table"/>
    <w:aliases w:val="ECHR_UG_Table"/>
    <w:basedOn w:val="Standardowy"/>
    <w:uiPriority w:val="99"/>
    <w:rsid w:val="00C46E94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C46E94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laceholder">
    <w:name w:val="ECHR_Placeholder"/>
    <w:aliases w:val="_Placeholder"/>
    <w:basedOn w:val="JuSigned"/>
    <w:uiPriority w:val="31"/>
    <w:rsid w:val="00C46E94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C46E94"/>
    <w:rPr>
      <w:sz w:val="4"/>
    </w:rPr>
  </w:style>
  <w:style w:type="table" w:customStyle="1" w:styleId="ECHRTableGrey">
    <w:name w:val="ECHR_Table_Grey"/>
    <w:basedOn w:val="Standardowy"/>
    <w:uiPriority w:val="99"/>
    <w:rsid w:val="00C46E94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C46E94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46E94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642627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D81CE2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D81CE2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D81CE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D81CE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D81CE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D81CE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D81CE2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D81CE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D81CE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D81CE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D81CE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D81CE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D81CE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D81CE2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D81CE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D81CE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D81CE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D81CE2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D81C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D81CE2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D81CE2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D81CE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D81CE2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D81CE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D81CE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D81CE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D81CE2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D81CE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D81CE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D81CE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D81CE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D81CE2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D81CE2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D81CE2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D81CE2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D81CE2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D81CE2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D81CE2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D81CE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D81CE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D81CE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D81CE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D81CE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D81CE2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D81CE2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D81CE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doc.echr.coe.int/en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D660E-415E-4998-9B61-2168D431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2424</Words>
  <Characters>16328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2024-11-25T13:59:00Z</dcterms:created>
  <dcterms:modified xsi:type="dcterms:W3CDTF">2024-11-26T12:03:00Z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76177dbabbf1c180dd2531817a03df77d9ed56187333f55945137a9e8f98ba06</vt:lpwstr>
  </property>
</Properties>
</file>