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47061" w:rsidR="00AA4209" w:rsidP="00E47061" w14:paraId="1A5AE570" w14:textId="13681CD5">
      <w:pPr>
        <w:jc w:val="center"/>
      </w:pPr>
    </w:p>
    <w:p w:rsidRPr="00E47061" w:rsidR="00AA4209" w:rsidP="00E47061" w14:paraId="2C20C0F2" w14:textId="770D09AB">
      <w:pPr>
        <w:jc w:val="center"/>
        <w:rPr>
          <w:sz w:val="4"/>
          <w:szCs w:val="4"/>
        </w:rPr>
      </w:pPr>
    </w:p>
    <w:p w:rsidRPr="00E47061" w:rsidR="00AA4209" w:rsidP="00E47061" w14:paraId="7F96D3C9" w14:textId="04ED6574">
      <w:pPr>
        <w:pStyle w:val="DecHTitle"/>
      </w:pPr>
      <w:r w:rsidRPr="00E47061">
        <w:t>FIRST SECTION</w:t>
      </w:r>
    </w:p>
    <w:p w:rsidRPr="00E47061" w:rsidR="00AA4209" w:rsidP="00E47061" w14:paraId="5847B7FC" w14:textId="77777777">
      <w:pPr>
        <w:pStyle w:val="DecHTitle"/>
      </w:pPr>
      <w:r w:rsidRPr="00E47061">
        <w:t>DECISION</w:t>
      </w:r>
    </w:p>
    <w:p w:rsidRPr="00E47061" w:rsidR="00AA4209" w:rsidP="00E47061" w14:paraId="526A2306" w14:textId="3B31061C">
      <w:pPr>
        <w:pStyle w:val="DecHCase"/>
        <w:rPr>
          <w:i/>
        </w:rPr>
      </w:pPr>
      <w:r w:rsidRPr="00E47061">
        <w:t>Applications nos.</w:t>
      </w:r>
      <w:r w:rsidRPr="00E47061" w:rsidR="006267D3">
        <w:t xml:space="preserve"> </w:t>
      </w:r>
      <w:r w:rsidRPr="00E47061">
        <w:t>41097/20 and 39577/22</w:t>
      </w:r>
      <w:r w:rsidRPr="00E47061" w:rsidR="006267D3">
        <w:br/>
      </w:r>
      <w:r w:rsidRPr="00E47061">
        <w:t>Wies</w:t>
      </w:r>
      <w:r w:rsidRPr="00E47061" w:rsidR="006E2ADE">
        <w:t>ł</w:t>
      </w:r>
      <w:r w:rsidRPr="00E47061">
        <w:t>aw</w:t>
      </w:r>
      <w:r w:rsidRPr="00E47061">
        <w:t xml:space="preserve"> DUDEK </w:t>
      </w:r>
      <w:r w:rsidRPr="00E47061" w:rsidR="006267D3">
        <w:t xml:space="preserve">against </w:t>
      </w:r>
      <w:r w:rsidRPr="00E47061">
        <w:t>Poland</w:t>
      </w:r>
      <w:r w:rsidRPr="00E47061">
        <w:br/>
        <w:t>and Dariusz LAZUR against Poland</w:t>
      </w:r>
    </w:p>
    <w:p w:rsidRPr="00E47061" w:rsidR="00AA4209" w:rsidP="00E47061" w14:paraId="4CCE8D46" w14:textId="02C62898">
      <w:pPr>
        <w:rPr>
          <w:sz w:val="2"/>
          <w:szCs w:val="2"/>
        </w:rPr>
      </w:pPr>
    </w:p>
    <w:p w:rsidRPr="00E47061" w:rsidR="00642627" w:rsidP="00E47061" w14:paraId="5F3923D7" w14:textId="2AF769B8">
      <w:pPr>
        <w:pStyle w:val="JuPara"/>
      </w:pPr>
      <w:r w:rsidRPr="00E47061">
        <w:t xml:space="preserve">The European Court of Human Rights (First Section), sitting on </w:t>
      </w:r>
      <w:r w:rsidRPr="00E47061" w:rsidR="006E2ADE">
        <w:t>8</w:t>
      </w:r>
      <w:r w:rsidRPr="00E47061" w:rsidR="00C46E94">
        <w:t> </w:t>
      </w:r>
      <w:r w:rsidRPr="00E47061" w:rsidR="006E2ADE">
        <w:t>October 2024</w:t>
      </w:r>
      <w:r w:rsidRPr="00E47061">
        <w:t xml:space="preserve"> as a Chamber composed of:</w:t>
      </w:r>
    </w:p>
    <w:p w:rsidRPr="00E47061" w:rsidR="00642627" w:rsidP="00E47061" w14:paraId="2E20E7E4" w14:textId="0C546E98">
      <w:pPr>
        <w:pStyle w:val="JuJudges"/>
      </w:pPr>
      <w:r w:rsidRPr="00E47061">
        <w:tab/>
        <w:t xml:space="preserve">Ivana </w:t>
      </w:r>
      <w:r w:rsidRPr="00E47061">
        <w:t>Jelić</w:t>
      </w:r>
      <w:r w:rsidRPr="00E47061">
        <w:rPr>
          <w:i/>
        </w:rPr>
        <w:t>, President</w:t>
      </w:r>
      <w:r w:rsidRPr="00E47061">
        <w:t>,</w:t>
      </w:r>
      <w:r w:rsidRPr="00E47061">
        <w:br/>
      </w:r>
      <w:r w:rsidRPr="00E47061">
        <w:tab/>
        <w:t xml:space="preserve">Alena </w:t>
      </w:r>
      <w:r w:rsidRPr="00E47061">
        <w:t>Poláčková</w:t>
      </w:r>
      <w:r w:rsidRPr="00E47061">
        <w:t>,</w:t>
      </w:r>
      <w:r w:rsidRPr="00E47061">
        <w:br/>
      </w:r>
      <w:r w:rsidRPr="00E47061">
        <w:tab/>
        <w:t xml:space="preserve">Krzysztof </w:t>
      </w:r>
      <w:r w:rsidRPr="00E47061">
        <w:t>Wojtyczek</w:t>
      </w:r>
      <w:r w:rsidRPr="00E47061">
        <w:t>,</w:t>
      </w:r>
      <w:r w:rsidRPr="00E47061">
        <w:br/>
      </w:r>
      <w:r w:rsidRPr="00E47061">
        <w:tab/>
      </w:r>
      <w:r w:rsidRPr="00E47061">
        <w:t>Lətif</w:t>
      </w:r>
      <w:r w:rsidRPr="00E47061">
        <w:t xml:space="preserve"> </w:t>
      </w:r>
      <w:r w:rsidRPr="00E47061">
        <w:t>Hüseynov</w:t>
      </w:r>
      <w:r w:rsidRPr="00E47061">
        <w:t>,</w:t>
      </w:r>
      <w:r w:rsidRPr="00E47061">
        <w:br/>
      </w:r>
      <w:r w:rsidRPr="00E47061">
        <w:tab/>
      </w:r>
      <w:r w:rsidRPr="00E47061">
        <w:t>Péter</w:t>
      </w:r>
      <w:r w:rsidRPr="00E47061">
        <w:t xml:space="preserve"> </w:t>
      </w:r>
      <w:r w:rsidRPr="00E47061">
        <w:t>Paczolay</w:t>
      </w:r>
      <w:r w:rsidRPr="00E47061">
        <w:t>,</w:t>
      </w:r>
      <w:r w:rsidRPr="00E47061">
        <w:br/>
      </w:r>
      <w:r w:rsidRPr="00E47061">
        <w:tab/>
        <w:t xml:space="preserve">Erik </w:t>
      </w:r>
      <w:r w:rsidRPr="00E47061">
        <w:t>Wennerström</w:t>
      </w:r>
      <w:r w:rsidRPr="00E47061">
        <w:t>,</w:t>
      </w:r>
      <w:r w:rsidRPr="00E47061">
        <w:br/>
      </w:r>
      <w:r w:rsidRPr="00E47061">
        <w:tab/>
        <w:t>Raffaele Sabato</w:t>
      </w:r>
      <w:r w:rsidRPr="00E47061">
        <w:rPr>
          <w:i/>
        </w:rPr>
        <w:t>, judges</w:t>
      </w:r>
      <w:r w:rsidRPr="00E47061">
        <w:t>,</w:t>
      </w:r>
    </w:p>
    <w:p w:rsidRPr="00E47061" w:rsidR="00642627" w:rsidP="00E47061" w14:paraId="3F6CE82D" w14:textId="77777777">
      <w:pPr>
        <w:pStyle w:val="JuJudges"/>
      </w:pPr>
      <w:r w:rsidRPr="00E47061">
        <w:t xml:space="preserve">and Ilse Freiwirth, </w:t>
      </w:r>
      <w:r w:rsidRPr="00E47061">
        <w:rPr>
          <w:i/>
          <w:iCs/>
        </w:rPr>
        <w:t>Section Registrar</w:t>
      </w:r>
      <w:r w:rsidRPr="00E47061">
        <w:rPr>
          <w:i/>
        </w:rPr>
        <w:t>,</w:t>
      </w:r>
    </w:p>
    <w:p w:rsidRPr="00E47061" w:rsidR="00642627" w:rsidP="00E47061" w14:paraId="5013D1BA" w14:textId="3043AAAF">
      <w:pPr>
        <w:pStyle w:val="JuPara"/>
      </w:pPr>
      <w:r w:rsidRPr="00E47061">
        <w:t>Having regard to the above applications lodged on 1 September 2020 and 28</w:t>
      </w:r>
      <w:r w:rsidRPr="00E47061" w:rsidR="00C46E94">
        <w:t> </w:t>
      </w:r>
      <w:r w:rsidRPr="00E47061">
        <w:t>July 2022 respectively,</w:t>
      </w:r>
    </w:p>
    <w:p w:rsidRPr="00E47061" w:rsidR="00642627" w:rsidP="00E47061" w14:paraId="23619C12" w14:textId="50F6BE5C">
      <w:pPr>
        <w:pStyle w:val="JuPara"/>
      </w:pPr>
      <w:r w:rsidRPr="00E47061">
        <w:t>Having regard to the declarations submitted by the respondent Government on 19 and 20 June 2024 requesting the Court to strike the applications out of the list of cases and the applicants</w:t>
      </w:r>
      <w:r w:rsidRPr="00E47061" w:rsidR="00E47061">
        <w:t>’</w:t>
      </w:r>
      <w:r w:rsidRPr="00E47061">
        <w:t xml:space="preserve"> reply to those declarations,</w:t>
      </w:r>
    </w:p>
    <w:p w:rsidRPr="00E47061" w:rsidR="00642627" w:rsidP="00E47061" w14:paraId="72AD2DA9" w14:textId="77777777">
      <w:pPr>
        <w:pStyle w:val="JuPara"/>
      </w:pPr>
      <w:r w:rsidRPr="00E47061">
        <w:t>Having deliberated, decides as follows:</w:t>
      </w:r>
    </w:p>
    <w:p w:rsidRPr="00E47061" w:rsidR="00642627" w:rsidP="00E47061" w14:paraId="78BDA567" w14:textId="77777777">
      <w:pPr>
        <w:pStyle w:val="JuHHead"/>
      </w:pPr>
      <w:r w:rsidRPr="00E47061">
        <w:t>FACTS AND PROCEDURE</w:t>
      </w:r>
    </w:p>
    <w:p w:rsidRPr="00E47061" w:rsidR="00642627" w:rsidP="00E47061" w14:paraId="1E7F47BF" w14:textId="0FB9404A">
      <w:pPr>
        <w:pStyle w:val="JuPara"/>
      </w:pPr>
      <w:r>
        <w:fldChar w:fldCharType="begin"/>
      </w:r>
      <w:r>
        <w:instrText xml:space="preserve"> SEQ level0 \*arabic \* MERGEFORMAT </w:instrText>
      </w:r>
      <w:r>
        <w:fldChar w:fldCharType="separate"/>
      </w:r>
      <w:r w:rsidRPr="00E47061" w:rsidR="00E47061">
        <w:rPr>
          <w:noProof/>
        </w:rPr>
        <w:t>1</w:t>
      </w:r>
      <w:r w:rsidRPr="00E47061" w:rsidR="00E47061">
        <w:rPr>
          <w:noProof/>
        </w:rPr>
        <w:fldChar w:fldCharType="end"/>
      </w:r>
      <w:r w:rsidRPr="00E47061">
        <w:t>.  The details concerning the applicants and their cases are set out in the appended table.</w:t>
      </w:r>
    </w:p>
    <w:p w:rsidRPr="00E47061" w:rsidR="00642627" w:rsidP="00E47061" w14:paraId="13F03073" w14:textId="0C0F0A32">
      <w:pPr>
        <w:pStyle w:val="JuPara"/>
      </w:pPr>
      <w:r>
        <w:fldChar w:fldCharType="begin"/>
      </w:r>
      <w:r>
        <w:instrText xml:space="preserve"> SEQ level0 \*arabic \* MERGEFORMAT </w:instrText>
      </w:r>
      <w:r>
        <w:fldChar w:fldCharType="separate"/>
      </w:r>
      <w:r w:rsidRPr="00E47061" w:rsidR="00E47061">
        <w:rPr>
          <w:noProof/>
        </w:rPr>
        <w:t>2</w:t>
      </w:r>
      <w:r w:rsidRPr="00E47061" w:rsidR="00E47061">
        <w:rPr>
          <w:noProof/>
        </w:rPr>
        <w:fldChar w:fldCharType="end"/>
      </w:r>
      <w:r w:rsidRPr="00E47061">
        <w:t xml:space="preserve">.  The Polish Government (“the Government”) were represented by their Agent, Mr J. </w:t>
      </w:r>
      <w:r w:rsidRPr="00E47061">
        <w:t>Sobczak</w:t>
      </w:r>
      <w:r w:rsidRPr="00E47061">
        <w:t xml:space="preserve">, and subsequently by Ms A. </w:t>
      </w:r>
      <w:r w:rsidRPr="00E47061">
        <w:t>Kozińska-Makowska</w:t>
      </w:r>
      <w:r w:rsidRPr="00E47061">
        <w:t>, of the Ministry of Foreign Affairs.</w:t>
      </w:r>
    </w:p>
    <w:p w:rsidRPr="00E47061" w:rsidR="00642627" w:rsidP="00E47061" w14:paraId="007F58E3" w14:textId="64761257">
      <w:pPr>
        <w:pStyle w:val="JuPara"/>
      </w:pPr>
      <w:r>
        <w:fldChar w:fldCharType="begin"/>
      </w:r>
      <w:r>
        <w:instrText xml:space="preserve"> SEQ level0 \*arabic \* MERGEFORMAT </w:instrText>
      </w:r>
      <w:r>
        <w:fldChar w:fldCharType="separate"/>
      </w:r>
      <w:r w:rsidRPr="00E47061" w:rsidR="00E47061">
        <w:rPr>
          <w:noProof/>
        </w:rPr>
        <w:t>3</w:t>
      </w:r>
      <w:r w:rsidRPr="00E47061" w:rsidR="00E47061">
        <w:rPr>
          <w:noProof/>
        </w:rPr>
        <w:fldChar w:fldCharType="end"/>
      </w:r>
      <w:r w:rsidRPr="00E47061">
        <w:t>.  The first applicant was involved in a civil dispute which was examined by courts at two instances. On 5 November 2019 the Supreme Court refused to entertain the applicant</w:t>
      </w:r>
      <w:r w:rsidRPr="00E47061" w:rsidR="00E47061">
        <w:t>’</w:t>
      </w:r>
      <w:r w:rsidRPr="00E47061">
        <w:t xml:space="preserve">s cassation appeal. It sat in camera in a single judge formation composed of Judge M. </w:t>
      </w:r>
      <w:r w:rsidRPr="00E47061">
        <w:t>Manowska</w:t>
      </w:r>
      <w:r w:rsidRPr="00E47061">
        <w:t xml:space="preserve">, appointed to that court by the </w:t>
      </w:r>
      <w:r w:rsidRPr="00E47061">
        <w:t>President of Poland on 10 October 2018, on the recommendation of the National Council of the Judiciary (</w:t>
      </w:r>
      <w:r w:rsidRPr="00E47061">
        <w:rPr>
          <w:i/>
          <w:iCs/>
        </w:rPr>
        <w:t xml:space="preserve">Krajowa Rada </w:t>
      </w:r>
      <w:r w:rsidRPr="00E47061">
        <w:rPr>
          <w:i/>
          <w:iCs/>
        </w:rPr>
        <w:t>Sądownictwa</w:t>
      </w:r>
      <w:r w:rsidRPr="00E47061">
        <w:t>, “the NCJ”) (resolution no. 330/2018 of 28</w:t>
      </w:r>
      <w:r w:rsidRPr="00E47061" w:rsidR="006E2ADE">
        <w:t> </w:t>
      </w:r>
      <w:r w:rsidRPr="00E47061">
        <w:t>August 2018).</w:t>
      </w:r>
    </w:p>
    <w:p w:rsidRPr="00E47061" w:rsidR="00642627" w:rsidP="00E47061" w14:paraId="3081BD47" w14:textId="326F984D">
      <w:pPr>
        <w:pStyle w:val="JuPara"/>
      </w:pPr>
      <w:r>
        <w:fldChar w:fldCharType="begin"/>
      </w:r>
      <w:r>
        <w:instrText xml:space="preserve"> SEQ level0 \*arabic \* MERGEFORMAT </w:instrText>
      </w:r>
      <w:r>
        <w:fldChar w:fldCharType="separate"/>
      </w:r>
      <w:r w:rsidRPr="00E47061" w:rsidR="00E47061">
        <w:rPr>
          <w:noProof/>
        </w:rPr>
        <w:t>4</w:t>
      </w:r>
      <w:r w:rsidRPr="00E47061" w:rsidR="00E47061">
        <w:rPr>
          <w:noProof/>
        </w:rPr>
        <w:fldChar w:fldCharType="end"/>
      </w:r>
      <w:r w:rsidRPr="00E47061">
        <w:t xml:space="preserve">.  The second applicant was convicted in criminal proceedings by the courts at two instances and sentenced to imprisonment. On 21 January 2022 the Supreme Court dismissed his cassation appeal. It sat in camera in a single judge formation composed of Judge M. </w:t>
      </w:r>
      <w:r w:rsidRPr="00E47061">
        <w:t>Siwek</w:t>
      </w:r>
      <w:r w:rsidRPr="00E47061">
        <w:t>, appointed to that court by the President of Poland on 10 October 2018, on the recommendation of the NCJ (resolution no. 331/2018 of 28</w:t>
      </w:r>
      <w:r w:rsidRPr="00E47061" w:rsidR="006E2ADE">
        <w:t> </w:t>
      </w:r>
      <w:r w:rsidRPr="00E47061">
        <w:t>August 2018).</w:t>
      </w:r>
    </w:p>
    <w:p w:rsidRPr="00E47061" w:rsidR="00642627" w:rsidP="00E47061" w14:paraId="7C472B33" w14:textId="2BB6D99D">
      <w:pPr>
        <w:pStyle w:val="JuPara"/>
      </w:pPr>
      <w:r>
        <w:fldChar w:fldCharType="begin"/>
      </w:r>
      <w:r>
        <w:instrText xml:space="preserve"> SEQ level0 \*arabic \* MERGEFORMAT </w:instrText>
      </w:r>
      <w:r>
        <w:fldChar w:fldCharType="separate"/>
      </w:r>
      <w:r w:rsidRPr="00E47061" w:rsidR="00E47061">
        <w:rPr>
          <w:noProof/>
        </w:rPr>
        <w:t>5</w:t>
      </w:r>
      <w:r w:rsidRPr="00E47061" w:rsidR="00E47061">
        <w:rPr>
          <w:noProof/>
        </w:rPr>
        <w:fldChar w:fldCharType="end"/>
      </w:r>
      <w:r w:rsidRPr="00E47061">
        <w:t>.  The applicants complained under Article 6 § 1 of the Convention of the violation of their right to a hearing by an “independent and impartial tribunal established by law” since their civil or criminal cases had been decided by formations of Civil or Criminal Chambers of the Supreme Court, composed of judges appointed to that court by the President of Poland, pursuant to the recommendation of the NCJ as established under the Amending Act on the NCJ and certain other statutes of 8 December 2017 (“the recomposed NCJ”).</w:t>
      </w:r>
    </w:p>
    <w:p w:rsidRPr="00E47061" w:rsidR="00642627" w:rsidP="00E47061" w14:paraId="51514A23" w14:textId="6EBDF7F1">
      <w:pPr>
        <w:pStyle w:val="JuPara"/>
      </w:pPr>
      <w:r>
        <w:fldChar w:fldCharType="begin"/>
      </w:r>
      <w:r>
        <w:instrText xml:space="preserve"> SEQ level0 \*arabic \* MERGEFORMAT </w:instrText>
      </w:r>
      <w:r>
        <w:fldChar w:fldCharType="separate"/>
      </w:r>
      <w:r w:rsidRPr="00E47061" w:rsidR="00E47061">
        <w:rPr>
          <w:noProof/>
        </w:rPr>
        <w:t>6</w:t>
      </w:r>
      <w:r w:rsidRPr="00E47061" w:rsidR="00E47061">
        <w:rPr>
          <w:noProof/>
        </w:rPr>
        <w:fldChar w:fldCharType="end"/>
      </w:r>
      <w:r w:rsidRPr="00E47061">
        <w:t xml:space="preserve">.  The applications had been communicated </w:t>
      </w:r>
      <w:r w:rsidRPr="00E47061">
        <w:rPr>
          <w:bCs/>
        </w:rPr>
        <w:t xml:space="preserve">to the </w:t>
      </w:r>
      <w:r w:rsidRPr="00E47061">
        <w:rPr>
          <w:color w:val="000000"/>
        </w:rPr>
        <w:t>Government</w:t>
      </w:r>
      <w:r w:rsidRPr="00E47061">
        <w:rPr>
          <w:color w:val="0000FF"/>
        </w:rPr>
        <w:t>.</w:t>
      </w:r>
    </w:p>
    <w:p w:rsidRPr="00E47061" w:rsidR="00642627" w:rsidP="00E47061" w14:paraId="3695F3A9" w14:textId="77777777">
      <w:pPr>
        <w:pStyle w:val="JuHHead"/>
      </w:pPr>
      <w:r w:rsidRPr="00E47061">
        <w:t>THE LAW</w:t>
      </w:r>
    </w:p>
    <w:p w:rsidRPr="00E47061" w:rsidR="00642627" w:rsidP="00E47061" w14:paraId="31B17728" w14:textId="21096522">
      <w:pPr>
        <w:pStyle w:val="JuPara"/>
      </w:pPr>
      <w:r>
        <w:fldChar w:fldCharType="begin"/>
      </w:r>
      <w:r>
        <w:instrText xml:space="preserve"> SEQ level0 \*arabic \* MERGEFORMAT </w:instrText>
      </w:r>
      <w:r>
        <w:fldChar w:fldCharType="separate"/>
      </w:r>
      <w:r w:rsidRPr="00E47061" w:rsidR="00E47061">
        <w:rPr>
          <w:noProof/>
        </w:rPr>
        <w:t>7</w:t>
      </w:r>
      <w:r w:rsidRPr="00E47061" w:rsidR="00E47061">
        <w:rPr>
          <w:noProof/>
        </w:rPr>
        <w:fldChar w:fldCharType="end"/>
      </w:r>
      <w:r w:rsidRPr="00E47061">
        <w:t>.  Having regard to the similar subject matter of the applications, the Court finds it appropriate to examine them jointly in a single decision (Rule</w:t>
      </w:r>
      <w:r w:rsidRPr="00E47061" w:rsidR="006E2ADE">
        <w:t> </w:t>
      </w:r>
      <w:r w:rsidRPr="00E47061">
        <w:t xml:space="preserve">42 </w:t>
      </w:r>
      <w:r w:rsidRPr="00E47061">
        <w:rPr>
          <w:rFonts w:cstheme="minorHAnsi"/>
        </w:rPr>
        <w:t>§</w:t>
      </w:r>
      <w:r w:rsidRPr="00E47061" w:rsidR="006E2ADE">
        <w:t> </w:t>
      </w:r>
      <w:r w:rsidRPr="00E47061">
        <w:t>1 of the Rules of Court).</w:t>
      </w:r>
    </w:p>
    <w:p w:rsidRPr="00E47061" w:rsidR="00642627" w:rsidP="00E47061" w14:paraId="00350E6E" w14:textId="4A0859B1">
      <w:pPr>
        <w:pStyle w:val="JuPara"/>
      </w:pPr>
      <w:r>
        <w:fldChar w:fldCharType="begin"/>
      </w:r>
      <w:r>
        <w:instrText xml:space="preserve"> SEQ level0 \*arabic \* MERGEFORMAT </w:instrText>
      </w:r>
      <w:r>
        <w:fldChar w:fldCharType="separate"/>
      </w:r>
      <w:r w:rsidRPr="00E47061" w:rsidR="00E47061">
        <w:rPr>
          <w:noProof/>
        </w:rPr>
        <w:t>8</w:t>
      </w:r>
      <w:r w:rsidRPr="00E47061" w:rsidR="00E47061">
        <w:rPr>
          <w:noProof/>
        </w:rPr>
        <w:fldChar w:fldCharType="end"/>
      </w:r>
      <w:r w:rsidRPr="00E47061">
        <w:t>.  The applicants complained that the judicial formations of the Supreme Court which had examined their cases gave rise to a violation of their right to an “independent and impartial tribunal established by law.”</w:t>
      </w:r>
    </w:p>
    <w:p w:rsidRPr="00E47061" w:rsidR="00642627" w:rsidP="00E47061" w14:paraId="0E773DB9" w14:textId="3E656083">
      <w:pPr>
        <w:pStyle w:val="JuPara"/>
      </w:pPr>
      <w:r>
        <w:fldChar w:fldCharType="begin"/>
      </w:r>
      <w:r>
        <w:instrText xml:space="preserve"> SEQ level0 \*arabic \* MERGEFORMAT </w:instrText>
      </w:r>
      <w:r>
        <w:fldChar w:fldCharType="separate"/>
      </w:r>
      <w:r w:rsidRPr="00E47061" w:rsidR="00E47061">
        <w:rPr>
          <w:noProof/>
        </w:rPr>
        <w:t>9</w:t>
      </w:r>
      <w:r w:rsidRPr="00E47061" w:rsidR="00E47061">
        <w:rPr>
          <w:noProof/>
        </w:rPr>
        <w:fldChar w:fldCharType="end"/>
      </w:r>
      <w:r w:rsidRPr="00E47061">
        <w:t>.  After the failure of attempts to reach a friendly settlement, by letters of 19</w:t>
      </w:r>
      <w:r w:rsidRPr="00E47061" w:rsidR="006E2ADE">
        <w:t> </w:t>
      </w:r>
      <w:r w:rsidRPr="00E47061">
        <w:t>and 20</w:t>
      </w:r>
      <w:r w:rsidRPr="00E47061" w:rsidR="006E2ADE">
        <w:t> </w:t>
      </w:r>
      <w:r w:rsidRPr="00E47061">
        <w:t>June 2024 respectively, the Government informed the Court that they proposed to make unilateral declarations with a view to resolving the issue raised by the applications. They further requested that the Court strike out the applications in accordance with Article 37 of the Convention.</w:t>
      </w:r>
    </w:p>
    <w:bookmarkStart w:name="declaration" w:id="0"/>
    <w:p w:rsidRPr="00E47061" w:rsidR="00642627" w:rsidP="00E47061" w14:paraId="0F8798AF" w14:textId="3A0F62E8">
      <w:pPr>
        <w:pStyle w:val="JuPara"/>
      </w:pPr>
      <w:r w:rsidRPr="00E47061">
        <w:fldChar w:fldCharType="begin"/>
      </w:r>
      <w:r w:rsidRPr="00E47061">
        <w:instrText xml:space="preserve"> SEQ level0 \*arabic \* MERGEFORMAT </w:instrText>
      </w:r>
      <w:r w:rsidRPr="00E47061">
        <w:fldChar w:fldCharType="separate"/>
      </w:r>
      <w:r w:rsidRPr="00E47061" w:rsidR="00E47061">
        <w:rPr>
          <w:noProof/>
        </w:rPr>
        <w:t>10</w:t>
      </w:r>
      <w:r w:rsidRPr="00E47061">
        <w:fldChar w:fldCharType="end"/>
      </w:r>
      <w:bookmarkEnd w:id="0"/>
      <w:r w:rsidRPr="00E47061">
        <w:t>.  The declarations provided as follows:</w:t>
      </w:r>
    </w:p>
    <w:p w:rsidRPr="00E47061" w:rsidR="00642627" w:rsidP="00E47061" w14:paraId="5FF93570" w14:textId="4768E6BD">
      <w:pPr>
        <w:pStyle w:val="JuQuot"/>
      </w:pPr>
      <w:r w:rsidRPr="00E47061">
        <w:t>“The Government note that the communication concerns the allegations of violation of the right to an “independent and impartial tribunal established by law” under Article 6 § 1 of the Convention. The Government note and acknowledge the Court</w:t>
      </w:r>
      <w:r w:rsidRPr="00E47061" w:rsidR="00E47061">
        <w:t>’</w:t>
      </w:r>
      <w:r w:rsidRPr="00E47061">
        <w:t xml:space="preserve">s jurisprudence concerning the procedure of appointment of judges to the Supreme Court and the organisation of the National Council of the Judiciary in Poland (see, in particular </w:t>
      </w:r>
      <w:r w:rsidRPr="00E47061">
        <w:rPr>
          <w:i/>
          <w:iCs/>
        </w:rPr>
        <w:t>Wałęsa</w:t>
      </w:r>
      <w:r w:rsidRPr="00E47061">
        <w:rPr>
          <w:i/>
          <w:iCs/>
        </w:rPr>
        <w:t xml:space="preserve"> v. Poland</w:t>
      </w:r>
      <w:r w:rsidRPr="00E47061">
        <w:t>, no. 50849/21, 23</w:t>
      </w:r>
      <w:r w:rsidRPr="00E47061" w:rsidR="006E2ADE">
        <w:t> </w:t>
      </w:r>
      <w:r w:rsidRPr="00E47061">
        <w:t>November 2023).</w:t>
      </w:r>
    </w:p>
    <w:p w:rsidRPr="00E47061" w:rsidR="00642627" w:rsidP="00E47061" w14:paraId="7684011A" w14:textId="653CD886">
      <w:pPr>
        <w:pStyle w:val="JuQuot"/>
      </w:pPr>
      <w:r w:rsidRPr="00E47061">
        <w:t>...</w:t>
      </w:r>
    </w:p>
    <w:p w:rsidRPr="00E47061" w:rsidR="00642627" w:rsidP="00E47061" w14:paraId="6BD82732" w14:textId="77777777">
      <w:pPr>
        <w:pStyle w:val="JuQuot"/>
      </w:pPr>
      <w:r w:rsidRPr="00E47061">
        <w:t>The Government hereby wish to express – by way of a unilateral declaration – their acknowledgement of the violation of Articles 6 § 1 of the Convention regarding the right to an “independent and impartial tribunal established by law”.</w:t>
      </w:r>
    </w:p>
    <w:p w:rsidRPr="00E47061" w:rsidR="00642627" w:rsidP="00E47061" w14:paraId="54DF629F" w14:textId="3265D692">
      <w:pPr>
        <w:pStyle w:val="JuQuot"/>
      </w:pPr>
      <w:r w:rsidRPr="00E47061">
        <w:t>Simultaneously, the Government declare that they are ready to pay the applicant the sum of 10,000</w:t>
      </w:r>
      <w:r w:rsidRPr="00E47061" w:rsidR="006E2ADE">
        <w:t> </w:t>
      </w:r>
      <w:r w:rsidRPr="00E47061">
        <w:t>EUR (ten thousand euros),</w:t>
      </w:r>
      <w:r w:rsidRPr="00E47061">
        <w:rPr>
          <w:b/>
          <w:bCs/>
        </w:rPr>
        <w:t xml:space="preserve"> </w:t>
      </w:r>
      <w:r w:rsidRPr="00E47061">
        <w:t xml:space="preserve">which they consider to be reasonable in the </w:t>
      </w:r>
      <w:r w:rsidRPr="00E47061">
        <w:t>light of the Court</w:t>
      </w:r>
      <w:r w:rsidRPr="00E47061" w:rsidR="00E47061">
        <w:t>’</w:t>
      </w:r>
      <w:r w:rsidRPr="00E47061">
        <w:t xml:space="preserve">s case law (see, </w:t>
      </w:r>
      <w:r w:rsidRPr="00E47061">
        <w:rPr>
          <w:i/>
          <w:iCs/>
        </w:rPr>
        <w:t xml:space="preserve">Advance Pharma Sp. z </w:t>
      </w:r>
      <w:r w:rsidRPr="00E47061">
        <w:rPr>
          <w:i/>
          <w:iCs/>
        </w:rPr>
        <w:t>o.o</w:t>
      </w:r>
      <w:r w:rsidRPr="00E47061">
        <w:rPr>
          <w:i/>
          <w:iCs/>
        </w:rPr>
        <w:t xml:space="preserve"> v. Poland</w:t>
      </w:r>
      <w:r w:rsidRPr="00E47061">
        <w:t>, no. 1469/20, 3 February 2022).</w:t>
      </w:r>
    </w:p>
    <w:p w:rsidRPr="00E47061" w:rsidR="00642627" w:rsidP="00E47061" w14:paraId="1E4B2B7F" w14:textId="5E649CC7">
      <w:pPr>
        <w:pStyle w:val="JuQuot"/>
      </w:pPr>
      <w:r w:rsidRPr="00E47061">
        <w:t>The sum referred to above, which is to cover any pecuniary and non-pecuniary damage as well as costs and expenses, will be free of any taxes that may be applicable. It will be converted into the currency of the respondent State (PLN) at the rate applicable on the date of settlement and payable within three months from the date of notification of the final ruling taken by the Court pursuant to Article 37 § 1 of the Convention. In the event of failure to pay this sum within the said three-month period, the Government undertake to pay simple interest on it, from the expiry of that period until settlement, at a rate equal to the marginal lending rate of the European Central Bank during the default period plus three percentage points.”</w:t>
      </w:r>
    </w:p>
    <w:p w:rsidRPr="00E47061" w:rsidR="00642627" w:rsidP="00E47061" w14:paraId="1721C244" w14:textId="193C9FF5">
      <w:pPr>
        <w:pStyle w:val="JuPara"/>
      </w:pPr>
      <w:r>
        <w:fldChar w:fldCharType="begin"/>
      </w:r>
      <w:r>
        <w:instrText xml:space="preserve"> SEQ level0 \*arabic \* MERGEFORMAT </w:instrText>
      </w:r>
      <w:r>
        <w:fldChar w:fldCharType="separate"/>
      </w:r>
      <w:r w:rsidRPr="00E47061" w:rsidR="00E47061">
        <w:rPr>
          <w:noProof/>
        </w:rPr>
        <w:t>11</w:t>
      </w:r>
      <w:r w:rsidRPr="00E47061" w:rsidR="00E47061">
        <w:rPr>
          <w:noProof/>
        </w:rPr>
        <w:fldChar w:fldCharType="end"/>
      </w:r>
      <w:r w:rsidRPr="00E47061">
        <w:t>.  By letters of 18 and 24 July 2024 respectively, the applicants indicated that they were not satisfied with the terms of the unilateral declarations. They complained that the amount proposed was too low and did not include compensation for pecuniary damage. In addition, they expressed a wish for the Court to give a judgment finding a violation of the right to an independent and impartial “tribunal established by law”, which would open up the possibility of reopening the domestic proceedings.</w:t>
      </w:r>
    </w:p>
    <w:p w:rsidRPr="00E47061" w:rsidR="00642627" w:rsidP="00E47061" w14:paraId="093F3E8E" w14:textId="7938474B">
      <w:pPr>
        <w:pStyle w:val="JuPara"/>
      </w:pPr>
      <w:r>
        <w:fldChar w:fldCharType="begin"/>
      </w:r>
      <w:r>
        <w:instrText xml:space="preserve"> SEQ level0 \*arabic \* MERGEFORMAT </w:instrText>
      </w:r>
      <w:r>
        <w:fldChar w:fldCharType="separate"/>
      </w:r>
      <w:r w:rsidRPr="00E47061" w:rsidR="00E47061">
        <w:rPr>
          <w:noProof/>
        </w:rPr>
        <w:t>12</w:t>
      </w:r>
      <w:r w:rsidRPr="00E47061" w:rsidR="00E47061">
        <w:rPr>
          <w:noProof/>
        </w:rPr>
        <w:fldChar w:fldCharType="end"/>
      </w:r>
      <w:r w:rsidRPr="00E47061">
        <w:t>.  The Court re</w:t>
      </w:r>
      <w:r w:rsidRPr="00E47061">
        <w:rPr>
          <w:color w:val="000000"/>
        </w:rPr>
        <w:t>iterates</w:t>
      </w:r>
      <w:r w:rsidRPr="00E47061">
        <w:t xml:space="preserve"> that Article 37 of the Convention provides that it may at any stage of the proceedings decide to strike an application out of its list of cases where the circumstances lead to one of the conclusions specified, under (a), (b) or (c) of paragraph 1 of that Article.</w:t>
      </w:r>
    </w:p>
    <w:p w:rsidRPr="00E47061" w:rsidR="00642627" w:rsidP="00E47061" w14:paraId="5A4F7CDD" w14:textId="20623210">
      <w:pPr>
        <w:pStyle w:val="JuPara"/>
      </w:pPr>
      <w:r w:rsidRPr="00E47061">
        <w:t>Article 37</w:t>
      </w:r>
      <w:r w:rsidRPr="00E47061" w:rsidR="006E2ADE">
        <w:t xml:space="preserve"> </w:t>
      </w:r>
      <w:r w:rsidRPr="00E47061">
        <w:t>§ 1 (c) enables the Court in particular to strike a case out of its list if:</w:t>
      </w:r>
    </w:p>
    <w:p w:rsidRPr="00E47061" w:rsidR="00642627" w:rsidP="00E47061" w14:paraId="36761BBA" w14:textId="77777777">
      <w:pPr>
        <w:pStyle w:val="JuQuot"/>
      </w:pPr>
      <w:r w:rsidRPr="00E47061">
        <w:t>“for any other reason established by the Court, it is no longer justified to continue the examination of the application”.</w:t>
      </w:r>
    </w:p>
    <w:p w:rsidRPr="00E47061" w:rsidR="00642627" w:rsidP="00E47061" w14:paraId="6C12888F" w14:textId="067438FD">
      <w:pPr>
        <w:pStyle w:val="JuPara"/>
      </w:pPr>
      <w:r w:rsidRPr="00E47061">
        <w:t>Article</w:t>
      </w:r>
      <w:r w:rsidRPr="00E47061" w:rsidR="006E2ADE">
        <w:t> </w:t>
      </w:r>
      <w:r w:rsidRPr="00E47061">
        <w:t xml:space="preserve">37 </w:t>
      </w:r>
      <w:r w:rsidRPr="00E47061">
        <w:rPr>
          <w:rFonts w:cstheme="minorHAnsi"/>
        </w:rPr>
        <w:t>§</w:t>
      </w:r>
      <w:r w:rsidRPr="00E47061" w:rsidR="006E2ADE">
        <w:t> </w:t>
      </w:r>
      <w:r w:rsidRPr="00E47061">
        <w:t xml:space="preserve">1 </w:t>
      </w:r>
      <w:r w:rsidRPr="00E47061">
        <w:rPr>
          <w:i/>
          <w:iCs/>
        </w:rPr>
        <w:t>in fine</w:t>
      </w:r>
      <w:r w:rsidRPr="00E47061">
        <w:t xml:space="preserve"> includes the proviso that:</w:t>
      </w:r>
    </w:p>
    <w:p w:rsidRPr="00E47061" w:rsidR="00642627" w:rsidP="00E47061" w14:paraId="1E0DB58F" w14:textId="77777777">
      <w:pPr>
        <w:pStyle w:val="JuQuot"/>
      </w:pPr>
      <w:r w:rsidRPr="00E47061">
        <w:t>“However, the Court shall continue the examination of the application if respect for human rights as defined in the Convention and the Protocols thereto so requires.”</w:t>
      </w:r>
    </w:p>
    <w:p w:rsidRPr="00E47061" w:rsidR="00642627" w:rsidP="00E47061" w14:paraId="0EFB001A" w14:textId="50FA0FD0">
      <w:pPr>
        <w:pStyle w:val="JuPara"/>
      </w:pPr>
      <w:r>
        <w:fldChar w:fldCharType="begin"/>
      </w:r>
      <w:r>
        <w:instrText xml:space="preserve"> SEQ level0 \*arabic \* MERGEFORMAT </w:instrText>
      </w:r>
      <w:r>
        <w:fldChar w:fldCharType="separate"/>
      </w:r>
      <w:r w:rsidRPr="00E47061" w:rsidR="00E47061">
        <w:rPr>
          <w:noProof/>
        </w:rPr>
        <w:t>13</w:t>
      </w:r>
      <w:r w:rsidRPr="00E47061" w:rsidR="00E47061">
        <w:rPr>
          <w:noProof/>
        </w:rPr>
        <w:fldChar w:fldCharType="end"/>
      </w:r>
      <w:r w:rsidRPr="00E47061">
        <w:t>.  It also reiterates that, in certain circumstances, it may strike out an application under Article 37 § 1 (c) on the basis of a unilateral declaration by a respondent Government, even if the applicant wishes the examination of the cases to be continued.</w:t>
      </w:r>
    </w:p>
    <w:p w:rsidRPr="00E47061" w:rsidR="00642627" w:rsidP="00E47061" w14:paraId="2C56B81E" w14:textId="6C2561E3">
      <w:pPr>
        <w:pStyle w:val="JuPara"/>
      </w:pPr>
      <w:r>
        <w:fldChar w:fldCharType="begin"/>
      </w:r>
      <w:r>
        <w:instrText xml:space="preserve"> SEQ level0 \*arabic \* MERGEFORMAT </w:instrText>
      </w:r>
      <w:r>
        <w:fldChar w:fldCharType="separate"/>
      </w:r>
      <w:r w:rsidRPr="00E47061" w:rsidR="00E47061">
        <w:rPr>
          <w:noProof/>
        </w:rPr>
        <w:t>14</w:t>
      </w:r>
      <w:r w:rsidRPr="00E47061" w:rsidR="00E47061">
        <w:rPr>
          <w:noProof/>
        </w:rPr>
        <w:fldChar w:fldCharType="end"/>
      </w:r>
      <w:r w:rsidRPr="00E47061">
        <w:t xml:space="preserve">.  To this end, the Court </w:t>
      </w:r>
      <w:r w:rsidRPr="00E47061">
        <w:rPr>
          <w:color w:val="000000"/>
        </w:rPr>
        <w:t xml:space="preserve">has examined </w:t>
      </w:r>
      <w:r w:rsidRPr="00E47061">
        <w:t>the declarations</w:t>
      </w:r>
      <w:r w:rsidRPr="00E47061">
        <w:rPr>
          <w:color w:val="000000"/>
        </w:rPr>
        <w:t xml:space="preserve"> </w:t>
      </w:r>
      <w:r w:rsidRPr="00E47061">
        <w:t xml:space="preserve">in the light of the principles emerging from its case-law, in particular the </w:t>
      </w:r>
      <w:r w:rsidRPr="00E47061">
        <w:rPr>
          <w:bCs/>
          <w:i/>
          <w:iCs/>
        </w:rPr>
        <w:t>Tahsin</w:t>
      </w:r>
      <w:r w:rsidRPr="00E47061">
        <w:rPr>
          <w:i/>
          <w:iCs/>
        </w:rPr>
        <w:t xml:space="preserve"> </w:t>
      </w:r>
      <w:r w:rsidRPr="00E47061">
        <w:rPr>
          <w:i/>
          <w:iCs/>
        </w:rPr>
        <w:t>Acar</w:t>
      </w:r>
      <w:r w:rsidRPr="00E47061">
        <w:rPr>
          <w:iCs/>
        </w:rPr>
        <w:t xml:space="preserve"> judgment (</w:t>
      </w:r>
      <w:r w:rsidRPr="00E47061">
        <w:rPr>
          <w:i/>
        </w:rPr>
        <w:t xml:space="preserve">Tahsin </w:t>
      </w:r>
      <w:r w:rsidRPr="00E47061">
        <w:rPr>
          <w:i/>
        </w:rPr>
        <w:t>Acar</w:t>
      </w:r>
      <w:r w:rsidRPr="00E47061">
        <w:rPr>
          <w:i/>
        </w:rPr>
        <w:t xml:space="preserve"> v. Turkey </w:t>
      </w:r>
      <w:r w:rsidRPr="00E47061">
        <w:rPr>
          <w:iCs/>
        </w:rPr>
        <w:t xml:space="preserve">(preliminary objections) </w:t>
      </w:r>
      <w:r w:rsidRPr="00E47061">
        <w:t>[GC], no.</w:t>
      </w:r>
      <w:r w:rsidRPr="00E47061" w:rsidR="006E2ADE">
        <w:t> </w:t>
      </w:r>
      <w:r w:rsidRPr="00E47061">
        <w:t>26307/95, §§ 75</w:t>
      </w:r>
      <w:r w:rsidRPr="00E47061">
        <w:noBreakHyphen/>
        <w:t xml:space="preserve">77, ECHR 2003-VI; </w:t>
      </w:r>
      <w:r w:rsidRPr="00E47061">
        <w:rPr>
          <w:i/>
        </w:rPr>
        <w:t xml:space="preserve">WAZA </w:t>
      </w:r>
      <w:r w:rsidRPr="00E47061">
        <w:rPr>
          <w:i/>
          <w:iCs/>
        </w:rPr>
        <w:t xml:space="preserve">Sp. z </w:t>
      </w:r>
      <w:r w:rsidRPr="00E47061">
        <w:rPr>
          <w:i/>
          <w:iCs/>
        </w:rPr>
        <w:t>o.o.</w:t>
      </w:r>
      <w:r w:rsidRPr="00E47061">
        <w:rPr>
          <w:i/>
        </w:rPr>
        <w:t xml:space="preserve"> v. Poland </w:t>
      </w:r>
      <w:r w:rsidRPr="00E47061">
        <w:t xml:space="preserve">(dec.), no. 11602/02, 26 June 2007; and </w:t>
      </w:r>
      <w:r w:rsidRPr="00E47061">
        <w:rPr>
          <w:i/>
        </w:rPr>
        <w:t>Sulwińska</w:t>
      </w:r>
      <w:r w:rsidRPr="00E47061">
        <w:rPr>
          <w:i/>
        </w:rPr>
        <w:t xml:space="preserve"> v. Poland</w:t>
      </w:r>
      <w:r w:rsidRPr="00E47061">
        <w:t xml:space="preserve"> (dec.), no. 28953/03, 18 September 2007). Relevant factors in this respect include the nature of the complaints made, whether the issues raised are comparable to issues already determined by the Court in previous cases, the nature and scope of any measures taken by the respondent Government in the context of the execution of judgments delivered by the Court in any such previous cases, and the impact of these measures on the case at issue (see </w:t>
      </w:r>
      <w:r w:rsidRPr="00E47061">
        <w:rPr>
          <w:i/>
        </w:rPr>
        <w:t xml:space="preserve">Tahsin </w:t>
      </w:r>
      <w:r w:rsidRPr="00E47061">
        <w:rPr>
          <w:i/>
        </w:rPr>
        <w:t>Acar</w:t>
      </w:r>
      <w:r w:rsidRPr="00E47061">
        <w:rPr>
          <w:iCs/>
        </w:rPr>
        <w:t>, cited above,</w:t>
      </w:r>
      <w:r w:rsidRPr="00E47061">
        <w:rPr>
          <w:i/>
        </w:rPr>
        <w:t xml:space="preserve"> </w:t>
      </w:r>
      <w:r w:rsidRPr="00E47061">
        <w:t>§</w:t>
      </w:r>
      <w:r w:rsidRPr="00E47061" w:rsidR="006E2ADE">
        <w:t> </w:t>
      </w:r>
      <w:r w:rsidRPr="00E47061">
        <w:t xml:space="preserve">76). Other </w:t>
      </w:r>
      <w:r w:rsidRPr="00E47061">
        <w:t>relevant factors may include the question of whether the Government have made any admissions in relation to the alleged violations of the Convention and, if so, the scope of such admissions and the manner in which they intend to provide redress to the applicant (ibid.).</w:t>
      </w:r>
    </w:p>
    <w:p w:rsidRPr="00E47061" w:rsidR="00642627" w:rsidP="00E47061" w14:paraId="1E415931" w14:textId="3E0BACED">
      <w:pPr>
        <w:pStyle w:val="JuPara"/>
      </w:pPr>
      <w:r>
        <w:fldChar w:fldCharType="begin"/>
      </w:r>
      <w:r>
        <w:instrText xml:space="preserve"> SEQ level0 \*arabic \* MERGEFORMAT </w:instrText>
      </w:r>
      <w:r>
        <w:fldChar w:fldCharType="separate"/>
      </w:r>
      <w:r w:rsidRPr="00E47061" w:rsidR="00E47061">
        <w:rPr>
          <w:noProof/>
        </w:rPr>
        <w:t>15</w:t>
      </w:r>
      <w:r w:rsidRPr="00E47061" w:rsidR="00E47061">
        <w:rPr>
          <w:noProof/>
        </w:rPr>
        <w:fldChar w:fldCharType="end"/>
      </w:r>
      <w:r w:rsidRPr="00E47061">
        <w:t xml:space="preserve">.  The Court notes that the applicants alleged that their cases had not been heard by an impartial and independent “tribunal established by law” in breach of Article 6 § 1 of the Convention. The Court reiterates that the purpose of the requirement that the “tribunal” be “established by law” is to ensure “that the judicial organisation in a democratic society [did] not depend on the discretion of the executive, but that it [was] regulated by law emanating from Parliament” (see </w:t>
      </w:r>
      <w:r w:rsidRPr="00E47061">
        <w:rPr>
          <w:i/>
          <w:iCs/>
        </w:rPr>
        <w:t>Guðmundur</w:t>
      </w:r>
      <w:r w:rsidRPr="00E47061">
        <w:rPr>
          <w:i/>
          <w:iCs/>
        </w:rPr>
        <w:t xml:space="preserve"> Andri </w:t>
      </w:r>
      <w:r w:rsidRPr="00E47061">
        <w:rPr>
          <w:i/>
          <w:iCs/>
        </w:rPr>
        <w:t>Ástráðsson</w:t>
      </w:r>
      <w:r w:rsidRPr="00E47061">
        <w:rPr>
          <w:i/>
          <w:iCs/>
        </w:rPr>
        <w:t xml:space="preserve"> v. Iceland </w:t>
      </w:r>
      <w:r w:rsidRPr="00E47061">
        <w:t>[GC], no.</w:t>
      </w:r>
      <w:r w:rsidRPr="00E47061" w:rsidR="006E2ADE">
        <w:t> </w:t>
      </w:r>
      <w:r w:rsidRPr="00E47061">
        <w:t>26374/18, § 214, 1 December 2020).</w:t>
      </w:r>
    </w:p>
    <w:p w:rsidRPr="00E47061" w:rsidR="00642627" w:rsidP="00E47061" w14:paraId="77DBE005" w14:textId="72000285">
      <w:pPr>
        <w:pStyle w:val="JuPara"/>
      </w:pPr>
      <w:r>
        <w:fldChar w:fldCharType="begin"/>
      </w:r>
      <w:r>
        <w:instrText xml:space="preserve"> SEQ level0 \*arabic \* MERGEFORMAT </w:instrText>
      </w:r>
      <w:r>
        <w:fldChar w:fldCharType="separate"/>
      </w:r>
      <w:r w:rsidRPr="00E47061" w:rsidR="00E47061">
        <w:rPr>
          <w:noProof/>
        </w:rPr>
        <w:t>16</w:t>
      </w:r>
      <w:r w:rsidRPr="00E47061" w:rsidR="00E47061">
        <w:rPr>
          <w:noProof/>
        </w:rPr>
        <w:fldChar w:fldCharType="end"/>
      </w:r>
      <w:r w:rsidRPr="00E47061">
        <w:t>.  The reorganisation of the judiciary in Poland initiated by the Government in 2017 and implemented by the successive amending laws has been the subject not only of intense public debate in Poland and at European level but also of numerous proceedings before the Court, the Polish courts and the Court of Justice of the European Union, of other actions before the European Union</w:t>
      </w:r>
      <w:r w:rsidRPr="00E47061" w:rsidR="00E47061">
        <w:t>’</w:t>
      </w:r>
      <w:r w:rsidRPr="00E47061">
        <w:t>s institutions, of European Parliament resolutions, of the Parliamentary Assembly of the Council of Europe monitoring procedure and its resolutions, and of various reports of the Council of Europe</w:t>
      </w:r>
      <w:r w:rsidRPr="00E47061" w:rsidR="00E47061">
        <w:t>’</w:t>
      </w:r>
      <w:r w:rsidRPr="00E47061">
        <w:t>s and the United Nations</w:t>
      </w:r>
      <w:r w:rsidRPr="00E47061" w:rsidR="00E47061">
        <w:t>’</w:t>
      </w:r>
      <w:r w:rsidRPr="00E47061">
        <w:t xml:space="preserve"> bodies (see </w:t>
      </w:r>
      <w:bookmarkStart w:name="_cl40859THELAW" w:id="1"/>
      <w:r w:rsidRPr="00E47061">
        <w:rPr>
          <w:i/>
          <w:iCs/>
        </w:rPr>
        <w:t>Reczkowicz</w:t>
      </w:r>
      <w:r w:rsidRPr="00E47061">
        <w:rPr>
          <w:i/>
          <w:iCs/>
        </w:rPr>
        <w:t xml:space="preserve"> v. Poland</w:t>
      </w:r>
      <w:bookmarkEnd w:id="1"/>
      <w:r w:rsidRPr="00E47061">
        <w:t>, no. 43447/19, §</w:t>
      </w:r>
      <w:r w:rsidRPr="00E47061" w:rsidR="006E2ADE">
        <w:t> </w:t>
      </w:r>
      <w:r w:rsidRPr="00E47061">
        <w:t>178, 22 July 2021).</w:t>
      </w:r>
    </w:p>
    <w:p w:rsidRPr="00E47061" w:rsidR="00642627" w:rsidP="00E47061" w14:paraId="557D8D81" w14:textId="564C3D16">
      <w:pPr>
        <w:pStyle w:val="JuPara"/>
      </w:pPr>
      <w:r>
        <w:fldChar w:fldCharType="begin"/>
      </w:r>
      <w:r>
        <w:instrText xml:space="preserve"> SEQ level0 \*arabic \* MERGEFORMAT </w:instrText>
      </w:r>
      <w:r>
        <w:fldChar w:fldCharType="separate"/>
      </w:r>
      <w:r w:rsidRPr="00E47061" w:rsidR="00E47061">
        <w:rPr>
          <w:noProof/>
        </w:rPr>
        <w:t>17</w:t>
      </w:r>
      <w:r w:rsidRPr="00E47061" w:rsidR="00E47061">
        <w:rPr>
          <w:noProof/>
        </w:rPr>
        <w:fldChar w:fldCharType="end"/>
      </w:r>
      <w:r w:rsidRPr="00E47061">
        <w:t xml:space="preserve">.  The Court further notes that the judicial reforms in Poland which aimed to weaken judicial independence have been examined in a series of judgments, starting with grave irregularities in the election of judges to the Constitutional Court in December 2015 (see </w:t>
      </w:r>
      <w:r w:rsidRPr="00E47061">
        <w:rPr>
          <w:i/>
          <w:iCs/>
        </w:rPr>
        <w:t xml:space="preserve">Xero Flor w </w:t>
      </w:r>
      <w:r w:rsidRPr="00E47061">
        <w:rPr>
          <w:i/>
          <w:iCs/>
        </w:rPr>
        <w:t>Polsce</w:t>
      </w:r>
      <w:r w:rsidRPr="00E47061">
        <w:rPr>
          <w:i/>
          <w:iCs/>
        </w:rPr>
        <w:t xml:space="preserve"> sp. z </w:t>
      </w:r>
      <w:r w:rsidRPr="00E47061">
        <w:rPr>
          <w:i/>
          <w:iCs/>
        </w:rPr>
        <w:t>o.o.</w:t>
      </w:r>
      <w:r w:rsidRPr="00E47061">
        <w:rPr>
          <w:i/>
          <w:iCs/>
        </w:rPr>
        <w:t xml:space="preserve"> v. Poland</w:t>
      </w:r>
      <w:r w:rsidRPr="00E47061">
        <w:t>, no. 4907/18, 7 May 2021) then, in particular, remodelling the NCJ and setting up new chambers in the Supreme Court, while</w:t>
      </w:r>
      <w:r w:rsidRPr="00E47061">
        <w:rPr>
          <w:b/>
          <w:bCs/>
        </w:rPr>
        <w:t> </w:t>
      </w:r>
      <w:r w:rsidRPr="00E47061">
        <w:t>extending the Minister of Justice</w:t>
      </w:r>
      <w:r w:rsidRPr="00E47061" w:rsidR="00E47061">
        <w:t>’</w:t>
      </w:r>
      <w:r w:rsidRPr="00E47061">
        <w:t>s control over the courts and increasing his or her role in matters of judicial discipline</w:t>
      </w:r>
      <w:r w:rsidRPr="00E47061">
        <w:rPr>
          <w:i/>
          <w:iCs/>
        </w:rPr>
        <w:t xml:space="preserve"> </w:t>
      </w:r>
      <w:r w:rsidRPr="00E47061">
        <w:t xml:space="preserve">(see </w:t>
      </w:r>
      <w:r w:rsidRPr="00E47061">
        <w:rPr>
          <w:i/>
          <w:iCs/>
        </w:rPr>
        <w:t>Grzęda</w:t>
      </w:r>
      <w:r w:rsidRPr="00E47061">
        <w:rPr>
          <w:i/>
          <w:iCs/>
        </w:rPr>
        <w:t xml:space="preserve"> v. Poland</w:t>
      </w:r>
      <w:r w:rsidRPr="00E47061">
        <w:t xml:space="preserve"> [GC], no. 43572/18, § 348, 15</w:t>
      </w:r>
      <w:r w:rsidRPr="00E47061" w:rsidR="006E2ADE">
        <w:t> </w:t>
      </w:r>
      <w:r w:rsidRPr="00E47061">
        <w:t>March 2022).</w:t>
      </w:r>
    </w:p>
    <w:p w:rsidRPr="00E47061" w:rsidR="00642627" w:rsidP="00E47061" w14:paraId="0B2D1EF2" w14:textId="4F0863BF">
      <w:pPr>
        <w:pStyle w:val="JuPara"/>
      </w:pPr>
      <w:r>
        <w:fldChar w:fldCharType="begin"/>
      </w:r>
      <w:r>
        <w:instrText xml:space="preserve"> SEQ level0 \*arabic \* MERGEFORMAT </w:instrText>
      </w:r>
      <w:r>
        <w:fldChar w:fldCharType="separate"/>
      </w:r>
      <w:r w:rsidRPr="00E47061" w:rsidR="00E47061">
        <w:rPr>
          <w:noProof/>
        </w:rPr>
        <w:t>18</w:t>
      </w:r>
      <w:r w:rsidRPr="00E47061" w:rsidR="00E47061">
        <w:rPr>
          <w:noProof/>
        </w:rPr>
        <w:fldChar w:fldCharType="end"/>
      </w:r>
      <w:r w:rsidRPr="00E47061">
        <w:t xml:space="preserve">.  In </w:t>
      </w:r>
      <w:r w:rsidRPr="00E47061">
        <w:rPr>
          <w:i/>
          <w:iCs/>
        </w:rPr>
        <w:t>Reczkowicz</w:t>
      </w:r>
      <w:r w:rsidRPr="00E47061">
        <w:t>,</w:t>
      </w:r>
      <w:r w:rsidRPr="00E47061">
        <w:rPr>
          <w:i/>
          <w:iCs/>
        </w:rPr>
        <w:t> </w:t>
      </w:r>
      <w:r w:rsidRPr="00E47061">
        <w:t>cited above,</w:t>
      </w:r>
      <w:r w:rsidRPr="00E47061">
        <w:rPr>
          <w:i/>
          <w:iCs/>
        </w:rPr>
        <w:t xml:space="preserve"> </w:t>
      </w:r>
      <w:r w:rsidRPr="00E47061">
        <w:rPr>
          <w:i/>
          <w:iCs/>
        </w:rPr>
        <w:t>Dolińska-Ficek</w:t>
      </w:r>
      <w:r w:rsidRPr="00E47061">
        <w:rPr>
          <w:i/>
          <w:iCs/>
        </w:rPr>
        <w:t xml:space="preserve"> and </w:t>
      </w:r>
      <w:r w:rsidRPr="00E47061">
        <w:rPr>
          <w:i/>
          <w:iCs/>
        </w:rPr>
        <w:t>Ozimek</w:t>
      </w:r>
      <w:r w:rsidRPr="00E47061">
        <w:rPr>
          <w:i/>
          <w:iCs/>
        </w:rPr>
        <w:t xml:space="preserve"> v. Poland</w:t>
      </w:r>
      <w:r w:rsidRPr="00E47061">
        <w:t>, nos. 49868/19 and 57511/19, 8 November 2021,</w:t>
      </w:r>
      <w:r w:rsidRPr="00E47061">
        <w:rPr>
          <w:i/>
          <w:iCs/>
        </w:rPr>
        <w:t xml:space="preserve"> </w:t>
      </w:r>
      <w:r w:rsidRPr="00E47061">
        <w:t>and</w:t>
      </w:r>
      <w:r w:rsidRPr="00E47061" w:rsidR="00F14518">
        <w:t xml:space="preserve"> </w:t>
      </w:r>
      <w:r w:rsidRPr="00E47061">
        <w:rPr>
          <w:i/>
          <w:iCs/>
        </w:rPr>
        <w:t>Advance Pharma sp.</w:t>
      </w:r>
      <w:r w:rsidRPr="00E47061" w:rsidR="006E2ADE">
        <w:rPr>
          <w:i/>
          <w:iCs/>
        </w:rPr>
        <w:t> </w:t>
      </w:r>
      <w:r w:rsidRPr="00E47061">
        <w:rPr>
          <w:i/>
          <w:iCs/>
        </w:rPr>
        <w:t>z</w:t>
      </w:r>
      <w:r w:rsidRPr="00E47061" w:rsidR="006E2ADE">
        <w:rPr>
          <w:i/>
          <w:iCs/>
        </w:rPr>
        <w:t> </w:t>
      </w:r>
      <w:r w:rsidRPr="00E47061">
        <w:rPr>
          <w:i/>
          <w:iCs/>
        </w:rPr>
        <w:t>o.o</w:t>
      </w:r>
      <w:r w:rsidRPr="00E47061">
        <w:rPr>
          <w:i/>
          <w:iCs/>
        </w:rPr>
        <w:t xml:space="preserve"> v. Poland</w:t>
      </w:r>
      <w:r w:rsidRPr="00E47061">
        <w:t>, no. 1469/20, 3 February 2022, the Court applied the three-step test formulated in </w:t>
      </w:r>
      <w:r w:rsidRPr="00E47061">
        <w:rPr>
          <w:i/>
          <w:iCs/>
        </w:rPr>
        <w:t>Guðmundur</w:t>
      </w:r>
      <w:r w:rsidRPr="00E47061">
        <w:rPr>
          <w:i/>
          <w:iCs/>
        </w:rPr>
        <w:t xml:space="preserve"> Andri </w:t>
      </w:r>
      <w:r w:rsidRPr="00E47061">
        <w:rPr>
          <w:i/>
          <w:iCs/>
        </w:rPr>
        <w:t>Ástráðsson</w:t>
      </w:r>
      <w:r w:rsidRPr="00E47061">
        <w:rPr>
          <w:i/>
          <w:iCs/>
        </w:rPr>
        <w:t xml:space="preserve"> </w:t>
      </w:r>
      <w:r w:rsidRPr="00E47061">
        <w:t>(cited above) and found that there was a manifest breach of the domestic law which adversely affected the fundamental rules of procedure for the appointment of judges to various Chambers of the Supreme Court. The breach of the domestic law was due, in particular, to the deficient judicial appointment procedure involving the NCJ, as established under the 2017 Amending Act, a body which no longer</w:t>
      </w:r>
      <w:r w:rsidRPr="00E47061">
        <w:rPr>
          <w:b/>
          <w:bCs/>
        </w:rPr>
        <w:t> </w:t>
      </w:r>
      <w:r w:rsidRPr="00E47061">
        <w:t>offered sufficient guarantees of independence from the legislative or executive powers.</w:t>
      </w:r>
    </w:p>
    <w:p w:rsidRPr="00E47061" w:rsidR="00642627" w:rsidP="00E47061" w14:paraId="5D08D1ED" w14:textId="64A664F4">
      <w:pPr>
        <w:pStyle w:val="JuPara"/>
      </w:pPr>
      <w:r>
        <w:fldChar w:fldCharType="begin"/>
      </w:r>
      <w:r>
        <w:instrText xml:space="preserve"> SEQ level0 \*arabic \* MERGEFORMAT </w:instrText>
      </w:r>
      <w:r>
        <w:fldChar w:fldCharType="separate"/>
      </w:r>
      <w:r w:rsidRPr="00E47061" w:rsidR="00E47061">
        <w:rPr>
          <w:noProof/>
        </w:rPr>
        <w:t>19</w:t>
      </w:r>
      <w:r w:rsidRPr="00E47061" w:rsidR="00E47061">
        <w:rPr>
          <w:noProof/>
        </w:rPr>
        <w:fldChar w:fldCharType="end"/>
      </w:r>
      <w:r w:rsidRPr="00E47061">
        <w:t>.  The violations of the applicants</w:t>
      </w:r>
      <w:r w:rsidRPr="00E47061" w:rsidR="00E47061">
        <w:t>’</w:t>
      </w:r>
      <w:r w:rsidRPr="00E47061">
        <w:t xml:space="preserve"> right to a hearing by an “independent and impartial tribunal established by law” protected by Article</w:t>
      </w:r>
      <w:r w:rsidRPr="00E47061" w:rsidR="006E2ADE">
        <w:t> </w:t>
      </w:r>
      <w:r w:rsidRPr="00E47061">
        <w:t>6</w:t>
      </w:r>
      <w:r w:rsidRPr="00E47061" w:rsidR="006E2ADE">
        <w:t xml:space="preserve"> </w:t>
      </w:r>
      <w:r w:rsidRPr="00E47061">
        <w:t>§</w:t>
      </w:r>
      <w:r w:rsidRPr="00E47061" w:rsidR="006E2ADE">
        <w:t> </w:t>
      </w:r>
      <w:r w:rsidRPr="00E47061">
        <w:t xml:space="preserve">1 of the </w:t>
      </w:r>
      <w:r w:rsidRPr="00E47061">
        <w:t xml:space="preserve">Convention, have been established in respect of the Disciplinary Chamber of the Supreme Court (see </w:t>
      </w:r>
      <w:r w:rsidRPr="00E47061">
        <w:rPr>
          <w:i/>
          <w:iCs/>
        </w:rPr>
        <w:t>Reczkowicz</w:t>
      </w:r>
      <w:r w:rsidRPr="00E47061">
        <w:rPr>
          <w:i/>
          <w:iCs/>
        </w:rPr>
        <w:t xml:space="preserve">, </w:t>
      </w:r>
      <w:r w:rsidRPr="00E47061">
        <w:t xml:space="preserve">cited above), the Chamber of Extraordinary Review and Public Affairs (see </w:t>
      </w:r>
      <w:r w:rsidRPr="00E47061">
        <w:rPr>
          <w:i/>
          <w:iCs/>
        </w:rPr>
        <w:t>Dolińska-Ficek</w:t>
      </w:r>
      <w:r w:rsidRPr="00E47061">
        <w:rPr>
          <w:i/>
          <w:iCs/>
        </w:rPr>
        <w:t xml:space="preserve"> and </w:t>
      </w:r>
      <w:r w:rsidRPr="00E47061">
        <w:rPr>
          <w:i/>
          <w:iCs/>
        </w:rPr>
        <w:t>Ozimek</w:t>
      </w:r>
      <w:r w:rsidRPr="00E47061">
        <w:rPr>
          <w:i/>
          <w:iCs/>
        </w:rPr>
        <w:t xml:space="preserve">, </w:t>
      </w:r>
      <w:r w:rsidRPr="00E47061">
        <w:t xml:space="preserve">cited above) and formations of the Civil Chamber of the Supreme Court (see </w:t>
      </w:r>
      <w:r w:rsidRPr="00E47061">
        <w:rPr>
          <w:i/>
          <w:iCs/>
        </w:rPr>
        <w:t xml:space="preserve">Advance Pharma sp. z </w:t>
      </w:r>
      <w:r w:rsidRPr="00E47061">
        <w:rPr>
          <w:i/>
          <w:iCs/>
        </w:rPr>
        <w:t>o.o</w:t>
      </w:r>
      <w:r w:rsidRPr="00E47061">
        <w:t>, cited above).</w:t>
      </w:r>
    </w:p>
    <w:p w:rsidRPr="00E47061" w:rsidR="00642627" w:rsidP="00E47061" w14:paraId="3F2B63A4" w14:textId="53204202">
      <w:pPr>
        <w:pStyle w:val="JuPara"/>
      </w:pPr>
      <w:r>
        <w:fldChar w:fldCharType="begin"/>
      </w:r>
      <w:r>
        <w:instrText xml:space="preserve"> SEQ level0 \*arabic \* MERGEFORMAT </w:instrText>
      </w:r>
      <w:r>
        <w:fldChar w:fldCharType="separate"/>
      </w:r>
      <w:r w:rsidRPr="00E47061" w:rsidR="00E47061">
        <w:rPr>
          <w:noProof/>
        </w:rPr>
        <w:t>20</w:t>
      </w:r>
      <w:r w:rsidRPr="00E47061" w:rsidR="00E47061">
        <w:rPr>
          <w:noProof/>
        </w:rPr>
        <w:fldChar w:fldCharType="end"/>
      </w:r>
      <w:r w:rsidRPr="00E47061">
        <w:t xml:space="preserve">.  Finally, in its pilot judgment the Court made a list of interrelated systemic problems which entail repeated breaches of the fundamental principles of the rule of law, separation of powers and the independence of the judiciary (see </w:t>
      </w:r>
      <w:r w:rsidRPr="00E47061">
        <w:rPr>
          <w:i/>
          <w:iCs/>
        </w:rPr>
        <w:t>Wałęsa</w:t>
      </w:r>
      <w:r w:rsidRPr="00E47061">
        <w:t>, cited above, §</w:t>
      </w:r>
      <w:r w:rsidRPr="00E47061" w:rsidR="006E2ADE">
        <w:t> </w:t>
      </w:r>
      <w:r w:rsidRPr="00E47061">
        <w:t>324).</w:t>
      </w:r>
    </w:p>
    <w:p w:rsidRPr="00E47061" w:rsidR="00642627" w:rsidP="00E47061" w14:paraId="26C3EB1F" w14:textId="41E53DE6">
      <w:pPr>
        <w:pStyle w:val="JuPara"/>
      </w:pPr>
      <w:r>
        <w:fldChar w:fldCharType="begin"/>
      </w:r>
      <w:r>
        <w:instrText xml:space="preserve"> SEQ level0 \*arabic \* MERGEFORMAT </w:instrText>
      </w:r>
      <w:r>
        <w:fldChar w:fldCharType="separate"/>
      </w:r>
      <w:r w:rsidRPr="00E47061" w:rsidR="00E47061">
        <w:rPr>
          <w:noProof/>
        </w:rPr>
        <w:t>21</w:t>
      </w:r>
      <w:r w:rsidRPr="00E47061" w:rsidR="00E47061">
        <w:rPr>
          <w:noProof/>
        </w:rPr>
        <w:fldChar w:fldCharType="end"/>
      </w:r>
      <w:r w:rsidRPr="00E47061">
        <w:t>.  The Court thus concludes that the complaints made by the applicants are of very serious nature affecting the very essence of their right protected by Article 6 of the Convention. It also notes that the issues raised by the cases at hand have already been thoroughly examined by the Court.</w:t>
      </w:r>
    </w:p>
    <w:p w:rsidRPr="00E47061" w:rsidR="00642627" w:rsidP="00E47061" w14:paraId="0594FCD4" w14:textId="1C482CE3">
      <w:pPr>
        <w:pStyle w:val="JuPara"/>
      </w:pPr>
      <w:r>
        <w:fldChar w:fldCharType="begin"/>
      </w:r>
      <w:r>
        <w:instrText xml:space="preserve"> SEQ level0 \*arabic \* MERGEFORMAT </w:instrText>
      </w:r>
      <w:r>
        <w:fldChar w:fldCharType="separate"/>
      </w:r>
      <w:r w:rsidRPr="00E47061" w:rsidR="00E47061">
        <w:rPr>
          <w:noProof/>
        </w:rPr>
        <w:t>22</w:t>
      </w:r>
      <w:r w:rsidRPr="00E47061" w:rsidR="00E47061">
        <w:rPr>
          <w:noProof/>
        </w:rPr>
        <w:fldChar w:fldCharType="end"/>
      </w:r>
      <w:r w:rsidRPr="00E47061">
        <w:t>.  The Court has repeatedly called on the Government to draw the necessary conclusions from its judgments and to take any individual or general measures as appropriate,</w:t>
      </w:r>
      <w:r w:rsidRPr="00E47061">
        <w:rPr>
          <w:rFonts w:ascii="Arial" w:hAnsi="Arial" w:cs="Arial"/>
          <w:color w:val="000000"/>
        </w:rPr>
        <w:t xml:space="preserve"> </w:t>
      </w:r>
      <w:r w:rsidRPr="00E47061">
        <w:t xml:space="preserve">under the supervision of the Committee of Ministers, in order to resolve the problems at the root of the violations found by the Court and to prevent similar violations from taking place in the future (see </w:t>
      </w:r>
      <w:r w:rsidRPr="00E47061">
        <w:rPr>
          <w:i/>
          <w:iCs/>
        </w:rPr>
        <w:t>Dolińska-Ficek</w:t>
      </w:r>
      <w:r w:rsidRPr="00E47061">
        <w:rPr>
          <w:i/>
          <w:iCs/>
        </w:rPr>
        <w:t xml:space="preserve"> and </w:t>
      </w:r>
      <w:r w:rsidRPr="00E47061">
        <w:rPr>
          <w:i/>
          <w:iCs/>
        </w:rPr>
        <w:t>Ozimek</w:t>
      </w:r>
      <w:r w:rsidRPr="00E47061">
        <w:rPr>
          <w:i/>
          <w:iCs/>
        </w:rPr>
        <w:t xml:space="preserve">, </w:t>
      </w:r>
      <w:r w:rsidRPr="00E47061">
        <w:t xml:space="preserve">cited above, § 369 and </w:t>
      </w:r>
      <w:r w:rsidRPr="00E47061">
        <w:rPr>
          <w:i/>
          <w:iCs/>
        </w:rPr>
        <w:t>Advance Pharma sp.</w:t>
      </w:r>
      <w:r w:rsidRPr="00E47061" w:rsidR="006E2ADE">
        <w:rPr>
          <w:i/>
          <w:iCs/>
        </w:rPr>
        <w:t> </w:t>
      </w:r>
      <w:r w:rsidRPr="00E47061">
        <w:rPr>
          <w:i/>
          <w:iCs/>
        </w:rPr>
        <w:t>z</w:t>
      </w:r>
      <w:r w:rsidRPr="00E47061" w:rsidR="006E2ADE">
        <w:rPr>
          <w:i/>
          <w:iCs/>
        </w:rPr>
        <w:t> </w:t>
      </w:r>
      <w:r w:rsidRPr="00E47061">
        <w:rPr>
          <w:i/>
          <w:iCs/>
        </w:rPr>
        <w:t>o.o</w:t>
      </w:r>
      <w:r w:rsidRPr="00E47061">
        <w:t>.</w:t>
      </w:r>
      <w:r w:rsidRPr="00E47061">
        <w:t>, cited above, §</w:t>
      </w:r>
      <w:r w:rsidRPr="00E47061">
        <w:rPr>
          <w:i/>
          <w:iCs/>
        </w:rPr>
        <w:t xml:space="preserve"> </w:t>
      </w:r>
      <w:r w:rsidRPr="00E47061">
        <w:t xml:space="preserve">366). More detailed indications as to general measures to be taken in respect of the systemic problem identified above were given in the pilot judgment (see </w:t>
      </w:r>
      <w:r w:rsidRPr="00E47061">
        <w:rPr>
          <w:i/>
          <w:iCs/>
        </w:rPr>
        <w:t>Wałęsa</w:t>
      </w:r>
      <w:r w:rsidRPr="00E47061">
        <w:t xml:space="preserve">, cited above, </w:t>
      </w:r>
      <w:r w:rsidRPr="00E47061">
        <w:rPr>
          <w:rFonts w:cstheme="minorHAnsi"/>
        </w:rPr>
        <w:t>§§</w:t>
      </w:r>
      <w:r w:rsidRPr="00E47061" w:rsidR="006E2ADE">
        <w:t> </w:t>
      </w:r>
      <w:r w:rsidRPr="00E47061">
        <w:t>328-32).</w:t>
      </w:r>
    </w:p>
    <w:p w:rsidRPr="00E47061" w:rsidR="00642627" w:rsidP="00E47061" w14:paraId="6E0391E1" w14:textId="5989E071">
      <w:pPr>
        <w:pStyle w:val="JuPara"/>
      </w:pPr>
      <w:r>
        <w:fldChar w:fldCharType="begin"/>
      </w:r>
      <w:r>
        <w:instrText xml:space="preserve"> SEQ level0 \*arabic \* MERGEFORMAT </w:instrText>
      </w:r>
      <w:r>
        <w:fldChar w:fldCharType="separate"/>
      </w:r>
      <w:r w:rsidRPr="00E47061" w:rsidR="00E47061">
        <w:rPr>
          <w:noProof/>
        </w:rPr>
        <w:t>23</w:t>
      </w:r>
      <w:r w:rsidRPr="00E47061" w:rsidR="00E47061">
        <w:rPr>
          <w:noProof/>
        </w:rPr>
        <w:fldChar w:fldCharType="end"/>
      </w:r>
      <w:r w:rsidRPr="00E47061">
        <w:t>.  </w:t>
      </w:r>
      <w:r w:rsidRPr="00E47061">
        <w:t>C</w:t>
      </w:r>
      <w:r w:rsidRPr="00E47061">
        <w:t xml:space="preserve">urrently </w:t>
      </w:r>
      <w:r w:rsidRPr="00E47061">
        <w:t>around</w:t>
      </w:r>
      <w:r w:rsidRPr="00E47061">
        <w:t xml:space="preserve"> 700 cases against Poland on the Court</w:t>
      </w:r>
      <w:r w:rsidRPr="00E47061" w:rsidR="00E47061">
        <w:t>’</w:t>
      </w:r>
      <w:r w:rsidRPr="00E47061">
        <w:t>s docket concern the alleged breach of the right to an “independent and impartial tribunal established by law” on account of the fact that the judicial formations of various courts that have dealt with the applicants</w:t>
      </w:r>
      <w:r w:rsidRPr="00E47061" w:rsidR="00E47061">
        <w:t>’</w:t>
      </w:r>
      <w:r w:rsidRPr="00E47061">
        <w:t xml:space="preserve"> cases included judges appointed by the President of Poland on recommendations of the recomposed NCJ. The defective procedure for judicial appointments involving the NCJ as established under the 2017 Amending Act inherently and continually affects the independence of judges so appointed. The large scale of the problem had been highlighted in the pilot judgment which adjourned the examination of the majority of the cases, namely those of which notice had not yet been given to the Government, pending the adoption of general measures by the Polish State (see </w:t>
      </w:r>
      <w:r w:rsidRPr="00E47061">
        <w:rPr>
          <w:i/>
          <w:iCs/>
        </w:rPr>
        <w:t>Wałęsa</w:t>
      </w:r>
      <w:r w:rsidRPr="00E47061">
        <w:t xml:space="preserve">, cited above, </w:t>
      </w:r>
      <w:r w:rsidRPr="00E47061">
        <w:rPr>
          <w:rFonts w:cstheme="minorHAnsi"/>
        </w:rPr>
        <w:t>§</w:t>
      </w:r>
      <w:r w:rsidRPr="00E47061" w:rsidR="006E2ADE">
        <w:t> </w:t>
      </w:r>
      <w:r w:rsidRPr="00E47061">
        <w:t>335). The Court notes that Polish Government which took office in December</w:t>
      </w:r>
      <w:r w:rsidRPr="00E47061" w:rsidR="006E2ADE">
        <w:t> </w:t>
      </w:r>
      <w:r w:rsidRPr="00E47061">
        <w:t>2023 have “acknowledged the Court</w:t>
      </w:r>
      <w:r w:rsidRPr="00E47061" w:rsidR="00E47061">
        <w:t>’</w:t>
      </w:r>
      <w:r w:rsidRPr="00E47061">
        <w:t xml:space="preserve">s jurisprudence” concerning appointment of judges to the Supreme Court (see paragraph </w:t>
      </w:r>
      <w:r w:rsidRPr="00E47061">
        <w:fldChar w:fldCharType="begin"/>
      </w:r>
      <w:r w:rsidRPr="00E47061">
        <w:instrText xml:space="preserve"> REF declaration \h </w:instrText>
      </w:r>
      <w:r w:rsidRPr="00E47061">
        <w:fldChar w:fldCharType="separate"/>
      </w:r>
      <w:r w:rsidRPr="00E47061" w:rsidR="00E47061">
        <w:rPr>
          <w:noProof/>
        </w:rPr>
        <w:t>10</w:t>
      </w:r>
      <w:r w:rsidRPr="00E47061">
        <w:fldChar w:fldCharType="end"/>
      </w:r>
      <w:r w:rsidRPr="00E47061">
        <w:t xml:space="preserve"> above) and have expressed their intention to resolve the systemic problems at the root of the violations found by the Court. The Court will examine in detail the developments at the national level once it decides on the further procedure in the adjourned cases.</w:t>
      </w:r>
    </w:p>
    <w:p w:rsidRPr="00E47061" w:rsidR="00642627" w:rsidP="00E47061" w14:paraId="1A005DE6" w14:textId="19B31498">
      <w:pPr>
        <w:pStyle w:val="JuPara"/>
      </w:pPr>
      <w:r>
        <w:fldChar w:fldCharType="begin"/>
      </w:r>
      <w:r>
        <w:instrText xml:space="preserve"> SEQ level0 \*arabic \* MERGEFORMAT </w:instrText>
      </w:r>
      <w:r>
        <w:fldChar w:fldCharType="separate"/>
      </w:r>
      <w:r w:rsidRPr="00E47061" w:rsidR="00E47061">
        <w:rPr>
          <w:noProof/>
        </w:rPr>
        <w:t>24</w:t>
      </w:r>
      <w:r w:rsidRPr="00E47061" w:rsidR="00E47061">
        <w:rPr>
          <w:noProof/>
        </w:rPr>
        <w:fldChar w:fldCharType="end"/>
      </w:r>
      <w:r w:rsidRPr="00E47061">
        <w:t xml:space="preserve">.  In the pilot judgment the Court decided not to adjourn the communicated cases at hand and to continue their examination (see </w:t>
      </w:r>
      <w:r w:rsidRPr="00E47061">
        <w:rPr>
          <w:i/>
          <w:iCs/>
        </w:rPr>
        <w:t>Wałęsa</w:t>
      </w:r>
      <w:r w:rsidRPr="00E47061">
        <w:t>, cited above, §</w:t>
      </w:r>
      <w:r w:rsidRPr="00E47061" w:rsidR="006E2ADE">
        <w:t> </w:t>
      </w:r>
      <w:r w:rsidRPr="00E47061">
        <w:t>335). The Court notes that the Government</w:t>
      </w:r>
      <w:r w:rsidRPr="00E47061" w:rsidR="00E47061">
        <w:t>’</w:t>
      </w:r>
      <w:r w:rsidRPr="00E47061">
        <w:t xml:space="preserve">s declarations in the present cases contain, firstly, an unconditional acknowledgement of the </w:t>
      </w:r>
      <w:r w:rsidRPr="00E47061">
        <w:t>violation of Articles 6 § 1 of the Convention regarding the right to an independent and impartial “tribunal established by law.” Secondly, the Government undertake to pay the applicants the sum of 10,000</w:t>
      </w:r>
      <w:r w:rsidRPr="00E47061" w:rsidR="006E2ADE">
        <w:t> </w:t>
      </w:r>
      <w:r w:rsidRPr="00E47061">
        <w:t>euros (EUR) which is consistent with amounts awarded in similar cases.</w:t>
      </w:r>
    </w:p>
    <w:p w:rsidRPr="00E47061" w:rsidR="00642627" w:rsidP="00E47061" w14:paraId="1B1F0F75" w14:textId="0EFAB0FF">
      <w:pPr>
        <w:pStyle w:val="JuPara"/>
      </w:pPr>
      <w:r>
        <w:fldChar w:fldCharType="begin"/>
      </w:r>
      <w:r>
        <w:instrText xml:space="preserve"> SEQ level0 \*arabic \* MERGEFORMAT </w:instrText>
      </w:r>
      <w:r>
        <w:fldChar w:fldCharType="separate"/>
      </w:r>
      <w:r w:rsidRPr="00E47061" w:rsidR="00E47061">
        <w:rPr>
          <w:noProof/>
        </w:rPr>
        <w:t>25</w:t>
      </w:r>
      <w:r w:rsidRPr="00E47061" w:rsidR="00E47061">
        <w:rPr>
          <w:noProof/>
        </w:rPr>
        <w:fldChar w:fldCharType="end"/>
      </w:r>
      <w:r w:rsidRPr="00E47061">
        <w:t>.  The Court also notes that both applicants raised the argument that to strike out the case following the Government</w:t>
      </w:r>
      <w:r w:rsidRPr="00E47061" w:rsidR="00E47061">
        <w:t>’</w:t>
      </w:r>
      <w:r w:rsidRPr="00E47061">
        <w:t>s unilateral declarations would prevent them from reopening their cases at the domestic level.</w:t>
      </w:r>
    </w:p>
    <w:p w:rsidRPr="00E47061" w:rsidR="00642627" w:rsidP="00E47061" w14:paraId="11A0B93F" w14:textId="59B08E20">
      <w:pPr>
        <w:pStyle w:val="JuPara"/>
      </w:pPr>
      <w:r>
        <w:fldChar w:fldCharType="begin"/>
      </w:r>
      <w:r>
        <w:instrText xml:space="preserve"> SEQ level0 \*arabic \* MERGEFORMAT </w:instrText>
      </w:r>
      <w:r>
        <w:fldChar w:fldCharType="separate"/>
      </w:r>
      <w:r w:rsidRPr="00E47061" w:rsidR="00E47061">
        <w:rPr>
          <w:noProof/>
        </w:rPr>
        <w:t>26</w:t>
      </w:r>
      <w:r w:rsidRPr="00E47061" w:rsidR="00E47061">
        <w:rPr>
          <w:noProof/>
        </w:rPr>
        <w:fldChar w:fldCharType="end"/>
      </w:r>
      <w:r w:rsidRPr="00E47061">
        <w:t>.  In respect of the second applicant, who had his criminal conviction upheld by the Supreme Court on 21 January 2022, the Court notes that Article</w:t>
      </w:r>
      <w:r w:rsidRPr="00E47061" w:rsidR="006E2ADE">
        <w:t> </w:t>
      </w:r>
      <w:r w:rsidRPr="00E47061">
        <w:t>540</w:t>
      </w:r>
      <w:r w:rsidRPr="00E47061" w:rsidR="006E2ADE">
        <w:t xml:space="preserve"> </w:t>
      </w:r>
      <w:r w:rsidRPr="00E47061">
        <w:t>§ 3 of the Polish Code of Criminal Procedure allows for the reopening of domestic proceedings if “such a need results from a ruling</w:t>
      </w:r>
      <w:r w:rsidRPr="00E47061" w:rsidR="006E2ADE">
        <w:t xml:space="preserve"> </w:t>
      </w:r>
      <w:r w:rsidRPr="00E47061">
        <w:rPr>
          <w:i/>
          <w:iCs/>
        </w:rPr>
        <w:t>(</w:t>
      </w:r>
      <w:r w:rsidRPr="00E47061">
        <w:rPr>
          <w:i/>
          <w:iCs/>
        </w:rPr>
        <w:t>rozstrzygnięcie</w:t>
      </w:r>
      <w:r w:rsidRPr="00E47061">
        <w:rPr>
          <w:i/>
          <w:iCs/>
        </w:rPr>
        <w:t>)</w:t>
      </w:r>
      <w:r w:rsidRPr="00E47061" w:rsidR="006E2ADE">
        <w:rPr>
          <w:i/>
          <w:iCs/>
        </w:rPr>
        <w:t xml:space="preserve"> </w:t>
      </w:r>
      <w:r w:rsidRPr="00E47061">
        <w:t>of an international body acting on the basis of an international agreement ratified by the Republic of Poland”. This provision does not expressly limit the possibility of reopening domestic proceedings to “judgments”. Moreover, the Supreme Court, in its ruling of 16</w:t>
      </w:r>
      <w:r w:rsidRPr="00E47061" w:rsidR="006E2ADE">
        <w:t> </w:t>
      </w:r>
      <w:r w:rsidRPr="00E47061">
        <w:t>April 2021 in the case (V KA 1/20), expressly confirmed that the Court</w:t>
      </w:r>
      <w:r w:rsidRPr="00E47061" w:rsidR="00E47061">
        <w:t>’</w:t>
      </w:r>
      <w:r w:rsidRPr="00E47061">
        <w:t>s decision to strike a case out of its list may be considered a ruling of an international body if it results from a unilateral declaration containing the State</w:t>
      </w:r>
      <w:r w:rsidRPr="00E47061" w:rsidR="00E47061">
        <w:t>’</w:t>
      </w:r>
      <w:r w:rsidRPr="00E47061">
        <w:t>s acknowledgment that the applicant</w:t>
      </w:r>
      <w:r w:rsidRPr="00E47061" w:rsidR="00E47061">
        <w:t>’</w:t>
      </w:r>
      <w:r w:rsidRPr="00E47061">
        <w:t>s Convention rights were breached. The Court concludes that the applicant, if he so requests, may seek the reopening of domestic proceedings also on the basis of the Court</w:t>
      </w:r>
      <w:r w:rsidRPr="00E47061" w:rsidR="00E47061">
        <w:t>’</w:t>
      </w:r>
      <w:r w:rsidRPr="00E47061">
        <w:t>s decision to strike out the case following the Government</w:t>
      </w:r>
      <w:r w:rsidRPr="00E47061" w:rsidR="00E47061">
        <w:t>’</w:t>
      </w:r>
      <w:r w:rsidRPr="00E47061">
        <w:t xml:space="preserve">s unilateral declaration (see </w:t>
      </w:r>
      <w:r w:rsidRPr="00E47061">
        <w:rPr>
          <w:i/>
          <w:iCs/>
        </w:rPr>
        <w:t>Sroka</w:t>
      </w:r>
      <w:r w:rsidRPr="00E47061">
        <w:rPr>
          <w:i/>
          <w:iCs/>
        </w:rPr>
        <w:t xml:space="preserve"> v.</w:t>
      </w:r>
      <w:r w:rsidRPr="00E47061" w:rsidR="006E2ADE">
        <w:rPr>
          <w:i/>
          <w:iCs/>
        </w:rPr>
        <w:t> </w:t>
      </w:r>
      <w:r w:rsidRPr="00E47061">
        <w:rPr>
          <w:i/>
          <w:iCs/>
        </w:rPr>
        <w:t>Poland</w:t>
      </w:r>
      <w:r w:rsidRPr="00E47061" w:rsidR="006E2ADE">
        <w:rPr>
          <w:i/>
          <w:iCs/>
        </w:rPr>
        <w:t xml:space="preserve"> </w:t>
      </w:r>
      <w:r w:rsidRPr="00E47061">
        <w:t>(dec.), no. </w:t>
      </w:r>
      <w:hyperlink w:tgtFrame="_blank" w:history="1" w:anchor="{%22appno%22:[%2242801/07%22]}" r:id="rId5">
        <w:r w:rsidRPr="00E47061">
          <w:t>42801/07</w:t>
        </w:r>
      </w:hyperlink>
      <w:r w:rsidRPr="00E47061">
        <w:t>, 6</w:t>
      </w:r>
      <w:r w:rsidRPr="00E47061" w:rsidR="006E2ADE">
        <w:t> </w:t>
      </w:r>
      <w:r w:rsidRPr="00E47061">
        <w:t>March, 2012).</w:t>
      </w:r>
    </w:p>
    <w:p w:rsidRPr="00E47061" w:rsidR="00642627" w:rsidP="00E47061" w14:paraId="5DEF7323" w14:textId="47442157">
      <w:pPr>
        <w:pStyle w:val="JuPara"/>
      </w:pPr>
      <w:r>
        <w:fldChar w:fldCharType="begin"/>
      </w:r>
      <w:r>
        <w:instrText xml:space="preserve"> SEQ level0 \*arabic \* MERGEFORMAT </w:instrText>
      </w:r>
      <w:r>
        <w:fldChar w:fldCharType="separate"/>
      </w:r>
      <w:r w:rsidRPr="00E47061" w:rsidR="00E47061">
        <w:rPr>
          <w:noProof/>
        </w:rPr>
        <w:t>27</w:t>
      </w:r>
      <w:r w:rsidRPr="00E47061" w:rsidR="00E47061">
        <w:rPr>
          <w:noProof/>
        </w:rPr>
        <w:fldChar w:fldCharType="end"/>
      </w:r>
      <w:r w:rsidRPr="00E47061">
        <w:t>.  The first applicant had his civil case examined by the Civil Chamber of the Supreme Court on 5 November 2019. The Court notes that the Code of Civil Procedure does not contain a provision analogous to that contained in Article 540 §</w:t>
      </w:r>
      <w:r w:rsidRPr="00E47061" w:rsidR="006E2ADE">
        <w:t> </w:t>
      </w:r>
      <w:r w:rsidRPr="00E47061">
        <w:t>3 of the Code of Criminal Procedure indicated above, which would expressly govern the possibility to seek reopening of a civil case after the ruling of an international body. The Court reiterates that it is for the Contracting States to decide how best to implement the Court</w:t>
      </w:r>
      <w:r w:rsidRPr="00E47061" w:rsidR="00E47061">
        <w:t>’</w:t>
      </w:r>
      <w:r w:rsidRPr="00E47061">
        <w:t>s judgments without unduly upsetting the principles of</w:t>
      </w:r>
      <w:r w:rsidRPr="00E47061" w:rsidR="001E02ED">
        <w:t xml:space="preserve"> </w:t>
      </w:r>
      <w:r w:rsidRPr="00E47061">
        <w:rPr>
          <w:i/>
          <w:iCs/>
        </w:rPr>
        <w:t>res judicata</w:t>
      </w:r>
      <w:r w:rsidRPr="00E47061" w:rsidR="001E02ED">
        <w:t xml:space="preserve"> </w:t>
      </w:r>
      <w:r w:rsidRPr="00E47061">
        <w:t xml:space="preserve">or legal certainty in civil litigation, in particular where such litigation concerns third parties with their own legitimate interests to be protected (see </w:t>
      </w:r>
      <w:bookmarkStart w:name="_cl22339THELAW" w:id="2"/>
      <w:r w:rsidRPr="00E47061">
        <w:rPr>
          <w:i/>
          <w:iCs/>
        </w:rPr>
        <w:t>Bochan</w:t>
      </w:r>
      <w:r w:rsidRPr="00E47061">
        <w:rPr>
          <w:i/>
          <w:iCs/>
        </w:rPr>
        <w:t xml:space="preserve"> v.</w:t>
      </w:r>
      <w:r w:rsidRPr="00E47061" w:rsidR="006E2ADE">
        <w:rPr>
          <w:i/>
          <w:iCs/>
        </w:rPr>
        <w:t> </w:t>
      </w:r>
      <w:r w:rsidRPr="00E47061">
        <w:rPr>
          <w:i/>
          <w:iCs/>
        </w:rPr>
        <w:t>Ukraine (no.</w:t>
      </w:r>
      <w:r w:rsidRPr="00E47061" w:rsidR="006E2ADE">
        <w:rPr>
          <w:i/>
          <w:iCs/>
        </w:rPr>
        <w:t> </w:t>
      </w:r>
      <w:r w:rsidRPr="00E47061">
        <w:rPr>
          <w:i/>
          <w:iCs/>
        </w:rPr>
        <w:t>2)</w:t>
      </w:r>
      <w:bookmarkEnd w:id="2"/>
      <w:r w:rsidRPr="00E47061">
        <w:t xml:space="preserve"> [GC], no.</w:t>
      </w:r>
      <w:r w:rsidRPr="00E47061" w:rsidR="006E2ADE">
        <w:t> </w:t>
      </w:r>
      <w:r w:rsidRPr="00E47061">
        <w:t>22251/08, § 57, ECHR 2015). Furthermore, the Court considers that the applicant has failed to substantiate his allegation that if the Court were to give a decision rather than a judgment, he would be placed in a disadvantageous position as regards the possibility of seeking the reopening of his civil case.</w:t>
      </w:r>
    </w:p>
    <w:p w:rsidRPr="00E47061" w:rsidR="00642627" w:rsidP="00E47061" w14:paraId="4620E9F8" w14:textId="2A8B2D2A">
      <w:pPr>
        <w:pStyle w:val="JuPara"/>
      </w:pPr>
      <w:r>
        <w:fldChar w:fldCharType="begin"/>
      </w:r>
      <w:r>
        <w:instrText xml:space="preserve"> SEQ level0 \*arabic \* MERGEFORMAT </w:instrText>
      </w:r>
      <w:r>
        <w:fldChar w:fldCharType="separate"/>
      </w:r>
      <w:r w:rsidRPr="00E47061" w:rsidR="00E47061">
        <w:rPr>
          <w:noProof/>
        </w:rPr>
        <w:t>28</w:t>
      </w:r>
      <w:r w:rsidRPr="00E47061" w:rsidR="00E47061">
        <w:rPr>
          <w:noProof/>
        </w:rPr>
        <w:fldChar w:fldCharType="end"/>
      </w:r>
      <w:r w:rsidRPr="00E47061">
        <w:t>.  Regard being had to all the considerations above, the nature of the admissions contained in the Government</w:t>
      </w:r>
      <w:r w:rsidRPr="00E47061" w:rsidR="00E47061">
        <w:t>’</w:t>
      </w:r>
      <w:r w:rsidRPr="00E47061">
        <w:t>s declarations, as well as the amount of compensation proposed the Court considers that it is no longer justified to continue the examination of the applications (Article 37</w:t>
      </w:r>
      <w:r w:rsidRPr="00E47061" w:rsidR="006E2ADE">
        <w:t xml:space="preserve"> </w:t>
      </w:r>
      <w:r w:rsidRPr="00E47061">
        <w:t xml:space="preserve">§ 1 (c), see also </w:t>
      </w:r>
      <w:r w:rsidRPr="00E47061">
        <w:rPr>
          <w:i/>
          <w:iCs/>
        </w:rPr>
        <w:t>Haukur</w:t>
      </w:r>
      <w:r w:rsidRPr="00E47061">
        <w:rPr>
          <w:i/>
          <w:iCs/>
        </w:rPr>
        <w:t xml:space="preserve"> </w:t>
      </w:r>
      <w:r w:rsidRPr="00E47061">
        <w:rPr>
          <w:i/>
          <w:iCs/>
        </w:rPr>
        <w:t>Sigurbjörn</w:t>
      </w:r>
      <w:r w:rsidRPr="00E47061">
        <w:rPr>
          <w:i/>
          <w:iCs/>
        </w:rPr>
        <w:t xml:space="preserve"> </w:t>
      </w:r>
      <w:r w:rsidRPr="00E47061">
        <w:rPr>
          <w:i/>
          <w:iCs/>
        </w:rPr>
        <w:t>Magnússon</w:t>
      </w:r>
      <w:r w:rsidRPr="00E47061">
        <w:rPr>
          <w:i/>
          <w:iCs/>
        </w:rPr>
        <w:t xml:space="preserve"> v.</w:t>
      </w:r>
      <w:r w:rsidRPr="00E47061" w:rsidR="006E2ADE">
        <w:rPr>
          <w:i/>
          <w:iCs/>
        </w:rPr>
        <w:t> </w:t>
      </w:r>
      <w:r w:rsidRPr="00E47061">
        <w:rPr>
          <w:i/>
          <w:iCs/>
        </w:rPr>
        <w:t>Iceland</w:t>
      </w:r>
      <w:r w:rsidRPr="00E47061" w:rsidR="006E2ADE">
        <w:t xml:space="preserve"> </w:t>
      </w:r>
      <w:r w:rsidRPr="00E47061">
        <w:t>(dec.), no. 6696/19, § 13, 2 June 2022).</w:t>
      </w:r>
    </w:p>
    <w:p w:rsidRPr="00E47061" w:rsidR="00642627" w:rsidP="00E47061" w14:paraId="77BCAA47" w14:textId="6B207309">
      <w:pPr>
        <w:pStyle w:val="JuPara"/>
      </w:pPr>
      <w:r>
        <w:fldChar w:fldCharType="begin"/>
      </w:r>
      <w:r>
        <w:instrText xml:space="preserve"> SEQ level0 \*arabic \* MERGEFORMAT </w:instrText>
      </w:r>
      <w:r>
        <w:fldChar w:fldCharType="separate"/>
      </w:r>
      <w:r w:rsidRPr="00E47061" w:rsidR="00E47061">
        <w:rPr>
          <w:noProof/>
        </w:rPr>
        <w:t>29</w:t>
      </w:r>
      <w:r w:rsidRPr="00E47061" w:rsidR="00E47061">
        <w:rPr>
          <w:noProof/>
        </w:rPr>
        <w:fldChar w:fldCharType="end"/>
      </w:r>
      <w:r w:rsidRPr="00E47061">
        <w:t>.  Moreover, in the light of the above considerations, and in particular given the clear and extensive case-law on the topic, the Court is satisfied that respect for human rights as defined in the Convention and the Protocols thereto does not require it to continue the examination of the applications (Article</w:t>
      </w:r>
      <w:r w:rsidRPr="00E47061" w:rsidR="006E2ADE">
        <w:t> </w:t>
      </w:r>
      <w:r w:rsidRPr="00E47061">
        <w:t>37 §</w:t>
      </w:r>
      <w:r w:rsidRPr="00E47061" w:rsidR="006E2ADE">
        <w:t> </w:t>
      </w:r>
      <w:r w:rsidRPr="00E47061">
        <w:t xml:space="preserve">1 </w:t>
      </w:r>
      <w:r w:rsidRPr="00E47061">
        <w:rPr>
          <w:i/>
          <w:iCs/>
        </w:rPr>
        <w:t>in fine</w:t>
      </w:r>
      <w:r w:rsidRPr="00E47061">
        <w:t>).</w:t>
      </w:r>
    </w:p>
    <w:p w:rsidRPr="00E47061" w:rsidR="00642627" w:rsidP="00E47061" w14:paraId="1BDD682C" w14:textId="238A4E4F">
      <w:pPr>
        <w:pStyle w:val="JuPara"/>
      </w:pPr>
      <w:r>
        <w:fldChar w:fldCharType="begin"/>
      </w:r>
      <w:r>
        <w:instrText xml:space="preserve"> SEQ level0 \*arabic \* MERGEFORMAT </w:instrText>
      </w:r>
      <w:r>
        <w:fldChar w:fldCharType="separate"/>
      </w:r>
      <w:r w:rsidRPr="00E47061" w:rsidR="00E47061">
        <w:rPr>
          <w:noProof/>
        </w:rPr>
        <w:t>30</w:t>
      </w:r>
      <w:r w:rsidRPr="00E47061" w:rsidR="00E47061">
        <w:rPr>
          <w:noProof/>
        </w:rPr>
        <w:fldChar w:fldCharType="end"/>
      </w:r>
      <w:r w:rsidRPr="00E47061">
        <w:t>.  Finally, the Court emphasises that, should the Government fail to comply with the terms of their unilateral declarations, the application could be restored to the list in accordance with Article 37 §</w:t>
      </w:r>
      <w:r w:rsidRPr="00E47061" w:rsidR="006E2ADE">
        <w:t> </w:t>
      </w:r>
      <w:r w:rsidRPr="00E47061">
        <w:t>2 of the Convention (</w:t>
      </w:r>
      <w:r w:rsidRPr="00E47061">
        <w:rPr>
          <w:i/>
        </w:rPr>
        <w:t>Josipović</w:t>
      </w:r>
      <w:r w:rsidRPr="00E47061">
        <w:rPr>
          <w:i/>
        </w:rPr>
        <w:t xml:space="preserve"> v.</w:t>
      </w:r>
      <w:r w:rsidRPr="00E47061" w:rsidR="006E2ADE">
        <w:rPr>
          <w:i/>
        </w:rPr>
        <w:t> </w:t>
      </w:r>
      <w:r w:rsidRPr="00E47061">
        <w:rPr>
          <w:i/>
        </w:rPr>
        <w:t>Serbia</w:t>
      </w:r>
      <w:r w:rsidRPr="00E47061">
        <w:t xml:space="preserve"> (dec.), no. 18369/07, 4</w:t>
      </w:r>
      <w:r w:rsidRPr="00E47061" w:rsidR="00C46E94">
        <w:t xml:space="preserve"> </w:t>
      </w:r>
      <w:r w:rsidRPr="00E47061">
        <w:t>March 2008).</w:t>
      </w:r>
    </w:p>
    <w:p w:rsidRPr="00E47061" w:rsidR="00642627" w:rsidP="00E47061" w14:paraId="17F21590" w14:textId="77777777">
      <w:pPr>
        <w:pStyle w:val="JuPara"/>
        <w:rPr>
          <w:lang w:eastAsia="en-GB"/>
        </w:rPr>
      </w:pPr>
      <w:r w:rsidRPr="00E47061">
        <w:t xml:space="preserve">In </w:t>
      </w:r>
      <w:r w:rsidRPr="00E47061">
        <w:rPr>
          <w:lang w:eastAsia="en-GB"/>
        </w:rPr>
        <w:t>view of the above, it is appropriate to strike the case</w:t>
      </w:r>
      <w:r w:rsidRPr="00E47061">
        <w:t>s</w:t>
      </w:r>
      <w:r w:rsidRPr="00E47061">
        <w:rPr>
          <w:lang w:eastAsia="en-GB"/>
        </w:rPr>
        <w:t xml:space="preserve"> out of the list</w:t>
      </w:r>
      <w:r w:rsidRPr="00E47061">
        <w:t>.</w:t>
      </w:r>
    </w:p>
    <w:p w:rsidRPr="00E47061" w:rsidR="00642627" w:rsidP="00E47061" w14:paraId="3D31E3EB" w14:textId="00DC610C">
      <w:pPr>
        <w:pStyle w:val="JuParaLast"/>
        <w:rPr>
          <w:color w:val="000000"/>
        </w:rPr>
      </w:pPr>
      <w:r w:rsidRPr="00E47061">
        <w:t>For these reasons, the Court, unanimously,</w:t>
      </w:r>
    </w:p>
    <w:p w:rsidRPr="00E47061" w:rsidR="00642627" w:rsidP="00E47061" w14:paraId="3E018776" w14:textId="77777777">
      <w:pPr>
        <w:pStyle w:val="DecList"/>
      </w:pPr>
      <w:r w:rsidRPr="00E47061">
        <w:rPr>
          <w:i/>
        </w:rPr>
        <w:t>Decides</w:t>
      </w:r>
      <w:r w:rsidRPr="00E47061">
        <w:t xml:space="preserve"> to join the applications;</w:t>
      </w:r>
    </w:p>
    <w:p w:rsidRPr="00E47061" w:rsidR="00642627" w:rsidP="00E47061" w14:paraId="5BB69295" w14:textId="0338F44D">
      <w:pPr>
        <w:pStyle w:val="DecList"/>
      </w:pPr>
      <w:r w:rsidRPr="00E47061">
        <w:rPr>
          <w:i/>
        </w:rPr>
        <w:t>Takes note</w:t>
      </w:r>
      <w:r w:rsidRPr="00E47061">
        <w:t xml:space="preserve"> of the terms of the respondent Government</w:t>
      </w:r>
      <w:r w:rsidRPr="00E47061" w:rsidR="00E47061">
        <w:t>’</w:t>
      </w:r>
      <w:r w:rsidRPr="00E47061">
        <w:t>s declarations and of the modalities for ensuring compliance with the undertakings referred to therein;</w:t>
      </w:r>
    </w:p>
    <w:p w:rsidRPr="00E47061" w:rsidR="00642627" w:rsidP="00E47061" w14:paraId="06223A5F" w14:textId="77777777">
      <w:pPr>
        <w:pStyle w:val="DecList"/>
      </w:pPr>
      <w:r w:rsidRPr="00E47061">
        <w:rPr>
          <w:i/>
        </w:rPr>
        <w:t>Decides</w:t>
      </w:r>
      <w:r w:rsidRPr="00E47061">
        <w:t xml:space="preserve"> to strike the applications out of its list of cases in accordance with Article 37 § 1 (c) of the Convention.</w:t>
      </w:r>
    </w:p>
    <w:p w:rsidRPr="00E47061" w:rsidR="00BD1692" w:rsidP="00E47061" w14:paraId="2B0E8614" w14:textId="26053015">
      <w:pPr>
        <w:pStyle w:val="JuParaLast"/>
        <w:rPr>
          <w:sz w:val="14"/>
        </w:rPr>
      </w:pPr>
      <w:r w:rsidRPr="00E47061">
        <w:t xml:space="preserve">Done in English and notified in writing on </w:t>
      </w:r>
      <w:r w:rsidRPr="00E47061" w:rsidR="00642627">
        <w:t>7 November 2024</w:t>
      </w:r>
      <w:r w:rsidRPr="00E47061">
        <w:t>.</w:t>
      </w:r>
    </w:p>
    <w:p w:rsidRPr="00E47061" w:rsidR="00BD1692" w:rsidP="00E47061" w14:paraId="673A8A53" w14:textId="3F4EE21B">
      <w:pPr>
        <w:pStyle w:val="ECHRPlaceholder"/>
      </w:pPr>
      <w:r w:rsidRPr="00E47061">
        <w:tab/>
      </w:r>
    </w:p>
    <w:p w:rsidRPr="00E47061" w:rsidR="00AA4209" w:rsidP="00E47061" w14:paraId="4BD982EB" w14:textId="17192E24">
      <w:pPr>
        <w:pStyle w:val="JuSigned"/>
      </w:pPr>
      <w:r w:rsidRPr="00E47061">
        <w:tab/>
      </w:r>
      <w:r w:rsidRPr="00E47061" w:rsidR="00642627">
        <w:t>Ilse Freiwirth</w:t>
      </w:r>
      <w:r w:rsidRPr="00E47061" w:rsidR="001D1233">
        <w:tab/>
      </w:r>
      <w:r w:rsidRPr="00E47061" w:rsidR="00642627">
        <w:t xml:space="preserve">Ivana </w:t>
      </w:r>
      <w:r w:rsidRPr="00E47061" w:rsidR="00642627">
        <w:t>Jelić</w:t>
      </w:r>
      <w:r w:rsidRPr="00E47061" w:rsidR="001D1233">
        <w:br/>
      </w:r>
      <w:r w:rsidRPr="00E47061" w:rsidR="001D1233">
        <w:tab/>
      </w:r>
      <w:r w:rsidRPr="00E47061" w:rsidR="006E2ADE">
        <w:t>Section Registrar</w:t>
      </w:r>
      <w:r w:rsidRPr="00E47061" w:rsidR="006267D3">
        <w:tab/>
        <w:t>President</w:t>
      </w:r>
    </w:p>
    <w:p w:rsidRPr="00E47061" w:rsidR="001E02ED" w:rsidP="00E47061" w14:paraId="2DDC1160" w14:textId="77777777">
      <w:pPr>
        <w:pStyle w:val="JuPara"/>
      </w:pPr>
    </w:p>
    <w:p w:rsidRPr="00E47061" w:rsidR="001E02ED" w:rsidP="00E47061" w14:paraId="2759EE04" w14:textId="77777777">
      <w:pPr>
        <w:pStyle w:val="JuPara"/>
      </w:pPr>
    </w:p>
    <w:p w:rsidRPr="00E47061" w:rsidR="006E2ADE" w:rsidP="00E47061" w14:paraId="65FC01F1" w14:textId="2183B917">
      <w:r w:rsidRPr="00E47061">
        <w:br w:type="page"/>
      </w:r>
    </w:p>
    <w:p w:rsidRPr="00E47061" w:rsidR="00CB3BD9" w:rsidP="00E47061" w14:paraId="2256CD67" w14:textId="77777777"/>
    <w:p w:rsidRPr="00E47061" w:rsidR="00642627" w:rsidP="00E47061" w14:paraId="56E148A3" w14:textId="49D7045F">
      <w:pPr>
        <w:spacing w:after="280"/>
        <w:rPr>
          <w:rFonts w:ascii="Times New Roman" w:hAnsi="Times New Roman" w:eastAsia="Times New Roman" w:cs="Times New Roman"/>
          <w:sz w:val="20"/>
          <w:szCs w:val="20"/>
        </w:rPr>
      </w:pPr>
      <w:r w:rsidRPr="00E47061">
        <w:rPr>
          <w:rFonts w:ascii="Times New Roman" w:hAnsi="Times New Roman" w:eastAsia="Times New Roman" w:cs="Times New Roman"/>
        </w:rPr>
        <w:t>List of cases:</w:t>
      </w:r>
    </w:p>
    <w:p w:rsidRPr="00E47061" w:rsidR="00642627" w:rsidP="00E47061" w14:paraId="1BAC8084" w14:textId="77777777"/>
    <w:tbl>
      <w:tblPr>
        <w:tblStyle w:val="ECHRListTable"/>
        <w:tblW w:w="8113" w:type="dxa"/>
        <w:tblLook w:val="0420"/>
      </w:tblPr>
      <w:tblGrid>
        <w:gridCol w:w="570"/>
        <w:gridCol w:w="1428"/>
        <w:gridCol w:w="1133"/>
        <w:gridCol w:w="1310"/>
        <w:gridCol w:w="1809"/>
        <w:gridCol w:w="1863"/>
      </w:tblGrid>
      <w:tr w:rsidTr="004C12D7" w14:paraId="6B9EFEA3" w14:textId="77777777">
        <w:tblPrEx>
          <w:tblW w:w="8113" w:type="dxa"/>
          <w:tblLook w:val="0420"/>
        </w:tblPrEx>
        <w:tc>
          <w:tcPr>
            <w:tcW w:w="0" w:type="auto"/>
            <w:hideMark/>
          </w:tcPr>
          <w:p w:rsidRPr="00E47061" w:rsidR="00642627" w:rsidP="00E47061" w14:paraId="43CAFFA0" w14:textId="77777777">
            <w:pPr>
              <w:rPr>
                <w:rFonts w:eastAsia="Times New Roman"/>
              </w:rPr>
            </w:pPr>
            <w:bookmarkStart w:name="AppTableStart" w:id="3"/>
            <w:bookmarkEnd w:id="3"/>
            <w:r w:rsidRPr="00E47061">
              <w:rPr>
                <w:rFonts w:eastAsia="Times New Roman"/>
              </w:rPr>
              <w:t>No.</w:t>
            </w:r>
          </w:p>
        </w:tc>
        <w:tc>
          <w:tcPr>
            <w:tcW w:w="0" w:type="auto"/>
            <w:hideMark/>
          </w:tcPr>
          <w:p w:rsidRPr="00E47061" w:rsidR="00642627" w:rsidP="00E47061" w14:paraId="5DBD7564" w14:textId="77777777">
            <w:pPr>
              <w:rPr>
                <w:rFonts w:eastAsia="Times New Roman"/>
              </w:rPr>
            </w:pPr>
            <w:r w:rsidRPr="00E47061">
              <w:rPr>
                <w:rFonts w:eastAsia="Times New Roman"/>
              </w:rPr>
              <w:t>Application no.</w:t>
            </w:r>
          </w:p>
        </w:tc>
        <w:tc>
          <w:tcPr>
            <w:tcW w:w="1133" w:type="dxa"/>
            <w:hideMark/>
          </w:tcPr>
          <w:p w:rsidRPr="00E47061" w:rsidR="00642627" w:rsidP="00E47061" w14:paraId="484D561E" w14:textId="77777777">
            <w:pPr>
              <w:rPr>
                <w:rFonts w:eastAsia="Times New Roman"/>
              </w:rPr>
            </w:pPr>
            <w:r w:rsidRPr="00E47061">
              <w:rPr>
                <w:rFonts w:eastAsia="Times New Roman"/>
              </w:rPr>
              <w:t>Case name</w:t>
            </w:r>
          </w:p>
        </w:tc>
        <w:tc>
          <w:tcPr>
            <w:tcW w:w="0" w:type="auto"/>
            <w:hideMark/>
          </w:tcPr>
          <w:p w:rsidRPr="00E47061" w:rsidR="00642627" w:rsidP="00E47061" w14:paraId="59EDA01A" w14:textId="77777777">
            <w:pPr>
              <w:rPr>
                <w:rFonts w:eastAsia="Times New Roman"/>
              </w:rPr>
            </w:pPr>
            <w:r w:rsidRPr="00E47061">
              <w:rPr>
                <w:rFonts w:eastAsia="Times New Roman"/>
              </w:rPr>
              <w:t>Lodged on</w:t>
            </w:r>
          </w:p>
        </w:tc>
        <w:tc>
          <w:tcPr>
            <w:tcW w:w="1809" w:type="dxa"/>
            <w:hideMark/>
          </w:tcPr>
          <w:p w:rsidRPr="00E47061" w:rsidR="00642627" w:rsidP="00E47061" w14:paraId="0C23F22B" w14:textId="77777777">
            <w:pPr>
              <w:rPr>
                <w:rFonts w:eastAsia="Times New Roman"/>
              </w:rPr>
            </w:pPr>
            <w:r w:rsidRPr="00E47061">
              <w:rPr>
                <w:rFonts w:eastAsia="Times New Roman"/>
              </w:rPr>
              <w:t>Applicant</w:t>
            </w:r>
            <w:r w:rsidRPr="00E47061">
              <w:rPr>
                <w:rFonts w:eastAsia="Times New Roman"/>
              </w:rPr>
              <w:br/>
              <w:t>Year of Birth</w:t>
            </w:r>
            <w:r w:rsidRPr="00E47061">
              <w:rPr>
                <w:rFonts w:eastAsia="Times New Roman"/>
              </w:rPr>
              <w:br/>
              <w:t>Nationality</w:t>
            </w:r>
          </w:p>
        </w:tc>
        <w:tc>
          <w:tcPr>
            <w:tcW w:w="0" w:type="auto"/>
            <w:hideMark/>
          </w:tcPr>
          <w:p w:rsidRPr="00E47061" w:rsidR="00642627" w:rsidP="00E47061" w14:paraId="5A0E249A" w14:textId="77777777">
            <w:pPr>
              <w:rPr>
                <w:rFonts w:eastAsia="Times New Roman"/>
              </w:rPr>
            </w:pPr>
            <w:r w:rsidRPr="00E47061">
              <w:rPr>
                <w:rFonts w:eastAsia="Times New Roman"/>
              </w:rPr>
              <w:t>Represented by</w:t>
            </w:r>
          </w:p>
        </w:tc>
      </w:tr>
      <w:tr w:rsidTr="004C12D7" w14:paraId="0475FB21" w14:textId="77777777">
        <w:tblPrEx>
          <w:tblW w:w="8113" w:type="dxa"/>
          <w:tblLook w:val="0420"/>
        </w:tblPrEx>
        <w:tc>
          <w:tcPr>
            <w:tcW w:w="0" w:type="auto"/>
            <w:hideMark/>
          </w:tcPr>
          <w:p w:rsidRPr="00E47061" w:rsidR="00642627" w:rsidP="00E47061" w14:paraId="4D9B931F" w14:textId="77777777">
            <w:pPr>
              <w:rPr>
                <w:rFonts w:eastAsia="Times New Roman"/>
              </w:rPr>
            </w:pPr>
            <w:r w:rsidRPr="00E47061">
              <w:rPr>
                <w:rFonts w:eastAsia="Times New Roman"/>
              </w:rPr>
              <w:t>1.</w:t>
            </w:r>
          </w:p>
        </w:tc>
        <w:tc>
          <w:tcPr>
            <w:tcW w:w="0" w:type="auto"/>
            <w:hideMark/>
          </w:tcPr>
          <w:p w:rsidRPr="00E47061" w:rsidR="00642627" w:rsidP="00E47061" w14:paraId="6467F948" w14:textId="77777777">
            <w:pPr>
              <w:rPr>
                <w:rFonts w:eastAsia="Times New Roman"/>
              </w:rPr>
            </w:pPr>
            <w:r w:rsidRPr="00E47061">
              <w:rPr>
                <w:rFonts w:eastAsia="Times New Roman"/>
              </w:rPr>
              <w:t>41097/20</w:t>
            </w:r>
          </w:p>
        </w:tc>
        <w:tc>
          <w:tcPr>
            <w:tcW w:w="1133" w:type="dxa"/>
            <w:hideMark/>
          </w:tcPr>
          <w:p w:rsidRPr="00E47061" w:rsidR="00642627" w:rsidP="00E47061" w14:paraId="03D32404" w14:textId="77777777">
            <w:pPr>
              <w:rPr>
                <w:rFonts w:eastAsia="Times New Roman"/>
              </w:rPr>
            </w:pPr>
            <w:r w:rsidRPr="00E47061">
              <w:rPr>
                <w:rFonts w:eastAsia="Times New Roman"/>
              </w:rPr>
              <w:t>Dudek v. Poland</w:t>
            </w:r>
          </w:p>
        </w:tc>
        <w:tc>
          <w:tcPr>
            <w:tcW w:w="0" w:type="auto"/>
            <w:hideMark/>
          </w:tcPr>
          <w:p w:rsidRPr="00E47061" w:rsidR="00642627" w:rsidP="00E47061" w14:paraId="56194D4C" w14:textId="77777777">
            <w:pPr>
              <w:rPr>
                <w:rFonts w:eastAsia="Times New Roman"/>
              </w:rPr>
            </w:pPr>
            <w:r w:rsidRPr="00E47061">
              <w:rPr>
                <w:rFonts w:eastAsia="Times New Roman"/>
              </w:rPr>
              <w:t>01/09/2020</w:t>
            </w:r>
          </w:p>
        </w:tc>
        <w:tc>
          <w:tcPr>
            <w:tcW w:w="1809" w:type="dxa"/>
            <w:hideMark/>
          </w:tcPr>
          <w:p w:rsidRPr="00E47061" w:rsidR="00642627" w:rsidP="00E47061" w14:paraId="23B73E05" w14:textId="77777777">
            <w:pPr>
              <w:rPr>
                <w:rFonts w:eastAsia="Times New Roman"/>
              </w:rPr>
            </w:pPr>
            <w:r w:rsidRPr="00E47061">
              <w:rPr>
                <w:rFonts w:eastAsia="Times New Roman"/>
                <w:b/>
                <w:bCs/>
              </w:rPr>
              <w:t>Wiesław</w:t>
            </w:r>
            <w:r w:rsidRPr="00E47061">
              <w:rPr>
                <w:rFonts w:eastAsia="Times New Roman"/>
                <w:b/>
                <w:bCs/>
              </w:rPr>
              <w:t xml:space="preserve"> DUDEK</w:t>
            </w:r>
            <w:r w:rsidRPr="00E47061">
              <w:rPr>
                <w:rFonts w:eastAsia="Times New Roman"/>
              </w:rPr>
              <w:br/>
              <w:t>1971</w:t>
            </w:r>
            <w:r w:rsidRPr="00E47061">
              <w:rPr>
                <w:rFonts w:eastAsia="Times New Roman"/>
              </w:rPr>
              <w:br/>
              <w:t>Polish</w:t>
            </w:r>
          </w:p>
        </w:tc>
        <w:tc>
          <w:tcPr>
            <w:tcW w:w="0" w:type="auto"/>
            <w:hideMark/>
          </w:tcPr>
          <w:p w:rsidRPr="00E47061" w:rsidR="00642627" w:rsidP="00E47061" w14:paraId="47D2FE63" w14:textId="77777777">
            <w:pPr>
              <w:rPr>
                <w:rFonts w:eastAsia="Times New Roman"/>
              </w:rPr>
            </w:pPr>
            <w:r w:rsidRPr="00E47061">
              <w:rPr>
                <w:rFonts w:eastAsia="Times New Roman"/>
              </w:rPr>
              <w:t>Dorota KALINOWSKA</w:t>
            </w:r>
          </w:p>
        </w:tc>
      </w:tr>
      <w:tr w:rsidTr="004C12D7" w14:paraId="581D460D" w14:textId="77777777">
        <w:tblPrEx>
          <w:tblW w:w="8113" w:type="dxa"/>
          <w:tblLook w:val="0420"/>
        </w:tblPrEx>
        <w:tc>
          <w:tcPr>
            <w:tcW w:w="0" w:type="auto"/>
            <w:hideMark/>
          </w:tcPr>
          <w:p w:rsidRPr="00E47061" w:rsidR="00642627" w:rsidP="00E47061" w14:paraId="3D2FC853" w14:textId="77777777">
            <w:pPr>
              <w:rPr>
                <w:rFonts w:eastAsia="Times New Roman"/>
              </w:rPr>
            </w:pPr>
            <w:r w:rsidRPr="00E47061">
              <w:rPr>
                <w:rFonts w:eastAsia="Times New Roman"/>
              </w:rPr>
              <w:t>2.</w:t>
            </w:r>
          </w:p>
        </w:tc>
        <w:tc>
          <w:tcPr>
            <w:tcW w:w="0" w:type="auto"/>
            <w:hideMark/>
          </w:tcPr>
          <w:p w:rsidRPr="00E47061" w:rsidR="00642627" w:rsidP="00E47061" w14:paraId="6D24FFDA" w14:textId="77777777">
            <w:pPr>
              <w:rPr>
                <w:rFonts w:eastAsia="Times New Roman"/>
              </w:rPr>
            </w:pPr>
            <w:r w:rsidRPr="00E47061">
              <w:rPr>
                <w:rFonts w:eastAsia="Times New Roman"/>
              </w:rPr>
              <w:t>39577/22</w:t>
            </w:r>
          </w:p>
        </w:tc>
        <w:tc>
          <w:tcPr>
            <w:tcW w:w="1133" w:type="dxa"/>
            <w:hideMark/>
          </w:tcPr>
          <w:p w:rsidRPr="00E47061" w:rsidR="00642627" w:rsidP="00E47061" w14:paraId="3F783705" w14:textId="77777777">
            <w:pPr>
              <w:rPr>
                <w:rFonts w:eastAsia="Times New Roman"/>
              </w:rPr>
            </w:pPr>
            <w:r w:rsidRPr="00E47061">
              <w:rPr>
                <w:rFonts w:eastAsia="Times New Roman"/>
              </w:rPr>
              <w:t>Lazur v. Poland</w:t>
            </w:r>
          </w:p>
        </w:tc>
        <w:tc>
          <w:tcPr>
            <w:tcW w:w="0" w:type="auto"/>
            <w:hideMark/>
          </w:tcPr>
          <w:p w:rsidRPr="00E47061" w:rsidR="00642627" w:rsidP="00E47061" w14:paraId="01E39928" w14:textId="77777777">
            <w:pPr>
              <w:rPr>
                <w:rFonts w:eastAsia="Times New Roman"/>
              </w:rPr>
            </w:pPr>
            <w:r w:rsidRPr="00E47061">
              <w:rPr>
                <w:rFonts w:eastAsia="Times New Roman"/>
              </w:rPr>
              <w:t>28/07/2022</w:t>
            </w:r>
          </w:p>
        </w:tc>
        <w:tc>
          <w:tcPr>
            <w:tcW w:w="1809" w:type="dxa"/>
            <w:hideMark/>
          </w:tcPr>
          <w:p w:rsidRPr="00E47061" w:rsidR="00642627" w:rsidP="00E47061" w14:paraId="13773AF2" w14:textId="77777777">
            <w:pPr>
              <w:rPr>
                <w:rFonts w:eastAsia="Times New Roman"/>
              </w:rPr>
            </w:pPr>
            <w:r w:rsidRPr="00E47061">
              <w:rPr>
                <w:rFonts w:eastAsia="Times New Roman"/>
                <w:b/>
                <w:bCs/>
              </w:rPr>
              <w:t xml:space="preserve">Dariusz </w:t>
            </w:r>
            <w:r w:rsidRPr="00E47061">
              <w:rPr>
                <w:rFonts w:eastAsia="Times New Roman"/>
                <w:b/>
                <w:bCs/>
              </w:rPr>
              <w:t>Ryszard</w:t>
            </w:r>
            <w:r w:rsidRPr="00E47061">
              <w:rPr>
                <w:rFonts w:eastAsia="Times New Roman"/>
                <w:b/>
                <w:bCs/>
              </w:rPr>
              <w:t xml:space="preserve"> LAZUR</w:t>
            </w:r>
            <w:r w:rsidRPr="00E47061">
              <w:rPr>
                <w:rFonts w:eastAsia="Times New Roman"/>
              </w:rPr>
              <w:br/>
              <w:t>1978</w:t>
            </w:r>
            <w:r w:rsidRPr="00E47061">
              <w:rPr>
                <w:rFonts w:eastAsia="Times New Roman"/>
              </w:rPr>
              <w:br/>
              <w:t>Polish</w:t>
            </w:r>
          </w:p>
        </w:tc>
        <w:tc>
          <w:tcPr>
            <w:tcW w:w="0" w:type="auto"/>
            <w:hideMark/>
          </w:tcPr>
          <w:p w:rsidRPr="00E47061" w:rsidR="00642627" w:rsidP="00E47061" w14:paraId="601D1E38" w14:textId="77777777">
            <w:pPr>
              <w:rPr>
                <w:rFonts w:eastAsia="Times New Roman"/>
              </w:rPr>
            </w:pPr>
            <w:r w:rsidRPr="00E47061">
              <w:rPr>
                <w:rFonts w:eastAsia="Times New Roman"/>
              </w:rPr>
              <w:t>Mateusz CZEPUKOJĆ</w:t>
            </w:r>
          </w:p>
        </w:tc>
      </w:tr>
    </w:tbl>
    <w:p w:rsidRPr="00E47061" w:rsidR="00642627" w:rsidP="00E47061" w14:paraId="7615364A" w14:textId="77777777">
      <w:pPr>
        <w:pStyle w:val="JuSigned"/>
      </w:pPr>
    </w:p>
    <w:p w:rsidRPr="00E47061" w:rsidR="00CB3BD9" w:rsidP="00E47061" w14:paraId="7712B272" w14:textId="77777777">
      <w:pPr>
        <w:jc w:val="center"/>
      </w:pPr>
    </w:p>
    <w:sectPr w:rsidSect="0076040F">
      <w:headerReference w:type="even" r:id="rId6"/>
      <w:headerReference w:type="default" r:id="rId7"/>
      <w:footerReference w:type="even" r:id="rId8"/>
      <w:foot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A4209" w:rsidRPr="00642627" w:rsidP="000D61E7" w14:paraId="5ADF51BB" w14:textId="5E32A286">
    <w:pPr>
      <w:pStyle w:val="JuHeader"/>
    </w:pPr>
    <w:r>
      <w:fldChar w:fldCharType="begin"/>
    </w:r>
    <w:r>
      <w:instrText xml:space="preserve"> PAGE  \* MERGEFORMAT </w:instrText>
    </w:r>
    <w:r>
      <w:fldChar w:fldCharType="separate"/>
    </w:r>
    <w:r>
      <w:rPr>
        <w:noProof/>
      </w:rP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A4209" w:rsidRPr="00642627" w:rsidP="000D61E7" w14:paraId="32356E9C" w14:textId="3070C93C">
    <w:pPr>
      <w:pStyle w:val="JuHeader"/>
    </w:pPr>
    <w:r>
      <w:fldChar w:fldCharType="begin"/>
    </w:r>
    <w:r>
      <w:instrText xml:space="preserve"> PAGE  \* MERGEFORMAT </w:instrText>
    </w:r>
    <w:r>
      <w:fldChar w:fldCharType="separate"/>
    </w:r>
    <w:r>
      <w:rPr>
        <w:noProof/>
      </w:rPr>
      <w:t>11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627" w:rsidRPr="00150BFA" w:rsidP="0020718E" w14:paraId="22941860" w14:textId="30EE0921">
    <w:pPr>
      <w:jc w:val="center"/>
    </w:pPr>
    <w:r w:rsidRPr="00642627">
      <w:rPr>
        <w:noProof/>
      </w:rPr>
      <w:drawing>
        <wp:inline distT="0" distB="0" distL="0" distR="0">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AA4209" w:rsidRPr="00642627" w:rsidP="002E2C77" w14:paraId="7256FE1C" w14:textId="7F09AAE5">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A4209" w:rsidRPr="00642627" w:rsidP="0076040F" w14:paraId="3131DC59" w14:textId="1DC0F0E7">
    <w:pPr>
      <w:pStyle w:val="JuHeader"/>
    </w:pPr>
    <w:r>
      <w:t>DUDEK v. POLAND</w:t>
    </w:r>
    <w:r w:rsidRPr="00642627">
      <w:rPr>
        <w:noProof/>
      </w:rPr>
      <w:t xml:space="preserve"> AND LAZUR v. POLAND</w:t>
    </w:r>
    <w:r w:rsidRPr="00642627"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A4209" w:rsidRPr="00642627" w:rsidP="000D61E7" w14:paraId="68238E5B" w14:textId="6A35ECA0">
    <w:pPr>
      <w:pStyle w:val="JuHeader"/>
    </w:pPr>
    <w:r>
      <w:t>DUDEK v. POLAND</w:t>
    </w:r>
    <w:r w:rsidRPr="00642627">
      <w:rPr>
        <w:noProof/>
      </w:rPr>
      <w:t xml:space="preserve"> AND LAZUR v. POLAND</w:t>
    </w:r>
    <w:r w:rsidRPr="00642627"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2627" w:rsidRPr="00A45145" w:rsidP="00A45145" w14:paraId="04938677" w14:textId="760C6A8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AA4209" w:rsidRPr="00642627" w:rsidP="00EA1004" w14:paraId="0C1D28B7" w14:textId="649CFFC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627"/>
    <w:rsid w:val="00095FD8"/>
    <w:rsid w:val="000B1FA9"/>
    <w:rsid w:val="000D61E7"/>
    <w:rsid w:val="000E3A89"/>
    <w:rsid w:val="00132029"/>
    <w:rsid w:val="00144EBC"/>
    <w:rsid w:val="00150BFA"/>
    <w:rsid w:val="001D1233"/>
    <w:rsid w:val="001E02ED"/>
    <w:rsid w:val="0020718E"/>
    <w:rsid w:val="00223591"/>
    <w:rsid w:val="002A7443"/>
    <w:rsid w:val="002E2C77"/>
    <w:rsid w:val="003B50D7"/>
    <w:rsid w:val="003E3C60"/>
    <w:rsid w:val="0042417C"/>
    <w:rsid w:val="00452087"/>
    <w:rsid w:val="00464268"/>
    <w:rsid w:val="004A4C71"/>
    <w:rsid w:val="004B4E73"/>
    <w:rsid w:val="005E56C2"/>
    <w:rsid w:val="005F11CB"/>
    <w:rsid w:val="006262FA"/>
    <w:rsid w:val="006267D3"/>
    <w:rsid w:val="006300E9"/>
    <w:rsid w:val="00642627"/>
    <w:rsid w:val="00653EF4"/>
    <w:rsid w:val="00656B81"/>
    <w:rsid w:val="006D4D63"/>
    <w:rsid w:val="006E123B"/>
    <w:rsid w:val="006E2ADE"/>
    <w:rsid w:val="0076040F"/>
    <w:rsid w:val="007907C0"/>
    <w:rsid w:val="007A74FC"/>
    <w:rsid w:val="007B2364"/>
    <w:rsid w:val="00812D10"/>
    <w:rsid w:val="008D10E4"/>
    <w:rsid w:val="008F0A92"/>
    <w:rsid w:val="008F7189"/>
    <w:rsid w:val="00956B2A"/>
    <w:rsid w:val="0096293E"/>
    <w:rsid w:val="009656DE"/>
    <w:rsid w:val="009B6F49"/>
    <w:rsid w:val="009C21E8"/>
    <w:rsid w:val="009E01FB"/>
    <w:rsid w:val="00A45145"/>
    <w:rsid w:val="00AA4209"/>
    <w:rsid w:val="00AA5AEE"/>
    <w:rsid w:val="00AC58E5"/>
    <w:rsid w:val="00B140D3"/>
    <w:rsid w:val="00B86B65"/>
    <w:rsid w:val="00BD1692"/>
    <w:rsid w:val="00BD6533"/>
    <w:rsid w:val="00C42C12"/>
    <w:rsid w:val="00C46E94"/>
    <w:rsid w:val="00C8038F"/>
    <w:rsid w:val="00CB3BD9"/>
    <w:rsid w:val="00D415D6"/>
    <w:rsid w:val="00D81CE2"/>
    <w:rsid w:val="00DB6354"/>
    <w:rsid w:val="00E47061"/>
    <w:rsid w:val="00E5464B"/>
    <w:rsid w:val="00EA1004"/>
    <w:rsid w:val="00EE38CA"/>
    <w:rsid w:val="00F0534F"/>
    <w:rsid w:val="00F14518"/>
    <w:rsid w:val="00F16C42"/>
    <w:rsid w:val="00F24AB9"/>
    <w:rsid w:val="00FC2655"/>
  </w:rsids>
  <w:docVars>
    <w:docVar w:name="ApplicationsApp" w:val="2"/>
    <w:docVar w:name="EMM" w:val="0"/>
    <w:docVar w:name="NBEMMDOC" w:val="0"/>
    <w:docVar w:name="Plural" w:val="2"/>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E3E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C46E94"/>
    <w:rPr>
      <w:sz w:val="24"/>
      <w:szCs w:val="24"/>
      <w:lang w:val="en-GB"/>
    </w:rPr>
  </w:style>
  <w:style w:type="paragraph" w:styleId="Heading1">
    <w:name w:val="heading 1"/>
    <w:basedOn w:val="Normal"/>
    <w:next w:val="Normal"/>
    <w:link w:val="Heading1Char"/>
    <w:uiPriority w:val="98"/>
    <w:semiHidden/>
    <w:rsid w:val="00C46E9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46E9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46E9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46E9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46E9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46E9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46E9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46E9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46E9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C46E94"/>
    <w:pPr>
      <w:tabs>
        <w:tab w:val="center" w:pos="1418"/>
        <w:tab w:val="center" w:pos="5954"/>
      </w:tabs>
      <w:spacing w:before="720"/>
    </w:pPr>
  </w:style>
  <w:style w:type="paragraph" w:customStyle="1" w:styleId="JuPara">
    <w:name w:val="Ju_Para"/>
    <w:aliases w:val="_Para"/>
    <w:basedOn w:val="NormalJustified"/>
    <w:link w:val="JuParaChar"/>
    <w:uiPriority w:val="4"/>
    <w:qFormat/>
    <w:rsid w:val="00C46E94"/>
    <w:pPr>
      <w:ind w:firstLine="284"/>
    </w:pPr>
  </w:style>
  <w:style w:type="character" w:styleId="PageNumber">
    <w:name w:val="page number"/>
    <w:uiPriority w:val="98"/>
    <w:semiHidden/>
    <w:rsid w:val="00C46E94"/>
    <w:rPr>
      <w:sz w:val="18"/>
    </w:rPr>
  </w:style>
  <w:style w:type="character" w:styleId="CommentReference">
    <w:name w:val="annotation reference"/>
    <w:basedOn w:val="DefaultParagraphFont"/>
    <w:uiPriority w:val="98"/>
    <w:semiHidden/>
    <w:rsid w:val="00C46E94"/>
    <w:rPr>
      <w:sz w:val="16"/>
      <w:szCs w:val="16"/>
    </w:rPr>
  </w:style>
  <w:style w:type="paragraph" w:styleId="CommentText">
    <w:name w:val="annotation text"/>
    <w:basedOn w:val="Normal"/>
    <w:link w:val="CommentTextChar"/>
    <w:uiPriority w:val="98"/>
    <w:semiHidden/>
    <w:rsid w:val="00C46E94"/>
    <w:rPr>
      <w:sz w:val="20"/>
      <w:szCs w:val="20"/>
    </w:rPr>
  </w:style>
  <w:style w:type="character" w:customStyle="1" w:styleId="CommentTextChar">
    <w:name w:val="Comment Text Char"/>
    <w:basedOn w:val="DefaultParagraphFont"/>
    <w:link w:val="CommentText"/>
    <w:uiPriority w:val="98"/>
    <w:semiHidden/>
    <w:rsid w:val="00C46E94"/>
    <w:rPr>
      <w:sz w:val="20"/>
      <w:szCs w:val="20"/>
      <w:lang w:val="en-GB"/>
    </w:rPr>
  </w:style>
  <w:style w:type="paragraph" w:customStyle="1" w:styleId="DecHTitle">
    <w:name w:val="Dec_H_Title"/>
    <w:aliases w:val="_Title_1"/>
    <w:basedOn w:val="JuPara"/>
    <w:next w:val="JuPara"/>
    <w:uiPriority w:val="38"/>
    <w:qFormat/>
    <w:rsid w:val="00C46E94"/>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C46E9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46E94"/>
    <w:pPr>
      <w:keepNext/>
      <w:keepLines/>
      <w:spacing w:before="1320" w:after="280"/>
      <w:contextualSpacing/>
      <w:jc w:val="center"/>
    </w:pPr>
    <w:rPr>
      <w:b/>
    </w:rPr>
  </w:style>
  <w:style w:type="paragraph" w:customStyle="1" w:styleId="JuHeader">
    <w:name w:val="Ju_Header"/>
    <w:aliases w:val="_Header"/>
    <w:basedOn w:val="Header0"/>
    <w:uiPriority w:val="29"/>
    <w:qFormat/>
    <w:rsid w:val="00C46E94"/>
    <w:pPr>
      <w:tabs>
        <w:tab w:val="clear" w:pos="4536"/>
        <w:tab w:val="clear" w:pos="9072"/>
      </w:tabs>
      <w:jc w:val="center"/>
    </w:pPr>
    <w:rPr>
      <w:sz w:val="18"/>
    </w:rPr>
  </w:style>
  <w:style w:type="paragraph" w:styleId="Header0">
    <w:name w:val="header"/>
    <w:basedOn w:val="Normal"/>
    <w:link w:val="HeaderChar"/>
    <w:uiPriority w:val="98"/>
    <w:semiHidden/>
    <w:rsid w:val="00C46E94"/>
    <w:pPr>
      <w:tabs>
        <w:tab w:val="center" w:pos="4536"/>
        <w:tab w:val="right" w:pos="9072"/>
      </w:tabs>
    </w:pPr>
  </w:style>
  <w:style w:type="character" w:customStyle="1" w:styleId="HeaderChar">
    <w:name w:val="Header Char"/>
    <w:basedOn w:val="DefaultParagraphFont"/>
    <w:link w:val="Header0"/>
    <w:uiPriority w:val="98"/>
    <w:semiHidden/>
    <w:rsid w:val="00C46E94"/>
    <w:rPr>
      <w:sz w:val="24"/>
      <w:szCs w:val="24"/>
      <w:lang w:val="en-GB"/>
    </w:rPr>
  </w:style>
  <w:style w:type="paragraph" w:styleId="BalloonText">
    <w:name w:val="Balloon Text"/>
    <w:basedOn w:val="Normal"/>
    <w:link w:val="BalloonTextChar"/>
    <w:uiPriority w:val="98"/>
    <w:semiHidden/>
    <w:rsid w:val="00C46E94"/>
    <w:rPr>
      <w:rFonts w:ascii="Tahoma" w:hAnsi="Tahoma" w:cs="Tahoma"/>
      <w:sz w:val="16"/>
      <w:szCs w:val="16"/>
    </w:rPr>
  </w:style>
  <w:style w:type="character" w:customStyle="1" w:styleId="BalloonTextChar">
    <w:name w:val="Balloon Text Char"/>
    <w:basedOn w:val="DefaultParagraphFont"/>
    <w:link w:val="BalloonText"/>
    <w:uiPriority w:val="98"/>
    <w:semiHidden/>
    <w:rsid w:val="00C46E94"/>
    <w:rPr>
      <w:rFonts w:ascii="Tahoma" w:hAnsi="Tahoma" w:cs="Tahoma"/>
      <w:sz w:val="16"/>
      <w:szCs w:val="16"/>
      <w:lang w:val="en-GB"/>
    </w:rPr>
  </w:style>
  <w:style w:type="paragraph" w:customStyle="1" w:styleId="DummyStyle">
    <w:name w:val="Dummy_Style"/>
    <w:aliases w:val="_Dummy"/>
    <w:basedOn w:val="Normal"/>
    <w:semiHidden/>
    <w:qFormat/>
    <w:rsid w:val="00C46E94"/>
    <w:rPr>
      <w:color w:val="00B050"/>
      <w:sz w:val="22"/>
    </w:rPr>
  </w:style>
  <w:style w:type="paragraph" w:customStyle="1" w:styleId="NormalJustified">
    <w:name w:val="Normal_Justified"/>
    <w:basedOn w:val="Normal"/>
    <w:semiHidden/>
    <w:rsid w:val="00C46E94"/>
    <w:pPr>
      <w:jc w:val="both"/>
    </w:pPr>
  </w:style>
  <w:style w:type="paragraph" w:customStyle="1" w:styleId="JuQuot">
    <w:name w:val="Ju_Quot"/>
    <w:aliases w:val="_Quote"/>
    <w:basedOn w:val="NormalJustified"/>
    <w:uiPriority w:val="20"/>
    <w:qFormat/>
    <w:rsid w:val="00C46E94"/>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C46E94"/>
    <w:pPr>
      <w:keepNext/>
      <w:keepLines/>
      <w:tabs>
        <w:tab w:val="right" w:pos="7938"/>
      </w:tabs>
      <w:ind w:firstLine="0"/>
      <w:jc w:val="center"/>
    </w:pPr>
    <w:rPr>
      <w:i/>
    </w:rPr>
  </w:style>
  <w:style w:type="table" w:customStyle="1" w:styleId="ECHRDNTable">
    <w:name w:val="ECHR_DN_Table"/>
    <w:basedOn w:val="TableNormal"/>
    <w:uiPriority w:val="99"/>
    <w:rsid w:val="00C46E9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C46E94"/>
    <w:pPr>
      <w:numPr>
        <w:numId w:val="14"/>
      </w:numPr>
    </w:pPr>
  </w:style>
  <w:style w:type="numbering" w:customStyle="1" w:styleId="ECHRA1StyleList">
    <w:name w:val="ECHR_A1_Style_List"/>
    <w:basedOn w:val="NoList"/>
    <w:uiPriority w:val="99"/>
    <w:rsid w:val="00C46E94"/>
    <w:pPr>
      <w:numPr>
        <w:numId w:val="15"/>
      </w:numPr>
    </w:pPr>
  </w:style>
  <w:style w:type="paragraph" w:customStyle="1" w:styleId="JuHArticle">
    <w:name w:val="Ju_H_Article"/>
    <w:aliases w:val="_Title_Quote"/>
    <w:basedOn w:val="Normal"/>
    <w:next w:val="JuQuot"/>
    <w:uiPriority w:val="19"/>
    <w:qFormat/>
    <w:rsid w:val="00C46E94"/>
    <w:pPr>
      <w:keepNext/>
      <w:spacing w:before="100" w:beforeAutospacing="1" w:after="120"/>
      <w:contextualSpacing/>
      <w:jc w:val="center"/>
    </w:pPr>
    <w:rPr>
      <w:b/>
      <w:sz w:val="20"/>
    </w:rPr>
  </w:style>
  <w:style w:type="numbering" w:customStyle="1" w:styleId="ECHRA1StyleNumberedList">
    <w:name w:val="ECHR_A1_Style_Numbered_List"/>
    <w:basedOn w:val="NoList"/>
    <w:rsid w:val="00C46E94"/>
    <w:pPr>
      <w:numPr>
        <w:numId w:val="16"/>
      </w:numPr>
    </w:pPr>
  </w:style>
  <w:style w:type="table" w:customStyle="1" w:styleId="ECHRHeaderTable">
    <w:name w:val="ECHR_Header_Table"/>
    <w:basedOn w:val="TableNormal"/>
    <w:uiPriority w:val="99"/>
    <w:rsid w:val="00C46E9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C46E94"/>
    <w:pPr>
      <w:keepNext/>
      <w:keepLines/>
      <w:numPr>
        <w:numId w:val="1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C46E94"/>
    <w:pPr>
      <w:tabs>
        <w:tab w:val="center" w:pos="6407"/>
      </w:tabs>
      <w:spacing w:before="720"/>
      <w:jc w:val="right"/>
    </w:pPr>
  </w:style>
  <w:style w:type="table" w:customStyle="1" w:styleId="ECHRHeaderTableReduced">
    <w:name w:val="ECHR_Header_Table_Reduced"/>
    <w:basedOn w:val="TableNormal"/>
    <w:uiPriority w:val="99"/>
    <w:rsid w:val="00C46E9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C46E94"/>
    <w:rPr>
      <w:caps w:val="0"/>
      <w:smallCaps/>
    </w:rPr>
  </w:style>
  <w:style w:type="character" w:customStyle="1" w:styleId="JuITMark">
    <w:name w:val="Ju_ITMark"/>
    <w:aliases w:val="_ITMark"/>
    <w:basedOn w:val="DefaultParagraphFont"/>
    <w:uiPriority w:val="54"/>
    <w:qFormat/>
    <w:rsid w:val="00C46E94"/>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C46E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C46E9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46E94"/>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C46E94"/>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C46E94"/>
    <w:pPr>
      <w:keepNext/>
      <w:keepLines/>
      <w:numPr>
        <w:ilvl w:val="2"/>
        <w:numId w:val="1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C46E94"/>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C46E94"/>
    <w:pPr>
      <w:keepNext/>
      <w:keepLines/>
      <w:numPr>
        <w:ilvl w:val="3"/>
        <w:numId w:val="1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C46E94"/>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C46E94"/>
    <w:pPr>
      <w:keepNext/>
      <w:keepLines/>
      <w:numPr>
        <w:ilvl w:val="4"/>
        <w:numId w:val="1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C46E94"/>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C46E94"/>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C46E94"/>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C46E94"/>
    <w:pPr>
      <w:keepNext/>
      <w:keepLines/>
      <w:numPr>
        <w:ilvl w:val="6"/>
        <w:numId w:val="1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C46E94"/>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C46E94"/>
    <w:pPr>
      <w:keepNext/>
      <w:keepLines/>
      <w:numPr>
        <w:ilvl w:val="7"/>
        <w:numId w:val="19"/>
      </w:numPr>
      <w:spacing w:before="100" w:beforeAutospacing="1" w:after="120"/>
      <w:jc w:val="both"/>
    </w:pPr>
    <w:rPr>
      <w:i/>
    </w:rPr>
  </w:style>
  <w:style w:type="character" w:customStyle="1" w:styleId="Heading7Char">
    <w:name w:val="Heading 7 Char"/>
    <w:basedOn w:val="DefaultParagraphFont"/>
    <w:link w:val="Heading7"/>
    <w:uiPriority w:val="98"/>
    <w:semiHidden/>
    <w:rsid w:val="00C46E94"/>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C46E94"/>
    <w:pPr>
      <w:keepNext/>
      <w:keepLines/>
      <w:spacing w:before="240" w:after="240"/>
      <w:ind w:firstLine="284"/>
    </w:pPr>
  </w:style>
  <w:style w:type="table" w:customStyle="1" w:styleId="ECHRTableBoxHeader">
    <w:name w:val="ECHR_Table_Box_Header"/>
    <w:basedOn w:val="TableNormal"/>
    <w:rsid w:val="00C46E9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C46E94"/>
    <w:pPr>
      <w:tabs>
        <w:tab w:val="left" w:pos="567"/>
        <w:tab w:val="left" w:pos="1134"/>
      </w:tabs>
    </w:pPr>
  </w:style>
  <w:style w:type="paragraph" w:customStyle="1" w:styleId="JuList">
    <w:name w:val="Ju_List"/>
    <w:aliases w:val="_List_1"/>
    <w:basedOn w:val="NormalJustified"/>
    <w:uiPriority w:val="23"/>
    <w:qFormat/>
    <w:rsid w:val="00C46E94"/>
    <w:pPr>
      <w:numPr>
        <w:numId w:val="20"/>
      </w:numPr>
      <w:spacing w:before="280" w:after="60"/>
    </w:pPr>
  </w:style>
  <w:style w:type="paragraph" w:customStyle="1" w:styleId="JuLista">
    <w:name w:val="Ju_List_a"/>
    <w:aliases w:val="_List_2"/>
    <w:basedOn w:val="NormalJustified"/>
    <w:uiPriority w:val="23"/>
    <w:rsid w:val="00C46E94"/>
    <w:pPr>
      <w:numPr>
        <w:ilvl w:val="1"/>
        <w:numId w:val="20"/>
      </w:numPr>
    </w:pPr>
  </w:style>
  <w:style w:type="paragraph" w:customStyle="1" w:styleId="JuListi">
    <w:name w:val="Ju_List_i"/>
    <w:aliases w:val="_List_3"/>
    <w:basedOn w:val="NormalJustified"/>
    <w:uiPriority w:val="23"/>
    <w:rsid w:val="00C46E94"/>
    <w:pPr>
      <w:numPr>
        <w:ilvl w:val="2"/>
        <w:numId w:val="20"/>
      </w:numPr>
    </w:pPr>
  </w:style>
  <w:style w:type="table" w:customStyle="1" w:styleId="ECHRTableFax">
    <w:name w:val="ECHR_Table_Fax"/>
    <w:basedOn w:val="TableNormal"/>
    <w:uiPriority w:val="99"/>
    <w:rsid w:val="00C46E9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C46E9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C46E9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C46E9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46E94"/>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C46E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46E94"/>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C46E9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46E94"/>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C46E94"/>
    <w:rPr>
      <w:b/>
      <w:bCs/>
    </w:rPr>
  </w:style>
  <w:style w:type="character" w:styleId="Emphasis">
    <w:name w:val="Emphasis"/>
    <w:uiPriority w:val="98"/>
    <w:semiHidden/>
    <w:qFormat/>
    <w:rsid w:val="00C46E94"/>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C46E94"/>
  </w:style>
  <w:style w:type="character" w:customStyle="1" w:styleId="NoSpacingChar">
    <w:name w:val="No Spacing Char"/>
    <w:basedOn w:val="DefaultParagraphFont"/>
    <w:link w:val="NoSpacing"/>
    <w:uiPriority w:val="98"/>
    <w:semiHidden/>
    <w:rsid w:val="00C46E94"/>
    <w:rPr>
      <w:sz w:val="24"/>
      <w:szCs w:val="24"/>
      <w:lang w:val="en-GB"/>
    </w:rPr>
  </w:style>
  <w:style w:type="paragraph" w:styleId="ListParagraph">
    <w:name w:val="List Paragraph"/>
    <w:basedOn w:val="Normal"/>
    <w:uiPriority w:val="98"/>
    <w:semiHidden/>
    <w:qFormat/>
    <w:rsid w:val="00C46E94"/>
    <w:pPr>
      <w:ind w:left="720"/>
      <w:contextualSpacing/>
    </w:pPr>
  </w:style>
  <w:style w:type="paragraph" w:styleId="Quote0">
    <w:name w:val="Quote"/>
    <w:basedOn w:val="Normal"/>
    <w:next w:val="Normal"/>
    <w:link w:val="QuoteChar"/>
    <w:uiPriority w:val="98"/>
    <w:semiHidden/>
    <w:qFormat/>
    <w:rsid w:val="00C46E94"/>
    <w:pPr>
      <w:spacing w:before="200"/>
      <w:ind w:left="360" w:right="360"/>
    </w:pPr>
    <w:rPr>
      <w:i/>
      <w:iCs/>
      <w:lang w:bidi="en-US"/>
    </w:rPr>
  </w:style>
  <w:style w:type="character" w:customStyle="1" w:styleId="QuoteChar">
    <w:name w:val="Quote Char"/>
    <w:basedOn w:val="DefaultParagraphFont"/>
    <w:link w:val="Quote0"/>
    <w:uiPriority w:val="98"/>
    <w:semiHidden/>
    <w:rsid w:val="00C46E94"/>
    <w:rPr>
      <w:i/>
      <w:iCs/>
      <w:sz w:val="24"/>
      <w:szCs w:val="24"/>
      <w:lang w:val="en-GB" w:bidi="en-US"/>
    </w:rPr>
  </w:style>
  <w:style w:type="paragraph" w:styleId="IntenseQuote">
    <w:name w:val="Intense Quote"/>
    <w:basedOn w:val="Normal"/>
    <w:next w:val="Normal"/>
    <w:link w:val="IntenseQuoteChar"/>
    <w:uiPriority w:val="98"/>
    <w:semiHidden/>
    <w:qFormat/>
    <w:rsid w:val="00C46E9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46E94"/>
    <w:rPr>
      <w:b/>
      <w:bCs/>
      <w:i/>
      <w:iCs/>
      <w:sz w:val="24"/>
      <w:szCs w:val="24"/>
      <w:lang w:val="en-GB" w:bidi="en-US"/>
    </w:rPr>
  </w:style>
  <w:style w:type="character" w:styleId="SubtleEmphasis">
    <w:name w:val="Subtle Emphasis"/>
    <w:uiPriority w:val="98"/>
    <w:semiHidden/>
    <w:qFormat/>
    <w:rsid w:val="00C46E94"/>
    <w:rPr>
      <w:i/>
      <w:iCs/>
    </w:rPr>
  </w:style>
  <w:style w:type="character" w:styleId="IntenseEmphasis">
    <w:name w:val="Intense Emphasis"/>
    <w:uiPriority w:val="98"/>
    <w:semiHidden/>
    <w:qFormat/>
    <w:rsid w:val="00C46E94"/>
    <w:rPr>
      <w:b/>
      <w:bCs/>
    </w:rPr>
  </w:style>
  <w:style w:type="character" w:styleId="SubtleReference">
    <w:name w:val="Subtle Reference"/>
    <w:uiPriority w:val="98"/>
    <w:semiHidden/>
    <w:qFormat/>
    <w:rsid w:val="00C46E94"/>
    <w:rPr>
      <w:smallCaps/>
    </w:rPr>
  </w:style>
  <w:style w:type="character" w:styleId="IntenseReference">
    <w:name w:val="Intense Reference"/>
    <w:uiPriority w:val="98"/>
    <w:semiHidden/>
    <w:qFormat/>
    <w:rsid w:val="00C46E94"/>
    <w:rPr>
      <w:smallCaps/>
      <w:spacing w:val="5"/>
      <w:u w:val="single"/>
    </w:rPr>
  </w:style>
  <w:style w:type="character" w:styleId="BookTitle">
    <w:name w:val="Book Title"/>
    <w:uiPriority w:val="98"/>
    <w:semiHidden/>
    <w:qFormat/>
    <w:rsid w:val="00C46E94"/>
    <w:rPr>
      <w:i/>
      <w:iCs/>
      <w:smallCaps/>
      <w:spacing w:val="5"/>
    </w:rPr>
  </w:style>
  <w:style w:type="paragraph" w:styleId="TOCHeading">
    <w:name w:val="TOC Heading"/>
    <w:basedOn w:val="Normal"/>
    <w:next w:val="Normal"/>
    <w:uiPriority w:val="98"/>
    <w:semiHidden/>
    <w:qFormat/>
    <w:rsid w:val="00C46E94"/>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C46E94"/>
    <w:pPr>
      <w:numPr>
        <w:numId w:val="1"/>
      </w:numPr>
    </w:pPr>
  </w:style>
  <w:style w:type="numbering" w:styleId="1ai">
    <w:name w:val="Outline List 1"/>
    <w:basedOn w:val="NoList"/>
    <w:uiPriority w:val="99"/>
    <w:semiHidden/>
    <w:unhideWhenUsed/>
    <w:rsid w:val="00C46E94"/>
    <w:pPr>
      <w:numPr>
        <w:numId w:val="2"/>
      </w:numPr>
    </w:pPr>
  </w:style>
  <w:style w:type="numbering" w:styleId="ArticleSection">
    <w:name w:val="Outline List 3"/>
    <w:basedOn w:val="NoList"/>
    <w:uiPriority w:val="99"/>
    <w:semiHidden/>
    <w:unhideWhenUsed/>
    <w:rsid w:val="00C46E94"/>
    <w:pPr>
      <w:numPr>
        <w:numId w:val="3"/>
      </w:numPr>
    </w:pPr>
  </w:style>
  <w:style w:type="paragraph" w:styleId="Bibliography">
    <w:name w:val="Bibliography"/>
    <w:basedOn w:val="Normal"/>
    <w:next w:val="Normal"/>
    <w:uiPriority w:val="98"/>
    <w:semiHidden/>
    <w:rsid w:val="00C46E94"/>
  </w:style>
  <w:style w:type="paragraph" w:styleId="BlockText">
    <w:name w:val="Block Text"/>
    <w:basedOn w:val="Normal"/>
    <w:uiPriority w:val="98"/>
    <w:semiHidden/>
    <w:rsid w:val="00C46E9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C46E94"/>
    <w:pPr>
      <w:spacing w:after="120"/>
    </w:pPr>
  </w:style>
  <w:style w:type="character" w:customStyle="1" w:styleId="BodyTextChar">
    <w:name w:val="Body Text Char"/>
    <w:basedOn w:val="DefaultParagraphFont"/>
    <w:link w:val="BodyText"/>
    <w:uiPriority w:val="98"/>
    <w:semiHidden/>
    <w:rsid w:val="00C46E94"/>
    <w:rPr>
      <w:sz w:val="24"/>
      <w:szCs w:val="24"/>
      <w:lang w:val="en-GB"/>
    </w:rPr>
  </w:style>
  <w:style w:type="paragraph" w:styleId="BodyText2">
    <w:name w:val="Body Text 2"/>
    <w:basedOn w:val="Normal"/>
    <w:link w:val="BodyText2Char"/>
    <w:uiPriority w:val="98"/>
    <w:semiHidden/>
    <w:rsid w:val="00C46E94"/>
    <w:pPr>
      <w:spacing w:after="120" w:line="480" w:lineRule="auto"/>
    </w:pPr>
  </w:style>
  <w:style w:type="character" w:customStyle="1" w:styleId="BodyText2Char">
    <w:name w:val="Body Text 2 Char"/>
    <w:basedOn w:val="DefaultParagraphFont"/>
    <w:link w:val="BodyText2"/>
    <w:uiPriority w:val="98"/>
    <w:semiHidden/>
    <w:rsid w:val="00C46E94"/>
    <w:rPr>
      <w:sz w:val="24"/>
      <w:szCs w:val="24"/>
      <w:lang w:val="en-GB"/>
    </w:rPr>
  </w:style>
  <w:style w:type="paragraph" w:styleId="BodyText3">
    <w:name w:val="Body Text 3"/>
    <w:basedOn w:val="Normal"/>
    <w:link w:val="BodyText3Char"/>
    <w:uiPriority w:val="98"/>
    <w:semiHidden/>
    <w:rsid w:val="00C46E94"/>
    <w:pPr>
      <w:spacing w:after="120"/>
    </w:pPr>
    <w:rPr>
      <w:sz w:val="16"/>
      <w:szCs w:val="16"/>
    </w:rPr>
  </w:style>
  <w:style w:type="character" w:customStyle="1" w:styleId="BodyText3Char">
    <w:name w:val="Body Text 3 Char"/>
    <w:basedOn w:val="DefaultParagraphFont"/>
    <w:link w:val="BodyText3"/>
    <w:uiPriority w:val="98"/>
    <w:semiHidden/>
    <w:rsid w:val="00C46E94"/>
    <w:rPr>
      <w:sz w:val="16"/>
      <w:szCs w:val="16"/>
      <w:lang w:val="en-GB"/>
    </w:rPr>
  </w:style>
  <w:style w:type="paragraph" w:styleId="BodyTextFirstIndent">
    <w:name w:val="Body Text First Indent"/>
    <w:basedOn w:val="BodyText"/>
    <w:link w:val="BodyTextFirstIndentChar"/>
    <w:uiPriority w:val="98"/>
    <w:semiHidden/>
    <w:rsid w:val="00C46E94"/>
    <w:pPr>
      <w:spacing w:after="0"/>
      <w:ind w:firstLine="360"/>
    </w:pPr>
  </w:style>
  <w:style w:type="character" w:customStyle="1" w:styleId="BodyTextFirstIndentChar">
    <w:name w:val="Body Text First Indent Char"/>
    <w:basedOn w:val="BodyTextChar"/>
    <w:link w:val="BodyTextFirstIndent"/>
    <w:uiPriority w:val="98"/>
    <w:semiHidden/>
    <w:rsid w:val="00C46E94"/>
    <w:rPr>
      <w:sz w:val="24"/>
      <w:szCs w:val="24"/>
      <w:lang w:val="en-GB"/>
    </w:rPr>
  </w:style>
  <w:style w:type="paragraph" w:styleId="BodyTextIndent">
    <w:name w:val="Body Text Indent"/>
    <w:basedOn w:val="Normal"/>
    <w:link w:val="BodyTextIndentChar"/>
    <w:uiPriority w:val="98"/>
    <w:semiHidden/>
    <w:rsid w:val="00C46E94"/>
    <w:pPr>
      <w:spacing w:after="120"/>
      <w:ind w:left="283"/>
    </w:pPr>
  </w:style>
  <w:style w:type="character" w:customStyle="1" w:styleId="BodyTextIndentChar">
    <w:name w:val="Body Text Indent Char"/>
    <w:basedOn w:val="DefaultParagraphFont"/>
    <w:link w:val="BodyTextIndent"/>
    <w:uiPriority w:val="98"/>
    <w:semiHidden/>
    <w:rsid w:val="00C46E94"/>
    <w:rPr>
      <w:sz w:val="24"/>
      <w:szCs w:val="24"/>
      <w:lang w:val="en-GB"/>
    </w:rPr>
  </w:style>
  <w:style w:type="paragraph" w:styleId="BodyTextFirstIndent2">
    <w:name w:val="Body Text First Indent 2"/>
    <w:basedOn w:val="BodyTextIndent"/>
    <w:link w:val="BodyTextFirstIndent2Char"/>
    <w:uiPriority w:val="98"/>
    <w:semiHidden/>
    <w:rsid w:val="00C46E94"/>
    <w:pPr>
      <w:spacing w:after="0"/>
      <w:ind w:left="360" w:firstLine="360"/>
    </w:pPr>
  </w:style>
  <w:style w:type="character" w:customStyle="1" w:styleId="BodyTextFirstIndent2Char">
    <w:name w:val="Body Text First Indent 2 Char"/>
    <w:basedOn w:val="BodyTextIndentChar"/>
    <w:link w:val="BodyTextFirstIndent2"/>
    <w:uiPriority w:val="98"/>
    <w:semiHidden/>
    <w:rsid w:val="00C46E94"/>
    <w:rPr>
      <w:sz w:val="24"/>
      <w:szCs w:val="24"/>
      <w:lang w:val="en-GB"/>
    </w:rPr>
  </w:style>
  <w:style w:type="paragraph" w:styleId="BodyTextIndent2">
    <w:name w:val="Body Text Indent 2"/>
    <w:basedOn w:val="Normal"/>
    <w:link w:val="BodyTextIndent2Char"/>
    <w:uiPriority w:val="98"/>
    <w:semiHidden/>
    <w:rsid w:val="00C46E94"/>
    <w:pPr>
      <w:spacing w:after="120" w:line="480" w:lineRule="auto"/>
      <w:ind w:left="283"/>
    </w:pPr>
  </w:style>
  <w:style w:type="character" w:customStyle="1" w:styleId="BodyTextIndent2Char">
    <w:name w:val="Body Text Indent 2 Char"/>
    <w:basedOn w:val="DefaultParagraphFont"/>
    <w:link w:val="BodyTextIndent2"/>
    <w:uiPriority w:val="98"/>
    <w:semiHidden/>
    <w:rsid w:val="00C46E94"/>
    <w:rPr>
      <w:sz w:val="24"/>
      <w:szCs w:val="24"/>
      <w:lang w:val="en-GB"/>
    </w:rPr>
  </w:style>
  <w:style w:type="paragraph" w:styleId="BodyTextIndent3">
    <w:name w:val="Body Text Indent 3"/>
    <w:basedOn w:val="Normal"/>
    <w:link w:val="BodyTextIndent3Char"/>
    <w:uiPriority w:val="98"/>
    <w:semiHidden/>
    <w:rsid w:val="00C46E9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46E94"/>
    <w:rPr>
      <w:sz w:val="16"/>
      <w:szCs w:val="16"/>
      <w:lang w:val="en-GB"/>
    </w:rPr>
  </w:style>
  <w:style w:type="paragraph" w:styleId="Caption">
    <w:name w:val="caption"/>
    <w:basedOn w:val="Normal"/>
    <w:next w:val="Normal"/>
    <w:uiPriority w:val="98"/>
    <w:semiHidden/>
    <w:qFormat/>
    <w:rsid w:val="00C46E94"/>
    <w:pPr>
      <w:spacing w:after="200"/>
    </w:pPr>
    <w:rPr>
      <w:b/>
      <w:bCs/>
      <w:color w:val="0072BC" w:themeColor="accent1"/>
      <w:sz w:val="18"/>
      <w:szCs w:val="18"/>
    </w:rPr>
  </w:style>
  <w:style w:type="paragraph" w:styleId="Closing">
    <w:name w:val="Closing"/>
    <w:basedOn w:val="Normal"/>
    <w:link w:val="ClosingChar"/>
    <w:uiPriority w:val="98"/>
    <w:semiHidden/>
    <w:rsid w:val="00C46E94"/>
    <w:pPr>
      <w:ind w:left="4252"/>
    </w:pPr>
  </w:style>
  <w:style w:type="character" w:customStyle="1" w:styleId="ClosingChar">
    <w:name w:val="Closing Char"/>
    <w:basedOn w:val="DefaultParagraphFont"/>
    <w:link w:val="Closing"/>
    <w:uiPriority w:val="98"/>
    <w:semiHidden/>
    <w:rsid w:val="00C46E94"/>
    <w:rPr>
      <w:sz w:val="24"/>
      <w:szCs w:val="24"/>
      <w:lang w:val="en-GB"/>
    </w:rPr>
  </w:style>
  <w:style w:type="table" w:styleId="ColorfulGrid">
    <w:name w:val="Colorful Grid"/>
    <w:basedOn w:val="TableNormal"/>
    <w:uiPriority w:val="73"/>
    <w:semiHidden/>
    <w:rsid w:val="00C46E9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46E9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46E9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46E9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C46E9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46E9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46E9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46E9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46E9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46E9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46E9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C46E9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46E9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46E9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46E9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46E9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46E9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46E9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C46E9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46E9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46E9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C46E94"/>
    <w:rPr>
      <w:b/>
      <w:bCs/>
    </w:rPr>
  </w:style>
  <w:style w:type="character" w:customStyle="1" w:styleId="CommentSubjectChar">
    <w:name w:val="Comment Subject Char"/>
    <w:basedOn w:val="CommentTextChar"/>
    <w:link w:val="CommentSubject"/>
    <w:uiPriority w:val="98"/>
    <w:semiHidden/>
    <w:rsid w:val="00C46E94"/>
    <w:rPr>
      <w:b/>
      <w:bCs/>
      <w:sz w:val="20"/>
      <w:szCs w:val="20"/>
      <w:lang w:val="en-GB"/>
    </w:rPr>
  </w:style>
  <w:style w:type="table" w:styleId="DarkList">
    <w:name w:val="Dark List"/>
    <w:basedOn w:val="TableNormal"/>
    <w:uiPriority w:val="70"/>
    <w:semiHidden/>
    <w:rsid w:val="00C46E9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46E9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46E9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46E9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C46E9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46E9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46E9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46E94"/>
  </w:style>
  <w:style w:type="character" w:customStyle="1" w:styleId="DateChar">
    <w:name w:val="Date Char"/>
    <w:basedOn w:val="DefaultParagraphFont"/>
    <w:link w:val="Date"/>
    <w:uiPriority w:val="98"/>
    <w:semiHidden/>
    <w:rsid w:val="00C46E94"/>
    <w:rPr>
      <w:sz w:val="24"/>
      <w:szCs w:val="24"/>
      <w:lang w:val="en-GB"/>
    </w:rPr>
  </w:style>
  <w:style w:type="paragraph" w:styleId="DocumentMap">
    <w:name w:val="Document Map"/>
    <w:basedOn w:val="Normal"/>
    <w:link w:val="DocumentMapChar"/>
    <w:uiPriority w:val="98"/>
    <w:semiHidden/>
    <w:rsid w:val="00C46E94"/>
    <w:rPr>
      <w:rFonts w:ascii="Tahoma" w:hAnsi="Tahoma" w:cs="Tahoma"/>
      <w:sz w:val="16"/>
      <w:szCs w:val="16"/>
    </w:rPr>
  </w:style>
  <w:style w:type="character" w:customStyle="1" w:styleId="DocumentMapChar">
    <w:name w:val="Document Map Char"/>
    <w:basedOn w:val="DefaultParagraphFont"/>
    <w:link w:val="DocumentMap"/>
    <w:uiPriority w:val="98"/>
    <w:semiHidden/>
    <w:rsid w:val="00C46E94"/>
    <w:rPr>
      <w:rFonts w:ascii="Tahoma" w:hAnsi="Tahoma" w:cs="Tahoma"/>
      <w:sz w:val="16"/>
      <w:szCs w:val="16"/>
      <w:lang w:val="en-GB"/>
    </w:rPr>
  </w:style>
  <w:style w:type="paragraph" w:styleId="E-mailSignature">
    <w:name w:val="E-mail Signature"/>
    <w:basedOn w:val="Normal"/>
    <w:link w:val="E-mailSignatureChar"/>
    <w:uiPriority w:val="98"/>
    <w:semiHidden/>
    <w:rsid w:val="00C46E94"/>
  </w:style>
  <w:style w:type="character" w:customStyle="1" w:styleId="E-mailSignatureChar">
    <w:name w:val="E-mail Signature Char"/>
    <w:basedOn w:val="DefaultParagraphFont"/>
    <w:link w:val="E-mailSignature"/>
    <w:uiPriority w:val="98"/>
    <w:semiHidden/>
    <w:rsid w:val="00C46E94"/>
    <w:rPr>
      <w:sz w:val="24"/>
      <w:szCs w:val="24"/>
      <w:lang w:val="en-GB"/>
    </w:rPr>
  </w:style>
  <w:style w:type="character" w:styleId="EndnoteReference">
    <w:name w:val="endnote reference"/>
    <w:basedOn w:val="DefaultParagraphFont"/>
    <w:uiPriority w:val="98"/>
    <w:semiHidden/>
    <w:rsid w:val="00C46E94"/>
    <w:rPr>
      <w:vertAlign w:val="superscript"/>
    </w:rPr>
  </w:style>
  <w:style w:type="paragraph" w:styleId="EndnoteText">
    <w:name w:val="endnote text"/>
    <w:basedOn w:val="Normal"/>
    <w:link w:val="EndnoteTextChar"/>
    <w:uiPriority w:val="98"/>
    <w:semiHidden/>
    <w:rsid w:val="00C46E94"/>
    <w:rPr>
      <w:sz w:val="20"/>
      <w:szCs w:val="20"/>
    </w:rPr>
  </w:style>
  <w:style w:type="character" w:customStyle="1" w:styleId="EndnoteTextChar">
    <w:name w:val="Endnote Text Char"/>
    <w:basedOn w:val="DefaultParagraphFont"/>
    <w:link w:val="EndnoteText"/>
    <w:uiPriority w:val="98"/>
    <w:semiHidden/>
    <w:rsid w:val="00C46E94"/>
    <w:rPr>
      <w:sz w:val="20"/>
      <w:szCs w:val="20"/>
      <w:lang w:val="en-GB"/>
    </w:rPr>
  </w:style>
  <w:style w:type="paragraph" w:styleId="EnvelopeAddress">
    <w:name w:val="envelope address"/>
    <w:basedOn w:val="Normal"/>
    <w:uiPriority w:val="98"/>
    <w:semiHidden/>
    <w:rsid w:val="00C46E9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46E9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46E94"/>
    <w:rPr>
      <w:color w:val="7030A0" w:themeColor="followedHyperlink"/>
      <w:u w:val="single"/>
    </w:rPr>
  </w:style>
  <w:style w:type="character" w:styleId="FootnoteReference">
    <w:name w:val="footnote reference"/>
    <w:basedOn w:val="DefaultParagraphFont"/>
    <w:uiPriority w:val="98"/>
    <w:semiHidden/>
    <w:rsid w:val="00C46E94"/>
    <w:rPr>
      <w:vertAlign w:val="superscript"/>
    </w:rPr>
  </w:style>
  <w:style w:type="paragraph" w:styleId="FootnoteText">
    <w:name w:val="footnote text"/>
    <w:basedOn w:val="NormalJustified"/>
    <w:link w:val="FootnoteTextChar"/>
    <w:uiPriority w:val="98"/>
    <w:semiHidden/>
    <w:rsid w:val="00C46E94"/>
    <w:rPr>
      <w:sz w:val="20"/>
      <w:szCs w:val="20"/>
    </w:rPr>
  </w:style>
  <w:style w:type="character" w:customStyle="1" w:styleId="FootnoteTextChar">
    <w:name w:val="Footnote Text Char"/>
    <w:basedOn w:val="DefaultParagraphFont"/>
    <w:link w:val="FootnoteText"/>
    <w:uiPriority w:val="98"/>
    <w:semiHidden/>
    <w:rsid w:val="00C46E94"/>
    <w:rPr>
      <w:sz w:val="20"/>
      <w:szCs w:val="20"/>
      <w:lang w:val="en-GB"/>
    </w:rPr>
  </w:style>
  <w:style w:type="character" w:styleId="HTMLAcronym">
    <w:name w:val="HTML Acronym"/>
    <w:basedOn w:val="DefaultParagraphFont"/>
    <w:uiPriority w:val="98"/>
    <w:semiHidden/>
    <w:rsid w:val="00C46E94"/>
  </w:style>
  <w:style w:type="paragraph" w:styleId="HTMLAddress">
    <w:name w:val="HTML Address"/>
    <w:basedOn w:val="Normal"/>
    <w:link w:val="HTMLAddressChar"/>
    <w:uiPriority w:val="98"/>
    <w:semiHidden/>
    <w:rsid w:val="00C46E94"/>
    <w:rPr>
      <w:i/>
      <w:iCs/>
    </w:rPr>
  </w:style>
  <w:style w:type="character" w:customStyle="1" w:styleId="HTMLAddressChar">
    <w:name w:val="HTML Address Char"/>
    <w:basedOn w:val="DefaultParagraphFont"/>
    <w:link w:val="HTMLAddress"/>
    <w:uiPriority w:val="98"/>
    <w:semiHidden/>
    <w:rsid w:val="00C46E94"/>
    <w:rPr>
      <w:i/>
      <w:iCs/>
      <w:sz w:val="24"/>
      <w:szCs w:val="24"/>
      <w:lang w:val="en-GB"/>
    </w:rPr>
  </w:style>
  <w:style w:type="character" w:styleId="HTMLCite">
    <w:name w:val="HTML Cite"/>
    <w:basedOn w:val="DefaultParagraphFont"/>
    <w:uiPriority w:val="98"/>
    <w:semiHidden/>
    <w:rsid w:val="00C46E94"/>
    <w:rPr>
      <w:i/>
      <w:iCs/>
    </w:rPr>
  </w:style>
  <w:style w:type="character" w:styleId="HTMLCode">
    <w:name w:val="HTML Code"/>
    <w:basedOn w:val="DefaultParagraphFont"/>
    <w:uiPriority w:val="98"/>
    <w:semiHidden/>
    <w:rsid w:val="00C46E94"/>
    <w:rPr>
      <w:rFonts w:ascii="Consolas" w:hAnsi="Consolas" w:cs="Consolas"/>
      <w:sz w:val="20"/>
      <w:szCs w:val="20"/>
    </w:rPr>
  </w:style>
  <w:style w:type="character" w:styleId="HTMLDefinition">
    <w:name w:val="HTML Definition"/>
    <w:basedOn w:val="DefaultParagraphFont"/>
    <w:uiPriority w:val="98"/>
    <w:semiHidden/>
    <w:rsid w:val="00C46E94"/>
    <w:rPr>
      <w:i/>
      <w:iCs/>
    </w:rPr>
  </w:style>
  <w:style w:type="character" w:styleId="HTMLKeyboard">
    <w:name w:val="HTML Keyboard"/>
    <w:basedOn w:val="DefaultParagraphFont"/>
    <w:uiPriority w:val="98"/>
    <w:semiHidden/>
    <w:rsid w:val="00C46E94"/>
    <w:rPr>
      <w:rFonts w:ascii="Consolas" w:hAnsi="Consolas" w:cs="Consolas"/>
      <w:sz w:val="20"/>
      <w:szCs w:val="20"/>
    </w:rPr>
  </w:style>
  <w:style w:type="paragraph" w:styleId="HTMLPreformatted">
    <w:name w:val="HTML Preformatted"/>
    <w:basedOn w:val="Normal"/>
    <w:link w:val="HTMLPreformattedChar"/>
    <w:uiPriority w:val="98"/>
    <w:semiHidden/>
    <w:rsid w:val="00C46E9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46E94"/>
    <w:rPr>
      <w:rFonts w:ascii="Consolas" w:hAnsi="Consolas" w:cs="Consolas"/>
      <w:sz w:val="20"/>
      <w:szCs w:val="20"/>
      <w:lang w:val="en-GB"/>
    </w:rPr>
  </w:style>
  <w:style w:type="character" w:styleId="HTMLSample">
    <w:name w:val="HTML Sample"/>
    <w:basedOn w:val="DefaultParagraphFont"/>
    <w:uiPriority w:val="98"/>
    <w:semiHidden/>
    <w:rsid w:val="00C46E94"/>
    <w:rPr>
      <w:rFonts w:ascii="Consolas" w:hAnsi="Consolas" w:cs="Consolas"/>
      <w:sz w:val="24"/>
      <w:szCs w:val="24"/>
    </w:rPr>
  </w:style>
  <w:style w:type="character" w:styleId="HTMLTypewriter">
    <w:name w:val="HTML Typewriter"/>
    <w:basedOn w:val="DefaultParagraphFont"/>
    <w:uiPriority w:val="98"/>
    <w:semiHidden/>
    <w:rsid w:val="00C46E94"/>
    <w:rPr>
      <w:rFonts w:ascii="Consolas" w:hAnsi="Consolas" w:cs="Consolas"/>
      <w:sz w:val="20"/>
      <w:szCs w:val="20"/>
    </w:rPr>
  </w:style>
  <w:style w:type="character" w:styleId="HTMLVariable">
    <w:name w:val="HTML Variable"/>
    <w:basedOn w:val="DefaultParagraphFont"/>
    <w:uiPriority w:val="98"/>
    <w:semiHidden/>
    <w:rsid w:val="00C46E94"/>
    <w:rPr>
      <w:i/>
      <w:iCs/>
    </w:rPr>
  </w:style>
  <w:style w:type="character" w:styleId="Hyperlink">
    <w:name w:val="Hyperlink"/>
    <w:basedOn w:val="DefaultParagraphFont"/>
    <w:uiPriority w:val="98"/>
    <w:semiHidden/>
    <w:rsid w:val="00C46E94"/>
    <w:rPr>
      <w:color w:val="0072BC" w:themeColor="hyperlink"/>
      <w:u w:val="single"/>
    </w:rPr>
  </w:style>
  <w:style w:type="paragraph" w:styleId="Index1">
    <w:name w:val="index 1"/>
    <w:basedOn w:val="Normal"/>
    <w:next w:val="Normal"/>
    <w:autoRedefine/>
    <w:uiPriority w:val="98"/>
    <w:semiHidden/>
    <w:rsid w:val="00C46E94"/>
    <w:pPr>
      <w:ind w:left="240" w:hanging="240"/>
    </w:pPr>
  </w:style>
  <w:style w:type="paragraph" w:styleId="Index2">
    <w:name w:val="index 2"/>
    <w:basedOn w:val="Normal"/>
    <w:next w:val="Normal"/>
    <w:autoRedefine/>
    <w:uiPriority w:val="98"/>
    <w:semiHidden/>
    <w:rsid w:val="00C46E94"/>
    <w:pPr>
      <w:ind w:left="480" w:hanging="240"/>
    </w:pPr>
  </w:style>
  <w:style w:type="paragraph" w:styleId="Index3">
    <w:name w:val="index 3"/>
    <w:basedOn w:val="Normal"/>
    <w:next w:val="Normal"/>
    <w:autoRedefine/>
    <w:uiPriority w:val="98"/>
    <w:semiHidden/>
    <w:rsid w:val="00C46E94"/>
    <w:pPr>
      <w:ind w:left="720" w:hanging="240"/>
    </w:pPr>
  </w:style>
  <w:style w:type="paragraph" w:styleId="Index4">
    <w:name w:val="index 4"/>
    <w:basedOn w:val="Normal"/>
    <w:next w:val="Normal"/>
    <w:autoRedefine/>
    <w:uiPriority w:val="98"/>
    <w:semiHidden/>
    <w:rsid w:val="00C46E94"/>
    <w:pPr>
      <w:ind w:left="960" w:hanging="240"/>
    </w:pPr>
  </w:style>
  <w:style w:type="paragraph" w:styleId="Index5">
    <w:name w:val="index 5"/>
    <w:basedOn w:val="Normal"/>
    <w:next w:val="Normal"/>
    <w:autoRedefine/>
    <w:uiPriority w:val="98"/>
    <w:semiHidden/>
    <w:rsid w:val="00C46E94"/>
    <w:pPr>
      <w:ind w:left="1200" w:hanging="240"/>
    </w:pPr>
  </w:style>
  <w:style w:type="paragraph" w:styleId="Index6">
    <w:name w:val="index 6"/>
    <w:basedOn w:val="Normal"/>
    <w:next w:val="Normal"/>
    <w:autoRedefine/>
    <w:uiPriority w:val="98"/>
    <w:semiHidden/>
    <w:rsid w:val="00C46E94"/>
    <w:pPr>
      <w:ind w:left="1440" w:hanging="240"/>
    </w:pPr>
  </w:style>
  <w:style w:type="paragraph" w:styleId="Index7">
    <w:name w:val="index 7"/>
    <w:basedOn w:val="Normal"/>
    <w:next w:val="Normal"/>
    <w:autoRedefine/>
    <w:uiPriority w:val="98"/>
    <w:semiHidden/>
    <w:rsid w:val="00C46E94"/>
    <w:pPr>
      <w:ind w:left="1680" w:hanging="240"/>
    </w:pPr>
  </w:style>
  <w:style w:type="paragraph" w:styleId="Index8">
    <w:name w:val="index 8"/>
    <w:basedOn w:val="Normal"/>
    <w:next w:val="Normal"/>
    <w:autoRedefine/>
    <w:uiPriority w:val="98"/>
    <w:semiHidden/>
    <w:rsid w:val="00C46E94"/>
    <w:pPr>
      <w:ind w:left="1920" w:hanging="240"/>
    </w:pPr>
  </w:style>
  <w:style w:type="paragraph" w:styleId="Index9">
    <w:name w:val="index 9"/>
    <w:basedOn w:val="Normal"/>
    <w:next w:val="Normal"/>
    <w:autoRedefine/>
    <w:uiPriority w:val="98"/>
    <w:semiHidden/>
    <w:rsid w:val="00C46E94"/>
    <w:pPr>
      <w:ind w:left="2160" w:hanging="240"/>
    </w:pPr>
  </w:style>
  <w:style w:type="paragraph" w:styleId="IndexHeading">
    <w:name w:val="index heading"/>
    <w:basedOn w:val="Normal"/>
    <w:next w:val="Index1"/>
    <w:uiPriority w:val="98"/>
    <w:semiHidden/>
    <w:rsid w:val="00C46E94"/>
    <w:rPr>
      <w:rFonts w:asciiTheme="majorHAnsi" w:eastAsiaTheme="majorEastAsia" w:hAnsiTheme="majorHAnsi" w:cstheme="majorBidi"/>
      <w:b/>
      <w:bCs/>
    </w:rPr>
  </w:style>
  <w:style w:type="table" w:styleId="LightGrid">
    <w:name w:val="Light Grid"/>
    <w:basedOn w:val="TableNormal"/>
    <w:uiPriority w:val="62"/>
    <w:semiHidden/>
    <w:rsid w:val="00C46E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46E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46E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46E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C46E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46E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46E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46E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46E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46E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46E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C46E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46E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46E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46E9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46E9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46E9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46E9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C46E9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46E9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46E9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46E94"/>
  </w:style>
  <w:style w:type="paragraph" w:styleId="List">
    <w:name w:val="List"/>
    <w:basedOn w:val="Normal"/>
    <w:uiPriority w:val="98"/>
    <w:semiHidden/>
    <w:rsid w:val="00C46E94"/>
    <w:pPr>
      <w:ind w:left="283" w:hanging="283"/>
      <w:contextualSpacing/>
    </w:pPr>
  </w:style>
  <w:style w:type="paragraph" w:styleId="List20">
    <w:name w:val="List 2"/>
    <w:basedOn w:val="Normal"/>
    <w:uiPriority w:val="98"/>
    <w:semiHidden/>
    <w:rsid w:val="00C46E94"/>
    <w:pPr>
      <w:ind w:left="566" w:hanging="283"/>
      <w:contextualSpacing/>
    </w:pPr>
  </w:style>
  <w:style w:type="paragraph" w:styleId="List30">
    <w:name w:val="List 3"/>
    <w:basedOn w:val="Normal"/>
    <w:uiPriority w:val="98"/>
    <w:semiHidden/>
    <w:rsid w:val="00C46E94"/>
    <w:pPr>
      <w:ind w:left="849" w:hanging="283"/>
      <w:contextualSpacing/>
    </w:pPr>
  </w:style>
  <w:style w:type="paragraph" w:styleId="List4">
    <w:name w:val="List 4"/>
    <w:basedOn w:val="Normal"/>
    <w:uiPriority w:val="98"/>
    <w:semiHidden/>
    <w:rsid w:val="00C46E94"/>
    <w:pPr>
      <w:ind w:left="1132" w:hanging="283"/>
      <w:contextualSpacing/>
    </w:pPr>
  </w:style>
  <w:style w:type="paragraph" w:styleId="List5">
    <w:name w:val="List 5"/>
    <w:basedOn w:val="Normal"/>
    <w:uiPriority w:val="98"/>
    <w:semiHidden/>
    <w:rsid w:val="00C46E94"/>
    <w:pPr>
      <w:ind w:left="1415" w:hanging="283"/>
      <w:contextualSpacing/>
    </w:pPr>
  </w:style>
  <w:style w:type="paragraph" w:styleId="ListBullet">
    <w:name w:val="List Bullet"/>
    <w:basedOn w:val="Normal"/>
    <w:uiPriority w:val="98"/>
    <w:semiHidden/>
    <w:rsid w:val="00C46E94"/>
    <w:pPr>
      <w:numPr>
        <w:numId w:val="4"/>
      </w:numPr>
    </w:pPr>
  </w:style>
  <w:style w:type="paragraph" w:styleId="ListBullet2">
    <w:name w:val="List Bullet 2"/>
    <w:basedOn w:val="Normal"/>
    <w:uiPriority w:val="98"/>
    <w:semiHidden/>
    <w:rsid w:val="00C46E94"/>
    <w:pPr>
      <w:numPr>
        <w:numId w:val="5"/>
      </w:numPr>
      <w:contextualSpacing/>
    </w:pPr>
  </w:style>
  <w:style w:type="paragraph" w:styleId="ListBullet3">
    <w:name w:val="List Bullet 3"/>
    <w:basedOn w:val="Normal"/>
    <w:uiPriority w:val="98"/>
    <w:semiHidden/>
    <w:rsid w:val="00C46E94"/>
    <w:pPr>
      <w:numPr>
        <w:numId w:val="6"/>
      </w:numPr>
      <w:contextualSpacing/>
    </w:pPr>
  </w:style>
  <w:style w:type="paragraph" w:styleId="ListBullet4">
    <w:name w:val="List Bullet 4"/>
    <w:basedOn w:val="Normal"/>
    <w:uiPriority w:val="98"/>
    <w:semiHidden/>
    <w:rsid w:val="00C46E94"/>
    <w:pPr>
      <w:numPr>
        <w:numId w:val="7"/>
      </w:numPr>
      <w:contextualSpacing/>
    </w:pPr>
  </w:style>
  <w:style w:type="paragraph" w:styleId="ListBullet5">
    <w:name w:val="List Bullet 5"/>
    <w:basedOn w:val="Normal"/>
    <w:uiPriority w:val="98"/>
    <w:semiHidden/>
    <w:rsid w:val="00C46E94"/>
    <w:pPr>
      <w:numPr>
        <w:numId w:val="8"/>
      </w:numPr>
      <w:contextualSpacing/>
    </w:pPr>
  </w:style>
  <w:style w:type="paragraph" w:styleId="ListContinue">
    <w:name w:val="List Continue"/>
    <w:basedOn w:val="Normal"/>
    <w:uiPriority w:val="98"/>
    <w:semiHidden/>
    <w:rsid w:val="00C46E94"/>
    <w:pPr>
      <w:spacing w:after="120"/>
      <w:ind w:left="283"/>
      <w:contextualSpacing/>
    </w:pPr>
  </w:style>
  <w:style w:type="paragraph" w:styleId="ListContinue2">
    <w:name w:val="List Continue 2"/>
    <w:basedOn w:val="Normal"/>
    <w:uiPriority w:val="98"/>
    <w:semiHidden/>
    <w:rsid w:val="00C46E94"/>
    <w:pPr>
      <w:spacing w:after="120"/>
      <w:ind w:left="566"/>
      <w:contextualSpacing/>
    </w:pPr>
  </w:style>
  <w:style w:type="paragraph" w:styleId="ListContinue3">
    <w:name w:val="List Continue 3"/>
    <w:basedOn w:val="Normal"/>
    <w:uiPriority w:val="98"/>
    <w:semiHidden/>
    <w:rsid w:val="00C46E94"/>
    <w:pPr>
      <w:spacing w:after="120"/>
      <w:ind w:left="849"/>
      <w:contextualSpacing/>
    </w:pPr>
  </w:style>
  <w:style w:type="paragraph" w:styleId="ListContinue4">
    <w:name w:val="List Continue 4"/>
    <w:basedOn w:val="Normal"/>
    <w:uiPriority w:val="98"/>
    <w:semiHidden/>
    <w:rsid w:val="00C46E94"/>
    <w:pPr>
      <w:spacing w:after="120"/>
      <w:ind w:left="1132"/>
      <w:contextualSpacing/>
    </w:pPr>
  </w:style>
  <w:style w:type="paragraph" w:styleId="ListContinue5">
    <w:name w:val="List Continue 5"/>
    <w:basedOn w:val="Normal"/>
    <w:uiPriority w:val="98"/>
    <w:semiHidden/>
    <w:rsid w:val="00C46E94"/>
    <w:pPr>
      <w:spacing w:after="120"/>
      <w:ind w:left="1415"/>
      <w:contextualSpacing/>
    </w:pPr>
  </w:style>
  <w:style w:type="paragraph" w:styleId="ListNumber">
    <w:name w:val="List Number"/>
    <w:basedOn w:val="Normal"/>
    <w:uiPriority w:val="98"/>
    <w:semiHidden/>
    <w:rsid w:val="00C46E94"/>
    <w:pPr>
      <w:numPr>
        <w:numId w:val="9"/>
      </w:numPr>
      <w:contextualSpacing/>
    </w:pPr>
  </w:style>
  <w:style w:type="paragraph" w:styleId="ListNumber2">
    <w:name w:val="List Number 2"/>
    <w:basedOn w:val="Normal"/>
    <w:uiPriority w:val="98"/>
    <w:semiHidden/>
    <w:rsid w:val="00C46E94"/>
    <w:pPr>
      <w:numPr>
        <w:numId w:val="10"/>
      </w:numPr>
      <w:contextualSpacing/>
    </w:pPr>
  </w:style>
  <w:style w:type="paragraph" w:styleId="ListNumber3">
    <w:name w:val="List Number 3"/>
    <w:basedOn w:val="Normal"/>
    <w:uiPriority w:val="98"/>
    <w:semiHidden/>
    <w:rsid w:val="00C46E94"/>
    <w:pPr>
      <w:numPr>
        <w:numId w:val="11"/>
      </w:numPr>
      <w:contextualSpacing/>
    </w:pPr>
  </w:style>
  <w:style w:type="paragraph" w:styleId="ListNumber4">
    <w:name w:val="List Number 4"/>
    <w:basedOn w:val="Normal"/>
    <w:uiPriority w:val="98"/>
    <w:semiHidden/>
    <w:rsid w:val="00C46E94"/>
    <w:pPr>
      <w:numPr>
        <w:numId w:val="12"/>
      </w:numPr>
      <w:contextualSpacing/>
    </w:pPr>
  </w:style>
  <w:style w:type="paragraph" w:styleId="ListNumber5">
    <w:name w:val="List Number 5"/>
    <w:basedOn w:val="Normal"/>
    <w:uiPriority w:val="98"/>
    <w:semiHidden/>
    <w:rsid w:val="00C46E94"/>
    <w:pPr>
      <w:numPr>
        <w:numId w:val="13"/>
      </w:numPr>
      <w:contextualSpacing/>
    </w:pPr>
  </w:style>
  <w:style w:type="paragraph" w:styleId="Macro">
    <w:name w:val="macro"/>
    <w:link w:val="MacroTextChar"/>
    <w:uiPriority w:val="98"/>
    <w:semiHidden/>
    <w:rsid w:val="00C46E9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46E94"/>
    <w:rPr>
      <w:rFonts w:ascii="Consolas" w:hAnsi="Consolas" w:eastAsiaTheme="minorEastAsia" w:cs="Consolas"/>
      <w:sz w:val="20"/>
      <w:szCs w:val="20"/>
    </w:rPr>
  </w:style>
  <w:style w:type="table" w:styleId="MediumGrid1">
    <w:name w:val="Medium Grid 1"/>
    <w:basedOn w:val="TableNormal"/>
    <w:uiPriority w:val="67"/>
    <w:semiHidden/>
    <w:rsid w:val="00C46E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46E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46E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46E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C46E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46E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46E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C46E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C46E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46E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46E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C46E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46E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46E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C46E9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46E9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46E9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46E9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C46E9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46E9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46E9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46E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C46E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46E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46E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46E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46E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46E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46E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46E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46E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46E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46E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46E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46E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46E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46E9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46E9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46E94"/>
    <w:rPr>
      <w:rFonts w:ascii="Times New Roman" w:hAnsi="Times New Roman" w:cs="Times New Roman"/>
    </w:rPr>
  </w:style>
  <w:style w:type="paragraph" w:styleId="NormalIndent">
    <w:name w:val="Normal Indent"/>
    <w:basedOn w:val="Normal"/>
    <w:uiPriority w:val="98"/>
    <w:semiHidden/>
    <w:rsid w:val="00C46E94"/>
    <w:pPr>
      <w:ind w:left="720"/>
    </w:pPr>
  </w:style>
  <w:style w:type="table" w:customStyle="1" w:styleId="ECHRTableNoLines">
    <w:name w:val="ECHR_Table_No_Lines"/>
    <w:basedOn w:val="TableNormal"/>
    <w:uiPriority w:val="99"/>
    <w:rsid w:val="00C46E9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C46E9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C46E9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46E94"/>
    <w:rPr>
      <w:rFonts w:ascii="Consolas" w:hAnsi="Consolas" w:cs="Consolas"/>
      <w:sz w:val="21"/>
      <w:szCs w:val="21"/>
    </w:rPr>
  </w:style>
  <w:style w:type="character" w:customStyle="1" w:styleId="PlainTextChar">
    <w:name w:val="Plain Text Char"/>
    <w:basedOn w:val="DefaultParagraphFont"/>
    <w:link w:val="PlainText"/>
    <w:uiPriority w:val="98"/>
    <w:semiHidden/>
    <w:rsid w:val="00C46E94"/>
    <w:rPr>
      <w:rFonts w:ascii="Consolas" w:hAnsi="Consolas" w:cs="Consolas"/>
      <w:sz w:val="21"/>
      <w:szCs w:val="21"/>
      <w:lang w:val="en-GB"/>
    </w:rPr>
  </w:style>
  <w:style w:type="paragraph" w:styleId="Salutation">
    <w:name w:val="Salutation"/>
    <w:basedOn w:val="Normal"/>
    <w:next w:val="Normal"/>
    <w:link w:val="SalutationChar"/>
    <w:uiPriority w:val="98"/>
    <w:semiHidden/>
    <w:rsid w:val="00C46E94"/>
  </w:style>
  <w:style w:type="character" w:customStyle="1" w:styleId="SalutationChar">
    <w:name w:val="Salutation Char"/>
    <w:basedOn w:val="DefaultParagraphFont"/>
    <w:link w:val="Salutation"/>
    <w:uiPriority w:val="98"/>
    <w:semiHidden/>
    <w:rsid w:val="00C46E94"/>
    <w:rPr>
      <w:sz w:val="24"/>
      <w:szCs w:val="24"/>
      <w:lang w:val="en-GB"/>
    </w:rPr>
  </w:style>
  <w:style w:type="paragraph" w:styleId="Signature0">
    <w:name w:val="Signature"/>
    <w:basedOn w:val="Normal"/>
    <w:link w:val="SignatureChar"/>
    <w:uiPriority w:val="98"/>
    <w:semiHidden/>
    <w:rsid w:val="00C46E94"/>
    <w:pPr>
      <w:ind w:left="4252"/>
    </w:pPr>
  </w:style>
  <w:style w:type="character" w:customStyle="1" w:styleId="SignatureChar">
    <w:name w:val="Signature Char"/>
    <w:basedOn w:val="DefaultParagraphFont"/>
    <w:link w:val="Signature0"/>
    <w:uiPriority w:val="98"/>
    <w:semiHidden/>
    <w:rsid w:val="00C46E94"/>
    <w:rPr>
      <w:sz w:val="24"/>
      <w:szCs w:val="24"/>
      <w:lang w:val="en-GB"/>
    </w:rPr>
  </w:style>
  <w:style w:type="table" w:styleId="Table3Deffects1">
    <w:name w:val="Table 3D effects 1"/>
    <w:basedOn w:val="TableNormal"/>
    <w:uiPriority w:val="99"/>
    <w:semiHidden/>
    <w:unhideWhenUsed/>
    <w:rsid w:val="00C46E9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46E9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46E9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46E9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46E9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46E9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46E9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46E9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46E9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46E9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46E9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46E9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46E9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46E9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46E9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46E9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46E9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C46E9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C46E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46E9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46E9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46E9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46E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46E9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46E9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46E9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46E9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46E9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46E9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46E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46E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46E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46E9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46E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46E94"/>
    <w:pPr>
      <w:ind w:left="240" w:hanging="240"/>
    </w:pPr>
  </w:style>
  <w:style w:type="paragraph" w:styleId="TableofFigures">
    <w:name w:val="table of figures"/>
    <w:basedOn w:val="Normal"/>
    <w:next w:val="Normal"/>
    <w:uiPriority w:val="98"/>
    <w:semiHidden/>
    <w:rsid w:val="00C46E94"/>
  </w:style>
  <w:style w:type="table" w:styleId="TableProfessional">
    <w:name w:val="Table Professional"/>
    <w:basedOn w:val="TableNormal"/>
    <w:uiPriority w:val="99"/>
    <w:semiHidden/>
    <w:unhideWhenUsed/>
    <w:rsid w:val="00C46E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46E9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46E9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46E9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46E9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46E9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46E9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46E9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46E9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46E9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C46E9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C46E9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46E9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46E9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46E9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46E9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C46E9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46E9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46E94"/>
    <w:pPr>
      <w:spacing w:after="100"/>
      <w:ind w:left="1680"/>
    </w:pPr>
  </w:style>
  <w:style w:type="paragraph" w:styleId="TOC9">
    <w:name w:val="toc 9"/>
    <w:basedOn w:val="Normal"/>
    <w:next w:val="Normal"/>
    <w:autoRedefine/>
    <w:uiPriority w:val="98"/>
    <w:semiHidden/>
    <w:rsid w:val="00C46E94"/>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C46E94"/>
    <w:pPr>
      <w:tabs>
        <w:tab w:val="center" w:pos="3686"/>
        <w:tab w:val="right" w:pos="7371"/>
      </w:tabs>
    </w:pPr>
  </w:style>
  <w:style w:type="character" w:customStyle="1" w:styleId="FooterChar">
    <w:name w:val="Footer Char"/>
    <w:basedOn w:val="DefaultParagraphFont"/>
    <w:link w:val="Footer1"/>
    <w:uiPriority w:val="98"/>
    <w:semiHidden/>
    <w:rsid w:val="00C46E94"/>
    <w:rPr>
      <w:sz w:val="24"/>
      <w:szCs w:val="24"/>
      <w:lang w:val="en-GB"/>
    </w:rPr>
  </w:style>
  <w:style w:type="paragraph" w:customStyle="1" w:styleId="ECHRFooterLine">
    <w:name w:val="ECHR_Footer_Line"/>
    <w:aliases w:val="_Footer_Line"/>
    <w:basedOn w:val="Normal"/>
    <w:next w:val="Normal"/>
    <w:uiPriority w:val="30"/>
    <w:semiHidden/>
    <w:rsid w:val="00C46E94"/>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C46E9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C46E94"/>
    <w:pPr>
      <w:ind w:firstLine="284"/>
    </w:pPr>
    <w:rPr>
      <w:b/>
    </w:rPr>
  </w:style>
  <w:style w:type="paragraph" w:styleId="NoteHeading">
    <w:name w:val="Note Heading"/>
    <w:basedOn w:val="Normal"/>
    <w:next w:val="Normal"/>
    <w:link w:val="NoteHeadingChar"/>
    <w:uiPriority w:val="98"/>
    <w:semiHidden/>
    <w:rsid w:val="00C46E94"/>
  </w:style>
  <w:style w:type="character" w:customStyle="1" w:styleId="NoteHeadingChar">
    <w:name w:val="Note Heading Char"/>
    <w:basedOn w:val="DefaultParagraphFont"/>
    <w:link w:val="NoteHeading"/>
    <w:uiPriority w:val="98"/>
    <w:semiHidden/>
    <w:rsid w:val="00C46E94"/>
    <w:rPr>
      <w:sz w:val="24"/>
      <w:szCs w:val="24"/>
      <w:lang w:val="en-GB"/>
    </w:rPr>
  </w:style>
  <w:style w:type="paragraph" w:customStyle="1" w:styleId="ECHRHeaderLandscape">
    <w:name w:val="ECHR_Header_Landscape"/>
    <w:aliases w:val="_Header_Landscape"/>
    <w:basedOn w:val="JuHeader"/>
    <w:uiPriority w:val="29"/>
    <w:semiHidden/>
    <w:rsid w:val="00C46E9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46E94"/>
    <w:pPr>
      <w:numPr>
        <w:numId w:val="17"/>
      </w:numPr>
      <w:spacing w:before="60" w:after="60"/>
    </w:pPr>
  </w:style>
  <w:style w:type="paragraph" w:customStyle="1" w:styleId="ECHRBullet2">
    <w:name w:val="ECHR_Bullet_2"/>
    <w:aliases w:val="_Bul_2"/>
    <w:basedOn w:val="ECHRBullet1"/>
    <w:uiPriority w:val="23"/>
    <w:semiHidden/>
    <w:rsid w:val="00C46E94"/>
    <w:pPr>
      <w:numPr>
        <w:ilvl w:val="1"/>
      </w:numPr>
    </w:pPr>
  </w:style>
  <w:style w:type="paragraph" w:customStyle="1" w:styleId="ECHRBullet3">
    <w:name w:val="ECHR_Bullet_3"/>
    <w:aliases w:val="_Bul_3"/>
    <w:basedOn w:val="ECHRBullet2"/>
    <w:uiPriority w:val="23"/>
    <w:semiHidden/>
    <w:rsid w:val="00C46E94"/>
    <w:pPr>
      <w:numPr>
        <w:ilvl w:val="2"/>
      </w:numPr>
    </w:pPr>
  </w:style>
  <w:style w:type="paragraph" w:customStyle="1" w:styleId="ECHRBullet4">
    <w:name w:val="ECHR_Bullet_4"/>
    <w:aliases w:val="_Bul_4"/>
    <w:basedOn w:val="ECHRBullet3"/>
    <w:uiPriority w:val="23"/>
    <w:semiHidden/>
    <w:rsid w:val="00C46E94"/>
    <w:pPr>
      <w:numPr>
        <w:ilvl w:val="3"/>
      </w:numPr>
    </w:pPr>
  </w:style>
  <w:style w:type="paragraph" w:customStyle="1" w:styleId="ECHRConfidential">
    <w:name w:val="ECHR_Confidential"/>
    <w:aliases w:val="_Confidential"/>
    <w:basedOn w:val="Normal"/>
    <w:next w:val="Normal"/>
    <w:uiPriority w:val="42"/>
    <w:semiHidden/>
    <w:qFormat/>
    <w:rsid w:val="00C46E94"/>
    <w:pPr>
      <w:jc w:val="right"/>
    </w:pPr>
    <w:rPr>
      <w:color w:val="C00000"/>
      <w:sz w:val="20"/>
    </w:rPr>
  </w:style>
  <w:style w:type="paragraph" w:customStyle="1" w:styleId="ECHRDecisionBody">
    <w:name w:val="ECHR_Decision_Body"/>
    <w:aliases w:val="_Decision_Body"/>
    <w:basedOn w:val="NormalJustified"/>
    <w:uiPriority w:val="54"/>
    <w:semiHidden/>
    <w:rsid w:val="00C46E9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46E9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46E9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46E9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C46E94"/>
    <w:pPr>
      <w:jc w:val="right"/>
    </w:pPr>
    <w:rPr>
      <w:sz w:val="20"/>
    </w:rPr>
  </w:style>
  <w:style w:type="paragraph" w:customStyle="1" w:styleId="ECHRHeaderRefIt">
    <w:name w:val="ECHR_Header_Ref_It"/>
    <w:aliases w:val="_Ref_Ital"/>
    <w:basedOn w:val="Normal"/>
    <w:next w:val="ECHRHeaderDate"/>
    <w:uiPriority w:val="43"/>
    <w:semiHidden/>
    <w:qFormat/>
    <w:rsid w:val="00C46E94"/>
    <w:pPr>
      <w:jc w:val="right"/>
    </w:pPr>
    <w:rPr>
      <w:i/>
      <w:sz w:val="20"/>
    </w:rPr>
  </w:style>
  <w:style w:type="paragraph" w:customStyle="1" w:styleId="ECHRHeading9">
    <w:name w:val="ECHR_Heading_9"/>
    <w:aliases w:val="_Head_9"/>
    <w:basedOn w:val="Heading9"/>
    <w:uiPriority w:val="17"/>
    <w:semiHidden/>
    <w:rsid w:val="00C46E94"/>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46E9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46E94"/>
    <w:pPr>
      <w:numPr>
        <w:numId w:val="18"/>
      </w:numPr>
      <w:spacing w:before="60" w:after="60"/>
    </w:pPr>
  </w:style>
  <w:style w:type="paragraph" w:customStyle="1" w:styleId="ECHRNumberedList2">
    <w:name w:val="ECHR_Numbered_List_2"/>
    <w:aliases w:val="_Num_2"/>
    <w:basedOn w:val="ECHRNumberedList1"/>
    <w:uiPriority w:val="23"/>
    <w:semiHidden/>
    <w:rsid w:val="00C46E94"/>
    <w:pPr>
      <w:numPr>
        <w:ilvl w:val="1"/>
      </w:numPr>
    </w:pPr>
  </w:style>
  <w:style w:type="paragraph" w:customStyle="1" w:styleId="ECHRNumberedList3">
    <w:name w:val="ECHR_Numbered_List_3"/>
    <w:aliases w:val="_Num_3"/>
    <w:basedOn w:val="ECHRNumberedList2"/>
    <w:uiPriority w:val="23"/>
    <w:semiHidden/>
    <w:rsid w:val="00C46E94"/>
    <w:pPr>
      <w:numPr>
        <w:ilvl w:val="2"/>
      </w:numPr>
    </w:pPr>
  </w:style>
  <w:style w:type="paragraph" w:customStyle="1" w:styleId="ECHRParaHanging">
    <w:name w:val="ECHR_Para_Hanging"/>
    <w:aliases w:val="_Hanging"/>
    <w:basedOn w:val="NormalJustified"/>
    <w:uiPriority w:val="8"/>
    <w:semiHidden/>
    <w:qFormat/>
    <w:rsid w:val="00C46E94"/>
    <w:pPr>
      <w:ind w:left="567" w:hanging="567"/>
    </w:pPr>
  </w:style>
  <w:style w:type="paragraph" w:customStyle="1" w:styleId="ECHRParaIndent">
    <w:name w:val="ECHR_Para_Indent"/>
    <w:aliases w:val="_Indent"/>
    <w:basedOn w:val="NormalJustified"/>
    <w:uiPriority w:val="7"/>
    <w:semiHidden/>
    <w:qFormat/>
    <w:rsid w:val="00C46E94"/>
    <w:pPr>
      <w:spacing w:before="120" w:after="120"/>
      <w:ind w:left="284"/>
    </w:pPr>
  </w:style>
  <w:style w:type="character" w:customStyle="1" w:styleId="ECHRRed">
    <w:name w:val="ECHR_Red"/>
    <w:aliases w:val="_Red"/>
    <w:basedOn w:val="DefaultParagraphFont"/>
    <w:uiPriority w:val="15"/>
    <w:semiHidden/>
    <w:qFormat/>
    <w:rsid w:val="00C46E94"/>
    <w:rPr>
      <w:color w:val="C00000" w:themeColor="accent2"/>
    </w:rPr>
  </w:style>
  <w:style w:type="paragraph" w:customStyle="1" w:styleId="DecList">
    <w:name w:val="Dec_List"/>
    <w:aliases w:val="_List"/>
    <w:basedOn w:val="JuList"/>
    <w:uiPriority w:val="22"/>
    <w:rsid w:val="00C46E94"/>
    <w:pPr>
      <w:numPr>
        <w:numId w:val="0"/>
      </w:numPr>
      <w:ind w:left="284"/>
    </w:pPr>
  </w:style>
  <w:style w:type="table" w:customStyle="1" w:styleId="ECHRTable">
    <w:name w:val="ECHR_Table"/>
    <w:basedOn w:val="TableNormal"/>
    <w:rsid w:val="00C46E94"/>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C46E9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46E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C46E9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C46E9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C46E9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C46E9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C46E9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C46E9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C46E94"/>
    <w:pPr>
      <w:outlineLvl w:val="0"/>
    </w:pPr>
  </w:style>
  <w:style w:type="paragraph" w:customStyle="1" w:styleId="ECHRTitleTOC1">
    <w:name w:val="ECHR_Title_TOC_1"/>
    <w:aliases w:val="_Title_L_TOC"/>
    <w:basedOn w:val="ECHRTitle1"/>
    <w:next w:val="Normal"/>
    <w:uiPriority w:val="27"/>
    <w:semiHidden/>
    <w:qFormat/>
    <w:rsid w:val="00C46E94"/>
    <w:pPr>
      <w:outlineLvl w:val="0"/>
    </w:pPr>
  </w:style>
  <w:style w:type="table" w:customStyle="1" w:styleId="LtrTableAddress">
    <w:name w:val="Ltr_Table_Address"/>
    <w:aliases w:val="ECHR_Ltr_Table_Address"/>
    <w:basedOn w:val="TableNormal"/>
    <w:uiPriority w:val="99"/>
    <w:rsid w:val="00C46E94"/>
    <w:rPr>
      <w:sz w:val="24"/>
      <w:szCs w:val="24"/>
    </w:rPr>
    <w:tblPr>
      <w:tblInd w:w="5103" w:type="dxa"/>
    </w:tblPr>
  </w:style>
  <w:style w:type="table" w:customStyle="1" w:styleId="PCFTableStyle">
    <w:name w:val="PCF_Table_Style"/>
    <w:aliases w:val="ECHR_PCF_Table_Style"/>
    <w:basedOn w:val="TableNormal"/>
    <w:uiPriority w:val="99"/>
    <w:rsid w:val="00C46E9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C46E9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46E9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C46E94"/>
    <w:rPr>
      <w:color w:val="FFFFFF"/>
    </w:rPr>
  </w:style>
  <w:style w:type="paragraph" w:customStyle="1" w:styleId="ECHRSpacer">
    <w:name w:val="ECHR_Spacer"/>
    <w:aliases w:val="_Spacer"/>
    <w:basedOn w:val="Normal"/>
    <w:uiPriority w:val="45"/>
    <w:semiHidden/>
    <w:rsid w:val="00C46E94"/>
    <w:rPr>
      <w:sz w:val="4"/>
    </w:rPr>
  </w:style>
  <w:style w:type="table" w:customStyle="1" w:styleId="ECHRTableGrey">
    <w:name w:val="ECHR_Table_Grey"/>
    <w:basedOn w:val="TableNormal"/>
    <w:uiPriority w:val="99"/>
    <w:rsid w:val="00C46E9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C46E9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C46E94"/>
    <w:rPr>
      <w:color w:val="605E5C"/>
      <w:shd w:val="clear" w:color="auto" w:fill="E1DFDD"/>
    </w:rPr>
  </w:style>
  <w:style w:type="character" w:customStyle="1" w:styleId="JuParaChar">
    <w:name w:val="Ju_Para Char"/>
    <w:aliases w:val="_Para Char"/>
    <w:link w:val="JuPara"/>
    <w:uiPriority w:val="4"/>
    <w:rsid w:val="00642627"/>
    <w:rPr>
      <w:sz w:val="24"/>
      <w:szCs w:val="24"/>
      <w:lang w:val="en-GB"/>
    </w:rPr>
  </w:style>
  <w:style w:type="table" w:styleId="GridTable1Light">
    <w:name w:val="Grid Table 1 Light"/>
    <w:basedOn w:val="TableNormal"/>
    <w:uiPriority w:val="46"/>
    <w:semiHidden/>
    <w:rsid w:val="00D81CE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81CE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81CE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81CE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81CE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81CE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81CE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81CE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81CE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81CE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81CE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D81CE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81CE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81CE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81CE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81CE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81CE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81CE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D81CE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81CE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81CE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81CE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81CE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81CE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81CE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D81CE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81CE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81CE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81CE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81CE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81CE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81CE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D81CE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81CE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81CE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81CE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81CE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81CE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81CE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D81CE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81CE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81CE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81CE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81CE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81CE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81CE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D81CE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81CE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81CE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81CE2"/>
    <w:rPr>
      <w:color w:val="2B579A"/>
      <w:shd w:val="clear" w:color="auto" w:fill="E1DFDD"/>
    </w:rPr>
  </w:style>
  <w:style w:type="table" w:styleId="ListTable1Light">
    <w:name w:val="List Table 1 Light"/>
    <w:basedOn w:val="TableNormal"/>
    <w:uiPriority w:val="46"/>
    <w:semiHidden/>
    <w:rsid w:val="00D81CE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81CE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81CE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81CE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D81CE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81CE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81CE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81CE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81CE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81CE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81CE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D81CE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81CE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81CE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81CE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81CE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81CE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81CE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D81CE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81CE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81CE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81CE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81CE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81CE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81CE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D81CE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81CE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81CE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81CE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81CE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81CE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81CE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81CE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81CE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81CE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81CE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81CE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81CE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81CE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D81CE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81CE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81CE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81CE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81CE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81CE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81CE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81CE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81CE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81CE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81CE2"/>
    <w:rPr>
      <w:color w:val="2B579A"/>
      <w:shd w:val="clear" w:color="auto" w:fill="E1DFDD"/>
    </w:rPr>
  </w:style>
  <w:style w:type="table" w:styleId="PlainTable1">
    <w:name w:val="Plain Table 1"/>
    <w:basedOn w:val="TableNormal"/>
    <w:uiPriority w:val="41"/>
    <w:semiHidden/>
    <w:rsid w:val="00D81CE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D81CE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81CE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81CE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D81CE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81CE2"/>
    <w:rPr>
      <w:u w:val="dotted"/>
    </w:rPr>
  </w:style>
  <w:style w:type="character" w:styleId="SmartLink">
    <w:name w:val="Smart Link"/>
    <w:basedOn w:val="DefaultParagraphFont"/>
    <w:uiPriority w:val="99"/>
    <w:semiHidden/>
    <w:unhideWhenUsed/>
    <w:rsid w:val="00D81CE2"/>
    <w:rPr>
      <w:color w:val="0000FF"/>
      <w:u w:val="single"/>
      <w:shd w:val="clear" w:color="auto" w:fill="F3F2F1"/>
    </w:rPr>
  </w:style>
  <w:style w:type="table" w:styleId="GridTableLight">
    <w:name w:val="Grid Table Light"/>
    <w:basedOn w:val="TableNormal"/>
    <w:uiPriority w:val="40"/>
    <w:semiHidden/>
    <w:rsid w:val="00D81CE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hudoc.echr.coe.int/eng"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3191</Words>
  <Characters>16243</Characters>
  <Application>Microsoft Office Word</Application>
  <DocSecurity>0</DocSecurity>
  <Lines>338</Lines>
  <Paragraphs>97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2024-11-05T16:03:00Z</dcterms:created>
  <dcterms:modified xsi:type="dcterms:W3CDTF">2024-11-05T17:21:00Z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1564608</vt:lpwstr>
  </property>
  <property fmtid="{D5CDD505-2E9C-101B-9397-08002B2CF9AE}" pid="3" name="cstLanguage">
    <vt:i4>2057</vt:i4>
  </property>
  <property fmtid="{D5CDD505-2E9C-101B-9397-08002B2CF9AE}" pid="4" name="RegisteredNo">
    <vt:lpwstr>41097/20</vt:lpwstr>
  </property>
</Properties>
</file>