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262F3" w14:textId="77777777" w:rsidR="008D51B6" w:rsidRPr="00EA4F0E" w:rsidRDefault="008D51B6" w:rsidP="005A198A">
      <w:pPr>
        <w:jc w:val="center"/>
      </w:pPr>
    </w:p>
    <w:p w14:paraId="01EAE790" w14:textId="77777777" w:rsidR="004D042B" w:rsidRPr="00EA4F0E" w:rsidRDefault="004D042B" w:rsidP="005A198A">
      <w:pPr>
        <w:jc w:val="center"/>
      </w:pPr>
    </w:p>
    <w:p w14:paraId="2BC22647" w14:textId="77777777" w:rsidR="000C5149" w:rsidRPr="00EA4F0E" w:rsidRDefault="000C5149" w:rsidP="005A198A">
      <w:pPr>
        <w:jc w:val="center"/>
      </w:pPr>
    </w:p>
    <w:p w14:paraId="524336A7" w14:textId="61218D92" w:rsidR="00606600" w:rsidRPr="00EA4F0E" w:rsidRDefault="00BA3CEE" w:rsidP="005A198A">
      <w:pPr>
        <w:pStyle w:val="DecHTitle"/>
      </w:pPr>
      <w:r w:rsidRPr="00EA4F0E">
        <w:t xml:space="preserve">PIERWSZA SEKCJA </w:t>
      </w:r>
    </w:p>
    <w:p w14:paraId="779492BC" w14:textId="7A48E898" w:rsidR="006D324D" w:rsidRPr="00EA4F0E" w:rsidRDefault="00000000" w:rsidP="005A198A">
      <w:pPr>
        <w:pStyle w:val="JuTitle"/>
      </w:pPr>
      <w:bookmarkStart w:id="0" w:name="To"/>
      <w:r w:rsidRPr="00EA4F0E">
        <w:t xml:space="preserve">SPRAWA </w:t>
      </w:r>
      <w:bookmarkEnd w:id="0"/>
      <w:r w:rsidRPr="00EA4F0E">
        <w:t xml:space="preserve">LEŚNIEWSKI </w:t>
      </w:r>
      <w:r w:rsidR="00BA3CEE" w:rsidRPr="00EA4F0E">
        <w:t>przeciwko</w:t>
      </w:r>
      <w:r w:rsidRPr="00EA4F0E">
        <w:t xml:space="preserve"> POLSCE</w:t>
      </w:r>
    </w:p>
    <w:p w14:paraId="19CE2FFC" w14:textId="77777777" w:rsidR="006D324D" w:rsidRPr="00EA4F0E" w:rsidRDefault="00000000" w:rsidP="005A198A">
      <w:pPr>
        <w:pStyle w:val="ECHRCoverTitle4"/>
      </w:pPr>
      <w:r w:rsidRPr="00EA4F0E">
        <w:t>(Skarga nr 14896/21)</w:t>
      </w:r>
    </w:p>
    <w:p w14:paraId="1613896D" w14:textId="77777777" w:rsidR="006D324D" w:rsidRPr="00EA4F0E" w:rsidRDefault="006D324D" w:rsidP="005A198A">
      <w:pPr>
        <w:pStyle w:val="DecHCase"/>
      </w:pPr>
    </w:p>
    <w:p w14:paraId="068BDAE4" w14:textId="77777777" w:rsidR="006D324D" w:rsidRPr="00EA4F0E" w:rsidRDefault="006D324D" w:rsidP="005A198A">
      <w:pPr>
        <w:pStyle w:val="DecHCase"/>
      </w:pPr>
    </w:p>
    <w:p w14:paraId="3E590A76" w14:textId="77777777" w:rsidR="00606600" w:rsidRPr="00EA4F0E" w:rsidRDefault="00606600" w:rsidP="005A198A">
      <w:pPr>
        <w:pStyle w:val="DecHCase"/>
      </w:pPr>
    </w:p>
    <w:p w14:paraId="78F31C18" w14:textId="77777777" w:rsidR="00606600" w:rsidRPr="00EA4F0E" w:rsidRDefault="00606600" w:rsidP="005A198A">
      <w:pPr>
        <w:pStyle w:val="DecHCase"/>
      </w:pPr>
    </w:p>
    <w:p w14:paraId="2189ACA5" w14:textId="77777777" w:rsidR="00606600" w:rsidRPr="00EA4F0E" w:rsidRDefault="00606600" w:rsidP="005A198A">
      <w:pPr>
        <w:pStyle w:val="DecHCase"/>
      </w:pPr>
    </w:p>
    <w:p w14:paraId="39B10D62" w14:textId="77777777" w:rsidR="00606600" w:rsidRPr="00EA4F0E" w:rsidRDefault="00606600" w:rsidP="005A198A">
      <w:pPr>
        <w:pStyle w:val="DecHCase"/>
      </w:pPr>
    </w:p>
    <w:p w14:paraId="585B4177" w14:textId="77777777" w:rsidR="00606600" w:rsidRPr="00EA4F0E" w:rsidRDefault="00000000" w:rsidP="005A198A">
      <w:pPr>
        <w:pStyle w:val="DecHCase"/>
      </w:pPr>
      <w:r w:rsidRPr="00EA4F0E">
        <w:t>WYROK</w:t>
      </w:r>
    </w:p>
    <w:p w14:paraId="3FEB5C67" w14:textId="77777777" w:rsidR="00606600" w:rsidRPr="00EA4F0E" w:rsidRDefault="00606600" w:rsidP="005A198A">
      <w:pPr>
        <w:jc w:val="center"/>
        <w:rPr>
          <w:i/>
        </w:rPr>
      </w:pPr>
    </w:p>
    <w:p w14:paraId="4344C405" w14:textId="77777777" w:rsidR="00606600" w:rsidRPr="00EA4F0E" w:rsidRDefault="00000000" w:rsidP="005A198A">
      <w:pPr>
        <w:pStyle w:val="DecHCase"/>
      </w:pPr>
      <w:r w:rsidRPr="00EA4F0E">
        <w:t>STRASBURG</w:t>
      </w:r>
    </w:p>
    <w:p w14:paraId="4020BD2C" w14:textId="77777777" w:rsidR="00606600" w:rsidRPr="00EA4F0E" w:rsidRDefault="00000000" w:rsidP="005A198A">
      <w:pPr>
        <w:pStyle w:val="DecHCase"/>
      </w:pPr>
      <w:r w:rsidRPr="00EA4F0E">
        <w:t>10 października 2024 r.</w:t>
      </w:r>
    </w:p>
    <w:p w14:paraId="43061428" w14:textId="77777777" w:rsidR="00606600" w:rsidRPr="00EA4F0E" w:rsidRDefault="00606600" w:rsidP="005A198A">
      <w:pPr>
        <w:jc w:val="center"/>
      </w:pPr>
    </w:p>
    <w:p w14:paraId="5B400DD5" w14:textId="3BAB77AA" w:rsidR="00606600" w:rsidRPr="00EA4F0E" w:rsidRDefault="00790DC8" w:rsidP="005A198A">
      <w:pPr>
        <w:rPr>
          <w:sz w:val="22"/>
          <w:szCs w:val="22"/>
        </w:rPr>
      </w:pPr>
      <w:r w:rsidRPr="00EA4F0E">
        <w:rPr>
          <w:i/>
          <w:sz w:val="22"/>
          <w:szCs w:val="22"/>
        </w:rPr>
        <w:t>Niniejszy wyrok jest</w:t>
      </w:r>
      <w:r w:rsidR="00000000" w:rsidRPr="00EA4F0E">
        <w:rPr>
          <w:i/>
          <w:sz w:val="22"/>
          <w:szCs w:val="22"/>
        </w:rPr>
        <w:t xml:space="preserve"> ostateczny, </w:t>
      </w:r>
      <w:r w:rsidRPr="00EA4F0E">
        <w:rPr>
          <w:i/>
          <w:sz w:val="22"/>
          <w:szCs w:val="22"/>
        </w:rPr>
        <w:t>ale</w:t>
      </w:r>
      <w:r w:rsidR="00000000" w:rsidRPr="00EA4F0E">
        <w:rPr>
          <w:i/>
          <w:sz w:val="22"/>
          <w:szCs w:val="22"/>
        </w:rPr>
        <w:t xml:space="preserve"> może podlegać korekcie wydawniczej.</w:t>
      </w:r>
    </w:p>
    <w:p w14:paraId="435F9346" w14:textId="77777777" w:rsidR="00606600" w:rsidRPr="00EA4F0E" w:rsidRDefault="00606600" w:rsidP="005A198A">
      <w:pPr>
        <w:pStyle w:val="JuCase"/>
        <w:sectPr w:rsidR="00606600" w:rsidRPr="00EA4F0E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44A1B7AD" w14:textId="134B5BCE" w:rsidR="00606600" w:rsidRPr="00EA4F0E" w:rsidRDefault="00000000" w:rsidP="005A198A">
      <w:pPr>
        <w:pStyle w:val="JuCase"/>
        <w:rPr>
          <w:bCs/>
        </w:rPr>
      </w:pPr>
      <w:r w:rsidRPr="00EA4F0E">
        <w:lastRenderedPageBreak/>
        <w:t>W sprawie Leśniewski przeciwko Polsce</w:t>
      </w:r>
    </w:p>
    <w:p w14:paraId="0B103A1F" w14:textId="62D0337A" w:rsidR="00606600" w:rsidRPr="00EA4F0E" w:rsidRDefault="00000000" w:rsidP="005A198A">
      <w:pPr>
        <w:pStyle w:val="JuPara"/>
      </w:pPr>
      <w:r w:rsidRPr="00EA4F0E">
        <w:t>Europejski Trybunał Praw Człowieka (pierwsza</w:t>
      </w:r>
      <w:r w:rsidR="00865FCA" w:rsidRPr="00EA4F0E">
        <w:t xml:space="preserve"> sekcja</w:t>
      </w:r>
      <w:r w:rsidRPr="00EA4F0E">
        <w:t>), zasiadając jako Komitet w składzie:</w:t>
      </w:r>
    </w:p>
    <w:p w14:paraId="08927BAD" w14:textId="3AF4ABC5" w:rsidR="002C5B23" w:rsidRPr="00EA4F0E" w:rsidRDefault="00000000" w:rsidP="00BA3CEE">
      <w:pPr>
        <w:pStyle w:val="JuJudges"/>
        <w:ind w:left="567"/>
      </w:pPr>
      <w:r w:rsidRPr="00EA4F0E">
        <w:t xml:space="preserve">Lətif Hüseynov, </w:t>
      </w:r>
      <w:r w:rsidR="0086531E" w:rsidRPr="00EA4F0E">
        <w:rPr>
          <w:i/>
        </w:rPr>
        <w:t>P</w:t>
      </w:r>
      <w:r w:rsidRPr="00EA4F0E">
        <w:rPr>
          <w:i/>
        </w:rPr>
        <w:t>rzewodniczący</w:t>
      </w:r>
      <w:r w:rsidRPr="00EA4F0E">
        <w:t>,</w:t>
      </w:r>
      <w:r w:rsidRPr="00EA4F0E">
        <w:br/>
        <w:t>Krzysztof Wojtyczek,</w:t>
      </w:r>
      <w:r w:rsidRPr="00EA4F0E">
        <w:br/>
        <w:t>Erik Wennerström</w:t>
      </w:r>
      <w:r w:rsidRPr="00EA4F0E">
        <w:rPr>
          <w:iCs/>
        </w:rPr>
        <w:t>,</w:t>
      </w:r>
      <w:r w:rsidRPr="00EA4F0E">
        <w:rPr>
          <w:i/>
        </w:rPr>
        <w:t xml:space="preserve"> </w:t>
      </w:r>
      <w:r w:rsidR="0086531E" w:rsidRPr="00EA4F0E">
        <w:rPr>
          <w:i/>
        </w:rPr>
        <w:t>S</w:t>
      </w:r>
      <w:r w:rsidRPr="00EA4F0E">
        <w:rPr>
          <w:i/>
        </w:rPr>
        <w:t>ędziowie</w:t>
      </w:r>
      <w:r w:rsidRPr="00EA4F0E">
        <w:t>,</w:t>
      </w:r>
    </w:p>
    <w:p w14:paraId="769F491A" w14:textId="77777777" w:rsidR="00606600" w:rsidRPr="00EA4F0E" w:rsidRDefault="00000000" w:rsidP="005A198A">
      <w:pPr>
        <w:pStyle w:val="JuJudges"/>
      </w:pPr>
      <w:r w:rsidRPr="00EA4F0E">
        <w:t xml:space="preserve">oraz Viktoriya Maradudina, </w:t>
      </w:r>
      <w:r w:rsidRPr="00EA4F0E">
        <w:rPr>
          <w:i/>
        </w:rPr>
        <w:t>p.o. Zastępcy Kanclerza Sekcji</w:t>
      </w:r>
      <w:r w:rsidRPr="00EA4F0E">
        <w:rPr>
          <w:iCs/>
        </w:rPr>
        <w:t>,</w:t>
      </w:r>
    </w:p>
    <w:p w14:paraId="57C45F8F" w14:textId="18757B3C" w:rsidR="00606600" w:rsidRPr="00EA4F0E" w:rsidRDefault="00000000" w:rsidP="005A198A">
      <w:pPr>
        <w:pStyle w:val="JuPara"/>
      </w:pPr>
      <w:r w:rsidRPr="00EA4F0E">
        <w:t>obradując na posiedzeniu niejawnym w dniu 19 września 2024</w:t>
      </w:r>
      <w:r w:rsidR="00F624E2" w:rsidRPr="00EA4F0E">
        <w:t> </w:t>
      </w:r>
      <w:r w:rsidRPr="00EA4F0E">
        <w:t>r.,</w:t>
      </w:r>
    </w:p>
    <w:p w14:paraId="2392C732" w14:textId="77777777" w:rsidR="00606600" w:rsidRPr="00EA4F0E" w:rsidRDefault="00000000" w:rsidP="005A198A">
      <w:pPr>
        <w:pStyle w:val="JuPara"/>
      </w:pPr>
      <w:r w:rsidRPr="00EA4F0E">
        <w:t>wydaje następujący wyrok, który został przyjęty w tym dniu:</w:t>
      </w:r>
    </w:p>
    <w:p w14:paraId="50F07F43" w14:textId="77777777" w:rsidR="000E39C0" w:rsidRPr="00EA4F0E" w:rsidRDefault="00000000" w:rsidP="005A198A">
      <w:pPr>
        <w:pStyle w:val="JuHHead"/>
      </w:pPr>
      <w:bookmarkStart w:id="1" w:name="ITMARKStartJudgment"/>
      <w:bookmarkEnd w:id="1"/>
      <w:r w:rsidRPr="00EA4F0E">
        <w:t>POSTĘPOWANIE</w:t>
      </w:r>
    </w:p>
    <w:p w14:paraId="354F0CB9" w14:textId="47238391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1</w:t>
      </w:r>
      <w:r w:rsidRPr="00EA4F0E">
        <w:rPr>
          <w:noProof/>
        </w:rPr>
        <w:fldChar w:fldCharType="end"/>
      </w:r>
      <w:r w:rsidRPr="00EA4F0E">
        <w:t>.  Sprawa wywodzi się ze skargi przeciwko Polsce, wniesionej do Trybunału w dniu 10 marca 2021</w:t>
      </w:r>
      <w:r w:rsidR="00F624E2" w:rsidRPr="00EA4F0E">
        <w:t> </w:t>
      </w:r>
      <w:r w:rsidRPr="00EA4F0E">
        <w:t>r. na podstawie art.</w:t>
      </w:r>
      <w:r w:rsidR="00F624E2" w:rsidRPr="00EA4F0E">
        <w:t> </w:t>
      </w:r>
      <w:r w:rsidRPr="00EA4F0E">
        <w:t>34 Konwencji o</w:t>
      </w:r>
      <w:r w:rsidR="00F624E2" w:rsidRPr="00EA4F0E">
        <w:t> </w:t>
      </w:r>
      <w:r w:rsidRPr="00EA4F0E">
        <w:t>ochronie praw człowieka i podstawowych wolności („Konwencj</w:t>
      </w:r>
      <w:r w:rsidR="0086531E" w:rsidRPr="00EA4F0E">
        <w:t>a</w:t>
      </w:r>
      <w:r w:rsidRPr="00EA4F0E">
        <w:t>”).</w:t>
      </w:r>
    </w:p>
    <w:p w14:paraId="34A7F7D0" w14:textId="78AA050A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2</w:t>
      </w:r>
      <w:r w:rsidRPr="00EA4F0E">
        <w:rPr>
          <w:noProof/>
        </w:rPr>
        <w:fldChar w:fldCharType="end"/>
      </w:r>
      <w:r w:rsidRPr="00EA4F0E">
        <w:t>.  </w:t>
      </w:r>
      <w:bookmarkStart w:id="2" w:name="_Hlk180152278"/>
      <w:r w:rsidR="00F624E2" w:rsidRPr="00EA4F0E">
        <w:t>Skarga została zakomunikowana Rządowi polskiemu („Rząd”)</w:t>
      </w:r>
      <w:bookmarkEnd w:id="2"/>
      <w:r w:rsidRPr="00EA4F0E">
        <w:t>.</w:t>
      </w:r>
    </w:p>
    <w:p w14:paraId="2ADAC1E7" w14:textId="77777777" w:rsidR="000E39C0" w:rsidRPr="00EA4F0E" w:rsidRDefault="00000000" w:rsidP="005A198A">
      <w:pPr>
        <w:pStyle w:val="JuHHead"/>
      </w:pPr>
      <w:r w:rsidRPr="00EA4F0E">
        <w:t>FAKTY</w:t>
      </w:r>
    </w:p>
    <w:p w14:paraId="254D7E81" w14:textId="4E0C7A8F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3</w:t>
      </w:r>
      <w:r w:rsidRPr="00EA4F0E">
        <w:rPr>
          <w:noProof/>
        </w:rPr>
        <w:fldChar w:fldCharType="end"/>
      </w:r>
      <w:r w:rsidRPr="00EA4F0E">
        <w:t>.  Dane skarżącego oraz informacje istotne dla skargi zostały przedstawione w załączonej tabeli.</w:t>
      </w:r>
    </w:p>
    <w:p w14:paraId="28FAEE8F" w14:textId="0EA0B91A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4</w:t>
      </w:r>
      <w:r w:rsidRPr="00EA4F0E">
        <w:rPr>
          <w:noProof/>
        </w:rPr>
        <w:fldChar w:fldCharType="end"/>
      </w:r>
      <w:r w:rsidRPr="00EA4F0E">
        <w:t>.  </w:t>
      </w:r>
      <w:r w:rsidRPr="00EA4F0E">
        <w:rPr>
          <w:color w:val="000000"/>
        </w:rPr>
        <w:t>Skarżący zarzucił przewlekłość postępowania karnego oraz brak skutecznego środka odwoławczego w prawie krajowym</w:t>
      </w:r>
      <w:r w:rsidRPr="00EA4F0E">
        <w:rPr>
          <w:bCs/>
          <w:color w:val="000000"/>
        </w:rPr>
        <w:t>.</w:t>
      </w:r>
    </w:p>
    <w:p w14:paraId="3D9EB9AB" w14:textId="77777777" w:rsidR="000E39C0" w:rsidRPr="00EA4F0E" w:rsidRDefault="00000000" w:rsidP="005A198A">
      <w:pPr>
        <w:pStyle w:val="JuHHead"/>
      </w:pPr>
      <w:r w:rsidRPr="00EA4F0E">
        <w:t>PRAWO</w:t>
      </w:r>
    </w:p>
    <w:p w14:paraId="0D45A72C" w14:textId="700C83F3" w:rsidR="000E39C0" w:rsidRPr="00EA4F0E" w:rsidRDefault="00000000" w:rsidP="005A198A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 w:rsidRPr="00EA4F0E">
        <w:t>WNIOSEK RZĄDU O SKREŚLENIE SKARG</w:t>
      </w:r>
      <w:r w:rsidR="008258E8" w:rsidRPr="00EA4F0E">
        <w:t>I</w:t>
      </w:r>
      <w:r w:rsidRPr="00EA4F0E">
        <w:t xml:space="preserve"> NA PODSTAWIE </w:t>
      </w:r>
      <w:r w:rsidR="008258E8" w:rsidRPr="00EA4F0E">
        <w:t>art.</w:t>
      </w:r>
      <w:r w:rsidR="00F624E2" w:rsidRPr="00EA4F0E">
        <w:t> </w:t>
      </w:r>
      <w:r w:rsidRPr="00EA4F0E">
        <w:t>37 UST.</w:t>
      </w:r>
      <w:r w:rsidR="00F624E2" w:rsidRPr="00EA4F0E">
        <w:t> </w:t>
      </w:r>
      <w:r w:rsidRPr="00EA4F0E">
        <w:t>1 KONWENCJI</w:t>
      </w:r>
    </w:p>
    <w:p w14:paraId="442AF27D" w14:textId="22768785" w:rsidR="000E39C0" w:rsidRPr="00EA4F0E" w:rsidRDefault="005A198A" w:rsidP="005A198A">
      <w:pPr>
        <w:pStyle w:val="JuPara"/>
        <w:rPr>
          <w:rFonts w:eastAsia="Times New Roman"/>
        </w:rPr>
      </w:pPr>
      <w:fldSimple w:instr=" SEQ level0 \*arabic \* MERGEFORMAT ">
        <w:r w:rsidR="00DA6CD2" w:rsidRPr="00EA4F0E">
          <w:rPr>
            <w:noProof/>
          </w:rPr>
          <w:t>5</w:t>
        </w:r>
      </w:fldSimple>
      <w:r w:rsidRPr="00EA4F0E">
        <w:t>.  Rząd przedłożył jednostronną deklarację, która nie stanowiła wystarczającej podstawy do stwierdzenia, że poszanowanie praw człowieka w rozumieniu Konwencji nie wymaga od Trybunału dalszego badania sprawy (art.</w:t>
      </w:r>
      <w:r w:rsidR="00F624E2" w:rsidRPr="00EA4F0E">
        <w:t> </w:t>
      </w:r>
      <w:r w:rsidRPr="00EA4F0E">
        <w:t>37 ust.</w:t>
      </w:r>
      <w:r w:rsidR="00F624E2" w:rsidRPr="00EA4F0E">
        <w:t> </w:t>
      </w:r>
      <w:r w:rsidRPr="00EA4F0E">
        <w:t xml:space="preserve">1 </w:t>
      </w:r>
      <w:r w:rsidRPr="00EA4F0E">
        <w:rPr>
          <w:i/>
        </w:rPr>
        <w:t>in fine</w:t>
      </w:r>
      <w:r w:rsidRPr="00EA4F0E">
        <w:t>). Trybunał odrzuca wniosek Rządu o skreślenie skargi i</w:t>
      </w:r>
      <w:r w:rsidR="00F624E2" w:rsidRPr="00EA4F0E">
        <w:t> </w:t>
      </w:r>
      <w:r w:rsidRPr="00EA4F0E">
        <w:t>w związku z tym będzie kontynuował badanie przedmiotu sprawy (zob.</w:t>
      </w:r>
      <w:r w:rsidR="00F624E2" w:rsidRPr="00EA4F0E">
        <w:t> </w:t>
      </w:r>
      <w:r w:rsidRPr="00EA4F0E">
        <w:rPr>
          <w:i/>
        </w:rPr>
        <w:t>Tahsin Acar przeciwko Turcji</w:t>
      </w:r>
      <w:r w:rsidRPr="00EA4F0E">
        <w:t xml:space="preserve"> (</w:t>
      </w:r>
      <w:r w:rsidR="009738EB" w:rsidRPr="00EA4F0E">
        <w:t>zastrzeżenia</w:t>
      </w:r>
      <w:r w:rsidRPr="00EA4F0E">
        <w:t xml:space="preserve"> wstępne) [WI], nr</w:t>
      </w:r>
      <w:r w:rsidR="00F624E2" w:rsidRPr="00EA4F0E">
        <w:t> </w:t>
      </w:r>
      <w:r w:rsidRPr="00EA4F0E">
        <w:t>26307/95, §</w:t>
      </w:r>
      <w:r w:rsidR="00F624E2" w:rsidRPr="00EA4F0E">
        <w:t> </w:t>
      </w:r>
      <w:r w:rsidRPr="00EA4F0E">
        <w:t>75, ETPCz 2003-VI).</w:t>
      </w:r>
    </w:p>
    <w:p w14:paraId="3EA58565" w14:textId="1BA8EB40" w:rsidR="000E39C0" w:rsidRPr="00EA4F0E" w:rsidRDefault="00000000" w:rsidP="005A198A">
      <w:pPr>
        <w:pStyle w:val="JuHIRoman"/>
        <w:rPr>
          <w:rFonts w:eastAsia="PMingLiU"/>
        </w:rPr>
      </w:pPr>
      <w:r w:rsidRPr="00EA4F0E">
        <w:t>ZARZUCANE NARUSZENIE ART. 6 UST. 1 I ART.</w:t>
      </w:r>
      <w:r w:rsidR="00F624E2" w:rsidRPr="00EA4F0E">
        <w:t> </w:t>
      </w:r>
      <w:r w:rsidRPr="00EA4F0E">
        <w:t>13 KONWENCJI</w:t>
      </w:r>
    </w:p>
    <w:p w14:paraId="6EFB4151" w14:textId="07090BF5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6</w:t>
      </w:r>
      <w:r w:rsidRPr="00EA4F0E">
        <w:rPr>
          <w:noProof/>
        </w:rPr>
        <w:fldChar w:fldCharType="end"/>
      </w:r>
      <w:r w:rsidRPr="00EA4F0E">
        <w:t xml:space="preserve">.  Skarżący zarzucił, że długość </w:t>
      </w:r>
      <w:r w:rsidR="0007157F" w:rsidRPr="00EA4F0E">
        <w:t xml:space="preserve">przedmiotowego </w:t>
      </w:r>
      <w:r w:rsidRPr="00EA4F0E">
        <w:t>postępowania karnego była niezgodna z wymogiem „rozsądnego terminu” i że w związku z tym był pozbawiony skutecznego środka odwoławczego. Powołał się na art. 6 ust.</w:t>
      </w:r>
      <w:r w:rsidR="00F624E2" w:rsidRPr="00EA4F0E">
        <w:t> </w:t>
      </w:r>
      <w:r w:rsidRPr="00EA4F0E">
        <w:t>1 i</w:t>
      </w:r>
      <w:r w:rsidR="00F624E2" w:rsidRPr="00EA4F0E">
        <w:t> </w:t>
      </w:r>
      <w:r w:rsidRPr="00EA4F0E">
        <w:t>art.</w:t>
      </w:r>
      <w:r w:rsidR="00F624E2" w:rsidRPr="00EA4F0E">
        <w:t> </w:t>
      </w:r>
      <w:r w:rsidRPr="00EA4F0E">
        <w:t>13 Konwencji.</w:t>
      </w:r>
    </w:p>
    <w:p w14:paraId="3805A129" w14:textId="17E9C99D" w:rsidR="000E39C0" w:rsidRPr="00EA4F0E" w:rsidRDefault="00DA6CD2" w:rsidP="005A198A">
      <w:pPr>
        <w:pStyle w:val="JuPara"/>
        <w:rPr>
          <w:strike/>
        </w:rPr>
      </w:pPr>
      <w:r w:rsidRPr="00EA4F0E">
        <w:lastRenderedPageBreak/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7</w:t>
      </w:r>
      <w:r w:rsidRPr="00EA4F0E">
        <w:rPr>
          <w:noProof/>
        </w:rPr>
        <w:fldChar w:fldCharType="end"/>
      </w:r>
      <w:r w:rsidRPr="00EA4F0E">
        <w:t xml:space="preserve">.  Trybunał </w:t>
      </w:r>
      <w:r w:rsidR="008726E0" w:rsidRPr="00EA4F0E">
        <w:t>przypomina</w:t>
      </w:r>
      <w:r w:rsidRPr="00EA4F0E">
        <w:t xml:space="preserve">, że rozsądny charakter </w:t>
      </w:r>
      <w:r w:rsidR="008726E0" w:rsidRPr="00EA4F0E">
        <w:t>długości</w:t>
      </w:r>
      <w:r w:rsidRPr="00EA4F0E">
        <w:t xml:space="preserve"> postępowania należy oceniać w świetle okoliczności sprawy i z uwzględnieniem następujących kryteriów: złożoności sprawy, zachowania skarżącego i</w:t>
      </w:r>
      <w:r w:rsidR="00F624E2" w:rsidRPr="00EA4F0E">
        <w:t> </w:t>
      </w:r>
      <w:r w:rsidRPr="00EA4F0E">
        <w:t>odpowiednich organów oraz znaczenia sprawy dla interesów skarżącego (zob. m.in. </w:t>
      </w:r>
      <w:r w:rsidRPr="00EA4F0E">
        <w:rPr>
          <w:i/>
        </w:rPr>
        <w:t>Pélissier i Sassi przeciwko Francji</w:t>
      </w:r>
      <w:r w:rsidRPr="00EA4F0E">
        <w:t xml:space="preserve"> [WI], nr 25444/94, § 67, ETPCz 1999</w:t>
      </w:r>
      <w:r w:rsidRPr="00EA4F0E">
        <w:noBreakHyphen/>
        <w:t xml:space="preserve">II, oraz </w:t>
      </w:r>
      <w:r w:rsidRPr="00EA4F0E">
        <w:rPr>
          <w:i/>
        </w:rPr>
        <w:t xml:space="preserve">Frydlender </w:t>
      </w:r>
      <w:r w:rsidRPr="00EA4F0E">
        <w:rPr>
          <w:i/>
          <w:iCs/>
        </w:rPr>
        <w:t>przeciwko Francji</w:t>
      </w:r>
      <w:r w:rsidRPr="00EA4F0E">
        <w:rPr>
          <w:i/>
        </w:rPr>
        <w:t xml:space="preserve"> </w:t>
      </w:r>
      <w:r w:rsidRPr="00EA4F0E">
        <w:t>[WI], nr 30979/96, § 43, ETPCz 2000</w:t>
      </w:r>
      <w:r w:rsidRPr="00EA4F0E">
        <w:noBreakHyphen/>
        <w:t>VII).</w:t>
      </w:r>
    </w:p>
    <w:p w14:paraId="4B04688D" w14:textId="52F89624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8</w:t>
      </w:r>
      <w:r w:rsidRPr="00EA4F0E">
        <w:rPr>
          <w:noProof/>
        </w:rPr>
        <w:fldChar w:fldCharType="end"/>
      </w:r>
      <w:r w:rsidRPr="00EA4F0E">
        <w:t xml:space="preserve">.  Już w wiodącej sprawie </w:t>
      </w:r>
      <w:r w:rsidRPr="00EA4F0E">
        <w:rPr>
          <w:i/>
          <w:iCs/>
        </w:rPr>
        <w:t>Rutkowski i Inni przeciwko Polsce</w:t>
      </w:r>
      <w:r w:rsidRPr="00EA4F0E">
        <w:t>, nr 72287/10 i 2 inne, 7</w:t>
      </w:r>
      <w:r w:rsidR="00F624E2" w:rsidRPr="00EA4F0E">
        <w:t> </w:t>
      </w:r>
      <w:r w:rsidRPr="00EA4F0E">
        <w:t>lipca 2015</w:t>
      </w:r>
      <w:r w:rsidR="00F624E2" w:rsidRPr="00EA4F0E">
        <w:t> </w:t>
      </w:r>
      <w:r w:rsidRPr="00EA4F0E">
        <w:t>r., Trybunał stwierdził naruszenie art.</w:t>
      </w:r>
      <w:r w:rsidR="002A5CD8" w:rsidRPr="00EA4F0E">
        <w:t> </w:t>
      </w:r>
      <w:r w:rsidRPr="00EA4F0E">
        <w:t>6</w:t>
      </w:r>
      <w:r w:rsidR="00F624E2" w:rsidRPr="00EA4F0E">
        <w:t> </w:t>
      </w:r>
      <w:r w:rsidRPr="00EA4F0E">
        <w:t>Konwencji w odniesieniu do długości postępowania sądowego.</w:t>
      </w:r>
    </w:p>
    <w:p w14:paraId="032BCE15" w14:textId="03351A07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9</w:t>
      </w:r>
      <w:r w:rsidRPr="00EA4F0E">
        <w:rPr>
          <w:noProof/>
        </w:rPr>
        <w:fldChar w:fldCharType="end"/>
      </w:r>
      <w:r w:rsidRPr="00EA4F0E">
        <w:t xml:space="preserve">.  Po zapoznaniu się z </w:t>
      </w:r>
      <w:r w:rsidR="00F624E2" w:rsidRPr="00EA4F0E">
        <w:t>całym</w:t>
      </w:r>
      <w:r w:rsidRPr="00EA4F0E">
        <w:t xml:space="preserve"> przedstawion</w:t>
      </w:r>
      <w:r w:rsidR="00F624E2" w:rsidRPr="00EA4F0E">
        <w:t>ym</w:t>
      </w:r>
      <w:r w:rsidRPr="00EA4F0E">
        <w:t xml:space="preserve"> mu materiał</w:t>
      </w:r>
      <w:r w:rsidR="00F624E2" w:rsidRPr="00EA4F0E">
        <w:t>em</w:t>
      </w:r>
      <w:r w:rsidRPr="00EA4F0E">
        <w:t xml:space="preserve"> Trybunał nie ustalił </w:t>
      </w:r>
      <w:bookmarkStart w:id="3" w:name="_Hlk180152679"/>
      <w:r w:rsidRPr="00EA4F0E">
        <w:t>żadn</w:t>
      </w:r>
      <w:r w:rsidR="00260821" w:rsidRPr="00EA4F0E">
        <w:t>ych</w:t>
      </w:r>
      <w:r w:rsidRPr="00EA4F0E">
        <w:t xml:space="preserve"> </w:t>
      </w:r>
      <w:r w:rsidR="00260821" w:rsidRPr="00EA4F0E">
        <w:t>okoliczności faktycznych</w:t>
      </w:r>
      <w:r w:rsidRPr="00EA4F0E">
        <w:t xml:space="preserve"> ani argument</w:t>
      </w:r>
      <w:r w:rsidR="00260821" w:rsidRPr="00EA4F0E">
        <w:t>ów</w:t>
      </w:r>
      <w:r w:rsidRPr="00EA4F0E">
        <w:t xml:space="preserve"> </w:t>
      </w:r>
      <w:bookmarkEnd w:id="3"/>
      <w:r w:rsidRPr="00EA4F0E">
        <w:t>mogąc</w:t>
      </w:r>
      <w:r w:rsidR="00260821" w:rsidRPr="00EA4F0E">
        <w:t>ych</w:t>
      </w:r>
      <w:r w:rsidRPr="00EA4F0E">
        <w:t xml:space="preserve"> uzasadnić łączną długość postępowania na poziomie krajowym. Mając na względzie swoje orzecznictwo</w:t>
      </w:r>
      <w:r w:rsidR="008726E0" w:rsidRPr="00EA4F0E">
        <w:t xml:space="preserve"> w tym przedmiocie</w:t>
      </w:r>
      <w:r w:rsidRPr="00EA4F0E">
        <w:t>, Trybunał stwierdza, że długość postępowania w przedmiotowej sprawie była nadmierna i nie spełniała wymogu „rozsądnego terminu”.</w:t>
      </w:r>
    </w:p>
    <w:p w14:paraId="428D9B79" w14:textId="0CC69AE7" w:rsidR="000E39C0" w:rsidRPr="00EA4F0E" w:rsidRDefault="005A198A" w:rsidP="005A198A">
      <w:pPr>
        <w:pStyle w:val="JuPara"/>
      </w:pPr>
      <w:fldSimple w:instr=" SEQ level0 \*arabic \* MERGEFORMAT ">
        <w:r w:rsidR="00DA6CD2" w:rsidRPr="00EA4F0E">
          <w:rPr>
            <w:noProof/>
          </w:rPr>
          <w:t>10</w:t>
        </w:r>
      </w:fldSimple>
      <w:r w:rsidRPr="00EA4F0E">
        <w:t>.  Trybunał zauważa ponadto, że skarżący nie miał do dyspozycji skutecznego środka odwoławczego w odniesieniu do tych skarg.</w:t>
      </w:r>
    </w:p>
    <w:p w14:paraId="4D92525E" w14:textId="60F59BAB" w:rsidR="000E39C0" w:rsidRPr="00EA4F0E" w:rsidRDefault="00DA6CD2" w:rsidP="005A198A">
      <w:pPr>
        <w:pStyle w:val="JuPara"/>
      </w:pPr>
      <w:r w:rsidRPr="00EA4F0E">
        <w:fldChar w:fldCharType="begin"/>
      </w:r>
      <w:r w:rsidRPr="00EA4F0E">
        <w:instrText xml:space="preserve"> SEQ level0 \*arabic </w:instrText>
      </w:r>
      <w:r w:rsidRPr="00EA4F0E">
        <w:fldChar w:fldCharType="separate"/>
      </w:r>
      <w:r w:rsidRPr="00EA4F0E">
        <w:rPr>
          <w:noProof/>
        </w:rPr>
        <w:t>11</w:t>
      </w:r>
      <w:r w:rsidRPr="00EA4F0E">
        <w:rPr>
          <w:noProof/>
        </w:rPr>
        <w:fldChar w:fldCharType="end"/>
      </w:r>
      <w:r w:rsidRPr="00EA4F0E">
        <w:t>.  Skargi te są zatem dopuszczalne i ujawniają naruszenie art.</w:t>
      </w:r>
      <w:r w:rsidR="00F624E2" w:rsidRPr="00EA4F0E">
        <w:t> </w:t>
      </w:r>
      <w:r w:rsidRPr="00EA4F0E">
        <w:t>6 ust.</w:t>
      </w:r>
      <w:r w:rsidR="00F624E2" w:rsidRPr="00EA4F0E">
        <w:t> </w:t>
      </w:r>
      <w:r w:rsidRPr="00EA4F0E">
        <w:t>1 oraz art.</w:t>
      </w:r>
      <w:r w:rsidR="00F624E2" w:rsidRPr="00EA4F0E">
        <w:t> </w:t>
      </w:r>
      <w:r w:rsidRPr="00EA4F0E">
        <w:t>13 Konwencji.</w:t>
      </w:r>
    </w:p>
    <w:p w14:paraId="016EAFBA" w14:textId="77777777" w:rsidR="000E39C0" w:rsidRPr="00EA4F0E" w:rsidRDefault="00000000" w:rsidP="005A198A">
      <w:pPr>
        <w:pStyle w:val="JuHIRoman"/>
      </w:pPr>
      <w:r w:rsidRPr="00EA4F0E">
        <w:t>ZASTOSOWANIE ART. 41 KONWENCJI</w:t>
      </w:r>
    </w:p>
    <w:p w14:paraId="0E58224E" w14:textId="2C03FB07" w:rsidR="000E39C0" w:rsidRPr="00EA4F0E" w:rsidRDefault="005A198A" w:rsidP="005A198A">
      <w:pPr>
        <w:pStyle w:val="JuPara"/>
      </w:pPr>
      <w:fldSimple w:instr=" SEQ level0 \*arabic \* MERGEFORMAT ">
        <w:r w:rsidR="00DA6CD2" w:rsidRPr="00EA4F0E">
          <w:rPr>
            <w:noProof/>
          </w:rPr>
          <w:t>12</w:t>
        </w:r>
      </w:fldSimple>
      <w:r w:rsidRPr="00EA4F0E">
        <w:t xml:space="preserve">.  Uwzględniając dokumenty znajdujące się w jego posiadaniu oraz swoje orzecznictwo (zob. w szczególności </w:t>
      </w:r>
      <w:r w:rsidR="007D33EA" w:rsidRPr="00EA4F0E">
        <w:t xml:space="preserve">ww. wyrok w sprawie </w:t>
      </w:r>
      <w:r w:rsidRPr="00EA4F0E">
        <w:rPr>
          <w:i/>
          <w:iCs/>
        </w:rPr>
        <w:t>Rutkowski i Inni</w:t>
      </w:r>
      <w:r w:rsidRPr="00EA4F0E">
        <w:t>), Trybunał uważa za zasadne zasądzenie kwot wskazanych w</w:t>
      </w:r>
      <w:r w:rsidR="00EA4F0E">
        <w:t> </w:t>
      </w:r>
      <w:r w:rsidRPr="00EA4F0E">
        <w:t>załączonej tabeli.</w:t>
      </w:r>
    </w:p>
    <w:p w14:paraId="6628B27F" w14:textId="77777777" w:rsidR="000E39C0" w:rsidRPr="00EA4F0E" w:rsidRDefault="00000000" w:rsidP="005A198A">
      <w:pPr>
        <w:pStyle w:val="JuHHead"/>
      </w:pPr>
      <w:r w:rsidRPr="00EA4F0E">
        <w:t>Z POWYŻSZYCH WZGLĘDÓW TRYBUNAŁ JEDNOGŁOŚNIE</w:t>
      </w:r>
    </w:p>
    <w:p w14:paraId="4254A544" w14:textId="77777777" w:rsidR="000E39C0" w:rsidRPr="00EA4F0E" w:rsidRDefault="00000000" w:rsidP="005A198A">
      <w:pPr>
        <w:pStyle w:val="JuList"/>
      </w:pPr>
      <w:r w:rsidRPr="00EA4F0E">
        <w:rPr>
          <w:i/>
          <w:iCs/>
        </w:rPr>
        <w:t>oddala</w:t>
      </w:r>
      <w:r w:rsidRPr="00EA4F0E">
        <w:t xml:space="preserve"> wniosek Rządu o skreślenie skargi z listy;</w:t>
      </w:r>
    </w:p>
    <w:p w14:paraId="4454EBE2" w14:textId="77777777" w:rsidR="000E39C0" w:rsidRPr="00EA4F0E" w:rsidRDefault="00000000" w:rsidP="005A198A">
      <w:pPr>
        <w:pStyle w:val="JuList"/>
      </w:pPr>
      <w:r w:rsidRPr="00EA4F0E">
        <w:rPr>
          <w:i/>
        </w:rPr>
        <w:t>uznaje</w:t>
      </w:r>
      <w:r w:rsidRPr="00EA4F0E">
        <w:t xml:space="preserve"> skargę za dopuszczalną;</w:t>
      </w:r>
    </w:p>
    <w:p w14:paraId="08EA1033" w14:textId="0272AACB" w:rsidR="000E39C0" w:rsidRPr="00EA4F0E" w:rsidRDefault="00000000" w:rsidP="005A198A">
      <w:pPr>
        <w:pStyle w:val="JuList"/>
      </w:pPr>
      <w:r w:rsidRPr="00EA4F0E">
        <w:rPr>
          <w:i/>
          <w:iCs/>
        </w:rPr>
        <w:t>stwierdza</w:t>
      </w:r>
      <w:r w:rsidRPr="00EA4F0E">
        <w:t>, że skarga ujawnia naruszenie art.</w:t>
      </w:r>
      <w:r w:rsidR="00F624E2" w:rsidRPr="00EA4F0E">
        <w:t> </w:t>
      </w:r>
      <w:r w:rsidRPr="00EA4F0E">
        <w:t>6 ust.</w:t>
      </w:r>
      <w:r w:rsidR="00F624E2" w:rsidRPr="00EA4F0E">
        <w:t> </w:t>
      </w:r>
      <w:r w:rsidRPr="00EA4F0E">
        <w:t>1 i art.</w:t>
      </w:r>
      <w:r w:rsidR="00F624E2" w:rsidRPr="00EA4F0E">
        <w:t> </w:t>
      </w:r>
      <w:r w:rsidRPr="00EA4F0E">
        <w:t xml:space="preserve">13 Konwencji dotyczące przewlekłości postępowania karnego i braku skutecznego </w:t>
      </w:r>
      <w:r w:rsidR="001F42ED" w:rsidRPr="00EA4F0E">
        <w:t xml:space="preserve">krajowego </w:t>
      </w:r>
      <w:r w:rsidRPr="00EA4F0E">
        <w:t xml:space="preserve">środka odwoławczego w </w:t>
      </w:r>
      <w:r w:rsidR="001F42ED" w:rsidRPr="00EA4F0E">
        <w:t>tym zakresie</w:t>
      </w:r>
      <w:r w:rsidRPr="00EA4F0E">
        <w:t>;</w:t>
      </w:r>
    </w:p>
    <w:p w14:paraId="167C38DD" w14:textId="77777777" w:rsidR="000E39C0" w:rsidRPr="00EA4F0E" w:rsidRDefault="00000000" w:rsidP="005A198A">
      <w:pPr>
        <w:pStyle w:val="JuList"/>
      </w:pPr>
      <w:r w:rsidRPr="00EA4F0E">
        <w:rPr>
          <w:i/>
          <w:iCs/>
        </w:rPr>
        <w:t>stwierdza</w:t>
      </w:r>
    </w:p>
    <w:p w14:paraId="369E42F0" w14:textId="050253BA" w:rsidR="000E39C0" w:rsidRPr="00EA4F0E" w:rsidRDefault="00000000" w:rsidP="005A198A">
      <w:pPr>
        <w:pStyle w:val="JuLista"/>
      </w:pPr>
      <w:r w:rsidRPr="00EA4F0E">
        <w:t>że pozwane państwo winno, w terminie trzech miesięcy, uiścić na rzecz skarżącego kwotę wskazaną w załączonej tabeli, przeliczoną na walutę pozwanego państwa według kursu obowiązującego w dniu płatności</w:t>
      </w:r>
      <w:r w:rsidR="00F037F0" w:rsidRPr="00EA4F0E">
        <w:t>;</w:t>
      </w:r>
    </w:p>
    <w:p w14:paraId="707AC40E" w14:textId="77777777" w:rsidR="000E39C0" w:rsidRPr="00EA4F0E" w:rsidRDefault="00000000" w:rsidP="005A198A">
      <w:pPr>
        <w:pStyle w:val="JuLista"/>
        <w:rPr>
          <w:specVanish/>
        </w:rPr>
      </w:pPr>
      <w:r w:rsidRPr="00EA4F0E">
        <w:lastRenderedPageBreak/>
        <w:t>że od upływu wyżej wskazanego terminu trzech miesięcy aż do momentu uregulowania należności, należne będą odsetki zwykłe od kwoty wskazanej w załączonej tabeli, naliczone według stopy równej marginalnej stopie procentowej Europejskiego Banku Centralnego obowiązującej w tym okresie, powiększonej o trzy punkty procentowe.</w:t>
      </w:r>
    </w:p>
    <w:p w14:paraId="30C0493E" w14:textId="4B198B6A" w:rsidR="00606600" w:rsidRPr="00EA4F0E" w:rsidRDefault="00000000" w:rsidP="005A198A">
      <w:pPr>
        <w:pStyle w:val="JuParaLast"/>
      </w:pPr>
      <w:r w:rsidRPr="00EA4F0E">
        <w:t>Sporządzono w języku angielskim i obwieszczono pisemnie w dniu 10</w:t>
      </w:r>
      <w:r w:rsidR="00F624E2" w:rsidRPr="00EA4F0E">
        <w:t> </w:t>
      </w:r>
      <w:r w:rsidRPr="00EA4F0E">
        <w:t>października 2024 r. zgodnie z Regułą 77 § 2 i 3 Regulaminu Trybunału.</w:t>
      </w:r>
    </w:p>
    <w:p w14:paraId="5BC6A89D" w14:textId="0B715E1E" w:rsidR="00B91668" w:rsidRPr="00EA4F0E" w:rsidRDefault="00000000" w:rsidP="005A198A">
      <w:pPr>
        <w:pStyle w:val="JuSigned"/>
        <w:rPr>
          <w:rFonts w:eastAsia="PMingLiU"/>
        </w:rPr>
      </w:pPr>
      <w:r w:rsidRPr="00EA4F0E">
        <w:tab/>
        <w:t xml:space="preserve">Viktoriya Maradudina </w:t>
      </w:r>
      <w:r w:rsidR="00DA6CD2" w:rsidRPr="00EA4F0E">
        <w:tab/>
      </w:r>
      <w:r w:rsidRPr="00EA4F0E">
        <w:t>Lətif Hüseynov</w:t>
      </w:r>
      <w:r w:rsidRPr="00EA4F0E">
        <w:br/>
        <w:t xml:space="preserve">p.o. Zastępcy Kanclerza Sekcji </w:t>
      </w:r>
      <w:r w:rsidR="00DA6CD2" w:rsidRPr="00EA4F0E">
        <w:tab/>
      </w:r>
      <w:r w:rsidRPr="00EA4F0E">
        <w:t>Przewodniczący</w:t>
      </w:r>
      <w:r w:rsidRPr="00EA4F0E">
        <w:br/>
      </w:r>
    </w:p>
    <w:p w14:paraId="6F3F67BF" w14:textId="77777777" w:rsidR="00BD554D" w:rsidRPr="00EA4F0E" w:rsidRDefault="00BD554D" w:rsidP="005A198A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6E7C0CFC" w14:textId="77777777" w:rsidR="00606600" w:rsidRPr="00EA4F0E" w:rsidRDefault="00606600" w:rsidP="005A198A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280B1077" w14:textId="77777777" w:rsidR="00606600" w:rsidRPr="00EA4F0E" w:rsidRDefault="00606600" w:rsidP="005A198A">
      <w:pPr>
        <w:pStyle w:val="JuParaLast"/>
        <w:sectPr w:rsidR="00606600" w:rsidRPr="00EA4F0E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B8374E1" w14:textId="77777777" w:rsidR="00606600" w:rsidRPr="00EA4F0E" w:rsidRDefault="00000000" w:rsidP="005A198A">
      <w:pPr>
        <w:pStyle w:val="DecHTitle"/>
      </w:pPr>
      <w:r w:rsidRPr="00EA4F0E">
        <w:lastRenderedPageBreak/>
        <w:t>ZAŁĄCZNIK</w:t>
      </w:r>
    </w:p>
    <w:p w14:paraId="0D27B8CD" w14:textId="35DF54EE" w:rsidR="00606600" w:rsidRPr="00EA4F0E" w:rsidRDefault="00000000" w:rsidP="005A198A">
      <w:pPr>
        <w:pStyle w:val="DecHCase"/>
        <w:contextualSpacing/>
        <w:rPr>
          <w:b/>
          <w:i/>
          <w:color w:val="3E3E3E" w:themeColor="background2" w:themeShade="40"/>
        </w:rPr>
      </w:pPr>
      <w:r w:rsidRPr="00EA4F0E">
        <w:rPr>
          <w:color w:val="3E3E3E" w:themeColor="background2" w:themeShade="40"/>
        </w:rPr>
        <w:t>Skarga zawierająca zarzuty na podstawie art.</w:t>
      </w:r>
      <w:r w:rsidR="00F624E2" w:rsidRPr="00EA4F0E">
        <w:rPr>
          <w:color w:val="3E3E3E" w:themeColor="background2" w:themeShade="40"/>
        </w:rPr>
        <w:t> </w:t>
      </w:r>
      <w:r w:rsidRPr="00EA4F0E">
        <w:rPr>
          <w:color w:val="3E3E3E" w:themeColor="background2" w:themeShade="40"/>
        </w:rPr>
        <w:t>6 ust.</w:t>
      </w:r>
      <w:r w:rsidR="00F624E2" w:rsidRPr="00EA4F0E">
        <w:rPr>
          <w:color w:val="3E3E3E" w:themeColor="background2" w:themeShade="40"/>
        </w:rPr>
        <w:t> </w:t>
      </w:r>
      <w:r w:rsidRPr="00EA4F0E">
        <w:rPr>
          <w:color w:val="3E3E3E" w:themeColor="background2" w:themeShade="40"/>
        </w:rPr>
        <w:t>1 i art.</w:t>
      </w:r>
      <w:r w:rsidR="00F624E2" w:rsidRPr="00EA4F0E">
        <w:rPr>
          <w:color w:val="3E3E3E" w:themeColor="background2" w:themeShade="40"/>
        </w:rPr>
        <w:t> </w:t>
      </w:r>
      <w:r w:rsidRPr="00EA4F0E">
        <w:rPr>
          <w:color w:val="3E3E3E" w:themeColor="background2" w:themeShade="40"/>
        </w:rPr>
        <w:t>13 Konwencji</w:t>
      </w:r>
    </w:p>
    <w:p w14:paraId="47E95AE0" w14:textId="77777777" w:rsidR="00606600" w:rsidRPr="00EA4F0E" w:rsidRDefault="00000000" w:rsidP="005A198A">
      <w:pPr>
        <w:pStyle w:val="DecHCase"/>
        <w:contextualSpacing/>
        <w:rPr>
          <w:color w:val="3E3E3E" w:themeColor="background2" w:themeShade="40"/>
        </w:rPr>
      </w:pPr>
      <w:r w:rsidRPr="00EA4F0E">
        <w:rPr>
          <w:color w:val="3E3E3E" w:themeColor="background2" w:themeShade="40"/>
        </w:rPr>
        <w:t>(przewlekłość postępowania karnego oraz brak skutecznego środka odwoławczego w prawie krajowym)</w:t>
      </w:r>
    </w:p>
    <w:p w14:paraId="5E502B60" w14:textId="77777777" w:rsidR="00522E7C" w:rsidRPr="00EA4F0E" w:rsidRDefault="00522E7C" w:rsidP="005A198A">
      <w:pPr>
        <w:pStyle w:val="JuPara"/>
      </w:pPr>
    </w:p>
    <w:tbl>
      <w:tblPr>
        <w:tblStyle w:val="ECHRListTable"/>
        <w:tblW w:w="13603" w:type="dxa"/>
        <w:jc w:val="center"/>
        <w:tblLook w:val="0420" w:firstRow="1" w:lastRow="0" w:firstColumn="0" w:lastColumn="0" w:noHBand="0" w:noVBand="1"/>
      </w:tblPr>
      <w:tblGrid>
        <w:gridCol w:w="1696"/>
        <w:gridCol w:w="1843"/>
        <w:gridCol w:w="1559"/>
        <w:gridCol w:w="1363"/>
        <w:gridCol w:w="1898"/>
        <w:gridCol w:w="2409"/>
        <w:gridCol w:w="2835"/>
      </w:tblGrid>
      <w:tr w:rsidR="009D0BD0" w:rsidRPr="00EA4F0E" w14:paraId="417F8BC4" w14:textId="77777777" w:rsidTr="009D0B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696" w:type="dxa"/>
          </w:tcPr>
          <w:p w14:paraId="449CE036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bookmarkStart w:id="4" w:name="WECLListStart"/>
            <w:bookmarkEnd w:id="4"/>
            <w:r w:rsidRPr="00EA4F0E">
              <w:rPr>
                <w:sz w:val="16"/>
              </w:rPr>
              <w:t>Nr skargi</w:t>
            </w:r>
          </w:p>
          <w:p w14:paraId="51524564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Data złożenia</w:t>
            </w:r>
          </w:p>
        </w:tc>
        <w:tc>
          <w:tcPr>
            <w:tcW w:w="1843" w:type="dxa"/>
          </w:tcPr>
          <w:p w14:paraId="5C3CFBFF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Imię i nazwisko skarżącego</w:t>
            </w:r>
          </w:p>
          <w:p w14:paraId="2A9C4A58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Rok urodzenia</w:t>
            </w:r>
          </w:p>
          <w:p w14:paraId="48DCCA3D" w14:textId="77777777" w:rsidR="0018211E" w:rsidRPr="00EA4F0E" w:rsidRDefault="0018211E" w:rsidP="005A198A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</w:tcPr>
          <w:p w14:paraId="59476FCF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Wszczęcie postępowania</w:t>
            </w:r>
          </w:p>
        </w:tc>
        <w:tc>
          <w:tcPr>
            <w:tcW w:w="1363" w:type="dxa"/>
          </w:tcPr>
          <w:p w14:paraId="24993663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Zakończenie postępowania</w:t>
            </w:r>
          </w:p>
        </w:tc>
        <w:tc>
          <w:tcPr>
            <w:tcW w:w="1898" w:type="dxa"/>
          </w:tcPr>
          <w:p w14:paraId="24C833CE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Łączny czas trwania</w:t>
            </w:r>
          </w:p>
          <w:p w14:paraId="2F783663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Instancje</w:t>
            </w:r>
          </w:p>
        </w:tc>
        <w:tc>
          <w:tcPr>
            <w:tcW w:w="2409" w:type="dxa"/>
          </w:tcPr>
          <w:p w14:paraId="31CB318F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Decyzja krajowa w sprawie skargi na mocy ustawy z 2004 r.</w:t>
            </w:r>
          </w:p>
          <w:p w14:paraId="5B38FA43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Kwota zasądzona przez sąd krajowy (w PLN)</w:t>
            </w:r>
          </w:p>
        </w:tc>
        <w:tc>
          <w:tcPr>
            <w:tcW w:w="2835" w:type="dxa"/>
          </w:tcPr>
          <w:p w14:paraId="33E5C8D6" w14:textId="70A30B51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 xml:space="preserve">Kwota zasądzona tytułem </w:t>
            </w:r>
            <w:r w:rsidR="00190D04" w:rsidRPr="00EA4F0E">
              <w:rPr>
                <w:sz w:val="16"/>
              </w:rPr>
              <w:t xml:space="preserve">odszkodowania za </w:t>
            </w:r>
            <w:r w:rsidRPr="00EA4F0E">
              <w:rPr>
                <w:sz w:val="16"/>
              </w:rPr>
              <w:t>szkod</w:t>
            </w:r>
            <w:r w:rsidR="00190D04" w:rsidRPr="00EA4F0E">
              <w:rPr>
                <w:sz w:val="16"/>
              </w:rPr>
              <w:t>ę</w:t>
            </w:r>
            <w:r w:rsidR="00865FCA" w:rsidRPr="00EA4F0E">
              <w:rPr>
                <w:sz w:val="16"/>
              </w:rPr>
              <w:t xml:space="preserve"> majątkow</w:t>
            </w:r>
            <w:r w:rsidR="00190D04" w:rsidRPr="00EA4F0E">
              <w:rPr>
                <w:sz w:val="16"/>
              </w:rPr>
              <w:t>ą</w:t>
            </w:r>
            <w:r w:rsidR="00865FCA" w:rsidRPr="00EA4F0E">
              <w:rPr>
                <w:sz w:val="16"/>
              </w:rPr>
              <w:t xml:space="preserve"> i</w:t>
            </w:r>
            <w:r w:rsidRPr="00EA4F0E">
              <w:rPr>
                <w:sz w:val="16"/>
              </w:rPr>
              <w:t xml:space="preserve"> </w:t>
            </w:r>
            <w:r w:rsidR="00190D04" w:rsidRPr="00EA4F0E">
              <w:rPr>
                <w:sz w:val="16"/>
              </w:rPr>
              <w:t xml:space="preserve">zadośćuczynienia za szkodę </w:t>
            </w:r>
            <w:r w:rsidRPr="00EA4F0E">
              <w:rPr>
                <w:sz w:val="16"/>
              </w:rPr>
              <w:t>niemajątkow</w:t>
            </w:r>
            <w:r w:rsidR="00190D04" w:rsidRPr="00EA4F0E">
              <w:rPr>
                <w:sz w:val="16"/>
              </w:rPr>
              <w:t>ą</w:t>
            </w:r>
            <w:r w:rsidRPr="00EA4F0E">
              <w:rPr>
                <w:sz w:val="16"/>
              </w:rPr>
              <w:t xml:space="preserve"> oraz zwrotu kosztów </w:t>
            </w:r>
            <w:r w:rsidR="00865FCA" w:rsidRPr="00EA4F0E">
              <w:rPr>
                <w:sz w:val="16"/>
              </w:rPr>
              <w:t xml:space="preserve">i wydatków </w:t>
            </w:r>
            <w:r w:rsidRPr="00EA4F0E">
              <w:rPr>
                <w:sz w:val="16"/>
              </w:rPr>
              <w:t>na jednego skarżącego</w:t>
            </w:r>
          </w:p>
          <w:p w14:paraId="1156942F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(w EUR)</w:t>
            </w:r>
            <w:r w:rsidRPr="00EA4F0E">
              <w:rPr>
                <w:rStyle w:val="Odwoanieprzypisudolnego"/>
                <w:sz w:val="16"/>
              </w:rPr>
              <w:footnoteReference w:id="1"/>
            </w:r>
          </w:p>
        </w:tc>
      </w:tr>
      <w:tr w:rsidR="009D0BD0" w:rsidRPr="00EA4F0E" w14:paraId="3E927D01" w14:textId="77777777" w:rsidTr="009D0BD0">
        <w:trPr>
          <w:jc w:val="center"/>
        </w:trPr>
        <w:tc>
          <w:tcPr>
            <w:tcW w:w="1696" w:type="dxa"/>
          </w:tcPr>
          <w:p w14:paraId="5521BCFD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14896/21</w:t>
            </w:r>
          </w:p>
          <w:p w14:paraId="0A5C0723" w14:textId="054C0A93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10.03.2021</w:t>
            </w:r>
            <w:r w:rsidR="00F624E2" w:rsidRPr="00EA4F0E">
              <w:rPr>
                <w:sz w:val="16"/>
              </w:rPr>
              <w:t> </w:t>
            </w:r>
            <w:r w:rsidRPr="00EA4F0E">
              <w:rPr>
                <w:sz w:val="16"/>
              </w:rPr>
              <w:t>r.</w:t>
            </w:r>
          </w:p>
        </w:tc>
        <w:tc>
          <w:tcPr>
            <w:tcW w:w="1843" w:type="dxa"/>
          </w:tcPr>
          <w:p w14:paraId="078A794C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b/>
                <w:sz w:val="16"/>
              </w:rPr>
              <w:t>Sebastian LEŚNIEWSKI</w:t>
            </w:r>
          </w:p>
          <w:p w14:paraId="665C1932" w14:textId="62584012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1980</w:t>
            </w:r>
            <w:r w:rsidR="00F624E2" w:rsidRPr="00EA4F0E">
              <w:rPr>
                <w:sz w:val="16"/>
              </w:rPr>
              <w:t> </w:t>
            </w:r>
            <w:r w:rsidR="00865FCA" w:rsidRPr="00EA4F0E">
              <w:rPr>
                <w:sz w:val="16"/>
              </w:rPr>
              <w:t>r.</w:t>
            </w:r>
          </w:p>
          <w:p w14:paraId="763F8307" w14:textId="77777777" w:rsidR="0018211E" w:rsidRPr="00EA4F0E" w:rsidRDefault="0018211E" w:rsidP="005A198A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</w:tcPr>
          <w:p w14:paraId="7D92AB03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27.03.2002 r.</w:t>
            </w:r>
          </w:p>
          <w:p w14:paraId="7EB77B83" w14:textId="77777777" w:rsidR="0018211E" w:rsidRPr="00EA4F0E" w:rsidRDefault="0018211E" w:rsidP="005A198A">
            <w:pPr>
              <w:jc w:val="center"/>
              <w:rPr>
                <w:sz w:val="16"/>
              </w:rPr>
            </w:pPr>
          </w:p>
        </w:tc>
        <w:tc>
          <w:tcPr>
            <w:tcW w:w="1363" w:type="dxa"/>
          </w:tcPr>
          <w:p w14:paraId="600A404E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w toku</w:t>
            </w:r>
          </w:p>
          <w:p w14:paraId="0451E9F3" w14:textId="77777777" w:rsidR="0018211E" w:rsidRPr="00EA4F0E" w:rsidRDefault="0018211E" w:rsidP="005A198A">
            <w:pPr>
              <w:jc w:val="center"/>
              <w:rPr>
                <w:sz w:val="16"/>
              </w:rPr>
            </w:pPr>
          </w:p>
        </w:tc>
        <w:tc>
          <w:tcPr>
            <w:tcW w:w="1898" w:type="dxa"/>
          </w:tcPr>
          <w:p w14:paraId="5588BB2F" w14:textId="77777777" w:rsidR="00522E7C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Ponad 20 lat, 3 miesiące i 11 dni</w:t>
            </w:r>
          </w:p>
          <w:p w14:paraId="7981E4D8" w14:textId="77777777" w:rsidR="00B823E8" w:rsidRPr="00EA4F0E" w:rsidRDefault="00B823E8" w:rsidP="005A198A">
            <w:pPr>
              <w:jc w:val="center"/>
              <w:rPr>
                <w:sz w:val="16"/>
              </w:rPr>
            </w:pPr>
          </w:p>
          <w:p w14:paraId="07352C75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2 instancje</w:t>
            </w:r>
          </w:p>
          <w:p w14:paraId="1DF72CE5" w14:textId="77777777" w:rsidR="0018211E" w:rsidRPr="00EA4F0E" w:rsidRDefault="0018211E" w:rsidP="005A198A">
            <w:pPr>
              <w:jc w:val="center"/>
              <w:rPr>
                <w:sz w:val="16"/>
              </w:rPr>
            </w:pPr>
          </w:p>
        </w:tc>
        <w:tc>
          <w:tcPr>
            <w:tcW w:w="2409" w:type="dxa"/>
          </w:tcPr>
          <w:p w14:paraId="2E81FCFF" w14:textId="5E978573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Sąd Okręgowy w Zielonej Górze, 24.02.2021</w:t>
            </w:r>
            <w:r w:rsidR="00F624E2" w:rsidRPr="00EA4F0E">
              <w:rPr>
                <w:sz w:val="16"/>
              </w:rPr>
              <w:t> </w:t>
            </w:r>
            <w:r w:rsidRPr="00EA4F0E">
              <w:rPr>
                <w:sz w:val="16"/>
              </w:rPr>
              <w:t>r., sygn. akt VII S 3/21</w:t>
            </w:r>
          </w:p>
          <w:p w14:paraId="4BD39821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2 000 PLN</w:t>
            </w:r>
          </w:p>
        </w:tc>
        <w:tc>
          <w:tcPr>
            <w:tcW w:w="2835" w:type="dxa"/>
          </w:tcPr>
          <w:p w14:paraId="0F800D7F" w14:textId="77777777" w:rsidR="0018211E" w:rsidRPr="00EA4F0E" w:rsidRDefault="00000000" w:rsidP="005A198A">
            <w:pPr>
              <w:jc w:val="center"/>
              <w:rPr>
                <w:sz w:val="16"/>
              </w:rPr>
            </w:pPr>
            <w:r w:rsidRPr="00EA4F0E">
              <w:rPr>
                <w:sz w:val="16"/>
              </w:rPr>
              <w:t>16 400</w:t>
            </w:r>
          </w:p>
        </w:tc>
      </w:tr>
    </w:tbl>
    <w:p w14:paraId="14D26E3A" w14:textId="77777777" w:rsidR="00606600" w:rsidRPr="00EA4F0E" w:rsidRDefault="00606600" w:rsidP="005A198A"/>
    <w:p w14:paraId="67DB58E5" w14:textId="77777777" w:rsidR="00606600" w:rsidRPr="00EA4F0E" w:rsidRDefault="00606600" w:rsidP="005A198A"/>
    <w:sectPr w:rsidR="00606600" w:rsidRPr="00EA4F0E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85304" w14:textId="77777777" w:rsidR="008153A3" w:rsidRDefault="008153A3">
      <w:r>
        <w:separator/>
      </w:r>
    </w:p>
  </w:endnote>
  <w:endnote w:type="continuationSeparator" w:id="0">
    <w:p w14:paraId="016471DD" w14:textId="77777777" w:rsidR="008153A3" w:rsidRDefault="00815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752B3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94640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E60F8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18B37A0B" wp14:editId="385DC34D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4ACE5B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F5E90" w14:textId="77777777" w:rsidR="008153A3" w:rsidRPr="00611E1D" w:rsidRDefault="008153A3" w:rsidP="00787E12">
      <w:r w:rsidRPr="00611E1D">
        <w:separator/>
      </w:r>
    </w:p>
  </w:footnote>
  <w:footnote w:type="continuationSeparator" w:id="0">
    <w:p w14:paraId="22D32B84" w14:textId="77777777" w:rsidR="008153A3" w:rsidRPr="00611E1D" w:rsidRDefault="008153A3" w:rsidP="00787E12">
      <w:r w:rsidRPr="00611E1D">
        <w:continuationSeparator/>
      </w:r>
    </w:p>
  </w:footnote>
  <w:footnote w:id="1">
    <w:p w14:paraId="001A2982" w14:textId="2D789523" w:rsidR="0018211E" w:rsidRPr="00343547" w:rsidRDefault="00000000" w:rsidP="000E39C0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bookmarkStart w:id="5" w:name="_Hlk180153004"/>
      <w:r w:rsidR="00F624E2">
        <w:t>P</w:t>
      </w:r>
      <w:r>
        <w:t xml:space="preserve">owiększona o </w:t>
      </w:r>
      <w:r w:rsidR="00F624E2">
        <w:t xml:space="preserve">wszelkie </w:t>
      </w:r>
      <w:r>
        <w:t xml:space="preserve">należne </w:t>
      </w:r>
      <w:r w:rsidR="00F624E2">
        <w:t xml:space="preserve">od skarżącego </w:t>
      </w:r>
      <w:r>
        <w:t>podatki</w:t>
      </w:r>
      <w:bookmarkEnd w:id="5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C23E9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74E41684" wp14:editId="6D40CE3F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8A5D11" w14:textId="77777777" w:rsidR="00606600" w:rsidRPr="00611E1D" w:rsidRDefault="00606600" w:rsidP="000318F7">
    <w:pPr>
      <w:jc w:val="center"/>
      <w:rPr>
        <w:sz w:val="4"/>
        <w:szCs w:val="4"/>
      </w:rPr>
    </w:pPr>
  </w:p>
  <w:p w14:paraId="0F210A3A" w14:textId="77777777" w:rsidR="00606600" w:rsidRPr="00611E1D" w:rsidRDefault="0060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09D13" w14:textId="77777777" w:rsidR="000E39C0" w:rsidRPr="00A45145" w:rsidRDefault="00000000" w:rsidP="00A45145">
    <w:pPr>
      <w:jc w:val="center"/>
    </w:pPr>
    <w:r>
      <w:rPr>
        <w:noProof/>
      </w:rPr>
      <w:drawing>
        <wp:inline distT="0" distB="0" distL="0" distR="0" wp14:anchorId="6A35304F" wp14:editId="158B366C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B68A83" w14:textId="77777777" w:rsidR="008D51B6" w:rsidRPr="004F56E2" w:rsidRDefault="008D51B6" w:rsidP="008D51B6">
    <w:pPr>
      <w:pStyle w:val="Nagwek"/>
    </w:pPr>
  </w:p>
  <w:p w14:paraId="01ECAEAB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2D605" w14:textId="77777777" w:rsidR="00606600" w:rsidRPr="005C3A15" w:rsidRDefault="00000000" w:rsidP="006372F5">
    <w:pPr>
      <w:pStyle w:val="JuHeader"/>
    </w:pPr>
    <w:r>
      <w:t>WYROK LEŚNIEWSKI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B438C" w14:textId="77777777" w:rsidR="00606600" w:rsidRPr="00DE7D3F" w:rsidRDefault="00000000" w:rsidP="00BD554D">
    <w:pPr>
      <w:pStyle w:val="JuHeader"/>
    </w:pPr>
    <w:r>
      <w:t>WYROK LEŚNIEWSKI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84E1A" w14:textId="77777777" w:rsidR="00606600" w:rsidRPr="005C3A15" w:rsidRDefault="00000000" w:rsidP="00E026EC">
    <w:pPr>
      <w:pStyle w:val="JuHeader"/>
    </w:pPr>
    <w:r>
      <w:t>WYROK LEŚNIEWSKI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A3FF5" w14:textId="77777777" w:rsidR="00606600" w:rsidRPr="00DE7D3F" w:rsidRDefault="00000000" w:rsidP="00E026EC">
    <w:pPr>
      <w:pStyle w:val="JuHeader"/>
    </w:pPr>
    <w:r>
      <w:t>WYROK LEŚNIEWSKI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B5C4C1B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1F10F19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4C4091F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24A0928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AD58B27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447CBF6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9A4E204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AC6BE46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12D4B6C6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404843397">
    <w:abstractNumId w:val="14"/>
  </w:num>
  <w:num w:numId="2" w16cid:durableId="493226237">
    <w:abstractNumId w:val="12"/>
  </w:num>
  <w:num w:numId="3" w16cid:durableId="584655355">
    <w:abstractNumId w:val="11"/>
  </w:num>
  <w:num w:numId="4" w16cid:durableId="1633362610">
    <w:abstractNumId w:val="15"/>
  </w:num>
  <w:num w:numId="5" w16cid:durableId="918245752">
    <w:abstractNumId w:val="13"/>
  </w:num>
  <w:num w:numId="6" w16cid:durableId="1301573358">
    <w:abstractNumId w:val="16"/>
  </w:num>
  <w:num w:numId="7" w16cid:durableId="1721322080">
    <w:abstractNumId w:val="15"/>
  </w:num>
  <w:num w:numId="8" w16cid:durableId="1013604927">
    <w:abstractNumId w:val="16"/>
  </w:num>
  <w:num w:numId="9" w16cid:durableId="742220920">
    <w:abstractNumId w:val="10"/>
  </w:num>
  <w:num w:numId="10" w16cid:durableId="33427993">
    <w:abstractNumId w:val="9"/>
  </w:num>
  <w:num w:numId="11" w16cid:durableId="1839493728">
    <w:abstractNumId w:val="17"/>
  </w:num>
  <w:num w:numId="12" w16cid:durableId="233321204">
    <w:abstractNumId w:val="7"/>
  </w:num>
  <w:num w:numId="13" w16cid:durableId="703865961">
    <w:abstractNumId w:val="6"/>
  </w:num>
  <w:num w:numId="14" w16cid:durableId="1880707181">
    <w:abstractNumId w:val="5"/>
  </w:num>
  <w:num w:numId="15" w16cid:durableId="549263899">
    <w:abstractNumId w:val="4"/>
  </w:num>
  <w:num w:numId="16" w16cid:durableId="1706366520">
    <w:abstractNumId w:val="8"/>
  </w:num>
  <w:num w:numId="17" w16cid:durableId="302344959">
    <w:abstractNumId w:val="3"/>
  </w:num>
  <w:num w:numId="18" w16cid:durableId="572542066">
    <w:abstractNumId w:val="2"/>
  </w:num>
  <w:num w:numId="19" w16cid:durableId="450637944">
    <w:abstractNumId w:val="1"/>
  </w:num>
  <w:num w:numId="20" w16cid:durableId="277571428">
    <w:abstractNumId w:val="0"/>
  </w:num>
  <w:num w:numId="21" w16cid:durableId="1981569639">
    <w:abstractNumId w:val="14"/>
  </w:num>
  <w:num w:numId="22" w16cid:durableId="1038122407">
    <w:abstractNumId w:val="12"/>
  </w:num>
  <w:num w:numId="23" w16cid:durableId="1157916890">
    <w:abstractNumId w:val="11"/>
  </w:num>
  <w:num w:numId="24" w16cid:durableId="381950561">
    <w:abstractNumId w:val="17"/>
  </w:num>
  <w:num w:numId="25" w16cid:durableId="79186060">
    <w:abstractNumId w:val="7"/>
  </w:num>
  <w:num w:numId="26" w16cid:durableId="1840802979">
    <w:abstractNumId w:val="6"/>
  </w:num>
  <w:num w:numId="27" w16cid:durableId="2141801992">
    <w:abstractNumId w:val="5"/>
  </w:num>
  <w:num w:numId="28" w16cid:durableId="681123466">
    <w:abstractNumId w:val="4"/>
  </w:num>
  <w:num w:numId="29" w16cid:durableId="1121456502">
    <w:abstractNumId w:val="8"/>
  </w:num>
  <w:num w:numId="30" w16cid:durableId="695275910">
    <w:abstractNumId w:val="3"/>
  </w:num>
  <w:num w:numId="31" w16cid:durableId="1366325093">
    <w:abstractNumId w:val="2"/>
  </w:num>
  <w:num w:numId="32" w16cid:durableId="1652979459">
    <w:abstractNumId w:val="1"/>
  </w:num>
  <w:num w:numId="33" w16cid:durableId="1492596661">
    <w:abstractNumId w:val="0"/>
  </w:num>
  <w:num w:numId="34" w16cid:durableId="1723863969">
    <w:abstractNumId w:val="15"/>
  </w:num>
  <w:num w:numId="35" w16cid:durableId="565381655">
    <w:abstractNumId w:val="13"/>
  </w:num>
  <w:num w:numId="36" w16cid:durableId="1529487163">
    <w:abstractNumId w:val="16"/>
  </w:num>
  <w:num w:numId="37" w16cid:durableId="1919753491">
    <w:abstractNumId w:val="15"/>
  </w:num>
  <w:num w:numId="38" w16cid:durableId="709846364">
    <w:abstractNumId w:val="15"/>
  </w:num>
  <w:num w:numId="39" w16cid:durableId="887381047">
    <w:abstractNumId w:val="15"/>
  </w:num>
  <w:num w:numId="40" w16cid:durableId="47844068">
    <w:abstractNumId w:val="15"/>
  </w:num>
  <w:num w:numId="41" w16cid:durableId="2044742731">
    <w:abstractNumId w:val="10"/>
  </w:num>
  <w:num w:numId="42" w16cid:durableId="298072159">
    <w:abstractNumId w:val="16"/>
  </w:num>
  <w:num w:numId="43" w16cid:durableId="557404834">
    <w:abstractNumId w:val="16"/>
  </w:num>
  <w:num w:numId="44" w16cid:durableId="1049494815">
    <w:abstractNumId w:val="16"/>
  </w:num>
  <w:num w:numId="45" w16cid:durableId="84496673">
    <w:abstractNumId w:val="10"/>
  </w:num>
  <w:num w:numId="46" w16cid:durableId="374431562">
    <w:abstractNumId w:val="10"/>
  </w:num>
  <w:num w:numId="47" w16cid:durableId="836386965">
    <w:abstractNumId w:val="10"/>
  </w:num>
  <w:num w:numId="48" w16cid:durableId="1802650373">
    <w:abstractNumId w:val="10"/>
  </w:num>
  <w:num w:numId="49" w16cid:durableId="535779615">
    <w:abstractNumId w:val="10"/>
  </w:num>
  <w:num w:numId="50" w16cid:durableId="475803276">
    <w:abstractNumId w:val="10"/>
  </w:num>
  <w:num w:numId="51" w16cid:durableId="1151213724">
    <w:abstractNumId w:val="10"/>
  </w:num>
  <w:num w:numId="52" w16cid:durableId="1483501380">
    <w:abstractNumId w:val="10"/>
  </w:num>
  <w:num w:numId="53" w16cid:durableId="1000502851">
    <w:abstractNumId w:val="9"/>
  </w:num>
  <w:num w:numId="54" w16cid:durableId="904803917">
    <w:abstractNumId w:val="9"/>
  </w:num>
  <w:num w:numId="55" w16cid:durableId="705495275">
    <w:abstractNumId w:val="9"/>
  </w:num>
  <w:num w:numId="56" w16cid:durableId="1063064268">
    <w:abstractNumId w:val="14"/>
  </w:num>
  <w:num w:numId="57" w16cid:durableId="719287144">
    <w:abstractNumId w:val="12"/>
  </w:num>
  <w:num w:numId="58" w16cid:durableId="276302992">
    <w:abstractNumId w:val="11"/>
  </w:num>
  <w:num w:numId="59" w16cid:durableId="168714375">
    <w:abstractNumId w:val="17"/>
  </w:num>
  <w:num w:numId="60" w16cid:durableId="1894536121">
    <w:abstractNumId w:val="7"/>
  </w:num>
  <w:num w:numId="61" w16cid:durableId="615134425">
    <w:abstractNumId w:val="6"/>
  </w:num>
  <w:num w:numId="62" w16cid:durableId="1414543670">
    <w:abstractNumId w:val="5"/>
  </w:num>
  <w:num w:numId="63" w16cid:durableId="303434301">
    <w:abstractNumId w:val="4"/>
  </w:num>
  <w:num w:numId="64" w16cid:durableId="890649159">
    <w:abstractNumId w:val="8"/>
  </w:num>
  <w:num w:numId="65" w16cid:durableId="359818852">
    <w:abstractNumId w:val="3"/>
  </w:num>
  <w:num w:numId="66" w16cid:durableId="1019351326">
    <w:abstractNumId w:val="2"/>
  </w:num>
  <w:num w:numId="67" w16cid:durableId="1256666333">
    <w:abstractNumId w:val="1"/>
  </w:num>
  <w:num w:numId="68" w16cid:durableId="1525438616">
    <w:abstractNumId w:val="0"/>
  </w:num>
  <w:num w:numId="69" w16cid:durableId="1059017104">
    <w:abstractNumId w:val="15"/>
  </w:num>
  <w:num w:numId="70" w16cid:durableId="364595551">
    <w:abstractNumId w:val="13"/>
  </w:num>
  <w:num w:numId="71" w16cid:durableId="564682387">
    <w:abstractNumId w:val="16"/>
  </w:num>
  <w:num w:numId="72" w16cid:durableId="342127492">
    <w:abstractNumId w:val="15"/>
  </w:num>
  <w:num w:numId="73" w16cid:durableId="706837738">
    <w:abstractNumId w:val="15"/>
  </w:num>
  <w:num w:numId="74" w16cid:durableId="1682506127">
    <w:abstractNumId w:val="15"/>
  </w:num>
  <w:num w:numId="75" w16cid:durableId="319236889">
    <w:abstractNumId w:val="15"/>
  </w:num>
  <w:num w:numId="76" w16cid:durableId="1086267009">
    <w:abstractNumId w:val="10"/>
  </w:num>
  <w:num w:numId="77" w16cid:durableId="131027527">
    <w:abstractNumId w:val="16"/>
  </w:num>
  <w:num w:numId="78" w16cid:durableId="1658530097">
    <w:abstractNumId w:val="16"/>
  </w:num>
  <w:num w:numId="79" w16cid:durableId="443156132">
    <w:abstractNumId w:val="16"/>
  </w:num>
  <w:num w:numId="80" w16cid:durableId="518465672">
    <w:abstractNumId w:val="10"/>
  </w:num>
  <w:num w:numId="81" w16cid:durableId="1002510920">
    <w:abstractNumId w:val="10"/>
  </w:num>
  <w:num w:numId="82" w16cid:durableId="2118331862">
    <w:abstractNumId w:val="10"/>
  </w:num>
  <w:num w:numId="83" w16cid:durableId="1715733549">
    <w:abstractNumId w:val="10"/>
  </w:num>
  <w:num w:numId="84" w16cid:durableId="1280455770">
    <w:abstractNumId w:val="10"/>
  </w:num>
  <w:num w:numId="85" w16cid:durableId="2022513711">
    <w:abstractNumId w:val="10"/>
  </w:num>
  <w:num w:numId="86" w16cid:durableId="1512797789">
    <w:abstractNumId w:val="10"/>
  </w:num>
  <w:num w:numId="87" w16cid:durableId="1610352430">
    <w:abstractNumId w:val="10"/>
  </w:num>
  <w:num w:numId="88" w16cid:durableId="1724015845">
    <w:abstractNumId w:val="9"/>
  </w:num>
  <w:num w:numId="89" w16cid:durableId="2078740075">
    <w:abstractNumId w:val="9"/>
  </w:num>
  <w:num w:numId="90" w16cid:durableId="1474250585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0E39C0"/>
    <w:rsid w:val="000318F7"/>
    <w:rsid w:val="0007157F"/>
    <w:rsid w:val="00093DF0"/>
    <w:rsid w:val="000C5149"/>
    <w:rsid w:val="000E39C0"/>
    <w:rsid w:val="00135384"/>
    <w:rsid w:val="00150BFA"/>
    <w:rsid w:val="00173A91"/>
    <w:rsid w:val="00177329"/>
    <w:rsid w:val="0018211E"/>
    <w:rsid w:val="00190D04"/>
    <w:rsid w:val="001A15B6"/>
    <w:rsid w:val="001A3C4A"/>
    <w:rsid w:val="001D7CD3"/>
    <w:rsid w:val="001F0D96"/>
    <w:rsid w:val="001F3812"/>
    <w:rsid w:val="001F42ED"/>
    <w:rsid w:val="002056B7"/>
    <w:rsid w:val="0020718E"/>
    <w:rsid w:val="0023364D"/>
    <w:rsid w:val="00260821"/>
    <w:rsid w:val="0029309A"/>
    <w:rsid w:val="002A5CD8"/>
    <w:rsid w:val="002A7445"/>
    <w:rsid w:val="002C5B23"/>
    <w:rsid w:val="00332FED"/>
    <w:rsid w:val="00337785"/>
    <w:rsid w:val="00343547"/>
    <w:rsid w:val="0037589C"/>
    <w:rsid w:val="003B3ECB"/>
    <w:rsid w:val="003F67D7"/>
    <w:rsid w:val="0040626B"/>
    <w:rsid w:val="0048584C"/>
    <w:rsid w:val="00497FF8"/>
    <w:rsid w:val="004B0B4E"/>
    <w:rsid w:val="004D042B"/>
    <w:rsid w:val="004D0EC7"/>
    <w:rsid w:val="004F56E2"/>
    <w:rsid w:val="004F5FB5"/>
    <w:rsid w:val="00522E7C"/>
    <w:rsid w:val="00555A1D"/>
    <w:rsid w:val="00573202"/>
    <w:rsid w:val="005918BB"/>
    <w:rsid w:val="005A198A"/>
    <w:rsid w:val="005B102C"/>
    <w:rsid w:val="005B16C1"/>
    <w:rsid w:val="005C3A15"/>
    <w:rsid w:val="005F60F9"/>
    <w:rsid w:val="006019D8"/>
    <w:rsid w:val="00606600"/>
    <w:rsid w:val="00611E1D"/>
    <w:rsid w:val="006372F5"/>
    <w:rsid w:val="00656431"/>
    <w:rsid w:val="006D324D"/>
    <w:rsid w:val="00743B2A"/>
    <w:rsid w:val="00790DC8"/>
    <w:rsid w:val="007A72B4"/>
    <w:rsid w:val="007A74C6"/>
    <w:rsid w:val="007D33EA"/>
    <w:rsid w:val="007F018A"/>
    <w:rsid w:val="008153A3"/>
    <w:rsid w:val="008258E8"/>
    <w:rsid w:val="008522DD"/>
    <w:rsid w:val="00860131"/>
    <w:rsid w:val="00860732"/>
    <w:rsid w:val="0086531E"/>
    <w:rsid w:val="00865FCA"/>
    <w:rsid w:val="008726E0"/>
    <w:rsid w:val="008A0E2E"/>
    <w:rsid w:val="008D51B6"/>
    <w:rsid w:val="009522DD"/>
    <w:rsid w:val="009738EB"/>
    <w:rsid w:val="009D0BD0"/>
    <w:rsid w:val="009D315E"/>
    <w:rsid w:val="00A329E0"/>
    <w:rsid w:val="00A34A54"/>
    <w:rsid w:val="00A44415"/>
    <w:rsid w:val="00A45145"/>
    <w:rsid w:val="00A6104A"/>
    <w:rsid w:val="00A94CA7"/>
    <w:rsid w:val="00AC03BB"/>
    <w:rsid w:val="00B216C1"/>
    <w:rsid w:val="00B64153"/>
    <w:rsid w:val="00B823E8"/>
    <w:rsid w:val="00B91668"/>
    <w:rsid w:val="00BA3CEE"/>
    <w:rsid w:val="00BD554D"/>
    <w:rsid w:val="00BE2415"/>
    <w:rsid w:val="00C20CC3"/>
    <w:rsid w:val="00C877A3"/>
    <w:rsid w:val="00DA1CDB"/>
    <w:rsid w:val="00DA6CD2"/>
    <w:rsid w:val="00DE604E"/>
    <w:rsid w:val="00DE7D3F"/>
    <w:rsid w:val="00E026EC"/>
    <w:rsid w:val="00E6230A"/>
    <w:rsid w:val="00E849D9"/>
    <w:rsid w:val="00E9130E"/>
    <w:rsid w:val="00EA4F0E"/>
    <w:rsid w:val="00EB787F"/>
    <w:rsid w:val="00ED7723"/>
    <w:rsid w:val="00F037F0"/>
    <w:rsid w:val="00F47142"/>
    <w:rsid w:val="00F624E2"/>
    <w:rsid w:val="00FB16F8"/>
    <w:rsid w:val="00FC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4369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5A198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5A198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5A198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5A198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5A198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5A198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5A198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5A198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5A198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5A198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5A19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5A198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5A198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5A198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5A198A"/>
    <w:rPr>
      <w:color w:val="00B050"/>
      <w:sz w:val="22"/>
    </w:rPr>
  </w:style>
  <w:style w:type="character" w:styleId="Pogrubienie">
    <w:name w:val="Strong"/>
    <w:uiPriority w:val="98"/>
    <w:semiHidden/>
    <w:qFormat/>
    <w:rsid w:val="005A198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5A198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5A198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5A198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5A198A"/>
    <w:pPr>
      <w:numPr>
        <w:numId w:val="9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5A198A"/>
    <w:pPr>
      <w:numPr>
        <w:ilvl w:val="2"/>
        <w:numId w:val="9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5A198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5A198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5A198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5A198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5A198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5A198A"/>
    <w:pPr>
      <w:keepNext/>
      <w:keepLines/>
      <w:numPr>
        <w:numId w:val="87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5A198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5A198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5A198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5A198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5A198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5A198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5A198A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5A198A"/>
    <w:pPr>
      <w:keepNext/>
      <w:keepLines/>
      <w:numPr>
        <w:ilvl w:val="1"/>
        <w:numId w:val="87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5A198A"/>
    <w:pPr>
      <w:keepNext/>
      <w:keepLines/>
      <w:numPr>
        <w:ilvl w:val="2"/>
        <w:numId w:val="87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5A198A"/>
    <w:pPr>
      <w:keepNext/>
      <w:keepLines/>
      <w:numPr>
        <w:ilvl w:val="3"/>
        <w:numId w:val="87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5A198A"/>
    <w:pPr>
      <w:keepNext/>
      <w:keepLines/>
      <w:numPr>
        <w:ilvl w:val="4"/>
        <w:numId w:val="87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5A19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5A198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5A198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5A198A"/>
    <w:pPr>
      <w:keepNext/>
      <w:keepLines/>
      <w:numPr>
        <w:ilvl w:val="5"/>
        <w:numId w:val="87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5A198A"/>
    <w:pPr>
      <w:keepNext/>
      <w:keepLines/>
      <w:numPr>
        <w:ilvl w:val="6"/>
        <w:numId w:val="87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5A198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5A198A"/>
    <w:pPr>
      <w:keepNext/>
      <w:keepLines/>
      <w:numPr>
        <w:ilvl w:val="7"/>
        <w:numId w:val="87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5A198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5A198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5A198A"/>
    <w:pPr>
      <w:numPr>
        <w:ilvl w:val="1"/>
        <w:numId w:val="90"/>
      </w:numPr>
    </w:pPr>
  </w:style>
  <w:style w:type="paragraph" w:customStyle="1" w:styleId="NormalJustified">
    <w:name w:val="Normal_Justified"/>
    <w:basedOn w:val="Normalny"/>
    <w:semiHidden/>
    <w:rsid w:val="005A198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5A198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5A198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5A198A"/>
    <w:rPr>
      <w:i/>
      <w:iCs/>
    </w:rPr>
  </w:style>
  <w:style w:type="table" w:customStyle="1" w:styleId="ECHRTable">
    <w:name w:val="ECHR_Table"/>
    <w:basedOn w:val="Standardowy"/>
    <w:rsid w:val="005A198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5A198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5A198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5A198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5A198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5A198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5A198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5A198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5A198A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5A19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5A198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5A198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5A198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5A198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5A198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5A198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5A198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5A198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5A198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5A198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5A198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5A198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5A198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5A198A"/>
    <w:rPr>
      <w:smallCaps/>
    </w:rPr>
  </w:style>
  <w:style w:type="table" w:styleId="Tabela-Siatka">
    <w:name w:val="Table Grid"/>
    <w:basedOn w:val="Standardowy"/>
    <w:uiPriority w:val="59"/>
    <w:semiHidden/>
    <w:rsid w:val="005A198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5A198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5A198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5A198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5A198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5A198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5A198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5A198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5A198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5A198A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5A198A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5A198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5A198A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5A198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5A198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5A198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5A198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5A198A"/>
    <w:pPr>
      <w:ind w:firstLine="284"/>
    </w:pPr>
  </w:style>
  <w:style w:type="paragraph" w:styleId="Tekstblokowy">
    <w:name w:val="Block Text"/>
    <w:basedOn w:val="Normalny"/>
    <w:uiPriority w:val="98"/>
    <w:semiHidden/>
    <w:rsid w:val="005A198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5A198A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5A198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5A198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5A198A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A198A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5A198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5A198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5A198A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5A198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5A198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5A198A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5A198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5A198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5A198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5A198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5A198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5A198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5A198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5A198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5A19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5A19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5A198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5A198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5A198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5A198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5A198A"/>
    <w:pPr>
      <w:numPr>
        <w:numId w:val="59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5A198A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5A198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5A198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5A198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5A198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5A19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5A198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5A198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5A198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5A198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5A198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5A198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5A19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5A198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5A198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5A198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5A198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5A198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5A198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5A198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5A198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5A198A"/>
  </w:style>
  <w:style w:type="character" w:customStyle="1" w:styleId="DataZnak">
    <w:name w:val="Data Znak"/>
    <w:basedOn w:val="Domylnaczcionkaakapitu"/>
    <w:link w:val="Data"/>
    <w:uiPriority w:val="98"/>
    <w:semiHidden/>
    <w:rsid w:val="005A198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5A198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5A198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5A198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5A198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5A19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5A198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5A198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5A198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5A198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5A198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5A198A"/>
  </w:style>
  <w:style w:type="paragraph" w:styleId="HTML-adres">
    <w:name w:val="HTML Address"/>
    <w:basedOn w:val="Normalny"/>
    <w:link w:val="HTML-adresZnak"/>
    <w:uiPriority w:val="98"/>
    <w:semiHidden/>
    <w:rsid w:val="005A198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5A198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5A198A"/>
    <w:rPr>
      <w:i/>
      <w:iCs/>
    </w:rPr>
  </w:style>
  <w:style w:type="character" w:styleId="HTML-kod">
    <w:name w:val="HTML Code"/>
    <w:basedOn w:val="Domylnaczcionkaakapitu"/>
    <w:uiPriority w:val="98"/>
    <w:semiHidden/>
    <w:rsid w:val="005A198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5A198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5A198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5A198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5A198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5A198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5A198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5A198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5A198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5A198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5A198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5A198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5A198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5A198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5A198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5A198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5A198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5A198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5A198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5A198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5A198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5A198A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5A198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5A198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5A198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5A198A"/>
  </w:style>
  <w:style w:type="paragraph" w:styleId="Lista">
    <w:name w:val="List"/>
    <w:basedOn w:val="Normalny"/>
    <w:uiPriority w:val="98"/>
    <w:semiHidden/>
    <w:rsid w:val="005A198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5A198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5A198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5A198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5A198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5A198A"/>
    <w:pPr>
      <w:numPr>
        <w:numId w:val="60"/>
      </w:numPr>
      <w:contextualSpacing/>
    </w:pPr>
  </w:style>
  <w:style w:type="paragraph" w:styleId="Listapunktowana3">
    <w:name w:val="List Bullet 3"/>
    <w:basedOn w:val="Normalny"/>
    <w:uiPriority w:val="98"/>
    <w:semiHidden/>
    <w:rsid w:val="005A198A"/>
    <w:pPr>
      <w:numPr>
        <w:numId w:val="61"/>
      </w:numPr>
      <w:contextualSpacing/>
    </w:pPr>
  </w:style>
  <w:style w:type="paragraph" w:styleId="Listapunktowana4">
    <w:name w:val="List Bullet 4"/>
    <w:basedOn w:val="Normalny"/>
    <w:uiPriority w:val="98"/>
    <w:semiHidden/>
    <w:rsid w:val="005A198A"/>
    <w:pPr>
      <w:numPr>
        <w:numId w:val="62"/>
      </w:numPr>
      <w:contextualSpacing/>
    </w:pPr>
  </w:style>
  <w:style w:type="paragraph" w:styleId="Listapunktowana5">
    <w:name w:val="List Bullet 5"/>
    <w:basedOn w:val="Normalny"/>
    <w:uiPriority w:val="98"/>
    <w:semiHidden/>
    <w:rsid w:val="005A198A"/>
    <w:pPr>
      <w:numPr>
        <w:numId w:val="6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5A198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5A198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5A198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5A198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5A198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5A198A"/>
    <w:pPr>
      <w:numPr>
        <w:numId w:val="64"/>
      </w:numPr>
      <w:contextualSpacing/>
    </w:pPr>
  </w:style>
  <w:style w:type="paragraph" w:styleId="Listanumerowana2">
    <w:name w:val="List Number 2"/>
    <w:basedOn w:val="Normalny"/>
    <w:uiPriority w:val="98"/>
    <w:semiHidden/>
    <w:rsid w:val="005A198A"/>
    <w:pPr>
      <w:numPr>
        <w:numId w:val="65"/>
      </w:numPr>
      <w:contextualSpacing/>
    </w:pPr>
  </w:style>
  <w:style w:type="paragraph" w:styleId="Listanumerowana3">
    <w:name w:val="List Number 3"/>
    <w:basedOn w:val="Normalny"/>
    <w:uiPriority w:val="98"/>
    <w:semiHidden/>
    <w:rsid w:val="005A198A"/>
    <w:pPr>
      <w:numPr>
        <w:numId w:val="66"/>
      </w:numPr>
      <w:contextualSpacing/>
    </w:pPr>
  </w:style>
  <w:style w:type="paragraph" w:styleId="Listanumerowana4">
    <w:name w:val="List Number 4"/>
    <w:basedOn w:val="Normalny"/>
    <w:uiPriority w:val="98"/>
    <w:semiHidden/>
    <w:rsid w:val="005A198A"/>
    <w:pPr>
      <w:numPr>
        <w:numId w:val="67"/>
      </w:numPr>
      <w:contextualSpacing/>
    </w:pPr>
  </w:style>
  <w:style w:type="paragraph" w:styleId="Listanumerowana5">
    <w:name w:val="List Number 5"/>
    <w:basedOn w:val="Normalny"/>
    <w:uiPriority w:val="98"/>
    <w:semiHidden/>
    <w:rsid w:val="005A198A"/>
    <w:pPr>
      <w:numPr>
        <w:numId w:val="68"/>
      </w:numPr>
      <w:contextualSpacing/>
    </w:pPr>
  </w:style>
  <w:style w:type="paragraph" w:styleId="Tekstmakra">
    <w:name w:val="macro"/>
    <w:link w:val="TekstmakraZnak"/>
    <w:uiPriority w:val="98"/>
    <w:semiHidden/>
    <w:rsid w:val="005A198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5A198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5A198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5A198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5A198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5A198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5A198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5A198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5A198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5A198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5A198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5A198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5A198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5A198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5A198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5A198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5A198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5A198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5A198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5A198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5A198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5A198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5A198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5A198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5A198A"/>
  </w:style>
  <w:style w:type="table" w:styleId="Tabela-Profesjonalny">
    <w:name w:val="Table Professional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5A198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5A198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5A198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5A198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5A198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5A198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5A198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5A198A"/>
  </w:style>
  <w:style w:type="paragraph" w:customStyle="1" w:styleId="DecList">
    <w:name w:val="Dec_List"/>
    <w:aliases w:val="_List"/>
    <w:basedOn w:val="JuList"/>
    <w:uiPriority w:val="22"/>
    <w:rsid w:val="005A198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5A198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5A198A"/>
    <w:pPr>
      <w:numPr>
        <w:numId w:val="75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5A198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5A198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5A198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5A198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5A198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5A198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5A198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5A198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5A198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5A198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5A198A"/>
    <w:pPr>
      <w:keepNext/>
      <w:keepLines/>
      <w:numPr>
        <w:ilvl w:val="8"/>
        <w:numId w:val="87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5A198A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5A198A"/>
    <w:pPr>
      <w:numPr>
        <w:numId w:val="7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5A198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5A198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5A198A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5A198A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5A198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5A198A"/>
    <w:rPr>
      <w:sz w:val="4"/>
    </w:rPr>
  </w:style>
  <w:style w:type="table" w:customStyle="1" w:styleId="ECHRTable2">
    <w:name w:val="ECHR_Table_2"/>
    <w:basedOn w:val="Standardowy"/>
    <w:uiPriority w:val="99"/>
    <w:rsid w:val="005A198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5A198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5A198A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5A198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5A198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5A198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5A198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5A198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5A198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5A198A"/>
    <w:pPr>
      <w:outlineLvl w:val="0"/>
    </w:pPr>
  </w:style>
  <w:style w:type="table" w:customStyle="1" w:styleId="ECHRTableGrey">
    <w:name w:val="ECHR_Table_Grey"/>
    <w:basedOn w:val="Standardowy"/>
    <w:uiPriority w:val="99"/>
    <w:rsid w:val="005A198A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A198A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5A198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5A198A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5A198A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5A198A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5A198A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5A198A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5A198A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5A198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5A198A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5A198A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5A198A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5A198A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5A198A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5A198A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5A198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5A198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5A198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5A198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5A198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5A198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5A198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5A198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5A198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5A198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5A198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5A198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5A198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5A198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5A198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5A198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5A198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5A198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5A198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5A198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5A198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5A198A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5A19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5A19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5A19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5A19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5A19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5A19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5A19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5A198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5A198A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5A198A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5A198A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5A198A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5A198A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5A198A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5A198A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5A198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5A198A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5A198A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5A198A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5A198A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5A198A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5A198A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5A198A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5A198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5A198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5A198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5A198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5A198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5A198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5A198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5A198A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5A198A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5A198A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5A198A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5A198A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5A198A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5A198A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5A198A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5A198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5A198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5A198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5A198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5A198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5A198A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5A198A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5A198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BA3C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794</Words>
  <Characters>4796</Characters>
  <Application>Microsoft Office Word</Application>
  <DocSecurity>0</DocSecurity>
  <Lines>165</Lines>
  <Paragraphs>81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2024-10-18T11:03:00Z</dcterms:created>
  <dcterms:modified xsi:type="dcterms:W3CDTF">2024-10-23T07:36:00Z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1614403</vt:lpwstr>
  </property>
  <property fmtid="{D5CDD505-2E9C-101B-9397-08002B2CF9AE}" pid="3" name="cstLanguage">
    <vt:i4>2057</vt:i4>
  </property>
  <property fmtid="{D5CDD505-2E9C-101B-9397-08002B2CF9AE}" pid="4" name="RegisteredNo">
    <vt:lpwstr>14896/21</vt:lpwstr>
  </property>
  <property fmtid="{D5CDD505-2E9C-101B-9397-08002B2CF9AE}" pid="5" name="GrammarlyDocumentId">
    <vt:lpwstr>c556b6f1fa9892a58fb82743b6f02694ca64069cfbf43e3ee45bd52cf4659978</vt:lpwstr>
  </property>
</Properties>
</file>