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E12791" w14:textId="77777777" w:rsidR="00B57FDF" w:rsidRPr="00AD7E3D" w:rsidRDefault="00B57FDF" w:rsidP="009B24DE">
      <w:pPr>
        <w:jc w:val="center"/>
        <w:rPr>
          <w:rFonts w:ascii="Times New Roman" w:hAnsi="Times New Roman" w:cs="Times New Roman"/>
          <w:lang w:val="pl-PL"/>
        </w:rPr>
      </w:pPr>
    </w:p>
    <w:p w14:paraId="00B7B0AF" w14:textId="77777777" w:rsidR="0098410D" w:rsidRPr="00AD7E3D" w:rsidRDefault="0098410D" w:rsidP="009B24DE">
      <w:pPr>
        <w:jc w:val="center"/>
        <w:rPr>
          <w:lang w:val="pl-PL"/>
        </w:rPr>
      </w:pPr>
    </w:p>
    <w:p w14:paraId="2201D63C" w14:textId="04B1ED59" w:rsidR="0098410D" w:rsidRPr="00AD7E3D" w:rsidRDefault="00CA0E9C" w:rsidP="009B24DE">
      <w:pPr>
        <w:pStyle w:val="DecHTitle"/>
        <w:rPr>
          <w:lang w:val="pl-PL"/>
        </w:rPr>
      </w:pPr>
      <w:r w:rsidRPr="00AD7E3D">
        <w:rPr>
          <w:lang w:val="pl-PL"/>
        </w:rPr>
        <w:t>SEKCJA</w:t>
      </w:r>
      <w:r w:rsidR="00176375">
        <w:rPr>
          <w:lang w:val="pl-PL"/>
        </w:rPr>
        <w:t xml:space="preserve"> </w:t>
      </w:r>
      <w:r w:rsidR="00176375" w:rsidRPr="00AD7E3D">
        <w:rPr>
          <w:lang w:val="pl-PL"/>
        </w:rPr>
        <w:t>PIERWSZA</w:t>
      </w:r>
    </w:p>
    <w:p w14:paraId="3B84792A" w14:textId="77777777" w:rsidR="008E6217" w:rsidRPr="00AD7E3D" w:rsidRDefault="00CA0E9C" w:rsidP="009B24DE">
      <w:pPr>
        <w:pStyle w:val="JuTitle"/>
        <w:rPr>
          <w:lang w:val="pl-PL"/>
        </w:rPr>
      </w:pPr>
      <w:r w:rsidRPr="00AD7E3D">
        <w:rPr>
          <w:bCs/>
          <w:color w:val="000000" w:themeColor="text1"/>
          <w:lang w:val="pl-PL"/>
        </w:rPr>
        <w:t xml:space="preserve">SPRAWA </w:t>
      </w:r>
      <w:r w:rsidRPr="00AD7E3D">
        <w:rPr>
          <w:bCs/>
          <w:lang w:val="pl-PL"/>
        </w:rPr>
        <w:t>FORMELA I INNI przeciwko POLSCE</w:t>
      </w:r>
    </w:p>
    <w:p w14:paraId="64291C88" w14:textId="55DAFEAD" w:rsidR="00D74888" w:rsidRPr="00AD7E3D" w:rsidRDefault="00CA0E9C" w:rsidP="009B24DE">
      <w:pPr>
        <w:pStyle w:val="ECHRCoverTitle4"/>
        <w:rPr>
          <w:lang w:val="pl-PL"/>
        </w:rPr>
      </w:pPr>
      <w:r w:rsidRPr="00AD7E3D">
        <w:rPr>
          <w:iCs/>
          <w:lang w:val="pl-PL"/>
        </w:rPr>
        <w:t>(Skargi nr</w:t>
      </w:r>
      <w:r w:rsidR="00A667C8" w:rsidRPr="00AD7E3D">
        <w:rPr>
          <w:iCs/>
          <w:lang w:val="pl-PL"/>
        </w:rPr>
        <w:t> </w:t>
      </w:r>
      <w:r w:rsidRPr="00AD7E3D">
        <w:rPr>
          <w:iCs/>
          <w:lang w:val="pl-PL"/>
        </w:rPr>
        <w:t xml:space="preserve">58828/12 i </w:t>
      </w:r>
      <w:r w:rsidR="00875291" w:rsidRPr="00AD7E3D">
        <w:rPr>
          <w:iCs/>
          <w:lang w:val="pl-PL"/>
        </w:rPr>
        <w:t>4</w:t>
      </w:r>
      <w:r w:rsidRPr="00AD7E3D">
        <w:rPr>
          <w:iCs/>
          <w:lang w:val="pl-PL"/>
        </w:rPr>
        <w:t xml:space="preserve"> inne – zob. załączony wykaz)</w:t>
      </w:r>
    </w:p>
    <w:p w14:paraId="18386E84" w14:textId="77777777" w:rsidR="0098410D" w:rsidRPr="00AD7E3D" w:rsidRDefault="0098410D" w:rsidP="009B24DE">
      <w:pPr>
        <w:pStyle w:val="DecHCase"/>
        <w:rPr>
          <w:lang w:val="pl-PL"/>
        </w:rPr>
      </w:pPr>
    </w:p>
    <w:p w14:paraId="47F48104" w14:textId="77777777" w:rsidR="0098410D" w:rsidRPr="00AD7E3D" w:rsidRDefault="0098410D" w:rsidP="009B24DE">
      <w:pPr>
        <w:pStyle w:val="DecHCase"/>
        <w:rPr>
          <w:lang w:val="pl-PL"/>
        </w:rPr>
      </w:pPr>
    </w:p>
    <w:p w14:paraId="0A063FBD" w14:textId="77777777" w:rsidR="00052489" w:rsidRPr="00AD7E3D" w:rsidRDefault="00052489" w:rsidP="009B24DE">
      <w:pPr>
        <w:pStyle w:val="DecHCase"/>
        <w:rPr>
          <w:lang w:val="pl-PL"/>
        </w:rPr>
      </w:pPr>
    </w:p>
    <w:p w14:paraId="2CC7DB80" w14:textId="77777777" w:rsidR="00052489" w:rsidRPr="00AD7E3D" w:rsidRDefault="00052489" w:rsidP="009B24DE">
      <w:pPr>
        <w:pStyle w:val="DecHCase"/>
        <w:rPr>
          <w:lang w:val="pl-PL"/>
        </w:rPr>
      </w:pPr>
    </w:p>
    <w:p w14:paraId="0A3C8CED" w14:textId="77777777" w:rsidR="00AC4CD4" w:rsidRPr="00AD7E3D" w:rsidRDefault="00AC4CD4" w:rsidP="009B24DE">
      <w:pPr>
        <w:pStyle w:val="DecHCase"/>
        <w:rPr>
          <w:lang w:val="pl-PL"/>
        </w:rPr>
      </w:pPr>
    </w:p>
    <w:p w14:paraId="4FF72841" w14:textId="77777777" w:rsidR="0098410D" w:rsidRPr="00AD7E3D" w:rsidRDefault="0098410D" w:rsidP="009B24DE">
      <w:pPr>
        <w:pStyle w:val="DecHCase"/>
        <w:rPr>
          <w:lang w:val="pl-PL"/>
        </w:rPr>
      </w:pPr>
    </w:p>
    <w:p w14:paraId="57D01C61" w14:textId="77777777" w:rsidR="0098410D" w:rsidRPr="00AD7E3D" w:rsidRDefault="00CA0E9C" w:rsidP="009B24DE">
      <w:pPr>
        <w:pStyle w:val="DecHCase"/>
        <w:rPr>
          <w:lang w:val="pl-PL"/>
        </w:rPr>
      </w:pPr>
      <w:r w:rsidRPr="00AD7E3D">
        <w:rPr>
          <w:lang w:val="pl-PL"/>
        </w:rPr>
        <w:t>WYROK</w:t>
      </w:r>
      <w:r w:rsidRPr="00AD7E3D">
        <w:rPr>
          <w:lang w:val="pl-PL"/>
        </w:rPr>
        <w:br/>
      </w:r>
    </w:p>
    <w:p w14:paraId="65DD9C1D" w14:textId="77777777" w:rsidR="0098410D" w:rsidRPr="00AD7E3D" w:rsidRDefault="00CA0E9C" w:rsidP="009B24DE">
      <w:pPr>
        <w:pStyle w:val="DecHCase"/>
        <w:rPr>
          <w:lang w:val="pl-PL"/>
        </w:rPr>
      </w:pPr>
      <w:r w:rsidRPr="00AD7E3D">
        <w:rPr>
          <w:lang w:val="pl-PL"/>
        </w:rPr>
        <w:t>STRASBURG</w:t>
      </w:r>
    </w:p>
    <w:p w14:paraId="01BAED70" w14:textId="77777777" w:rsidR="0098410D" w:rsidRPr="00AD7E3D" w:rsidRDefault="00CA0E9C" w:rsidP="009B24DE">
      <w:pPr>
        <w:pStyle w:val="DecHCase"/>
        <w:rPr>
          <w:lang w:val="pl-PL"/>
        </w:rPr>
      </w:pPr>
      <w:r w:rsidRPr="00AD7E3D">
        <w:rPr>
          <w:rFonts w:ascii="Times New Roman" w:hAnsi="Times New Roman" w:cs="Times New Roman"/>
          <w:lang w:val="pl-PL"/>
        </w:rPr>
        <w:t>19 września 2024 r.</w:t>
      </w:r>
    </w:p>
    <w:p w14:paraId="7B33A08D" w14:textId="77777777" w:rsidR="00AC4CD4" w:rsidRPr="00AD7E3D" w:rsidRDefault="00AC4CD4" w:rsidP="009B24DE">
      <w:pPr>
        <w:pStyle w:val="JuPara"/>
        <w:rPr>
          <w:lang w:val="pl-PL"/>
        </w:rPr>
      </w:pPr>
    </w:p>
    <w:p w14:paraId="06A32A47" w14:textId="77777777" w:rsidR="00052489" w:rsidRPr="00AD7E3D" w:rsidRDefault="00052489" w:rsidP="009B24DE">
      <w:pPr>
        <w:pStyle w:val="JuPara"/>
        <w:rPr>
          <w:lang w:val="pl-PL"/>
        </w:rPr>
      </w:pPr>
    </w:p>
    <w:p w14:paraId="3C99A34F" w14:textId="7FC81F95" w:rsidR="002422B6" w:rsidRPr="00AD7E3D" w:rsidRDefault="00CA0E9C" w:rsidP="009B24DE">
      <w:pPr>
        <w:jc w:val="center"/>
        <w:rPr>
          <w:i/>
          <w:sz w:val="22"/>
          <w:lang w:val="pl-PL"/>
        </w:rPr>
      </w:pPr>
      <w:r w:rsidRPr="00AD7E3D">
        <w:rPr>
          <w:i/>
          <w:iCs/>
          <w:sz w:val="22"/>
          <w:lang w:val="pl-PL"/>
        </w:rPr>
        <w:t>Niniejszy wyrok jest ostateczny, ale może podlegać korekcie wydawniczej.</w:t>
      </w:r>
    </w:p>
    <w:p w14:paraId="6D1AEC68" w14:textId="77777777" w:rsidR="0098410D" w:rsidRPr="00AD7E3D" w:rsidRDefault="0098410D" w:rsidP="009B24DE">
      <w:pPr>
        <w:rPr>
          <w:lang w:val="pl-PL"/>
        </w:rPr>
        <w:sectPr w:rsidR="0098410D" w:rsidRPr="00AD7E3D" w:rsidSect="00D6647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3CEC4266" w14:textId="0B2DD0FD" w:rsidR="0098410D" w:rsidRPr="00AD7E3D" w:rsidRDefault="00CA0E9C" w:rsidP="009B24DE">
      <w:pPr>
        <w:pStyle w:val="JuCase"/>
        <w:rPr>
          <w:lang w:val="pl-PL"/>
        </w:rPr>
      </w:pPr>
      <w:r w:rsidRPr="00AD7E3D">
        <w:rPr>
          <w:bCs/>
          <w:lang w:val="pl-PL"/>
        </w:rPr>
        <w:lastRenderedPageBreak/>
        <w:t>W sprawie Formela i Inni przeciwko Polsce</w:t>
      </w:r>
    </w:p>
    <w:p w14:paraId="4EBC1D31" w14:textId="06CD9B34" w:rsidR="009F4C8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t>Europejski Trybunał Praw Człowieka (sekcja</w:t>
      </w:r>
      <w:r w:rsidR="00176375">
        <w:rPr>
          <w:lang w:val="pl-PL"/>
        </w:rPr>
        <w:t xml:space="preserve"> </w:t>
      </w:r>
      <w:r w:rsidR="00176375" w:rsidRPr="00AD7E3D">
        <w:rPr>
          <w:lang w:val="pl-PL"/>
        </w:rPr>
        <w:t>pierwsza</w:t>
      </w:r>
      <w:r w:rsidRPr="00AD7E3D">
        <w:rPr>
          <w:lang w:val="pl-PL"/>
        </w:rPr>
        <w:t>), zasiadając jako Komitet w składzie:</w:t>
      </w:r>
    </w:p>
    <w:p w14:paraId="21B8CE59" w14:textId="77777777" w:rsidR="00A92625" w:rsidRPr="00AD7E3D" w:rsidRDefault="00CA0E9C" w:rsidP="009B24DE">
      <w:pPr>
        <w:pStyle w:val="JuJudges"/>
        <w:rPr>
          <w:lang w:val="pl-PL"/>
        </w:rPr>
      </w:pPr>
      <w:r w:rsidRPr="00AD7E3D">
        <w:rPr>
          <w:lang w:val="pl-PL"/>
        </w:rPr>
        <w:tab/>
        <w:t>Péter Paczolay</w:t>
      </w:r>
      <w:r w:rsidRPr="00AD7E3D">
        <w:rPr>
          <w:i/>
          <w:iCs/>
          <w:lang w:val="pl-PL"/>
        </w:rPr>
        <w:t>, Przewodniczący</w:t>
      </w:r>
      <w:r w:rsidRPr="00AD7E3D">
        <w:rPr>
          <w:lang w:val="pl-PL"/>
        </w:rPr>
        <w:t>,</w:t>
      </w:r>
      <w:r w:rsidRPr="00AD7E3D">
        <w:rPr>
          <w:lang w:val="pl-PL"/>
        </w:rPr>
        <w:br/>
      </w:r>
      <w:r w:rsidRPr="00AD7E3D">
        <w:rPr>
          <w:lang w:val="pl-PL"/>
        </w:rPr>
        <w:tab/>
        <w:t>Gilberto Felici,</w:t>
      </w:r>
      <w:r w:rsidRPr="00AD7E3D">
        <w:rPr>
          <w:lang w:val="pl-PL"/>
        </w:rPr>
        <w:br/>
      </w:r>
      <w:r w:rsidRPr="00AD7E3D">
        <w:rPr>
          <w:lang w:val="pl-PL"/>
        </w:rPr>
        <w:tab/>
        <w:t>Raffaele Sabato</w:t>
      </w:r>
      <w:r w:rsidRPr="00AD7E3D">
        <w:rPr>
          <w:i/>
          <w:iCs/>
          <w:lang w:val="pl-PL"/>
        </w:rPr>
        <w:t>, Sędziowie</w:t>
      </w:r>
      <w:r w:rsidRPr="00AD7E3D">
        <w:rPr>
          <w:lang w:val="pl-PL"/>
        </w:rPr>
        <w:t>,</w:t>
      </w:r>
      <w:r w:rsidRPr="00AD7E3D">
        <w:rPr>
          <w:lang w:val="pl-PL"/>
        </w:rPr>
        <w:br/>
        <w:t xml:space="preserve">oraz Liv Tigerstedt, </w:t>
      </w:r>
      <w:r w:rsidRPr="00AD7E3D">
        <w:rPr>
          <w:i/>
          <w:iCs/>
          <w:lang w:val="pl-PL"/>
        </w:rPr>
        <w:t>Zastępczyni Kanclerza Sekcji,</w:t>
      </w:r>
    </w:p>
    <w:p w14:paraId="49D0F53D" w14:textId="77777777" w:rsidR="00B57FD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t>mając na uwadze:</w:t>
      </w:r>
    </w:p>
    <w:p w14:paraId="705CF4E2" w14:textId="51E7AFCF" w:rsidR="00B57FD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t>skargi przeciwko Rzeczypospolitej Polskiej wniesione do Trybunału na podstawie art.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34 Konwencji o ochronie praw człowieka i podstawowych wolności („Konwencja”) przez skarżące wymienione w załączonej tabeli („skarżące”), w poszczególnych datach</w:t>
      </w:r>
      <w:r w:rsidR="00B05423" w:rsidRPr="00AD7E3D">
        <w:rPr>
          <w:lang w:val="pl-PL"/>
        </w:rPr>
        <w:t xml:space="preserve"> wskazanych</w:t>
      </w:r>
      <w:r w:rsidRPr="00AD7E3D">
        <w:rPr>
          <w:lang w:val="pl-PL"/>
        </w:rPr>
        <w:t xml:space="preserve"> w tych skargach;</w:t>
      </w:r>
    </w:p>
    <w:p w14:paraId="392B6622" w14:textId="6ECF73CF" w:rsidR="00B57FD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t xml:space="preserve">decyzję o zakomunikowaniu </w:t>
      </w:r>
      <w:r w:rsidR="009721F6" w:rsidRPr="00AD7E3D">
        <w:rPr>
          <w:lang w:val="pl-PL"/>
        </w:rPr>
        <w:t xml:space="preserve">skarg </w:t>
      </w:r>
      <w:r w:rsidRPr="00AD7E3D">
        <w:rPr>
          <w:lang w:val="pl-PL"/>
        </w:rPr>
        <w:t xml:space="preserve">Rządowi </w:t>
      </w:r>
      <w:r w:rsidR="00EC5A6A" w:rsidRPr="00AD7E3D">
        <w:rPr>
          <w:lang w:val="pl-PL"/>
        </w:rPr>
        <w:t>p</w:t>
      </w:r>
      <w:r w:rsidR="00556F55" w:rsidRPr="00AD7E3D">
        <w:rPr>
          <w:lang w:val="pl-PL"/>
        </w:rPr>
        <w:t>olskiemu</w:t>
      </w:r>
      <w:r w:rsidRPr="00AD7E3D">
        <w:rPr>
          <w:lang w:val="pl-PL"/>
        </w:rPr>
        <w:t xml:space="preserve"> („Rząd”), reprezentowanemu przez jego pełnomocnika J. Sobczaka z Ministerstwa Spraw Zagranicznych;</w:t>
      </w:r>
    </w:p>
    <w:p w14:paraId="50F9ECB5" w14:textId="4ADE5A06" w:rsidR="00B57FD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t>uwagi przedstawione przez pozwany Rząd oraz uwagi w odpowiedzi na nie przedstawione przez skarżące</w:t>
      </w:r>
      <w:r w:rsidR="00417618" w:rsidRPr="00AD7E3D">
        <w:rPr>
          <w:lang w:val="pl-PL"/>
        </w:rPr>
        <w:t>;</w:t>
      </w:r>
    </w:p>
    <w:p w14:paraId="1EFACB1A" w14:textId="4501769B" w:rsidR="00B57FD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t>uwagi przedstawione przez Komisarz Praw Człowieka Rady Europy, która skorzystała z prawa do interwencji w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postępowaniu (art.</w:t>
      </w:r>
      <w:r w:rsidR="00417618" w:rsidRPr="00AD7E3D">
        <w:rPr>
          <w:lang w:val="pl-PL"/>
        </w:rPr>
        <w:t> </w:t>
      </w:r>
      <w:r w:rsidRPr="00AD7E3D">
        <w:rPr>
          <w:lang w:val="pl-PL"/>
        </w:rPr>
        <w:t xml:space="preserve">36 </w:t>
      </w:r>
      <w:r w:rsidR="00417618" w:rsidRPr="00AD7E3D">
        <w:rPr>
          <w:lang w:val="pl-PL"/>
        </w:rPr>
        <w:t>ust.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3 Konwencji i Reguła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44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§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 Regulaminu Trybunału);</w:t>
      </w:r>
    </w:p>
    <w:p w14:paraId="164E54C7" w14:textId="3C02136F" w:rsidR="00B57FD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t>uwagi przedstawione przez następujące organizacje, z których wszystkie otrzymały od Przewodniczącego Sekcji prawo do interwencji w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postępowaniu:</w:t>
      </w:r>
    </w:p>
    <w:p w14:paraId="1437ABD8" w14:textId="77777777" w:rsidR="00E373B5" w:rsidRPr="00AD7E3D" w:rsidRDefault="00CA0E9C" w:rsidP="00621E97">
      <w:pPr>
        <w:pStyle w:val="JuPara"/>
        <w:ind w:firstLine="142"/>
        <w:rPr>
          <w:lang w:val="pl-PL"/>
        </w:rPr>
      </w:pPr>
      <w:r w:rsidRPr="00AD7E3D">
        <w:rPr>
          <w:lang w:val="pl-PL"/>
        </w:rPr>
        <w:t>-</w:t>
      </w:r>
      <w:r w:rsidR="00E373B5" w:rsidRPr="00AD7E3D">
        <w:rPr>
          <w:lang w:val="pl-PL"/>
        </w:rPr>
        <w:t xml:space="preserve"> </w:t>
      </w:r>
      <w:r w:rsidRPr="00AD7E3D">
        <w:rPr>
          <w:lang w:val="pl-PL"/>
        </w:rPr>
        <w:t>Rzecznik Praw Obywatelskich Rzeczypospolitej Polskiej;</w:t>
      </w:r>
    </w:p>
    <w:p w14:paraId="4DC771C3" w14:textId="0A2C20CD" w:rsidR="00B57FDF" w:rsidRPr="00AD7E3D" w:rsidRDefault="00E373B5" w:rsidP="00621E97">
      <w:pPr>
        <w:pStyle w:val="JuPara"/>
        <w:ind w:firstLine="142"/>
        <w:rPr>
          <w:lang w:val="pl-PL"/>
        </w:rPr>
      </w:pPr>
      <w:r w:rsidRPr="00AD7E3D">
        <w:rPr>
          <w:lang w:val="pl-PL"/>
        </w:rPr>
        <w:t>-</w:t>
      </w:r>
      <w:r w:rsidR="00621E97" w:rsidRPr="00AD7E3D">
        <w:rPr>
          <w:lang w:val="pl-PL"/>
        </w:rPr>
        <w:t xml:space="preserve"> </w:t>
      </w:r>
      <w:r w:rsidR="00CA0E9C" w:rsidRPr="00AD7E3D">
        <w:rPr>
          <w:lang w:val="pl-PL"/>
        </w:rPr>
        <w:t>Międzynarodowe Stowarzyszenie Lesbijek, Gejów, Osób</w:t>
      </w:r>
      <w:r w:rsidR="00621E97" w:rsidRPr="00AD7E3D">
        <w:rPr>
          <w:lang w:val="pl-PL"/>
        </w:rPr>
        <w:t xml:space="preserve"> </w:t>
      </w:r>
      <w:r w:rsidR="00CA0E9C" w:rsidRPr="00AD7E3D">
        <w:rPr>
          <w:lang w:val="pl-PL"/>
        </w:rPr>
        <w:t xml:space="preserve">Biseksualnych, Transseksualnych i Interseksualnych (ILGA) w imieniu Fédération Internationale pour les Droits Humains (FIDH), </w:t>
      </w:r>
      <w:r w:rsidR="00176375">
        <w:rPr>
          <w:lang w:val="pl-PL"/>
        </w:rPr>
        <w:t>E</w:t>
      </w:r>
      <w:r w:rsidR="00CA0E9C" w:rsidRPr="00AD7E3D">
        <w:rPr>
          <w:lang w:val="pl-PL"/>
        </w:rPr>
        <w:t xml:space="preserve">uropejski </w:t>
      </w:r>
      <w:r w:rsidR="00176375">
        <w:rPr>
          <w:lang w:val="pl-PL"/>
        </w:rPr>
        <w:t>O</w:t>
      </w:r>
      <w:r w:rsidR="00CA0E9C" w:rsidRPr="00AD7E3D">
        <w:rPr>
          <w:lang w:val="pl-PL"/>
        </w:rPr>
        <w:t xml:space="preserve">ddział Międzynarodowego Stowarzyszenia Lesbijek, Gejów, Osób Biseksualnych, Transseksualnych i Interseksualnych (ILGA-Europe), Sieć Europejskich Stowarzyszeń na rzecz Rodzin LGBTIQ* (NELFA) oraz </w:t>
      </w:r>
      <w:r w:rsidR="00176375">
        <w:rPr>
          <w:lang w:val="pl-PL"/>
        </w:rPr>
        <w:t>E</w:t>
      </w:r>
      <w:r w:rsidR="00CA0E9C" w:rsidRPr="00AD7E3D">
        <w:rPr>
          <w:lang w:val="pl-PL"/>
        </w:rPr>
        <w:t xml:space="preserve">uropejska </w:t>
      </w:r>
      <w:r w:rsidR="00176375">
        <w:rPr>
          <w:lang w:val="pl-PL"/>
        </w:rPr>
        <w:t>S</w:t>
      </w:r>
      <w:r w:rsidR="00CA0E9C" w:rsidRPr="00AD7E3D">
        <w:rPr>
          <w:lang w:val="pl-PL"/>
        </w:rPr>
        <w:t xml:space="preserve">ieć </w:t>
      </w:r>
      <w:r w:rsidR="00176375">
        <w:rPr>
          <w:lang w:val="pl-PL"/>
        </w:rPr>
        <w:t>P</w:t>
      </w:r>
      <w:r w:rsidR="00CA0E9C" w:rsidRPr="00AD7E3D">
        <w:rPr>
          <w:lang w:val="pl-PL"/>
        </w:rPr>
        <w:t>rawników zajmujących się prawnymi aspektami dyskryminacji z powodu orientacji seksualnej i tożsamości płciowej (</w:t>
      </w:r>
      <w:r w:rsidR="00CA0E9C" w:rsidRPr="00AD7E3D">
        <w:rPr>
          <w:i/>
          <w:iCs/>
          <w:lang w:val="pl-PL"/>
        </w:rPr>
        <w:t>European Commission on Sexual Orientation Law</w:t>
      </w:r>
      <w:r w:rsidR="00CA0E9C" w:rsidRPr="00AD7E3D">
        <w:rPr>
          <w:lang w:val="pl-PL"/>
        </w:rPr>
        <w:t>, ECSOL);</w:t>
      </w:r>
    </w:p>
    <w:p w14:paraId="77642AB1" w14:textId="77777777" w:rsidR="00B57FDF" w:rsidRPr="00AD7E3D" w:rsidRDefault="00CA0E9C" w:rsidP="00621E97">
      <w:pPr>
        <w:pStyle w:val="JuPara"/>
        <w:ind w:firstLine="142"/>
        <w:rPr>
          <w:lang w:val="pl-PL"/>
        </w:rPr>
      </w:pPr>
      <w:r w:rsidRPr="00AD7E3D">
        <w:rPr>
          <w:lang w:val="pl-PL"/>
        </w:rPr>
        <w:t>- Instytut Psychologii Polskiej Akademii Nauk;</w:t>
      </w:r>
    </w:p>
    <w:p w14:paraId="58C6B4DF" w14:textId="77777777" w:rsidR="00B57FDF" w:rsidRPr="00AD7E3D" w:rsidRDefault="00CA0E9C" w:rsidP="00621E97">
      <w:pPr>
        <w:pStyle w:val="JuPara"/>
        <w:ind w:firstLine="142"/>
        <w:rPr>
          <w:lang w:val="pl-PL"/>
        </w:rPr>
      </w:pPr>
      <w:r w:rsidRPr="00AD7E3D">
        <w:rPr>
          <w:lang w:val="pl-PL"/>
        </w:rPr>
        <w:t>- Fundacja Instytut na rzecz Kultury Prawnej Ordo Iuris;</w:t>
      </w:r>
    </w:p>
    <w:p w14:paraId="5A15B07E" w14:textId="5D71538C" w:rsidR="00B57FDF" w:rsidRPr="00AD7E3D" w:rsidRDefault="00CA0E9C" w:rsidP="00621E97">
      <w:pPr>
        <w:pStyle w:val="JuPara"/>
        <w:ind w:firstLine="142"/>
        <w:rPr>
          <w:lang w:val="pl-PL"/>
        </w:rPr>
      </w:pPr>
      <w:r w:rsidRPr="00AD7E3D">
        <w:rPr>
          <w:lang w:val="pl-PL"/>
        </w:rPr>
        <w:t>- Polskie Towarzystwo Prawa Antydyskryminacyjnego (w imieniu Stowarzyszenia Kampania Przeciw Homofobii i Miłość Nie Wyklucza);</w:t>
      </w:r>
    </w:p>
    <w:p w14:paraId="0D20B7AE" w14:textId="0E788E7D" w:rsidR="009F4C8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t>obradując na posiedzeniu niejawnym w dniu 29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sierpnia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2024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r.,</w:t>
      </w:r>
    </w:p>
    <w:p w14:paraId="3B3342E3" w14:textId="77777777" w:rsidR="009F4C8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t>wydaje następujący wyrok, który został przyjęty w tym dniu:</w:t>
      </w:r>
    </w:p>
    <w:p w14:paraId="3899CC8A" w14:textId="77777777" w:rsidR="00B57FDF" w:rsidRPr="00AD7E3D" w:rsidRDefault="00CA0E9C" w:rsidP="009B24DE">
      <w:pPr>
        <w:pStyle w:val="JuHHead"/>
        <w:rPr>
          <w:lang w:val="pl-PL"/>
        </w:rPr>
      </w:pPr>
      <w:r w:rsidRPr="00AD7E3D">
        <w:rPr>
          <w:bCs w:val="0"/>
          <w:lang w:val="pl-PL"/>
        </w:rPr>
        <w:t>PRZEDMIOT SPRAWY</w:t>
      </w:r>
    </w:p>
    <w:p w14:paraId="7F48AE4F" w14:textId="2BB942C1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1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</w:t>
      </w:r>
      <w:r w:rsidR="0045493A" w:rsidRPr="0045493A">
        <w:rPr>
          <w:lang w:val="pl-PL"/>
        </w:rPr>
        <w:t xml:space="preserve">Skarżący reprezentują pary jednopłciowe, które skarżyły się na podstawie art. 8 Konwencji, że ich małżeństwa zawarte za granicą nie zostały </w:t>
      </w:r>
      <w:r w:rsidR="0045493A" w:rsidRPr="0045493A">
        <w:rPr>
          <w:lang w:val="pl-PL"/>
        </w:rPr>
        <w:lastRenderedPageBreak/>
        <w:t xml:space="preserve">zarejestrowane w Polsce, a </w:t>
      </w:r>
      <w:r w:rsidR="0045493A">
        <w:rPr>
          <w:lang w:val="pl-PL"/>
        </w:rPr>
        <w:t>dla ich</w:t>
      </w:r>
      <w:r w:rsidR="0045493A" w:rsidRPr="0045493A">
        <w:rPr>
          <w:lang w:val="pl-PL"/>
        </w:rPr>
        <w:t xml:space="preserve"> związk</w:t>
      </w:r>
      <w:r w:rsidR="0045493A">
        <w:rPr>
          <w:lang w:val="pl-PL"/>
        </w:rPr>
        <w:t>ów nie zostały przewidziane żadne prawne formy ochrony i uznania</w:t>
      </w:r>
      <w:r w:rsidR="0045493A" w:rsidRPr="0045493A">
        <w:rPr>
          <w:lang w:val="pl-PL"/>
        </w:rPr>
        <w:t>.</w:t>
      </w:r>
    </w:p>
    <w:p w14:paraId="22540749" w14:textId="216E3B1C" w:rsidR="00B57FDF" w:rsidRPr="00AD7E3D" w:rsidRDefault="00CA0E9C" w:rsidP="009B24DE">
      <w:pPr>
        <w:pStyle w:val="JuHIRoman"/>
        <w:rPr>
          <w:lang w:val="pl-PL"/>
        </w:rPr>
      </w:pPr>
      <w:r w:rsidRPr="00AD7E3D">
        <w:rPr>
          <w:bCs w:val="0"/>
          <w:lang w:val="pl-PL"/>
        </w:rPr>
        <w:t>PIERWSZA I DRUGA SKARŻĄCA (K.</w:t>
      </w:r>
      <w:r w:rsidR="00A667C8" w:rsidRPr="00AD7E3D">
        <w:rPr>
          <w:bCs w:val="0"/>
          <w:lang w:val="pl-PL"/>
        </w:rPr>
        <w:t> </w:t>
      </w:r>
      <w:r w:rsidRPr="00AD7E3D">
        <w:rPr>
          <w:bCs w:val="0"/>
          <w:lang w:val="pl-PL"/>
        </w:rPr>
        <w:t>FORMELA I S.</w:t>
      </w:r>
      <w:r w:rsidR="00A667C8" w:rsidRPr="00AD7E3D">
        <w:rPr>
          <w:bCs w:val="0"/>
          <w:lang w:val="pl-PL"/>
        </w:rPr>
        <w:t> </w:t>
      </w:r>
      <w:r w:rsidRPr="00AD7E3D">
        <w:rPr>
          <w:bCs w:val="0"/>
          <w:lang w:val="pl-PL"/>
        </w:rPr>
        <w:t>FORMELA)</w:t>
      </w:r>
    </w:p>
    <w:p w14:paraId="0CA8354B" w14:textId="0AA993CC" w:rsidR="00B57FDF" w:rsidRPr="00AD7E3D" w:rsidRDefault="00CA0E9C" w:rsidP="009B24DE">
      <w:pPr>
        <w:pStyle w:val="JuHA"/>
        <w:rPr>
          <w:lang w:val="pl-PL"/>
        </w:rPr>
      </w:pPr>
      <w:r w:rsidRPr="00AD7E3D">
        <w:rPr>
          <w:lang w:val="pl-PL"/>
        </w:rPr>
        <w:t xml:space="preserve">Postępowania dotyczące darowizn, zeznań podatkowych, świadczeń </w:t>
      </w:r>
      <w:r w:rsidR="00AD7E3D" w:rsidRPr="00AD7E3D">
        <w:rPr>
          <w:lang w:val="pl-PL"/>
        </w:rPr>
        <w:t>społecznych</w:t>
      </w:r>
      <w:r w:rsidRPr="00AD7E3D">
        <w:rPr>
          <w:lang w:val="pl-PL"/>
        </w:rPr>
        <w:t xml:space="preserve"> i ubezpieczenia zdrowotnego</w:t>
      </w:r>
    </w:p>
    <w:bookmarkStart w:id="0" w:name="facts_donation_start"/>
    <w:p w14:paraId="2C113372" w14:textId="129E3522" w:rsidR="00B57FD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2</w:t>
      </w:r>
      <w:r w:rsidRPr="00AD7E3D">
        <w:rPr>
          <w:lang w:val="pl-PL"/>
        </w:rPr>
        <w:fldChar w:fldCharType="end"/>
      </w:r>
      <w:bookmarkEnd w:id="0"/>
      <w:r w:rsidRPr="00AD7E3D">
        <w:rPr>
          <w:lang w:val="pl-PL"/>
        </w:rPr>
        <w:t>.  W czerwcu 2009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 pierwsza skarżąca otrzymała darowiznę od drugiej skarżącej. W zeznaniu podatkowym wskazała, że darowizna pochodziła od jej „współmałżonki” (w związku z czym skarżąca jako należąca do grupy pierwszej, czyli najbliższej rodziny, była uprawniona do otrzymania nieopodatkowanych darowizn). We wrześniu 2009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 xml:space="preserve">r. urząd skarbowy </w:t>
      </w:r>
      <w:r w:rsidR="00F65D6D" w:rsidRPr="00AD7E3D">
        <w:rPr>
          <w:lang w:val="pl-PL"/>
        </w:rPr>
        <w:t>ustalił</w:t>
      </w:r>
      <w:r w:rsidRPr="00AD7E3D">
        <w:rPr>
          <w:lang w:val="pl-PL"/>
        </w:rPr>
        <w:t xml:space="preserve">, że pierwsza skarżąca jest zobowiązana do zapłaty podatku od darowizny, ponieważ otrzymała ją od osoby należącej do trzeciej grupy – brak powiązań rodzinnych. Pierwsza skarżąca </w:t>
      </w:r>
      <w:r w:rsidR="007E28D3" w:rsidRPr="00AD7E3D">
        <w:rPr>
          <w:lang w:val="pl-PL"/>
        </w:rPr>
        <w:t>odwołała się</w:t>
      </w:r>
      <w:r w:rsidRPr="00AD7E3D">
        <w:rPr>
          <w:lang w:val="pl-PL"/>
        </w:rPr>
        <w:t>, ale w dniu 20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marca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2012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 Naczelny Sąd Administracyjny</w:t>
      </w:r>
      <w:r w:rsidR="00F65D6D" w:rsidRPr="00AD7E3D">
        <w:rPr>
          <w:lang w:val="pl-PL"/>
        </w:rPr>
        <w:t xml:space="preserve"> utrzymał w mocy decyzję urzędu</w:t>
      </w:r>
      <w:r w:rsidRPr="00AD7E3D">
        <w:rPr>
          <w:lang w:val="pl-PL"/>
        </w:rPr>
        <w:t>.</w:t>
      </w:r>
    </w:p>
    <w:p w14:paraId="2AEF74E8" w14:textId="2C0D9ED6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3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W kwietniu 2009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 xml:space="preserve">r. skarżące </w:t>
      </w:r>
      <w:r w:rsidR="00E666E9" w:rsidRPr="00AD7E3D">
        <w:rPr>
          <w:lang w:val="pl-PL"/>
        </w:rPr>
        <w:t>dokonały</w:t>
      </w:r>
      <w:r w:rsidRPr="00AD7E3D">
        <w:rPr>
          <w:lang w:val="pl-PL"/>
        </w:rPr>
        <w:t xml:space="preserve"> wspólne</w:t>
      </w:r>
      <w:r w:rsidR="00E666E9" w:rsidRPr="00AD7E3D">
        <w:rPr>
          <w:lang w:val="pl-PL"/>
        </w:rPr>
        <w:t>go</w:t>
      </w:r>
      <w:r w:rsidRPr="00AD7E3D">
        <w:rPr>
          <w:lang w:val="pl-PL"/>
        </w:rPr>
        <w:t xml:space="preserve"> </w:t>
      </w:r>
      <w:r w:rsidR="00E666E9" w:rsidRPr="00AD7E3D">
        <w:rPr>
          <w:lang w:val="pl-PL"/>
        </w:rPr>
        <w:t>rozliczenia</w:t>
      </w:r>
      <w:r w:rsidRPr="00AD7E3D">
        <w:rPr>
          <w:lang w:val="pl-PL"/>
        </w:rPr>
        <w:t xml:space="preserve"> podatkowe</w:t>
      </w:r>
      <w:r w:rsidR="00E666E9" w:rsidRPr="00AD7E3D">
        <w:rPr>
          <w:lang w:val="pl-PL"/>
        </w:rPr>
        <w:t>go</w:t>
      </w:r>
      <w:r w:rsidRPr="00AD7E3D">
        <w:rPr>
          <w:lang w:val="pl-PL"/>
        </w:rPr>
        <w:t xml:space="preserve"> jako małżeństwo. Organy podatkowe dokonały ponownego obliczenia ich zobowiązań podatkowych, biorąc pod uwagę fakt, że prawo nie zezwalało skarżącym na </w:t>
      </w:r>
      <w:r w:rsidR="00E666E9" w:rsidRPr="00AD7E3D">
        <w:rPr>
          <w:lang w:val="pl-PL"/>
        </w:rPr>
        <w:t>dokonanie</w:t>
      </w:r>
      <w:r w:rsidRPr="00AD7E3D">
        <w:rPr>
          <w:lang w:val="pl-PL"/>
        </w:rPr>
        <w:t xml:space="preserve"> wspólnego </w:t>
      </w:r>
      <w:r w:rsidR="00E666E9" w:rsidRPr="00AD7E3D">
        <w:rPr>
          <w:lang w:val="pl-PL"/>
        </w:rPr>
        <w:t>rozliczenia</w:t>
      </w:r>
      <w:r w:rsidRPr="00AD7E3D">
        <w:rPr>
          <w:lang w:val="pl-PL"/>
        </w:rPr>
        <w:t xml:space="preserve"> podatkowego. W dniu 20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marca 2012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 Naczelny Sąd Administracyjny oddalił skargi kasacyjne skarżących.</w:t>
      </w:r>
    </w:p>
    <w:bookmarkStart w:id="1" w:name="facts_benefit_start"/>
    <w:bookmarkStart w:id="2" w:name="facts_CCT_legOmission"/>
    <w:p w14:paraId="3F64AF9D" w14:textId="27B86736" w:rsidR="00B57FD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4</w:t>
      </w:r>
      <w:r w:rsidRPr="00AD7E3D">
        <w:rPr>
          <w:lang w:val="pl-PL"/>
        </w:rPr>
        <w:fldChar w:fldCharType="end"/>
      </w:r>
      <w:bookmarkEnd w:id="1"/>
      <w:bookmarkEnd w:id="2"/>
      <w:r w:rsidRPr="00AD7E3D">
        <w:rPr>
          <w:lang w:val="pl-PL"/>
        </w:rPr>
        <w:t>.  W sierpniu 2009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 druga skarżąca korzystała z urlopu opiekuńczego do celów sprawowania opieki nad chorym partnerem – pierwszą skarżącą – i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złożyła wniosek o przyznanie świadczeń z tytułu opieki nad chorą współmałżonką. Władze odrzuciły wniosek (ostateczny wyrok został wydany przez Sąd Okręgowy w Gdańsku w dniu 3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września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2010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r.). W dniu 12</w:t>
      </w:r>
      <w:r w:rsidR="0083719E" w:rsidRPr="00AD7E3D">
        <w:rPr>
          <w:lang w:val="pl-PL"/>
        </w:rPr>
        <w:t> </w:t>
      </w:r>
      <w:r w:rsidRPr="00AD7E3D">
        <w:rPr>
          <w:lang w:val="pl-PL"/>
        </w:rPr>
        <w:t>października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2011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 xml:space="preserve">r. Trybunał Konstytucyjny odmówił </w:t>
      </w:r>
      <w:r w:rsidR="000A0CB1" w:rsidRPr="00AD7E3D">
        <w:rPr>
          <w:lang w:val="pl-PL"/>
        </w:rPr>
        <w:t xml:space="preserve">rozpoznania </w:t>
      </w:r>
      <w:r w:rsidRPr="00AD7E3D">
        <w:rPr>
          <w:lang w:val="pl-PL"/>
        </w:rPr>
        <w:t>skargi konstytucyjnej wniesionej przez pierwszą skarżącą. Trybunał uznał, że sprawa dotyczy braku regulacji: zaniechania ustawodawczego, a nie niezgodności przepisów prawa z Konstytucją.</w:t>
      </w:r>
    </w:p>
    <w:p w14:paraId="14B1F0E1" w14:textId="2D14D75E" w:rsidR="00B57FD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5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W dniu 24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września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2012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 xml:space="preserve">r. druga skarżąca złożyła wniosek o objęcie jej ubezpieczeniem zdrowotnym pierwszej skarżącej. Władze odrzuciły wniosek, stwierdzając, że pierwsza skarżąca nie może podlegać ubezpieczeniu jako członek rodziny drugiej skarżącej, ponieważ nie jest to dozwolone przez prawo. </w:t>
      </w:r>
      <w:r w:rsidR="00905C1F">
        <w:rPr>
          <w:lang w:val="pl-PL"/>
        </w:rPr>
        <w:t>W</w:t>
      </w:r>
      <w:r w:rsidRPr="00AD7E3D">
        <w:rPr>
          <w:lang w:val="pl-PL"/>
        </w:rPr>
        <w:t xml:space="preserve"> dniu 25</w:t>
      </w:r>
      <w:r w:rsidR="0083719E" w:rsidRPr="00AD7E3D">
        <w:rPr>
          <w:lang w:val="pl-PL"/>
        </w:rPr>
        <w:t> </w:t>
      </w:r>
      <w:r w:rsidRPr="00AD7E3D">
        <w:rPr>
          <w:lang w:val="pl-PL"/>
        </w:rPr>
        <w:t>października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2016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 Naczelny Sąd Administracyjny</w:t>
      </w:r>
      <w:r w:rsidR="00905C1F">
        <w:rPr>
          <w:lang w:val="pl-PL"/>
        </w:rPr>
        <w:t xml:space="preserve"> oddalił o</w:t>
      </w:r>
      <w:r w:rsidR="00905C1F" w:rsidRPr="00AD7E3D">
        <w:rPr>
          <w:lang w:val="pl-PL"/>
        </w:rPr>
        <w:t>stateczne odwołanie skarżących</w:t>
      </w:r>
      <w:r w:rsidR="00905C1F">
        <w:rPr>
          <w:lang w:val="pl-PL"/>
        </w:rPr>
        <w:t>.</w:t>
      </w:r>
    </w:p>
    <w:p w14:paraId="0972AF39" w14:textId="77777777" w:rsidR="00B57FDF" w:rsidRPr="00AD7E3D" w:rsidRDefault="00CA0E9C" w:rsidP="009B24DE">
      <w:pPr>
        <w:pStyle w:val="JuHA"/>
        <w:rPr>
          <w:lang w:val="pl-PL"/>
        </w:rPr>
      </w:pPr>
      <w:r w:rsidRPr="00AD7E3D">
        <w:rPr>
          <w:lang w:val="pl-PL"/>
        </w:rPr>
        <w:lastRenderedPageBreak/>
        <w:t>Postępowanie w sprawie rejestracji małżeństwa zawartego za granicą</w:t>
      </w:r>
    </w:p>
    <w:p w14:paraId="0FB8DC20" w14:textId="5E1B206F" w:rsidR="00B57FDF" w:rsidRPr="00AD7E3D" w:rsidRDefault="00CA0E9C" w:rsidP="009B24DE">
      <w:pPr>
        <w:pStyle w:val="JuPara"/>
        <w:rPr>
          <w:bCs/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6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W dniu 16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stycznia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2015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 pierwsza i druga skarżąca zawarły związek małżeński w Zjednoczonym Królestwie. Następnie wystąpi</w:t>
      </w:r>
      <w:r w:rsidR="00546AFC" w:rsidRPr="00AD7E3D">
        <w:rPr>
          <w:lang w:val="pl-PL"/>
        </w:rPr>
        <w:t xml:space="preserve">ły </w:t>
      </w:r>
      <w:r w:rsidRPr="00AD7E3D">
        <w:rPr>
          <w:lang w:val="pl-PL"/>
        </w:rPr>
        <w:t>do Urzędu Stanu Cywilnego w Gdańsku o rejestrację małżeństwa zawartego za granicą.</w:t>
      </w:r>
    </w:p>
    <w:p w14:paraId="41E176DD" w14:textId="4FC9473B" w:rsidR="00B57FDF" w:rsidRPr="00AD7E3D" w:rsidRDefault="00CA0E9C" w:rsidP="009B24DE">
      <w:pPr>
        <w:pStyle w:val="JuPara"/>
        <w:rPr>
          <w:bCs/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7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W dniu 7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lipca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2015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 Kierownik Urzędu Stanu Cywilnego w Gdańsku oddalił oba wnioski, uznając, że rejestracja małżeństwa skarżących byłaby sprzeczna z polskim porządkiem prawnym i naruszałaby m.in.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art.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18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Konstytucji, który stanowi, że małżeństwo może być zawarte tylko przez dwie osoby przeciwnej płci. Skarżące złożyły odwołanie, ale Wojewoda Pomorski utrzymał decyzję w mocy, podobnie jak Wojewódzki Sąd Administracyjny w Gdańsku i Naczelny Sąd Administracyjny (w dniu 28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lutego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2018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r.).</w:t>
      </w:r>
    </w:p>
    <w:p w14:paraId="0199E1D1" w14:textId="0672F50B" w:rsidR="00B57FDF" w:rsidRPr="00AD7E3D" w:rsidRDefault="00CA0E9C" w:rsidP="009B24DE">
      <w:pPr>
        <w:pStyle w:val="JuHIRoman"/>
        <w:rPr>
          <w:lang w:val="pl-PL"/>
        </w:rPr>
      </w:pPr>
      <w:r w:rsidRPr="00AD7E3D">
        <w:rPr>
          <w:bCs w:val="0"/>
          <w:caps w:val="0"/>
          <w:lang w:val="pl-PL"/>
        </w:rPr>
        <w:t>TRZECIA I CZWARTA SKARŻĄCA (M.</w:t>
      </w:r>
      <w:r w:rsidR="00A667C8" w:rsidRPr="00AD7E3D">
        <w:rPr>
          <w:bCs w:val="0"/>
          <w:caps w:val="0"/>
          <w:lang w:val="pl-PL"/>
        </w:rPr>
        <w:t> </w:t>
      </w:r>
      <w:r w:rsidRPr="00AD7E3D">
        <w:rPr>
          <w:bCs w:val="0"/>
          <w:caps w:val="0"/>
          <w:lang w:val="pl-PL"/>
        </w:rPr>
        <w:t>HANDZLIK-ROSUŁ I</w:t>
      </w:r>
      <w:r w:rsidR="00C819AA" w:rsidRPr="00AD7E3D">
        <w:rPr>
          <w:bCs w:val="0"/>
          <w:caps w:val="0"/>
          <w:lang w:val="pl-PL"/>
        </w:rPr>
        <w:t> </w:t>
      </w:r>
      <w:r w:rsidRPr="00AD7E3D">
        <w:rPr>
          <w:bCs w:val="0"/>
          <w:caps w:val="0"/>
          <w:lang w:val="pl-PL"/>
        </w:rPr>
        <w:t>A.</w:t>
      </w:r>
      <w:r w:rsidR="00A667C8" w:rsidRPr="00AD7E3D">
        <w:rPr>
          <w:bCs w:val="0"/>
          <w:caps w:val="0"/>
          <w:lang w:val="pl-PL"/>
        </w:rPr>
        <w:t> </w:t>
      </w:r>
      <w:r w:rsidRPr="00AD7E3D">
        <w:rPr>
          <w:bCs w:val="0"/>
          <w:caps w:val="0"/>
          <w:lang w:val="pl-PL"/>
        </w:rPr>
        <w:t>ROSUŁ)</w:t>
      </w:r>
    </w:p>
    <w:p w14:paraId="0778C720" w14:textId="0B89AB80" w:rsidR="00B57FDF" w:rsidRPr="00AD7E3D" w:rsidRDefault="001E7256" w:rsidP="009B24DE">
      <w:pPr>
        <w:pStyle w:val="JuPara"/>
        <w:rPr>
          <w:bCs/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8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W dniu 7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listopada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2015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 trzecia i czwarta skarżąca zawarły związek małżeński w Danii. Następnie zwróciły się do Urzędu Stanu Cywilnego w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Gdańsku o zarejestrowanie ich małżeństwa zawartego za granicą.</w:t>
      </w:r>
    </w:p>
    <w:p w14:paraId="3F7BD2F2" w14:textId="5B23ED01" w:rsidR="00B57FDF" w:rsidRPr="00AD7E3D" w:rsidRDefault="001E7256" w:rsidP="009B24DE">
      <w:pPr>
        <w:pStyle w:val="JuPara"/>
        <w:rPr>
          <w:bCs/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9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W dniu 5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listopada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2018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 xml:space="preserve">r. władze odrzuciły wniosek, ponieważ byłoby to sprzeczne z polskim porządkiem prawnym, który zezwalał jedynie na małżeństwo między mężczyzną i kobietą. </w:t>
      </w:r>
      <w:r w:rsidR="009A00D9" w:rsidRPr="00AD7E3D">
        <w:rPr>
          <w:lang w:val="pl-PL"/>
        </w:rPr>
        <w:t>W</w:t>
      </w:r>
      <w:r w:rsidRPr="00AD7E3D">
        <w:rPr>
          <w:lang w:val="pl-PL"/>
        </w:rPr>
        <w:t xml:space="preserve"> dniu 1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lipca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2019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 xml:space="preserve">r. </w:t>
      </w:r>
      <w:r w:rsidR="009A00D9" w:rsidRPr="00AD7E3D">
        <w:rPr>
          <w:lang w:val="pl-PL"/>
        </w:rPr>
        <w:t xml:space="preserve">Wojewoda Pomorski oddalił odwołania skarżących </w:t>
      </w:r>
      <w:r w:rsidRPr="00AD7E3D">
        <w:rPr>
          <w:lang w:val="pl-PL"/>
        </w:rPr>
        <w:t>(doręcz</w:t>
      </w:r>
      <w:r w:rsidR="009A00D9" w:rsidRPr="00AD7E3D">
        <w:rPr>
          <w:lang w:val="pl-PL"/>
        </w:rPr>
        <w:t>enie</w:t>
      </w:r>
      <w:r w:rsidRPr="00AD7E3D">
        <w:rPr>
          <w:lang w:val="pl-PL"/>
        </w:rPr>
        <w:t xml:space="preserve"> w dniu 10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lipca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2019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r.).</w:t>
      </w:r>
    </w:p>
    <w:p w14:paraId="0C58555D" w14:textId="77777777" w:rsidR="00B57FDF" w:rsidRPr="00AD7E3D" w:rsidRDefault="00CA0E9C" w:rsidP="009B24DE">
      <w:pPr>
        <w:pStyle w:val="JuHIRoman"/>
        <w:rPr>
          <w:lang w:val="pl-PL"/>
        </w:rPr>
      </w:pPr>
      <w:r w:rsidRPr="00AD7E3D">
        <w:rPr>
          <w:bCs w:val="0"/>
          <w:caps w:val="0"/>
          <w:lang w:val="pl-PL"/>
        </w:rPr>
        <w:t>SKARGI</w:t>
      </w:r>
    </w:p>
    <w:p w14:paraId="33CF7880" w14:textId="7904A2AB" w:rsidR="00B57FDF" w:rsidRPr="00AD7E3D" w:rsidRDefault="00CA0E9C" w:rsidP="009B24DE">
      <w:pPr>
        <w:pStyle w:val="JuPara"/>
        <w:rPr>
          <w:bCs/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10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Skarżące wniosły skargi na podstawie art.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 xml:space="preserve">8 Konwencji </w:t>
      </w:r>
      <w:r w:rsidR="009758E3" w:rsidRPr="00AD7E3D">
        <w:rPr>
          <w:lang w:val="pl-PL"/>
        </w:rPr>
        <w:t>z</w:t>
      </w:r>
      <w:r w:rsidRPr="00AD7E3D">
        <w:rPr>
          <w:lang w:val="pl-PL"/>
        </w:rPr>
        <w:t xml:space="preserve"> uwagi na całkowity brak uznania ich związków w Polsce, ponieważ zawarcie przez nie prawnie uznanego związku </w:t>
      </w:r>
      <w:r w:rsidR="009A00D9" w:rsidRPr="00AD7E3D">
        <w:rPr>
          <w:lang w:val="pl-PL"/>
        </w:rPr>
        <w:t>jakiegokolwiek</w:t>
      </w:r>
      <w:r w:rsidRPr="00AD7E3D">
        <w:rPr>
          <w:lang w:val="pl-PL"/>
        </w:rPr>
        <w:t xml:space="preserve"> rodzaju nie było możliwe. Ponadto skarżące podniosły zarzut, że ich małżeństwa zawarte za granicą nie zostały w żaden sposób uznane przez polskie władze.</w:t>
      </w:r>
    </w:p>
    <w:p w14:paraId="394E8451" w14:textId="77777777" w:rsidR="00B57FDF" w:rsidRPr="00AD7E3D" w:rsidRDefault="00CA0E9C" w:rsidP="009B24DE">
      <w:pPr>
        <w:pStyle w:val="JuHHead"/>
        <w:rPr>
          <w:lang w:val="pl-PL"/>
        </w:rPr>
      </w:pPr>
      <w:r w:rsidRPr="00AD7E3D">
        <w:rPr>
          <w:bCs w:val="0"/>
          <w:lang w:val="pl-PL"/>
        </w:rPr>
        <w:t>OCENA TRYBUNAŁU</w:t>
      </w:r>
    </w:p>
    <w:p w14:paraId="1436EBA6" w14:textId="77777777" w:rsidR="00B57FDF" w:rsidRPr="00AD7E3D" w:rsidRDefault="00CA0E9C" w:rsidP="009B24DE">
      <w:pPr>
        <w:pStyle w:val="JuHIRoman"/>
        <w:rPr>
          <w:lang w:val="pl-PL"/>
        </w:rPr>
      </w:pPr>
      <w:r w:rsidRPr="00AD7E3D">
        <w:rPr>
          <w:bCs w:val="0"/>
          <w:lang w:val="pl-PL"/>
        </w:rPr>
        <w:t>POŁĄCZENIE SKARG</w:t>
      </w:r>
    </w:p>
    <w:p w14:paraId="19FAF914" w14:textId="63B0DB3E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11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</w:t>
      </w:r>
      <w:r w:rsidR="009A00D9" w:rsidRPr="00AD7E3D">
        <w:rPr>
          <w:lang w:val="pl-PL"/>
        </w:rPr>
        <w:t>Mając na uwadze</w:t>
      </w:r>
      <w:r w:rsidRPr="00AD7E3D">
        <w:rPr>
          <w:lang w:val="pl-PL"/>
        </w:rPr>
        <w:t xml:space="preserve"> podobny przedmiot skarg, </w:t>
      </w:r>
      <w:r w:rsidR="0010029F" w:rsidRPr="00AD7E3D">
        <w:rPr>
          <w:lang w:val="pl-PL"/>
        </w:rPr>
        <w:t xml:space="preserve">Trybunał uznał za właściwe ich łączne rozpoznanie </w:t>
      </w:r>
      <w:r w:rsidR="00FC683C" w:rsidRPr="00AD7E3D">
        <w:rPr>
          <w:lang w:val="pl-PL"/>
        </w:rPr>
        <w:t>w jednym</w:t>
      </w:r>
      <w:r w:rsidR="0010029F" w:rsidRPr="00AD7E3D">
        <w:rPr>
          <w:lang w:val="pl-PL"/>
        </w:rPr>
        <w:t xml:space="preserve"> wyroku</w:t>
      </w:r>
      <w:r w:rsidRPr="00AD7E3D">
        <w:rPr>
          <w:lang w:val="pl-PL"/>
        </w:rPr>
        <w:t>.</w:t>
      </w:r>
    </w:p>
    <w:p w14:paraId="4C322977" w14:textId="0301A9C3" w:rsidR="00B57FDF" w:rsidRPr="00AD7E3D" w:rsidRDefault="00CA0E9C" w:rsidP="009B24DE">
      <w:pPr>
        <w:pStyle w:val="JuHIRoman"/>
        <w:rPr>
          <w:lang w:val="pl-PL"/>
        </w:rPr>
      </w:pPr>
      <w:r w:rsidRPr="00AD7E3D">
        <w:rPr>
          <w:bCs w:val="0"/>
          <w:lang w:val="pl-PL"/>
        </w:rPr>
        <w:lastRenderedPageBreak/>
        <w:t xml:space="preserve">ZARZUCANE NARUSZENIE </w:t>
      </w:r>
      <w:r w:rsidR="00D35C97" w:rsidRPr="00AD7E3D">
        <w:rPr>
          <w:bCs w:val="0"/>
          <w:lang w:val="pl-PL"/>
        </w:rPr>
        <w:t>art.</w:t>
      </w:r>
      <w:r w:rsidR="00A667C8" w:rsidRPr="00AD7E3D">
        <w:rPr>
          <w:bCs w:val="0"/>
          <w:lang w:val="pl-PL"/>
        </w:rPr>
        <w:t> </w:t>
      </w:r>
      <w:r w:rsidRPr="00AD7E3D">
        <w:rPr>
          <w:bCs w:val="0"/>
          <w:lang w:val="pl-PL"/>
        </w:rPr>
        <w:t>8 KONWENCJI</w:t>
      </w:r>
    </w:p>
    <w:p w14:paraId="3B6D92B9" w14:textId="77777777" w:rsidR="00B57FDF" w:rsidRPr="00AD7E3D" w:rsidRDefault="00CA0E9C" w:rsidP="009B24DE">
      <w:pPr>
        <w:pStyle w:val="JuHA"/>
        <w:rPr>
          <w:lang w:val="pl-PL"/>
        </w:rPr>
      </w:pPr>
      <w:r w:rsidRPr="00AD7E3D">
        <w:rPr>
          <w:lang w:val="pl-PL"/>
        </w:rPr>
        <w:t>Dopuszczalność</w:t>
      </w:r>
    </w:p>
    <w:p w14:paraId="75A28A89" w14:textId="5F389E70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12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 xml:space="preserve">.  Rząd </w:t>
      </w:r>
      <w:r w:rsidR="00D35C97" w:rsidRPr="00AD7E3D">
        <w:rPr>
          <w:lang w:val="pl-PL"/>
        </w:rPr>
        <w:t>zgłosił</w:t>
      </w:r>
      <w:r w:rsidRPr="00AD7E3D">
        <w:rPr>
          <w:lang w:val="pl-PL"/>
        </w:rPr>
        <w:t xml:space="preserve"> zastrzeżenie wstępne</w:t>
      </w:r>
      <w:r w:rsidR="00D35C97" w:rsidRPr="00AD7E3D">
        <w:rPr>
          <w:lang w:val="pl-PL"/>
        </w:rPr>
        <w:t xml:space="preserve"> dotyczące niewyczerpania krajowych środków odwoławczych w odniesieniu do </w:t>
      </w:r>
      <w:r w:rsidRPr="00AD7E3D">
        <w:rPr>
          <w:lang w:val="pl-PL"/>
        </w:rPr>
        <w:t>trzeci</w:t>
      </w:r>
      <w:r w:rsidR="00D35C97" w:rsidRPr="00AD7E3D">
        <w:rPr>
          <w:lang w:val="pl-PL"/>
        </w:rPr>
        <w:t>ej</w:t>
      </w:r>
      <w:r w:rsidRPr="00AD7E3D">
        <w:rPr>
          <w:lang w:val="pl-PL"/>
        </w:rPr>
        <w:t xml:space="preserve"> i czwart</w:t>
      </w:r>
      <w:r w:rsidR="00D35C97" w:rsidRPr="00AD7E3D">
        <w:rPr>
          <w:lang w:val="pl-PL"/>
        </w:rPr>
        <w:t>ej</w:t>
      </w:r>
      <w:r w:rsidRPr="00AD7E3D">
        <w:rPr>
          <w:lang w:val="pl-PL"/>
        </w:rPr>
        <w:t xml:space="preserve"> skarżąc</w:t>
      </w:r>
      <w:r w:rsidR="00D35C97" w:rsidRPr="00AD7E3D">
        <w:rPr>
          <w:lang w:val="pl-PL"/>
        </w:rPr>
        <w:t>ej</w:t>
      </w:r>
      <w:r w:rsidRPr="00AD7E3D">
        <w:rPr>
          <w:lang w:val="pl-PL"/>
        </w:rPr>
        <w:t xml:space="preserve">, </w:t>
      </w:r>
      <w:r w:rsidR="00617055" w:rsidRPr="00AD7E3D">
        <w:rPr>
          <w:lang w:val="pl-PL"/>
        </w:rPr>
        <w:t>jako że</w:t>
      </w:r>
      <w:r w:rsidRPr="00AD7E3D">
        <w:rPr>
          <w:lang w:val="pl-PL"/>
        </w:rPr>
        <w:t xml:space="preserve"> nie odwołały się </w:t>
      </w:r>
      <w:r w:rsidR="00D35C97" w:rsidRPr="00AD7E3D">
        <w:rPr>
          <w:lang w:val="pl-PL"/>
        </w:rPr>
        <w:t xml:space="preserve">one </w:t>
      </w:r>
      <w:r w:rsidRPr="00AD7E3D">
        <w:rPr>
          <w:lang w:val="pl-PL"/>
        </w:rPr>
        <w:t>od decyzji Wojewody Pomorskiego z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dnia 1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lipca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2019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</w:t>
      </w:r>
    </w:p>
    <w:p w14:paraId="77A9A6F9" w14:textId="73590051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13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 xml:space="preserve">.  Trybunał zauważył jednak, że dwie pierwsze skarżące, które znajdowały się w podobnej sytuacji, odwołały się od dotyczącej ich decyzji – najpierw do Wojewódzkiego Sądu Administracyjnego, a następnie do Naczelnego Sądu Administracyjnego. Oba sądy </w:t>
      </w:r>
      <w:r w:rsidR="00617055" w:rsidRPr="00AD7E3D">
        <w:rPr>
          <w:lang w:val="pl-PL"/>
        </w:rPr>
        <w:t>utrzymały w mocy</w:t>
      </w:r>
      <w:r w:rsidRPr="00AD7E3D">
        <w:rPr>
          <w:lang w:val="pl-PL"/>
        </w:rPr>
        <w:t xml:space="preserve"> decyzje administracyjne jako oparte na jednoznacznych przepisach prawa krajowego i orzecznictwie, potwierdzając, że rejestracja zagranicznych małżeństw osób tej samej płci zostałaby uznana za naruszającą podstawowe zasady polskiego porządku prawnego.</w:t>
      </w:r>
    </w:p>
    <w:p w14:paraId="42778C61" w14:textId="0A139469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14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Rząd argumentował również, że skarżące nie wniosły skargi do Trybunału Konstytucyjnego. Trybunał uznał, że istnieją poważne wątpliwości co do dopuszczalności skargi konstytucyjnej w sprawie dotyczącej braku możliwości rejestracji w Polsce małżeństwa osób tej samej płci zawartego za granicą oraz braku jakiejkolwiek innej formy uznania i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 xml:space="preserve">ochrony takich małżeństw, ponieważ podobne skargi były w przeszłości kwalifikowane jako zaniechanie ustawodawcze, którego </w:t>
      </w:r>
      <w:r w:rsidR="00595185" w:rsidRPr="00AD7E3D">
        <w:rPr>
          <w:lang w:val="pl-PL"/>
        </w:rPr>
        <w:t>rozpatrywanie</w:t>
      </w:r>
      <w:r w:rsidRPr="00AD7E3D">
        <w:rPr>
          <w:lang w:val="pl-PL"/>
        </w:rPr>
        <w:t xml:space="preserve"> wykraczało poza kompetencje Trybunału Konstytucyjnego (</w:t>
      </w:r>
      <w:bookmarkStart w:id="3" w:name="_cl43913"/>
      <w:r w:rsidRPr="00AD7E3D">
        <w:rPr>
          <w:lang w:val="pl-PL"/>
        </w:rPr>
        <w:t>zob.</w:t>
      </w:r>
      <w:r w:rsidR="00A667C8" w:rsidRPr="00AD7E3D">
        <w:rPr>
          <w:lang w:val="pl-PL"/>
        </w:rPr>
        <w:t> </w:t>
      </w:r>
      <w:r w:rsidRPr="00AD7E3D">
        <w:rPr>
          <w:i/>
          <w:iCs/>
          <w:lang w:val="pl-PL"/>
        </w:rPr>
        <w:t>Przybyszewska i Inni przeciwko Polsce</w:t>
      </w:r>
      <w:bookmarkEnd w:id="3"/>
      <w:r w:rsidRPr="00AD7E3D">
        <w:rPr>
          <w:lang w:val="pl-PL"/>
        </w:rPr>
        <w:t xml:space="preserve">, nr 11454/17 i </w:t>
      </w:r>
      <w:r w:rsidR="00615FD7" w:rsidRPr="00AD7E3D">
        <w:rPr>
          <w:lang w:val="pl-PL"/>
        </w:rPr>
        <w:t>9</w:t>
      </w:r>
      <w:r w:rsidRPr="00AD7E3D">
        <w:rPr>
          <w:lang w:val="pl-PL"/>
        </w:rPr>
        <w:t xml:space="preserve"> innych, §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53, 12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grudnia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2023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r.). Pierwsza skarżąca złożyła bowiem skargę konstytucyjną w jednej ze swoich spraw, a Trybunał Konstytucyjny odmówił jej rozpatrzenia, uznając, że sprawę należy zakwalifikować jako zaniechanie ustawodawcze (zob.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paragraf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REF facts_CCT_legOmission \h </w:instrText>
      </w:r>
      <w:r w:rsidRPr="00AD7E3D">
        <w:rPr>
          <w:lang w:val="pl-PL"/>
        </w:rPr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4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 xml:space="preserve"> powyżej).</w:t>
      </w:r>
    </w:p>
    <w:p w14:paraId="7F512AB1" w14:textId="77777777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15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Trybunał stwierdził, że należy uznać, iż skarżące wyczerpały krajowe środki odwoławcze, i oddalił zastrzeżenia Rządu w tym zakresie.</w:t>
      </w:r>
    </w:p>
    <w:bookmarkStart w:id="4" w:name="gov_objection_joinder"/>
    <w:p w14:paraId="67DFD71D" w14:textId="68F4C982" w:rsidR="00B57FD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16</w:t>
      </w:r>
      <w:r w:rsidRPr="00AD7E3D">
        <w:rPr>
          <w:lang w:val="pl-PL"/>
        </w:rPr>
        <w:fldChar w:fldCharType="end"/>
      </w:r>
      <w:bookmarkEnd w:id="4"/>
      <w:r w:rsidRPr="00AD7E3D">
        <w:rPr>
          <w:lang w:val="pl-PL"/>
        </w:rPr>
        <w:t xml:space="preserve">.  Rząd </w:t>
      </w:r>
      <w:r w:rsidR="001C6AB9" w:rsidRPr="00AD7E3D">
        <w:rPr>
          <w:lang w:val="pl-PL"/>
        </w:rPr>
        <w:t xml:space="preserve">podniósł </w:t>
      </w:r>
      <w:r w:rsidRPr="00AD7E3D">
        <w:rPr>
          <w:lang w:val="pl-PL"/>
        </w:rPr>
        <w:t xml:space="preserve">ponadto, że skarżące nie poniosły żadnej znaczącej szkody i nie mogą twierdzić, że są ofiarami zarzucanych naruszeń Konwencji, ponieważ – pomimo niekorzystnych decyzji </w:t>
      </w:r>
      <w:r w:rsidR="00595185" w:rsidRPr="00AD7E3D">
        <w:rPr>
          <w:lang w:val="pl-PL"/>
        </w:rPr>
        <w:t xml:space="preserve">polskich </w:t>
      </w:r>
      <w:r w:rsidRPr="00AD7E3D">
        <w:rPr>
          <w:lang w:val="pl-PL"/>
        </w:rPr>
        <w:t>władz</w:t>
      </w:r>
      <w:r w:rsidR="00595185" w:rsidRPr="00AD7E3D">
        <w:rPr>
          <w:lang w:val="pl-PL"/>
        </w:rPr>
        <w:t xml:space="preserve"> </w:t>
      </w:r>
      <w:r w:rsidRPr="00AD7E3D">
        <w:rPr>
          <w:lang w:val="pl-PL"/>
        </w:rPr>
        <w:t xml:space="preserve">– kontynuowały wspólne pożycie w swoich związkach i nie poniosły żadnej szkody w związku z tymi decyzjami. Skarżące zakwestionowały te zastrzeżenia, </w:t>
      </w:r>
      <w:r w:rsidR="00615FD7" w:rsidRPr="00AD7E3D">
        <w:rPr>
          <w:lang w:val="pl-PL"/>
        </w:rPr>
        <w:t>utrzymując</w:t>
      </w:r>
      <w:r w:rsidRPr="00AD7E3D">
        <w:rPr>
          <w:lang w:val="pl-PL"/>
        </w:rPr>
        <w:t xml:space="preserve">, że nie miały </w:t>
      </w:r>
      <w:r w:rsidR="00615FD7" w:rsidRPr="00AD7E3D">
        <w:rPr>
          <w:lang w:val="pl-PL"/>
        </w:rPr>
        <w:t>dostępu do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podstawowych praw, które przysługują każdej parze pozostającej w stałym związku.</w:t>
      </w:r>
    </w:p>
    <w:p w14:paraId="114C5578" w14:textId="0409EFC9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17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Trybunał uznał, że oba zastrzeżenia są sformułowane w podobny sposób i są ściśle powiązane z przedmiotem skargi, mianowicie z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 xml:space="preserve">naruszeniem praw skarżących wynikających z Konwencji </w:t>
      </w:r>
      <w:r w:rsidR="009150D8" w:rsidRPr="00AD7E3D">
        <w:rPr>
          <w:lang w:val="pl-PL"/>
        </w:rPr>
        <w:t>z uwagi</w:t>
      </w:r>
      <w:r w:rsidRPr="00AD7E3D">
        <w:rPr>
          <w:lang w:val="pl-PL"/>
        </w:rPr>
        <w:t xml:space="preserve"> na brak prawnego uznania związków osób tej samej płci. Trybunał rozpatrzy zatem te zastrzeżenia łącznie z przedmiotem skargi.</w:t>
      </w:r>
    </w:p>
    <w:p w14:paraId="38779F95" w14:textId="348D4E02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lastRenderedPageBreak/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18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</w:t>
      </w:r>
      <w:r w:rsidR="00CA0E9C" w:rsidRPr="00AD7E3D">
        <w:rPr>
          <w:lang w:val="pl-PL"/>
        </w:rPr>
        <w:t>Należy uznać</w:t>
      </w:r>
      <w:r w:rsidRPr="00AD7E3D">
        <w:rPr>
          <w:lang w:val="pl-PL"/>
        </w:rPr>
        <w:t xml:space="preserve">, że przedmiotowa skarga nie jest w </w:t>
      </w:r>
      <w:r w:rsidR="009150D8" w:rsidRPr="00AD7E3D">
        <w:rPr>
          <w:lang w:val="pl-PL"/>
        </w:rPr>
        <w:t xml:space="preserve">sposób </w:t>
      </w:r>
      <w:r w:rsidRPr="00AD7E3D">
        <w:rPr>
          <w:lang w:val="pl-PL"/>
        </w:rPr>
        <w:t>oczywisty</w:t>
      </w:r>
      <w:r w:rsidR="009150D8" w:rsidRPr="00AD7E3D">
        <w:rPr>
          <w:lang w:val="pl-PL"/>
        </w:rPr>
        <w:t xml:space="preserve"> </w:t>
      </w:r>
      <w:r w:rsidRPr="00AD7E3D">
        <w:rPr>
          <w:lang w:val="pl-PL"/>
        </w:rPr>
        <w:t>nieuzasadniona w rozumieniu art.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 xml:space="preserve">35 </w:t>
      </w:r>
      <w:r w:rsidR="0081496B" w:rsidRPr="00AD7E3D">
        <w:rPr>
          <w:lang w:val="pl-PL"/>
        </w:rPr>
        <w:t>ust.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3 lit.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a) Konwencji ani niedopuszczalna z jakichkolwiek innych względów. Należy ją zatem uznać za dopuszczalną.</w:t>
      </w:r>
    </w:p>
    <w:p w14:paraId="6031D970" w14:textId="77777777" w:rsidR="00B57FDF" w:rsidRPr="00AD7E3D" w:rsidRDefault="00CA0E9C" w:rsidP="009B24DE">
      <w:pPr>
        <w:pStyle w:val="JuHA"/>
        <w:rPr>
          <w:lang w:val="pl-PL"/>
        </w:rPr>
      </w:pPr>
      <w:r w:rsidRPr="00AD7E3D">
        <w:rPr>
          <w:lang w:val="pl-PL"/>
        </w:rPr>
        <w:t>Przedmiot skargi</w:t>
      </w:r>
    </w:p>
    <w:p w14:paraId="736F945F" w14:textId="494F1843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19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Ogólne zasady potwierdzające, że zgodnie z</w:t>
      </w:r>
      <w:r w:rsidR="001C583C" w:rsidRPr="00AD7E3D">
        <w:rPr>
          <w:lang w:val="pl-PL"/>
        </w:rPr>
        <w:t>e swoimi</w:t>
      </w:r>
      <w:r w:rsidRPr="00AD7E3D">
        <w:rPr>
          <w:lang w:val="pl-PL"/>
        </w:rPr>
        <w:t xml:space="preserve"> obowiązkami pozytywnymi wynikającymi z art.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 xml:space="preserve">8 Konwencji państwa członkowskie są zobowiązane do zapewnienia ram prawnych umożliwiających parom </w:t>
      </w:r>
      <w:r w:rsidR="009C508A" w:rsidRPr="00AD7E3D">
        <w:rPr>
          <w:lang w:val="pl-PL"/>
        </w:rPr>
        <w:t xml:space="preserve">osób </w:t>
      </w:r>
      <w:r w:rsidRPr="00AD7E3D">
        <w:rPr>
          <w:lang w:val="pl-PL"/>
        </w:rPr>
        <w:t>tej samej płci odpowiednie uznanie i ochronę ich związku zostały określone w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 xml:space="preserve">sprawie </w:t>
      </w:r>
      <w:r w:rsidRPr="00AD7E3D">
        <w:rPr>
          <w:i/>
          <w:iCs/>
          <w:lang w:val="pl-PL"/>
        </w:rPr>
        <w:t>Fedotova i Inni przeciwko Rosji</w:t>
      </w:r>
      <w:r w:rsidRPr="00AD7E3D">
        <w:rPr>
          <w:lang w:val="pl-PL"/>
        </w:rPr>
        <w:t xml:space="preserve"> [</w:t>
      </w:r>
      <w:r w:rsidR="0081496B" w:rsidRPr="00AD7E3D">
        <w:rPr>
          <w:lang w:val="pl-PL"/>
        </w:rPr>
        <w:t>WI</w:t>
      </w:r>
      <w:r w:rsidRPr="00AD7E3D">
        <w:rPr>
          <w:lang w:val="pl-PL"/>
        </w:rPr>
        <w:t>], nr</w:t>
      </w:r>
      <w:r w:rsidR="00E625D2" w:rsidRPr="00AD7E3D">
        <w:rPr>
          <w:lang w:val="pl-PL"/>
        </w:rPr>
        <w:t> </w:t>
      </w:r>
      <w:r w:rsidRPr="00AD7E3D">
        <w:rPr>
          <w:lang w:val="pl-PL"/>
        </w:rPr>
        <w:t>40792/10 i</w:t>
      </w:r>
      <w:r w:rsidR="00E373B5" w:rsidRPr="00AD7E3D">
        <w:rPr>
          <w:lang w:val="pl-PL"/>
        </w:rPr>
        <w:t> </w:t>
      </w:r>
      <w:r w:rsidR="00615FD7" w:rsidRPr="00AD7E3D">
        <w:rPr>
          <w:lang w:val="pl-PL"/>
        </w:rPr>
        <w:t>2</w:t>
      </w:r>
      <w:r w:rsidRPr="00AD7E3D">
        <w:rPr>
          <w:lang w:val="pl-PL"/>
        </w:rPr>
        <w:t xml:space="preserve"> inne, §§ 152–165 oraz 178, 17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stycznia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2023</w:t>
      </w:r>
      <w:r w:rsidR="00E625D2" w:rsidRPr="00AD7E3D">
        <w:rPr>
          <w:lang w:val="pl-PL"/>
        </w:rPr>
        <w:t> </w:t>
      </w:r>
      <w:r w:rsidRPr="00AD7E3D">
        <w:rPr>
          <w:lang w:val="pl-PL"/>
        </w:rPr>
        <w:t>r.</w:t>
      </w:r>
    </w:p>
    <w:p w14:paraId="1A9BF5ED" w14:textId="20F594E5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20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 xml:space="preserve">.  Stosując te zasady, Trybunał stwierdził w sprawie </w:t>
      </w:r>
      <w:r w:rsidRPr="00AD7E3D">
        <w:rPr>
          <w:i/>
          <w:iCs/>
          <w:lang w:val="pl-PL"/>
        </w:rPr>
        <w:t>Przybyszewska i</w:t>
      </w:r>
      <w:r w:rsidR="00E373B5" w:rsidRPr="00AD7E3D">
        <w:rPr>
          <w:i/>
          <w:iCs/>
          <w:lang w:val="pl-PL"/>
        </w:rPr>
        <w:t> </w:t>
      </w:r>
      <w:r w:rsidRPr="00AD7E3D">
        <w:rPr>
          <w:i/>
          <w:iCs/>
          <w:lang w:val="pl-PL"/>
        </w:rPr>
        <w:t>Inni</w:t>
      </w:r>
      <w:r w:rsidRPr="00AD7E3D">
        <w:rPr>
          <w:lang w:val="pl-PL"/>
        </w:rPr>
        <w:t xml:space="preserve"> (</w:t>
      </w:r>
      <w:r w:rsidR="00137706" w:rsidRPr="00AD7E3D">
        <w:rPr>
          <w:i/>
          <w:iCs/>
          <w:lang w:val="pl-PL"/>
        </w:rPr>
        <w:t>op. cit.</w:t>
      </w:r>
      <w:r w:rsidRPr="00AD7E3D">
        <w:rPr>
          <w:lang w:val="pl-PL"/>
        </w:rPr>
        <w:t>, §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 xml:space="preserve">122), że Polska nie wywiązała się ze spoczywającego na niej </w:t>
      </w:r>
      <w:r w:rsidR="001C583C" w:rsidRPr="00AD7E3D">
        <w:rPr>
          <w:lang w:val="pl-PL"/>
        </w:rPr>
        <w:t xml:space="preserve">pozytywnego </w:t>
      </w:r>
      <w:r w:rsidRPr="00AD7E3D">
        <w:rPr>
          <w:lang w:val="pl-PL"/>
        </w:rPr>
        <w:t xml:space="preserve">obowiązku </w:t>
      </w:r>
      <w:r w:rsidR="00E11CE9" w:rsidRPr="00AD7E3D">
        <w:rPr>
          <w:lang w:val="pl-PL"/>
        </w:rPr>
        <w:t xml:space="preserve">polegającego na </w:t>
      </w:r>
      <w:r w:rsidRPr="00AD7E3D">
        <w:rPr>
          <w:lang w:val="pl-PL"/>
        </w:rPr>
        <w:t>zapewnieni</w:t>
      </w:r>
      <w:r w:rsidR="00E11CE9" w:rsidRPr="00AD7E3D">
        <w:rPr>
          <w:lang w:val="pl-PL"/>
        </w:rPr>
        <w:t>u</w:t>
      </w:r>
      <w:r w:rsidRPr="00AD7E3D">
        <w:rPr>
          <w:lang w:val="pl-PL"/>
        </w:rPr>
        <w:t xml:space="preserve"> skarżącym w </w:t>
      </w:r>
      <w:r w:rsidR="001C583C" w:rsidRPr="00AD7E3D">
        <w:rPr>
          <w:lang w:val="pl-PL"/>
        </w:rPr>
        <w:t>tam</w:t>
      </w:r>
      <w:r w:rsidRPr="00AD7E3D">
        <w:rPr>
          <w:lang w:val="pl-PL"/>
        </w:rPr>
        <w:t>tej sprawie konkretnych ram prawnych przewidujących uznanie i ochronę ich związków jednopłciowych, co stanowi naruszenie art.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8 Konwencji.</w:t>
      </w:r>
      <w:bookmarkStart w:id="5" w:name="principles_marriage"/>
    </w:p>
    <w:p w14:paraId="6C3650D9" w14:textId="3882B773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21</w:t>
      </w:r>
      <w:r w:rsidRPr="00AD7E3D">
        <w:rPr>
          <w:lang w:val="pl-PL"/>
        </w:rPr>
        <w:fldChar w:fldCharType="end"/>
      </w:r>
      <w:bookmarkEnd w:id="5"/>
      <w:r w:rsidRPr="00AD7E3D">
        <w:rPr>
          <w:lang w:val="pl-PL"/>
        </w:rPr>
        <w:t>.  W przedmiotowej sprawie skarżące nie podniosły zarzutu, że zawarcie przez nie związku małżeńskiego w Polsce było niemożliwe, a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Trybunał zauważa, że art.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8, 12 i 14 Konwencji nie były dotychczas interpretowane jako nakładające na Państwa-</w:t>
      </w:r>
      <w:r w:rsidR="00EC5A6A" w:rsidRPr="00AD7E3D">
        <w:rPr>
          <w:lang w:val="pl-PL"/>
        </w:rPr>
        <w:t xml:space="preserve">Strony </w:t>
      </w:r>
      <w:r w:rsidR="001E0ECF" w:rsidRPr="00AD7E3D">
        <w:rPr>
          <w:lang w:val="pl-PL"/>
        </w:rPr>
        <w:t xml:space="preserve">pozytywny </w:t>
      </w:r>
      <w:r w:rsidRPr="00AD7E3D">
        <w:rPr>
          <w:lang w:val="pl-PL"/>
        </w:rPr>
        <w:t xml:space="preserve">obowiązek polegający na udostępnieniu instytucji małżeństwa parom </w:t>
      </w:r>
      <w:r w:rsidR="005C2C03" w:rsidRPr="00AD7E3D">
        <w:rPr>
          <w:lang w:val="pl-PL"/>
        </w:rPr>
        <w:t>osób tej samej płci</w:t>
      </w:r>
      <w:r w:rsidRPr="00AD7E3D">
        <w:rPr>
          <w:lang w:val="pl-PL"/>
        </w:rPr>
        <w:t xml:space="preserve"> (</w:t>
      </w:r>
      <w:r w:rsidRPr="00AD7E3D">
        <w:rPr>
          <w:i/>
          <w:iCs/>
          <w:lang w:val="pl-PL"/>
        </w:rPr>
        <w:t>ibid</w:t>
      </w:r>
      <w:r w:rsidRPr="00AD7E3D">
        <w:rPr>
          <w:lang w:val="pl-PL"/>
        </w:rPr>
        <w:t>., §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165).</w:t>
      </w:r>
    </w:p>
    <w:p w14:paraId="7AC8872B" w14:textId="6E9FF1B2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22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 xml:space="preserve">.  Trybunał skoncentruje się na zbadaniu, czy pozwane </w:t>
      </w:r>
      <w:r w:rsidR="00E625D2" w:rsidRPr="00AD7E3D">
        <w:rPr>
          <w:lang w:val="pl-PL"/>
        </w:rPr>
        <w:t>P</w:t>
      </w:r>
      <w:r w:rsidRPr="00AD7E3D">
        <w:rPr>
          <w:lang w:val="pl-PL"/>
        </w:rPr>
        <w:t xml:space="preserve">aństwo wypełniło swój </w:t>
      </w:r>
      <w:r w:rsidR="001E0ECF" w:rsidRPr="00AD7E3D">
        <w:rPr>
          <w:lang w:val="pl-PL"/>
        </w:rPr>
        <w:t xml:space="preserve">pozytywny </w:t>
      </w:r>
      <w:r w:rsidRPr="00AD7E3D">
        <w:rPr>
          <w:lang w:val="pl-PL"/>
        </w:rPr>
        <w:t xml:space="preserve">obowiązek </w:t>
      </w:r>
      <w:r w:rsidR="00E11CE9" w:rsidRPr="00AD7E3D">
        <w:rPr>
          <w:lang w:val="pl-PL"/>
        </w:rPr>
        <w:t xml:space="preserve">polegający na </w:t>
      </w:r>
      <w:r w:rsidRPr="00AD7E3D">
        <w:rPr>
          <w:lang w:val="pl-PL"/>
        </w:rPr>
        <w:t>zapewnieni</w:t>
      </w:r>
      <w:r w:rsidR="00E11CE9" w:rsidRPr="00AD7E3D">
        <w:rPr>
          <w:lang w:val="pl-PL"/>
        </w:rPr>
        <w:t>u</w:t>
      </w:r>
      <w:r w:rsidRPr="00AD7E3D">
        <w:rPr>
          <w:lang w:val="pl-PL"/>
        </w:rPr>
        <w:t xml:space="preserve"> ram prawnych umożliwiających skarżącym odpowiednie uznanie i ochronę ich związków (zob. </w:t>
      </w:r>
      <w:r w:rsidRPr="00AD7E3D">
        <w:rPr>
          <w:i/>
          <w:iCs/>
          <w:lang w:val="pl-PL"/>
        </w:rPr>
        <w:t>Koilova i Babulkova przeciwko Bułgarii</w:t>
      </w:r>
      <w:r w:rsidRPr="00AD7E3D">
        <w:rPr>
          <w:lang w:val="pl-PL"/>
        </w:rPr>
        <w:t>, nr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40209/20, §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41, 5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września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2023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 xml:space="preserve">r.). W tym celu Trybunał musi zbadać, czy uwzględniając przyznany mu margines oceny, pozwane </w:t>
      </w:r>
      <w:r w:rsidR="00E625D2" w:rsidRPr="00AD7E3D">
        <w:rPr>
          <w:lang w:val="pl-PL"/>
        </w:rPr>
        <w:t>P</w:t>
      </w:r>
      <w:r w:rsidRPr="00AD7E3D">
        <w:rPr>
          <w:lang w:val="pl-PL"/>
        </w:rPr>
        <w:t xml:space="preserve">aństwo </w:t>
      </w:r>
      <w:r w:rsidR="00AD7E3D" w:rsidRPr="00AD7E3D">
        <w:rPr>
          <w:lang w:val="pl-PL"/>
        </w:rPr>
        <w:t>zachowało</w:t>
      </w:r>
      <w:r w:rsidRPr="00AD7E3D">
        <w:rPr>
          <w:lang w:val="pl-PL"/>
        </w:rPr>
        <w:t xml:space="preserve"> sprawiedliwą równowagę między przeważającymi interesami, na których się oparło, a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interesami podnoszonymi przez skarżące (zob.</w:t>
      </w:r>
      <w:r w:rsidR="0083719E" w:rsidRPr="00AD7E3D">
        <w:rPr>
          <w:lang w:val="pl-PL"/>
        </w:rPr>
        <w:t> </w:t>
      </w:r>
      <w:r w:rsidRPr="00AD7E3D">
        <w:rPr>
          <w:i/>
          <w:iCs/>
          <w:lang w:val="pl-PL"/>
        </w:rPr>
        <w:t>Buhuceanu i Inni przeciwko Rumunii</w:t>
      </w:r>
      <w:r w:rsidRPr="00AD7E3D">
        <w:rPr>
          <w:lang w:val="pl-PL"/>
        </w:rPr>
        <w:t>, nr 20081/19 i 20 innych, §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75, 23 maja 2023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r.).</w:t>
      </w:r>
    </w:p>
    <w:p w14:paraId="79F68403" w14:textId="1F89BB42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23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Nie kwestionowan</w:t>
      </w:r>
      <w:r w:rsidR="00E11CE9" w:rsidRPr="00AD7E3D">
        <w:rPr>
          <w:lang w:val="pl-PL"/>
        </w:rPr>
        <w:t>o okoliczności</w:t>
      </w:r>
      <w:r w:rsidRPr="00AD7E3D">
        <w:rPr>
          <w:lang w:val="pl-PL"/>
        </w:rPr>
        <w:t>, że polskie prawo nadal przewiduje tylko jedną formę związku rodzinnego – małżeństwo osób przeciwnej płci – i nie zezwala na żadną formę prawnego uznania par osób tej samej płci (zob.</w:t>
      </w:r>
      <w:r w:rsidR="00A667C8" w:rsidRPr="00AD7E3D">
        <w:rPr>
          <w:lang w:val="pl-PL"/>
        </w:rPr>
        <w:t> </w:t>
      </w:r>
      <w:r w:rsidRPr="00AD7E3D">
        <w:rPr>
          <w:i/>
          <w:iCs/>
          <w:lang w:val="pl-PL"/>
        </w:rPr>
        <w:t>Przybyszewska i Inni</w:t>
      </w:r>
      <w:r w:rsidRPr="00AD7E3D">
        <w:rPr>
          <w:lang w:val="pl-PL"/>
        </w:rPr>
        <w:t xml:space="preserve">, </w:t>
      </w:r>
      <w:r w:rsidR="005E555B" w:rsidRPr="00AD7E3D">
        <w:rPr>
          <w:i/>
          <w:iCs/>
          <w:lang w:val="pl-PL"/>
        </w:rPr>
        <w:t>op. cit.</w:t>
      </w:r>
      <w:r w:rsidRPr="00AD7E3D">
        <w:rPr>
          <w:lang w:val="pl-PL"/>
        </w:rPr>
        <w:t>, §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105). Sytuacja ta różni się zatem znacząco od sytuacji bardzo dużej liczby państw członkowskich, które zobowiązały się do zmiany prawa krajowego w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celu zapewnienia osobom tej samej płci skutecznej ochrony ich życia prywatnego i rodzinnego (zob.</w:t>
      </w:r>
      <w:bookmarkStart w:id="6" w:name="_cl42727"/>
      <w:r w:rsidR="00A667C8" w:rsidRPr="00AD7E3D">
        <w:rPr>
          <w:lang w:val="pl-PL"/>
        </w:rPr>
        <w:t> </w:t>
      </w:r>
      <w:r w:rsidRPr="00AD7E3D">
        <w:rPr>
          <w:i/>
          <w:iCs/>
          <w:lang w:val="pl-PL"/>
        </w:rPr>
        <w:t>Koilova i Babulkova</w:t>
      </w:r>
      <w:bookmarkEnd w:id="6"/>
      <w:r w:rsidRPr="00AD7E3D">
        <w:rPr>
          <w:lang w:val="pl-PL"/>
        </w:rPr>
        <w:t xml:space="preserve">, </w:t>
      </w:r>
      <w:r w:rsidR="005E555B" w:rsidRPr="00AD7E3D">
        <w:rPr>
          <w:i/>
          <w:iCs/>
          <w:lang w:val="pl-PL"/>
        </w:rPr>
        <w:t>op. cit.</w:t>
      </w:r>
      <w:r w:rsidRPr="00AD7E3D">
        <w:rPr>
          <w:lang w:val="pl-PL"/>
        </w:rPr>
        <w:t>, §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46).</w:t>
      </w:r>
    </w:p>
    <w:p w14:paraId="01336FFD" w14:textId="4098DDCB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24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 xml:space="preserve">.  Jak podniosły skarżące i jak wynika z okoliczności faktycznych sprawy, uniemożliwiono im skorzystanie z urlopu </w:t>
      </w:r>
      <w:r w:rsidR="0049455D" w:rsidRPr="00AD7E3D">
        <w:rPr>
          <w:lang w:val="pl-PL"/>
        </w:rPr>
        <w:t>w</w:t>
      </w:r>
      <w:r w:rsidRPr="00AD7E3D">
        <w:rPr>
          <w:lang w:val="pl-PL"/>
        </w:rPr>
        <w:t xml:space="preserve"> cel</w:t>
      </w:r>
      <w:r w:rsidR="0049455D" w:rsidRPr="00AD7E3D">
        <w:rPr>
          <w:lang w:val="pl-PL"/>
        </w:rPr>
        <w:t>u</w:t>
      </w:r>
      <w:r w:rsidRPr="00AD7E3D">
        <w:rPr>
          <w:lang w:val="pl-PL"/>
        </w:rPr>
        <w:t xml:space="preserve"> opieki nad chorym partnerem, nie mogły rozszerzyć ubezpieczenia zdrowotnego na swojego </w:t>
      </w:r>
      <w:r w:rsidRPr="00AD7E3D">
        <w:rPr>
          <w:lang w:val="pl-PL"/>
        </w:rPr>
        <w:lastRenderedPageBreak/>
        <w:t>partnera, zostały potraktowane jako osoby bez powiązań rodzinnych z punktu widzenia opodatkowania i nie mogły skorzystać ze zwolnienia z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podatku od darowizn przysługującego najbliższej rodzinie ani z prawa do złożenia wspólnej deklaracji podatkowej. Skarżące podkreśliły, że partnerzy tej samej płci nie mogą dziedziczyć po sobie nawzajem, chyba że zostało to wyraźnie wskazane w testamencie, ani otrzymywać alimentów w przypadku separacji lub świadczeń w przypadku śmierci.</w:t>
      </w:r>
    </w:p>
    <w:p w14:paraId="2D5BEAFE" w14:textId="286CBC58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25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 xml:space="preserve">.  W Polsce pary osób tej samej płci, wobec braku ich oficjalnego uznania, są jedynie związkami </w:t>
      </w:r>
      <w:r w:rsidRPr="00AD7E3D">
        <w:rPr>
          <w:i/>
          <w:iCs/>
          <w:lang w:val="pl-PL"/>
        </w:rPr>
        <w:t>de facto</w:t>
      </w:r>
      <w:r w:rsidRPr="00AD7E3D">
        <w:rPr>
          <w:lang w:val="pl-PL"/>
        </w:rPr>
        <w:t xml:space="preserve">, nawet jeśli – jak w sprawie skarżących – za granicą zawarto ważne małżeństwo. Osoby tej samej płci nie mogą powoływać się na istnienie swojego związku w kontaktach z organami sądowymi lub administracyjnymi (zob. </w:t>
      </w:r>
      <w:r w:rsidRPr="00AD7E3D">
        <w:rPr>
          <w:i/>
          <w:iCs/>
          <w:lang w:val="pl-PL"/>
        </w:rPr>
        <w:t>Przybyszewska i Inni</w:t>
      </w:r>
      <w:r w:rsidRPr="00AD7E3D">
        <w:rPr>
          <w:lang w:val="pl-PL"/>
        </w:rPr>
        <w:t xml:space="preserve">, </w:t>
      </w:r>
      <w:r w:rsidR="005E555B" w:rsidRPr="00AD7E3D">
        <w:rPr>
          <w:i/>
          <w:iCs/>
          <w:lang w:val="pl-PL"/>
        </w:rPr>
        <w:t>op. cit.</w:t>
      </w:r>
      <w:r w:rsidRPr="00AD7E3D">
        <w:rPr>
          <w:lang w:val="pl-PL"/>
        </w:rPr>
        <w:t>, §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113). Trybunał przypomina, że konieczność zwracania się do sądów krajowych o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ochronę zwykłych potrzeb pozostających w związku osób jest sama w sobie przeszkodą w</w:t>
      </w:r>
      <w:r w:rsidR="0083719E" w:rsidRPr="00AD7E3D">
        <w:rPr>
          <w:lang w:val="pl-PL"/>
        </w:rPr>
        <w:t> </w:t>
      </w:r>
      <w:r w:rsidRPr="00AD7E3D">
        <w:rPr>
          <w:lang w:val="pl-PL"/>
        </w:rPr>
        <w:t>poszanowaniu ich życia prywatnego i rodzinnego (zob.</w:t>
      </w:r>
      <w:r w:rsidR="00A667C8" w:rsidRPr="00AD7E3D">
        <w:rPr>
          <w:lang w:val="pl-PL"/>
        </w:rPr>
        <w:t> </w:t>
      </w:r>
      <w:r w:rsidRPr="00AD7E3D">
        <w:rPr>
          <w:i/>
          <w:iCs/>
          <w:lang w:val="pl-PL"/>
        </w:rPr>
        <w:t>Koilova i</w:t>
      </w:r>
      <w:r w:rsidR="00E373B5" w:rsidRPr="00AD7E3D">
        <w:rPr>
          <w:i/>
          <w:iCs/>
          <w:lang w:val="pl-PL"/>
        </w:rPr>
        <w:t> </w:t>
      </w:r>
      <w:r w:rsidRPr="00AD7E3D">
        <w:rPr>
          <w:i/>
          <w:iCs/>
          <w:lang w:val="pl-PL"/>
        </w:rPr>
        <w:t>Babulkova</w:t>
      </w:r>
      <w:r w:rsidRPr="00AD7E3D">
        <w:rPr>
          <w:lang w:val="pl-PL"/>
        </w:rPr>
        <w:t xml:space="preserve">, </w:t>
      </w:r>
      <w:r w:rsidR="005E555B" w:rsidRPr="00AD7E3D">
        <w:rPr>
          <w:i/>
          <w:iCs/>
          <w:lang w:val="pl-PL"/>
        </w:rPr>
        <w:t>op. cit.</w:t>
      </w:r>
      <w:r w:rsidRPr="00AD7E3D">
        <w:rPr>
          <w:lang w:val="pl-PL"/>
        </w:rPr>
        <w:t>, §</w:t>
      </w:r>
      <w:r w:rsidR="00F36C53" w:rsidRPr="00AD7E3D">
        <w:rPr>
          <w:lang w:val="pl-PL"/>
        </w:rPr>
        <w:t> </w:t>
      </w:r>
      <w:r w:rsidRPr="00AD7E3D">
        <w:rPr>
          <w:lang w:val="pl-PL"/>
        </w:rPr>
        <w:t>53).</w:t>
      </w:r>
    </w:p>
    <w:bookmarkStart w:id="7" w:name="finding_brach_noframwork"/>
    <w:p w14:paraId="3A52E0F3" w14:textId="1B71CEAC" w:rsidR="00B57FD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26</w:t>
      </w:r>
      <w:r w:rsidRPr="00AD7E3D">
        <w:rPr>
          <w:lang w:val="pl-PL"/>
        </w:rPr>
        <w:fldChar w:fldCharType="end"/>
      </w:r>
      <w:bookmarkEnd w:id="7"/>
      <w:r w:rsidRPr="00AD7E3D">
        <w:rPr>
          <w:lang w:val="pl-PL"/>
        </w:rPr>
        <w:t>.  Trybunał stwierdza zatem, że odmawiając rejestracji małżeństw skarżących w jakiejkolwiek formie i nie zapewniając im konkretnych ram prawnych przewidujących uznanie i ochronę, polskie władze pozostawiły skarżące w próżni prawnej i nie zaspokoiły podstawowych potrzeb uznania i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ochrony par osób tej samej płci pozostających w stabilnym i oddanym związku. Trybunał stwierdza, że żadna z podstaw interesu publicznego przedstawionych przez Rząd nie przeważa nad interesem skarżących w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odpowiednim uznaniu i ochronie prawnej ich związków.</w:t>
      </w:r>
    </w:p>
    <w:p w14:paraId="188CA4FB" w14:textId="17065030" w:rsidR="00B57FDF" w:rsidRPr="00AD7E3D" w:rsidRDefault="001E7256" w:rsidP="009B24DE">
      <w:pPr>
        <w:pStyle w:val="JuPara"/>
        <w:tabs>
          <w:tab w:val="left" w:pos="1920"/>
        </w:tabs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27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 xml:space="preserve">.  W szczególności wszelkie okoliczności dotyczące </w:t>
      </w:r>
      <w:r w:rsidR="00DD0D05" w:rsidRPr="00AD7E3D">
        <w:rPr>
          <w:lang w:val="pl-PL"/>
        </w:rPr>
        <w:t xml:space="preserve">zarzucanego </w:t>
      </w:r>
      <w:r w:rsidRPr="00AD7E3D">
        <w:rPr>
          <w:lang w:val="pl-PL"/>
        </w:rPr>
        <w:t>braku poparcia w polskim społeczeństwie dla uznania takich związków oraz fakt, że prawo i orzecznictwo sądów krajowych nie pozwalają na wprowadzenie żadnych zmian w tym zakresie, zostały już zbadane we wcześniejszym wyroku Trybunału przeciwko Polsce i należy je odrzucić z</w:t>
      </w:r>
      <w:r w:rsidR="0083719E" w:rsidRPr="00AD7E3D">
        <w:rPr>
          <w:lang w:val="pl-PL"/>
        </w:rPr>
        <w:t> </w:t>
      </w:r>
      <w:r w:rsidRPr="00AD7E3D">
        <w:rPr>
          <w:lang w:val="pl-PL"/>
        </w:rPr>
        <w:t xml:space="preserve">tych samych powodów (zob. </w:t>
      </w:r>
      <w:r w:rsidRPr="00AD7E3D">
        <w:rPr>
          <w:i/>
          <w:iCs/>
          <w:lang w:val="pl-PL"/>
        </w:rPr>
        <w:t>Przybyszewska i</w:t>
      </w:r>
      <w:r w:rsidR="00E373B5" w:rsidRPr="00AD7E3D">
        <w:rPr>
          <w:i/>
          <w:iCs/>
          <w:lang w:val="pl-PL"/>
        </w:rPr>
        <w:t> </w:t>
      </w:r>
      <w:r w:rsidRPr="00AD7E3D">
        <w:rPr>
          <w:i/>
          <w:iCs/>
          <w:lang w:val="pl-PL"/>
        </w:rPr>
        <w:t>Inni</w:t>
      </w:r>
      <w:r w:rsidRPr="00AD7E3D">
        <w:rPr>
          <w:lang w:val="pl-PL"/>
        </w:rPr>
        <w:t xml:space="preserve">, </w:t>
      </w:r>
      <w:r w:rsidR="0024357B" w:rsidRPr="00AD7E3D">
        <w:rPr>
          <w:i/>
          <w:iCs/>
          <w:lang w:val="pl-PL"/>
        </w:rPr>
        <w:t>op. cit.</w:t>
      </w:r>
      <w:r w:rsidRPr="00AD7E3D">
        <w:rPr>
          <w:lang w:val="pl-PL"/>
        </w:rPr>
        <w:t>, §§</w:t>
      </w:r>
      <w:r w:rsidR="00F36C53" w:rsidRPr="00AD7E3D">
        <w:rPr>
          <w:lang w:val="pl-PL"/>
        </w:rPr>
        <w:t> </w:t>
      </w:r>
      <w:r w:rsidRPr="00AD7E3D">
        <w:rPr>
          <w:lang w:val="pl-PL"/>
        </w:rPr>
        <w:t>118 i 120).</w:t>
      </w:r>
    </w:p>
    <w:p w14:paraId="66A1F31E" w14:textId="15217F4A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28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 xml:space="preserve">.  Trybunał </w:t>
      </w:r>
      <w:r w:rsidR="00E11CE9" w:rsidRPr="00AD7E3D">
        <w:rPr>
          <w:lang w:val="pl-PL"/>
        </w:rPr>
        <w:t>zauważa</w:t>
      </w:r>
      <w:r w:rsidRPr="00AD7E3D">
        <w:rPr>
          <w:lang w:val="pl-PL"/>
        </w:rPr>
        <w:t xml:space="preserve">, że państwa członkowskie mają szerszy margines oceny przy określaniu szczegółowego charakteru systemu prawnego, który ma być dostępny dla par </w:t>
      </w:r>
      <w:r w:rsidR="009C508A" w:rsidRPr="00AD7E3D">
        <w:rPr>
          <w:lang w:val="pl-PL"/>
        </w:rPr>
        <w:t xml:space="preserve">osób </w:t>
      </w:r>
      <w:r w:rsidRPr="00AD7E3D">
        <w:rPr>
          <w:lang w:val="pl-PL"/>
        </w:rPr>
        <w:t xml:space="preserve">tej samej płci. Ważne jest jednak, aby ochrona przyznana przez państwa parom </w:t>
      </w:r>
      <w:r w:rsidR="009C508A" w:rsidRPr="00AD7E3D">
        <w:rPr>
          <w:lang w:val="pl-PL"/>
        </w:rPr>
        <w:t xml:space="preserve">osób </w:t>
      </w:r>
      <w:r w:rsidRPr="00AD7E3D">
        <w:rPr>
          <w:lang w:val="pl-PL"/>
        </w:rPr>
        <w:t>tej samej płci była adekwatna. To w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tym ostatnim kontekście można wziąć pod uwagę społeczne i kulturowe uwarunkowania Polski.</w:t>
      </w:r>
    </w:p>
    <w:p w14:paraId="6DF8C01B" w14:textId="535A7A43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29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 xml:space="preserve">.  Trybunał stwierdza, że pozwane </w:t>
      </w:r>
      <w:r w:rsidR="00E625D2" w:rsidRPr="00AD7E3D">
        <w:rPr>
          <w:lang w:val="pl-PL"/>
        </w:rPr>
        <w:t>P</w:t>
      </w:r>
      <w:r w:rsidRPr="00AD7E3D">
        <w:rPr>
          <w:lang w:val="pl-PL"/>
        </w:rPr>
        <w:t xml:space="preserve">aństwo przekroczyło swój margines oceny i nie wywiązało się z </w:t>
      </w:r>
      <w:r w:rsidR="001E0ECF" w:rsidRPr="00AD7E3D">
        <w:rPr>
          <w:lang w:val="pl-PL"/>
        </w:rPr>
        <w:t xml:space="preserve">pozytywnego </w:t>
      </w:r>
      <w:r w:rsidRPr="00AD7E3D">
        <w:rPr>
          <w:lang w:val="pl-PL"/>
        </w:rPr>
        <w:t>obowiązku polegającego na zapewnieniu skarżącym konkretnych ram prawnych przewidujących uznanie i ochronę ich związków jednopłciowych. Stanowi to naruszenie prawa skarżących do poszanowania ich życia prywatnego i rodzinnego. Zastrzeżenia wstępne Rządu dotyczące braku doznania przez nie znaczącej szkody i braku statusu ofiary (zob. paragraf</w:t>
      </w:r>
      <w:r w:rsidR="00F36C53" w:rsidRPr="00AD7E3D">
        <w:rPr>
          <w:lang w:val="pl-PL"/>
        </w:rPr>
        <w:t> </w:t>
      </w: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REF gov_objection_joinder \h </w:instrText>
      </w:r>
      <w:r w:rsidRPr="00AD7E3D">
        <w:rPr>
          <w:lang w:val="pl-PL"/>
        </w:rPr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16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 xml:space="preserve"> powyżej) należy zatem </w:t>
      </w:r>
      <w:r w:rsidR="00C95D60" w:rsidRPr="00AD7E3D">
        <w:rPr>
          <w:lang w:val="pl-PL"/>
        </w:rPr>
        <w:t>oddalić</w:t>
      </w:r>
      <w:r w:rsidRPr="00AD7E3D">
        <w:rPr>
          <w:lang w:val="pl-PL"/>
        </w:rPr>
        <w:t>.</w:t>
      </w:r>
    </w:p>
    <w:p w14:paraId="7AEEAF76" w14:textId="203AE7A3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lastRenderedPageBreak/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30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Tym samym doszło do naruszenia art.</w:t>
      </w:r>
      <w:r w:rsidR="00F36C53" w:rsidRPr="00AD7E3D">
        <w:rPr>
          <w:lang w:val="pl-PL"/>
        </w:rPr>
        <w:t> </w:t>
      </w:r>
      <w:r w:rsidRPr="00AD7E3D">
        <w:rPr>
          <w:lang w:val="pl-PL"/>
        </w:rPr>
        <w:t>8 Konwencji.</w:t>
      </w:r>
    </w:p>
    <w:p w14:paraId="31CE3230" w14:textId="698F5338" w:rsidR="00B57FDF" w:rsidRPr="00AD7E3D" w:rsidRDefault="00CA0E9C" w:rsidP="009B24DE">
      <w:pPr>
        <w:pStyle w:val="JuHIRoman"/>
        <w:rPr>
          <w:lang w:val="pl-PL"/>
        </w:rPr>
      </w:pPr>
      <w:r w:rsidRPr="00AD7E3D">
        <w:rPr>
          <w:bCs w:val="0"/>
          <w:lang w:val="pl-PL"/>
        </w:rPr>
        <w:t xml:space="preserve">ZARZUCANE NARUSZENIE </w:t>
      </w:r>
      <w:r w:rsidR="0024357B" w:rsidRPr="00AD7E3D">
        <w:rPr>
          <w:bCs w:val="0"/>
          <w:lang w:val="pl-PL"/>
        </w:rPr>
        <w:t>art.</w:t>
      </w:r>
      <w:r w:rsidR="00F36C53" w:rsidRPr="00AD7E3D">
        <w:rPr>
          <w:bCs w:val="0"/>
          <w:lang w:val="pl-PL"/>
        </w:rPr>
        <w:t> </w:t>
      </w:r>
      <w:r w:rsidRPr="00AD7E3D">
        <w:rPr>
          <w:bCs w:val="0"/>
          <w:lang w:val="pl-PL"/>
        </w:rPr>
        <w:t>14 KONWENCJI W</w:t>
      </w:r>
      <w:r w:rsidR="00E373B5" w:rsidRPr="00AD7E3D">
        <w:rPr>
          <w:bCs w:val="0"/>
          <w:lang w:val="pl-PL"/>
        </w:rPr>
        <w:t> </w:t>
      </w:r>
      <w:r w:rsidRPr="00AD7E3D">
        <w:rPr>
          <w:bCs w:val="0"/>
          <w:lang w:val="pl-PL"/>
        </w:rPr>
        <w:t>ZWIĄZKU Z</w:t>
      </w:r>
      <w:r w:rsidR="00A667C8" w:rsidRPr="00AD7E3D">
        <w:rPr>
          <w:bCs w:val="0"/>
          <w:lang w:val="pl-PL"/>
        </w:rPr>
        <w:t> </w:t>
      </w:r>
      <w:r w:rsidR="0024357B" w:rsidRPr="00AD7E3D">
        <w:rPr>
          <w:bCs w:val="0"/>
          <w:lang w:val="pl-PL"/>
        </w:rPr>
        <w:t>art.</w:t>
      </w:r>
      <w:r w:rsidR="00F36C53" w:rsidRPr="00AD7E3D">
        <w:rPr>
          <w:bCs w:val="0"/>
          <w:lang w:val="pl-PL"/>
        </w:rPr>
        <w:t> </w:t>
      </w:r>
      <w:r w:rsidRPr="00AD7E3D">
        <w:rPr>
          <w:bCs w:val="0"/>
          <w:lang w:val="pl-PL"/>
        </w:rPr>
        <w:t>8 KONWENCJI</w:t>
      </w:r>
    </w:p>
    <w:p w14:paraId="4E6819B4" w14:textId="273D75A1" w:rsidR="00B57FDF" w:rsidRPr="00AD7E3D" w:rsidRDefault="00CA0E9C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31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Skarżące twierdziły, że fakt, iż nie były w stanie uzyskać prawnego uznania swoich związków, stanowi dyskryminację ze względu na orientację seksualną. Powołały się w tym względzie na art.</w:t>
      </w:r>
      <w:r w:rsidR="00F36C53" w:rsidRPr="00AD7E3D">
        <w:rPr>
          <w:lang w:val="pl-PL"/>
        </w:rPr>
        <w:t> </w:t>
      </w:r>
      <w:r w:rsidRPr="00AD7E3D">
        <w:rPr>
          <w:lang w:val="pl-PL"/>
        </w:rPr>
        <w:t>14 Konwencji w związku z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jej art.</w:t>
      </w:r>
      <w:r w:rsidR="00F36C53" w:rsidRPr="00AD7E3D">
        <w:rPr>
          <w:lang w:val="pl-PL"/>
        </w:rPr>
        <w:t> </w:t>
      </w:r>
      <w:r w:rsidRPr="00AD7E3D">
        <w:rPr>
          <w:lang w:val="pl-PL"/>
        </w:rPr>
        <w:t>8.</w:t>
      </w:r>
    </w:p>
    <w:p w14:paraId="0AAEE60F" w14:textId="0E17624C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32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</w:t>
      </w:r>
      <w:r w:rsidR="0071258F" w:rsidRPr="00AD7E3D">
        <w:rPr>
          <w:lang w:val="pl-PL"/>
        </w:rPr>
        <w:t>Uwzględniając własne ustalenia w świetle art.</w:t>
      </w:r>
      <w:r w:rsidR="00F36C53" w:rsidRPr="00AD7E3D">
        <w:rPr>
          <w:lang w:val="pl-PL"/>
        </w:rPr>
        <w:t> </w:t>
      </w:r>
      <w:r w:rsidR="0071258F" w:rsidRPr="00AD7E3D">
        <w:rPr>
          <w:lang w:val="pl-PL"/>
        </w:rPr>
        <w:t>8, Trybunał uważa, że nie jest konieczne odrębne zbadanie, czy w niniejszej sprawie doszło również do naruszenia art.</w:t>
      </w:r>
      <w:r w:rsidR="00F36C53" w:rsidRPr="00AD7E3D">
        <w:rPr>
          <w:lang w:val="pl-PL"/>
        </w:rPr>
        <w:t> </w:t>
      </w:r>
      <w:r w:rsidR="0071258F" w:rsidRPr="00AD7E3D">
        <w:rPr>
          <w:lang w:val="pl-PL"/>
        </w:rPr>
        <w:t>14 w związku z art.</w:t>
      </w:r>
      <w:r w:rsidR="00F36C53" w:rsidRPr="00AD7E3D">
        <w:rPr>
          <w:lang w:val="pl-PL"/>
        </w:rPr>
        <w:t> </w:t>
      </w:r>
      <w:r w:rsidR="0071258F" w:rsidRPr="00AD7E3D">
        <w:rPr>
          <w:lang w:val="pl-PL"/>
        </w:rPr>
        <w:t>8</w:t>
      </w:r>
      <w:r w:rsidRPr="00AD7E3D">
        <w:rPr>
          <w:lang w:val="pl-PL"/>
        </w:rPr>
        <w:t xml:space="preserve"> (zob. </w:t>
      </w:r>
      <w:r w:rsidRPr="00AD7E3D">
        <w:rPr>
          <w:i/>
          <w:iCs/>
          <w:lang w:val="pl-PL"/>
        </w:rPr>
        <w:t>Przybyszewska i Inni</w:t>
      </w:r>
      <w:r w:rsidRPr="00AD7E3D">
        <w:rPr>
          <w:lang w:val="pl-PL"/>
        </w:rPr>
        <w:t xml:space="preserve">, </w:t>
      </w:r>
      <w:r w:rsidR="005E555B" w:rsidRPr="00AD7E3D">
        <w:rPr>
          <w:i/>
          <w:iCs/>
          <w:lang w:val="pl-PL"/>
        </w:rPr>
        <w:t>op. cit.</w:t>
      </w:r>
      <w:r w:rsidRPr="00AD7E3D">
        <w:rPr>
          <w:lang w:val="pl-PL"/>
        </w:rPr>
        <w:t>, §</w:t>
      </w:r>
      <w:r w:rsidR="00F36C53" w:rsidRPr="00AD7E3D">
        <w:rPr>
          <w:lang w:val="pl-PL"/>
        </w:rPr>
        <w:t> </w:t>
      </w:r>
      <w:r w:rsidRPr="00AD7E3D">
        <w:rPr>
          <w:lang w:val="pl-PL"/>
        </w:rPr>
        <w:t>126).</w:t>
      </w:r>
    </w:p>
    <w:p w14:paraId="72BC94DA" w14:textId="796619D9" w:rsidR="00B57FDF" w:rsidRPr="00AD7E3D" w:rsidRDefault="00CA0E9C" w:rsidP="009B24DE">
      <w:pPr>
        <w:pStyle w:val="JuHHead"/>
        <w:rPr>
          <w:lang w:val="pl-PL"/>
        </w:rPr>
      </w:pPr>
      <w:r w:rsidRPr="00AD7E3D">
        <w:rPr>
          <w:bCs w:val="0"/>
          <w:lang w:val="pl-PL"/>
        </w:rPr>
        <w:t xml:space="preserve">ZASTOSOWANIE </w:t>
      </w:r>
      <w:r w:rsidR="0024357B" w:rsidRPr="00AD7E3D">
        <w:rPr>
          <w:bCs w:val="0"/>
          <w:lang w:val="pl-PL"/>
        </w:rPr>
        <w:t>art.</w:t>
      </w:r>
      <w:r w:rsidR="00F36C53" w:rsidRPr="00AD7E3D">
        <w:rPr>
          <w:bCs w:val="0"/>
          <w:lang w:val="pl-PL"/>
        </w:rPr>
        <w:t> </w:t>
      </w:r>
      <w:r w:rsidRPr="00AD7E3D">
        <w:rPr>
          <w:bCs w:val="0"/>
          <w:lang w:val="pl-PL"/>
        </w:rPr>
        <w:t>41 KONWENCJI</w:t>
      </w:r>
    </w:p>
    <w:p w14:paraId="47A7735E" w14:textId="15169B78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33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 xml:space="preserve">.  Skarżące domagały się różnych kwot </w:t>
      </w:r>
      <w:r w:rsidR="00450851" w:rsidRPr="00AD7E3D">
        <w:rPr>
          <w:lang w:val="pl-PL"/>
        </w:rPr>
        <w:t>tytułem zadośćuczynienia za</w:t>
      </w:r>
      <w:r w:rsidRPr="00AD7E3D">
        <w:rPr>
          <w:lang w:val="pl-PL"/>
        </w:rPr>
        <w:t xml:space="preserve"> szkod</w:t>
      </w:r>
      <w:r w:rsidR="00450851" w:rsidRPr="00AD7E3D">
        <w:rPr>
          <w:lang w:val="pl-PL"/>
        </w:rPr>
        <w:t>ę</w:t>
      </w:r>
      <w:r w:rsidRPr="00AD7E3D">
        <w:rPr>
          <w:lang w:val="pl-PL"/>
        </w:rPr>
        <w:t xml:space="preserve"> niemajątkow</w:t>
      </w:r>
      <w:r w:rsidR="00450851" w:rsidRPr="00AD7E3D">
        <w:rPr>
          <w:lang w:val="pl-PL"/>
        </w:rPr>
        <w:t>ą</w:t>
      </w:r>
      <w:r w:rsidRPr="00AD7E3D">
        <w:rPr>
          <w:lang w:val="pl-PL"/>
        </w:rPr>
        <w:t>. Trzecia i czwarta skarżąca wystąpiły o zwrot 2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500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złotych polskich, stanowiących równowartość 600</w:t>
      </w:r>
      <w:r w:rsidR="00F36C53" w:rsidRPr="00AD7E3D">
        <w:rPr>
          <w:lang w:val="pl-PL"/>
        </w:rPr>
        <w:t> </w:t>
      </w:r>
      <w:r w:rsidRPr="00AD7E3D">
        <w:rPr>
          <w:lang w:val="pl-PL"/>
        </w:rPr>
        <w:t>euro (EUR), z</w:t>
      </w:r>
      <w:r w:rsidR="00A667C8" w:rsidRPr="00AD7E3D">
        <w:rPr>
          <w:lang w:val="pl-PL"/>
        </w:rPr>
        <w:t> </w:t>
      </w:r>
      <w:r w:rsidRPr="00AD7E3D">
        <w:rPr>
          <w:lang w:val="pl-PL"/>
        </w:rPr>
        <w:t>tytułu kosztów i wydatków poniesionych w postępowaniu krajowym oraz w postępowaniu przed Trybunałem. Rząd zakwestionował roszczenia dotyczące szkody niemajątkowej, pozostawiając kwestię roszczenia dotyczącego kosztów i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>wydatków uznaniu Trybunału.</w:t>
      </w:r>
    </w:p>
    <w:p w14:paraId="7E01C6DE" w14:textId="66AE7219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34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 xml:space="preserve">.  Mając na uwadze okoliczności sprawy, Trybunał uznaje, że stwierdzenie naruszenia samo w sobie stanowi wystarczające zadośćuczynienie za wszelkie szkody niemajątkowe, które mogły zostać poniesione przez skarżące (zob. </w:t>
      </w:r>
      <w:r w:rsidRPr="00AD7E3D">
        <w:rPr>
          <w:i/>
          <w:iCs/>
          <w:lang w:val="pl-PL"/>
        </w:rPr>
        <w:t>Fedotova i Inni</w:t>
      </w:r>
      <w:r w:rsidRPr="00AD7E3D">
        <w:rPr>
          <w:lang w:val="pl-PL"/>
        </w:rPr>
        <w:t xml:space="preserve">, </w:t>
      </w:r>
      <w:r w:rsidR="005E555B" w:rsidRPr="00AD7E3D">
        <w:rPr>
          <w:i/>
          <w:iCs/>
          <w:lang w:val="pl-PL"/>
        </w:rPr>
        <w:t>op. cit.</w:t>
      </w:r>
      <w:r w:rsidRPr="00AD7E3D">
        <w:rPr>
          <w:lang w:val="pl-PL"/>
        </w:rPr>
        <w:t>, §</w:t>
      </w:r>
      <w:r w:rsidR="00F36C53" w:rsidRPr="00AD7E3D">
        <w:rPr>
          <w:lang w:val="pl-PL"/>
        </w:rPr>
        <w:t> </w:t>
      </w:r>
      <w:r w:rsidRPr="00AD7E3D">
        <w:rPr>
          <w:lang w:val="pl-PL"/>
        </w:rPr>
        <w:t>235).</w:t>
      </w:r>
    </w:p>
    <w:p w14:paraId="25373E2B" w14:textId="45587260" w:rsidR="00B57FDF" w:rsidRPr="00AD7E3D" w:rsidRDefault="001E7256" w:rsidP="009B24DE">
      <w:pPr>
        <w:pStyle w:val="JuPara"/>
        <w:rPr>
          <w:lang w:val="pl-PL"/>
        </w:rPr>
      </w:pPr>
      <w:r w:rsidRPr="00AD7E3D">
        <w:rPr>
          <w:lang w:val="pl-PL"/>
        </w:rPr>
        <w:fldChar w:fldCharType="begin"/>
      </w:r>
      <w:r w:rsidRPr="00AD7E3D">
        <w:rPr>
          <w:lang w:val="pl-PL"/>
        </w:rPr>
        <w:instrText xml:space="preserve"> SEQ level0 \*arabic \* MERGEFORMAT </w:instrText>
      </w:r>
      <w:r w:rsidRPr="00AD7E3D">
        <w:rPr>
          <w:lang w:val="pl-PL"/>
        </w:rPr>
        <w:fldChar w:fldCharType="separate"/>
      </w:r>
      <w:r w:rsidRPr="00AD7E3D">
        <w:rPr>
          <w:lang w:val="pl-PL"/>
        </w:rPr>
        <w:t>35</w:t>
      </w:r>
      <w:r w:rsidRPr="00AD7E3D">
        <w:rPr>
          <w:lang w:val="pl-PL"/>
        </w:rPr>
        <w:fldChar w:fldCharType="end"/>
      </w:r>
      <w:r w:rsidRPr="00AD7E3D">
        <w:rPr>
          <w:lang w:val="pl-PL"/>
        </w:rPr>
        <w:t>.  </w:t>
      </w:r>
      <w:r w:rsidR="00366013" w:rsidRPr="00AD7E3D">
        <w:rPr>
          <w:lang w:val="pl-PL"/>
        </w:rPr>
        <w:t>Mając na uwadze</w:t>
      </w:r>
      <w:r w:rsidRPr="00AD7E3D">
        <w:rPr>
          <w:lang w:val="pl-PL"/>
        </w:rPr>
        <w:t xml:space="preserve"> posiadan</w:t>
      </w:r>
      <w:r w:rsidR="00366013" w:rsidRPr="00AD7E3D">
        <w:rPr>
          <w:lang w:val="pl-PL"/>
        </w:rPr>
        <w:t>e</w:t>
      </w:r>
      <w:r w:rsidRPr="00AD7E3D">
        <w:rPr>
          <w:lang w:val="pl-PL"/>
        </w:rPr>
        <w:t xml:space="preserve"> dokument</w:t>
      </w:r>
      <w:r w:rsidR="00366013" w:rsidRPr="00AD7E3D">
        <w:rPr>
          <w:lang w:val="pl-PL"/>
        </w:rPr>
        <w:t xml:space="preserve">y, </w:t>
      </w:r>
      <w:r w:rsidRPr="00AD7E3D">
        <w:rPr>
          <w:lang w:val="pl-PL"/>
        </w:rPr>
        <w:t>Trybunał uznaje za zasadne zasądzenie na rzecz trzeciej i czwartej skarżącej (skarga nr</w:t>
      </w:r>
      <w:r w:rsidR="00F36C53" w:rsidRPr="00AD7E3D">
        <w:rPr>
          <w:lang w:val="pl-PL"/>
        </w:rPr>
        <w:t> </w:t>
      </w:r>
      <w:r w:rsidRPr="00AD7E3D">
        <w:rPr>
          <w:lang w:val="pl-PL"/>
        </w:rPr>
        <w:t xml:space="preserve">45301/19) </w:t>
      </w:r>
      <w:r w:rsidR="00366013" w:rsidRPr="00AD7E3D">
        <w:rPr>
          <w:lang w:val="pl-PL"/>
        </w:rPr>
        <w:t xml:space="preserve">łącznie </w:t>
      </w:r>
      <w:r w:rsidRPr="00AD7E3D">
        <w:rPr>
          <w:lang w:val="pl-PL"/>
        </w:rPr>
        <w:t>kwoty 600</w:t>
      </w:r>
      <w:r w:rsidR="00F36C53" w:rsidRPr="00AD7E3D">
        <w:rPr>
          <w:lang w:val="pl-PL"/>
        </w:rPr>
        <w:t> </w:t>
      </w:r>
      <w:r w:rsidRPr="00AD7E3D">
        <w:rPr>
          <w:lang w:val="pl-PL"/>
        </w:rPr>
        <w:t xml:space="preserve">EUR, na pokrycie </w:t>
      </w:r>
      <w:r w:rsidR="00366013" w:rsidRPr="00AD7E3D">
        <w:rPr>
          <w:lang w:val="pl-PL"/>
        </w:rPr>
        <w:t>kosztów wszelkiego rodzaju, powiększonej o należne podatki</w:t>
      </w:r>
      <w:r w:rsidRPr="00AD7E3D">
        <w:rPr>
          <w:lang w:val="pl-PL"/>
        </w:rPr>
        <w:t>.</w:t>
      </w:r>
    </w:p>
    <w:p w14:paraId="5358B37D" w14:textId="418F36D7" w:rsidR="00B57FDF" w:rsidRPr="00AD7E3D" w:rsidRDefault="00CA0E9C" w:rsidP="009B24DE">
      <w:pPr>
        <w:pStyle w:val="JuHHead"/>
        <w:rPr>
          <w:lang w:val="pl-PL"/>
        </w:rPr>
      </w:pPr>
      <w:r w:rsidRPr="00AD7E3D">
        <w:rPr>
          <w:bCs w:val="0"/>
          <w:lang w:val="pl-PL"/>
        </w:rPr>
        <w:t xml:space="preserve">Z </w:t>
      </w:r>
      <w:r w:rsidR="00ED1A2B" w:rsidRPr="00AD7E3D">
        <w:rPr>
          <w:bCs w:val="0"/>
          <w:lang w:val="pl-PL"/>
        </w:rPr>
        <w:t>POWYŻSZYCH WZGLĘDÓW</w:t>
      </w:r>
      <w:r w:rsidRPr="00AD7E3D">
        <w:rPr>
          <w:bCs w:val="0"/>
          <w:lang w:val="pl-PL"/>
        </w:rPr>
        <w:t xml:space="preserve"> TRYBUNAŁ JEDNOGŁOŚNIE</w:t>
      </w:r>
    </w:p>
    <w:p w14:paraId="0CEAA146" w14:textId="45AEF969" w:rsidR="00B57FDF" w:rsidRPr="00AD7E3D" w:rsidRDefault="00ED1A2B" w:rsidP="009B24DE">
      <w:pPr>
        <w:pStyle w:val="JuList"/>
        <w:rPr>
          <w:lang w:val="pl-PL"/>
        </w:rPr>
      </w:pPr>
      <w:r w:rsidRPr="00AD7E3D">
        <w:rPr>
          <w:i/>
          <w:iCs/>
          <w:lang w:val="pl-PL"/>
        </w:rPr>
        <w:t>p</w:t>
      </w:r>
      <w:r w:rsidR="00CA0E9C" w:rsidRPr="00AD7E3D">
        <w:rPr>
          <w:i/>
          <w:iCs/>
          <w:lang w:val="pl-PL"/>
        </w:rPr>
        <w:t>ostanawia</w:t>
      </w:r>
      <w:r w:rsidR="00CA0E9C" w:rsidRPr="00AD7E3D">
        <w:rPr>
          <w:lang w:val="pl-PL"/>
        </w:rPr>
        <w:t xml:space="preserve"> połączyć skargi;</w:t>
      </w:r>
    </w:p>
    <w:p w14:paraId="2039AC42" w14:textId="2551634F" w:rsidR="00B57FDF" w:rsidRPr="00AD7E3D" w:rsidRDefault="00ED1A2B" w:rsidP="009B24DE">
      <w:pPr>
        <w:pStyle w:val="JuList"/>
        <w:ind w:left="0" w:firstLine="0"/>
        <w:rPr>
          <w:lang w:val="pl-PL"/>
        </w:rPr>
      </w:pPr>
      <w:r w:rsidRPr="00AD7E3D">
        <w:rPr>
          <w:i/>
          <w:iCs/>
          <w:lang w:val="pl-PL"/>
        </w:rPr>
        <w:t>p</w:t>
      </w:r>
      <w:r w:rsidR="00CA0E9C" w:rsidRPr="00AD7E3D">
        <w:rPr>
          <w:i/>
          <w:iCs/>
          <w:lang w:val="pl-PL"/>
        </w:rPr>
        <w:t>ostanawia</w:t>
      </w:r>
      <w:r w:rsidR="00CA0E9C" w:rsidRPr="00AD7E3D">
        <w:rPr>
          <w:lang w:val="pl-PL"/>
        </w:rPr>
        <w:t xml:space="preserve"> </w:t>
      </w:r>
      <w:r w:rsidR="00C95D60" w:rsidRPr="00AD7E3D">
        <w:rPr>
          <w:lang w:val="pl-PL"/>
        </w:rPr>
        <w:t xml:space="preserve">rozpatrzyć łącznie z przedmiotem skargi zastrzeżenia wstępne dotyczące braku </w:t>
      </w:r>
      <w:r w:rsidR="00CA0E9C" w:rsidRPr="00AD7E3D">
        <w:rPr>
          <w:lang w:val="pl-PL"/>
        </w:rPr>
        <w:t>znaczącej szkody i statusu ofiary oraz je oddala;</w:t>
      </w:r>
    </w:p>
    <w:p w14:paraId="5F9231CC" w14:textId="5D5F3D6D" w:rsidR="00B57FDF" w:rsidRPr="00AD7E3D" w:rsidRDefault="00ED1A2B" w:rsidP="009B24DE">
      <w:pPr>
        <w:pStyle w:val="JuList"/>
        <w:rPr>
          <w:lang w:val="pl-PL"/>
        </w:rPr>
      </w:pPr>
      <w:r w:rsidRPr="00AD7E3D">
        <w:rPr>
          <w:i/>
          <w:iCs/>
          <w:lang w:val="pl-PL"/>
        </w:rPr>
        <w:t>u</w:t>
      </w:r>
      <w:r w:rsidR="00CA0E9C" w:rsidRPr="00AD7E3D">
        <w:rPr>
          <w:i/>
          <w:iCs/>
          <w:lang w:val="pl-PL"/>
        </w:rPr>
        <w:t>znaje</w:t>
      </w:r>
      <w:r w:rsidR="00CA0E9C" w:rsidRPr="00AD7E3D">
        <w:rPr>
          <w:lang w:val="pl-PL"/>
        </w:rPr>
        <w:t xml:space="preserve"> skargi za dopuszczalne;</w:t>
      </w:r>
    </w:p>
    <w:p w14:paraId="068D4670" w14:textId="4CBE5E93" w:rsidR="00B57FDF" w:rsidRPr="00AD7E3D" w:rsidRDefault="00F96721" w:rsidP="009B24DE">
      <w:pPr>
        <w:pStyle w:val="JuList"/>
        <w:rPr>
          <w:lang w:val="pl-PL"/>
        </w:rPr>
      </w:pPr>
      <w:r w:rsidRPr="00AD7E3D">
        <w:rPr>
          <w:i/>
          <w:iCs/>
          <w:lang w:val="pl-PL"/>
        </w:rPr>
        <w:t>orzeka</w:t>
      </w:r>
      <w:r w:rsidR="00CA0E9C" w:rsidRPr="00AD7E3D">
        <w:rPr>
          <w:lang w:val="pl-PL"/>
        </w:rPr>
        <w:t>, że doszło do naruszenia art.</w:t>
      </w:r>
      <w:r w:rsidR="00F36C53" w:rsidRPr="00AD7E3D">
        <w:rPr>
          <w:lang w:val="pl-PL"/>
        </w:rPr>
        <w:t> </w:t>
      </w:r>
      <w:r w:rsidR="00CA0E9C" w:rsidRPr="00AD7E3D">
        <w:rPr>
          <w:lang w:val="pl-PL"/>
        </w:rPr>
        <w:t>8 Konwencji;</w:t>
      </w:r>
    </w:p>
    <w:p w14:paraId="74D3FCAB" w14:textId="430C71CD" w:rsidR="00B57FDF" w:rsidRPr="00AD7E3D" w:rsidRDefault="00F96721" w:rsidP="009B24DE">
      <w:pPr>
        <w:pStyle w:val="JuList"/>
        <w:rPr>
          <w:lang w:val="pl-PL"/>
        </w:rPr>
      </w:pPr>
      <w:r w:rsidRPr="00AD7E3D">
        <w:rPr>
          <w:i/>
          <w:iCs/>
          <w:lang w:val="pl-PL"/>
        </w:rPr>
        <w:lastRenderedPageBreak/>
        <w:t>orzeka</w:t>
      </w:r>
      <w:r w:rsidR="00CA0E9C" w:rsidRPr="00AD7E3D">
        <w:rPr>
          <w:lang w:val="pl-PL"/>
        </w:rPr>
        <w:t>, że nie ma potrzeby zbadania skarg na podstawie art.</w:t>
      </w:r>
      <w:r w:rsidR="00F36C53" w:rsidRPr="00AD7E3D">
        <w:rPr>
          <w:lang w:val="pl-PL"/>
        </w:rPr>
        <w:t> </w:t>
      </w:r>
      <w:r w:rsidR="00CA0E9C" w:rsidRPr="00AD7E3D">
        <w:rPr>
          <w:lang w:val="pl-PL"/>
        </w:rPr>
        <w:t>14 Konwencji w związku z art.</w:t>
      </w:r>
      <w:r w:rsidR="00F36C53" w:rsidRPr="00AD7E3D">
        <w:rPr>
          <w:lang w:val="pl-PL"/>
        </w:rPr>
        <w:t> </w:t>
      </w:r>
      <w:r w:rsidR="00CA0E9C" w:rsidRPr="00AD7E3D">
        <w:rPr>
          <w:lang w:val="pl-PL"/>
        </w:rPr>
        <w:t>8 Konwencji;</w:t>
      </w:r>
    </w:p>
    <w:p w14:paraId="03911EFD" w14:textId="2109D5A9" w:rsidR="00B57FDF" w:rsidRPr="00AD7E3D" w:rsidRDefault="00F96721" w:rsidP="009B24DE">
      <w:pPr>
        <w:pStyle w:val="JuList"/>
        <w:rPr>
          <w:lang w:val="pl-PL"/>
        </w:rPr>
      </w:pPr>
      <w:r w:rsidRPr="00AD7E3D">
        <w:rPr>
          <w:i/>
          <w:iCs/>
          <w:lang w:val="pl-PL"/>
        </w:rPr>
        <w:t>orzeka</w:t>
      </w:r>
      <w:r w:rsidR="00CA0E9C" w:rsidRPr="00AD7E3D">
        <w:rPr>
          <w:lang w:val="pl-PL"/>
        </w:rPr>
        <w:t>, że stwierdzenie naruszenia samo w sobie stanowi wystarczające zadośćuczynienie za wszelkie szkody niemajątkowe poniesione przez skarżące;</w:t>
      </w:r>
    </w:p>
    <w:p w14:paraId="715E94EB" w14:textId="3F7ED246" w:rsidR="00B57FDF" w:rsidRPr="00AD7E3D" w:rsidRDefault="00F96721" w:rsidP="009B24DE">
      <w:pPr>
        <w:pStyle w:val="JuList"/>
        <w:rPr>
          <w:lang w:val="pl-PL"/>
        </w:rPr>
      </w:pPr>
      <w:r w:rsidRPr="00AD7E3D">
        <w:rPr>
          <w:i/>
          <w:iCs/>
          <w:lang w:val="pl-PL"/>
        </w:rPr>
        <w:t>orzeka</w:t>
      </w:r>
      <w:r w:rsidR="00CA0E9C" w:rsidRPr="00AD7E3D">
        <w:rPr>
          <w:lang w:val="pl-PL"/>
        </w:rPr>
        <w:t>,</w:t>
      </w:r>
    </w:p>
    <w:p w14:paraId="5483E060" w14:textId="7199A7BD" w:rsidR="00BD06FE" w:rsidRPr="00AD7E3D" w:rsidRDefault="00CA0E9C" w:rsidP="009B24DE">
      <w:pPr>
        <w:pStyle w:val="JuLista"/>
        <w:rPr>
          <w:lang w:val="pl-PL"/>
        </w:rPr>
      </w:pPr>
      <w:r w:rsidRPr="00AD7E3D">
        <w:rPr>
          <w:lang w:val="pl-PL"/>
        </w:rPr>
        <w:t xml:space="preserve">że pozwane </w:t>
      </w:r>
      <w:r w:rsidR="00E625D2" w:rsidRPr="00AD7E3D">
        <w:rPr>
          <w:lang w:val="pl-PL"/>
        </w:rPr>
        <w:t>P</w:t>
      </w:r>
      <w:r w:rsidRPr="00AD7E3D">
        <w:rPr>
          <w:lang w:val="pl-PL"/>
        </w:rPr>
        <w:t xml:space="preserve">aństwo winno, w terminie trzech miesięcy, uiścić </w:t>
      </w:r>
      <w:r w:rsidR="00CA6856" w:rsidRPr="00AD7E3D">
        <w:rPr>
          <w:lang w:val="pl-PL"/>
        </w:rPr>
        <w:t xml:space="preserve">łącznie </w:t>
      </w:r>
      <w:r w:rsidRPr="00AD7E3D">
        <w:rPr>
          <w:lang w:val="pl-PL"/>
        </w:rPr>
        <w:t xml:space="preserve">na rzecz skarżących </w:t>
      </w:r>
      <w:r w:rsidR="0035614D" w:rsidRPr="00AD7E3D">
        <w:rPr>
          <w:lang w:val="pl-PL"/>
        </w:rPr>
        <w:t xml:space="preserve">M. </w:t>
      </w:r>
      <w:r w:rsidRPr="00AD7E3D">
        <w:rPr>
          <w:lang w:val="pl-PL"/>
        </w:rPr>
        <w:t xml:space="preserve">Handzlik-Rosuł i </w:t>
      </w:r>
      <w:r w:rsidR="0035614D" w:rsidRPr="00AD7E3D">
        <w:rPr>
          <w:lang w:val="pl-PL"/>
        </w:rPr>
        <w:t xml:space="preserve">A. </w:t>
      </w:r>
      <w:r w:rsidRPr="00AD7E3D">
        <w:rPr>
          <w:lang w:val="pl-PL"/>
        </w:rPr>
        <w:t>Rosuł kwotę 600</w:t>
      </w:r>
      <w:r w:rsidR="00E373B5" w:rsidRPr="00AD7E3D">
        <w:rPr>
          <w:lang w:val="pl-PL"/>
        </w:rPr>
        <w:t> </w:t>
      </w:r>
      <w:r w:rsidRPr="00AD7E3D">
        <w:rPr>
          <w:lang w:val="pl-PL"/>
        </w:rPr>
        <w:t xml:space="preserve">EUR (sześćset euro) </w:t>
      </w:r>
      <w:r w:rsidR="00CA6856" w:rsidRPr="00AD7E3D">
        <w:rPr>
          <w:lang w:val="pl-PL"/>
        </w:rPr>
        <w:t>powiększoną o</w:t>
      </w:r>
      <w:r w:rsidRPr="00AD7E3D">
        <w:rPr>
          <w:lang w:val="pl-PL"/>
        </w:rPr>
        <w:t xml:space="preserve"> wszelkie należne podatki, tytułem poniesionych kosztów i wydatków</w:t>
      </w:r>
      <w:r w:rsidR="00CA6856" w:rsidRPr="00AD7E3D">
        <w:rPr>
          <w:lang w:val="pl-PL"/>
        </w:rPr>
        <w:t xml:space="preserve">, </w:t>
      </w:r>
      <w:r w:rsidRPr="00AD7E3D">
        <w:rPr>
          <w:lang w:val="pl-PL"/>
        </w:rPr>
        <w:t xml:space="preserve">przeliczoną na walutę pozwanego </w:t>
      </w:r>
      <w:r w:rsidR="00FE6051" w:rsidRPr="00AD7E3D">
        <w:rPr>
          <w:lang w:val="pl-PL"/>
        </w:rPr>
        <w:t>P</w:t>
      </w:r>
      <w:r w:rsidRPr="00AD7E3D">
        <w:rPr>
          <w:lang w:val="pl-PL"/>
        </w:rPr>
        <w:t>aństwa według kursu obowiązującego w dniu płatności;</w:t>
      </w:r>
    </w:p>
    <w:p w14:paraId="62439705" w14:textId="2A62B528" w:rsidR="00BD06FE" w:rsidRPr="00AD7E3D" w:rsidRDefault="00CA0E9C" w:rsidP="009B24DE">
      <w:pPr>
        <w:pStyle w:val="JuLista"/>
        <w:rPr>
          <w:lang w:val="pl-PL"/>
        </w:rPr>
      </w:pPr>
      <w:r w:rsidRPr="00AD7E3D">
        <w:rPr>
          <w:lang w:val="pl-PL"/>
        </w:rPr>
        <w:t>że od upływu wyżej wskazanego terminu trzech miesięcy aż do momentu uregulowania należności, należne będą odsetki zwykłe od określonej powyżej kwoty, naliczone według stopy równej marginalnej stopie procentowej Europejskiego Banku Centralnego obowiązującej w tym okresie, powiększonej o trzy punkty procentowe;</w:t>
      </w:r>
    </w:p>
    <w:p w14:paraId="560573FB" w14:textId="63A80C39" w:rsidR="004D0EC7" w:rsidRPr="00AD7E3D" w:rsidRDefault="00ED1A2B" w:rsidP="009B24DE">
      <w:pPr>
        <w:pStyle w:val="JuList"/>
        <w:rPr>
          <w:lang w:val="pl-PL"/>
        </w:rPr>
      </w:pPr>
      <w:r w:rsidRPr="00AD7E3D">
        <w:rPr>
          <w:i/>
          <w:iCs/>
          <w:lang w:val="pl-PL"/>
        </w:rPr>
        <w:t>o</w:t>
      </w:r>
      <w:r w:rsidR="00CA0E9C" w:rsidRPr="00AD7E3D">
        <w:rPr>
          <w:i/>
          <w:iCs/>
          <w:lang w:val="pl-PL"/>
        </w:rPr>
        <w:t>ddala</w:t>
      </w:r>
      <w:r w:rsidR="00CA0E9C" w:rsidRPr="00AD7E3D">
        <w:rPr>
          <w:lang w:val="pl-PL"/>
        </w:rPr>
        <w:t xml:space="preserve"> pozostałą część roszczenia skarżących </w:t>
      </w:r>
      <w:r w:rsidR="00CA6856" w:rsidRPr="00AD7E3D">
        <w:rPr>
          <w:lang w:val="pl-PL"/>
        </w:rPr>
        <w:t>dotyczącego</w:t>
      </w:r>
      <w:r w:rsidR="00CA0E9C" w:rsidRPr="00AD7E3D">
        <w:rPr>
          <w:lang w:val="pl-PL"/>
        </w:rPr>
        <w:t xml:space="preserve"> słuszne</w:t>
      </w:r>
      <w:r w:rsidR="00CA6856" w:rsidRPr="00AD7E3D">
        <w:rPr>
          <w:lang w:val="pl-PL"/>
        </w:rPr>
        <w:t xml:space="preserve">go </w:t>
      </w:r>
      <w:r w:rsidR="00CA0E9C" w:rsidRPr="00AD7E3D">
        <w:rPr>
          <w:lang w:val="pl-PL"/>
        </w:rPr>
        <w:t>zadośćuczynieni</w:t>
      </w:r>
      <w:r w:rsidR="00CA6856" w:rsidRPr="00AD7E3D">
        <w:rPr>
          <w:lang w:val="pl-PL"/>
        </w:rPr>
        <w:t>a</w:t>
      </w:r>
      <w:r w:rsidR="00CA0E9C" w:rsidRPr="00AD7E3D">
        <w:rPr>
          <w:lang w:val="pl-PL"/>
        </w:rPr>
        <w:t>.</w:t>
      </w:r>
    </w:p>
    <w:p w14:paraId="2A3F43DE" w14:textId="48B0965B" w:rsidR="008E3A08" w:rsidRPr="00AD7E3D" w:rsidRDefault="00CA0E9C" w:rsidP="009B24DE">
      <w:pPr>
        <w:pStyle w:val="JuParaLast"/>
        <w:rPr>
          <w:lang w:val="pl-PL"/>
        </w:rPr>
      </w:pPr>
      <w:r w:rsidRPr="00AD7E3D">
        <w:rPr>
          <w:lang w:val="pl-PL"/>
        </w:rPr>
        <w:t xml:space="preserve">Sporządzono w języku angielskim i obwieszczono pisemnie </w:t>
      </w:r>
      <w:r w:rsidR="00CA6856" w:rsidRPr="00AD7E3D">
        <w:rPr>
          <w:lang w:val="pl-PL"/>
        </w:rPr>
        <w:t xml:space="preserve">w </w:t>
      </w:r>
      <w:r w:rsidRPr="00AD7E3D">
        <w:rPr>
          <w:lang w:val="pl-PL"/>
        </w:rPr>
        <w:t>dni</w:t>
      </w:r>
      <w:r w:rsidR="00CA6856" w:rsidRPr="00AD7E3D">
        <w:rPr>
          <w:lang w:val="pl-PL"/>
        </w:rPr>
        <w:t>u</w:t>
      </w:r>
      <w:r w:rsidRPr="00AD7E3D">
        <w:rPr>
          <w:lang w:val="pl-PL"/>
        </w:rPr>
        <w:t xml:space="preserve"> </w:t>
      </w:r>
      <w:r w:rsidRPr="00AD7E3D">
        <w:rPr>
          <w:rFonts w:ascii="Times New Roman" w:hAnsi="Times New Roman"/>
          <w:lang w:val="pl-PL"/>
        </w:rPr>
        <w:t>19</w:t>
      </w:r>
      <w:r w:rsidR="00E373B5" w:rsidRPr="00AD7E3D">
        <w:rPr>
          <w:rFonts w:ascii="Times New Roman" w:hAnsi="Times New Roman"/>
          <w:lang w:val="pl-PL"/>
        </w:rPr>
        <w:t> </w:t>
      </w:r>
      <w:r w:rsidRPr="00AD7E3D">
        <w:rPr>
          <w:rFonts w:ascii="Times New Roman" w:hAnsi="Times New Roman"/>
          <w:lang w:val="pl-PL"/>
        </w:rPr>
        <w:t>września</w:t>
      </w:r>
      <w:r w:rsidR="00F36C53" w:rsidRPr="00AD7E3D">
        <w:rPr>
          <w:rFonts w:ascii="Times New Roman" w:hAnsi="Times New Roman"/>
          <w:lang w:val="pl-PL"/>
        </w:rPr>
        <w:t> </w:t>
      </w:r>
      <w:r w:rsidRPr="00AD7E3D">
        <w:rPr>
          <w:rFonts w:ascii="Times New Roman" w:hAnsi="Times New Roman"/>
          <w:lang w:val="pl-PL"/>
        </w:rPr>
        <w:t>2024</w:t>
      </w:r>
      <w:r w:rsidR="00F36C53" w:rsidRPr="00AD7E3D">
        <w:rPr>
          <w:rFonts w:ascii="Times New Roman" w:hAnsi="Times New Roman"/>
          <w:lang w:val="pl-PL"/>
        </w:rPr>
        <w:t> </w:t>
      </w:r>
      <w:r w:rsidRPr="00AD7E3D">
        <w:rPr>
          <w:rFonts w:ascii="Times New Roman" w:hAnsi="Times New Roman"/>
          <w:lang w:val="pl-PL"/>
        </w:rPr>
        <w:t>r.</w:t>
      </w:r>
      <w:r w:rsidRPr="00AD7E3D">
        <w:rPr>
          <w:lang w:val="pl-PL"/>
        </w:rPr>
        <w:t>, zgodnie z Regułą</w:t>
      </w:r>
      <w:r w:rsidR="00F36C53" w:rsidRPr="00AD7E3D">
        <w:rPr>
          <w:lang w:val="pl-PL"/>
        </w:rPr>
        <w:t> </w:t>
      </w:r>
      <w:r w:rsidRPr="00AD7E3D">
        <w:rPr>
          <w:lang w:val="pl-PL"/>
        </w:rPr>
        <w:t>77 §§</w:t>
      </w:r>
      <w:r w:rsidR="00F36C53" w:rsidRPr="00AD7E3D">
        <w:rPr>
          <w:lang w:val="pl-PL"/>
        </w:rPr>
        <w:t> </w:t>
      </w:r>
      <w:r w:rsidRPr="00AD7E3D">
        <w:rPr>
          <w:lang w:val="pl-PL"/>
        </w:rPr>
        <w:t>2 i 3 Regulaminu Trybunału.</w:t>
      </w:r>
    </w:p>
    <w:p w14:paraId="581B73C3" w14:textId="455E63CD" w:rsidR="00D41628" w:rsidRPr="00AD7E3D" w:rsidRDefault="00CA0E9C" w:rsidP="009B24DE">
      <w:pPr>
        <w:pStyle w:val="JuSigned"/>
        <w:rPr>
          <w:lang w:val="pl-PL"/>
        </w:rPr>
      </w:pPr>
      <w:r w:rsidRPr="00AD7E3D">
        <w:rPr>
          <w:lang w:val="pl-PL"/>
        </w:rPr>
        <w:tab/>
        <w:t>Liv Tigerstedt</w:t>
      </w:r>
      <w:r w:rsidRPr="00AD7E3D">
        <w:rPr>
          <w:lang w:val="pl-PL"/>
        </w:rPr>
        <w:tab/>
        <w:t>Péter Paczolay</w:t>
      </w:r>
      <w:r w:rsidRPr="00AD7E3D">
        <w:rPr>
          <w:lang w:val="pl-PL"/>
        </w:rPr>
        <w:br/>
      </w:r>
      <w:r w:rsidRPr="00AD7E3D">
        <w:rPr>
          <w:lang w:val="pl-PL"/>
        </w:rPr>
        <w:tab/>
        <w:t>Zastępc</w:t>
      </w:r>
      <w:r w:rsidR="006F2105" w:rsidRPr="00AD7E3D">
        <w:rPr>
          <w:lang w:val="pl-PL"/>
        </w:rPr>
        <w:t>zyni</w:t>
      </w:r>
      <w:r w:rsidRPr="00AD7E3D">
        <w:rPr>
          <w:lang w:val="pl-PL"/>
        </w:rPr>
        <w:t xml:space="preserve"> Kanclerza</w:t>
      </w:r>
      <w:r w:rsidRPr="00AD7E3D">
        <w:rPr>
          <w:lang w:val="pl-PL"/>
        </w:rPr>
        <w:tab/>
        <w:t>Przewodniczący</w:t>
      </w:r>
    </w:p>
    <w:p w14:paraId="3034F10F" w14:textId="77777777" w:rsidR="00D41628" w:rsidRPr="00AD7E3D" w:rsidRDefault="00CA0E9C" w:rsidP="009B24DE">
      <w:pPr>
        <w:rPr>
          <w:highlight w:val="yellow"/>
          <w:lang w:val="pl-PL"/>
        </w:rPr>
      </w:pPr>
      <w:r w:rsidRPr="00AD7E3D">
        <w:rPr>
          <w:highlight w:val="yellow"/>
          <w:lang w:val="pl-PL"/>
        </w:rPr>
        <w:br w:type="page"/>
      </w:r>
    </w:p>
    <w:p w14:paraId="7A109188" w14:textId="77777777" w:rsidR="00B57FDF" w:rsidRPr="00AD7E3D" w:rsidRDefault="00CA0E9C" w:rsidP="009B24DE">
      <w:pPr>
        <w:pStyle w:val="DecHTitle"/>
        <w:rPr>
          <w:lang w:val="pl-PL"/>
        </w:rPr>
      </w:pPr>
      <w:r w:rsidRPr="00AD7E3D">
        <w:rPr>
          <w:lang w:val="pl-PL"/>
        </w:rPr>
        <w:lastRenderedPageBreak/>
        <w:t>ZAŁĄCZNIK</w:t>
      </w:r>
    </w:p>
    <w:p w14:paraId="68ABFA60" w14:textId="77777777" w:rsidR="00B57FDF" w:rsidRPr="00AD7E3D" w:rsidRDefault="00CA0E9C" w:rsidP="009B24DE">
      <w:pPr>
        <w:pStyle w:val="DecHCase"/>
        <w:keepNext w:val="0"/>
        <w:keepLines w:val="0"/>
        <w:jc w:val="left"/>
        <w:rPr>
          <w:rFonts w:ascii="Times New Roman" w:hAnsi="Times New Roman" w:cs="Times New Roman"/>
          <w:lang w:val="pl-PL"/>
        </w:rPr>
      </w:pPr>
      <w:r w:rsidRPr="00AD7E3D">
        <w:rPr>
          <w:rFonts w:ascii="Times New Roman" w:hAnsi="Times New Roman" w:cs="Times New Roman"/>
          <w:lang w:val="pl-PL"/>
        </w:rPr>
        <w:t>Wykaz spraw:</w:t>
      </w:r>
    </w:p>
    <w:tbl>
      <w:tblPr>
        <w:tblStyle w:val="ECHRListTable"/>
        <w:tblW w:w="9356" w:type="dxa"/>
        <w:tblInd w:w="-1281" w:type="dxa"/>
        <w:tblLayout w:type="fixed"/>
        <w:tblLook w:val="0420" w:firstRow="1" w:lastRow="0" w:firstColumn="0" w:lastColumn="0" w:noHBand="0" w:noVBand="1"/>
      </w:tblPr>
      <w:tblGrid>
        <w:gridCol w:w="709"/>
        <w:gridCol w:w="1418"/>
        <w:gridCol w:w="1276"/>
        <w:gridCol w:w="1559"/>
        <w:gridCol w:w="1984"/>
        <w:gridCol w:w="2410"/>
      </w:tblGrid>
      <w:tr w:rsidR="00FC4E04" w:rsidRPr="00AD7E3D" w14:paraId="231BE31F" w14:textId="77777777" w:rsidTr="005E55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09" w:type="dxa"/>
            <w:hideMark/>
          </w:tcPr>
          <w:p w14:paraId="28B12B57" w14:textId="6FC194DA" w:rsidR="00F66354" w:rsidRPr="00AD7E3D" w:rsidRDefault="00BE0193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bCs/>
                <w:lang w:val="pl-PL"/>
              </w:rPr>
              <w:t>Lp.</w:t>
            </w:r>
          </w:p>
        </w:tc>
        <w:tc>
          <w:tcPr>
            <w:tcW w:w="1418" w:type="dxa"/>
            <w:hideMark/>
          </w:tcPr>
          <w:p w14:paraId="2FD862C0" w14:textId="55D25F2F" w:rsidR="00F66354" w:rsidRPr="00AD7E3D" w:rsidRDefault="00BE0193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bCs/>
                <w:lang w:val="pl-PL"/>
              </w:rPr>
              <w:t>Numer s</w:t>
            </w:r>
            <w:r w:rsidR="00CA0E9C" w:rsidRPr="00AD7E3D">
              <w:rPr>
                <w:rFonts w:eastAsia="Times New Roman"/>
                <w:bCs/>
                <w:lang w:val="pl-PL"/>
              </w:rPr>
              <w:t>karg</w:t>
            </w:r>
            <w:r w:rsidRPr="00AD7E3D">
              <w:rPr>
                <w:rFonts w:eastAsia="Times New Roman"/>
                <w:bCs/>
                <w:lang w:val="pl-PL"/>
              </w:rPr>
              <w:t>i</w:t>
            </w:r>
          </w:p>
        </w:tc>
        <w:tc>
          <w:tcPr>
            <w:tcW w:w="1276" w:type="dxa"/>
            <w:hideMark/>
          </w:tcPr>
          <w:p w14:paraId="1B5137CB" w14:textId="77777777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bCs/>
                <w:lang w:val="pl-PL"/>
              </w:rPr>
              <w:t>Nazwa sprawy</w:t>
            </w:r>
          </w:p>
        </w:tc>
        <w:tc>
          <w:tcPr>
            <w:tcW w:w="1559" w:type="dxa"/>
            <w:hideMark/>
          </w:tcPr>
          <w:p w14:paraId="15D62AA2" w14:textId="1E8DEE6A" w:rsidR="00F66354" w:rsidRPr="00AD7E3D" w:rsidRDefault="00BE0193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bCs/>
                <w:lang w:val="pl-PL"/>
              </w:rPr>
              <w:t xml:space="preserve">Data </w:t>
            </w:r>
            <w:r w:rsidR="005E555B" w:rsidRPr="00AD7E3D">
              <w:rPr>
                <w:rFonts w:eastAsia="Times New Roman"/>
                <w:bCs/>
                <w:lang w:val="pl-PL"/>
              </w:rPr>
              <w:t>złożenia</w:t>
            </w:r>
            <w:r w:rsidRPr="00AD7E3D">
              <w:rPr>
                <w:rFonts w:eastAsia="Times New Roman"/>
                <w:bCs/>
                <w:lang w:val="pl-PL"/>
              </w:rPr>
              <w:t xml:space="preserve"> </w:t>
            </w:r>
            <w:r w:rsidR="005E555B" w:rsidRPr="00AD7E3D">
              <w:rPr>
                <w:rFonts w:eastAsia="Times New Roman"/>
                <w:bCs/>
                <w:lang w:val="pl-PL"/>
              </w:rPr>
              <w:t>skargi</w:t>
            </w:r>
          </w:p>
        </w:tc>
        <w:tc>
          <w:tcPr>
            <w:tcW w:w="1984" w:type="dxa"/>
            <w:hideMark/>
          </w:tcPr>
          <w:p w14:paraId="542E520E" w14:textId="0BB9799D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bCs/>
                <w:lang w:val="pl-PL"/>
              </w:rPr>
              <w:t>Skarżąc</w:t>
            </w:r>
            <w:r w:rsidR="005E555B" w:rsidRPr="00AD7E3D">
              <w:rPr>
                <w:rFonts w:eastAsia="Times New Roman"/>
                <w:bCs/>
                <w:lang w:val="pl-PL"/>
              </w:rPr>
              <w:t>y(-a)</w:t>
            </w:r>
            <w:r w:rsidRPr="00AD7E3D">
              <w:rPr>
                <w:rFonts w:eastAsia="Times New Roman"/>
                <w:bCs/>
                <w:lang w:val="pl-PL"/>
              </w:rPr>
              <w:br/>
              <w:t>Rok urodzenia</w:t>
            </w:r>
            <w:r w:rsidRPr="00AD7E3D">
              <w:rPr>
                <w:rFonts w:eastAsia="Times New Roman"/>
                <w:bCs/>
                <w:lang w:val="pl-PL"/>
              </w:rPr>
              <w:br/>
              <w:t>Miejsce zamieszkania</w:t>
            </w:r>
            <w:r w:rsidRPr="00AD7E3D">
              <w:rPr>
                <w:rFonts w:eastAsia="Times New Roman"/>
                <w:bCs/>
                <w:lang w:val="pl-PL"/>
              </w:rPr>
              <w:br/>
              <w:t>Obywatelstwo</w:t>
            </w:r>
          </w:p>
        </w:tc>
        <w:tc>
          <w:tcPr>
            <w:tcW w:w="2410" w:type="dxa"/>
          </w:tcPr>
          <w:p w14:paraId="100ECEB0" w14:textId="3B0888C2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bCs/>
                <w:lang w:val="pl-PL"/>
              </w:rPr>
              <w:t>Reprezentowan</w:t>
            </w:r>
            <w:r w:rsidR="005E555B" w:rsidRPr="00AD7E3D">
              <w:rPr>
                <w:rFonts w:eastAsia="Times New Roman"/>
                <w:bCs/>
                <w:lang w:val="pl-PL"/>
              </w:rPr>
              <w:t>y(-a)</w:t>
            </w:r>
            <w:r w:rsidRPr="00AD7E3D">
              <w:rPr>
                <w:rFonts w:eastAsia="Times New Roman"/>
                <w:bCs/>
                <w:lang w:val="pl-PL"/>
              </w:rPr>
              <w:t xml:space="preserve"> przez</w:t>
            </w:r>
          </w:p>
        </w:tc>
      </w:tr>
      <w:tr w:rsidR="00FC4E04" w:rsidRPr="00AD7E3D" w14:paraId="6CBE22ED" w14:textId="77777777" w:rsidTr="005E555B">
        <w:tc>
          <w:tcPr>
            <w:tcW w:w="709" w:type="dxa"/>
            <w:hideMark/>
          </w:tcPr>
          <w:p w14:paraId="7FE4E40A" w14:textId="77777777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1.</w:t>
            </w:r>
          </w:p>
        </w:tc>
        <w:tc>
          <w:tcPr>
            <w:tcW w:w="1418" w:type="dxa"/>
            <w:hideMark/>
          </w:tcPr>
          <w:p w14:paraId="0B0D544A" w14:textId="77777777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58828/12</w:t>
            </w:r>
          </w:p>
        </w:tc>
        <w:tc>
          <w:tcPr>
            <w:tcW w:w="1276" w:type="dxa"/>
            <w:hideMark/>
          </w:tcPr>
          <w:p w14:paraId="196749B7" w14:textId="77777777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Formela przeciwko Polsce</w:t>
            </w:r>
          </w:p>
        </w:tc>
        <w:tc>
          <w:tcPr>
            <w:tcW w:w="1559" w:type="dxa"/>
            <w:hideMark/>
          </w:tcPr>
          <w:p w14:paraId="2A83B91D" w14:textId="74A4A368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31.08.2012</w:t>
            </w:r>
            <w:r w:rsidR="0035614D" w:rsidRPr="00AD7E3D">
              <w:rPr>
                <w:rFonts w:eastAsia="Times New Roman"/>
                <w:lang w:val="pl-PL"/>
              </w:rPr>
              <w:t> </w:t>
            </w:r>
            <w:r w:rsidR="00BE0193" w:rsidRPr="00AD7E3D">
              <w:rPr>
                <w:rFonts w:eastAsia="Times New Roman"/>
                <w:lang w:val="pl-PL"/>
              </w:rPr>
              <w:t>r.</w:t>
            </w:r>
          </w:p>
        </w:tc>
        <w:tc>
          <w:tcPr>
            <w:tcW w:w="1984" w:type="dxa"/>
            <w:hideMark/>
          </w:tcPr>
          <w:p w14:paraId="1A6159E4" w14:textId="7157D58A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b/>
                <w:bCs/>
                <w:lang w:val="pl-PL"/>
              </w:rPr>
              <w:t>Katarzyna FORMELA</w:t>
            </w:r>
            <w:r w:rsidRPr="00AD7E3D">
              <w:rPr>
                <w:rFonts w:eastAsia="Times New Roman"/>
                <w:lang w:val="pl-PL"/>
              </w:rPr>
              <w:br/>
              <w:t>1966</w:t>
            </w:r>
            <w:r w:rsidR="0035614D" w:rsidRPr="00AD7E3D">
              <w:rPr>
                <w:rFonts w:eastAsia="Times New Roman"/>
                <w:lang w:val="pl-PL"/>
              </w:rPr>
              <w:t> </w:t>
            </w:r>
            <w:r w:rsidR="00BE0193" w:rsidRPr="00AD7E3D">
              <w:rPr>
                <w:rFonts w:eastAsia="Times New Roman"/>
                <w:lang w:val="pl-PL"/>
              </w:rPr>
              <w:t>r.</w:t>
            </w:r>
            <w:r w:rsidRPr="00AD7E3D">
              <w:rPr>
                <w:rFonts w:eastAsia="Times New Roman"/>
                <w:lang w:val="pl-PL"/>
              </w:rPr>
              <w:br/>
              <w:t>Gdańsk</w:t>
            </w:r>
            <w:r w:rsidRPr="00AD7E3D">
              <w:rPr>
                <w:rFonts w:eastAsia="Times New Roman"/>
                <w:lang w:val="pl-PL"/>
              </w:rPr>
              <w:br/>
              <w:t>polskie</w:t>
            </w:r>
            <w:r w:rsidRPr="00AD7E3D">
              <w:rPr>
                <w:rFonts w:eastAsia="Times New Roman"/>
                <w:lang w:val="pl-PL"/>
              </w:rPr>
              <w:br/>
            </w:r>
            <w:r w:rsidRPr="00AD7E3D">
              <w:rPr>
                <w:rFonts w:eastAsia="Times New Roman"/>
                <w:b/>
                <w:bCs/>
                <w:lang w:val="pl-PL"/>
              </w:rPr>
              <w:t>Sylwia FORMELA</w:t>
            </w:r>
            <w:r w:rsidRPr="00AD7E3D">
              <w:rPr>
                <w:rFonts w:eastAsia="Times New Roman"/>
                <w:lang w:val="pl-PL"/>
              </w:rPr>
              <w:br/>
              <w:t>1974</w:t>
            </w:r>
            <w:r w:rsidR="0035614D" w:rsidRPr="00AD7E3D">
              <w:rPr>
                <w:rFonts w:eastAsia="Times New Roman"/>
                <w:lang w:val="pl-PL"/>
              </w:rPr>
              <w:t> </w:t>
            </w:r>
            <w:r w:rsidR="00BE0193" w:rsidRPr="00AD7E3D">
              <w:rPr>
                <w:rFonts w:eastAsia="Times New Roman"/>
                <w:lang w:val="pl-PL"/>
              </w:rPr>
              <w:t>r.</w:t>
            </w:r>
            <w:r w:rsidRPr="00AD7E3D">
              <w:rPr>
                <w:rFonts w:eastAsia="Times New Roman"/>
                <w:lang w:val="pl-PL"/>
              </w:rPr>
              <w:br/>
              <w:t>Gdańsk</w:t>
            </w:r>
            <w:r w:rsidRPr="00AD7E3D">
              <w:rPr>
                <w:rFonts w:eastAsia="Times New Roman"/>
                <w:lang w:val="pl-PL"/>
              </w:rPr>
              <w:br/>
              <w:t>polskie</w:t>
            </w:r>
          </w:p>
        </w:tc>
        <w:tc>
          <w:tcPr>
            <w:tcW w:w="2410" w:type="dxa"/>
          </w:tcPr>
          <w:p w14:paraId="23C236D4" w14:textId="77777777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Dorota PUDZIANOWSKA</w:t>
            </w:r>
          </w:p>
        </w:tc>
      </w:tr>
      <w:tr w:rsidR="00FC4E04" w:rsidRPr="00AD7E3D" w14:paraId="149C3C1C" w14:textId="77777777" w:rsidTr="005E555B">
        <w:tc>
          <w:tcPr>
            <w:tcW w:w="709" w:type="dxa"/>
            <w:hideMark/>
          </w:tcPr>
          <w:p w14:paraId="554EDBFA" w14:textId="77777777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2.</w:t>
            </w:r>
          </w:p>
        </w:tc>
        <w:tc>
          <w:tcPr>
            <w:tcW w:w="1418" w:type="dxa"/>
            <w:hideMark/>
          </w:tcPr>
          <w:p w14:paraId="4D59E5A7" w14:textId="77777777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40795/17</w:t>
            </w:r>
          </w:p>
        </w:tc>
        <w:tc>
          <w:tcPr>
            <w:tcW w:w="1276" w:type="dxa"/>
            <w:hideMark/>
          </w:tcPr>
          <w:p w14:paraId="0CCC1DB9" w14:textId="77777777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Formela przeciwko Polsce</w:t>
            </w:r>
          </w:p>
        </w:tc>
        <w:tc>
          <w:tcPr>
            <w:tcW w:w="1559" w:type="dxa"/>
            <w:hideMark/>
          </w:tcPr>
          <w:p w14:paraId="0D9D04D2" w14:textId="6A7119AA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31.05.2017</w:t>
            </w:r>
            <w:r w:rsidR="0035614D" w:rsidRPr="00AD7E3D">
              <w:rPr>
                <w:rFonts w:eastAsia="Times New Roman"/>
                <w:lang w:val="pl-PL"/>
              </w:rPr>
              <w:t> </w:t>
            </w:r>
            <w:r w:rsidR="00BE0193" w:rsidRPr="00AD7E3D">
              <w:rPr>
                <w:rFonts w:eastAsia="Times New Roman"/>
                <w:lang w:val="pl-PL"/>
              </w:rPr>
              <w:t>r.</w:t>
            </w:r>
          </w:p>
        </w:tc>
        <w:tc>
          <w:tcPr>
            <w:tcW w:w="1984" w:type="dxa"/>
            <w:hideMark/>
          </w:tcPr>
          <w:p w14:paraId="5BCEB21F" w14:textId="19E05140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b/>
                <w:bCs/>
                <w:lang w:val="pl-PL"/>
              </w:rPr>
              <w:t>Sylwia FORMELA</w:t>
            </w:r>
            <w:r w:rsidRPr="00AD7E3D">
              <w:rPr>
                <w:rFonts w:eastAsia="Times New Roman"/>
                <w:lang w:val="pl-PL"/>
              </w:rPr>
              <w:br/>
              <w:t>1974</w:t>
            </w:r>
            <w:r w:rsidR="0035614D" w:rsidRPr="00AD7E3D">
              <w:rPr>
                <w:rFonts w:eastAsia="Times New Roman"/>
                <w:lang w:val="pl-PL"/>
              </w:rPr>
              <w:t> </w:t>
            </w:r>
            <w:r w:rsidR="00BE0193" w:rsidRPr="00AD7E3D">
              <w:rPr>
                <w:rFonts w:eastAsia="Times New Roman"/>
                <w:lang w:val="pl-PL"/>
              </w:rPr>
              <w:t>r.</w:t>
            </w:r>
            <w:r w:rsidRPr="00AD7E3D">
              <w:rPr>
                <w:rFonts w:eastAsia="Times New Roman"/>
                <w:lang w:val="pl-PL"/>
              </w:rPr>
              <w:br/>
              <w:t>Gdańsk</w:t>
            </w:r>
            <w:r w:rsidRPr="00AD7E3D">
              <w:rPr>
                <w:rFonts w:eastAsia="Times New Roman"/>
                <w:lang w:val="pl-PL"/>
              </w:rPr>
              <w:br/>
              <w:t>polskie</w:t>
            </w:r>
          </w:p>
        </w:tc>
        <w:tc>
          <w:tcPr>
            <w:tcW w:w="2410" w:type="dxa"/>
          </w:tcPr>
          <w:p w14:paraId="23943431" w14:textId="77777777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Artur PIETRYKA</w:t>
            </w:r>
          </w:p>
          <w:p w14:paraId="07A308FB" w14:textId="77777777" w:rsidR="00215ACE" w:rsidRPr="00AD7E3D" w:rsidRDefault="00CA0E9C" w:rsidP="009B24DE">
            <w:pPr>
              <w:rPr>
                <w:rFonts w:eastAsia="Times New Roman"/>
                <w:b/>
                <w:bCs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Dorota PUDZIANOWSKA</w:t>
            </w:r>
          </w:p>
        </w:tc>
      </w:tr>
      <w:tr w:rsidR="00FC4E04" w:rsidRPr="00AD7E3D" w14:paraId="26A092AF" w14:textId="77777777" w:rsidTr="005E555B">
        <w:tc>
          <w:tcPr>
            <w:tcW w:w="709" w:type="dxa"/>
            <w:hideMark/>
          </w:tcPr>
          <w:p w14:paraId="48BAB71E" w14:textId="77777777" w:rsidR="00215ACE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3.</w:t>
            </w:r>
          </w:p>
        </w:tc>
        <w:tc>
          <w:tcPr>
            <w:tcW w:w="1418" w:type="dxa"/>
            <w:hideMark/>
          </w:tcPr>
          <w:p w14:paraId="3E0FD589" w14:textId="77777777" w:rsidR="00215ACE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55306/18</w:t>
            </w:r>
          </w:p>
        </w:tc>
        <w:tc>
          <w:tcPr>
            <w:tcW w:w="1276" w:type="dxa"/>
            <w:hideMark/>
          </w:tcPr>
          <w:p w14:paraId="007FC83B" w14:textId="77777777" w:rsidR="00215ACE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Formela przeciwko Polsce</w:t>
            </w:r>
          </w:p>
        </w:tc>
        <w:tc>
          <w:tcPr>
            <w:tcW w:w="1559" w:type="dxa"/>
            <w:hideMark/>
          </w:tcPr>
          <w:p w14:paraId="413142A5" w14:textId="6906CB45" w:rsidR="00215ACE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15.11.2018</w:t>
            </w:r>
            <w:r w:rsidR="0035614D" w:rsidRPr="00AD7E3D">
              <w:rPr>
                <w:rFonts w:eastAsia="Times New Roman"/>
                <w:lang w:val="pl-PL"/>
              </w:rPr>
              <w:t> </w:t>
            </w:r>
            <w:r w:rsidR="00BE0193" w:rsidRPr="00AD7E3D">
              <w:rPr>
                <w:rFonts w:eastAsia="Times New Roman"/>
                <w:lang w:val="pl-PL"/>
              </w:rPr>
              <w:t>r.</w:t>
            </w:r>
          </w:p>
        </w:tc>
        <w:tc>
          <w:tcPr>
            <w:tcW w:w="1984" w:type="dxa"/>
            <w:hideMark/>
          </w:tcPr>
          <w:p w14:paraId="19D68B29" w14:textId="615D1180" w:rsidR="00215ACE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b/>
                <w:bCs/>
                <w:lang w:val="pl-PL"/>
              </w:rPr>
              <w:t>Katarzyna FORMELA</w:t>
            </w:r>
            <w:r w:rsidRPr="00AD7E3D">
              <w:rPr>
                <w:rFonts w:eastAsia="Times New Roman"/>
                <w:lang w:val="pl-PL"/>
              </w:rPr>
              <w:br/>
              <w:t>1966</w:t>
            </w:r>
            <w:r w:rsidR="0035614D" w:rsidRPr="00AD7E3D">
              <w:rPr>
                <w:rFonts w:eastAsia="Times New Roman"/>
                <w:lang w:val="pl-PL"/>
              </w:rPr>
              <w:t> </w:t>
            </w:r>
            <w:r w:rsidR="00BE0193" w:rsidRPr="00AD7E3D">
              <w:rPr>
                <w:rFonts w:eastAsia="Times New Roman"/>
                <w:lang w:val="pl-PL"/>
              </w:rPr>
              <w:t>r.</w:t>
            </w:r>
            <w:r w:rsidRPr="00AD7E3D">
              <w:rPr>
                <w:rFonts w:eastAsia="Times New Roman"/>
                <w:lang w:val="pl-PL"/>
              </w:rPr>
              <w:br/>
              <w:t>Gdańsk</w:t>
            </w:r>
            <w:r w:rsidRPr="00AD7E3D">
              <w:rPr>
                <w:rFonts w:eastAsia="Times New Roman"/>
                <w:lang w:val="pl-PL"/>
              </w:rPr>
              <w:br/>
              <w:t>polskie</w:t>
            </w:r>
          </w:p>
        </w:tc>
        <w:tc>
          <w:tcPr>
            <w:tcW w:w="2410" w:type="dxa"/>
            <w:vMerge w:val="restart"/>
          </w:tcPr>
          <w:p w14:paraId="56A57351" w14:textId="77777777" w:rsidR="00215ACE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Marcin GÓRSKI</w:t>
            </w:r>
          </w:p>
          <w:p w14:paraId="2445D8F2" w14:textId="77777777" w:rsidR="00215ACE" w:rsidRPr="00AD7E3D" w:rsidRDefault="00215ACE" w:rsidP="009B24DE">
            <w:pPr>
              <w:rPr>
                <w:rFonts w:eastAsia="Times New Roman"/>
                <w:b/>
                <w:bCs/>
                <w:lang w:val="pl-PL"/>
              </w:rPr>
            </w:pPr>
          </w:p>
        </w:tc>
      </w:tr>
      <w:tr w:rsidR="00FC4E04" w:rsidRPr="00AD7E3D" w14:paraId="33DD272C" w14:textId="77777777" w:rsidTr="005E555B">
        <w:tc>
          <w:tcPr>
            <w:tcW w:w="709" w:type="dxa"/>
            <w:hideMark/>
          </w:tcPr>
          <w:p w14:paraId="79280416" w14:textId="77777777" w:rsidR="00215ACE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4.</w:t>
            </w:r>
          </w:p>
        </w:tc>
        <w:tc>
          <w:tcPr>
            <w:tcW w:w="1418" w:type="dxa"/>
            <w:hideMark/>
          </w:tcPr>
          <w:p w14:paraId="0F31A8E5" w14:textId="77777777" w:rsidR="00215ACE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55321/18</w:t>
            </w:r>
          </w:p>
        </w:tc>
        <w:tc>
          <w:tcPr>
            <w:tcW w:w="1276" w:type="dxa"/>
            <w:hideMark/>
          </w:tcPr>
          <w:p w14:paraId="7F29180D" w14:textId="77777777" w:rsidR="00215ACE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Formela przeciwko Polsce</w:t>
            </w:r>
          </w:p>
        </w:tc>
        <w:tc>
          <w:tcPr>
            <w:tcW w:w="1559" w:type="dxa"/>
            <w:hideMark/>
          </w:tcPr>
          <w:p w14:paraId="668CBA22" w14:textId="345F55C0" w:rsidR="00215ACE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15.11.2018</w:t>
            </w:r>
            <w:r w:rsidR="0035614D" w:rsidRPr="00AD7E3D">
              <w:rPr>
                <w:rFonts w:eastAsia="Times New Roman"/>
                <w:lang w:val="pl-PL"/>
              </w:rPr>
              <w:t> </w:t>
            </w:r>
            <w:r w:rsidR="00BE0193" w:rsidRPr="00AD7E3D">
              <w:rPr>
                <w:rFonts w:eastAsia="Times New Roman"/>
                <w:lang w:val="pl-PL"/>
              </w:rPr>
              <w:t>r.</w:t>
            </w:r>
          </w:p>
        </w:tc>
        <w:tc>
          <w:tcPr>
            <w:tcW w:w="1984" w:type="dxa"/>
            <w:hideMark/>
          </w:tcPr>
          <w:p w14:paraId="3FCD9DAB" w14:textId="57CCD3EA" w:rsidR="00215ACE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b/>
                <w:bCs/>
                <w:lang w:val="pl-PL"/>
              </w:rPr>
              <w:t>Sylwia FORMELA</w:t>
            </w:r>
            <w:r w:rsidRPr="00AD7E3D">
              <w:rPr>
                <w:rFonts w:eastAsia="Times New Roman"/>
                <w:lang w:val="pl-PL"/>
              </w:rPr>
              <w:br/>
              <w:t>1974</w:t>
            </w:r>
            <w:r w:rsidR="0035614D" w:rsidRPr="00AD7E3D">
              <w:rPr>
                <w:rFonts w:eastAsia="Times New Roman"/>
                <w:lang w:val="pl-PL"/>
              </w:rPr>
              <w:t> r.</w:t>
            </w:r>
            <w:r w:rsidRPr="00AD7E3D">
              <w:rPr>
                <w:rFonts w:eastAsia="Times New Roman"/>
                <w:lang w:val="pl-PL"/>
              </w:rPr>
              <w:br/>
              <w:t>Gdańsk</w:t>
            </w:r>
            <w:r w:rsidRPr="00AD7E3D">
              <w:rPr>
                <w:rFonts w:eastAsia="Times New Roman"/>
                <w:lang w:val="pl-PL"/>
              </w:rPr>
              <w:br/>
              <w:t>polskie</w:t>
            </w:r>
          </w:p>
        </w:tc>
        <w:tc>
          <w:tcPr>
            <w:tcW w:w="2410" w:type="dxa"/>
            <w:vMerge/>
          </w:tcPr>
          <w:p w14:paraId="4E267180" w14:textId="77777777" w:rsidR="00215ACE" w:rsidRPr="00AD7E3D" w:rsidRDefault="00215ACE" w:rsidP="009B24DE">
            <w:pPr>
              <w:rPr>
                <w:rFonts w:eastAsia="Times New Roman"/>
                <w:b/>
                <w:bCs/>
                <w:lang w:val="pl-PL"/>
              </w:rPr>
            </w:pPr>
          </w:p>
        </w:tc>
      </w:tr>
      <w:tr w:rsidR="00FC4E04" w:rsidRPr="00AD7E3D" w14:paraId="3E542AA6" w14:textId="77777777" w:rsidTr="005E555B">
        <w:tc>
          <w:tcPr>
            <w:tcW w:w="709" w:type="dxa"/>
            <w:hideMark/>
          </w:tcPr>
          <w:p w14:paraId="46349D7F" w14:textId="77777777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5.</w:t>
            </w:r>
          </w:p>
        </w:tc>
        <w:tc>
          <w:tcPr>
            <w:tcW w:w="1418" w:type="dxa"/>
            <w:hideMark/>
          </w:tcPr>
          <w:p w14:paraId="6B8AFB28" w14:textId="77777777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45301/19</w:t>
            </w:r>
          </w:p>
        </w:tc>
        <w:tc>
          <w:tcPr>
            <w:tcW w:w="1276" w:type="dxa"/>
            <w:hideMark/>
          </w:tcPr>
          <w:p w14:paraId="4DD22E8F" w14:textId="77777777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Handzlik-Rosuł i Rosuł przeciwko Polsce</w:t>
            </w:r>
          </w:p>
        </w:tc>
        <w:tc>
          <w:tcPr>
            <w:tcW w:w="1559" w:type="dxa"/>
            <w:hideMark/>
          </w:tcPr>
          <w:p w14:paraId="1350F5B3" w14:textId="5E4850B6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t>16.08.2019</w:t>
            </w:r>
            <w:r w:rsidR="0035614D" w:rsidRPr="00AD7E3D">
              <w:rPr>
                <w:rFonts w:eastAsia="Times New Roman"/>
                <w:lang w:val="pl-PL"/>
              </w:rPr>
              <w:t> r.</w:t>
            </w:r>
          </w:p>
        </w:tc>
        <w:tc>
          <w:tcPr>
            <w:tcW w:w="1984" w:type="dxa"/>
            <w:hideMark/>
          </w:tcPr>
          <w:p w14:paraId="23EE8E06" w14:textId="4A88F1F0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b/>
                <w:bCs/>
                <w:lang w:val="pl-PL"/>
              </w:rPr>
              <w:t>Marta Agnieszka HANDZLIK-ROSUŁ</w:t>
            </w:r>
            <w:r w:rsidRPr="00AD7E3D">
              <w:rPr>
                <w:rFonts w:eastAsia="Times New Roman"/>
                <w:lang w:val="pl-PL"/>
              </w:rPr>
              <w:br/>
              <w:t>1981</w:t>
            </w:r>
            <w:r w:rsidR="0035614D" w:rsidRPr="00AD7E3D">
              <w:rPr>
                <w:rFonts w:eastAsia="Times New Roman"/>
                <w:lang w:val="pl-PL"/>
              </w:rPr>
              <w:t> r.</w:t>
            </w:r>
            <w:r w:rsidRPr="00AD7E3D">
              <w:rPr>
                <w:rFonts w:eastAsia="Times New Roman"/>
                <w:lang w:val="pl-PL"/>
              </w:rPr>
              <w:br/>
              <w:t>Gdańsk</w:t>
            </w:r>
            <w:r w:rsidRPr="00AD7E3D">
              <w:rPr>
                <w:rFonts w:eastAsia="Times New Roman"/>
                <w:lang w:val="pl-PL"/>
              </w:rPr>
              <w:br/>
              <w:t>polskie</w:t>
            </w:r>
            <w:r w:rsidRPr="00AD7E3D">
              <w:rPr>
                <w:rFonts w:eastAsia="Times New Roman"/>
                <w:lang w:val="pl-PL"/>
              </w:rPr>
              <w:br/>
            </w:r>
            <w:r w:rsidRPr="00AD7E3D">
              <w:rPr>
                <w:rFonts w:eastAsia="Times New Roman"/>
                <w:b/>
                <w:bCs/>
                <w:lang w:val="pl-PL"/>
              </w:rPr>
              <w:t>Anna Katarzyna ROSUŁ</w:t>
            </w:r>
            <w:r w:rsidRPr="00AD7E3D">
              <w:rPr>
                <w:rFonts w:eastAsia="Times New Roman"/>
                <w:lang w:val="pl-PL"/>
              </w:rPr>
              <w:br/>
              <w:t>1981</w:t>
            </w:r>
            <w:r w:rsidR="0035614D" w:rsidRPr="00AD7E3D">
              <w:rPr>
                <w:rFonts w:eastAsia="Times New Roman"/>
                <w:lang w:val="pl-PL"/>
              </w:rPr>
              <w:t> r.</w:t>
            </w:r>
            <w:r w:rsidRPr="00AD7E3D">
              <w:rPr>
                <w:rFonts w:eastAsia="Times New Roman"/>
                <w:lang w:val="pl-PL"/>
              </w:rPr>
              <w:br/>
            </w:r>
            <w:r w:rsidRPr="00AD7E3D">
              <w:rPr>
                <w:rFonts w:eastAsia="Times New Roman"/>
                <w:lang w:val="pl-PL"/>
              </w:rPr>
              <w:lastRenderedPageBreak/>
              <w:t>Gdańsk</w:t>
            </w:r>
            <w:r w:rsidRPr="00AD7E3D">
              <w:rPr>
                <w:rFonts w:eastAsia="Times New Roman"/>
                <w:lang w:val="pl-PL"/>
              </w:rPr>
              <w:br/>
              <w:t>polskie</w:t>
            </w:r>
          </w:p>
        </w:tc>
        <w:tc>
          <w:tcPr>
            <w:tcW w:w="2410" w:type="dxa"/>
          </w:tcPr>
          <w:p w14:paraId="11CB4649" w14:textId="77777777" w:rsidR="00F66354" w:rsidRPr="00AD7E3D" w:rsidRDefault="00CA0E9C" w:rsidP="009B24DE">
            <w:pPr>
              <w:rPr>
                <w:rFonts w:eastAsia="Times New Roman"/>
                <w:lang w:val="pl-PL"/>
              </w:rPr>
            </w:pPr>
            <w:r w:rsidRPr="00AD7E3D">
              <w:rPr>
                <w:rFonts w:eastAsia="Times New Roman"/>
                <w:lang w:val="pl-PL"/>
              </w:rPr>
              <w:lastRenderedPageBreak/>
              <w:t>Katarzyna WARECKA</w:t>
            </w:r>
          </w:p>
        </w:tc>
      </w:tr>
    </w:tbl>
    <w:p w14:paraId="3DF4EAC3" w14:textId="77777777" w:rsidR="00F66354" w:rsidRPr="00AD7E3D" w:rsidRDefault="00F66354" w:rsidP="009B24DE">
      <w:pPr>
        <w:rPr>
          <w:highlight w:val="yellow"/>
          <w:lang w:val="pl-PL"/>
        </w:rPr>
      </w:pPr>
    </w:p>
    <w:sectPr w:rsidR="00F66354" w:rsidRPr="00AD7E3D" w:rsidSect="00634C84">
      <w:headerReference w:type="even" r:id="rId14"/>
      <w:headerReference w:type="default" r:id="rId15"/>
      <w:footerReference w:type="even" r:id="rId16"/>
      <w:footerReference w:type="default" r:id="rId17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08EB44" w14:textId="77777777" w:rsidR="000B0DE2" w:rsidRDefault="000B0DE2">
      <w:r>
        <w:separator/>
      </w:r>
    </w:p>
  </w:endnote>
  <w:endnote w:type="continuationSeparator" w:id="0">
    <w:p w14:paraId="7D1ABD9A" w14:textId="77777777" w:rsidR="000B0DE2" w:rsidRDefault="000B0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722E1" w14:textId="77777777" w:rsidR="001E7256" w:rsidRDefault="001E72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816E1" w14:textId="77777777" w:rsidR="00B57FDF" w:rsidRPr="00150BFA" w:rsidRDefault="00CA0E9C" w:rsidP="0020718E">
    <w:pPr>
      <w:jc w:val="center"/>
    </w:pPr>
    <w:r>
      <w:rPr>
        <w:noProof/>
        <w:lang w:val="pl"/>
      </w:rPr>
      <w:drawing>
        <wp:inline distT="0" distB="0" distL="0" distR="0" wp14:anchorId="67D112D5" wp14:editId="5ACC5489">
          <wp:extent cx="771525" cy="619125"/>
          <wp:effectExtent l="0" t="0" r="9525" b="9525"/>
          <wp:docPr id="46" name="Picture 4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629ABF" w14:textId="77777777" w:rsidR="0098410D" w:rsidRPr="00B57FDF" w:rsidRDefault="0098410D" w:rsidP="00AF12C5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88214" w14:textId="77777777" w:rsidR="00B57FDF" w:rsidRPr="00150BFA" w:rsidRDefault="00CA0E9C" w:rsidP="0020718E">
    <w:pPr>
      <w:jc w:val="center"/>
    </w:pPr>
    <w:r>
      <w:rPr>
        <w:noProof/>
        <w:lang w:val="pl"/>
      </w:rPr>
      <w:drawing>
        <wp:inline distT="0" distB="0" distL="0" distR="0" wp14:anchorId="0F60C618" wp14:editId="0E9C3E9E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1324B6" w14:textId="77777777" w:rsidR="009E7A6F" w:rsidRPr="00B57FDF" w:rsidRDefault="009E7A6F" w:rsidP="009E7A6F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6975D" w14:textId="77777777" w:rsidR="00182EBA" w:rsidRDefault="00CA0E9C" w:rsidP="009A115C">
    <w:pPr>
      <w:pStyle w:val="JuHeader"/>
    </w:pPr>
    <w:r>
      <w:rPr>
        <w:lang w:val="pl"/>
      </w:rPr>
      <w:fldChar w:fldCharType="begin"/>
    </w:r>
    <w:r>
      <w:rPr>
        <w:lang w:val="pl"/>
      </w:rPr>
      <w:instrText xml:space="preserve"> PAGE  \* MERGEFORMAT </w:instrText>
    </w:r>
    <w:r>
      <w:rPr>
        <w:lang w:val="pl"/>
      </w:rPr>
      <w:fldChar w:fldCharType="separate"/>
    </w:r>
    <w:r>
      <w:rPr>
        <w:noProof/>
        <w:lang w:val="pl"/>
      </w:rPr>
      <w:t>1</w:t>
    </w:r>
    <w:r>
      <w:rPr>
        <w:lang w:val="pl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69CE5" w14:textId="77777777" w:rsidR="00D41628" w:rsidRDefault="00CA0E9C" w:rsidP="00D41628">
    <w:pPr>
      <w:pStyle w:val="JuHeader"/>
    </w:pPr>
    <w:r>
      <w:rPr>
        <w:lang w:val="pl"/>
      </w:rPr>
      <w:fldChar w:fldCharType="begin"/>
    </w:r>
    <w:r>
      <w:rPr>
        <w:lang w:val="pl"/>
      </w:rPr>
      <w:instrText xml:space="preserve"> PAGE  \* MERGEFORMAT </w:instrText>
    </w:r>
    <w:r>
      <w:rPr>
        <w:lang w:val="pl"/>
      </w:rPr>
      <w:fldChar w:fldCharType="separate"/>
    </w:r>
    <w:r>
      <w:rPr>
        <w:lang w:val="pl"/>
      </w:rPr>
      <w:t>8</w:t>
    </w:r>
    <w:r>
      <w:rPr>
        <w:lang w:val="pl"/>
      </w:rPr>
      <w:fldChar w:fldCharType="end"/>
    </w:r>
  </w:p>
  <w:p w14:paraId="1DBDDD1A" w14:textId="77777777" w:rsidR="00182EBA" w:rsidRPr="00634C84" w:rsidRDefault="00182EBA" w:rsidP="00634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1FE9D2" w14:textId="77777777" w:rsidR="000B0DE2" w:rsidRDefault="000B0DE2">
      <w:r>
        <w:separator/>
      </w:r>
    </w:p>
  </w:footnote>
  <w:footnote w:type="continuationSeparator" w:id="0">
    <w:p w14:paraId="3A89F1BA" w14:textId="77777777" w:rsidR="000B0DE2" w:rsidRDefault="000B0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71ECB" w14:textId="77777777" w:rsidR="001E7256" w:rsidRDefault="001E72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96EF9" w14:textId="77777777" w:rsidR="00B57FDF" w:rsidRPr="00A45145" w:rsidRDefault="00CA0E9C" w:rsidP="00A45145">
    <w:pPr>
      <w:jc w:val="center"/>
    </w:pPr>
    <w:r>
      <w:rPr>
        <w:noProof/>
        <w:lang w:val="pl"/>
      </w:rPr>
      <w:drawing>
        <wp:inline distT="0" distB="0" distL="0" distR="0" wp14:anchorId="619E0F2E" wp14:editId="07B9391F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F308C5" w14:textId="77777777" w:rsidR="0098410D" w:rsidRPr="00B57FDF" w:rsidRDefault="0098410D" w:rsidP="00B1479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F2DCA" w14:textId="77777777" w:rsidR="00B57FDF" w:rsidRPr="00A45145" w:rsidRDefault="00CA0E9C" w:rsidP="00A45145">
    <w:pPr>
      <w:jc w:val="center"/>
    </w:pPr>
    <w:r>
      <w:rPr>
        <w:noProof/>
        <w:lang w:val="pl"/>
      </w:rPr>
      <w:drawing>
        <wp:inline distT="0" distB="0" distL="0" distR="0" wp14:anchorId="6BD3FFD5" wp14:editId="3F0A7614">
          <wp:extent cx="2962275" cy="1219200"/>
          <wp:effectExtent l="0" t="0" r="9525" b="0"/>
          <wp:docPr id="40" name="Picture 4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AC57B5" w14:textId="77777777" w:rsidR="0098410D" w:rsidRPr="00B57FDF" w:rsidRDefault="0098410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77032" w14:textId="77777777" w:rsidR="00182EBA" w:rsidRPr="007E28D3" w:rsidRDefault="00CA0E9C" w:rsidP="004D0EC7">
    <w:pPr>
      <w:pStyle w:val="JuHeader"/>
      <w:rPr>
        <w:lang w:val="pl-PL"/>
      </w:rPr>
    </w:pPr>
    <w:r>
      <w:rPr>
        <w:lang w:val="pl"/>
      </w:rPr>
      <w:t>WYROK W SPRAWIE FORMELA I INNI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B82C1" w14:textId="77777777" w:rsidR="00182EBA" w:rsidRPr="007E28D3" w:rsidRDefault="00CA0E9C" w:rsidP="007D3701">
    <w:pPr>
      <w:pStyle w:val="JuHeader"/>
      <w:rPr>
        <w:lang w:val="pl-PL"/>
      </w:rPr>
    </w:pPr>
    <w:r>
      <w:rPr>
        <w:lang w:val="pl"/>
      </w:rPr>
      <w:t>WYROK W SPRAWIE FORMELA I INNI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67EC23F0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21E6CF1A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AC0CF0DC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E09EB0DC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943435EE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436621FA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ECC6FA0A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E3E0944E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E7508E1A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973366824">
    <w:abstractNumId w:val="14"/>
  </w:num>
  <w:num w:numId="2" w16cid:durableId="1432971749">
    <w:abstractNumId w:val="12"/>
  </w:num>
  <w:num w:numId="3" w16cid:durableId="781728020">
    <w:abstractNumId w:val="11"/>
  </w:num>
  <w:num w:numId="4" w16cid:durableId="1534272810">
    <w:abstractNumId w:val="15"/>
  </w:num>
  <w:num w:numId="5" w16cid:durableId="799228243">
    <w:abstractNumId w:val="13"/>
  </w:num>
  <w:num w:numId="6" w16cid:durableId="898367513">
    <w:abstractNumId w:val="16"/>
  </w:num>
  <w:num w:numId="7" w16cid:durableId="1669357479">
    <w:abstractNumId w:val="17"/>
  </w:num>
  <w:num w:numId="8" w16cid:durableId="2086028003">
    <w:abstractNumId w:val="7"/>
  </w:num>
  <w:num w:numId="9" w16cid:durableId="908804894">
    <w:abstractNumId w:val="6"/>
  </w:num>
  <w:num w:numId="10" w16cid:durableId="1653294246">
    <w:abstractNumId w:val="5"/>
  </w:num>
  <w:num w:numId="11" w16cid:durableId="177012907">
    <w:abstractNumId w:val="4"/>
  </w:num>
  <w:num w:numId="12" w16cid:durableId="334039293">
    <w:abstractNumId w:val="8"/>
  </w:num>
  <w:num w:numId="13" w16cid:durableId="259610770">
    <w:abstractNumId w:val="3"/>
  </w:num>
  <w:num w:numId="14" w16cid:durableId="92552746">
    <w:abstractNumId w:val="2"/>
  </w:num>
  <w:num w:numId="15" w16cid:durableId="1888834397">
    <w:abstractNumId w:val="1"/>
  </w:num>
  <w:num w:numId="16" w16cid:durableId="684408627">
    <w:abstractNumId w:val="0"/>
  </w:num>
  <w:num w:numId="17" w16cid:durableId="1374966816">
    <w:abstractNumId w:val="15"/>
  </w:num>
  <w:num w:numId="18" w16cid:durableId="1160852304">
    <w:abstractNumId w:val="16"/>
  </w:num>
  <w:num w:numId="19" w16cid:durableId="128742985">
    <w:abstractNumId w:val="10"/>
  </w:num>
  <w:num w:numId="20" w16cid:durableId="1230963119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3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Application" w:val="2"/>
    <w:docVar w:name="NBEMMDOC" w:val="0"/>
    <w:docVar w:name="P3" w:val="P3"/>
    <w:docVar w:name="Plural" w:val="3"/>
    <w:docVar w:name="SignForeName" w:val="0"/>
    <w:docVar w:name="SndCaseNumber" w:val="Error!Nodocumentvariablesupplied."/>
  </w:docVars>
  <w:rsids>
    <w:rsidRoot w:val="00B57FDF"/>
    <w:rsid w:val="00001742"/>
    <w:rsid w:val="00004104"/>
    <w:rsid w:val="000041F8"/>
    <w:rsid w:val="000042A8"/>
    <w:rsid w:val="00004308"/>
    <w:rsid w:val="00005BF0"/>
    <w:rsid w:val="0000604E"/>
    <w:rsid w:val="0000617D"/>
    <w:rsid w:val="00007154"/>
    <w:rsid w:val="000103AE"/>
    <w:rsid w:val="00011D69"/>
    <w:rsid w:val="00012AD3"/>
    <w:rsid w:val="00015C2D"/>
    <w:rsid w:val="00015F00"/>
    <w:rsid w:val="00022C1D"/>
    <w:rsid w:val="0002592F"/>
    <w:rsid w:val="00031428"/>
    <w:rsid w:val="00034987"/>
    <w:rsid w:val="00041560"/>
    <w:rsid w:val="00052489"/>
    <w:rsid w:val="000546DC"/>
    <w:rsid w:val="000602DF"/>
    <w:rsid w:val="00061B05"/>
    <w:rsid w:val="000632D5"/>
    <w:rsid w:val="000644EE"/>
    <w:rsid w:val="00065AEA"/>
    <w:rsid w:val="000712E3"/>
    <w:rsid w:val="00071C5E"/>
    <w:rsid w:val="0007780A"/>
    <w:rsid w:val="00085457"/>
    <w:rsid w:val="000925AD"/>
    <w:rsid w:val="00096FE1"/>
    <w:rsid w:val="00097A62"/>
    <w:rsid w:val="000A0CB1"/>
    <w:rsid w:val="000A24EB"/>
    <w:rsid w:val="000B0DE2"/>
    <w:rsid w:val="000B686A"/>
    <w:rsid w:val="000B6923"/>
    <w:rsid w:val="000B7195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7D45"/>
    <w:rsid w:val="000F52F4"/>
    <w:rsid w:val="000F7851"/>
    <w:rsid w:val="0010029F"/>
    <w:rsid w:val="00100998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706"/>
    <w:rsid w:val="00137FF6"/>
    <w:rsid w:val="00141650"/>
    <w:rsid w:val="0014681D"/>
    <w:rsid w:val="00150BFA"/>
    <w:rsid w:val="001561B6"/>
    <w:rsid w:val="00162A12"/>
    <w:rsid w:val="00166530"/>
    <w:rsid w:val="00170027"/>
    <w:rsid w:val="00176375"/>
    <w:rsid w:val="00182EBA"/>
    <w:rsid w:val="001832BD"/>
    <w:rsid w:val="001943B5"/>
    <w:rsid w:val="00195134"/>
    <w:rsid w:val="001A020C"/>
    <w:rsid w:val="001A145B"/>
    <w:rsid w:val="001A3E09"/>
    <w:rsid w:val="001A674C"/>
    <w:rsid w:val="001B3B24"/>
    <w:rsid w:val="001C055B"/>
    <w:rsid w:val="001C0F98"/>
    <w:rsid w:val="001C2A42"/>
    <w:rsid w:val="001C583C"/>
    <w:rsid w:val="001C6AB9"/>
    <w:rsid w:val="001D4CF7"/>
    <w:rsid w:val="001D63ED"/>
    <w:rsid w:val="001D7348"/>
    <w:rsid w:val="001E035B"/>
    <w:rsid w:val="001E0961"/>
    <w:rsid w:val="001E0ECF"/>
    <w:rsid w:val="001E3EAE"/>
    <w:rsid w:val="001E6857"/>
    <w:rsid w:val="001E6F32"/>
    <w:rsid w:val="001E7256"/>
    <w:rsid w:val="001F2145"/>
    <w:rsid w:val="001F6262"/>
    <w:rsid w:val="001F67B0"/>
    <w:rsid w:val="001F7B3D"/>
    <w:rsid w:val="00202752"/>
    <w:rsid w:val="0020335A"/>
    <w:rsid w:val="002052BC"/>
    <w:rsid w:val="00205F9F"/>
    <w:rsid w:val="0020718E"/>
    <w:rsid w:val="00210338"/>
    <w:rsid w:val="002115FC"/>
    <w:rsid w:val="0021423C"/>
    <w:rsid w:val="00215ACE"/>
    <w:rsid w:val="00217542"/>
    <w:rsid w:val="00226C89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357B"/>
    <w:rsid w:val="00244B0E"/>
    <w:rsid w:val="00244F6C"/>
    <w:rsid w:val="00246B89"/>
    <w:rsid w:val="00252C4E"/>
    <w:rsid w:val="002532C5"/>
    <w:rsid w:val="00254DF2"/>
    <w:rsid w:val="002573DC"/>
    <w:rsid w:val="00260C03"/>
    <w:rsid w:val="0026439A"/>
    <w:rsid w:val="0026540E"/>
    <w:rsid w:val="00275123"/>
    <w:rsid w:val="00281B7C"/>
    <w:rsid w:val="00282240"/>
    <w:rsid w:val="00282BD8"/>
    <w:rsid w:val="00287AD5"/>
    <w:rsid w:val="002934D0"/>
    <w:rsid w:val="00293676"/>
    <w:rsid w:val="00293BD9"/>
    <w:rsid w:val="002948AD"/>
    <w:rsid w:val="002A01CC"/>
    <w:rsid w:val="002A55CE"/>
    <w:rsid w:val="002A613A"/>
    <w:rsid w:val="002A61B1"/>
    <w:rsid w:val="002A663C"/>
    <w:rsid w:val="002B444B"/>
    <w:rsid w:val="002B5887"/>
    <w:rsid w:val="002B5B43"/>
    <w:rsid w:val="002C0E27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37EE4"/>
    <w:rsid w:val="00340FFD"/>
    <w:rsid w:val="00345C41"/>
    <w:rsid w:val="003506B1"/>
    <w:rsid w:val="00355877"/>
    <w:rsid w:val="0035614D"/>
    <w:rsid w:val="00356AC7"/>
    <w:rsid w:val="003609FA"/>
    <w:rsid w:val="00366013"/>
    <w:rsid w:val="00370D91"/>
    <w:rsid w:val="003710C8"/>
    <w:rsid w:val="003750BE"/>
    <w:rsid w:val="00385A36"/>
    <w:rsid w:val="00385F3D"/>
    <w:rsid w:val="0038740C"/>
    <w:rsid w:val="00387B9D"/>
    <w:rsid w:val="00387C70"/>
    <w:rsid w:val="00390294"/>
    <w:rsid w:val="0039364F"/>
    <w:rsid w:val="00395947"/>
    <w:rsid w:val="00396686"/>
    <w:rsid w:val="0039778E"/>
    <w:rsid w:val="003B4941"/>
    <w:rsid w:val="003C5714"/>
    <w:rsid w:val="003C6B9F"/>
    <w:rsid w:val="003C6E2A"/>
    <w:rsid w:val="003D0299"/>
    <w:rsid w:val="003E6D80"/>
    <w:rsid w:val="003E7BCC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16F59"/>
    <w:rsid w:val="00417618"/>
    <w:rsid w:val="00420703"/>
    <w:rsid w:val="00425C67"/>
    <w:rsid w:val="00427E7A"/>
    <w:rsid w:val="004355AC"/>
    <w:rsid w:val="00436C49"/>
    <w:rsid w:val="00443D98"/>
    <w:rsid w:val="00445366"/>
    <w:rsid w:val="00447F3C"/>
    <w:rsid w:val="00447F5B"/>
    <w:rsid w:val="00450851"/>
    <w:rsid w:val="0045493A"/>
    <w:rsid w:val="00461DB0"/>
    <w:rsid w:val="00463926"/>
    <w:rsid w:val="00464AB7"/>
    <w:rsid w:val="00464C9A"/>
    <w:rsid w:val="00474F3D"/>
    <w:rsid w:val="00477E3A"/>
    <w:rsid w:val="00483E5F"/>
    <w:rsid w:val="00485FF9"/>
    <w:rsid w:val="0049049B"/>
    <w:rsid w:val="004907F0"/>
    <w:rsid w:val="0049140B"/>
    <w:rsid w:val="004923A5"/>
    <w:rsid w:val="0049310E"/>
    <w:rsid w:val="0049455D"/>
    <w:rsid w:val="004950E2"/>
    <w:rsid w:val="00496BFB"/>
    <w:rsid w:val="004A15C7"/>
    <w:rsid w:val="004A3201"/>
    <w:rsid w:val="004A7044"/>
    <w:rsid w:val="004A7952"/>
    <w:rsid w:val="004B013B"/>
    <w:rsid w:val="004B112B"/>
    <w:rsid w:val="004B3C14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F10AF"/>
    <w:rsid w:val="004F11A4"/>
    <w:rsid w:val="004F2389"/>
    <w:rsid w:val="004F304D"/>
    <w:rsid w:val="004F4290"/>
    <w:rsid w:val="004F61BE"/>
    <w:rsid w:val="004F66B1"/>
    <w:rsid w:val="00505F69"/>
    <w:rsid w:val="00511C07"/>
    <w:rsid w:val="005125CB"/>
    <w:rsid w:val="00512EC4"/>
    <w:rsid w:val="00514F67"/>
    <w:rsid w:val="0051725A"/>
    <w:rsid w:val="005173A6"/>
    <w:rsid w:val="00517BB8"/>
    <w:rsid w:val="00520354"/>
    <w:rsid w:val="00520BAA"/>
    <w:rsid w:val="005217D8"/>
    <w:rsid w:val="00525208"/>
    <w:rsid w:val="005257A5"/>
    <w:rsid w:val="005264C0"/>
    <w:rsid w:val="00526A8A"/>
    <w:rsid w:val="0052728B"/>
    <w:rsid w:val="00527FB1"/>
    <w:rsid w:val="00530FE6"/>
    <w:rsid w:val="00531DF2"/>
    <w:rsid w:val="0053315C"/>
    <w:rsid w:val="00537476"/>
    <w:rsid w:val="005442EE"/>
    <w:rsid w:val="00544B37"/>
    <w:rsid w:val="00545DA6"/>
    <w:rsid w:val="00546AFC"/>
    <w:rsid w:val="00547353"/>
    <w:rsid w:val="005474E7"/>
    <w:rsid w:val="005512A3"/>
    <w:rsid w:val="00556F55"/>
    <w:rsid w:val="005578CE"/>
    <w:rsid w:val="00562781"/>
    <w:rsid w:val="00562B6C"/>
    <w:rsid w:val="00563CCA"/>
    <w:rsid w:val="0057271C"/>
    <w:rsid w:val="00572845"/>
    <w:rsid w:val="005879A2"/>
    <w:rsid w:val="00592772"/>
    <w:rsid w:val="00595185"/>
    <w:rsid w:val="0059574A"/>
    <w:rsid w:val="005A1B9B"/>
    <w:rsid w:val="005A2221"/>
    <w:rsid w:val="005A2E79"/>
    <w:rsid w:val="005A6751"/>
    <w:rsid w:val="005B092E"/>
    <w:rsid w:val="005B152C"/>
    <w:rsid w:val="005B1EE0"/>
    <w:rsid w:val="005B2B24"/>
    <w:rsid w:val="005B4425"/>
    <w:rsid w:val="005B4B94"/>
    <w:rsid w:val="005C2C03"/>
    <w:rsid w:val="005C2C62"/>
    <w:rsid w:val="005C3EE8"/>
    <w:rsid w:val="005D2F2A"/>
    <w:rsid w:val="005D34F9"/>
    <w:rsid w:val="005D4190"/>
    <w:rsid w:val="005D67A3"/>
    <w:rsid w:val="005E2988"/>
    <w:rsid w:val="005E3085"/>
    <w:rsid w:val="005E555B"/>
    <w:rsid w:val="005F0EB3"/>
    <w:rsid w:val="005F51E1"/>
    <w:rsid w:val="006026D5"/>
    <w:rsid w:val="00611C80"/>
    <w:rsid w:val="00615FD7"/>
    <w:rsid w:val="00617055"/>
    <w:rsid w:val="00620692"/>
    <w:rsid w:val="00621E97"/>
    <w:rsid w:val="006242CA"/>
    <w:rsid w:val="00627507"/>
    <w:rsid w:val="00633717"/>
    <w:rsid w:val="006344E1"/>
    <w:rsid w:val="00634C84"/>
    <w:rsid w:val="00643524"/>
    <w:rsid w:val="0064393B"/>
    <w:rsid w:val="00645CF2"/>
    <w:rsid w:val="006545C4"/>
    <w:rsid w:val="00661971"/>
    <w:rsid w:val="00661CE8"/>
    <w:rsid w:val="006623D9"/>
    <w:rsid w:val="006642A5"/>
    <w:rsid w:val="0066550C"/>
    <w:rsid w:val="00665BD2"/>
    <w:rsid w:val="006716F2"/>
    <w:rsid w:val="00675AF2"/>
    <w:rsid w:val="00680A62"/>
    <w:rsid w:val="00682BF2"/>
    <w:rsid w:val="0068573E"/>
    <w:rsid w:val="006859CE"/>
    <w:rsid w:val="00691270"/>
    <w:rsid w:val="00694BA8"/>
    <w:rsid w:val="006A037C"/>
    <w:rsid w:val="006A0C84"/>
    <w:rsid w:val="006A36F4"/>
    <w:rsid w:val="006A406F"/>
    <w:rsid w:val="006A4E97"/>
    <w:rsid w:val="006A5D3A"/>
    <w:rsid w:val="006B1942"/>
    <w:rsid w:val="006C23D4"/>
    <w:rsid w:val="006C7BB0"/>
    <w:rsid w:val="006D3237"/>
    <w:rsid w:val="006E2E37"/>
    <w:rsid w:val="006E3CF1"/>
    <w:rsid w:val="006E68A3"/>
    <w:rsid w:val="006E7E80"/>
    <w:rsid w:val="006F18E6"/>
    <w:rsid w:val="006F1C2D"/>
    <w:rsid w:val="006F2105"/>
    <w:rsid w:val="006F48CA"/>
    <w:rsid w:val="006F64DD"/>
    <w:rsid w:val="006F712D"/>
    <w:rsid w:val="0071258F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750E"/>
    <w:rsid w:val="00747FF0"/>
    <w:rsid w:val="00751066"/>
    <w:rsid w:val="0075566E"/>
    <w:rsid w:val="00763602"/>
    <w:rsid w:val="00764D4E"/>
    <w:rsid w:val="0076594E"/>
    <w:rsid w:val="00765A1F"/>
    <w:rsid w:val="00775B6D"/>
    <w:rsid w:val="00776D68"/>
    <w:rsid w:val="00781140"/>
    <w:rsid w:val="0078323E"/>
    <w:rsid w:val="007849C2"/>
    <w:rsid w:val="007850EE"/>
    <w:rsid w:val="00785B95"/>
    <w:rsid w:val="00790E96"/>
    <w:rsid w:val="007926FD"/>
    <w:rsid w:val="00793366"/>
    <w:rsid w:val="0079666C"/>
    <w:rsid w:val="007A716F"/>
    <w:rsid w:val="007B270A"/>
    <w:rsid w:val="007B4182"/>
    <w:rsid w:val="007C0695"/>
    <w:rsid w:val="007C419A"/>
    <w:rsid w:val="007C4CC8"/>
    <w:rsid w:val="007C5426"/>
    <w:rsid w:val="007C5798"/>
    <w:rsid w:val="007D1ECD"/>
    <w:rsid w:val="007D3701"/>
    <w:rsid w:val="007D4832"/>
    <w:rsid w:val="007E21B2"/>
    <w:rsid w:val="007E28D3"/>
    <w:rsid w:val="007E2C4E"/>
    <w:rsid w:val="007E2C8C"/>
    <w:rsid w:val="007E51BA"/>
    <w:rsid w:val="007E73D7"/>
    <w:rsid w:val="007E79A4"/>
    <w:rsid w:val="007E7D4B"/>
    <w:rsid w:val="007F1905"/>
    <w:rsid w:val="007F27E4"/>
    <w:rsid w:val="007F3437"/>
    <w:rsid w:val="007F3B61"/>
    <w:rsid w:val="00802C64"/>
    <w:rsid w:val="00805AC6"/>
    <w:rsid w:val="00805E52"/>
    <w:rsid w:val="008061D0"/>
    <w:rsid w:val="00810B38"/>
    <w:rsid w:val="0081496B"/>
    <w:rsid w:val="008204C7"/>
    <w:rsid w:val="00820992"/>
    <w:rsid w:val="00823602"/>
    <w:rsid w:val="008255F5"/>
    <w:rsid w:val="00826890"/>
    <w:rsid w:val="0083014E"/>
    <w:rsid w:val="00830E50"/>
    <w:rsid w:val="0083214A"/>
    <w:rsid w:val="00834220"/>
    <w:rsid w:val="0083719E"/>
    <w:rsid w:val="00844AE5"/>
    <w:rsid w:val="00845723"/>
    <w:rsid w:val="008519E7"/>
    <w:rsid w:val="00851EF9"/>
    <w:rsid w:val="008577FD"/>
    <w:rsid w:val="00860B03"/>
    <w:rsid w:val="0086497A"/>
    <w:rsid w:val="0086538E"/>
    <w:rsid w:val="00867066"/>
    <w:rsid w:val="008674BB"/>
    <w:rsid w:val="008713A1"/>
    <w:rsid w:val="00872584"/>
    <w:rsid w:val="00873027"/>
    <w:rsid w:val="00875291"/>
    <w:rsid w:val="008754AB"/>
    <w:rsid w:val="0088060C"/>
    <w:rsid w:val="00882CD5"/>
    <w:rsid w:val="00883151"/>
    <w:rsid w:val="00893576"/>
    <w:rsid w:val="0089368B"/>
    <w:rsid w:val="00893E73"/>
    <w:rsid w:val="008B02DC"/>
    <w:rsid w:val="008B092C"/>
    <w:rsid w:val="008B57CE"/>
    <w:rsid w:val="008C26DE"/>
    <w:rsid w:val="008D10AD"/>
    <w:rsid w:val="008D1668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46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5C1F"/>
    <w:rsid w:val="009066FC"/>
    <w:rsid w:val="009140A3"/>
    <w:rsid w:val="009144A2"/>
    <w:rsid w:val="009150D8"/>
    <w:rsid w:val="0091510C"/>
    <w:rsid w:val="009259AC"/>
    <w:rsid w:val="00926F38"/>
    <w:rsid w:val="00927BEB"/>
    <w:rsid w:val="009333DC"/>
    <w:rsid w:val="00934301"/>
    <w:rsid w:val="00936CD1"/>
    <w:rsid w:val="0094131C"/>
    <w:rsid w:val="00941747"/>
    <w:rsid w:val="00941EFB"/>
    <w:rsid w:val="00947512"/>
    <w:rsid w:val="00947AFB"/>
    <w:rsid w:val="0095035A"/>
    <w:rsid w:val="00951AA3"/>
    <w:rsid w:val="00951D7D"/>
    <w:rsid w:val="00956D0C"/>
    <w:rsid w:val="009630C7"/>
    <w:rsid w:val="009721F6"/>
    <w:rsid w:val="00972B55"/>
    <w:rsid w:val="009743B7"/>
    <w:rsid w:val="009758E3"/>
    <w:rsid w:val="0098228B"/>
    <w:rsid w:val="009828DA"/>
    <w:rsid w:val="0098410D"/>
    <w:rsid w:val="00985BAB"/>
    <w:rsid w:val="00986B3C"/>
    <w:rsid w:val="00996996"/>
    <w:rsid w:val="009A00D9"/>
    <w:rsid w:val="009A115C"/>
    <w:rsid w:val="009A7FC1"/>
    <w:rsid w:val="009B1606"/>
    <w:rsid w:val="009B1B5F"/>
    <w:rsid w:val="009B24DE"/>
    <w:rsid w:val="009B547C"/>
    <w:rsid w:val="009B6673"/>
    <w:rsid w:val="009C191B"/>
    <w:rsid w:val="009C2BD6"/>
    <w:rsid w:val="009C508A"/>
    <w:rsid w:val="009D57AA"/>
    <w:rsid w:val="009E1F32"/>
    <w:rsid w:val="009E2CC2"/>
    <w:rsid w:val="009E3CA3"/>
    <w:rsid w:val="009E47A2"/>
    <w:rsid w:val="009E776C"/>
    <w:rsid w:val="009E7A6F"/>
    <w:rsid w:val="009F2E41"/>
    <w:rsid w:val="009F4C8F"/>
    <w:rsid w:val="00A02972"/>
    <w:rsid w:val="00A05588"/>
    <w:rsid w:val="00A15601"/>
    <w:rsid w:val="00A16C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45145"/>
    <w:rsid w:val="00A51D0F"/>
    <w:rsid w:val="00A54192"/>
    <w:rsid w:val="00A57147"/>
    <w:rsid w:val="00A6035E"/>
    <w:rsid w:val="00A6144C"/>
    <w:rsid w:val="00A63B0F"/>
    <w:rsid w:val="00A66617"/>
    <w:rsid w:val="00A667C8"/>
    <w:rsid w:val="00A671F8"/>
    <w:rsid w:val="00A673A4"/>
    <w:rsid w:val="00A724AE"/>
    <w:rsid w:val="00A73329"/>
    <w:rsid w:val="00A73CEC"/>
    <w:rsid w:val="00A82359"/>
    <w:rsid w:val="00A865D2"/>
    <w:rsid w:val="00A87C10"/>
    <w:rsid w:val="00A90BCD"/>
    <w:rsid w:val="00A92625"/>
    <w:rsid w:val="00A94C20"/>
    <w:rsid w:val="00A95D81"/>
    <w:rsid w:val="00AA1B09"/>
    <w:rsid w:val="00AA1B60"/>
    <w:rsid w:val="00AA227F"/>
    <w:rsid w:val="00AA3BC7"/>
    <w:rsid w:val="00AA754A"/>
    <w:rsid w:val="00AB099E"/>
    <w:rsid w:val="00AB4328"/>
    <w:rsid w:val="00AC38DE"/>
    <w:rsid w:val="00AC4CD4"/>
    <w:rsid w:val="00AD7E3D"/>
    <w:rsid w:val="00AE0A2E"/>
    <w:rsid w:val="00AE354C"/>
    <w:rsid w:val="00AF12C5"/>
    <w:rsid w:val="00AF4B07"/>
    <w:rsid w:val="00AF6186"/>
    <w:rsid w:val="00AF7A3A"/>
    <w:rsid w:val="00B02587"/>
    <w:rsid w:val="00B043F9"/>
    <w:rsid w:val="00B049D1"/>
    <w:rsid w:val="00B05423"/>
    <w:rsid w:val="00B14793"/>
    <w:rsid w:val="00B153A0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55A8D"/>
    <w:rsid w:val="00B57FDF"/>
    <w:rsid w:val="00B644C1"/>
    <w:rsid w:val="00B701ED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C27"/>
    <w:rsid w:val="00BC56A7"/>
    <w:rsid w:val="00BC6BBF"/>
    <w:rsid w:val="00BD06FE"/>
    <w:rsid w:val="00BD1572"/>
    <w:rsid w:val="00BE0193"/>
    <w:rsid w:val="00BE14E3"/>
    <w:rsid w:val="00BE3774"/>
    <w:rsid w:val="00BE41E5"/>
    <w:rsid w:val="00BE4CE2"/>
    <w:rsid w:val="00BF118F"/>
    <w:rsid w:val="00BF4109"/>
    <w:rsid w:val="00BF4CC3"/>
    <w:rsid w:val="00C054C7"/>
    <w:rsid w:val="00C057B5"/>
    <w:rsid w:val="00C07D0E"/>
    <w:rsid w:val="00C115C3"/>
    <w:rsid w:val="00C15547"/>
    <w:rsid w:val="00C1672D"/>
    <w:rsid w:val="00C22687"/>
    <w:rsid w:val="00C26A92"/>
    <w:rsid w:val="00C26B1C"/>
    <w:rsid w:val="00C32407"/>
    <w:rsid w:val="00C32E4D"/>
    <w:rsid w:val="00C333A0"/>
    <w:rsid w:val="00C36A81"/>
    <w:rsid w:val="00C41974"/>
    <w:rsid w:val="00C44A2C"/>
    <w:rsid w:val="00C44F09"/>
    <w:rsid w:val="00C477F7"/>
    <w:rsid w:val="00C509A6"/>
    <w:rsid w:val="00C53F4A"/>
    <w:rsid w:val="00C54125"/>
    <w:rsid w:val="00C55B54"/>
    <w:rsid w:val="00C6098E"/>
    <w:rsid w:val="00C6152C"/>
    <w:rsid w:val="00C62A92"/>
    <w:rsid w:val="00C71424"/>
    <w:rsid w:val="00C74810"/>
    <w:rsid w:val="00C80302"/>
    <w:rsid w:val="00C819AA"/>
    <w:rsid w:val="00C90D68"/>
    <w:rsid w:val="00C939FE"/>
    <w:rsid w:val="00C95D60"/>
    <w:rsid w:val="00CA0E9C"/>
    <w:rsid w:val="00CA4BDA"/>
    <w:rsid w:val="00CA6856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0795"/>
    <w:rsid w:val="00CF2397"/>
    <w:rsid w:val="00D00ABB"/>
    <w:rsid w:val="00D02EEC"/>
    <w:rsid w:val="00D03551"/>
    <w:rsid w:val="00D04315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5C97"/>
    <w:rsid w:val="00D361A2"/>
    <w:rsid w:val="00D37272"/>
    <w:rsid w:val="00D41628"/>
    <w:rsid w:val="00D44C2E"/>
    <w:rsid w:val="00D45414"/>
    <w:rsid w:val="00D50A0A"/>
    <w:rsid w:val="00D53548"/>
    <w:rsid w:val="00D5576B"/>
    <w:rsid w:val="00D566BD"/>
    <w:rsid w:val="00D56E5B"/>
    <w:rsid w:val="00D57A4D"/>
    <w:rsid w:val="00D60AA7"/>
    <w:rsid w:val="00D6435F"/>
    <w:rsid w:val="00D66471"/>
    <w:rsid w:val="00D669D4"/>
    <w:rsid w:val="00D70641"/>
    <w:rsid w:val="00D74888"/>
    <w:rsid w:val="00D7488B"/>
    <w:rsid w:val="00D75E28"/>
    <w:rsid w:val="00D772C2"/>
    <w:rsid w:val="00D8008E"/>
    <w:rsid w:val="00D82C45"/>
    <w:rsid w:val="00D908A8"/>
    <w:rsid w:val="00D977B6"/>
    <w:rsid w:val="00DA1223"/>
    <w:rsid w:val="00DA380A"/>
    <w:rsid w:val="00DA4A31"/>
    <w:rsid w:val="00DA7B04"/>
    <w:rsid w:val="00DB36C2"/>
    <w:rsid w:val="00DC00A8"/>
    <w:rsid w:val="00DC169B"/>
    <w:rsid w:val="00DC2AB9"/>
    <w:rsid w:val="00DC63F0"/>
    <w:rsid w:val="00DD0D05"/>
    <w:rsid w:val="00DD37EA"/>
    <w:rsid w:val="00DD6EE5"/>
    <w:rsid w:val="00DE2F26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1CE9"/>
    <w:rsid w:val="00E123CB"/>
    <w:rsid w:val="00E13B09"/>
    <w:rsid w:val="00E20E13"/>
    <w:rsid w:val="00E21DBC"/>
    <w:rsid w:val="00E275D7"/>
    <w:rsid w:val="00E27DBE"/>
    <w:rsid w:val="00E32AB1"/>
    <w:rsid w:val="00E36C71"/>
    <w:rsid w:val="00E373B5"/>
    <w:rsid w:val="00E40404"/>
    <w:rsid w:val="00E4126A"/>
    <w:rsid w:val="00E42A06"/>
    <w:rsid w:val="00E459C6"/>
    <w:rsid w:val="00E47589"/>
    <w:rsid w:val="00E557AA"/>
    <w:rsid w:val="00E625D2"/>
    <w:rsid w:val="00E63EC7"/>
    <w:rsid w:val="00E64915"/>
    <w:rsid w:val="00E64D3A"/>
    <w:rsid w:val="00E661D4"/>
    <w:rsid w:val="00E666E9"/>
    <w:rsid w:val="00E67565"/>
    <w:rsid w:val="00E70091"/>
    <w:rsid w:val="00E70D2E"/>
    <w:rsid w:val="00E720F5"/>
    <w:rsid w:val="00E744E0"/>
    <w:rsid w:val="00E76D47"/>
    <w:rsid w:val="00E827BC"/>
    <w:rsid w:val="00E849F7"/>
    <w:rsid w:val="00E90302"/>
    <w:rsid w:val="00E91D05"/>
    <w:rsid w:val="00E9262D"/>
    <w:rsid w:val="00E94245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C5A6A"/>
    <w:rsid w:val="00ED077C"/>
    <w:rsid w:val="00ED10A9"/>
    <w:rsid w:val="00ED1190"/>
    <w:rsid w:val="00ED1A2B"/>
    <w:rsid w:val="00ED34AC"/>
    <w:rsid w:val="00ED6544"/>
    <w:rsid w:val="00ED71A7"/>
    <w:rsid w:val="00EE0277"/>
    <w:rsid w:val="00EE2899"/>
    <w:rsid w:val="00EE3E00"/>
    <w:rsid w:val="00EE5DD2"/>
    <w:rsid w:val="00EF36C5"/>
    <w:rsid w:val="00EF3DB4"/>
    <w:rsid w:val="00F00A79"/>
    <w:rsid w:val="00F00D13"/>
    <w:rsid w:val="00F00E86"/>
    <w:rsid w:val="00F02067"/>
    <w:rsid w:val="00F07C1E"/>
    <w:rsid w:val="00F105DB"/>
    <w:rsid w:val="00F132BC"/>
    <w:rsid w:val="00F13D80"/>
    <w:rsid w:val="00F14E5E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36C53"/>
    <w:rsid w:val="00F55C38"/>
    <w:rsid w:val="00F56A6F"/>
    <w:rsid w:val="00F5709C"/>
    <w:rsid w:val="00F60B85"/>
    <w:rsid w:val="00F64EF1"/>
    <w:rsid w:val="00F65D6D"/>
    <w:rsid w:val="00F66354"/>
    <w:rsid w:val="00F72498"/>
    <w:rsid w:val="00F72B14"/>
    <w:rsid w:val="00F7349B"/>
    <w:rsid w:val="00F8765F"/>
    <w:rsid w:val="00F90767"/>
    <w:rsid w:val="00F9263C"/>
    <w:rsid w:val="00F96721"/>
    <w:rsid w:val="00FA0379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C4E04"/>
    <w:rsid w:val="00FC683C"/>
    <w:rsid w:val="00FD1005"/>
    <w:rsid w:val="00FD1F7F"/>
    <w:rsid w:val="00FD6C75"/>
    <w:rsid w:val="00FD7972"/>
    <w:rsid w:val="00FE0401"/>
    <w:rsid w:val="00FE605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FD8F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1E7256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1E725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1E7256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1E725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1E725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1E725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1E725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1E7256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1E7256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1E725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1E72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1E7256"/>
    <w:rPr>
      <w:rFonts w:ascii="Tahoma" w:hAnsi="Tahoma" w:cs="Tahoma"/>
      <w:sz w:val="16"/>
      <w:szCs w:val="16"/>
      <w:lang w:val="en-GB"/>
    </w:rPr>
  </w:style>
  <w:style w:type="character" w:styleId="Tytuksiki">
    <w:name w:val="Book Title"/>
    <w:uiPriority w:val="98"/>
    <w:semiHidden/>
    <w:qFormat/>
    <w:rsid w:val="001E7256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1E7256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1E7256"/>
    <w:pPr>
      <w:jc w:val="both"/>
    </w:pPr>
  </w:style>
  <w:style w:type="character" w:styleId="Pogrubienie">
    <w:name w:val="Strong"/>
    <w:uiPriority w:val="98"/>
    <w:semiHidden/>
    <w:qFormat/>
    <w:rsid w:val="001E7256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1E7256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1E7256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1E7256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1E7256"/>
    <w:pPr>
      <w:numPr>
        <w:numId w:val="2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1E7256"/>
    <w:pPr>
      <w:numPr>
        <w:ilvl w:val="1"/>
        <w:numId w:val="20"/>
      </w:numPr>
    </w:pPr>
  </w:style>
  <w:style w:type="paragraph" w:customStyle="1" w:styleId="JuListi">
    <w:name w:val="Ju_List_i"/>
    <w:aliases w:val="_List_3"/>
    <w:basedOn w:val="NormalJustified"/>
    <w:uiPriority w:val="23"/>
    <w:rsid w:val="001E7256"/>
    <w:pPr>
      <w:numPr>
        <w:ilvl w:val="2"/>
        <w:numId w:val="2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1E7256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1E7256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1E7256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1E7256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1E7256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1E7256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1E725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1E7256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numbering" w:customStyle="1" w:styleId="ECHRA1StyleList">
    <w:name w:val="ECHR_A1_Style_List"/>
    <w:basedOn w:val="Bezlisty"/>
    <w:uiPriority w:val="99"/>
    <w:rsid w:val="001E7256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1E7256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1E7256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1E7256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1E7256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1E7256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1E7256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1E72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1E7256"/>
    <w:rPr>
      <w:sz w:val="24"/>
      <w:szCs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1E7256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a0">
    <w:name w:val="Ju_H_a"/>
    <w:aliases w:val="_Head_5"/>
    <w:basedOn w:val="Nagwek5"/>
    <w:next w:val="JuPara"/>
    <w:uiPriority w:val="17"/>
    <w:rsid w:val="001E7256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1E7256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1E7256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1E7256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1E7256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1E7256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1E7256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1E7256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1E7256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paragraph" w:customStyle="1" w:styleId="JuInitialled">
    <w:name w:val="Ju_Initialled"/>
    <w:aliases w:val="_Right"/>
    <w:basedOn w:val="Normalny"/>
    <w:uiPriority w:val="30"/>
    <w:qFormat/>
    <w:rsid w:val="001E7256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1E7256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1E7256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1E7256"/>
    <w:rPr>
      <w:caps w:val="0"/>
      <w:smallCaps/>
    </w:rPr>
  </w:style>
  <w:style w:type="character" w:styleId="Wyrnieniedelikatne">
    <w:name w:val="Subtle Emphasis"/>
    <w:uiPriority w:val="98"/>
    <w:semiHidden/>
    <w:qFormat/>
    <w:rsid w:val="001E7256"/>
    <w:rPr>
      <w:i/>
      <w:iCs/>
    </w:rPr>
  </w:style>
  <w:style w:type="table" w:customStyle="1" w:styleId="ECHRTable">
    <w:name w:val="ECHR_Table"/>
    <w:basedOn w:val="Standardowy"/>
    <w:rsid w:val="001E7256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1E7256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character" w:styleId="Uwydatnienie">
    <w:name w:val="Emphasis"/>
    <w:uiPriority w:val="98"/>
    <w:semiHidden/>
    <w:qFormat/>
    <w:rsid w:val="001E725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1E7256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1E7256"/>
    <w:rPr>
      <w:sz w:val="24"/>
      <w:szCs w:val="24"/>
      <w:lang w:val="en-GB"/>
    </w:rPr>
  </w:style>
  <w:style w:type="character" w:styleId="Odwoanieprzypisudolnego">
    <w:name w:val="footnote reference"/>
    <w:basedOn w:val="Domylnaczcionkaakapitu"/>
    <w:uiPriority w:val="98"/>
    <w:semiHidden/>
    <w:rsid w:val="001E7256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1E725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1E7256"/>
    <w:rPr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1E7256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1E7256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1E7256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1E7256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Hipercze">
    <w:name w:val="Hyperlink"/>
    <w:basedOn w:val="Domylnaczcionkaakapitu"/>
    <w:uiPriority w:val="98"/>
    <w:semiHidden/>
    <w:rsid w:val="001E7256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1E7256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1E725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1E7256"/>
    <w:rPr>
      <w:b/>
      <w:bCs/>
      <w:i/>
      <w:iCs/>
      <w:sz w:val="24"/>
      <w:szCs w:val="24"/>
      <w:lang w:val="en-GB" w:bidi="en-US"/>
    </w:rPr>
  </w:style>
  <w:style w:type="character" w:styleId="Odwoanieintensywne">
    <w:name w:val="Intense Reference"/>
    <w:uiPriority w:val="98"/>
    <w:semiHidden/>
    <w:qFormat/>
    <w:rsid w:val="001E7256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1E7256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1E7256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1E7256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1E7256"/>
    <w:rPr>
      <w:i/>
      <w:iCs/>
      <w:sz w:val="24"/>
      <w:szCs w:val="24"/>
      <w:lang w:val="en-GB" w:bidi="en-US"/>
    </w:rPr>
  </w:style>
  <w:style w:type="character" w:styleId="Odwoaniedelikatne">
    <w:name w:val="Subtle Reference"/>
    <w:uiPriority w:val="98"/>
    <w:semiHidden/>
    <w:qFormat/>
    <w:rsid w:val="001E7256"/>
    <w:rPr>
      <w:smallCaps/>
    </w:rPr>
  </w:style>
  <w:style w:type="table" w:styleId="Tabela-Siatka">
    <w:name w:val="Table Grid"/>
    <w:basedOn w:val="Standardowy"/>
    <w:uiPriority w:val="59"/>
    <w:semiHidden/>
    <w:rsid w:val="001E7256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1E7256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1E7256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1E7256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1E7256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1E7256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1E7256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1E7256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1E7256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1E7256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1E7256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1E7256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1E7256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1E7256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1E7256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1E7256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numbering" w:styleId="111111">
    <w:name w:val="Outline List 2"/>
    <w:basedOn w:val="Bezlisty"/>
    <w:uiPriority w:val="99"/>
    <w:semiHidden/>
    <w:unhideWhenUsed/>
    <w:rsid w:val="001E7256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1E7256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1E7256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1E7256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1E7256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1E7256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1E7256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1E7256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1E7256"/>
  </w:style>
  <w:style w:type="paragraph" w:styleId="Tekstblokowy">
    <w:name w:val="Block Text"/>
    <w:basedOn w:val="Normalny"/>
    <w:uiPriority w:val="98"/>
    <w:semiHidden/>
    <w:rsid w:val="001E725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1E7256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1E72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1E7256"/>
    <w:rPr>
      <w:sz w:val="24"/>
      <w:szCs w:val="24"/>
      <w:lang w:val="en-GB"/>
    </w:rPr>
  </w:style>
  <w:style w:type="table" w:customStyle="1" w:styleId="ECHRTableOddBanded">
    <w:name w:val="ECHR_Table_Odd_Banded"/>
    <w:basedOn w:val="Standardowy"/>
    <w:uiPriority w:val="99"/>
    <w:rsid w:val="001E7256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1E7256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1E7256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1E7256"/>
    <w:pPr>
      <w:ind w:firstLine="284"/>
    </w:pPr>
    <w:rPr>
      <w:b/>
    </w:rPr>
  </w:style>
  <w:style w:type="character" w:styleId="Numerstrony">
    <w:name w:val="page number"/>
    <w:uiPriority w:val="98"/>
    <w:semiHidden/>
    <w:rsid w:val="001E7256"/>
    <w:rPr>
      <w:sz w:val="18"/>
    </w:rPr>
  </w:style>
  <w:style w:type="paragraph" w:styleId="Listapunktowana">
    <w:name w:val="List Bullet"/>
    <w:basedOn w:val="Normalny"/>
    <w:uiPriority w:val="98"/>
    <w:semiHidden/>
    <w:rsid w:val="001E7256"/>
    <w:pPr>
      <w:numPr>
        <w:numId w:val="7"/>
      </w:numPr>
    </w:pPr>
  </w:style>
  <w:style w:type="paragraph" w:styleId="Listapunktowana3">
    <w:name w:val="List Bullet 3"/>
    <w:basedOn w:val="Normalny"/>
    <w:uiPriority w:val="98"/>
    <w:semiHidden/>
    <w:rsid w:val="001E7256"/>
    <w:pPr>
      <w:numPr>
        <w:numId w:val="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1E7256"/>
    <w:rPr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1E725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1E7256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1E725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1E7256"/>
    <w:rPr>
      <w:sz w:val="24"/>
      <w:szCs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1E725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1E7256"/>
    <w:rPr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1E725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1E7256"/>
    <w:rPr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1E725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1E7256"/>
    <w:rPr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1E725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1E7256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1E725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1E725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1E7256"/>
    <w:rPr>
      <w:sz w:val="24"/>
      <w:szCs w:val="24"/>
      <w:lang w:val="en-GB"/>
    </w:rPr>
  </w:style>
  <w:style w:type="table" w:styleId="Kolorowasiatka">
    <w:name w:val="Colorful Grid"/>
    <w:basedOn w:val="Standardowy"/>
    <w:uiPriority w:val="73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1E72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1E72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1E7256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1E72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1E7256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1E725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1E725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1E725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1E725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1E725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1E725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1E7256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1E7256"/>
  </w:style>
  <w:style w:type="character" w:customStyle="1" w:styleId="DataZnak">
    <w:name w:val="Data Znak"/>
    <w:basedOn w:val="Domylnaczcionkaakapitu"/>
    <w:link w:val="Data"/>
    <w:uiPriority w:val="98"/>
    <w:semiHidden/>
    <w:rsid w:val="001E7256"/>
    <w:rPr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8"/>
    <w:semiHidden/>
    <w:rsid w:val="001E7256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1E7256"/>
    <w:rPr>
      <w:rFonts w:ascii="Tahom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1E7256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1E7256"/>
    <w:rPr>
      <w:sz w:val="24"/>
      <w:szCs w:val="24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1E725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1E725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1E7256"/>
    <w:rPr>
      <w:sz w:val="20"/>
      <w:szCs w:val="20"/>
      <w:lang w:val="en-GB"/>
    </w:rPr>
  </w:style>
  <w:style w:type="paragraph" w:styleId="Adresnakopercie">
    <w:name w:val="envelope address"/>
    <w:basedOn w:val="Normalny"/>
    <w:uiPriority w:val="98"/>
    <w:semiHidden/>
    <w:rsid w:val="001E725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1E7256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1E7256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1E7256"/>
  </w:style>
  <w:style w:type="paragraph" w:styleId="HTML-adres">
    <w:name w:val="HTML Address"/>
    <w:basedOn w:val="Normalny"/>
    <w:link w:val="HTML-adresZnak"/>
    <w:uiPriority w:val="98"/>
    <w:semiHidden/>
    <w:rsid w:val="001E725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1E7256"/>
    <w:rPr>
      <w:i/>
      <w:iCs/>
      <w:sz w:val="24"/>
      <w:szCs w:val="24"/>
      <w:lang w:val="en-GB"/>
    </w:rPr>
  </w:style>
  <w:style w:type="character" w:styleId="HTML-cytat">
    <w:name w:val="HTML Cite"/>
    <w:basedOn w:val="Domylnaczcionkaakapitu"/>
    <w:uiPriority w:val="98"/>
    <w:semiHidden/>
    <w:rsid w:val="001E7256"/>
    <w:rPr>
      <w:i/>
      <w:iCs/>
    </w:rPr>
  </w:style>
  <w:style w:type="character" w:styleId="HTML-kod">
    <w:name w:val="HTML Code"/>
    <w:basedOn w:val="Domylnaczcionkaakapitu"/>
    <w:uiPriority w:val="98"/>
    <w:semiHidden/>
    <w:rsid w:val="001E725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1E7256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1E725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1E725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1E7256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1E725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1E725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1E7256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1E725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1E725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1E725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1E725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1E725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1E725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1E725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1E725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1E7256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1E725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1E7256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1E7256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1E7256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1E7256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1E7256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1E7256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1E7256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1E7256"/>
  </w:style>
  <w:style w:type="paragraph" w:styleId="Lista">
    <w:name w:val="List"/>
    <w:basedOn w:val="Normalny"/>
    <w:uiPriority w:val="98"/>
    <w:semiHidden/>
    <w:rsid w:val="001E7256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1E7256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1E7256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1E7256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1E7256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1E7256"/>
    <w:pPr>
      <w:numPr>
        <w:numId w:val="8"/>
      </w:numPr>
      <w:contextualSpacing/>
    </w:pPr>
  </w:style>
  <w:style w:type="paragraph" w:styleId="Listapunktowana4">
    <w:name w:val="List Bullet 4"/>
    <w:basedOn w:val="Normalny"/>
    <w:uiPriority w:val="98"/>
    <w:semiHidden/>
    <w:rsid w:val="001E7256"/>
    <w:pPr>
      <w:numPr>
        <w:numId w:val="10"/>
      </w:numPr>
      <w:contextualSpacing/>
    </w:pPr>
  </w:style>
  <w:style w:type="paragraph" w:styleId="Listapunktowana5">
    <w:name w:val="List Bullet 5"/>
    <w:basedOn w:val="Normalny"/>
    <w:uiPriority w:val="98"/>
    <w:semiHidden/>
    <w:rsid w:val="001E7256"/>
    <w:pPr>
      <w:numPr>
        <w:numId w:val="11"/>
      </w:numPr>
      <w:contextualSpacing/>
    </w:pPr>
  </w:style>
  <w:style w:type="paragraph" w:styleId="Lista-kontynuacja">
    <w:name w:val="List Continue"/>
    <w:basedOn w:val="Normalny"/>
    <w:uiPriority w:val="98"/>
    <w:semiHidden/>
    <w:rsid w:val="001E725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1E725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1E725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1E725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1E725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1E7256"/>
    <w:pPr>
      <w:numPr>
        <w:numId w:val="12"/>
      </w:numPr>
      <w:contextualSpacing/>
    </w:pPr>
  </w:style>
  <w:style w:type="paragraph" w:styleId="Listanumerowana2">
    <w:name w:val="List Number 2"/>
    <w:basedOn w:val="Normalny"/>
    <w:uiPriority w:val="98"/>
    <w:semiHidden/>
    <w:rsid w:val="001E7256"/>
    <w:pPr>
      <w:numPr>
        <w:numId w:val="13"/>
      </w:numPr>
      <w:contextualSpacing/>
    </w:pPr>
  </w:style>
  <w:style w:type="paragraph" w:styleId="Listanumerowana3">
    <w:name w:val="List Number 3"/>
    <w:basedOn w:val="Normalny"/>
    <w:uiPriority w:val="98"/>
    <w:semiHidden/>
    <w:rsid w:val="001E7256"/>
    <w:pPr>
      <w:numPr>
        <w:numId w:val="14"/>
      </w:numPr>
      <w:contextualSpacing/>
    </w:pPr>
  </w:style>
  <w:style w:type="paragraph" w:styleId="Listanumerowana4">
    <w:name w:val="List Number 4"/>
    <w:basedOn w:val="Normalny"/>
    <w:uiPriority w:val="98"/>
    <w:semiHidden/>
    <w:rsid w:val="001E7256"/>
    <w:pPr>
      <w:numPr>
        <w:numId w:val="15"/>
      </w:numPr>
      <w:contextualSpacing/>
    </w:pPr>
  </w:style>
  <w:style w:type="paragraph" w:styleId="Listanumerowana5">
    <w:name w:val="List Number 5"/>
    <w:basedOn w:val="Normalny"/>
    <w:uiPriority w:val="98"/>
    <w:semiHidden/>
    <w:rsid w:val="001E7256"/>
    <w:pPr>
      <w:numPr>
        <w:numId w:val="16"/>
      </w:numPr>
      <w:contextualSpacing/>
    </w:pPr>
  </w:style>
  <w:style w:type="paragraph" w:styleId="Tekstmakra">
    <w:name w:val="macro"/>
    <w:link w:val="TekstmakraZnak"/>
    <w:uiPriority w:val="98"/>
    <w:semiHidden/>
    <w:rsid w:val="001E72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1E7256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1E7256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1E7256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1E7256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1E725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1E7256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1E7256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1E725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1E7256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1E7256"/>
    <w:rPr>
      <w:sz w:val="24"/>
      <w:szCs w:val="24"/>
      <w:lang w:val="en-GB"/>
    </w:rPr>
  </w:style>
  <w:style w:type="character" w:styleId="Tekstzastpczy">
    <w:name w:val="Placeholder Text"/>
    <w:basedOn w:val="Domylnaczcionkaakapitu"/>
    <w:uiPriority w:val="98"/>
    <w:semiHidden/>
    <w:rsid w:val="001E7256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1E725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1E7256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1E7256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1E7256"/>
    <w:rPr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1E725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1E7256"/>
    <w:rPr>
      <w:sz w:val="24"/>
      <w:szCs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1E7256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1E7256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1E7256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1E7256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1E7256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1E7256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1E7256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1E7256"/>
  </w:style>
  <w:style w:type="table" w:styleId="Tabela-Profesjonalny">
    <w:name w:val="Table Professional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1E7256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1E7256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1E7256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1E725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1E7256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1E7256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1E7256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1E7256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1E7256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1E7256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1E7256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1E7256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1E7256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1E7256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1E7256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1E7256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1E7256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1E7256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1E7256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1E7256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rsid w:val="001E7256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1E7256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1E7256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1E7256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1E7256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1E7256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1E7256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1E7256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1E7256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1E7256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1E7256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1E7256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1E7256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1E7256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1E7256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1E7256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1E7256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1E7256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1E7256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1E7256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1E7256"/>
    <w:rPr>
      <w:sz w:val="4"/>
    </w:rPr>
  </w:style>
  <w:style w:type="table" w:customStyle="1" w:styleId="ECHRTableGrey">
    <w:name w:val="ECHR_Table_Grey"/>
    <w:basedOn w:val="Standardowy"/>
    <w:uiPriority w:val="99"/>
    <w:rsid w:val="001E7256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E7256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qFormat/>
    <w:rsid w:val="00B57FDF"/>
    <w:rPr>
      <w:sz w:val="24"/>
      <w:szCs w:val="24"/>
      <w:lang w:val="en-GB"/>
    </w:rPr>
  </w:style>
  <w:style w:type="table" w:styleId="Tabelasiatki1jasna">
    <w:name w:val="Grid Table 1 Light"/>
    <w:basedOn w:val="Standardowy"/>
    <w:uiPriority w:val="46"/>
    <w:semiHidden/>
    <w:rsid w:val="00ED71A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ED71A7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ED71A7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ED71A7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ED71A7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ED71A7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ED71A7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ED71A7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ED71A7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ED71A7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ED71A7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ED71A7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ED71A7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ED71A7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ED71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ED71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ED71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ED71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ED71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ED71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ED71A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ED71A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ED71A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ED71A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ED71A7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ED71A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ED71A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ED71A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ED71A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ED71A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ED71A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ED71A7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ED71A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ED71A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ED71A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ED71A7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ED71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ED71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ED71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ED71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ED71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ED71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ED71A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ED71A7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ED71A7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ED71A7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ED71A7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ED71A7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ED71A7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ED71A7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ED71A7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ED71A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ED71A7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ED71A7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ED71A7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ED71A7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ED71A7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ED71A7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ED71A7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ED71A7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ED71A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ED71A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ED71A7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ED71A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ED71A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ED71A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ED71A7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ED71A7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ED71A7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ED71A7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ED71A7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ED71A7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ED71A7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ED71A7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ED71A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ED71A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ED71A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ED71A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ED71A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ED71A7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ED71A7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ED71A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ummyStyle">
    <w:name w:val="Dummy_Style"/>
    <w:aliases w:val="_Dummy"/>
    <w:basedOn w:val="Normalny"/>
    <w:semiHidden/>
    <w:qFormat/>
    <w:rsid w:val="001E7256"/>
    <w:rPr>
      <w:color w:val="00B050"/>
      <w:sz w:val="22"/>
    </w:rPr>
  </w:style>
  <w:style w:type="paragraph" w:styleId="Poprawka">
    <w:name w:val="Revision"/>
    <w:hidden/>
    <w:uiPriority w:val="99"/>
    <w:semiHidden/>
    <w:rsid w:val="0000604E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1119DEF-D85B-4BF8-B75C-25BBE302B9FE}">
  <we:reference id="wa104381727" version="1.0.1.0" store="pl-PL" storeType="OMEX"/>
  <we:alternateReferences>
    <we:reference id="wa104381727" version="1.0.1.0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58DC8-8283-459E-B518-31F9750E7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2855</Words>
  <Characters>17136</Characters>
  <Application>Microsoft Office Word</Application>
  <DocSecurity>0</DocSecurity>
  <Lines>142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19952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2024-09-23T06:56:00Z</dcterms:created>
  <dcterms:modified xsi:type="dcterms:W3CDTF">2024-10-09T09:26:00Z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827498</vt:lpwstr>
  </property>
  <property fmtid="{D5CDD505-2E9C-101B-9397-08002B2CF9AE}" pid="3" name="cstLanguage">
    <vt:i4>2057</vt:i4>
  </property>
  <property fmtid="{D5CDD505-2E9C-101B-9397-08002B2CF9AE}" pid="4" name="RegisteredNo">
    <vt:lpwstr>58828/12</vt:lpwstr>
  </property>
  <property fmtid="{D5CDD505-2E9C-101B-9397-08002B2CF9AE}" pid="5" name="GrammarlyDocumentId">
    <vt:lpwstr>9dce4c78db1afbf0f336830c69e8036e7a1ac38ba375b9d2142032df236a1e11</vt:lpwstr>
  </property>
</Properties>
</file>