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B24DE" w:rsidR="00B57FDF" w:rsidP="009B24DE" w14:paraId="0F8271E5" w14:textId="77777777">
      <w:pPr>
        <w:jc w:val="center"/>
        <w:rPr>
          <w:rFonts w:ascii="Times New Roman" w:hAnsi="Times New Roman" w:cs="Times New Roman"/>
          <w:noProof/>
        </w:rPr>
      </w:pPr>
    </w:p>
    <w:p w:rsidRPr="009B24DE" w:rsidR="0098410D" w:rsidP="009B24DE" w14:paraId="076937CB" w14:textId="77777777">
      <w:pPr>
        <w:jc w:val="center"/>
      </w:pPr>
    </w:p>
    <w:p w:rsidRPr="009B24DE" w:rsidR="0098410D" w:rsidP="009B24DE" w14:paraId="6A8E1414" w14:textId="475E66E1">
      <w:pPr>
        <w:pStyle w:val="DecHTitle"/>
      </w:pPr>
      <w:r w:rsidRPr="009B24DE">
        <w:t>FIRST SECTION</w:t>
      </w:r>
    </w:p>
    <w:p w:rsidRPr="009B24DE" w:rsidR="008E6217" w:rsidP="009B24DE" w14:paraId="67A52FFA" w14:textId="0D62FE31">
      <w:pPr>
        <w:pStyle w:val="JuTitle"/>
      </w:pPr>
      <w:r w:rsidRPr="009B24DE">
        <w:rPr>
          <w:color w:val="000000" w:themeColor="text1"/>
        </w:rPr>
        <w:t xml:space="preserve">CASE OF </w:t>
      </w:r>
      <w:r w:rsidRPr="009B24DE" w:rsidR="00B57FDF">
        <w:t xml:space="preserve">FORMELA </w:t>
      </w:r>
      <w:r w:rsidRPr="009B24DE" w:rsidR="009F2E41">
        <w:t xml:space="preserve">AND OTHERS </w:t>
      </w:r>
      <w:r w:rsidRPr="009B24DE" w:rsidR="00B57FDF">
        <w:t>v. POLAND</w:t>
      </w:r>
    </w:p>
    <w:p w:rsidRPr="009B24DE" w:rsidR="00D74888" w:rsidP="009B24DE" w14:paraId="472E69E1" w14:textId="111C18F2">
      <w:pPr>
        <w:pStyle w:val="ECHRCoverTitle4"/>
      </w:pPr>
      <w:r w:rsidRPr="009B24DE">
        <w:t>(</w:t>
      </w:r>
      <w:r w:rsidRPr="009B24DE" w:rsidR="00B57FDF">
        <w:rPr>
          <w:noProof/>
        </w:rPr>
        <w:t>Applications nos.</w:t>
      </w:r>
      <w:r w:rsidRPr="009B24DE">
        <w:t xml:space="preserve"> </w:t>
      </w:r>
      <w:r w:rsidRPr="009B24DE" w:rsidR="00B57FDF">
        <w:t>58828/12</w:t>
      </w:r>
      <w:r w:rsidRPr="009B24DE" w:rsidR="00B57FDF">
        <w:rPr>
          <w:noProof/>
        </w:rPr>
        <w:t xml:space="preserve"> and </w:t>
      </w:r>
      <w:r w:rsidRPr="009B24DE" w:rsidR="009F2E41">
        <w:rPr>
          <w:noProof/>
        </w:rPr>
        <w:t>4</w:t>
      </w:r>
      <w:r w:rsidRPr="009B24DE" w:rsidR="00B57FDF">
        <w:rPr>
          <w:noProof/>
        </w:rPr>
        <w:t xml:space="preserve"> others</w:t>
      </w:r>
      <w:r w:rsidRPr="009B24DE" w:rsidR="00C80302">
        <w:rPr>
          <w:noProof/>
        </w:rPr>
        <w:t xml:space="preserve"> – see appended list</w:t>
      </w:r>
      <w:r w:rsidRPr="009B24DE">
        <w:t>)</w:t>
      </w:r>
    </w:p>
    <w:p w:rsidRPr="009B24DE" w:rsidR="0098410D" w:rsidP="009B24DE" w14:paraId="5AA0B155" w14:textId="77777777">
      <w:pPr>
        <w:pStyle w:val="DecHCase"/>
      </w:pPr>
    </w:p>
    <w:p w:rsidRPr="009B24DE" w:rsidR="0098410D" w:rsidP="009B24DE" w14:paraId="61BFE67D" w14:textId="77777777">
      <w:pPr>
        <w:pStyle w:val="DecHCase"/>
      </w:pPr>
    </w:p>
    <w:p w:rsidRPr="009B24DE" w:rsidR="00052489" w:rsidP="009B24DE" w14:paraId="1A7CDF44" w14:textId="77777777">
      <w:pPr>
        <w:pStyle w:val="DecHCase"/>
      </w:pPr>
    </w:p>
    <w:p w:rsidRPr="009B24DE" w:rsidR="00052489" w:rsidP="009B24DE" w14:paraId="38EA1EDB" w14:textId="77777777">
      <w:pPr>
        <w:pStyle w:val="DecHCase"/>
      </w:pPr>
    </w:p>
    <w:p w:rsidRPr="009B24DE" w:rsidR="00AC4CD4" w:rsidP="009B24DE" w14:paraId="19FA36BC" w14:textId="77777777">
      <w:pPr>
        <w:pStyle w:val="DecHCase"/>
      </w:pPr>
    </w:p>
    <w:p w:rsidRPr="009B24DE" w:rsidR="0098410D" w:rsidP="009B24DE" w14:paraId="2F127E4C" w14:textId="77777777">
      <w:pPr>
        <w:pStyle w:val="DecHCase"/>
      </w:pPr>
    </w:p>
    <w:p w:rsidRPr="009B24DE" w:rsidR="0098410D" w:rsidP="009B24DE" w14:paraId="738405B2" w14:textId="343CA3C8">
      <w:pPr>
        <w:pStyle w:val="DecHCase"/>
      </w:pPr>
      <w:r w:rsidRPr="009B24DE">
        <w:t>JUDGMENT</w:t>
      </w:r>
      <w:r w:rsidRPr="009B24DE" w:rsidR="00AC4CD4">
        <w:br/>
      </w:r>
    </w:p>
    <w:p w:rsidRPr="009B24DE" w:rsidR="0098410D" w:rsidP="009B24DE" w14:paraId="2ADB6092" w14:textId="77777777">
      <w:pPr>
        <w:pStyle w:val="DecHCase"/>
      </w:pPr>
      <w:r w:rsidRPr="009B24DE">
        <w:t>STRASBOURG</w:t>
      </w:r>
    </w:p>
    <w:p w:rsidRPr="009B24DE" w:rsidR="0098410D" w:rsidP="009B24DE" w14:paraId="3D1491E3" w14:textId="360D0A01">
      <w:pPr>
        <w:pStyle w:val="DecHCase"/>
      </w:pPr>
      <w:r w:rsidRPr="009B24DE">
        <w:rPr>
          <w:rFonts w:ascii="Times New Roman" w:hAnsi="Times New Roman" w:cs="Times New Roman"/>
        </w:rPr>
        <w:t>19 September 2024</w:t>
      </w:r>
    </w:p>
    <w:p w:rsidRPr="009B24DE" w:rsidR="00AC4CD4" w:rsidP="009B24DE" w14:paraId="592D8AEE" w14:textId="77777777">
      <w:pPr>
        <w:pStyle w:val="JuPara"/>
      </w:pPr>
    </w:p>
    <w:p w:rsidRPr="009B24DE" w:rsidR="00052489" w:rsidP="009B24DE" w14:paraId="7A497805" w14:textId="77777777">
      <w:pPr>
        <w:pStyle w:val="JuPara"/>
      </w:pPr>
    </w:p>
    <w:p w:rsidRPr="009B24DE" w:rsidR="002422B6" w:rsidP="009B24DE" w14:paraId="4337A1A8" w14:textId="7B7B472E">
      <w:pPr>
        <w:jc w:val="center"/>
        <w:rPr>
          <w:i/>
          <w:sz w:val="22"/>
        </w:rPr>
      </w:pPr>
      <w:r w:rsidRPr="009B24DE">
        <w:rPr>
          <w:i/>
          <w:sz w:val="22"/>
        </w:rPr>
        <w:t xml:space="preserve">This judgment </w:t>
      </w:r>
      <w:r w:rsidRPr="009B24DE" w:rsidR="00B57FDF">
        <w:rPr>
          <w:i/>
          <w:noProof/>
          <w:sz w:val="22"/>
        </w:rPr>
        <w:t>is final but it</w:t>
      </w:r>
      <w:r w:rsidRPr="009B24DE">
        <w:rPr>
          <w:i/>
          <w:sz w:val="22"/>
        </w:rPr>
        <w:t xml:space="preserve"> may be subject to editorial revision.</w:t>
      </w:r>
    </w:p>
    <w:p w:rsidRPr="009B24DE" w:rsidR="0098410D" w:rsidP="009B24DE" w14:paraId="484171AA"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B24DE" w:rsidR="0098410D" w:rsidP="009B24DE" w14:paraId="11B2531D" w14:textId="50B664C2">
      <w:pPr>
        <w:pStyle w:val="JuCase"/>
      </w:pPr>
      <w:r w:rsidRPr="009B24DE">
        <w:t xml:space="preserve">In the case of </w:t>
      </w:r>
      <w:r w:rsidRPr="009B24DE" w:rsidR="00B57FDF">
        <w:t>Formela</w:t>
      </w:r>
      <w:r w:rsidRPr="009B24DE" w:rsidR="00B57FDF">
        <w:t xml:space="preserve"> </w:t>
      </w:r>
      <w:r w:rsidRPr="009B24DE" w:rsidR="00ED71A7">
        <w:t xml:space="preserve">and Others </w:t>
      </w:r>
      <w:r w:rsidRPr="009B24DE" w:rsidR="00B57FDF">
        <w:t>v. Poland</w:t>
      </w:r>
      <w:r w:rsidRPr="009B24DE">
        <w:t>,</w:t>
      </w:r>
    </w:p>
    <w:p w:rsidRPr="009B24DE" w:rsidR="009F4C8F" w:rsidP="009B24DE" w14:paraId="012B3689" w14:textId="1EA638FF">
      <w:pPr>
        <w:pStyle w:val="JuPara"/>
      </w:pPr>
      <w:r w:rsidRPr="009B24DE">
        <w:t>The European Court of Human Rights (</w:t>
      </w:r>
      <w:r w:rsidRPr="009B24DE" w:rsidR="00B57FDF">
        <w:t>First Section</w:t>
      </w:r>
      <w:r w:rsidRPr="009B24DE">
        <w:t xml:space="preserve">), sitting as a </w:t>
      </w:r>
      <w:r w:rsidRPr="009B24DE" w:rsidR="00B57FDF">
        <w:rPr>
          <w:noProof/>
        </w:rPr>
        <w:t>Committee</w:t>
      </w:r>
      <w:r w:rsidRPr="009B24DE">
        <w:t xml:space="preserve"> composed of:</w:t>
      </w:r>
    </w:p>
    <w:p w:rsidRPr="009B24DE" w:rsidR="00A92625" w:rsidP="009B24DE" w14:paraId="71D7E5AE" w14:textId="7E547415">
      <w:pPr>
        <w:pStyle w:val="JuJudges"/>
      </w:pPr>
      <w:r w:rsidRPr="009B24DE">
        <w:tab/>
      </w:r>
      <w:r w:rsidRPr="009B24DE">
        <w:t>Péter</w:t>
      </w:r>
      <w:r w:rsidRPr="009B24DE">
        <w:t xml:space="preserve"> </w:t>
      </w:r>
      <w:r w:rsidRPr="009B24DE">
        <w:t>Paczolay</w:t>
      </w:r>
      <w:r w:rsidRPr="009B24DE">
        <w:rPr>
          <w:i/>
        </w:rPr>
        <w:t>, President</w:t>
      </w:r>
      <w:r w:rsidRPr="009B24DE">
        <w:t>,</w:t>
      </w:r>
      <w:r w:rsidRPr="009B24DE">
        <w:br/>
      </w:r>
      <w:r w:rsidRPr="009B24DE">
        <w:tab/>
        <w:t>Gilberto Felici,</w:t>
      </w:r>
      <w:r w:rsidRPr="009B24DE">
        <w:br/>
      </w:r>
      <w:r w:rsidRPr="009B24DE">
        <w:tab/>
        <w:t>Raffaele Sabato</w:t>
      </w:r>
      <w:r w:rsidRPr="009B24DE">
        <w:rPr>
          <w:i/>
        </w:rPr>
        <w:t>, judges</w:t>
      </w:r>
      <w:r w:rsidRPr="009B24DE">
        <w:t>,</w:t>
      </w:r>
      <w:r w:rsidRPr="009B24DE" w:rsidR="009F4C8F">
        <w:br/>
        <w:t>and</w:t>
      </w:r>
      <w:r w:rsidRPr="009B24DE" w:rsidR="005C2C62">
        <w:t xml:space="preserve"> </w:t>
      </w:r>
      <w:r w:rsidRPr="009B24DE">
        <w:rPr>
          <w:rFonts w:eastAsia="PMingLiU"/>
          <w:noProof/>
        </w:rPr>
        <w:t>Liv Tigerstedt</w:t>
      </w:r>
      <w:r w:rsidRPr="009B24DE">
        <w:t xml:space="preserve">, </w:t>
      </w:r>
      <w:r w:rsidRPr="009B24DE" w:rsidR="00B57FDF">
        <w:rPr>
          <w:i/>
          <w:iCs/>
          <w:noProof/>
        </w:rPr>
        <w:t xml:space="preserve">Deputy </w:t>
      </w:r>
      <w:r w:rsidRPr="009B24DE" w:rsidR="00E744E0">
        <w:rPr>
          <w:i/>
        </w:rPr>
        <w:t xml:space="preserve">Section </w:t>
      </w:r>
      <w:r w:rsidRPr="009B24DE" w:rsidR="00E744E0">
        <w:rPr>
          <w:i/>
          <w:iCs/>
        </w:rPr>
        <w:t>Registrar</w:t>
      </w:r>
      <w:r w:rsidRPr="009B24DE" w:rsidR="008F2465">
        <w:rPr>
          <w:i/>
        </w:rPr>
        <w:t>,</w:t>
      </w:r>
    </w:p>
    <w:p w:rsidRPr="009B24DE" w:rsidR="00B57FDF" w:rsidP="009B24DE" w14:paraId="02934219" w14:textId="77777777">
      <w:pPr>
        <w:pStyle w:val="JuPara"/>
      </w:pPr>
      <w:r w:rsidRPr="009B24DE">
        <w:t>Having regard to:</w:t>
      </w:r>
    </w:p>
    <w:p w:rsidRPr="009B24DE" w:rsidR="00B57FDF" w:rsidP="009B24DE" w14:paraId="665B57BA" w14:textId="4A886586">
      <w:pPr>
        <w:pStyle w:val="JuPara"/>
      </w:pPr>
      <w:r w:rsidRPr="009B24DE">
        <w:t xml:space="preserve">the applications against the Republic of Poland lodged with the Court under Article 34 of the Convention for the Protection of Human Rights and Fundamental Freedoms (“the Convention”) by the applicants listed in the appended table (“the applicants”), on the various dates indicated </w:t>
      </w:r>
      <w:r w:rsidRPr="009B24DE">
        <w:t>therein;</w:t>
      </w:r>
    </w:p>
    <w:p w:rsidRPr="009B24DE" w:rsidR="00B57FDF" w:rsidP="009B24DE" w14:paraId="59415F93" w14:textId="77777777">
      <w:pPr>
        <w:pStyle w:val="JuPara"/>
      </w:pPr>
      <w:r w:rsidRPr="009B24DE">
        <w:t xml:space="preserve">the decision to give notice of the applications to the Polish Government (“the Government”) represented by their Agent, Mr J. </w:t>
      </w:r>
      <w:r w:rsidRPr="009B24DE">
        <w:t>Sobczak</w:t>
      </w:r>
      <w:r w:rsidRPr="009B24DE">
        <w:t xml:space="preserve">, of the Ministry of Foreign </w:t>
      </w:r>
      <w:r w:rsidRPr="009B24DE">
        <w:t>Affairs;</w:t>
      </w:r>
    </w:p>
    <w:p w:rsidRPr="009B24DE" w:rsidR="00B57FDF" w:rsidP="009B24DE" w14:paraId="3BFC758D" w14:textId="77777777">
      <w:pPr>
        <w:pStyle w:val="JuPara"/>
      </w:pPr>
      <w:r w:rsidRPr="009B24DE">
        <w:t xml:space="preserve">the observations submitted by the respondent Government and the observations in reply submitted by the </w:t>
      </w:r>
      <w:r w:rsidRPr="009B24DE">
        <w:t>applicants;</w:t>
      </w:r>
    </w:p>
    <w:p w:rsidRPr="009B24DE" w:rsidR="00B57FDF" w:rsidP="009B24DE" w14:paraId="5F367252" w14:textId="77777777">
      <w:pPr>
        <w:pStyle w:val="JuPara"/>
      </w:pPr>
      <w:r w:rsidRPr="009B24DE">
        <w:t>the comments submitted by the Council of Europe Commissioner for Human Rights, who exercised her right to intervene in the proceedings (Article 36 § 3 of the Convention and Rule 44 § 2 of the Rules of Court</w:t>
      </w:r>
      <w:r w:rsidRPr="009B24DE">
        <w:t>);</w:t>
      </w:r>
    </w:p>
    <w:p w:rsidRPr="009B24DE" w:rsidR="00B57FDF" w:rsidP="009B24DE" w14:paraId="46CC944C" w14:textId="77777777">
      <w:pPr>
        <w:pStyle w:val="JuPara"/>
      </w:pPr>
      <w:r w:rsidRPr="009B24DE">
        <w:t>the comments submitted by the following organisations, all of which had been granted leave to intervene by the President of the Section:</w:t>
      </w:r>
    </w:p>
    <w:p w:rsidRPr="009B24DE" w:rsidR="00B57FDF" w:rsidP="009B24DE" w14:paraId="3161FFA7" w14:textId="77777777">
      <w:pPr>
        <w:pStyle w:val="JuPara"/>
      </w:pPr>
      <w:r w:rsidRPr="009B24DE">
        <w:t xml:space="preserve">- the Commissioner for Human Rights of the Republic of </w:t>
      </w:r>
      <w:r w:rsidRPr="009B24DE">
        <w:t>Poland;</w:t>
      </w:r>
    </w:p>
    <w:p w:rsidRPr="009B24DE" w:rsidR="00B57FDF" w:rsidP="009B24DE" w14:paraId="17996D8E" w14:textId="77777777">
      <w:pPr>
        <w:pStyle w:val="JuPara"/>
      </w:pPr>
      <w:r w:rsidRPr="009B24DE">
        <w:t xml:space="preserve">- the International Lesbian, Gay, Bisexual, Trans and Intersex Association (ILGA) on behalf of the Fédération Internationale pour les Droits </w:t>
      </w:r>
      <w:r w:rsidRPr="009B24DE">
        <w:t>Humains</w:t>
      </w:r>
      <w:r w:rsidRPr="009B24DE">
        <w:t xml:space="preserve"> (FIDH), European Region of the International Lesbian, Gay, Bisexual, Trans and Intersex Association (ILGA-Europe), Network of European LGBTIQ* Families Associations (NELFA) and the European Commission on Sexual Orientation Law (ECSOL</w:t>
      </w:r>
      <w:r w:rsidRPr="009B24DE">
        <w:t>);</w:t>
      </w:r>
    </w:p>
    <w:p w:rsidRPr="009B24DE" w:rsidR="00B57FDF" w:rsidP="009B24DE" w14:paraId="740CA9CA" w14:textId="77777777">
      <w:pPr>
        <w:pStyle w:val="JuPara"/>
      </w:pPr>
      <w:r w:rsidRPr="009B24DE">
        <w:t xml:space="preserve">- the Institute of Psychology, Polish Academy of </w:t>
      </w:r>
      <w:r w:rsidRPr="009B24DE">
        <w:t>Sciences;</w:t>
      </w:r>
    </w:p>
    <w:p w:rsidRPr="009B24DE" w:rsidR="00B57FDF" w:rsidP="009B24DE" w14:paraId="24DA95FB" w14:textId="77777777">
      <w:pPr>
        <w:pStyle w:val="JuPara"/>
      </w:pPr>
      <w:r w:rsidRPr="009B24DE">
        <w:t xml:space="preserve">- the Ordo </w:t>
      </w:r>
      <w:r w:rsidRPr="009B24DE">
        <w:t>Iuris</w:t>
      </w:r>
      <w:r w:rsidRPr="009B24DE">
        <w:t xml:space="preserve"> Institute for Legal </w:t>
      </w:r>
      <w:r w:rsidRPr="009B24DE">
        <w:t>Culture;</w:t>
      </w:r>
    </w:p>
    <w:p w:rsidRPr="009B24DE" w:rsidR="00B57FDF" w:rsidP="009B24DE" w14:paraId="73BB7AB6" w14:textId="71CCA657">
      <w:pPr>
        <w:pStyle w:val="JuPara"/>
      </w:pPr>
      <w:r w:rsidRPr="009B24DE">
        <w:t>- the Polish Society of Anti-Discrimination Law (on behalf of “Campaign Against Homophobia and Love Does not Exclude” Association</w:t>
      </w:r>
      <w:r w:rsidRPr="009B24DE">
        <w:t>);</w:t>
      </w:r>
    </w:p>
    <w:p w:rsidRPr="009B24DE" w:rsidR="009F4C8F" w:rsidP="009B24DE" w14:paraId="7A5F98EA" w14:textId="35F31AF7">
      <w:pPr>
        <w:pStyle w:val="JuPara"/>
      </w:pPr>
      <w:r w:rsidRPr="009B24DE">
        <w:t xml:space="preserve">Having deliberated in private on </w:t>
      </w:r>
      <w:r w:rsidRPr="009B24DE" w:rsidR="00B57FDF">
        <w:t>29 August 2024</w:t>
      </w:r>
      <w:r w:rsidRPr="009B24DE">
        <w:t>,</w:t>
      </w:r>
    </w:p>
    <w:p w:rsidRPr="009B24DE" w:rsidR="009F4C8F" w:rsidP="009B24DE" w14:paraId="407A5280" w14:textId="77777777">
      <w:pPr>
        <w:pStyle w:val="JuPara"/>
      </w:pPr>
      <w:r w:rsidRPr="009B24DE">
        <w:t>Delivers the following judgment, which was adopted on that date:</w:t>
      </w:r>
    </w:p>
    <w:p w:rsidRPr="009B24DE" w:rsidR="00B57FDF" w:rsidP="009B24DE" w14:paraId="2FBBDE54" w14:textId="099B8D20">
      <w:pPr>
        <w:pStyle w:val="JuHHead"/>
      </w:pPr>
      <w:r w:rsidRPr="009B24DE">
        <w:t>SUBJECT MATTER OF THE CASE</w:t>
      </w:r>
    </w:p>
    <w:p w:rsidRPr="009B24DE" w:rsidR="00B57FDF" w:rsidP="009B24DE" w14:paraId="554D1096" w14:textId="19436105">
      <w:pPr>
        <w:pStyle w:val="JuPara"/>
      </w:pPr>
      <w:r>
        <w:fldChar w:fldCharType="begin"/>
      </w:r>
      <w:r>
        <w:instrText xml:space="preserve"> SEQ level0 \*arabic \* MERGEFORMAT </w:instrText>
      </w:r>
      <w:r>
        <w:fldChar w:fldCharType="separate"/>
      </w:r>
      <w:r w:rsidR="001E7256">
        <w:rPr>
          <w:noProof/>
        </w:rPr>
        <w:t>1</w:t>
      </w:r>
      <w:r w:rsidR="001E7256">
        <w:rPr>
          <w:noProof/>
        </w:rPr>
        <w:fldChar w:fldCharType="end"/>
      </w:r>
      <w:r w:rsidRPr="009B24DE">
        <w:t>.  The applicants form same-sex couples who complained under Article 8 of the Convention that their marriages, contracted abroad, had not been registered in Poland while there had been no other form of legal recognition and protection for their respective relationships.</w:t>
      </w:r>
    </w:p>
    <w:p w:rsidRPr="009B24DE" w:rsidR="00B57FDF" w:rsidP="009B24DE" w14:paraId="08821CB1" w14:textId="4F8B97CD">
      <w:pPr>
        <w:pStyle w:val="JuHIRoman"/>
      </w:pPr>
      <w:r w:rsidRPr="009B24DE">
        <w:t>THE FIRST AND SECOND APPLICANTS (M</w:t>
      </w:r>
      <w:r w:rsidRPr="009B24DE" w:rsidR="00FA0379">
        <w:rPr>
          <w:caps w:val="0"/>
          <w:smallCaps/>
        </w:rPr>
        <w:t>s</w:t>
      </w:r>
      <w:r w:rsidRPr="009B24DE">
        <w:t xml:space="preserve"> K. FORMELA AND M</w:t>
      </w:r>
      <w:r w:rsidRPr="009B24DE" w:rsidR="00680A62">
        <w:rPr>
          <w:caps w:val="0"/>
          <w:smallCaps/>
        </w:rPr>
        <w:t>s</w:t>
      </w:r>
      <w:r w:rsidRPr="009B24DE">
        <w:t xml:space="preserve"> S. FORMELA)</w:t>
      </w:r>
    </w:p>
    <w:p w:rsidRPr="009B24DE" w:rsidR="00B57FDF" w:rsidP="009B24DE" w14:paraId="02936FBF" w14:textId="77777777">
      <w:pPr>
        <w:pStyle w:val="JuHA"/>
      </w:pPr>
      <w:r w:rsidRPr="009B24DE">
        <w:t xml:space="preserve">Proceedings relating to donation, tax returns, social benefits and health </w:t>
      </w:r>
      <w:r w:rsidRPr="009B24DE">
        <w:t>insurance</w:t>
      </w:r>
    </w:p>
    <w:bookmarkStart w:name="facts_donation_start" w:id="0"/>
    <w:p w:rsidRPr="009B24DE" w:rsidR="00B57FDF" w:rsidP="009B24DE" w14:paraId="6D32A3C3" w14:textId="709D1FCA">
      <w:pPr>
        <w:pStyle w:val="JuPara"/>
      </w:pPr>
      <w:r w:rsidRPr="009B24DE">
        <w:fldChar w:fldCharType="begin"/>
      </w:r>
      <w:r w:rsidRPr="009B24DE">
        <w:instrText xml:space="preserve"> SEQ level0 \*arabic \* MERGEFORMAT </w:instrText>
      </w:r>
      <w:r w:rsidRPr="009B24DE">
        <w:fldChar w:fldCharType="separate"/>
      </w:r>
      <w:r w:rsidR="001E7256">
        <w:rPr>
          <w:noProof/>
        </w:rPr>
        <w:t>2</w:t>
      </w:r>
      <w:r w:rsidRPr="009B24DE">
        <w:fldChar w:fldCharType="end"/>
      </w:r>
      <w:bookmarkEnd w:id="0"/>
      <w:r w:rsidRPr="009B24DE">
        <w:t>.  In June 2009 the first applicant received a donation from the second applicant. She indicated to the tax office that the donation was from her “spouse” (being the first and closest group of affiliation, allowed to receive tax free donations). In September 2009 the tax office established that the first applicant was due to pay tax on the donation since it was received from a</w:t>
      </w:r>
      <w:r w:rsidRPr="009B24DE" w:rsidR="00844AE5">
        <w:t> </w:t>
      </w:r>
      <w:r w:rsidRPr="009B24DE">
        <w:t>person falling within the third group – no affiliation. The first applicant appealed but the ruling was upheld on 20 March 2012 by the Supreme Administrative Court.</w:t>
      </w:r>
    </w:p>
    <w:p w:rsidRPr="009B24DE" w:rsidR="00B57FDF" w:rsidP="009B24DE" w14:paraId="4AC16495" w14:textId="72429D59">
      <w:pPr>
        <w:pStyle w:val="JuPara"/>
      </w:pPr>
      <w:r>
        <w:fldChar w:fldCharType="begin"/>
      </w:r>
      <w:r>
        <w:instrText xml:space="preserve"> SEQ level0 \*arabic \* MERGEFORMAT </w:instrText>
      </w:r>
      <w:r>
        <w:fldChar w:fldCharType="separate"/>
      </w:r>
      <w:r w:rsidR="001E7256">
        <w:rPr>
          <w:noProof/>
        </w:rPr>
        <w:t>3</w:t>
      </w:r>
      <w:r w:rsidR="001E7256">
        <w:rPr>
          <w:noProof/>
        </w:rPr>
        <w:fldChar w:fldCharType="end"/>
      </w:r>
      <w:r w:rsidRPr="009B24DE">
        <w:t xml:space="preserve">.  In April 2009 the applicants submitted a joint tax return as spouses. The tax authorities recalculated their tax obligations </w:t>
      </w:r>
      <w:r w:rsidRPr="009B24DE">
        <w:t>in view of the fact that</w:t>
      </w:r>
      <w:r w:rsidRPr="009B24DE">
        <w:t xml:space="preserve"> they were not allowed by law to submit a joint tax return. On 20 March 2012 the Supreme Administrative Court dismissed the applicants</w:t>
      </w:r>
      <w:r w:rsidR="001E7256">
        <w:t>’</w:t>
      </w:r>
      <w:r w:rsidRPr="009B24DE">
        <w:t xml:space="preserve"> cassation appeals.</w:t>
      </w:r>
    </w:p>
    <w:bookmarkStart w:name="facts_benefit_start" w:id="1"/>
    <w:bookmarkStart w:name="facts_CCT_legOmission" w:id="2"/>
    <w:p w:rsidRPr="009B24DE" w:rsidR="00B57FDF" w:rsidP="009B24DE" w14:paraId="783C7288" w14:textId="7356D856">
      <w:pPr>
        <w:pStyle w:val="JuPara"/>
      </w:pPr>
      <w:r w:rsidRPr="009B24DE">
        <w:fldChar w:fldCharType="begin"/>
      </w:r>
      <w:r w:rsidRPr="009B24DE">
        <w:instrText xml:space="preserve"> SEQ level0 \*arabic \* MERGEFORMAT </w:instrText>
      </w:r>
      <w:r w:rsidRPr="009B24DE">
        <w:fldChar w:fldCharType="separate"/>
      </w:r>
      <w:r w:rsidR="001E7256">
        <w:rPr>
          <w:noProof/>
        </w:rPr>
        <w:t>4</w:t>
      </w:r>
      <w:r w:rsidRPr="009B24DE">
        <w:fldChar w:fldCharType="end"/>
      </w:r>
      <w:bookmarkEnd w:id="1"/>
      <w:bookmarkEnd w:id="2"/>
      <w:r w:rsidRPr="009B24DE">
        <w:t xml:space="preserve">.  In August 2009 the second applicant was on leave to care for her sick partner, the first applicant, and applied for benefits to care for a sick spouse. The authorities dismissed the request (the final judgment was delivered by the </w:t>
      </w:r>
      <w:r w:rsidRPr="009B24DE">
        <w:t>Gdańsk</w:t>
      </w:r>
      <w:r w:rsidRPr="009B24DE">
        <w:t xml:space="preserve"> Regional Court on 3 September 2010). On 12 October 2011 the Constitutional Court refused to examine the constitutional complaint lodged by the first applicant. The court considered that the case concerned a lack of regulation: a legislative omission rather than the incompatibility of a</w:t>
      </w:r>
      <w:r w:rsidRPr="009B24DE" w:rsidR="00844AE5">
        <w:t> </w:t>
      </w:r>
      <w:r w:rsidRPr="009B24DE">
        <w:t>regulation with the Constitution.</w:t>
      </w:r>
    </w:p>
    <w:p w:rsidRPr="009B24DE" w:rsidR="00B57FDF" w:rsidP="009B24DE" w14:paraId="4202B368" w14:textId="60208562">
      <w:pPr>
        <w:pStyle w:val="JuPara"/>
      </w:pPr>
      <w:r w:rsidRPr="009B24DE">
        <w:rPr>
          <w:bCs/>
        </w:rPr>
        <w:fldChar w:fldCharType="begin"/>
      </w:r>
      <w:r w:rsidRPr="009B24DE">
        <w:rPr>
          <w:bCs/>
        </w:rPr>
        <w:instrText xml:space="preserve"> SEQ level0 \*arabic \* MERGEFORMAT </w:instrText>
      </w:r>
      <w:r w:rsidRPr="009B24DE">
        <w:rPr>
          <w:bCs/>
        </w:rPr>
        <w:fldChar w:fldCharType="separate"/>
      </w:r>
      <w:r w:rsidR="001E7256">
        <w:rPr>
          <w:bCs/>
          <w:noProof/>
        </w:rPr>
        <w:t>5</w:t>
      </w:r>
      <w:r w:rsidRPr="009B24DE">
        <w:rPr>
          <w:bCs/>
        </w:rPr>
        <w:fldChar w:fldCharType="end"/>
      </w:r>
      <w:r w:rsidRPr="009B24DE">
        <w:rPr>
          <w:bCs/>
        </w:rPr>
        <w:t xml:space="preserve">.  On 24 September 2012 the second applicant lodged a request to extend her health insurance to cover the first applicant. The authorities refused the request, finding that the first applicant could not be insured as the </w:t>
      </w:r>
      <w:r w:rsidRPr="009B24DE" w:rsidR="00C80302">
        <w:rPr>
          <w:bCs/>
        </w:rPr>
        <w:t>second</w:t>
      </w:r>
      <w:r w:rsidRPr="009B24DE">
        <w:rPr>
          <w:bCs/>
        </w:rPr>
        <w:t xml:space="preserve"> applicant</w:t>
      </w:r>
      <w:r w:rsidR="001E7256">
        <w:rPr>
          <w:bCs/>
        </w:rPr>
        <w:t>’</w:t>
      </w:r>
      <w:r w:rsidRPr="009B24DE">
        <w:rPr>
          <w:bCs/>
        </w:rPr>
        <w:t>s family member because this was not allowed for by law. Their final appeal was dismissed on 25 October 2016 by the Supreme Administrative Court.</w:t>
      </w:r>
    </w:p>
    <w:p w:rsidRPr="009B24DE" w:rsidR="00B57FDF" w:rsidP="009B24DE" w14:paraId="7CA97B1D" w14:textId="77777777">
      <w:pPr>
        <w:pStyle w:val="JuHA"/>
      </w:pPr>
      <w:r w:rsidRPr="009B24DE">
        <w:t xml:space="preserve">Proceedings to register a marriage contracted </w:t>
      </w:r>
      <w:r w:rsidRPr="009B24DE">
        <w:t>abroad</w:t>
      </w:r>
    </w:p>
    <w:p w:rsidRPr="009B24DE" w:rsidR="00B57FDF" w:rsidP="009B24DE" w14:paraId="0CE4FBAD" w14:textId="216580A0">
      <w:pPr>
        <w:pStyle w:val="JuPara"/>
        <w:rPr>
          <w:bCs/>
        </w:rPr>
      </w:pPr>
      <w:r w:rsidRPr="009B24DE">
        <w:fldChar w:fldCharType="begin"/>
      </w:r>
      <w:r w:rsidRPr="009B24DE">
        <w:instrText xml:space="preserve"> SEQ level0 \*arabic </w:instrText>
      </w:r>
      <w:r w:rsidRPr="009B24DE">
        <w:fldChar w:fldCharType="separate"/>
      </w:r>
      <w:r w:rsidR="001E7256">
        <w:rPr>
          <w:noProof/>
        </w:rPr>
        <w:t>6</w:t>
      </w:r>
      <w:r w:rsidRPr="009B24DE">
        <w:fldChar w:fldCharType="end"/>
      </w:r>
      <w:r w:rsidRPr="009B24DE">
        <w:t>.  </w:t>
      </w:r>
      <w:r w:rsidRPr="009B24DE">
        <w:rPr>
          <w:bCs/>
        </w:rPr>
        <w:t xml:space="preserve">On 16 January 2015 the first and second applicants were married in the United Kingdom. Subsequently they requested the </w:t>
      </w:r>
      <w:r w:rsidRPr="009B24DE">
        <w:rPr>
          <w:bCs/>
        </w:rPr>
        <w:t>Gdańsk</w:t>
      </w:r>
      <w:r w:rsidRPr="009B24DE">
        <w:rPr>
          <w:bCs/>
        </w:rPr>
        <w:t xml:space="preserve"> Civil Status Office to register their marriage contracted abroad.</w:t>
      </w:r>
    </w:p>
    <w:p w:rsidRPr="009B24DE" w:rsidR="00B57FDF" w:rsidP="009B24DE" w14:paraId="4797E44E" w14:textId="64607E3E">
      <w:pPr>
        <w:pStyle w:val="JuPara"/>
        <w:rPr>
          <w:bCs/>
        </w:rPr>
      </w:pPr>
      <w:r w:rsidRPr="009B24DE">
        <w:rPr>
          <w:bCs/>
        </w:rPr>
        <w:fldChar w:fldCharType="begin"/>
      </w:r>
      <w:r w:rsidRPr="009B24DE">
        <w:rPr>
          <w:bCs/>
        </w:rPr>
        <w:instrText xml:space="preserve"> SEQ level0 \*arabic \* MERGEFORMAT </w:instrText>
      </w:r>
      <w:r w:rsidRPr="009B24DE">
        <w:rPr>
          <w:bCs/>
        </w:rPr>
        <w:fldChar w:fldCharType="separate"/>
      </w:r>
      <w:r w:rsidR="001E7256">
        <w:rPr>
          <w:bCs/>
          <w:noProof/>
        </w:rPr>
        <w:t>7</w:t>
      </w:r>
      <w:r w:rsidRPr="009B24DE">
        <w:fldChar w:fldCharType="end"/>
      </w:r>
      <w:r w:rsidRPr="009B24DE">
        <w:rPr>
          <w:bCs/>
        </w:rPr>
        <w:t xml:space="preserve">.  On 7 July 2015 the Head of the </w:t>
      </w:r>
      <w:r w:rsidRPr="009B24DE">
        <w:rPr>
          <w:bCs/>
        </w:rPr>
        <w:t>Gdańsk</w:t>
      </w:r>
      <w:r w:rsidRPr="009B24DE">
        <w:rPr>
          <w:bCs/>
        </w:rPr>
        <w:t xml:space="preserve"> Civil Status Office dismissed both applications, finding that registering their marriage would be contrary to Polish legal order in breach of, </w:t>
      </w:r>
      <w:r w:rsidRPr="009B24DE">
        <w:rPr>
          <w:bCs/>
          <w:i/>
          <w:iCs/>
        </w:rPr>
        <w:t>inter alia,</w:t>
      </w:r>
      <w:r w:rsidRPr="009B24DE">
        <w:rPr>
          <w:bCs/>
        </w:rPr>
        <w:t xml:space="preserve"> Article 18 of the Constitution which provided that a marriage was only possible between two people of opposite sex. The applicants </w:t>
      </w:r>
      <w:r w:rsidRPr="009B24DE">
        <w:rPr>
          <w:bCs/>
        </w:rPr>
        <w:t xml:space="preserve">appealed, but the </w:t>
      </w:r>
      <w:r w:rsidRPr="009B24DE">
        <w:rPr>
          <w:bCs/>
        </w:rPr>
        <w:t>Pomorskie</w:t>
      </w:r>
      <w:r w:rsidRPr="009B24DE">
        <w:rPr>
          <w:bCs/>
        </w:rPr>
        <w:t xml:space="preserve"> Governor upheld the decision, as did the </w:t>
      </w:r>
      <w:r w:rsidRPr="009B24DE">
        <w:rPr>
          <w:bCs/>
        </w:rPr>
        <w:t>Gdańsk</w:t>
      </w:r>
      <w:r w:rsidRPr="009B24DE">
        <w:rPr>
          <w:bCs/>
        </w:rPr>
        <w:t xml:space="preserve"> Regional Administrative Court and the Supreme Administrative Court (on 28 February 2018).</w:t>
      </w:r>
    </w:p>
    <w:p w:rsidRPr="009B24DE" w:rsidR="00B57FDF" w:rsidP="009B24DE" w14:paraId="291E509D" w14:textId="2E7EBFAA">
      <w:pPr>
        <w:pStyle w:val="JuHIRoman"/>
      </w:pPr>
      <w:r w:rsidRPr="009B24DE">
        <w:rPr>
          <w:caps w:val="0"/>
        </w:rPr>
        <w:t>THE THIRD AND FOURTH APPLICANTS (</w:t>
      </w:r>
      <w:r w:rsidRPr="009B24DE" w:rsidR="00F02067">
        <w:t>M</w:t>
      </w:r>
      <w:r w:rsidRPr="009B24DE" w:rsidR="00F02067">
        <w:rPr>
          <w:caps w:val="0"/>
          <w:smallCaps/>
        </w:rPr>
        <w:t>s</w:t>
      </w:r>
      <w:r w:rsidRPr="009B24DE">
        <w:rPr>
          <w:caps w:val="0"/>
        </w:rPr>
        <w:t xml:space="preserve"> M. HANDZLIK-ROSUŁ AND </w:t>
      </w:r>
      <w:r w:rsidRPr="009B24DE" w:rsidR="00F02067">
        <w:t>M</w:t>
      </w:r>
      <w:r w:rsidRPr="009B24DE" w:rsidR="00F02067">
        <w:rPr>
          <w:caps w:val="0"/>
          <w:smallCaps/>
        </w:rPr>
        <w:t>s</w:t>
      </w:r>
      <w:r w:rsidRPr="009B24DE">
        <w:rPr>
          <w:caps w:val="0"/>
        </w:rPr>
        <w:t xml:space="preserve"> A. ROSUŁ)</w:t>
      </w:r>
    </w:p>
    <w:p w:rsidRPr="009B24DE" w:rsidR="00B57FDF" w:rsidP="009B24DE" w14:paraId="0B076D6E" w14:textId="716FCD5A">
      <w:pPr>
        <w:pStyle w:val="JuPara"/>
        <w:rPr>
          <w:bCs/>
        </w:rPr>
      </w:pPr>
      <w:r>
        <w:fldChar w:fldCharType="begin"/>
      </w:r>
      <w:r>
        <w:instrText xml:space="preserve"> SEQ level0 \*arabic \* MERGEFORMAT </w:instrText>
      </w:r>
      <w:r>
        <w:fldChar w:fldCharType="separate"/>
      </w:r>
      <w:r w:rsidR="001E7256">
        <w:rPr>
          <w:noProof/>
        </w:rPr>
        <w:t>8</w:t>
      </w:r>
      <w:r w:rsidR="001E7256">
        <w:rPr>
          <w:noProof/>
        </w:rPr>
        <w:fldChar w:fldCharType="end"/>
      </w:r>
      <w:r w:rsidRPr="009B24DE">
        <w:t xml:space="preserve">.  On 7 November 2015 the third and fourth applicants were married in Denmark. </w:t>
      </w:r>
      <w:r w:rsidRPr="009B24DE">
        <w:rPr>
          <w:bCs/>
        </w:rPr>
        <w:t xml:space="preserve">Subsequently, they requested the </w:t>
      </w:r>
      <w:r w:rsidRPr="009B24DE">
        <w:rPr>
          <w:bCs/>
        </w:rPr>
        <w:t>Gdańsk</w:t>
      </w:r>
      <w:r w:rsidRPr="009B24DE">
        <w:rPr>
          <w:bCs/>
        </w:rPr>
        <w:t xml:space="preserve"> Civil Status Office to register their marriage contracted abroad.</w:t>
      </w:r>
    </w:p>
    <w:p w:rsidRPr="009B24DE" w:rsidR="00B57FDF" w:rsidP="009B24DE" w14:paraId="36FDD8FF" w14:textId="41D7968E">
      <w:pPr>
        <w:pStyle w:val="JuPara"/>
        <w:rPr>
          <w:bCs/>
        </w:rPr>
      </w:pPr>
      <w:r>
        <w:fldChar w:fldCharType="begin"/>
      </w:r>
      <w:r>
        <w:instrText xml:space="preserve"> SEQ level0 \*arabic \* MERGEFORMAT </w:instrText>
      </w:r>
      <w:r>
        <w:fldChar w:fldCharType="separate"/>
      </w:r>
      <w:r w:rsidR="001E7256">
        <w:rPr>
          <w:noProof/>
        </w:rPr>
        <w:t>9</w:t>
      </w:r>
      <w:r w:rsidR="001E7256">
        <w:rPr>
          <w:noProof/>
        </w:rPr>
        <w:fldChar w:fldCharType="end"/>
      </w:r>
      <w:r w:rsidRPr="009B24DE">
        <w:t>.  On 5 November 2018 the authorities dismissed the request because it would have been contrary to the Polish legal order which allowed only for a</w:t>
      </w:r>
      <w:r w:rsidRPr="009B24DE" w:rsidR="00844AE5">
        <w:t> </w:t>
      </w:r>
      <w:r w:rsidRPr="009B24DE">
        <w:t>marriage between a man and a woman. The applicants</w:t>
      </w:r>
      <w:r w:rsidR="001E7256">
        <w:t>’</w:t>
      </w:r>
      <w:r w:rsidRPr="009B24DE">
        <w:t xml:space="preserve"> appeals were dismissed by the </w:t>
      </w:r>
      <w:r w:rsidRPr="009B24DE">
        <w:t>Pomorskie</w:t>
      </w:r>
      <w:r w:rsidRPr="009B24DE">
        <w:t xml:space="preserve"> Governor on 1 July 2019 (</w:t>
      </w:r>
      <w:r w:rsidRPr="009B24DE">
        <w:rPr>
          <w:bCs/>
        </w:rPr>
        <w:t>notified on 10 July 2019).</w:t>
      </w:r>
    </w:p>
    <w:p w:rsidRPr="009B24DE" w:rsidR="00B57FDF" w:rsidP="009B24DE" w14:paraId="437A85C7" w14:textId="78B500CF">
      <w:pPr>
        <w:pStyle w:val="JuHIRoman"/>
      </w:pPr>
      <w:r w:rsidRPr="009B24DE">
        <w:rPr>
          <w:caps w:val="0"/>
        </w:rPr>
        <w:t>COMPLAINTS</w:t>
      </w:r>
    </w:p>
    <w:p w:rsidRPr="009B24DE" w:rsidR="00B57FDF" w:rsidP="009B24DE" w14:paraId="4E6B06A6" w14:textId="16668858">
      <w:pPr>
        <w:pStyle w:val="JuPara"/>
        <w:rPr>
          <w:bCs/>
        </w:rPr>
      </w:pPr>
      <w:r w:rsidRPr="009B24DE">
        <w:rPr>
          <w:bCs/>
        </w:rPr>
        <w:fldChar w:fldCharType="begin"/>
      </w:r>
      <w:r w:rsidRPr="009B24DE">
        <w:rPr>
          <w:bCs/>
        </w:rPr>
        <w:instrText xml:space="preserve"> SEQ level0 \*arabic </w:instrText>
      </w:r>
      <w:r w:rsidRPr="009B24DE">
        <w:rPr>
          <w:bCs/>
        </w:rPr>
        <w:fldChar w:fldCharType="separate"/>
      </w:r>
      <w:r w:rsidR="001E7256">
        <w:rPr>
          <w:bCs/>
          <w:noProof/>
        </w:rPr>
        <w:t>10</w:t>
      </w:r>
      <w:r w:rsidRPr="009B24DE">
        <w:rPr>
          <w:bCs/>
        </w:rPr>
        <w:fldChar w:fldCharType="end"/>
      </w:r>
      <w:r w:rsidRPr="009B24DE">
        <w:rPr>
          <w:bCs/>
        </w:rPr>
        <w:t>.  The applicants complained under Article 8 of the Convention of a total lack of recognition of their relationships as couples in Poland, in that it was impossible for them to enter together into any type of legally recognised union. The applicants further complained that their marriages contracted abroad were not recognised by the Polish authorities in any way.</w:t>
      </w:r>
    </w:p>
    <w:p w:rsidRPr="009B24DE" w:rsidR="00B57FDF" w:rsidP="009B24DE" w14:paraId="7AEAE299" w14:textId="4FF58D0B">
      <w:pPr>
        <w:pStyle w:val="JuHHead"/>
      </w:pPr>
      <w:r w:rsidRPr="009B24DE">
        <w:t>THE COURT</w:t>
      </w:r>
      <w:r w:rsidR="001E7256">
        <w:t>’</w:t>
      </w:r>
      <w:r w:rsidRPr="009B24DE">
        <w:t>S ASSESSMENT</w:t>
      </w:r>
    </w:p>
    <w:p w:rsidRPr="009B24DE" w:rsidR="00B57FDF" w:rsidP="009B24DE" w14:paraId="2003EEB0" w14:textId="77777777">
      <w:pPr>
        <w:pStyle w:val="JuHIRoman"/>
      </w:pPr>
      <w:r w:rsidRPr="009B24DE">
        <w:t>JOINDER OF THE APPLICATIONS</w:t>
      </w:r>
    </w:p>
    <w:p w:rsidRPr="009B24DE" w:rsidR="00B57FDF" w:rsidP="009B24DE" w14:paraId="51E88704" w14:textId="150D16EE">
      <w:pPr>
        <w:pStyle w:val="JuPara"/>
      </w:pPr>
      <w:r>
        <w:fldChar w:fldCharType="begin"/>
      </w:r>
      <w:r>
        <w:instrText xml:space="preserve"> SEQ level0 \*arabic \* MERGEFORMAT </w:instrText>
      </w:r>
      <w:r>
        <w:fldChar w:fldCharType="separate"/>
      </w:r>
      <w:r w:rsidR="001E7256">
        <w:rPr>
          <w:noProof/>
        </w:rPr>
        <w:t>11</w:t>
      </w:r>
      <w:r w:rsidR="001E7256">
        <w:rPr>
          <w:noProof/>
        </w:rPr>
        <w:fldChar w:fldCharType="end"/>
      </w:r>
      <w:r w:rsidRPr="009B24DE">
        <w:t>.  Having regard to the similar subject matter of the applications, the Court finds it appropriate to examine them jointly in a single judgment.</w:t>
      </w:r>
    </w:p>
    <w:p w:rsidRPr="009B24DE" w:rsidR="00B57FDF" w:rsidP="009B24DE" w14:paraId="60907D51" w14:textId="77777777">
      <w:pPr>
        <w:pStyle w:val="JuHIRoman"/>
      </w:pPr>
      <w:r w:rsidRPr="009B24DE">
        <w:t>ALLEGED VIOLATION OF ARTICLE 8 OF THE CONVENTION</w:t>
      </w:r>
    </w:p>
    <w:p w:rsidRPr="009B24DE" w:rsidR="00B57FDF" w:rsidP="009B24DE" w14:paraId="2224769A" w14:textId="77777777">
      <w:pPr>
        <w:pStyle w:val="JuHA"/>
      </w:pPr>
      <w:r w:rsidRPr="009B24DE">
        <w:t>Admissibility</w:t>
      </w:r>
    </w:p>
    <w:p w:rsidRPr="009B24DE" w:rsidR="00B57FDF" w:rsidP="009B24DE" w14:paraId="5BFE5732" w14:textId="6E8E3CD1">
      <w:pPr>
        <w:pStyle w:val="JuPara"/>
      </w:pPr>
      <w:r>
        <w:fldChar w:fldCharType="begin"/>
      </w:r>
      <w:r>
        <w:instrText xml:space="preserve"> SEQ level0 \*arabic \* MERGEFORMAT </w:instrText>
      </w:r>
      <w:r>
        <w:fldChar w:fldCharType="separate"/>
      </w:r>
      <w:r w:rsidR="001E7256">
        <w:rPr>
          <w:noProof/>
        </w:rPr>
        <w:t>12</w:t>
      </w:r>
      <w:r w:rsidR="001E7256">
        <w:rPr>
          <w:noProof/>
        </w:rPr>
        <w:fldChar w:fldCharType="end"/>
      </w:r>
      <w:r w:rsidRPr="009B24DE">
        <w:t xml:space="preserve">.  The Government raised a preliminary objection on non-exhaustion of domestic remedies in respect of the third and fourth applicants, who did not appeal against the decision of the </w:t>
      </w:r>
      <w:r w:rsidRPr="009B24DE">
        <w:t>Pomorskie</w:t>
      </w:r>
      <w:r w:rsidRPr="009B24DE">
        <w:t xml:space="preserve"> Governor of 1 July 2019.</w:t>
      </w:r>
    </w:p>
    <w:p w:rsidRPr="009B24DE" w:rsidR="00B57FDF" w:rsidP="009B24DE" w14:paraId="64119522" w14:textId="2E2085AF">
      <w:pPr>
        <w:pStyle w:val="JuPara"/>
      </w:pPr>
      <w:r>
        <w:fldChar w:fldCharType="begin"/>
      </w:r>
      <w:r>
        <w:instrText xml:space="preserve"> SEQ level0 \*arabic \* MERGEFORMAT </w:instrText>
      </w:r>
      <w:r>
        <w:fldChar w:fldCharType="separate"/>
      </w:r>
      <w:r w:rsidR="001E7256">
        <w:rPr>
          <w:noProof/>
        </w:rPr>
        <w:t>13</w:t>
      </w:r>
      <w:r w:rsidR="001E7256">
        <w:rPr>
          <w:noProof/>
        </w:rPr>
        <w:fldChar w:fldCharType="end"/>
      </w:r>
      <w:r w:rsidRPr="009B24DE">
        <w:t>.  However, the Court notes that the first two applicants, who were in a</w:t>
      </w:r>
      <w:r w:rsidRPr="009B24DE" w:rsidR="00844AE5">
        <w:t> </w:t>
      </w:r>
      <w:r w:rsidRPr="009B24DE">
        <w:t xml:space="preserve">similar situation, appealed against their decision, firstly to the Regional Administrative Court and later to the </w:t>
      </w:r>
      <w:r w:rsidRPr="009B24DE">
        <w:t>Supreme Administrative Court. Both courts upheld the administrative decisions as based on clear domestic law and jurisprudence, confirming that the registration of foreign same-sex marriages would be considered as breaching the fundamental principles of the Polish legal order.</w:t>
      </w:r>
    </w:p>
    <w:p w:rsidRPr="009B24DE" w:rsidR="00B57FDF" w:rsidP="009B24DE" w14:paraId="39D0A735" w14:textId="4AB89926">
      <w:pPr>
        <w:pStyle w:val="JuPara"/>
      </w:pPr>
      <w:r>
        <w:fldChar w:fldCharType="begin"/>
      </w:r>
      <w:r>
        <w:instrText xml:space="preserve"> SEQ level0 \*arabic \* MERGEFORMAT </w:instrText>
      </w:r>
      <w:r>
        <w:fldChar w:fldCharType="separate"/>
      </w:r>
      <w:r w:rsidR="001E7256">
        <w:rPr>
          <w:noProof/>
        </w:rPr>
        <w:t>14</w:t>
      </w:r>
      <w:r w:rsidR="001E7256">
        <w:rPr>
          <w:noProof/>
        </w:rPr>
        <w:fldChar w:fldCharType="end"/>
      </w:r>
      <w:r w:rsidRPr="009B24DE">
        <w:t>.  The Government also argued that the applicants had failed to complain to the Constitutional Court. The Court considers that there are strong doubts as to the admissibility of a constitutional complaint in a case concerning the impossibility of registering in Poland a same</w:t>
      </w:r>
      <w:r w:rsidRPr="009B24DE">
        <w:noBreakHyphen/>
        <w:t>sex marriage contracted abroad, and the lack of any other form of recognition and protection for such couples, as similar complaints had in the past been characterised as a legislative omission, the examination of which was outside the competence of the Constitutional Court (</w:t>
      </w:r>
      <w:bookmarkStart w:name="_cl43913" w:id="3"/>
      <w:r w:rsidRPr="009B24DE">
        <w:t xml:space="preserve">see </w:t>
      </w:r>
      <w:r w:rsidRPr="009B24DE">
        <w:rPr>
          <w:i/>
          <w:iCs/>
        </w:rPr>
        <w:t>Przybyszewska</w:t>
      </w:r>
      <w:r w:rsidRPr="009B24DE">
        <w:rPr>
          <w:i/>
          <w:iCs/>
        </w:rPr>
        <w:t xml:space="preserve"> and Others v.</w:t>
      </w:r>
      <w:r w:rsidRPr="009B24DE" w:rsidR="00996996">
        <w:rPr>
          <w:i/>
          <w:iCs/>
        </w:rPr>
        <w:t> </w:t>
      </w:r>
      <w:r w:rsidRPr="009B24DE">
        <w:rPr>
          <w:i/>
          <w:iCs/>
        </w:rPr>
        <w:t>Poland</w:t>
      </w:r>
      <w:bookmarkEnd w:id="3"/>
      <w:r w:rsidRPr="009B24DE">
        <w:t>, nos. 11454/17 and 9 others, § 53, 12 December 2023). Indeed, the first applicant lodged a constitutional complaint in one of her cases, which the Constitutional Court refused to examine, considering that the matter should be characterised as a legislative omission (see paragraph </w:t>
      </w:r>
      <w:r w:rsidRPr="009B24DE">
        <w:fldChar w:fldCharType="begin"/>
      </w:r>
      <w:r w:rsidRPr="009B24DE">
        <w:instrText xml:space="preserve"> REF facts_CCT_legOmission \h </w:instrText>
      </w:r>
      <w:r w:rsidRPr="009B24DE">
        <w:fldChar w:fldCharType="separate"/>
      </w:r>
      <w:r w:rsidR="001E7256">
        <w:rPr>
          <w:noProof/>
        </w:rPr>
        <w:t>4</w:t>
      </w:r>
      <w:r w:rsidRPr="009B24DE">
        <w:fldChar w:fldCharType="end"/>
      </w:r>
      <w:r w:rsidRPr="009B24DE">
        <w:t xml:space="preserve"> above).</w:t>
      </w:r>
    </w:p>
    <w:p w:rsidRPr="009B24DE" w:rsidR="00B57FDF" w:rsidP="009B24DE" w14:paraId="14AB6E87" w14:textId="58864E8E">
      <w:pPr>
        <w:pStyle w:val="JuPara"/>
      </w:pPr>
      <w:r>
        <w:fldChar w:fldCharType="begin"/>
      </w:r>
      <w:r>
        <w:instrText xml:space="preserve"> SEQ level0 \*arabic \* MERGEFORMAT </w:instrText>
      </w:r>
      <w:r>
        <w:fldChar w:fldCharType="separate"/>
      </w:r>
      <w:r w:rsidR="001E7256">
        <w:rPr>
          <w:noProof/>
        </w:rPr>
        <w:t>15</w:t>
      </w:r>
      <w:r w:rsidR="001E7256">
        <w:rPr>
          <w:noProof/>
        </w:rPr>
        <w:fldChar w:fldCharType="end"/>
      </w:r>
      <w:r w:rsidRPr="009B24DE">
        <w:t>.  The Court concludes that the applicants should be considered to have exhausted domestic remedies and dismisses the Government</w:t>
      </w:r>
      <w:r w:rsidR="001E7256">
        <w:t>’</w:t>
      </w:r>
      <w:r w:rsidRPr="009B24DE">
        <w:t>s objections in this respect.</w:t>
      </w:r>
    </w:p>
    <w:bookmarkStart w:name="gov_objection_joinder" w:id="4"/>
    <w:p w:rsidRPr="009B24DE" w:rsidR="00B57FDF" w:rsidP="009B24DE" w14:paraId="53624451" w14:textId="106D641B">
      <w:pPr>
        <w:pStyle w:val="JuPara"/>
      </w:pPr>
      <w:r w:rsidRPr="009B24DE">
        <w:fldChar w:fldCharType="begin"/>
      </w:r>
      <w:r w:rsidRPr="009B24DE">
        <w:instrText xml:space="preserve"> SEQ level0 \*arabic \* MERGEFORMAT </w:instrText>
      </w:r>
      <w:r w:rsidRPr="009B24DE">
        <w:fldChar w:fldCharType="separate"/>
      </w:r>
      <w:r w:rsidR="001E7256">
        <w:rPr>
          <w:noProof/>
        </w:rPr>
        <w:t>16</w:t>
      </w:r>
      <w:r w:rsidRPr="009B24DE">
        <w:fldChar w:fldCharType="end"/>
      </w:r>
      <w:bookmarkEnd w:id="4"/>
      <w:r w:rsidRPr="009B24DE">
        <w:t>.  The Government further submitted that no significant disadvantage had been suffered by the applicants and that they could not claim to be victims of the alleged violations of the Convention since, despite unfavourable decisions by the Polish authorities, the applicants continued to live together in their respective couples and did not suffer any damage on account of those decisions. The applicants contested the objections, reiterating that they had no access to core rights that were relevant to any couple in a stable relationship.</w:t>
      </w:r>
    </w:p>
    <w:p w:rsidRPr="009B24DE" w:rsidR="00B57FDF" w:rsidP="009B24DE" w14:paraId="38C436C3" w14:textId="61CBA9C5">
      <w:pPr>
        <w:pStyle w:val="JuPara"/>
      </w:pPr>
      <w:r>
        <w:fldChar w:fldCharType="begin"/>
      </w:r>
      <w:r>
        <w:instrText xml:space="preserve"> SEQ level0 \*arabic \* MERGEFORMAT </w:instrText>
      </w:r>
      <w:r>
        <w:fldChar w:fldCharType="separate"/>
      </w:r>
      <w:r w:rsidR="001E7256">
        <w:rPr>
          <w:noProof/>
        </w:rPr>
        <w:t>17</w:t>
      </w:r>
      <w:r w:rsidR="001E7256">
        <w:rPr>
          <w:noProof/>
        </w:rPr>
        <w:fldChar w:fldCharType="end"/>
      </w:r>
      <w:r w:rsidRPr="009B24DE">
        <w:t>.  The Court finds that both objections are phrased in similar terms and are closely linked to the merits of the complaint that the applicants</w:t>
      </w:r>
      <w:r w:rsidR="001E7256">
        <w:t>’</w:t>
      </w:r>
      <w:r w:rsidRPr="009B24DE">
        <w:t xml:space="preserve"> Convention rights were breached by the lack of legal recognition of same-sex unions. Accordingly, it joins these objections to the merits.</w:t>
      </w:r>
    </w:p>
    <w:p w:rsidRPr="009B24DE" w:rsidR="00B57FDF" w:rsidP="009B24DE" w14:paraId="5A75A597" w14:textId="027CE8BF">
      <w:pPr>
        <w:pStyle w:val="JuPara"/>
      </w:pPr>
      <w:r>
        <w:fldChar w:fldCharType="begin"/>
      </w:r>
      <w:r>
        <w:instrText xml:space="preserve"> SEQ level0 \*arabic \* MERGEFORMAT </w:instrText>
      </w:r>
      <w:r>
        <w:fldChar w:fldCharType="separate"/>
      </w:r>
      <w:r w:rsidR="001E7256">
        <w:rPr>
          <w:noProof/>
        </w:rPr>
        <w:t>18</w:t>
      </w:r>
      <w:r w:rsidR="001E7256">
        <w:rPr>
          <w:noProof/>
        </w:rPr>
        <w:fldChar w:fldCharType="end"/>
      </w:r>
      <w:r w:rsidRPr="009B24DE">
        <w:t>.  It follows that this complaint is not manifestly ill-founded within the meaning of Article 35 § 3 (a) of the Convention or inadmissible on any other grounds. It must therefore be declared admissible.</w:t>
      </w:r>
    </w:p>
    <w:p w:rsidRPr="009B24DE" w:rsidR="00B57FDF" w:rsidP="009B24DE" w14:paraId="6E5E6805" w14:textId="77777777">
      <w:pPr>
        <w:pStyle w:val="JuHA"/>
      </w:pPr>
      <w:r w:rsidRPr="009B24DE">
        <w:t>Merits</w:t>
      </w:r>
    </w:p>
    <w:p w:rsidRPr="009B24DE" w:rsidR="00B57FDF" w:rsidP="009B24DE" w14:paraId="36C983AC" w14:textId="2808D671">
      <w:pPr>
        <w:pStyle w:val="JuPara"/>
      </w:pPr>
      <w:r>
        <w:fldChar w:fldCharType="begin"/>
      </w:r>
      <w:r>
        <w:instrText xml:space="preserve"> SEQ level0 \*arabic \* MERGEFORMAT </w:instrText>
      </w:r>
      <w:r>
        <w:fldChar w:fldCharType="separate"/>
      </w:r>
      <w:r w:rsidR="001E7256">
        <w:rPr>
          <w:noProof/>
        </w:rPr>
        <w:t>19</w:t>
      </w:r>
      <w:r w:rsidR="001E7256">
        <w:rPr>
          <w:noProof/>
        </w:rPr>
        <w:fldChar w:fldCharType="end"/>
      </w:r>
      <w:r w:rsidRPr="009B24DE">
        <w:t>.  The general principles confirming that, in accordance with their positive obligations under Article 8 of the Convention, the member States are required to provide a legal framework allowing same</w:t>
      </w:r>
      <w:r w:rsidRPr="009B24DE">
        <w:noBreakHyphen/>
        <w:t xml:space="preserve">sex couples to be granted adequate recognition and </w:t>
      </w:r>
      <w:r w:rsidRPr="009B24DE">
        <w:t xml:space="preserve">protection of their relationship, are set out in </w:t>
      </w:r>
      <w:r w:rsidRPr="009B24DE">
        <w:rPr>
          <w:i/>
          <w:iCs/>
        </w:rPr>
        <w:t>Fedotova and Others v. Russia</w:t>
      </w:r>
      <w:r w:rsidRPr="009B24DE">
        <w:rPr>
          <w:iCs/>
        </w:rPr>
        <w:t xml:space="preserve"> [GC], nos. 40792/10 and 2 others,</w:t>
      </w:r>
      <w:r w:rsidRPr="009B24DE">
        <w:t xml:space="preserve"> §§ 152</w:t>
      </w:r>
      <w:r w:rsidRPr="009B24DE">
        <w:noBreakHyphen/>
        <w:t>65 and 178</w:t>
      </w:r>
      <w:r w:rsidRPr="009B24DE" w:rsidR="00C80302">
        <w:t>,</w:t>
      </w:r>
      <w:r w:rsidRPr="009B24DE">
        <w:rPr>
          <w:iCs/>
        </w:rPr>
        <w:t xml:space="preserve"> 17 January 2023</w:t>
      </w:r>
      <w:r w:rsidRPr="009B24DE">
        <w:t>.</w:t>
      </w:r>
    </w:p>
    <w:p w:rsidRPr="009B24DE" w:rsidR="00B57FDF" w:rsidP="009B24DE" w14:paraId="6BCD4110" w14:textId="6A899E88">
      <w:pPr>
        <w:pStyle w:val="JuPara"/>
      </w:pPr>
      <w:r>
        <w:fldChar w:fldCharType="begin"/>
      </w:r>
      <w:r>
        <w:instrText xml:space="preserve"> SEQ level0 \*arabic \* MERGEFORMAT </w:instrText>
      </w:r>
      <w:r>
        <w:fldChar w:fldCharType="separate"/>
      </w:r>
      <w:r w:rsidR="001E7256">
        <w:rPr>
          <w:noProof/>
        </w:rPr>
        <w:t>20</w:t>
      </w:r>
      <w:r w:rsidR="001E7256">
        <w:rPr>
          <w:noProof/>
        </w:rPr>
        <w:fldChar w:fldCharType="end"/>
      </w:r>
      <w:r w:rsidRPr="009B24DE">
        <w:t xml:space="preserve">.  In the application of those principles, the Court found in </w:t>
      </w:r>
      <w:r w:rsidRPr="009B24DE">
        <w:rPr>
          <w:i/>
          <w:iCs/>
        </w:rPr>
        <w:t>Przybyszewska</w:t>
      </w:r>
      <w:r w:rsidRPr="009B24DE">
        <w:rPr>
          <w:i/>
          <w:iCs/>
        </w:rPr>
        <w:t xml:space="preserve"> and Others</w:t>
      </w:r>
      <w:r w:rsidRPr="009B24DE">
        <w:t xml:space="preserve"> (cited above, § 122) that Poland had failed to comply with its positive obligation to ensure that the applicants in that case had a specific legal framework providing for the recognition and protection of their same-sex unions, in breach of Article 8 of the Convention.</w:t>
      </w:r>
      <w:bookmarkStart w:name="principles_marriage" w:id="5"/>
    </w:p>
    <w:p w:rsidRPr="009B24DE" w:rsidR="00B57FDF" w:rsidP="009B24DE" w14:paraId="3C45EC03" w14:textId="5F3ECB53">
      <w:pPr>
        <w:pStyle w:val="JuPara"/>
      </w:pPr>
      <w:r>
        <w:fldChar w:fldCharType="begin"/>
      </w:r>
      <w:r>
        <w:instrText xml:space="preserve"> SEQ level0 \*arabic \* MERGEFORMAT </w:instrText>
      </w:r>
      <w:r>
        <w:fldChar w:fldCharType="separate"/>
      </w:r>
      <w:r w:rsidR="001E7256">
        <w:rPr>
          <w:noProof/>
        </w:rPr>
        <w:t>21</w:t>
      </w:r>
      <w:r w:rsidR="001E7256">
        <w:rPr>
          <w:noProof/>
        </w:rPr>
        <w:fldChar w:fldCharType="end"/>
      </w:r>
      <w:bookmarkEnd w:id="5"/>
      <w:r w:rsidRPr="009B24DE">
        <w:t>.  In the case at hand, the applicants did not complain that it was impossible for them to get married in Poland and the Court notes that Articles 8, 12 and 14 of the Convention have to date not been interpreted as imposing a positive obligation on the States Parties to make marriage available to same</w:t>
      </w:r>
      <w:r w:rsidRPr="009B24DE">
        <w:noBreakHyphen/>
        <w:t>sex couples (ibid., § 165).</w:t>
      </w:r>
    </w:p>
    <w:p w:rsidRPr="009B24DE" w:rsidR="00B57FDF" w:rsidP="009B24DE" w14:paraId="617C09D4" w14:textId="0C397600">
      <w:pPr>
        <w:pStyle w:val="JuPara"/>
      </w:pPr>
      <w:r>
        <w:fldChar w:fldCharType="begin"/>
      </w:r>
      <w:r>
        <w:instrText xml:space="preserve"> SEQ level0 \*arabic \* MERGEFORMAT </w:instrText>
      </w:r>
      <w:r>
        <w:fldChar w:fldCharType="separate"/>
      </w:r>
      <w:r w:rsidR="001E7256">
        <w:rPr>
          <w:noProof/>
        </w:rPr>
        <w:t>22</w:t>
      </w:r>
      <w:r w:rsidR="001E7256">
        <w:rPr>
          <w:noProof/>
        </w:rPr>
        <w:fldChar w:fldCharType="end"/>
      </w:r>
      <w:r w:rsidRPr="009B24DE">
        <w:t>.  The Court will focus its examination on the question of whether the respondent State has satisfied its positive obligation to provide a legal framework allowing the applicants to be granted adequate recognition and protection of their relationships (see</w:t>
      </w:r>
      <w:r w:rsidRPr="009B24DE">
        <w:rPr>
          <w:i/>
          <w:iCs/>
        </w:rPr>
        <w:t xml:space="preserve"> </w:t>
      </w:r>
      <w:r w:rsidRPr="009B24DE">
        <w:rPr>
          <w:i/>
          <w:iCs/>
        </w:rPr>
        <w:t>Koilova</w:t>
      </w:r>
      <w:r w:rsidRPr="009B24DE">
        <w:rPr>
          <w:i/>
          <w:iCs/>
        </w:rPr>
        <w:t xml:space="preserve"> and </w:t>
      </w:r>
      <w:r w:rsidRPr="009B24DE">
        <w:rPr>
          <w:i/>
          <w:iCs/>
        </w:rPr>
        <w:t>Babulkova</w:t>
      </w:r>
      <w:r w:rsidRPr="009B24DE">
        <w:rPr>
          <w:i/>
          <w:iCs/>
        </w:rPr>
        <w:t xml:space="preserve"> v. Bulgaria</w:t>
      </w:r>
      <w:r w:rsidRPr="009B24DE">
        <w:t>, no.</w:t>
      </w:r>
      <w:r w:rsidRPr="009B24DE" w:rsidR="00DA380A">
        <w:t> </w:t>
      </w:r>
      <w:r w:rsidRPr="009B24DE">
        <w:t xml:space="preserve">40209/20, § 41, 5 September 2023). To that end, it must examine whether, having regard to the margin of appreciation afforded to it, the respondent State struck a fair balance between the prevailing interests it relied </w:t>
      </w:r>
      <w:r w:rsidRPr="009B24DE">
        <w:t>on</w:t>
      </w:r>
      <w:r w:rsidRPr="009B24DE">
        <w:t xml:space="preserve"> and the interests claimed by the applicants (see </w:t>
      </w:r>
      <w:r w:rsidRPr="009B24DE">
        <w:rPr>
          <w:i/>
          <w:iCs/>
        </w:rPr>
        <w:t>Buhuceanu</w:t>
      </w:r>
      <w:r w:rsidRPr="009B24DE">
        <w:rPr>
          <w:i/>
          <w:iCs/>
        </w:rPr>
        <w:t xml:space="preserve"> and Others</w:t>
      </w:r>
      <w:r w:rsidRPr="009B24DE">
        <w:t xml:space="preserve"> </w:t>
      </w:r>
      <w:r w:rsidRPr="009B24DE">
        <w:rPr>
          <w:i/>
          <w:iCs/>
        </w:rPr>
        <w:t>v. Romania</w:t>
      </w:r>
      <w:r w:rsidRPr="009B24DE">
        <w:t>, nos. 20081/19 and 20 others, § 75, 23 May 2023).</w:t>
      </w:r>
    </w:p>
    <w:p w:rsidRPr="009B24DE" w:rsidR="00B57FDF" w:rsidP="009B24DE" w14:paraId="6E91E294" w14:textId="1888586C">
      <w:pPr>
        <w:pStyle w:val="JuPara"/>
      </w:pPr>
      <w:r>
        <w:fldChar w:fldCharType="begin"/>
      </w:r>
      <w:r>
        <w:instrText xml:space="preserve"> SEQ level0 \*arabic \* MERGEFORMAT </w:instrText>
      </w:r>
      <w:r>
        <w:fldChar w:fldCharType="separate"/>
      </w:r>
      <w:r w:rsidR="001E7256">
        <w:rPr>
          <w:noProof/>
        </w:rPr>
        <w:t>23</w:t>
      </w:r>
      <w:r w:rsidR="001E7256">
        <w:rPr>
          <w:noProof/>
        </w:rPr>
        <w:fldChar w:fldCharType="end"/>
      </w:r>
      <w:r w:rsidRPr="009B24DE">
        <w:t xml:space="preserve">.  It has not been disputed that Polish law still provides for only one form of family union – an opposite-sex marriage – and does not allow for any form of legal recognition for same-sex couples (see </w:t>
      </w:r>
      <w:r w:rsidRPr="009B24DE">
        <w:rPr>
          <w:i/>
          <w:iCs/>
        </w:rPr>
        <w:t>Przybyszewska</w:t>
      </w:r>
      <w:r w:rsidRPr="009B24DE">
        <w:rPr>
          <w:i/>
          <w:iCs/>
        </w:rPr>
        <w:t xml:space="preserve"> and Others</w:t>
      </w:r>
      <w:r w:rsidRPr="009B24DE">
        <w:t xml:space="preserve">, cited above, § 105). The situation therefore differs significantly from that of a very large number of member States which have undertaken to amend their domestic law with a view to ensuring that persons of the same sex enjoy effective protection of their private and family life (see </w:t>
      </w:r>
      <w:bookmarkStart w:name="_cl42727" w:id="6"/>
      <w:r w:rsidRPr="009B24DE">
        <w:rPr>
          <w:i/>
          <w:iCs/>
        </w:rPr>
        <w:t>Koilova</w:t>
      </w:r>
      <w:r w:rsidRPr="009B24DE">
        <w:rPr>
          <w:i/>
          <w:iCs/>
        </w:rPr>
        <w:t xml:space="preserve"> and</w:t>
      </w:r>
      <w:r w:rsidRPr="009B24DE" w:rsidR="00DA380A">
        <w:rPr>
          <w:i/>
          <w:iCs/>
        </w:rPr>
        <w:t> </w:t>
      </w:r>
      <w:r w:rsidRPr="009B24DE">
        <w:rPr>
          <w:i/>
          <w:iCs/>
        </w:rPr>
        <w:t>Babulkova</w:t>
      </w:r>
      <w:bookmarkEnd w:id="6"/>
      <w:r w:rsidRPr="009B24DE">
        <w:t>, cited above, § 46).</w:t>
      </w:r>
    </w:p>
    <w:p w:rsidRPr="009B24DE" w:rsidR="00B57FDF" w:rsidP="009B24DE" w14:paraId="6DAE3C6D" w14:textId="0D0B457E">
      <w:pPr>
        <w:pStyle w:val="JuPara"/>
      </w:pPr>
      <w:r>
        <w:fldChar w:fldCharType="begin"/>
      </w:r>
      <w:r>
        <w:instrText xml:space="preserve"> SEQ level0 \*arabic \* MERGEFORMAT </w:instrText>
      </w:r>
      <w:r>
        <w:fldChar w:fldCharType="separate"/>
      </w:r>
      <w:r w:rsidR="001E7256">
        <w:rPr>
          <w:noProof/>
        </w:rPr>
        <w:t>24</w:t>
      </w:r>
      <w:r w:rsidR="001E7256">
        <w:rPr>
          <w:noProof/>
        </w:rPr>
        <w:fldChar w:fldCharType="end"/>
      </w:r>
      <w:r w:rsidRPr="009B24DE">
        <w:t xml:space="preserve">.  As submitted by the applicants and shown by the facts of the case, they were prevented from taking leave to care for their ill partner, could not extend health insurance to cover their partner, were treated as being unrelated in the field of taxation and could not benefit from an exemption from donation tax granted to next-of-kin or from the right to submit a joint tax declaration. The applicants underlined that same-sex partners could not inherit from each other unless expressly indicated in a </w:t>
      </w:r>
      <w:r w:rsidRPr="009B24DE">
        <w:t>will, or</w:t>
      </w:r>
      <w:r w:rsidRPr="009B24DE">
        <w:t xml:space="preserve"> be awarded maintenance in the event of separation or death.</w:t>
      </w:r>
    </w:p>
    <w:p w:rsidRPr="009B24DE" w:rsidR="00B57FDF" w:rsidP="009B24DE" w14:paraId="50511AC2" w14:textId="54E96857">
      <w:pPr>
        <w:pStyle w:val="JuPara"/>
      </w:pPr>
      <w:r>
        <w:fldChar w:fldCharType="begin"/>
      </w:r>
      <w:r>
        <w:instrText xml:space="preserve"> SEQ level0 \*arabic \* MERGEFORMAT </w:instrText>
      </w:r>
      <w:r>
        <w:fldChar w:fldCharType="separate"/>
      </w:r>
      <w:r w:rsidR="001E7256">
        <w:rPr>
          <w:noProof/>
        </w:rPr>
        <w:t>25</w:t>
      </w:r>
      <w:r w:rsidR="001E7256">
        <w:rPr>
          <w:noProof/>
        </w:rPr>
        <w:fldChar w:fldCharType="end"/>
      </w:r>
      <w:r w:rsidRPr="009B24DE">
        <w:t xml:space="preserve">.  In Poland, same-sex couples, in the absence of official recognition, are mere </w:t>
      </w:r>
      <w:r w:rsidRPr="009B24DE">
        <w:rPr>
          <w:i/>
          <w:iCs/>
        </w:rPr>
        <w:t>de facto</w:t>
      </w:r>
      <w:r w:rsidRPr="009B24DE">
        <w:t xml:space="preserve"> unions, even if – as in the applicants</w:t>
      </w:r>
      <w:r w:rsidR="001E7256">
        <w:t>’</w:t>
      </w:r>
      <w:r w:rsidRPr="009B24DE">
        <w:t xml:space="preserve"> case – a valid marriage has been contracted abroad. Same-sex partners are not able to rely on the existence of their relationship in </w:t>
      </w:r>
      <w:r w:rsidRPr="009B24DE">
        <w:t xml:space="preserve">dealings with the judicial or administrative authorities (see </w:t>
      </w:r>
      <w:r w:rsidRPr="009B24DE">
        <w:rPr>
          <w:i/>
          <w:iCs/>
        </w:rPr>
        <w:t>Przybyszewska</w:t>
      </w:r>
      <w:r w:rsidRPr="009B24DE">
        <w:rPr>
          <w:i/>
          <w:iCs/>
        </w:rPr>
        <w:t xml:space="preserve"> and Others</w:t>
      </w:r>
      <w:r w:rsidRPr="009B24DE">
        <w:t>, cited above, § 113). The Court reiterates that the need to apply to the domestic courts for protection of their couple</w:t>
      </w:r>
      <w:r w:rsidR="001E7256">
        <w:t>’</w:t>
      </w:r>
      <w:r w:rsidRPr="009B24DE">
        <w:t xml:space="preserve">s ordinary needs is </w:t>
      </w:r>
      <w:r w:rsidRPr="009B24DE">
        <w:t>in itself an</w:t>
      </w:r>
      <w:r w:rsidRPr="009B24DE">
        <w:t xml:space="preserve"> obstacle to respect for their private and family life (see </w:t>
      </w:r>
      <w:r w:rsidRPr="009B24DE">
        <w:rPr>
          <w:i/>
          <w:iCs/>
        </w:rPr>
        <w:t>Koilova</w:t>
      </w:r>
      <w:r w:rsidRPr="009B24DE">
        <w:rPr>
          <w:i/>
          <w:iCs/>
        </w:rPr>
        <w:t xml:space="preserve"> and </w:t>
      </w:r>
      <w:r w:rsidRPr="009B24DE">
        <w:rPr>
          <w:i/>
          <w:iCs/>
        </w:rPr>
        <w:t>Babulkova</w:t>
      </w:r>
      <w:r w:rsidRPr="009B24DE">
        <w:t>, cited above, § 53).</w:t>
      </w:r>
    </w:p>
    <w:bookmarkStart w:name="finding_brach_noframwork" w:id="7"/>
    <w:p w:rsidRPr="009B24DE" w:rsidR="00B57FDF" w:rsidP="009B24DE" w14:paraId="527C5360" w14:textId="6BFFF858">
      <w:pPr>
        <w:pStyle w:val="JuPara"/>
      </w:pPr>
      <w:r w:rsidRPr="009B24DE">
        <w:fldChar w:fldCharType="begin"/>
      </w:r>
      <w:r w:rsidRPr="009B24DE">
        <w:instrText xml:space="preserve"> SEQ level0 \*arabic \* MERGEFORMAT </w:instrText>
      </w:r>
      <w:r w:rsidRPr="009B24DE">
        <w:fldChar w:fldCharType="separate"/>
      </w:r>
      <w:r w:rsidR="001E7256">
        <w:rPr>
          <w:noProof/>
        </w:rPr>
        <w:t>26</w:t>
      </w:r>
      <w:r w:rsidRPr="009B24DE">
        <w:fldChar w:fldCharType="end"/>
      </w:r>
      <w:bookmarkEnd w:id="7"/>
      <w:r w:rsidRPr="009B24DE">
        <w:t>.  The Court thus concludes that by refusing to register the applicants</w:t>
      </w:r>
      <w:r w:rsidR="001E7256">
        <w:t>’</w:t>
      </w:r>
      <w:r w:rsidRPr="009B24DE">
        <w:t xml:space="preserve"> marriages under any form and failing to ensure that they have a specific legal framework providing for recognition and protection, the Polish authorities have left them in a legal vacuum and have not provided for the core needs of recognition and protection of same-sex couples in a stable and committed relationship. The Court finds that none of the public interest grounds put forward by the Government prevail over the applicants</w:t>
      </w:r>
      <w:r w:rsidR="001E7256">
        <w:t>’</w:t>
      </w:r>
      <w:r w:rsidRPr="009B24DE">
        <w:t xml:space="preserve"> interest in having their respective relationships adequately recognised and protected by law.</w:t>
      </w:r>
    </w:p>
    <w:p w:rsidRPr="009B24DE" w:rsidR="00B57FDF" w:rsidP="009B24DE" w14:paraId="06976DFC" w14:textId="25276D64">
      <w:pPr>
        <w:pStyle w:val="JuPara"/>
        <w:tabs>
          <w:tab w:val="left" w:pos="1920"/>
        </w:tabs>
      </w:pPr>
      <w:r>
        <w:fldChar w:fldCharType="begin"/>
      </w:r>
      <w:r>
        <w:instrText xml:space="preserve"> SEQ level0 \*arabic \* MERGEFORMAT </w:instrText>
      </w:r>
      <w:r>
        <w:fldChar w:fldCharType="separate"/>
      </w:r>
      <w:r w:rsidR="001E7256">
        <w:rPr>
          <w:noProof/>
        </w:rPr>
        <w:t>27</w:t>
      </w:r>
      <w:r w:rsidR="001E7256">
        <w:rPr>
          <w:noProof/>
        </w:rPr>
        <w:fldChar w:fldCharType="end"/>
      </w:r>
      <w:r w:rsidRPr="009B24DE">
        <w:t>.  In particular, all considerations pertaining to the alleged lack of support for granting recognition in Polish society, and the fact that the law and the case-law of the domestic courts did not permit the introduction of any modifications in this area, have already been examined in the Court</w:t>
      </w:r>
      <w:r w:rsidR="001E7256">
        <w:t>’</w:t>
      </w:r>
      <w:r w:rsidRPr="009B24DE">
        <w:t>s previous judgment against Poland and should be dismissed for the same reasons (see </w:t>
      </w:r>
      <w:r w:rsidRPr="009B24DE">
        <w:rPr>
          <w:i/>
          <w:iCs/>
        </w:rPr>
        <w:t>Przybyszewska</w:t>
      </w:r>
      <w:r w:rsidRPr="009B24DE">
        <w:rPr>
          <w:i/>
          <w:iCs/>
        </w:rPr>
        <w:t xml:space="preserve"> and Others</w:t>
      </w:r>
      <w:r w:rsidRPr="009B24DE">
        <w:t>, cited above, §§ 118 and 120).</w:t>
      </w:r>
    </w:p>
    <w:p w:rsidRPr="009B24DE" w:rsidR="00B57FDF" w:rsidP="009B24DE" w14:paraId="7A63036E" w14:textId="2D2E5B27">
      <w:pPr>
        <w:pStyle w:val="JuPara"/>
      </w:pPr>
      <w:r>
        <w:fldChar w:fldCharType="begin"/>
      </w:r>
      <w:r>
        <w:instrText xml:space="preserve"> SEQ level0 \*arabic \* MERGEFORMAT </w:instrText>
      </w:r>
      <w:r>
        <w:fldChar w:fldCharType="separate"/>
      </w:r>
      <w:r w:rsidR="001E7256">
        <w:rPr>
          <w:noProof/>
        </w:rPr>
        <w:t>28</w:t>
      </w:r>
      <w:r w:rsidR="001E7256">
        <w:rPr>
          <w:noProof/>
        </w:rPr>
        <w:fldChar w:fldCharType="end"/>
      </w:r>
      <w:r w:rsidRPr="009B24DE">
        <w:t>.  The Court notes that member States have a more extensive margin of appreciation in determining the exact nature of the legal regime to be made available to same-sex couples. However, it is important that the protection afforded by the States to same</w:t>
      </w:r>
      <w:r w:rsidRPr="009B24DE">
        <w:noBreakHyphen/>
        <w:t>sex couples should be adequate. It is in the latter context that Poland</w:t>
      </w:r>
      <w:r w:rsidR="001E7256">
        <w:t>’</w:t>
      </w:r>
      <w:r w:rsidRPr="009B24DE">
        <w:t xml:space="preserve">s social and cultural background may be </w:t>
      </w:r>
      <w:r w:rsidRPr="009B24DE">
        <w:t>taken into account</w:t>
      </w:r>
      <w:r w:rsidRPr="009B24DE">
        <w:t>.</w:t>
      </w:r>
    </w:p>
    <w:p w:rsidRPr="009B24DE" w:rsidR="00B57FDF" w:rsidP="009B24DE" w14:paraId="43879D94" w14:textId="178047AF">
      <w:pPr>
        <w:pStyle w:val="JuPara"/>
      </w:pPr>
      <w:r>
        <w:fldChar w:fldCharType="begin"/>
      </w:r>
      <w:r>
        <w:instrText xml:space="preserve"> SEQ level0 \*arabic \* MERGEFORMAT </w:instrText>
      </w:r>
      <w:r>
        <w:fldChar w:fldCharType="separate"/>
      </w:r>
      <w:r w:rsidR="001E7256">
        <w:rPr>
          <w:noProof/>
        </w:rPr>
        <w:t>29</w:t>
      </w:r>
      <w:r w:rsidR="001E7256">
        <w:rPr>
          <w:noProof/>
        </w:rPr>
        <w:fldChar w:fldCharType="end"/>
      </w:r>
      <w:r w:rsidRPr="009B24DE">
        <w:t>.  The Court concludes that the respondent State has overstepped its margin of appreciation and has failed to comply with its positive obligation to ensure that the applicants had a specific legal framework providing for the recognition and protection of their same-sex unions. This amounts to a breach of the applicants</w:t>
      </w:r>
      <w:r w:rsidR="001E7256">
        <w:t>’</w:t>
      </w:r>
      <w:r w:rsidRPr="009B24DE">
        <w:t xml:space="preserve"> right to respect for their private and family life. The</w:t>
      </w:r>
      <w:r w:rsidRPr="009B24DE" w:rsidR="00DA380A">
        <w:t> </w:t>
      </w:r>
      <w:r w:rsidRPr="009B24DE">
        <w:t>Government</w:t>
      </w:r>
      <w:r w:rsidR="001E7256">
        <w:t>’</w:t>
      </w:r>
      <w:r w:rsidRPr="009B24DE">
        <w:t>s preliminary objections regarding their suffering no significant disadvantage and their lack of victim status (see paragraph</w:t>
      </w:r>
      <w:r w:rsidRPr="009B24DE" w:rsidR="00996996">
        <w:t> </w:t>
      </w:r>
      <w:r w:rsidRPr="009B24DE">
        <w:fldChar w:fldCharType="begin"/>
      </w:r>
      <w:r w:rsidRPr="009B24DE">
        <w:instrText xml:space="preserve"> REF gov_objection_joinder \h </w:instrText>
      </w:r>
      <w:r w:rsidRPr="009B24DE">
        <w:fldChar w:fldCharType="separate"/>
      </w:r>
      <w:r w:rsidR="001E7256">
        <w:rPr>
          <w:noProof/>
        </w:rPr>
        <w:t>16</w:t>
      </w:r>
      <w:r w:rsidRPr="009B24DE">
        <w:fldChar w:fldCharType="end"/>
      </w:r>
      <w:r w:rsidRPr="009B24DE" w:rsidR="00996996">
        <w:t xml:space="preserve"> </w:t>
      </w:r>
      <w:r w:rsidRPr="009B24DE">
        <w:t>above) must therefore be dismissed.</w:t>
      </w:r>
    </w:p>
    <w:p w:rsidRPr="009B24DE" w:rsidR="00B57FDF" w:rsidP="009B24DE" w14:paraId="44B5121A" w14:textId="712AC21A">
      <w:pPr>
        <w:pStyle w:val="JuPara"/>
      </w:pPr>
      <w:r>
        <w:fldChar w:fldCharType="begin"/>
      </w:r>
      <w:r>
        <w:instrText xml:space="preserve"> SEQ level0 \*arabic \* MERGEFORMAT </w:instrText>
      </w:r>
      <w:r>
        <w:fldChar w:fldCharType="separate"/>
      </w:r>
      <w:r w:rsidR="001E7256">
        <w:rPr>
          <w:noProof/>
        </w:rPr>
        <w:t>30</w:t>
      </w:r>
      <w:r w:rsidR="001E7256">
        <w:rPr>
          <w:noProof/>
        </w:rPr>
        <w:fldChar w:fldCharType="end"/>
      </w:r>
      <w:r w:rsidRPr="009B24DE">
        <w:t>.  There has accordingly been a violation of Article 8 of the Convention.</w:t>
      </w:r>
    </w:p>
    <w:p w:rsidRPr="009B24DE" w:rsidR="00B57FDF" w:rsidP="009B24DE" w14:paraId="71845964" w14:textId="77777777">
      <w:pPr>
        <w:pStyle w:val="JuHIRoman"/>
      </w:pPr>
      <w:r w:rsidRPr="009B24DE">
        <w:t>ALLEGED VIOLATION OF ARTICLE 14 OF THE CONVENTION TAKEN IN CONJUNCTION WITH ARTICLE 8</w:t>
      </w:r>
    </w:p>
    <w:p w:rsidRPr="009B24DE" w:rsidR="00B57FDF" w:rsidP="009B24DE" w14:paraId="7D664B62" w14:textId="10547AB2">
      <w:pPr>
        <w:pStyle w:val="JuPara"/>
      </w:pPr>
      <w:r w:rsidRPr="009B24DE">
        <w:fldChar w:fldCharType="begin"/>
      </w:r>
      <w:r w:rsidRPr="009B24DE">
        <w:instrText xml:space="preserve"> SEQ level0 \*arabic </w:instrText>
      </w:r>
      <w:r w:rsidRPr="009B24DE">
        <w:fldChar w:fldCharType="separate"/>
      </w:r>
      <w:r w:rsidR="001E7256">
        <w:rPr>
          <w:noProof/>
        </w:rPr>
        <w:t>31</w:t>
      </w:r>
      <w:r w:rsidRPr="009B24DE">
        <w:fldChar w:fldCharType="end"/>
      </w:r>
      <w:r w:rsidRPr="009B24DE">
        <w:t xml:space="preserve">.  The applicants alleged that the fact that they were unable to secure legal recognition of their relationships amounted to </w:t>
      </w:r>
      <w:r w:rsidRPr="009B24DE">
        <w:t>discrimination on grounds of sexual orientation. They relied on Article 14 of the Convention taken in conjunction with Article 8.</w:t>
      </w:r>
    </w:p>
    <w:p w:rsidRPr="009B24DE" w:rsidR="00B57FDF" w:rsidP="009B24DE" w14:paraId="5866EAC2" w14:textId="712FCAFC">
      <w:pPr>
        <w:pStyle w:val="JuPara"/>
      </w:pPr>
      <w:r>
        <w:fldChar w:fldCharType="begin"/>
      </w:r>
      <w:r>
        <w:instrText xml:space="preserve"> SEQ level0 \*arabic \* MERGEFORMAT </w:instrText>
      </w:r>
      <w:r>
        <w:fldChar w:fldCharType="separate"/>
      </w:r>
      <w:r w:rsidR="001E7256">
        <w:rPr>
          <w:noProof/>
        </w:rPr>
        <w:t>32</w:t>
      </w:r>
      <w:r w:rsidR="001E7256">
        <w:rPr>
          <w:noProof/>
        </w:rPr>
        <w:fldChar w:fldCharType="end"/>
      </w:r>
      <w:r w:rsidRPr="009B24DE">
        <w:t>.  Having regard to its finding under Article 8, the Court considers that it is not necessary to examine separately whether, in this case, there has also been a violation of Article 14 in conjunction with Article</w:t>
      </w:r>
      <w:r w:rsidRPr="009B24DE" w:rsidR="00996996">
        <w:t> </w:t>
      </w:r>
      <w:r w:rsidRPr="009B24DE">
        <w:t>8 (see</w:t>
      </w:r>
      <w:r w:rsidRPr="009B24DE">
        <w:rPr>
          <w:i/>
          <w:iCs/>
        </w:rPr>
        <w:t> </w:t>
      </w:r>
      <w:r w:rsidRPr="009B24DE">
        <w:rPr>
          <w:i/>
          <w:iCs/>
        </w:rPr>
        <w:t>Przybyszewska</w:t>
      </w:r>
      <w:r w:rsidRPr="009B24DE">
        <w:rPr>
          <w:i/>
          <w:iCs/>
        </w:rPr>
        <w:t xml:space="preserve"> and Others</w:t>
      </w:r>
      <w:r w:rsidRPr="009B24DE">
        <w:t>, cited above, § 126).</w:t>
      </w:r>
    </w:p>
    <w:p w:rsidRPr="009B24DE" w:rsidR="00B57FDF" w:rsidP="009B24DE" w14:paraId="7F48ED90" w14:textId="77777777">
      <w:pPr>
        <w:pStyle w:val="JuHHead"/>
      </w:pPr>
      <w:r w:rsidRPr="009B24DE">
        <w:t>APPLICATION OF ARTICLE 41 OF THE CONVENTION</w:t>
      </w:r>
    </w:p>
    <w:p w:rsidRPr="009B24DE" w:rsidR="00B57FDF" w:rsidP="009B24DE" w14:paraId="35C6FE9B" w14:textId="618650C1">
      <w:pPr>
        <w:pStyle w:val="JuPara"/>
      </w:pPr>
      <w:r>
        <w:fldChar w:fldCharType="begin"/>
      </w:r>
      <w:r>
        <w:instrText xml:space="preserve"> SEQ level0 \*arabic \* MERGEFORMAT </w:instrText>
      </w:r>
      <w:r>
        <w:fldChar w:fldCharType="separate"/>
      </w:r>
      <w:r w:rsidR="001E7256">
        <w:rPr>
          <w:noProof/>
        </w:rPr>
        <w:t>33</w:t>
      </w:r>
      <w:r w:rsidR="001E7256">
        <w:rPr>
          <w:noProof/>
        </w:rPr>
        <w:fldChar w:fldCharType="end"/>
      </w:r>
      <w:r w:rsidRPr="009B24DE">
        <w:t>.  The applicants claimed various sums in respect of non-pecuniary damage. The third and the fourth applicants sought 2,500 Polish zlotys, equivalent to 600 euros (EUR), in respect of costs and expenses incurred in the domestic proceedings and in the proceedings before the Court. The</w:t>
      </w:r>
      <w:r w:rsidRPr="009B24DE" w:rsidR="00DA380A">
        <w:t> </w:t>
      </w:r>
      <w:r w:rsidRPr="009B24DE">
        <w:t>Government contested the claims for non-pecuniary damage and left the claim for costs and expenses to the Court</w:t>
      </w:r>
      <w:r w:rsidR="001E7256">
        <w:t>’</w:t>
      </w:r>
      <w:r w:rsidRPr="009B24DE">
        <w:t>s discretion.</w:t>
      </w:r>
    </w:p>
    <w:p w:rsidRPr="009B24DE" w:rsidR="00B57FDF" w:rsidP="009B24DE" w14:paraId="32B85491" w14:textId="034DFEEB">
      <w:pPr>
        <w:pStyle w:val="JuPara"/>
      </w:pPr>
      <w:r>
        <w:fldChar w:fldCharType="begin"/>
      </w:r>
      <w:r>
        <w:instrText xml:space="preserve"> SEQ level0 \*arabic \* MERGEFORMAT </w:instrText>
      </w:r>
      <w:r>
        <w:fldChar w:fldCharType="separate"/>
      </w:r>
      <w:r w:rsidR="001E7256">
        <w:rPr>
          <w:noProof/>
        </w:rPr>
        <w:t>34</w:t>
      </w:r>
      <w:r w:rsidR="001E7256">
        <w:rPr>
          <w:noProof/>
        </w:rPr>
        <w:fldChar w:fldCharType="end"/>
      </w:r>
      <w:r w:rsidRPr="009B24DE">
        <w:t xml:space="preserve">.  Having regard to the circumstances of the case, the Court considers that the finding of a violation constitutes </w:t>
      </w:r>
      <w:r w:rsidRPr="009B24DE">
        <w:t>in itself sufficient</w:t>
      </w:r>
      <w:r w:rsidRPr="009B24DE">
        <w:t xml:space="preserve"> just satisfaction for any non-pecuniary damage that may have been sustained by the applicants (see </w:t>
      </w:r>
      <w:r w:rsidRPr="009B24DE">
        <w:rPr>
          <w:i/>
          <w:iCs/>
        </w:rPr>
        <w:t>Fedotova and Others</w:t>
      </w:r>
      <w:r w:rsidRPr="009B24DE">
        <w:t>, cited above, § 235).</w:t>
      </w:r>
    </w:p>
    <w:p w:rsidRPr="009B24DE" w:rsidR="00B57FDF" w:rsidP="009B24DE" w14:paraId="64910927" w14:textId="62372F61">
      <w:pPr>
        <w:pStyle w:val="JuPara"/>
      </w:pPr>
      <w:r>
        <w:fldChar w:fldCharType="begin"/>
      </w:r>
      <w:r>
        <w:instrText xml:space="preserve"> SEQ level0 \*arabic \* MERGEFORMAT </w:instrText>
      </w:r>
      <w:r>
        <w:fldChar w:fldCharType="separate"/>
      </w:r>
      <w:r w:rsidR="001E7256">
        <w:rPr>
          <w:noProof/>
        </w:rPr>
        <w:t>35</w:t>
      </w:r>
      <w:r w:rsidR="001E7256">
        <w:rPr>
          <w:noProof/>
        </w:rPr>
        <w:fldChar w:fldCharType="end"/>
      </w:r>
      <w:r w:rsidRPr="009B24DE">
        <w:t>.  Having regard to the documents in its possession, the Court considers it reasonable to award jointly to the third and fourth applicants (application no.</w:t>
      </w:r>
      <w:r w:rsidRPr="009B24DE" w:rsidR="00996996">
        <w:t> </w:t>
      </w:r>
      <w:r w:rsidRPr="009B24DE">
        <w:t>45301/19) EUR 600, to cover costs under all heads, plus any tax that may be chargeable.</w:t>
      </w:r>
    </w:p>
    <w:p w:rsidRPr="009B24DE" w:rsidR="00B57FDF" w:rsidP="009B24DE" w14:paraId="2B190C23" w14:textId="19B2549A">
      <w:pPr>
        <w:pStyle w:val="JuHHead"/>
      </w:pPr>
      <w:r w:rsidRPr="009B24DE">
        <w:t>FOR THESE REASONS, THE COURT, UNANIMOUSLY,</w:t>
      </w:r>
    </w:p>
    <w:p w:rsidRPr="009B24DE" w:rsidR="00B57FDF" w:rsidP="009B24DE" w14:paraId="7AF374ED" w14:textId="77777777">
      <w:pPr>
        <w:pStyle w:val="JuList"/>
      </w:pPr>
      <w:r w:rsidRPr="009B24DE">
        <w:rPr>
          <w:i/>
          <w:iCs/>
        </w:rPr>
        <w:t>Decides</w:t>
      </w:r>
      <w:r w:rsidRPr="009B24DE">
        <w:rPr>
          <w:i/>
        </w:rPr>
        <w:t xml:space="preserve"> </w:t>
      </w:r>
      <w:r w:rsidRPr="009B24DE">
        <w:t xml:space="preserve">to join the </w:t>
      </w:r>
      <w:r w:rsidRPr="009B24DE">
        <w:t>applications;</w:t>
      </w:r>
    </w:p>
    <w:p w:rsidRPr="009B24DE" w:rsidR="00B57FDF" w:rsidP="009B24DE" w14:paraId="68D99C9C" w14:textId="77777777">
      <w:pPr>
        <w:pStyle w:val="JuList"/>
        <w:ind w:left="0" w:firstLine="0"/>
      </w:pPr>
      <w:r w:rsidRPr="009B24DE">
        <w:rPr>
          <w:i/>
        </w:rPr>
        <w:t xml:space="preserve">Decides </w:t>
      </w:r>
      <w:r w:rsidRPr="009B24DE">
        <w:t xml:space="preserve">to join to the merits the preliminary objections of lack of significant disadvantage and victim status and dismisses </w:t>
      </w:r>
      <w:r w:rsidRPr="009B24DE">
        <w:t>them;</w:t>
      </w:r>
    </w:p>
    <w:p w:rsidRPr="009B24DE" w:rsidR="00B57FDF" w:rsidP="009B24DE" w14:paraId="7F59F7E4" w14:textId="77777777">
      <w:pPr>
        <w:pStyle w:val="JuList"/>
      </w:pPr>
      <w:r w:rsidRPr="009B24DE">
        <w:rPr>
          <w:i/>
        </w:rPr>
        <w:t>Declares</w:t>
      </w:r>
      <w:r w:rsidRPr="009B24DE">
        <w:t xml:space="preserve"> the applications </w:t>
      </w:r>
      <w:r w:rsidRPr="009B24DE">
        <w:t>admissible;</w:t>
      </w:r>
    </w:p>
    <w:p w:rsidRPr="009B24DE" w:rsidR="00B57FDF" w:rsidP="009B24DE" w14:paraId="3987E342" w14:textId="77777777">
      <w:pPr>
        <w:pStyle w:val="JuList"/>
      </w:pPr>
      <w:r w:rsidRPr="009B24DE">
        <w:rPr>
          <w:i/>
        </w:rPr>
        <w:t>Holds</w:t>
      </w:r>
      <w:r w:rsidRPr="009B24DE">
        <w:t xml:space="preserve"> that there has been a violation of Article 8 of the </w:t>
      </w:r>
      <w:r w:rsidRPr="009B24DE">
        <w:t>Convention;</w:t>
      </w:r>
    </w:p>
    <w:p w:rsidRPr="009B24DE" w:rsidR="00B57FDF" w:rsidP="009B24DE" w14:paraId="2D263784" w14:textId="77777777">
      <w:pPr>
        <w:pStyle w:val="JuList"/>
      </w:pPr>
      <w:r w:rsidRPr="009B24DE">
        <w:rPr>
          <w:i/>
        </w:rPr>
        <w:t xml:space="preserve">Holds </w:t>
      </w:r>
      <w:r w:rsidRPr="009B24DE">
        <w:t xml:space="preserve">that there is no need to examine the complaints under Article 14 of the Convention taken in conjunction with Article 8 of the </w:t>
      </w:r>
      <w:r w:rsidRPr="009B24DE">
        <w:t>Convention;</w:t>
      </w:r>
    </w:p>
    <w:p w:rsidRPr="009B24DE" w:rsidR="00B57FDF" w:rsidP="009B24DE" w14:paraId="2E2C82F1" w14:textId="77777777">
      <w:pPr>
        <w:pStyle w:val="JuList"/>
      </w:pPr>
      <w:r w:rsidRPr="009B24DE">
        <w:rPr>
          <w:i/>
        </w:rPr>
        <w:t>Holds</w:t>
      </w:r>
      <w:r w:rsidRPr="009B24DE">
        <w:t xml:space="preserve"> that the finding of a violation constitutes in itself sufficient just satisfaction for any non-pecuniary damage sustained by the </w:t>
      </w:r>
      <w:r w:rsidRPr="009B24DE">
        <w:t>applicants;</w:t>
      </w:r>
    </w:p>
    <w:p w:rsidRPr="009B24DE" w:rsidR="00B57FDF" w:rsidP="009B24DE" w14:paraId="7CA83608" w14:textId="77777777">
      <w:pPr>
        <w:pStyle w:val="JuList"/>
      </w:pPr>
      <w:r w:rsidRPr="009B24DE">
        <w:rPr>
          <w:i/>
        </w:rPr>
        <w:t>Holds</w:t>
      </w:r>
      <w:r w:rsidRPr="009B24DE">
        <w:t>,</w:t>
      </w:r>
    </w:p>
    <w:p w:rsidRPr="009B24DE" w:rsidR="00BD06FE" w:rsidP="009B24DE" w14:paraId="1B1B9650" w14:textId="2FA59612">
      <w:pPr>
        <w:pStyle w:val="JuLista"/>
      </w:pPr>
      <w:r w:rsidRPr="009B24DE">
        <w:t xml:space="preserve">that the respondent State is to pay the applicants Ms </w:t>
      </w:r>
      <w:r w:rsidRPr="009B24DE">
        <w:t>Handzlik-Rosuł</w:t>
      </w:r>
      <w:r w:rsidRPr="009B24DE">
        <w:t xml:space="preserve"> and Ms </w:t>
      </w:r>
      <w:r w:rsidRPr="009B24DE">
        <w:t>Rosuł</w:t>
      </w:r>
      <w:r w:rsidRPr="009B24DE">
        <w:t xml:space="preserve"> jointly, within three months, EUR 600 (six hundred euros), plus any tax that may be chargeable to them, in respect of costs and expenses</w:t>
      </w:r>
      <w:r w:rsidRPr="009B24DE" w:rsidR="00C32407">
        <w:t xml:space="preserve">, to be converted into the currency of the respondent State at the rate applicable at the date of </w:t>
      </w:r>
      <w:r w:rsidRPr="009B24DE" w:rsidR="00C32407">
        <w:t>settlement</w:t>
      </w:r>
      <w:r w:rsidRPr="009B24DE">
        <w:rPr>
          <w:bCs/>
        </w:rPr>
        <w:t>;</w:t>
      </w:r>
    </w:p>
    <w:p w:rsidRPr="009B24DE" w:rsidR="00BD06FE" w:rsidP="009B24DE" w14:paraId="0C623AAE" w14:textId="77777777">
      <w:pPr>
        <w:pStyle w:val="JuLista"/>
      </w:pPr>
      <w:r w:rsidRPr="009B24DE">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9B24DE">
        <w:t>points;</w:t>
      </w:r>
    </w:p>
    <w:p w:rsidRPr="009B24DE" w:rsidR="004D0EC7" w:rsidP="009B24DE" w14:paraId="5DF3BF20" w14:textId="19F82E1B">
      <w:pPr>
        <w:pStyle w:val="JuList"/>
      </w:pPr>
      <w:r w:rsidRPr="009B24DE">
        <w:rPr>
          <w:i/>
        </w:rPr>
        <w:t xml:space="preserve">Dismisses </w:t>
      </w:r>
      <w:r w:rsidRPr="009B24DE">
        <w:t>the remainder of the applicants</w:t>
      </w:r>
      <w:r w:rsidR="001E7256">
        <w:t>’</w:t>
      </w:r>
      <w:r w:rsidRPr="009B24DE">
        <w:t xml:space="preserve"> claim for just satisfaction.</w:t>
      </w:r>
    </w:p>
    <w:p w:rsidRPr="009B24DE" w:rsidR="008E3A08" w:rsidP="009B24DE" w14:paraId="6AF80637" w14:textId="1C8D2354">
      <w:pPr>
        <w:pStyle w:val="JuParaLast"/>
      </w:pPr>
      <w:r w:rsidRPr="009B24DE">
        <w:t xml:space="preserve">Done in English, and notified in writing on </w:t>
      </w:r>
      <w:r w:rsidRPr="009B24DE" w:rsidR="00B57FDF">
        <w:rPr>
          <w:rFonts w:ascii="Times New Roman" w:hAnsi="Times New Roman" w:cs="Times New Roman"/>
        </w:rPr>
        <w:t>19 September 2024</w:t>
      </w:r>
      <w:r w:rsidRPr="009B24DE">
        <w:t>, pursuant to Rule 77 §§ 2 and 3 of the Rules of Court.</w:t>
      </w:r>
    </w:p>
    <w:p w:rsidRPr="009B24DE" w:rsidR="00D41628" w:rsidP="009B24DE" w14:paraId="285BA497" w14:textId="1CB11D44">
      <w:pPr>
        <w:pStyle w:val="JuSigned"/>
      </w:pPr>
      <w:r w:rsidRPr="009B24DE">
        <w:tab/>
      </w:r>
      <w:r w:rsidRPr="009B24DE" w:rsidR="00001742">
        <w:rPr>
          <w:noProof/>
        </w:rPr>
        <w:t>Liv Tigerstedt</w:t>
      </w:r>
      <w:r w:rsidRPr="009B24DE">
        <w:tab/>
      </w:r>
      <w:r w:rsidRPr="009B24DE" w:rsidR="00B57FDF">
        <w:rPr>
          <w:noProof/>
        </w:rPr>
        <w:t>Péter Paczolay</w:t>
      </w:r>
      <w:r w:rsidRPr="009B24DE">
        <w:br/>
      </w:r>
      <w:r w:rsidRPr="009B24DE">
        <w:tab/>
      </w:r>
      <w:r w:rsidRPr="009B24DE" w:rsidR="00001742">
        <w:t xml:space="preserve">Deputy </w:t>
      </w:r>
      <w:r w:rsidRPr="009B24DE" w:rsidR="00B57FDF">
        <w:rPr>
          <w:noProof/>
        </w:rPr>
        <w:t>Registrar</w:t>
      </w:r>
      <w:r w:rsidRPr="009B24DE">
        <w:tab/>
        <w:t>President</w:t>
      </w:r>
    </w:p>
    <w:p w:rsidRPr="001E7256" w:rsidR="00D41628" w:rsidP="009B24DE" w14:paraId="51BC86CE" w14:textId="77777777">
      <w:pPr>
        <w:rPr>
          <w:highlight w:val="yellow"/>
        </w:rPr>
      </w:pPr>
      <w:r w:rsidRPr="001E7256">
        <w:rPr>
          <w:highlight w:val="yellow"/>
        </w:rPr>
        <w:br w:type="page"/>
      </w:r>
    </w:p>
    <w:p w:rsidRPr="009B24DE" w:rsidR="00B57FDF" w:rsidP="009B24DE" w14:paraId="59DECB1B" w14:textId="77777777">
      <w:pPr>
        <w:pStyle w:val="DecHTitle"/>
        <w:rPr>
          <w:noProof/>
        </w:rPr>
      </w:pPr>
      <w:r w:rsidRPr="009B24DE">
        <w:rPr>
          <w:noProof/>
        </w:rPr>
        <w:t>APPENDIX</w:t>
      </w:r>
    </w:p>
    <w:p w:rsidRPr="009B24DE" w:rsidR="00B57FDF" w:rsidP="009B24DE" w14:paraId="3B59E597" w14:textId="77777777">
      <w:pPr>
        <w:pStyle w:val="DecHCase"/>
        <w:keepNext w:val="0"/>
        <w:keepLines w:val="0"/>
        <w:jc w:val="left"/>
        <w:rPr>
          <w:rFonts w:ascii="Times New Roman" w:hAnsi="Times New Roman" w:cs="Times New Roman"/>
        </w:rPr>
      </w:pPr>
      <w:r w:rsidRPr="009B24DE">
        <w:rPr>
          <w:rFonts w:ascii="Times New Roman" w:hAnsi="Times New Roman" w:cs="Times New Roman"/>
        </w:rPr>
        <w:t>List of cases:</w:t>
      </w:r>
    </w:p>
    <w:tbl>
      <w:tblPr>
        <w:tblStyle w:val="ECHRListTable"/>
        <w:tblW w:w="9356" w:type="dxa"/>
        <w:tblInd w:w="-1281" w:type="dxa"/>
        <w:tblLayout w:type="fixed"/>
        <w:tblLook w:val="0420"/>
      </w:tblPr>
      <w:tblGrid>
        <w:gridCol w:w="709"/>
        <w:gridCol w:w="1418"/>
        <w:gridCol w:w="1276"/>
        <w:gridCol w:w="1417"/>
        <w:gridCol w:w="2268"/>
        <w:gridCol w:w="2268"/>
      </w:tblGrid>
      <w:tr w:rsidTr="00F14E5E" w14:paraId="56F59E95" w14:textId="30568193">
        <w:tblPrEx>
          <w:tblW w:w="9356" w:type="dxa"/>
          <w:tblInd w:w="-1281" w:type="dxa"/>
          <w:tblLayout w:type="fixed"/>
          <w:tblLook w:val="0420"/>
        </w:tblPrEx>
        <w:tc>
          <w:tcPr>
            <w:tcW w:w="709" w:type="dxa"/>
            <w:hideMark/>
          </w:tcPr>
          <w:p w:rsidRPr="001E7256" w:rsidR="00F66354" w:rsidP="009B24DE" w14:paraId="02C9AD7F" w14:textId="77777777">
            <w:pPr>
              <w:rPr>
                <w:rFonts w:eastAsia="Times New Roman"/>
              </w:rPr>
            </w:pPr>
            <w:r w:rsidRPr="001E7256">
              <w:rPr>
                <w:rFonts w:eastAsia="Times New Roman"/>
              </w:rPr>
              <w:t>No.</w:t>
            </w:r>
          </w:p>
        </w:tc>
        <w:tc>
          <w:tcPr>
            <w:tcW w:w="1418" w:type="dxa"/>
            <w:hideMark/>
          </w:tcPr>
          <w:p w:rsidRPr="001E7256" w:rsidR="00F66354" w:rsidP="009B24DE" w14:paraId="0E119A3C" w14:textId="77777777">
            <w:pPr>
              <w:rPr>
                <w:rFonts w:eastAsia="Times New Roman"/>
              </w:rPr>
            </w:pPr>
            <w:r w:rsidRPr="001E7256">
              <w:rPr>
                <w:rFonts w:eastAsia="Times New Roman"/>
              </w:rPr>
              <w:t>Application no.</w:t>
            </w:r>
          </w:p>
        </w:tc>
        <w:tc>
          <w:tcPr>
            <w:tcW w:w="1276" w:type="dxa"/>
            <w:hideMark/>
          </w:tcPr>
          <w:p w:rsidRPr="001E7256" w:rsidR="00F66354" w:rsidP="009B24DE" w14:paraId="5456B302" w14:textId="77777777">
            <w:pPr>
              <w:rPr>
                <w:rFonts w:eastAsia="Times New Roman"/>
              </w:rPr>
            </w:pPr>
            <w:r w:rsidRPr="001E7256">
              <w:rPr>
                <w:rFonts w:eastAsia="Times New Roman"/>
              </w:rPr>
              <w:t>Case name</w:t>
            </w:r>
          </w:p>
        </w:tc>
        <w:tc>
          <w:tcPr>
            <w:tcW w:w="1417" w:type="dxa"/>
            <w:hideMark/>
          </w:tcPr>
          <w:p w:rsidRPr="001E7256" w:rsidR="00F66354" w:rsidP="009B24DE" w14:paraId="1D1E41F3" w14:textId="77777777">
            <w:pPr>
              <w:rPr>
                <w:rFonts w:eastAsia="Times New Roman"/>
              </w:rPr>
            </w:pPr>
            <w:r w:rsidRPr="001E7256">
              <w:rPr>
                <w:rFonts w:eastAsia="Times New Roman"/>
              </w:rPr>
              <w:t>Lodged on</w:t>
            </w:r>
          </w:p>
        </w:tc>
        <w:tc>
          <w:tcPr>
            <w:tcW w:w="2268" w:type="dxa"/>
            <w:hideMark/>
          </w:tcPr>
          <w:p w:rsidRPr="001E7256" w:rsidR="00F66354" w:rsidP="009B24DE" w14:paraId="2CD4C22C" w14:textId="77777777">
            <w:pPr>
              <w:rPr>
                <w:rFonts w:eastAsia="Times New Roman"/>
              </w:rPr>
            </w:pPr>
            <w:r w:rsidRPr="001E7256">
              <w:rPr>
                <w:rFonts w:eastAsia="Times New Roman"/>
              </w:rPr>
              <w:t>Applicant</w:t>
            </w:r>
            <w:r w:rsidRPr="001E7256">
              <w:rPr>
                <w:rFonts w:eastAsia="Times New Roman"/>
              </w:rPr>
              <w:br/>
              <w:t>Year of Birth</w:t>
            </w:r>
            <w:r w:rsidRPr="001E7256">
              <w:rPr>
                <w:rFonts w:eastAsia="Times New Roman"/>
              </w:rPr>
              <w:br/>
              <w:t>Place of Residence</w:t>
            </w:r>
            <w:r w:rsidRPr="001E7256">
              <w:rPr>
                <w:rFonts w:eastAsia="Times New Roman"/>
              </w:rPr>
              <w:br/>
              <w:t>Nationality</w:t>
            </w:r>
          </w:p>
        </w:tc>
        <w:tc>
          <w:tcPr>
            <w:tcW w:w="2268" w:type="dxa"/>
          </w:tcPr>
          <w:p w:rsidRPr="001E7256" w:rsidR="00F66354" w:rsidP="009B24DE" w14:paraId="01B5A871" w14:textId="5AF07BE8">
            <w:pPr>
              <w:rPr>
                <w:rFonts w:eastAsia="Times New Roman"/>
              </w:rPr>
            </w:pPr>
            <w:r w:rsidRPr="001E7256">
              <w:rPr>
                <w:rFonts w:eastAsia="Times New Roman"/>
              </w:rPr>
              <w:t>Represented by</w:t>
            </w:r>
          </w:p>
        </w:tc>
      </w:tr>
      <w:tr w:rsidTr="00F14E5E" w14:paraId="4F02A3E1" w14:textId="310BA7D5">
        <w:tblPrEx>
          <w:tblW w:w="9356" w:type="dxa"/>
          <w:tblInd w:w="-1281" w:type="dxa"/>
          <w:tblLayout w:type="fixed"/>
          <w:tblLook w:val="0420"/>
        </w:tblPrEx>
        <w:tc>
          <w:tcPr>
            <w:tcW w:w="709" w:type="dxa"/>
            <w:hideMark/>
          </w:tcPr>
          <w:p w:rsidRPr="001E7256" w:rsidR="00F66354" w:rsidP="009B24DE" w14:paraId="27D1AD72" w14:textId="77777777">
            <w:pPr>
              <w:rPr>
                <w:rFonts w:eastAsia="Times New Roman"/>
              </w:rPr>
            </w:pPr>
            <w:r w:rsidRPr="001E7256">
              <w:rPr>
                <w:rFonts w:eastAsia="Times New Roman"/>
              </w:rPr>
              <w:t>1.</w:t>
            </w:r>
          </w:p>
        </w:tc>
        <w:tc>
          <w:tcPr>
            <w:tcW w:w="1418" w:type="dxa"/>
            <w:hideMark/>
          </w:tcPr>
          <w:p w:rsidRPr="001E7256" w:rsidR="00F66354" w:rsidP="009B24DE" w14:paraId="31F7B6CC" w14:textId="77777777">
            <w:pPr>
              <w:rPr>
                <w:rFonts w:eastAsia="Times New Roman"/>
              </w:rPr>
            </w:pPr>
            <w:r w:rsidRPr="001E7256">
              <w:rPr>
                <w:rFonts w:eastAsia="Times New Roman"/>
              </w:rPr>
              <w:t>58828/12</w:t>
            </w:r>
          </w:p>
        </w:tc>
        <w:tc>
          <w:tcPr>
            <w:tcW w:w="1276" w:type="dxa"/>
            <w:hideMark/>
          </w:tcPr>
          <w:p w:rsidRPr="001E7256" w:rsidR="00F66354" w:rsidP="009B24DE" w14:paraId="072C756C" w14:textId="77777777">
            <w:pPr>
              <w:rPr>
                <w:rFonts w:eastAsia="Times New Roman"/>
              </w:rPr>
            </w:pPr>
            <w:r w:rsidRPr="001E7256">
              <w:rPr>
                <w:rFonts w:eastAsia="Times New Roman"/>
              </w:rPr>
              <w:t>Formela</w:t>
            </w:r>
            <w:r w:rsidRPr="001E7256">
              <w:rPr>
                <w:rFonts w:eastAsia="Times New Roman"/>
              </w:rPr>
              <w:t xml:space="preserve"> v. Poland</w:t>
            </w:r>
          </w:p>
        </w:tc>
        <w:tc>
          <w:tcPr>
            <w:tcW w:w="1417" w:type="dxa"/>
            <w:hideMark/>
          </w:tcPr>
          <w:p w:rsidRPr="001E7256" w:rsidR="00F66354" w:rsidP="009B24DE" w14:paraId="4FA16462" w14:textId="77777777">
            <w:pPr>
              <w:rPr>
                <w:rFonts w:eastAsia="Times New Roman"/>
              </w:rPr>
            </w:pPr>
            <w:r w:rsidRPr="001E7256">
              <w:rPr>
                <w:rFonts w:eastAsia="Times New Roman"/>
              </w:rPr>
              <w:t>31/08/2012</w:t>
            </w:r>
          </w:p>
        </w:tc>
        <w:tc>
          <w:tcPr>
            <w:tcW w:w="2268" w:type="dxa"/>
            <w:hideMark/>
          </w:tcPr>
          <w:p w:rsidRPr="001E7256" w:rsidR="00F66354" w:rsidP="009B24DE" w14:paraId="7D94ED9F" w14:textId="4592FB09">
            <w:pPr>
              <w:rPr>
                <w:rFonts w:eastAsia="Times New Roman"/>
              </w:rPr>
            </w:pPr>
            <w:r w:rsidRPr="001E7256">
              <w:rPr>
                <w:rFonts w:eastAsia="Times New Roman"/>
                <w:b/>
                <w:bCs/>
              </w:rPr>
              <w:t>Katarzyna FORMELA</w:t>
            </w:r>
            <w:r w:rsidRPr="001E7256">
              <w:rPr>
                <w:rFonts w:eastAsia="Times New Roman"/>
              </w:rPr>
              <w:br/>
              <w:t>1966</w:t>
            </w:r>
            <w:r w:rsidRPr="001E7256">
              <w:rPr>
                <w:rFonts w:eastAsia="Times New Roman"/>
              </w:rPr>
              <w:br/>
            </w:r>
            <w:r w:rsidRPr="001E7256">
              <w:rPr>
                <w:rFonts w:eastAsia="Times New Roman"/>
              </w:rPr>
              <w:t>Gdańsk</w:t>
            </w:r>
            <w:r w:rsidRPr="001E7256">
              <w:rPr>
                <w:rFonts w:eastAsia="Times New Roman"/>
              </w:rPr>
              <w:br/>
              <w:t>Polish</w:t>
            </w:r>
            <w:r w:rsidRPr="001E7256">
              <w:rPr>
                <w:rFonts w:eastAsia="Times New Roman"/>
              </w:rPr>
              <w:br/>
            </w:r>
            <w:r w:rsidRPr="001E7256">
              <w:rPr>
                <w:rFonts w:eastAsia="Times New Roman"/>
                <w:b/>
                <w:bCs/>
              </w:rPr>
              <w:t>Sylwia</w:t>
            </w:r>
            <w:r w:rsidRPr="001E7256">
              <w:rPr>
                <w:rFonts w:eastAsia="Times New Roman"/>
                <w:b/>
                <w:bCs/>
              </w:rPr>
              <w:t xml:space="preserve"> FORMELA</w:t>
            </w:r>
            <w:r w:rsidRPr="001E7256">
              <w:rPr>
                <w:rFonts w:eastAsia="Times New Roman"/>
              </w:rPr>
              <w:br/>
              <w:t>1974</w:t>
            </w:r>
            <w:r w:rsidRPr="001E7256">
              <w:rPr>
                <w:rFonts w:eastAsia="Times New Roman"/>
              </w:rPr>
              <w:br/>
            </w:r>
            <w:r w:rsidRPr="001E7256">
              <w:rPr>
                <w:rFonts w:eastAsia="Times New Roman"/>
              </w:rPr>
              <w:t>Gdańsk</w:t>
            </w:r>
            <w:r w:rsidRPr="001E7256">
              <w:rPr>
                <w:rFonts w:eastAsia="Times New Roman"/>
              </w:rPr>
              <w:br/>
              <w:t>Polish</w:t>
            </w:r>
          </w:p>
        </w:tc>
        <w:tc>
          <w:tcPr>
            <w:tcW w:w="2268" w:type="dxa"/>
          </w:tcPr>
          <w:p w:rsidRPr="001E7256" w:rsidR="00F66354" w:rsidP="009B24DE" w14:paraId="27325360" w14:textId="326A6D13">
            <w:pPr>
              <w:rPr>
                <w:rFonts w:eastAsia="Times New Roman"/>
              </w:rPr>
            </w:pPr>
            <w:r w:rsidRPr="001E7256">
              <w:rPr>
                <w:rFonts w:eastAsia="Times New Roman"/>
              </w:rPr>
              <w:t>Dorota PUDZIANOWSKA</w:t>
            </w:r>
          </w:p>
        </w:tc>
      </w:tr>
      <w:tr w:rsidTr="00F14E5E" w14:paraId="6CA1A7CB" w14:textId="50B54ECF">
        <w:tblPrEx>
          <w:tblW w:w="9356" w:type="dxa"/>
          <w:tblInd w:w="-1281" w:type="dxa"/>
          <w:tblLayout w:type="fixed"/>
          <w:tblLook w:val="0420"/>
        </w:tblPrEx>
        <w:tc>
          <w:tcPr>
            <w:tcW w:w="709" w:type="dxa"/>
            <w:hideMark/>
          </w:tcPr>
          <w:p w:rsidRPr="001E7256" w:rsidR="00F66354" w:rsidP="009B24DE" w14:paraId="3355C522" w14:textId="77777777">
            <w:pPr>
              <w:rPr>
                <w:rFonts w:eastAsia="Times New Roman"/>
              </w:rPr>
            </w:pPr>
            <w:r w:rsidRPr="001E7256">
              <w:rPr>
                <w:rFonts w:eastAsia="Times New Roman"/>
              </w:rPr>
              <w:t>2.</w:t>
            </w:r>
          </w:p>
        </w:tc>
        <w:tc>
          <w:tcPr>
            <w:tcW w:w="1418" w:type="dxa"/>
            <w:hideMark/>
          </w:tcPr>
          <w:p w:rsidRPr="001E7256" w:rsidR="00F66354" w:rsidP="009B24DE" w14:paraId="7C786D62" w14:textId="77777777">
            <w:pPr>
              <w:rPr>
                <w:rFonts w:eastAsia="Times New Roman"/>
              </w:rPr>
            </w:pPr>
            <w:r w:rsidRPr="001E7256">
              <w:rPr>
                <w:rFonts w:eastAsia="Times New Roman"/>
              </w:rPr>
              <w:t>40795/17</w:t>
            </w:r>
          </w:p>
        </w:tc>
        <w:tc>
          <w:tcPr>
            <w:tcW w:w="1276" w:type="dxa"/>
            <w:hideMark/>
          </w:tcPr>
          <w:p w:rsidRPr="001E7256" w:rsidR="00F66354" w:rsidP="009B24DE" w14:paraId="3309461C" w14:textId="77777777">
            <w:pPr>
              <w:rPr>
                <w:rFonts w:eastAsia="Times New Roman"/>
              </w:rPr>
            </w:pPr>
            <w:r w:rsidRPr="001E7256">
              <w:rPr>
                <w:rFonts w:eastAsia="Times New Roman"/>
              </w:rPr>
              <w:t>Formela</w:t>
            </w:r>
            <w:r w:rsidRPr="001E7256">
              <w:rPr>
                <w:rFonts w:eastAsia="Times New Roman"/>
              </w:rPr>
              <w:t xml:space="preserve"> v. Poland</w:t>
            </w:r>
          </w:p>
        </w:tc>
        <w:tc>
          <w:tcPr>
            <w:tcW w:w="1417" w:type="dxa"/>
            <w:hideMark/>
          </w:tcPr>
          <w:p w:rsidRPr="001E7256" w:rsidR="00F66354" w:rsidP="009B24DE" w14:paraId="05D35D3E" w14:textId="77777777">
            <w:pPr>
              <w:rPr>
                <w:rFonts w:eastAsia="Times New Roman"/>
              </w:rPr>
            </w:pPr>
            <w:r w:rsidRPr="001E7256">
              <w:rPr>
                <w:rFonts w:eastAsia="Times New Roman"/>
              </w:rPr>
              <w:t>31/05/2017</w:t>
            </w:r>
          </w:p>
        </w:tc>
        <w:tc>
          <w:tcPr>
            <w:tcW w:w="2268" w:type="dxa"/>
            <w:hideMark/>
          </w:tcPr>
          <w:p w:rsidRPr="001E7256" w:rsidR="00F66354" w:rsidP="009B24DE" w14:paraId="18ACC86D" w14:textId="77777777">
            <w:pPr>
              <w:rPr>
                <w:rFonts w:eastAsia="Times New Roman"/>
              </w:rPr>
            </w:pPr>
            <w:r w:rsidRPr="001E7256">
              <w:rPr>
                <w:rFonts w:eastAsia="Times New Roman"/>
                <w:b/>
                <w:bCs/>
              </w:rPr>
              <w:t>Sylwia</w:t>
            </w:r>
            <w:r w:rsidRPr="001E7256">
              <w:rPr>
                <w:rFonts w:eastAsia="Times New Roman"/>
                <w:b/>
                <w:bCs/>
              </w:rPr>
              <w:t xml:space="preserve"> FORMELA</w:t>
            </w:r>
            <w:r w:rsidRPr="001E7256">
              <w:rPr>
                <w:rFonts w:eastAsia="Times New Roman"/>
              </w:rPr>
              <w:br/>
              <w:t>1974</w:t>
            </w:r>
            <w:r w:rsidRPr="001E7256">
              <w:rPr>
                <w:rFonts w:eastAsia="Times New Roman"/>
              </w:rPr>
              <w:br/>
            </w:r>
            <w:r w:rsidRPr="001E7256">
              <w:rPr>
                <w:rFonts w:eastAsia="Times New Roman"/>
              </w:rPr>
              <w:t>Gdańsk</w:t>
            </w:r>
            <w:r w:rsidRPr="001E7256">
              <w:rPr>
                <w:rFonts w:eastAsia="Times New Roman"/>
              </w:rPr>
              <w:br/>
              <w:t>Polish</w:t>
            </w:r>
          </w:p>
        </w:tc>
        <w:tc>
          <w:tcPr>
            <w:tcW w:w="2268" w:type="dxa"/>
          </w:tcPr>
          <w:p w:rsidRPr="001E7256" w:rsidR="00F66354" w:rsidP="009B24DE" w14:paraId="38B716E0" w14:textId="77777777">
            <w:pPr>
              <w:rPr>
                <w:rFonts w:eastAsia="Times New Roman"/>
              </w:rPr>
            </w:pPr>
            <w:r w:rsidRPr="001E7256">
              <w:rPr>
                <w:rFonts w:eastAsia="Times New Roman"/>
              </w:rPr>
              <w:t>Artur PIETRYKA</w:t>
            </w:r>
          </w:p>
          <w:p w:rsidRPr="001E7256" w:rsidR="00215ACE" w:rsidP="009B24DE" w14:paraId="569D393C" w14:textId="4C94724C">
            <w:pPr>
              <w:rPr>
                <w:rFonts w:eastAsia="Times New Roman"/>
                <w:b/>
                <w:bCs/>
              </w:rPr>
            </w:pPr>
            <w:r w:rsidRPr="001E7256">
              <w:rPr>
                <w:rFonts w:eastAsia="Times New Roman"/>
              </w:rPr>
              <w:t>Dorota PUDZIANOWSKA</w:t>
            </w:r>
          </w:p>
        </w:tc>
      </w:tr>
      <w:tr w:rsidTr="00F14E5E" w14:paraId="0F59EF9E" w14:textId="68A98B0F">
        <w:tblPrEx>
          <w:tblW w:w="9356" w:type="dxa"/>
          <w:tblInd w:w="-1281" w:type="dxa"/>
          <w:tblLayout w:type="fixed"/>
          <w:tblLook w:val="0420"/>
        </w:tblPrEx>
        <w:tc>
          <w:tcPr>
            <w:tcW w:w="709" w:type="dxa"/>
            <w:hideMark/>
          </w:tcPr>
          <w:p w:rsidRPr="001E7256" w:rsidR="00215ACE" w:rsidP="009B24DE" w14:paraId="10AF1275" w14:textId="77777777">
            <w:pPr>
              <w:rPr>
                <w:rFonts w:eastAsia="Times New Roman"/>
              </w:rPr>
            </w:pPr>
            <w:r w:rsidRPr="001E7256">
              <w:rPr>
                <w:rFonts w:eastAsia="Times New Roman"/>
              </w:rPr>
              <w:t>3.</w:t>
            </w:r>
          </w:p>
        </w:tc>
        <w:tc>
          <w:tcPr>
            <w:tcW w:w="1418" w:type="dxa"/>
            <w:hideMark/>
          </w:tcPr>
          <w:p w:rsidRPr="001E7256" w:rsidR="00215ACE" w:rsidP="009B24DE" w14:paraId="2763C1C9" w14:textId="77777777">
            <w:pPr>
              <w:rPr>
                <w:rFonts w:eastAsia="Times New Roman"/>
              </w:rPr>
            </w:pPr>
            <w:r w:rsidRPr="001E7256">
              <w:rPr>
                <w:rFonts w:eastAsia="Times New Roman"/>
              </w:rPr>
              <w:t>55306/18</w:t>
            </w:r>
          </w:p>
        </w:tc>
        <w:tc>
          <w:tcPr>
            <w:tcW w:w="1276" w:type="dxa"/>
            <w:hideMark/>
          </w:tcPr>
          <w:p w:rsidRPr="001E7256" w:rsidR="00215ACE" w:rsidP="009B24DE" w14:paraId="390E0719" w14:textId="77777777">
            <w:pPr>
              <w:rPr>
                <w:rFonts w:eastAsia="Times New Roman"/>
              </w:rPr>
            </w:pPr>
            <w:r w:rsidRPr="001E7256">
              <w:rPr>
                <w:rFonts w:eastAsia="Times New Roman"/>
              </w:rPr>
              <w:t>Formela</w:t>
            </w:r>
            <w:r w:rsidRPr="001E7256">
              <w:rPr>
                <w:rFonts w:eastAsia="Times New Roman"/>
              </w:rPr>
              <w:t xml:space="preserve"> v. Poland</w:t>
            </w:r>
          </w:p>
        </w:tc>
        <w:tc>
          <w:tcPr>
            <w:tcW w:w="1417" w:type="dxa"/>
            <w:hideMark/>
          </w:tcPr>
          <w:p w:rsidRPr="001E7256" w:rsidR="00215ACE" w:rsidP="009B24DE" w14:paraId="6A332412" w14:textId="77777777">
            <w:pPr>
              <w:rPr>
                <w:rFonts w:eastAsia="Times New Roman"/>
              </w:rPr>
            </w:pPr>
            <w:r w:rsidRPr="001E7256">
              <w:rPr>
                <w:rFonts w:eastAsia="Times New Roman"/>
              </w:rPr>
              <w:t>15/11/2018</w:t>
            </w:r>
          </w:p>
        </w:tc>
        <w:tc>
          <w:tcPr>
            <w:tcW w:w="2268" w:type="dxa"/>
            <w:hideMark/>
          </w:tcPr>
          <w:p w:rsidRPr="001E7256" w:rsidR="00215ACE" w:rsidP="009B24DE" w14:paraId="46FBA626" w14:textId="77777777">
            <w:pPr>
              <w:rPr>
                <w:rFonts w:eastAsia="Times New Roman"/>
              </w:rPr>
            </w:pPr>
            <w:r w:rsidRPr="001E7256">
              <w:rPr>
                <w:rFonts w:eastAsia="Times New Roman"/>
                <w:b/>
                <w:bCs/>
              </w:rPr>
              <w:t>Katarzyna FORMELA</w:t>
            </w:r>
            <w:r w:rsidRPr="001E7256">
              <w:rPr>
                <w:rFonts w:eastAsia="Times New Roman"/>
              </w:rPr>
              <w:br/>
              <w:t>1966</w:t>
            </w:r>
            <w:r w:rsidRPr="001E7256">
              <w:rPr>
                <w:rFonts w:eastAsia="Times New Roman"/>
              </w:rPr>
              <w:br/>
            </w:r>
            <w:r w:rsidRPr="001E7256">
              <w:rPr>
                <w:rFonts w:eastAsia="Times New Roman"/>
              </w:rPr>
              <w:t>Gdańsk</w:t>
            </w:r>
            <w:r w:rsidRPr="001E7256">
              <w:rPr>
                <w:rFonts w:eastAsia="Times New Roman"/>
              </w:rPr>
              <w:br/>
              <w:t>Polish</w:t>
            </w:r>
          </w:p>
        </w:tc>
        <w:tc>
          <w:tcPr>
            <w:tcW w:w="2268" w:type="dxa"/>
            <w:vMerge w:val="restart"/>
          </w:tcPr>
          <w:p w:rsidRPr="001E7256" w:rsidR="00215ACE" w:rsidP="009B24DE" w14:paraId="015FC13F" w14:textId="77777777">
            <w:pPr>
              <w:rPr>
                <w:rFonts w:eastAsia="Times New Roman"/>
                <w:lang w:val="pl-PL"/>
              </w:rPr>
            </w:pPr>
            <w:r w:rsidRPr="001E7256">
              <w:rPr>
                <w:rFonts w:eastAsia="Times New Roman"/>
              </w:rPr>
              <w:t xml:space="preserve">Marcin </w:t>
            </w:r>
            <w:r w:rsidRPr="001E7256">
              <w:rPr>
                <w:rFonts w:eastAsia="Times New Roman"/>
                <w:lang w:val="pl-PL"/>
              </w:rPr>
              <w:t>GÓRSKI</w:t>
            </w:r>
          </w:p>
          <w:p w:rsidRPr="001E7256" w:rsidR="00215ACE" w:rsidP="009B24DE" w14:paraId="4B48BD9A" w14:textId="51853273">
            <w:pPr>
              <w:rPr>
                <w:rFonts w:eastAsia="Times New Roman"/>
                <w:b/>
                <w:bCs/>
              </w:rPr>
            </w:pPr>
          </w:p>
        </w:tc>
      </w:tr>
      <w:tr w:rsidTr="00F14E5E" w14:paraId="4D3CBCA5" w14:textId="409EA027">
        <w:tblPrEx>
          <w:tblW w:w="9356" w:type="dxa"/>
          <w:tblInd w:w="-1281" w:type="dxa"/>
          <w:tblLayout w:type="fixed"/>
          <w:tblLook w:val="0420"/>
        </w:tblPrEx>
        <w:tc>
          <w:tcPr>
            <w:tcW w:w="709" w:type="dxa"/>
            <w:hideMark/>
          </w:tcPr>
          <w:p w:rsidRPr="001E7256" w:rsidR="00215ACE" w:rsidP="009B24DE" w14:paraId="084A451D" w14:textId="77777777">
            <w:pPr>
              <w:rPr>
                <w:rFonts w:eastAsia="Times New Roman"/>
              </w:rPr>
            </w:pPr>
            <w:r w:rsidRPr="001E7256">
              <w:rPr>
                <w:rFonts w:eastAsia="Times New Roman"/>
              </w:rPr>
              <w:t>4.</w:t>
            </w:r>
          </w:p>
        </w:tc>
        <w:tc>
          <w:tcPr>
            <w:tcW w:w="1418" w:type="dxa"/>
            <w:hideMark/>
          </w:tcPr>
          <w:p w:rsidRPr="001E7256" w:rsidR="00215ACE" w:rsidP="009B24DE" w14:paraId="244A0C4E" w14:textId="77777777">
            <w:pPr>
              <w:rPr>
                <w:rFonts w:eastAsia="Times New Roman"/>
              </w:rPr>
            </w:pPr>
            <w:r w:rsidRPr="001E7256">
              <w:rPr>
                <w:rFonts w:eastAsia="Times New Roman"/>
              </w:rPr>
              <w:t>55321/18</w:t>
            </w:r>
          </w:p>
        </w:tc>
        <w:tc>
          <w:tcPr>
            <w:tcW w:w="1276" w:type="dxa"/>
            <w:hideMark/>
          </w:tcPr>
          <w:p w:rsidRPr="001E7256" w:rsidR="00215ACE" w:rsidP="009B24DE" w14:paraId="47C6CA9A" w14:textId="77777777">
            <w:pPr>
              <w:rPr>
                <w:rFonts w:eastAsia="Times New Roman"/>
              </w:rPr>
            </w:pPr>
            <w:r w:rsidRPr="001E7256">
              <w:rPr>
                <w:rFonts w:eastAsia="Times New Roman"/>
              </w:rPr>
              <w:t>Formela</w:t>
            </w:r>
            <w:r w:rsidRPr="001E7256">
              <w:rPr>
                <w:rFonts w:eastAsia="Times New Roman"/>
              </w:rPr>
              <w:t xml:space="preserve"> v. Poland</w:t>
            </w:r>
          </w:p>
        </w:tc>
        <w:tc>
          <w:tcPr>
            <w:tcW w:w="1417" w:type="dxa"/>
            <w:hideMark/>
          </w:tcPr>
          <w:p w:rsidRPr="001E7256" w:rsidR="00215ACE" w:rsidP="009B24DE" w14:paraId="30574D9D" w14:textId="77777777">
            <w:pPr>
              <w:rPr>
                <w:rFonts w:eastAsia="Times New Roman"/>
              </w:rPr>
            </w:pPr>
            <w:r w:rsidRPr="001E7256">
              <w:rPr>
                <w:rFonts w:eastAsia="Times New Roman"/>
              </w:rPr>
              <w:t>15/11/2018</w:t>
            </w:r>
          </w:p>
        </w:tc>
        <w:tc>
          <w:tcPr>
            <w:tcW w:w="2268" w:type="dxa"/>
            <w:hideMark/>
          </w:tcPr>
          <w:p w:rsidRPr="001E7256" w:rsidR="00215ACE" w:rsidP="009B24DE" w14:paraId="20494772" w14:textId="77777777">
            <w:pPr>
              <w:rPr>
                <w:rFonts w:eastAsia="Times New Roman"/>
              </w:rPr>
            </w:pPr>
            <w:r w:rsidRPr="001E7256">
              <w:rPr>
                <w:rFonts w:eastAsia="Times New Roman"/>
                <w:b/>
                <w:bCs/>
              </w:rPr>
              <w:t>Sylwia</w:t>
            </w:r>
            <w:r w:rsidRPr="001E7256">
              <w:rPr>
                <w:rFonts w:eastAsia="Times New Roman"/>
                <w:b/>
                <w:bCs/>
              </w:rPr>
              <w:t xml:space="preserve"> FORMELA</w:t>
            </w:r>
            <w:r w:rsidRPr="001E7256">
              <w:rPr>
                <w:rFonts w:eastAsia="Times New Roman"/>
              </w:rPr>
              <w:br/>
              <w:t>1974</w:t>
            </w:r>
            <w:r w:rsidRPr="001E7256">
              <w:rPr>
                <w:rFonts w:eastAsia="Times New Roman"/>
              </w:rPr>
              <w:br/>
            </w:r>
            <w:r w:rsidRPr="001E7256">
              <w:rPr>
                <w:rFonts w:eastAsia="Times New Roman"/>
              </w:rPr>
              <w:t>Gdańsk</w:t>
            </w:r>
            <w:r w:rsidRPr="001E7256">
              <w:rPr>
                <w:rFonts w:eastAsia="Times New Roman"/>
              </w:rPr>
              <w:br/>
              <w:t>Polish</w:t>
            </w:r>
          </w:p>
        </w:tc>
        <w:tc>
          <w:tcPr>
            <w:tcW w:w="2268" w:type="dxa"/>
            <w:vMerge/>
          </w:tcPr>
          <w:p w:rsidRPr="001E7256" w:rsidR="00215ACE" w:rsidP="009B24DE" w14:paraId="2072BE87" w14:textId="77777777">
            <w:pPr>
              <w:rPr>
                <w:rFonts w:eastAsia="Times New Roman"/>
                <w:b/>
                <w:bCs/>
              </w:rPr>
            </w:pPr>
          </w:p>
        </w:tc>
      </w:tr>
      <w:tr w:rsidTr="00F14E5E" w14:paraId="32283266" w14:textId="6D040A05">
        <w:tblPrEx>
          <w:tblW w:w="9356" w:type="dxa"/>
          <w:tblInd w:w="-1281" w:type="dxa"/>
          <w:tblLayout w:type="fixed"/>
          <w:tblLook w:val="0420"/>
        </w:tblPrEx>
        <w:tc>
          <w:tcPr>
            <w:tcW w:w="709" w:type="dxa"/>
            <w:hideMark/>
          </w:tcPr>
          <w:p w:rsidRPr="001E7256" w:rsidR="00F66354" w:rsidP="009B24DE" w14:paraId="2E1DEB19" w14:textId="77777777">
            <w:pPr>
              <w:rPr>
                <w:rFonts w:eastAsia="Times New Roman"/>
              </w:rPr>
            </w:pPr>
            <w:r w:rsidRPr="001E7256">
              <w:rPr>
                <w:rFonts w:eastAsia="Times New Roman"/>
              </w:rPr>
              <w:t>5.</w:t>
            </w:r>
          </w:p>
        </w:tc>
        <w:tc>
          <w:tcPr>
            <w:tcW w:w="1418" w:type="dxa"/>
            <w:hideMark/>
          </w:tcPr>
          <w:p w:rsidRPr="001E7256" w:rsidR="00F66354" w:rsidP="009B24DE" w14:paraId="4CD0D9CD" w14:textId="77777777">
            <w:pPr>
              <w:rPr>
                <w:rFonts w:eastAsia="Times New Roman"/>
              </w:rPr>
            </w:pPr>
            <w:r w:rsidRPr="001E7256">
              <w:rPr>
                <w:rFonts w:eastAsia="Times New Roman"/>
              </w:rPr>
              <w:t>45301/19</w:t>
            </w:r>
          </w:p>
        </w:tc>
        <w:tc>
          <w:tcPr>
            <w:tcW w:w="1276" w:type="dxa"/>
            <w:hideMark/>
          </w:tcPr>
          <w:p w:rsidRPr="001E7256" w:rsidR="00F66354" w:rsidP="009B24DE" w14:paraId="03405E66" w14:textId="77777777">
            <w:pPr>
              <w:rPr>
                <w:rFonts w:eastAsia="Times New Roman"/>
              </w:rPr>
            </w:pPr>
            <w:r w:rsidRPr="001E7256">
              <w:rPr>
                <w:rFonts w:eastAsia="Times New Roman"/>
              </w:rPr>
              <w:t>Handzlik-Rosuł</w:t>
            </w:r>
            <w:r w:rsidRPr="001E7256">
              <w:rPr>
                <w:rFonts w:eastAsia="Times New Roman"/>
              </w:rPr>
              <w:t xml:space="preserve"> and </w:t>
            </w:r>
            <w:r w:rsidRPr="001E7256">
              <w:rPr>
                <w:rFonts w:eastAsia="Times New Roman"/>
              </w:rPr>
              <w:t>Rosuł</w:t>
            </w:r>
            <w:r w:rsidRPr="001E7256">
              <w:rPr>
                <w:rFonts w:eastAsia="Times New Roman"/>
              </w:rPr>
              <w:t xml:space="preserve"> v. Poland</w:t>
            </w:r>
          </w:p>
        </w:tc>
        <w:tc>
          <w:tcPr>
            <w:tcW w:w="1417" w:type="dxa"/>
            <w:hideMark/>
          </w:tcPr>
          <w:p w:rsidRPr="001E7256" w:rsidR="00F66354" w:rsidP="009B24DE" w14:paraId="5772291F" w14:textId="77777777">
            <w:pPr>
              <w:rPr>
                <w:rFonts w:eastAsia="Times New Roman"/>
              </w:rPr>
            </w:pPr>
            <w:r w:rsidRPr="001E7256">
              <w:rPr>
                <w:rFonts w:eastAsia="Times New Roman"/>
              </w:rPr>
              <w:t>16/08/2019</w:t>
            </w:r>
          </w:p>
        </w:tc>
        <w:tc>
          <w:tcPr>
            <w:tcW w:w="2268" w:type="dxa"/>
            <w:hideMark/>
          </w:tcPr>
          <w:p w:rsidRPr="001E7256" w:rsidR="00F66354" w:rsidP="009B24DE" w14:paraId="51A081B3" w14:textId="5FB1DDB3">
            <w:pPr>
              <w:rPr>
                <w:rFonts w:eastAsia="Times New Roman"/>
              </w:rPr>
            </w:pPr>
            <w:r w:rsidRPr="001E7256">
              <w:rPr>
                <w:rFonts w:eastAsia="Times New Roman"/>
                <w:b/>
                <w:bCs/>
              </w:rPr>
              <w:t>Marta Agnieszka HANDZLIK-ROSUŁ</w:t>
            </w:r>
            <w:r w:rsidRPr="001E7256">
              <w:rPr>
                <w:rFonts w:eastAsia="Times New Roman"/>
              </w:rPr>
              <w:br/>
              <w:t>1981</w:t>
            </w:r>
            <w:r w:rsidRPr="001E7256">
              <w:rPr>
                <w:rFonts w:eastAsia="Times New Roman"/>
              </w:rPr>
              <w:br/>
            </w:r>
            <w:r w:rsidRPr="001E7256">
              <w:rPr>
                <w:rFonts w:eastAsia="Times New Roman"/>
              </w:rPr>
              <w:t>Gdańsk</w:t>
            </w:r>
            <w:r w:rsidRPr="001E7256">
              <w:rPr>
                <w:rFonts w:eastAsia="Times New Roman"/>
              </w:rPr>
              <w:br/>
              <w:t>Polish</w:t>
            </w:r>
            <w:r w:rsidRPr="001E7256">
              <w:rPr>
                <w:rFonts w:eastAsia="Times New Roman"/>
              </w:rPr>
              <w:br/>
            </w:r>
            <w:r w:rsidRPr="001E7256">
              <w:rPr>
                <w:rFonts w:eastAsia="Times New Roman"/>
                <w:b/>
                <w:bCs/>
              </w:rPr>
              <w:t>Anna Katarzyna ROSUŁ</w:t>
            </w:r>
            <w:r w:rsidRPr="001E7256">
              <w:rPr>
                <w:rFonts w:eastAsia="Times New Roman"/>
              </w:rPr>
              <w:br/>
              <w:t>1981</w:t>
            </w:r>
            <w:r w:rsidRPr="001E7256">
              <w:rPr>
                <w:rFonts w:eastAsia="Times New Roman"/>
              </w:rPr>
              <w:br/>
            </w:r>
            <w:r w:rsidRPr="001E7256">
              <w:rPr>
                <w:rFonts w:eastAsia="Times New Roman"/>
              </w:rPr>
              <w:t>Gdańsk</w:t>
            </w:r>
            <w:r w:rsidRPr="001E7256">
              <w:rPr>
                <w:rFonts w:eastAsia="Times New Roman"/>
              </w:rPr>
              <w:br/>
              <w:t>Polish</w:t>
            </w:r>
          </w:p>
        </w:tc>
        <w:tc>
          <w:tcPr>
            <w:tcW w:w="2268" w:type="dxa"/>
          </w:tcPr>
          <w:p w:rsidRPr="001E7256" w:rsidR="00F66354" w:rsidP="009B24DE" w14:paraId="4F015EDF" w14:textId="62499B0D">
            <w:pPr>
              <w:rPr>
                <w:rFonts w:eastAsia="Times New Roman"/>
              </w:rPr>
            </w:pPr>
            <w:r w:rsidRPr="001E7256">
              <w:rPr>
                <w:rFonts w:eastAsia="Times New Roman"/>
              </w:rPr>
              <w:t>Katarzyna WARECKA</w:t>
            </w:r>
          </w:p>
        </w:tc>
      </w:tr>
    </w:tbl>
    <w:p w:rsidRPr="001E7256" w:rsidR="00F66354" w:rsidP="009B24DE" w14:paraId="27FE522B" w14:textId="77777777">
      <w:pPr>
        <w:rPr>
          <w:highlight w:val="yellow"/>
        </w:rPr>
      </w:pPr>
    </w:p>
    <w:sectPr w:rsidSect="00634C84">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E7256" w14:paraId="0E37D95E"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7FDF" w:rsidRPr="00150BFA" w:rsidP="0020718E" w14:paraId="4F7EF54A" w14:textId="2286A023">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B57FDF" w:rsidP="00AF12C5" w14:paraId="48F3548D" w14:textId="115C71C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7FDF" w:rsidRPr="00150BFA" w:rsidP="0020718E" w14:paraId="08122739" w14:textId="171D8546">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B57FDF" w:rsidP="009E7A6F" w14:paraId="0123971D" w14:textId="0BC4C746">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42F22B0" w14:textId="3101549E">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1628" w:rsidP="00D41628" w14:paraId="758A9D29" w14:textId="77777777">
    <w:pPr>
      <w:pStyle w:val="JuHeader"/>
    </w:pPr>
    <w:r>
      <w:fldChar w:fldCharType="begin"/>
    </w:r>
    <w:r>
      <w:instrText xml:space="preserve"> PAGE  \* MERGEFORMAT </w:instrText>
    </w:r>
    <w:r>
      <w:fldChar w:fldCharType="separate"/>
    </w:r>
    <w:r>
      <w:t>8</w:t>
    </w:r>
    <w:r>
      <w:fldChar w:fldCharType="end"/>
    </w:r>
  </w:p>
  <w:p w:rsidR="00182EBA" w:rsidRPr="00634C84" w:rsidP="00634C84" w14:paraId="3109E7DD" w14:textId="7F6CF626">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E7256" w14:paraId="05DC143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7FDF" w:rsidRPr="00A45145" w:rsidP="00A45145" w14:paraId="7C7E2A2E" w14:textId="6CD053D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57FDF" w:rsidP="00B14793" w14:paraId="1BFD0B93" w14:textId="020DF72E">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7FDF" w:rsidRPr="00A45145" w:rsidP="00A45145" w14:paraId="3FB7D58B" w14:textId="02D11070">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57FDF" w14:paraId="3AECA077" w14:textId="7581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7D394BD" w14:textId="2BA6D68A">
    <w:pPr>
      <w:pStyle w:val="JuHeader"/>
    </w:pPr>
    <w:r>
      <w:t xml:space="preserve">FORMELA </w:t>
    </w:r>
    <w:r w:rsidR="00B644C1">
      <w:t xml:space="preserve">AND OTHERS </w:t>
    </w:r>
    <w:r>
      <w:t>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57B5F610" w14:textId="5CA3543B">
    <w:pPr>
      <w:pStyle w:val="JuHeader"/>
    </w:pPr>
    <w:r>
      <w:t xml:space="preserve">FORMELA </w:t>
    </w:r>
    <w:r w:rsidR="009F2E41">
      <w:t xml:space="preserve">AND OTHERS </w:t>
    </w:r>
    <w:r>
      <w:t>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DF"/>
    <w:rsid w:val="00001742"/>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52489"/>
    <w:rsid w:val="000602DF"/>
    <w:rsid w:val="00061B05"/>
    <w:rsid w:val="000632D5"/>
    <w:rsid w:val="000644EE"/>
    <w:rsid w:val="00065AEA"/>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256"/>
    <w:rsid w:val="001F2145"/>
    <w:rsid w:val="001F6262"/>
    <w:rsid w:val="001F67B0"/>
    <w:rsid w:val="001F7B3D"/>
    <w:rsid w:val="00202752"/>
    <w:rsid w:val="0020335A"/>
    <w:rsid w:val="002052BC"/>
    <w:rsid w:val="00205F9F"/>
    <w:rsid w:val="0020718E"/>
    <w:rsid w:val="00210338"/>
    <w:rsid w:val="002115FC"/>
    <w:rsid w:val="0021423C"/>
    <w:rsid w:val="00215ACE"/>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73DC"/>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5947"/>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3C"/>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34C84"/>
    <w:rsid w:val="00643524"/>
    <w:rsid w:val="0064393B"/>
    <w:rsid w:val="00645CF2"/>
    <w:rsid w:val="006545C4"/>
    <w:rsid w:val="00661971"/>
    <w:rsid w:val="00661CE8"/>
    <w:rsid w:val="006623D9"/>
    <w:rsid w:val="006642A5"/>
    <w:rsid w:val="0066550C"/>
    <w:rsid w:val="00665BD2"/>
    <w:rsid w:val="006716F2"/>
    <w:rsid w:val="00675AF2"/>
    <w:rsid w:val="00680A6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9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4AE5"/>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6996"/>
    <w:rsid w:val="009A115C"/>
    <w:rsid w:val="009A7FC1"/>
    <w:rsid w:val="009B1606"/>
    <w:rsid w:val="009B1B5F"/>
    <w:rsid w:val="009B24DE"/>
    <w:rsid w:val="009B6673"/>
    <w:rsid w:val="009C191B"/>
    <w:rsid w:val="009C2BD6"/>
    <w:rsid w:val="009D57AA"/>
    <w:rsid w:val="009E1F32"/>
    <w:rsid w:val="009E2CC2"/>
    <w:rsid w:val="009E47A2"/>
    <w:rsid w:val="009E776C"/>
    <w:rsid w:val="009E7A6F"/>
    <w:rsid w:val="009F2E41"/>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3CEC"/>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57FDF"/>
    <w:rsid w:val="00B644C1"/>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06FE"/>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407"/>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80302"/>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1628"/>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380A"/>
    <w:rsid w:val="00DA4A31"/>
    <w:rsid w:val="00DA7B04"/>
    <w:rsid w:val="00DB36C2"/>
    <w:rsid w:val="00DC00A8"/>
    <w:rsid w:val="00DC169B"/>
    <w:rsid w:val="00DC2AB9"/>
    <w:rsid w:val="00DC63F0"/>
    <w:rsid w:val="00DD37EA"/>
    <w:rsid w:val="00DD6EE5"/>
    <w:rsid w:val="00DE2F26"/>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D71A7"/>
    <w:rsid w:val="00EE0277"/>
    <w:rsid w:val="00EE2899"/>
    <w:rsid w:val="00EE3E00"/>
    <w:rsid w:val="00EE5DD2"/>
    <w:rsid w:val="00EF36C5"/>
    <w:rsid w:val="00EF3DB4"/>
    <w:rsid w:val="00F00A79"/>
    <w:rsid w:val="00F00D13"/>
    <w:rsid w:val="00F00E86"/>
    <w:rsid w:val="00F02067"/>
    <w:rsid w:val="00F07C1E"/>
    <w:rsid w:val="00F105DB"/>
    <w:rsid w:val="00F132BC"/>
    <w:rsid w:val="00F13D80"/>
    <w:rsid w:val="00F14E5E"/>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6354"/>
    <w:rsid w:val="00F72498"/>
    <w:rsid w:val="00F72B14"/>
    <w:rsid w:val="00F7349B"/>
    <w:rsid w:val="00F8765F"/>
    <w:rsid w:val="00F90767"/>
    <w:rsid w:val="00F9263C"/>
    <w:rsid w:val="00FA0379"/>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3"/>
    <w:docVar w:name="AppNatAutre" w:val="0"/>
    <w:docVar w:name="DocVarPREMATURE" w:val="0"/>
    <w:docVar w:name="EMM" w:val="0"/>
    <w:docVar w:name="ETRANSMISSION" w:val="BY E-TRANSMISSION ONLY"/>
    <w:docVar w:name="L4_1Annex" w:val="0"/>
    <w:docVar w:name="L4_1Anonymity" w:val="0"/>
    <w:docVar w:name="NBApplication" w:val="2"/>
    <w:docVar w:name="NBEMMDOC" w:val="0"/>
    <w:docVar w:name="P3" w:val="P3"/>
    <w:docVar w:name="Plural" w:val="3"/>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2A5D4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E7256"/>
    <w:rPr>
      <w:sz w:val="24"/>
      <w:szCs w:val="24"/>
      <w:lang w:val="en-GB"/>
    </w:rPr>
  </w:style>
  <w:style w:type="paragraph" w:styleId="Heading1">
    <w:name w:val="heading 1"/>
    <w:basedOn w:val="Normal"/>
    <w:next w:val="Normal"/>
    <w:link w:val="Heading1Char"/>
    <w:uiPriority w:val="98"/>
    <w:semiHidden/>
    <w:rsid w:val="001E725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E725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E725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E725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E725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E725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E725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E725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E725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1E725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7256"/>
  </w:style>
  <w:style w:type="paragraph" w:styleId="BalloonText">
    <w:name w:val="Balloon Text"/>
    <w:basedOn w:val="Normal"/>
    <w:link w:val="BalloonTextChar"/>
    <w:uiPriority w:val="98"/>
    <w:semiHidden/>
    <w:rsid w:val="001E7256"/>
    <w:rPr>
      <w:rFonts w:ascii="Tahoma" w:hAnsi="Tahoma" w:cs="Tahoma"/>
      <w:sz w:val="16"/>
      <w:szCs w:val="16"/>
    </w:rPr>
  </w:style>
  <w:style w:type="character" w:customStyle="1" w:styleId="BalloonTextChar">
    <w:name w:val="Balloon Text Char"/>
    <w:basedOn w:val="DefaultParagraphFont"/>
    <w:link w:val="BalloonText"/>
    <w:uiPriority w:val="98"/>
    <w:semiHidden/>
    <w:rsid w:val="001E7256"/>
    <w:rPr>
      <w:rFonts w:ascii="Tahoma" w:hAnsi="Tahoma" w:cs="Tahoma"/>
      <w:sz w:val="16"/>
      <w:szCs w:val="16"/>
      <w:lang w:val="en-GB"/>
    </w:rPr>
  </w:style>
  <w:style w:type="character" w:styleId="BookTitle">
    <w:name w:val="Book Title"/>
    <w:uiPriority w:val="98"/>
    <w:semiHidden/>
    <w:qFormat/>
    <w:rsid w:val="001E7256"/>
    <w:rPr>
      <w:i/>
      <w:iCs/>
      <w:smallCaps/>
      <w:spacing w:val="5"/>
    </w:rPr>
  </w:style>
  <w:style w:type="paragraph" w:customStyle="1" w:styleId="JuHeader">
    <w:name w:val="Ju_Header"/>
    <w:aliases w:val="_Header"/>
    <w:basedOn w:val="Header0"/>
    <w:uiPriority w:val="29"/>
    <w:qFormat/>
    <w:rsid w:val="001E7256"/>
    <w:pPr>
      <w:tabs>
        <w:tab w:val="clear" w:pos="4536"/>
        <w:tab w:val="clear" w:pos="9072"/>
      </w:tabs>
      <w:jc w:val="center"/>
    </w:pPr>
    <w:rPr>
      <w:sz w:val="18"/>
    </w:rPr>
  </w:style>
  <w:style w:type="paragraph" w:customStyle="1" w:styleId="NormalJustified">
    <w:name w:val="Normal_Justified"/>
    <w:basedOn w:val="Normal"/>
    <w:semiHidden/>
    <w:rsid w:val="001E7256"/>
    <w:pPr>
      <w:jc w:val="both"/>
    </w:pPr>
  </w:style>
  <w:style w:type="character" w:styleId="Strong">
    <w:name w:val="Strong"/>
    <w:uiPriority w:val="98"/>
    <w:semiHidden/>
    <w:qFormat/>
    <w:rsid w:val="001E7256"/>
    <w:rPr>
      <w:b/>
      <w:bCs/>
    </w:rPr>
  </w:style>
  <w:style w:type="paragraph" w:styleId="NoSpacing">
    <w:name w:val="No Spacing"/>
    <w:basedOn w:val="Normal"/>
    <w:link w:val="NoSpacingChar"/>
    <w:uiPriority w:val="98"/>
    <w:semiHidden/>
    <w:qFormat/>
    <w:rsid w:val="001E7256"/>
  </w:style>
  <w:style w:type="character" w:customStyle="1" w:styleId="NoSpacingChar">
    <w:name w:val="No Spacing Char"/>
    <w:basedOn w:val="DefaultParagraphFont"/>
    <w:link w:val="NoSpacing"/>
    <w:uiPriority w:val="98"/>
    <w:semiHidden/>
    <w:rsid w:val="001E7256"/>
    <w:rPr>
      <w:sz w:val="24"/>
      <w:szCs w:val="24"/>
      <w:lang w:val="en-GB"/>
    </w:rPr>
  </w:style>
  <w:style w:type="paragraph" w:customStyle="1" w:styleId="JuQuot">
    <w:name w:val="Ju_Quot"/>
    <w:aliases w:val="_Quote"/>
    <w:basedOn w:val="NormalJustified"/>
    <w:uiPriority w:val="20"/>
    <w:qFormat/>
    <w:rsid w:val="001E7256"/>
    <w:pPr>
      <w:spacing w:before="120" w:after="120"/>
      <w:ind w:left="425" w:firstLine="142"/>
    </w:pPr>
    <w:rPr>
      <w:sz w:val="20"/>
    </w:rPr>
  </w:style>
  <w:style w:type="paragraph" w:customStyle="1" w:styleId="JuList">
    <w:name w:val="Ju_List"/>
    <w:aliases w:val="_List_1"/>
    <w:basedOn w:val="NormalJustified"/>
    <w:uiPriority w:val="23"/>
    <w:qFormat/>
    <w:rsid w:val="001E7256"/>
    <w:pPr>
      <w:numPr>
        <w:numId w:val="90"/>
      </w:numPr>
      <w:spacing w:before="280" w:after="60"/>
    </w:pPr>
  </w:style>
  <w:style w:type="paragraph" w:customStyle="1" w:styleId="JuLista">
    <w:name w:val="Ju_List_a"/>
    <w:aliases w:val="_List_2"/>
    <w:basedOn w:val="NormalJustified"/>
    <w:uiPriority w:val="23"/>
    <w:rsid w:val="001E7256"/>
    <w:pPr>
      <w:numPr>
        <w:ilvl w:val="1"/>
        <w:numId w:val="90"/>
      </w:numPr>
    </w:pPr>
  </w:style>
  <w:style w:type="paragraph" w:customStyle="1" w:styleId="JuListi">
    <w:name w:val="Ju_List_i"/>
    <w:aliases w:val="_List_3"/>
    <w:basedOn w:val="NormalJustified"/>
    <w:uiPriority w:val="23"/>
    <w:rsid w:val="001E7256"/>
    <w:pPr>
      <w:numPr>
        <w:ilvl w:val="2"/>
        <w:numId w:val="90"/>
      </w:numPr>
    </w:pPr>
  </w:style>
  <w:style w:type="paragraph" w:customStyle="1" w:styleId="JuHArticle">
    <w:name w:val="Ju_H_Article"/>
    <w:aliases w:val="_Title_Quote"/>
    <w:basedOn w:val="Normal"/>
    <w:next w:val="JuQuot"/>
    <w:uiPriority w:val="19"/>
    <w:qFormat/>
    <w:rsid w:val="001E725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1E725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1E725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1E7256"/>
    <w:pPr>
      <w:keepNext/>
      <w:keepLines/>
      <w:numPr>
        <w:numId w:val="87"/>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1E7256"/>
    <w:pPr>
      <w:numPr>
        <w:numId w:val="69"/>
      </w:numPr>
    </w:pPr>
  </w:style>
  <w:style w:type="paragraph" w:customStyle="1" w:styleId="JuSigned">
    <w:name w:val="Ju_Signed"/>
    <w:aliases w:val="_Signature"/>
    <w:basedOn w:val="Normal"/>
    <w:next w:val="JuPara"/>
    <w:uiPriority w:val="31"/>
    <w:qFormat/>
    <w:rsid w:val="001E7256"/>
    <w:pPr>
      <w:tabs>
        <w:tab w:val="center" w:pos="1418"/>
        <w:tab w:val="center" w:pos="5954"/>
      </w:tabs>
      <w:spacing w:before="720"/>
    </w:pPr>
  </w:style>
  <w:style w:type="paragraph" w:styleId="Title">
    <w:name w:val="Title"/>
    <w:basedOn w:val="Normal"/>
    <w:next w:val="Normal"/>
    <w:link w:val="TitleChar"/>
    <w:uiPriority w:val="98"/>
    <w:semiHidden/>
    <w:qFormat/>
    <w:rsid w:val="001E72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E725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1E7256"/>
    <w:pPr>
      <w:numPr>
        <w:numId w:val="70"/>
      </w:numPr>
    </w:pPr>
  </w:style>
  <w:style w:type="numbering" w:customStyle="1" w:styleId="ECHRA1StyleNumberedList">
    <w:name w:val="ECHR_A1_Style_Numbered_List"/>
    <w:basedOn w:val="NoList"/>
    <w:rsid w:val="001E7256"/>
    <w:pPr>
      <w:numPr>
        <w:numId w:val="71"/>
      </w:numPr>
    </w:pPr>
  </w:style>
  <w:style w:type="table" w:customStyle="1" w:styleId="ECHRTable2019">
    <w:name w:val="ECHR_Table_2019"/>
    <w:basedOn w:val="TableNormal"/>
    <w:uiPriority w:val="99"/>
    <w:rsid w:val="001E725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1E725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E7256"/>
    <w:pPr>
      <w:keepNext/>
      <w:keepLines/>
      <w:numPr>
        <w:ilvl w:val="1"/>
        <w:numId w:val="87"/>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E7256"/>
    <w:pPr>
      <w:keepNext/>
      <w:keepLines/>
      <w:numPr>
        <w:ilvl w:val="2"/>
        <w:numId w:val="87"/>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1E7256"/>
    <w:pPr>
      <w:keepNext/>
      <w:keepLines/>
      <w:numPr>
        <w:ilvl w:val="3"/>
        <w:numId w:val="87"/>
      </w:numPr>
      <w:spacing w:before="100" w:beforeAutospacing="1" w:after="120"/>
      <w:jc w:val="both"/>
    </w:pPr>
    <w:rPr>
      <w:b w:val="0"/>
      <w:color w:val="auto"/>
      <w:sz w:val="24"/>
    </w:rPr>
  </w:style>
  <w:style w:type="paragraph" w:styleId="Header0">
    <w:name w:val="header"/>
    <w:basedOn w:val="Normal"/>
    <w:link w:val="HeaderChar"/>
    <w:uiPriority w:val="98"/>
    <w:semiHidden/>
    <w:rsid w:val="001E7256"/>
    <w:pPr>
      <w:tabs>
        <w:tab w:val="center" w:pos="4536"/>
        <w:tab w:val="right" w:pos="9072"/>
      </w:tabs>
    </w:pPr>
  </w:style>
  <w:style w:type="character" w:customStyle="1" w:styleId="HeaderChar">
    <w:name w:val="Header Char"/>
    <w:basedOn w:val="DefaultParagraphFont"/>
    <w:link w:val="Header0"/>
    <w:uiPriority w:val="98"/>
    <w:semiHidden/>
    <w:rsid w:val="001E7256"/>
    <w:rPr>
      <w:sz w:val="24"/>
      <w:szCs w:val="24"/>
      <w:lang w:val="en-GB"/>
    </w:rPr>
  </w:style>
  <w:style w:type="character" w:customStyle="1" w:styleId="Heading1Char">
    <w:name w:val="Heading 1 Char"/>
    <w:basedOn w:val="DefaultParagraphFont"/>
    <w:link w:val="Heading1"/>
    <w:uiPriority w:val="98"/>
    <w:semiHidden/>
    <w:rsid w:val="001E725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1E7256"/>
    <w:pPr>
      <w:keepNext/>
      <w:keepLines/>
      <w:numPr>
        <w:ilvl w:val="4"/>
        <w:numId w:val="87"/>
      </w:numPr>
      <w:spacing w:before="100" w:beforeAutospacing="1" w:after="120"/>
      <w:jc w:val="both"/>
    </w:pPr>
    <w:rPr>
      <w:color w:val="auto"/>
      <w:sz w:val="20"/>
    </w:rPr>
  </w:style>
  <w:style w:type="paragraph" w:customStyle="1" w:styleId="JuHi">
    <w:name w:val="Ju_H_i"/>
    <w:aliases w:val="_Head_6"/>
    <w:basedOn w:val="Heading6"/>
    <w:next w:val="JuPara"/>
    <w:uiPriority w:val="17"/>
    <w:rsid w:val="001E7256"/>
    <w:pPr>
      <w:keepNext/>
      <w:keepLines/>
      <w:numPr>
        <w:ilvl w:val="5"/>
        <w:numId w:val="87"/>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1E725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1E7256"/>
    <w:pPr>
      <w:keepNext/>
      <w:keepLines/>
      <w:numPr>
        <w:ilvl w:val="6"/>
        <w:numId w:val="87"/>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1E7256"/>
    <w:pPr>
      <w:keepNext/>
      <w:keepLines/>
      <w:numPr>
        <w:ilvl w:val="7"/>
        <w:numId w:val="87"/>
      </w:numPr>
      <w:spacing w:before="100" w:beforeAutospacing="1" w:after="120"/>
      <w:jc w:val="both"/>
    </w:pPr>
    <w:rPr>
      <w:i/>
    </w:rPr>
  </w:style>
  <w:style w:type="character" w:customStyle="1" w:styleId="Heading3Char">
    <w:name w:val="Heading 3 Char"/>
    <w:basedOn w:val="DefaultParagraphFont"/>
    <w:link w:val="Heading3"/>
    <w:uiPriority w:val="98"/>
    <w:semiHidden/>
    <w:rsid w:val="001E725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1E7256"/>
    <w:pPr>
      <w:keepNext/>
      <w:keepLines/>
      <w:spacing w:before="240" w:after="240"/>
      <w:ind w:firstLine="284"/>
    </w:pPr>
  </w:style>
  <w:style w:type="paragraph" w:customStyle="1" w:styleId="JuJudges">
    <w:name w:val="Ju_Judges"/>
    <w:aliases w:val="_Judges"/>
    <w:basedOn w:val="Normal"/>
    <w:uiPriority w:val="32"/>
    <w:qFormat/>
    <w:rsid w:val="001E7256"/>
    <w:pPr>
      <w:tabs>
        <w:tab w:val="left" w:pos="567"/>
        <w:tab w:val="left" w:pos="1134"/>
      </w:tabs>
    </w:pPr>
  </w:style>
  <w:style w:type="character" w:customStyle="1" w:styleId="Heading4Char">
    <w:name w:val="Heading 4 Char"/>
    <w:basedOn w:val="DefaultParagraphFont"/>
    <w:link w:val="Heading4"/>
    <w:uiPriority w:val="98"/>
    <w:semiHidden/>
    <w:rsid w:val="001E725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1E7256"/>
    <w:pPr>
      <w:tabs>
        <w:tab w:val="center" w:pos="6407"/>
      </w:tabs>
      <w:spacing w:before="720"/>
      <w:jc w:val="right"/>
    </w:pPr>
  </w:style>
  <w:style w:type="character" w:customStyle="1" w:styleId="Heading5Char">
    <w:name w:val="Heading 5 Char"/>
    <w:basedOn w:val="DefaultParagraphFont"/>
    <w:link w:val="Heading5"/>
    <w:uiPriority w:val="98"/>
    <w:semiHidden/>
    <w:rsid w:val="001E725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1E725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1E7256"/>
    <w:rPr>
      <w:caps w:val="0"/>
      <w:smallCaps/>
    </w:rPr>
  </w:style>
  <w:style w:type="character" w:styleId="SubtleEmphasis">
    <w:name w:val="Subtle Emphasis"/>
    <w:uiPriority w:val="98"/>
    <w:semiHidden/>
    <w:qFormat/>
    <w:rsid w:val="001E7256"/>
    <w:rPr>
      <w:i/>
      <w:iCs/>
    </w:rPr>
  </w:style>
  <w:style w:type="table" w:customStyle="1" w:styleId="ECHRTable">
    <w:name w:val="ECHR_Table"/>
    <w:basedOn w:val="TableNormal"/>
    <w:rsid w:val="001E725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E725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1E7256"/>
    <w:rPr>
      <w:b/>
      <w:bCs/>
      <w:i/>
      <w:iCs/>
      <w:spacing w:val="10"/>
      <w:bdr w:val="none" w:sz="0" w:space="0" w:color="auto"/>
      <w:shd w:val="clear" w:color="auto" w:fill="auto"/>
    </w:rPr>
  </w:style>
  <w:style w:type="paragraph" w:styleId="Footer1">
    <w:name w:val="footer"/>
    <w:basedOn w:val="Normal"/>
    <w:link w:val="FooterChar"/>
    <w:uiPriority w:val="98"/>
    <w:semiHidden/>
    <w:rsid w:val="001E7256"/>
    <w:pPr>
      <w:tabs>
        <w:tab w:val="center" w:pos="3686"/>
        <w:tab w:val="right" w:pos="7371"/>
      </w:tabs>
    </w:pPr>
  </w:style>
  <w:style w:type="character" w:customStyle="1" w:styleId="FooterChar">
    <w:name w:val="Footer Char"/>
    <w:basedOn w:val="DefaultParagraphFont"/>
    <w:link w:val="Footer1"/>
    <w:uiPriority w:val="98"/>
    <w:semiHidden/>
    <w:rsid w:val="001E7256"/>
    <w:rPr>
      <w:sz w:val="24"/>
      <w:szCs w:val="24"/>
      <w:lang w:val="en-GB"/>
    </w:rPr>
  </w:style>
  <w:style w:type="character" w:styleId="FootnoteReference">
    <w:name w:val="footnote reference"/>
    <w:basedOn w:val="DefaultParagraphFont"/>
    <w:uiPriority w:val="98"/>
    <w:semiHidden/>
    <w:rsid w:val="001E7256"/>
    <w:rPr>
      <w:vertAlign w:val="superscript"/>
    </w:rPr>
  </w:style>
  <w:style w:type="paragraph" w:styleId="FootnoteText">
    <w:name w:val="footnote text"/>
    <w:basedOn w:val="NormalJustified"/>
    <w:link w:val="FootnoteTextChar"/>
    <w:uiPriority w:val="98"/>
    <w:semiHidden/>
    <w:rsid w:val="001E7256"/>
    <w:rPr>
      <w:sz w:val="20"/>
      <w:szCs w:val="20"/>
    </w:rPr>
  </w:style>
  <w:style w:type="character" w:customStyle="1" w:styleId="FootnoteTextChar">
    <w:name w:val="Footnote Text Char"/>
    <w:basedOn w:val="DefaultParagraphFont"/>
    <w:link w:val="FootnoteText"/>
    <w:uiPriority w:val="98"/>
    <w:semiHidden/>
    <w:rsid w:val="001E7256"/>
    <w:rPr>
      <w:sz w:val="20"/>
      <w:szCs w:val="20"/>
      <w:lang w:val="en-GB"/>
    </w:rPr>
  </w:style>
  <w:style w:type="character" w:customStyle="1" w:styleId="Heading6Char">
    <w:name w:val="Heading 6 Char"/>
    <w:basedOn w:val="DefaultParagraphFont"/>
    <w:link w:val="Heading6"/>
    <w:uiPriority w:val="98"/>
    <w:semiHidden/>
    <w:rsid w:val="001E725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E725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E725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E725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1E7256"/>
    <w:rPr>
      <w:color w:val="0072BC" w:themeColor="hyperlink"/>
      <w:u w:val="single"/>
    </w:rPr>
  </w:style>
  <w:style w:type="character" w:styleId="IntenseEmphasis">
    <w:name w:val="Intense Emphasis"/>
    <w:uiPriority w:val="98"/>
    <w:semiHidden/>
    <w:qFormat/>
    <w:rsid w:val="001E7256"/>
    <w:rPr>
      <w:b/>
      <w:bCs/>
    </w:rPr>
  </w:style>
  <w:style w:type="paragraph" w:styleId="IntenseQuote">
    <w:name w:val="Intense Quote"/>
    <w:basedOn w:val="Normal"/>
    <w:next w:val="Normal"/>
    <w:link w:val="IntenseQuoteChar"/>
    <w:uiPriority w:val="98"/>
    <w:semiHidden/>
    <w:qFormat/>
    <w:rsid w:val="001E725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E7256"/>
    <w:rPr>
      <w:b/>
      <w:bCs/>
      <w:i/>
      <w:iCs/>
      <w:sz w:val="24"/>
      <w:szCs w:val="24"/>
      <w:lang w:val="en-GB" w:bidi="en-US"/>
    </w:rPr>
  </w:style>
  <w:style w:type="character" w:styleId="IntenseReference">
    <w:name w:val="Intense Reference"/>
    <w:uiPriority w:val="98"/>
    <w:semiHidden/>
    <w:qFormat/>
    <w:rsid w:val="001E7256"/>
    <w:rPr>
      <w:smallCaps/>
      <w:spacing w:val="5"/>
      <w:u w:val="single"/>
    </w:rPr>
  </w:style>
  <w:style w:type="paragraph" w:styleId="ListParagraph">
    <w:name w:val="List Paragraph"/>
    <w:basedOn w:val="Normal"/>
    <w:uiPriority w:val="98"/>
    <w:semiHidden/>
    <w:qFormat/>
    <w:rsid w:val="001E7256"/>
    <w:pPr>
      <w:ind w:left="720"/>
      <w:contextualSpacing/>
    </w:pPr>
  </w:style>
  <w:style w:type="table" w:customStyle="1" w:styleId="LtrTableAddress">
    <w:name w:val="Ltr_Table_Address"/>
    <w:aliases w:val="ECHR_Ltr_Table_Address"/>
    <w:basedOn w:val="TableNormal"/>
    <w:uiPriority w:val="99"/>
    <w:rsid w:val="001E7256"/>
    <w:rPr>
      <w:sz w:val="24"/>
      <w:szCs w:val="24"/>
    </w:rPr>
    <w:tblPr>
      <w:tblInd w:w="5103" w:type="dxa"/>
    </w:tblPr>
  </w:style>
  <w:style w:type="paragraph" w:styleId="Quote0">
    <w:name w:val="Quote"/>
    <w:basedOn w:val="Normal"/>
    <w:next w:val="Normal"/>
    <w:link w:val="QuoteChar"/>
    <w:uiPriority w:val="98"/>
    <w:semiHidden/>
    <w:qFormat/>
    <w:rsid w:val="001E7256"/>
    <w:pPr>
      <w:spacing w:before="200"/>
      <w:ind w:left="360" w:right="360"/>
    </w:pPr>
    <w:rPr>
      <w:i/>
      <w:iCs/>
      <w:lang w:bidi="en-US"/>
    </w:rPr>
  </w:style>
  <w:style w:type="character" w:customStyle="1" w:styleId="QuoteChar">
    <w:name w:val="Quote Char"/>
    <w:basedOn w:val="DefaultParagraphFont"/>
    <w:link w:val="Quote0"/>
    <w:uiPriority w:val="98"/>
    <w:semiHidden/>
    <w:rsid w:val="001E7256"/>
    <w:rPr>
      <w:i/>
      <w:iCs/>
      <w:sz w:val="24"/>
      <w:szCs w:val="24"/>
      <w:lang w:val="en-GB" w:bidi="en-US"/>
    </w:rPr>
  </w:style>
  <w:style w:type="character" w:styleId="SubtleReference">
    <w:name w:val="Subtle Reference"/>
    <w:uiPriority w:val="98"/>
    <w:semiHidden/>
    <w:qFormat/>
    <w:rsid w:val="001E7256"/>
    <w:rPr>
      <w:smallCaps/>
    </w:rPr>
  </w:style>
  <w:style w:type="table" w:styleId="TableGrid">
    <w:name w:val="Table Grid"/>
    <w:basedOn w:val="TableNormal"/>
    <w:uiPriority w:val="59"/>
    <w:semiHidden/>
    <w:rsid w:val="001E725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E725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E725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E725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E725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E725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E725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1E725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E725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E725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E725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1E725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E725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E725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1E725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E725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1E7256"/>
    <w:pPr>
      <w:numPr>
        <w:numId w:val="56"/>
      </w:numPr>
    </w:pPr>
  </w:style>
  <w:style w:type="paragraph" w:customStyle="1" w:styleId="JuPara">
    <w:name w:val="Ju_Para"/>
    <w:aliases w:val="_Para"/>
    <w:basedOn w:val="NormalJustified"/>
    <w:link w:val="JuParaChar"/>
    <w:uiPriority w:val="4"/>
    <w:qFormat/>
    <w:rsid w:val="001E7256"/>
    <w:pPr>
      <w:ind w:firstLine="284"/>
    </w:pPr>
  </w:style>
  <w:style w:type="numbering" w:styleId="1ai">
    <w:name w:val="Outline List 1"/>
    <w:basedOn w:val="NoList"/>
    <w:uiPriority w:val="99"/>
    <w:semiHidden/>
    <w:unhideWhenUsed/>
    <w:rsid w:val="001E7256"/>
    <w:pPr>
      <w:numPr>
        <w:numId w:val="57"/>
      </w:numPr>
    </w:pPr>
  </w:style>
  <w:style w:type="table" w:customStyle="1" w:styleId="ECHRTableSimpleBox">
    <w:name w:val="ECHR_Table_Simple_Box"/>
    <w:basedOn w:val="TableNormal"/>
    <w:uiPriority w:val="99"/>
    <w:rsid w:val="001E725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1E725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1E7256"/>
    <w:pPr>
      <w:numPr>
        <w:numId w:val="58"/>
      </w:numPr>
    </w:pPr>
  </w:style>
  <w:style w:type="table" w:customStyle="1" w:styleId="ECHRTableForInternalUse">
    <w:name w:val="ECHR_Table_For_Internal_Use"/>
    <w:basedOn w:val="TableNormal"/>
    <w:uiPriority w:val="99"/>
    <w:rsid w:val="001E725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1E725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1E7256"/>
  </w:style>
  <w:style w:type="paragraph" w:styleId="BlockText">
    <w:name w:val="Block Text"/>
    <w:basedOn w:val="Normal"/>
    <w:uiPriority w:val="98"/>
    <w:semiHidden/>
    <w:rsid w:val="001E725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E725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1E7256"/>
    <w:pPr>
      <w:spacing w:after="120"/>
    </w:pPr>
  </w:style>
  <w:style w:type="character" w:customStyle="1" w:styleId="BodyTextChar">
    <w:name w:val="Body Text Char"/>
    <w:basedOn w:val="DefaultParagraphFont"/>
    <w:link w:val="BodyText"/>
    <w:uiPriority w:val="98"/>
    <w:semiHidden/>
    <w:rsid w:val="001E7256"/>
    <w:rPr>
      <w:sz w:val="24"/>
      <w:szCs w:val="24"/>
      <w:lang w:val="en-GB"/>
    </w:rPr>
  </w:style>
  <w:style w:type="table" w:customStyle="1" w:styleId="ECHRTableOddBanded">
    <w:name w:val="ECHR_Table_Odd_Banded"/>
    <w:basedOn w:val="TableNormal"/>
    <w:uiPriority w:val="99"/>
    <w:rsid w:val="001E725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1E7256"/>
    <w:pPr>
      <w:spacing w:after="120" w:line="480" w:lineRule="auto"/>
    </w:pPr>
  </w:style>
  <w:style w:type="table" w:customStyle="1" w:styleId="ECHRHeaderTableReduced">
    <w:name w:val="ECHR_Header_Table_Reduced"/>
    <w:basedOn w:val="TableNormal"/>
    <w:uiPriority w:val="99"/>
    <w:rsid w:val="001E725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1E7256"/>
    <w:pPr>
      <w:ind w:firstLine="284"/>
    </w:pPr>
    <w:rPr>
      <w:b/>
    </w:rPr>
  </w:style>
  <w:style w:type="character" w:styleId="PageNumber">
    <w:name w:val="page number"/>
    <w:uiPriority w:val="98"/>
    <w:semiHidden/>
    <w:rsid w:val="001E7256"/>
    <w:rPr>
      <w:sz w:val="18"/>
    </w:rPr>
  </w:style>
  <w:style w:type="paragraph" w:styleId="ListBullet">
    <w:name w:val="List Bullet"/>
    <w:basedOn w:val="Normal"/>
    <w:uiPriority w:val="98"/>
    <w:semiHidden/>
    <w:rsid w:val="001E7256"/>
    <w:pPr>
      <w:numPr>
        <w:numId w:val="59"/>
      </w:numPr>
    </w:pPr>
  </w:style>
  <w:style w:type="paragraph" w:styleId="ListBullet3">
    <w:name w:val="List Bullet 3"/>
    <w:basedOn w:val="Normal"/>
    <w:uiPriority w:val="98"/>
    <w:semiHidden/>
    <w:rsid w:val="001E7256"/>
    <w:pPr>
      <w:numPr>
        <w:numId w:val="61"/>
      </w:numPr>
      <w:contextualSpacing/>
    </w:pPr>
  </w:style>
  <w:style w:type="character" w:customStyle="1" w:styleId="BodyText2Char">
    <w:name w:val="Body Text 2 Char"/>
    <w:basedOn w:val="DefaultParagraphFont"/>
    <w:link w:val="BodyText2"/>
    <w:uiPriority w:val="98"/>
    <w:semiHidden/>
    <w:rsid w:val="001E7256"/>
    <w:rPr>
      <w:sz w:val="24"/>
      <w:szCs w:val="24"/>
      <w:lang w:val="en-GB"/>
    </w:rPr>
  </w:style>
  <w:style w:type="paragraph" w:styleId="BodyText3">
    <w:name w:val="Body Text 3"/>
    <w:basedOn w:val="Normal"/>
    <w:link w:val="BodyText3Char"/>
    <w:uiPriority w:val="98"/>
    <w:semiHidden/>
    <w:rsid w:val="001E7256"/>
    <w:pPr>
      <w:spacing w:after="120"/>
    </w:pPr>
    <w:rPr>
      <w:sz w:val="16"/>
      <w:szCs w:val="16"/>
    </w:rPr>
  </w:style>
  <w:style w:type="character" w:customStyle="1" w:styleId="BodyText3Char">
    <w:name w:val="Body Text 3 Char"/>
    <w:basedOn w:val="DefaultParagraphFont"/>
    <w:link w:val="BodyText3"/>
    <w:uiPriority w:val="98"/>
    <w:semiHidden/>
    <w:rsid w:val="001E7256"/>
    <w:rPr>
      <w:sz w:val="16"/>
      <w:szCs w:val="16"/>
      <w:lang w:val="en-GB"/>
    </w:rPr>
  </w:style>
  <w:style w:type="paragraph" w:styleId="BodyTextFirstIndent">
    <w:name w:val="Body Text First Indent"/>
    <w:basedOn w:val="BodyText"/>
    <w:link w:val="BodyTextFirstIndentChar"/>
    <w:uiPriority w:val="98"/>
    <w:semiHidden/>
    <w:rsid w:val="001E7256"/>
    <w:pPr>
      <w:spacing w:after="0"/>
      <w:ind w:firstLine="360"/>
    </w:pPr>
  </w:style>
  <w:style w:type="character" w:customStyle="1" w:styleId="BodyTextFirstIndentChar">
    <w:name w:val="Body Text First Indent Char"/>
    <w:basedOn w:val="BodyTextChar"/>
    <w:link w:val="BodyTextFirstIndent"/>
    <w:uiPriority w:val="98"/>
    <w:semiHidden/>
    <w:rsid w:val="001E7256"/>
    <w:rPr>
      <w:sz w:val="24"/>
      <w:szCs w:val="24"/>
      <w:lang w:val="en-GB"/>
    </w:rPr>
  </w:style>
  <w:style w:type="paragraph" w:styleId="BodyTextIndent">
    <w:name w:val="Body Text Indent"/>
    <w:basedOn w:val="Normal"/>
    <w:link w:val="BodyTextIndentChar"/>
    <w:uiPriority w:val="98"/>
    <w:semiHidden/>
    <w:rsid w:val="001E7256"/>
    <w:pPr>
      <w:spacing w:after="120"/>
      <w:ind w:left="283"/>
    </w:pPr>
  </w:style>
  <w:style w:type="character" w:customStyle="1" w:styleId="BodyTextIndentChar">
    <w:name w:val="Body Text Indent Char"/>
    <w:basedOn w:val="DefaultParagraphFont"/>
    <w:link w:val="BodyTextIndent"/>
    <w:uiPriority w:val="98"/>
    <w:semiHidden/>
    <w:rsid w:val="001E7256"/>
    <w:rPr>
      <w:sz w:val="24"/>
      <w:szCs w:val="24"/>
      <w:lang w:val="en-GB"/>
    </w:rPr>
  </w:style>
  <w:style w:type="paragraph" w:styleId="BodyTextFirstIndent2">
    <w:name w:val="Body Text First Indent 2"/>
    <w:basedOn w:val="BodyTextIndent"/>
    <w:link w:val="BodyTextFirstIndent2Char"/>
    <w:uiPriority w:val="98"/>
    <w:semiHidden/>
    <w:rsid w:val="001E7256"/>
    <w:pPr>
      <w:spacing w:after="0"/>
      <w:ind w:left="360" w:firstLine="360"/>
    </w:pPr>
  </w:style>
  <w:style w:type="character" w:customStyle="1" w:styleId="BodyTextFirstIndent2Char">
    <w:name w:val="Body Text First Indent 2 Char"/>
    <w:basedOn w:val="BodyTextIndentChar"/>
    <w:link w:val="BodyTextFirstIndent2"/>
    <w:uiPriority w:val="98"/>
    <w:semiHidden/>
    <w:rsid w:val="001E7256"/>
    <w:rPr>
      <w:sz w:val="24"/>
      <w:szCs w:val="24"/>
      <w:lang w:val="en-GB"/>
    </w:rPr>
  </w:style>
  <w:style w:type="paragraph" w:styleId="BodyTextIndent2">
    <w:name w:val="Body Text Indent 2"/>
    <w:basedOn w:val="Normal"/>
    <w:link w:val="BodyTextIndent2Char"/>
    <w:uiPriority w:val="98"/>
    <w:semiHidden/>
    <w:rsid w:val="001E7256"/>
    <w:pPr>
      <w:spacing w:after="120" w:line="480" w:lineRule="auto"/>
      <w:ind w:left="283"/>
    </w:pPr>
  </w:style>
  <w:style w:type="character" w:customStyle="1" w:styleId="BodyTextIndent2Char">
    <w:name w:val="Body Text Indent 2 Char"/>
    <w:basedOn w:val="DefaultParagraphFont"/>
    <w:link w:val="BodyTextIndent2"/>
    <w:uiPriority w:val="98"/>
    <w:semiHidden/>
    <w:rsid w:val="001E7256"/>
    <w:rPr>
      <w:sz w:val="24"/>
      <w:szCs w:val="24"/>
      <w:lang w:val="en-GB"/>
    </w:rPr>
  </w:style>
  <w:style w:type="paragraph" w:styleId="BodyTextIndent3">
    <w:name w:val="Body Text Indent 3"/>
    <w:basedOn w:val="Normal"/>
    <w:link w:val="BodyTextIndent3Char"/>
    <w:uiPriority w:val="98"/>
    <w:semiHidden/>
    <w:rsid w:val="001E725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E7256"/>
    <w:rPr>
      <w:sz w:val="16"/>
      <w:szCs w:val="16"/>
      <w:lang w:val="en-GB"/>
    </w:rPr>
  </w:style>
  <w:style w:type="paragraph" w:styleId="Caption">
    <w:name w:val="caption"/>
    <w:basedOn w:val="Normal"/>
    <w:next w:val="Normal"/>
    <w:uiPriority w:val="98"/>
    <w:semiHidden/>
    <w:qFormat/>
    <w:rsid w:val="001E7256"/>
    <w:pPr>
      <w:spacing w:after="200"/>
    </w:pPr>
    <w:rPr>
      <w:b/>
      <w:bCs/>
      <w:color w:val="0072BC" w:themeColor="accent1"/>
      <w:sz w:val="18"/>
      <w:szCs w:val="18"/>
    </w:rPr>
  </w:style>
  <w:style w:type="paragraph" w:styleId="Closing">
    <w:name w:val="Closing"/>
    <w:basedOn w:val="Normal"/>
    <w:link w:val="ClosingChar"/>
    <w:uiPriority w:val="98"/>
    <w:semiHidden/>
    <w:rsid w:val="001E7256"/>
    <w:pPr>
      <w:ind w:left="4252"/>
    </w:pPr>
  </w:style>
  <w:style w:type="character" w:customStyle="1" w:styleId="ClosingChar">
    <w:name w:val="Closing Char"/>
    <w:basedOn w:val="DefaultParagraphFont"/>
    <w:link w:val="Closing"/>
    <w:uiPriority w:val="98"/>
    <w:semiHidden/>
    <w:rsid w:val="001E7256"/>
    <w:rPr>
      <w:sz w:val="24"/>
      <w:szCs w:val="24"/>
      <w:lang w:val="en-GB"/>
    </w:rPr>
  </w:style>
  <w:style w:type="table" w:styleId="ColorfulGrid">
    <w:name w:val="Colorful Grid"/>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E725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E725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E725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E725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E725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1E725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E725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E725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E725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E725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E725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E725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1E725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E725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E725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1E7256"/>
    <w:rPr>
      <w:sz w:val="16"/>
      <w:szCs w:val="16"/>
    </w:rPr>
  </w:style>
  <w:style w:type="paragraph" w:styleId="CommentText">
    <w:name w:val="annotation text"/>
    <w:basedOn w:val="Normal"/>
    <w:link w:val="CommentTextChar"/>
    <w:uiPriority w:val="98"/>
    <w:semiHidden/>
    <w:rsid w:val="001E7256"/>
    <w:rPr>
      <w:sz w:val="20"/>
      <w:szCs w:val="20"/>
    </w:rPr>
  </w:style>
  <w:style w:type="character" w:customStyle="1" w:styleId="CommentTextChar">
    <w:name w:val="Comment Text Char"/>
    <w:basedOn w:val="DefaultParagraphFont"/>
    <w:link w:val="CommentText"/>
    <w:uiPriority w:val="98"/>
    <w:semiHidden/>
    <w:rsid w:val="001E7256"/>
    <w:rPr>
      <w:sz w:val="20"/>
      <w:szCs w:val="20"/>
      <w:lang w:val="en-GB"/>
    </w:rPr>
  </w:style>
  <w:style w:type="paragraph" w:styleId="CommentSubject">
    <w:name w:val="annotation subject"/>
    <w:basedOn w:val="CommentText"/>
    <w:next w:val="CommentText"/>
    <w:link w:val="CommentSubjectChar"/>
    <w:uiPriority w:val="98"/>
    <w:semiHidden/>
    <w:rsid w:val="001E7256"/>
    <w:rPr>
      <w:b/>
      <w:bCs/>
    </w:rPr>
  </w:style>
  <w:style w:type="character" w:customStyle="1" w:styleId="CommentSubjectChar">
    <w:name w:val="Comment Subject Char"/>
    <w:basedOn w:val="CommentTextChar"/>
    <w:link w:val="CommentSubject"/>
    <w:uiPriority w:val="98"/>
    <w:semiHidden/>
    <w:rsid w:val="001E7256"/>
    <w:rPr>
      <w:b/>
      <w:bCs/>
      <w:sz w:val="20"/>
      <w:szCs w:val="20"/>
      <w:lang w:val="en-GB"/>
    </w:rPr>
  </w:style>
  <w:style w:type="table" w:styleId="DarkList">
    <w:name w:val="Dark List"/>
    <w:basedOn w:val="TableNormal"/>
    <w:uiPriority w:val="70"/>
    <w:semiHidden/>
    <w:rsid w:val="001E725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E725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E725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E725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1E725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E725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E725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E7256"/>
  </w:style>
  <w:style w:type="character" w:customStyle="1" w:styleId="DateChar">
    <w:name w:val="Date Char"/>
    <w:basedOn w:val="DefaultParagraphFont"/>
    <w:link w:val="Date"/>
    <w:uiPriority w:val="98"/>
    <w:semiHidden/>
    <w:rsid w:val="001E7256"/>
    <w:rPr>
      <w:sz w:val="24"/>
      <w:szCs w:val="24"/>
      <w:lang w:val="en-GB"/>
    </w:rPr>
  </w:style>
  <w:style w:type="paragraph" w:styleId="DocumentMap">
    <w:name w:val="Document Map"/>
    <w:basedOn w:val="Normal"/>
    <w:link w:val="DocumentMapChar"/>
    <w:uiPriority w:val="98"/>
    <w:semiHidden/>
    <w:rsid w:val="001E7256"/>
    <w:rPr>
      <w:rFonts w:ascii="Tahoma" w:hAnsi="Tahoma" w:cs="Tahoma"/>
      <w:sz w:val="16"/>
      <w:szCs w:val="16"/>
    </w:rPr>
  </w:style>
  <w:style w:type="character" w:customStyle="1" w:styleId="DocumentMapChar">
    <w:name w:val="Document Map Char"/>
    <w:basedOn w:val="DefaultParagraphFont"/>
    <w:link w:val="DocumentMap"/>
    <w:uiPriority w:val="98"/>
    <w:semiHidden/>
    <w:rsid w:val="001E7256"/>
    <w:rPr>
      <w:rFonts w:ascii="Tahoma" w:hAnsi="Tahoma" w:cs="Tahoma"/>
      <w:sz w:val="16"/>
      <w:szCs w:val="16"/>
      <w:lang w:val="en-GB"/>
    </w:rPr>
  </w:style>
  <w:style w:type="paragraph" w:styleId="E-mailSignature">
    <w:name w:val="E-mail Signature"/>
    <w:basedOn w:val="Normal"/>
    <w:link w:val="E-mailSignatureChar"/>
    <w:uiPriority w:val="98"/>
    <w:semiHidden/>
    <w:rsid w:val="001E7256"/>
  </w:style>
  <w:style w:type="character" w:customStyle="1" w:styleId="E-mailSignatureChar">
    <w:name w:val="E-mail Signature Char"/>
    <w:basedOn w:val="DefaultParagraphFont"/>
    <w:link w:val="E-mailSignature"/>
    <w:uiPriority w:val="98"/>
    <w:semiHidden/>
    <w:rsid w:val="001E7256"/>
    <w:rPr>
      <w:sz w:val="24"/>
      <w:szCs w:val="24"/>
      <w:lang w:val="en-GB"/>
    </w:rPr>
  </w:style>
  <w:style w:type="character" w:styleId="EndnoteReference">
    <w:name w:val="endnote reference"/>
    <w:basedOn w:val="DefaultParagraphFont"/>
    <w:uiPriority w:val="98"/>
    <w:semiHidden/>
    <w:rsid w:val="001E7256"/>
    <w:rPr>
      <w:vertAlign w:val="superscript"/>
    </w:rPr>
  </w:style>
  <w:style w:type="paragraph" w:styleId="EndnoteText">
    <w:name w:val="endnote text"/>
    <w:basedOn w:val="Normal"/>
    <w:link w:val="EndnoteTextChar"/>
    <w:uiPriority w:val="98"/>
    <w:semiHidden/>
    <w:rsid w:val="001E7256"/>
    <w:rPr>
      <w:sz w:val="20"/>
      <w:szCs w:val="20"/>
    </w:rPr>
  </w:style>
  <w:style w:type="character" w:customStyle="1" w:styleId="EndnoteTextChar">
    <w:name w:val="Endnote Text Char"/>
    <w:basedOn w:val="DefaultParagraphFont"/>
    <w:link w:val="EndnoteText"/>
    <w:uiPriority w:val="98"/>
    <w:semiHidden/>
    <w:rsid w:val="001E7256"/>
    <w:rPr>
      <w:sz w:val="20"/>
      <w:szCs w:val="20"/>
      <w:lang w:val="en-GB"/>
    </w:rPr>
  </w:style>
  <w:style w:type="paragraph" w:styleId="EnvelopeAddress">
    <w:name w:val="envelope address"/>
    <w:basedOn w:val="Normal"/>
    <w:uiPriority w:val="98"/>
    <w:semiHidden/>
    <w:rsid w:val="001E725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E725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E7256"/>
    <w:rPr>
      <w:color w:val="7030A0" w:themeColor="followedHyperlink"/>
      <w:u w:val="single"/>
    </w:rPr>
  </w:style>
  <w:style w:type="character" w:styleId="HTMLAcronym">
    <w:name w:val="HTML Acronym"/>
    <w:basedOn w:val="DefaultParagraphFont"/>
    <w:uiPriority w:val="98"/>
    <w:semiHidden/>
    <w:rsid w:val="001E7256"/>
  </w:style>
  <w:style w:type="paragraph" w:styleId="HTMLAddress">
    <w:name w:val="HTML Address"/>
    <w:basedOn w:val="Normal"/>
    <w:link w:val="HTMLAddressChar"/>
    <w:uiPriority w:val="98"/>
    <w:semiHidden/>
    <w:rsid w:val="001E7256"/>
    <w:rPr>
      <w:i/>
      <w:iCs/>
    </w:rPr>
  </w:style>
  <w:style w:type="character" w:customStyle="1" w:styleId="HTMLAddressChar">
    <w:name w:val="HTML Address Char"/>
    <w:basedOn w:val="DefaultParagraphFont"/>
    <w:link w:val="HTMLAddress"/>
    <w:uiPriority w:val="98"/>
    <w:semiHidden/>
    <w:rsid w:val="001E7256"/>
    <w:rPr>
      <w:i/>
      <w:iCs/>
      <w:sz w:val="24"/>
      <w:szCs w:val="24"/>
      <w:lang w:val="en-GB"/>
    </w:rPr>
  </w:style>
  <w:style w:type="character" w:styleId="HTMLCite">
    <w:name w:val="HTML Cite"/>
    <w:basedOn w:val="DefaultParagraphFont"/>
    <w:uiPriority w:val="98"/>
    <w:semiHidden/>
    <w:rsid w:val="001E7256"/>
    <w:rPr>
      <w:i/>
      <w:iCs/>
    </w:rPr>
  </w:style>
  <w:style w:type="character" w:styleId="HTMLCode">
    <w:name w:val="HTML Code"/>
    <w:basedOn w:val="DefaultParagraphFont"/>
    <w:uiPriority w:val="98"/>
    <w:semiHidden/>
    <w:rsid w:val="001E7256"/>
    <w:rPr>
      <w:rFonts w:ascii="Consolas" w:hAnsi="Consolas" w:cs="Consolas"/>
      <w:sz w:val="20"/>
      <w:szCs w:val="20"/>
    </w:rPr>
  </w:style>
  <w:style w:type="character" w:styleId="HTMLDefinition">
    <w:name w:val="HTML Definition"/>
    <w:basedOn w:val="DefaultParagraphFont"/>
    <w:uiPriority w:val="98"/>
    <w:semiHidden/>
    <w:rsid w:val="001E7256"/>
    <w:rPr>
      <w:i/>
      <w:iCs/>
    </w:rPr>
  </w:style>
  <w:style w:type="character" w:styleId="HTMLKeyboard">
    <w:name w:val="HTML Keyboard"/>
    <w:basedOn w:val="DefaultParagraphFont"/>
    <w:uiPriority w:val="98"/>
    <w:semiHidden/>
    <w:rsid w:val="001E7256"/>
    <w:rPr>
      <w:rFonts w:ascii="Consolas" w:hAnsi="Consolas" w:cs="Consolas"/>
      <w:sz w:val="20"/>
      <w:szCs w:val="20"/>
    </w:rPr>
  </w:style>
  <w:style w:type="paragraph" w:styleId="HTMLPreformatted">
    <w:name w:val="HTML Preformatted"/>
    <w:basedOn w:val="Normal"/>
    <w:link w:val="HTMLPreformattedChar"/>
    <w:uiPriority w:val="98"/>
    <w:semiHidden/>
    <w:rsid w:val="001E725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E7256"/>
    <w:rPr>
      <w:rFonts w:ascii="Consolas" w:hAnsi="Consolas" w:cs="Consolas"/>
      <w:sz w:val="20"/>
      <w:szCs w:val="20"/>
      <w:lang w:val="en-GB"/>
    </w:rPr>
  </w:style>
  <w:style w:type="character" w:styleId="HTMLSample">
    <w:name w:val="HTML Sample"/>
    <w:basedOn w:val="DefaultParagraphFont"/>
    <w:uiPriority w:val="98"/>
    <w:semiHidden/>
    <w:rsid w:val="001E7256"/>
    <w:rPr>
      <w:rFonts w:ascii="Consolas" w:hAnsi="Consolas" w:cs="Consolas"/>
      <w:sz w:val="24"/>
      <w:szCs w:val="24"/>
    </w:rPr>
  </w:style>
  <w:style w:type="character" w:styleId="HTMLTypewriter">
    <w:name w:val="HTML Typewriter"/>
    <w:basedOn w:val="DefaultParagraphFont"/>
    <w:uiPriority w:val="98"/>
    <w:semiHidden/>
    <w:rsid w:val="001E7256"/>
    <w:rPr>
      <w:rFonts w:ascii="Consolas" w:hAnsi="Consolas" w:cs="Consolas"/>
      <w:sz w:val="20"/>
      <w:szCs w:val="20"/>
    </w:rPr>
  </w:style>
  <w:style w:type="character" w:styleId="HTMLVariable">
    <w:name w:val="HTML Variable"/>
    <w:basedOn w:val="DefaultParagraphFont"/>
    <w:uiPriority w:val="98"/>
    <w:semiHidden/>
    <w:rsid w:val="001E7256"/>
    <w:rPr>
      <w:i/>
      <w:iCs/>
    </w:rPr>
  </w:style>
  <w:style w:type="paragraph" w:styleId="Index1">
    <w:name w:val="index 1"/>
    <w:basedOn w:val="Normal"/>
    <w:next w:val="Normal"/>
    <w:autoRedefine/>
    <w:uiPriority w:val="98"/>
    <w:semiHidden/>
    <w:rsid w:val="001E7256"/>
    <w:pPr>
      <w:ind w:left="240" w:hanging="240"/>
    </w:pPr>
  </w:style>
  <w:style w:type="paragraph" w:styleId="Index2">
    <w:name w:val="index 2"/>
    <w:basedOn w:val="Normal"/>
    <w:next w:val="Normal"/>
    <w:autoRedefine/>
    <w:uiPriority w:val="98"/>
    <w:semiHidden/>
    <w:rsid w:val="001E7256"/>
    <w:pPr>
      <w:ind w:left="480" w:hanging="240"/>
    </w:pPr>
  </w:style>
  <w:style w:type="paragraph" w:styleId="Index3">
    <w:name w:val="index 3"/>
    <w:basedOn w:val="Normal"/>
    <w:next w:val="Normal"/>
    <w:autoRedefine/>
    <w:uiPriority w:val="98"/>
    <w:semiHidden/>
    <w:rsid w:val="001E7256"/>
    <w:pPr>
      <w:ind w:left="720" w:hanging="240"/>
    </w:pPr>
  </w:style>
  <w:style w:type="paragraph" w:styleId="Index4">
    <w:name w:val="index 4"/>
    <w:basedOn w:val="Normal"/>
    <w:next w:val="Normal"/>
    <w:autoRedefine/>
    <w:uiPriority w:val="98"/>
    <w:semiHidden/>
    <w:rsid w:val="001E7256"/>
    <w:pPr>
      <w:ind w:left="960" w:hanging="240"/>
    </w:pPr>
  </w:style>
  <w:style w:type="paragraph" w:styleId="Index5">
    <w:name w:val="index 5"/>
    <w:basedOn w:val="Normal"/>
    <w:next w:val="Normal"/>
    <w:autoRedefine/>
    <w:uiPriority w:val="98"/>
    <w:semiHidden/>
    <w:rsid w:val="001E7256"/>
    <w:pPr>
      <w:ind w:left="1200" w:hanging="240"/>
    </w:pPr>
  </w:style>
  <w:style w:type="paragraph" w:styleId="Index6">
    <w:name w:val="index 6"/>
    <w:basedOn w:val="Normal"/>
    <w:next w:val="Normal"/>
    <w:autoRedefine/>
    <w:uiPriority w:val="98"/>
    <w:semiHidden/>
    <w:rsid w:val="001E7256"/>
    <w:pPr>
      <w:ind w:left="1440" w:hanging="240"/>
    </w:pPr>
  </w:style>
  <w:style w:type="paragraph" w:styleId="Index7">
    <w:name w:val="index 7"/>
    <w:basedOn w:val="Normal"/>
    <w:next w:val="Normal"/>
    <w:autoRedefine/>
    <w:uiPriority w:val="98"/>
    <w:semiHidden/>
    <w:rsid w:val="001E7256"/>
    <w:pPr>
      <w:ind w:left="1680" w:hanging="240"/>
    </w:pPr>
  </w:style>
  <w:style w:type="paragraph" w:styleId="Index8">
    <w:name w:val="index 8"/>
    <w:basedOn w:val="Normal"/>
    <w:next w:val="Normal"/>
    <w:autoRedefine/>
    <w:uiPriority w:val="98"/>
    <w:semiHidden/>
    <w:rsid w:val="001E7256"/>
    <w:pPr>
      <w:ind w:left="1920" w:hanging="240"/>
    </w:pPr>
  </w:style>
  <w:style w:type="paragraph" w:styleId="Index9">
    <w:name w:val="index 9"/>
    <w:basedOn w:val="Normal"/>
    <w:next w:val="Normal"/>
    <w:autoRedefine/>
    <w:uiPriority w:val="98"/>
    <w:semiHidden/>
    <w:rsid w:val="001E7256"/>
    <w:pPr>
      <w:ind w:left="2160" w:hanging="240"/>
    </w:pPr>
  </w:style>
  <w:style w:type="paragraph" w:styleId="IndexHeading">
    <w:name w:val="index heading"/>
    <w:basedOn w:val="Normal"/>
    <w:next w:val="Index1"/>
    <w:uiPriority w:val="98"/>
    <w:semiHidden/>
    <w:rsid w:val="001E7256"/>
    <w:rPr>
      <w:rFonts w:asciiTheme="majorHAnsi" w:eastAsiaTheme="majorEastAsia" w:hAnsiTheme="majorHAnsi" w:cstheme="majorBidi"/>
      <w:b/>
      <w:bCs/>
    </w:rPr>
  </w:style>
  <w:style w:type="table" w:styleId="LightGrid">
    <w:name w:val="Light Grid"/>
    <w:basedOn w:val="TableNormal"/>
    <w:uiPriority w:val="62"/>
    <w:semiHidden/>
    <w:rsid w:val="001E72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E72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E72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E725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1E72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E72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E72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E72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E72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E72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E725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1E72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E72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E72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E725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E725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E725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E725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1E725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E725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E725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E7256"/>
  </w:style>
  <w:style w:type="paragraph" w:styleId="List">
    <w:name w:val="List"/>
    <w:basedOn w:val="Normal"/>
    <w:uiPriority w:val="98"/>
    <w:semiHidden/>
    <w:rsid w:val="001E7256"/>
    <w:pPr>
      <w:ind w:left="283" w:hanging="283"/>
      <w:contextualSpacing/>
    </w:pPr>
  </w:style>
  <w:style w:type="paragraph" w:styleId="List20">
    <w:name w:val="List 2"/>
    <w:basedOn w:val="Normal"/>
    <w:uiPriority w:val="98"/>
    <w:semiHidden/>
    <w:rsid w:val="001E7256"/>
    <w:pPr>
      <w:ind w:left="566" w:hanging="283"/>
      <w:contextualSpacing/>
    </w:pPr>
  </w:style>
  <w:style w:type="paragraph" w:styleId="List30">
    <w:name w:val="List 3"/>
    <w:basedOn w:val="Normal"/>
    <w:uiPriority w:val="98"/>
    <w:semiHidden/>
    <w:rsid w:val="001E7256"/>
    <w:pPr>
      <w:ind w:left="849" w:hanging="283"/>
      <w:contextualSpacing/>
    </w:pPr>
  </w:style>
  <w:style w:type="paragraph" w:styleId="List4">
    <w:name w:val="List 4"/>
    <w:basedOn w:val="Normal"/>
    <w:uiPriority w:val="98"/>
    <w:semiHidden/>
    <w:rsid w:val="001E7256"/>
    <w:pPr>
      <w:ind w:left="1132" w:hanging="283"/>
      <w:contextualSpacing/>
    </w:pPr>
  </w:style>
  <w:style w:type="paragraph" w:styleId="List5">
    <w:name w:val="List 5"/>
    <w:basedOn w:val="Normal"/>
    <w:uiPriority w:val="98"/>
    <w:semiHidden/>
    <w:rsid w:val="001E7256"/>
    <w:pPr>
      <w:ind w:left="1415" w:hanging="283"/>
      <w:contextualSpacing/>
    </w:pPr>
  </w:style>
  <w:style w:type="paragraph" w:styleId="ListBullet2">
    <w:name w:val="List Bullet 2"/>
    <w:basedOn w:val="Normal"/>
    <w:uiPriority w:val="98"/>
    <w:semiHidden/>
    <w:rsid w:val="001E7256"/>
    <w:pPr>
      <w:numPr>
        <w:numId w:val="60"/>
      </w:numPr>
      <w:contextualSpacing/>
    </w:pPr>
  </w:style>
  <w:style w:type="paragraph" w:styleId="ListBullet4">
    <w:name w:val="List Bullet 4"/>
    <w:basedOn w:val="Normal"/>
    <w:uiPriority w:val="98"/>
    <w:semiHidden/>
    <w:rsid w:val="001E7256"/>
    <w:pPr>
      <w:numPr>
        <w:numId w:val="62"/>
      </w:numPr>
      <w:contextualSpacing/>
    </w:pPr>
  </w:style>
  <w:style w:type="paragraph" w:styleId="ListBullet5">
    <w:name w:val="List Bullet 5"/>
    <w:basedOn w:val="Normal"/>
    <w:uiPriority w:val="98"/>
    <w:semiHidden/>
    <w:rsid w:val="001E7256"/>
    <w:pPr>
      <w:numPr>
        <w:numId w:val="63"/>
      </w:numPr>
      <w:contextualSpacing/>
    </w:pPr>
  </w:style>
  <w:style w:type="paragraph" w:styleId="ListContinue">
    <w:name w:val="List Continue"/>
    <w:basedOn w:val="Normal"/>
    <w:uiPriority w:val="98"/>
    <w:semiHidden/>
    <w:rsid w:val="001E7256"/>
    <w:pPr>
      <w:spacing w:after="120"/>
      <w:ind w:left="283"/>
      <w:contextualSpacing/>
    </w:pPr>
  </w:style>
  <w:style w:type="paragraph" w:styleId="ListContinue2">
    <w:name w:val="List Continue 2"/>
    <w:basedOn w:val="Normal"/>
    <w:uiPriority w:val="98"/>
    <w:semiHidden/>
    <w:rsid w:val="001E7256"/>
    <w:pPr>
      <w:spacing w:after="120"/>
      <w:ind w:left="566"/>
      <w:contextualSpacing/>
    </w:pPr>
  </w:style>
  <w:style w:type="paragraph" w:styleId="ListContinue3">
    <w:name w:val="List Continue 3"/>
    <w:basedOn w:val="Normal"/>
    <w:uiPriority w:val="98"/>
    <w:semiHidden/>
    <w:rsid w:val="001E7256"/>
    <w:pPr>
      <w:spacing w:after="120"/>
      <w:ind w:left="849"/>
      <w:contextualSpacing/>
    </w:pPr>
  </w:style>
  <w:style w:type="paragraph" w:styleId="ListContinue4">
    <w:name w:val="List Continue 4"/>
    <w:basedOn w:val="Normal"/>
    <w:uiPriority w:val="98"/>
    <w:semiHidden/>
    <w:rsid w:val="001E7256"/>
    <w:pPr>
      <w:spacing w:after="120"/>
      <w:ind w:left="1132"/>
      <w:contextualSpacing/>
    </w:pPr>
  </w:style>
  <w:style w:type="paragraph" w:styleId="ListContinue5">
    <w:name w:val="List Continue 5"/>
    <w:basedOn w:val="Normal"/>
    <w:uiPriority w:val="98"/>
    <w:semiHidden/>
    <w:rsid w:val="001E7256"/>
    <w:pPr>
      <w:spacing w:after="120"/>
      <w:ind w:left="1415"/>
      <w:contextualSpacing/>
    </w:pPr>
  </w:style>
  <w:style w:type="paragraph" w:styleId="ListNumber">
    <w:name w:val="List Number"/>
    <w:basedOn w:val="Normal"/>
    <w:uiPriority w:val="98"/>
    <w:semiHidden/>
    <w:rsid w:val="001E7256"/>
    <w:pPr>
      <w:numPr>
        <w:numId w:val="64"/>
      </w:numPr>
      <w:contextualSpacing/>
    </w:pPr>
  </w:style>
  <w:style w:type="paragraph" w:styleId="ListNumber2">
    <w:name w:val="List Number 2"/>
    <w:basedOn w:val="Normal"/>
    <w:uiPriority w:val="98"/>
    <w:semiHidden/>
    <w:rsid w:val="001E7256"/>
    <w:pPr>
      <w:numPr>
        <w:numId w:val="65"/>
      </w:numPr>
      <w:contextualSpacing/>
    </w:pPr>
  </w:style>
  <w:style w:type="paragraph" w:styleId="ListNumber3">
    <w:name w:val="List Number 3"/>
    <w:basedOn w:val="Normal"/>
    <w:uiPriority w:val="98"/>
    <w:semiHidden/>
    <w:rsid w:val="001E7256"/>
    <w:pPr>
      <w:numPr>
        <w:numId w:val="66"/>
      </w:numPr>
      <w:contextualSpacing/>
    </w:pPr>
  </w:style>
  <w:style w:type="paragraph" w:styleId="ListNumber4">
    <w:name w:val="List Number 4"/>
    <w:basedOn w:val="Normal"/>
    <w:uiPriority w:val="98"/>
    <w:semiHidden/>
    <w:rsid w:val="001E7256"/>
    <w:pPr>
      <w:numPr>
        <w:numId w:val="67"/>
      </w:numPr>
      <w:contextualSpacing/>
    </w:pPr>
  </w:style>
  <w:style w:type="paragraph" w:styleId="ListNumber5">
    <w:name w:val="List Number 5"/>
    <w:basedOn w:val="Normal"/>
    <w:uiPriority w:val="98"/>
    <w:semiHidden/>
    <w:rsid w:val="001E7256"/>
    <w:pPr>
      <w:numPr>
        <w:numId w:val="68"/>
      </w:numPr>
      <w:contextualSpacing/>
    </w:pPr>
  </w:style>
  <w:style w:type="paragraph" w:styleId="Macro">
    <w:name w:val="macro"/>
    <w:link w:val="MacroTextChar"/>
    <w:uiPriority w:val="98"/>
    <w:semiHidden/>
    <w:rsid w:val="001E725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E7256"/>
    <w:rPr>
      <w:rFonts w:ascii="Consolas" w:hAnsi="Consolas" w:eastAsiaTheme="minorEastAsia" w:cs="Consolas"/>
      <w:sz w:val="20"/>
      <w:szCs w:val="20"/>
    </w:rPr>
  </w:style>
  <w:style w:type="table" w:styleId="MediumGrid1">
    <w:name w:val="Medium Grid 1"/>
    <w:basedOn w:val="TableNormal"/>
    <w:uiPriority w:val="67"/>
    <w:semiHidden/>
    <w:rsid w:val="001E72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E72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E72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E725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1E72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E72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E72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E725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1E725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E725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E725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E725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1E725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E725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E725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E72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1E72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E72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E72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E725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E72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E72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E72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E72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E725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E725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E7256"/>
    <w:rPr>
      <w:rFonts w:ascii="Times New Roman" w:hAnsi="Times New Roman" w:cs="Times New Roman"/>
    </w:rPr>
  </w:style>
  <w:style w:type="paragraph" w:styleId="NormalIndent">
    <w:name w:val="Normal Indent"/>
    <w:basedOn w:val="Normal"/>
    <w:uiPriority w:val="98"/>
    <w:semiHidden/>
    <w:rsid w:val="001E7256"/>
    <w:pPr>
      <w:ind w:left="720"/>
    </w:pPr>
  </w:style>
  <w:style w:type="paragraph" w:styleId="NoteHeading">
    <w:name w:val="Note Heading"/>
    <w:basedOn w:val="Normal"/>
    <w:next w:val="Normal"/>
    <w:link w:val="NoteHeadingChar"/>
    <w:uiPriority w:val="98"/>
    <w:semiHidden/>
    <w:rsid w:val="001E7256"/>
  </w:style>
  <w:style w:type="character" w:customStyle="1" w:styleId="NoteHeadingChar">
    <w:name w:val="Note Heading Char"/>
    <w:basedOn w:val="DefaultParagraphFont"/>
    <w:link w:val="NoteHeading"/>
    <w:uiPriority w:val="98"/>
    <w:semiHidden/>
    <w:rsid w:val="001E7256"/>
    <w:rPr>
      <w:sz w:val="24"/>
      <w:szCs w:val="24"/>
      <w:lang w:val="en-GB"/>
    </w:rPr>
  </w:style>
  <w:style w:type="character" w:styleId="PlaceholderText">
    <w:name w:val="Placeholder Text"/>
    <w:basedOn w:val="DefaultParagraphFont"/>
    <w:uiPriority w:val="98"/>
    <w:semiHidden/>
    <w:rsid w:val="001E725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E7256"/>
    <w:rPr>
      <w:rFonts w:ascii="Consolas" w:hAnsi="Consolas" w:cs="Consolas"/>
      <w:sz w:val="21"/>
      <w:szCs w:val="21"/>
    </w:rPr>
  </w:style>
  <w:style w:type="character" w:customStyle="1" w:styleId="PlainTextChar">
    <w:name w:val="Plain Text Char"/>
    <w:basedOn w:val="DefaultParagraphFont"/>
    <w:link w:val="PlainText"/>
    <w:uiPriority w:val="98"/>
    <w:semiHidden/>
    <w:rsid w:val="001E7256"/>
    <w:rPr>
      <w:rFonts w:ascii="Consolas" w:hAnsi="Consolas" w:cs="Consolas"/>
      <w:sz w:val="21"/>
      <w:szCs w:val="21"/>
      <w:lang w:val="en-GB"/>
    </w:rPr>
  </w:style>
  <w:style w:type="paragraph" w:styleId="Salutation">
    <w:name w:val="Salutation"/>
    <w:basedOn w:val="Normal"/>
    <w:next w:val="Normal"/>
    <w:link w:val="SalutationChar"/>
    <w:uiPriority w:val="98"/>
    <w:semiHidden/>
    <w:rsid w:val="001E7256"/>
  </w:style>
  <w:style w:type="character" w:customStyle="1" w:styleId="SalutationChar">
    <w:name w:val="Salutation Char"/>
    <w:basedOn w:val="DefaultParagraphFont"/>
    <w:link w:val="Salutation"/>
    <w:uiPriority w:val="98"/>
    <w:semiHidden/>
    <w:rsid w:val="001E7256"/>
    <w:rPr>
      <w:sz w:val="24"/>
      <w:szCs w:val="24"/>
      <w:lang w:val="en-GB"/>
    </w:rPr>
  </w:style>
  <w:style w:type="paragraph" w:styleId="Signature0">
    <w:name w:val="Signature"/>
    <w:basedOn w:val="Normal"/>
    <w:link w:val="SignatureChar"/>
    <w:uiPriority w:val="98"/>
    <w:semiHidden/>
    <w:rsid w:val="001E7256"/>
    <w:pPr>
      <w:ind w:left="4252"/>
    </w:pPr>
  </w:style>
  <w:style w:type="character" w:customStyle="1" w:styleId="SignatureChar">
    <w:name w:val="Signature Char"/>
    <w:basedOn w:val="DefaultParagraphFont"/>
    <w:link w:val="Signature0"/>
    <w:uiPriority w:val="98"/>
    <w:semiHidden/>
    <w:rsid w:val="001E7256"/>
    <w:rPr>
      <w:sz w:val="24"/>
      <w:szCs w:val="24"/>
      <w:lang w:val="en-GB"/>
    </w:rPr>
  </w:style>
  <w:style w:type="table" w:styleId="Table3Deffects1">
    <w:name w:val="Table 3D effects 1"/>
    <w:basedOn w:val="TableNormal"/>
    <w:uiPriority w:val="99"/>
    <w:semiHidden/>
    <w:unhideWhenUsed/>
    <w:rsid w:val="001E725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E725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E725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E725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E725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E725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E725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E725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E725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E725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E725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E725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E725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E725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E725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E725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E725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E72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E725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E725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E725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E72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E725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E725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E725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E725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E725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E725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E72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E72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E72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E725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E72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E7256"/>
    <w:pPr>
      <w:ind w:left="240" w:hanging="240"/>
    </w:pPr>
  </w:style>
  <w:style w:type="paragraph" w:styleId="TableofFigures">
    <w:name w:val="table of figures"/>
    <w:basedOn w:val="Normal"/>
    <w:next w:val="Normal"/>
    <w:uiPriority w:val="98"/>
    <w:semiHidden/>
    <w:rsid w:val="001E7256"/>
  </w:style>
  <w:style w:type="table" w:styleId="TableProfessional">
    <w:name w:val="Table Professional"/>
    <w:basedOn w:val="TableNormal"/>
    <w:uiPriority w:val="99"/>
    <w:semiHidden/>
    <w:unhideWhenUsed/>
    <w:rsid w:val="001E72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E725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E725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E725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E725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E725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E725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E725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E725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E725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E725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E725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E7256"/>
    <w:pPr>
      <w:spacing w:after="100"/>
      <w:ind w:left="1680"/>
    </w:pPr>
  </w:style>
  <w:style w:type="paragraph" w:styleId="TOC9">
    <w:name w:val="toc 9"/>
    <w:basedOn w:val="Normal"/>
    <w:next w:val="Normal"/>
    <w:autoRedefine/>
    <w:uiPriority w:val="98"/>
    <w:semiHidden/>
    <w:rsid w:val="001E725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1E725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E725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E725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1E725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E7256"/>
    <w:pPr>
      <w:numPr>
        <w:numId w:val="75"/>
      </w:numPr>
      <w:spacing w:before="60" w:after="60"/>
    </w:pPr>
  </w:style>
  <w:style w:type="paragraph" w:customStyle="1" w:styleId="ECHRBullet2">
    <w:name w:val="ECHR_Bullet_2"/>
    <w:aliases w:val="_Bul_2"/>
    <w:basedOn w:val="ECHRBullet1"/>
    <w:uiPriority w:val="23"/>
    <w:semiHidden/>
    <w:rsid w:val="001E7256"/>
    <w:pPr>
      <w:numPr>
        <w:ilvl w:val="1"/>
      </w:numPr>
    </w:pPr>
  </w:style>
  <w:style w:type="paragraph" w:customStyle="1" w:styleId="ECHRBullet3">
    <w:name w:val="ECHR_Bullet_3"/>
    <w:aliases w:val="_Bul_3"/>
    <w:basedOn w:val="ECHRBullet2"/>
    <w:uiPriority w:val="23"/>
    <w:semiHidden/>
    <w:rsid w:val="001E7256"/>
    <w:pPr>
      <w:numPr>
        <w:ilvl w:val="2"/>
      </w:numPr>
    </w:pPr>
  </w:style>
  <w:style w:type="paragraph" w:customStyle="1" w:styleId="ECHRBullet4">
    <w:name w:val="ECHR_Bullet_4"/>
    <w:aliases w:val="_Bul_4"/>
    <w:basedOn w:val="ECHRBullet3"/>
    <w:uiPriority w:val="23"/>
    <w:semiHidden/>
    <w:rsid w:val="001E7256"/>
    <w:pPr>
      <w:numPr>
        <w:ilvl w:val="3"/>
      </w:numPr>
    </w:pPr>
  </w:style>
  <w:style w:type="paragraph" w:customStyle="1" w:styleId="ECHRConfidential">
    <w:name w:val="ECHR_Confidential"/>
    <w:aliases w:val="_Confidential"/>
    <w:basedOn w:val="Normal"/>
    <w:next w:val="Normal"/>
    <w:uiPriority w:val="42"/>
    <w:semiHidden/>
    <w:qFormat/>
    <w:rsid w:val="001E7256"/>
    <w:pPr>
      <w:jc w:val="right"/>
    </w:pPr>
    <w:rPr>
      <w:color w:val="C00000"/>
      <w:sz w:val="20"/>
    </w:rPr>
  </w:style>
  <w:style w:type="paragraph" w:customStyle="1" w:styleId="ECHRDecisionBody">
    <w:name w:val="ECHR_Decision_Body"/>
    <w:aliases w:val="_Decision_Body"/>
    <w:basedOn w:val="NormalJustified"/>
    <w:uiPriority w:val="54"/>
    <w:semiHidden/>
    <w:rsid w:val="001E725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E725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E725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E725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1E7256"/>
    <w:pPr>
      <w:jc w:val="right"/>
    </w:pPr>
    <w:rPr>
      <w:sz w:val="20"/>
    </w:rPr>
  </w:style>
  <w:style w:type="paragraph" w:customStyle="1" w:styleId="ECHRHeaderRefIt">
    <w:name w:val="ECHR_Header_Ref_It"/>
    <w:aliases w:val="_Ref_Ital"/>
    <w:basedOn w:val="Normal"/>
    <w:next w:val="ECHRHeaderDate"/>
    <w:uiPriority w:val="43"/>
    <w:semiHidden/>
    <w:qFormat/>
    <w:rsid w:val="001E7256"/>
    <w:pPr>
      <w:jc w:val="right"/>
    </w:pPr>
    <w:rPr>
      <w:i/>
      <w:sz w:val="20"/>
    </w:rPr>
  </w:style>
  <w:style w:type="paragraph" w:customStyle="1" w:styleId="ECHRHeading9">
    <w:name w:val="ECHR_Heading_9"/>
    <w:aliases w:val="_Head_9"/>
    <w:basedOn w:val="Heading9"/>
    <w:uiPriority w:val="17"/>
    <w:rsid w:val="001E7256"/>
    <w:pPr>
      <w:keepNext/>
      <w:keepLines/>
      <w:numPr>
        <w:ilvl w:val="8"/>
        <w:numId w:val="87"/>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E725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1E7256"/>
    <w:pPr>
      <w:numPr>
        <w:numId w:val="79"/>
      </w:numPr>
      <w:spacing w:before="60" w:after="60"/>
    </w:pPr>
  </w:style>
  <w:style w:type="paragraph" w:customStyle="1" w:styleId="ECHRNumberedList2">
    <w:name w:val="ECHR_Numbered_List_2"/>
    <w:aliases w:val="_Num_2"/>
    <w:basedOn w:val="ECHRNumberedList1"/>
    <w:uiPriority w:val="23"/>
    <w:semiHidden/>
    <w:rsid w:val="001E7256"/>
    <w:pPr>
      <w:numPr>
        <w:ilvl w:val="1"/>
      </w:numPr>
    </w:pPr>
  </w:style>
  <w:style w:type="paragraph" w:customStyle="1" w:styleId="ECHRNumberedList3">
    <w:name w:val="ECHR_Numbered_List_3"/>
    <w:aliases w:val="_Num_3"/>
    <w:basedOn w:val="ECHRNumberedList2"/>
    <w:uiPriority w:val="23"/>
    <w:semiHidden/>
    <w:rsid w:val="001E7256"/>
    <w:pPr>
      <w:numPr>
        <w:ilvl w:val="2"/>
      </w:numPr>
    </w:pPr>
  </w:style>
  <w:style w:type="paragraph" w:customStyle="1" w:styleId="ECHRParaHanging">
    <w:name w:val="ECHR_Para_Hanging"/>
    <w:aliases w:val="_Hanging"/>
    <w:basedOn w:val="NormalJustified"/>
    <w:uiPriority w:val="8"/>
    <w:semiHidden/>
    <w:qFormat/>
    <w:rsid w:val="001E7256"/>
    <w:pPr>
      <w:ind w:left="567" w:hanging="567"/>
    </w:pPr>
  </w:style>
  <w:style w:type="paragraph" w:customStyle="1" w:styleId="ECHRParaIndent">
    <w:name w:val="ECHR_Para_Indent"/>
    <w:aliases w:val="_Indent"/>
    <w:basedOn w:val="NormalJustified"/>
    <w:uiPriority w:val="7"/>
    <w:semiHidden/>
    <w:qFormat/>
    <w:rsid w:val="001E7256"/>
    <w:pPr>
      <w:spacing w:before="120" w:after="120"/>
      <w:ind w:left="284"/>
    </w:pPr>
  </w:style>
  <w:style w:type="character" w:customStyle="1" w:styleId="ECHRRed">
    <w:name w:val="ECHR_Red"/>
    <w:aliases w:val="_Red"/>
    <w:basedOn w:val="DefaultParagraphFont"/>
    <w:uiPriority w:val="15"/>
    <w:semiHidden/>
    <w:qFormat/>
    <w:rsid w:val="001E7256"/>
    <w:rPr>
      <w:color w:val="C00000" w:themeColor="accent2"/>
    </w:rPr>
  </w:style>
  <w:style w:type="paragraph" w:customStyle="1" w:styleId="DecList">
    <w:name w:val="Dec_List"/>
    <w:aliases w:val="_List"/>
    <w:basedOn w:val="JuList"/>
    <w:uiPriority w:val="22"/>
    <w:rsid w:val="001E7256"/>
    <w:pPr>
      <w:numPr>
        <w:numId w:val="0"/>
      </w:numPr>
      <w:ind w:left="284"/>
    </w:pPr>
  </w:style>
  <w:style w:type="table" w:customStyle="1" w:styleId="ECHRTable2">
    <w:name w:val="ECHR_Table_2"/>
    <w:basedOn w:val="TableNormal"/>
    <w:uiPriority w:val="99"/>
    <w:rsid w:val="001E725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E725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1E725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1E725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1E725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1E725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1E725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1E725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1E7256"/>
    <w:pPr>
      <w:outlineLvl w:val="0"/>
    </w:pPr>
  </w:style>
  <w:style w:type="paragraph" w:customStyle="1" w:styleId="ECHRTitleTOC1">
    <w:name w:val="ECHR_Title_TOC_1"/>
    <w:aliases w:val="_Title_L_TOC"/>
    <w:basedOn w:val="ECHRTitle1"/>
    <w:next w:val="Normal"/>
    <w:uiPriority w:val="27"/>
    <w:semiHidden/>
    <w:qFormat/>
    <w:rsid w:val="001E7256"/>
    <w:pPr>
      <w:outlineLvl w:val="0"/>
    </w:pPr>
  </w:style>
  <w:style w:type="paragraph" w:customStyle="1" w:styleId="ECHRPlaceholder">
    <w:name w:val="ECHR_Placeholder"/>
    <w:aliases w:val="_Placeholder"/>
    <w:basedOn w:val="JuSigned"/>
    <w:uiPriority w:val="31"/>
    <w:rsid w:val="001E7256"/>
    <w:rPr>
      <w:color w:val="FFFFFF"/>
    </w:rPr>
  </w:style>
  <w:style w:type="paragraph" w:customStyle="1" w:styleId="ECHRSpacer">
    <w:name w:val="ECHR_Spacer"/>
    <w:aliases w:val="_Spacer"/>
    <w:basedOn w:val="Normal"/>
    <w:uiPriority w:val="45"/>
    <w:semiHidden/>
    <w:rsid w:val="001E7256"/>
    <w:rPr>
      <w:sz w:val="4"/>
    </w:rPr>
  </w:style>
  <w:style w:type="table" w:customStyle="1" w:styleId="ECHRTableGrey">
    <w:name w:val="ECHR_Table_Grey"/>
    <w:basedOn w:val="TableNormal"/>
    <w:uiPriority w:val="99"/>
    <w:rsid w:val="001E725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1E7256"/>
    <w:rPr>
      <w:color w:val="605E5C"/>
      <w:shd w:val="clear" w:color="auto" w:fill="E1DFDD"/>
    </w:rPr>
  </w:style>
  <w:style w:type="character" w:customStyle="1" w:styleId="JuParaChar">
    <w:name w:val="Ju_Para Char"/>
    <w:aliases w:val="_Para Char"/>
    <w:link w:val="JuPara"/>
    <w:uiPriority w:val="4"/>
    <w:qFormat/>
    <w:rsid w:val="00B57FDF"/>
    <w:rPr>
      <w:sz w:val="24"/>
      <w:szCs w:val="24"/>
      <w:lang w:val="en-GB"/>
    </w:rPr>
  </w:style>
  <w:style w:type="table" w:styleId="GridTable1Light">
    <w:name w:val="Grid Table 1 Light"/>
    <w:basedOn w:val="TableNormal"/>
    <w:uiPriority w:val="46"/>
    <w:semiHidden/>
    <w:rsid w:val="00ED71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ED71A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D71A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D71A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D71A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D71A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D71A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D71A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D71A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D71A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D71A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D71A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D71A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D71A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D71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D71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D71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D71A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D71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D71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D71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D71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D71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D71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D71A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D71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D71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D71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D71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D71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D71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D71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D71A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D71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D71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D71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D71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D71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D71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D71A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D71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D71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D71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D71A7"/>
    <w:rPr>
      <w:color w:val="2B579A"/>
      <w:shd w:val="clear" w:color="auto" w:fill="E1DFDD"/>
    </w:rPr>
  </w:style>
  <w:style w:type="table" w:styleId="ListTable1Light">
    <w:name w:val="List Table 1 Light"/>
    <w:basedOn w:val="TableNormal"/>
    <w:uiPriority w:val="46"/>
    <w:semiHidden/>
    <w:rsid w:val="00ED71A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D71A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D71A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D71A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D71A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D71A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D71A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D71A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D71A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D71A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D71A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D71A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D71A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D71A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D71A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D71A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D71A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D71A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D71A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D71A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D71A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D71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D71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D71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D71A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D71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D71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D71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D71A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D71A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D71A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D71A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D71A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D71A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D71A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D71A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D71A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D71A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D71A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D71A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D71A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D71A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D71A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D71A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D71A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D71A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D71A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D71A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D71A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D71A7"/>
    <w:rPr>
      <w:color w:val="2B579A"/>
      <w:shd w:val="clear" w:color="auto" w:fill="E1DFDD"/>
    </w:rPr>
  </w:style>
  <w:style w:type="table" w:styleId="PlainTable1">
    <w:name w:val="Plain Table 1"/>
    <w:basedOn w:val="TableNormal"/>
    <w:uiPriority w:val="41"/>
    <w:semiHidden/>
    <w:rsid w:val="00ED71A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D71A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D71A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D71A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D71A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D71A7"/>
    <w:rPr>
      <w:u w:val="dotted"/>
    </w:rPr>
  </w:style>
  <w:style w:type="character" w:styleId="SmartLink">
    <w:name w:val="Smart Link"/>
    <w:basedOn w:val="DefaultParagraphFont"/>
    <w:uiPriority w:val="99"/>
    <w:semiHidden/>
    <w:unhideWhenUsed/>
    <w:rsid w:val="00ED71A7"/>
    <w:rPr>
      <w:color w:val="0000FF"/>
      <w:u w:val="single"/>
      <w:shd w:val="clear" w:color="auto" w:fill="F3F2F1"/>
    </w:rPr>
  </w:style>
  <w:style w:type="table" w:styleId="GridTableLight">
    <w:name w:val="Grid Table Light"/>
    <w:basedOn w:val="TableNormal"/>
    <w:uiPriority w:val="40"/>
    <w:semiHidden/>
    <w:rsid w:val="00ED71A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1E725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2950</Words>
  <Characters>16916</Characters>
  <Application>Microsoft Office Word</Application>
  <DocSecurity>0</DocSecurity>
  <Lines>412</Lines>
  <Paragraphs>155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2024-09-17T09:22:00Z</dcterms:created>
  <dcterms:modified xsi:type="dcterms:W3CDTF">2024-09-17T10:10:00Z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827498</vt:lpwstr>
  </property>
  <property fmtid="{D5CDD505-2E9C-101B-9397-08002B2CF9AE}" pid="3" name="cstLanguage">
    <vt:i4>2057</vt:i4>
  </property>
  <property fmtid="{D5CDD505-2E9C-101B-9397-08002B2CF9AE}" pid="4" name="RegisteredNo">
    <vt:lpwstr>58828/12</vt:lpwstr>
  </property>
</Properties>
</file>