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B7C86" w14:textId="77777777" w:rsidR="00115035" w:rsidRPr="000B7C48" w:rsidRDefault="00115035" w:rsidP="000B7C48">
      <w:pPr>
        <w:jc w:val="center"/>
      </w:pPr>
    </w:p>
    <w:p w14:paraId="17050802" w14:textId="77777777" w:rsidR="00E93FC7" w:rsidRPr="000B7C48" w:rsidRDefault="00E93FC7" w:rsidP="000B7C48">
      <w:pPr>
        <w:jc w:val="center"/>
        <w:rPr>
          <w:sz w:val="4"/>
          <w:szCs w:val="4"/>
        </w:rPr>
      </w:pPr>
    </w:p>
    <w:p w14:paraId="3710FAC9" w14:textId="77777777" w:rsidR="00E93FC7" w:rsidRPr="000B7C48" w:rsidRDefault="00000000" w:rsidP="000B7C48">
      <w:pPr>
        <w:pStyle w:val="DecHTitle"/>
      </w:pPr>
      <w:r>
        <w:t>SEKCJA PIERWSZA</w:t>
      </w:r>
    </w:p>
    <w:p w14:paraId="2171C47E" w14:textId="77777777" w:rsidR="00E93FC7" w:rsidRPr="000B7C48" w:rsidRDefault="00000000" w:rsidP="000B7C48">
      <w:pPr>
        <w:pStyle w:val="DecHTitle"/>
      </w:pPr>
      <w:r>
        <w:t>DECYZJA</w:t>
      </w:r>
    </w:p>
    <w:p w14:paraId="248BD697" w14:textId="77777777" w:rsidR="00EE3667" w:rsidRPr="000B7C48" w:rsidRDefault="00000000" w:rsidP="000B7C48">
      <w:pPr>
        <w:pStyle w:val="DecHCase"/>
        <w:rPr>
          <w:i/>
        </w:rPr>
      </w:pPr>
      <w:r>
        <w:t>Skarga nr 50170/14</w:t>
      </w:r>
      <w:r>
        <w:br/>
        <w:t>Krzysztof Jan CZERSKI</w:t>
      </w:r>
      <w:r>
        <w:br/>
        <w:t>przeciwko Polsce</w:t>
      </w:r>
    </w:p>
    <w:p w14:paraId="23B416E7" w14:textId="77777777" w:rsidR="00E93FC7" w:rsidRPr="000B7C48" w:rsidRDefault="00E93FC7" w:rsidP="000B7C48">
      <w:pPr>
        <w:rPr>
          <w:sz w:val="2"/>
          <w:szCs w:val="2"/>
        </w:rPr>
      </w:pPr>
    </w:p>
    <w:p w14:paraId="4EDF70A9" w14:textId="760C15FE" w:rsidR="00E001B0" w:rsidRPr="000B7C48" w:rsidRDefault="00000000" w:rsidP="000B7C48">
      <w:pPr>
        <w:pStyle w:val="JuPara"/>
      </w:pPr>
      <w:r>
        <w:t>Europejski Trybunał Praw Człowieka (sekcja pierwsza), zasiadając 30 stycznia 2024 r. jako Komitet w składzie:</w:t>
      </w:r>
    </w:p>
    <w:p w14:paraId="6CF1EDF1" w14:textId="5F8432BE" w:rsidR="00E001B0" w:rsidRPr="000B7C48" w:rsidRDefault="00000000" w:rsidP="000B7C48">
      <w:pPr>
        <w:pStyle w:val="JuJudges"/>
        <w:rPr>
          <w:iCs/>
        </w:rPr>
      </w:pPr>
      <w:r>
        <w:tab/>
        <w:t xml:space="preserve">Ivana </w:t>
      </w:r>
      <w:proofErr w:type="spellStart"/>
      <w:r>
        <w:t>Jelić</w:t>
      </w:r>
      <w:proofErr w:type="spellEnd"/>
      <w:r>
        <w:t>,</w:t>
      </w:r>
      <w:r>
        <w:rPr>
          <w:i/>
        </w:rPr>
        <w:t xml:space="preserve"> </w:t>
      </w:r>
      <w:r w:rsidR="00555447">
        <w:rPr>
          <w:i/>
        </w:rPr>
        <w:t>P</w:t>
      </w:r>
      <w:r>
        <w:rPr>
          <w:i/>
        </w:rPr>
        <w:t>rzewodnicząca</w:t>
      </w:r>
      <w:r>
        <w:t>,</w:t>
      </w:r>
      <w: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br/>
      </w:r>
      <w:r>
        <w:tab/>
        <w:t xml:space="preserve">Erik </w:t>
      </w:r>
      <w:proofErr w:type="spellStart"/>
      <w:r>
        <w:t>Wennerström</w:t>
      </w:r>
      <w:proofErr w:type="spellEnd"/>
      <w:r>
        <w:rPr>
          <w:i/>
        </w:rPr>
        <w:t>, sędziowie</w:t>
      </w:r>
      <w:r>
        <w:t>,</w:t>
      </w:r>
      <w:r>
        <w:br/>
        <w:t xml:space="preserve">oraz </w:t>
      </w:r>
      <w:proofErr w:type="spellStart"/>
      <w:r>
        <w:t>Attila</w:t>
      </w:r>
      <w:proofErr w:type="spellEnd"/>
      <w:r>
        <w:t xml:space="preserve"> </w:t>
      </w:r>
      <w:proofErr w:type="spellStart"/>
      <w:r>
        <w:t>Teplán</w:t>
      </w:r>
      <w:proofErr w:type="spellEnd"/>
      <w:r>
        <w:t xml:space="preserve">, </w:t>
      </w:r>
      <w:r>
        <w:rPr>
          <w:i/>
        </w:rPr>
        <w:t xml:space="preserve">p.o. </w:t>
      </w:r>
      <w:r w:rsidR="00555447">
        <w:rPr>
          <w:i/>
        </w:rPr>
        <w:t>Z</w:t>
      </w:r>
      <w:r>
        <w:rPr>
          <w:i/>
        </w:rPr>
        <w:t>astępcy</w:t>
      </w:r>
      <w:r>
        <w:t xml:space="preserve"> </w:t>
      </w:r>
      <w:r w:rsidR="00555447">
        <w:rPr>
          <w:i/>
          <w:iCs/>
        </w:rPr>
        <w:t>K</w:t>
      </w:r>
      <w:r>
        <w:rPr>
          <w:i/>
          <w:iCs/>
        </w:rPr>
        <w:t xml:space="preserve">anclerza </w:t>
      </w:r>
      <w:r w:rsidR="00555447">
        <w:rPr>
          <w:i/>
          <w:iCs/>
        </w:rPr>
        <w:t>S</w:t>
      </w:r>
      <w:r>
        <w:rPr>
          <w:i/>
          <w:iCs/>
        </w:rPr>
        <w:t>ekcji</w:t>
      </w:r>
      <w:r>
        <w:t>,</w:t>
      </w:r>
    </w:p>
    <w:p w14:paraId="18421BA2" w14:textId="77777777" w:rsidR="00E001B0" w:rsidRPr="000B7C48" w:rsidRDefault="00000000" w:rsidP="000B7C48">
      <w:pPr>
        <w:pStyle w:val="JuPara"/>
      </w:pPr>
      <w:r>
        <w:t>mając na uwadze:</w:t>
      </w:r>
    </w:p>
    <w:p w14:paraId="3B2ACAAD" w14:textId="6D9B85A0" w:rsidR="00E001B0" w:rsidRPr="000B7C48" w:rsidRDefault="00000000" w:rsidP="000B7C48">
      <w:pPr>
        <w:pStyle w:val="JuPara"/>
      </w:pPr>
      <w:r>
        <w:t xml:space="preserve">skargę (nr 50170/14) przeciwko Rzeczypospolitej Polskiej wniesioną do Trybunału w dniu 7 lipca 2014 r. na podstawie art. 34 Konwencji o ochronie praw człowieka i podstawowych wolności („Konwencja”) przez obywatela polskiego Krzysztofa Jana Czerskiego („skarżący”), który urodził się w 1961 r., przebywa w areszcie śledczym we Włocławku i był reprezentowany przez p. J. Gutkowskiego, </w:t>
      </w:r>
      <w:r w:rsidR="00555447">
        <w:t xml:space="preserve">prawnika </w:t>
      </w:r>
      <w:r>
        <w:t>praktykującego w Warszawie;</w:t>
      </w:r>
    </w:p>
    <w:p w14:paraId="73AE2ADB" w14:textId="4E358D63" w:rsidR="00E001B0" w:rsidRPr="000B7C48" w:rsidRDefault="00000000" w:rsidP="000B7C48">
      <w:pPr>
        <w:pStyle w:val="JuPara"/>
      </w:pPr>
      <w:r>
        <w:t xml:space="preserve">decyzję o zakomunikowaniu sprawy rządowi polskiemu („Rząd”), reprezentowanemu przez </w:t>
      </w:r>
      <w:r w:rsidR="00555447">
        <w:t xml:space="preserve">jego </w:t>
      </w:r>
      <w:r>
        <w:t>pełnomocnika, p. J. Sobczaka z Ministerstwa Spraw Zagranicznych;</w:t>
      </w:r>
    </w:p>
    <w:p w14:paraId="7BAF15DB" w14:textId="77777777" w:rsidR="00E001B0" w:rsidRPr="000B7C48" w:rsidRDefault="00000000" w:rsidP="000B7C48">
      <w:pPr>
        <w:pStyle w:val="JuPara"/>
      </w:pPr>
      <w:r>
        <w:t>uwagi Rządu;</w:t>
      </w:r>
    </w:p>
    <w:p w14:paraId="06E66DF8" w14:textId="77777777" w:rsidR="00E001B0" w:rsidRPr="000B7C48" w:rsidRDefault="00000000" w:rsidP="000B7C48">
      <w:pPr>
        <w:pStyle w:val="JuPara"/>
      </w:pPr>
      <w:r>
        <w:t>po naradzie postanawia, co następuje:</w:t>
      </w:r>
    </w:p>
    <w:p w14:paraId="51157CDD" w14:textId="77777777" w:rsidR="00E001B0" w:rsidRPr="000B7C48" w:rsidRDefault="00000000" w:rsidP="000B7C48">
      <w:pPr>
        <w:pStyle w:val="JuHHead"/>
        <w:numPr>
          <w:ilvl w:val="0"/>
          <w:numId w:val="0"/>
        </w:numPr>
      </w:pPr>
      <w:r>
        <w:t>PRZEDMIOT SPRAWY</w:t>
      </w:r>
    </w:p>
    <w:p w14:paraId="406405D9" w14:textId="3BCDDB84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</w:t>
      </w:r>
      <w:r w:rsidRPr="000B7C48">
        <w:fldChar w:fldCharType="end"/>
      </w:r>
      <w:r>
        <w:t xml:space="preserve">.  Sprawa dotyczy kwestii tego, czy postępowanie karne przeciwko skarżącemu było </w:t>
      </w:r>
      <w:r w:rsidR="00555447">
        <w:t>rzetelne</w:t>
      </w:r>
      <w:r>
        <w:t xml:space="preserve">, biorąc pod uwagę, że na etapie postępowania sądowego nie miał on możliwości przesłuchania lub spowodowania przesłuchania współoskarżonego, którego wyjaśnienia były decydujące dla jego skazania. </w:t>
      </w:r>
      <w:r w:rsidR="00810B15">
        <w:t>Porusza kwestie dotyczące</w:t>
      </w:r>
      <w:r>
        <w:t xml:space="preserve"> art. 6 ust. 1 i 3 Konwencji.</w:t>
      </w:r>
    </w:p>
    <w:p w14:paraId="58412E52" w14:textId="35D46FB4" w:rsidR="00E001B0" w:rsidRPr="000B7C48" w:rsidRDefault="00000000" w:rsidP="000B7C48">
      <w:pPr>
        <w:pStyle w:val="JuPara"/>
      </w:pPr>
      <w:fldSimple w:instr=" SEQ level0 \*arabic \* MERGEFORMAT ">
        <w:bookmarkStart w:id="0" w:name="paragraph00002"/>
        <w:r w:rsidR="00412065">
          <w:rPr>
            <w:noProof/>
          </w:rPr>
          <w:t>2</w:t>
        </w:r>
        <w:bookmarkEnd w:id="0"/>
      </w:fldSimple>
      <w:r>
        <w:t xml:space="preserve">.  Skarżącemu zarzucono popełnienie pięciu przestępstw </w:t>
      </w:r>
      <w:r w:rsidR="009630A6">
        <w:t>„</w:t>
      </w:r>
      <w:r>
        <w:t>narkotyk</w:t>
      </w:r>
      <w:r w:rsidR="009630A6">
        <w:t>owych”</w:t>
      </w:r>
      <w:r>
        <w:t xml:space="preserve">, polegających na: (i) kierowaniu zorganizowaną grupą </w:t>
      </w:r>
      <w:r>
        <w:lastRenderedPageBreak/>
        <w:t xml:space="preserve">przestępczą mającą na celu wytwarzanie i wprowadzanie do obrotu narkotyków w latach 2003–2004, (ii) zlecaniu innym członkom grupy wytwarzania różnych narkotyków w 2004 r. oraz (iii) posiadaniu 1 693 g (1,693 kg) kokainy </w:t>
      </w:r>
      <w:r w:rsidR="009630A6">
        <w:t xml:space="preserve">ujawnionej </w:t>
      </w:r>
      <w:r>
        <w:t>w jego miejscu zamieszkania w dniu jego zatrzymania w 2010 r.</w:t>
      </w:r>
    </w:p>
    <w:p w14:paraId="579AED7C" w14:textId="22000C48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</w:t>
      </w:r>
      <w:r w:rsidRPr="000B7C48">
        <w:fldChar w:fldCharType="end"/>
      </w:r>
      <w:r>
        <w:t>.  W odniesieniu do udziału i </w:t>
      </w:r>
      <w:r w:rsidR="009630A6">
        <w:t xml:space="preserve">kierowniczej </w:t>
      </w:r>
      <w:r>
        <w:t xml:space="preserve">roli skarżącego w grupie zarzuty </w:t>
      </w:r>
      <w:r w:rsidR="00685332">
        <w:t xml:space="preserve">oparte były </w:t>
      </w:r>
      <w:r>
        <w:t xml:space="preserve">na </w:t>
      </w:r>
      <w:r w:rsidR="00685332">
        <w:t>wyjaśnieniach</w:t>
      </w:r>
      <w:r>
        <w:t xml:space="preserve"> </w:t>
      </w:r>
      <w:proofErr w:type="spellStart"/>
      <w:r>
        <w:t>współpodejrzanego</w:t>
      </w:r>
      <w:proofErr w:type="spellEnd"/>
      <w:r>
        <w:t xml:space="preserve"> (G.</w:t>
      </w:r>
      <w:r w:rsidR="00685332">
        <w:t xml:space="preserve"> </w:t>
      </w:r>
      <w:r>
        <w:t>C.), innego członka grupy, który zgłosił się na policję i w serii szczegółowych przesłuchań opisał działalność przestępczą grupy.</w:t>
      </w:r>
    </w:p>
    <w:p w14:paraId="6D9584E3" w14:textId="22F2160B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4</w:t>
      </w:r>
      <w:r w:rsidRPr="000B7C48">
        <w:fldChar w:fldCharType="end"/>
      </w:r>
      <w:r>
        <w:t>.  G.</w:t>
      </w:r>
      <w:r w:rsidR="00685332">
        <w:t xml:space="preserve"> </w:t>
      </w:r>
      <w:r>
        <w:t xml:space="preserve">C. </w:t>
      </w:r>
      <w:r w:rsidR="00685332">
        <w:t>wyjaśnił</w:t>
      </w:r>
      <w:r>
        <w:t xml:space="preserve">, że </w:t>
      </w:r>
      <w:r w:rsidR="00685332">
        <w:t xml:space="preserve">sam </w:t>
      </w:r>
      <w:r>
        <w:t>skarżący nie uczestniczył w procesie wytwarzania, ale od samego początku pełnił rolę kierowniczą. Żaden inny świadek ani współoskarżony nie obciążył skarżącego w tym zakresie.</w:t>
      </w:r>
    </w:p>
    <w:p w14:paraId="1C17E650" w14:textId="1BF87D26" w:rsidR="00E001B0" w:rsidRPr="000B7C48" w:rsidRDefault="00000000" w:rsidP="000B7C48">
      <w:pPr>
        <w:pStyle w:val="JuPara"/>
      </w:pPr>
      <w:fldSimple w:instr=" SEQ level0 \*arabic \* MERGEFORMAT ">
        <w:bookmarkStart w:id="1" w:name="paragraph00005"/>
        <w:r w:rsidR="00412065">
          <w:rPr>
            <w:noProof/>
          </w:rPr>
          <w:t>5</w:t>
        </w:r>
        <w:bookmarkEnd w:id="1"/>
      </w:fldSimple>
      <w:r>
        <w:t xml:space="preserve">.  W trakcie postępowania przygotowawczego, w okresie od 26 listopada 2008 r. do 19 października 2010 r., G.C. był przesłuchiwany co najmniej 24 razy przez funkcjonariuszy </w:t>
      </w:r>
      <w:r w:rsidR="00AF5936">
        <w:t>P</w:t>
      </w:r>
      <w:r>
        <w:t xml:space="preserve">olicji i prokuratorów. </w:t>
      </w:r>
      <w:r w:rsidR="00AF5936">
        <w:t xml:space="preserve">Składał wyjaśnienia </w:t>
      </w:r>
      <w:r>
        <w:t>podczas przesłuchań indywidualnych, konfrontacji z innymi podejrzanymi oraz eksperymentów procesowych polegających na wskazaniu miejsc wytwarzania narkotyków.</w:t>
      </w:r>
    </w:p>
    <w:p w14:paraId="5BEB49A0" w14:textId="5C1B4620" w:rsidR="00E001B0" w:rsidRPr="000B7C48" w:rsidRDefault="00000000" w:rsidP="000B7C48">
      <w:pPr>
        <w:pStyle w:val="JuPara"/>
      </w:pPr>
      <w:fldSimple w:instr=" SEQ level0 \*arabic \* MERGEFORMAT ">
        <w:bookmarkStart w:id="2" w:name="paragraph00006"/>
        <w:r w:rsidR="00412065">
          <w:rPr>
            <w:noProof/>
          </w:rPr>
          <w:t>6</w:t>
        </w:r>
        <w:bookmarkEnd w:id="2"/>
      </w:fldSimple>
      <w:r>
        <w:t xml:space="preserve">.  W dniu 16 marca 2010 r. </w:t>
      </w:r>
      <w:r w:rsidR="00AF5936">
        <w:t>przeprowadzono konfrontację</w:t>
      </w:r>
      <w:r>
        <w:t xml:space="preserve"> skarżącego z G.</w:t>
      </w:r>
      <w:r w:rsidR="00AF5936">
        <w:t xml:space="preserve"> </w:t>
      </w:r>
      <w:r>
        <w:t xml:space="preserve">C. Skarżący, który w tym czasie miał już obrońcę, wyraźnie stwierdził, że nie ma nic przeciwko udziałowi w konfrontacji bez </w:t>
      </w:r>
      <w:r w:rsidR="00AF5936">
        <w:t>obecności obrońcy</w:t>
      </w:r>
      <w:r>
        <w:t>. Wcześniejsze wyjaśnienia G.</w:t>
      </w:r>
      <w:r w:rsidR="00AF5936">
        <w:t xml:space="preserve"> </w:t>
      </w:r>
      <w:r>
        <w:t xml:space="preserve">C. zostały odczytane i potwierdzone przez tego podejrzanego. Obaj podejrzani potwierdzili, że się znają. Skarżący nie zgłosił żadnych uwag i odmówił odpowiedzi na jakiekolwiek pytania. </w:t>
      </w:r>
      <w:r w:rsidR="00AF5936">
        <w:t>N</w:t>
      </w:r>
      <w:r>
        <w:t>ie zadał G.</w:t>
      </w:r>
      <w:r w:rsidR="00AF5936">
        <w:t xml:space="preserve"> </w:t>
      </w:r>
      <w:r>
        <w:t xml:space="preserve">C. żadnych pytań. </w:t>
      </w:r>
      <w:r w:rsidR="00AF5936">
        <w:t>P</w:t>
      </w:r>
      <w:r>
        <w:t>rotok</w:t>
      </w:r>
      <w:r w:rsidR="00AF5936">
        <w:t>ół</w:t>
      </w:r>
      <w:r>
        <w:t xml:space="preserve"> konfrontacji nie </w:t>
      </w:r>
      <w:r w:rsidR="00AF5936">
        <w:t>wskazuje</w:t>
      </w:r>
      <w:r>
        <w:t>, by G.</w:t>
      </w:r>
      <w:r w:rsidR="00AF5936">
        <w:t xml:space="preserve"> </w:t>
      </w:r>
      <w:r>
        <w:t>C. odmówił odpowiedzi na pytania skarżącego.</w:t>
      </w:r>
    </w:p>
    <w:p w14:paraId="6C7472A9" w14:textId="1D5E2167" w:rsidR="00E001B0" w:rsidRPr="000B7C48" w:rsidRDefault="00000000" w:rsidP="000B7C48">
      <w:pPr>
        <w:pStyle w:val="JuPara"/>
      </w:pPr>
      <w:fldSimple w:instr=" SEQ level0 \*arabic \* MERGEFORMAT ">
        <w:bookmarkStart w:id="3" w:name="paragraph00007"/>
        <w:r w:rsidR="00412065">
          <w:rPr>
            <w:noProof/>
          </w:rPr>
          <w:t>7</w:t>
        </w:r>
        <w:bookmarkEnd w:id="3"/>
      </w:fldSimple>
      <w:r>
        <w:t xml:space="preserve">.  Obrońca skarżącego zapoznał się z aktami postępowania przygotowawczego i został upoważniony do przekazania </w:t>
      </w:r>
      <w:r w:rsidR="00AF5936">
        <w:t xml:space="preserve">kserokopii </w:t>
      </w:r>
      <w:r>
        <w:t>skarżącemu.</w:t>
      </w:r>
    </w:p>
    <w:p w14:paraId="4A5FC10B" w14:textId="3F3435D9" w:rsidR="00E001B0" w:rsidRPr="000B7C48" w:rsidRDefault="00000000" w:rsidP="000B7C48">
      <w:pPr>
        <w:pStyle w:val="JuPara"/>
      </w:pPr>
      <w:fldSimple w:instr=" SEQ level0 \*arabic \* MERGEFORMAT ">
        <w:bookmarkStart w:id="4" w:name="paragraph00008"/>
        <w:r w:rsidR="00412065">
          <w:rPr>
            <w:noProof/>
          </w:rPr>
          <w:t>8</w:t>
        </w:r>
        <w:bookmarkEnd w:id="4"/>
      </w:fldSimple>
      <w:r>
        <w:t>.  Podczas procesu G.</w:t>
      </w:r>
      <w:r w:rsidR="00915B89">
        <w:t xml:space="preserve"> </w:t>
      </w:r>
      <w:r>
        <w:t xml:space="preserve">C. zgodził się odpowiadać na pytania prokuratora, swojego obrońcy i sądu. Odmówił odpowiedzi na pytania współoskarżonych i ich obrońców. Jego wyjaśnienia zostały odczytane przez sąd i potwierdzone przez oskarżonego na </w:t>
      </w:r>
      <w:r w:rsidR="00915B89">
        <w:t xml:space="preserve">terminach rozprawy </w:t>
      </w:r>
      <w:r>
        <w:t>w dniach 21 lipca i 16 sierpnia 2011 r., podczas których G.C. nie złożył żadnych nowych wyjaśnień i nie zadano mu żadnych pytań.</w:t>
      </w:r>
    </w:p>
    <w:p w14:paraId="567DA261" w14:textId="6CBFDAA3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9</w:t>
      </w:r>
      <w:r w:rsidRPr="000B7C48">
        <w:fldChar w:fldCharType="end"/>
      </w:r>
      <w:r>
        <w:t xml:space="preserve">.  Skarżący składał wyjaśnienia w sądzie w dniu 21 października 2011 r. Nie przyznał się do </w:t>
      </w:r>
      <w:r w:rsidR="00915B89">
        <w:t xml:space="preserve">popełnienia zarzucanych czynów </w:t>
      </w:r>
      <w:r>
        <w:t>i zaprzeczył wszystkim stawianym mu zarzutom. Stwierdził, że G.</w:t>
      </w:r>
      <w:r w:rsidR="00915B89">
        <w:t xml:space="preserve"> </w:t>
      </w:r>
      <w:r>
        <w:t>C. to osoba uzależniona, kłamca i manipulant. Zgodnie z zarzutami stawianymi G.</w:t>
      </w:r>
      <w:r w:rsidR="00915B89">
        <w:t xml:space="preserve"> </w:t>
      </w:r>
      <w:r>
        <w:t xml:space="preserve">C. przez </w:t>
      </w:r>
      <w:r w:rsidR="00915B89">
        <w:t xml:space="preserve">innych </w:t>
      </w:r>
      <w:r>
        <w:t>oskarżonych skarżący uznał wyjaśnienia G.</w:t>
      </w:r>
      <w:r w:rsidR="00915B89">
        <w:t xml:space="preserve"> </w:t>
      </w:r>
      <w:r>
        <w:t>C. za pomówienie mające na celu poprawę jego własnej sytuacji.</w:t>
      </w:r>
    </w:p>
    <w:p w14:paraId="2CCB45D8" w14:textId="2FEDFAD9" w:rsidR="00E001B0" w:rsidRPr="000B7C48" w:rsidRDefault="00000000" w:rsidP="000B7C48">
      <w:pPr>
        <w:pStyle w:val="JuPara"/>
      </w:pPr>
      <w:fldSimple w:instr=" SEQ level0 \*arabic \* MERGEFORMAT ">
        <w:bookmarkStart w:id="5" w:name="paragraph00010"/>
        <w:r w:rsidR="00412065">
          <w:rPr>
            <w:noProof/>
          </w:rPr>
          <w:t>10</w:t>
        </w:r>
        <w:bookmarkEnd w:id="5"/>
      </w:fldSimple>
      <w:r>
        <w:t>.  W dniu 5 grudnia 2011 r. G.</w:t>
      </w:r>
      <w:r w:rsidR="00856A55">
        <w:t xml:space="preserve"> </w:t>
      </w:r>
      <w:r>
        <w:t xml:space="preserve">C. złożył </w:t>
      </w:r>
      <w:r w:rsidR="00856A55">
        <w:t xml:space="preserve">wyjaśnienia </w:t>
      </w:r>
      <w:r>
        <w:t xml:space="preserve">przed sądem i odniósł się do wyżej wymienionych zarzutów. Stwierdził również, że nie chce odpowiadać na pytania </w:t>
      </w:r>
      <w:r w:rsidR="00856A55">
        <w:t xml:space="preserve">obrońców </w:t>
      </w:r>
      <w:r>
        <w:t xml:space="preserve">współoskarżonych, powołując się na </w:t>
      </w:r>
      <w:r>
        <w:lastRenderedPageBreak/>
        <w:t>wcześniejsze negatywne doświadczenia w innych postępowaniach. Sąd nie zadał mu żadnych pytań.</w:t>
      </w:r>
    </w:p>
    <w:p w14:paraId="0D434ACF" w14:textId="2ACBB0DD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11</w:t>
      </w:r>
      <w:r w:rsidRPr="000B7C48">
        <w:fldChar w:fldCharType="end"/>
      </w:r>
      <w:r>
        <w:t>.  Uzyskano kilka opinii biegłych. Psychiatrzy zdiagnozowali u G.</w:t>
      </w:r>
      <w:r w:rsidR="00856A55">
        <w:t xml:space="preserve"> </w:t>
      </w:r>
      <w:r>
        <w:t>C. uzależnienie od alkoholu, historię nadużywania amfetaminy i </w:t>
      </w:r>
      <w:proofErr w:type="spellStart"/>
      <w:r>
        <w:t>dyssocjalne</w:t>
      </w:r>
      <w:proofErr w:type="spellEnd"/>
      <w:r>
        <w:t xml:space="preserve"> zaburzenie osobowości. Stwierdzili jednak, że nie jest </w:t>
      </w:r>
      <w:r w:rsidR="0083113B">
        <w:t xml:space="preserve">chory psychicznie </w:t>
      </w:r>
      <w:r>
        <w:t>i nie ma potrzeby przeprowadzania dalszych badań mających na celu ustalenie, czy mówił prawdę. Biegli chemicy potwierdzili, że substancje znalezione w miejscach wskazanych przez G.</w:t>
      </w:r>
      <w:r w:rsidR="0083113B">
        <w:t xml:space="preserve"> </w:t>
      </w:r>
      <w:r>
        <w:t>C. (zob. pkt </w:t>
      </w:r>
      <w:r w:rsidRPr="000B7C48">
        <w:fldChar w:fldCharType="begin"/>
      </w:r>
      <w:r w:rsidRPr="000B7C48">
        <w:instrText xml:space="preserve"> REF paragraph00005 \h  \* CharFormat </w:instrText>
      </w:r>
      <w:r w:rsidRPr="000B7C48">
        <w:fldChar w:fldCharType="separate"/>
      </w:r>
      <w:r w:rsidR="00412065">
        <w:t>5</w:t>
      </w:r>
      <w:r w:rsidRPr="000B7C48">
        <w:fldChar w:fldCharType="end"/>
      </w:r>
      <w:r>
        <w:t xml:space="preserve"> powyżej) </w:t>
      </w:r>
      <w:r w:rsidR="00F85D8B">
        <w:t>pozostały po</w:t>
      </w:r>
      <w:r>
        <w:t xml:space="preserve"> reakcj</w:t>
      </w:r>
      <w:r w:rsidR="00F85D8B">
        <w:t>ach</w:t>
      </w:r>
      <w:r>
        <w:t xml:space="preserve"> chemicznych wykorzystywanych do produkcji narkotyków opisanych przez tego oskarżonego.</w:t>
      </w:r>
    </w:p>
    <w:p w14:paraId="6999AAC8" w14:textId="42AD8436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12</w:t>
      </w:r>
      <w:r w:rsidRPr="000B7C48">
        <w:fldChar w:fldCharType="end"/>
      </w:r>
      <w:r>
        <w:t>.  W dniu 15 lutego 2012 r. Sąd Okręgowy Warszawa</w:t>
      </w:r>
      <w:r w:rsidR="00F85D8B">
        <w:t xml:space="preserve"> – </w:t>
      </w:r>
      <w:r>
        <w:t>Praga</w:t>
      </w:r>
      <w:r w:rsidR="00F85D8B">
        <w:t xml:space="preserve"> </w:t>
      </w:r>
      <w:r w:rsidR="00F85D8B">
        <w:br/>
        <w:t>w Warszawie</w:t>
      </w:r>
      <w:r>
        <w:t xml:space="preserve"> uznał skarżącego winnym </w:t>
      </w:r>
      <w:r w:rsidR="00F85D8B">
        <w:t xml:space="preserve">popełnienia </w:t>
      </w:r>
      <w:r>
        <w:t>zarzucanych mu czynów i </w:t>
      </w:r>
      <w:r w:rsidR="00F85D8B">
        <w:t>wymierzył mu</w:t>
      </w:r>
      <w:r>
        <w:t xml:space="preserve"> karę łączną 12 lat pozbawienia wolności oraz karę </w:t>
      </w:r>
      <w:r w:rsidR="00F85D8B">
        <w:t xml:space="preserve">100 000 złotych </w:t>
      </w:r>
      <w:r>
        <w:t>(PLN) (około 24 000 euro (EUR)). G.</w:t>
      </w:r>
      <w:r w:rsidR="00F85D8B">
        <w:t xml:space="preserve"> </w:t>
      </w:r>
      <w:r>
        <w:t xml:space="preserve">C. został skazany </w:t>
      </w:r>
      <w:r w:rsidR="00F85D8B">
        <w:t>za siedem przestępstw</w:t>
      </w:r>
      <w:r>
        <w:t xml:space="preserve"> związany</w:t>
      </w:r>
      <w:r w:rsidR="00F85D8B">
        <w:t>ch</w:t>
      </w:r>
      <w:r>
        <w:t xml:space="preserve"> z narkotykami, </w:t>
      </w:r>
      <w:r w:rsidR="00F85D8B">
        <w:t>w tym</w:t>
      </w:r>
      <w:r>
        <w:t xml:space="preserve"> udzia</w:t>
      </w:r>
      <w:r w:rsidR="00F85D8B">
        <w:t>ł</w:t>
      </w:r>
      <w:r>
        <w:t xml:space="preserve"> w zorganizowanej grupie przestępczej, a także przygotowywani</w:t>
      </w:r>
      <w:r w:rsidR="002B5CEC">
        <w:t>e</w:t>
      </w:r>
      <w:r>
        <w:t xml:space="preserve"> i wytwarzani</w:t>
      </w:r>
      <w:r w:rsidR="002B5CEC">
        <w:t>e</w:t>
      </w:r>
      <w:r>
        <w:t xml:space="preserve"> znacznych ilości narkotyków. Korzystając z instytucji nadzwyczajnego złagodzenia kary ze względu na współpracę z władzami (art. 60 §§ 3 i 5 polskiego kodeksu karnego), sąd skazał go na karę łączną 4 lat i 6 miesięcy pozbawienia wolności z warunkowym zawieszeniem jej wykonania na okres 8 lat </w:t>
      </w:r>
      <w:r w:rsidR="002B5CEC">
        <w:t xml:space="preserve">tytułem próby </w:t>
      </w:r>
      <w:r>
        <w:t>oraz grzywnę w wysokości 2 000 PLN (480 EUR).</w:t>
      </w:r>
    </w:p>
    <w:p w14:paraId="4739B4B7" w14:textId="1B532CD2" w:rsidR="00E001B0" w:rsidRPr="000B7C48" w:rsidRDefault="00000000" w:rsidP="000B7C48">
      <w:pPr>
        <w:pStyle w:val="JuPara"/>
      </w:pPr>
      <w:fldSimple w:instr=" SEQ level0 \*arabic \* MERGEFORMAT ">
        <w:bookmarkStart w:id="6" w:name="paragraph00013"/>
        <w:r w:rsidR="00412065">
          <w:rPr>
            <w:noProof/>
          </w:rPr>
          <w:t>13</w:t>
        </w:r>
        <w:bookmarkEnd w:id="6"/>
      </w:fldSimple>
      <w:r>
        <w:t>.  Sąd wyraźnie stwierdził, że wyjaśnienia G.</w:t>
      </w:r>
      <w:r w:rsidR="002B5CEC">
        <w:t xml:space="preserve"> </w:t>
      </w:r>
      <w:r>
        <w:t xml:space="preserve">C. stanowiły „podstawowy dowód” przeciwko wszystkim oskarżonym. Z tego względu sąd zdecydował się przytoczyć je </w:t>
      </w:r>
      <w:r>
        <w:rPr>
          <w:i/>
          <w:iCs/>
        </w:rPr>
        <w:t>in extenso</w:t>
      </w:r>
      <w:r>
        <w:t xml:space="preserve"> celem „wykazania ich wiarygodności w wymiarze wewnętrznym, a mianowicie wewnętrznej spójności, logiczności, konsekwencji i stanowczości” (streszczenie wyjaśnień G.</w:t>
      </w:r>
      <w:r w:rsidR="002B5CEC">
        <w:t xml:space="preserve"> </w:t>
      </w:r>
      <w:r>
        <w:t>C. liczy 67 stron, a ich ocena – 11 stron z ogólnej liczby 134 stron uzasadnienia). Sąd szczegółowo odniósł się do zarzutów dotyczących stanu psychicznego G.</w:t>
      </w:r>
      <w:r w:rsidR="002B5CEC">
        <w:t xml:space="preserve"> </w:t>
      </w:r>
      <w:r>
        <w:t>C. i w świetle zgromadzonych opinii biegłych uznał, że nie podważyły one jego wiarygodności. Sąd zauważył, że wyjaśnienia G.</w:t>
      </w:r>
      <w:r w:rsidR="002B5CEC">
        <w:t xml:space="preserve"> </w:t>
      </w:r>
      <w:r>
        <w:t xml:space="preserve">C. </w:t>
      </w:r>
      <w:r w:rsidR="002B5CEC">
        <w:t>co do</w:t>
      </w:r>
      <w:r>
        <w:t xml:space="preserve"> miejsc, reakcji chemicznych i metod wytwarzania narkotyków zostały potwierdzone stosownymi opiniami biegłych. Sąd zważył wreszcie, że G.</w:t>
      </w:r>
      <w:r w:rsidR="002B5CEC">
        <w:t xml:space="preserve"> </w:t>
      </w:r>
      <w:r>
        <w:t xml:space="preserve">C. wyraźnie wskazywał ilekroć czegoś nie pamiętał i nie tylko nie </w:t>
      </w:r>
      <w:r w:rsidR="002B5CEC">
        <w:t xml:space="preserve">umniejszał </w:t>
      </w:r>
      <w:r>
        <w:t xml:space="preserve">swojej roli w grupie, lecz sam się obciążył, podczas gdy pozostali oskarżeni jedynie zaprzeczali jego </w:t>
      </w:r>
      <w:r w:rsidR="002B5CEC">
        <w:t xml:space="preserve">zarzutom </w:t>
      </w:r>
      <w:r>
        <w:t>i składali wyjaśnienia „oderwane od logiki i zasad doświadczenia życiowego”.</w:t>
      </w:r>
    </w:p>
    <w:p w14:paraId="0BD6A634" w14:textId="03B646CF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14</w:t>
      </w:r>
      <w:r w:rsidRPr="000B7C48">
        <w:fldChar w:fldCharType="end"/>
      </w:r>
      <w:r>
        <w:t xml:space="preserve">.  Skarżący </w:t>
      </w:r>
      <w:r w:rsidR="00821AD8">
        <w:t xml:space="preserve">złożył </w:t>
      </w:r>
      <w:r>
        <w:t xml:space="preserve">apelację. Powołując się na art. 6 Konwencji zarzucił, że jego skazanie </w:t>
      </w:r>
      <w:r w:rsidR="00821AD8">
        <w:t>opierało się</w:t>
      </w:r>
      <w:r>
        <w:t xml:space="preserve"> wyłącznie na </w:t>
      </w:r>
      <w:r w:rsidR="00821AD8">
        <w:t xml:space="preserve">wyjaśnieniach </w:t>
      </w:r>
      <w:r>
        <w:t>G.</w:t>
      </w:r>
      <w:r w:rsidR="00821AD8">
        <w:t xml:space="preserve"> </w:t>
      </w:r>
      <w:r>
        <w:t>C., którego nie mógł przesłuchać przed sądem ani którego przesłuchania nie mógł spowodować. Ponadto zarzucił, że sąd pierwszej instancji nie dopuścił jako dowodu niektórych opinii psychologicznych dotyczących G.</w:t>
      </w:r>
      <w:r w:rsidR="00821AD8">
        <w:t xml:space="preserve"> </w:t>
      </w:r>
      <w:r>
        <w:t xml:space="preserve">C., </w:t>
      </w:r>
      <w:r w:rsidR="00821AD8">
        <w:t>uzyskanych w</w:t>
      </w:r>
      <w:r>
        <w:t xml:space="preserve"> innych postępowa</w:t>
      </w:r>
      <w:r w:rsidR="00821AD8">
        <w:t>niach</w:t>
      </w:r>
      <w:r>
        <w:t xml:space="preserve"> i rzekomo podważa</w:t>
      </w:r>
      <w:r w:rsidR="00821AD8">
        <w:t>jących</w:t>
      </w:r>
      <w:r>
        <w:t xml:space="preserve"> jego wiarygodność.</w:t>
      </w:r>
    </w:p>
    <w:p w14:paraId="44B2C493" w14:textId="7F44D2FC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15</w:t>
      </w:r>
      <w:r w:rsidRPr="000B7C48">
        <w:fldChar w:fldCharType="end"/>
      </w:r>
      <w:r>
        <w:t>.  G.</w:t>
      </w:r>
      <w:r w:rsidR="00821AD8">
        <w:t xml:space="preserve"> </w:t>
      </w:r>
      <w:r>
        <w:t>C. nie wniósł apelacji.</w:t>
      </w:r>
    </w:p>
    <w:p w14:paraId="192C1146" w14:textId="0043F4BC" w:rsidR="00E001B0" w:rsidRPr="000B7C48" w:rsidRDefault="00000000" w:rsidP="000B7C48">
      <w:pPr>
        <w:pStyle w:val="JuPara"/>
      </w:pPr>
      <w:fldSimple w:instr=" SEQ level0 \*arabic \* MERGEFORMAT ">
        <w:bookmarkStart w:id="7" w:name="paragraph00016"/>
        <w:r w:rsidR="00412065">
          <w:rPr>
            <w:noProof/>
          </w:rPr>
          <w:t>16</w:t>
        </w:r>
        <w:bookmarkEnd w:id="7"/>
      </w:fldSimple>
      <w:r>
        <w:t>.  Sąd Apelacyjny w Warszawie z urzędu uzupełnił materiał dowodowy o opinie biegłych psychologów przywołane przez skarżącego. W dniu 7 grudnia 2012 r. zmniejszył wymiar kary skarżącego do 10 lat pozbawienia wolności i 80 000 PLN (19 200 EUR) grzywny.</w:t>
      </w:r>
    </w:p>
    <w:p w14:paraId="4A9F640D" w14:textId="4648806A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17</w:t>
      </w:r>
      <w:r w:rsidRPr="000B7C48">
        <w:fldChar w:fldCharType="end"/>
      </w:r>
      <w:r>
        <w:t xml:space="preserve">.  Skarżący </w:t>
      </w:r>
      <w:r w:rsidR="0052644F">
        <w:t xml:space="preserve">złożył </w:t>
      </w:r>
      <w:r>
        <w:t>kasacj</w:t>
      </w:r>
      <w:r w:rsidR="00266D72">
        <w:t>ę</w:t>
      </w:r>
      <w:r>
        <w:t>, zarzucając w szczególności sądowi apelacyjnemu niewezwanie jednego z jego obrońców na rozprawę apelacyjną. Sąd Najwyższy uwzględnił kasacj</w:t>
      </w:r>
      <w:r w:rsidR="00266D72">
        <w:t>ę</w:t>
      </w:r>
      <w:r>
        <w:t xml:space="preserve"> i przekazał sprawę do ponownego rozpoznania.</w:t>
      </w:r>
    </w:p>
    <w:p w14:paraId="5FCE1459" w14:textId="6F37E47B" w:rsidR="00E001B0" w:rsidRPr="000B7C48" w:rsidRDefault="00000000" w:rsidP="000B7C48">
      <w:pPr>
        <w:pStyle w:val="JuPara"/>
      </w:pPr>
      <w:fldSimple w:instr=" SEQ level0 \*arabic \* MERGEFORMAT ">
        <w:bookmarkStart w:id="8" w:name="paragraph00017"/>
        <w:r w:rsidR="00412065">
          <w:rPr>
            <w:noProof/>
          </w:rPr>
          <w:t>18</w:t>
        </w:r>
        <w:bookmarkEnd w:id="8"/>
      </w:fldSimple>
      <w:r>
        <w:t>.  W dniu 16 grudnia 2013 r. Sąd Apelacyjny zmniejszył wymiar kary orzeczonej wyrokiem sądu pierwszej instancji w taki sam sposób jak poprzednio (zob. pkt </w:t>
      </w:r>
      <w:r w:rsidRPr="000B7C48">
        <w:fldChar w:fldCharType="begin"/>
      </w:r>
      <w:r w:rsidRPr="000B7C48">
        <w:instrText xml:space="preserve"> REF paragraph00016 \h  \* CharFormat </w:instrText>
      </w:r>
      <w:r w:rsidRPr="000B7C48">
        <w:fldChar w:fldCharType="separate"/>
      </w:r>
      <w:r w:rsidR="00412065">
        <w:t>16</w:t>
      </w:r>
      <w:r w:rsidRPr="000B7C48">
        <w:fldChar w:fldCharType="end"/>
      </w:r>
      <w:r>
        <w:t xml:space="preserve"> powyżej), stwierdziwszy, że ilość narkotyków wytworzonych przez grupę była mniejsza niż ustalono w pierwszej instancji. Sąd apelacyjny zauważył, że wyjaśnienia G.</w:t>
      </w:r>
      <w:r w:rsidR="00266D72">
        <w:t xml:space="preserve"> </w:t>
      </w:r>
      <w:r>
        <w:t xml:space="preserve">C. wymagały </w:t>
      </w:r>
      <w:r w:rsidR="00266D72">
        <w:t xml:space="preserve">dogłębnej  </w:t>
      </w:r>
      <w:r>
        <w:t>i ostrożnej oceny. Odnosząc się do zarzutów dotyczących niemożności przesłuchania lub spowodowania przesłuchania G.</w:t>
      </w:r>
      <w:r w:rsidR="00266D72">
        <w:t xml:space="preserve"> </w:t>
      </w:r>
      <w:r>
        <w:t xml:space="preserve">C. przez skarżącego, sąd zauważył, że przeprowadzono konfrontację skarżącego z jego oskarżycielem w trakcie śledztwa. Po </w:t>
      </w:r>
      <w:r w:rsidR="00266D72">
        <w:t xml:space="preserve">dokonaniu </w:t>
      </w:r>
      <w:r>
        <w:t xml:space="preserve">szczegółowej </w:t>
      </w:r>
      <w:r w:rsidR="00266D72">
        <w:t xml:space="preserve">oceny </w:t>
      </w:r>
      <w:r>
        <w:t>dodatkowych opinii psychologicznych sąd uznał, że nie podważają one wiarygodności G.C.</w:t>
      </w:r>
    </w:p>
    <w:p w14:paraId="7FEF7B10" w14:textId="495F9FAD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19</w:t>
      </w:r>
      <w:r w:rsidRPr="000B7C48">
        <w:fldChar w:fldCharType="end"/>
      </w:r>
      <w:r>
        <w:t xml:space="preserve">.  W dniu 7 maja 2014 r. Sąd Najwyższy, </w:t>
      </w:r>
      <w:r w:rsidR="00F924B2">
        <w:t xml:space="preserve">uwzględniając </w:t>
      </w:r>
      <w:proofErr w:type="spellStart"/>
      <w:r w:rsidR="00F924B2" w:rsidRPr="008C63E2">
        <w:rPr>
          <w:i/>
          <w:iCs/>
        </w:rPr>
        <w:t>inter</w:t>
      </w:r>
      <w:proofErr w:type="spellEnd"/>
      <w:r w:rsidR="00F924B2" w:rsidRPr="008C63E2">
        <w:rPr>
          <w:i/>
          <w:iCs/>
        </w:rPr>
        <w:t xml:space="preserve"> </w:t>
      </w:r>
      <w:proofErr w:type="spellStart"/>
      <w:r w:rsidR="00F924B2" w:rsidRPr="008C63E2">
        <w:rPr>
          <w:i/>
          <w:iCs/>
        </w:rPr>
        <w:t>alia</w:t>
      </w:r>
      <w:proofErr w:type="spellEnd"/>
      <w:r>
        <w:t xml:space="preserve"> art. 6 Konwencji, oddalił </w:t>
      </w:r>
      <w:r w:rsidR="00F924B2">
        <w:t>kasację</w:t>
      </w:r>
      <w:r>
        <w:t xml:space="preserve"> skarżącego jako </w:t>
      </w:r>
      <w:r w:rsidR="00F924B2">
        <w:t>oczywiście</w:t>
      </w:r>
      <w:r>
        <w:t xml:space="preserve"> </w:t>
      </w:r>
      <w:r w:rsidR="00F924B2">
        <w:t>bezzasadną</w:t>
      </w:r>
      <w:r>
        <w:t>.</w:t>
      </w:r>
    </w:p>
    <w:p w14:paraId="215101C3" w14:textId="15E73D57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20</w:t>
      </w:r>
      <w:r w:rsidRPr="000B7C48">
        <w:fldChar w:fldCharType="end"/>
      </w:r>
      <w:r>
        <w:t xml:space="preserve">.  Skarżący zarzucił, na podstawie art. 6 ust. 1 i 3 lit. d Konwencji, że jego </w:t>
      </w:r>
      <w:r w:rsidR="00F924B2">
        <w:t>skazanie opierało się</w:t>
      </w:r>
      <w:r>
        <w:t xml:space="preserve"> w decydującym na zeznaniach świadka, którego nie mógł przesłuchać ani którego przesłuchania nie mógł spowodować.</w:t>
      </w:r>
    </w:p>
    <w:p w14:paraId="3BBD4D83" w14:textId="77777777" w:rsidR="00E001B0" w:rsidRPr="000B7C48" w:rsidRDefault="00000000" w:rsidP="000B7C48">
      <w:pPr>
        <w:pStyle w:val="JuHHead"/>
        <w:keepNext w:val="0"/>
        <w:keepLines w:val="0"/>
        <w:numPr>
          <w:ilvl w:val="0"/>
          <w:numId w:val="1"/>
        </w:numPr>
      </w:pPr>
      <w:r>
        <w:t>OCENA TRYBUNAŁU</w:t>
      </w:r>
    </w:p>
    <w:p w14:paraId="685372DA" w14:textId="6328EC00" w:rsidR="00E001B0" w:rsidRPr="000B7C48" w:rsidRDefault="00000000" w:rsidP="000B7C48">
      <w:pPr>
        <w:pStyle w:val="JuHA"/>
        <w:numPr>
          <w:ilvl w:val="0"/>
          <w:numId w:val="0"/>
        </w:numPr>
        <w:ind w:left="170"/>
      </w:pPr>
      <w:r>
        <w:t xml:space="preserve">Zarzucane naruszenia art. 6 ust. 1 </w:t>
      </w:r>
      <w:r w:rsidR="00F924B2">
        <w:t>i</w:t>
      </w:r>
      <w:r>
        <w:t> 3 lit. d Konwencji</w:t>
      </w:r>
    </w:p>
    <w:p w14:paraId="646A1459" w14:textId="77777777" w:rsidR="00E001B0" w:rsidRPr="000B7C48" w:rsidRDefault="00000000" w:rsidP="000B7C48">
      <w:pPr>
        <w:pStyle w:val="JuH1"/>
      </w:pPr>
      <w:r>
        <w:t>Skazanie za posiadanie kokainy</w:t>
      </w:r>
    </w:p>
    <w:p w14:paraId="549B7D89" w14:textId="4207E7ED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21</w:t>
      </w:r>
      <w:r w:rsidRPr="000B7C48">
        <w:fldChar w:fldCharType="end"/>
      </w:r>
      <w:r>
        <w:t>.  </w:t>
      </w:r>
      <w:r w:rsidR="00F924B2">
        <w:t xml:space="preserve">Zarzuty </w:t>
      </w:r>
      <w:r>
        <w:t>skarżącego obejmuj</w:t>
      </w:r>
      <w:r w:rsidR="00F924B2">
        <w:t>ą</w:t>
      </w:r>
      <w:r>
        <w:t xml:space="preserve"> jego </w:t>
      </w:r>
      <w:r w:rsidR="00F924B2">
        <w:t>skazanie</w:t>
      </w:r>
      <w:r>
        <w:t xml:space="preserve"> za wszystkie zarzucane mu czyny. Jednakże zarzut posiadania kokainy (zob. pkt </w:t>
      </w:r>
      <w:r w:rsidRPr="000B7C48">
        <w:fldChar w:fldCharType="begin"/>
      </w:r>
      <w:r w:rsidRPr="000B7C48">
        <w:instrText xml:space="preserve"> REF paragraph00002 \h  \* CharFormat </w:instrText>
      </w:r>
      <w:r w:rsidRPr="000B7C48">
        <w:fldChar w:fldCharType="separate"/>
      </w:r>
      <w:r w:rsidR="00412065">
        <w:t>2</w:t>
      </w:r>
      <w:r w:rsidRPr="000B7C48">
        <w:fldChar w:fldCharType="end"/>
      </w:r>
      <w:r>
        <w:t xml:space="preserve"> powyżej) został oparty na dowodach rzeczowych </w:t>
      </w:r>
      <w:r w:rsidR="00F924B2">
        <w:t xml:space="preserve">ujawnionych </w:t>
      </w:r>
      <w:r>
        <w:t>na jego posesji, a nie na wyjaśnieniach złożonych przez G.</w:t>
      </w:r>
      <w:r w:rsidR="00F924B2">
        <w:t xml:space="preserve"> </w:t>
      </w:r>
      <w:r>
        <w:t>C. Skarżący nie podniósł żadnych innych zarzutów dotyczących skazania za ten czyn.</w:t>
      </w:r>
    </w:p>
    <w:p w14:paraId="6C2BDD7D" w14:textId="44594664" w:rsidR="00E001B0" w:rsidRPr="000B7C48" w:rsidRDefault="00000000" w:rsidP="000B7C48">
      <w:pPr>
        <w:pStyle w:val="JuPara"/>
      </w:pPr>
      <w:r>
        <w:t xml:space="preserve">W związku z tym, w zakresie, w jakim </w:t>
      </w:r>
      <w:r w:rsidR="00F924B2">
        <w:t>skarga dotyczy skazania</w:t>
      </w:r>
      <w:r>
        <w:t xml:space="preserve"> </w:t>
      </w:r>
      <w:r w:rsidR="00F924B2">
        <w:t xml:space="preserve">go </w:t>
      </w:r>
      <w:r>
        <w:t>za posiadanie kokainy, skarga ta jest niedopuszczalna na podstawie art. 35 ust. 3 lit. a jako w sposób oczywisty nieuzasadniona i musi zostać odrzucona na podstawie art. 35 ust. 4 Konwencji.</w:t>
      </w:r>
    </w:p>
    <w:p w14:paraId="69DCF3C0" w14:textId="77777777" w:rsidR="00E001B0" w:rsidRPr="000B7C48" w:rsidRDefault="00000000" w:rsidP="000B7C48">
      <w:pPr>
        <w:pStyle w:val="JuH1"/>
      </w:pPr>
      <w:r>
        <w:t>Pozostała część skargi</w:t>
      </w:r>
    </w:p>
    <w:p w14:paraId="5C8009F4" w14:textId="2FBCA26F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22</w:t>
      </w:r>
      <w:r w:rsidRPr="000B7C48">
        <w:fldChar w:fldCharType="end"/>
      </w:r>
      <w:r>
        <w:t xml:space="preserve">.  Trybunał przypomina, że ogólne zasady dotyczące przesłuchiwania nieobecnych świadków i korzystania przez sądy z zeznań złożonych przez tych świadków, określające </w:t>
      </w:r>
      <w:r w:rsidR="00F924B2">
        <w:t xml:space="preserve">trzyczęściowy </w:t>
      </w:r>
      <w:r>
        <w:t xml:space="preserve">test, zostały podsumowane </w:t>
      </w:r>
      <w:r>
        <w:lastRenderedPageBreak/>
        <w:t xml:space="preserve">w sprawach </w:t>
      </w:r>
      <w:proofErr w:type="spellStart"/>
      <w:r>
        <w:rPr>
          <w:i/>
          <w:iCs/>
        </w:rPr>
        <w:t>Schatschaschwili</w:t>
      </w:r>
      <w:proofErr w:type="spellEnd"/>
      <w:r>
        <w:rPr>
          <w:i/>
          <w:iCs/>
        </w:rPr>
        <w:t xml:space="preserve"> przeciwko Niemcom</w:t>
      </w:r>
      <w:r>
        <w:t xml:space="preserve"> ([WI], nr 9154/10, pkt 100–31, ETPC 2015</w:t>
      </w:r>
      <w:r w:rsidR="00F924B2">
        <w:t>,</w:t>
      </w:r>
      <w:r>
        <w:t xml:space="preserve"> </w:t>
      </w:r>
      <w:r>
        <w:rPr>
          <w:i/>
          <w:iCs/>
        </w:rPr>
        <w:t>Al</w:t>
      </w:r>
      <w:r>
        <w:rPr>
          <w:i/>
          <w:iCs/>
        </w:rPr>
        <w:noBreakHyphen/>
      </w:r>
      <w:proofErr w:type="spellStart"/>
      <w:r>
        <w:rPr>
          <w:i/>
          <w:iCs/>
        </w:rPr>
        <w:t>Khawaja</w:t>
      </w:r>
      <w:proofErr w:type="spellEnd"/>
      <w:r>
        <w:rPr>
          <w:i/>
          <w:iCs/>
        </w:rPr>
        <w:t xml:space="preserve"> i </w:t>
      </w:r>
      <w:proofErr w:type="spellStart"/>
      <w:r>
        <w:rPr>
          <w:i/>
          <w:iCs/>
        </w:rPr>
        <w:t>Tahery</w:t>
      </w:r>
      <w:proofErr w:type="spellEnd"/>
      <w:r>
        <w:rPr>
          <w:i/>
          <w:iCs/>
        </w:rPr>
        <w:t xml:space="preserve"> przeciwko Zjednoczonemu Królestwu</w:t>
      </w:r>
      <w:r>
        <w:t xml:space="preserve"> ([WI], nr 26766/05 i 22228/06, pkt 118–47, ETPC 2011 oraz </w:t>
      </w:r>
      <w:r>
        <w:rPr>
          <w:i/>
          <w:iCs/>
        </w:rPr>
        <w:t xml:space="preserve">Kuchta przeciwko Polsce </w:t>
      </w:r>
      <w:r>
        <w:t>(nr 58683/08, pkt 44–49, 23 stycznia 2018 r.).</w:t>
      </w:r>
    </w:p>
    <w:p w14:paraId="370AC37D" w14:textId="5BF92B03" w:rsidR="00E001B0" w:rsidRPr="000B7C48" w:rsidRDefault="00000000" w:rsidP="000B7C48">
      <w:pPr>
        <w:pStyle w:val="JuHa0"/>
      </w:pPr>
      <w:r>
        <w:t>Czy istniał uzasadniony powód</w:t>
      </w:r>
      <w:r w:rsidR="005374E6">
        <w:t xml:space="preserve"> uniemożliwienia</w:t>
      </w:r>
      <w:r>
        <w:t xml:space="preserve"> skarżącemu przesłuchani</w:t>
      </w:r>
      <w:r w:rsidR="005374E6">
        <w:t>a</w:t>
      </w:r>
      <w:r>
        <w:t xml:space="preserve"> lub spowodowani</w:t>
      </w:r>
      <w:r w:rsidR="005374E6">
        <w:t>a</w:t>
      </w:r>
      <w:r>
        <w:t xml:space="preserve"> przesłuchania G.</w:t>
      </w:r>
      <w:r w:rsidR="005374E6">
        <w:t xml:space="preserve"> </w:t>
      </w:r>
      <w:r>
        <w:t>C. przed sądem</w:t>
      </w:r>
    </w:p>
    <w:p w14:paraId="32FA50D4" w14:textId="29ABCFC1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23</w:t>
      </w:r>
      <w:r w:rsidRPr="000B7C48">
        <w:fldChar w:fldCharType="end"/>
      </w:r>
      <w:r>
        <w:t>.  W niniejszej sprawie nie było wątpliwości, że G.</w:t>
      </w:r>
      <w:r w:rsidR="005374E6">
        <w:t xml:space="preserve"> </w:t>
      </w:r>
      <w:r>
        <w:t xml:space="preserve">C. jako oskarżony miał prawo zachować milczenie w wybranym przez siebie zakresie, w tym odmówić odpowiedzi na pytania współoskarżonych i ich obrońców </w:t>
      </w:r>
      <w:r>
        <w:rPr>
          <w:i/>
          <w:iCs/>
        </w:rPr>
        <w:t xml:space="preserve">(Romaniuk przeciwko Polsce, </w:t>
      </w:r>
      <w:r>
        <w:t>nr 42179/14, pkt 20, 26 października 2023 r.).</w:t>
      </w:r>
    </w:p>
    <w:p w14:paraId="47FB9441" w14:textId="2AA86498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24</w:t>
      </w:r>
      <w:r w:rsidRPr="000B7C48">
        <w:fldChar w:fldCharType="end"/>
      </w:r>
      <w:r>
        <w:t>.  Trybunał jest zatem przekonany, że istniały solidne podstawy uniemożliwienia skarżącemu przesłuchania lub spowodowania przesłuchania G.. przed sądem, ponieważ nie można krytykować państwa za umożliwienie oskarżonemu skorzystania z praw przysługujących mu na mocy art. 6 Konwencji (</w:t>
      </w:r>
      <w:bookmarkStart w:id="9" w:name="_cl38877"/>
      <w:proofErr w:type="spellStart"/>
      <w:r>
        <w:rPr>
          <w:i/>
          <w:iCs/>
        </w:rPr>
        <w:t>Vidgen</w:t>
      </w:r>
      <w:proofErr w:type="spellEnd"/>
      <w:r>
        <w:rPr>
          <w:i/>
          <w:iCs/>
        </w:rPr>
        <w:t xml:space="preserve"> przeciwko Holandii</w:t>
      </w:r>
      <w:bookmarkEnd w:id="9"/>
      <w:r>
        <w:t>, nr 29353/06, pkt 42, 10 lipca 2012 r.).</w:t>
      </w:r>
    </w:p>
    <w:p w14:paraId="19736725" w14:textId="2C923664" w:rsidR="00E001B0" w:rsidRPr="000B7C48" w:rsidRDefault="00000000" w:rsidP="000B7C48">
      <w:pPr>
        <w:pStyle w:val="JuHa0"/>
      </w:pPr>
      <w:r>
        <w:t xml:space="preserve">Czy </w:t>
      </w:r>
      <w:r w:rsidR="005374E6">
        <w:t>skazanie</w:t>
      </w:r>
      <w:r>
        <w:t xml:space="preserve"> skarżącego opierał</w:t>
      </w:r>
      <w:r w:rsidR="005374E6">
        <w:t>o</w:t>
      </w:r>
      <w:r>
        <w:t xml:space="preserve"> się wyłącznie lub głównie na dowodach pochodzących od G.</w:t>
      </w:r>
      <w:r w:rsidR="005374E6">
        <w:t xml:space="preserve"> </w:t>
      </w:r>
      <w:r>
        <w:t>C.</w:t>
      </w:r>
    </w:p>
    <w:p w14:paraId="7B48AEA2" w14:textId="4DEF6634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25</w:t>
      </w:r>
      <w:r w:rsidRPr="000B7C48">
        <w:fldChar w:fldCharType="end"/>
      </w:r>
      <w:r>
        <w:t>.  Nie budziło wątpliwości, że wyjaśnienia G.</w:t>
      </w:r>
      <w:r w:rsidR="005374E6">
        <w:t xml:space="preserve"> </w:t>
      </w:r>
      <w:r>
        <w:t xml:space="preserve">C. stanowiły główny dowód obciążający skarżącego. Sąd zauważa, że </w:t>
      </w:r>
      <w:r w:rsidR="005374E6">
        <w:t xml:space="preserve">istotne </w:t>
      </w:r>
      <w:r>
        <w:t xml:space="preserve">zarzuty nie </w:t>
      </w:r>
      <w:r w:rsidR="005374E6">
        <w:t xml:space="preserve">były </w:t>
      </w:r>
      <w:r>
        <w:t>bezpośrednio poparte innymi dowodami, co czyni wyjaśnienia G.</w:t>
      </w:r>
      <w:r w:rsidR="005374E6">
        <w:t xml:space="preserve"> </w:t>
      </w:r>
      <w:r>
        <w:t>C. jedynym dowodem w tym zakresie.</w:t>
      </w:r>
    </w:p>
    <w:p w14:paraId="2E6085E6" w14:textId="3523E90E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26</w:t>
      </w:r>
      <w:r w:rsidRPr="000B7C48">
        <w:fldChar w:fldCharType="end"/>
      </w:r>
      <w:r>
        <w:t xml:space="preserve">.  Przedmiotowy dowód miał zatem decydujące znaczenie dla skazania skarżącego. Taki </w:t>
      </w:r>
      <w:r w:rsidR="005374E6">
        <w:t xml:space="preserve">niezweryfikowany </w:t>
      </w:r>
      <w:r>
        <w:t xml:space="preserve">dowód ma duże znaczenie i wymaga wystarczających czynników równoważących, aby zrekompensować </w:t>
      </w:r>
      <w:r w:rsidR="00C32016">
        <w:t xml:space="preserve">trudności dla obrony </w:t>
      </w:r>
      <w:r>
        <w:t>wynikające z </w:t>
      </w:r>
      <w:r w:rsidR="00C32016">
        <w:t xml:space="preserve">jego dopuszczenia </w:t>
      </w:r>
      <w:r>
        <w:t>(zob.</w:t>
      </w:r>
      <w:r>
        <w:rPr>
          <w:i/>
          <w:iCs/>
        </w:rPr>
        <w:t xml:space="preserve"> Al</w:t>
      </w:r>
      <w:r>
        <w:rPr>
          <w:i/>
          <w:iCs/>
        </w:rPr>
        <w:noBreakHyphen/>
      </w:r>
      <w:proofErr w:type="spellStart"/>
      <w:r>
        <w:rPr>
          <w:i/>
          <w:iCs/>
        </w:rPr>
        <w:t>Khawaja</w:t>
      </w:r>
      <w:proofErr w:type="spellEnd"/>
      <w:r>
        <w:rPr>
          <w:i/>
          <w:iCs/>
        </w:rPr>
        <w:t xml:space="preserve"> i </w:t>
      </w:r>
      <w:proofErr w:type="spellStart"/>
      <w:r>
        <w:rPr>
          <w:i/>
          <w:iCs/>
        </w:rPr>
        <w:t>Tahery</w:t>
      </w:r>
      <w:proofErr w:type="spellEnd"/>
      <w:r>
        <w:rPr>
          <w:i/>
          <w:iCs/>
        </w:rPr>
        <w:t xml:space="preserve">, </w:t>
      </w:r>
      <w:r>
        <w:t>cyt. pow</w:t>
      </w:r>
      <w:r w:rsidR="005374E6">
        <w:t>.</w:t>
      </w:r>
      <w:r>
        <w:t>, pkt 160–61).</w:t>
      </w:r>
    </w:p>
    <w:p w14:paraId="47FD8492" w14:textId="3DB07C5A" w:rsidR="00E001B0" w:rsidRPr="000B7C48" w:rsidRDefault="00000000" w:rsidP="000B7C48">
      <w:pPr>
        <w:pStyle w:val="JuHa0"/>
      </w:pPr>
      <w:r>
        <w:t>Czy istniały wystarczające czynniki równoważące</w:t>
      </w:r>
    </w:p>
    <w:p w14:paraId="63D3C1D5" w14:textId="6FCFE800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27</w:t>
      </w:r>
      <w:r w:rsidRPr="000B7C48">
        <w:fldChar w:fldCharType="end"/>
      </w:r>
      <w:r>
        <w:t>.  </w:t>
      </w:r>
      <w:r w:rsidR="00C32016">
        <w:t>Zadaniem Trybunału jest</w:t>
      </w:r>
      <w:r>
        <w:t xml:space="preserve"> zbadani</w:t>
      </w:r>
      <w:r w:rsidR="00C32016">
        <w:t>e</w:t>
      </w:r>
      <w:r>
        <w:t xml:space="preserve"> całości postępowania </w:t>
      </w:r>
      <w:r>
        <w:rPr>
          <w:i/>
          <w:iCs/>
        </w:rPr>
        <w:t>(Al</w:t>
      </w:r>
      <w:r>
        <w:rPr>
          <w:i/>
          <w:iCs/>
        </w:rPr>
        <w:noBreakHyphen/>
      </w:r>
      <w:proofErr w:type="spellStart"/>
      <w:r>
        <w:rPr>
          <w:i/>
          <w:iCs/>
        </w:rPr>
        <w:t>Khawaja</w:t>
      </w:r>
      <w:proofErr w:type="spellEnd"/>
      <w:r>
        <w:rPr>
          <w:i/>
          <w:iCs/>
        </w:rPr>
        <w:t xml:space="preserve"> i </w:t>
      </w:r>
      <w:proofErr w:type="spellStart"/>
      <w:r>
        <w:rPr>
          <w:i/>
          <w:iCs/>
        </w:rPr>
        <w:t>Tahery</w:t>
      </w:r>
      <w:proofErr w:type="spellEnd"/>
      <w:r>
        <w:rPr>
          <w:i/>
          <w:iCs/>
        </w:rPr>
        <w:t xml:space="preserve">, </w:t>
      </w:r>
      <w:r>
        <w:t>cyt. pow</w:t>
      </w:r>
      <w:r w:rsidR="00C32016">
        <w:t>.</w:t>
      </w:r>
      <w:r>
        <w:t xml:space="preserve">, pkt 118), </w:t>
      </w:r>
      <w:r w:rsidR="00C32016">
        <w:t>tj.</w:t>
      </w:r>
      <w:r>
        <w:t xml:space="preserve"> zarówno postępowani</w:t>
      </w:r>
      <w:r w:rsidR="00C32016">
        <w:t>a</w:t>
      </w:r>
      <w:r>
        <w:t xml:space="preserve"> przygotowawcze, jak i </w:t>
      </w:r>
      <w:r w:rsidR="00C32016">
        <w:t>sądowego</w:t>
      </w:r>
      <w:r>
        <w:t>.</w:t>
      </w:r>
    </w:p>
    <w:p w14:paraId="4DBFFEB1" w14:textId="38B60305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28</w:t>
      </w:r>
      <w:r w:rsidRPr="000B7C48">
        <w:fldChar w:fldCharType="end"/>
      </w:r>
      <w:r>
        <w:t>.  W odniesieniu do postępowania przygotowawczego Trybunał zauważ</w:t>
      </w:r>
      <w:r w:rsidR="00C32016">
        <w:t>a</w:t>
      </w:r>
      <w:r>
        <w:t xml:space="preserve">, że: (i) skarżący był reprezentowany przez obrońcę na tym etapie (por. </w:t>
      </w:r>
      <w:proofErr w:type="spellStart"/>
      <w:r>
        <w:rPr>
          <w:i/>
          <w:iCs/>
        </w:rPr>
        <w:t>Schatschaschwili</w:t>
      </w:r>
      <w:proofErr w:type="spellEnd"/>
      <w:r>
        <w:t>, cyt. pow</w:t>
      </w:r>
      <w:r w:rsidR="00C32016">
        <w:t>.</w:t>
      </w:r>
      <w:r>
        <w:t>, pkt 71); (ii) skarżący został skonfrontowany z G.</w:t>
      </w:r>
      <w:r w:rsidR="00C32016">
        <w:t xml:space="preserve"> </w:t>
      </w:r>
      <w:r>
        <w:t>C. (zob. pkt </w:t>
      </w:r>
      <w:r w:rsidRPr="000B7C48">
        <w:fldChar w:fldCharType="begin"/>
      </w:r>
      <w:r w:rsidRPr="000B7C48">
        <w:instrText xml:space="preserve"> REF paragraph00006 \h  \* CharFormat </w:instrText>
      </w:r>
      <w:r w:rsidRPr="000B7C48">
        <w:fldChar w:fldCharType="separate"/>
      </w:r>
      <w:r w:rsidR="00412065">
        <w:t>6</w:t>
      </w:r>
      <w:r w:rsidRPr="000B7C48">
        <w:fldChar w:fldCharType="end"/>
      </w:r>
      <w:r>
        <w:t xml:space="preserve"> pow</w:t>
      </w:r>
      <w:r w:rsidR="00C32016">
        <w:t>.</w:t>
      </w:r>
      <w:r>
        <w:t xml:space="preserve">; </w:t>
      </w:r>
      <w:bookmarkStart w:id="10" w:name="_cl33601"/>
      <w:proofErr w:type="spellStart"/>
      <w:r>
        <w:rPr>
          <w:i/>
          <w:iCs/>
        </w:rPr>
        <w:t>Palchik</w:t>
      </w:r>
      <w:proofErr w:type="spellEnd"/>
      <w:r>
        <w:rPr>
          <w:i/>
          <w:iCs/>
        </w:rPr>
        <w:t xml:space="preserve"> przeciwko Ukrainie</w:t>
      </w:r>
      <w:bookmarkEnd w:id="10"/>
      <w:r>
        <w:t xml:space="preserve">, nr 16980/06, pkt 10, 2 marca 2017 r., por. </w:t>
      </w:r>
      <w:bookmarkStart w:id="11" w:name="_cl34477"/>
      <w:proofErr w:type="spellStart"/>
      <w:r>
        <w:rPr>
          <w:i/>
          <w:iCs/>
        </w:rPr>
        <w:t>Prăjină</w:t>
      </w:r>
      <w:proofErr w:type="spellEnd"/>
      <w:r>
        <w:rPr>
          <w:i/>
          <w:iCs/>
        </w:rPr>
        <w:t xml:space="preserve"> przeciwko Rumunii</w:t>
      </w:r>
      <w:bookmarkEnd w:id="11"/>
      <w:r>
        <w:t xml:space="preserve">, nr 5592/05, pkt 46, 7 stycznia 2014 r.); (iii) obrońca skarżącego nie uczestniczył w konfrontacji i nigdy nie twierdził, że nie został powiadomiony; (iv) skarżący wyraźnie oświadczył, że nie sprzeciwia się przeprowadzeniu konfrontacji pod nieobecność obrońcy oraz (v) skarżący </w:t>
      </w:r>
      <w:r w:rsidR="000659CF">
        <w:t>zrezygnował z</w:t>
      </w:r>
      <w:r>
        <w:t xml:space="preserve"> zadania G.</w:t>
      </w:r>
      <w:r w:rsidR="00C32016">
        <w:t xml:space="preserve"> </w:t>
      </w:r>
      <w:r>
        <w:t>C. jakichkolwiek pytań podczas konfrontacji.</w:t>
      </w:r>
    </w:p>
    <w:p w14:paraId="599A9EDF" w14:textId="14A1B499" w:rsidR="00E001B0" w:rsidRPr="000B7C48" w:rsidRDefault="000B7C48" w:rsidP="000B7C48">
      <w:pPr>
        <w:pStyle w:val="JuPara"/>
      </w:pPr>
      <w:r w:rsidRPr="000B7C48">
        <w:lastRenderedPageBreak/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29</w:t>
      </w:r>
      <w:r w:rsidRPr="000B7C48">
        <w:fldChar w:fldCharType="end"/>
      </w:r>
      <w:r>
        <w:t>.  W świetle powyższego Trybunał stwierdza, że skarżący miał możliwość przesłuchania i spowodowania przesłuchania obciążającego go świadka w trakcie postępowania przygotowawczego (</w:t>
      </w:r>
      <w:bookmarkStart w:id="12" w:name="_cl25517"/>
      <w:r>
        <w:rPr>
          <w:i/>
          <w:iCs/>
        </w:rPr>
        <w:t>Fąfrowicz przeciwko Polsce</w:t>
      </w:r>
      <w:bookmarkEnd w:id="12"/>
      <w:r>
        <w:t xml:space="preserve">, nr 43609/07, pkt 54, 17 kwietnia 2012 r., </w:t>
      </w:r>
      <w:r>
        <w:rPr>
          <w:i/>
          <w:iCs/>
        </w:rPr>
        <w:t>Al</w:t>
      </w:r>
      <w:r>
        <w:rPr>
          <w:i/>
          <w:iCs/>
        </w:rPr>
        <w:noBreakHyphen/>
      </w:r>
      <w:proofErr w:type="spellStart"/>
      <w:r>
        <w:rPr>
          <w:i/>
          <w:iCs/>
        </w:rPr>
        <w:t>Khawaja</w:t>
      </w:r>
      <w:proofErr w:type="spellEnd"/>
      <w:r>
        <w:rPr>
          <w:i/>
          <w:iCs/>
        </w:rPr>
        <w:t xml:space="preserve"> i </w:t>
      </w:r>
      <w:proofErr w:type="spellStart"/>
      <w:r>
        <w:rPr>
          <w:i/>
          <w:iCs/>
        </w:rPr>
        <w:t>Tahery</w:t>
      </w:r>
      <w:proofErr w:type="spellEnd"/>
      <w:r>
        <w:rPr>
          <w:i/>
          <w:iCs/>
        </w:rPr>
        <w:t xml:space="preserve">, </w:t>
      </w:r>
      <w:r>
        <w:t>cyt. pow</w:t>
      </w:r>
      <w:r w:rsidR="000659CF">
        <w:t>.</w:t>
      </w:r>
      <w:r>
        <w:t xml:space="preserve">, pkt 119), ale nie skorzystał z tej możliwości. Możliwość konfrontacji ze świadkiem oskarżenia na etapie postępowania przygotowawczego jest ważnym zabezpieczeniem proceduralnym, które może zrekompensować utrudnienia, </w:t>
      </w:r>
      <w:r w:rsidR="000659CF">
        <w:t>z jakimi mierzy się</w:t>
      </w:r>
      <w:r>
        <w:t xml:space="preserve"> obrona z powodu nieobecności takiego świadka na rozprawie </w:t>
      </w:r>
      <w:r>
        <w:rPr>
          <w:i/>
          <w:iCs/>
        </w:rPr>
        <w:t>(</w:t>
      </w:r>
      <w:proofErr w:type="spellStart"/>
      <w:r>
        <w:rPr>
          <w:i/>
          <w:iCs/>
        </w:rPr>
        <w:t>Palchik</w:t>
      </w:r>
      <w:proofErr w:type="spellEnd"/>
      <w:r>
        <w:t>, cyt. powyżej, pkt 50).</w:t>
      </w:r>
    </w:p>
    <w:p w14:paraId="1BCDB14C" w14:textId="246A2379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30</w:t>
      </w:r>
      <w:r w:rsidRPr="000B7C48">
        <w:fldChar w:fldCharType="end"/>
      </w:r>
      <w:r>
        <w:t>.  Ponadto Trybunał zauważa, że podczas postępowania przygotowawczego G.</w:t>
      </w:r>
      <w:r w:rsidR="000659CF">
        <w:t xml:space="preserve"> </w:t>
      </w:r>
      <w:r>
        <w:t xml:space="preserve">C. był przesłuchiwany po konfrontacji co najmniej pięć razy. Skarżący nie twierdził, że on lub jego obrońca </w:t>
      </w:r>
      <w:r w:rsidR="000659CF">
        <w:t xml:space="preserve">wnosili </w:t>
      </w:r>
      <w:r>
        <w:t>o </w:t>
      </w:r>
      <w:r w:rsidR="000659CF">
        <w:t xml:space="preserve">zezwolenie </w:t>
      </w:r>
      <w:r>
        <w:t>na udział w przesłuchaniu, ale im odmówiono.</w:t>
      </w:r>
    </w:p>
    <w:p w14:paraId="3D1773BF" w14:textId="2AB7E19F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31</w:t>
      </w:r>
      <w:r w:rsidRPr="000B7C48">
        <w:fldChar w:fldCharType="end"/>
      </w:r>
      <w:r>
        <w:t xml:space="preserve">.  Przechodząc do </w:t>
      </w:r>
      <w:r w:rsidR="000659CF">
        <w:t>postępowania sądowego</w:t>
      </w:r>
      <w:r>
        <w:t xml:space="preserve">, sprawę należy odróżnić od scenariusza obejmującego zeznania nieobecnego świadka </w:t>
      </w:r>
      <w:r>
        <w:rPr>
          <w:i/>
          <w:iCs/>
        </w:rPr>
        <w:t>sensu</w:t>
      </w:r>
      <w:r>
        <w:t xml:space="preserve"> </w:t>
      </w:r>
      <w:r>
        <w:rPr>
          <w:i/>
          <w:iCs/>
        </w:rPr>
        <w:t>stricto</w:t>
      </w:r>
      <w:r>
        <w:t xml:space="preserve"> (np. cyt. pow</w:t>
      </w:r>
      <w:r w:rsidR="000659CF">
        <w:t>.</w:t>
      </w:r>
      <w:r>
        <w:t xml:space="preserve"> </w:t>
      </w:r>
      <w:proofErr w:type="spellStart"/>
      <w:r>
        <w:rPr>
          <w:i/>
          <w:iCs/>
        </w:rPr>
        <w:t>Schatschaschwili</w:t>
      </w:r>
      <w:proofErr w:type="spellEnd"/>
      <w:r>
        <w:t>), ponieważ sąd pierwszej instancji miał bezpośredni kontakt z G.</w:t>
      </w:r>
      <w:r w:rsidR="000659CF">
        <w:t xml:space="preserve"> </w:t>
      </w:r>
      <w:r>
        <w:t>C., który (i) był obecny podczas odczytywania jego wyjaśnień złożonych podczas postępowania przygotowawczego, (ii) potwierdził je w całości, (iii) złożył oświadczenia w odpowiedzi na wyjaśnienia innych oskarżonych oraz (iv) zgodził się odpowiedzieć na pytania niektórych osób, w tym sądu (zob. pkt </w:t>
      </w:r>
      <w:r w:rsidRPr="000B7C48">
        <w:fldChar w:fldCharType="begin"/>
      </w:r>
      <w:r w:rsidRPr="000B7C48">
        <w:instrText xml:space="preserve"> REF paragraph00008 \h  \* CharFormat </w:instrText>
      </w:r>
      <w:r w:rsidRPr="000B7C48">
        <w:fldChar w:fldCharType="separate"/>
      </w:r>
      <w:r w:rsidR="00412065">
        <w:t>8</w:t>
      </w:r>
      <w:r w:rsidRPr="000B7C48">
        <w:fldChar w:fldCharType="end"/>
      </w:r>
      <w:r>
        <w:t xml:space="preserve"> i </w:t>
      </w:r>
      <w:r w:rsidRPr="000B7C48">
        <w:fldChar w:fldCharType="begin"/>
      </w:r>
      <w:r w:rsidRPr="000B7C48">
        <w:instrText xml:space="preserve"> REF paragraph00010 \h  \* CharFormat </w:instrText>
      </w:r>
      <w:r w:rsidRPr="000B7C48">
        <w:fldChar w:fldCharType="separate"/>
      </w:r>
      <w:r w:rsidR="00412065">
        <w:t>10</w:t>
      </w:r>
      <w:r w:rsidRPr="000B7C48">
        <w:fldChar w:fldCharType="end"/>
      </w:r>
      <w:r>
        <w:t xml:space="preserve"> pow</w:t>
      </w:r>
      <w:r w:rsidR="000659CF">
        <w:t>yżej</w:t>
      </w:r>
      <w:r>
        <w:t xml:space="preserve">; por. </w:t>
      </w:r>
      <w:r>
        <w:rPr>
          <w:i/>
          <w:iCs/>
        </w:rPr>
        <w:t>Kuchta</w:t>
      </w:r>
      <w:r>
        <w:t>, pkt 65 i </w:t>
      </w:r>
      <w:proofErr w:type="spellStart"/>
      <w:r>
        <w:rPr>
          <w:i/>
          <w:iCs/>
        </w:rPr>
        <w:t>Prăjină</w:t>
      </w:r>
      <w:proofErr w:type="spellEnd"/>
      <w:r>
        <w:t>, pkt 56, oba cyt</w:t>
      </w:r>
      <w:r w:rsidR="000659CF">
        <w:t>.</w:t>
      </w:r>
      <w:r>
        <w:t xml:space="preserve"> pow</w:t>
      </w:r>
      <w:r w:rsidR="000659CF">
        <w:t>.</w:t>
      </w:r>
      <w:r>
        <w:t>). Wprawdzie sąd pierwszej instancji nie zadał G.</w:t>
      </w:r>
      <w:r w:rsidR="000659CF">
        <w:t xml:space="preserve"> </w:t>
      </w:r>
      <w:r>
        <w:t xml:space="preserve">C. żadnych pytań, ale do Trybunału nie należy kwestionowanie zasadności tej decyzji, zważywszy że ustalenia poczynione na podstawie </w:t>
      </w:r>
      <w:r w:rsidR="000659CF">
        <w:t xml:space="preserve">wyjaśnień </w:t>
      </w:r>
      <w:r>
        <w:t>G.</w:t>
      </w:r>
      <w:r w:rsidR="000659CF">
        <w:t xml:space="preserve"> </w:t>
      </w:r>
      <w:r>
        <w:t xml:space="preserve">C. nie wydają się arbitralne lub oczywiście </w:t>
      </w:r>
      <w:r w:rsidR="000659CF">
        <w:t xml:space="preserve">nieuzasadnione </w:t>
      </w:r>
      <w:r>
        <w:t>(</w:t>
      </w:r>
      <w:bookmarkStart w:id="13" w:name="_cl24243"/>
      <w:r>
        <w:rPr>
          <w:i/>
          <w:iCs/>
        </w:rPr>
        <w:t xml:space="preserve">De </w:t>
      </w:r>
      <w:proofErr w:type="spellStart"/>
      <w:r>
        <w:rPr>
          <w:i/>
          <w:iCs/>
        </w:rPr>
        <w:t>Tommaso</w:t>
      </w:r>
      <w:proofErr w:type="spellEnd"/>
      <w:r>
        <w:rPr>
          <w:i/>
          <w:iCs/>
        </w:rPr>
        <w:t xml:space="preserve"> przeciwko Włochom</w:t>
      </w:r>
      <w:bookmarkEnd w:id="13"/>
      <w:r>
        <w:t xml:space="preserve"> [WI], nr 43395/09, pkt 170, 23 lutego 2017 r.).</w:t>
      </w:r>
    </w:p>
    <w:p w14:paraId="47C036A3" w14:textId="13DC36B5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32</w:t>
      </w:r>
      <w:r w:rsidRPr="000B7C48">
        <w:fldChar w:fldCharType="end"/>
      </w:r>
      <w:r>
        <w:t xml:space="preserve">.  Sądy krajowe przeprowadziły szczególnie </w:t>
      </w:r>
      <w:r w:rsidR="000659CF">
        <w:t xml:space="preserve">dogłębne </w:t>
      </w:r>
      <w:r>
        <w:t>i </w:t>
      </w:r>
      <w:r w:rsidR="000659CF">
        <w:t xml:space="preserve">staranne </w:t>
      </w:r>
      <w:r>
        <w:t>badanie wiarygodności G.</w:t>
      </w:r>
      <w:r w:rsidR="000659CF">
        <w:t xml:space="preserve"> </w:t>
      </w:r>
      <w:r>
        <w:t xml:space="preserve">C. i rzetelności jego </w:t>
      </w:r>
      <w:r w:rsidR="000659CF">
        <w:t xml:space="preserve">wyjaśnień </w:t>
      </w:r>
      <w:r>
        <w:t>(zob. pkt </w:t>
      </w:r>
      <w:r w:rsidRPr="000B7C48">
        <w:fldChar w:fldCharType="begin"/>
      </w:r>
      <w:r w:rsidRPr="000B7C48">
        <w:instrText xml:space="preserve"> REF paragraph00013 \h  \* CharFormat </w:instrText>
      </w:r>
      <w:r w:rsidRPr="000B7C48">
        <w:fldChar w:fldCharType="separate"/>
      </w:r>
      <w:r w:rsidR="00412065">
        <w:t>13</w:t>
      </w:r>
      <w:r w:rsidRPr="000B7C48">
        <w:fldChar w:fldCharType="end"/>
      </w:r>
      <w:r>
        <w:t xml:space="preserve"> i </w:t>
      </w:r>
      <w:r w:rsidRPr="000B7C48">
        <w:fldChar w:fldCharType="begin"/>
      </w:r>
      <w:r w:rsidRPr="000B7C48">
        <w:instrText xml:space="preserve"> REF paragraph00017 \h  \* CharFormat </w:instrText>
      </w:r>
      <w:r w:rsidRPr="000B7C48">
        <w:fldChar w:fldCharType="separate"/>
      </w:r>
      <w:r w:rsidR="00412065">
        <w:t>18</w:t>
      </w:r>
      <w:r w:rsidRPr="000B7C48">
        <w:fldChar w:fldCharType="end"/>
      </w:r>
      <w:r>
        <w:t xml:space="preserve"> powyżej), co samo w</w:t>
      </w:r>
      <w:r w:rsidR="008C4373">
        <w:t xml:space="preserve"> </w:t>
      </w:r>
      <w:r>
        <w:t> sobie jest uważane za ważne zabezpieczenie</w:t>
      </w:r>
      <w:r w:rsidR="008C4373">
        <w:t xml:space="preserve"> </w:t>
      </w:r>
      <w:r>
        <w:rPr>
          <w:i/>
          <w:iCs/>
        </w:rPr>
        <w:t>(</w:t>
      </w:r>
      <w:proofErr w:type="spellStart"/>
      <w:r>
        <w:rPr>
          <w:i/>
          <w:iCs/>
        </w:rPr>
        <w:t>Schatschaschwili</w:t>
      </w:r>
      <w:proofErr w:type="spellEnd"/>
      <w:r>
        <w:t>, cyt. pow</w:t>
      </w:r>
      <w:r w:rsidR="008C4373">
        <w:t>.</w:t>
      </w:r>
      <w:r>
        <w:t>, pkt 126 i </w:t>
      </w:r>
      <w:r w:rsidR="008C4373">
        <w:t xml:space="preserve">przytoczone </w:t>
      </w:r>
      <w:r>
        <w:t>tam orzecznictwo).</w:t>
      </w:r>
    </w:p>
    <w:p w14:paraId="33FCD34C" w14:textId="5BA5E7EF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33</w:t>
      </w:r>
      <w:r w:rsidRPr="000B7C48">
        <w:fldChar w:fldCharType="end"/>
      </w:r>
      <w:r>
        <w:t>.  Mimo że skarżący nie był w stanie przesłuchać swojego oskarżyciela bezpośrednio w sądzie, to przedstawił własną wersję wydarzeń w celu podważenia wiarygodności G.</w:t>
      </w:r>
      <w:r w:rsidR="008C4373">
        <w:t xml:space="preserve"> </w:t>
      </w:r>
      <w:r>
        <w:t xml:space="preserve">C. Ponadto skarżący – </w:t>
      </w:r>
      <w:r w:rsidR="008C4373">
        <w:t xml:space="preserve">będąc </w:t>
      </w:r>
      <w:r>
        <w:t>w pełni świadomy</w:t>
      </w:r>
      <w:r w:rsidR="008C4373">
        <w:t>m</w:t>
      </w:r>
      <w:r>
        <w:t xml:space="preserve"> tożsamości tego ostatniego i znaczenia jego wyjaśnień od etapu postępowania przygotowawczego (zob. pkt </w:t>
      </w:r>
      <w:r w:rsidRPr="000B7C48">
        <w:fldChar w:fldCharType="begin"/>
      </w:r>
      <w:r w:rsidRPr="000B7C48">
        <w:instrText xml:space="preserve"> REF paragraph00007 \h  \* CharFormat </w:instrText>
      </w:r>
      <w:r w:rsidRPr="000B7C48">
        <w:fldChar w:fldCharType="separate"/>
      </w:r>
      <w:r w:rsidR="00412065">
        <w:t>7</w:t>
      </w:r>
      <w:r w:rsidRPr="000B7C48">
        <w:fldChar w:fldCharType="end"/>
      </w:r>
      <w:r>
        <w:t xml:space="preserve"> powyżej) – był w stanie zidentyfikować i zbadać wszelkie motywy, którymi G.</w:t>
      </w:r>
      <w:r w:rsidR="008C4373">
        <w:t xml:space="preserve"> </w:t>
      </w:r>
      <w:r>
        <w:t>C. mógł się kierować, aby kłamać, a zatem był w stanie skutecznie zakwestionować jego wiarygodność, choć w mniejszym stopniu niż w przypadku bezpośredniej konfrontacji</w:t>
      </w:r>
      <w:r w:rsidR="008C4373">
        <w:t xml:space="preserve"> </w:t>
      </w:r>
      <w:r>
        <w:rPr>
          <w:i/>
          <w:iCs/>
        </w:rPr>
        <w:t>(</w:t>
      </w:r>
      <w:proofErr w:type="spellStart"/>
      <w:r>
        <w:rPr>
          <w:i/>
          <w:iCs/>
        </w:rPr>
        <w:t>Schatschaschwili</w:t>
      </w:r>
      <w:proofErr w:type="spellEnd"/>
      <w:r>
        <w:t>, cyt. pow</w:t>
      </w:r>
      <w:r w:rsidR="008C4373">
        <w:t>.</w:t>
      </w:r>
      <w:r>
        <w:t>, pkt 131). W tym względzie Trybunał zauważa, że sądy krajowe obszernie odniosły się do wątpliwości</w:t>
      </w:r>
      <w:r w:rsidR="00471214">
        <w:t>,</w:t>
      </w:r>
      <w:r>
        <w:t xml:space="preserve"> </w:t>
      </w:r>
      <w:r w:rsidR="00471214">
        <w:t>jakie budzą zarzuty</w:t>
      </w:r>
      <w:r>
        <w:t xml:space="preserve"> </w:t>
      </w:r>
      <w:r w:rsidR="00471214">
        <w:t xml:space="preserve">skarżącego wobec </w:t>
      </w:r>
      <w:r>
        <w:t>G.</w:t>
      </w:r>
      <w:r w:rsidR="00471214">
        <w:t xml:space="preserve"> </w:t>
      </w:r>
      <w:r>
        <w:t xml:space="preserve">C. i zgodziwszy się z kwestiami podniesionymi w apelacji skarżącego, z urzędu uzupełniły materiał </w:t>
      </w:r>
      <w:r>
        <w:lastRenderedPageBreak/>
        <w:t xml:space="preserve">dowodowy w tym zakresie </w:t>
      </w:r>
      <w:r>
        <w:rPr>
          <w:i/>
          <w:iCs/>
        </w:rPr>
        <w:t xml:space="preserve">(a contrario </w:t>
      </w:r>
      <w:bookmarkStart w:id="14" w:name="_cl38119"/>
      <w:proofErr w:type="spellStart"/>
      <w:r>
        <w:rPr>
          <w:i/>
          <w:iCs/>
        </w:rPr>
        <w:t>Tseber</w:t>
      </w:r>
      <w:proofErr w:type="spellEnd"/>
      <w:r>
        <w:rPr>
          <w:i/>
          <w:iCs/>
        </w:rPr>
        <w:t xml:space="preserve"> przeciwko Republice Czeskiej</w:t>
      </w:r>
      <w:bookmarkEnd w:id="14"/>
      <w:r>
        <w:t xml:space="preserve">, nr 46203/08, pkt 63 </w:t>
      </w:r>
      <w:r>
        <w:rPr>
          <w:i/>
          <w:iCs/>
        </w:rPr>
        <w:t>in fine</w:t>
      </w:r>
      <w:r>
        <w:t>, 22 listopada 2012 r.).</w:t>
      </w:r>
    </w:p>
    <w:p w14:paraId="0542DA69" w14:textId="06BFAE2C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34</w:t>
      </w:r>
      <w:r w:rsidRPr="000B7C48">
        <w:fldChar w:fldCharType="end"/>
      </w:r>
      <w:r>
        <w:t xml:space="preserve">.  W przeciwieństwie do sprawy </w:t>
      </w:r>
      <w:proofErr w:type="spellStart"/>
      <w:r>
        <w:rPr>
          <w:i/>
          <w:iCs/>
        </w:rPr>
        <w:t>Vidgen</w:t>
      </w:r>
      <w:proofErr w:type="spellEnd"/>
      <w:r>
        <w:t xml:space="preserve"> (cyt</w:t>
      </w:r>
      <w:r w:rsidR="00471214">
        <w:t>. pow.</w:t>
      </w:r>
      <w:r>
        <w:t>) skarżący, reprezentowany przez dwóch obrońców, nie podjął żadnej próby spowodowania przesłuchania G.</w:t>
      </w:r>
      <w:r w:rsidR="00471214">
        <w:t xml:space="preserve"> </w:t>
      </w:r>
      <w:r>
        <w:t>C. przed sądem apelacyjnym.</w:t>
      </w:r>
    </w:p>
    <w:p w14:paraId="70C1B2C7" w14:textId="77777777" w:rsidR="00E001B0" w:rsidRPr="000B7C48" w:rsidRDefault="00000000" w:rsidP="000B7C48">
      <w:pPr>
        <w:pStyle w:val="JuHa0"/>
      </w:pPr>
      <w:r>
        <w:t>Wnioski</w:t>
      </w:r>
    </w:p>
    <w:p w14:paraId="51F464D1" w14:textId="6CE166A9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35</w:t>
      </w:r>
      <w:r w:rsidRPr="000B7C48">
        <w:fldChar w:fldCharType="end"/>
      </w:r>
      <w:r>
        <w:t>.  Biorąc pod uwagę rzetelność postępowania</w:t>
      </w:r>
      <w:r w:rsidR="00471214">
        <w:t xml:space="preserve"> jako</w:t>
      </w:r>
      <w:r w:rsidR="00471214" w:rsidRPr="00471214">
        <w:t xml:space="preserve"> </w:t>
      </w:r>
      <w:r w:rsidR="00471214">
        <w:t>całości</w:t>
      </w:r>
      <w:r>
        <w:t xml:space="preserve">, Trybunał uważa, że niezależnie od trudności, jakie sprawiło obronie dopuszczenie </w:t>
      </w:r>
      <w:r w:rsidR="00EB77D7">
        <w:t>przedsądowych wyjaśnień</w:t>
      </w:r>
      <w:r>
        <w:t xml:space="preserve"> G.</w:t>
      </w:r>
      <w:r w:rsidR="00E15DB0">
        <w:t xml:space="preserve"> </w:t>
      </w:r>
      <w:r>
        <w:t>C. i związanego z tym ryzyka</w:t>
      </w:r>
      <w:r w:rsidR="00EB77D7">
        <w:t>,</w:t>
      </w:r>
      <w:r>
        <w:t xml:space="preserve"> czynniki równoważące były wystarczające, aby zrekompensować dopuszczenie ich jako dowodu.</w:t>
      </w:r>
    </w:p>
    <w:p w14:paraId="27CC8EC1" w14:textId="65835CD0" w:rsidR="00E001B0" w:rsidRPr="000B7C48" w:rsidRDefault="000B7C48" w:rsidP="000B7C48">
      <w:pPr>
        <w:pStyle w:val="JuPara"/>
      </w:pPr>
      <w:r w:rsidRPr="000B7C48">
        <w:fldChar w:fldCharType="begin"/>
      </w:r>
      <w:r>
        <w:instrText xml:space="preserve"> SEQ level0 \*arabic \* MERGEFORMAT </w:instrText>
      </w:r>
      <w:r w:rsidRPr="000B7C48">
        <w:fldChar w:fldCharType="separate"/>
      </w:r>
      <w:r w:rsidR="00412065">
        <w:rPr>
          <w:noProof/>
        </w:rPr>
        <w:t>36</w:t>
      </w:r>
      <w:r w:rsidRPr="000B7C48">
        <w:fldChar w:fldCharType="end"/>
      </w:r>
      <w:r>
        <w:t>.  Wynika z tego, że skarga ta jest również niedopuszczalna na podstawie art. 35 ust. 3 lit. a jako w sposób oczywisty nieuzasadniona i musi zostać odrzucona na podstawie art. 35 ust. 4 Konwencji.</w:t>
      </w:r>
    </w:p>
    <w:p w14:paraId="6D8D3A02" w14:textId="71968E12" w:rsidR="00E001B0" w:rsidRPr="000B7C48" w:rsidRDefault="00000000" w:rsidP="000B7C48">
      <w:pPr>
        <w:pStyle w:val="JuParaLast"/>
      </w:pPr>
      <w:r>
        <w:t>Z powyższych względów</w:t>
      </w:r>
      <w:r w:rsidR="00E15DB0">
        <w:t>,</w:t>
      </w:r>
      <w:r>
        <w:t xml:space="preserve"> Trybunał</w:t>
      </w:r>
      <w:r w:rsidR="00E15DB0">
        <w:t>,</w:t>
      </w:r>
      <w:r>
        <w:t xml:space="preserve"> jednogłośnie</w:t>
      </w:r>
      <w:r w:rsidR="00E15DB0">
        <w:t>,</w:t>
      </w:r>
    </w:p>
    <w:p w14:paraId="5DF74BE5" w14:textId="77777777" w:rsidR="00E001B0" w:rsidRPr="000B7C48" w:rsidRDefault="00000000" w:rsidP="000B7C48">
      <w:pPr>
        <w:pStyle w:val="DecList"/>
      </w:pPr>
      <w:r>
        <w:rPr>
          <w:i/>
        </w:rPr>
        <w:t>uznaje</w:t>
      </w:r>
      <w:r>
        <w:t xml:space="preserve"> skargę za niedopuszczalną.</w:t>
      </w:r>
    </w:p>
    <w:p w14:paraId="7327830E" w14:textId="77777777" w:rsidR="00BD1692" w:rsidRPr="000B7C48" w:rsidRDefault="00000000" w:rsidP="000B7C48">
      <w:pPr>
        <w:pStyle w:val="JuParaLast"/>
        <w:rPr>
          <w:sz w:val="14"/>
        </w:rPr>
      </w:pPr>
      <w:r>
        <w:t>Sporządzono w języku angielskim i obwieszczono pisemnie w dniu 22 lutego 2024 r.</w:t>
      </w:r>
    </w:p>
    <w:p w14:paraId="4DDB9B62" w14:textId="77777777" w:rsidR="00BD1692" w:rsidRPr="000B7C48" w:rsidRDefault="00000000" w:rsidP="000B7C48">
      <w:pPr>
        <w:pStyle w:val="ECHRPlaceholder"/>
      </w:pPr>
      <w:r>
        <w:tab/>
      </w:r>
    </w:p>
    <w:p w14:paraId="7CE4DCA2" w14:textId="77777777" w:rsidR="002B6368" w:rsidRPr="000B7C48" w:rsidRDefault="00000000" w:rsidP="000B7C48">
      <w:pPr>
        <w:pStyle w:val="JuSigned"/>
      </w:pPr>
      <w:r>
        <w:tab/>
      </w:r>
      <w:proofErr w:type="spellStart"/>
      <w:r>
        <w:t>Attila</w:t>
      </w:r>
      <w:proofErr w:type="spellEnd"/>
      <w:r>
        <w:t xml:space="preserve"> </w:t>
      </w:r>
      <w:proofErr w:type="spellStart"/>
      <w:r>
        <w:t>Teplán</w:t>
      </w:r>
      <w:proofErr w:type="spellEnd"/>
      <w:r>
        <w:tab/>
        <w:t xml:space="preserve">Ivana </w:t>
      </w:r>
      <w:proofErr w:type="spellStart"/>
      <w:r>
        <w:t>Jelić</w:t>
      </w:r>
      <w:proofErr w:type="spellEnd"/>
      <w:r>
        <w:br/>
        <w:t>p.o. Zastępcy Kanclerza Sekcji</w:t>
      </w:r>
      <w:r>
        <w:tab/>
        <w:t>Przewodnicząca</w:t>
      </w:r>
    </w:p>
    <w:p w14:paraId="72F1317A" w14:textId="77777777" w:rsidR="00ED04C3" w:rsidRPr="000B7C48" w:rsidRDefault="00ED04C3" w:rsidP="000B7C48">
      <w:pPr>
        <w:pStyle w:val="DecHTitle"/>
      </w:pPr>
    </w:p>
    <w:p w14:paraId="1859E3CB" w14:textId="77777777" w:rsidR="00CB3BD9" w:rsidRPr="000B7C48" w:rsidRDefault="00CB3BD9" w:rsidP="000B7C48"/>
    <w:p w14:paraId="4B849F36" w14:textId="77777777" w:rsidR="00CB3BD9" w:rsidRPr="000B7C48" w:rsidRDefault="00CB3BD9" w:rsidP="000B7C48"/>
    <w:p w14:paraId="665F3781" w14:textId="77777777" w:rsidR="00CB3BD9" w:rsidRPr="000B7C48" w:rsidRDefault="00CB3BD9" w:rsidP="000B7C48"/>
    <w:p w14:paraId="6DE14B0B" w14:textId="77777777" w:rsidR="00CB3BD9" w:rsidRPr="000B7C48" w:rsidRDefault="00CB3BD9" w:rsidP="000B7C48">
      <w:pPr>
        <w:jc w:val="center"/>
      </w:pPr>
    </w:p>
    <w:sectPr w:rsidR="00CB3BD9" w:rsidRPr="000B7C48" w:rsidSect="00061B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CAA4E" w14:textId="77777777" w:rsidR="00061B65" w:rsidRDefault="00061B65">
      <w:r>
        <w:separator/>
      </w:r>
    </w:p>
  </w:endnote>
  <w:endnote w:type="continuationSeparator" w:id="0">
    <w:p w14:paraId="5E5DB2CD" w14:textId="77777777" w:rsidR="00061B65" w:rsidRDefault="0006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2A85" w14:textId="77777777" w:rsidR="001818B5" w:rsidRPr="00E001B0" w:rsidRDefault="00000000" w:rsidP="000D61E7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10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69EB1" w14:textId="77777777" w:rsidR="001818B5" w:rsidRPr="00E001B0" w:rsidRDefault="00000000" w:rsidP="000D61E7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10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BEE0" w14:textId="77777777" w:rsidR="00E001B0" w:rsidRPr="00150BFA" w:rsidRDefault="00000000" w:rsidP="0020718E">
    <w:pPr>
      <w:jc w:val="center"/>
    </w:pPr>
    <w:r>
      <w:rPr>
        <w:noProof/>
      </w:rPr>
      <w:drawing>
        <wp:inline distT="0" distB="0" distL="0" distR="0" wp14:anchorId="0D192FCA" wp14:editId="1A4B09C3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D553B2" w14:textId="77777777" w:rsidR="00F05C7B" w:rsidRPr="00E001B0" w:rsidRDefault="00F05C7B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709ED" w14:textId="77777777" w:rsidR="00061B65" w:rsidRDefault="00061B65">
      <w:r>
        <w:separator/>
      </w:r>
    </w:p>
  </w:footnote>
  <w:footnote w:type="continuationSeparator" w:id="0">
    <w:p w14:paraId="6E2EB8A4" w14:textId="77777777" w:rsidR="00061B65" w:rsidRDefault="0006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47BD3" w14:textId="77777777" w:rsidR="00F05C7B" w:rsidRPr="00E001B0" w:rsidRDefault="00000000" w:rsidP="0076040F">
    <w:pPr>
      <w:pStyle w:val="JuHeader"/>
    </w:pPr>
    <w:r>
      <w:t>DECYZJA W SPRAWIE CZERSKI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5A13C" w14:textId="77777777" w:rsidR="00F05C7B" w:rsidRPr="00E001B0" w:rsidRDefault="00000000" w:rsidP="000D61E7">
    <w:pPr>
      <w:pStyle w:val="JuHeader"/>
    </w:pPr>
    <w:r>
      <w:t>DECYZJA W SPRAWIE CZERSKI PRZECIWKO POLSCE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740DF" w14:textId="77777777" w:rsidR="00E001B0" w:rsidRPr="00A45145" w:rsidRDefault="00000000" w:rsidP="00A45145">
    <w:pPr>
      <w:jc w:val="center"/>
    </w:pPr>
    <w:r>
      <w:rPr>
        <w:noProof/>
      </w:rPr>
      <w:drawing>
        <wp:inline distT="0" distB="0" distL="0" distR="0" wp14:anchorId="29ACF9C9" wp14:editId="6BF76637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E0909D" w14:textId="77777777" w:rsidR="00F05C7B" w:rsidRPr="00E001B0" w:rsidRDefault="00F05C7B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908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6B9429C"/>
    <w:multiLevelType w:val="multilevel"/>
    <w:tmpl w:val="B7886602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0CA0A85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47FABA1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A9E2B5B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2E8530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96D04EA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FA72A72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5518EA1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2724067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13C9B1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220950467">
    <w:abstractNumId w:val="17"/>
  </w:num>
  <w:num w:numId="2" w16cid:durableId="269972149">
    <w:abstractNumId w:val="14"/>
  </w:num>
  <w:num w:numId="3" w16cid:durableId="78910044">
    <w:abstractNumId w:val="12"/>
  </w:num>
  <w:num w:numId="4" w16cid:durableId="897208059">
    <w:abstractNumId w:val="11"/>
  </w:num>
  <w:num w:numId="5" w16cid:durableId="1855068951">
    <w:abstractNumId w:val="18"/>
  </w:num>
  <w:num w:numId="6" w16cid:durableId="1431318637">
    <w:abstractNumId w:val="7"/>
  </w:num>
  <w:num w:numId="7" w16cid:durableId="245655832">
    <w:abstractNumId w:val="6"/>
  </w:num>
  <w:num w:numId="8" w16cid:durableId="1957830433">
    <w:abstractNumId w:val="5"/>
  </w:num>
  <w:num w:numId="9" w16cid:durableId="1394698497">
    <w:abstractNumId w:val="4"/>
  </w:num>
  <w:num w:numId="10" w16cid:durableId="940144768">
    <w:abstractNumId w:val="8"/>
  </w:num>
  <w:num w:numId="11" w16cid:durableId="1589578349">
    <w:abstractNumId w:val="3"/>
  </w:num>
  <w:num w:numId="12" w16cid:durableId="2002657299">
    <w:abstractNumId w:val="2"/>
  </w:num>
  <w:num w:numId="13" w16cid:durableId="2112312079">
    <w:abstractNumId w:val="1"/>
  </w:num>
  <w:num w:numId="14" w16cid:durableId="124125196">
    <w:abstractNumId w:val="0"/>
  </w:num>
  <w:num w:numId="15" w16cid:durableId="667683049">
    <w:abstractNumId w:val="15"/>
  </w:num>
  <w:num w:numId="16" w16cid:durableId="75834192">
    <w:abstractNumId w:val="13"/>
  </w:num>
  <w:num w:numId="17" w16cid:durableId="498620496">
    <w:abstractNumId w:val="16"/>
  </w:num>
  <w:num w:numId="18" w16cid:durableId="54209598">
    <w:abstractNumId w:val="15"/>
  </w:num>
  <w:num w:numId="19" w16cid:durableId="2059013616">
    <w:abstractNumId w:val="16"/>
  </w:num>
  <w:num w:numId="20" w16cid:durableId="734938996">
    <w:abstractNumId w:val="10"/>
  </w:num>
  <w:num w:numId="21" w16cid:durableId="755251864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E001B0"/>
    <w:rsid w:val="00061B65"/>
    <w:rsid w:val="000659CF"/>
    <w:rsid w:val="00095FD8"/>
    <w:rsid w:val="000B1FA9"/>
    <w:rsid w:val="000B7C48"/>
    <w:rsid w:val="000D61E7"/>
    <w:rsid w:val="000E3A89"/>
    <w:rsid w:val="00115035"/>
    <w:rsid w:val="00132029"/>
    <w:rsid w:val="00144EBC"/>
    <w:rsid w:val="00150BFA"/>
    <w:rsid w:val="001818B5"/>
    <w:rsid w:val="001D1233"/>
    <w:rsid w:val="00206A52"/>
    <w:rsid w:val="0020718E"/>
    <w:rsid w:val="00223591"/>
    <w:rsid w:val="002431F6"/>
    <w:rsid w:val="00266D72"/>
    <w:rsid w:val="002A7443"/>
    <w:rsid w:val="002B5CEC"/>
    <w:rsid w:val="002B6368"/>
    <w:rsid w:val="002D06C9"/>
    <w:rsid w:val="002E2C77"/>
    <w:rsid w:val="003B50D7"/>
    <w:rsid w:val="003E3C60"/>
    <w:rsid w:val="00412065"/>
    <w:rsid w:val="0044492F"/>
    <w:rsid w:val="00452087"/>
    <w:rsid w:val="00464268"/>
    <w:rsid w:val="00471214"/>
    <w:rsid w:val="004A4C71"/>
    <w:rsid w:val="004B4E73"/>
    <w:rsid w:val="0052644F"/>
    <w:rsid w:val="005374E6"/>
    <w:rsid w:val="00555447"/>
    <w:rsid w:val="00596C21"/>
    <w:rsid w:val="005E56C2"/>
    <w:rsid w:val="005F11CB"/>
    <w:rsid w:val="006262FA"/>
    <w:rsid w:val="006267D3"/>
    <w:rsid w:val="006300E9"/>
    <w:rsid w:val="00653EF4"/>
    <w:rsid w:val="00656B81"/>
    <w:rsid w:val="00685332"/>
    <w:rsid w:val="006D4D63"/>
    <w:rsid w:val="006E123B"/>
    <w:rsid w:val="006E537D"/>
    <w:rsid w:val="0072209C"/>
    <w:rsid w:val="00753789"/>
    <w:rsid w:val="0076040F"/>
    <w:rsid w:val="007907C0"/>
    <w:rsid w:val="007A74FC"/>
    <w:rsid w:val="007B2364"/>
    <w:rsid w:val="00810B15"/>
    <w:rsid w:val="00812D10"/>
    <w:rsid w:val="00821AD8"/>
    <w:rsid w:val="0083113B"/>
    <w:rsid w:val="00856A55"/>
    <w:rsid w:val="008C4373"/>
    <w:rsid w:val="008C63E2"/>
    <w:rsid w:val="008D10E4"/>
    <w:rsid w:val="008F0A92"/>
    <w:rsid w:val="008F7189"/>
    <w:rsid w:val="008F7F78"/>
    <w:rsid w:val="00915B89"/>
    <w:rsid w:val="00927788"/>
    <w:rsid w:val="00956B2A"/>
    <w:rsid w:val="0096293E"/>
    <w:rsid w:val="009630A6"/>
    <w:rsid w:val="009656DE"/>
    <w:rsid w:val="009B6F49"/>
    <w:rsid w:val="009C21E8"/>
    <w:rsid w:val="009E01FB"/>
    <w:rsid w:val="00A45145"/>
    <w:rsid w:val="00AA5AEE"/>
    <w:rsid w:val="00AC58E5"/>
    <w:rsid w:val="00AF5936"/>
    <w:rsid w:val="00B140D3"/>
    <w:rsid w:val="00BD1692"/>
    <w:rsid w:val="00C32016"/>
    <w:rsid w:val="00C42C12"/>
    <w:rsid w:val="00C8038F"/>
    <w:rsid w:val="00CB3BD9"/>
    <w:rsid w:val="00CE2829"/>
    <w:rsid w:val="00D27B07"/>
    <w:rsid w:val="00D3205A"/>
    <w:rsid w:val="00D415D6"/>
    <w:rsid w:val="00DB6354"/>
    <w:rsid w:val="00E001B0"/>
    <w:rsid w:val="00E15DB0"/>
    <w:rsid w:val="00E23F17"/>
    <w:rsid w:val="00E5464B"/>
    <w:rsid w:val="00E93FC7"/>
    <w:rsid w:val="00EA1004"/>
    <w:rsid w:val="00EB77D7"/>
    <w:rsid w:val="00ED04C3"/>
    <w:rsid w:val="00EE3667"/>
    <w:rsid w:val="00EE38CA"/>
    <w:rsid w:val="00F0534F"/>
    <w:rsid w:val="00F05C7B"/>
    <w:rsid w:val="00F24AB9"/>
    <w:rsid w:val="00F75F0D"/>
    <w:rsid w:val="00F85D8B"/>
    <w:rsid w:val="00F924B2"/>
    <w:rsid w:val="00F97BFE"/>
    <w:rsid w:val="00FA3768"/>
    <w:rsid w:val="00FC2655"/>
    <w:rsid w:val="00FF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F2B3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CE28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CE282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CE282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CE282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CE282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CE282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CE282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CE282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CE282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CE282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CE2829"/>
    <w:pPr>
      <w:tabs>
        <w:tab w:val="center" w:pos="1418"/>
        <w:tab w:val="center" w:pos="5954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CE2829"/>
    <w:pPr>
      <w:ind w:firstLine="284"/>
    </w:pPr>
  </w:style>
  <w:style w:type="character" w:styleId="Numerstrony">
    <w:name w:val="page number"/>
    <w:uiPriority w:val="98"/>
    <w:semiHidden/>
    <w:rsid w:val="00CE2829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CE28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CE28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CE2829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CE282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CE282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CE282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JuHeader">
    <w:name w:val="Ju_Header"/>
    <w:aliases w:val="_Header"/>
    <w:basedOn w:val="Nagwek"/>
    <w:uiPriority w:val="29"/>
    <w:qFormat/>
    <w:rsid w:val="00CE2829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Nagwek">
    <w:name w:val="header"/>
    <w:basedOn w:val="Normalny"/>
    <w:link w:val="NagwekZnak"/>
    <w:uiPriority w:val="98"/>
    <w:semiHidden/>
    <w:rsid w:val="00CE28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CE2829"/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8"/>
    <w:semiHidden/>
    <w:rsid w:val="00CE28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CE2829"/>
    <w:rPr>
      <w:rFonts w:ascii="Tahoma" w:hAnsi="Tahoma" w:cs="Tahoma"/>
      <w:sz w:val="16"/>
      <w:szCs w:val="16"/>
      <w:lang w:val="pl-PL"/>
    </w:rPr>
  </w:style>
  <w:style w:type="paragraph" w:customStyle="1" w:styleId="NormalJustified">
    <w:name w:val="Normal_Justified"/>
    <w:basedOn w:val="Normalny"/>
    <w:semiHidden/>
    <w:rsid w:val="00CE2829"/>
    <w:pPr>
      <w:jc w:val="both"/>
    </w:pPr>
  </w:style>
  <w:style w:type="paragraph" w:customStyle="1" w:styleId="JuQuot">
    <w:name w:val="Ju_Quot"/>
    <w:aliases w:val="_Quote"/>
    <w:basedOn w:val="NormalJustified"/>
    <w:uiPriority w:val="20"/>
    <w:qFormat/>
    <w:rsid w:val="00CE2829"/>
    <w:pPr>
      <w:spacing w:before="120" w:after="120"/>
      <w:ind w:left="425" w:firstLine="142"/>
    </w:pPr>
    <w:rPr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CE2829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CE2829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CE2829"/>
    <w:pPr>
      <w:numPr>
        <w:numId w:val="15"/>
      </w:numPr>
    </w:pPr>
  </w:style>
  <w:style w:type="numbering" w:customStyle="1" w:styleId="ECHRA1StyleList">
    <w:name w:val="ECHR_A1_Style_List"/>
    <w:basedOn w:val="Bezlisty"/>
    <w:uiPriority w:val="99"/>
    <w:rsid w:val="00CE2829"/>
    <w:pPr>
      <w:numPr>
        <w:numId w:val="16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CE2829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NumberedList">
    <w:name w:val="ECHR_A1_Style_Numbered_List"/>
    <w:basedOn w:val="Bezlisty"/>
    <w:rsid w:val="00CE2829"/>
    <w:pPr>
      <w:numPr>
        <w:numId w:val="17"/>
      </w:numPr>
    </w:pPr>
  </w:style>
  <w:style w:type="table" w:customStyle="1" w:styleId="ECHRHeaderTable">
    <w:name w:val="ECHR_Header_Table"/>
    <w:basedOn w:val="Standardowy"/>
    <w:uiPriority w:val="99"/>
    <w:rsid w:val="00CE2829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CE2829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paragraph" w:customStyle="1" w:styleId="JuInitialled">
    <w:name w:val="Ju_Initialled"/>
    <w:aliases w:val="_Right"/>
    <w:basedOn w:val="Normalny"/>
    <w:uiPriority w:val="30"/>
    <w:qFormat/>
    <w:rsid w:val="00CE2829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CE282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aliases w:val="_Ju_Names"/>
    <w:uiPriority w:val="33"/>
    <w:qFormat/>
    <w:rsid w:val="00CE2829"/>
    <w:rPr>
      <w:caps w:val="0"/>
      <w:smallCaps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CE2829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table" w:customStyle="1" w:styleId="ECHRTable2019">
    <w:name w:val="ECHR_Table_2019"/>
    <w:basedOn w:val="Standardowy"/>
    <w:uiPriority w:val="99"/>
    <w:rsid w:val="00CE282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CE282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CE2829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CE2829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CE2829"/>
    <w:pPr>
      <w:keepNext/>
      <w:keepLines/>
      <w:numPr>
        <w:ilvl w:val="2"/>
        <w:numId w:val="20"/>
      </w:numPr>
      <w:spacing w:before="100" w:beforeAutospacing="1" w:after="240" w:line="240" w:lineRule="auto"/>
      <w:ind w:left="510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CE2829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1">
    <w:name w:val="Ju_H_1."/>
    <w:aliases w:val="_Head_4"/>
    <w:basedOn w:val="Nagwek4"/>
    <w:next w:val="JuPara"/>
    <w:uiPriority w:val="17"/>
    <w:rsid w:val="00CE2829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CE2829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CE2829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CE2829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CE2829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CE2829"/>
    <w:rPr>
      <w:rFonts w:asciiTheme="majorHAnsi" w:eastAsiaTheme="majorEastAsia" w:hAnsiTheme="majorHAnsi" w:cstheme="majorBidi"/>
      <w:b/>
      <w:bCs/>
      <w:color w:val="808080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CE2829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CE282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CE2829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CE2829"/>
    <w:rPr>
      <w:rFonts w:asciiTheme="majorHAnsi" w:eastAsiaTheme="majorEastAsia" w:hAnsiTheme="majorHAnsi" w:cstheme="majorBidi"/>
      <w:i/>
      <w:iCs/>
      <w:lang w:val="pl-PL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CE2829"/>
    <w:pPr>
      <w:keepNext/>
      <w:keepLines/>
      <w:spacing w:before="240" w:after="240"/>
      <w:ind w:firstLine="284"/>
    </w:pPr>
  </w:style>
  <w:style w:type="table" w:customStyle="1" w:styleId="ECHRTableBoxHeader">
    <w:name w:val="ECHR_Table_Box_Header"/>
    <w:basedOn w:val="Standardowy"/>
    <w:rsid w:val="00CE2829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customStyle="1" w:styleId="JuJudges">
    <w:name w:val="Ju_Judges"/>
    <w:aliases w:val="_Judges"/>
    <w:basedOn w:val="Normalny"/>
    <w:uiPriority w:val="32"/>
    <w:qFormat/>
    <w:rsid w:val="00CE2829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CE2829"/>
    <w:pPr>
      <w:numPr>
        <w:numId w:val="2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CE2829"/>
    <w:pPr>
      <w:numPr>
        <w:ilvl w:val="1"/>
        <w:numId w:val="21"/>
      </w:numPr>
    </w:pPr>
  </w:style>
  <w:style w:type="paragraph" w:customStyle="1" w:styleId="JuListi">
    <w:name w:val="Ju_List_i"/>
    <w:aliases w:val="_List_3"/>
    <w:basedOn w:val="NormalJustified"/>
    <w:uiPriority w:val="23"/>
    <w:rsid w:val="00CE2829"/>
    <w:pPr>
      <w:numPr>
        <w:ilvl w:val="2"/>
        <w:numId w:val="21"/>
      </w:numPr>
    </w:pPr>
  </w:style>
  <w:style w:type="table" w:customStyle="1" w:styleId="ECHRTableFax">
    <w:name w:val="ECHR_Table_Fax"/>
    <w:basedOn w:val="Standardowy"/>
    <w:uiPriority w:val="99"/>
    <w:rsid w:val="00CE2829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CE2829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CE282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CE2829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CE2829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CE282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CE2829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CE282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CE2829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character" w:styleId="Pogrubienie">
    <w:name w:val="Strong"/>
    <w:uiPriority w:val="98"/>
    <w:semiHidden/>
    <w:qFormat/>
    <w:rsid w:val="00CE2829"/>
    <w:rPr>
      <w:b/>
      <w:bCs/>
    </w:rPr>
  </w:style>
  <w:style w:type="character" w:styleId="Uwydatnienie">
    <w:name w:val="Emphasis"/>
    <w:uiPriority w:val="98"/>
    <w:semiHidden/>
    <w:qFormat/>
    <w:rsid w:val="00CE282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CE2829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CE2829"/>
    <w:rPr>
      <w:sz w:val="24"/>
      <w:szCs w:val="24"/>
      <w:lang w:val="pl-PL"/>
    </w:rPr>
  </w:style>
  <w:style w:type="paragraph" w:styleId="Akapitzlist">
    <w:name w:val="List Paragraph"/>
    <w:basedOn w:val="Normalny"/>
    <w:uiPriority w:val="98"/>
    <w:semiHidden/>
    <w:qFormat/>
    <w:rsid w:val="00CE2829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CE2829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CE2829"/>
    <w:rPr>
      <w:i/>
      <w:iCs/>
      <w:sz w:val="24"/>
      <w:szCs w:val="24"/>
      <w:lang w:val="pl-PL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CE282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CE2829"/>
    <w:rPr>
      <w:b/>
      <w:bCs/>
      <w:i/>
      <w:iCs/>
      <w:sz w:val="24"/>
      <w:szCs w:val="24"/>
      <w:lang w:val="pl-PL" w:bidi="en-US"/>
    </w:rPr>
  </w:style>
  <w:style w:type="character" w:styleId="Wyrnieniedelikatne">
    <w:name w:val="Subtle Emphasis"/>
    <w:uiPriority w:val="98"/>
    <w:semiHidden/>
    <w:qFormat/>
    <w:rsid w:val="00CE2829"/>
    <w:rPr>
      <w:i/>
      <w:iCs/>
    </w:rPr>
  </w:style>
  <w:style w:type="character" w:styleId="Wyrnienieintensywne">
    <w:name w:val="Intense Emphasis"/>
    <w:uiPriority w:val="98"/>
    <w:semiHidden/>
    <w:qFormat/>
    <w:rsid w:val="00CE2829"/>
    <w:rPr>
      <w:b/>
      <w:bCs/>
    </w:rPr>
  </w:style>
  <w:style w:type="character" w:styleId="Odwoaniedelikatne">
    <w:name w:val="Subtle Reference"/>
    <w:uiPriority w:val="98"/>
    <w:semiHidden/>
    <w:qFormat/>
    <w:rsid w:val="00CE2829"/>
    <w:rPr>
      <w:smallCaps/>
    </w:rPr>
  </w:style>
  <w:style w:type="character" w:styleId="Odwoanieintensywne">
    <w:name w:val="Intense Reference"/>
    <w:uiPriority w:val="98"/>
    <w:semiHidden/>
    <w:qFormat/>
    <w:rsid w:val="00CE2829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CE2829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CE28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CE2829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CE2829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unhideWhenUsed/>
    <w:rsid w:val="00CE2829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8"/>
    <w:semiHidden/>
    <w:rsid w:val="00CE2829"/>
  </w:style>
  <w:style w:type="paragraph" w:styleId="Tekstblokowy">
    <w:name w:val="Block Text"/>
    <w:basedOn w:val="Normalny"/>
    <w:uiPriority w:val="98"/>
    <w:semiHidden/>
    <w:rsid w:val="00CE282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CE28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CE2829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CE282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CE2829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CE282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CE2829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CE282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CE2829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CE282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CE2829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CE282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CE2829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CE282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CE2829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CE282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CE2829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CE282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CE282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CE2829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CE28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CE2829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CE282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CE2829"/>
  </w:style>
  <w:style w:type="character" w:customStyle="1" w:styleId="DataZnak">
    <w:name w:val="Data Znak"/>
    <w:basedOn w:val="Domylnaczcionkaakapitu"/>
    <w:link w:val="Data"/>
    <w:uiPriority w:val="98"/>
    <w:semiHidden/>
    <w:rsid w:val="00CE2829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CE282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CE2829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CE2829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CE2829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CE282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CE282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CE2829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CE282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CE282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CE2829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CE2829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CE282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CE2829"/>
    <w:rPr>
      <w:sz w:val="20"/>
      <w:szCs w:val="20"/>
      <w:lang w:val="pl-PL"/>
    </w:rPr>
  </w:style>
  <w:style w:type="character" w:styleId="HTML-akronim">
    <w:name w:val="HTML Acronym"/>
    <w:basedOn w:val="Domylnaczcionkaakapitu"/>
    <w:uiPriority w:val="98"/>
    <w:semiHidden/>
    <w:rsid w:val="00CE2829"/>
  </w:style>
  <w:style w:type="paragraph" w:styleId="HTML-adres">
    <w:name w:val="HTML Address"/>
    <w:basedOn w:val="Normalny"/>
    <w:link w:val="HTML-adresZnak"/>
    <w:uiPriority w:val="98"/>
    <w:semiHidden/>
    <w:rsid w:val="00CE282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CE2829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CE2829"/>
    <w:rPr>
      <w:i/>
      <w:iCs/>
    </w:rPr>
  </w:style>
  <w:style w:type="character" w:styleId="HTML-kod">
    <w:name w:val="HTML Code"/>
    <w:basedOn w:val="Domylnaczcionkaakapitu"/>
    <w:uiPriority w:val="98"/>
    <w:semiHidden/>
    <w:rsid w:val="00CE282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CE2829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CE282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CE282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CE2829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CE282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CE282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CE2829"/>
    <w:rPr>
      <w:i/>
      <w:iCs/>
    </w:rPr>
  </w:style>
  <w:style w:type="character" w:styleId="Hipercze">
    <w:name w:val="Hyperlink"/>
    <w:basedOn w:val="Domylnaczcionkaakapitu"/>
    <w:uiPriority w:val="98"/>
    <w:semiHidden/>
    <w:rsid w:val="00CE2829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CE282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CE282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CE282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CE282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CE282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CE282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CE282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CE282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CE2829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CE282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CE282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CE282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CE282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CE2829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CE282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CE282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CE282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CE2829"/>
  </w:style>
  <w:style w:type="paragraph" w:styleId="Lista">
    <w:name w:val="List"/>
    <w:basedOn w:val="Normalny"/>
    <w:uiPriority w:val="98"/>
    <w:semiHidden/>
    <w:rsid w:val="00CE2829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CE2829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CE2829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CE2829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CE2829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CE2829"/>
    <w:pPr>
      <w:numPr>
        <w:numId w:val="5"/>
      </w:numPr>
    </w:pPr>
  </w:style>
  <w:style w:type="paragraph" w:styleId="Listapunktowana2">
    <w:name w:val="List Bullet 2"/>
    <w:basedOn w:val="Normalny"/>
    <w:uiPriority w:val="98"/>
    <w:semiHidden/>
    <w:rsid w:val="00CE2829"/>
    <w:pPr>
      <w:numPr>
        <w:numId w:val="6"/>
      </w:numPr>
      <w:contextualSpacing/>
    </w:pPr>
  </w:style>
  <w:style w:type="paragraph" w:styleId="Listapunktowana3">
    <w:name w:val="List Bullet 3"/>
    <w:basedOn w:val="Normalny"/>
    <w:uiPriority w:val="98"/>
    <w:semiHidden/>
    <w:rsid w:val="00CE2829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CE2829"/>
    <w:pPr>
      <w:numPr>
        <w:numId w:val="8"/>
      </w:numPr>
      <w:contextualSpacing/>
    </w:pPr>
  </w:style>
  <w:style w:type="paragraph" w:styleId="Listapunktowana5">
    <w:name w:val="List Bullet 5"/>
    <w:basedOn w:val="Normalny"/>
    <w:uiPriority w:val="98"/>
    <w:semiHidden/>
    <w:rsid w:val="00CE2829"/>
    <w:pPr>
      <w:numPr>
        <w:numId w:val="9"/>
      </w:numPr>
      <w:contextualSpacing/>
    </w:pPr>
  </w:style>
  <w:style w:type="paragraph" w:styleId="Lista-kontynuacja">
    <w:name w:val="List Continue"/>
    <w:basedOn w:val="Normalny"/>
    <w:uiPriority w:val="98"/>
    <w:semiHidden/>
    <w:rsid w:val="00CE282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CE282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CE282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CE282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CE282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CE2829"/>
    <w:pPr>
      <w:numPr>
        <w:numId w:val="10"/>
      </w:numPr>
      <w:contextualSpacing/>
    </w:pPr>
  </w:style>
  <w:style w:type="paragraph" w:styleId="Listanumerowana2">
    <w:name w:val="List Number 2"/>
    <w:basedOn w:val="Normalny"/>
    <w:uiPriority w:val="98"/>
    <w:semiHidden/>
    <w:rsid w:val="00CE2829"/>
    <w:pPr>
      <w:numPr>
        <w:numId w:val="11"/>
      </w:numPr>
      <w:contextualSpacing/>
    </w:pPr>
  </w:style>
  <w:style w:type="paragraph" w:styleId="Listanumerowana3">
    <w:name w:val="List Number 3"/>
    <w:basedOn w:val="Normalny"/>
    <w:uiPriority w:val="98"/>
    <w:semiHidden/>
    <w:rsid w:val="00CE2829"/>
    <w:pPr>
      <w:numPr>
        <w:numId w:val="12"/>
      </w:numPr>
      <w:contextualSpacing/>
    </w:pPr>
  </w:style>
  <w:style w:type="paragraph" w:styleId="Listanumerowana4">
    <w:name w:val="List Number 4"/>
    <w:basedOn w:val="Normalny"/>
    <w:uiPriority w:val="98"/>
    <w:semiHidden/>
    <w:rsid w:val="00CE2829"/>
    <w:pPr>
      <w:numPr>
        <w:numId w:val="13"/>
      </w:numPr>
      <w:contextualSpacing/>
    </w:pPr>
  </w:style>
  <w:style w:type="paragraph" w:styleId="Listanumerowana5">
    <w:name w:val="List Number 5"/>
    <w:basedOn w:val="Normalny"/>
    <w:uiPriority w:val="98"/>
    <w:semiHidden/>
    <w:rsid w:val="00CE2829"/>
    <w:pPr>
      <w:numPr>
        <w:numId w:val="14"/>
      </w:numPr>
      <w:contextualSpacing/>
    </w:pPr>
  </w:style>
  <w:style w:type="paragraph" w:styleId="Tekstmakra">
    <w:name w:val="macro"/>
    <w:link w:val="TekstmakraZnak"/>
    <w:uiPriority w:val="98"/>
    <w:semiHidden/>
    <w:rsid w:val="00CE282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CE282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CE282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CE282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CE282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CE282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CE2829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CE2829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CE2829"/>
    <w:pPr>
      <w:ind w:left="720"/>
    </w:pPr>
  </w:style>
  <w:style w:type="table" w:customStyle="1" w:styleId="ECHRTableNoLines">
    <w:name w:val="ECHR_Table_No_Lines"/>
    <w:basedOn w:val="Standardowy"/>
    <w:uiPriority w:val="99"/>
    <w:rsid w:val="00CE282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CE2829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8"/>
    <w:semiHidden/>
    <w:rsid w:val="00CE282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CE282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CE2829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CE2829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CE2829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CE282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CE2829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CE282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CE282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CE282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CE282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CE282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CE282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CE282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CE2829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CE2829"/>
  </w:style>
  <w:style w:type="table" w:styleId="Tabela-Profesjonalny">
    <w:name w:val="Table Professional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CE282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CE282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CE282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CE282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CE282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CE282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CE282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CE282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CE282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CE282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CE2829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0D61E7"/>
    <w:rPr>
      <w:sz w:val="8"/>
    </w:rPr>
  </w:style>
  <w:style w:type="paragraph" w:styleId="Stopka">
    <w:name w:val="footer"/>
    <w:basedOn w:val="Normalny"/>
    <w:link w:val="StopkaZnak"/>
    <w:uiPriority w:val="98"/>
    <w:semiHidden/>
    <w:rsid w:val="00CE2829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CE2829"/>
    <w:rPr>
      <w:sz w:val="24"/>
      <w:szCs w:val="24"/>
      <w:lang w:val="pl-PL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CE282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CE2829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CE2829"/>
    <w:pPr>
      <w:ind w:firstLine="284"/>
    </w:pPr>
    <w:rPr>
      <w:b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CE2829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CE2829"/>
    <w:rPr>
      <w:sz w:val="24"/>
      <w:szCs w:val="24"/>
      <w:lang w:val="pl-PL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CE2829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CE2829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CE282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CE282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CE282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CE282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CE282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CE282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CE2829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CE282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CE282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CE2829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CE2829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CE2829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CE2829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CE282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CE2829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CE2829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CE2829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CE2829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CE2829"/>
    <w:pPr>
      <w:numPr>
        <w:numId w:val="0"/>
      </w:numPr>
      <w:ind w:left="284"/>
    </w:pPr>
  </w:style>
  <w:style w:type="table" w:customStyle="1" w:styleId="ECHRTable">
    <w:name w:val="ECHR_Table"/>
    <w:basedOn w:val="Standardowy"/>
    <w:rsid w:val="00CE2829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2">
    <w:name w:val="ECHR_Table_2"/>
    <w:basedOn w:val="Standardowy"/>
    <w:uiPriority w:val="99"/>
    <w:rsid w:val="00CE282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CE282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CE2829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CE2829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CE2829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CE28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CE28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CE282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CE2829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CE2829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CE2829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CE2829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UGTable">
    <w:name w:val="UG_Table"/>
    <w:aliases w:val="ECHR_UG_Table"/>
    <w:basedOn w:val="Standardowy"/>
    <w:uiPriority w:val="99"/>
    <w:rsid w:val="00CE2829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CE2829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laceholder">
    <w:name w:val="ECHR_Placeholder"/>
    <w:aliases w:val="_Placeholder"/>
    <w:basedOn w:val="JuSigned"/>
    <w:uiPriority w:val="31"/>
    <w:rsid w:val="00CE2829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CE2829"/>
    <w:rPr>
      <w:sz w:val="4"/>
    </w:rPr>
  </w:style>
  <w:style w:type="table" w:customStyle="1" w:styleId="ECHRTableGrey">
    <w:name w:val="ECHR_Table_Grey"/>
    <w:basedOn w:val="Standardowy"/>
    <w:uiPriority w:val="99"/>
    <w:rsid w:val="00CE2829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CE2829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2829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E001B0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CE2829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CE2829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CE282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CE282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CE282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CE282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CE282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CE282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CE282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CE282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CE282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CE282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CE282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CE282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CE282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CE282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CE282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CE2829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CE282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CE2829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CE2829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CE282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CE2829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CE282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CE282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CE282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CE2829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CE282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CE282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CE282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CE282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CE2829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CE2829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CE2829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CE2829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CE2829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CE2829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CE2829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CE282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CE282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CE282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CE282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CE282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CE2829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CE2829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CE282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5554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D660E-415E-4998-9B61-2168D431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2546</Words>
  <Characters>15281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2024-04-15T10:53:00Z</dcterms:created>
  <dcterms:modified xsi:type="dcterms:W3CDTF">2024-04-16T14:05:00Z</dcterms:modified>
  <cp:category/>
</cp:coreProperties>
</file>