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2772E" w14:textId="77777777" w:rsidR="006478D0" w:rsidRPr="004B0C8D" w:rsidRDefault="006478D0" w:rsidP="009D0429">
      <w:pPr>
        <w:jc w:val="center"/>
        <w:rPr>
          <w:rFonts w:ascii="Times New Roman" w:hAnsi="Times New Roman" w:cs="Times New Roman"/>
        </w:rPr>
      </w:pPr>
    </w:p>
    <w:p w14:paraId="6C62C77F" w14:textId="77777777" w:rsidR="0098410D" w:rsidRPr="004B0C8D" w:rsidRDefault="0098410D" w:rsidP="009D0429">
      <w:pPr>
        <w:jc w:val="center"/>
      </w:pPr>
    </w:p>
    <w:p w14:paraId="248C3E49" w14:textId="77777777" w:rsidR="0098410D" w:rsidRPr="004B0C8D" w:rsidRDefault="00000000" w:rsidP="009D0429">
      <w:pPr>
        <w:pStyle w:val="DecHTitle"/>
      </w:pPr>
      <w:r w:rsidRPr="004B0C8D">
        <w:t>SEKCJA PIERWSZA</w:t>
      </w:r>
    </w:p>
    <w:p w14:paraId="333E46C5" w14:textId="77777777" w:rsidR="008E6217" w:rsidRPr="004B0C8D" w:rsidRDefault="00000000" w:rsidP="009D0429">
      <w:pPr>
        <w:pStyle w:val="JuTitle"/>
      </w:pPr>
      <w:r w:rsidRPr="004B0C8D">
        <w:rPr>
          <w:color w:val="000000" w:themeColor="text1"/>
        </w:rPr>
        <w:t>SPRAWA KACZMAREK</w:t>
      </w:r>
      <w:r w:rsidRPr="004B0C8D">
        <w:t xml:space="preserve"> PRZECIWKO POLSCE</w:t>
      </w:r>
    </w:p>
    <w:p w14:paraId="772DBBA5" w14:textId="77777777" w:rsidR="00D74888" w:rsidRPr="004B0C8D" w:rsidRDefault="00000000" w:rsidP="009D0429">
      <w:pPr>
        <w:pStyle w:val="ECHRCoverTitle4"/>
      </w:pPr>
      <w:r w:rsidRPr="004B0C8D">
        <w:t>(Skarga nr 16974/14)</w:t>
      </w:r>
    </w:p>
    <w:p w14:paraId="30849F1B" w14:textId="77777777" w:rsidR="0098410D" w:rsidRPr="004B0C8D" w:rsidRDefault="0098410D" w:rsidP="009D0429">
      <w:pPr>
        <w:pStyle w:val="DecHCase"/>
      </w:pPr>
    </w:p>
    <w:p w14:paraId="6AD89384" w14:textId="77777777" w:rsidR="00AC4CD4" w:rsidRPr="004B0C8D" w:rsidRDefault="00AC4CD4" w:rsidP="009D0429">
      <w:pPr>
        <w:pStyle w:val="DecHCase"/>
      </w:pPr>
    </w:p>
    <w:p w14:paraId="11A01E73" w14:textId="77777777" w:rsidR="0098410D" w:rsidRPr="004B0C8D" w:rsidRDefault="0098410D" w:rsidP="009D0429">
      <w:pPr>
        <w:pStyle w:val="DecHCase"/>
      </w:pPr>
    </w:p>
    <w:p w14:paraId="46BCE00B" w14:textId="77777777" w:rsidR="0098410D" w:rsidRPr="004B0C8D" w:rsidRDefault="00000000" w:rsidP="009D0429">
      <w:pPr>
        <w:pStyle w:val="DecHCase"/>
      </w:pPr>
      <w:r w:rsidRPr="004B0C8D">
        <w:t>WYROK</w:t>
      </w:r>
      <w:r w:rsidRPr="004B0C8D">
        <w:br/>
      </w:r>
    </w:p>
    <w:p w14:paraId="56EBDDA9" w14:textId="3C2C5413" w:rsidR="00BB1BA7" w:rsidRPr="004B0C8D" w:rsidRDefault="00000000" w:rsidP="009D0429">
      <w:pPr>
        <w:pStyle w:val="JuPara"/>
        <w:pBdr>
          <w:top w:val="single" w:sz="4" w:space="1" w:color="auto"/>
          <w:left w:val="single" w:sz="4" w:space="4" w:color="auto"/>
          <w:bottom w:val="single" w:sz="4" w:space="1" w:color="auto"/>
          <w:right w:val="single" w:sz="4" w:space="4" w:color="auto"/>
        </w:pBdr>
        <w:ind w:firstLine="0"/>
      </w:pPr>
      <w:r w:rsidRPr="004B0C8D">
        <w:t>Art. 8</w:t>
      </w:r>
      <w:r w:rsidR="004B0C8D" w:rsidRPr="009D0429">
        <w:t xml:space="preserve"> • </w:t>
      </w:r>
      <w:r w:rsidRPr="004B0C8D">
        <w:t>Życie prywatne</w:t>
      </w:r>
      <w:r w:rsidR="004B0C8D" w:rsidRPr="009D0429">
        <w:t xml:space="preserve"> • </w:t>
      </w:r>
      <w:r w:rsidRPr="004B0C8D">
        <w:t>Korespondencja</w:t>
      </w:r>
      <w:r w:rsidR="004B0C8D" w:rsidRPr="009D0429">
        <w:t xml:space="preserve"> • </w:t>
      </w:r>
      <w:r w:rsidRPr="004B0C8D">
        <w:t xml:space="preserve">Ujawnienie nagrania rozmowy telefonicznej skarżącej podczas konferencji prasowej oraz </w:t>
      </w:r>
      <w:r w:rsidR="00C84581">
        <w:t>zatrzymanie i </w:t>
      </w:r>
      <w:r w:rsidRPr="004B0C8D">
        <w:t xml:space="preserve">przechowywanie danych uzyskanych podczas tajnej operacji </w:t>
      </w:r>
      <w:r w:rsidR="0052083C">
        <w:t>podsłuchu</w:t>
      </w:r>
      <w:r w:rsidRPr="004B0C8D">
        <w:t xml:space="preserve">, której </w:t>
      </w:r>
      <w:r w:rsidR="00B70E72">
        <w:t>nie była ona obiektem</w:t>
      </w:r>
      <w:r w:rsidR="004B0C8D" w:rsidRPr="009D0429">
        <w:t xml:space="preserve"> • </w:t>
      </w:r>
      <w:r w:rsidRPr="004B0C8D">
        <w:t>Ingerencje, które nie były „</w:t>
      </w:r>
      <w:r w:rsidR="00BA4190">
        <w:t>przewidziane prze</w:t>
      </w:r>
      <w:r w:rsidR="00B44E89">
        <w:t>z</w:t>
      </w:r>
      <w:r w:rsidR="00BA4190">
        <w:t xml:space="preserve"> ustawę</w:t>
      </w:r>
      <w:r w:rsidRPr="004B0C8D">
        <w:t>”</w:t>
      </w:r>
    </w:p>
    <w:p w14:paraId="31A38A2A" w14:textId="77777777" w:rsidR="00BB1BA7" w:rsidRPr="004B0C8D" w:rsidRDefault="00BB1BA7" w:rsidP="009D0429">
      <w:pPr>
        <w:pStyle w:val="JuPara"/>
        <w:pBdr>
          <w:top w:val="single" w:sz="4" w:space="1" w:color="auto"/>
          <w:left w:val="single" w:sz="4" w:space="4" w:color="auto"/>
          <w:bottom w:val="single" w:sz="4" w:space="1" w:color="auto"/>
          <w:right w:val="single" w:sz="4" w:space="4" w:color="auto"/>
        </w:pBdr>
      </w:pPr>
    </w:p>
    <w:p w14:paraId="69F84B11" w14:textId="77777777" w:rsidR="00BB1BA7" w:rsidRPr="004B0C8D" w:rsidRDefault="00000000" w:rsidP="009D0429">
      <w:pPr>
        <w:pStyle w:val="JuPara"/>
        <w:pBdr>
          <w:top w:val="single" w:sz="4" w:space="1" w:color="auto"/>
          <w:left w:val="single" w:sz="4" w:space="4" w:color="auto"/>
          <w:bottom w:val="single" w:sz="4" w:space="1" w:color="auto"/>
          <w:right w:val="single" w:sz="4" w:space="4" w:color="auto"/>
        </w:pBdr>
        <w:jc w:val="center"/>
      </w:pPr>
      <w:r w:rsidRPr="004B0C8D">
        <w:rPr>
          <w:rFonts w:ascii="Times New Roman" w:hAnsi="Times New Roman"/>
          <w:color w:val="000000"/>
          <w:sz w:val="20"/>
          <w:szCs w:val="20"/>
        </w:rPr>
        <w:t>Przygotowała Kancelaria. Nie wiąże Trybunału.</w:t>
      </w:r>
    </w:p>
    <w:p w14:paraId="7564B4E6" w14:textId="77777777" w:rsidR="00BB1BA7" w:rsidRPr="004B0C8D" w:rsidRDefault="00BB1BA7" w:rsidP="009D0429">
      <w:pPr>
        <w:pStyle w:val="DecHCase"/>
        <w:keepNext w:val="0"/>
        <w:keepLines w:val="0"/>
      </w:pPr>
    </w:p>
    <w:p w14:paraId="337CC0B6" w14:textId="77777777" w:rsidR="0098410D" w:rsidRPr="004B0C8D" w:rsidRDefault="00000000" w:rsidP="009D0429">
      <w:pPr>
        <w:pStyle w:val="DecHCase"/>
      </w:pPr>
      <w:r w:rsidRPr="004B0C8D">
        <w:t>STRASBURG</w:t>
      </w:r>
    </w:p>
    <w:p w14:paraId="53F9C1FC" w14:textId="77777777" w:rsidR="0098410D" w:rsidRPr="004B0C8D" w:rsidRDefault="00000000" w:rsidP="009D0429">
      <w:pPr>
        <w:pStyle w:val="DecHCase"/>
      </w:pPr>
      <w:r w:rsidRPr="004B0C8D">
        <w:rPr>
          <w:rFonts w:ascii="Times New Roman" w:hAnsi="Times New Roman"/>
        </w:rPr>
        <w:t>22 lutego 2024 r.</w:t>
      </w:r>
    </w:p>
    <w:p w14:paraId="2F93BF68" w14:textId="77777777" w:rsidR="00B422B4" w:rsidRPr="004B0C8D" w:rsidRDefault="00B422B4" w:rsidP="009D0429">
      <w:pPr>
        <w:pStyle w:val="JuPara"/>
      </w:pPr>
    </w:p>
    <w:p w14:paraId="5222D0F9" w14:textId="77777777" w:rsidR="00BB1BA7" w:rsidRPr="004B0C8D" w:rsidRDefault="00BB1BA7" w:rsidP="009D0429">
      <w:pPr>
        <w:pStyle w:val="JuPara"/>
      </w:pPr>
    </w:p>
    <w:p w14:paraId="4E3F351E" w14:textId="77777777" w:rsidR="00B422B4" w:rsidRPr="004B0C8D" w:rsidRDefault="00B422B4" w:rsidP="00017FCA">
      <w:pPr>
        <w:pStyle w:val="JuPara"/>
        <w:ind w:firstLine="0"/>
      </w:pPr>
    </w:p>
    <w:p w14:paraId="69E5AC3E" w14:textId="0BA23732" w:rsidR="002422B6" w:rsidRPr="004B0C8D" w:rsidRDefault="00000000" w:rsidP="009D0429">
      <w:pPr>
        <w:rPr>
          <w:i/>
          <w:sz w:val="22"/>
        </w:rPr>
      </w:pPr>
      <w:r w:rsidRPr="004B0C8D">
        <w:rPr>
          <w:i/>
          <w:sz w:val="22"/>
        </w:rPr>
        <w:t xml:space="preserve">Wyrok ten stanie się ostateczny na zasadach określonych w art. 44 ust. 2 Konwencji. </w:t>
      </w:r>
      <w:r w:rsidR="00A62D89">
        <w:rPr>
          <w:i/>
          <w:sz w:val="22"/>
        </w:rPr>
        <w:t>M</w:t>
      </w:r>
      <w:r w:rsidRPr="004B0C8D">
        <w:rPr>
          <w:i/>
          <w:sz w:val="22"/>
        </w:rPr>
        <w:t>oże podlegać korekcie wydawniczej.</w:t>
      </w:r>
    </w:p>
    <w:p w14:paraId="2B0DB964" w14:textId="77777777" w:rsidR="0098410D" w:rsidRPr="004B0C8D" w:rsidRDefault="0098410D" w:rsidP="009D0429">
      <w:pPr>
        <w:sectPr w:rsidR="0098410D" w:rsidRPr="004B0C8D" w:rsidSect="00DD78A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88DF643" w14:textId="77777777" w:rsidR="0098410D" w:rsidRPr="004B0C8D" w:rsidRDefault="00000000" w:rsidP="009D0429">
      <w:pPr>
        <w:pStyle w:val="JuCase"/>
      </w:pPr>
      <w:r w:rsidRPr="004B0C8D">
        <w:lastRenderedPageBreak/>
        <w:t>W sprawie Kaczmarek przeciwko Polsce</w:t>
      </w:r>
    </w:p>
    <w:p w14:paraId="092D4661" w14:textId="77777777" w:rsidR="009F4C8F" w:rsidRPr="004B0C8D" w:rsidRDefault="00000000" w:rsidP="009D0429">
      <w:pPr>
        <w:pStyle w:val="JuPara"/>
      </w:pPr>
      <w:r w:rsidRPr="004B0C8D">
        <w:t>Europejski Trybunał Praw Człowieka (Sekcja Pierwsza), zasiadając jako Izba w składzie:</w:t>
      </w:r>
    </w:p>
    <w:p w14:paraId="28F1A924" w14:textId="5E044965" w:rsidR="00A92625" w:rsidRPr="004B0C8D" w:rsidRDefault="007275A5" w:rsidP="009D0429">
      <w:pPr>
        <w:pStyle w:val="JuJudges"/>
      </w:pPr>
      <w:r>
        <w:tab/>
      </w:r>
      <w:r w:rsidRPr="009D0429">
        <w:t xml:space="preserve">Marko </w:t>
      </w:r>
      <w:proofErr w:type="spellStart"/>
      <w:r w:rsidRPr="009D0429">
        <w:t>Bošnjak</w:t>
      </w:r>
      <w:proofErr w:type="spellEnd"/>
      <w:r w:rsidRPr="009D0429">
        <w:rPr>
          <w:i/>
        </w:rPr>
        <w:t xml:space="preserve">, </w:t>
      </w:r>
      <w:r w:rsidR="00A62D89">
        <w:rPr>
          <w:i/>
        </w:rPr>
        <w:t>P</w:t>
      </w:r>
      <w:r>
        <w:rPr>
          <w:i/>
        </w:rPr>
        <w:t>rzewodniczący</w:t>
      </w:r>
      <w:r w:rsidRPr="009D0429">
        <w:t>,</w:t>
      </w:r>
      <w:r w:rsidRPr="009D0429">
        <w:br/>
      </w:r>
      <w:r w:rsidRPr="009D0429">
        <w:tab/>
        <w:t xml:space="preserve">Alena </w:t>
      </w:r>
      <w:proofErr w:type="spellStart"/>
      <w:r w:rsidRPr="009D0429">
        <w:t>Poláčková</w:t>
      </w:r>
      <w:proofErr w:type="spellEnd"/>
      <w:r w:rsidRPr="009D0429">
        <w:t>,</w:t>
      </w:r>
      <w:r w:rsidRPr="009D0429">
        <w:br/>
      </w:r>
      <w:r w:rsidRPr="009D0429">
        <w:tab/>
        <w:t xml:space="preserve">Krzysztof </w:t>
      </w:r>
      <w:proofErr w:type="spellStart"/>
      <w:r w:rsidRPr="009D0429">
        <w:t>Wojtyczek</w:t>
      </w:r>
      <w:proofErr w:type="spellEnd"/>
      <w:r w:rsidRPr="009D0429">
        <w:t>,</w:t>
      </w:r>
      <w:r w:rsidRPr="009D0429">
        <w:br/>
      </w:r>
      <w:r w:rsidRPr="009D0429">
        <w:tab/>
      </w:r>
      <w:proofErr w:type="spellStart"/>
      <w:r w:rsidRPr="009D0429">
        <w:t>Lətif</w:t>
      </w:r>
      <w:proofErr w:type="spellEnd"/>
      <w:r w:rsidRPr="009D0429">
        <w:t xml:space="preserve"> </w:t>
      </w:r>
      <w:proofErr w:type="spellStart"/>
      <w:r w:rsidRPr="009D0429">
        <w:t>Hüseynov</w:t>
      </w:r>
      <w:proofErr w:type="spellEnd"/>
      <w:r w:rsidRPr="009D0429">
        <w:t>,</w:t>
      </w:r>
      <w:r w:rsidRPr="009D0429">
        <w:br/>
      </w:r>
      <w:r w:rsidRPr="009D0429">
        <w:tab/>
      </w:r>
      <w:proofErr w:type="spellStart"/>
      <w:r w:rsidRPr="009D0429">
        <w:t>Péter</w:t>
      </w:r>
      <w:proofErr w:type="spellEnd"/>
      <w:r w:rsidRPr="009D0429">
        <w:t xml:space="preserve"> </w:t>
      </w:r>
      <w:proofErr w:type="spellStart"/>
      <w:r w:rsidRPr="009D0429">
        <w:t>Paczolay</w:t>
      </w:r>
      <w:proofErr w:type="spellEnd"/>
      <w:r w:rsidRPr="009D0429">
        <w:t>,</w:t>
      </w:r>
      <w:r w:rsidRPr="009D0429">
        <w:br/>
      </w:r>
      <w:r w:rsidRPr="009D0429">
        <w:tab/>
        <w:t xml:space="preserve">Ivana </w:t>
      </w:r>
      <w:proofErr w:type="spellStart"/>
      <w:r w:rsidRPr="009D0429">
        <w:t>Jelić</w:t>
      </w:r>
      <w:proofErr w:type="spellEnd"/>
      <w:r w:rsidRPr="009D0429">
        <w:t>,</w:t>
      </w:r>
      <w:r w:rsidRPr="009D0429">
        <w:br/>
      </w:r>
      <w:r w:rsidRPr="009D0429">
        <w:tab/>
        <w:t xml:space="preserve">Gilberto </w:t>
      </w:r>
      <w:proofErr w:type="spellStart"/>
      <w:r w:rsidRPr="009D0429">
        <w:t>Felici</w:t>
      </w:r>
      <w:proofErr w:type="spellEnd"/>
      <w:r w:rsidRPr="009D0429">
        <w:rPr>
          <w:i/>
        </w:rPr>
        <w:t xml:space="preserve">, </w:t>
      </w:r>
      <w:r>
        <w:rPr>
          <w:i/>
        </w:rPr>
        <w:t>sędziowie</w:t>
      </w:r>
      <w:r w:rsidRPr="009D0429">
        <w:t>,</w:t>
      </w:r>
      <w:r w:rsidRPr="009D0429">
        <w:br/>
      </w:r>
      <w:r w:rsidRPr="004B0C8D">
        <w:t xml:space="preserve">oraz </w:t>
      </w:r>
      <w:proofErr w:type="spellStart"/>
      <w:r w:rsidRPr="004B0C8D">
        <w:t>Ilse</w:t>
      </w:r>
      <w:proofErr w:type="spellEnd"/>
      <w:r w:rsidRPr="004B0C8D">
        <w:t xml:space="preserve"> </w:t>
      </w:r>
      <w:proofErr w:type="spellStart"/>
      <w:r w:rsidRPr="004B0C8D">
        <w:t>Freiwirth</w:t>
      </w:r>
      <w:proofErr w:type="spellEnd"/>
      <w:r w:rsidRPr="004B0C8D">
        <w:t xml:space="preserve">, </w:t>
      </w:r>
      <w:r w:rsidRPr="004B0C8D">
        <w:rPr>
          <w:i/>
          <w:iCs/>
        </w:rPr>
        <w:t>Kanclerz</w:t>
      </w:r>
      <w:r w:rsidRPr="004B0C8D">
        <w:rPr>
          <w:i/>
        </w:rPr>
        <w:t xml:space="preserve"> Sekcji</w:t>
      </w:r>
      <w:r w:rsidRPr="004B0C8D">
        <w:t>,</w:t>
      </w:r>
    </w:p>
    <w:p w14:paraId="59F2A2DE" w14:textId="35CD49E8" w:rsidR="005C744B" w:rsidRPr="004B0C8D" w:rsidRDefault="007A3D77" w:rsidP="009D0429">
      <w:pPr>
        <w:pStyle w:val="JuPara"/>
      </w:pPr>
      <w:r>
        <w:t>m</w:t>
      </w:r>
      <w:r w:rsidRPr="004B0C8D">
        <w:t>ając na uwadze:</w:t>
      </w:r>
    </w:p>
    <w:p w14:paraId="4C5F01DA" w14:textId="1F99121D" w:rsidR="005C744B" w:rsidRPr="004B0C8D" w:rsidRDefault="00000000" w:rsidP="009D0429">
      <w:pPr>
        <w:pStyle w:val="JuPara"/>
      </w:pPr>
      <w:r w:rsidRPr="004B0C8D">
        <w:t>skargę (nr 16974/14) przeciwko Rzeczypospolitej Polskiej wniesioną do Trybunału w dniu 19 lutego 2014 r. na podstawie art. 34 Konwencji o</w:t>
      </w:r>
      <w:r w:rsidR="007275A5">
        <w:t> </w:t>
      </w:r>
      <w:r w:rsidRPr="004B0C8D">
        <w:t>ochronie praw człowieka i podstawowych wolności („Konwencja”) przez obywatelkę polską Honoratę Kaczmarek („skarżąca”);</w:t>
      </w:r>
    </w:p>
    <w:p w14:paraId="73D6F4EA" w14:textId="397AE4B4" w:rsidR="005C744B" w:rsidRPr="004B0C8D" w:rsidRDefault="00000000" w:rsidP="009D0429">
      <w:pPr>
        <w:pStyle w:val="JuPara"/>
      </w:pPr>
      <w:r w:rsidRPr="004B0C8D">
        <w:t xml:space="preserve">decyzję o </w:t>
      </w:r>
      <w:r w:rsidR="00A62D89">
        <w:t>zakomunikowaniu</w:t>
      </w:r>
      <w:r w:rsidR="00A62D89" w:rsidRPr="004B0C8D">
        <w:t xml:space="preserve"> </w:t>
      </w:r>
      <w:r w:rsidRPr="004B0C8D">
        <w:t xml:space="preserve">Rządowi Polskiemu („Rząd”) </w:t>
      </w:r>
      <w:r w:rsidR="00A62D89">
        <w:t>zarzutów z</w:t>
      </w:r>
      <w:r w:rsidRPr="004B0C8D">
        <w:t xml:space="preserve"> art. 8 i 13 oraz o uznaniu za niedopuszczalną pozostałej części skargi;</w:t>
      </w:r>
    </w:p>
    <w:p w14:paraId="187EA45B" w14:textId="77777777" w:rsidR="005C744B" w:rsidRPr="004B0C8D" w:rsidRDefault="00000000" w:rsidP="009D0429">
      <w:pPr>
        <w:pStyle w:val="JuPara"/>
      </w:pPr>
      <w:r w:rsidRPr="004B0C8D">
        <w:t>uwagi stron;</w:t>
      </w:r>
    </w:p>
    <w:p w14:paraId="4D73E789" w14:textId="77777777" w:rsidR="009F4C8F" w:rsidRPr="004B0C8D" w:rsidRDefault="00000000" w:rsidP="009D0429">
      <w:pPr>
        <w:pStyle w:val="JuPara"/>
      </w:pPr>
      <w:r w:rsidRPr="004B0C8D">
        <w:t>obradując na posiedzeniu niejawnym w dniach 28 marca 2023 r. i 6 lutego 2024 r.,</w:t>
      </w:r>
    </w:p>
    <w:p w14:paraId="7286609D" w14:textId="117D052E" w:rsidR="009F4C8F" w:rsidRPr="004B0C8D" w:rsidRDefault="00000000" w:rsidP="009D0429">
      <w:pPr>
        <w:pStyle w:val="JuPara"/>
      </w:pPr>
      <w:r w:rsidRPr="004B0C8D">
        <w:t>wydaje następujący wyrok, który został przyjęty w ostatniej z wyżej wskazanych dat</w:t>
      </w:r>
      <w:r w:rsidR="001E7A61">
        <w:t>:</w:t>
      </w:r>
    </w:p>
    <w:p w14:paraId="28354BD1" w14:textId="77777777" w:rsidR="005C744B" w:rsidRPr="004B0C8D" w:rsidRDefault="00000000" w:rsidP="009D0429">
      <w:pPr>
        <w:pStyle w:val="JuHHead"/>
        <w:numPr>
          <w:ilvl w:val="0"/>
          <w:numId w:val="0"/>
        </w:numPr>
      </w:pPr>
      <w:r w:rsidRPr="004B0C8D">
        <w:t>WPROWADZENIE</w:t>
      </w:r>
    </w:p>
    <w:p w14:paraId="1FAA503E" w14:textId="7424C89A" w:rsidR="005C744B" w:rsidRPr="004B0C8D" w:rsidRDefault="00000000" w:rsidP="009D0429">
      <w:pPr>
        <w:pStyle w:val="JuPara"/>
      </w:pPr>
      <w:fldSimple w:instr=" SEQ level0 \*arabic ">
        <w:r w:rsidR="00531673" w:rsidRPr="004B0C8D">
          <w:rPr>
            <w:noProof/>
          </w:rPr>
          <w:t>1</w:t>
        </w:r>
      </w:fldSimple>
      <w:r w:rsidRPr="004B0C8D">
        <w:t xml:space="preserve">.  Sprawa dotyczy zarzutów skarżącej na podstawie art. 8 Konwencji dotyczących ujawnienia nagrania jej rozmowy telefonicznej podczas konferencji prasowej. Dotyczy również zatrzymania i przechowywania materiałów </w:t>
      </w:r>
      <w:r w:rsidR="00A62D89">
        <w:t>zabezpieczonych</w:t>
      </w:r>
      <w:r w:rsidR="00A62D89" w:rsidRPr="004B0C8D">
        <w:t xml:space="preserve"> </w:t>
      </w:r>
      <w:r w:rsidRPr="004B0C8D">
        <w:t xml:space="preserve">podczas </w:t>
      </w:r>
      <w:r w:rsidR="00F835FF">
        <w:t>niejawnej kontroli operacyjnej</w:t>
      </w:r>
      <w:r w:rsidRPr="004B0C8D">
        <w:t>.</w:t>
      </w:r>
    </w:p>
    <w:p w14:paraId="63D520A8" w14:textId="77777777" w:rsidR="005C744B" w:rsidRPr="004B0C8D" w:rsidRDefault="00000000" w:rsidP="009D0429">
      <w:pPr>
        <w:pStyle w:val="JuHHead"/>
        <w:numPr>
          <w:ilvl w:val="0"/>
          <w:numId w:val="2"/>
        </w:numPr>
      </w:pPr>
      <w:r w:rsidRPr="004B0C8D">
        <w:t>FAKTY</w:t>
      </w:r>
    </w:p>
    <w:p w14:paraId="0252A779" w14:textId="1F50E8F2" w:rsidR="005C744B" w:rsidRPr="004B0C8D" w:rsidRDefault="00000000" w:rsidP="009D0429">
      <w:pPr>
        <w:pStyle w:val="JuPara"/>
      </w:pPr>
      <w:fldSimple w:instr=" SEQ level0 \*arabic ">
        <w:r w:rsidR="00531673" w:rsidRPr="004B0C8D">
          <w:rPr>
            <w:noProof/>
          </w:rPr>
          <w:t>2</w:t>
        </w:r>
      </w:fldSimple>
      <w:r w:rsidRPr="004B0C8D">
        <w:t xml:space="preserve">.  Skarżąca urodziła się w 1960 r. i mieszka w Gdyni. Skarżącą reprezentował </w:t>
      </w:r>
      <w:r w:rsidR="00C84581" w:rsidRPr="00C84581">
        <w:t xml:space="preserve">A. </w:t>
      </w:r>
      <w:proofErr w:type="spellStart"/>
      <w:r w:rsidR="00C84581" w:rsidRPr="00C84581">
        <w:t>Pietryka</w:t>
      </w:r>
      <w:proofErr w:type="spellEnd"/>
      <w:r w:rsidRPr="004B0C8D">
        <w:t>, prawnik prowadzący praktykę w</w:t>
      </w:r>
      <w:r w:rsidR="00C84581">
        <w:t> </w:t>
      </w:r>
      <w:r w:rsidRPr="004B0C8D">
        <w:t>Warszawie.</w:t>
      </w:r>
    </w:p>
    <w:p w14:paraId="37EF89A6" w14:textId="4230C045" w:rsidR="005C744B" w:rsidRPr="004B0C8D" w:rsidRDefault="00000000" w:rsidP="009D0429">
      <w:pPr>
        <w:pStyle w:val="JuPara"/>
      </w:pPr>
      <w:fldSimple w:instr=" SEQ level0 \*arabic ">
        <w:r w:rsidR="00531673" w:rsidRPr="004B0C8D">
          <w:rPr>
            <w:noProof/>
          </w:rPr>
          <w:t>3</w:t>
        </w:r>
      </w:fldSimple>
      <w:r w:rsidRPr="004B0C8D">
        <w:t>.  Rząd był reprezentowany przez swojego pełnomocnika J. Sobczaka, a następnie przez A. Kozińską</w:t>
      </w:r>
      <w:r w:rsidR="0052083C">
        <w:t xml:space="preserve"> </w:t>
      </w:r>
      <w:r w:rsidRPr="004B0C8D">
        <w:t>-</w:t>
      </w:r>
      <w:r w:rsidR="0052083C">
        <w:t xml:space="preserve"> </w:t>
      </w:r>
      <w:r w:rsidRPr="004B0C8D">
        <w:t>Makowską z Ministerstwa Spraw Zagranicznych.</w:t>
      </w:r>
    </w:p>
    <w:p w14:paraId="7B808417" w14:textId="77777777" w:rsidR="005C744B" w:rsidRPr="004B0C8D" w:rsidRDefault="00000000" w:rsidP="009D0429">
      <w:pPr>
        <w:pStyle w:val="JuHIRoman"/>
      </w:pPr>
      <w:r w:rsidRPr="004B0C8D">
        <w:rPr>
          <w:caps w:val="0"/>
        </w:rPr>
        <w:t>KONTEKST SPRAWY</w:t>
      </w:r>
    </w:p>
    <w:p w14:paraId="0C584E96" w14:textId="39D3574F"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4</w:t>
      </w:r>
      <w:r w:rsidRPr="004B0C8D">
        <w:rPr>
          <w:rFonts w:eastAsiaTheme="majorEastAsia"/>
        </w:rPr>
        <w:fldChar w:fldCharType="end"/>
      </w:r>
      <w:r w:rsidRPr="004B0C8D">
        <w:t>.  Skarżąca jest żoną polskiego polityka, J.</w:t>
      </w:r>
      <w:r w:rsidR="0052083C">
        <w:t xml:space="preserve"> </w:t>
      </w:r>
      <w:r w:rsidRPr="004B0C8D">
        <w:t>K., który w czasie przedmiotowych wydarzeń pełnił funkcję Ministra Spraw Wewnętrznych.</w:t>
      </w:r>
    </w:p>
    <w:bookmarkStart w:id="0" w:name="Lans_scandal"/>
    <w:p w14:paraId="32CB7715" w14:textId="2162A747" w:rsidR="005C744B" w:rsidRPr="004B0C8D" w:rsidRDefault="00000000" w:rsidP="009D0429">
      <w:pPr>
        <w:pStyle w:val="JuPara"/>
        <w:rPr>
          <w:rFonts w:eastAsiaTheme="majorEastAsia"/>
        </w:rPr>
      </w:pPr>
      <w:r w:rsidRPr="004B0C8D">
        <w:rPr>
          <w:rFonts w:eastAsiaTheme="majorEastAsia"/>
        </w:rPr>
        <w:lastRenderedPageBreak/>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5</w:t>
      </w:r>
      <w:r w:rsidRPr="004B0C8D">
        <w:rPr>
          <w:rFonts w:eastAsiaTheme="majorEastAsia"/>
        </w:rPr>
        <w:fldChar w:fldCharType="end"/>
      </w:r>
      <w:bookmarkEnd w:id="0"/>
      <w:r w:rsidRPr="004B0C8D">
        <w:t>.  W 2007 r. Centralne Biuro Antykorupcyjne („CBA”) i Prokuratura Okręgowa w Warszawie prowadziły śledztwo w sprawie płatnej protekcji. W</w:t>
      </w:r>
      <w:r w:rsidR="00C84581">
        <w:t> </w:t>
      </w:r>
      <w:r w:rsidRPr="004B0C8D">
        <w:t xml:space="preserve">trakcie tego postępowania na 6 lipca 2007 r. </w:t>
      </w:r>
      <w:r w:rsidR="0052083C" w:rsidRPr="004B0C8D">
        <w:t xml:space="preserve">zaplanowano prowokację </w:t>
      </w:r>
      <w:r w:rsidR="00F835FF">
        <w:br/>
      </w:r>
      <w:r w:rsidR="0052083C" w:rsidRPr="004B0C8D">
        <w:t>z wykorzystaniem agenta</w:t>
      </w:r>
      <w:r w:rsidR="0052083C">
        <w:t xml:space="preserve"> </w:t>
      </w:r>
      <w:r w:rsidR="0052083C" w:rsidRPr="004B0C8D">
        <w:t>-</w:t>
      </w:r>
      <w:r w:rsidR="0052083C">
        <w:t xml:space="preserve"> </w:t>
      </w:r>
      <w:r w:rsidR="0052083C" w:rsidRPr="004B0C8D">
        <w:t xml:space="preserve">prowokatora </w:t>
      </w:r>
      <w:r w:rsidRPr="004B0C8D">
        <w:t>w Ministerstwie Rolnictwa. Jednak informacja o planowanej operacji wyciekła, operacja się nie powiodła i</w:t>
      </w:r>
      <w:r w:rsidR="00C84581">
        <w:t> </w:t>
      </w:r>
      <w:r w:rsidRPr="004B0C8D">
        <w:t>wybuchła tak</w:t>
      </w:r>
      <w:r w:rsidR="00A73B1C">
        <w:t xml:space="preserve"> </w:t>
      </w:r>
      <w:r w:rsidRPr="004B0C8D">
        <w:t xml:space="preserve">zwana „afera gruntowa”. W sprawę zaangażowanych było kilku wysokich rangą polityków, w tym Minister Rolnictwa i Minister Spraw Wewnętrznych. Mąż skarżącej miał być </w:t>
      </w:r>
      <w:r w:rsidR="0052083C">
        <w:t xml:space="preserve">rzekomo </w:t>
      </w:r>
      <w:r w:rsidRPr="004B0C8D">
        <w:t xml:space="preserve">odpowiedzialny za ostrzeżenie Ministra Rolnictwa o planowanej operacji. W konsekwencji </w:t>
      </w:r>
      <w:r w:rsidR="00F835FF">
        <w:br/>
      </w:r>
      <w:r w:rsidR="0052083C" w:rsidRPr="004B0C8D">
        <w:t>8 sierpnia 2007 r.</w:t>
      </w:r>
      <w:r w:rsidR="0052083C">
        <w:t xml:space="preserve"> </w:t>
      </w:r>
      <w:r w:rsidRPr="004B0C8D">
        <w:t>został on usunięty ze stanowiska</w:t>
      </w:r>
      <w:r w:rsidR="0052083C">
        <w:t>.</w:t>
      </w:r>
      <w:r w:rsidRPr="004B0C8D">
        <w:t xml:space="preserve"> </w:t>
      </w:r>
    </w:p>
    <w:p w14:paraId="42A42903" w14:textId="77777777" w:rsidR="005C744B" w:rsidRPr="004B0C8D" w:rsidRDefault="00000000" w:rsidP="009D0429">
      <w:pPr>
        <w:pStyle w:val="JuHIRoman"/>
      </w:pPr>
      <w:r w:rsidRPr="004B0C8D">
        <w:rPr>
          <w:caps w:val="0"/>
        </w:rPr>
        <w:t>POSTĘPOWANIE DOTYCZĄCE UTRUDNIANIA PROWOKACJI</w:t>
      </w:r>
    </w:p>
    <w:bookmarkStart w:id="1" w:name="Investigation_intohamperingentrapment"/>
    <w:p w14:paraId="2EC61D66" w14:textId="60B8196B"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6</w:t>
      </w:r>
      <w:r w:rsidRPr="004B0C8D">
        <w:rPr>
          <w:rFonts w:eastAsiaTheme="majorEastAsia"/>
        </w:rPr>
        <w:fldChar w:fldCharType="end"/>
      </w:r>
      <w:bookmarkEnd w:id="1"/>
      <w:r w:rsidRPr="004B0C8D">
        <w:t>.  W dniu 11 lipca 2007 r. Prokurator Okręgowy w Warszawie wraz z</w:t>
      </w:r>
      <w:r w:rsidR="00C84581">
        <w:t> </w:t>
      </w:r>
      <w:r w:rsidRPr="004B0C8D">
        <w:t>Agencją Bezpieczeństwa Wewnętrznego (ABW) wszczął postępowanie przygotowawcze w sprawie domniemanego utrudniania prowokacji. Mąż skarżącej był świadkiem w tym postępowaniu (V</w:t>
      </w:r>
      <w:r w:rsidR="00D40071">
        <w:t> </w:t>
      </w:r>
      <w:r w:rsidRPr="004B0C8D">
        <w:t>Ds. 324/07). W dniu 29</w:t>
      </w:r>
      <w:r w:rsidR="00C84581">
        <w:t> </w:t>
      </w:r>
      <w:r w:rsidRPr="004B0C8D">
        <w:t xml:space="preserve">sierpnia 2007 r. materiały dotyczące zarzucanego przestępstwa składania fałszywych zeznań przez męża skarżącej zostały </w:t>
      </w:r>
      <w:r w:rsidR="00987A2F">
        <w:t>wyłączone</w:t>
      </w:r>
      <w:r w:rsidR="00987A2F" w:rsidRPr="004B0C8D">
        <w:t xml:space="preserve"> </w:t>
      </w:r>
      <w:r w:rsidRPr="004B0C8D">
        <w:t>do nowej sprawy (V</w:t>
      </w:r>
      <w:r w:rsidR="00D40071">
        <w:t> </w:t>
      </w:r>
      <w:r w:rsidRPr="004B0C8D">
        <w:t>Ds. 400/07). W tym postępowaniu był on podejrzanym.</w:t>
      </w:r>
    </w:p>
    <w:bookmarkStart w:id="2" w:name="Gamma_gwaizda"/>
    <w:p w14:paraId="0162AC92" w14:textId="11B41AC8"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7</w:t>
      </w:r>
      <w:r w:rsidRPr="004B0C8D">
        <w:rPr>
          <w:rFonts w:eastAsiaTheme="majorEastAsia"/>
        </w:rPr>
        <w:fldChar w:fldCharType="end"/>
      </w:r>
      <w:bookmarkEnd w:id="2"/>
      <w:r w:rsidRPr="004B0C8D">
        <w:t xml:space="preserve">.  W trakcie postępowania ABW prowadziła niejawną </w:t>
      </w:r>
      <w:r w:rsidR="00F835FF">
        <w:t>kontrolę operacyjną</w:t>
      </w:r>
      <w:r w:rsidR="00F835FF" w:rsidRPr="004B0C8D">
        <w:t xml:space="preserve"> </w:t>
      </w:r>
      <w:r w:rsidR="00F835FF">
        <w:t xml:space="preserve">wobec </w:t>
      </w:r>
      <w:r w:rsidRPr="004B0C8D">
        <w:t>męża skarżącej (operacja GAMMA). Połączenia telefoniczne skarżącej były monitorowane przez CBA. Ponadto Prokurator Okręgowy w Warszawie, w</w:t>
      </w:r>
      <w:r w:rsidR="00C84581">
        <w:t> </w:t>
      </w:r>
      <w:r w:rsidRPr="004B0C8D">
        <w:t>kontekście operacji GWIAZDA 4, uzyskał nagrania i stenogramy rozmów telefonicznych skarżącej.</w:t>
      </w:r>
    </w:p>
    <w:bookmarkStart w:id="3" w:name="Investigation_discontined_hampering"/>
    <w:p w14:paraId="418320B3" w14:textId="45741644"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8</w:t>
      </w:r>
      <w:r w:rsidRPr="004B0C8D">
        <w:rPr>
          <w:rFonts w:eastAsiaTheme="majorEastAsia"/>
        </w:rPr>
        <w:fldChar w:fldCharType="end"/>
      </w:r>
      <w:bookmarkEnd w:id="3"/>
      <w:r w:rsidRPr="004B0C8D">
        <w:t>.  W dniu 28 października 2009 r. Prokurator Okręgowy w Warszawie umorzył postępowanie przygotowawcze (V Ds. 324/07) na tej podstawie, że nie stwierdzono popełnienia przestępstwa. Postępowanie przeciwko mężowi skarżącej, dotyczące fałszywych zeznań, zostało umorzone 30</w:t>
      </w:r>
      <w:r w:rsidR="00C84581">
        <w:t> </w:t>
      </w:r>
      <w:r w:rsidRPr="004B0C8D">
        <w:t>listopada 2009 r. (V Ds. 400/07).</w:t>
      </w:r>
    </w:p>
    <w:p w14:paraId="5E8A4DB1" w14:textId="77777777" w:rsidR="005C744B" w:rsidRPr="004B0C8D" w:rsidRDefault="00000000" w:rsidP="009D0429">
      <w:pPr>
        <w:pStyle w:val="JuHIRoman"/>
      </w:pPr>
      <w:r w:rsidRPr="004B0C8D">
        <w:rPr>
          <w:caps w:val="0"/>
        </w:rPr>
        <w:t> KONFERENCJA PRASOWA DOTYCZĄCA SKARŻĄCEJ</w:t>
      </w:r>
    </w:p>
    <w:bookmarkStart w:id="4" w:name="Press_conference"/>
    <w:p w14:paraId="7AD35C5C" w14:textId="7CB57CF8"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9</w:t>
      </w:r>
      <w:r w:rsidRPr="004B0C8D">
        <w:rPr>
          <w:rFonts w:eastAsiaTheme="majorEastAsia"/>
        </w:rPr>
        <w:fldChar w:fldCharType="end"/>
      </w:r>
      <w:bookmarkEnd w:id="4"/>
      <w:r w:rsidRPr="004B0C8D">
        <w:t>.  W międzyczasie D.</w:t>
      </w:r>
      <w:r w:rsidR="00BD3211">
        <w:t xml:space="preserve"> </w:t>
      </w:r>
      <w:r w:rsidRPr="004B0C8D">
        <w:t>B. i J.</w:t>
      </w:r>
      <w:r w:rsidR="00BD3211">
        <w:t xml:space="preserve"> </w:t>
      </w:r>
      <w:r w:rsidRPr="004B0C8D">
        <w:t xml:space="preserve">E., </w:t>
      </w:r>
      <w:r w:rsidR="00BD3211">
        <w:t>Z</w:t>
      </w:r>
      <w:r w:rsidR="00BD3211" w:rsidRPr="004B0C8D">
        <w:t>astępcy Prokuratora Generalnego</w:t>
      </w:r>
      <w:r w:rsidRPr="004B0C8D">
        <w:t>, wraz z</w:t>
      </w:r>
      <w:r w:rsidR="00017FCA">
        <w:t> </w:t>
      </w:r>
      <w:r w:rsidRPr="004B0C8D">
        <w:t xml:space="preserve">prokuratorami z Prokuratury Okręgowej w Warszawie oraz przedstawicielami ABW i CBA, zwołali konferencję prasową. Konferencja prasowa </w:t>
      </w:r>
      <w:r w:rsidR="00BD3211">
        <w:t>miała miejsce</w:t>
      </w:r>
      <w:r w:rsidRPr="004B0C8D">
        <w:t xml:space="preserve"> 31 sierpnia 2007 r. i była transmitowana na żywo przez telewizję publiczną. Została ona zorganizowana w celu poinformowania opinii publicznej o „aferze gruntowej” (zob. </w:t>
      </w:r>
      <w:r w:rsidR="00583414">
        <w:t>pkt </w:t>
      </w:r>
      <w:r w:rsidRPr="004B0C8D">
        <w:t>5 powyżej).</w:t>
      </w:r>
    </w:p>
    <w:bookmarkStart w:id="5" w:name="Conversation"/>
    <w:p w14:paraId="198B2631" w14:textId="7675BD75"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10</w:t>
      </w:r>
      <w:r w:rsidRPr="004B0C8D">
        <w:rPr>
          <w:rFonts w:eastAsiaTheme="majorEastAsia"/>
        </w:rPr>
        <w:fldChar w:fldCharType="end"/>
      </w:r>
      <w:bookmarkEnd w:id="5"/>
      <w:r w:rsidRPr="004B0C8D">
        <w:t xml:space="preserve">.  Podczas konferencji upubliczniono informacje uzyskane przy użyciu tajnych metod śledczych. W szczególności </w:t>
      </w:r>
      <w:r w:rsidR="00462AFE" w:rsidRPr="004B0C8D">
        <w:t>J</w:t>
      </w:r>
      <w:r w:rsidR="00462AFE">
        <w:t>.</w:t>
      </w:r>
      <w:r w:rsidR="00BD3211">
        <w:t xml:space="preserve"> </w:t>
      </w:r>
      <w:r w:rsidR="00462AFE">
        <w:t>E.</w:t>
      </w:r>
      <w:r w:rsidRPr="004B0C8D">
        <w:t xml:space="preserve"> odtworzył następujące nagranie rozmowy między skarżącą a K.K., który w tym czasie pełnił funkcję Komendanta Głównego Policji.</w:t>
      </w:r>
    </w:p>
    <w:p w14:paraId="0A44E784" w14:textId="77777777" w:rsidR="005C744B" w:rsidRPr="004B0C8D" w:rsidRDefault="00000000" w:rsidP="009D0429">
      <w:pPr>
        <w:pStyle w:val="JuQuot"/>
        <w:rPr>
          <w:rFonts w:eastAsiaTheme="majorEastAsia"/>
        </w:rPr>
      </w:pPr>
      <w:r w:rsidRPr="004B0C8D">
        <w:t>„Skarżąca: Tak?</w:t>
      </w:r>
    </w:p>
    <w:p w14:paraId="107271E5" w14:textId="755578CF" w:rsidR="005C744B" w:rsidRPr="004B0C8D" w:rsidRDefault="00000000" w:rsidP="009D0429">
      <w:pPr>
        <w:pStyle w:val="JuQuot"/>
        <w:rPr>
          <w:rFonts w:eastAsiaTheme="majorEastAsia"/>
        </w:rPr>
      </w:pPr>
      <w:r w:rsidRPr="004B0C8D">
        <w:lastRenderedPageBreak/>
        <w:t xml:space="preserve">KK: Cześć, </w:t>
      </w:r>
      <w:r w:rsidR="00B8720E">
        <w:t>[</w:t>
      </w:r>
      <w:r w:rsidRPr="004B0C8D">
        <w:t>K</w:t>
      </w:r>
      <w:r w:rsidR="00B8720E">
        <w:t>]</w:t>
      </w:r>
      <w:r w:rsidRPr="004B0C8D">
        <w:t>.</w:t>
      </w:r>
    </w:p>
    <w:p w14:paraId="118827D9" w14:textId="6B089754" w:rsidR="005C744B" w:rsidRPr="004B0C8D" w:rsidRDefault="00000000" w:rsidP="009D0429">
      <w:pPr>
        <w:pStyle w:val="JuQuot"/>
        <w:rPr>
          <w:rFonts w:eastAsiaTheme="majorEastAsia"/>
        </w:rPr>
      </w:pPr>
      <w:r w:rsidRPr="004B0C8D">
        <w:t xml:space="preserve">Skarżąca: </w:t>
      </w:r>
      <w:r w:rsidR="00FD64C4">
        <w:t>No c</w:t>
      </w:r>
      <w:r w:rsidR="00FD64C4" w:rsidRPr="004B0C8D">
        <w:t>ześć</w:t>
      </w:r>
      <w:r w:rsidRPr="004B0C8D">
        <w:t>.</w:t>
      </w:r>
    </w:p>
    <w:p w14:paraId="2F6D7884" w14:textId="43A274B7" w:rsidR="005C744B" w:rsidRPr="004B0C8D" w:rsidRDefault="00000000" w:rsidP="009D0429">
      <w:pPr>
        <w:pStyle w:val="JuQuot"/>
        <w:rPr>
          <w:rFonts w:eastAsiaTheme="majorEastAsia"/>
        </w:rPr>
      </w:pPr>
      <w:r w:rsidRPr="004B0C8D">
        <w:t>K.K.: Jaki Ty masz numer domu, Honorata?</w:t>
      </w:r>
    </w:p>
    <w:p w14:paraId="15B51AC6" w14:textId="77777777" w:rsidR="005C744B" w:rsidRPr="004B0C8D" w:rsidRDefault="00000000" w:rsidP="009D0429">
      <w:pPr>
        <w:pStyle w:val="JuQuot"/>
        <w:rPr>
          <w:rFonts w:eastAsiaTheme="majorEastAsia"/>
        </w:rPr>
      </w:pPr>
      <w:r w:rsidRPr="004B0C8D">
        <w:t>Skarżąca: Dwadzieścia.</w:t>
      </w:r>
    </w:p>
    <w:p w14:paraId="5FD0E7F5" w14:textId="4A646C6B" w:rsidR="005C744B" w:rsidRPr="004B0C8D" w:rsidRDefault="00000000" w:rsidP="009D0429">
      <w:pPr>
        <w:pStyle w:val="JuQuot"/>
        <w:rPr>
          <w:rFonts w:eastAsiaTheme="majorEastAsia"/>
        </w:rPr>
      </w:pPr>
      <w:r w:rsidRPr="004B0C8D">
        <w:t xml:space="preserve">K.K.: </w:t>
      </w:r>
      <w:r w:rsidR="00FD64C4" w:rsidRPr="00FD64C4">
        <w:t>Dobra, za sekundkę jestem, dobra?</w:t>
      </w:r>
    </w:p>
    <w:p w14:paraId="6C5F8D86" w14:textId="09A019D8" w:rsidR="005C744B" w:rsidRPr="004B0C8D" w:rsidRDefault="00000000" w:rsidP="009D0429">
      <w:pPr>
        <w:pStyle w:val="JuQuot"/>
        <w:rPr>
          <w:rFonts w:eastAsiaTheme="majorEastAsia"/>
        </w:rPr>
      </w:pPr>
      <w:r w:rsidRPr="004B0C8D">
        <w:t xml:space="preserve">Skarżąca: </w:t>
      </w:r>
      <w:r w:rsidR="004274F1">
        <w:t>Dobra</w:t>
      </w:r>
      <w:r w:rsidRPr="004B0C8D">
        <w:t>.</w:t>
      </w:r>
    </w:p>
    <w:p w14:paraId="28C5409F" w14:textId="77777777" w:rsidR="005C744B" w:rsidRPr="004B0C8D" w:rsidRDefault="00000000" w:rsidP="009D0429">
      <w:pPr>
        <w:pStyle w:val="JuQuot"/>
        <w:rPr>
          <w:rFonts w:eastAsiaTheme="majorEastAsia"/>
        </w:rPr>
      </w:pPr>
      <w:r w:rsidRPr="004B0C8D">
        <w:t>K.K.: Dzięki.”</w:t>
      </w:r>
    </w:p>
    <w:p w14:paraId="324CDFD1" w14:textId="52E6E7F9"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11</w:t>
      </w:r>
      <w:r w:rsidRPr="004B0C8D">
        <w:rPr>
          <w:rFonts w:eastAsiaTheme="majorEastAsia"/>
        </w:rPr>
        <w:fldChar w:fldCharType="end"/>
      </w:r>
      <w:r w:rsidRPr="004B0C8D">
        <w:t>.  Zgodnie ze stenografem z konferencji prasowej J.</w:t>
      </w:r>
      <w:r w:rsidR="00BD3211">
        <w:t xml:space="preserve"> </w:t>
      </w:r>
      <w:r w:rsidRPr="004B0C8D">
        <w:t>E. następnie stwierdził:</w:t>
      </w:r>
    </w:p>
    <w:p w14:paraId="4A33166A" w14:textId="115C85C2" w:rsidR="005C744B" w:rsidRPr="004B0C8D" w:rsidRDefault="00000000" w:rsidP="009D0429">
      <w:pPr>
        <w:pStyle w:val="JuQuot"/>
        <w:rPr>
          <w:rFonts w:eastAsiaTheme="majorEastAsia"/>
        </w:rPr>
      </w:pPr>
      <w:r w:rsidRPr="004B0C8D">
        <w:t>„</w:t>
      </w:r>
      <w:r w:rsidR="00462AFE" w:rsidRPr="00462AFE">
        <w:t>Myślę, że ta rozmowa, proszę państwa, nie wymaga żadnego komentarza</w:t>
      </w:r>
      <w:r w:rsidR="00462AFE">
        <w:t xml:space="preserve">. </w:t>
      </w:r>
      <w:r w:rsidRPr="004B0C8D">
        <w:t>[Skarżąca] jest żoną J.</w:t>
      </w:r>
      <w:r w:rsidR="00BD3211">
        <w:t xml:space="preserve"> </w:t>
      </w:r>
      <w:r w:rsidRPr="004B0C8D">
        <w:t>K. [imię i nazwisko męża skarżącej]”.</w:t>
      </w:r>
    </w:p>
    <w:p w14:paraId="24EFB0E8" w14:textId="480C9D98" w:rsidR="005C744B" w:rsidRPr="004B0C8D" w:rsidRDefault="00000000" w:rsidP="009D0429">
      <w:pPr>
        <w:pStyle w:val="JuHIRoman"/>
      </w:pPr>
      <w:r w:rsidRPr="004B0C8D">
        <w:rPr>
          <w:caps w:val="0"/>
        </w:rPr>
        <w:t>UJAWNI</w:t>
      </w:r>
      <w:r w:rsidR="00F835FF">
        <w:rPr>
          <w:caps w:val="0"/>
        </w:rPr>
        <w:t>E</w:t>
      </w:r>
      <w:r w:rsidRPr="004B0C8D">
        <w:rPr>
          <w:caps w:val="0"/>
        </w:rPr>
        <w:t xml:space="preserve">NIE </w:t>
      </w:r>
      <w:r w:rsidR="00F835FF" w:rsidRPr="004B0C8D">
        <w:rPr>
          <w:caps w:val="0"/>
        </w:rPr>
        <w:t xml:space="preserve">PRASIE </w:t>
      </w:r>
      <w:r w:rsidR="00E75A01" w:rsidRPr="004B0C8D">
        <w:rPr>
          <w:caps w:val="0"/>
        </w:rPr>
        <w:t xml:space="preserve">MATERIAŁÓW Z POSTĘPOWANIA PRZYGOTOWAWCZEGO </w:t>
      </w:r>
    </w:p>
    <w:bookmarkStart w:id="6" w:name="Press_leaks1"/>
    <w:p w14:paraId="1A628A4D" w14:textId="2706A57D"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12</w:t>
      </w:r>
      <w:r w:rsidRPr="004B0C8D">
        <w:rPr>
          <w:rFonts w:eastAsiaTheme="majorEastAsia"/>
        </w:rPr>
        <w:fldChar w:fldCharType="end"/>
      </w:r>
      <w:bookmarkEnd w:id="6"/>
      <w:r w:rsidRPr="004B0C8D">
        <w:t xml:space="preserve">.  W dniu 14 grudnia 2008 r. tygodnik </w:t>
      </w:r>
      <w:r w:rsidR="000D11B9">
        <w:t>„</w:t>
      </w:r>
      <w:r w:rsidRPr="004B0C8D">
        <w:t>Newsweek Polska</w:t>
      </w:r>
      <w:r w:rsidR="000D11B9">
        <w:t>”</w:t>
      </w:r>
      <w:r w:rsidRPr="004B0C8D">
        <w:t xml:space="preserve"> opublikował artykuł zawierający informacje na temat postępowania przygotowawczego dotyczącego utrudniania prowokacji (zob. </w:t>
      </w:r>
      <w:r w:rsidR="0021227F">
        <w:t>pkt </w:t>
      </w:r>
      <w:r w:rsidRPr="004B0C8D">
        <w:t>6</w:t>
      </w:r>
      <w:r w:rsidR="0021227F">
        <w:t>–</w:t>
      </w:r>
      <w:r w:rsidRPr="004B0C8D">
        <w:t>8 powyżej). Postępowanie przygotowawcze dotyczące przestępstwa publicznego rozpowszechniania materiałów ze śledztwa zostało umorzone 21</w:t>
      </w:r>
      <w:r w:rsidR="0021227F">
        <w:t> </w:t>
      </w:r>
      <w:r w:rsidRPr="004B0C8D">
        <w:t>czerwca 2010 r.</w:t>
      </w:r>
    </w:p>
    <w:bookmarkStart w:id="7" w:name="Press_leaks2"/>
    <w:p w14:paraId="51607387" w14:textId="63582986"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13</w:t>
      </w:r>
      <w:r w:rsidRPr="004B0C8D">
        <w:rPr>
          <w:rFonts w:eastAsiaTheme="majorEastAsia"/>
        </w:rPr>
        <w:fldChar w:fldCharType="end"/>
      </w:r>
      <w:bookmarkEnd w:id="7"/>
      <w:r w:rsidRPr="004B0C8D">
        <w:t>.  Następnie, wiosną 2009 r</w:t>
      </w:r>
      <w:r w:rsidR="00E75A01">
        <w:t>.</w:t>
      </w:r>
      <w:r w:rsidRPr="004B0C8D">
        <w:t xml:space="preserve">, na stronie internetowej </w:t>
      </w:r>
      <w:r w:rsidR="00646073">
        <w:t>„</w:t>
      </w:r>
      <w:r w:rsidRPr="00304012">
        <w:t>Dziennika</w:t>
      </w:r>
      <w:r w:rsidR="00646073">
        <w:t>”</w:t>
      </w:r>
      <w:r w:rsidRPr="004B0C8D">
        <w:t xml:space="preserve"> (wówczas </w:t>
      </w:r>
      <w:r w:rsidR="00646073">
        <w:t>„</w:t>
      </w:r>
      <w:r w:rsidRPr="00304012">
        <w:t>Dziennik Polska</w:t>
      </w:r>
      <w:r w:rsidRPr="00304012">
        <w:noBreakHyphen/>
        <w:t>Europa</w:t>
      </w:r>
      <w:r w:rsidRPr="00304012">
        <w:noBreakHyphen/>
        <w:t>Świat</w:t>
      </w:r>
      <w:r w:rsidR="00646073">
        <w:t>”</w:t>
      </w:r>
      <w:r w:rsidRPr="004B0C8D">
        <w:t xml:space="preserve">) opublikowano kilka artykułów wskazujących, że gazeta miała dostęp do stenogramów nagrań rozmów telefonicznych skarżącej uzyskanych podczas </w:t>
      </w:r>
      <w:r w:rsidR="00F835FF">
        <w:t>niejawnej kontroli operacyjnej</w:t>
      </w:r>
      <w:r w:rsidRPr="004B0C8D">
        <w:t>.</w:t>
      </w:r>
    </w:p>
    <w:bookmarkStart w:id="8" w:name="Leaksinvestigations_12022010"/>
    <w:p w14:paraId="7C3CEDC9" w14:textId="483DDC6F"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14</w:t>
      </w:r>
      <w:r w:rsidRPr="004B0C8D">
        <w:rPr>
          <w:rFonts w:eastAsiaTheme="majorEastAsia"/>
        </w:rPr>
        <w:fldChar w:fldCharType="end"/>
      </w:r>
      <w:bookmarkEnd w:id="8"/>
      <w:r w:rsidRPr="004B0C8D">
        <w:t xml:space="preserve">.  W dniu 15 maja 2009 r. Prokurator Okręgowy dla Warszawy-Pragi wszczął postępowanie przygotowawcze w związku z ujawnieniem dziennikarzom pracującym dla </w:t>
      </w:r>
      <w:r w:rsidR="008A089F">
        <w:t>„</w:t>
      </w:r>
      <w:r w:rsidRPr="00304012">
        <w:t>Dziennika</w:t>
      </w:r>
      <w:r w:rsidR="008A089F">
        <w:t>”</w:t>
      </w:r>
      <w:r w:rsidRPr="004B0C8D">
        <w:rPr>
          <w:i/>
          <w:iCs/>
        </w:rPr>
        <w:t xml:space="preserve"> </w:t>
      </w:r>
      <w:r w:rsidRPr="004B0C8D">
        <w:t>poufnych materiałów ze śledztwa. Postępowanie zostało umorzone 12 lutego 2010 r. z powodu braku możliwości ustalenia tożsamości sprawcy.</w:t>
      </w:r>
    </w:p>
    <w:p w14:paraId="487B3FDD" w14:textId="28557408" w:rsidR="005C744B" w:rsidRPr="004B0C8D" w:rsidRDefault="00000000" w:rsidP="009D0429">
      <w:pPr>
        <w:pStyle w:val="JuHIRoman"/>
      </w:pPr>
      <w:r w:rsidRPr="004B0C8D">
        <w:rPr>
          <w:caps w:val="0"/>
        </w:rPr>
        <w:t>POSTĘPOWANIE CYWILNE O ODSZKODOWANIE PRZECIWKO J.</w:t>
      </w:r>
      <w:r w:rsidR="00E75A01">
        <w:rPr>
          <w:caps w:val="0"/>
        </w:rPr>
        <w:t xml:space="preserve"> </w:t>
      </w:r>
      <w:r w:rsidRPr="004B0C8D">
        <w:rPr>
          <w:caps w:val="0"/>
        </w:rPr>
        <w:t>E.</w:t>
      </w:r>
    </w:p>
    <w:p w14:paraId="3B4DE743" w14:textId="083E779A" w:rsidR="005C744B" w:rsidRPr="004B0C8D" w:rsidRDefault="00000000" w:rsidP="009D0429">
      <w:pPr>
        <w:pStyle w:val="JuPara"/>
        <w:rPr>
          <w:rFonts w:ascii="Times New Roman" w:hAnsi="Times New Roman" w:cs="Times New Roman"/>
        </w:rPr>
      </w:pPr>
      <w:fldSimple w:instr=" SEQ level0 \*arabic \* MERGEFORMAT ">
        <w:r w:rsidR="00531673" w:rsidRPr="004B0C8D">
          <w:rPr>
            <w:noProof/>
          </w:rPr>
          <w:t>15</w:t>
        </w:r>
      </w:fldSimple>
      <w:r w:rsidRPr="004B0C8D">
        <w:t>.  W dniu 21 maja 2008 r. skarżąca wszczęła postępowanie przed Sądem Okręgowym w Warszawie przeciwko J.</w:t>
      </w:r>
      <w:r w:rsidR="00E75A01">
        <w:t xml:space="preserve"> </w:t>
      </w:r>
      <w:r w:rsidRPr="004B0C8D">
        <w:t xml:space="preserve">E., </w:t>
      </w:r>
      <w:r w:rsidR="00E75A01">
        <w:t>Z</w:t>
      </w:r>
      <w:r w:rsidRPr="004B0C8D">
        <w:t>astępcy Prokuratora Generalnego w czasie przedmiotowych wydarzeń. Wnosiła o zasądzenie na jej rzecz zadośćuczynienia za naruszenie dóbr osobistych oraz o</w:t>
      </w:r>
      <w:r w:rsidR="0002432A">
        <w:t> </w:t>
      </w:r>
      <w:r w:rsidRPr="004B0C8D">
        <w:t>zobowiązanie J.</w:t>
      </w:r>
      <w:r w:rsidR="00E75A01">
        <w:t xml:space="preserve"> </w:t>
      </w:r>
      <w:r w:rsidRPr="004B0C8D">
        <w:t>E. do opublikowania przeprosin.</w:t>
      </w:r>
    </w:p>
    <w:bookmarkStart w:id="9" w:name="WRC_31012_disclosure_lawful"/>
    <w:p w14:paraId="36ADD759" w14:textId="56DD8D00" w:rsidR="005C744B" w:rsidRPr="004B0C8D" w:rsidRDefault="00000000" w:rsidP="009D0429">
      <w:pPr>
        <w:pStyle w:val="JuPara"/>
        <w:rPr>
          <w:rFonts w:eastAsiaTheme="majorEastAsia"/>
        </w:rPr>
      </w:pPr>
      <w:r w:rsidRPr="004B0C8D">
        <w:fldChar w:fldCharType="begin"/>
      </w:r>
      <w:r w:rsidRPr="004B0C8D">
        <w:instrText xml:space="preserve"> SEQ level0 \*arabic \* MERGEFORMAT </w:instrText>
      </w:r>
      <w:r w:rsidRPr="004B0C8D">
        <w:fldChar w:fldCharType="separate"/>
      </w:r>
      <w:r w:rsidR="00531673" w:rsidRPr="004B0C8D">
        <w:rPr>
          <w:noProof/>
        </w:rPr>
        <w:t>16</w:t>
      </w:r>
      <w:r w:rsidRPr="004B0C8D">
        <w:fldChar w:fldCharType="end"/>
      </w:r>
      <w:bookmarkEnd w:id="9"/>
      <w:r w:rsidRPr="004B0C8D">
        <w:t>.  W dniu 3 października 2012 r. Sąd Okręgowy w Warszawie oddalił jej roszczenie. W toku postępowania sąd ustalił, że w przedmiotowym okresie skarżąca pracowała jako specjalist</w:t>
      </w:r>
      <w:r w:rsidR="00A15702">
        <w:t>k</w:t>
      </w:r>
      <w:r w:rsidRPr="004B0C8D">
        <w:t xml:space="preserve">a ds. marketingu. Przed wspomnianą konferencją prasową nigdy nie wypowiadała się publicznie i wielokrotnie </w:t>
      </w:r>
      <w:r w:rsidRPr="004B0C8D">
        <w:lastRenderedPageBreak/>
        <w:t>odmawiała udziału w wywiadach i programach telewizyjnych. Fakt, że była żoną J.</w:t>
      </w:r>
      <w:r w:rsidR="00A15702">
        <w:t xml:space="preserve"> </w:t>
      </w:r>
      <w:r w:rsidRPr="004B0C8D">
        <w:t>K. został ujawniony przez samego J.</w:t>
      </w:r>
      <w:r w:rsidR="00A15702">
        <w:t xml:space="preserve"> </w:t>
      </w:r>
      <w:r w:rsidRPr="004B0C8D">
        <w:t xml:space="preserve">K. w oświadczeniu dotyczącym jego sytuacji majątkowej opublikowanym na stronie internetowej Kancelarii Prezesa Rady Ministrów. Zgoda na ujawnienie nagrania (art. 156 § 5 Kodeksu postępowania karnego </w:t>
      </w:r>
      <w:r w:rsidR="0002432A">
        <w:t>–</w:t>
      </w:r>
      <w:r w:rsidRPr="004B0C8D">
        <w:t xml:space="preserve"> zob. </w:t>
      </w:r>
      <w:r w:rsidR="0002432A">
        <w:t>pkt </w:t>
      </w:r>
      <w:r w:rsidRPr="004B0C8D">
        <w:t xml:space="preserve">37 poniżej) została udzielona ustnie </w:t>
      </w:r>
      <w:r w:rsidR="00A4139C">
        <w:t>przez</w:t>
      </w:r>
      <w:r w:rsidR="00A4139C" w:rsidRPr="004B0C8D">
        <w:t xml:space="preserve"> E.</w:t>
      </w:r>
      <w:r w:rsidR="00A4139C">
        <w:t xml:space="preserve"> </w:t>
      </w:r>
      <w:r w:rsidR="00A4139C" w:rsidRPr="004B0C8D">
        <w:t>J.</w:t>
      </w:r>
      <w:r w:rsidR="00A4139C">
        <w:t>,</w:t>
      </w:r>
      <w:r w:rsidR="00A4139C" w:rsidRPr="004B0C8D">
        <w:t xml:space="preserve"> </w:t>
      </w:r>
      <w:r w:rsidRPr="004B0C8D">
        <w:t>szefową Prokuratury Okręgowej w</w:t>
      </w:r>
      <w:r w:rsidR="00017FCA">
        <w:t> </w:t>
      </w:r>
      <w:r w:rsidRPr="004B0C8D">
        <w:t xml:space="preserve">Warszawie przed konferencją, co następnie potwierdziła </w:t>
      </w:r>
      <w:r w:rsidR="00C70E9D">
        <w:t xml:space="preserve">ona </w:t>
      </w:r>
      <w:r w:rsidRPr="004B0C8D">
        <w:t>na piśmie.</w:t>
      </w:r>
    </w:p>
    <w:bookmarkStart w:id="10" w:name="WRC_31012_personalrightsnot_breached"/>
    <w:p w14:paraId="462B3B49" w14:textId="101C2B9E" w:rsidR="005C744B" w:rsidRPr="004B0C8D" w:rsidRDefault="00000000" w:rsidP="009D0429">
      <w:pPr>
        <w:pStyle w:val="JuPara"/>
        <w:rPr>
          <w:rFonts w:eastAsiaTheme="majorEastAsia"/>
        </w:rPr>
      </w:pPr>
      <w:r w:rsidRPr="004B0C8D">
        <w:rPr>
          <w:rFonts w:eastAsiaTheme="majorEastAsia"/>
        </w:rPr>
        <w:fldChar w:fldCharType="begin"/>
      </w:r>
      <w:r w:rsidRPr="004B0C8D">
        <w:rPr>
          <w:rFonts w:eastAsiaTheme="majorEastAsia"/>
        </w:rPr>
        <w:instrText xml:space="preserve"> SEQ level0 \*arabic \* MERGEFORMAT </w:instrText>
      </w:r>
      <w:r w:rsidRPr="004B0C8D">
        <w:rPr>
          <w:rFonts w:eastAsiaTheme="majorEastAsia"/>
        </w:rPr>
        <w:fldChar w:fldCharType="separate"/>
      </w:r>
      <w:r w:rsidR="00531673" w:rsidRPr="004B0C8D">
        <w:rPr>
          <w:rFonts w:eastAsiaTheme="majorEastAsia"/>
          <w:noProof/>
        </w:rPr>
        <w:t>17</w:t>
      </w:r>
      <w:r w:rsidRPr="004B0C8D">
        <w:rPr>
          <w:rFonts w:eastAsiaTheme="majorEastAsia"/>
        </w:rPr>
        <w:fldChar w:fldCharType="end"/>
      </w:r>
      <w:bookmarkEnd w:id="10"/>
      <w:r w:rsidRPr="004B0C8D">
        <w:t xml:space="preserve">.  W ocenie sądu nie doszło do naruszenia dóbr osobistych skarżącej. Jej dane osobowe były już powszechnie znane </w:t>
      </w:r>
      <w:r w:rsidR="00A4139C">
        <w:t>ze względu na</w:t>
      </w:r>
      <w:r w:rsidR="00A4139C" w:rsidRPr="004B0C8D">
        <w:t xml:space="preserve"> publiczn</w:t>
      </w:r>
      <w:r w:rsidR="00A4139C">
        <w:t>e</w:t>
      </w:r>
      <w:r w:rsidR="00A4139C" w:rsidRPr="004B0C8D">
        <w:t xml:space="preserve"> oświadczeni</w:t>
      </w:r>
      <w:r w:rsidR="00A4139C">
        <w:t>a</w:t>
      </w:r>
      <w:r w:rsidR="00A4139C" w:rsidRPr="004B0C8D">
        <w:t xml:space="preserve"> złożon</w:t>
      </w:r>
      <w:r w:rsidR="00A4139C">
        <w:t>e</w:t>
      </w:r>
      <w:r w:rsidR="00A4139C" w:rsidRPr="004B0C8D">
        <w:t xml:space="preserve"> </w:t>
      </w:r>
      <w:r w:rsidRPr="004B0C8D">
        <w:t>przez jej męża. Ponadto informacja o numerze domu skarżącej nie była wystarczająca do ustalenia jej dokładnego adresu.</w:t>
      </w:r>
      <w:r w:rsidR="00655AD9">
        <w:t xml:space="preserve"> </w:t>
      </w:r>
      <w:r w:rsidR="009B31C8">
        <w:t>Co więcej,</w:t>
      </w:r>
      <w:r w:rsidR="009B31C8" w:rsidRPr="004B0C8D">
        <w:t xml:space="preserve"> </w:t>
      </w:r>
      <w:r w:rsidRPr="004B0C8D">
        <w:t xml:space="preserve">skarżąca nie </w:t>
      </w:r>
      <w:r w:rsidR="00224E99" w:rsidRPr="004B0C8D">
        <w:t>zosta</w:t>
      </w:r>
      <w:r w:rsidR="00224E99">
        <w:t>ła</w:t>
      </w:r>
      <w:r w:rsidR="00224E99" w:rsidRPr="004B0C8D">
        <w:t xml:space="preserve"> </w:t>
      </w:r>
      <w:r w:rsidRPr="004B0C8D">
        <w:t>przedstawiona w</w:t>
      </w:r>
      <w:r w:rsidR="00224E99">
        <w:t> </w:t>
      </w:r>
      <w:r w:rsidRPr="004B0C8D">
        <w:t xml:space="preserve">sposób negatywny przez </w:t>
      </w:r>
      <w:r w:rsidR="00224E99">
        <w:t>J.</w:t>
      </w:r>
      <w:r w:rsidR="00A4139C">
        <w:t xml:space="preserve"> </w:t>
      </w:r>
      <w:r w:rsidR="00224E99">
        <w:t>E.</w:t>
      </w:r>
      <w:r w:rsidRPr="004B0C8D">
        <w:t xml:space="preserve"> Nie sugerowano, że była zaangażowana w</w:t>
      </w:r>
      <w:r w:rsidR="009B31C8">
        <w:t> </w:t>
      </w:r>
      <w:r w:rsidRPr="004B0C8D">
        <w:t>jakąkolwiek nielegalną działalność. Celem ujawnienia szczegółów rozmowy było poinformowanie opinii publicznej, że K.</w:t>
      </w:r>
      <w:r w:rsidR="00A4139C">
        <w:t xml:space="preserve"> </w:t>
      </w:r>
      <w:r w:rsidRPr="004B0C8D">
        <w:t>K. chciał poinformować skarżącą i jej męża o</w:t>
      </w:r>
      <w:r w:rsidR="0002432A">
        <w:t> </w:t>
      </w:r>
      <w:r w:rsidRPr="004B0C8D">
        <w:t>prawdopodobnym przeszukaniu ich domu. Ponadto pozwany nie działał bezprawnie, ponieważ konferencja prasowa została zorganizowana z powodu presji opinii publicznej. Z</w:t>
      </w:r>
      <w:r w:rsidR="00A4139C">
        <w:t>e wszystkich</w:t>
      </w:r>
      <w:r w:rsidR="009B31C8">
        <w:t> </w:t>
      </w:r>
      <w:r w:rsidRPr="004B0C8D">
        <w:t>powyższych względów sąd uznał, że nie doszło do naruszenia dóbr osobistych skarżącej.</w:t>
      </w:r>
    </w:p>
    <w:bookmarkStart w:id="11" w:name="WCA_61213_discloure_lawful"/>
    <w:p w14:paraId="038E4414" w14:textId="4641AEDD"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18</w:t>
      </w:r>
      <w:r w:rsidRPr="004B0C8D">
        <w:fldChar w:fldCharType="end"/>
      </w:r>
      <w:bookmarkEnd w:id="11"/>
      <w:r w:rsidRPr="004B0C8D">
        <w:t xml:space="preserve">.  W dniu 6 grudnia 2013 r. Sąd Apelacyjny w Warszawie utrzymał ten wyrok w mocy. Sąd podzielił ustalenia poczynione przez Sąd Okręgowy. </w:t>
      </w:r>
      <w:r w:rsidR="00A4139C">
        <w:t>Zauważył</w:t>
      </w:r>
      <w:r w:rsidRPr="004B0C8D">
        <w:t>, że zgoda na ujawnienie nagrań rozmowy skarżącej z K.</w:t>
      </w:r>
      <w:r w:rsidR="00A4139C">
        <w:t xml:space="preserve"> </w:t>
      </w:r>
      <w:r w:rsidRPr="004B0C8D">
        <w:t>K. została udzielona ustnie przez E.</w:t>
      </w:r>
      <w:r w:rsidR="00F22B2F">
        <w:t xml:space="preserve"> </w:t>
      </w:r>
      <w:r w:rsidRPr="004B0C8D">
        <w:t>J., szefową Prokuratury Okręgowej w Warszawie, przed konferencją prasową (na podstawie art. 156 § 5 Kodeksu postępowania karnego), co następnie potwierdziła</w:t>
      </w:r>
      <w:r w:rsidR="00C70E9D">
        <w:t xml:space="preserve"> ona</w:t>
      </w:r>
      <w:r w:rsidRPr="004B0C8D">
        <w:t xml:space="preserve"> na piśmie. Sąd </w:t>
      </w:r>
      <w:r w:rsidR="00F22B2F">
        <w:t>stwierdził</w:t>
      </w:r>
      <w:r w:rsidR="00F22B2F" w:rsidRPr="004B0C8D">
        <w:t xml:space="preserve"> </w:t>
      </w:r>
      <w:r w:rsidRPr="004B0C8D">
        <w:t xml:space="preserve">ponadto, że podczas konferencji prasowej pozwany działał nie jako osoba prywatna, </w:t>
      </w:r>
      <w:r w:rsidR="00117549">
        <w:t>lecz</w:t>
      </w:r>
      <w:r w:rsidR="00117549" w:rsidRPr="004B0C8D">
        <w:t xml:space="preserve"> </w:t>
      </w:r>
      <w:r w:rsidRPr="004B0C8D">
        <w:t xml:space="preserve">jako przedstawiciel prokuratury; w związku z tym nie </w:t>
      </w:r>
      <w:r w:rsidR="00F22B2F">
        <w:t xml:space="preserve">posiadał </w:t>
      </w:r>
      <w:proofErr w:type="spellStart"/>
      <w:r w:rsidR="00F22B2F" w:rsidRPr="0016179D">
        <w:rPr>
          <w:i/>
          <w:iCs/>
        </w:rPr>
        <w:t>locus</w:t>
      </w:r>
      <w:proofErr w:type="spellEnd"/>
      <w:r w:rsidR="00F22B2F" w:rsidRPr="0016179D">
        <w:rPr>
          <w:i/>
          <w:iCs/>
        </w:rPr>
        <w:t xml:space="preserve"> </w:t>
      </w:r>
      <w:proofErr w:type="spellStart"/>
      <w:r w:rsidR="00F22B2F" w:rsidRPr="0016179D">
        <w:rPr>
          <w:i/>
          <w:iCs/>
        </w:rPr>
        <w:t>standi</w:t>
      </w:r>
      <w:proofErr w:type="spellEnd"/>
      <w:r w:rsidR="00F22B2F" w:rsidRPr="004B0C8D">
        <w:t xml:space="preserve"> </w:t>
      </w:r>
      <w:r w:rsidRPr="004B0C8D">
        <w:t>w</w:t>
      </w:r>
      <w:r w:rsidR="00C70E9D">
        <w:t> </w:t>
      </w:r>
      <w:r w:rsidRPr="004B0C8D">
        <w:t>sprawie. Podsumowując, sąd stwierdził, że decyzja o</w:t>
      </w:r>
      <w:r w:rsidR="00017FCA">
        <w:t> </w:t>
      </w:r>
      <w:r w:rsidRPr="004B0C8D">
        <w:t>zorganizowaniu konferencji prasowej została podjęta przez zespół prokuratorów. Pozwany uczestniczył w konferencji jako Zastępca Prokuratora Generalnego. W</w:t>
      </w:r>
      <w:r w:rsidR="00C70E9D">
        <w:t> </w:t>
      </w:r>
      <w:r w:rsidRPr="004B0C8D">
        <w:t xml:space="preserve">związku z tym jego udział w konferencji miał charakter zawodowy, jako funkcjonariusza publicznego, a nie osoby prywatnej. W związku z tym nie mógł on ponosić odpowiedzialności wobec skarżącej, nawet gdyby doszło do </w:t>
      </w:r>
      <w:r w:rsidR="00F22B2F">
        <w:t xml:space="preserve">jakiegokolwiek </w:t>
      </w:r>
      <w:r w:rsidRPr="004B0C8D">
        <w:t>naruszenia jej dóbr osobistych.</w:t>
      </w:r>
    </w:p>
    <w:bookmarkStart w:id="12" w:name="WCA_61213_conference_justified"/>
    <w:p w14:paraId="03D65D9B" w14:textId="60DE3CE2"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19</w:t>
      </w:r>
      <w:r w:rsidRPr="004B0C8D">
        <w:fldChar w:fldCharType="end"/>
      </w:r>
      <w:bookmarkEnd w:id="12"/>
      <w:r w:rsidRPr="004B0C8D">
        <w:t xml:space="preserve">.  Wreszcie sąd </w:t>
      </w:r>
      <w:r w:rsidR="00F22B2F">
        <w:t>powołał</w:t>
      </w:r>
      <w:r w:rsidR="00F22B2F" w:rsidRPr="004B0C8D">
        <w:t xml:space="preserve"> </w:t>
      </w:r>
      <w:r w:rsidRPr="004B0C8D">
        <w:t>się na art. 61 ust. 1 Konstytucji RP, który dotyczył prawa do uzyskania informacji publicznej. Z uwagi na zainteresowanie opinii publicznej i mediów „aferą gruntową”, w którą zamieszani byli wysoko postawieni funkcjonariusze publiczni, zorganizowanie przedmiotowej konferencji prasowej było w pełni uzasadnione.</w:t>
      </w:r>
    </w:p>
    <w:p w14:paraId="51D1A879" w14:textId="5263E075" w:rsidR="005C744B" w:rsidRPr="004B0C8D" w:rsidRDefault="00000000" w:rsidP="009D0429">
      <w:pPr>
        <w:pStyle w:val="JuPara"/>
      </w:pPr>
      <w:fldSimple w:instr=" SEQ level0 \*arabic \* MERGEFORMAT ">
        <w:r w:rsidR="00531673" w:rsidRPr="004B0C8D">
          <w:rPr>
            <w:noProof/>
          </w:rPr>
          <w:t>20</w:t>
        </w:r>
      </w:fldSimple>
      <w:r w:rsidRPr="004B0C8D">
        <w:t xml:space="preserve">.  W dniu 20 maja 2015 r. Sąd Najwyższy uchylił ten wyrok i przekazał sprawę do ponownego rozpoznania przez Sąd Apelacyjny. Sąd </w:t>
      </w:r>
      <w:r w:rsidR="00F22B2F">
        <w:t>stwierdził</w:t>
      </w:r>
      <w:r w:rsidRPr="004B0C8D">
        <w:t xml:space="preserve">, że funkcjonariusz publiczny </w:t>
      </w:r>
      <w:r w:rsidR="00935F8F">
        <w:t>mógł być</w:t>
      </w:r>
      <w:r w:rsidRPr="004B0C8D">
        <w:t xml:space="preserve"> pociągnięty do odpowiedzialności za </w:t>
      </w:r>
      <w:r w:rsidRPr="004B0C8D">
        <w:lastRenderedPageBreak/>
        <w:t>naruszenie dóbr osobistych, nawet jeśli działał jako przedstawiciel państwa. Ponadto polecił Sądowi Apelacyjnemu zbadanie, czy w niniejszej sprawie doszło do naruszenia dóbr osobistych skarżącej.</w:t>
      </w:r>
    </w:p>
    <w:p w14:paraId="73390764" w14:textId="080C9285" w:rsidR="005C744B" w:rsidRPr="004B0C8D" w:rsidRDefault="00000000" w:rsidP="009D0429">
      <w:pPr>
        <w:pStyle w:val="JuPara"/>
      </w:pPr>
      <w:fldSimple w:instr=" SEQ level0 \*arabic \* MERGEFORMAT ">
        <w:r w:rsidR="00531673" w:rsidRPr="004B0C8D">
          <w:rPr>
            <w:noProof/>
          </w:rPr>
          <w:t>21</w:t>
        </w:r>
      </w:fldSimple>
      <w:r w:rsidRPr="004B0C8D">
        <w:t xml:space="preserve">.  Dnia 10 listopada 2016 r. Sąd Apelacyjny w Warszawie wydał wyrok i oddalił apelację skarżącej. Sąd </w:t>
      </w:r>
      <w:r w:rsidR="00935F8F">
        <w:t>stwierdził</w:t>
      </w:r>
      <w:r w:rsidRPr="004B0C8D">
        <w:t>, że decyzje dotyczące organizacji konferencji prasowej zostały podjęte wspólnie przez grupę prokuratorów, w</w:t>
      </w:r>
      <w:r w:rsidR="00FA4DDA">
        <w:t> </w:t>
      </w:r>
      <w:r w:rsidRPr="004B0C8D">
        <w:t xml:space="preserve">tym </w:t>
      </w:r>
      <w:r w:rsidR="00225CF2">
        <w:t>J.</w:t>
      </w:r>
      <w:r w:rsidR="00935F8F">
        <w:t xml:space="preserve"> </w:t>
      </w:r>
      <w:r w:rsidR="00225CF2">
        <w:t>E.</w:t>
      </w:r>
      <w:r w:rsidRPr="004B0C8D">
        <w:t xml:space="preserve"> Z tego powodu </w:t>
      </w:r>
      <w:r w:rsidR="00225CF2">
        <w:t>J.</w:t>
      </w:r>
      <w:r w:rsidR="00935F8F">
        <w:t xml:space="preserve"> </w:t>
      </w:r>
      <w:r w:rsidR="00225CF2">
        <w:t xml:space="preserve">E. </w:t>
      </w:r>
      <w:r w:rsidRPr="004B0C8D">
        <w:t xml:space="preserve">nie mógł </w:t>
      </w:r>
      <w:r w:rsidR="00935F8F">
        <w:t>być</w:t>
      </w:r>
      <w:r w:rsidR="00935F8F" w:rsidRPr="004B0C8D">
        <w:t xml:space="preserve"> </w:t>
      </w:r>
      <w:r w:rsidRPr="004B0C8D">
        <w:t>pociągnięty do odpowiedzialności za decyzje wydane przez prokuraturę, a jedynie za własne działania i indywidualne decyzje.</w:t>
      </w:r>
    </w:p>
    <w:bookmarkStart w:id="13" w:name="WCA_101116_disclosure_lawful"/>
    <w:p w14:paraId="6DDD7492" w14:textId="1C05E2DE"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22</w:t>
      </w:r>
      <w:r w:rsidRPr="004B0C8D">
        <w:fldChar w:fldCharType="end"/>
      </w:r>
      <w:bookmarkEnd w:id="13"/>
      <w:r w:rsidRPr="004B0C8D">
        <w:t>.  Sąd nie podzielił również stanowiska Sądu Okręgowego</w:t>
      </w:r>
      <w:r w:rsidR="00FE5D07">
        <w:t>,</w:t>
      </w:r>
      <w:r w:rsidRPr="004B0C8D">
        <w:t xml:space="preserve"> zgodnie z</w:t>
      </w:r>
      <w:r w:rsidR="00FA4DDA">
        <w:t> </w:t>
      </w:r>
      <w:r w:rsidRPr="004B0C8D">
        <w:t xml:space="preserve">którym fakt upublicznienia danych osobowych skarżącej podczas konferencji prasowej nie stanowił naruszenia jej dóbr osobistych. Stwierdził, że ujawnienie danych osobowych skarżącej i jej rozmowy telefonicznej oraz emisja jej głosu naruszyły jej osobiste prawo do szeroko rozumianej prywatności w zakresie, w jakim dotyczyły „autonomii informacyjnej jednostki”. Jednocześnie </w:t>
      </w:r>
      <w:r w:rsidR="00935F8F">
        <w:t xml:space="preserve">zgodził się z </w:t>
      </w:r>
      <w:r w:rsidRPr="004B0C8D">
        <w:t>Sąd</w:t>
      </w:r>
      <w:r w:rsidR="00935F8F">
        <w:t>em</w:t>
      </w:r>
      <w:r w:rsidRPr="004B0C8D">
        <w:t xml:space="preserve"> Okręgow</w:t>
      </w:r>
      <w:r w:rsidR="00935F8F">
        <w:t>ym, że</w:t>
      </w:r>
      <w:r w:rsidRPr="004B0C8D">
        <w:t xml:space="preserve"> wskazanie numeru domu skarżącej bez wskazania nazwy ulicy nie było równoznaczne z ujawnieniem jej adresu. Zgodził się również, że </w:t>
      </w:r>
      <w:r w:rsidR="00FE5D07">
        <w:t xml:space="preserve">nie </w:t>
      </w:r>
      <w:r w:rsidRPr="004B0C8D">
        <w:t>doszło do naruszenia reputacji i dobrego imienia skarżącej. Kontekst, w</w:t>
      </w:r>
      <w:r w:rsidR="00FE5D07">
        <w:t> </w:t>
      </w:r>
      <w:r w:rsidRPr="004B0C8D">
        <w:t>jakim skarżąca została wspomniana podczas konferencji prasowej, nie sugerował żadnych niewłaściwych działań z jej strony. Została przedstawiona jako żona J.</w:t>
      </w:r>
      <w:r w:rsidR="00E47A6C">
        <w:t xml:space="preserve"> </w:t>
      </w:r>
      <w:r w:rsidRPr="004B0C8D">
        <w:t xml:space="preserve">K., </w:t>
      </w:r>
      <w:r w:rsidR="00E47A6C">
        <w:br/>
      </w:r>
      <w:r w:rsidRPr="004B0C8D">
        <w:t xml:space="preserve">a jej rola została sprowadzona do roli domownika, który przypadkowo, </w:t>
      </w:r>
      <w:r w:rsidR="00E47A6C">
        <w:br/>
      </w:r>
      <w:r w:rsidRPr="004B0C8D">
        <w:t xml:space="preserve">w wyniku telefonu od Komendanta Głównego Policji, stał się jedną z osób </w:t>
      </w:r>
      <w:r w:rsidR="00E47A6C">
        <w:t>występujących</w:t>
      </w:r>
      <w:r w:rsidRPr="004B0C8D">
        <w:t xml:space="preserve"> w sprawie. W</w:t>
      </w:r>
      <w:r w:rsidR="00FE5D07">
        <w:t> </w:t>
      </w:r>
      <w:r w:rsidRPr="004B0C8D">
        <w:t xml:space="preserve">związku z tym nie można stwierdzić, że ujawnienie rozmowy telefonicznej skarżącej miało </w:t>
      </w:r>
      <w:r w:rsidR="00FE5D07">
        <w:t xml:space="preserve">negatywny </w:t>
      </w:r>
      <w:r w:rsidRPr="004B0C8D">
        <w:t>wpływ na jej reputację w oczach opinii publicznej.</w:t>
      </w:r>
    </w:p>
    <w:p w14:paraId="63CDFEF2" w14:textId="1FB0A4E4" w:rsidR="005C744B" w:rsidRPr="004B0C8D" w:rsidRDefault="00000000" w:rsidP="009D0429">
      <w:pPr>
        <w:pStyle w:val="JuPara"/>
      </w:pPr>
      <w:fldSimple w:instr=" SEQ level0 \*arabic \* MERGEFORMAT ">
        <w:r w:rsidR="00531673" w:rsidRPr="004B0C8D">
          <w:rPr>
            <w:noProof/>
          </w:rPr>
          <w:t>23</w:t>
        </w:r>
      </w:fldSimple>
      <w:r w:rsidRPr="004B0C8D">
        <w:t xml:space="preserve">.  Sąd </w:t>
      </w:r>
      <w:r w:rsidR="00E47A6C">
        <w:t>zbadał</w:t>
      </w:r>
      <w:r w:rsidRPr="004B0C8D">
        <w:t xml:space="preserve"> również dokument</w:t>
      </w:r>
      <w:r w:rsidR="00E47A6C">
        <w:t>y</w:t>
      </w:r>
      <w:r w:rsidRPr="004B0C8D">
        <w:t xml:space="preserve"> </w:t>
      </w:r>
      <w:r w:rsidR="00E47A6C">
        <w:t xml:space="preserve">związane </w:t>
      </w:r>
      <w:r w:rsidR="006F08D3">
        <w:t>z </w:t>
      </w:r>
      <w:r w:rsidR="001370D0">
        <w:t>niejawną kontrolą operacyjną</w:t>
      </w:r>
      <w:r w:rsidR="006F08D3" w:rsidRPr="004B0C8D">
        <w:t xml:space="preserve"> dotycząc</w:t>
      </w:r>
      <w:r w:rsidR="006F08D3">
        <w:t>ą</w:t>
      </w:r>
      <w:r w:rsidR="006F08D3" w:rsidRPr="004B0C8D">
        <w:t xml:space="preserve"> </w:t>
      </w:r>
      <w:r w:rsidRPr="004B0C8D">
        <w:t xml:space="preserve">skarżącej i potwierdził, że operacje te były zgodne </w:t>
      </w:r>
      <w:r w:rsidR="001370D0">
        <w:br/>
      </w:r>
      <w:r w:rsidRPr="004B0C8D">
        <w:t>z prawem i</w:t>
      </w:r>
      <w:r w:rsidR="00FA4DDA">
        <w:t> </w:t>
      </w:r>
      <w:r w:rsidRPr="004B0C8D">
        <w:t xml:space="preserve">obowiązującymi procedurami. Działania </w:t>
      </w:r>
      <w:r w:rsidR="004C06BD" w:rsidRPr="004B0C8D">
        <w:t>podję</w:t>
      </w:r>
      <w:r w:rsidR="004C06BD">
        <w:t>te</w:t>
      </w:r>
      <w:r w:rsidR="004C06BD" w:rsidRPr="004B0C8D">
        <w:t xml:space="preserve"> </w:t>
      </w:r>
      <w:r w:rsidRPr="004B0C8D">
        <w:t xml:space="preserve">przez CBA </w:t>
      </w:r>
      <w:r w:rsidR="001370D0">
        <w:br/>
      </w:r>
      <w:r w:rsidRPr="004B0C8D">
        <w:t xml:space="preserve">i ABW </w:t>
      </w:r>
      <w:r w:rsidR="004C06BD">
        <w:t>były przedmiotem</w:t>
      </w:r>
      <w:r w:rsidR="004C06BD" w:rsidRPr="004B0C8D">
        <w:t xml:space="preserve"> </w:t>
      </w:r>
      <w:r w:rsidRPr="004B0C8D">
        <w:t>kontroli sądowej. Nagranie rozmowy skarżącej z</w:t>
      </w:r>
      <w:r w:rsidR="006F08D3">
        <w:t> </w:t>
      </w:r>
      <w:r w:rsidRPr="004B0C8D">
        <w:t>K.</w:t>
      </w:r>
      <w:r w:rsidR="004C06BD">
        <w:t xml:space="preserve"> </w:t>
      </w:r>
      <w:r w:rsidRPr="004B0C8D">
        <w:t>K. zostało uzyskane za zgodą właściwego sądu. Sąd uznał, że naruszenie praw skarżącej nie było bezprawne i z tego powodu oddalił powództwo.</w:t>
      </w:r>
    </w:p>
    <w:bookmarkStart w:id="14" w:name="SC_231117"/>
    <w:p w14:paraId="70BA7822" w14:textId="1AAC2E4C"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24</w:t>
      </w:r>
      <w:r w:rsidRPr="004B0C8D">
        <w:fldChar w:fldCharType="end"/>
      </w:r>
      <w:bookmarkEnd w:id="14"/>
      <w:r w:rsidRPr="004B0C8D">
        <w:t xml:space="preserve">.  W dniu 23 listopada 2017 r. Sąd Najwyższy odmówił przyjęcia do rozpoznania </w:t>
      </w:r>
      <w:r w:rsidR="004C06BD">
        <w:t>kolejnej</w:t>
      </w:r>
      <w:r w:rsidR="004C06BD" w:rsidRPr="00E547D2">
        <w:t xml:space="preserve"> </w:t>
      </w:r>
      <w:r w:rsidRPr="004B0C8D">
        <w:t xml:space="preserve">skargi kasacyjnej </w:t>
      </w:r>
      <w:r w:rsidR="004C06BD">
        <w:t>skarżącej</w:t>
      </w:r>
      <w:r w:rsidRPr="004B0C8D">
        <w:t>.</w:t>
      </w:r>
    </w:p>
    <w:p w14:paraId="3C9F919C" w14:textId="77777777" w:rsidR="005C744B" w:rsidRPr="004B0C8D" w:rsidRDefault="00000000" w:rsidP="009D0429">
      <w:pPr>
        <w:pStyle w:val="JuHIRoman"/>
      </w:pPr>
      <w:r w:rsidRPr="004B0C8D">
        <w:rPr>
          <w:caps w:val="0"/>
        </w:rPr>
        <w:t xml:space="preserve"> NISZCZENIE MATERIAŁÓW Z INWIGILACJI</w:t>
      </w:r>
    </w:p>
    <w:bookmarkStart w:id="15" w:name="Gamm_gwaizda_conversationswithhusband_so"/>
    <w:p w14:paraId="50A1DED2" w14:textId="69FBB491"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25</w:t>
      </w:r>
      <w:r w:rsidRPr="004B0C8D">
        <w:fldChar w:fldCharType="end"/>
      </w:r>
      <w:bookmarkEnd w:id="15"/>
      <w:r w:rsidRPr="004B0C8D">
        <w:t xml:space="preserve">.  Podczas tajnych operacji GAMMA i GWIAZDA 4 (zob. </w:t>
      </w:r>
      <w:r w:rsidR="00E547D2">
        <w:t>pkt </w:t>
      </w:r>
      <w:r w:rsidRPr="004B0C8D">
        <w:t xml:space="preserve">7 powyżej), które zostały przeprowadzone przez wyspecjalizowane agencje,  mianowicie ABW i CBA, </w:t>
      </w:r>
      <w:r w:rsidR="009E7E00">
        <w:t>organy</w:t>
      </w:r>
      <w:r w:rsidR="009E7E00" w:rsidRPr="004B0C8D">
        <w:t xml:space="preserve"> </w:t>
      </w:r>
      <w:r w:rsidRPr="004B0C8D">
        <w:t xml:space="preserve">zebrały materiały, w tym stenogramy rozmów telefonicznych </w:t>
      </w:r>
      <w:r w:rsidR="009E7E00">
        <w:t>po</w:t>
      </w:r>
      <w:r w:rsidRPr="004B0C8D">
        <w:t xml:space="preserve">między skarżącą </w:t>
      </w:r>
      <w:r w:rsidR="009E7E00">
        <w:t>i</w:t>
      </w:r>
      <w:r w:rsidRPr="004B0C8D">
        <w:t xml:space="preserve"> jej mężem oraz </w:t>
      </w:r>
      <w:r w:rsidR="009E7E00">
        <w:t>po</w:t>
      </w:r>
      <w:r w:rsidRPr="004B0C8D">
        <w:t xml:space="preserve">między skarżącą </w:t>
      </w:r>
      <w:r w:rsidR="009E7E00">
        <w:t>i</w:t>
      </w:r>
      <w:r w:rsidRPr="004B0C8D">
        <w:t xml:space="preserve"> jej synem. Skarżąca stwierdziła, że rozmowy te miały charakter osobisty i intymny.</w:t>
      </w:r>
    </w:p>
    <w:bookmarkStart w:id="16" w:name="refusal_todestroy_material140710"/>
    <w:p w14:paraId="6CEDED43" w14:textId="0C60B2C7" w:rsidR="005C744B" w:rsidRPr="004B0C8D" w:rsidRDefault="00000000" w:rsidP="009D0429">
      <w:pPr>
        <w:pStyle w:val="JuPara"/>
      </w:pPr>
      <w:r w:rsidRPr="004B0C8D">
        <w:lastRenderedPageBreak/>
        <w:fldChar w:fldCharType="begin"/>
      </w:r>
      <w:r w:rsidRPr="004B0C8D">
        <w:instrText xml:space="preserve"> SEQ level0 \*arabic \* MERGEFORMAT </w:instrText>
      </w:r>
      <w:r w:rsidRPr="004B0C8D">
        <w:fldChar w:fldCharType="separate"/>
      </w:r>
      <w:r w:rsidR="00531673" w:rsidRPr="004B0C8D">
        <w:rPr>
          <w:noProof/>
        </w:rPr>
        <w:t>26</w:t>
      </w:r>
      <w:r w:rsidRPr="004B0C8D">
        <w:fldChar w:fldCharType="end"/>
      </w:r>
      <w:bookmarkEnd w:id="16"/>
      <w:r w:rsidRPr="004B0C8D">
        <w:t xml:space="preserve">.  W dniu 1 czerwca 2010 r. skarżąca zwróciła się do Prokuratora Generalnego o zniszczenie materiałów </w:t>
      </w:r>
      <w:r w:rsidR="00A62876">
        <w:t>zgromadzonych</w:t>
      </w:r>
      <w:r w:rsidR="00A62876" w:rsidRPr="004B0C8D">
        <w:t xml:space="preserve"> </w:t>
      </w:r>
      <w:r w:rsidRPr="004B0C8D">
        <w:t xml:space="preserve">podczas </w:t>
      </w:r>
      <w:r w:rsidR="001370D0">
        <w:t>niejawnej kontroli operacyjnej</w:t>
      </w:r>
      <w:r w:rsidRPr="004B0C8D">
        <w:t>. W odpowiedzi, w dniu 14 lipca 2010 r.</w:t>
      </w:r>
      <w:r w:rsidR="005B7EDF">
        <w:t>,</w:t>
      </w:r>
      <w:r w:rsidRPr="004B0C8D">
        <w:t xml:space="preserve"> Prokurator Okręgowy w</w:t>
      </w:r>
      <w:r w:rsidR="00E547D2">
        <w:t> </w:t>
      </w:r>
      <w:r w:rsidRPr="004B0C8D">
        <w:t>Warszawie poinformował ją, że ponieważ stenogramy zostały włączone do materiału procesowego, to nie mogły zostać zniszczone na podstawie art.</w:t>
      </w:r>
      <w:r w:rsidR="005B7EDF">
        <w:t> </w:t>
      </w:r>
      <w:r w:rsidRPr="004B0C8D">
        <w:t xml:space="preserve">27 ust. 1 ustawy o Agencji Bezpieczeństwa Wewnętrznego oraz Agencji Wywiadu. Ponadto nie mogły one zostać zniszczone na </w:t>
      </w:r>
      <w:r w:rsidR="00A62876">
        <w:t>podstawie</w:t>
      </w:r>
      <w:r w:rsidR="00A62876" w:rsidRPr="004B0C8D">
        <w:t xml:space="preserve"> </w:t>
      </w:r>
      <w:r w:rsidRPr="004B0C8D">
        <w:t xml:space="preserve">odpowiednich przepisów Kodeksu postępowania karnego, ponieważ </w:t>
      </w:r>
      <w:r w:rsidR="001370D0">
        <w:t>kontrola operacyjna</w:t>
      </w:r>
      <w:r w:rsidRPr="004B0C8D">
        <w:t xml:space="preserve"> nie </w:t>
      </w:r>
      <w:r w:rsidR="00A62876">
        <w:t>był</w:t>
      </w:r>
      <w:r w:rsidR="001370D0">
        <w:t>a</w:t>
      </w:r>
      <w:r w:rsidR="00A62876" w:rsidRPr="004B0C8D">
        <w:t xml:space="preserve"> </w:t>
      </w:r>
      <w:r w:rsidRPr="004B0C8D">
        <w:t>przeprowadz</w:t>
      </w:r>
      <w:r w:rsidR="00A62876">
        <w:t>a</w:t>
      </w:r>
      <w:r w:rsidRPr="004B0C8D">
        <w:t>n</w:t>
      </w:r>
      <w:r w:rsidR="001370D0">
        <w:t>a</w:t>
      </w:r>
      <w:r w:rsidRPr="004B0C8D">
        <w:t xml:space="preserve"> w ramach postępowania karnego. Jednocześnie prokurator zapewnił skarżącą, że stenogramy, które dotyczyły jej życia prywatnego, nie stanowiły informacji publicznej, a zatem nie mogły zostać udostępnione publicznie.</w:t>
      </w:r>
    </w:p>
    <w:p w14:paraId="7EB40E69" w14:textId="322F100F" w:rsidR="005C744B" w:rsidRPr="004B0C8D" w:rsidRDefault="00000000" w:rsidP="009D0429">
      <w:pPr>
        <w:pStyle w:val="JuPara"/>
      </w:pPr>
      <w:fldSimple w:instr=" SEQ level0 \*arabic \* MERGEFORMAT ">
        <w:r w:rsidR="00531673" w:rsidRPr="004B0C8D">
          <w:rPr>
            <w:noProof/>
          </w:rPr>
          <w:t>27</w:t>
        </w:r>
      </w:fldSimple>
      <w:r w:rsidRPr="004B0C8D">
        <w:t xml:space="preserve">.  Pismem z 27 lipca 2010 r. Ministerstwo Sprawiedliwości poinformowało skarżącą, że przepisy dotyczące niszczenia stenogramów materiałów z </w:t>
      </w:r>
      <w:r w:rsidR="001370D0">
        <w:t>kontroli operacyjnej</w:t>
      </w:r>
      <w:r w:rsidR="001370D0" w:rsidRPr="004B0C8D">
        <w:t xml:space="preserve"> </w:t>
      </w:r>
      <w:r w:rsidRPr="004B0C8D">
        <w:t>są w trakcie zmiany.</w:t>
      </w:r>
    </w:p>
    <w:p w14:paraId="5C99C1B6" w14:textId="420AD932" w:rsidR="005C744B" w:rsidRPr="004B0C8D" w:rsidRDefault="00000000" w:rsidP="009D0429">
      <w:pPr>
        <w:pStyle w:val="JuPara"/>
      </w:pPr>
      <w:fldSimple w:instr=" SEQ level0 \*arabic \* MERGEFORMAT ">
        <w:r w:rsidR="00531673" w:rsidRPr="004B0C8D">
          <w:rPr>
            <w:noProof/>
          </w:rPr>
          <w:t>28</w:t>
        </w:r>
      </w:fldSimple>
      <w:r w:rsidRPr="004B0C8D">
        <w:t xml:space="preserve">.  W dniu 11 czerwca 2010 r. weszły w życie zmiany Kodeksu postępowania karnego (zob. </w:t>
      </w:r>
      <w:r w:rsidR="005B7EDF">
        <w:t>pkt </w:t>
      </w:r>
      <w:r w:rsidRPr="004B0C8D">
        <w:t>36 poniżej). Na mocy zmienionego art.</w:t>
      </w:r>
      <w:r w:rsidR="00E547D2">
        <w:t> </w:t>
      </w:r>
      <w:r w:rsidRPr="004B0C8D">
        <w:t xml:space="preserve">238 możliwe stało się zniszczenie materiałów z </w:t>
      </w:r>
      <w:r w:rsidR="001370D0">
        <w:t xml:space="preserve">kontroli operacyjnej </w:t>
      </w:r>
      <w:r w:rsidRPr="004B0C8D">
        <w:t>w całości lub w</w:t>
      </w:r>
      <w:r w:rsidR="00E547D2">
        <w:t> </w:t>
      </w:r>
      <w:r w:rsidRPr="004B0C8D">
        <w:t>części na wniosek prokuratora prowadzącego postępowanie przygotowawcze lub dowolnej zainteresowanej strony.</w:t>
      </w:r>
    </w:p>
    <w:bookmarkStart w:id="17" w:name="refusal_todestroy_conflictinginformation"/>
    <w:p w14:paraId="11A94ECB" w14:textId="7E225DB0"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29</w:t>
      </w:r>
      <w:r w:rsidRPr="004B0C8D">
        <w:fldChar w:fldCharType="end"/>
      </w:r>
      <w:bookmarkEnd w:id="17"/>
      <w:r w:rsidRPr="004B0C8D">
        <w:t>.  Następnie w kilku pismach pochodzących od prokuratury (które zostały wystosowane w okresie między 16 marca 2012 r. a 13 września 2012</w:t>
      </w:r>
      <w:r w:rsidR="005B7EDF">
        <w:t> </w:t>
      </w:r>
      <w:r w:rsidRPr="004B0C8D">
        <w:t>r.) skarżąca otrzymała różne, sprzeczne informacje dotyczące możliwości zniszczenia materiału.</w:t>
      </w:r>
    </w:p>
    <w:p w14:paraId="274075E6" w14:textId="19DAD2E8" w:rsidR="005C744B" w:rsidRPr="004B0C8D" w:rsidRDefault="00000000" w:rsidP="009D0429">
      <w:pPr>
        <w:pStyle w:val="JuPara"/>
      </w:pPr>
      <w:fldSimple w:instr=" SEQ level0 \*arabic \* MERGEFORMAT ">
        <w:r w:rsidR="00531673" w:rsidRPr="004B0C8D">
          <w:rPr>
            <w:noProof/>
          </w:rPr>
          <w:t>30</w:t>
        </w:r>
      </w:fldSimple>
      <w:r w:rsidRPr="004B0C8D">
        <w:t>.  W dniu 4 grudnia 2012</w:t>
      </w:r>
      <w:r w:rsidR="00C95A43">
        <w:t> r.</w:t>
      </w:r>
      <w:r w:rsidR="00C95A43" w:rsidRPr="004B0C8D">
        <w:t xml:space="preserve"> </w:t>
      </w:r>
      <w:r w:rsidRPr="004B0C8D">
        <w:t>Prokurator Apelacyjny w Warszawie poinformował skarżącą, że istnieją rozbieżności w interpretacji odpowiednich przepisów, ponieważ nie było jasne, czy nowe przepisy mają zastosowanie do postępowań zakończonych przed 11 czerwca 2011 r. Opierając się na orzecznictwie Trybunału Konstytucyjnego, prokurator był zdania, że skoro śledztwo w sprawie skarżącej zostało umorzone przed dniem 11 czerwca 2011 r., prokurator prowadzący nie mógł zwrócić się do sądu o</w:t>
      </w:r>
      <w:r w:rsidR="00E547D2">
        <w:t> </w:t>
      </w:r>
      <w:r w:rsidRPr="004B0C8D">
        <w:t xml:space="preserve">nakazanie zniszczenia materiałów z </w:t>
      </w:r>
      <w:r w:rsidR="003A60E3">
        <w:t>niejawnej kontroli operacyjnej</w:t>
      </w:r>
      <w:r w:rsidRPr="004B0C8D">
        <w:t xml:space="preserve">. Jednocześnie skarżąca została poinformowana, że zgodnie z art. 238 § 5 Kodeksu postępowania karnego może </w:t>
      </w:r>
      <w:r w:rsidR="003A60E3">
        <w:t>sama</w:t>
      </w:r>
      <w:r w:rsidR="003A60E3" w:rsidRPr="004B0C8D">
        <w:t xml:space="preserve"> </w:t>
      </w:r>
      <w:r w:rsidRPr="004B0C8D">
        <w:t>wystąpić z wnioskiem do sądu.</w:t>
      </w:r>
    </w:p>
    <w:p w14:paraId="6EF7BC36" w14:textId="7AD9C0EE" w:rsidR="005C744B" w:rsidRPr="004B0C8D" w:rsidRDefault="00000000" w:rsidP="009D0429">
      <w:pPr>
        <w:pStyle w:val="JuPara"/>
      </w:pPr>
      <w:fldSimple w:instr=" SEQ level0 \*arabic \* MERGEFORMAT ">
        <w:r w:rsidR="00531673" w:rsidRPr="004B0C8D">
          <w:rPr>
            <w:noProof/>
          </w:rPr>
          <w:t>31</w:t>
        </w:r>
      </w:fldSimple>
      <w:r w:rsidRPr="004B0C8D">
        <w:t xml:space="preserve">.  W dniach 10 kwietnia 2013 r. i 17 lutego 2014 r. skarżąca wystąpiła do Sądu Rejonowego dla Warszawy-Mokotowa </w:t>
      </w:r>
      <w:r w:rsidR="003A60E3">
        <w:t xml:space="preserve">w Warszawie </w:t>
      </w:r>
      <w:r w:rsidRPr="004B0C8D">
        <w:t xml:space="preserve">z wnioskiem </w:t>
      </w:r>
      <w:r w:rsidR="003A60E3">
        <w:br/>
      </w:r>
      <w:r w:rsidRPr="004B0C8D">
        <w:t xml:space="preserve">o zniszczenie materiałów dotyczących jej osoby, które zostały uzyskane </w:t>
      </w:r>
      <w:r w:rsidR="003A60E3">
        <w:br/>
        <w:t>w trakcie niejawnej kontroli operacyjnej</w:t>
      </w:r>
      <w:r w:rsidRPr="004B0C8D">
        <w:t>.</w:t>
      </w:r>
    </w:p>
    <w:bookmarkStart w:id="18" w:name="refusal_todestroy_WDC_220514"/>
    <w:p w14:paraId="30FC64A5" w14:textId="170B40F1"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32</w:t>
      </w:r>
      <w:r w:rsidRPr="004B0C8D">
        <w:fldChar w:fldCharType="end"/>
      </w:r>
      <w:bookmarkEnd w:id="18"/>
      <w:r w:rsidRPr="004B0C8D">
        <w:t xml:space="preserve">.  Na posiedzeniu w dniu 22 maja 2014 r. Sąd Rejonowy dla Warszawy-Mokotowa </w:t>
      </w:r>
      <w:r w:rsidR="003A60E3">
        <w:t xml:space="preserve">w Warszawie </w:t>
      </w:r>
      <w:r w:rsidRPr="004B0C8D">
        <w:t xml:space="preserve">oddalił jej wniosek. Sąd </w:t>
      </w:r>
      <w:r w:rsidR="003A60E3">
        <w:t>stwierdził, że nie jest możliwe</w:t>
      </w:r>
      <w:r w:rsidRPr="004B0C8D">
        <w:t xml:space="preserve"> zastosowanie art. 238 §§ 4 i 5 Kodeksu postępowania karnego (który dotyczył zniszczenia materiałów uzyskanych w </w:t>
      </w:r>
      <w:r w:rsidR="003A60E3">
        <w:t>trakcie niejawnej kontroli operacyjnej</w:t>
      </w:r>
      <w:r w:rsidRPr="004B0C8D">
        <w:t xml:space="preserve">). Pozostała część orzeczenia sądu została utajniona. Od tego orzeczenia nie przysługiwał środek </w:t>
      </w:r>
      <w:r w:rsidR="00877EB2">
        <w:t>odwoławczy</w:t>
      </w:r>
      <w:r w:rsidRPr="004B0C8D">
        <w:t>.</w:t>
      </w:r>
    </w:p>
    <w:p w14:paraId="5DADDFB0" w14:textId="62B99622" w:rsidR="005C744B" w:rsidRPr="004B0C8D" w:rsidRDefault="00000000" w:rsidP="009D0429">
      <w:pPr>
        <w:pStyle w:val="JuPara"/>
      </w:pPr>
      <w:fldSimple w:instr=" SEQ level0 \*arabic \* MERGEFORMAT ">
        <w:r w:rsidR="00531673" w:rsidRPr="004B0C8D">
          <w:rPr>
            <w:noProof/>
          </w:rPr>
          <w:t>33</w:t>
        </w:r>
      </w:fldSimple>
      <w:r w:rsidRPr="004B0C8D">
        <w:t>.  Rząd stwierdził, że akta postępowania karnego (V</w:t>
      </w:r>
      <w:r w:rsidR="00811793">
        <w:t> </w:t>
      </w:r>
      <w:r w:rsidRPr="004B0C8D">
        <w:t>Ds. 324/07 i</w:t>
      </w:r>
      <w:r w:rsidR="00811793">
        <w:t> </w:t>
      </w:r>
      <w:r w:rsidRPr="004B0C8D">
        <w:t>V</w:t>
      </w:r>
      <w:r w:rsidR="00811793">
        <w:t> </w:t>
      </w:r>
      <w:r w:rsidRPr="004B0C8D">
        <w:t xml:space="preserve">Ds. 400/07) oraz materiały uzyskane w </w:t>
      </w:r>
      <w:r w:rsidR="00877EB2">
        <w:t>trakcie kontroli operacyjnej</w:t>
      </w:r>
      <w:r w:rsidRPr="004B0C8D">
        <w:t xml:space="preserve"> zostały zabezpieczone w Prokuraturze Okręgowej w Warszawie. Uznaje się je za materiały niearchiwalne kategorii B (zob. </w:t>
      </w:r>
      <w:r w:rsidR="00811793">
        <w:t>pkt </w:t>
      </w:r>
      <w:r w:rsidRPr="004B0C8D">
        <w:t>39 i 87 poniżej) podlegające minimalnemu okresowi przechowywania wynoszącemu pięć lat od zakończenia postępowania.</w:t>
      </w:r>
    </w:p>
    <w:p w14:paraId="726B434B" w14:textId="77777777" w:rsidR="005C744B" w:rsidRPr="004B0C8D" w:rsidRDefault="00000000" w:rsidP="009D0429">
      <w:pPr>
        <w:pStyle w:val="JuHHead"/>
      </w:pPr>
      <w:r w:rsidRPr="004B0C8D">
        <w:t>WŁAŚCIWE RAMY PRAWNE I PRAKTYKA</w:t>
      </w:r>
    </w:p>
    <w:p w14:paraId="180184B7" w14:textId="77777777" w:rsidR="005C744B" w:rsidRPr="004B0C8D" w:rsidRDefault="00000000" w:rsidP="009D0429">
      <w:pPr>
        <w:pStyle w:val="JuHIRoman"/>
      </w:pPr>
      <w:r w:rsidRPr="004B0C8D">
        <w:rPr>
          <w:caps w:val="0"/>
        </w:rPr>
        <w:t>KONSTYTUCJA</w:t>
      </w:r>
    </w:p>
    <w:p w14:paraId="0D4D2CB0" w14:textId="7156309D" w:rsidR="005C744B" w:rsidRPr="004B0C8D" w:rsidRDefault="00000000" w:rsidP="009D0429">
      <w:pPr>
        <w:pStyle w:val="JuPara"/>
      </w:pPr>
      <w:fldSimple w:instr=" SEQ level0 \*arabic \* MERGEFORMAT ">
        <w:r w:rsidR="00531673" w:rsidRPr="004B0C8D">
          <w:rPr>
            <w:noProof/>
          </w:rPr>
          <w:t>34</w:t>
        </w:r>
      </w:fldSimple>
      <w:r w:rsidRPr="004B0C8D">
        <w:t xml:space="preserve">.  Artykuł 61 ust. 1 </w:t>
      </w:r>
      <w:r w:rsidR="005A313A">
        <w:t>Konstytucji RP</w:t>
      </w:r>
      <w:r w:rsidRPr="004B0C8D">
        <w:t>, w istotnym dla sprawy zakresie, stanowi:</w:t>
      </w:r>
    </w:p>
    <w:p w14:paraId="64B804FF" w14:textId="031DCFB6" w:rsidR="005C744B" w:rsidRPr="004B0C8D" w:rsidRDefault="00000000" w:rsidP="009D0429">
      <w:pPr>
        <w:pStyle w:val="JuQuot"/>
      </w:pPr>
      <w:r w:rsidRPr="004B0C8D">
        <w:t>„1.  Obywatel ma prawo do uzyskiwania informacji o działalności organów władzy publicznej oraz osób pełniących funkcje publiczne</w:t>
      </w:r>
      <w:r w:rsidR="005A313A">
        <w:t xml:space="preserve"> [</w:t>
      </w:r>
      <w:r w:rsidRPr="004B0C8D">
        <w:t>...</w:t>
      </w:r>
      <w:r w:rsidR="005A313A">
        <w:t>]</w:t>
      </w:r>
      <w:r w:rsidRPr="004B0C8D">
        <w:t>”</w:t>
      </w:r>
      <w:r w:rsidR="005A313A">
        <w:t>.</w:t>
      </w:r>
    </w:p>
    <w:p w14:paraId="02A49929" w14:textId="04C1828D" w:rsidR="005C744B" w:rsidRPr="004B0C8D" w:rsidRDefault="00000000" w:rsidP="009D0429">
      <w:pPr>
        <w:pStyle w:val="JuHIRoman"/>
      </w:pPr>
      <w:r w:rsidRPr="004B0C8D">
        <w:rPr>
          <w:caps w:val="0"/>
        </w:rPr>
        <w:t xml:space="preserve">PRZECHOWYWANIE I NISZCZENIE INFORMACJI UZYSKANYCH W </w:t>
      </w:r>
      <w:r w:rsidR="00877EB2">
        <w:rPr>
          <w:caps w:val="0"/>
        </w:rPr>
        <w:t>TRAKCIE NIEJAWNEJ KONTROLI OPERACYJNEJ</w:t>
      </w:r>
    </w:p>
    <w:p w14:paraId="7F946A4B" w14:textId="77777777" w:rsidR="005C744B" w:rsidRPr="004B0C8D" w:rsidRDefault="00000000" w:rsidP="009D0429">
      <w:pPr>
        <w:pStyle w:val="JuHA"/>
        <w:numPr>
          <w:ilvl w:val="2"/>
          <w:numId w:val="2"/>
        </w:numPr>
      </w:pPr>
      <w:r w:rsidRPr="004B0C8D">
        <w:t>Kodeks postępowania karnego</w:t>
      </w:r>
    </w:p>
    <w:p w14:paraId="7BBECC7C" w14:textId="64F2BB1B" w:rsidR="005C744B" w:rsidRPr="004B0C8D" w:rsidRDefault="00000000" w:rsidP="009D0429">
      <w:pPr>
        <w:pStyle w:val="JuPara"/>
      </w:pPr>
      <w:fldSimple w:instr=" SEQ level0 \*arabic \* MERGEFORMAT ">
        <w:r w:rsidR="00531673" w:rsidRPr="004B0C8D">
          <w:rPr>
            <w:noProof/>
          </w:rPr>
          <w:t>35</w:t>
        </w:r>
      </w:fldSimple>
      <w:r w:rsidRPr="004B0C8D">
        <w:t xml:space="preserve">.  Przepisy dotyczące przechowywania i niszczenia danych </w:t>
      </w:r>
      <w:r w:rsidR="00877EB2">
        <w:t>uzyskanych</w:t>
      </w:r>
      <w:r w:rsidR="00877EB2" w:rsidRPr="004B0C8D">
        <w:t xml:space="preserve"> </w:t>
      </w:r>
      <w:r w:rsidR="00877EB2">
        <w:t>w trakcie niejawnej kontroli operacyjnej</w:t>
      </w:r>
      <w:r w:rsidRPr="004B0C8D">
        <w:t xml:space="preserve"> </w:t>
      </w:r>
      <w:r w:rsidR="00877EB2">
        <w:t>znajdują się</w:t>
      </w:r>
      <w:r w:rsidRPr="004B0C8D">
        <w:t xml:space="preserve"> w</w:t>
      </w:r>
      <w:r w:rsidR="000E21D5">
        <w:t> </w:t>
      </w:r>
      <w:r w:rsidRPr="004B0C8D">
        <w:t>Kodeksie postępowania karnego („Kodeks”). Do dnia 11 czerwca 2010 r. art. 238 § 3 Kodeksu stanowił:</w:t>
      </w:r>
    </w:p>
    <w:p w14:paraId="61B7B0F3" w14:textId="4F924726" w:rsidR="005C744B" w:rsidRPr="004B0C8D" w:rsidRDefault="00000000" w:rsidP="009D0429">
      <w:pPr>
        <w:pStyle w:val="JuQuot"/>
      </w:pPr>
      <w:r w:rsidRPr="004B0C8D">
        <w:t>„Po zakończeniu kontroli sąd zarządza zniszczenie utrwalonych zapisów, jeżeli nie mają znaczenia dla postępowania karnego”.</w:t>
      </w:r>
    </w:p>
    <w:bookmarkStart w:id="19" w:name="ammendmnetstoCCP_110610"/>
    <w:p w14:paraId="5F0C3683" w14:textId="26803ECF"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36</w:t>
      </w:r>
      <w:r w:rsidRPr="004B0C8D">
        <w:fldChar w:fldCharType="end"/>
      </w:r>
      <w:bookmarkEnd w:id="19"/>
      <w:r w:rsidRPr="004B0C8D">
        <w:t xml:space="preserve">.  W dniu 11 czerwca 2010 r. do art. 238 Kodeksu dodano </w:t>
      </w:r>
      <w:r w:rsidR="00FC24F9">
        <w:t>paragrafy</w:t>
      </w:r>
      <w:r w:rsidR="00FC24F9" w:rsidRPr="004B0C8D">
        <w:t xml:space="preserve"> </w:t>
      </w:r>
      <w:r w:rsidRPr="004B0C8D">
        <w:t>4 i</w:t>
      </w:r>
      <w:r w:rsidR="007B5DED">
        <w:t> </w:t>
      </w:r>
      <w:r w:rsidRPr="004B0C8D">
        <w:t>5 w następującym brzmieniu:</w:t>
      </w:r>
    </w:p>
    <w:p w14:paraId="7294306E" w14:textId="462EB389" w:rsidR="005C744B" w:rsidRPr="004B0C8D" w:rsidRDefault="00000000" w:rsidP="009D0429">
      <w:pPr>
        <w:pStyle w:val="JuQuot"/>
      </w:pPr>
      <w:r w:rsidRPr="004B0C8D">
        <w:t xml:space="preserve">„§ 4.  Po zakończeniu postępowania przygotowawczego prokurator wnosi [do sądu] </w:t>
      </w:r>
      <w:r w:rsidR="00F26DDD">
        <w:t>o zarządzenie zniszczenia</w:t>
      </w:r>
      <w:r w:rsidR="00F26DDD" w:rsidRPr="004B0C8D">
        <w:t xml:space="preserve"> </w:t>
      </w:r>
      <w:r w:rsidRPr="004B0C8D">
        <w:t>utrwalonych zapisów w części, w jakiej nie mają znaczenia dla postępowania karnego, w którym zarządzono kontrolę i utrwalanie rozmów telefonicznych, oraz nie stanowią dowodu, o którym mowa w art. 237a [Kodeksu postępowania karnego]. Sąd orzeka w przedmiocie wniosku na posiedzeniu, w którym mogą wziąć udział strony.</w:t>
      </w:r>
    </w:p>
    <w:p w14:paraId="3A12DAEE" w14:textId="5A4DE58B" w:rsidR="005C744B" w:rsidRPr="004B0C8D" w:rsidRDefault="00000000" w:rsidP="009D0429">
      <w:pPr>
        <w:pStyle w:val="JuQuot"/>
      </w:pPr>
      <w:r w:rsidRPr="004B0C8D">
        <w:t xml:space="preserve">§ 5.  Z wnioskiem o zarządzenie zniszczenia utrwalonych zapisów, nie wcześniej niż po zakończeniu postępowania przygotowawczego, może wystąpić także osoba wymieniona w art. </w:t>
      </w:r>
      <w:r w:rsidR="0079411D" w:rsidRPr="0079411D">
        <w:t xml:space="preserve">237a </w:t>
      </w:r>
      <w:r w:rsidR="0079411D">
        <w:t>[</w:t>
      </w:r>
      <w:r w:rsidRPr="004B0C8D">
        <w:t>237 § 4</w:t>
      </w:r>
      <w:r w:rsidR="0079411D">
        <w:t xml:space="preserve"> </w:t>
      </w:r>
      <w:r w:rsidR="0079411D" w:rsidRPr="00304012">
        <w:rPr>
          <w:i/>
          <w:iCs/>
        </w:rPr>
        <w:t>– przyp. tłum.</w:t>
      </w:r>
      <w:r w:rsidR="0079411D">
        <w:t>]</w:t>
      </w:r>
      <w:r w:rsidRPr="004B0C8D">
        <w:t xml:space="preserve"> [osoba bezpośrednio objęta kontrolą]. Sąd orzeka w</w:t>
      </w:r>
      <w:r w:rsidR="00F26DDD">
        <w:t> </w:t>
      </w:r>
      <w:r w:rsidRPr="004B0C8D">
        <w:t>przedmiocie wniosku na posiedzeniu, w którym mogą wziąć udział strony”.</w:t>
      </w:r>
    </w:p>
    <w:bookmarkStart w:id="20" w:name="ccp_156"/>
    <w:p w14:paraId="0065B6C1" w14:textId="3E38C97D"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37</w:t>
      </w:r>
      <w:r w:rsidRPr="004B0C8D">
        <w:fldChar w:fldCharType="end"/>
      </w:r>
      <w:bookmarkEnd w:id="20"/>
      <w:r w:rsidRPr="004B0C8D">
        <w:t>.  Art</w:t>
      </w:r>
      <w:r w:rsidR="0079411D">
        <w:t>ykuł</w:t>
      </w:r>
      <w:r w:rsidR="0079411D" w:rsidRPr="004B0C8D">
        <w:t xml:space="preserve"> </w:t>
      </w:r>
      <w:r w:rsidRPr="004B0C8D">
        <w:t>156 § 5 Kodeksu, który dotyczy dostępu do akt sprawy w</w:t>
      </w:r>
      <w:r w:rsidR="0079411D">
        <w:t> </w:t>
      </w:r>
      <w:r w:rsidRPr="004B0C8D">
        <w:t>toku postępowania przygotowawczego, w brzmieniu obowiązującym w</w:t>
      </w:r>
      <w:r w:rsidR="0079411D">
        <w:t> </w:t>
      </w:r>
      <w:r w:rsidRPr="004B0C8D">
        <w:t>czasie istotnym dla sprawy, brzmiał następująco:</w:t>
      </w:r>
    </w:p>
    <w:p w14:paraId="5920B8DE" w14:textId="23969947" w:rsidR="005C744B" w:rsidRPr="004B0C8D" w:rsidRDefault="00000000" w:rsidP="009D0429">
      <w:pPr>
        <w:pStyle w:val="JuQuot"/>
      </w:pPr>
      <w:r w:rsidRPr="004B0C8D">
        <w:lastRenderedPageBreak/>
        <w:t>„Jeżeli ustawa nie stanowi inaczej, w toku postępowania przygotowawczego stronom, obrońcom i pełnomocnikom udostępnia się akta [i umożliwia] sporządzanie odpisów i</w:t>
      </w:r>
      <w:r w:rsidR="0066560E">
        <w:t> </w:t>
      </w:r>
      <w:r w:rsidRPr="004B0C8D">
        <w:t>kserokopii oraz wydaje odpłatnie uwierzytelnione odpisy wyłącznie za zgodą prowadzącego postępowanie przygotowawcze.</w:t>
      </w:r>
    </w:p>
    <w:p w14:paraId="576103AD" w14:textId="6382FC9A" w:rsidR="005C744B" w:rsidRPr="004B0C8D" w:rsidRDefault="00000000" w:rsidP="009D0429">
      <w:pPr>
        <w:pStyle w:val="JuQuot"/>
      </w:pPr>
      <w:r w:rsidRPr="004B0C8D">
        <w:t>Za zgodą prokuratora akta w toku postępowania przygotowawczego mogą być w</w:t>
      </w:r>
      <w:r w:rsidR="0066560E">
        <w:t> </w:t>
      </w:r>
      <w:r w:rsidRPr="004B0C8D">
        <w:t>wyjątkowych wypadkach udostępnione innym osobom”.</w:t>
      </w:r>
    </w:p>
    <w:p w14:paraId="3FD6E2B5" w14:textId="77777777" w:rsidR="005C744B" w:rsidRPr="004B0C8D" w:rsidRDefault="00000000" w:rsidP="009D0429">
      <w:pPr>
        <w:pStyle w:val="JuHA"/>
        <w:numPr>
          <w:ilvl w:val="2"/>
          <w:numId w:val="2"/>
        </w:numPr>
      </w:pPr>
      <w:r w:rsidRPr="004B0C8D">
        <w:t>Agencja Bezpieczeństwa Wewnętrznego</w:t>
      </w:r>
    </w:p>
    <w:p w14:paraId="31C411F2" w14:textId="3321888C" w:rsidR="005C744B" w:rsidRPr="004B0C8D" w:rsidRDefault="00000000" w:rsidP="009D0429">
      <w:pPr>
        <w:pStyle w:val="JuPara"/>
      </w:pPr>
      <w:fldSimple w:instr=" SEQ level0 \*arabic \* MERGEFORMAT ">
        <w:r w:rsidR="00531673" w:rsidRPr="004B0C8D">
          <w:rPr>
            <w:noProof/>
          </w:rPr>
          <w:t>38</w:t>
        </w:r>
      </w:fldSimple>
      <w:r w:rsidRPr="004B0C8D">
        <w:t>.  Ustawa z dnia 24 maja 2002 r. o Agencji Bezpieczeństwa Wewnętrznego oraz Agencji Wywiadu („Ustawa z 2002 r.”) w odpowiedniej części, obowiązującej w okresie od dnia 11 czerwca 2011 r. do dnia 15</w:t>
      </w:r>
      <w:r w:rsidR="00BC3CD8">
        <w:t> </w:t>
      </w:r>
      <w:r w:rsidRPr="004B0C8D">
        <w:t>kwietnia 2016 r., stanowiła, co następuje:</w:t>
      </w:r>
    </w:p>
    <w:p w14:paraId="49F142BC" w14:textId="39AA0CAD" w:rsidR="005C744B" w:rsidRPr="004B0C8D" w:rsidRDefault="00000000" w:rsidP="009D0429">
      <w:pPr>
        <w:pStyle w:val="JuQuot"/>
      </w:pPr>
      <w:r w:rsidRPr="004B0C8D">
        <w:t>„§ 27 ust. 15b</w:t>
      </w:r>
      <w:r w:rsidR="00E14C59">
        <w:t>.</w:t>
      </w:r>
      <w:r w:rsidRPr="004B0C8D">
        <w:t xml:space="preserve"> Prokurator Generalny podejmuje decyzję o zakresie i sposobie wykorzystania przekazanych materiałów [zgromadzonych w toku kontroli operacyjnej]. Art. 238 § 3</w:t>
      </w:r>
      <w:r w:rsidR="004745F6">
        <w:t>–</w:t>
      </w:r>
      <w:r w:rsidRPr="004B0C8D">
        <w:t>5 i art. 239 Kodeksu postępowania karnego stosuje się odpowiednio.</w:t>
      </w:r>
    </w:p>
    <w:p w14:paraId="479A0D9F" w14:textId="77777777" w:rsidR="005C744B" w:rsidRPr="004B0C8D" w:rsidRDefault="00000000" w:rsidP="009D0429">
      <w:pPr>
        <w:pStyle w:val="JuQuot"/>
      </w:pPr>
      <w:r w:rsidRPr="004B0C8D">
        <w:t>[…]</w:t>
      </w:r>
    </w:p>
    <w:p w14:paraId="7C09791B" w14:textId="535E5C78" w:rsidR="005C744B" w:rsidRPr="004B0C8D" w:rsidRDefault="00000000" w:rsidP="009D0429">
      <w:pPr>
        <w:pStyle w:val="JuQuot"/>
      </w:pPr>
      <w:r w:rsidRPr="004B0C8D">
        <w:t>§ 27 ust. 16 Zgromadzone podczas stosowania kontroli operacyjnej materiały, które nie są istotne dla bezpieczeństwa państwa lub nie stanowią informacji potwierdzających zaistnienie przestępstwa, podlegają niezwłocznemu,</w:t>
      </w:r>
      <w:r w:rsidR="004745F6">
        <w:t xml:space="preserve"> </w:t>
      </w:r>
      <w:r w:rsidRPr="004B0C8D">
        <w:t>protokolarnemu, komisyjnemu zniszczeniu. Zniszczenie materiałów zarządza Szef</w:t>
      </w:r>
      <w:r w:rsidR="004745F6">
        <w:t xml:space="preserve"> </w:t>
      </w:r>
      <w:r w:rsidRPr="004B0C8D">
        <w:t>ABW”.</w:t>
      </w:r>
    </w:p>
    <w:p w14:paraId="1277F3AD" w14:textId="77777777" w:rsidR="005C744B" w:rsidRPr="004B0C8D" w:rsidRDefault="00000000" w:rsidP="009D0429">
      <w:pPr>
        <w:pStyle w:val="JuHA"/>
      </w:pPr>
      <w:r w:rsidRPr="004B0C8D">
        <w:t>Zasady funkcjonowania prokuratury</w:t>
      </w:r>
    </w:p>
    <w:bookmarkStart w:id="21" w:name="functioninig_of_secretariesMS"/>
    <w:p w14:paraId="1ECBF8DC" w14:textId="4F18CCA8"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39</w:t>
      </w:r>
      <w:r w:rsidRPr="004B0C8D">
        <w:fldChar w:fldCharType="end"/>
      </w:r>
      <w:bookmarkEnd w:id="21"/>
      <w:r w:rsidRPr="004B0C8D">
        <w:t xml:space="preserve">.  W tym czasie funkcjonowanie sekretariatów prokuratur regulowało Zarządzenie Ministra Sprawiedliwości z dnia 23 marca 2009 </w:t>
      </w:r>
      <w:r w:rsidR="00BC3CD8">
        <w:t>r. w</w:t>
      </w:r>
      <w:r w:rsidRPr="004B0C8D">
        <w:t xml:space="preserve"> sprawie zakresu działania sekretariatów i innych działów administracji w</w:t>
      </w:r>
      <w:r w:rsidR="00BC3CD8">
        <w:t> </w:t>
      </w:r>
      <w:r w:rsidRPr="004B0C8D">
        <w:t>powszechnych jednostkach organizacyjnych prokuratury. Odpowiednie przepisy mają następujące brzmienie:</w:t>
      </w:r>
    </w:p>
    <w:p w14:paraId="1216CE91" w14:textId="44D3877D" w:rsidR="005C744B" w:rsidRPr="004B0C8D" w:rsidRDefault="00000000" w:rsidP="009D0429">
      <w:pPr>
        <w:pStyle w:val="JuQuot"/>
      </w:pPr>
      <w:r w:rsidRPr="004B0C8D">
        <w:t>„§ 165.</w:t>
      </w:r>
      <w:r w:rsidRPr="004B0C8D">
        <w:rPr>
          <w:bCs/>
          <w:caps/>
        </w:rPr>
        <w:t xml:space="preserve"> </w:t>
      </w:r>
      <w:r w:rsidRPr="004B0C8D">
        <w:t xml:space="preserve">(1) Akta spraw i urządzenia ewidencyjne dzieli się na materiały archiwalne zaliczane do kategorii </w:t>
      </w:r>
      <w:r w:rsidR="00C76CD9">
        <w:rPr>
          <w:rStyle w:val="hgkelc"/>
        </w:rPr>
        <w:t>»A«</w:t>
      </w:r>
      <w:r w:rsidRPr="004B0C8D">
        <w:t xml:space="preserve"> i dokumentację niearchiwalną zaliczaną do kategorii </w:t>
      </w:r>
      <w:r w:rsidR="00C76CD9" w:rsidRPr="00C76CD9">
        <w:t>»</w:t>
      </w:r>
      <w:r w:rsidR="00C76CD9">
        <w:t>B</w:t>
      </w:r>
      <w:r w:rsidR="00C76CD9" w:rsidRPr="00C76CD9">
        <w:t>«</w:t>
      </w:r>
      <w:r w:rsidRPr="004B0C8D">
        <w:t xml:space="preserve"> oraz ustala okres ich przechowywania, z uwzględnieniem wymogów procesowych i</w:t>
      </w:r>
      <w:r w:rsidR="00C76CD9">
        <w:t> </w:t>
      </w:r>
      <w:r w:rsidRPr="004B0C8D">
        <w:t>wynikających z zasad organizacyjnych prokuratury.</w:t>
      </w:r>
    </w:p>
    <w:p w14:paraId="0FFF3E76" w14:textId="0175E881" w:rsidR="005C744B" w:rsidRPr="004B0C8D" w:rsidRDefault="00000000" w:rsidP="009D0429">
      <w:pPr>
        <w:pStyle w:val="JuQuot"/>
      </w:pPr>
      <w:r w:rsidRPr="004B0C8D">
        <w:t xml:space="preserve">(2) Po upływie okresów przechowywania w prokuraturze akta kategorii </w:t>
      </w:r>
      <w:r w:rsidR="00C76CD9">
        <w:rPr>
          <w:rStyle w:val="hgkelc"/>
        </w:rPr>
        <w:t xml:space="preserve">»A« </w:t>
      </w:r>
      <w:r w:rsidRPr="004B0C8D">
        <w:t xml:space="preserve">przekazuje się do archiwum państwowego, a akta kategorii </w:t>
      </w:r>
      <w:r w:rsidR="00C76CD9">
        <w:rPr>
          <w:rStyle w:val="hgkelc"/>
        </w:rPr>
        <w:t>»</w:t>
      </w:r>
      <w:r w:rsidRPr="004B0C8D">
        <w:t>B</w:t>
      </w:r>
      <w:r w:rsidR="00C76CD9">
        <w:rPr>
          <w:rStyle w:val="hgkelc"/>
        </w:rPr>
        <w:t>«</w:t>
      </w:r>
      <w:r w:rsidRPr="004B0C8D">
        <w:t xml:space="preserve"> </w:t>
      </w:r>
      <w:r w:rsidR="00C76CD9">
        <w:t>–</w:t>
      </w:r>
      <w:r w:rsidRPr="004B0C8D">
        <w:t xml:space="preserve"> do zniszczenia”.</w:t>
      </w:r>
    </w:p>
    <w:p w14:paraId="4E0BE7AB" w14:textId="77777777" w:rsidR="005C744B" w:rsidRPr="004B0C8D" w:rsidRDefault="00000000" w:rsidP="009D0429">
      <w:pPr>
        <w:pStyle w:val="JuHIRoman"/>
        <w:numPr>
          <w:ilvl w:val="1"/>
          <w:numId w:val="2"/>
        </w:numPr>
      </w:pPr>
      <w:r w:rsidRPr="004B0C8D">
        <w:rPr>
          <w:caps w:val="0"/>
        </w:rPr>
        <w:t>OCHRONA DÓBR OSOBISTYCH</w:t>
      </w:r>
    </w:p>
    <w:p w14:paraId="39C36ACE" w14:textId="1976C11D" w:rsidR="005C744B" w:rsidRPr="004B0C8D" w:rsidRDefault="00000000" w:rsidP="009D0429">
      <w:pPr>
        <w:pStyle w:val="JuPara"/>
      </w:pPr>
      <w:fldSimple w:instr=" SEQ level0 \*arabic \* MERGEFORMAT ">
        <w:r w:rsidR="00531673" w:rsidRPr="004B0C8D">
          <w:rPr>
            <w:noProof/>
          </w:rPr>
          <w:t>40</w:t>
        </w:r>
      </w:fldSimple>
      <w:r w:rsidRPr="004B0C8D">
        <w:t>.  Artykuł 23 Kodeksu cywilnego zawiera otwarty katalog praw</w:t>
      </w:r>
      <w:r w:rsidR="00C76CD9">
        <w:t>,</w:t>
      </w:r>
      <w:r w:rsidRPr="004B0C8D">
        <w:t xml:space="preserve"> tzw. dóbr osobistych. Przepis ten stanowi:</w:t>
      </w:r>
    </w:p>
    <w:p w14:paraId="18E538F4" w14:textId="23653E95" w:rsidR="005C744B" w:rsidRPr="004B0C8D" w:rsidRDefault="00000000" w:rsidP="009D0429">
      <w:pPr>
        <w:pStyle w:val="JuQuot"/>
      </w:pPr>
      <w:r w:rsidRPr="004B0C8D">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092D04">
        <w:t>.</w:t>
      </w:r>
    </w:p>
    <w:p w14:paraId="2CC6B37F" w14:textId="634C97C8" w:rsidR="005C744B" w:rsidRPr="004B0C8D" w:rsidRDefault="00000000" w:rsidP="009D0429">
      <w:pPr>
        <w:pStyle w:val="JuPara"/>
      </w:pPr>
      <w:fldSimple w:instr=" SEQ level0 \*arabic \* MERGEFORMAT ">
        <w:r w:rsidR="00531673" w:rsidRPr="004B0C8D">
          <w:rPr>
            <w:noProof/>
          </w:rPr>
          <w:t>41</w:t>
        </w:r>
      </w:fldSimple>
      <w:r w:rsidRPr="004B0C8D">
        <w:t>.  Artykuł 24 Kodeksu cywilnego przewiduje sposoby naprawienia naruszenia dóbr osobistych. Zgodnie z tym przepisem osoba</w:t>
      </w:r>
      <w:r w:rsidR="00810F1F">
        <w:t xml:space="preserve"> narażona na naruszenie dobra osobistego przez osobę trzecią</w:t>
      </w:r>
      <w:r w:rsidR="00900F2A">
        <w:t>,</w:t>
      </w:r>
      <w:r w:rsidRPr="004B0C8D">
        <w:t xml:space="preserve"> może żądać </w:t>
      </w:r>
      <w:r w:rsidR="00810F1F">
        <w:t xml:space="preserve">sądowego nakazania </w:t>
      </w:r>
      <w:r w:rsidRPr="004B0C8D">
        <w:t xml:space="preserve">zaniechania tego działania, chyba że nie jest ono bezprawne. W razie naruszenia prawa osoba ta może m.in. żądać od osoby, która dopuściła się naruszenia, </w:t>
      </w:r>
      <w:r w:rsidR="00810F1F">
        <w:t>podjęcia niezbędnych kroków</w:t>
      </w:r>
      <w:r w:rsidRPr="004B0C8D">
        <w:t xml:space="preserve"> </w:t>
      </w:r>
      <w:r w:rsidR="00810F1F">
        <w:t>w celu wyeliminowania</w:t>
      </w:r>
      <w:r w:rsidRPr="004B0C8D">
        <w:t xml:space="preserve"> jego skutków, np. poprzez złożenie oświadczenia odpowiedniej treści i w odpowiedniej formie, lub zwrócić się do sądu o zasądzenie zapłaty odpowiedniej sumy pieniężnej na wskazany cel społeczny. Jeżeli wskutek naruszenia dobra osobistego została wyrządzona szkoda majątkowa, poszkodowany może żądać jej naprawienia.</w:t>
      </w:r>
    </w:p>
    <w:p w14:paraId="5DE0D438" w14:textId="77777777" w:rsidR="005C744B" w:rsidRPr="004B0C8D" w:rsidRDefault="00000000" w:rsidP="009D0429">
      <w:pPr>
        <w:pStyle w:val="JuHHead"/>
      </w:pPr>
      <w:r w:rsidRPr="004B0C8D">
        <w:t>PRAWO</w:t>
      </w:r>
    </w:p>
    <w:p w14:paraId="153A5451" w14:textId="0C67C4F4" w:rsidR="005C744B" w:rsidRPr="004B0C8D" w:rsidRDefault="00000000" w:rsidP="009D0429">
      <w:pPr>
        <w:pStyle w:val="JuHIRoman"/>
      </w:pPr>
      <w:r w:rsidRPr="004B0C8D">
        <w:t xml:space="preserve">Zakres sprawy i charakterystyka </w:t>
      </w:r>
      <w:r w:rsidR="003A2CE6">
        <w:t>ZARZUTÓW</w:t>
      </w:r>
    </w:p>
    <w:p w14:paraId="79C17772" w14:textId="3EDF6E49" w:rsidR="005C744B" w:rsidRPr="004B0C8D" w:rsidRDefault="00000000" w:rsidP="009D0429">
      <w:pPr>
        <w:pStyle w:val="JuPara"/>
      </w:pPr>
      <w:fldSimple w:instr=" SEQ level0 \*arabic \* MERGEFORMAT ">
        <w:r w:rsidR="00531673" w:rsidRPr="004B0C8D">
          <w:rPr>
            <w:noProof/>
          </w:rPr>
          <w:t>42</w:t>
        </w:r>
      </w:fldSimple>
      <w:r w:rsidRPr="004B0C8D">
        <w:t>.  Uwzględniając stanowiska stron, Trybunał uznaje za konieczne wyjaśnienie zakresu niniejszej sprawy.</w:t>
      </w:r>
    </w:p>
    <w:p w14:paraId="0E105052" w14:textId="315E0018" w:rsidR="005C744B" w:rsidRPr="004B0C8D" w:rsidRDefault="00000000" w:rsidP="009D0429">
      <w:pPr>
        <w:pStyle w:val="JuPara"/>
      </w:pPr>
      <w:fldSimple w:instr=" SEQ level0 \*arabic \* MERGEFORMAT ">
        <w:r w:rsidR="00531673" w:rsidRPr="004B0C8D">
          <w:rPr>
            <w:noProof/>
          </w:rPr>
          <w:t>43</w:t>
        </w:r>
      </w:fldSimple>
      <w:r w:rsidRPr="004B0C8D">
        <w:t xml:space="preserve">.  W swojej skardze, powołując się na art. 8 Konwencji, skarżąca </w:t>
      </w:r>
      <w:r w:rsidR="003A2CE6">
        <w:t>podniosła zarzut</w:t>
      </w:r>
      <w:r w:rsidRPr="004B0C8D">
        <w:t xml:space="preserve"> ujawnieni</w:t>
      </w:r>
      <w:r w:rsidR="003A2CE6">
        <w:t>a</w:t>
      </w:r>
      <w:r w:rsidRPr="004B0C8D">
        <w:t xml:space="preserve"> jej rozmowy telefonicznej podczas konferencji prasowej oraz brak</w:t>
      </w:r>
      <w:r w:rsidR="003A2CE6">
        <w:t>u</w:t>
      </w:r>
      <w:r w:rsidRPr="004B0C8D">
        <w:t xml:space="preserve"> zniszczenia materiałów </w:t>
      </w:r>
      <w:r w:rsidR="003A2CE6">
        <w:t>uzyskanych</w:t>
      </w:r>
      <w:r w:rsidR="003A2CE6" w:rsidRPr="004B0C8D">
        <w:t xml:space="preserve"> </w:t>
      </w:r>
      <w:r w:rsidRPr="004B0C8D">
        <w:t xml:space="preserve">z </w:t>
      </w:r>
      <w:r w:rsidR="003A2CE6">
        <w:t>kontroli operacyjnej</w:t>
      </w:r>
      <w:r w:rsidRPr="004B0C8D">
        <w:t xml:space="preserve">. </w:t>
      </w:r>
      <w:r w:rsidR="003A2CE6">
        <w:t>Zarzuciła</w:t>
      </w:r>
      <w:r w:rsidRPr="004B0C8D">
        <w:t xml:space="preserve"> również na podstawie art. 13 Konwencji, że środki odwoławcze dotyczące zniszczenia tych materiałów nie miały zastosowania w jej sprawie. Ponadto </w:t>
      </w:r>
      <w:r w:rsidR="003A2CE6">
        <w:t>podniosła</w:t>
      </w:r>
      <w:r w:rsidR="003A2CE6" w:rsidRPr="004B0C8D">
        <w:t xml:space="preserve"> </w:t>
      </w:r>
      <w:r w:rsidRPr="004B0C8D">
        <w:t xml:space="preserve">szereg innych zarzutów, które zostały uznane za niedopuszczalne przez Trybunał w czasie, gdy </w:t>
      </w:r>
      <w:r w:rsidR="003A2CE6">
        <w:t>zakomunikowano skargę Rządowi</w:t>
      </w:r>
      <w:r w:rsidRPr="004B0C8D">
        <w:t>.</w:t>
      </w:r>
    </w:p>
    <w:p w14:paraId="22E60FAA" w14:textId="457ACE8D" w:rsidR="005C744B" w:rsidRPr="004B0C8D" w:rsidRDefault="00000000" w:rsidP="009D0429">
      <w:pPr>
        <w:pStyle w:val="JuPara"/>
      </w:pPr>
      <w:fldSimple w:instr=" SEQ level0 \*arabic \* MERGEFORMAT ">
        <w:r w:rsidR="00531673" w:rsidRPr="004B0C8D">
          <w:rPr>
            <w:noProof/>
          </w:rPr>
          <w:t>44</w:t>
        </w:r>
      </w:fldSimple>
      <w:r w:rsidRPr="004B0C8D">
        <w:t>.  W związku z tym Trybunał zauważa, że niniejsza sprawa dotyczy wyłącznie dwóch powiązanych ze sobą kwestii: ujawnienia rozmowy skarżącej z K.</w:t>
      </w:r>
      <w:r w:rsidR="003A2CE6">
        <w:t xml:space="preserve"> </w:t>
      </w:r>
      <w:r w:rsidRPr="004B0C8D">
        <w:t>K. podczas konferencji prasowej w dniu 31 sierpnia 2007 r. dotyczącej „afery gruntowej” oraz późniejszego przechowywania i</w:t>
      </w:r>
      <w:r w:rsidR="00272144">
        <w:t> </w:t>
      </w:r>
      <w:r w:rsidRPr="004B0C8D">
        <w:t xml:space="preserve">zatrzymania danych uzyskanych podczas </w:t>
      </w:r>
      <w:r w:rsidR="003A2CE6">
        <w:t>niejawnej kontroli operacyjnej</w:t>
      </w:r>
      <w:r w:rsidRPr="004B0C8D">
        <w:t xml:space="preserve">. Podczas gdy legalność </w:t>
      </w:r>
      <w:r w:rsidR="003A2CE6">
        <w:t>kontroli operacyjnej</w:t>
      </w:r>
      <w:r w:rsidRPr="004B0C8D">
        <w:t xml:space="preserve">, którą </w:t>
      </w:r>
      <w:r w:rsidR="003A2CE6" w:rsidRPr="004B0C8D">
        <w:t xml:space="preserve">objęta została </w:t>
      </w:r>
      <w:r w:rsidRPr="004B0C8D">
        <w:t>skarżąca , jest kwestią podstawową, ta część skargi została już uznana za niedopuszczalną.</w:t>
      </w:r>
    </w:p>
    <w:p w14:paraId="6EF3B73C" w14:textId="77777777" w:rsidR="005C744B" w:rsidRPr="004B0C8D" w:rsidRDefault="00000000" w:rsidP="009D0429">
      <w:pPr>
        <w:pStyle w:val="JuHIRoman"/>
      </w:pPr>
      <w:r w:rsidRPr="004B0C8D">
        <w:t>ZARZUCANE NARUSZENIE ART. 8 KONWENCJI</w:t>
      </w:r>
    </w:p>
    <w:p w14:paraId="16C967C5" w14:textId="2930B593" w:rsidR="005C744B" w:rsidRPr="004B0C8D" w:rsidRDefault="00000000" w:rsidP="009D0429">
      <w:pPr>
        <w:pStyle w:val="JuPara"/>
      </w:pPr>
      <w:fldSimple w:instr=" SEQ level0 \*arabic ">
        <w:r w:rsidR="00531673" w:rsidRPr="004B0C8D">
          <w:rPr>
            <w:noProof/>
          </w:rPr>
          <w:t>45</w:t>
        </w:r>
      </w:fldSimple>
      <w:r w:rsidRPr="004B0C8D">
        <w:t xml:space="preserve">.  Skarżąca zarzuciła, że jej dane osobowe i materiały </w:t>
      </w:r>
      <w:r w:rsidR="00DA41F2">
        <w:t>pozyskane w toku niejawnej kontroli operacyjnej</w:t>
      </w:r>
      <w:r w:rsidRPr="004B0C8D">
        <w:t xml:space="preserve"> zostały upublicznione podczas konferencji prasowej, a reakcja władz nie była odpowiednia. </w:t>
      </w:r>
      <w:r w:rsidR="00DA41F2">
        <w:t>Zarzuciła</w:t>
      </w:r>
      <w:r w:rsidRPr="004B0C8D">
        <w:t xml:space="preserve"> również</w:t>
      </w:r>
      <w:r w:rsidR="00DA41F2">
        <w:t>, że materiały uzyskane w toku niejawnej kontroli operacyjnej nie zostały zniszczone</w:t>
      </w:r>
      <w:r w:rsidRPr="004B0C8D">
        <w:t>. Skarżąca powołała się na art. 8 Konwencji, który stanowi:</w:t>
      </w:r>
    </w:p>
    <w:p w14:paraId="479EA47E" w14:textId="77777777" w:rsidR="005C744B" w:rsidRPr="004B0C8D" w:rsidRDefault="00000000" w:rsidP="009D0429">
      <w:pPr>
        <w:pStyle w:val="JuQuot"/>
      </w:pPr>
      <w:r w:rsidRPr="004B0C8D">
        <w:t>„1.  Każdy ma prawo do poszanowania swojego życia prywatnego i rodzinnego, swojego mieszkania i swojej korespondencji.</w:t>
      </w:r>
    </w:p>
    <w:p w14:paraId="2C194AE5" w14:textId="260574BD" w:rsidR="005C744B" w:rsidRPr="004B0C8D" w:rsidRDefault="00000000" w:rsidP="009D0429">
      <w:pPr>
        <w:pStyle w:val="JuQuot"/>
      </w:pPr>
      <w:r w:rsidRPr="004B0C8D">
        <w:lastRenderedPageBreak/>
        <w:t>2.  Niedopuszczalna jest ingerencja władzy publicznej w korzystanie z tego prawa z</w:t>
      </w:r>
      <w:r w:rsidR="003E691B">
        <w:t> </w:t>
      </w:r>
      <w:r w:rsidRPr="004B0C8D">
        <w:t>wyjątkiem przypadków przewidzianych przez ustawę i koniecznych w</w:t>
      </w:r>
      <w:r w:rsidR="003E691B">
        <w:t> </w:t>
      </w:r>
      <w:r w:rsidRPr="004B0C8D">
        <w:t>demokratycznym społeczeństwie z uwagi na bezpieczeństwo państwowe, bezpieczeństwo publiczne lub dobrobyt gospodarczy kraju, ochronę porządku i</w:t>
      </w:r>
      <w:r w:rsidR="003E691B">
        <w:t> </w:t>
      </w:r>
      <w:r w:rsidRPr="004B0C8D">
        <w:t>zapobieganie przestępstwom, ochronę zdrowia i moralności lub ochronę praw i</w:t>
      </w:r>
      <w:r w:rsidR="003E691B">
        <w:t> </w:t>
      </w:r>
      <w:r w:rsidRPr="004B0C8D">
        <w:t>wolności osób”.</w:t>
      </w:r>
    </w:p>
    <w:p w14:paraId="615AF3DA" w14:textId="77777777" w:rsidR="005C744B" w:rsidRPr="004B0C8D" w:rsidRDefault="00000000" w:rsidP="009D0429">
      <w:pPr>
        <w:pStyle w:val="JuHA"/>
        <w:numPr>
          <w:ilvl w:val="2"/>
          <w:numId w:val="2"/>
        </w:numPr>
      </w:pPr>
      <w:r w:rsidRPr="004B0C8D">
        <w:t>Dopuszczalność</w:t>
      </w:r>
    </w:p>
    <w:p w14:paraId="7949E907" w14:textId="77777777" w:rsidR="005C744B" w:rsidRPr="004B0C8D" w:rsidRDefault="00000000" w:rsidP="009D0429">
      <w:pPr>
        <w:pStyle w:val="JuH1"/>
        <w:numPr>
          <w:ilvl w:val="3"/>
          <w:numId w:val="2"/>
        </w:numPr>
      </w:pPr>
      <w:r w:rsidRPr="004B0C8D">
        <w:t>Niewyczerpanie</w:t>
      </w:r>
    </w:p>
    <w:p w14:paraId="237DB4E5" w14:textId="77777777" w:rsidR="005C744B" w:rsidRPr="004B0C8D" w:rsidRDefault="00000000" w:rsidP="009D0429">
      <w:pPr>
        <w:pStyle w:val="JuHa0"/>
        <w:numPr>
          <w:ilvl w:val="4"/>
          <w:numId w:val="2"/>
        </w:numPr>
      </w:pPr>
      <w:r w:rsidRPr="004B0C8D">
        <w:t>Rząd</w:t>
      </w:r>
    </w:p>
    <w:p w14:paraId="289178B4" w14:textId="46A9706C" w:rsidR="005C744B" w:rsidRPr="004B0C8D" w:rsidRDefault="00000000" w:rsidP="009D0429">
      <w:pPr>
        <w:pStyle w:val="JuPara"/>
      </w:pPr>
      <w:fldSimple w:instr=" SEQ level0 \*arabic \* MERGEFORMAT ">
        <w:r w:rsidR="00531673" w:rsidRPr="004B0C8D">
          <w:rPr>
            <w:noProof/>
          </w:rPr>
          <w:t>46</w:t>
        </w:r>
      </w:fldSimple>
      <w:r w:rsidRPr="004B0C8D">
        <w:t>.  Rząd podniósł zarzut wstępny, twierdząc, że skarga jest niedopuszczalna ze względu na niewyczerpanie krajowych środków odwoławczych.</w:t>
      </w:r>
    </w:p>
    <w:p w14:paraId="6FD05E1D" w14:textId="7BC7B90A" w:rsidR="005C744B" w:rsidRPr="004B0C8D" w:rsidRDefault="00000000" w:rsidP="009D0429">
      <w:pPr>
        <w:pStyle w:val="JuPara"/>
      </w:pPr>
      <w:fldSimple w:instr=" SEQ level0 \*arabic \* MERGEFORMAT ">
        <w:r w:rsidR="00531673" w:rsidRPr="004B0C8D">
          <w:rPr>
            <w:noProof/>
          </w:rPr>
          <w:t>47</w:t>
        </w:r>
      </w:fldSimple>
      <w:r w:rsidRPr="004B0C8D">
        <w:t xml:space="preserve">.  Po pierwsze, jego zdaniem, po oddaleniu </w:t>
      </w:r>
      <w:r w:rsidR="00F72759">
        <w:t>jej powództwa o zadośćuczynienie</w:t>
      </w:r>
      <w:r w:rsidR="00F72759" w:rsidRPr="004B0C8D">
        <w:t xml:space="preserve"> </w:t>
      </w:r>
      <w:r w:rsidRPr="004B0C8D">
        <w:t>przeciwko J.</w:t>
      </w:r>
      <w:r w:rsidR="00C9492C">
        <w:t xml:space="preserve"> </w:t>
      </w:r>
      <w:r w:rsidRPr="004B0C8D">
        <w:t>E. powinna była ona wytoczyć nowe postępowanie cywilne o odszkodowanie przeciwko Skarbowi Państwa (grupie prokuratorów). W takim postępowaniu sądy krajowe mogły</w:t>
      </w:r>
      <w:r w:rsidR="00B6000B">
        <w:t>by</w:t>
      </w:r>
      <w:r w:rsidRPr="004B0C8D">
        <w:t xml:space="preserve"> przeanalizować sprawę pod szerszym kątem, koncentrując się na działaniach prokuratury, a nie na działaniach jednej osoby.</w:t>
      </w:r>
    </w:p>
    <w:p w14:paraId="27B77EBD" w14:textId="42621311" w:rsidR="005C744B" w:rsidRPr="004B0C8D" w:rsidRDefault="00000000" w:rsidP="009D0429">
      <w:pPr>
        <w:pStyle w:val="JuPara"/>
      </w:pPr>
      <w:fldSimple w:instr=" SEQ level0 \*arabic \* MERGEFORMAT ">
        <w:r w:rsidR="00531673" w:rsidRPr="004B0C8D">
          <w:rPr>
            <w:noProof/>
          </w:rPr>
          <w:t>48</w:t>
        </w:r>
      </w:fldSimple>
      <w:r w:rsidRPr="004B0C8D">
        <w:t xml:space="preserve">.  Po drugie, skarżąca nie wniosła </w:t>
      </w:r>
      <w:r w:rsidR="00C9492C">
        <w:t>zażalenia na postanowienie</w:t>
      </w:r>
      <w:r w:rsidRPr="004B0C8D">
        <w:t xml:space="preserve"> z 12 lutego 2010 r. o umorzeniu postępowania przygotowawczego w</w:t>
      </w:r>
      <w:r w:rsidR="003E691B">
        <w:t> </w:t>
      </w:r>
      <w:r w:rsidRPr="004B0C8D">
        <w:t xml:space="preserve">związku z ujawnieniem materiałów </w:t>
      </w:r>
      <w:r w:rsidR="00C9492C">
        <w:t>niejawnych</w:t>
      </w:r>
      <w:r w:rsidR="00C9492C" w:rsidRPr="004B0C8D">
        <w:t xml:space="preserve"> </w:t>
      </w:r>
      <w:r w:rsidRPr="004B0C8D">
        <w:t xml:space="preserve">(zob. </w:t>
      </w:r>
      <w:r w:rsidR="003E691B">
        <w:t>pkt </w:t>
      </w:r>
      <w:r w:rsidRPr="004B0C8D">
        <w:t>14 powyżej).</w:t>
      </w:r>
    </w:p>
    <w:p w14:paraId="4585EA68" w14:textId="77777777" w:rsidR="005C744B" w:rsidRPr="004B0C8D" w:rsidRDefault="00000000" w:rsidP="009D0429">
      <w:pPr>
        <w:pStyle w:val="JuHa0"/>
      </w:pPr>
      <w:r w:rsidRPr="004B0C8D">
        <w:t>Skarżąca</w:t>
      </w:r>
    </w:p>
    <w:p w14:paraId="3D7E7824" w14:textId="6ED10D1A" w:rsidR="005C744B" w:rsidRPr="004B0C8D" w:rsidRDefault="00000000" w:rsidP="009D0429">
      <w:pPr>
        <w:pStyle w:val="JuPara"/>
      </w:pPr>
      <w:fldSimple w:instr=" SEQ level0 \*arabic \* MERGEFORMAT ">
        <w:r w:rsidR="00531673" w:rsidRPr="004B0C8D">
          <w:rPr>
            <w:noProof/>
          </w:rPr>
          <w:t>49</w:t>
        </w:r>
      </w:fldSimple>
      <w:r w:rsidRPr="004B0C8D">
        <w:t xml:space="preserve">.  Skarżąca </w:t>
      </w:r>
      <w:r w:rsidR="00C9492C">
        <w:t>nie zgodziła się ze stanowiskiem</w:t>
      </w:r>
      <w:r w:rsidRPr="004B0C8D">
        <w:t xml:space="preserve"> Rządu. Podniosła, że </w:t>
      </w:r>
      <w:r w:rsidR="00C9492C">
        <w:t>złożyła</w:t>
      </w:r>
      <w:r w:rsidR="00C9492C" w:rsidRPr="004B0C8D">
        <w:t xml:space="preserve"> </w:t>
      </w:r>
      <w:r w:rsidRPr="004B0C8D">
        <w:t>powództwo cywilne o ochronę jej dóbr osobistych przeciwko J.</w:t>
      </w:r>
      <w:r w:rsidR="00C9492C">
        <w:t xml:space="preserve"> </w:t>
      </w:r>
      <w:r w:rsidRPr="004B0C8D">
        <w:t xml:space="preserve">E. </w:t>
      </w:r>
      <w:r w:rsidR="00C9492C">
        <w:br/>
      </w:r>
      <w:r w:rsidRPr="004B0C8D">
        <w:t>i że w tym postępowaniu sądy krajowe stwierdziły, że ujawnienie przez prokuratora nagrania głosu skarżącej nie było niezgodne z prawem. W świetle tego wniosku nowe roszczenie o ochronę dóbr osobistych skarżącej przeciwko grupie prokuratorów nie mogło mieć żadnych szans powodzenia.</w:t>
      </w:r>
    </w:p>
    <w:p w14:paraId="37D3C72F" w14:textId="64F0998D" w:rsidR="005C744B" w:rsidRPr="004B0C8D" w:rsidRDefault="00000000" w:rsidP="009D0429">
      <w:pPr>
        <w:pStyle w:val="JuPara"/>
      </w:pPr>
      <w:fldSimple w:instr=" SEQ level0 \*arabic \* MERGEFORMAT ">
        <w:r w:rsidR="00531673" w:rsidRPr="004B0C8D">
          <w:rPr>
            <w:noProof/>
          </w:rPr>
          <w:t>50</w:t>
        </w:r>
      </w:fldSimple>
      <w:r w:rsidRPr="004B0C8D">
        <w:t xml:space="preserve">.  Skarżąca stwierdziła ponadto, że nie mogła wnieść </w:t>
      </w:r>
      <w:r w:rsidR="00C9492C">
        <w:t>zażalenia na postanowienie z</w:t>
      </w:r>
      <w:r w:rsidRPr="004B0C8D">
        <w:t xml:space="preserve"> 12 lutego 2010 r. Śledztwo zostało warunkowo umorzone ze względu na brak możliwości ustalenia tożsamości sprawcy, więc ewentualne zaskarżenie byłoby bezcelowe.</w:t>
      </w:r>
    </w:p>
    <w:p w14:paraId="528D2233" w14:textId="77777777" w:rsidR="005C744B" w:rsidRPr="004B0C8D" w:rsidRDefault="00000000" w:rsidP="009D0429">
      <w:pPr>
        <w:pStyle w:val="JuHa0"/>
      </w:pPr>
      <w:r w:rsidRPr="004B0C8D">
        <w:t>Ocena Trybunału</w:t>
      </w:r>
    </w:p>
    <w:p w14:paraId="0B65ED5A" w14:textId="0D0A6A85" w:rsidR="005C744B" w:rsidRPr="004B0C8D" w:rsidRDefault="00000000" w:rsidP="009D0429">
      <w:pPr>
        <w:pStyle w:val="JuPara"/>
      </w:pPr>
      <w:fldSimple w:instr=" SEQ level0 \*arabic \* MERGEFORMAT ">
        <w:r w:rsidR="00531673" w:rsidRPr="004B0C8D">
          <w:rPr>
            <w:noProof/>
          </w:rPr>
          <w:t>51</w:t>
        </w:r>
      </w:fldSimple>
      <w:r w:rsidRPr="004B0C8D">
        <w:t xml:space="preserve">.  Trybunał </w:t>
      </w:r>
      <w:r w:rsidR="00F65088">
        <w:t>przypomina</w:t>
      </w:r>
      <w:r w:rsidRPr="004B0C8D">
        <w:t xml:space="preserve">, że obowiązek wyczerpania krajowych środków odwoławczych wymaga od skarżącego normalnego korzystania ze środków odwoławczych, które są dostępne i wystarczające w odniesieniu do jego skarg </w:t>
      </w:r>
      <w:r w:rsidR="00F72759">
        <w:t>na podstawie</w:t>
      </w:r>
      <w:r w:rsidRPr="004B0C8D">
        <w:t xml:space="preserve"> Konwencji (zob. </w:t>
      </w:r>
      <w:proofErr w:type="spellStart"/>
      <w:r w:rsidRPr="004B0C8D">
        <w:rPr>
          <w:i/>
          <w:iCs/>
        </w:rPr>
        <w:t>Vučković</w:t>
      </w:r>
      <w:proofErr w:type="spellEnd"/>
      <w:r w:rsidRPr="004B0C8D">
        <w:rPr>
          <w:i/>
          <w:iCs/>
        </w:rPr>
        <w:t xml:space="preserve"> i Inni przeciwko Serbii</w:t>
      </w:r>
      <w:r w:rsidRPr="004B0C8D">
        <w:t xml:space="preserve"> (zastrzeżenie wstępne) [WI], nr 17153/11 i 29 innych, </w:t>
      </w:r>
      <w:r w:rsidR="002D1B8F">
        <w:t>pkt</w:t>
      </w:r>
      <w:r w:rsidRPr="004B0C8D">
        <w:t> 71, 25 marca 2014</w:t>
      </w:r>
      <w:r w:rsidR="002D1B8F">
        <w:t> </w:t>
      </w:r>
      <w:r w:rsidRPr="004B0C8D">
        <w:t>r.).</w:t>
      </w:r>
    </w:p>
    <w:p w14:paraId="604F3B9B" w14:textId="3E5F63AD" w:rsidR="005C744B" w:rsidRPr="004B0C8D" w:rsidRDefault="00000000" w:rsidP="009D0429">
      <w:pPr>
        <w:pStyle w:val="JuPara"/>
      </w:pPr>
      <w:fldSimple w:instr=" SEQ level0 \*arabic \* MERGEFORMAT ">
        <w:r w:rsidR="00531673" w:rsidRPr="004B0C8D">
          <w:rPr>
            <w:noProof/>
          </w:rPr>
          <w:t>52</w:t>
        </w:r>
      </w:fldSimple>
      <w:r w:rsidRPr="004B0C8D">
        <w:t xml:space="preserve">.  W niniejszej sprawie Trybunał zauważa, że skarżąca wniosła roszczenie odszkodowawcze </w:t>
      </w:r>
      <w:r w:rsidR="00F72759">
        <w:t>w związku z</w:t>
      </w:r>
      <w:r w:rsidRPr="004B0C8D">
        <w:t xml:space="preserve"> zarzucan</w:t>
      </w:r>
      <w:r w:rsidR="00F72759">
        <w:t>ym</w:t>
      </w:r>
      <w:r w:rsidRPr="004B0C8D">
        <w:t xml:space="preserve"> naruszeni</w:t>
      </w:r>
      <w:r w:rsidR="00F72759">
        <w:t>em</w:t>
      </w:r>
      <w:r w:rsidRPr="004B0C8D">
        <w:t xml:space="preserve"> jej </w:t>
      </w:r>
      <w:r w:rsidR="00F72759">
        <w:t>dóbr</w:t>
      </w:r>
      <w:r w:rsidR="00F72759" w:rsidRPr="004B0C8D">
        <w:t xml:space="preserve"> </w:t>
      </w:r>
      <w:r w:rsidRPr="004B0C8D">
        <w:t xml:space="preserve">osobistych </w:t>
      </w:r>
      <w:r w:rsidR="00F72759" w:rsidRPr="004B0C8D">
        <w:t>spowodowan</w:t>
      </w:r>
      <w:r w:rsidR="00F72759">
        <w:t>ym</w:t>
      </w:r>
      <w:r w:rsidR="00F72759" w:rsidRPr="004B0C8D">
        <w:t xml:space="preserve"> </w:t>
      </w:r>
      <w:r w:rsidRPr="004B0C8D">
        <w:t xml:space="preserve">ujawnieniem jej danych osobowych podczas konferencji prasowej w dniu 31 sierpnia 2007 r. Roszczenie to było rozpatrywane przez sądy </w:t>
      </w:r>
      <w:r w:rsidR="00394927">
        <w:t>trzech</w:t>
      </w:r>
      <w:r w:rsidRPr="004B0C8D">
        <w:t xml:space="preserve"> </w:t>
      </w:r>
      <w:r w:rsidR="00394927">
        <w:t xml:space="preserve">instancji </w:t>
      </w:r>
      <w:r w:rsidRPr="004B0C8D">
        <w:t xml:space="preserve">i ostatecznie zostało oddalone </w:t>
      </w:r>
      <w:r w:rsidR="00394927">
        <w:t>z uwagi na to</w:t>
      </w:r>
      <w:r w:rsidRPr="004B0C8D">
        <w:t xml:space="preserve">, że naruszenie jej </w:t>
      </w:r>
      <w:r w:rsidR="00394927">
        <w:t>dóbr osobistych</w:t>
      </w:r>
      <w:r w:rsidR="00394927" w:rsidRPr="004B0C8D">
        <w:t xml:space="preserve"> </w:t>
      </w:r>
      <w:r w:rsidRPr="004B0C8D">
        <w:t xml:space="preserve">nie było bezprawne (zob. </w:t>
      </w:r>
      <w:r w:rsidR="002D1B8F">
        <w:t>pkt </w:t>
      </w:r>
      <w:r w:rsidRPr="004B0C8D">
        <w:t>23 i 24 powyżej). Trybunał nie jest przekonany, czy wystąpienie z</w:t>
      </w:r>
      <w:r w:rsidR="002D1B8F">
        <w:t> </w:t>
      </w:r>
      <w:r w:rsidRPr="004B0C8D">
        <w:t>kolejnym roszczeniem o ochronę dóbr osobistych przeciwko grupie prokuratorów, na tej samej podstawie prawnej i faktycznej, jak sugerował Rząd, dawałoby wystarczające szanse powodzenia dla celów art. 35 ust. 1 Konwencji. W</w:t>
      </w:r>
      <w:r w:rsidR="00B6000B">
        <w:t> </w:t>
      </w:r>
      <w:r w:rsidRPr="004B0C8D">
        <w:t xml:space="preserve">każdym razie Trybunał </w:t>
      </w:r>
      <w:r w:rsidR="00394927">
        <w:t>przypomina</w:t>
      </w:r>
      <w:r w:rsidRPr="004B0C8D">
        <w:t xml:space="preserve">, że gdy podjęto próbę zastosowania środka </w:t>
      </w:r>
      <w:r w:rsidR="00394927">
        <w:t>zaradczego</w:t>
      </w:r>
      <w:r w:rsidRPr="004B0C8D">
        <w:t xml:space="preserve">, zastosowanie innego środka, który ma zasadniczo ten sam cel, nie jest wymagane (zob. między innymi </w:t>
      </w:r>
      <w:proofErr w:type="spellStart"/>
      <w:r w:rsidRPr="004B0C8D">
        <w:rPr>
          <w:i/>
          <w:iCs/>
        </w:rPr>
        <w:t>Moreira</w:t>
      </w:r>
      <w:proofErr w:type="spellEnd"/>
      <w:r w:rsidRPr="004B0C8D">
        <w:rPr>
          <w:i/>
          <w:iCs/>
        </w:rPr>
        <w:t xml:space="preserve"> </w:t>
      </w:r>
      <w:proofErr w:type="spellStart"/>
      <w:r w:rsidRPr="004B0C8D">
        <w:rPr>
          <w:i/>
          <w:iCs/>
        </w:rPr>
        <w:t>Barbosa</w:t>
      </w:r>
      <w:proofErr w:type="spellEnd"/>
      <w:r w:rsidRPr="004B0C8D">
        <w:rPr>
          <w:i/>
          <w:iCs/>
        </w:rPr>
        <w:t xml:space="preserve"> przeciwko Portugalii</w:t>
      </w:r>
      <w:r w:rsidRPr="004B0C8D">
        <w:t xml:space="preserve"> (</w:t>
      </w:r>
      <w:proofErr w:type="spellStart"/>
      <w:r w:rsidRPr="004B0C8D">
        <w:t>dec</w:t>
      </w:r>
      <w:proofErr w:type="spellEnd"/>
      <w:r w:rsidRPr="004B0C8D">
        <w:t xml:space="preserve">.), nr 65681/01, ETPC 2004-V (fragmenty) </w:t>
      </w:r>
      <w:r w:rsidR="00394927">
        <w:t>i</w:t>
      </w:r>
      <w:r w:rsidR="00394927" w:rsidRPr="004B0C8D">
        <w:t xml:space="preserve"> </w:t>
      </w:r>
      <w:proofErr w:type="spellStart"/>
      <w:r w:rsidRPr="004B0C8D">
        <w:rPr>
          <w:i/>
          <w:iCs/>
        </w:rPr>
        <w:t>Syngelidis</w:t>
      </w:r>
      <w:proofErr w:type="spellEnd"/>
      <w:r w:rsidRPr="004B0C8D">
        <w:rPr>
          <w:i/>
          <w:iCs/>
        </w:rPr>
        <w:t xml:space="preserve"> przeciwko Grecji</w:t>
      </w:r>
      <w:r w:rsidRPr="004B0C8D">
        <w:t xml:space="preserve">, nr 24895/07, </w:t>
      </w:r>
      <w:r w:rsidR="002D1B8F">
        <w:t>pkt </w:t>
      </w:r>
      <w:r w:rsidRPr="004B0C8D">
        <w:t>32, 11</w:t>
      </w:r>
      <w:r w:rsidR="002D1B8F">
        <w:t> </w:t>
      </w:r>
      <w:r w:rsidRPr="004B0C8D">
        <w:t xml:space="preserve">lutego 2010 r.). W odniesieniu do </w:t>
      </w:r>
      <w:r w:rsidR="00394927">
        <w:t>drugiego</w:t>
      </w:r>
      <w:r w:rsidR="00394927" w:rsidRPr="004B0C8D">
        <w:t xml:space="preserve"> </w:t>
      </w:r>
      <w:r w:rsidRPr="004B0C8D">
        <w:t xml:space="preserve">środka </w:t>
      </w:r>
      <w:r w:rsidR="00A82039">
        <w:t>sugerowanego</w:t>
      </w:r>
      <w:r w:rsidRPr="004B0C8D">
        <w:t xml:space="preserve"> przez Rząd Trybunał stwierdza, że </w:t>
      </w:r>
      <w:r w:rsidR="00A82039">
        <w:t xml:space="preserve">i on </w:t>
      </w:r>
      <w:r w:rsidRPr="004B0C8D">
        <w:t>również</w:t>
      </w:r>
      <w:r w:rsidR="00A82039">
        <w:t xml:space="preserve"> nie mógł</w:t>
      </w:r>
      <w:r w:rsidRPr="004B0C8D">
        <w:t xml:space="preserve"> okazać się skuteczny w odniesieniu do zarzutów skarżącej. Rząd </w:t>
      </w:r>
      <w:r w:rsidR="00A82039">
        <w:t>twierdził</w:t>
      </w:r>
      <w:r w:rsidRPr="004B0C8D">
        <w:t xml:space="preserve">, ogólnie rzecz biorąc, że wniesione przez skarżącą </w:t>
      </w:r>
      <w:r w:rsidR="00A82039">
        <w:t>zażalenie</w:t>
      </w:r>
      <w:r w:rsidR="00A82039" w:rsidRPr="004B0C8D">
        <w:t xml:space="preserve"> </w:t>
      </w:r>
      <w:r w:rsidR="00A82039">
        <w:t>na postanowienie</w:t>
      </w:r>
      <w:r w:rsidRPr="004B0C8D">
        <w:t xml:space="preserve"> o</w:t>
      </w:r>
      <w:r w:rsidR="002D1B8F">
        <w:t> </w:t>
      </w:r>
      <w:r w:rsidRPr="004B0C8D">
        <w:t xml:space="preserve">umorzeniu postępowania przygotowawczego było skutecznym środkiem odwoławczym, który mógł naprawić zarzucane naruszenie. Nie wyjaśnił jednak, w jaki sposób mogło ono konkretnie </w:t>
      </w:r>
      <w:r w:rsidR="00463E17">
        <w:t>naprawić wskazane przez skarżącą naruszenie</w:t>
      </w:r>
      <w:r w:rsidRPr="004B0C8D">
        <w:t xml:space="preserve"> art. 8 Konwencji</w:t>
      </w:r>
      <w:r w:rsidR="00A82039">
        <w:t xml:space="preserve"> w sensie</w:t>
      </w:r>
      <w:r w:rsidRPr="004B0C8D">
        <w:t xml:space="preserve"> bezpośredni</w:t>
      </w:r>
      <w:r w:rsidR="00A82039">
        <w:t>ego</w:t>
      </w:r>
      <w:r w:rsidRPr="004B0C8D">
        <w:t xml:space="preserve"> naprawien</w:t>
      </w:r>
      <w:r w:rsidR="00A82039">
        <w:t>ia</w:t>
      </w:r>
      <w:r w:rsidRPr="004B0C8D">
        <w:t xml:space="preserve"> </w:t>
      </w:r>
      <w:r w:rsidR="00D83AF7">
        <w:t>kwestionowanego</w:t>
      </w:r>
      <w:r w:rsidR="00D83AF7" w:rsidRPr="004B0C8D">
        <w:t xml:space="preserve"> </w:t>
      </w:r>
      <w:r w:rsidRPr="004B0C8D">
        <w:t>stanu rzeczy i</w:t>
      </w:r>
      <w:r w:rsidR="00B6000B">
        <w:t> </w:t>
      </w:r>
      <w:r w:rsidRPr="004B0C8D">
        <w:t>zapewnieni</w:t>
      </w:r>
      <w:r w:rsidR="00D83AF7">
        <w:t>a</w:t>
      </w:r>
      <w:r w:rsidRPr="004B0C8D">
        <w:t xml:space="preserve"> jej </w:t>
      </w:r>
      <w:r w:rsidR="00D83AF7">
        <w:t>odpowiedniego</w:t>
      </w:r>
      <w:r w:rsidR="00D83AF7" w:rsidRPr="004B0C8D">
        <w:t xml:space="preserve"> </w:t>
      </w:r>
      <w:r w:rsidRPr="004B0C8D">
        <w:t xml:space="preserve">zadośćuczynienia dla celów art. 35 ust. 1 Konwencji (zob. </w:t>
      </w:r>
      <w:proofErr w:type="spellStart"/>
      <w:r w:rsidRPr="00304012">
        <w:rPr>
          <w:i/>
          <w:iCs/>
        </w:rPr>
        <w:t>Vučković</w:t>
      </w:r>
      <w:proofErr w:type="spellEnd"/>
      <w:r w:rsidRPr="00304012">
        <w:rPr>
          <w:i/>
          <w:iCs/>
        </w:rPr>
        <w:t xml:space="preserve"> i Inni</w:t>
      </w:r>
      <w:r w:rsidRPr="004B0C8D">
        <w:t xml:space="preserve">, cytowany powyżej, </w:t>
      </w:r>
      <w:r w:rsidR="00351735">
        <w:t>pkt </w:t>
      </w:r>
      <w:r w:rsidRPr="004B0C8D">
        <w:t>77</w:t>
      </w:r>
      <w:r w:rsidR="00D83AF7">
        <w:t xml:space="preserve"> i</w:t>
      </w:r>
      <w:r w:rsidRPr="004B0C8D">
        <w:t xml:space="preserve"> </w:t>
      </w:r>
      <w:proofErr w:type="spellStart"/>
      <w:r w:rsidRPr="00304012">
        <w:rPr>
          <w:i/>
          <w:iCs/>
        </w:rPr>
        <w:t>Juszczyszyn</w:t>
      </w:r>
      <w:proofErr w:type="spellEnd"/>
      <w:r w:rsidRPr="00304012">
        <w:rPr>
          <w:i/>
          <w:iCs/>
        </w:rPr>
        <w:t xml:space="preserve"> przeciwko Polsce</w:t>
      </w:r>
      <w:r w:rsidRPr="004B0C8D">
        <w:t xml:space="preserve">, nr 35599/20, </w:t>
      </w:r>
      <w:r w:rsidR="00351735">
        <w:t>pkt </w:t>
      </w:r>
      <w:r w:rsidRPr="004B0C8D">
        <w:t>241, 6</w:t>
      </w:r>
      <w:r w:rsidR="00351735">
        <w:t> </w:t>
      </w:r>
      <w:r w:rsidRPr="004B0C8D">
        <w:t>października 2022 r.).</w:t>
      </w:r>
    </w:p>
    <w:p w14:paraId="5AAEA610" w14:textId="193124FB" w:rsidR="005C744B" w:rsidRPr="004B0C8D" w:rsidRDefault="00000000" w:rsidP="009D0429">
      <w:pPr>
        <w:pStyle w:val="JuPara"/>
      </w:pPr>
      <w:fldSimple w:instr=" SEQ level0 \*arabic \* MERGEFORMAT ">
        <w:r w:rsidR="00531673" w:rsidRPr="004B0C8D">
          <w:rPr>
            <w:noProof/>
          </w:rPr>
          <w:t>53</w:t>
        </w:r>
      </w:fldSimple>
      <w:r w:rsidRPr="004B0C8D">
        <w:t xml:space="preserve">.  Z </w:t>
      </w:r>
      <w:r w:rsidR="00D83AF7">
        <w:t>powyższego wynika, że zarzut</w:t>
      </w:r>
      <w:r w:rsidRPr="004B0C8D">
        <w:t xml:space="preserve"> Rząd</w:t>
      </w:r>
      <w:r w:rsidR="00D83AF7">
        <w:t>u</w:t>
      </w:r>
      <w:r w:rsidRPr="004B0C8D">
        <w:t xml:space="preserve"> </w:t>
      </w:r>
      <w:r w:rsidR="00D83AF7">
        <w:t>dotyczący</w:t>
      </w:r>
      <w:r w:rsidRPr="004B0C8D">
        <w:t xml:space="preserve"> niewyczerpania </w:t>
      </w:r>
      <w:r w:rsidR="00D83AF7" w:rsidRPr="004B0C8D">
        <w:t xml:space="preserve">środków </w:t>
      </w:r>
      <w:r w:rsidRPr="004B0C8D">
        <w:t xml:space="preserve">krajowych </w:t>
      </w:r>
      <w:r w:rsidR="00D83AF7">
        <w:t>powinien zostać oddalony</w:t>
      </w:r>
      <w:r w:rsidRPr="004B0C8D">
        <w:t>.</w:t>
      </w:r>
    </w:p>
    <w:p w14:paraId="79259E35" w14:textId="77777777" w:rsidR="005C744B" w:rsidRPr="004B0C8D" w:rsidRDefault="00000000" w:rsidP="009D0429">
      <w:pPr>
        <w:pStyle w:val="JuH1"/>
      </w:pPr>
      <w:r w:rsidRPr="004B0C8D">
        <w:t>Brak znaczącego uszczerbku</w:t>
      </w:r>
    </w:p>
    <w:p w14:paraId="333354C3" w14:textId="77777777" w:rsidR="005C744B" w:rsidRPr="004B0C8D" w:rsidRDefault="00000000" w:rsidP="009D0429">
      <w:pPr>
        <w:pStyle w:val="JuHa0"/>
      </w:pPr>
      <w:r w:rsidRPr="004B0C8D">
        <w:t>Rząd</w:t>
      </w:r>
    </w:p>
    <w:p w14:paraId="534779E8" w14:textId="133F8F0B" w:rsidR="005C744B" w:rsidRPr="004B0C8D" w:rsidRDefault="00000000" w:rsidP="009D0429">
      <w:pPr>
        <w:pStyle w:val="JuPara"/>
      </w:pPr>
      <w:fldSimple w:instr=" SEQ level0 \*arabic \* MERGEFORMAT ">
        <w:r w:rsidR="00531673" w:rsidRPr="004B0C8D">
          <w:rPr>
            <w:noProof/>
          </w:rPr>
          <w:t>54</w:t>
        </w:r>
      </w:fldSimple>
      <w:r w:rsidRPr="004B0C8D">
        <w:t xml:space="preserve">.  Rząd stwierdził, że skarżąca nie </w:t>
      </w:r>
      <w:r w:rsidR="00463E17">
        <w:t>doznała</w:t>
      </w:r>
      <w:r w:rsidR="00463E17" w:rsidRPr="004B0C8D">
        <w:t xml:space="preserve"> </w:t>
      </w:r>
      <w:r w:rsidRPr="004B0C8D">
        <w:t>znaczącego uszczerbku w</w:t>
      </w:r>
      <w:r w:rsidR="00351735">
        <w:t> </w:t>
      </w:r>
      <w:r w:rsidRPr="004B0C8D">
        <w:t xml:space="preserve">rozumieniu art. 35 ust. 3 lit. b Konwencji z powodu ujawnienia jej rozmowy telefonicznej podczas konferencji prasowej i późniejszego braku zniszczenia materiałów z kontroli. Rozmowa telefoniczna była bardzo krótka, </w:t>
      </w:r>
      <w:r w:rsidR="009E5510">
        <w:t>a </w:t>
      </w:r>
      <w:r w:rsidRPr="004B0C8D">
        <w:t>skarżąca wypowiedziała</w:t>
      </w:r>
      <w:r w:rsidR="009E5510">
        <w:t xml:space="preserve"> podczas niej</w:t>
      </w:r>
      <w:r w:rsidRPr="004B0C8D">
        <w:t xml:space="preserve"> zaledwie cztery </w:t>
      </w:r>
      <w:r w:rsidR="00463E17">
        <w:t>krótkie</w:t>
      </w:r>
      <w:r w:rsidR="00463E17" w:rsidRPr="004B0C8D">
        <w:t xml:space="preserve"> </w:t>
      </w:r>
      <w:r w:rsidRPr="004B0C8D">
        <w:t xml:space="preserve">słowa. Jak ustaliły sądy krajowe, </w:t>
      </w:r>
      <w:r w:rsidR="00463E17">
        <w:t>w związku z tym</w:t>
      </w:r>
      <w:r w:rsidRPr="004B0C8D">
        <w:t xml:space="preserve"> nie doszło do </w:t>
      </w:r>
      <w:r w:rsidR="00463E17">
        <w:t>uszczerbku</w:t>
      </w:r>
      <w:r w:rsidR="00463E17" w:rsidRPr="004B0C8D">
        <w:t xml:space="preserve"> </w:t>
      </w:r>
      <w:r w:rsidRPr="004B0C8D">
        <w:t xml:space="preserve">dóbr osobistych skarżącej ani jej dobrego imienia. Ponadto skarżąca nie wykazała, że brak zniszczenia materiałów z kontroli wywarł na nią negatywny wpływ. </w:t>
      </w:r>
      <w:r w:rsidR="0040525B">
        <w:t>Co więcej,</w:t>
      </w:r>
      <w:r w:rsidR="0040525B" w:rsidRPr="004B0C8D">
        <w:t xml:space="preserve"> </w:t>
      </w:r>
      <w:r w:rsidRPr="004B0C8D">
        <w:t xml:space="preserve">jej </w:t>
      </w:r>
      <w:r w:rsidR="00463E17">
        <w:t>zarzuty</w:t>
      </w:r>
      <w:r w:rsidR="00463E17" w:rsidRPr="004B0C8D">
        <w:t xml:space="preserve"> </w:t>
      </w:r>
      <w:r w:rsidRPr="004B0C8D">
        <w:t xml:space="preserve">zostały dokładnie zbadane </w:t>
      </w:r>
      <w:r w:rsidR="00463E17" w:rsidRPr="004B0C8D">
        <w:t>w</w:t>
      </w:r>
      <w:r w:rsidR="00463E17">
        <w:t> </w:t>
      </w:r>
      <w:r w:rsidR="00463E17" w:rsidRPr="004B0C8D">
        <w:t xml:space="preserve">postępowaniu sądowym </w:t>
      </w:r>
      <w:r w:rsidRPr="004B0C8D">
        <w:t>na szczeblu krajowym.</w:t>
      </w:r>
    </w:p>
    <w:p w14:paraId="781C948A" w14:textId="77777777" w:rsidR="005C744B" w:rsidRPr="004B0C8D" w:rsidRDefault="00000000" w:rsidP="009D0429">
      <w:pPr>
        <w:pStyle w:val="JuHa0"/>
        <w:numPr>
          <w:ilvl w:val="4"/>
          <w:numId w:val="2"/>
        </w:numPr>
      </w:pPr>
      <w:r w:rsidRPr="004B0C8D">
        <w:lastRenderedPageBreak/>
        <w:t>Skarżąca</w:t>
      </w:r>
    </w:p>
    <w:p w14:paraId="7B7B7B79" w14:textId="6724027A" w:rsidR="005C744B" w:rsidRPr="004B0C8D" w:rsidRDefault="00000000" w:rsidP="009D0429">
      <w:pPr>
        <w:pStyle w:val="JuPara"/>
      </w:pPr>
      <w:fldSimple w:instr=" SEQ level0 \*arabic \* MERGEFORMAT ">
        <w:r w:rsidR="00531673" w:rsidRPr="004B0C8D">
          <w:rPr>
            <w:noProof/>
          </w:rPr>
          <w:t>55</w:t>
        </w:r>
      </w:fldSimple>
      <w:r w:rsidRPr="004B0C8D">
        <w:t xml:space="preserve">.  Skarżąca nie </w:t>
      </w:r>
      <w:r w:rsidR="00463E17">
        <w:t>zgodziła się ze</w:t>
      </w:r>
      <w:r w:rsidR="00463E17" w:rsidRPr="004B0C8D">
        <w:t xml:space="preserve"> </w:t>
      </w:r>
      <w:r w:rsidRPr="004B0C8D">
        <w:t>stanowisk</w:t>
      </w:r>
      <w:r w:rsidR="00463E17">
        <w:t>iem</w:t>
      </w:r>
      <w:r w:rsidRPr="004B0C8D">
        <w:t xml:space="preserve"> Rządu. Stwierdziła, że nie </w:t>
      </w:r>
      <w:r w:rsidR="00463E17">
        <w:t>była</w:t>
      </w:r>
      <w:r w:rsidR="00463E17" w:rsidRPr="004B0C8D">
        <w:t xml:space="preserve"> </w:t>
      </w:r>
      <w:r w:rsidRPr="004B0C8D">
        <w:t>osobą publiczną, ale żoną polityka. Co więcej, nie była podejrzaną w</w:t>
      </w:r>
      <w:r w:rsidR="00351735">
        <w:t> </w:t>
      </w:r>
      <w:r w:rsidRPr="004B0C8D">
        <w:t xml:space="preserve">sprawie, a jedynie świadkiem i </w:t>
      </w:r>
      <w:r w:rsidR="003E381C">
        <w:t>doznała znaczącej</w:t>
      </w:r>
      <w:r w:rsidRPr="004B0C8D">
        <w:t xml:space="preserve"> szkod</w:t>
      </w:r>
      <w:r w:rsidR="003E381C">
        <w:t>y</w:t>
      </w:r>
      <w:r w:rsidRPr="004B0C8D">
        <w:t xml:space="preserve"> w związku z</w:t>
      </w:r>
      <w:r w:rsidR="00351735">
        <w:t> </w:t>
      </w:r>
      <w:r w:rsidRPr="004B0C8D">
        <w:t xml:space="preserve"> kontrol</w:t>
      </w:r>
      <w:r w:rsidR="003E381C">
        <w:t>ą operacyjną</w:t>
      </w:r>
      <w:r w:rsidRPr="004B0C8D">
        <w:t xml:space="preserve"> w niniejszej sprawie.</w:t>
      </w:r>
    </w:p>
    <w:p w14:paraId="4B3CCF36" w14:textId="77777777" w:rsidR="005C744B" w:rsidRPr="004B0C8D" w:rsidRDefault="00000000" w:rsidP="009D0429">
      <w:pPr>
        <w:pStyle w:val="JuHa0"/>
        <w:numPr>
          <w:ilvl w:val="4"/>
          <w:numId w:val="2"/>
        </w:numPr>
      </w:pPr>
      <w:r w:rsidRPr="004B0C8D">
        <w:t>Ocena Trybunału</w:t>
      </w:r>
    </w:p>
    <w:bookmarkStart w:id="22" w:name="nonsignificantdisadvantage_tomerits"/>
    <w:p w14:paraId="76E62700" w14:textId="14A55DA1"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56</w:t>
      </w:r>
      <w:r w:rsidRPr="004B0C8D">
        <w:fldChar w:fldCharType="end"/>
      </w:r>
      <w:bookmarkEnd w:id="22"/>
      <w:r w:rsidRPr="004B0C8D">
        <w:t xml:space="preserve">.  Jeśli chodzi o to, czy skarżąca </w:t>
      </w:r>
      <w:r w:rsidR="003E381C">
        <w:t>doznała</w:t>
      </w:r>
      <w:r w:rsidR="003E381C" w:rsidRPr="004B0C8D">
        <w:t xml:space="preserve"> </w:t>
      </w:r>
      <w:r w:rsidRPr="004B0C8D">
        <w:t>„znacząc</w:t>
      </w:r>
      <w:r w:rsidR="003E381C">
        <w:t>ego</w:t>
      </w:r>
      <w:r w:rsidRPr="004B0C8D">
        <w:t xml:space="preserve"> uszczerbk</w:t>
      </w:r>
      <w:r w:rsidR="003E381C">
        <w:t>u</w:t>
      </w:r>
      <w:r w:rsidRPr="004B0C8D">
        <w:t>” w</w:t>
      </w:r>
      <w:r w:rsidR="00351735">
        <w:t> </w:t>
      </w:r>
      <w:r w:rsidRPr="004B0C8D">
        <w:t xml:space="preserve">odniesieniu do jej praw wynikających z art. 8, Trybunał </w:t>
      </w:r>
      <w:r w:rsidR="00F12E19" w:rsidRPr="004B0C8D">
        <w:t>zauważ</w:t>
      </w:r>
      <w:r w:rsidR="00F12E19">
        <w:t>a</w:t>
      </w:r>
      <w:r w:rsidRPr="004B0C8D">
        <w:t xml:space="preserve">, że </w:t>
      </w:r>
      <w:r w:rsidR="003E381C">
        <w:t>złożyła skargę dotyczącą skutków</w:t>
      </w:r>
      <w:r w:rsidRPr="004B0C8D">
        <w:t xml:space="preserve"> ujawnienia jej rozmowy telefonicznej podczas konferencji prasowej i rzekomego braku zniszczenia materiałów powstałych w wyniku </w:t>
      </w:r>
      <w:r w:rsidR="003E381C">
        <w:t>kontroli operacyjnej</w:t>
      </w:r>
      <w:r w:rsidRPr="004B0C8D">
        <w:t xml:space="preserve">. Ponadto uważa, że kwestie te dotyczyły jej „życia prywatnego” i „korespondencji” i były dla niej kwestią zasadniczą. Trybunał nie podziela </w:t>
      </w:r>
      <w:r w:rsidR="00F12E19">
        <w:t>więc</w:t>
      </w:r>
      <w:r w:rsidR="00F12E19" w:rsidRPr="004B0C8D">
        <w:t xml:space="preserve"> </w:t>
      </w:r>
      <w:r w:rsidRPr="004B0C8D">
        <w:t>stanowiska Rządu</w:t>
      </w:r>
      <w:r w:rsidR="00F12E19">
        <w:t>,</w:t>
      </w:r>
      <w:r w:rsidRPr="004B0C8D">
        <w:t xml:space="preserve"> zgodnie z którym skarżąca nie </w:t>
      </w:r>
      <w:r w:rsidR="003E381C">
        <w:t>doznała</w:t>
      </w:r>
      <w:r w:rsidR="003E381C" w:rsidRPr="004B0C8D">
        <w:t xml:space="preserve"> </w:t>
      </w:r>
      <w:r w:rsidRPr="004B0C8D">
        <w:t>znaczącego uszczerbku. Trybunał oddala zatem zastrzeżenie Rządu.</w:t>
      </w:r>
    </w:p>
    <w:p w14:paraId="767329C7" w14:textId="77777777" w:rsidR="005C744B" w:rsidRPr="004B0C8D" w:rsidRDefault="00000000" w:rsidP="009D0429">
      <w:pPr>
        <w:pStyle w:val="JuH1"/>
        <w:numPr>
          <w:ilvl w:val="3"/>
          <w:numId w:val="2"/>
        </w:numPr>
      </w:pPr>
      <w:r w:rsidRPr="004B0C8D">
        <w:t>Decyzja w sprawie dopuszczalności</w:t>
      </w:r>
    </w:p>
    <w:p w14:paraId="3B169E05" w14:textId="21519424" w:rsidR="005C744B" w:rsidRPr="004B0C8D" w:rsidRDefault="00000000" w:rsidP="009D0429">
      <w:pPr>
        <w:pStyle w:val="JuPara"/>
      </w:pPr>
      <w:fldSimple w:instr=" SEQ level0 \*arabic \* MERGEFORMAT ">
        <w:r w:rsidR="00531673" w:rsidRPr="004B0C8D">
          <w:rPr>
            <w:noProof/>
          </w:rPr>
          <w:t>57</w:t>
        </w:r>
      </w:fldSimple>
      <w:r w:rsidRPr="004B0C8D">
        <w:t xml:space="preserve">.  Trybunał zauważa, że </w:t>
      </w:r>
      <w:r w:rsidR="00F51C80">
        <w:t>Rząd</w:t>
      </w:r>
      <w:r w:rsidR="00F51C80" w:rsidRPr="004B0C8D">
        <w:t xml:space="preserve"> </w:t>
      </w:r>
      <w:r w:rsidRPr="004B0C8D">
        <w:t xml:space="preserve">nie </w:t>
      </w:r>
      <w:r w:rsidR="00F51C80" w:rsidRPr="004B0C8D">
        <w:t>zakwestionow</w:t>
      </w:r>
      <w:r w:rsidR="00F51C80">
        <w:t>ał</w:t>
      </w:r>
      <w:r w:rsidR="00F51C80" w:rsidRPr="004B0C8D">
        <w:t xml:space="preserve"> </w:t>
      </w:r>
      <w:r w:rsidRPr="004B0C8D">
        <w:t xml:space="preserve">możliwości zastosowania art. 8 do niniejszej sprawy. Mając na uwadze swoje orzecznictwo, Trybunał nie </w:t>
      </w:r>
      <w:r w:rsidR="003E381C">
        <w:t>widzi</w:t>
      </w:r>
      <w:r w:rsidR="003E381C" w:rsidRPr="004B0C8D">
        <w:t xml:space="preserve"> </w:t>
      </w:r>
      <w:r w:rsidRPr="004B0C8D">
        <w:t>powodu, by dojść do innego wniosku. Przepis ten ma zatem zastosowanie w okolicznościach niniejszej sprawy.</w:t>
      </w:r>
    </w:p>
    <w:p w14:paraId="6DB900DA" w14:textId="51ACEB8A" w:rsidR="005C744B" w:rsidRPr="004B0C8D" w:rsidRDefault="00000000" w:rsidP="009D0429">
      <w:pPr>
        <w:pStyle w:val="JuPara"/>
      </w:pPr>
      <w:fldSimple w:instr=" SEQ level0 \*arabic \* MERGEFORMAT ">
        <w:r w:rsidR="00531673" w:rsidRPr="004B0C8D">
          <w:rPr>
            <w:noProof/>
          </w:rPr>
          <w:t>58</w:t>
        </w:r>
      </w:fldSimple>
      <w:r w:rsidRPr="004B0C8D">
        <w:t>.  Trybunał zauważa</w:t>
      </w:r>
      <w:r w:rsidR="00664317">
        <w:t xml:space="preserve"> także</w:t>
      </w:r>
      <w:r w:rsidRPr="004B0C8D">
        <w:t>, że niniejsza skarga nie jest w sposób oczywisty nieuzasadniona ani niedopuszczalna z jakichkolwiek innych powodów wymienionych w art. 35 Konwencji. Tym samym należy uznać ją za dopuszczalną.</w:t>
      </w:r>
    </w:p>
    <w:p w14:paraId="6D629FA2" w14:textId="10574880" w:rsidR="005C744B" w:rsidRPr="004B0C8D" w:rsidRDefault="005E6579" w:rsidP="009D0429">
      <w:pPr>
        <w:pStyle w:val="JuHA"/>
        <w:numPr>
          <w:ilvl w:val="2"/>
          <w:numId w:val="2"/>
        </w:numPr>
      </w:pPr>
      <w:r>
        <w:t>M</w:t>
      </w:r>
      <w:r w:rsidR="00033094">
        <w:t>e</w:t>
      </w:r>
      <w:r>
        <w:t>ritum</w:t>
      </w:r>
    </w:p>
    <w:p w14:paraId="7B92EE2D" w14:textId="77777777" w:rsidR="005C744B" w:rsidRPr="004B0C8D" w:rsidRDefault="00000000" w:rsidP="009D0429">
      <w:pPr>
        <w:pStyle w:val="JuH1"/>
      </w:pPr>
      <w:r w:rsidRPr="004B0C8D">
        <w:t>Ujawnienie rozmowy telefonicznej skarżącej podczas konferencji prasowej</w:t>
      </w:r>
    </w:p>
    <w:p w14:paraId="4EC83CF1" w14:textId="77777777" w:rsidR="005C744B" w:rsidRPr="004B0C8D" w:rsidRDefault="00000000" w:rsidP="009D0429">
      <w:pPr>
        <w:pStyle w:val="JuHa0"/>
      </w:pPr>
      <w:r w:rsidRPr="004B0C8D">
        <w:t>Stanowiska stron</w:t>
      </w:r>
    </w:p>
    <w:p w14:paraId="72D6C87B" w14:textId="77777777" w:rsidR="005C744B" w:rsidRPr="004B0C8D" w:rsidRDefault="00000000" w:rsidP="009D0429">
      <w:pPr>
        <w:pStyle w:val="JuHi"/>
      </w:pPr>
      <w:r w:rsidRPr="004B0C8D">
        <w:t>Skarżąca</w:t>
      </w:r>
    </w:p>
    <w:bookmarkStart w:id="23" w:name="applicantchallengeslawfulness_disclosure"/>
    <w:p w14:paraId="34D61C35" w14:textId="33E0EC41"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59</w:t>
      </w:r>
      <w:r w:rsidRPr="004B0C8D">
        <w:fldChar w:fldCharType="end"/>
      </w:r>
      <w:bookmarkEnd w:id="23"/>
      <w:r w:rsidRPr="004B0C8D">
        <w:t>.  Skarżąca zakwestionowała zgodność z prawem ujawnienia jej rozmowy telefonicznej podczas konferencji prasowej w dniu 31 sierpnia 2007 r. Podkreśliła, że w czasie istotnym dla sprawy</w:t>
      </w:r>
      <w:r w:rsidR="005E6579">
        <w:t>,</w:t>
      </w:r>
      <w:r w:rsidRPr="004B0C8D">
        <w:t xml:space="preserve"> dostęp do akt postępowania przygotowawczego </w:t>
      </w:r>
      <w:r w:rsidR="005E6579">
        <w:t>zgodnie z</w:t>
      </w:r>
      <w:r w:rsidRPr="004B0C8D">
        <w:t xml:space="preserve"> art. 156 § 5 Kodeksu postępowania karnego (zob. </w:t>
      </w:r>
      <w:r w:rsidR="000126D7">
        <w:t>pkt </w:t>
      </w:r>
      <w:r w:rsidRPr="004B0C8D">
        <w:t xml:space="preserve">37 powyżej) był ograniczony do wglądu do akt prowadzonego postępowania przygotowawczego oraz sporządzania odpisów i kserokopii. Przepis ten nie zezwalał stronom innym niż podejrzany lub oskarżony na dostęp do informacji z prowadzonego postępowania przygotowawczego. Ponadto dostęp do akt sprawy stanowił wyjątek od </w:t>
      </w:r>
      <w:r w:rsidRPr="004B0C8D">
        <w:lastRenderedPageBreak/>
        <w:t>ogólnej zasady poufności postępowania przygotowawczego. W</w:t>
      </w:r>
      <w:r w:rsidR="000126D7">
        <w:t> </w:t>
      </w:r>
      <w:r w:rsidRPr="004B0C8D">
        <w:t>praktyce niejednokrotnie prokuratorzy odmawiali dostępu do akt sprawy, a</w:t>
      </w:r>
      <w:r w:rsidR="000126D7">
        <w:t> </w:t>
      </w:r>
      <w:r w:rsidRPr="004B0C8D">
        <w:t xml:space="preserve">kwestia ta stała się w Polsce problemem strukturalnym. W </w:t>
      </w:r>
      <w:r w:rsidR="005E6579">
        <w:t>tym względzie</w:t>
      </w:r>
      <w:r w:rsidRPr="004B0C8D">
        <w:t xml:space="preserve"> skarżąca </w:t>
      </w:r>
      <w:r w:rsidR="005E6579">
        <w:t>odwołała</w:t>
      </w:r>
      <w:r w:rsidR="005E6579" w:rsidRPr="004B0C8D">
        <w:t xml:space="preserve"> </w:t>
      </w:r>
      <w:r w:rsidRPr="004B0C8D">
        <w:t xml:space="preserve">się </w:t>
      </w:r>
      <w:r w:rsidR="005E6579">
        <w:t>do</w:t>
      </w:r>
      <w:r w:rsidRPr="004B0C8D">
        <w:t xml:space="preserve"> wyrok</w:t>
      </w:r>
      <w:r w:rsidR="005E6579">
        <w:t>u</w:t>
      </w:r>
      <w:r w:rsidRPr="004B0C8D">
        <w:t xml:space="preserve"> Trybunału Konstytucyjnego z 3 czerwca 2009 r. (sygn. K</w:t>
      </w:r>
      <w:r w:rsidR="002D05B5">
        <w:t> </w:t>
      </w:r>
      <w:r w:rsidRPr="004B0C8D">
        <w:t xml:space="preserve">42/07), w którym trybunał </w:t>
      </w:r>
      <w:r w:rsidR="002D05B5">
        <w:t xml:space="preserve">ten </w:t>
      </w:r>
      <w:r w:rsidRPr="004B0C8D">
        <w:t xml:space="preserve">stwierdził, że arbitralne wyłączenie przez prokuratora jawności materiałów postępowania przygotowawczego, które uzasadniały wniosek prokuratora o zastosowanie tymczasowego aresztowania, </w:t>
      </w:r>
      <w:r w:rsidR="005E6579">
        <w:t>było</w:t>
      </w:r>
      <w:r w:rsidR="005E6579" w:rsidRPr="004B0C8D">
        <w:t xml:space="preserve"> </w:t>
      </w:r>
      <w:r w:rsidRPr="004B0C8D">
        <w:t xml:space="preserve">niezgodne z Konstytucją RP. Wreszcie skarżąca wskazała, że przepisy dotyczące funkcjonowania jednostek prokuratury, na których oparł się Rząd (zob. </w:t>
      </w:r>
      <w:r w:rsidR="002D05B5">
        <w:t>pkt </w:t>
      </w:r>
      <w:r w:rsidRPr="004B0C8D">
        <w:t>65 poniżej), weszły w</w:t>
      </w:r>
      <w:r w:rsidR="000126D7">
        <w:t> </w:t>
      </w:r>
      <w:r w:rsidRPr="004B0C8D">
        <w:t>życie 18 września 2007 r., tj. po wydarzeniach, które miały miejsce w</w:t>
      </w:r>
      <w:r w:rsidR="000126D7">
        <w:t> </w:t>
      </w:r>
      <w:r w:rsidRPr="004B0C8D">
        <w:t>niniejszej sprawie.</w:t>
      </w:r>
    </w:p>
    <w:bookmarkStart w:id="24" w:name="legitimate_aim_applicant"/>
    <w:p w14:paraId="1504EB1B" w14:textId="25F2FEA9"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60</w:t>
      </w:r>
      <w:r w:rsidRPr="004B0C8D">
        <w:fldChar w:fldCharType="end"/>
      </w:r>
      <w:bookmarkStart w:id="25" w:name="Legitimateaim_applicant"/>
      <w:bookmarkEnd w:id="24"/>
      <w:bookmarkEnd w:id="25"/>
      <w:r w:rsidRPr="004B0C8D">
        <w:t>.  Skarżąca stwierdziła również, że działania prokuratora nie miały uzasadnionego celu. Podkreśliła, że nie wydaje się, aby ingerencja w jej prawa służyła „zapobieganiu zakłóceniom porządku i przestępczości”. Ponadto, jeśli chodzi o „ochronę praw i wolności innych osób”, decyzja o</w:t>
      </w:r>
      <w:r w:rsidR="00664317">
        <w:t> </w:t>
      </w:r>
      <w:r w:rsidRPr="004B0C8D">
        <w:t>publicznym ujawnieniu jej rozmowy telefonicznej była spontaniczna i</w:t>
      </w:r>
      <w:r w:rsidR="00664317">
        <w:t> </w:t>
      </w:r>
      <w:r w:rsidRPr="004B0C8D">
        <w:t>bezrefleksyjna</w:t>
      </w:r>
      <w:r w:rsidR="00E86776">
        <w:t>.</w:t>
      </w:r>
    </w:p>
    <w:bookmarkStart w:id="26" w:name="applicants_submissions_bearingonreputati"/>
    <w:p w14:paraId="78BC3A14" w14:textId="71554BEB"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61</w:t>
      </w:r>
      <w:r w:rsidRPr="004B0C8D">
        <w:fldChar w:fldCharType="end"/>
      </w:r>
      <w:bookmarkEnd w:id="26"/>
      <w:r w:rsidRPr="004B0C8D">
        <w:t>.  Skarżąca wywodziła, że prawo do uzyskania informacji w sprawach publicznych nie jest prawem bezwzględnym i może być ograniczone w celu ochrony wolności i praw innych osób. Stwierdziła, że ingerencja nie była proporcjonalna, ponieważ jej nazwisko było jedynym nazwiskiem wymienionym podczas konferencji prasowej. Co więcej, zawsze unikała publicznego zainteresowania i udzieliła pierwszego wywiadu prasowego dopiero po tym, jak wobec jej męża zastosowano tymczasowe aresztowanie.</w:t>
      </w:r>
    </w:p>
    <w:p w14:paraId="680D1836" w14:textId="56D43987" w:rsidR="005C744B" w:rsidRPr="004B0C8D" w:rsidRDefault="00000000" w:rsidP="009D0429">
      <w:pPr>
        <w:pStyle w:val="JuPara"/>
      </w:pPr>
      <w:fldSimple w:instr=" SEQ level0 \*arabic \* MERGEFORMAT ">
        <w:bookmarkStart w:id="27" w:name="paragraph00063"/>
        <w:r w:rsidR="00531673" w:rsidRPr="004B0C8D">
          <w:rPr>
            <w:noProof/>
          </w:rPr>
          <w:t>62</w:t>
        </w:r>
        <w:bookmarkEnd w:id="27"/>
      </w:fldSimple>
      <w:r w:rsidRPr="004B0C8D">
        <w:t xml:space="preserve">.  Skarżąca stwierdziła, że nie </w:t>
      </w:r>
      <w:r w:rsidR="0060464A">
        <w:t>była</w:t>
      </w:r>
      <w:r w:rsidR="0060464A" w:rsidRPr="004B0C8D">
        <w:t xml:space="preserve"> </w:t>
      </w:r>
      <w:r w:rsidRPr="004B0C8D">
        <w:t xml:space="preserve">osobą publiczną, </w:t>
      </w:r>
      <w:r w:rsidR="00B94E48">
        <w:t>lecz</w:t>
      </w:r>
      <w:r w:rsidR="00B94E48" w:rsidRPr="004B0C8D">
        <w:t xml:space="preserve"> </w:t>
      </w:r>
      <w:r w:rsidRPr="004B0C8D">
        <w:t>żoną polityka, która wcześniej nie pojawiała się w mediach. Nie była podejrzaną w sprawie, a jedynie świadkiem. Niemniej jej reputacja została nadszarpnięta przez ujawnienie materiałów operacyjnych podczas konferencji prasowej. Została przedstawiona jako część podejrzanego kręgu osób, które współpracowały z podejrzanymi o popełnienie przestępstwa. O</w:t>
      </w:r>
      <w:r w:rsidR="00B94E48">
        <w:t> </w:t>
      </w:r>
      <w:r w:rsidRPr="004B0C8D">
        <w:t>ile przed konferencją prasową nie była „osobą publiczną”, o tyle w wyniku tej konferencji stała się „osobą publiczną” związaną z „aferą gruntową”. Po konferencji prasowej dziennikarze zebrali się przed jej domem, naruszając jej prywatność i</w:t>
      </w:r>
      <w:r w:rsidR="00017FCA">
        <w:t> </w:t>
      </w:r>
      <w:r w:rsidRPr="004B0C8D">
        <w:t>znacząco wpływając na jej samopoczucie.</w:t>
      </w:r>
    </w:p>
    <w:p w14:paraId="5966AEB3" w14:textId="7E3D4157" w:rsidR="005C744B" w:rsidRPr="004B0C8D" w:rsidRDefault="00000000" w:rsidP="009D0429">
      <w:pPr>
        <w:pStyle w:val="JuPara"/>
      </w:pPr>
      <w:fldSimple w:instr=" SEQ level0 \*arabic \* MERGEFORMAT ">
        <w:r w:rsidR="00531673" w:rsidRPr="004B0C8D">
          <w:rPr>
            <w:noProof/>
          </w:rPr>
          <w:t>63</w:t>
        </w:r>
      </w:fldSimple>
      <w:r w:rsidRPr="004B0C8D">
        <w:t>.  Wskazała również, że jej mąż nie został oskarżony o żadne poważne przestępstwa, a sprawa nie dotyczyła przestępstw przeciwko „bezpieczeństwu publicznemu” ani „porządkowi publicznemu”. Jej mąż nigdy nie został postawiony w stan oskarżenia, a postępowanie karne przeciwko niemu zostało ostatecznie umorzone.</w:t>
      </w:r>
    </w:p>
    <w:p w14:paraId="5348F61F" w14:textId="77777777" w:rsidR="005C744B" w:rsidRPr="004B0C8D" w:rsidRDefault="00000000" w:rsidP="009D0429">
      <w:pPr>
        <w:pStyle w:val="JuHi"/>
      </w:pPr>
      <w:r w:rsidRPr="004B0C8D">
        <w:t>Rząd</w:t>
      </w:r>
    </w:p>
    <w:bookmarkStart w:id="28" w:name="government_admits_discloure_interference"/>
    <w:p w14:paraId="3116EF16" w14:textId="077C2348"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64</w:t>
      </w:r>
      <w:r w:rsidRPr="004B0C8D">
        <w:fldChar w:fldCharType="end"/>
      </w:r>
      <w:bookmarkEnd w:id="28"/>
      <w:r w:rsidRPr="004B0C8D">
        <w:t>.  Rząd przyznał, że ujawnienie rozmowy telefonicznej skarżącej podczas przedmiotowej konferencji prasowej można uznać za ingerencję w</w:t>
      </w:r>
      <w:r w:rsidR="002C638D">
        <w:t> </w:t>
      </w:r>
      <w:r w:rsidRPr="004B0C8D">
        <w:t>jej prawo do poszanowania życia prywatnego i korespondencji.</w:t>
      </w:r>
    </w:p>
    <w:bookmarkStart w:id="29" w:name="legalbasis_government"/>
    <w:p w14:paraId="57DEE114" w14:textId="05B6A57F" w:rsidR="005C744B" w:rsidRPr="004B0C8D" w:rsidRDefault="00000000" w:rsidP="009D0429">
      <w:pPr>
        <w:pStyle w:val="JuPara"/>
      </w:pPr>
      <w:r w:rsidRPr="004B0C8D">
        <w:lastRenderedPageBreak/>
        <w:fldChar w:fldCharType="begin"/>
      </w:r>
      <w:r w:rsidRPr="004B0C8D">
        <w:instrText xml:space="preserve"> SEQ level0 \*arabic \* MERGEFORMAT </w:instrText>
      </w:r>
      <w:r w:rsidRPr="004B0C8D">
        <w:fldChar w:fldCharType="separate"/>
      </w:r>
      <w:r w:rsidR="00531673" w:rsidRPr="004B0C8D">
        <w:rPr>
          <w:noProof/>
        </w:rPr>
        <w:t>65</w:t>
      </w:r>
      <w:r w:rsidRPr="004B0C8D">
        <w:fldChar w:fldCharType="end"/>
      </w:r>
      <w:bookmarkEnd w:id="29"/>
      <w:r w:rsidRPr="004B0C8D">
        <w:t>.  Jeśli chodzi o podstawę prawną ingerencji, Rząd zauważył, że opierała się ona na art. 156 § 5 Kodeksu postępowania karnego. Zgodnie z</w:t>
      </w:r>
      <w:r w:rsidR="002C638D">
        <w:t> </w:t>
      </w:r>
      <w:r w:rsidRPr="004B0C8D">
        <w:t xml:space="preserve">tym przepisem za zgodą prokuratora akta w toku postępowania przygotowawczego mogą być w wyjątkowych wypadkach udostępnione innym osobom (zob. </w:t>
      </w:r>
      <w:r w:rsidR="00D176FD">
        <w:t>pkt </w:t>
      </w:r>
      <w:r w:rsidRPr="004B0C8D">
        <w:t>37 powyżej). W niniejszej sprawie zgoda została wyrażona przed konferencją prasową przez E.</w:t>
      </w:r>
      <w:r w:rsidR="00966108">
        <w:t xml:space="preserve"> </w:t>
      </w:r>
      <w:r w:rsidRPr="004B0C8D">
        <w:t>J., szef</w:t>
      </w:r>
      <w:r w:rsidR="00966108">
        <w:t>ową</w:t>
      </w:r>
      <w:r w:rsidRPr="004B0C8D">
        <w:t xml:space="preserve"> Prokuratury Okręgowej w Warszawie, któr</w:t>
      </w:r>
      <w:r w:rsidR="00966108">
        <w:t>a</w:t>
      </w:r>
      <w:r w:rsidRPr="004B0C8D">
        <w:t xml:space="preserve"> nadzorował</w:t>
      </w:r>
      <w:r w:rsidR="00966108">
        <w:t>a</w:t>
      </w:r>
      <w:r w:rsidRPr="004B0C8D">
        <w:t xml:space="preserve"> postępowanie w</w:t>
      </w:r>
      <w:r w:rsidR="003A043E">
        <w:t> </w:t>
      </w:r>
      <w:r w:rsidRPr="004B0C8D">
        <w:t>sprawie. Następnie E.</w:t>
      </w:r>
      <w:r w:rsidR="00966108">
        <w:t xml:space="preserve"> </w:t>
      </w:r>
      <w:r w:rsidRPr="004B0C8D">
        <w:t>J. potwierdziła swoją zgodę w pisemnej adnotacji. Rząd podkreślił, że art. 156 § 5 Kodeksu postępowania karnego nie precyzuje, w</w:t>
      </w:r>
      <w:r w:rsidR="002C638D">
        <w:t> </w:t>
      </w:r>
      <w:r w:rsidRPr="004B0C8D">
        <w:t xml:space="preserve">jakiej formie musi zostać wyrażona zgoda prokuratora, ani nie wskazuje, który prokurator może jej udzielić. Rząd </w:t>
      </w:r>
      <w:r w:rsidR="00966108">
        <w:t>powołał</w:t>
      </w:r>
      <w:r w:rsidR="00966108" w:rsidRPr="004B0C8D">
        <w:t xml:space="preserve"> </w:t>
      </w:r>
      <w:r w:rsidRPr="004B0C8D">
        <w:t>się na Regulamin urzędowania powszechnych jednostek organizacyjnych prokuratury z</w:t>
      </w:r>
      <w:r w:rsidR="003A043E">
        <w:t> </w:t>
      </w:r>
      <w:r w:rsidRPr="004B0C8D">
        <w:t>dn</w:t>
      </w:r>
      <w:r w:rsidR="00966108">
        <w:t>ia</w:t>
      </w:r>
      <w:r w:rsidR="003A043E">
        <w:rPr>
          <w:i/>
          <w:iCs/>
        </w:rPr>
        <w:t> </w:t>
      </w:r>
      <w:r w:rsidRPr="004B0C8D">
        <w:t>27</w:t>
      </w:r>
      <w:r w:rsidR="002C638D">
        <w:t> </w:t>
      </w:r>
      <w:r w:rsidRPr="004B0C8D">
        <w:t xml:space="preserve">sierpnia 2007 r., który </w:t>
      </w:r>
      <w:r w:rsidR="00FA5194">
        <w:t xml:space="preserve">to regulamin </w:t>
      </w:r>
      <w:r w:rsidRPr="004B0C8D">
        <w:t xml:space="preserve">przewidywał, że </w:t>
      </w:r>
      <w:r w:rsidR="00966108">
        <w:t>zarządzenia</w:t>
      </w:r>
      <w:r w:rsidR="00966108" w:rsidRPr="004B0C8D">
        <w:t xml:space="preserve"> </w:t>
      </w:r>
      <w:r w:rsidRPr="004B0C8D">
        <w:t xml:space="preserve">dotyczące toczących się postępowań przygotowawczych, które nie podlegały zaskarżeniu, mogą być wydawane ustnie, a następnie potwierdzane na piśmie. Ponadto, zgodnie z tymi przepisami, </w:t>
      </w:r>
      <w:r w:rsidR="00966108">
        <w:t>zarządzenia</w:t>
      </w:r>
      <w:r w:rsidR="00966108" w:rsidRPr="004B0C8D">
        <w:t xml:space="preserve"> </w:t>
      </w:r>
      <w:r w:rsidRPr="004B0C8D">
        <w:t xml:space="preserve">dotyczące </w:t>
      </w:r>
      <w:r w:rsidR="00966108">
        <w:t>ujawniania</w:t>
      </w:r>
      <w:r w:rsidR="00966108" w:rsidRPr="004B0C8D">
        <w:t xml:space="preserve"> </w:t>
      </w:r>
      <w:r w:rsidRPr="004B0C8D">
        <w:t xml:space="preserve">informacji z postępowania przygotowawczego mogły być wydawane nie tylko przez prokuratora prowadzącego śledztwo, </w:t>
      </w:r>
      <w:r w:rsidR="00FA5194">
        <w:t>lecz</w:t>
      </w:r>
      <w:r w:rsidR="00FA5194" w:rsidRPr="004B0C8D">
        <w:t xml:space="preserve"> </w:t>
      </w:r>
      <w:r w:rsidRPr="004B0C8D">
        <w:t>także przez jego przełożonego.</w:t>
      </w:r>
    </w:p>
    <w:bookmarkStart w:id="30" w:name="Govssubmissions_legitimateaim"/>
    <w:p w14:paraId="1C6D9E0D" w14:textId="50A795AC"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66</w:t>
      </w:r>
      <w:r w:rsidRPr="004B0C8D">
        <w:fldChar w:fldCharType="end"/>
      </w:r>
      <w:bookmarkEnd w:id="30"/>
      <w:r w:rsidRPr="004B0C8D">
        <w:t>.  Rząd stwierdził, że monitorowanie rozmów telefonicznych skarżącej i jej męża oraz późniejsza publikacja nagrania służyły uzasadnionym celom zapobiegania zakłóceniom porządku i przestępczości oraz ochrony praw i</w:t>
      </w:r>
      <w:r w:rsidR="008E26B0">
        <w:t> </w:t>
      </w:r>
      <w:r w:rsidRPr="004B0C8D">
        <w:t>wolności innych osób.</w:t>
      </w:r>
    </w:p>
    <w:p w14:paraId="34550DC6" w14:textId="1AF65117" w:rsidR="005C744B" w:rsidRPr="004B0C8D" w:rsidRDefault="00000000" w:rsidP="009D0429">
      <w:pPr>
        <w:pStyle w:val="JuPara"/>
      </w:pPr>
      <w:fldSimple w:instr=" SEQ level0 \*arabic \* MERGEFORMAT ">
        <w:r w:rsidR="00531673" w:rsidRPr="004B0C8D">
          <w:rPr>
            <w:noProof/>
          </w:rPr>
          <w:t>67</w:t>
        </w:r>
      </w:fldSimple>
      <w:r w:rsidRPr="004B0C8D">
        <w:t xml:space="preserve">.  W odniesieniu do konieczności i proporcjonalności ingerencji Rząd wskazał, że postępowanie karne </w:t>
      </w:r>
      <w:r w:rsidR="008F357B">
        <w:t>w sprawie</w:t>
      </w:r>
      <w:r w:rsidR="008F357B" w:rsidRPr="004B0C8D">
        <w:t xml:space="preserve"> </w:t>
      </w:r>
      <w:r w:rsidRPr="004B0C8D">
        <w:t xml:space="preserve">afery gruntowej dotyczyło wysokich rangą polityków i ministrów. Przedstawiciele prokuratury postanowili odpowiedzieć na pytania mediów i poinformować opinię publiczną o postępach w śledztwie podczas konferencji prasowej. </w:t>
      </w:r>
      <w:r w:rsidR="008F357B">
        <w:t>Odpowiednie dokumenty ze</w:t>
      </w:r>
      <w:r w:rsidR="008F357B" w:rsidRPr="004B0C8D">
        <w:t xml:space="preserve"> </w:t>
      </w:r>
      <w:r w:rsidRPr="004B0C8D">
        <w:t>śledztwa zostały odtajnione, a zgodę na ich ujawnienie wyraził</w:t>
      </w:r>
      <w:r w:rsidR="008F357B">
        <w:t>a</w:t>
      </w:r>
      <w:r w:rsidRPr="004B0C8D">
        <w:t xml:space="preserve"> szef</w:t>
      </w:r>
      <w:r w:rsidR="008F357B">
        <w:t>owa</w:t>
      </w:r>
      <w:r w:rsidRPr="004B0C8D">
        <w:t xml:space="preserve"> Prokuratury Okręgowej w Warszawie. Rozmowa skarżącej z K.</w:t>
      </w:r>
      <w:r w:rsidR="008F357B">
        <w:t xml:space="preserve"> </w:t>
      </w:r>
      <w:r w:rsidRPr="004B0C8D">
        <w:t>K. była ważnym elementem w wykazaniu sekwencji zdarzeń: wizyty Komendanta Głównego Policji w domu skarżącej i jej męża oraz rzekomego udziału Ministra Spraw Wewnętrznych w utrudnianiu prowokacji.</w:t>
      </w:r>
    </w:p>
    <w:p w14:paraId="3DFE2F7C" w14:textId="6D4809DF" w:rsidR="005C744B" w:rsidRPr="004B0C8D" w:rsidRDefault="00000000" w:rsidP="009D0429">
      <w:pPr>
        <w:pStyle w:val="JuPara"/>
      </w:pPr>
      <w:fldSimple w:instr=" SEQ level0 \*arabic \* MERGEFORMAT ">
        <w:r w:rsidR="00531673" w:rsidRPr="004B0C8D">
          <w:rPr>
            <w:noProof/>
          </w:rPr>
          <w:t>68</w:t>
        </w:r>
      </w:fldSimple>
      <w:r w:rsidRPr="004B0C8D">
        <w:t>.  Rząd utrzymywał ponadto, że nagranie było bardzo krótką rozmową telefoniczną, podczas której skarżąca wypowiedziała zaledwie kilka słów. Nie wydaje się, aby ujawnienie tak krótkiej rozmowy mogło wpłynąć na jej reputację lub w inny sposób naruszyć jej prawa. Skarżąca nie została przedstawiona w negatywny sposób i nic nie wskazywało na jej udział w</w:t>
      </w:r>
      <w:r w:rsidR="008E26B0">
        <w:t> </w:t>
      </w:r>
      <w:r w:rsidRPr="004B0C8D">
        <w:t>aferze gruntowej.</w:t>
      </w:r>
    </w:p>
    <w:p w14:paraId="5B70779F" w14:textId="7FAFA053" w:rsidR="005C744B" w:rsidRPr="004B0C8D" w:rsidRDefault="00000000" w:rsidP="009D0429">
      <w:pPr>
        <w:pStyle w:val="JuPara"/>
      </w:pPr>
      <w:fldSimple w:instr=" SEQ level0 \*arabic \* MERGEFORMAT ">
        <w:r w:rsidR="00531673" w:rsidRPr="004B0C8D">
          <w:rPr>
            <w:noProof/>
          </w:rPr>
          <w:t>69</w:t>
        </w:r>
      </w:fldSimple>
      <w:r w:rsidRPr="004B0C8D">
        <w:t xml:space="preserve">.  Wreszcie Rząd stwierdził, że zarzucana ingerencja w prawo skarżącej do poszanowania jej życia prywatnego została dokładnie zbadana przez sądy krajowe. Ustalono, że nie doszło do naruszenia dóbr osobistych skarżącej wskutek prezentacji nagrania podczas konferencji prasowej. Ponadto </w:t>
      </w:r>
      <w:r w:rsidRPr="004B0C8D">
        <w:lastRenderedPageBreak/>
        <w:t>postępowanie karne dotyczące rzekomej bezprawności ujawnienia rozmowy telefonicznej zostało umorzone z powodu braku popełnienia przestępstwa.</w:t>
      </w:r>
    </w:p>
    <w:p w14:paraId="04A9E4DC" w14:textId="77777777" w:rsidR="005C744B" w:rsidRPr="004B0C8D" w:rsidRDefault="00000000" w:rsidP="009D0429">
      <w:pPr>
        <w:pStyle w:val="JuHa0"/>
      </w:pPr>
      <w:r w:rsidRPr="004B0C8D">
        <w:t>Ocena Trybunału</w:t>
      </w:r>
    </w:p>
    <w:p w14:paraId="04BD7416" w14:textId="77777777" w:rsidR="005C744B" w:rsidRPr="004B0C8D" w:rsidRDefault="00000000" w:rsidP="009D0429">
      <w:pPr>
        <w:pStyle w:val="JuHi"/>
        <w:numPr>
          <w:ilvl w:val="5"/>
          <w:numId w:val="2"/>
        </w:numPr>
      </w:pPr>
      <w:r w:rsidRPr="004B0C8D">
        <w:t>Zasady ogólne</w:t>
      </w:r>
    </w:p>
    <w:p w14:paraId="731B3140" w14:textId="4EB2F434" w:rsidR="005C744B" w:rsidRPr="004B0C8D" w:rsidRDefault="00000000" w:rsidP="009D0429">
      <w:pPr>
        <w:pStyle w:val="JuPara"/>
      </w:pPr>
      <w:fldSimple w:instr=" SEQ level0 \*arabic \* MERGEFORMAT ">
        <w:r w:rsidR="00531673" w:rsidRPr="004B0C8D">
          <w:rPr>
            <w:noProof/>
          </w:rPr>
          <w:t>70</w:t>
        </w:r>
      </w:fldSimple>
      <w:r w:rsidRPr="004B0C8D">
        <w:t xml:space="preserve">.  Trybunał </w:t>
      </w:r>
      <w:r w:rsidR="001E1E69">
        <w:t>przypomina</w:t>
      </w:r>
      <w:r w:rsidR="001E1E69" w:rsidRPr="004B0C8D">
        <w:t xml:space="preserve"> </w:t>
      </w:r>
      <w:r w:rsidRPr="004B0C8D">
        <w:t>swoje utrwalone orzecznictwo, zgodnie z którym rozmowy telefoniczne, chociaż nie są wyraźnie wymienione w ustępie 1 art.</w:t>
      </w:r>
      <w:r w:rsidR="002417B5">
        <w:t> </w:t>
      </w:r>
      <w:r w:rsidRPr="004B0C8D">
        <w:t>8 Konwencji, są objęte pojęciami „życia prywatnego” i</w:t>
      </w:r>
      <w:r w:rsidR="002417B5">
        <w:t> </w:t>
      </w:r>
      <w:r w:rsidRPr="004B0C8D">
        <w:t>„korespondencji”, o</w:t>
      </w:r>
      <w:r w:rsidR="002417B5">
        <w:t> </w:t>
      </w:r>
      <w:r w:rsidRPr="004B0C8D">
        <w:t xml:space="preserve">których mowa w tym przepisie (zob. </w:t>
      </w:r>
      <w:proofErr w:type="spellStart"/>
      <w:r w:rsidRPr="004B0C8D">
        <w:rPr>
          <w:i/>
          <w:iCs/>
        </w:rPr>
        <w:t>Klass</w:t>
      </w:r>
      <w:proofErr w:type="spellEnd"/>
      <w:r w:rsidRPr="004B0C8D">
        <w:rPr>
          <w:i/>
          <w:iCs/>
        </w:rPr>
        <w:t xml:space="preserve"> i Inni przeciwko Niemcom</w:t>
      </w:r>
      <w:r w:rsidRPr="004B0C8D">
        <w:t>, 6</w:t>
      </w:r>
      <w:r w:rsidR="002417B5">
        <w:t> </w:t>
      </w:r>
      <w:r w:rsidRPr="004B0C8D">
        <w:t xml:space="preserve">września 1978 r., </w:t>
      </w:r>
      <w:r w:rsidR="002417B5">
        <w:t>pkt </w:t>
      </w:r>
      <w:r w:rsidRPr="004B0C8D">
        <w:t>41, Seria A nr 28</w:t>
      </w:r>
      <w:r w:rsidR="001E1E69">
        <w:t xml:space="preserve"> i </w:t>
      </w:r>
      <w:proofErr w:type="spellStart"/>
      <w:r w:rsidRPr="004B0C8D">
        <w:rPr>
          <w:i/>
          <w:iCs/>
        </w:rPr>
        <w:t>Amann</w:t>
      </w:r>
      <w:proofErr w:type="spellEnd"/>
      <w:r w:rsidRPr="004B0C8D">
        <w:rPr>
          <w:i/>
          <w:iCs/>
        </w:rPr>
        <w:t xml:space="preserve"> przeciwko Szwajcarii</w:t>
      </w:r>
      <w:r w:rsidRPr="004B0C8D">
        <w:t xml:space="preserve"> [WI], nr 27798/95, </w:t>
      </w:r>
      <w:r w:rsidR="002417B5">
        <w:t>pkt </w:t>
      </w:r>
      <w:r w:rsidRPr="004B0C8D">
        <w:t>44, ETPC 2000-II).</w:t>
      </w:r>
    </w:p>
    <w:p w14:paraId="753D6C77" w14:textId="17BCB322" w:rsidR="005C744B" w:rsidRPr="004B0C8D" w:rsidRDefault="00000000" w:rsidP="009D0429">
      <w:pPr>
        <w:pStyle w:val="JuPara"/>
      </w:pPr>
      <w:fldSimple w:instr=" SEQ level0 \*arabic \* MERGEFORMAT ">
        <w:r w:rsidR="00531673" w:rsidRPr="004B0C8D">
          <w:rPr>
            <w:noProof/>
          </w:rPr>
          <w:t>71</w:t>
        </w:r>
      </w:fldSimple>
      <w:r w:rsidRPr="004B0C8D">
        <w:t xml:space="preserve">.  Prawo do ochrony dobrego imienia jest prawem objętym gwarancjami art. 8 Konwencji jako część prawa do poszanowania życia prywatnego. Dobre imię osoby, nawet jeśli </w:t>
      </w:r>
      <w:r w:rsidR="001E1E69">
        <w:t>ta</w:t>
      </w:r>
      <w:r w:rsidR="001E1E69" w:rsidRPr="004B0C8D">
        <w:t xml:space="preserve"> </w:t>
      </w:r>
      <w:r w:rsidRPr="004B0C8D">
        <w:t xml:space="preserve">osoba jest krytykowana w ramach debaty publicznej, stanowi część osobistej tożsamości i psychologicznej integralności takiej osoby i jako taka wchodzi w zakres jej „życia prywatnego”. Aby jednak art. 8 mógł </w:t>
      </w:r>
      <w:r w:rsidR="001E1E69">
        <w:t>mieć zastosowanie</w:t>
      </w:r>
      <w:r w:rsidRPr="004B0C8D">
        <w:t xml:space="preserve">, atak na reputację osoby musi osiągnąć pewien poziom i </w:t>
      </w:r>
      <w:r w:rsidR="001F0DB7" w:rsidRPr="001F0DB7">
        <w:t xml:space="preserve">nastąpić </w:t>
      </w:r>
      <w:r w:rsidRPr="004B0C8D">
        <w:t>w sposób powodujący uszczerbek dla osobistego korzystania z prawa do poszanowania życia prywatnego (zob.</w:t>
      </w:r>
      <w:r w:rsidRPr="004B0C8D">
        <w:rPr>
          <w:color w:val="FF0000"/>
        </w:rPr>
        <w:t xml:space="preserve"> </w:t>
      </w:r>
      <w:r w:rsidRPr="004B0C8D">
        <w:t xml:space="preserve">m.in. </w:t>
      </w:r>
      <w:r w:rsidRPr="004B0C8D">
        <w:rPr>
          <w:i/>
          <w:iCs/>
        </w:rPr>
        <w:t>Axel Springer AG przeciwko Niemcom</w:t>
      </w:r>
      <w:r w:rsidRPr="004B0C8D">
        <w:t xml:space="preserve"> [WI], nr</w:t>
      </w:r>
      <w:r w:rsidR="001F0DB7">
        <w:t> </w:t>
      </w:r>
      <w:r w:rsidRPr="004B0C8D">
        <w:t xml:space="preserve">39954/08, </w:t>
      </w:r>
      <w:r w:rsidR="002417B5">
        <w:t>pkt </w:t>
      </w:r>
      <w:r w:rsidRPr="004B0C8D">
        <w:t>83, 7</w:t>
      </w:r>
      <w:r w:rsidR="002417B5">
        <w:t> </w:t>
      </w:r>
      <w:r w:rsidRPr="004B0C8D">
        <w:t>lutego 2012 r.).</w:t>
      </w:r>
    </w:p>
    <w:p w14:paraId="50771A20" w14:textId="2CAFDE0A" w:rsidR="005C744B" w:rsidRPr="004B0C8D" w:rsidRDefault="00000000" w:rsidP="009D0429">
      <w:pPr>
        <w:pStyle w:val="JuPara"/>
      </w:pPr>
      <w:fldSimple w:instr=" SEQ level0 \*arabic \* MERGEFORMAT ">
        <w:r w:rsidR="00531673" w:rsidRPr="004B0C8D">
          <w:rPr>
            <w:noProof/>
          </w:rPr>
          <w:t>72</w:t>
        </w:r>
      </w:fldSimple>
      <w:r w:rsidRPr="004B0C8D">
        <w:t xml:space="preserve">.  Trybunał </w:t>
      </w:r>
      <w:r w:rsidR="000C0BC9" w:rsidRPr="004B0C8D">
        <w:t>powt</w:t>
      </w:r>
      <w:r w:rsidR="000C0BC9">
        <w:t>arza</w:t>
      </w:r>
      <w:r w:rsidR="000C0BC9" w:rsidRPr="004B0C8D">
        <w:t xml:space="preserve"> </w:t>
      </w:r>
      <w:r w:rsidRPr="004B0C8D">
        <w:t>ponadto, że każda „ingerencja władzy publicznej” w wykonywanie prawa</w:t>
      </w:r>
      <w:bookmarkStart w:id="31" w:name="_cl31613"/>
      <w:r w:rsidRPr="004B0C8D">
        <w:rPr>
          <w:rFonts w:ascii="Times New Roman" w:hAnsi="Times New Roman"/>
          <w:i/>
          <w:iCs/>
        </w:rPr>
        <w:t xml:space="preserve"> </w:t>
      </w:r>
      <w:bookmarkEnd w:id="31"/>
      <w:r w:rsidRPr="004B0C8D">
        <w:t xml:space="preserve">zagwarantowanego skarżącemu na mocy ustępu 1 </w:t>
      </w:r>
      <w:r w:rsidR="008845DB">
        <w:t>art.</w:t>
      </w:r>
      <w:r w:rsidRPr="004B0C8D">
        <w:t xml:space="preserve"> 8 będzie sprzeczna z tym przepisem, chyba że jest „</w:t>
      </w:r>
      <w:r w:rsidR="00682F31">
        <w:t>przewidziana przez ustawę</w:t>
      </w:r>
      <w:r w:rsidRPr="004B0C8D">
        <w:t xml:space="preserve">”, </w:t>
      </w:r>
      <w:r w:rsidR="001F3F29">
        <w:t>służy realizacji</w:t>
      </w:r>
      <w:r w:rsidR="001F3F29" w:rsidRPr="004B0C8D">
        <w:t xml:space="preserve"> </w:t>
      </w:r>
      <w:r w:rsidR="000C0BC9">
        <w:t>co najmniej jed</w:t>
      </w:r>
      <w:r w:rsidR="001F3F29">
        <w:t>nego</w:t>
      </w:r>
      <w:r w:rsidR="000C0BC9">
        <w:t xml:space="preserve"> uzasadnion</w:t>
      </w:r>
      <w:r w:rsidR="001F3F29">
        <w:t>ego</w:t>
      </w:r>
      <w:r w:rsidR="000C0BC9">
        <w:t xml:space="preserve"> cel</w:t>
      </w:r>
      <w:r w:rsidR="001F3F29">
        <w:t>u</w:t>
      </w:r>
      <w:r w:rsidRPr="004B0C8D">
        <w:t>, o</w:t>
      </w:r>
      <w:r w:rsidR="001F3F29">
        <w:t> </w:t>
      </w:r>
      <w:r w:rsidR="000C0BC9" w:rsidRPr="004B0C8D">
        <w:t>który</w:t>
      </w:r>
      <w:r w:rsidR="000C0BC9">
        <w:t>m</w:t>
      </w:r>
      <w:r w:rsidR="000C0BC9" w:rsidRPr="004B0C8D">
        <w:t xml:space="preserve"> </w:t>
      </w:r>
      <w:r w:rsidRPr="004B0C8D">
        <w:t xml:space="preserve">mowa </w:t>
      </w:r>
      <w:r w:rsidR="00AE2B97" w:rsidRPr="004B0C8D">
        <w:t>w</w:t>
      </w:r>
      <w:r w:rsidR="00AE2B97">
        <w:t> </w:t>
      </w:r>
      <w:r w:rsidRPr="004B0C8D">
        <w:t>ustępie 2, a ponadto jest „konieczna w</w:t>
      </w:r>
      <w:r w:rsidR="001F3F29">
        <w:t> </w:t>
      </w:r>
      <w:r w:rsidR="008845DB" w:rsidRPr="004B0C8D">
        <w:t xml:space="preserve">społeczeństwie </w:t>
      </w:r>
      <w:r w:rsidRPr="004B0C8D">
        <w:t xml:space="preserve">demokratycznym” do ich osiągnięcia (zob. </w:t>
      </w:r>
      <w:r w:rsidR="000C0BC9">
        <w:t>m</w:t>
      </w:r>
      <w:r w:rsidRPr="004B0C8D">
        <w:t xml:space="preserve">.in. </w:t>
      </w:r>
      <w:proofErr w:type="spellStart"/>
      <w:r w:rsidRPr="004B0C8D">
        <w:rPr>
          <w:i/>
          <w:iCs/>
        </w:rPr>
        <w:t>Amann</w:t>
      </w:r>
      <w:proofErr w:type="spellEnd"/>
      <w:r w:rsidRPr="004B0C8D">
        <w:t>, cyt</w:t>
      </w:r>
      <w:r w:rsidR="008845DB">
        <w:t>.</w:t>
      </w:r>
      <w:r w:rsidRPr="004B0C8D">
        <w:t xml:space="preserve"> pow</w:t>
      </w:r>
      <w:r w:rsidR="008845DB">
        <w:t>.</w:t>
      </w:r>
      <w:r w:rsidRPr="004B0C8D">
        <w:t xml:space="preserve">, </w:t>
      </w:r>
      <w:r w:rsidR="000909C0">
        <w:t>pkt </w:t>
      </w:r>
      <w:r w:rsidRPr="004B0C8D">
        <w:t>44</w:t>
      </w:r>
      <w:r w:rsidR="008845DB">
        <w:br/>
      </w:r>
      <w:r w:rsidR="000909C0">
        <w:t>–</w:t>
      </w:r>
      <w:r w:rsidRPr="004B0C8D">
        <w:t>45</w:t>
      </w:r>
      <w:r w:rsidR="008845DB">
        <w:t xml:space="preserve"> i</w:t>
      </w:r>
      <w:r w:rsidRPr="004B0C8D">
        <w:t xml:space="preserve"> </w:t>
      </w:r>
      <w:r w:rsidRPr="004B0C8D">
        <w:rPr>
          <w:i/>
        </w:rPr>
        <w:t>Craxi przeciwko Włochom (nr 2)</w:t>
      </w:r>
      <w:r w:rsidRPr="004B0C8D">
        <w:t xml:space="preserve">, nr 25337/94, </w:t>
      </w:r>
      <w:r w:rsidR="000909C0">
        <w:t>pkt </w:t>
      </w:r>
      <w:r w:rsidRPr="004B0C8D">
        <w:t>58, 17 lipca 2003</w:t>
      </w:r>
      <w:r w:rsidR="000909C0">
        <w:t> </w:t>
      </w:r>
      <w:r w:rsidRPr="004B0C8D">
        <w:t>r.).</w:t>
      </w:r>
    </w:p>
    <w:p w14:paraId="04321213" w14:textId="77777777" w:rsidR="005C744B" w:rsidRPr="004B0C8D" w:rsidRDefault="00000000" w:rsidP="009D0429">
      <w:pPr>
        <w:pStyle w:val="JuHi"/>
      </w:pPr>
      <w:r w:rsidRPr="004B0C8D">
        <w:t>Zastosowanie powyższych zasad w niniejszej sprawie</w:t>
      </w:r>
    </w:p>
    <w:p w14:paraId="0FEC0B38" w14:textId="77777777" w:rsidR="005C744B" w:rsidRPr="004B0C8D" w:rsidRDefault="00000000" w:rsidP="009D0429">
      <w:pPr>
        <w:pStyle w:val="JuHalpha"/>
        <w:numPr>
          <w:ilvl w:val="6"/>
          <w:numId w:val="2"/>
        </w:numPr>
      </w:pPr>
      <w:r w:rsidRPr="004B0C8D">
        <w:t>Ingerencja</w:t>
      </w:r>
    </w:p>
    <w:p w14:paraId="6D770C2D" w14:textId="71E5F5CE" w:rsidR="005C744B" w:rsidRPr="004B0C8D" w:rsidRDefault="00000000" w:rsidP="009D0429">
      <w:pPr>
        <w:pStyle w:val="JuPara"/>
      </w:pPr>
      <w:fldSimple w:instr=" SEQ level0 \*arabic \* MERGEFORMAT ">
        <w:r w:rsidR="00531673" w:rsidRPr="004B0C8D">
          <w:rPr>
            <w:noProof/>
          </w:rPr>
          <w:t>73</w:t>
        </w:r>
      </w:fldSimple>
      <w:r w:rsidRPr="004B0C8D">
        <w:t xml:space="preserve">.  Rząd przyznał, że publiczna prezentacja nagrania rozmowy telefonicznej skarżącej stanowiła ingerencję w rozumieniu art. 8. Trybunał nie </w:t>
      </w:r>
      <w:r w:rsidR="008845DB">
        <w:t>widzi</w:t>
      </w:r>
      <w:r w:rsidR="008845DB" w:rsidRPr="004B0C8D">
        <w:t xml:space="preserve"> </w:t>
      </w:r>
      <w:r w:rsidRPr="004B0C8D">
        <w:t>powodu, by nie zgodzić się z tym stanowiskiem.</w:t>
      </w:r>
    </w:p>
    <w:p w14:paraId="0B1B1A54" w14:textId="77777777" w:rsidR="005C744B" w:rsidRPr="004B0C8D" w:rsidRDefault="00000000" w:rsidP="009D0429">
      <w:pPr>
        <w:pStyle w:val="JuHalpha"/>
        <w:numPr>
          <w:ilvl w:val="6"/>
          <w:numId w:val="2"/>
        </w:numPr>
      </w:pPr>
      <w:r w:rsidRPr="004B0C8D">
        <w:t>Zgodność z prawem</w:t>
      </w:r>
    </w:p>
    <w:p w14:paraId="29CDC549" w14:textId="22CBE284" w:rsidR="005C744B" w:rsidRPr="004B0C8D" w:rsidRDefault="00000000" w:rsidP="009D0429">
      <w:pPr>
        <w:pStyle w:val="JuPara"/>
      </w:pPr>
      <w:fldSimple w:instr=" SEQ level0 \*arabic \* MERGEFORMAT ">
        <w:r w:rsidR="00531673" w:rsidRPr="004B0C8D">
          <w:rPr>
            <w:noProof/>
          </w:rPr>
          <w:t>74</w:t>
        </w:r>
      </w:fldSimple>
      <w:r w:rsidRPr="004B0C8D">
        <w:t>.  Trybunał zauważa, że sądy krajowe uznały, że decyzja o ujawnieniu nagrania rozmowy skarżącej została podjęta na podstawie art. 156 §</w:t>
      </w:r>
      <w:r w:rsidR="00DA2EB5">
        <w:t> </w:t>
      </w:r>
      <w:r w:rsidRPr="004B0C8D">
        <w:t xml:space="preserve">5 Kodeksu postępowania karnego (zob. </w:t>
      </w:r>
      <w:r w:rsidR="00D87206">
        <w:t>pkt </w:t>
      </w:r>
      <w:r w:rsidRPr="004B0C8D">
        <w:t>16 i 18 powyżej).</w:t>
      </w:r>
    </w:p>
    <w:p w14:paraId="561640E8" w14:textId="1E13C750" w:rsidR="005C744B" w:rsidRPr="004B0C8D" w:rsidRDefault="00000000" w:rsidP="009D0429">
      <w:pPr>
        <w:pStyle w:val="JuPara"/>
      </w:pPr>
      <w:fldSimple w:instr=" SEQ level0 \*arabic \* MERGEFORMAT ">
        <w:r w:rsidR="00531673" w:rsidRPr="004B0C8D">
          <w:rPr>
            <w:noProof/>
          </w:rPr>
          <w:t>75</w:t>
        </w:r>
      </w:fldSimple>
      <w:r w:rsidRPr="004B0C8D">
        <w:t>.  Trybunał zauważa ponadto, że skarżąca zakwestionowała jakość art.</w:t>
      </w:r>
      <w:r w:rsidR="00906FDE">
        <w:t> </w:t>
      </w:r>
      <w:r w:rsidRPr="004B0C8D">
        <w:t xml:space="preserve">156 § 5 Kodeksu postępowania karnego, który miał stanowić podstawę prawną ingerencji. W szczególności podkreśliła, że przepis ten dotyczy </w:t>
      </w:r>
      <w:r w:rsidRPr="004B0C8D">
        <w:lastRenderedPageBreak/>
        <w:t xml:space="preserve">głównie </w:t>
      </w:r>
      <w:r w:rsidR="008845DB">
        <w:t>wglądu do</w:t>
      </w:r>
      <w:r w:rsidR="008845DB" w:rsidRPr="004B0C8D">
        <w:t xml:space="preserve"> </w:t>
      </w:r>
      <w:r w:rsidRPr="004B0C8D">
        <w:t xml:space="preserve">akt prowadzonego postępowania przygotowawczego oraz sporządzania odpisów i fotokopii. Zakwestionowała twierdzenie Rządu, że przepis ten można rozumieć jako zapewniający stronom innym niż podejrzany lub oskarżony dostęp do informacji z prowadzonego postępowania przygotowawczego. Jednocześnie Rząd zapewnił, że podstawa prawna ingerencji była w pełni zgodna z odpowiednimi wymogami prawa (zob. </w:t>
      </w:r>
      <w:r w:rsidR="009015DF">
        <w:t>pkt </w:t>
      </w:r>
      <w:r w:rsidRPr="004B0C8D">
        <w:t>59 i 65 powyżej).</w:t>
      </w:r>
    </w:p>
    <w:p w14:paraId="2EC4F7BF" w14:textId="0211E3EC" w:rsidR="005C744B" w:rsidRPr="004B0C8D" w:rsidRDefault="00000000" w:rsidP="009D0429">
      <w:pPr>
        <w:pStyle w:val="JuPara"/>
      </w:pPr>
      <w:fldSimple w:instr=" SEQ level0 \*arabic \* MERGEFORMAT ">
        <w:r w:rsidR="00531673" w:rsidRPr="004B0C8D">
          <w:rPr>
            <w:noProof/>
          </w:rPr>
          <w:t>76</w:t>
        </w:r>
      </w:fldSimple>
      <w:r w:rsidRPr="004B0C8D">
        <w:t>.  Trybunał zauważa, że podczas gdy w istotnym dla sprawy czasie art.</w:t>
      </w:r>
      <w:r w:rsidR="00DA2EB5">
        <w:t> </w:t>
      </w:r>
      <w:r w:rsidRPr="004B0C8D">
        <w:t>156 §</w:t>
      </w:r>
      <w:r w:rsidR="00DA2EB5">
        <w:t> </w:t>
      </w:r>
      <w:r w:rsidRPr="004B0C8D">
        <w:t xml:space="preserve">5 Kodeksu postępowania karnego dotyczył głównie dostępu do akt sprawy w celu sporządzenia odpisów, stanowił on </w:t>
      </w:r>
      <w:r w:rsidRPr="004B0C8D">
        <w:rPr>
          <w:i/>
          <w:iCs/>
        </w:rPr>
        <w:t>in fine</w:t>
      </w:r>
      <w:r w:rsidRPr="004B0C8D">
        <w:t xml:space="preserve">, co następuje: „Za zgodą prokuratora akta w toku postępowania przygotowawczego mogą być w wyjątkowych wypadkach udostępnione innym osobom” (zob. </w:t>
      </w:r>
      <w:r w:rsidR="00906FDE">
        <w:t>pkt </w:t>
      </w:r>
      <w:r w:rsidRPr="004B0C8D">
        <w:t>37 powyżej). Prawo krajowe nie precyzowało jednak ani „wyjątkowych wypadków”, ani sposobu przyznawania dostępu innym osobom.</w:t>
      </w:r>
    </w:p>
    <w:p w14:paraId="556130B4" w14:textId="51E44E81" w:rsidR="005C744B" w:rsidRPr="004B0C8D" w:rsidRDefault="00000000" w:rsidP="009D0429">
      <w:pPr>
        <w:pStyle w:val="JuPara"/>
      </w:pPr>
      <w:fldSimple w:instr=" SEQ level0 \*arabic \* MERGEFORMAT ">
        <w:r w:rsidR="00531673" w:rsidRPr="004B0C8D">
          <w:rPr>
            <w:noProof/>
          </w:rPr>
          <w:t>77</w:t>
        </w:r>
      </w:fldSimple>
      <w:r w:rsidRPr="004B0C8D">
        <w:t xml:space="preserve">.  Trybunał zauważa ponadto, że jak wskazała skarżąca, dostęp do akt sprawy stanowił wyjątek od ogólnej zasady poufności postępowania przygotowawczego (zob. </w:t>
      </w:r>
      <w:r w:rsidR="009015DF">
        <w:t>pkt </w:t>
      </w:r>
      <w:r w:rsidRPr="004B0C8D">
        <w:t>59 powyżej). Co więcej, przedmiotowy przepis nie przewidywał ujawnienia</w:t>
      </w:r>
      <w:r w:rsidR="00D10092">
        <w:t>,</w:t>
      </w:r>
      <w:r w:rsidRPr="004B0C8D">
        <w:t xml:space="preserve"> na konferencji prasowej</w:t>
      </w:r>
      <w:r w:rsidR="00D10092">
        <w:t>,</w:t>
      </w:r>
      <w:r w:rsidRPr="004B0C8D">
        <w:t xml:space="preserve"> informacji lub danych </w:t>
      </w:r>
      <w:r w:rsidR="00D10092">
        <w:t>uzyskanych</w:t>
      </w:r>
      <w:r w:rsidR="00D10092" w:rsidRPr="004B0C8D">
        <w:t xml:space="preserve"> </w:t>
      </w:r>
      <w:r w:rsidRPr="004B0C8D">
        <w:t>w toku postępowania przygotowawczego. Żadne przepisy prawa krajowego nie pozwalały osobie znajdującej się w</w:t>
      </w:r>
      <w:r w:rsidR="009015DF">
        <w:t> </w:t>
      </w:r>
      <w:r w:rsidRPr="004B0C8D">
        <w:t>sytuacji skarżącej</w:t>
      </w:r>
      <w:r w:rsidR="00004A90">
        <w:t xml:space="preserve"> –</w:t>
      </w:r>
      <w:r w:rsidRPr="004B0C8D">
        <w:t xml:space="preserve"> któr</w:t>
      </w:r>
      <w:r w:rsidR="00D10092">
        <w:t>ej</w:t>
      </w:r>
      <w:r w:rsidRPr="004B0C8D">
        <w:t xml:space="preserve"> </w:t>
      </w:r>
      <w:r w:rsidR="00D10092" w:rsidRPr="004B0C8D">
        <w:t>postępowanie przygotowawcz</w:t>
      </w:r>
      <w:r w:rsidR="00D10092">
        <w:t xml:space="preserve">e </w:t>
      </w:r>
      <w:r w:rsidRPr="004B0C8D">
        <w:t xml:space="preserve">nie </w:t>
      </w:r>
      <w:r w:rsidR="00D10092">
        <w:t>dotyczyło</w:t>
      </w:r>
      <w:r w:rsidRPr="004B0C8D">
        <w:t>, ale której rozmowy zostały jednak nagrane</w:t>
      </w:r>
      <w:r w:rsidR="00D10092">
        <w:t xml:space="preserve"> </w:t>
      </w:r>
      <w:r w:rsidR="00004A90">
        <w:t>–</w:t>
      </w:r>
      <w:r w:rsidRPr="004B0C8D">
        <w:t xml:space="preserve"> przewidzieć, że art. 156 § 5 Kodeksu postępowania karnego może zostać p</w:t>
      </w:r>
      <w:r w:rsidR="00D10092">
        <w:t>rzy</w:t>
      </w:r>
      <w:r w:rsidRPr="004B0C8D">
        <w:t>wołany w celu uzasadnienia ujawnienia rozmowy telefonicznej na konferencji prasowej (</w:t>
      </w:r>
      <w:bookmarkStart w:id="32" w:name="_cl20769"/>
      <w:r w:rsidR="00004A90">
        <w:t>por.</w:t>
      </w:r>
      <w:r w:rsidR="00004A90" w:rsidRPr="004B0C8D">
        <w:t xml:space="preserve"> </w:t>
      </w:r>
      <w:proofErr w:type="spellStart"/>
      <w:r w:rsidRPr="004B0C8D">
        <w:rPr>
          <w:i/>
          <w:iCs/>
        </w:rPr>
        <w:t>Altay</w:t>
      </w:r>
      <w:proofErr w:type="spellEnd"/>
      <w:r w:rsidRPr="004B0C8D">
        <w:rPr>
          <w:i/>
          <w:iCs/>
        </w:rPr>
        <w:t xml:space="preserve"> przeciwko Turcji (nr 2)</w:t>
      </w:r>
      <w:bookmarkEnd w:id="32"/>
      <w:r w:rsidRPr="004B0C8D">
        <w:t xml:space="preserve">, nr 11236/09, </w:t>
      </w:r>
      <w:r w:rsidR="009015DF">
        <w:t>pkt </w:t>
      </w:r>
      <w:r w:rsidRPr="004B0C8D">
        <w:t>57, 9 kwietnia 2019</w:t>
      </w:r>
      <w:r w:rsidR="009015DF">
        <w:t> </w:t>
      </w:r>
      <w:r w:rsidRPr="004B0C8D">
        <w:t>r.).</w:t>
      </w:r>
    </w:p>
    <w:p w14:paraId="0C964CD3" w14:textId="57DFD6D7" w:rsidR="005C744B" w:rsidRPr="004B0C8D" w:rsidRDefault="00000000" w:rsidP="009D0429">
      <w:pPr>
        <w:pStyle w:val="JuPara"/>
      </w:pPr>
      <w:fldSimple w:instr=" SEQ level0 \*arabic \* MERGEFORMAT ">
        <w:r w:rsidR="00531673" w:rsidRPr="004B0C8D">
          <w:rPr>
            <w:noProof/>
          </w:rPr>
          <w:t>78</w:t>
        </w:r>
      </w:fldSimple>
      <w:r w:rsidRPr="004B0C8D">
        <w:t>.  Trybunał uzna</w:t>
      </w:r>
      <w:r w:rsidR="00560DDB">
        <w:t>je</w:t>
      </w:r>
      <w:r w:rsidRPr="004B0C8D">
        <w:t xml:space="preserve"> zatem, że ujawnienie podczas konferencji prasowej nagrania rozmowy telefonicznej osoby, która nie była objęta postępowaniem przygotowawczym, wykraczało poza zakres uprawnień przyznanych organom ścigania na mocy wspomnianego przepisu.</w:t>
      </w:r>
    </w:p>
    <w:p w14:paraId="7D0DEF8C" w14:textId="1A5C8E5B" w:rsidR="005C744B" w:rsidRPr="004B0C8D" w:rsidRDefault="00000000" w:rsidP="009D0429">
      <w:pPr>
        <w:pStyle w:val="JuPara"/>
      </w:pPr>
      <w:fldSimple w:instr=" SEQ level0 \*arabic \* MERGEFORMAT ">
        <w:r w:rsidR="00531673" w:rsidRPr="004B0C8D">
          <w:rPr>
            <w:noProof/>
          </w:rPr>
          <w:t>79</w:t>
        </w:r>
      </w:fldSimple>
      <w:r w:rsidRPr="004B0C8D">
        <w:t xml:space="preserve">.  Mając na uwadze powyższe rozważania, Trybunał nie może stwierdzić, że decyzja prokuratury o ujawnieniu nagrania rozmowy skarżącej miała jakąś podstawę prawną w prawie krajowym (por. </w:t>
      </w:r>
      <w:bookmarkStart w:id="33" w:name="_cl23877"/>
      <w:r w:rsidRPr="004B0C8D">
        <w:rPr>
          <w:i/>
          <w:iCs/>
        </w:rPr>
        <w:t>Craxi</w:t>
      </w:r>
      <w:r w:rsidRPr="004B0C8D">
        <w:t>, cyt</w:t>
      </w:r>
      <w:r w:rsidR="00B45D1B">
        <w:t>.</w:t>
      </w:r>
      <w:r w:rsidRPr="004B0C8D">
        <w:t xml:space="preserve"> pow</w:t>
      </w:r>
      <w:r w:rsidR="00B45D1B">
        <w:t>.</w:t>
      </w:r>
      <w:r w:rsidRPr="004B0C8D">
        <w:t xml:space="preserve">, </w:t>
      </w:r>
      <w:r w:rsidR="00004A90">
        <w:t>pkt </w:t>
      </w:r>
      <w:r w:rsidRPr="004B0C8D">
        <w:t xml:space="preserve">82 oraz </w:t>
      </w:r>
      <w:r w:rsidRPr="004B0C8D">
        <w:rPr>
          <w:i/>
          <w:iCs/>
        </w:rPr>
        <w:t>Solska i Rybicka przeciwko</w:t>
      </w:r>
      <w:bookmarkEnd w:id="33"/>
      <w:r w:rsidRPr="004B0C8D">
        <w:rPr>
          <w:i/>
          <w:iCs/>
        </w:rPr>
        <w:t xml:space="preserve"> Polsce</w:t>
      </w:r>
      <w:r w:rsidRPr="004B0C8D">
        <w:t>, nr 30491/17 i</w:t>
      </w:r>
      <w:r w:rsidR="009015DF">
        <w:t> </w:t>
      </w:r>
      <w:r w:rsidRPr="004B0C8D">
        <w:t xml:space="preserve">31083/17, </w:t>
      </w:r>
      <w:r w:rsidR="00004A90">
        <w:t>pkt </w:t>
      </w:r>
      <w:r w:rsidRPr="004B0C8D">
        <w:t>113, 20 września 2018 r., z dalszymi odniesieniami).</w:t>
      </w:r>
    </w:p>
    <w:p w14:paraId="1AABD735" w14:textId="1423C26C" w:rsidR="005C744B" w:rsidRPr="004B0C8D" w:rsidRDefault="00000000" w:rsidP="009D0429">
      <w:pPr>
        <w:pStyle w:val="JuPara"/>
      </w:pPr>
      <w:fldSimple w:instr=" SEQ level0 \*arabic \* MERGEFORMAT ">
        <w:r w:rsidR="00531673" w:rsidRPr="004B0C8D">
          <w:rPr>
            <w:noProof/>
          </w:rPr>
          <w:t>80</w:t>
        </w:r>
      </w:fldSimple>
      <w:r w:rsidRPr="004B0C8D">
        <w:t>.  Trybunał stwierdza, że ingerencja w życie prywatne skarżącej nie była „</w:t>
      </w:r>
      <w:r w:rsidR="00BA4190">
        <w:t>przewidziana przez ustawę</w:t>
      </w:r>
      <w:r w:rsidRPr="004B0C8D">
        <w:t>”, jak wymaga tego art. 8 ust. 2 Konwencji, a</w:t>
      </w:r>
      <w:r w:rsidR="00827EEF">
        <w:t> </w:t>
      </w:r>
      <w:r w:rsidRPr="004B0C8D">
        <w:t>zatem doszło do naruszenia tego postanowienia.</w:t>
      </w:r>
    </w:p>
    <w:p w14:paraId="4D6BBDC8" w14:textId="7C1A042D" w:rsidR="005C744B" w:rsidRPr="004B0C8D" w:rsidRDefault="00000000" w:rsidP="009D0429">
      <w:pPr>
        <w:pStyle w:val="JuH1"/>
      </w:pPr>
      <w:r w:rsidRPr="004B0C8D">
        <w:t xml:space="preserve">Przechowywanie danych uzyskanych podczas </w:t>
      </w:r>
      <w:r w:rsidR="00B45D1B">
        <w:t>kontroli operacyjnej</w:t>
      </w:r>
    </w:p>
    <w:p w14:paraId="395C7DF8" w14:textId="77777777" w:rsidR="005C744B" w:rsidRPr="004B0C8D" w:rsidRDefault="00000000" w:rsidP="009D0429">
      <w:pPr>
        <w:pStyle w:val="JuHa0"/>
      </w:pPr>
      <w:r w:rsidRPr="004B0C8D">
        <w:t>Stanowiska stron</w:t>
      </w:r>
    </w:p>
    <w:p w14:paraId="2C59648B" w14:textId="77777777" w:rsidR="005C744B" w:rsidRPr="004B0C8D" w:rsidRDefault="00000000" w:rsidP="009D0429">
      <w:pPr>
        <w:pStyle w:val="JuHi"/>
      </w:pPr>
      <w:r w:rsidRPr="004B0C8D">
        <w:t>Skarżąca</w:t>
      </w:r>
    </w:p>
    <w:p w14:paraId="7C72ECFA" w14:textId="7F5F0E5A" w:rsidR="005C744B" w:rsidRPr="004B0C8D" w:rsidRDefault="00000000" w:rsidP="009D0429">
      <w:pPr>
        <w:pStyle w:val="JuPara"/>
      </w:pPr>
      <w:fldSimple w:instr=" SEQ level0 \*arabic \* MERGEFORMAT ">
        <w:r w:rsidR="00531673" w:rsidRPr="004B0C8D">
          <w:rPr>
            <w:noProof/>
          </w:rPr>
          <w:t>81</w:t>
        </w:r>
      </w:fldSimple>
      <w:r w:rsidRPr="004B0C8D">
        <w:t xml:space="preserve">.  Skarżąca </w:t>
      </w:r>
      <w:r w:rsidR="000D28D7" w:rsidRPr="004B0C8D">
        <w:t>zakwestionowa</w:t>
      </w:r>
      <w:r w:rsidR="000D28D7">
        <w:t>ła</w:t>
      </w:r>
      <w:r w:rsidR="000D28D7" w:rsidRPr="004B0C8D">
        <w:t xml:space="preserve"> </w:t>
      </w:r>
      <w:r w:rsidRPr="004B0C8D">
        <w:t xml:space="preserve">twierdzenia Rządu, że ingerencja znajdowała oparcie w przepisach prawa i miała uzasadniony cel (zob. </w:t>
      </w:r>
      <w:r w:rsidR="009015DF">
        <w:t>pkt </w:t>
      </w:r>
      <w:r w:rsidRPr="004B0C8D">
        <w:t xml:space="preserve">84 </w:t>
      </w:r>
      <w:r w:rsidRPr="004B0C8D">
        <w:lastRenderedPageBreak/>
        <w:t xml:space="preserve">poniżej). Twierdziła, że dalsze przechowywanie zapisów jej rozmów telefonicznych, które zostały uzyskane w ramach </w:t>
      </w:r>
      <w:r w:rsidR="00B45D1B">
        <w:t>akcji służb bezpieczeństwa</w:t>
      </w:r>
      <w:r w:rsidRPr="004B0C8D">
        <w:t>, nie było konieczne i proporcjonalne.</w:t>
      </w:r>
    </w:p>
    <w:p w14:paraId="5FFA33C5" w14:textId="49B410D3" w:rsidR="005C744B" w:rsidRPr="004B0C8D" w:rsidRDefault="00000000" w:rsidP="009D0429">
      <w:pPr>
        <w:pStyle w:val="JuPara"/>
      </w:pPr>
      <w:fldSimple w:instr=" SEQ level0 \*arabic \* MERGEFORMAT ">
        <w:r w:rsidR="00531673" w:rsidRPr="004B0C8D">
          <w:rPr>
            <w:noProof/>
          </w:rPr>
          <w:t>82</w:t>
        </w:r>
      </w:fldSimple>
      <w:r w:rsidRPr="004B0C8D">
        <w:t xml:space="preserve">.  Skarżąca podkreśliła, że przedmiotowy materiał nigdy nie powinien </w:t>
      </w:r>
      <w:r w:rsidR="000D28D7">
        <w:t xml:space="preserve">był </w:t>
      </w:r>
      <w:r w:rsidRPr="004B0C8D">
        <w:t>zostać włączony do akt toczącego się postępowania karnego i nie powinien</w:t>
      </w:r>
      <w:r w:rsidR="000D28D7">
        <w:t xml:space="preserve"> był</w:t>
      </w:r>
      <w:r w:rsidRPr="004B0C8D">
        <w:t xml:space="preserve"> zostać przekazany organom ścigania.</w:t>
      </w:r>
    </w:p>
    <w:p w14:paraId="1CA0FDA3" w14:textId="126CDD78" w:rsidR="005C744B" w:rsidRPr="004B0C8D" w:rsidRDefault="00000000" w:rsidP="009D0429">
      <w:pPr>
        <w:pStyle w:val="JuPara"/>
      </w:pPr>
      <w:fldSimple w:instr=" SEQ level0 \*arabic \* MERGEFORMAT ">
        <w:r w:rsidR="00531673" w:rsidRPr="004B0C8D">
          <w:rPr>
            <w:noProof/>
          </w:rPr>
          <w:t>83</w:t>
        </w:r>
      </w:fldSimple>
      <w:r w:rsidRPr="004B0C8D">
        <w:t xml:space="preserve">.  Podniosła również, że przedmiotowy materiał nie był poufny i z tego powodu był narażony na ryzyko przecieków prasowych, co faktycznie miało miejsce w niniejszej sprawie (zob. </w:t>
      </w:r>
      <w:r w:rsidR="00004A90">
        <w:t>pkt </w:t>
      </w:r>
      <w:r w:rsidRPr="004B0C8D">
        <w:t>12</w:t>
      </w:r>
      <w:r w:rsidR="00004A90">
        <w:t>–</w:t>
      </w:r>
      <w:r w:rsidRPr="004B0C8D">
        <w:t>14 powyżej). Jej wniosek o</w:t>
      </w:r>
      <w:r w:rsidR="009015DF">
        <w:t> </w:t>
      </w:r>
      <w:r w:rsidRPr="004B0C8D">
        <w:t xml:space="preserve">zniszczenie materiału nie został rozpatrzony pozytywnie. Co więcej, Sąd </w:t>
      </w:r>
      <w:r w:rsidR="00D51F98">
        <w:t>Rejonowy</w:t>
      </w:r>
      <w:r w:rsidR="00D51F98" w:rsidRPr="004B0C8D">
        <w:t xml:space="preserve"> </w:t>
      </w:r>
      <w:r w:rsidRPr="004B0C8D">
        <w:t>w Warszawie</w:t>
      </w:r>
      <w:r w:rsidR="00D51F98">
        <w:t>,</w:t>
      </w:r>
      <w:r w:rsidRPr="004B0C8D">
        <w:t xml:space="preserve"> oddalając jej wniosek</w:t>
      </w:r>
      <w:r w:rsidR="00D51F98">
        <w:t>,</w:t>
      </w:r>
      <w:r w:rsidRPr="004B0C8D">
        <w:t xml:space="preserve"> utajnił uzasadnienie swojego postanowienia, więc skarżąca mogła się z nim zapoznać dopiero po uzyskaniu dostępu.</w:t>
      </w:r>
    </w:p>
    <w:p w14:paraId="672F0D5C" w14:textId="77777777" w:rsidR="005C744B" w:rsidRPr="004B0C8D" w:rsidRDefault="00000000" w:rsidP="009D0429">
      <w:pPr>
        <w:pStyle w:val="JuHi"/>
        <w:numPr>
          <w:ilvl w:val="5"/>
          <w:numId w:val="2"/>
        </w:numPr>
      </w:pPr>
      <w:r w:rsidRPr="004B0C8D">
        <w:t>Rząd</w:t>
      </w:r>
    </w:p>
    <w:bookmarkStart w:id="34" w:name="Governmentadmitslawlegitaimstorage"/>
    <w:p w14:paraId="132076A4" w14:textId="1A952096"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84</w:t>
      </w:r>
      <w:r w:rsidRPr="004B0C8D">
        <w:fldChar w:fldCharType="end"/>
      </w:r>
      <w:bookmarkEnd w:id="34"/>
      <w:r w:rsidRPr="004B0C8D">
        <w:t xml:space="preserve">.  Rząd </w:t>
      </w:r>
      <w:r w:rsidR="0066459F">
        <w:t>przyznał</w:t>
      </w:r>
      <w:r w:rsidRPr="004B0C8D">
        <w:t xml:space="preserve">, że dalsze przechowywanie materiałów uzyskanych w </w:t>
      </w:r>
      <w:r w:rsidR="0066459F">
        <w:t>toku niejawnej kontroli operacyjnej</w:t>
      </w:r>
      <w:r w:rsidRPr="004B0C8D">
        <w:t xml:space="preserve"> i </w:t>
      </w:r>
      <w:r w:rsidR="0066459F">
        <w:t>niemożność uzyskania</w:t>
      </w:r>
      <w:r w:rsidRPr="004B0C8D">
        <w:t xml:space="preserve"> </w:t>
      </w:r>
      <w:r w:rsidR="0066459F" w:rsidRPr="004B0C8D">
        <w:t xml:space="preserve">ich </w:t>
      </w:r>
      <w:r w:rsidRPr="004B0C8D">
        <w:t xml:space="preserve">zniszczenia przez skarżącą stanowiły ingerencję w jej prawa </w:t>
      </w:r>
      <w:r w:rsidR="0066459F">
        <w:t>z</w:t>
      </w:r>
      <w:r w:rsidRPr="004B0C8D">
        <w:t xml:space="preserve"> art. 8 Konwencji. Niemniej materiał </w:t>
      </w:r>
      <w:r w:rsidR="0066459F">
        <w:t xml:space="preserve">ten </w:t>
      </w:r>
      <w:r w:rsidRPr="004B0C8D">
        <w:t xml:space="preserve">był przechowywany zgodnie z przepisami prawa obowiązującymi w danym czasie. Rząd stwierdził, że przedmiotowe materiały z </w:t>
      </w:r>
      <w:r w:rsidR="0066459F">
        <w:t>kontroli operacyjnej</w:t>
      </w:r>
      <w:r w:rsidR="0066459F" w:rsidRPr="004B0C8D">
        <w:t xml:space="preserve"> </w:t>
      </w:r>
      <w:r w:rsidRPr="004B0C8D">
        <w:t xml:space="preserve">zostały zebrane w ramach operacji </w:t>
      </w:r>
      <w:r w:rsidR="0066459F">
        <w:t xml:space="preserve">służb </w:t>
      </w:r>
      <w:r w:rsidRPr="004B0C8D">
        <w:t xml:space="preserve">bezpieczeństwa przeprowadzonej przez dwie agencje (Agencję Bezpieczeństwa Wewnętrznego i Centralne Biuro Antykorupcyjne). Przechowywanie materiałów służyło </w:t>
      </w:r>
      <w:r w:rsidR="00685CD3">
        <w:t>uprawnionym</w:t>
      </w:r>
      <w:r w:rsidR="00685CD3" w:rsidRPr="004B0C8D">
        <w:t xml:space="preserve"> </w:t>
      </w:r>
      <w:r w:rsidRPr="004B0C8D">
        <w:t>celom, a mianowicie zapobieganiu zakłóceniom porządku i przestępczości oraz ochronie praw innych osób.</w:t>
      </w:r>
    </w:p>
    <w:bookmarkStart w:id="35" w:name="applicant_collateral"/>
    <w:p w14:paraId="5F741A7D" w14:textId="6642CD74"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85</w:t>
      </w:r>
      <w:r w:rsidRPr="004B0C8D">
        <w:fldChar w:fldCharType="end"/>
      </w:r>
      <w:bookmarkEnd w:id="35"/>
      <w:r w:rsidRPr="004B0C8D">
        <w:t xml:space="preserve">.  Co najważniejsze, Rząd podkreślił, że sama skarżąca nie </w:t>
      </w:r>
      <w:r w:rsidR="00685CD3">
        <w:t>była obiektem</w:t>
      </w:r>
      <w:r w:rsidRPr="004B0C8D">
        <w:t xml:space="preserve"> żadnej operacji </w:t>
      </w:r>
      <w:r w:rsidR="00685CD3">
        <w:t xml:space="preserve">służb </w:t>
      </w:r>
      <w:r w:rsidRPr="004B0C8D">
        <w:t xml:space="preserve">bezpieczeństwa. Środek ten został zastosowany wobec innych osób (w tym męża skarżącej), które miały </w:t>
      </w:r>
      <w:r w:rsidR="00685CD3">
        <w:t>być zaangażowane</w:t>
      </w:r>
      <w:r w:rsidRPr="004B0C8D">
        <w:t xml:space="preserve"> w</w:t>
      </w:r>
      <w:r w:rsidR="00FF6704">
        <w:t> </w:t>
      </w:r>
      <w:r w:rsidRPr="004B0C8D">
        <w:t>utrudniani</w:t>
      </w:r>
      <w:r w:rsidR="00685CD3">
        <w:t>e</w:t>
      </w:r>
      <w:r w:rsidRPr="004B0C8D">
        <w:t xml:space="preserve"> prowokacji. Potrzeba dalszego przechowywania przedmiotowych materiałów została oceniona przez sąd krajowy w</w:t>
      </w:r>
      <w:r w:rsidR="00FF6704">
        <w:t> </w:t>
      </w:r>
      <w:r w:rsidRPr="004B0C8D">
        <w:t>odpowiedzi na wniosek złożony przez skarżącą na podstawie art. 238 §</w:t>
      </w:r>
      <w:r w:rsidR="0007551C">
        <w:t> </w:t>
      </w:r>
      <w:r w:rsidRPr="004B0C8D">
        <w:t>5 Kodeksu postępowania karnego. Materiały dotyczące postępowania V</w:t>
      </w:r>
      <w:r w:rsidR="00FF6704">
        <w:t> </w:t>
      </w:r>
      <w:r w:rsidRPr="004B0C8D">
        <w:t>Ds. 324/07 i V Ds. 400/07 były następnie przechowywane w Prokuraturze Okręgowej w Warszawie.</w:t>
      </w:r>
    </w:p>
    <w:p w14:paraId="04290DFF" w14:textId="016BCAF9" w:rsidR="005C744B" w:rsidRPr="004B0C8D" w:rsidRDefault="00000000" w:rsidP="009D0429">
      <w:pPr>
        <w:pStyle w:val="JuPara"/>
      </w:pPr>
      <w:fldSimple w:instr=" SEQ level0 \*arabic \* MERGEFORMAT ">
        <w:r w:rsidR="00531673" w:rsidRPr="004B0C8D">
          <w:rPr>
            <w:noProof/>
          </w:rPr>
          <w:t>86</w:t>
        </w:r>
      </w:fldSimple>
      <w:r w:rsidRPr="004B0C8D">
        <w:t xml:space="preserve">.  Rząd utrzymywał, że prokurator nie mógł zniszczyć zapisów dokonanych w ramach operacji </w:t>
      </w:r>
      <w:r w:rsidR="00685CD3">
        <w:t xml:space="preserve">służb </w:t>
      </w:r>
      <w:r w:rsidRPr="004B0C8D">
        <w:t>bezpieczeństwa, ponieważ stały się one następnie dowodami w sprawie karnej. Jednocześnie prokuratorzy zastosowali zabezpieczenia przed nieuprawnionym dostępem do materiałów.</w:t>
      </w:r>
    </w:p>
    <w:bookmarkStart w:id="36" w:name="Govssubmissions_materialclassB"/>
    <w:p w14:paraId="360AA849" w14:textId="36960C34"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87</w:t>
      </w:r>
      <w:r w:rsidRPr="004B0C8D">
        <w:fldChar w:fldCharType="end"/>
      </w:r>
      <w:bookmarkEnd w:id="36"/>
      <w:r w:rsidRPr="004B0C8D">
        <w:t xml:space="preserve">.  Rząd stwierdził również, że akta niniejszej sprawy, odnoszące się do postępowań V Ds. 324/07 i V Ds. 400/07, zostały uznane za materiały niearchiwalne kategorii B, podlegające minimalnemu okresowi przechowywania wynoszącemu pięć lat od zakończenia postępowania. </w:t>
      </w:r>
      <w:r w:rsidR="00685CD3">
        <w:t>P</w:t>
      </w:r>
      <w:r w:rsidR="00685CD3" w:rsidRPr="004B0C8D">
        <w:t xml:space="preserve">ięcioletni okres przechowywania </w:t>
      </w:r>
      <w:r w:rsidR="00685CD3">
        <w:t>n</w:t>
      </w:r>
      <w:r w:rsidRPr="004B0C8D">
        <w:t>iedawno upłynął.</w:t>
      </w:r>
    </w:p>
    <w:p w14:paraId="51E6B848" w14:textId="5E557DE6" w:rsidR="005C744B" w:rsidRPr="004B0C8D" w:rsidRDefault="00000000" w:rsidP="009D0429">
      <w:pPr>
        <w:pStyle w:val="JuPara"/>
      </w:pPr>
      <w:fldSimple w:instr=" SEQ level0 \*arabic \* MERGEFORMAT ">
        <w:r w:rsidR="00531673" w:rsidRPr="004B0C8D">
          <w:rPr>
            <w:noProof/>
          </w:rPr>
          <w:t>88</w:t>
        </w:r>
      </w:fldSimple>
      <w:r w:rsidRPr="004B0C8D">
        <w:t xml:space="preserve">.  Zdaniem Rządu przechowywanie materiałów z </w:t>
      </w:r>
      <w:r w:rsidR="004E1934">
        <w:t>kontroli operacyjnej</w:t>
      </w:r>
      <w:r w:rsidR="004E1934" w:rsidRPr="004B0C8D">
        <w:t xml:space="preserve"> </w:t>
      </w:r>
      <w:r w:rsidRPr="004B0C8D">
        <w:t xml:space="preserve">nie miało nadmiernego czy nieproporcjonalnego wpływu na życie prywatne skarżącej. Skarżąca nie wykazała, że ich dalsze przechowywanie miało jakiekolwiek poważne </w:t>
      </w:r>
      <w:r w:rsidR="004E1934">
        <w:t>konsekwencje</w:t>
      </w:r>
      <w:r w:rsidR="004E1934" w:rsidRPr="004B0C8D">
        <w:t xml:space="preserve"> </w:t>
      </w:r>
      <w:r w:rsidRPr="004B0C8D">
        <w:t xml:space="preserve">dla jej życia prywatnego. </w:t>
      </w:r>
      <w:r w:rsidR="004E1934">
        <w:t>Kontynuowanie p</w:t>
      </w:r>
      <w:r w:rsidRPr="004B0C8D">
        <w:t xml:space="preserve">rzechowywanie danych nie było </w:t>
      </w:r>
      <w:r w:rsidR="004E1934">
        <w:t xml:space="preserve">stosowane </w:t>
      </w:r>
      <w:r w:rsidRPr="004B0C8D">
        <w:t>automatyczn</w:t>
      </w:r>
      <w:r w:rsidR="004E1934">
        <w:t>i</w:t>
      </w:r>
      <w:r w:rsidRPr="004B0C8D">
        <w:t xml:space="preserve">e ani bezterminowe. Sprawa została przeanalizowana przez sądy krajowe, które </w:t>
      </w:r>
      <w:r w:rsidR="004E1934">
        <w:t>dogłębnie zbadały</w:t>
      </w:r>
      <w:r w:rsidRPr="004B0C8D">
        <w:t xml:space="preserve"> wnios</w:t>
      </w:r>
      <w:r w:rsidR="004E1934">
        <w:t>e</w:t>
      </w:r>
      <w:r w:rsidRPr="004B0C8D">
        <w:t>k skarżącej o zniszczenie materiałów.</w:t>
      </w:r>
    </w:p>
    <w:p w14:paraId="1B38921A" w14:textId="77777777" w:rsidR="005C744B" w:rsidRPr="004B0C8D" w:rsidRDefault="00000000" w:rsidP="009D0429">
      <w:pPr>
        <w:pStyle w:val="JuHa0"/>
      </w:pPr>
      <w:r w:rsidRPr="004B0C8D">
        <w:t>Ocena Trybunału</w:t>
      </w:r>
    </w:p>
    <w:p w14:paraId="6449B128" w14:textId="77777777" w:rsidR="005C744B" w:rsidRPr="004B0C8D" w:rsidRDefault="00000000" w:rsidP="009D0429">
      <w:pPr>
        <w:pStyle w:val="JuHi"/>
        <w:numPr>
          <w:ilvl w:val="5"/>
          <w:numId w:val="2"/>
        </w:numPr>
      </w:pPr>
      <w:r w:rsidRPr="004B0C8D">
        <w:t>Zasady ogólne</w:t>
      </w:r>
    </w:p>
    <w:p w14:paraId="7A1E30D5" w14:textId="33F67BFC" w:rsidR="005C744B" w:rsidRPr="004B0C8D" w:rsidRDefault="00000000" w:rsidP="009D0429">
      <w:pPr>
        <w:pStyle w:val="JuPara"/>
      </w:pPr>
      <w:fldSimple w:instr=" SEQ level0 \*arabic \* MERGEFORMAT ">
        <w:r w:rsidR="00531673" w:rsidRPr="004B0C8D">
          <w:rPr>
            <w:noProof/>
          </w:rPr>
          <w:t>89</w:t>
        </w:r>
      </w:fldSimple>
      <w:r w:rsidRPr="004B0C8D">
        <w:t xml:space="preserve">.  Trybunał </w:t>
      </w:r>
      <w:r w:rsidR="00307983">
        <w:t>przypomina</w:t>
      </w:r>
      <w:r w:rsidR="00307983" w:rsidRPr="004B0C8D">
        <w:t xml:space="preserve"> </w:t>
      </w:r>
      <w:r w:rsidRPr="004B0C8D">
        <w:t xml:space="preserve">swoje orzecznictwo, zgodnie z którym środki </w:t>
      </w:r>
      <w:r w:rsidR="00307983">
        <w:t>kontroli operacyjnej</w:t>
      </w:r>
      <w:r w:rsidRPr="004B0C8D">
        <w:t xml:space="preserve"> oraz przechowywanie, przetwarzanie i wykorzystywanie danych osobowych zasadniczo wchodzą w zakres pojęcia życia prywatnego dla celów art. 8 Konwencji (zob. </w:t>
      </w:r>
      <w:r w:rsidRPr="004B0C8D">
        <w:rPr>
          <w:i/>
          <w:iCs/>
        </w:rPr>
        <w:t>Leander przeciwko Szwecji</w:t>
      </w:r>
      <w:r w:rsidRPr="004B0C8D">
        <w:t>, 26 marca 1987</w:t>
      </w:r>
      <w:r w:rsidR="00E622B5">
        <w:t> </w:t>
      </w:r>
      <w:r w:rsidRPr="004B0C8D">
        <w:t xml:space="preserve">r., </w:t>
      </w:r>
      <w:r w:rsidR="00E622B5">
        <w:t>pkt </w:t>
      </w:r>
      <w:r w:rsidRPr="004B0C8D">
        <w:t>48, Seria A nr 116</w:t>
      </w:r>
      <w:r w:rsidR="00307983">
        <w:t xml:space="preserve"> i</w:t>
      </w:r>
      <w:r w:rsidRPr="004B0C8D">
        <w:t xml:space="preserve"> </w:t>
      </w:r>
      <w:proofErr w:type="spellStart"/>
      <w:r w:rsidRPr="004B0C8D">
        <w:rPr>
          <w:i/>
          <w:iCs/>
        </w:rPr>
        <w:t>Zoltán</w:t>
      </w:r>
      <w:proofErr w:type="spellEnd"/>
      <w:r w:rsidRPr="004B0C8D">
        <w:rPr>
          <w:i/>
          <w:iCs/>
        </w:rPr>
        <w:t xml:space="preserve"> </w:t>
      </w:r>
      <w:proofErr w:type="spellStart"/>
      <w:r w:rsidRPr="004B0C8D">
        <w:rPr>
          <w:i/>
          <w:iCs/>
        </w:rPr>
        <w:t>Varga</w:t>
      </w:r>
      <w:proofErr w:type="spellEnd"/>
      <w:r w:rsidRPr="004B0C8D">
        <w:rPr>
          <w:i/>
          <w:iCs/>
        </w:rPr>
        <w:t xml:space="preserve"> przeciwko Słowacji</w:t>
      </w:r>
      <w:r w:rsidRPr="004B0C8D">
        <w:t>, nr</w:t>
      </w:r>
      <w:r w:rsidR="00E622B5">
        <w:t> </w:t>
      </w:r>
      <w:r w:rsidRPr="004B0C8D">
        <w:t xml:space="preserve">58361/12 i 2 inne, </w:t>
      </w:r>
      <w:r w:rsidR="00E622B5">
        <w:t>pkt </w:t>
      </w:r>
      <w:r w:rsidRPr="004B0C8D">
        <w:t xml:space="preserve">144, 20 lipca 2021 r.). Ponadto wskazuje, że przechowywanie przez organ publiczny informacji dotyczących życia prywatnego jednostki stanowi ingerencję w rozumieniu art. 8. Na to ustalenie nie ma wpływu późniejsze wykorzystanie przechowywanych informacji (zob. </w:t>
      </w:r>
      <w:proofErr w:type="spellStart"/>
      <w:r w:rsidRPr="004B0C8D">
        <w:rPr>
          <w:i/>
          <w:iCs/>
        </w:rPr>
        <w:t>Amann</w:t>
      </w:r>
      <w:proofErr w:type="spellEnd"/>
      <w:r w:rsidRPr="004B0C8D">
        <w:t>, cyt</w:t>
      </w:r>
      <w:r w:rsidR="00891F21">
        <w:t>.</w:t>
      </w:r>
      <w:r w:rsidRPr="004B0C8D">
        <w:t xml:space="preserve"> pow</w:t>
      </w:r>
      <w:r w:rsidR="00891F21">
        <w:t>.</w:t>
      </w:r>
      <w:r w:rsidRPr="004B0C8D">
        <w:t xml:space="preserve">, </w:t>
      </w:r>
      <w:r w:rsidR="00E622B5">
        <w:t>pkt </w:t>
      </w:r>
      <w:r w:rsidRPr="004B0C8D">
        <w:t>69).</w:t>
      </w:r>
    </w:p>
    <w:p w14:paraId="73444B65" w14:textId="68D36434" w:rsidR="005C744B" w:rsidRPr="004B0C8D" w:rsidRDefault="00000000" w:rsidP="009D0429">
      <w:pPr>
        <w:pStyle w:val="JuPara"/>
      </w:pPr>
      <w:fldSimple w:instr=" SEQ level0 \*arabic \* MERGEFORMAT ">
        <w:r w:rsidR="00531673" w:rsidRPr="004B0C8D">
          <w:rPr>
            <w:noProof/>
          </w:rPr>
          <w:t>90</w:t>
        </w:r>
      </w:fldSimple>
      <w:r w:rsidRPr="004B0C8D">
        <w:t xml:space="preserve">.  Jak już stwierdzono powyżej, jakakolwiek ingerencja w prawa jednostki wynikające z art. 8 może być uzasadniona </w:t>
      </w:r>
      <w:r w:rsidR="00891F21">
        <w:t>w myśl</w:t>
      </w:r>
      <w:r w:rsidRPr="004B0C8D">
        <w:t xml:space="preserve"> art. 8 </w:t>
      </w:r>
      <w:r w:rsidR="00436917">
        <w:t>ust. </w:t>
      </w:r>
      <w:r w:rsidRPr="004B0C8D">
        <w:t xml:space="preserve">2 tylko wtedy, gdy jest </w:t>
      </w:r>
      <w:r w:rsidR="00FE7806">
        <w:t>przewidziana przez ustawę</w:t>
      </w:r>
      <w:r w:rsidRPr="004B0C8D">
        <w:t xml:space="preserve">, </w:t>
      </w:r>
      <w:r w:rsidR="00FE7806">
        <w:t xml:space="preserve">służy realizacji co najmniej jednego </w:t>
      </w:r>
      <w:r w:rsidR="00891F21">
        <w:t xml:space="preserve">uprawnionego </w:t>
      </w:r>
      <w:r w:rsidR="00FE7806">
        <w:t>celu</w:t>
      </w:r>
      <w:r w:rsidRPr="004B0C8D">
        <w:t xml:space="preserve">, do </w:t>
      </w:r>
      <w:r w:rsidR="00FE7806" w:rsidRPr="004B0C8D">
        <w:t>któr</w:t>
      </w:r>
      <w:r w:rsidR="00FE7806">
        <w:t>ego</w:t>
      </w:r>
      <w:r w:rsidR="00FE7806" w:rsidRPr="004B0C8D">
        <w:t xml:space="preserve"> </w:t>
      </w:r>
      <w:r w:rsidRPr="004B0C8D">
        <w:t>odnosi się ten ustęp i jest konieczna w</w:t>
      </w:r>
      <w:r w:rsidR="00436917">
        <w:t> </w:t>
      </w:r>
      <w:r w:rsidR="00891F21" w:rsidRPr="004B0C8D">
        <w:t xml:space="preserve">społeczeństwie </w:t>
      </w:r>
      <w:r w:rsidRPr="004B0C8D">
        <w:t>demokratycznym do osiągnięcia takiego celu (zob.</w:t>
      </w:r>
      <w:r w:rsidR="00436917">
        <w:t> pkt </w:t>
      </w:r>
      <w:r w:rsidRPr="004B0C8D">
        <w:t xml:space="preserve">72 powyżej oraz m.in. </w:t>
      </w:r>
      <w:proofErr w:type="spellStart"/>
      <w:r w:rsidRPr="004B0C8D">
        <w:rPr>
          <w:i/>
          <w:iCs/>
        </w:rPr>
        <w:t>Zoltán</w:t>
      </w:r>
      <w:proofErr w:type="spellEnd"/>
      <w:r w:rsidRPr="004B0C8D">
        <w:rPr>
          <w:i/>
          <w:iCs/>
        </w:rPr>
        <w:t xml:space="preserve"> </w:t>
      </w:r>
      <w:proofErr w:type="spellStart"/>
      <w:r w:rsidRPr="004B0C8D">
        <w:rPr>
          <w:i/>
          <w:iCs/>
        </w:rPr>
        <w:t>Varga</w:t>
      </w:r>
      <w:proofErr w:type="spellEnd"/>
      <w:r w:rsidRPr="004B0C8D">
        <w:t>, cyt</w:t>
      </w:r>
      <w:r w:rsidR="00891F21">
        <w:t>.</w:t>
      </w:r>
      <w:r w:rsidRPr="004B0C8D">
        <w:t xml:space="preserve"> pow</w:t>
      </w:r>
      <w:r w:rsidR="00891F21">
        <w:t>.</w:t>
      </w:r>
      <w:r w:rsidRPr="004B0C8D">
        <w:t xml:space="preserve">, </w:t>
      </w:r>
      <w:r w:rsidR="00436917">
        <w:t>pkt </w:t>
      </w:r>
      <w:r w:rsidRPr="004B0C8D">
        <w:t>150).</w:t>
      </w:r>
    </w:p>
    <w:p w14:paraId="1E0D50D0" w14:textId="1003FBD9" w:rsidR="005C744B" w:rsidRPr="004B0C8D" w:rsidRDefault="00000000" w:rsidP="009D0429">
      <w:pPr>
        <w:pStyle w:val="JuPara"/>
      </w:pPr>
      <w:fldSimple w:instr=" SEQ level0 \*arabic \* MERGEFORMAT ">
        <w:r w:rsidR="00531673" w:rsidRPr="004B0C8D">
          <w:rPr>
            <w:noProof/>
          </w:rPr>
          <w:t>91</w:t>
        </w:r>
      </w:fldSimple>
      <w:r w:rsidRPr="004B0C8D">
        <w:t xml:space="preserve">.  W odniesieniu do kryterium </w:t>
      </w:r>
      <w:r w:rsidR="00391B61">
        <w:t xml:space="preserve">przypadku </w:t>
      </w:r>
      <w:r w:rsidRPr="004B0C8D">
        <w:t>„</w:t>
      </w:r>
      <w:r w:rsidR="00436917">
        <w:t>przewidz</w:t>
      </w:r>
      <w:r w:rsidR="00391B61">
        <w:t>ianego</w:t>
      </w:r>
      <w:r w:rsidR="00436917">
        <w:t xml:space="preserve"> przez ustawę</w:t>
      </w:r>
      <w:r w:rsidRPr="004B0C8D">
        <w:t xml:space="preserve">” Trybunał </w:t>
      </w:r>
      <w:r w:rsidR="00391B61" w:rsidRPr="004B0C8D">
        <w:t>powt</w:t>
      </w:r>
      <w:r w:rsidR="00391B61">
        <w:t>arza</w:t>
      </w:r>
      <w:r w:rsidR="00391B61" w:rsidRPr="004B0C8D">
        <w:t xml:space="preserve"> </w:t>
      </w:r>
      <w:r w:rsidRPr="004B0C8D">
        <w:t>swoje utrwalone orzecznictwo, zgodnie z</w:t>
      </w:r>
      <w:r w:rsidR="00436917">
        <w:t> </w:t>
      </w:r>
      <w:r w:rsidRPr="004B0C8D">
        <w:t>którym kryterium to nie tylko</w:t>
      </w:r>
      <w:r w:rsidR="00D51617" w:rsidRPr="00D51617">
        <w:t xml:space="preserve"> </w:t>
      </w:r>
      <w:r w:rsidR="00D51617" w:rsidRPr="004B0C8D">
        <w:t>oznacza</w:t>
      </w:r>
      <w:r w:rsidRPr="004B0C8D">
        <w:t xml:space="preserve">, że dany środek powinien mieć pewną podstawę w prawie krajowym, </w:t>
      </w:r>
      <w:r w:rsidR="00D51617">
        <w:t>lecz</w:t>
      </w:r>
      <w:r w:rsidR="00D51617" w:rsidRPr="004B0C8D">
        <w:t xml:space="preserve"> </w:t>
      </w:r>
      <w:r w:rsidRPr="004B0C8D">
        <w:t xml:space="preserve">także odnosi się do jakości </w:t>
      </w:r>
      <w:r w:rsidR="00891F21">
        <w:t>tego prawa</w:t>
      </w:r>
      <w:r w:rsidRPr="004B0C8D">
        <w:t xml:space="preserve">, co oznacza, że </w:t>
      </w:r>
      <w:r w:rsidR="00891F21">
        <w:t>przepis</w:t>
      </w:r>
      <w:r w:rsidR="00891F21" w:rsidRPr="004B0C8D">
        <w:t xml:space="preserve"> </w:t>
      </w:r>
      <w:r w:rsidR="00891F21">
        <w:t xml:space="preserve">prawa </w:t>
      </w:r>
      <w:r w:rsidRPr="004B0C8D">
        <w:t>powin</w:t>
      </w:r>
      <w:r w:rsidR="00891F21">
        <w:t>ien</w:t>
      </w:r>
      <w:r w:rsidRPr="004B0C8D">
        <w:t xml:space="preserve"> być dostępn</w:t>
      </w:r>
      <w:r w:rsidR="00891F21">
        <w:t>y</w:t>
      </w:r>
      <w:r w:rsidRPr="004B0C8D">
        <w:t xml:space="preserve"> dla zainteresowanej osoby i</w:t>
      </w:r>
      <w:r w:rsidR="00436917">
        <w:t> </w:t>
      </w:r>
      <w:r w:rsidRPr="004B0C8D">
        <w:t>przewidywaln</w:t>
      </w:r>
      <w:r w:rsidR="00891F21">
        <w:t>y</w:t>
      </w:r>
      <w:r w:rsidRPr="004B0C8D">
        <w:t xml:space="preserve"> co do jego </w:t>
      </w:r>
      <w:r w:rsidR="00891F21">
        <w:t>konsekwencji</w:t>
      </w:r>
      <w:r w:rsidRPr="004B0C8D">
        <w:t>. W</w:t>
      </w:r>
      <w:r w:rsidR="00391B61">
        <w:t> </w:t>
      </w:r>
      <w:r w:rsidR="00891F21">
        <w:t>kontekście</w:t>
      </w:r>
      <w:r w:rsidR="00891F21" w:rsidRPr="004B0C8D">
        <w:t xml:space="preserve"> </w:t>
      </w:r>
      <w:r w:rsidRPr="004B0C8D">
        <w:t xml:space="preserve">m.in. przechowywania danych osobowych </w:t>
      </w:r>
      <w:r w:rsidR="00CB3D26">
        <w:t>niezbędne</w:t>
      </w:r>
      <w:r w:rsidR="00CB3D26" w:rsidRPr="004B0C8D">
        <w:t xml:space="preserve"> </w:t>
      </w:r>
      <w:r w:rsidRPr="004B0C8D">
        <w:t xml:space="preserve">jest posiadanie jasnych, szczegółowych zasad regulujących minimalne zabezpieczenia dotyczące, między innymi, czasu trwania, przechowywania, wykorzystywania, dostępu osób trzecich, procedur zachowania integralności i poufności danych oraz procedur ich niszczenia (zob. np. </w:t>
      </w:r>
      <w:r w:rsidRPr="004B0C8D">
        <w:rPr>
          <w:i/>
          <w:iCs/>
        </w:rPr>
        <w:t xml:space="preserve">S. i </w:t>
      </w:r>
      <w:proofErr w:type="spellStart"/>
      <w:r w:rsidRPr="004B0C8D">
        <w:rPr>
          <w:i/>
          <w:iCs/>
        </w:rPr>
        <w:t>Marper</w:t>
      </w:r>
      <w:proofErr w:type="spellEnd"/>
      <w:r w:rsidRPr="004B0C8D">
        <w:rPr>
          <w:i/>
          <w:iCs/>
        </w:rPr>
        <w:t xml:space="preserve"> przeciwko Zjednoczonemu Królestwu</w:t>
      </w:r>
      <w:r w:rsidRPr="004B0C8D">
        <w:t xml:space="preserve"> [WI], nr 30562/04 i</w:t>
      </w:r>
      <w:r w:rsidR="00D51617">
        <w:t> </w:t>
      </w:r>
      <w:r w:rsidRPr="004B0C8D">
        <w:t xml:space="preserve">30566/04, </w:t>
      </w:r>
      <w:r w:rsidR="00436917">
        <w:t>pkt </w:t>
      </w:r>
      <w:r w:rsidRPr="004B0C8D">
        <w:t xml:space="preserve">99, ETPC 2008, z dalszymi odniesieniami oraz </w:t>
      </w:r>
      <w:proofErr w:type="spellStart"/>
      <w:r w:rsidRPr="004B0C8D">
        <w:rPr>
          <w:i/>
          <w:iCs/>
        </w:rPr>
        <w:t>Zoltán</w:t>
      </w:r>
      <w:proofErr w:type="spellEnd"/>
      <w:r w:rsidRPr="004B0C8D">
        <w:rPr>
          <w:i/>
          <w:iCs/>
        </w:rPr>
        <w:t xml:space="preserve"> </w:t>
      </w:r>
      <w:proofErr w:type="spellStart"/>
      <w:r w:rsidRPr="004B0C8D">
        <w:rPr>
          <w:i/>
          <w:iCs/>
        </w:rPr>
        <w:t>Varga</w:t>
      </w:r>
      <w:proofErr w:type="spellEnd"/>
      <w:r w:rsidRPr="004B0C8D">
        <w:t>, cyt</w:t>
      </w:r>
      <w:r w:rsidR="00CB3D26">
        <w:t>.</w:t>
      </w:r>
      <w:r w:rsidRPr="004B0C8D">
        <w:t xml:space="preserve"> pow</w:t>
      </w:r>
      <w:r w:rsidR="00CB3D26">
        <w:t>.</w:t>
      </w:r>
      <w:r w:rsidRPr="004B0C8D">
        <w:t xml:space="preserve">, </w:t>
      </w:r>
      <w:r w:rsidR="00436917">
        <w:t>pkt </w:t>
      </w:r>
      <w:r w:rsidRPr="004B0C8D">
        <w:t>164</w:t>
      </w:r>
      <w:r w:rsidR="00436917">
        <w:t>–</w:t>
      </w:r>
      <w:r w:rsidRPr="004B0C8D">
        <w:t>172).</w:t>
      </w:r>
    </w:p>
    <w:p w14:paraId="7FE1FD6C" w14:textId="77777777" w:rsidR="005C744B" w:rsidRPr="004B0C8D" w:rsidRDefault="00000000" w:rsidP="009D0429">
      <w:pPr>
        <w:pStyle w:val="JuHi"/>
      </w:pPr>
      <w:r w:rsidRPr="004B0C8D">
        <w:lastRenderedPageBreak/>
        <w:t>Zastosowanie powyższych zasad w niniejszej sprawie</w:t>
      </w:r>
    </w:p>
    <w:p w14:paraId="1BC40B7A" w14:textId="77777777" w:rsidR="005C744B" w:rsidRPr="004B0C8D" w:rsidRDefault="00000000" w:rsidP="009D0429">
      <w:pPr>
        <w:pStyle w:val="JuHalpha"/>
      </w:pPr>
      <w:r w:rsidRPr="004B0C8D">
        <w:t>Ingerencja</w:t>
      </w:r>
    </w:p>
    <w:p w14:paraId="4AF908E2" w14:textId="7C24F243" w:rsidR="005C744B" w:rsidRPr="004B0C8D" w:rsidRDefault="00000000" w:rsidP="009D0429">
      <w:pPr>
        <w:pStyle w:val="JuPara"/>
      </w:pPr>
      <w:fldSimple w:instr=" SEQ level0 \*arabic \* MERGEFORMAT ">
        <w:r w:rsidR="00531673" w:rsidRPr="004B0C8D">
          <w:rPr>
            <w:noProof/>
          </w:rPr>
          <w:t>92</w:t>
        </w:r>
      </w:fldSimple>
      <w:r w:rsidRPr="004B0C8D">
        <w:t xml:space="preserve">.  Strony zgodziły się, że doszło do ingerencji w prawo skarżącej do poszanowania jej życia prywatnego z powodu przechowywania materiałów uzyskanych w wyniku tajnej </w:t>
      </w:r>
      <w:r w:rsidR="00CB3D26">
        <w:t>kontroli operacyjnej</w:t>
      </w:r>
      <w:r w:rsidRPr="004B0C8D">
        <w:t xml:space="preserve">. Trybunał nie </w:t>
      </w:r>
      <w:r w:rsidR="00CB3D26">
        <w:t>widzi</w:t>
      </w:r>
      <w:r w:rsidR="00CB3D26" w:rsidRPr="004B0C8D">
        <w:t xml:space="preserve"> </w:t>
      </w:r>
      <w:r w:rsidRPr="004B0C8D">
        <w:t>powodu, by nie zgodzić się z tym stanowiskiem.</w:t>
      </w:r>
    </w:p>
    <w:p w14:paraId="4ED69D78" w14:textId="306EE0EA" w:rsidR="005C744B" w:rsidRPr="004B0C8D" w:rsidRDefault="00000000" w:rsidP="009D0429">
      <w:pPr>
        <w:pStyle w:val="JuHalpha"/>
      </w:pPr>
      <w:r w:rsidRPr="004B0C8D">
        <w:t>Czy ingerencja była uzasadniona</w:t>
      </w:r>
    </w:p>
    <w:p w14:paraId="1A63D67E" w14:textId="2EBA7443" w:rsidR="005C744B" w:rsidRPr="004B0C8D" w:rsidRDefault="00000000" w:rsidP="009D0429">
      <w:pPr>
        <w:pStyle w:val="JuPara"/>
      </w:pPr>
      <w:fldSimple w:instr=" SEQ level0 \*arabic \* MERGEFORMAT ">
        <w:r w:rsidR="00531673" w:rsidRPr="004B0C8D">
          <w:rPr>
            <w:noProof/>
          </w:rPr>
          <w:t>93</w:t>
        </w:r>
      </w:fldSimple>
      <w:r w:rsidRPr="004B0C8D">
        <w:t xml:space="preserve">.  Trybunał zauważa, że materiały z </w:t>
      </w:r>
      <w:r w:rsidR="00CB3D26">
        <w:t>kontroli operacyjnej</w:t>
      </w:r>
      <w:r w:rsidR="00CB3D26" w:rsidRPr="004B0C8D">
        <w:t xml:space="preserve"> </w:t>
      </w:r>
      <w:r w:rsidRPr="004B0C8D">
        <w:t>dotyczące skarżącej w</w:t>
      </w:r>
      <w:r w:rsidR="00436917">
        <w:t> </w:t>
      </w:r>
      <w:r w:rsidRPr="004B0C8D">
        <w:t xml:space="preserve">niniejszej sprawie zostały zebrane w trakcie operacji </w:t>
      </w:r>
      <w:r w:rsidR="00CB3D26">
        <w:t xml:space="preserve">służb </w:t>
      </w:r>
      <w:r w:rsidRPr="004B0C8D">
        <w:t>bezpieczeństwa. Środek ten został zastosowany wobec innych osób i, jak stwierdził Rząd i</w:t>
      </w:r>
      <w:r w:rsidR="00436917">
        <w:t> </w:t>
      </w:r>
      <w:r w:rsidRPr="004B0C8D">
        <w:t xml:space="preserve">potwierdziły </w:t>
      </w:r>
      <w:r w:rsidR="00CB3D26">
        <w:t>organy</w:t>
      </w:r>
      <w:r w:rsidR="00CB3D26" w:rsidRPr="004B0C8D">
        <w:t xml:space="preserve"> </w:t>
      </w:r>
      <w:r w:rsidRPr="004B0C8D">
        <w:t xml:space="preserve">krajowe, sama skarżąca nie była </w:t>
      </w:r>
      <w:r w:rsidR="00CB3D26">
        <w:t>obiektem</w:t>
      </w:r>
      <w:r w:rsidR="00CB3D26" w:rsidRPr="004B0C8D">
        <w:t xml:space="preserve"> </w:t>
      </w:r>
      <w:r w:rsidRPr="004B0C8D">
        <w:t xml:space="preserve">tej operacji (zob. </w:t>
      </w:r>
      <w:r w:rsidR="00436917">
        <w:t>pkt </w:t>
      </w:r>
      <w:r w:rsidRPr="004B0C8D">
        <w:t xml:space="preserve">85 powyżej). Niemniej władze uzyskały materiały </w:t>
      </w:r>
      <w:r w:rsidR="00CB3D26">
        <w:t>jej dotyczące</w:t>
      </w:r>
      <w:r w:rsidRPr="004B0C8D">
        <w:t xml:space="preserve">. Oprócz nagrania odtworzonego podczas konferencji prasowej (zob. </w:t>
      </w:r>
      <w:r w:rsidR="00436917">
        <w:t>pkt </w:t>
      </w:r>
      <w:r w:rsidRPr="004B0C8D">
        <w:t xml:space="preserve">10 powyżej), </w:t>
      </w:r>
      <w:r w:rsidR="0099439D">
        <w:t>uzyskały one</w:t>
      </w:r>
      <w:r w:rsidRPr="004B0C8D">
        <w:t xml:space="preserve"> również stenogramy innych rozmów telefonicznych, które </w:t>
      </w:r>
      <w:r w:rsidR="00CB3D26">
        <w:t>przeprowadziła</w:t>
      </w:r>
      <w:r w:rsidR="00CB3D26" w:rsidRPr="004B0C8D">
        <w:t xml:space="preserve"> </w:t>
      </w:r>
      <w:r w:rsidRPr="004B0C8D">
        <w:t>z mężem i</w:t>
      </w:r>
      <w:r w:rsidR="0099439D">
        <w:t> </w:t>
      </w:r>
      <w:r w:rsidRPr="004B0C8D">
        <w:t xml:space="preserve">synem (zob. </w:t>
      </w:r>
      <w:r w:rsidR="00436917">
        <w:t>pkt </w:t>
      </w:r>
      <w:r w:rsidRPr="004B0C8D">
        <w:t>25 powyżej).</w:t>
      </w:r>
    </w:p>
    <w:p w14:paraId="032867B5" w14:textId="36C0F2A2" w:rsidR="005C744B" w:rsidRPr="004B0C8D" w:rsidRDefault="00000000" w:rsidP="009D0429">
      <w:pPr>
        <w:pStyle w:val="JuPara"/>
      </w:pPr>
      <w:fldSimple w:instr=" SEQ level0 \*arabic \* MERGEFORMAT ">
        <w:r w:rsidR="00531673" w:rsidRPr="004B0C8D">
          <w:rPr>
            <w:noProof/>
          </w:rPr>
          <w:t>94</w:t>
        </w:r>
      </w:fldSimple>
      <w:r w:rsidRPr="004B0C8D">
        <w:t xml:space="preserve">.  Trybunał zauważa ponadto, że materiał ten nie został zniszczony, lecz był przechowywany i został włączony do akt postępowania przygotowawczego. Skarżąca kilkakrotnie wnosiła o zniszczenie tych materiałów. Początkowo poinformowano ją, że stenogramy stały się materiałem procesowym i dlatego nie mogą zostać zniszczone (zob. </w:t>
      </w:r>
      <w:r w:rsidR="00436917">
        <w:t>pkt </w:t>
      </w:r>
      <w:r w:rsidRPr="004B0C8D">
        <w:t xml:space="preserve">26 powyżej). Następnie władze odmówiły rozpatrzenia jej wniosku, ponieważ po </w:t>
      </w:r>
      <w:r w:rsidR="000858A5">
        <w:t>nowelizacji</w:t>
      </w:r>
      <w:r w:rsidRPr="004B0C8D">
        <w:t xml:space="preserve"> Kodeks</w:t>
      </w:r>
      <w:r w:rsidR="000858A5">
        <w:t>u</w:t>
      </w:r>
      <w:r w:rsidRPr="004B0C8D">
        <w:t xml:space="preserve"> postępowania karnego istniały rozbieżności w</w:t>
      </w:r>
      <w:r w:rsidR="00017FCA">
        <w:t> </w:t>
      </w:r>
      <w:r w:rsidRPr="004B0C8D">
        <w:t xml:space="preserve">interpretacji odpowiednich przepisów dotyczących niszczenia materiałów z </w:t>
      </w:r>
      <w:r w:rsidR="000858A5">
        <w:t>niejawnych kontroli operacyjnych</w:t>
      </w:r>
      <w:r w:rsidR="000858A5" w:rsidRPr="004B0C8D">
        <w:t xml:space="preserve"> </w:t>
      </w:r>
      <w:r w:rsidRPr="004B0C8D">
        <w:t xml:space="preserve">(zob. </w:t>
      </w:r>
      <w:r w:rsidR="00436917">
        <w:t>pkt </w:t>
      </w:r>
      <w:r w:rsidRPr="004B0C8D">
        <w:t>29 powyżej). Chociaż wniosek skarżącej został ostatecznie skutecznie złożony do Sądu Rejonowego w Warszawie, został on oddalony na tej podstawie, że art.</w:t>
      </w:r>
      <w:r w:rsidR="00436917">
        <w:t> </w:t>
      </w:r>
      <w:r w:rsidRPr="004B0C8D">
        <w:t>238 §§</w:t>
      </w:r>
      <w:r w:rsidR="00436917">
        <w:t> </w:t>
      </w:r>
      <w:r w:rsidRPr="004B0C8D">
        <w:t>4 i</w:t>
      </w:r>
      <w:r w:rsidR="00436917">
        <w:t> </w:t>
      </w:r>
      <w:r w:rsidRPr="004B0C8D">
        <w:t>5 Kodeksu postępowania karnego nie mógł mieć zastosowania w</w:t>
      </w:r>
      <w:r w:rsidR="00436917">
        <w:t> </w:t>
      </w:r>
      <w:r w:rsidRPr="004B0C8D">
        <w:t xml:space="preserve">sprawie skarżącej (zob. </w:t>
      </w:r>
      <w:r w:rsidR="00436917">
        <w:t>pkt </w:t>
      </w:r>
      <w:r w:rsidRPr="004B0C8D">
        <w:t xml:space="preserve">32 powyżej). Orzeczenie Sądu Rejonowego w Warszawie nie może jednak zostać poddane ocenie, ponieważ uzasadnienie zostało utajnione i nie zostało ujawnione ani Trybunałowi, ani skarżącej (por. </w:t>
      </w:r>
      <w:proofErr w:type="spellStart"/>
      <w:r w:rsidRPr="004B0C8D">
        <w:rPr>
          <w:i/>
        </w:rPr>
        <w:t>Zoltán</w:t>
      </w:r>
      <w:proofErr w:type="spellEnd"/>
      <w:r w:rsidRPr="004B0C8D">
        <w:rPr>
          <w:i/>
        </w:rPr>
        <w:t xml:space="preserve"> </w:t>
      </w:r>
      <w:proofErr w:type="spellStart"/>
      <w:r w:rsidRPr="004B0C8D">
        <w:rPr>
          <w:i/>
        </w:rPr>
        <w:t>Varga</w:t>
      </w:r>
      <w:proofErr w:type="spellEnd"/>
      <w:r w:rsidRPr="004B0C8D">
        <w:t>, cyt</w:t>
      </w:r>
      <w:r w:rsidR="000858A5">
        <w:t>.</w:t>
      </w:r>
      <w:r w:rsidRPr="004B0C8D">
        <w:t xml:space="preserve"> pow</w:t>
      </w:r>
      <w:r w:rsidR="000858A5">
        <w:t>.</w:t>
      </w:r>
      <w:r w:rsidRPr="004B0C8D">
        <w:t xml:space="preserve">, </w:t>
      </w:r>
      <w:r w:rsidR="00436917">
        <w:t>pkt </w:t>
      </w:r>
      <w:r w:rsidRPr="004B0C8D">
        <w:t xml:space="preserve">167 oraz </w:t>
      </w:r>
      <w:proofErr w:type="spellStart"/>
      <w:r w:rsidRPr="004B0C8D">
        <w:rPr>
          <w:i/>
          <w:iCs/>
        </w:rPr>
        <w:t>Haščák</w:t>
      </w:r>
      <w:proofErr w:type="spellEnd"/>
      <w:r w:rsidRPr="004B0C8D">
        <w:rPr>
          <w:i/>
          <w:iCs/>
        </w:rPr>
        <w:t xml:space="preserve"> przeciwko Słowacji</w:t>
      </w:r>
      <w:r w:rsidRPr="004B0C8D">
        <w:t>, nr</w:t>
      </w:r>
      <w:r w:rsidR="00436917">
        <w:t> </w:t>
      </w:r>
      <w:r w:rsidRPr="004B0C8D">
        <w:t xml:space="preserve">58359/12, </w:t>
      </w:r>
      <w:r w:rsidR="00436917">
        <w:t>pkt </w:t>
      </w:r>
      <w:r w:rsidRPr="004B0C8D">
        <w:t>96, 23 czerwca 2022 r.).</w:t>
      </w:r>
    </w:p>
    <w:p w14:paraId="401F4C9E" w14:textId="415CC7A9" w:rsidR="005C744B" w:rsidRPr="004B0C8D" w:rsidRDefault="00000000" w:rsidP="009D0429">
      <w:pPr>
        <w:pStyle w:val="JuPara"/>
        <w:rPr>
          <w:rFonts w:cstheme="minorHAnsi"/>
          <w:color w:val="000000"/>
        </w:rPr>
      </w:pPr>
      <w:fldSimple w:instr=" SEQ level0 \*arabic \* MERGEFORMAT ">
        <w:r w:rsidR="00531673" w:rsidRPr="004B0C8D">
          <w:rPr>
            <w:noProof/>
          </w:rPr>
          <w:t>95</w:t>
        </w:r>
      </w:fldSimple>
      <w:r w:rsidRPr="004B0C8D">
        <w:t xml:space="preserve">.  Ponadto, zgodnie z informacjami </w:t>
      </w:r>
      <w:r w:rsidR="000858A5">
        <w:t>posiadanymi przez</w:t>
      </w:r>
      <w:r w:rsidR="000858A5" w:rsidRPr="004B0C8D">
        <w:t xml:space="preserve"> </w:t>
      </w:r>
      <w:r w:rsidRPr="004B0C8D">
        <w:t xml:space="preserve">Trybunał w dniu </w:t>
      </w:r>
      <w:r w:rsidR="000858A5">
        <w:t>wydania</w:t>
      </w:r>
      <w:r w:rsidR="000858A5" w:rsidRPr="004B0C8D">
        <w:t xml:space="preserve"> </w:t>
      </w:r>
      <w:r w:rsidRPr="004B0C8D">
        <w:t xml:space="preserve">niniejszego wyroku, wygląda na to, że akta sprawy zawierające stenogramy rozmów skarżącej nagranych w 2007 r. są nadal przechowywane w Prokuraturze Okręgowej w Warszawie. W związku z tym wątpliwe jest, czy odpowiednie przepisy prawa, mające zastosowanie w istotnym dla sprawy czasie, przewidywały wystarczające zabezpieczenia w celu ochrony osób znajdujących się w sytuacji skarżącej, które same nie były objęte operacją </w:t>
      </w:r>
      <w:r w:rsidR="000858A5">
        <w:t xml:space="preserve">służb </w:t>
      </w:r>
      <w:r w:rsidRPr="004B0C8D">
        <w:t xml:space="preserve">bezpieczeństwa, ale których rozmowy zostały jednak </w:t>
      </w:r>
      <w:r w:rsidRPr="004B0C8D">
        <w:lastRenderedPageBreak/>
        <w:t xml:space="preserve">przechwycone (zob. </w:t>
      </w:r>
      <w:r w:rsidRPr="004B0C8D">
        <w:rPr>
          <w:i/>
          <w:iCs/>
        </w:rPr>
        <w:t>mutatis mutandis</w:t>
      </w:r>
      <w:r w:rsidRPr="004B0C8D">
        <w:t xml:space="preserve">, </w:t>
      </w:r>
      <w:proofErr w:type="spellStart"/>
      <w:r w:rsidRPr="004B0C8D">
        <w:rPr>
          <w:i/>
          <w:color w:val="000000"/>
        </w:rPr>
        <w:t>Vasil</w:t>
      </w:r>
      <w:proofErr w:type="spellEnd"/>
      <w:r w:rsidRPr="004B0C8D">
        <w:rPr>
          <w:i/>
          <w:color w:val="000000"/>
        </w:rPr>
        <w:t xml:space="preserve"> </w:t>
      </w:r>
      <w:proofErr w:type="spellStart"/>
      <w:r w:rsidRPr="004B0C8D">
        <w:rPr>
          <w:i/>
          <w:color w:val="000000"/>
        </w:rPr>
        <w:t>Vasilev</w:t>
      </w:r>
      <w:proofErr w:type="spellEnd"/>
      <w:r w:rsidRPr="004B0C8D">
        <w:rPr>
          <w:i/>
          <w:color w:val="000000"/>
        </w:rPr>
        <w:t xml:space="preserve"> przeciwko Bułgarii</w:t>
      </w:r>
      <w:r w:rsidRPr="004B0C8D">
        <w:rPr>
          <w:color w:val="000000"/>
        </w:rPr>
        <w:t xml:space="preserve">, nr 7610/15, </w:t>
      </w:r>
      <w:r w:rsidR="00436917">
        <w:rPr>
          <w:color w:val="000000"/>
        </w:rPr>
        <w:t>pkt </w:t>
      </w:r>
      <w:r w:rsidRPr="004B0C8D">
        <w:rPr>
          <w:color w:val="000000"/>
        </w:rPr>
        <w:t>93, 16 listopada 2021 r.)</w:t>
      </w:r>
      <w:r w:rsidRPr="004B0C8D">
        <w:t>.</w:t>
      </w:r>
    </w:p>
    <w:bookmarkStart w:id="37" w:name="conclusion_onstorage"/>
    <w:p w14:paraId="0BCB1648" w14:textId="6DBE57F2" w:rsidR="005C744B" w:rsidRPr="004B0C8D" w:rsidRDefault="00000000" w:rsidP="009D0429">
      <w:pPr>
        <w:pStyle w:val="JuPara"/>
      </w:pPr>
      <w:r w:rsidRPr="004B0C8D">
        <w:fldChar w:fldCharType="begin"/>
      </w:r>
      <w:r w:rsidRPr="004B0C8D">
        <w:instrText xml:space="preserve"> SEQ level0 \*arabic \* MERGEFORMAT </w:instrText>
      </w:r>
      <w:r w:rsidRPr="004B0C8D">
        <w:fldChar w:fldCharType="separate"/>
      </w:r>
      <w:r w:rsidR="00531673" w:rsidRPr="004B0C8D">
        <w:rPr>
          <w:noProof/>
        </w:rPr>
        <w:t>96</w:t>
      </w:r>
      <w:r w:rsidRPr="004B0C8D">
        <w:fldChar w:fldCharType="end"/>
      </w:r>
      <w:bookmarkEnd w:id="37"/>
      <w:r w:rsidRPr="004B0C8D">
        <w:t xml:space="preserve">.  Trybunał stwierdza zatem, że brak wystarczającej jasności </w:t>
      </w:r>
      <w:r w:rsidR="003A2707">
        <w:t>ram</w:t>
      </w:r>
      <w:r w:rsidRPr="004B0C8D">
        <w:t xml:space="preserve"> prawnych w czasie wydarzeń w niniejszej sprawie oraz brak gwarancji proceduralnych odnoszących się konkretnie do zniszczenia korespondencji skarżącej oznaczają, że ingerencja w prawa skarżącej </w:t>
      </w:r>
      <w:r w:rsidR="003A2707">
        <w:t>z</w:t>
      </w:r>
      <w:r w:rsidRPr="004B0C8D">
        <w:t xml:space="preserve"> art. 8 Konwencji nie była „</w:t>
      </w:r>
      <w:r w:rsidR="00436917">
        <w:t>przewidziana przez ustawę</w:t>
      </w:r>
      <w:r w:rsidRPr="004B0C8D">
        <w:t>”. W</w:t>
      </w:r>
      <w:r w:rsidR="00436917">
        <w:t> </w:t>
      </w:r>
      <w:r w:rsidRPr="004B0C8D">
        <w:t>związku z powyższym doszło do naruszenia ww. postanowienia.</w:t>
      </w:r>
    </w:p>
    <w:p w14:paraId="09227A36" w14:textId="0EA26FD6" w:rsidR="005C744B" w:rsidRPr="004B0C8D" w:rsidRDefault="00000000" w:rsidP="009D0429">
      <w:pPr>
        <w:pStyle w:val="JuPara"/>
      </w:pPr>
      <w:fldSimple w:instr=" SEQ level0 \*arabic \* MERGEFORMAT ">
        <w:r w:rsidR="00531673" w:rsidRPr="004B0C8D">
          <w:rPr>
            <w:noProof/>
          </w:rPr>
          <w:t>97</w:t>
        </w:r>
      </w:fldSimple>
      <w:r w:rsidRPr="004B0C8D">
        <w:t xml:space="preserve">.  W świetle powyższego wniosku nie ma potrzeby </w:t>
      </w:r>
      <w:r w:rsidR="000858A5">
        <w:t>dokonywania oceny</w:t>
      </w:r>
      <w:r w:rsidRPr="004B0C8D">
        <w:t xml:space="preserve">, czy ingerencja spełniała pozostałe wymogi art. 8 ust. 2 Konwencji (zob. </w:t>
      </w:r>
      <w:proofErr w:type="spellStart"/>
      <w:r w:rsidRPr="004B0C8D">
        <w:rPr>
          <w:i/>
        </w:rPr>
        <w:t>Amann</w:t>
      </w:r>
      <w:proofErr w:type="spellEnd"/>
      <w:r w:rsidRPr="004B0C8D">
        <w:t>, cyt</w:t>
      </w:r>
      <w:r w:rsidR="003A2707">
        <w:t>.</w:t>
      </w:r>
      <w:r w:rsidRPr="004B0C8D">
        <w:t xml:space="preserve"> pow</w:t>
      </w:r>
      <w:r w:rsidR="003A2707">
        <w:t>.</w:t>
      </w:r>
      <w:r w:rsidRPr="004B0C8D">
        <w:t xml:space="preserve">, </w:t>
      </w:r>
      <w:r w:rsidR="00436917">
        <w:t>pkt </w:t>
      </w:r>
      <w:r w:rsidRPr="004B0C8D">
        <w:t>63).</w:t>
      </w:r>
    </w:p>
    <w:p w14:paraId="0AB729FC" w14:textId="77777777" w:rsidR="005C744B" w:rsidRPr="004B0C8D" w:rsidRDefault="00000000" w:rsidP="009D0429">
      <w:pPr>
        <w:pStyle w:val="JuHIRoman"/>
      </w:pPr>
      <w:r w:rsidRPr="004B0C8D">
        <w:t>ZARZUCANE NARUSZENIE ART. 13 KONWENCJI</w:t>
      </w:r>
    </w:p>
    <w:p w14:paraId="2FD25D26" w14:textId="0DBAF51C" w:rsidR="005C744B" w:rsidRPr="004B0C8D" w:rsidRDefault="00000000" w:rsidP="009D0429">
      <w:pPr>
        <w:pStyle w:val="JuPara"/>
      </w:pPr>
      <w:fldSimple w:instr=" SEQ level0 \*arabic ">
        <w:r w:rsidR="00531673" w:rsidRPr="004B0C8D">
          <w:rPr>
            <w:noProof/>
          </w:rPr>
          <w:t>98</w:t>
        </w:r>
      </w:fldSimple>
      <w:r w:rsidRPr="004B0C8D">
        <w:t xml:space="preserve">.  Skarżąca zarzuciła również, że w odniesieniu do jej </w:t>
      </w:r>
      <w:r w:rsidR="00EF16C6">
        <w:t>zarzutu dotyczącego</w:t>
      </w:r>
      <w:r w:rsidRPr="004B0C8D">
        <w:t xml:space="preserve"> art. 8</w:t>
      </w:r>
      <w:r w:rsidR="00EF16C6">
        <w:t>,</w:t>
      </w:r>
      <w:r w:rsidRPr="004B0C8D">
        <w:t xml:space="preserve"> </w:t>
      </w:r>
      <w:r w:rsidR="00EF16C6">
        <w:t>odnoszącego się do</w:t>
      </w:r>
      <w:r w:rsidR="00EF16C6" w:rsidRPr="004B0C8D">
        <w:t xml:space="preserve"> </w:t>
      </w:r>
      <w:r w:rsidR="003A2707">
        <w:t>przechowywania</w:t>
      </w:r>
      <w:r w:rsidR="003A2707" w:rsidRPr="004B0C8D">
        <w:t xml:space="preserve"> </w:t>
      </w:r>
      <w:r w:rsidRPr="004B0C8D">
        <w:t xml:space="preserve">materiałów </w:t>
      </w:r>
      <w:r w:rsidR="00EF16C6">
        <w:t>zabezpieczonych</w:t>
      </w:r>
      <w:r w:rsidR="00EF16C6" w:rsidRPr="004B0C8D">
        <w:t xml:space="preserve"> </w:t>
      </w:r>
      <w:r w:rsidRPr="004B0C8D">
        <w:t xml:space="preserve">podczas tajnej </w:t>
      </w:r>
      <w:r w:rsidR="003A2707">
        <w:t>kontroli operacyjnej</w:t>
      </w:r>
      <w:r w:rsidR="00EF16C6">
        <w:t>,</w:t>
      </w:r>
      <w:r w:rsidRPr="004B0C8D">
        <w:t xml:space="preserve"> nie przysługiwał jej skuteczny środek odwoławczy w</w:t>
      </w:r>
      <w:r w:rsidR="00436917">
        <w:t> </w:t>
      </w:r>
      <w:r w:rsidRPr="004B0C8D">
        <w:t>rozumieniu art. 13 Konwencji, który brzmi następująco:</w:t>
      </w:r>
    </w:p>
    <w:p w14:paraId="344C41EA" w14:textId="77777777" w:rsidR="005C744B" w:rsidRPr="004B0C8D" w:rsidRDefault="00000000" w:rsidP="009D0429">
      <w:pPr>
        <w:pStyle w:val="JuQuot"/>
      </w:pPr>
      <w:r w:rsidRPr="004B0C8D">
        <w:t>„Każdy, kogo prawa i wolności zawarte w niniejszej Konwencji zostały naruszone, ma prawo do skutecznego środka odwoławczego do właściwego organu państwowego także wówczas, gdy naruszenia dokonały osoby wykonujące swoje funkcje urzędowe”.</w:t>
      </w:r>
    </w:p>
    <w:p w14:paraId="6C896FF1" w14:textId="15D05B0A" w:rsidR="005C744B" w:rsidRPr="004B0C8D" w:rsidRDefault="00000000" w:rsidP="009D0429">
      <w:pPr>
        <w:pStyle w:val="JuPara"/>
      </w:pPr>
      <w:fldSimple w:instr=" SEQ level0 \*arabic ">
        <w:r w:rsidR="00531673" w:rsidRPr="004B0C8D">
          <w:rPr>
            <w:noProof/>
          </w:rPr>
          <w:t>99</w:t>
        </w:r>
      </w:fldSimple>
      <w:r w:rsidRPr="004B0C8D">
        <w:t xml:space="preserve">.  Rząd zakwestionował to twierdzenie. Podniósł, że skarżąca została poinformowana przez prokuraturę o zmianach w Kodeksie postępowania karnego, które wprowadziły możliwość zwrócenia się do sądu o zezwolenie na zniszczenie materiałów </w:t>
      </w:r>
      <w:r w:rsidR="003A2707">
        <w:t>uzyskanych</w:t>
      </w:r>
      <w:r w:rsidR="003A2707" w:rsidRPr="004B0C8D">
        <w:t xml:space="preserve"> </w:t>
      </w:r>
      <w:r w:rsidRPr="004B0C8D">
        <w:t xml:space="preserve">w ramach </w:t>
      </w:r>
      <w:r w:rsidR="003A2707">
        <w:t>niejawnej</w:t>
      </w:r>
      <w:r w:rsidR="003A2707" w:rsidRPr="004B0C8D">
        <w:t xml:space="preserve"> </w:t>
      </w:r>
      <w:r w:rsidR="003A2707">
        <w:t>kontroli operacyjnej</w:t>
      </w:r>
      <w:r w:rsidRPr="004B0C8D">
        <w:t xml:space="preserve"> (art. 238 § 5). Skarżąca skorzystała z tego środka odwoławczego i złożyła wniosek, który został oddalony po </w:t>
      </w:r>
      <w:r w:rsidR="003A2707">
        <w:t>dogłębnym zbadaniu</w:t>
      </w:r>
      <w:r w:rsidRPr="004B0C8D">
        <w:t xml:space="preserve"> (zob. </w:t>
      </w:r>
      <w:r w:rsidR="00C4515A">
        <w:t>pkt </w:t>
      </w:r>
      <w:r w:rsidRPr="004B0C8D">
        <w:t>32 powyżej).</w:t>
      </w:r>
    </w:p>
    <w:p w14:paraId="6F986AC2" w14:textId="75414A0C" w:rsidR="005C744B" w:rsidRPr="004B0C8D" w:rsidRDefault="00000000" w:rsidP="009D0429">
      <w:pPr>
        <w:pStyle w:val="JuPara"/>
      </w:pPr>
      <w:fldSimple w:instr=" SEQ level0 \*arabic \* MERGEFORMAT ">
        <w:r w:rsidR="00531673" w:rsidRPr="004B0C8D">
          <w:rPr>
            <w:noProof/>
          </w:rPr>
          <w:t>100</w:t>
        </w:r>
      </w:fldSimple>
      <w:r w:rsidRPr="004B0C8D">
        <w:t xml:space="preserve">.  Skarżąca twierdziła, że przedmiotowy środek nie był „skuteczny” </w:t>
      </w:r>
      <w:r w:rsidR="00EF16C6">
        <w:br/>
      </w:r>
      <w:r w:rsidRPr="004B0C8D">
        <w:t>w rozumieniu art. 13 Konwencji.</w:t>
      </w:r>
    </w:p>
    <w:p w14:paraId="45447835" w14:textId="440CCD5A" w:rsidR="005C744B" w:rsidRPr="004B0C8D" w:rsidRDefault="00000000" w:rsidP="009D0429">
      <w:pPr>
        <w:pStyle w:val="JuPara"/>
      </w:pPr>
      <w:fldSimple w:instr=" SEQ level0 \*arabic \* MERGEFORMAT ">
        <w:r w:rsidR="00531673" w:rsidRPr="004B0C8D">
          <w:rPr>
            <w:noProof/>
          </w:rPr>
          <w:t>101</w:t>
        </w:r>
      </w:fldSimple>
      <w:r w:rsidRPr="004B0C8D">
        <w:t xml:space="preserve">.  Trybunał zauważa, że przedmiot </w:t>
      </w:r>
      <w:r w:rsidR="0092370D">
        <w:t>zarzutu</w:t>
      </w:r>
      <w:r w:rsidR="0092370D" w:rsidRPr="004B0C8D">
        <w:t xml:space="preserve"> </w:t>
      </w:r>
      <w:r w:rsidRPr="004B0C8D">
        <w:t xml:space="preserve">skarżącej </w:t>
      </w:r>
      <w:r w:rsidR="0092370D">
        <w:t>na podstawie</w:t>
      </w:r>
      <w:r w:rsidRPr="004B0C8D">
        <w:t xml:space="preserve"> art.</w:t>
      </w:r>
      <w:r w:rsidR="00C4515A">
        <w:t> </w:t>
      </w:r>
      <w:r w:rsidRPr="004B0C8D">
        <w:t xml:space="preserve">13 pokrywa się z kwestiami, które zostały już zbadane powyżej na podstawie art. 8 Konwencji. Uwzględniając powyższy wniosek (zob. </w:t>
      </w:r>
      <w:r w:rsidR="00C4515A">
        <w:t>pkt </w:t>
      </w:r>
      <w:r w:rsidRPr="004B0C8D">
        <w:t xml:space="preserve">96 powyżej), Trybunał uznaje za zbędne badanie tych kwestii również </w:t>
      </w:r>
      <w:r w:rsidR="00EF16C6">
        <w:t>w świetle</w:t>
      </w:r>
      <w:r w:rsidRPr="004B0C8D">
        <w:t xml:space="preserve"> art. 13 Konwencji (zob. </w:t>
      </w:r>
      <w:r w:rsidRPr="004B0C8D">
        <w:rPr>
          <w:i/>
        </w:rPr>
        <w:t>Copland przeciwko Zjednoczonemu Królestwu</w:t>
      </w:r>
      <w:r w:rsidRPr="004B0C8D">
        <w:t xml:space="preserve">, nr 62617/00, </w:t>
      </w:r>
      <w:r w:rsidR="00C4515A">
        <w:t>pkt </w:t>
      </w:r>
      <w:r w:rsidRPr="004B0C8D">
        <w:t>51, ETPC 2007</w:t>
      </w:r>
      <w:r w:rsidRPr="004B0C8D">
        <w:noBreakHyphen/>
        <w:t>I).</w:t>
      </w:r>
    </w:p>
    <w:p w14:paraId="6EC45A19" w14:textId="77777777" w:rsidR="005C744B" w:rsidRPr="004B0C8D" w:rsidRDefault="00000000" w:rsidP="009D0429">
      <w:pPr>
        <w:pStyle w:val="JuHIRoman"/>
        <w:numPr>
          <w:ilvl w:val="1"/>
          <w:numId w:val="2"/>
        </w:numPr>
      </w:pPr>
      <w:r w:rsidRPr="004B0C8D">
        <w:t>ZASTOSOWANIE ART. 41 KONWENCJI</w:t>
      </w:r>
    </w:p>
    <w:p w14:paraId="7DC170E8" w14:textId="0F258213" w:rsidR="005C744B" w:rsidRPr="004B0C8D" w:rsidRDefault="00000000" w:rsidP="009D0429">
      <w:pPr>
        <w:pStyle w:val="JuPara"/>
        <w:keepNext/>
        <w:keepLines/>
      </w:pPr>
      <w:fldSimple w:instr=" SEQ level0 \*arabic ">
        <w:r w:rsidR="00531673" w:rsidRPr="004B0C8D">
          <w:rPr>
            <w:noProof/>
          </w:rPr>
          <w:t>102</w:t>
        </w:r>
      </w:fldSimple>
      <w:r w:rsidRPr="004B0C8D">
        <w:t>.  Artykuł 41 Konwencji stanowi:</w:t>
      </w:r>
    </w:p>
    <w:p w14:paraId="01156FFE" w14:textId="57C17AC9" w:rsidR="005C744B" w:rsidRPr="004B0C8D" w:rsidRDefault="00000000" w:rsidP="009D0429">
      <w:pPr>
        <w:pStyle w:val="JuQuot"/>
      </w:pPr>
      <w:r w:rsidRPr="004B0C8D">
        <w:t xml:space="preserve">„Jeżeli Trybunał stwierdzi, że nastąpiło naruszenie Konwencji lub jej Protokołów, oraz jeżeli prawo wewnętrzne zainteresowanej Wysokiej Układającej się Strony pozwala tylko na częściowe usunięcie konsekwencji tego naruszenia, Trybunał orzeka, </w:t>
      </w:r>
      <w:r w:rsidRPr="004B0C8D">
        <w:lastRenderedPageBreak/>
        <w:t xml:space="preserve">gdy zachodzi </w:t>
      </w:r>
      <w:r w:rsidR="00667A34">
        <w:t xml:space="preserve">taka </w:t>
      </w:r>
      <w:r w:rsidRPr="004B0C8D">
        <w:t>potrzeba, o przyznaniu słusznego zadośćuczynienia pokrzywdzonej stronie”.</w:t>
      </w:r>
    </w:p>
    <w:p w14:paraId="2E76128E" w14:textId="77777777" w:rsidR="005C744B" w:rsidRPr="004B0C8D" w:rsidRDefault="00000000" w:rsidP="009D0429">
      <w:pPr>
        <w:pStyle w:val="JuHA"/>
      </w:pPr>
      <w:r w:rsidRPr="004B0C8D">
        <w:t>Szkoda</w:t>
      </w:r>
    </w:p>
    <w:p w14:paraId="02B29CAB" w14:textId="3A2ED78D" w:rsidR="005C744B" w:rsidRPr="004B0C8D" w:rsidRDefault="00000000" w:rsidP="009D0429">
      <w:pPr>
        <w:pStyle w:val="JuPara"/>
      </w:pPr>
      <w:fldSimple w:instr=" SEQ level0 \*arabic ">
        <w:r w:rsidR="00531673" w:rsidRPr="004B0C8D">
          <w:rPr>
            <w:noProof/>
          </w:rPr>
          <w:t>103</w:t>
        </w:r>
      </w:fldSimple>
      <w:r w:rsidRPr="004B0C8D">
        <w:t xml:space="preserve">.  Skarżąca </w:t>
      </w:r>
      <w:r w:rsidR="009C51EF">
        <w:t>żądała</w:t>
      </w:r>
      <w:r w:rsidR="009C51EF" w:rsidRPr="004B0C8D">
        <w:t xml:space="preserve"> </w:t>
      </w:r>
      <w:r w:rsidRPr="004B0C8D">
        <w:t>kwoty 5 000 euro (EUR) tytułem zadośćuczynienia za szkodę niemajątkową.</w:t>
      </w:r>
    </w:p>
    <w:p w14:paraId="19310B40" w14:textId="37E6D922" w:rsidR="005C744B" w:rsidRPr="004B0C8D" w:rsidRDefault="00000000" w:rsidP="009D0429">
      <w:pPr>
        <w:pStyle w:val="JuPara"/>
      </w:pPr>
      <w:fldSimple w:instr=" SEQ level0 \*arabic ">
        <w:r w:rsidR="00531673" w:rsidRPr="004B0C8D">
          <w:rPr>
            <w:noProof/>
          </w:rPr>
          <w:t>104</w:t>
        </w:r>
      </w:fldSimple>
      <w:r w:rsidRPr="004B0C8D">
        <w:t>.  Rząd zakwestionował to żądanie.</w:t>
      </w:r>
    </w:p>
    <w:p w14:paraId="09895E26" w14:textId="61546378" w:rsidR="005C744B" w:rsidRPr="004B0C8D" w:rsidRDefault="00000000" w:rsidP="009D0429">
      <w:pPr>
        <w:pStyle w:val="JuPara"/>
      </w:pPr>
      <w:fldSimple w:instr=" SEQ level0 \*arabic ">
        <w:r w:rsidR="00531673" w:rsidRPr="004B0C8D">
          <w:rPr>
            <w:noProof/>
          </w:rPr>
          <w:t>105</w:t>
        </w:r>
      </w:fldSimple>
      <w:r w:rsidRPr="004B0C8D">
        <w:t>.  Trybunał przyznaje skarżącej kwotę 5 000 EUR tytułem zadośćuczynienia za szkodę niemajątkową powiększoną o podatek należny od tej kwoty.</w:t>
      </w:r>
    </w:p>
    <w:p w14:paraId="75ED9A00" w14:textId="77777777" w:rsidR="005C744B" w:rsidRPr="004B0C8D" w:rsidRDefault="00000000" w:rsidP="009D0429">
      <w:pPr>
        <w:pStyle w:val="JuHA"/>
      </w:pPr>
      <w:r w:rsidRPr="004B0C8D">
        <w:t>Koszty i wydatki</w:t>
      </w:r>
    </w:p>
    <w:p w14:paraId="3739F16B" w14:textId="69451ACE" w:rsidR="005C744B" w:rsidRPr="004B0C8D" w:rsidRDefault="00000000" w:rsidP="009D0429">
      <w:pPr>
        <w:pStyle w:val="JuPara"/>
      </w:pPr>
      <w:fldSimple w:instr=" SEQ level0 \*arabic ">
        <w:r w:rsidR="00531673" w:rsidRPr="004B0C8D">
          <w:rPr>
            <w:noProof/>
          </w:rPr>
          <w:t>106</w:t>
        </w:r>
      </w:fldSimple>
      <w:r w:rsidRPr="004B0C8D">
        <w:t>.  Skarżąca domagała się również kwoty 500 EUR tytułem zwrotu wydatków związanych z kosztami administracyjnymi, takimi jak opłaty pocztowe, opłaty za kopie, tłumaczenia, faksy i rozmowy telefoniczne.</w:t>
      </w:r>
    </w:p>
    <w:p w14:paraId="44EF5808" w14:textId="07330BA3" w:rsidR="005C744B" w:rsidRPr="004B0C8D" w:rsidRDefault="00000000" w:rsidP="009D0429">
      <w:pPr>
        <w:pStyle w:val="JuPara"/>
      </w:pPr>
      <w:fldSimple w:instr=" SEQ level0 \*arabic \* MERGEFORMAT ">
        <w:r w:rsidR="00531673" w:rsidRPr="004B0C8D">
          <w:rPr>
            <w:noProof/>
          </w:rPr>
          <w:t>107</w:t>
        </w:r>
      </w:fldSimple>
      <w:r w:rsidRPr="004B0C8D">
        <w:t>.  Rząd zakwestionował to roszczenie, wskazując, że skarżąca nie przedstawiła żadnych dokumentów na jego poparcie.</w:t>
      </w:r>
    </w:p>
    <w:p w14:paraId="2D1113A8" w14:textId="52DDED27" w:rsidR="005C744B" w:rsidRPr="004B0C8D" w:rsidRDefault="00000000" w:rsidP="009D0429">
      <w:pPr>
        <w:pStyle w:val="JuPara"/>
      </w:pPr>
      <w:fldSimple w:instr=" SEQ level0 \*arabic ">
        <w:r w:rsidR="00531673" w:rsidRPr="004B0C8D">
          <w:rPr>
            <w:noProof/>
          </w:rPr>
          <w:t>108</w:t>
        </w:r>
      </w:fldSimple>
      <w:r w:rsidRPr="004B0C8D">
        <w:t>.  Zgodnie z orzecznictwem Trybunału skarżącemu przysługuje prawo do zwrotu kosztów i wydatków</w:t>
      </w:r>
      <w:r w:rsidR="003454B4">
        <w:t xml:space="preserve"> tylko</w:t>
      </w:r>
      <w:r w:rsidRPr="004B0C8D">
        <w:t xml:space="preserve"> wówczas, gdy wykazał, że </w:t>
      </w:r>
      <w:r w:rsidR="00C55A16">
        <w:t>zostały</w:t>
      </w:r>
      <w:r w:rsidR="00C55A16" w:rsidRPr="004B0C8D">
        <w:t xml:space="preserve"> </w:t>
      </w:r>
      <w:r w:rsidRPr="004B0C8D">
        <w:t xml:space="preserve">one rzeczywiście i koniecznie poniesione oraz że są uzasadnione co do </w:t>
      </w:r>
      <w:r w:rsidR="00C55A16">
        <w:t>kwoty</w:t>
      </w:r>
      <w:r w:rsidRPr="004B0C8D">
        <w:t xml:space="preserve">. Trybunał zauważa ponadto, że Reguła 60 §§ 2 i 3 Regulaminu Trybunału wymaga, aby skarżący przedstawił szczegółowe dane </w:t>
      </w:r>
      <w:r w:rsidR="00C55A16">
        <w:t>co do</w:t>
      </w:r>
      <w:r w:rsidR="00C55A16" w:rsidRPr="004B0C8D">
        <w:t xml:space="preserve"> </w:t>
      </w:r>
      <w:r w:rsidRPr="004B0C8D">
        <w:t xml:space="preserve">wszystkich roszczeń, wraz z wszelkimi odpowiednimi dokumentami </w:t>
      </w:r>
      <w:r w:rsidR="00C55A16">
        <w:t>potwierdzającymi</w:t>
      </w:r>
      <w:r w:rsidRPr="004B0C8D">
        <w:t xml:space="preserve">, pod rygorem odrzucenia roszczeń przez Trybunał w całości lub w części. W niniejszej sprawie, biorąc pod uwagę, że skarżąca nie przedstawiła żadnych dokumentów na poparcie swojego roszczenia, Trybunał postanawia odrzucić je w całości (zob. </w:t>
      </w:r>
      <w:r w:rsidRPr="004B0C8D">
        <w:rPr>
          <w:i/>
          <w:iCs/>
        </w:rPr>
        <w:t>Paksas przeciwko Litwie</w:t>
      </w:r>
      <w:r w:rsidRPr="004B0C8D">
        <w:t xml:space="preserve"> [WI], nr</w:t>
      </w:r>
      <w:r w:rsidR="003454B4">
        <w:t> </w:t>
      </w:r>
      <w:r w:rsidRPr="004B0C8D">
        <w:t xml:space="preserve">34932/04, </w:t>
      </w:r>
      <w:r w:rsidR="00DC08FC">
        <w:t>pkt </w:t>
      </w:r>
      <w:r w:rsidRPr="004B0C8D">
        <w:t>122, ETPC 2011 (fragmenty)).</w:t>
      </w:r>
    </w:p>
    <w:p w14:paraId="032BEB54" w14:textId="26DFC16B" w:rsidR="005C744B" w:rsidRPr="004B0C8D" w:rsidRDefault="00000000" w:rsidP="009D0429">
      <w:pPr>
        <w:pStyle w:val="JuHHead"/>
        <w:numPr>
          <w:ilvl w:val="0"/>
          <w:numId w:val="1"/>
        </w:numPr>
        <w:ind w:left="360" w:hanging="360"/>
      </w:pPr>
      <w:r w:rsidRPr="004B0C8D">
        <w:t xml:space="preserve">Z </w:t>
      </w:r>
      <w:r w:rsidR="009C51EF">
        <w:t>TYCH</w:t>
      </w:r>
      <w:r w:rsidR="009C51EF" w:rsidRPr="004B0C8D">
        <w:t xml:space="preserve"> </w:t>
      </w:r>
      <w:r w:rsidRPr="004B0C8D">
        <w:t>WZGLĘDÓW TRYBUNAŁ JEDNOGŁOŚNIE</w:t>
      </w:r>
    </w:p>
    <w:p w14:paraId="46EF9A15" w14:textId="77777777" w:rsidR="00C20734" w:rsidRPr="004B0C8D" w:rsidRDefault="00000000" w:rsidP="009D0429">
      <w:pPr>
        <w:pStyle w:val="JuList"/>
      </w:pPr>
      <w:r w:rsidRPr="004B0C8D">
        <w:rPr>
          <w:i/>
          <w:iCs/>
        </w:rPr>
        <w:t>uznaje</w:t>
      </w:r>
      <w:r w:rsidRPr="004B0C8D">
        <w:t xml:space="preserve"> skargę za dopuszczalną;</w:t>
      </w:r>
    </w:p>
    <w:p w14:paraId="70F6E3AE" w14:textId="4D5777C7" w:rsidR="00C20734" w:rsidRPr="004B0C8D" w:rsidRDefault="00E12CD3" w:rsidP="009D0429">
      <w:pPr>
        <w:pStyle w:val="JuList"/>
      </w:pPr>
      <w:r>
        <w:rPr>
          <w:i/>
          <w:iCs/>
        </w:rPr>
        <w:t>stwierdza</w:t>
      </w:r>
      <w:r w:rsidRPr="004B0C8D">
        <w:t>, że doszło do naruszenia art. 8 Konwencji w związku z</w:t>
      </w:r>
      <w:r w:rsidR="008A0F80">
        <w:t> </w:t>
      </w:r>
      <w:r w:rsidRPr="004B0C8D">
        <w:t>ujawnieniem rozmowy telefonicznej skarżącej;</w:t>
      </w:r>
    </w:p>
    <w:p w14:paraId="4A898910" w14:textId="64B8D3FD" w:rsidR="005C744B" w:rsidRPr="004B0C8D" w:rsidRDefault="00E12CD3" w:rsidP="009D0429">
      <w:pPr>
        <w:pStyle w:val="JuList"/>
      </w:pPr>
      <w:r>
        <w:rPr>
          <w:i/>
          <w:iCs/>
        </w:rPr>
        <w:t>stwierdza</w:t>
      </w:r>
      <w:r w:rsidRPr="004B0C8D">
        <w:t>, że doszło do naruszenia art. 8 Konwencji w związku z</w:t>
      </w:r>
      <w:r w:rsidR="008A0F80">
        <w:t> </w:t>
      </w:r>
      <w:r w:rsidRPr="004B0C8D">
        <w:t>przechowywaniem danych uzyskanych podczas tajnej inwigilacji;</w:t>
      </w:r>
    </w:p>
    <w:p w14:paraId="195C1896" w14:textId="71B47970" w:rsidR="005C744B" w:rsidRPr="004B0C8D" w:rsidRDefault="00E12CD3" w:rsidP="009D0429">
      <w:pPr>
        <w:pStyle w:val="JuList"/>
      </w:pPr>
      <w:r>
        <w:rPr>
          <w:i/>
          <w:iCs/>
        </w:rPr>
        <w:t>stwierdza</w:t>
      </w:r>
      <w:r w:rsidRPr="004B0C8D">
        <w:t xml:space="preserve">, że nie ma potrzeby </w:t>
      </w:r>
      <w:r w:rsidR="009C51EF">
        <w:t>badania</w:t>
      </w:r>
      <w:r w:rsidR="009C51EF" w:rsidRPr="004B0C8D">
        <w:t xml:space="preserve"> </w:t>
      </w:r>
      <w:r w:rsidRPr="004B0C8D">
        <w:t xml:space="preserve">skargi </w:t>
      </w:r>
      <w:r w:rsidR="009C51EF">
        <w:t>odnośnie do</w:t>
      </w:r>
      <w:r w:rsidRPr="004B0C8D">
        <w:t xml:space="preserve"> art. 13 Konwencji;</w:t>
      </w:r>
    </w:p>
    <w:p w14:paraId="7D27E9F0" w14:textId="77777777" w:rsidR="005C744B" w:rsidRPr="004B0C8D" w:rsidRDefault="00000000" w:rsidP="009D0429">
      <w:pPr>
        <w:pStyle w:val="JuList"/>
        <w:keepNext/>
        <w:keepLines/>
      </w:pPr>
      <w:r w:rsidRPr="004B0C8D">
        <w:rPr>
          <w:i/>
          <w:iCs/>
        </w:rPr>
        <w:lastRenderedPageBreak/>
        <w:t>stwierdza</w:t>
      </w:r>
    </w:p>
    <w:p w14:paraId="7F4685E8" w14:textId="33A3A8C3" w:rsidR="005C744B" w:rsidRPr="004B0C8D" w:rsidRDefault="00000000" w:rsidP="009D0429">
      <w:pPr>
        <w:pStyle w:val="JuLista"/>
        <w:keepNext/>
        <w:keepLines/>
        <w:numPr>
          <w:ilvl w:val="1"/>
          <w:numId w:val="3"/>
        </w:numPr>
      </w:pPr>
      <w:r w:rsidRPr="004B0C8D">
        <w:t>że pozwane państwo winno</w:t>
      </w:r>
      <w:r w:rsidR="009C51EF" w:rsidRPr="009C51EF">
        <w:t xml:space="preserve"> </w:t>
      </w:r>
      <w:r w:rsidR="009C51EF" w:rsidRPr="004B0C8D">
        <w:t>uiścić na rzecz skarżącej</w:t>
      </w:r>
      <w:r w:rsidRPr="004B0C8D">
        <w:t>, w terminie trzech miesięcy od daty, w</w:t>
      </w:r>
      <w:r w:rsidR="008A0F80">
        <w:t> </w:t>
      </w:r>
      <w:r w:rsidRPr="004B0C8D">
        <w:t>której niniejszy wyrok stanie się ostateczny zgodnie z art. 44 ust. 2 Konwencji, kwotę 5</w:t>
      </w:r>
      <w:r w:rsidR="00870ABE">
        <w:t> </w:t>
      </w:r>
      <w:r w:rsidRPr="004B0C8D">
        <w:t>000</w:t>
      </w:r>
      <w:r w:rsidR="00870ABE">
        <w:t> </w:t>
      </w:r>
      <w:r w:rsidRPr="004B0C8D">
        <w:t>EUR (pięć tysięcy euro), przeliczoną na walutę pozwanego państwa według kursu obowiązującego w dniu płatności, tytułem zadośćuczynienia za szkodę niemajątkową</w:t>
      </w:r>
      <w:r w:rsidR="00E12CD3">
        <w:t>;</w:t>
      </w:r>
    </w:p>
    <w:p w14:paraId="4F8C20DF" w14:textId="288E0A0C" w:rsidR="005C744B" w:rsidRPr="004B0C8D" w:rsidRDefault="00000000" w:rsidP="009D0429">
      <w:pPr>
        <w:pStyle w:val="JuLista"/>
        <w:numPr>
          <w:ilvl w:val="1"/>
          <w:numId w:val="3"/>
        </w:numPr>
      </w:pPr>
      <w:r w:rsidRPr="004B0C8D">
        <w:t>że</w:t>
      </w:r>
      <w:r w:rsidR="00E430DE">
        <w:t>,</w:t>
      </w:r>
      <w:r w:rsidRPr="004B0C8D">
        <w:t xml:space="preserve"> od upływu wyżej wskazanego terminu trzech miesięcy aż do momentu uregulowania należności, </w:t>
      </w:r>
      <w:r w:rsidR="009C51EF">
        <w:t>płatne</w:t>
      </w:r>
      <w:r w:rsidR="009C51EF" w:rsidRPr="004B0C8D">
        <w:t xml:space="preserve"> </w:t>
      </w:r>
      <w:r w:rsidRPr="004B0C8D">
        <w:t>będą odsetki zwykłe od określonej powyżej kwoty, naliczone według stopy równej marginalnej stopie procentowej Europejskiego Banku Centralnego obowiązującej w tym okresie, powiększonej o trzy punkty procentowe;</w:t>
      </w:r>
    </w:p>
    <w:p w14:paraId="4DD5F423" w14:textId="58BC7278" w:rsidR="004D0EC7" w:rsidRPr="004B0C8D" w:rsidRDefault="00000000" w:rsidP="009D0429">
      <w:pPr>
        <w:pStyle w:val="JuList"/>
        <w:numPr>
          <w:ilvl w:val="0"/>
          <w:numId w:val="3"/>
        </w:numPr>
      </w:pPr>
      <w:r w:rsidRPr="004B0C8D">
        <w:rPr>
          <w:i/>
        </w:rPr>
        <w:t xml:space="preserve">oddala </w:t>
      </w:r>
      <w:r w:rsidRPr="004B0C8D">
        <w:t xml:space="preserve">pozostałą część żądania </w:t>
      </w:r>
      <w:r w:rsidR="00E430DE" w:rsidRPr="004B0C8D">
        <w:t>skarżące</w:t>
      </w:r>
      <w:r w:rsidR="00E430DE">
        <w:t>j</w:t>
      </w:r>
      <w:r w:rsidR="00E430DE" w:rsidRPr="004B0C8D">
        <w:t xml:space="preserve"> </w:t>
      </w:r>
      <w:r w:rsidRPr="004B0C8D">
        <w:t>o słuszne zadośćuczynienie.</w:t>
      </w:r>
    </w:p>
    <w:p w14:paraId="2403B67D" w14:textId="65729B73" w:rsidR="008E3A08" w:rsidRPr="004B0C8D" w:rsidRDefault="00000000" w:rsidP="009D0429">
      <w:pPr>
        <w:pStyle w:val="JuParaLast"/>
      </w:pPr>
      <w:r w:rsidRPr="004B0C8D">
        <w:t xml:space="preserve">Sporządzono w języku angielskim i obwieszczono pisemnie w dniu </w:t>
      </w:r>
      <w:r w:rsidRPr="004B0C8D">
        <w:rPr>
          <w:rFonts w:ascii="Times New Roman" w:hAnsi="Times New Roman"/>
        </w:rPr>
        <w:t>22</w:t>
      </w:r>
      <w:r w:rsidR="00E430DE">
        <w:rPr>
          <w:rFonts w:ascii="Times New Roman" w:hAnsi="Times New Roman"/>
        </w:rPr>
        <w:t> </w:t>
      </w:r>
      <w:r w:rsidRPr="004B0C8D">
        <w:rPr>
          <w:rFonts w:ascii="Times New Roman" w:hAnsi="Times New Roman"/>
        </w:rPr>
        <w:t>lutego 2024 r.</w:t>
      </w:r>
      <w:r w:rsidRPr="004B0C8D">
        <w:t>, zgodnie z Regułą 77 §</w:t>
      </w:r>
      <w:r w:rsidR="00E430DE" w:rsidRPr="009D0429">
        <w:t>§</w:t>
      </w:r>
      <w:r w:rsidR="00E430DE">
        <w:t> </w:t>
      </w:r>
      <w:r w:rsidRPr="004B0C8D">
        <w:t>2 i 3 Regulaminu Trybunału.</w:t>
      </w:r>
    </w:p>
    <w:p w14:paraId="3D7C8FBC" w14:textId="77777777" w:rsidR="007E79A4" w:rsidRPr="004B0C8D" w:rsidRDefault="00000000" w:rsidP="009D0429">
      <w:pPr>
        <w:pStyle w:val="ECHRPlaceholder"/>
        <w:rPr>
          <w:szCs w:val="22"/>
        </w:rPr>
      </w:pPr>
      <w:r w:rsidRPr="004B0C8D">
        <w:tab/>
      </w:r>
    </w:p>
    <w:p w14:paraId="6EA2ED38" w14:textId="03C0F2FE" w:rsidR="00182EBA" w:rsidRPr="004B0C8D" w:rsidRDefault="00000000" w:rsidP="009D0429">
      <w:pPr>
        <w:pStyle w:val="JuSigned"/>
      </w:pPr>
      <w:r w:rsidRPr="004B0C8D">
        <w:tab/>
      </w:r>
      <w:proofErr w:type="spellStart"/>
      <w:r w:rsidR="00E430DE" w:rsidRPr="009D0429">
        <w:t>Ilse</w:t>
      </w:r>
      <w:proofErr w:type="spellEnd"/>
      <w:r w:rsidR="00E430DE" w:rsidRPr="009D0429">
        <w:t xml:space="preserve"> </w:t>
      </w:r>
      <w:proofErr w:type="spellStart"/>
      <w:r w:rsidR="00E430DE" w:rsidRPr="009D0429">
        <w:t>Freiwirth</w:t>
      </w:r>
      <w:proofErr w:type="spellEnd"/>
      <w:r w:rsidR="00E430DE" w:rsidRPr="009D0429">
        <w:tab/>
        <w:t xml:space="preserve">Marko </w:t>
      </w:r>
      <w:proofErr w:type="spellStart"/>
      <w:r w:rsidR="00E430DE" w:rsidRPr="009D0429">
        <w:t>Bošnjak</w:t>
      </w:r>
      <w:proofErr w:type="spellEnd"/>
      <w:r w:rsidR="00E430DE" w:rsidRPr="009D0429">
        <w:br/>
      </w:r>
      <w:r w:rsidR="00E430DE" w:rsidRPr="009D0429">
        <w:tab/>
      </w:r>
      <w:r w:rsidR="00E430DE">
        <w:rPr>
          <w:iCs/>
        </w:rPr>
        <w:t>Kanclerz</w:t>
      </w:r>
      <w:r w:rsidR="00E430DE" w:rsidRPr="009D0429">
        <w:tab/>
      </w:r>
      <w:r w:rsidR="00E430DE">
        <w:t>Przewodniczący</w:t>
      </w:r>
    </w:p>
    <w:sectPr w:rsidR="00182EBA" w:rsidRPr="004B0C8D" w:rsidSect="00DD78A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153B2" w14:textId="77777777" w:rsidR="00DD78A5" w:rsidRDefault="00DD78A5">
      <w:r>
        <w:separator/>
      </w:r>
    </w:p>
  </w:endnote>
  <w:endnote w:type="continuationSeparator" w:id="0">
    <w:p w14:paraId="61B322B6" w14:textId="77777777" w:rsidR="00DD78A5" w:rsidRDefault="00DD7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191BD" w14:textId="77777777" w:rsidR="005C744B" w:rsidRDefault="005C744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A452" w14:textId="77777777" w:rsidR="005C744B" w:rsidRPr="00150BFA" w:rsidRDefault="00000000" w:rsidP="0020718E">
    <w:pPr>
      <w:jc w:val="center"/>
    </w:pPr>
    <w:r>
      <w:rPr>
        <w:noProof/>
      </w:rPr>
      <w:drawing>
        <wp:inline distT="0" distB="0" distL="0" distR="0" wp14:anchorId="2484BC14" wp14:editId="13300E2E">
          <wp:extent cx="771525" cy="619125"/>
          <wp:effectExtent l="0" t="0" r="9525" b="9525"/>
          <wp:docPr id="641151386"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73DAD4A" w14:textId="77777777"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CDFB4" w14:textId="77777777" w:rsidR="005C744B" w:rsidRPr="00150BFA" w:rsidRDefault="00000000" w:rsidP="0020718E">
    <w:pPr>
      <w:jc w:val="center"/>
    </w:pPr>
    <w:r>
      <w:rPr>
        <w:noProof/>
      </w:rPr>
      <w:drawing>
        <wp:inline distT="0" distB="0" distL="0" distR="0" wp14:anchorId="3B242F15" wp14:editId="762F07D3">
          <wp:extent cx="771525" cy="619125"/>
          <wp:effectExtent l="0" t="0" r="9525" b="9525"/>
          <wp:docPr id="1927559808"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C0F056F"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7BF89" w14:textId="77777777" w:rsidR="00182EBA" w:rsidRDefault="00000000"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8F355" w14:textId="77777777" w:rsidR="00182EBA" w:rsidRPr="000B7195" w:rsidRDefault="00000000" w:rsidP="007D3701">
    <w:pPr>
      <w:pStyle w:val="JuHeader"/>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39384" w14:textId="77777777" w:rsidR="00DD78A5" w:rsidRDefault="00DD78A5">
      <w:r>
        <w:separator/>
      </w:r>
    </w:p>
  </w:footnote>
  <w:footnote w:type="continuationSeparator" w:id="0">
    <w:p w14:paraId="5957EA38" w14:textId="77777777" w:rsidR="00DD78A5" w:rsidRDefault="00DD7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7FDEF" w14:textId="77777777" w:rsidR="005C744B" w:rsidRDefault="005C74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84F0D" w14:textId="77777777" w:rsidR="005C744B" w:rsidRPr="00A45145" w:rsidRDefault="00000000" w:rsidP="00A45145">
    <w:pPr>
      <w:jc w:val="center"/>
    </w:pPr>
    <w:r>
      <w:rPr>
        <w:noProof/>
      </w:rPr>
      <w:drawing>
        <wp:inline distT="0" distB="0" distL="0" distR="0" wp14:anchorId="58F64160" wp14:editId="7A36D48A">
          <wp:extent cx="2962275" cy="1219200"/>
          <wp:effectExtent l="0" t="0" r="9525" b="0"/>
          <wp:docPr id="213368138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33D8064" w14:textId="7777777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5825F" w14:textId="77777777" w:rsidR="005C744B" w:rsidRPr="00A45145" w:rsidRDefault="00000000" w:rsidP="00A45145">
    <w:pPr>
      <w:jc w:val="center"/>
    </w:pPr>
    <w:r>
      <w:rPr>
        <w:noProof/>
      </w:rPr>
      <w:drawing>
        <wp:inline distT="0" distB="0" distL="0" distR="0" wp14:anchorId="359CB60E" wp14:editId="58010B87">
          <wp:extent cx="2962275" cy="1219200"/>
          <wp:effectExtent l="0" t="0" r="9525" b="0"/>
          <wp:docPr id="611908917"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0675DC3"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4C742" w14:textId="77777777" w:rsidR="00182EBA" w:rsidRPr="004D0EC7" w:rsidRDefault="00000000" w:rsidP="004D0EC7">
    <w:pPr>
      <w:pStyle w:val="JuHeader"/>
    </w:pPr>
    <w:r>
      <w:t>WYROK W SPRAWIE KACZMAREK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7AE6C" w14:textId="77777777" w:rsidR="00182EBA" w:rsidRPr="00882CD5" w:rsidRDefault="00000000" w:rsidP="007D3701">
    <w:pPr>
      <w:pStyle w:val="JuHeader"/>
    </w:pPr>
    <w:r>
      <w:t>WYROK W SPRAWIE KACZMAREK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F550812A">
      <w:start w:val="1"/>
      <w:numFmt w:val="bullet"/>
      <w:pStyle w:val="Listapunktowana"/>
      <w:lvlText w:val=""/>
      <w:lvlJc w:val="left"/>
      <w:pPr>
        <w:tabs>
          <w:tab w:val="num" w:pos="851"/>
        </w:tabs>
        <w:ind w:left="568" w:firstLine="0"/>
      </w:pPr>
      <w:rPr>
        <w:rFonts w:ascii="Wingdings" w:hAnsi="Wingdings" w:hint="default"/>
        <w:color w:val="808080"/>
        <w:sz w:val="16"/>
      </w:rPr>
    </w:lvl>
    <w:lvl w:ilvl="1" w:tplc="CC7E9B84" w:tentative="1">
      <w:start w:val="1"/>
      <w:numFmt w:val="bullet"/>
      <w:lvlText w:val="o"/>
      <w:lvlJc w:val="left"/>
      <w:pPr>
        <w:tabs>
          <w:tab w:val="num" w:pos="1724"/>
        </w:tabs>
        <w:ind w:left="1724" w:hanging="360"/>
      </w:pPr>
      <w:rPr>
        <w:rFonts w:ascii="Courier New" w:hAnsi="Courier New" w:cs="Courier New" w:hint="default"/>
      </w:rPr>
    </w:lvl>
    <w:lvl w:ilvl="2" w:tplc="BA666F12" w:tentative="1">
      <w:start w:val="1"/>
      <w:numFmt w:val="bullet"/>
      <w:lvlText w:val=""/>
      <w:lvlJc w:val="left"/>
      <w:pPr>
        <w:tabs>
          <w:tab w:val="num" w:pos="2444"/>
        </w:tabs>
        <w:ind w:left="2444" w:hanging="360"/>
      </w:pPr>
      <w:rPr>
        <w:rFonts w:ascii="Wingdings" w:hAnsi="Wingdings" w:hint="default"/>
      </w:rPr>
    </w:lvl>
    <w:lvl w:ilvl="3" w:tplc="72DA9C50" w:tentative="1">
      <w:start w:val="1"/>
      <w:numFmt w:val="bullet"/>
      <w:lvlText w:val=""/>
      <w:lvlJc w:val="left"/>
      <w:pPr>
        <w:tabs>
          <w:tab w:val="num" w:pos="3164"/>
        </w:tabs>
        <w:ind w:left="3164" w:hanging="360"/>
      </w:pPr>
      <w:rPr>
        <w:rFonts w:ascii="Symbol" w:hAnsi="Symbol" w:hint="default"/>
      </w:rPr>
    </w:lvl>
    <w:lvl w:ilvl="4" w:tplc="39CCAD5A" w:tentative="1">
      <w:start w:val="1"/>
      <w:numFmt w:val="bullet"/>
      <w:lvlText w:val="o"/>
      <w:lvlJc w:val="left"/>
      <w:pPr>
        <w:tabs>
          <w:tab w:val="num" w:pos="3884"/>
        </w:tabs>
        <w:ind w:left="3884" w:hanging="360"/>
      </w:pPr>
      <w:rPr>
        <w:rFonts w:ascii="Courier New" w:hAnsi="Courier New" w:cs="Courier New" w:hint="default"/>
      </w:rPr>
    </w:lvl>
    <w:lvl w:ilvl="5" w:tplc="D922A32C" w:tentative="1">
      <w:start w:val="1"/>
      <w:numFmt w:val="bullet"/>
      <w:lvlText w:val=""/>
      <w:lvlJc w:val="left"/>
      <w:pPr>
        <w:tabs>
          <w:tab w:val="num" w:pos="4604"/>
        </w:tabs>
        <w:ind w:left="4604" w:hanging="360"/>
      </w:pPr>
      <w:rPr>
        <w:rFonts w:ascii="Wingdings" w:hAnsi="Wingdings" w:hint="default"/>
      </w:rPr>
    </w:lvl>
    <w:lvl w:ilvl="6" w:tplc="80C0E61A" w:tentative="1">
      <w:start w:val="1"/>
      <w:numFmt w:val="bullet"/>
      <w:lvlText w:val=""/>
      <w:lvlJc w:val="left"/>
      <w:pPr>
        <w:tabs>
          <w:tab w:val="num" w:pos="5324"/>
        </w:tabs>
        <w:ind w:left="5324" w:hanging="360"/>
      </w:pPr>
      <w:rPr>
        <w:rFonts w:ascii="Symbol" w:hAnsi="Symbol" w:hint="default"/>
      </w:rPr>
    </w:lvl>
    <w:lvl w:ilvl="7" w:tplc="183CFC20" w:tentative="1">
      <w:start w:val="1"/>
      <w:numFmt w:val="bullet"/>
      <w:lvlText w:val="o"/>
      <w:lvlJc w:val="left"/>
      <w:pPr>
        <w:tabs>
          <w:tab w:val="num" w:pos="6044"/>
        </w:tabs>
        <w:ind w:left="6044" w:hanging="360"/>
      </w:pPr>
      <w:rPr>
        <w:rFonts w:ascii="Courier New" w:hAnsi="Courier New" w:cs="Courier New" w:hint="default"/>
      </w:rPr>
    </w:lvl>
    <w:lvl w:ilvl="8" w:tplc="E1D65794"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737509104">
    <w:abstractNumId w:val="18"/>
  </w:num>
  <w:num w:numId="2" w16cid:durableId="1098677445">
    <w:abstractNumId w:val="10"/>
  </w:num>
  <w:num w:numId="3" w16cid:durableId="1050497729">
    <w:abstractNumId w:val="9"/>
  </w:num>
  <w:num w:numId="4" w16cid:durableId="1712194720">
    <w:abstractNumId w:val="14"/>
  </w:num>
  <w:num w:numId="5" w16cid:durableId="292713547">
    <w:abstractNumId w:val="12"/>
  </w:num>
  <w:num w:numId="6" w16cid:durableId="10499822">
    <w:abstractNumId w:val="11"/>
  </w:num>
  <w:num w:numId="7" w16cid:durableId="1950815281">
    <w:abstractNumId w:val="17"/>
  </w:num>
  <w:num w:numId="8" w16cid:durableId="1220895438">
    <w:abstractNumId w:val="7"/>
  </w:num>
  <w:num w:numId="9" w16cid:durableId="1301350850">
    <w:abstractNumId w:val="6"/>
  </w:num>
  <w:num w:numId="10" w16cid:durableId="1103573747">
    <w:abstractNumId w:val="5"/>
  </w:num>
  <w:num w:numId="11" w16cid:durableId="237793110">
    <w:abstractNumId w:val="4"/>
  </w:num>
  <w:num w:numId="12" w16cid:durableId="1825127428">
    <w:abstractNumId w:val="8"/>
  </w:num>
  <w:num w:numId="13" w16cid:durableId="749038858">
    <w:abstractNumId w:val="3"/>
  </w:num>
  <w:num w:numId="14" w16cid:durableId="302320816">
    <w:abstractNumId w:val="2"/>
  </w:num>
  <w:num w:numId="15" w16cid:durableId="326982132">
    <w:abstractNumId w:val="1"/>
  </w:num>
  <w:num w:numId="16" w16cid:durableId="1230530960">
    <w:abstractNumId w:val="0"/>
  </w:num>
  <w:num w:numId="17" w16cid:durableId="262805303">
    <w:abstractNumId w:val="15"/>
  </w:num>
  <w:num w:numId="18" w16cid:durableId="1131752823">
    <w:abstractNumId w:val="13"/>
  </w:num>
  <w:num w:numId="19" w16cid:durableId="903687407">
    <w:abstractNumId w:val="16"/>
  </w:num>
  <w:num w:numId="20" w16cid:durableId="656151728">
    <w:abstractNumId w:val="15"/>
  </w:num>
  <w:num w:numId="21" w16cid:durableId="171840059">
    <w:abstractNumId w:val="16"/>
  </w:num>
  <w:num w:numId="22" w16cid:durableId="1034770070">
    <w:abstractNumId w:val="10"/>
  </w:num>
  <w:num w:numId="23" w16cid:durableId="21531625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5C744B"/>
    <w:rsid w:val="000041F8"/>
    <w:rsid w:val="000042A8"/>
    <w:rsid w:val="00004308"/>
    <w:rsid w:val="00004A90"/>
    <w:rsid w:val="00005BF0"/>
    <w:rsid w:val="0000617D"/>
    <w:rsid w:val="00007154"/>
    <w:rsid w:val="000103AE"/>
    <w:rsid w:val="00011D69"/>
    <w:rsid w:val="000126D7"/>
    <w:rsid w:val="00012AD3"/>
    <w:rsid w:val="00015C2D"/>
    <w:rsid w:val="00015F00"/>
    <w:rsid w:val="00017FCA"/>
    <w:rsid w:val="00022C1D"/>
    <w:rsid w:val="0002432A"/>
    <w:rsid w:val="0002592F"/>
    <w:rsid w:val="00025CEF"/>
    <w:rsid w:val="00031428"/>
    <w:rsid w:val="00033094"/>
    <w:rsid w:val="00034987"/>
    <w:rsid w:val="0003784D"/>
    <w:rsid w:val="00041560"/>
    <w:rsid w:val="000602DF"/>
    <w:rsid w:val="00061B05"/>
    <w:rsid w:val="000632D5"/>
    <w:rsid w:val="000644EE"/>
    <w:rsid w:val="000712E3"/>
    <w:rsid w:val="0007551C"/>
    <w:rsid w:val="0007780A"/>
    <w:rsid w:val="00085457"/>
    <w:rsid w:val="000858A5"/>
    <w:rsid w:val="00086C88"/>
    <w:rsid w:val="000909C0"/>
    <w:rsid w:val="000925AD"/>
    <w:rsid w:val="00092D04"/>
    <w:rsid w:val="00096FE1"/>
    <w:rsid w:val="00097A62"/>
    <w:rsid w:val="000A24EB"/>
    <w:rsid w:val="000B686A"/>
    <w:rsid w:val="000B6923"/>
    <w:rsid w:val="000B7195"/>
    <w:rsid w:val="000C0BC9"/>
    <w:rsid w:val="000C5F3C"/>
    <w:rsid w:val="000C6DCC"/>
    <w:rsid w:val="000D07BD"/>
    <w:rsid w:val="000D11B9"/>
    <w:rsid w:val="000D28D7"/>
    <w:rsid w:val="000D47AA"/>
    <w:rsid w:val="000D721F"/>
    <w:rsid w:val="000E069B"/>
    <w:rsid w:val="000E0E82"/>
    <w:rsid w:val="000E1DC5"/>
    <w:rsid w:val="000E21D5"/>
    <w:rsid w:val="000E223F"/>
    <w:rsid w:val="000E46B8"/>
    <w:rsid w:val="000E7D45"/>
    <w:rsid w:val="000F52F4"/>
    <w:rsid w:val="000F7851"/>
    <w:rsid w:val="00101505"/>
    <w:rsid w:val="00104E23"/>
    <w:rsid w:val="00110DA8"/>
    <w:rsid w:val="00111B0C"/>
    <w:rsid w:val="001141BB"/>
    <w:rsid w:val="00117549"/>
    <w:rsid w:val="00120D6C"/>
    <w:rsid w:val="00122225"/>
    <w:rsid w:val="001257EC"/>
    <w:rsid w:val="00130037"/>
    <w:rsid w:val="00133D33"/>
    <w:rsid w:val="00134B6A"/>
    <w:rsid w:val="00134D64"/>
    <w:rsid w:val="00135A30"/>
    <w:rsid w:val="0013612C"/>
    <w:rsid w:val="001370D0"/>
    <w:rsid w:val="00137FF6"/>
    <w:rsid w:val="00140F23"/>
    <w:rsid w:val="00141650"/>
    <w:rsid w:val="00150BFA"/>
    <w:rsid w:val="001561B6"/>
    <w:rsid w:val="0016179D"/>
    <w:rsid w:val="00162A12"/>
    <w:rsid w:val="00166530"/>
    <w:rsid w:val="00170027"/>
    <w:rsid w:val="00182EBA"/>
    <w:rsid w:val="001832BD"/>
    <w:rsid w:val="001943B5"/>
    <w:rsid w:val="00195134"/>
    <w:rsid w:val="001A020C"/>
    <w:rsid w:val="001A145B"/>
    <w:rsid w:val="001A3E09"/>
    <w:rsid w:val="001A674C"/>
    <w:rsid w:val="001B1FB8"/>
    <w:rsid w:val="001B3B24"/>
    <w:rsid w:val="001C055B"/>
    <w:rsid w:val="001C0F98"/>
    <w:rsid w:val="001C2A42"/>
    <w:rsid w:val="001C3167"/>
    <w:rsid w:val="001D63ED"/>
    <w:rsid w:val="001D7348"/>
    <w:rsid w:val="001E035B"/>
    <w:rsid w:val="001E0961"/>
    <w:rsid w:val="001E1E69"/>
    <w:rsid w:val="001E220C"/>
    <w:rsid w:val="001E3EAE"/>
    <w:rsid w:val="001E6857"/>
    <w:rsid w:val="001E6F32"/>
    <w:rsid w:val="001E7A61"/>
    <w:rsid w:val="001F0DB7"/>
    <w:rsid w:val="001F13E1"/>
    <w:rsid w:val="001F2145"/>
    <w:rsid w:val="001F3F29"/>
    <w:rsid w:val="001F6262"/>
    <w:rsid w:val="001F67B0"/>
    <w:rsid w:val="001F7B3D"/>
    <w:rsid w:val="00202752"/>
    <w:rsid w:val="0020335A"/>
    <w:rsid w:val="002052BC"/>
    <w:rsid w:val="00205F9F"/>
    <w:rsid w:val="0020718E"/>
    <w:rsid w:val="00210338"/>
    <w:rsid w:val="002115FC"/>
    <w:rsid w:val="0021227F"/>
    <w:rsid w:val="0021423C"/>
    <w:rsid w:val="00224E99"/>
    <w:rsid w:val="00225CF2"/>
    <w:rsid w:val="00226C89"/>
    <w:rsid w:val="00230D00"/>
    <w:rsid w:val="00231DF7"/>
    <w:rsid w:val="00231FD1"/>
    <w:rsid w:val="002339E0"/>
    <w:rsid w:val="00233CF8"/>
    <w:rsid w:val="0023575D"/>
    <w:rsid w:val="00237148"/>
    <w:rsid w:val="002417B5"/>
    <w:rsid w:val="0024222D"/>
    <w:rsid w:val="002422B6"/>
    <w:rsid w:val="00242D3F"/>
    <w:rsid w:val="00244B0E"/>
    <w:rsid w:val="00244F6C"/>
    <w:rsid w:val="00246B89"/>
    <w:rsid w:val="00247F4E"/>
    <w:rsid w:val="00252B89"/>
    <w:rsid w:val="00252C4E"/>
    <w:rsid w:val="002532C5"/>
    <w:rsid w:val="00253D82"/>
    <w:rsid w:val="00254DF2"/>
    <w:rsid w:val="002566E5"/>
    <w:rsid w:val="00260C03"/>
    <w:rsid w:val="0026439A"/>
    <w:rsid w:val="0026540E"/>
    <w:rsid w:val="00272144"/>
    <w:rsid w:val="00274E31"/>
    <w:rsid w:val="00275123"/>
    <w:rsid w:val="00281B7C"/>
    <w:rsid w:val="00282240"/>
    <w:rsid w:val="00282BD8"/>
    <w:rsid w:val="00283FDA"/>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34B5"/>
    <w:rsid w:val="002C4433"/>
    <w:rsid w:val="002C5ADD"/>
    <w:rsid w:val="002C638D"/>
    <w:rsid w:val="002C7826"/>
    <w:rsid w:val="002D022D"/>
    <w:rsid w:val="002D05B5"/>
    <w:rsid w:val="002D120F"/>
    <w:rsid w:val="002D1B8F"/>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04012"/>
    <w:rsid w:val="00307983"/>
    <w:rsid w:val="00312A30"/>
    <w:rsid w:val="00314011"/>
    <w:rsid w:val="003201D8"/>
    <w:rsid w:val="00320F72"/>
    <w:rsid w:val="0032463E"/>
    <w:rsid w:val="00326224"/>
    <w:rsid w:val="00337EE4"/>
    <w:rsid w:val="00340988"/>
    <w:rsid w:val="00340FFD"/>
    <w:rsid w:val="003454B4"/>
    <w:rsid w:val="00345C41"/>
    <w:rsid w:val="003506B1"/>
    <w:rsid w:val="00351735"/>
    <w:rsid w:val="003524DB"/>
    <w:rsid w:val="0035445C"/>
    <w:rsid w:val="003555D4"/>
    <w:rsid w:val="00355877"/>
    <w:rsid w:val="00356AC7"/>
    <w:rsid w:val="003609FA"/>
    <w:rsid w:val="003710C8"/>
    <w:rsid w:val="003750BE"/>
    <w:rsid w:val="003826BD"/>
    <w:rsid w:val="00385A36"/>
    <w:rsid w:val="00385F3D"/>
    <w:rsid w:val="0038740C"/>
    <w:rsid w:val="00387B9D"/>
    <w:rsid w:val="00387C70"/>
    <w:rsid w:val="00390294"/>
    <w:rsid w:val="00391B61"/>
    <w:rsid w:val="0039364F"/>
    <w:rsid w:val="00394927"/>
    <w:rsid w:val="00396351"/>
    <w:rsid w:val="00396686"/>
    <w:rsid w:val="0039778E"/>
    <w:rsid w:val="003A043E"/>
    <w:rsid w:val="003A23AB"/>
    <w:rsid w:val="003A2707"/>
    <w:rsid w:val="003A2CE6"/>
    <w:rsid w:val="003A60E3"/>
    <w:rsid w:val="003B4941"/>
    <w:rsid w:val="003C5714"/>
    <w:rsid w:val="003C6B9F"/>
    <w:rsid w:val="003C6E2A"/>
    <w:rsid w:val="003D0299"/>
    <w:rsid w:val="003D17E9"/>
    <w:rsid w:val="003D75A2"/>
    <w:rsid w:val="003E381C"/>
    <w:rsid w:val="003E691B"/>
    <w:rsid w:val="003E6D80"/>
    <w:rsid w:val="003E7BCC"/>
    <w:rsid w:val="003F05FA"/>
    <w:rsid w:val="003F244A"/>
    <w:rsid w:val="003F2517"/>
    <w:rsid w:val="003F30B8"/>
    <w:rsid w:val="003F4C45"/>
    <w:rsid w:val="003F5F7B"/>
    <w:rsid w:val="003F7D64"/>
    <w:rsid w:val="0040433A"/>
    <w:rsid w:val="0040525B"/>
    <w:rsid w:val="00414300"/>
    <w:rsid w:val="00414F27"/>
    <w:rsid w:val="0041779A"/>
    <w:rsid w:val="00420703"/>
    <w:rsid w:val="00425C67"/>
    <w:rsid w:val="004274F1"/>
    <w:rsid w:val="00427E7A"/>
    <w:rsid w:val="004355AC"/>
    <w:rsid w:val="00436917"/>
    <w:rsid w:val="00436C49"/>
    <w:rsid w:val="00442B59"/>
    <w:rsid w:val="00443D98"/>
    <w:rsid w:val="00445366"/>
    <w:rsid w:val="00447F5B"/>
    <w:rsid w:val="00461DB0"/>
    <w:rsid w:val="00462A35"/>
    <w:rsid w:val="00462AFE"/>
    <w:rsid w:val="00463926"/>
    <w:rsid w:val="00463E17"/>
    <w:rsid w:val="00464AB7"/>
    <w:rsid w:val="00464C9A"/>
    <w:rsid w:val="00473FCF"/>
    <w:rsid w:val="004745F6"/>
    <w:rsid w:val="00474F3D"/>
    <w:rsid w:val="00477E3A"/>
    <w:rsid w:val="00483E5F"/>
    <w:rsid w:val="00485FF9"/>
    <w:rsid w:val="004873DC"/>
    <w:rsid w:val="0049049B"/>
    <w:rsid w:val="004907F0"/>
    <w:rsid w:val="0049140B"/>
    <w:rsid w:val="004923A5"/>
    <w:rsid w:val="0049310E"/>
    <w:rsid w:val="004950E2"/>
    <w:rsid w:val="00496BFB"/>
    <w:rsid w:val="004A15C7"/>
    <w:rsid w:val="004A3201"/>
    <w:rsid w:val="004A7044"/>
    <w:rsid w:val="004A74BE"/>
    <w:rsid w:val="004B013B"/>
    <w:rsid w:val="004B0C8D"/>
    <w:rsid w:val="004B112B"/>
    <w:rsid w:val="004B444E"/>
    <w:rsid w:val="004C01E4"/>
    <w:rsid w:val="004C06BD"/>
    <w:rsid w:val="004C086C"/>
    <w:rsid w:val="004C1F56"/>
    <w:rsid w:val="004C27BC"/>
    <w:rsid w:val="004C6621"/>
    <w:rsid w:val="004D0EC7"/>
    <w:rsid w:val="004D15F3"/>
    <w:rsid w:val="004D3B3D"/>
    <w:rsid w:val="004D4EF1"/>
    <w:rsid w:val="004D5311"/>
    <w:rsid w:val="004D5DCC"/>
    <w:rsid w:val="004D7E45"/>
    <w:rsid w:val="004E1934"/>
    <w:rsid w:val="004E419F"/>
    <w:rsid w:val="004F10AF"/>
    <w:rsid w:val="004F11A4"/>
    <w:rsid w:val="004F2389"/>
    <w:rsid w:val="004F304D"/>
    <w:rsid w:val="004F4290"/>
    <w:rsid w:val="004F61BE"/>
    <w:rsid w:val="004F66B1"/>
    <w:rsid w:val="00503C00"/>
    <w:rsid w:val="00505F69"/>
    <w:rsid w:val="00511C07"/>
    <w:rsid w:val="005125CB"/>
    <w:rsid w:val="00512EC4"/>
    <w:rsid w:val="0051725A"/>
    <w:rsid w:val="005173A6"/>
    <w:rsid w:val="00517BB8"/>
    <w:rsid w:val="00520354"/>
    <w:rsid w:val="0052083C"/>
    <w:rsid w:val="00520BAA"/>
    <w:rsid w:val="00520D41"/>
    <w:rsid w:val="005217D8"/>
    <w:rsid w:val="00525208"/>
    <w:rsid w:val="005257A5"/>
    <w:rsid w:val="005264C0"/>
    <w:rsid w:val="00526A8A"/>
    <w:rsid w:val="0052775A"/>
    <w:rsid w:val="00527FB1"/>
    <w:rsid w:val="00530FE6"/>
    <w:rsid w:val="00531673"/>
    <w:rsid w:val="00531DF2"/>
    <w:rsid w:val="0053315C"/>
    <w:rsid w:val="00537476"/>
    <w:rsid w:val="005442EE"/>
    <w:rsid w:val="00545DA6"/>
    <w:rsid w:val="0054648C"/>
    <w:rsid w:val="00547353"/>
    <w:rsid w:val="005474E7"/>
    <w:rsid w:val="005512A3"/>
    <w:rsid w:val="005578CE"/>
    <w:rsid w:val="00560DDB"/>
    <w:rsid w:val="00562781"/>
    <w:rsid w:val="00562B6C"/>
    <w:rsid w:val="0057271C"/>
    <w:rsid w:val="00572845"/>
    <w:rsid w:val="005743DA"/>
    <w:rsid w:val="005813D5"/>
    <w:rsid w:val="00583414"/>
    <w:rsid w:val="005879A2"/>
    <w:rsid w:val="00592772"/>
    <w:rsid w:val="0059574A"/>
    <w:rsid w:val="005A1B9B"/>
    <w:rsid w:val="005A2221"/>
    <w:rsid w:val="005A2E79"/>
    <w:rsid w:val="005A313A"/>
    <w:rsid w:val="005A3A0A"/>
    <w:rsid w:val="005A6751"/>
    <w:rsid w:val="005B092E"/>
    <w:rsid w:val="005B152C"/>
    <w:rsid w:val="005B1B2D"/>
    <w:rsid w:val="005B1EE0"/>
    <w:rsid w:val="005B2B24"/>
    <w:rsid w:val="005B4425"/>
    <w:rsid w:val="005B4B94"/>
    <w:rsid w:val="005B51D1"/>
    <w:rsid w:val="005B7EDF"/>
    <w:rsid w:val="005C2C62"/>
    <w:rsid w:val="005C3EE8"/>
    <w:rsid w:val="005C5BA4"/>
    <w:rsid w:val="005C744B"/>
    <w:rsid w:val="005D1495"/>
    <w:rsid w:val="005D2F2A"/>
    <w:rsid w:val="005D34F9"/>
    <w:rsid w:val="005D4190"/>
    <w:rsid w:val="005D41A8"/>
    <w:rsid w:val="005D67A3"/>
    <w:rsid w:val="005E2988"/>
    <w:rsid w:val="005E3085"/>
    <w:rsid w:val="005E6579"/>
    <w:rsid w:val="005F0EB3"/>
    <w:rsid w:val="005F51E1"/>
    <w:rsid w:val="0060464A"/>
    <w:rsid w:val="00611C80"/>
    <w:rsid w:val="00620692"/>
    <w:rsid w:val="006242CA"/>
    <w:rsid w:val="00627507"/>
    <w:rsid w:val="00633717"/>
    <w:rsid w:val="006344E1"/>
    <w:rsid w:val="00643524"/>
    <w:rsid w:val="0064393B"/>
    <w:rsid w:val="00645CF2"/>
    <w:rsid w:val="00646073"/>
    <w:rsid w:val="006478D0"/>
    <w:rsid w:val="006545C4"/>
    <w:rsid w:val="00655AD9"/>
    <w:rsid w:val="00661971"/>
    <w:rsid w:val="00661CE8"/>
    <w:rsid w:val="006623D9"/>
    <w:rsid w:val="006642A5"/>
    <w:rsid w:val="00664317"/>
    <w:rsid w:val="0066459F"/>
    <w:rsid w:val="0066550C"/>
    <w:rsid w:val="0066560E"/>
    <w:rsid w:val="00665BD2"/>
    <w:rsid w:val="00667A34"/>
    <w:rsid w:val="006716F2"/>
    <w:rsid w:val="00672F61"/>
    <w:rsid w:val="0067524B"/>
    <w:rsid w:val="00675AF2"/>
    <w:rsid w:val="00682BF2"/>
    <w:rsid w:val="00682F31"/>
    <w:rsid w:val="00683161"/>
    <w:rsid w:val="0068573E"/>
    <w:rsid w:val="006859CE"/>
    <w:rsid w:val="00685CD3"/>
    <w:rsid w:val="00691270"/>
    <w:rsid w:val="00694BA8"/>
    <w:rsid w:val="0069704A"/>
    <w:rsid w:val="006A037C"/>
    <w:rsid w:val="006A0C84"/>
    <w:rsid w:val="006A10CA"/>
    <w:rsid w:val="006A36F4"/>
    <w:rsid w:val="006A406F"/>
    <w:rsid w:val="006A4E97"/>
    <w:rsid w:val="006A5D3A"/>
    <w:rsid w:val="006B1942"/>
    <w:rsid w:val="006C23D4"/>
    <w:rsid w:val="006C7BB0"/>
    <w:rsid w:val="006D3237"/>
    <w:rsid w:val="006E2E37"/>
    <w:rsid w:val="006E3CF1"/>
    <w:rsid w:val="006E68A3"/>
    <w:rsid w:val="006E7E80"/>
    <w:rsid w:val="006F08D3"/>
    <w:rsid w:val="006F1C2D"/>
    <w:rsid w:val="006F48CA"/>
    <w:rsid w:val="006F64DD"/>
    <w:rsid w:val="006F712D"/>
    <w:rsid w:val="00715127"/>
    <w:rsid w:val="00715E8E"/>
    <w:rsid w:val="00723580"/>
    <w:rsid w:val="00723755"/>
    <w:rsid w:val="007275A5"/>
    <w:rsid w:val="0073136C"/>
    <w:rsid w:val="00731F0F"/>
    <w:rsid w:val="00733250"/>
    <w:rsid w:val="00741404"/>
    <w:rsid w:val="007449E5"/>
    <w:rsid w:val="0074750E"/>
    <w:rsid w:val="00747FF0"/>
    <w:rsid w:val="00751066"/>
    <w:rsid w:val="007543ED"/>
    <w:rsid w:val="0075566E"/>
    <w:rsid w:val="00757B11"/>
    <w:rsid w:val="00760ADE"/>
    <w:rsid w:val="00762345"/>
    <w:rsid w:val="00763602"/>
    <w:rsid w:val="00764D4E"/>
    <w:rsid w:val="00765A1F"/>
    <w:rsid w:val="00775B6D"/>
    <w:rsid w:val="00776D68"/>
    <w:rsid w:val="00781140"/>
    <w:rsid w:val="0078323E"/>
    <w:rsid w:val="007849C2"/>
    <w:rsid w:val="007850EE"/>
    <w:rsid w:val="00785B95"/>
    <w:rsid w:val="00790E96"/>
    <w:rsid w:val="007926FD"/>
    <w:rsid w:val="00793366"/>
    <w:rsid w:val="0079411D"/>
    <w:rsid w:val="0079666C"/>
    <w:rsid w:val="007A3D77"/>
    <w:rsid w:val="007A716F"/>
    <w:rsid w:val="007B270A"/>
    <w:rsid w:val="007B4182"/>
    <w:rsid w:val="007B5DED"/>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6A6C"/>
    <w:rsid w:val="00802C64"/>
    <w:rsid w:val="00805E52"/>
    <w:rsid w:val="008061D0"/>
    <w:rsid w:val="00810B38"/>
    <w:rsid w:val="00810F1F"/>
    <w:rsid w:val="00811793"/>
    <w:rsid w:val="008204C7"/>
    <w:rsid w:val="00820992"/>
    <w:rsid w:val="00820E12"/>
    <w:rsid w:val="00823602"/>
    <w:rsid w:val="008255F5"/>
    <w:rsid w:val="00826295"/>
    <w:rsid w:val="00826890"/>
    <w:rsid w:val="00827EEF"/>
    <w:rsid w:val="0083014E"/>
    <w:rsid w:val="0083214A"/>
    <w:rsid w:val="00834220"/>
    <w:rsid w:val="00845723"/>
    <w:rsid w:val="008519E7"/>
    <w:rsid w:val="00851EF9"/>
    <w:rsid w:val="0085234B"/>
    <w:rsid w:val="008577FD"/>
    <w:rsid w:val="00860B03"/>
    <w:rsid w:val="0086497A"/>
    <w:rsid w:val="0086538E"/>
    <w:rsid w:val="00867066"/>
    <w:rsid w:val="00870ABE"/>
    <w:rsid w:val="008713A1"/>
    <w:rsid w:val="00872584"/>
    <w:rsid w:val="008754AB"/>
    <w:rsid w:val="00877EB2"/>
    <w:rsid w:val="0088060C"/>
    <w:rsid w:val="00882CD5"/>
    <w:rsid w:val="00883151"/>
    <w:rsid w:val="008845DB"/>
    <w:rsid w:val="00891F21"/>
    <w:rsid w:val="00893576"/>
    <w:rsid w:val="00893E73"/>
    <w:rsid w:val="008A089F"/>
    <w:rsid w:val="008A0F80"/>
    <w:rsid w:val="008B02DC"/>
    <w:rsid w:val="008B092C"/>
    <w:rsid w:val="008B57CE"/>
    <w:rsid w:val="008C26DE"/>
    <w:rsid w:val="008D1668"/>
    <w:rsid w:val="008D2225"/>
    <w:rsid w:val="008D4752"/>
    <w:rsid w:val="008D5A13"/>
    <w:rsid w:val="008D5C1E"/>
    <w:rsid w:val="008E26B0"/>
    <w:rsid w:val="008E271C"/>
    <w:rsid w:val="008E3A08"/>
    <w:rsid w:val="008E418E"/>
    <w:rsid w:val="008E5BC6"/>
    <w:rsid w:val="008E6217"/>
    <w:rsid w:val="008E6A25"/>
    <w:rsid w:val="008F2465"/>
    <w:rsid w:val="008F2554"/>
    <w:rsid w:val="008F357B"/>
    <w:rsid w:val="008F3AEC"/>
    <w:rsid w:val="008F4D80"/>
    <w:rsid w:val="008F5193"/>
    <w:rsid w:val="008F6B36"/>
    <w:rsid w:val="00900F2A"/>
    <w:rsid w:val="009013A7"/>
    <w:rsid w:val="009015DF"/>
    <w:rsid w:val="009017FB"/>
    <w:rsid w:val="009017FC"/>
    <w:rsid w:val="0090506B"/>
    <w:rsid w:val="009050C9"/>
    <w:rsid w:val="009066FC"/>
    <w:rsid w:val="00906FDE"/>
    <w:rsid w:val="009140A3"/>
    <w:rsid w:val="009144A2"/>
    <w:rsid w:val="0091510C"/>
    <w:rsid w:val="0092370D"/>
    <w:rsid w:val="009259AC"/>
    <w:rsid w:val="00926F38"/>
    <w:rsid w:val="00927BEB"/>
    <w:rsid w:val="009333DC"/>
    <w:rsid w:val="00934301"/>
    <w:rsid w:val="00935F8F"/>
    <w:rsid w:val="00936CD1"/>
    <w:rsid w:val="0094131C"/>
    <w:rsid w:val="00941747"/>
    <w:rsid w:val="00941EFB"/>
    <w:rsid w:val="00947AFB"/>
    <w:rsid w:val="00951AA3"/>
    <w:rsid w:val="00951D7D"/>
    <w:rsid w:val="00956D0C"/>
    <w:rsid w:val="009630C7"/>
    <w:rsid w:val="00966108"/>
    <w:rsid w:val="00972B55"/>
    <w:rsid w:val="009743B7"/>
    <w:rsid w:val="0098228B"/>
    <w:rsid w:val="009828DA"/>
    <w:rsid w:val="0098410D"/>
    <w:rsid w:val="00985BAB"/>
    <w:rsid w:val="00986B3C"/>
    <w:rsid w:val="00987A2F"/>
    <w:rsid w:val="0099439D"/>
    <w:rsid w:val="009A115C"/>
    <w:rsid w:val="009A7FC1"/>
    <w:rsid w:val="009B1606"/>
    <w:rsid w:val="009B1B5F"/>
    <w:rsid w:val="009B31C8"/>
    <w:rsid w:val="009B6673"/>
    <w:rsid w:val="009C191B"/>
    <w:rsid w:val="009C2BD6"/>
    <w:rsid w:val="009C51EF"/>
    <w:rsid w:val="009D0429"/>
    <w:rsid w:val="009D57AA"/>
    <w:rsid w:val="009E1F32"/>
    <w:rsid w:val="009E2CC2"/>
    <w:rsid w:val="009E47A2"/>
    <w:rsid w:val="009E5510"/>
    <w:rsid w:val="009E776C"/>
    <w:rsid w:val="009E7A6F"/>
    <w:rsid w:val="009E7E00"/>
    <w:rsid w:val="009F4C8F"/>
    <w:rsid w:val="00A02972"/>
    <w:rsid w:val="00A05588"/>
    <w:rsid w:val="00A15601"/>
    <w:rsid w:val="00A15702"/>
    <w:rsid w:val="00A1726E"/>
    <w:rsid w:val="00A204CF"/>
    <w:rsid w:val="00A21D2B"/>
    <w:rsid w:val="00A22745"/>
    <w:rsid w:val="00A23D49"/>
    <w:rsid w:val="00A27004"/>
    <w:rsid w:val="00A308CE"/>
    <w:rsid w:val="00A30C29"/>
    <w:rsid w:val="00A34DD6"/>
    <w:rsid w:val="00A35683"/>
    <w:rsid w:val="00A36819"/>
    <w:rsid w:val="00A36989"/>
    <w:rsid w:val="00A4139C"/>
    <w:rsid w:val="00A41D86"/>
    <w:rsid w:val="00A43628"/>
    <w:rsid w:val="00A45145"/>
    <w:rsid w:val="00A51D0F"/>
    <w:rsid w:val="00A54192"/>
    <w:rsid w:val="00A57147"/>
    <w:rsid w:val="00A6035E"/>
    <w:rsid w:val="00A6144C"/>
    <w:rsid w:val="00A62876"/>
    <w:rsid w:val="00A62D89"/>
    <w:rsid w:val="00A64804"/>
    <w:rsid w:val="00A66617"/>
    <w:rsid w:val="00A671F8"/>
    <w:rsid w:val="00A673A4"/>
    <w:rsid w:val="00A7180E"/>
    <w:rsid w:val="00A719A6"/>
    <w:rsid w:val="00A724AE"/>
    <w:rsid w:val="00A73329"/>
    <w:rsid w:val="00A73B1C"/>
    <w:rsid w:val="00A81401"/>
    <w:rsid w:val="00A8203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C691E"/>
    <w:rsid w:val="00AD0595"/>
    <w:rsid w:val="00AE0A2E"/>
    <w:rsid w:val="00AE2B97"/>
    <w:rsid w:val="00AE354C"/>
    <w:rsid w:val="00AE6164"/>
    <w:rsid w:val="00AF12C5"/>
    <w:rsid w:val="00AF4B07"/>
    <w:rsid w:val="00AF5B80"/>
    <w:rsid w:val="00AF6186"/>
    <w:rsid w:val="00AF7A3A"/>
    <w:rsid w:val="00B02587"/>
    <w:rsid w:val="00B049D1"/>
    <w:rsid w:val="00B07091"/>
    <w:rsid w:val="00B14793"/>
    <w:rsid w:val="00B153A0"/>
    <w:rsid w:val="00B160DB"/>
    <w:rsid w:val="00B20836"/>
    <w:rsid w:val="00B235BB"/>
    <w:rsid w:val="00B27A44"/>
    <w:rsid w:val="00B30BBF"/>
    <w:rsid w:val="00B33C03"/>
    <w:rsid w:val="00B36443"/>
    <w:rsid w:val="00B422B4"/>
    <w:rsid w:val="00B4421F"/>
    <w:rsid w:val="00B44E56"/>
    <w:rsid w:val="00B44E89"/>
    <w:rsid w:val="00B45917"/>
    <w:rsid w:val="00B45D1B"/>
    <w:rsid w:val="00B46543"/>
    <w:rsid w:val="00B47D33"/>
    <w:rsid w:val="00B52BE0"/>
    <w:rsid w:val="00B54133"/>
    <w:rsid w:val="00B55A8D"/>
    <w:rsid w:val="00B6000B"/>
    <w:rsid w:val="00B701ED"/>
    <w:rsid w:val="00B70E72"/>
    <w:rsid w:val="00B71C4D"/>
    <w:rsid w:val="00B748F7"/>
    <w:rsid w:val="00B8086C"/>
    <w:rsid w:val="00B81C58"/>
    <w:rsid w:val="00B861B4"/>
    <w:rsid w:val="00B86DFE"/>
    <w:rsid w:val="00B8720E"/>
    <w:rsid w:val="00B90990"/>
    <w:rsid w:val="00B91549"/>
    <w:rsid w:val="00B922FF"/>
    <w:rsid w:val="00B9281E"/>
    <w:rsid w:val="00B93925"/>
    <w:rsid w:val="00B94E48"/>
    <w:rsid w:val="00B95187"/>
    <w:rsid w:val="00BA2D55"/>
    <w:rsid w:val="00BA4190"/>
    <w:rsid w:val="00BA71B1"/>
    <w:rsid w:val="00BB0637"/>
    <w:rsid w:val="00BB1BA7"/>
    <w:rsid w:val="00BB345F"/>
    <w:rsid w:val="00BB68EA"/>
    <w:rsid w:val="00BC0B99"/>
    <w:rsid w:val="00BC1C27"/>
    <w:rsid w:val="00BC3CD8"/>
    <w:rsid w:val="00BC56A7"/>
    <w:rsid w:val="00BC6BBF"/>
    <w:rsid w:val="00BD1572"/>
    <w:rsid w:val="00BD3211"/>
    <w:rsid w:val="00BE14E3"/>
    <w:rsid w:val="00BE3774"/>
    <w:rsid w:val="00BE41E5"/>
    <w:rsid w:val="00BE4CE2"/>
    <w:rsid w:val="00BE67D8"/>
    <w:rsid w:val="00BF0DFD"/>
    <w:rsid w:val="00BF118F"/>
    <w:rsid w:val="00BF4109"/>
    <w:rsid w:val="00BF4CC3"/>
    <w:rsid w:val="00C054C7"/>
    <w:rsid w:val="00C057B5"/>
    <w:rsid w:val="00C07D0E"/>
    <w:rsid w:val="00C115C3"/>
    <w:rsid w:val="00C14706"/>
    <w:rsid w:val="00C15547"/>
    <w:rsid w:val="00C1672D"/>
    <w:rsid w:val="00C20734"/>
    <w:rsid w:val="00C22687"/>
    <w:rsid w:val="00C26A92"/>
    <w:rsid w:val="00C26B1C"/>
    <w:rsid w:val="00C32E4D"/>
    <w:rsid w:val="00C333A0"/>
    <w:rsid w:val="00C36A81"/>
    <w:rsid w:val="00C41974"/>
    <w:rsid w:val="00C43572"/>
    <w:rsid w:val="00C44A2C"/>
    <w:rsid w:val="00C44F09"/>
    <w:rsid w:val="00C4515A"/>
    <w:rsid w:val="00C477F7"/>
    <w:rsid w:val="00C509A6"/>
    <w:rsid w:val="00C53F4A"/>
    <w:rsid w:val="00C54125"/>
    <w:rsid w:val="00C55A16"/>
    <w:rsid w:val="00C55B54"/>
    <w:rsid w:val="00C6098E"/>
    <w:rsid w:val="00C6152C"/>
    <w:rsid w:val="00C70E9D"/>
    <w:rsid w:val="00C71424"/>
    <w:rsid w:val="00C7281B"/>
    <w:rsid w:val="00C74810"/>
    <w:rsid w:val="00C76CD9"/>
    <w:rsid w:val="00C84581"/>
    <w:rsid w:val="00C90D68"/>
    <w:rsid w:val="00C939FE"/>
    <w:rsid w:val="00C9492C"/>
    <w:rsid w:val="00C95A43"/>
    <w:rsid w:val="00C97719"/>
    <w:rsid w:val="00CA4BDA"/>
    <w:rsid w:val="00CB13E3"/>
    <w:rsid w:val="00CB1F66"/>
    <w:rsid w:val="00CB232C"/>
    <w:rsid w:val="00CB2951"/>
    <w:rsid w:val="00CB3D26"/>
    <w:rsid w:val="00CB4277"/>
    <w:rsid w:val="00CC5067"/>
    <w:rsid w:val="00CD0D8C"/>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092"/>
    <w:rsid w:val="00D10CD6"/>
    <w:rsid w:val="00D11478"/>
    <w:rsid w:val="00D15ED0"/>
    <w:rsid w:val="00D164BF"/>
    <w:rsid w:val="00D176FD"/>
    <w:rsid w:val="00D21B3E"/>
    <w:rsid w:val="00D21FED"/>
    <w:rsid w:val="00D23048"/>
    <w:rsid w:val="00D24251"/>
    <w:rsid w:val="00D26E72"/>
    <w:rsid w:val="00D343E2"/>
    <w:rsid w:val="00D361A2"/>
    <w:rsid w:val="00D37272"/>
    <w:rsid w:val="00D40071"/>
    <w:rsid w:val="00D43838"/>
    <w:rsid w:val="00D44C2E"/>
    <w:rsid w:val="00D45414"/>
    <w:rsid w:val="00D50A0A"/>
    <w:rsid w:val="00D51617"/>
    <w:rsid w:val="00D51F98"/>
    <w:rsid w:val="00D53548"/>
    <w:rsid w:val="00D5576B"/>
    <w:rsid w:val="00D566BD"/>
    <w:rsid w:val="00D57A4D"/>
    <w:rsid w:val="00D60AA7"/>
    <w:rsid w:val="00D6435F"/>
    <w:rsid w:val="00D65AF5"/>
    <w:rsid w:val="00D66471"/>
    <w:rsid w:val="00D669D4"/>
    <w:rsid w:val="00D70641"/>
    <w:rsid w:val="00D74499"/>
    <w:rsid w:val="00D74888"/>
    <w:rsid w:val="00D7488B"/>
    <w:rsid w:val="00D75E28"/>
    <w:rsid w:val="00D772C2"/>
    <w:rsid w:val="00D8008E"/>
    <w:rsid w:val="00D82C45"/>
    <w:rsid w:val="00D83AF7"/>
    <w:rsid w:val="00D87206"/>
    <w:rsid w:val="00D908A8"/>
    <w:rsid w:val="00D977B6"/>
    <w:rsid w:val="00DA1223"/>
    <w:rsid w:val="00DA2EB5"/>
    <w:rsid w:val="00DA41F2"/>
    <w:rsid w:val="00DA4A31"/>
    <w:rsid w:val="00DA7B04"/>
    <w:rsid w:val="00DB36C2"/>
    <w:rsid w:val="00DC00A8"/>
    <w:rsid w:val="00DC08FC"/>
    <w:rsid w:val="00DC169B"/>
    <w:rsid w:val="00DC1B54"/>
    <w:rsid w:val="00DC2AB9"/>
    <w:rsid w:val="00DC63F0"/>
    <w:rsid w:val="00DD37EA"/>
    <w:rsid w:val="00DD6EE5"/>
    <w:rsid w:val="00DD78A5"/>
    <w:rsid w:val="00DE386C"/>
    <w:rsid w:val="00DE4D35"/>
    <w:rsid w:val="00DF098B"/>
    <w:rsid w:val="00DF11C4"/>
    <w:rsid w:val="00DF210C"/>
    <w:rsid w:val="00DF4B6A"/>
    <w:rsid w:val="00E004C0"/>
    <w:rsid w:val="00E007AF"/>
    <w:rsid w:val="00E02C09"/>
    <w:rsid w:val="00E04D59"/>
    <w:rsid w:val="00E07DA1"/>
    <w:rsid w:val="00E123CB"/>
    <w:rsid w:val="00E12CD3"/>
    <w:rsid w:val="00E13B09"/>
    <w:rsid w:val="00E14C59"/>
    <w:rsid w:val="00E15816"/>
    <w:rsid w:val="00E20E13"/>
    <w:rsid w:val="00E21DBC"/>
    <w:rsid w:val="00E275D7"/>
    <w:rsid w:val="00E27DBE"/>
    <w:rsid w:val="00E32AB1"/>
    <w:rsid w:val="00E337A0"/>
    <w:rsid w:val="00E3530A"/>
    <w:rsid w:val="00E36C71"/>
    <w:rsid w:val="00E40404"/>
    <w:rsid w:val="00E4126A"/>
    <w:rsid w:val="00E42A06"/>
    <w:rsid w:val="00E430DE"/>
    <w:rsid w:val="00E459C6"/>
    <w:rsid w:val="00E47589"/>
    <w:rsid w:val="00E47A6C"/>
    <w:rsid w:val="00E547D2"/>
    <w:rsid w:val="00E557AA"/>
    <w:rsid w:val="00E622B5"/>
    <w:rsid w:val="00E63EC7"/>
    <w:rsid w:val="00E64915"/>
    <w:rsid w:val="00E64D3A"/>
    <w:rsid w:val="00E661D4"/>
    <w:rsid w:val="00E66CFC"/>
    <w:rsid w:val="00E67565"/>
    <w:rsid w:val="00E70091"/>
    <w:rsid w:val="00E70D2E"/>
    <w:rsid w:val="00E720F5"/>
    <w:rsid w:val="00E744E0"/>
    <w:rsid w:val="00E75A01"/>
    <w:rsid w:val="00E76D47"/>
    <w:rsid w:val="00E827BC"/>
    <w:rsid w:val="00E849F7"/>
    <w:rsid w:val="00E86776"/>
    <w:rsid w:val="00E869CF"/>
    <w:rsid w:val="00E90302"/>
    <w:rsid w:val="00E91D05"/>
    <w:rsid w:val="00E9262D"/>
    <w:rsid w:val="00E94245"/>
    <w:rsid w:val="00E95C1E"/>
    <w:rsid w:val="00E97396"/>
    <w:rsid w:val="00EA185E"/>
    <w:rsid w:val="00EA592A"/>
    <w:rsid w:val="00EA6D58"/>
    <w:rsid w:val="00EB14E4"/>
    <w:rsid w:val="00EB32A5"/>
    <w:rsid w:val="00EB34ED"/>
    <w:rsid w:val="00EB447C"/>
    <w:rsid w:val="00EB7BE0"/>
    <w:rsid w:val="00EC315E"/>
    <w:rsid w:val="00EC6D25"/>
    <w:rsid w:val="00ED077C"/>
    <w:rsid w:val="00ED10A9"/>
    <w:rsid w:val="00ED1190"/>
    <w:rsid w:val="00ED34AC"/>
    <w:rsid w:val="00ED6544"/>
    <w:rsid w:val="00EE0277"/>
    <w:rsid w:val="00EE2899"/>
    <w:rsid w:val="00EE3E00"/>
    <w:rsid w:val="00EE5DD2"/>
    <w:rsid w:val="00EF16C6"/>
    <w:rsid w:val="00EF36C5"/>
    <w:rsid w:val="00EF3DB4"/>
    <w:rsid w:val="00F00A79"/>
    <w:rsid w:val="00F00D13"/>
    <w:rsid w:val="00F00E86"/>
    <w:rsid w:val="00F07C1E"/>
    <w:rsid w:val="00F105DB"/>
    <w:rsid w:val="00F12E19"/>
    <w:rsid w:val="00F132BC"/>
    <w:rsid w:val="00F13D80"/>
    <w:rsid w:val="00F15B4D"/>
    <w:rsid w:val="00F16A7C"/>
    <w:rsid w:val="00F16AAA"/>
    <w:rsid w:val="00F1709C"/>
    <w:rsid w:val="00F21161"/>
    <w:rsid w:val="00F21754"/>
    <w:rsid w:val="00F218EF"/>
    <w:rsid w:val="00F21BC7"/>
    <w:rsid w:val="00F22B2F"/>
    <w:rsid w:val="00F266A2"/>
    <w:rsid w:val="00F26DDD"/>
    <w:rsid w:val="00F32269"/>
    <w:rsid w:val="00F35B7A"/>
    <w:rsid w:val="00F51C80"/>
    <w:rsid w:val="00F56A6F"/>
    <w:rsid w:val="00F5709C"/>
    <w:rsid w:val="00F60B85"/>
    <w:rsid w:val="00F64EF1"/>
    <w:rsid w:val="00F65088"/>
    <w:rsid w:val="00F72498"/>
    <w:rsid w:val="00F72759"/>
    <w:rsid w:val="00F72B14"/>
    <w:rsid w:val="00F7349B"/>
    <w:rsid w:val="00F835FF"/>
    <w:rsid w:val="00F8765F"/>
    <w:rsid w:val="00F90767"/>
    <w:rsid w:val="00F9263C"/>
    <w:rsid w:val="00FA1637"/>
    <w:rsid w:val="00FA4DDA"/>
    <w:rsid w:val="00FA5194"/>
    <w:rsid w:val="00FA685B"/>
    <w:rsid w:val="00FB0C01"/>
    <w:rsid w:val="00FB5934"/>
    <w:rsid w:val="00FC18F2"/>
    <w:rsid w:val="00FC24F9"/>
    <w:rsid w:val="00FC2A17"/>
    <w:rsid w:val="00FC38CF"/>
    <w:rsid w:val="00FC39E5"/>
    <w:rsid w:val="00FC3A78"/>
    <w:rsid w:val="00FD1005"/>
    <w:rsid w:val="00FD1F7F"/>
    <w:rsid w:val="00FD64C4"/>
    <w:rsid w:val="00FD6C75"/>
    <w:rsid w:val="00FD7972"/>
    <w:rsid w:val="00FE0401"/>
    <w:rsid w:val="00FE1A48"/>
    <w:rsid w:val="00FE5D07"/>
    <w:rsid w:val="00FE71B3"/>
    <w:rsid w:val="00FE7806"/>
    <w:rsid w:val="00FF42C5"/>
    <w:rsid w:val="00FF6704"/>
    <w:rsid w:val="00FF695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E5E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025CEF"/>
    <w:rPr>
      <w:sz w:val="24"/>
      <w:szCs w:val="24"/>
    </w:rPr>
  </w:style>
  <w:style w:type="paragraph" w:styleId="Nagwek1">
    <w:name w:val="heading 1"/>
    <w:basedOn w:val="Normalny"/>
    <w:next w:val="Normalny"/>
    <w:link w:val="Nagwek1Znak"/>
    <w:uiPriority w:val="98"/>
    <w:semiHidden/>
    <w:rsid w:val="00025CE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025CE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025CE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025CE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025CE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025CE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025CE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025CE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025CE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025CEF"/>
    <w:rPr>
      <w:rFonts w:ascii="Tahoma" w:hAnsi="Tahoma" w:cs="Tahoma"/>
      <w:sz w:val="16"/>
      <w:szCs w:val="16"/>
    </w:rPr>
  </w:style>
  <w:style w:type="character" w:customStyle="1" w:styleId="TekstdymkaZnak">
    <w:name w:val="Tekst dymka Znak"/>
    <w:basedOn w:val="Domylnaczcionkaakapitu"/>
    <w:link w:val="Tekstdymka"/>
    <w:uiPriority w:val="98"/>
    <w:semiHidden/>
    <w:rsid w:val="00025CEF"/>
    <w:rPr>
      <w:rFonts w:ascii="Tahoma" w:hAnsi="Tahoma" w:cs="Tahoma"/>
      <w:sz w:val="16"/>
      <w:szCs w:val="16"/>
      <w:lang w:val="pl-PL"/>
    </w:rPr>
  </w:style>
  <w:style w:type="character" w:styleId="Tytuksiki">
    <w:name w:val="Book Title"/>
    <w:uiPriority w:val="98"/>
    <w:semiHidden/>
    <w:qFormat/>
    <w:rsid w:val="00025CEF"/>
    <w:rPr>
      <w:i/>
      <w:iCs/>
      <w:smallCaps/>
      <w:spacing w:val="5"/>
    </w:rPr>
  </w:style>
  <w:style w:type="paragraph" w:customStyle="1" w:styleId="JuHeader">
    <w:name w:val="Ju_Header"/>
    <w:aliases w:val="_Header"/>
    <w:basedOn w:val="Nagwek"/>
    <w:uiPriority w:val="29"/>
    <w:qFormat/>
    <w:rsid w:val="00025CEF"/>
    <w:pPr>
      <w:tabs>
        <w:tab w:val="clear" w:pos="4536"/>
        <w:tab w:val="clear" w:pos="9072"/>
      </w:tabs>
      <w:jc w:val="center"/>
    </w:pPr>
    <w:rPr>
      <w:sz w:val="18"/>
    </w:rPr>
  </w:style>
  <w:style w:type="paragraph" w:customStyle="1" w:styleId="NormalJustified">
    <w:name w:val="Normal_Justified"/>
    <w:basedOn w:val="Normalny"/>
    <w:semiHidden/>
    <w:rsid w:val="00025CEF"/>
    <w:pPr>
      <w:jc w:val="both"/>
    </w:pPr>
  </w:style>
  <w:style w:type="character" w:styleId="Pogrubienie">
    <w:name w:val="Strong"/>
    <w:uiPriority w:val="98"/>
    <w:semiHidden/>
    <w:qFormat/>
    <w:rsid w:val="00025CEF"/>
    <w:rPr>
      <w:b/>
      <w:bCs/>
    </w:rPr>
  </w:style>
  <w:style w:type="paragraph" w:styleId="Bezodstpw">
    <w:name w:val="No Spacing"/>
    <w:basedOn w:val="Normalny"/>
    <w:link w:val="BezodstpwZnak"/>
    <w:uiPriority w:val="98"/>
    <w:semiHidden/>
    <w:qFormat/>
    <w:rsid w:val="00025CEF"/>
  </w:style>
  <w:style w:type="character" w:customStyle="1" w:styleId="BezodstpwZnak">
    <w:name w:val="Bez odstępów Znak"/>
    <w:basedOn w:val="Domylnaczcionkaakapitu"/>
    <w:link w:val="Bezodstpw"/>
    <w:uiPriority w:val="98"/>
    <w:semiHidden/>
    <w:rsid w:val="00025CEF"/>
    <w:rPr>
      <w:sz w:val="24"/>
      <w:szCs w:val="24"/>
      <w:lang w:val="pl-PL"/>
    </w:rPr>
  </w:style>
  <w:style w:type="paragraph" w:customStyle="1" w:styleId="JuQuot">
    <w:name w:val="Ju_Quot"/>
    <w:aliases w:val="_Quote"/>
    <w:basedOn w:val="NormalJustified"/>
    <w:uiPriority w:val="20"/>
    <w:qFormat/>
    <w:rsid w:val="00025CEF"/>
    <w:pPr>
      <w:spacing w:before="120" w:after="120"/>
      <w:ind w:left="425" w:firstLine="142"/>
    </w:pPr>
    <w:rPr>
      <w:sz w:val="20"/>
    </w:rPr>
  </w:style>
  <w:style w:type="paragraph" w:customStyle="1" w:styleId="DummyStyle">
    <w:name w:val="Dummy_Style"/>
    <w:aliases w:val="_Dummy"/>
    <w:basedOn w:val="Normalny"/>
    <w:semiHidden/>
    <w:qFormat/>
    <w:rsid w:val="00025CEF"/>
    <w:rPr>
      <w:color w:val="00B050"/>
      <w:sz w:val="22"/>
    </w:rPr>
  </w:style>
  <w:style w:type="paragraph" w:customStyle="1" w:styleId="JuList">
    <w:name w:val="Ju_List"/>
    <w:aliases w:val="_List_1"/>
    <w:basedOn w:val="NormalJustified"/>
    <w:uiPriority w:val="23"/>
    <w:qFormat/>
    <w:rsid w:val="00025CEF"/>
    <w:pPr>
      <w:numPr>
        <w:numId w:val="23"/>
      </w:numPr>
      <w:spacing w:before="280" w:after="60"/>
    </w:pPr>
  </w:style>
  <w:style w:type="paragraph" w:customStyle="1" w:styleId="JuLista">
    <w:name w:val="Ju_List_a"/>
    <w:aliases w:val="_List_2"/>
    <w:basedOn w:val="NormalJustified"/>
    <w:uiPriority w:val="23"/>
    <w:rsid w:val="00025CEF"/>
    <w:pPr>
      <w:numPr>
        <w:ilvl w:val="1"/>
        <w:numId w:val="23"/>
      </w:numPr>
    </w:pPr>
  </w:style>
  <w:style w:type="paragraph" w:customStyle="1" w:styleId="JuListi">
    <w:name w:val="Ju_List_i"/>
    <w:aliases w:val="_List_3"/>
    <w:basedOn w:val="NormalJustified"/>
    <w:uiPriority w:val="23"/>
    <w:rsid w:val="00025CEF"/>
    <w:pPr>
      <w:numPr>
        <w:ilvl w:val="2"/>
        <w:numId w:val="23"/>
      </w:numPr>
    </w:pPr>
  </w:style>
  <w:style w:type="paragraph" w:customStyle="1" w:styleId="JuHArticle">
    <w:name w:val="Ju_H_Article"/>
    <w:aliases w:val="_Title_Quote"/>
    <w:basedOn w:val="Normalny"/>
    <w:next w:val="JuQuot"/>
    <w:uiPriority w:val="19"/>
    <w:qFormat/>
    <w:rsid w:val="00025CE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25CE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25CE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025CEF"/>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025CEF"/>
    <w:pPr>
      <w:numPr>
        <w:numId w:val="17"/>
      </w:numPr>
    </w:pPr>
  </w:style>
  <w:style w:type="paragraph" w:customStyle="1" w:styleId="JuSigned">
    <w:name w:val="Ju_Signed"/>
    <w:aliases w:val="_Signature"/>
    <w:basedOn w:val="Normalny"/>
    <w:next w:val="JuPara"/>
    <w:uiPriority w:val="31"/>
    <w:qFormat/>
    <w:rsid w:val="00025CEF"/>
    <w:pPr>
      <w:tabs>
        <w:tab w:val="center" w:pos="1418"/>
        <w:tab w:val="center" w:pos="5954"/>
      </w:tabs>
      <w:spacing w:before="720"/>
    </w:pPr>
  </w:style>
  <w:style w:type="paragraph" w:styleId="Tytu">
    <w:name w:val="Title"/>
    <w:basedOn w:val="Normalny"/>
    <w:next w:val="Normalny"/>
    <w:link w:val="TytuZnak"/>
    <w:uiPriority w:val="98"/>
    <w:semiHidden/>
    <w:qFormat/>
    <w:rsid w:val="00025CE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025CEF"/>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025CEF"/>
    <w:pPr>
      <w:numPr>
        <w:numId w:val="18"/>
      </w:numPr>
    </w:pPr>
  </w:style>
  <w:style w:type="numbering" w:customStyle="1" w:styleId="ECHRA1StyleNumberedList">
    <w:name w:val="ECHR_A1_Style_Numbered_List"/>
    <w:basedOn w:val="Bezlisty"/>
    <w:rsid w:val="00025CEF"/>
    <w:pPr>
      <w:numPr>
        <w:numId w:val="19"/>
      </w:numPr>
    </w:pPr>
  </w:style>
  <w:style w:type="table" w:customStyle="1" w:styleId="ECHRTable2019">
    <w:name w:val="ECHR_Table_2019"/>
    <w:basedOn w:val="Standardowy"/>
    <w:uiPriority w:val="99"/>
    <w:rsid w:val="00025CE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025CE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025CEF"/>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025CEF"/>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025CEF"/>
    <w:pPr>
      <w:keepNext/>
      <w:keepLines/>
      <w:numPr>
        <w:ilvl w:val="3"/>
        <w:numId w:val="22"/>
      </w:numPr>
      <w:spacing w:before="100" w:beforeAutospacing="1" w:after="120"/>
      <w:jc w:val="both"/>
    </w:pPr>
    <w:rPr>
      <w:b w:val="0"/>
      <w:color w:val="auto"/>
      <w:sz w:val="24"/>
    </w:rPr>
  </w:style>
  <w:style w:type="paragraph" w:styleId="Nagwek">
    <w:name w:val="header"/>
    <w:basedOn w:val="Normalny"/>
    <w:link w:val="NagwekZnak"/>
    <w:uiPriority w:val="98"/>
    <w:semiHidden/>
    <w:rsid w:val="00025CEF"/>
    <w:pPr>
      <w:tabs>
        <w:tab w:val="center" w:pos="4536"/>
        <w:tab w:val="right" w:pos="9072"/>
      </w:tabs>
    </w:pPr>
  </w:style>
  <w:style w:type="character" w:customStyle="1" w:styleId="NagwekZnak">
    <w:name w:val="Nagłówek Znak"/>
    <w:basedOn w:val="Domylnaczcionkaakapitu"/>
    <w:link w:val="Nagwek"/>
    <w:uiPriority w:val="98"/>
    <w:semiHidden/>
    <w:rsid w:val="00025CEF"/>
    <w:rPr>
      <w:sz w:val="24"/>
      <w:szCs w:val="24"/>
      <w:lang w:val="pl-PL"/>
    </w:rPr>
  </w:style>
  <w:style w:type="character" w:customStyle="1" w:styleId="Nagwek1Znak">
    <w:name w:val="Nagłówek 1 Znak"/>
    <w:basedOn w:val="Domylnaczcionkaakapitu"/>
    <w:link w:val="Nagwek1"/>
    <w:uiPriority w:val="98"/>
    <w:semiHidden/>
    <w:rsid w:val="00025CEF"/>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025CEF"/>
    <w:pPr>
      <w:keepNext/>
      <w:keepLines/>
      <w:numPr>
        <w:ilvl w:val="4"/>
        <w:numId w:val="22"/>
      </w:numPr>
      <w:spacing w:before="100" w:beforeAutospacing="1" w:after="120"/>
      <w:jc w:val="both"/>
    </w:pPr>
    <w:rPr>
      <w:color w:val="auto"/>
      <w:sz w:val="20"/>
    </w:rPr>
  </w:style>
  <w:style w:type="paragraph" w:customStyle="1" w:styleId="JuHi">
    <w:name w:val="Ju_H_i"/>
    <w:aliases w:val="_Head_6"/>
    <w:basedOn w:val="Nagwek6"/>
    <w:next w:val="JuPara"/>
    <w:uiPriority w:val="17"/>
    <w:rsid w:val="00025CEF"/>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025CEF"/>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025CEF"/>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025CEF"/>
    <w:pPr>
      <w:keepNext/>
      <w:keepLines/>
      <w:numPr>
        <w:ilvl w:val="7"/>
        <w:numId w:val="22"/>
      </w:numPr>
      <w:spacing w:before="100" w:beforeAutospacing="1" w:after="120"/>
      <w:jc w:val="both"/>
    </w:pPr>
    <w:rPr>
      <w:i/>
    </w:rPr>
  </w:style>
  <w:style w:type="character" w:customStyle="1" w:styleId="Nagwek3Znak">
    <w:name w:val="Nagłówek 3 Znak"/>
    <w:basedOn w:val="Domylnaczcionkaakapitu"/>
    <w:link w:val="Nagwek3"/>
    <w:uiPriority w:val="98"/>
    <w:semiHidden/>
    <w:rsid w:val="00025CEF"/>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025CEF"/>
    <w:pPr>
      <w:keepNext/>
      <w:keepLines/>
      <w:spacing w:before="240" w:after="240"/>
      <w:ind w:firstLine="284"/>
    </w:pPr>
  </w:style>
  <w:style w:type="paragraph" w:customStyle="1" w:styleId="JuJudges">
    <w:name w:val="Ju_Judges"/>
    <w:aliases w:val="_Judges"/>
    <w:basedOn w:val="Normalny"/>
    <w:uiPriority w:val="32"/>
    <w:qFormat/>
    <w:rsid w:val="00025CEF"/>
    <w:pPr>
      <w:tabs>
        <w:tab w:val="left" w:pos="567"/>
        <w:tab w:val="left" w:pos="1134"/>
      </w:tabs>
    </w:pPr>
  </w:style>
  <w:style w:type="character" w:customStyle="1" w:styleId="Nagwek4Znak">
    <w:name w:val="Nagłówek 4 Znak"/>
    <w:basedOn w:val="Domylnaczcionkaakapitu"/>
    <w:link w:val="Nagwek4"/>
    <w:uiPriority w:val="98"/>
    <w:semiHidden/>
    <w:rsid w:val="00025CEF"/>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025CEF"/>
    <w:pPr>
      <w:tabs>
        <w:tab w:val="center" w:pos="6407"/>
      </w:tabs>
      <w:spacing w:before="720"/>
      <w:jc w:val="right"/>
    </w:pPr>
  </w:style>
  <w:style w:type="character" w:customStyle="1" w:styleId="Nagwek5Znak">
    <w:name w:val="Nagłówek 5 Znak"/>
    <w:basedOn w:val="Domylnaczcionkaakapitu"/>
    <w:link w:val="Nagwek5"/>
    <w:uiPriority w:val="98"/>
    <w:semiHidden/>
    <w:rsid w:val="00025CEF"/>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025CEF"/>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025CEF"/>
    <w:rPr>
      <w:caps w:val="0"/>
      <w:smallCaps/>
    </w:rPr>
  </w:style>
  <w:style w:type="character" w:styleId="Wyrnieniedelikatne">
    <w:name w:val="Subtle Emphasis"/>
    <w:uiPriority w:val="98"/>
    <w:semiHidden/>
    <w:qFormat/>
    <w:rsid w:val="00025CEF"/>
    <w:rPr>
      <w:i/>
      <w:iCs/>
    </w:rPr>
  </w:style>
  <w:style w:type="table" w:customStyle="1" w:styleId="ECHRTable">
    <w:name w:val="ECHR_Table"/>
    <w:basedOn w:val="Standardowy"/>
    <w:rsid w:val="00025CEF"/>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025CE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025CEF"/>
    <w:rPr>
      <w:b/>
      <w:bCs/>
      <w:i/>
      <w:iCs/>
      <w:spacing w:val="10"/>
      <w:bdr w:val="none" w:sz="0" w:space="0" w:color="auto"/>
      <w:shd w:val="clear" w:color="auto" w:fill="auto"/>
    </w:rPr>
  </w:style>
  <w:style w:type="paragraph" w:styleId="Stopka">
    <w:name w:val="footer"/>
    <w:basedOn w:val="Normalny"/>
    <w:link w:val="StopkaZnak"/>
    <w:uiPriority w:val="98"/>
    <w:semiHidden/>
    <w:rsid w:val="00025CEF"/>
    <w:pPr>
      <w:tabs>
        <w:tab w:val="center" w:pos="3686"/>
        <w:tab w:val="right" w:pos="7371"/>
      </w:tabs>
    </w:pPr>
  </w:style>
  <w:style w:type="character" w:customStyle="1" w:styleId="StopkaZnak">
    <w:name w:val="Stopka Znak"/>
    <w:basedOn w:val="Domylnaczcionkaakapitu"/>
    <w:link w:val="Stopka"/>
    <w:uiPriority w:val="98"/>
    <w:semiHidden/>
    <w:rsid w:val="00025CEF"/>
    <w:rPr>
      <w:sz w:val="24"/>
      <w:szCs w:val="24"/>
      <w:lang w:val="pl-PL"/>
    </w:rPr>
  </w:style>
  <w:style w:type="character" w:styleId="Odwoanieprzypisudolnego">
    <w:name w:val="footnote reference"/>
    <w:basedOn w:val="Domylnaczcionkaakapitu"/>
    <w:uiPriority w:val="98"/>
    <w:semiHidden/>
    <w:rsid w:val="00025CEF"/>
    <w:rPr>
      <w:vertAlign w:val="superscript"/>
    </w:rPr>
  </w:style>
  <w:style w:type="paragraph" w:styleId="Tekstprzypisudolnego">
    <w:name w:val="footnote text"/>
    <w:basedOn w:val="NormalJustified"/>
    <w:link w:val="TekstprzypisudolnegoZnak"/>
    <w:uiPriority w:val="98"/>
    <w:semiHidden/>
    <w:rsid w:val="00025CEF"/>
    <w:rPr>
      <w:sz w:val="20"/>
      <w:szCs w:val="20"/>
    </w:rPr>
  </w:style>
  <w:style w:type="character" w:customStyle="1" w:styleId="TekstprzypisudolnegoZnak">
    <w:name w:val="Tekst przypisu dolnego Znak"/>
    <w:basedOn w:val="Domylnaczcionkaakapitu"/>
    <w:link w:val="Tekstprzypisudolnego"/>
    <w:uiPriority w:val="98"/>
    <w:semiHidden/>
    <w:rsid w:val="00025CEF"/>
    <w:rPr>
      <w:sz w:val="20"/>
      <w:szCs w:val="20"/>
      <w:lang w:val="pl-PL"/>
    </w:rPr>
  </w:style>
  <w:style w:type="character" w:customStyle="1" w:styleId="Nagwek6Znak">
    <w:name w:val="Nagłówek 6 Znak"/>
    <w:basedOn w:val="Domylnaczcionkaakapitu"/>
    <w:link w:val="Nagwek6"/>
    <w:uiPriority w:val="98"/>
    <w:semiHidden/>
    <w:rsid w:val="00025CEF"/>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025CEF"/>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025CEF"/>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025CEF"/>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025CEF"/>
    <w:rPr>
      <w:color w:val="0072BC" w:themeColor="hyperlink"/>
      <w:u w:val="single"/>
    </w:rPr>
  </w:style>
  <w:style w:type="character" w:styleId="Wyrnienieintensywne">
    <w:name w:val="Intense Emphasis"/>
    <w:uiPriority w:val="98"/>
    <w:semiHidden/>
    <w:qFormat/>
    <w:rsid w:val="00025CEF"/>
    <w:rPr>
      <w:b/>
      <w:bCs/>
    </w:rPr>
  </w:style>
  <w:style w:type="paragraph" w:styleId="Cytatintensywny">
    <w:name w:val="Intense Quote"/>
    <w:basedOn w:val="Normalny"/>
    <w:next w:val="Normalny"/>
    <w:link w:val="CytatintensywnyZnak"/>
    <w:uiPriority w:val="98"/>
    <w:semiHidden/>
    <w:qFormat/>
    <w:rsid w:val="00025CE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025CEF"/>
    <w:rPr>
      <w:b/>
      <w:bCs/>
      <w:i/>
      <w:iCs/>
      <w:sz w:val="24"/>
      <w:szCs w:val="24"/>
      <w:lang w:val="pl-PL" w:bidi="en-US"/>
    </w:rPr>
  </w:style>
  <w:style w:type="character" w:styleId="Odwoanieintensywne">
    <w:name w:val="Intense Reference"/>
    <w:uiPriority w:val="98"/>
    <w:semiHidden/>
    <w:qFormat/>
    <w:rsid w:val="00025CEF"/>
    <w:rPr>
      <w:smallCaps/>
      <w:spacing w:val="5"/>
      <w:u w:val="single"/>
    </w:rPr>
  </w:style>
  <w:style w:type="paragraph" w:styleId="Akapitzlist">
    <w:name w:val="List Paragraph"/>
    <w:basedOn w:val="Normalny"/>
    <w:uiPriority w:val="98"/>
    <w:semiHidden/>
    <w:qFormat/>
    <w:rsid w:val="00025CEF"/>
    <w:pPr>
      <w:ind w:left="720"/>
      <w:contextualSpacing/>
    </w:pPr>
  </w:style>
  <w:style w:type="table" w:customStyle="1" w:styleId="LtrTableAddress">
    <w:name w:val="Ltr_Table_Address"/>
    <w:aliases w:val="ECHR_Ltr_Table_Address"/>
    <w:basedOn w:val="Standardowy"/>
    <w:uiPriority w:val="99"/>
    <w:rsid w:val="00025CEF"/>
    <w:rPr>
      <w:sz w:val="24"/>
      <w:szCs w:val="24"/>
    </w:rPr>
    <w:tblPr>
      <w:tblInd w:w="5103" w:type="dxa"/>
    </w:tblPr>
  </w:style>
  <w:style w:type="paragraph" w:styleId="Cytat">
    <w:name w:val="Quote"/>
    <w:basedOn w:val="Normalny"/>
    <w:next w:val="Normalny"/>
    <w:link w:val="CytatZnak"/>
    <w:uiPriority w:val="98"/>
    <w:semiHidden/>
    <w:qFormat/>
    <w:rsid w:val="00025CEF"/>
    <w:pPr>
      <w:spacing w:before="200"/>
      <w:ind w:left="360" w:right="360"/>
    </w:pPr>
    <w:rPr>
      <w:i/>
      <w:iCs/>
      <w:lang w:bidi="en-US"/>
    </w:rPr>
  </w:style>
  <w:style w:type="character" w:customStyle="1" w:styleId="CytatZnak">
    <w:name w:val="Cytat Znak"/>
    <w:basedOn w:val="Domylnaczcionkaakapitu"/>
    <w:link w:val="Cytat"/>
    <w:uiPriority w:val="98"/>
    <w:semiHidden/>
    <w:rsid w:val="00025CEF"/>
    <w:rPr>
      <w:i/>
      <w:iCs/>
      <w:sz w:val="24"/>
      <w:szCs w:val="24"/>
      <w:lang w:val="pl-PL" w:bidi="en-US"/>
    </w:rPr>
  </w:style>
  <w:style w:type="character" w:styleId="Odwoaniedelikatne">
    <w:name w:val="Subtle Reference"/>
    <w:uiPriority w:val="98"/>
    <w:semiHidden/>
    <w:qFormat/>
    <w:rsid w:val="00025CEF"/>
    <w:rPr>
      <w:smallCaps/>
    </w:rPr>
  </w:style>
  <w:style w:type="table" w:styleId="Tabela-Siatka">
    <w:name w:val="Table Grid"/>
    <w:basedOn w:val="Standardowy"/>
    <w:uiPriority w:val="59"/>
    <w:semiHidden/>
    <w:rsid w:val="00025CE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025CE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025CE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025CE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025CEF"/>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025CE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025CEF"/>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025CEF"/>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025CEF"/>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025CEF"/>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025CEF"/>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025CE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025CEF"/>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025CEF"/>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025CE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025CEF"/>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025CEF"/>
    <w:pPr>
      <w:numPr>
        <w:numId w:val="4"/>
      </w:numPr>
    </w:pPr>
  </w:style>
  <w:style w:type="paragraph" w:customStyle="1" w:styleId="JuPara">
    <w:name w:val="Ju_Para"/>
    <w:aliases w:val="_Para"/>
    <w:basedOn w:val="NormalJustified"/>
    <w:link w:val="JuParaChar"/>
    <w:uiPriority w:val="4"/>
    <w:qFormat/>
    <w:rsid w:val="00025CEF"/>
    <w:pPr>
      <w:ind w:firstLine="284"/>
    </w:pPr>
  </w:style>
  <w:style w:type="numbering" w:styleId="1ai">
    <w:name w:val="Outline List 1"/>
    <w:basedOn w:val="Bezlisty"/>
    <w:uiPriority w:val="99"/>
    <w:semiHidden/>
    <w:unhideWhenUsed/>
    <w:rsid w:val="00025CEF"/>
    <w:pPr>
      <w:numPr>
        <w:numId w:val="5"/>
      </w:numPr>
    </w:pPr>
  </w:style>
  <w:style w:type="table" w:customStyle="1" w:styleId="ECHRTableSimpleBox">
    <w:name w:val="ECHR_Table_Simple_Box"/>
    <w:basedOn w:val="Standardowy"/>
    <w:uiPriority w:val="99"/>
    <w:rsid w:val="00025CEF"/>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025CEF"/>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025CEF"/>
    <w:pPr>
      <w:numPr>
        <w:numId w:val="6"/>
      </w:numPr>
    </w:pPr>
  </w:style>
  <w:style w:type="table" w:customStyle="1" w:styleId="ECHRTableForInternalUse">
    <w:name w:val="ECHR_Table_For_Internal_Use"/>
    <w:basedOn w:val="Standardowy"/>
    <w:uiPriority w:val="99"/>
    <w:rsid w:val="00025CEF"/>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025CEF"/>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025CEF"/>
  </w:style>
  <w:style w:type="paragraph" w:styleId="Tekstblokowy">
    <w:name w:val="Block Text"/>
    <w:basedOn w:val="Normalny"/>
    <w:uiPriority w:val="98"/>
    <w:semiHidden/>
    <w:rsid w:val="00025CE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025CEF"/>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025CEF"/>
    <w:pPr>
      <w:spacing w:after="120"/>
    </w:pPr>
  </w:style>
  <w:style w:type="character" w:customStyle="1" w:styleId="TekstpodstawowyZnak">
    <w:name w:val="Tekst podstawowy Znak"/>
    <w:basedOn w:val="Domylnaczcionkaakapitu"/>
    <w:link w:val="Tekstpodstawowy"/>
    <w:uiPriority w:val="98"/>
    <w:semiHidden/>
    <w:rsid w:val="00025CEF"/>
    <w:rPr>
      <w:sz w:val="24"/>
      <w:szCs w:val="24"/>
      <w:lang w:val="pl-PL"/>
    </w:rPr>
  </w:style>
  <w:style w:type="table" w:customStyle="1" w:styleId="ECHRTableOddBanded">
    <w:name w:val="ECHR_Table_Odd_Banded"/>
    <w:basedOn w:val="Standardowy"/>
    <w:uiPriority w:val="99"/>
    <w:rsid w:val="00025CEF"/>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025CEF"/>
    <w:pPr>
      <w:spacing w:after="120" w:line="480" w:lineRule="auto"/>
    </w:pPr>
  </w:style>
  <w:style w:type="table" w:customStyle="1" w:styleId="ECHRHeaderTableReduced">
    <w:name w:val="ECHR_Header_Table_Reduced"/>
    <w:basedOn w:val="Standardowy"/>
    <w:uiPriority w:val="99"/>
    <w:rsid w:val="00025CE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025CEF"/>
    <w:pPr>
      <w:ind w:firstLine="284"/>
    </w:pPr>
    <w:rPr>
      <w:b/>
    </w:rPr>
  </w:style>
  <w:style w:type="character" w:styleId="Numerstrony">
    <w:name w:val="page number"/>
    <w:uiPriority w:val="98"/>
    <w:semiHidden/>
    <w:rsid w:val="00025CEF"/>
    <w:rPr>
      <w:sz w:val="18"/>
    </w:rPr>
  </w:style>
  <w:style w:type="paragraph" w:styleId="Listapunktowana">
    <w:name w:val="List Bullet"/>
    <w:basedOn w:val="Normalny"/>
    <w:uiPriority w:val="98"/>
    <w:semiHidden/>
    <w:rsid w:val="00025CEF"/>
    <w:pPr>
      <w:numPr>
        <w:numId w:val="7"/>
      </w:numPr>
    </w:pPr>
  </w:style>
  <w:style w:type="paragraph" w:styleId="Listapunktowana3">
    <w:name w:val="List Bullet 3"/>
    <w:basedOn w:val="Normalny"/>
    <w:uiPriority w:val="98"/>
    <w:semiHidden/>
    <w:rsid w:val="00025CEF"/>
    <w:pPr>
      <w:numPr>
        <w:numId w:val="9"/>
      </w:numPr>
      <w:contextualSpacing/>
    </w:pPr>
  </w:style>
  <w:style w:type="character" w:customStyle="1" w:styleId="Tekstpodstawowy2Znak">
    <w:name w:val="Tekst podstawowy 2 Znak"/>
    <w:basedOn w:val="Domylnaczcionkaakapitu"/>
    <w:link w:val="Tekstpodstawowy2"/>
    <w:uiPriority w:val="98"/>
    <w:semiHidden/>
    <w:rsid w:val="00025CEF"/>
    <w:rPr>
      <w:sz w:val="24"/>
      <w:szCs w:val="24"/>
      <w:lang w:val="pl-PL"/>
    </w:rPr>
  </w:style>
  <w:style w:type="paragraph" w:styleId="Tekstpodstawowy3">
    <w:name w:val="Body Text 3"/>
    <w:basedOn w:val="Normalny"/>
    <w:link w:val="Tekstpodstawowy3Znak"/>
    <w:uiPriority w:val="98"/>
    <w:semiHidden/>
    <w:rsid w:val="00025CEF"/>
    <w:pPr>
      <w:spacing w:after="120"/>
    </w:pPr>
    <w:rPr>
      <w:sz w:val="16"/>
      <w:szCs w:val="16"/>
    </w:rPr>
  </w:style>
  <w:style w:type="character" w:customStyle="1" w:styleId="Tekstpodstawowy3Znak">
    <w:name w:val="Tekst podstawowy 3 Znak"/>
    <w:basedOn w:val="Domylnaczcionkaakapitu"/>
    <w:link w:val="Tekstpodstawowy3"/>
    <w:uiPriority w:val="98"/>
    <w:semiHidden/>
    <w:rsid w:val="00025CEF"/>
    <w:rPr>
      <w:sz w:val="16"/>
      <w:szCs w:val="16"/>
      <w:lang w:val="pl-PL"/>
    </w:rPr>
  </w:style>
  <w:style w:type="paragraph" w:styleId="Tekstpodstawowyzwciciem">
    <w:name w:val="Body Text First Indent"/>
    <w:basedOn w:val="Tekstpodstawowy"/>
    <w:link w:val="TekstpodstawowyzwciciemZnak"/>
    <w:uiPriority w:val="98"/>
    <w:semiHidden/>
    <w:rsid w:val="00025CE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025CEF"/>
    <w:rPr>
      <w:sz w:val="24"/>
      <w:szCs w:val="24"/>
      <w:lang w:val="pl-PL"/>
    </w:rPr>
  </w:style>
  <w:style w:type="paragraph" w:styleId="Tekstpodstawowywcity">
    <w:name w:val="Body Text Indent"/>
    <w:basedOn w:val="Normalny"/>
    <w:link w:val="TekstpodstawowywcityZnak"/>
    <w:uiPriority w:val="98"/>
    <w:semiHidden/>
    <w:rsid w:val="00025CEF"/>
    <w:pPr>
      <w:spacing w:after="120"/>
      <w:ind w:left="283"/>
    </w:pPr>
  </w:style>
  <w:style w:type="character" w:customStyle="1" w:styleId="TekstpodstawowywcityZnak">
    <w:name w:val="Tekst podstawowy wcięty Znak"/>
    <w:basedOn w:val="Domylnaczcionkaakapitu"/>
    <w:link w:val="Tekstpodstawowywcity"/>
    <w:uiPriority w:val="98"/>
    <w:semiHidden/>
    <w:rsid w:val="00025CEF"/>
    <w:rPr>
      <w:sz w:val="24"/>
      <w:szCs w:val="24"/>
      <w:lang w:val="pl-PL"/>
    </w:rPr>
  </w:style>
  <w:style w:type="paragraph" w:styleId="Tekstpodstawowyzwciciem2">
    <w:name w:val="Body Text First Indent 2"/>
    <w:basedOn w:val="Tekstpodstawowywcity"/>
    <w:link w:val="Tekstpodstawowyzwciciem2Znak"/>
    <w:uiPriority w:val="98"/>
    <w:semiHidden/>
    <w:rsid w:val="00025CE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025CEF"/>
    <w:rPr>
      <w:sz w:val="24"/>
      <w:szCs w:val="24"/>
      <w:lang w:val="pl-PL"/>
    </w:rPr>
  </w:style>
  <w:style w:type="paragraph" w:styleId="Tekstpodstawowywcity2">
    <w:name w:val="Body Text Indent 2"/>
    <w:basedOn w:val="Normalny"/>
    <w:link w:val="Tekstpodstawowywcity2Znak"/>
    <w:uiPriority w:val="98"/>
    <w:semiHidden/>
    <w:rsid w:val="00025CE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025CEF"/>
    <w:rPr>
      <w:sz w:val="24"/>
      <w:szCs w:val="24"/>
      <w:lang w:val="pl-PL"/>
    </w:rPr>
  </w:style>
  <w:style w:type="paragraph" w:styleId="Tekstpodstawowywcity3">
    <w:name w:val="Body Text Indent 3"/>
    <w:basedOn w:val="Normalny"/>
    <w:link w:val="Tekstpodstawowywcity3Znak"/>
    <w:uiPriority w:val="98"/>
    <w:semiHidden/>
    <w:rsid w:val="00025CE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025CEF"/>
    <w:rPr>
      <w:sz w:val="16"/>
      <w:szCs w:val="16"/>
      <w:lang w:val="pl-PL"/>
    </w:rPr>
  </w:style>
  <w:style w:type="paragraph" w:styleId="Legenda">
    <w:name w:val="caption"/>
    <w:basedOn w:val="Normalny"/>
    <w:next w:val="Normalny"/>
    <w:uiPriority w:val="98"/>
    <w:semiHidden/>
    <w:qFormat/>
    <w:rsid w:val="00025CEF"/>
    <w:pPr>
      <w:spacing w:after="200"/>
    </w:pPr>
    <w:rPr>
      <w:b/>
      <w:bCs/>
      <w:color w:val="0072BC" w:themeColor="accent1"/>
      <w:sz w:val="18"/>
      <w:szCs w:val="18"/>
    </w:rPr>
  </w:style>
  <w:style w:type="paragraph" w:styleId="Zwrotpoegnalny">
    <w:name w:val="Closing"/>
    <w:basedOn w:val="Normalny"/>
    <w:link w:val="ZwrotpoegnalnyZnak"/>
    <w:uiPriority w:val="98"/>
    <w:semiHidden/>
    <w:rsid w:val="00025CEF"/>
    <w:pPr>
      <w:ind w:left="4252"/>
    </w:pPr>
  </w:style>
  <w:style w:type="character" w:customStyle="1" w:styleId="ZwrotpoegnalnyZnak">
    <w:name w:val="Zwrot pożegnalny Znak"/>
    <w:basedOn w:val="Domylnaczcionkaakapitu"/>
    <w:link w:val="Zwrotpoegnalny"/>
    <w:uiPriority w:val="98"/>
    <w:semiHidden/>
    <w:rsid w:val="00025CEF"/>
    <w:rPr>
      <w:sz w:val="24"/>
      <w:szCs w:val="24"/>
      <w:lang w:val="pl-PL"/>
    </w:rPr>
  </w:style>
  <w:style w:type="table" w:styleId="Kolorowasiatka">
    <w:name w:val="Colorful Grid"/>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25CEF"/>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25CEF"/>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25CEF"/>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25CEF"/>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025CEF"/>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25CEF"/>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25CEF"/>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25CEF"/>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025CEF"/>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25CE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25CE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025CEF"/>
    <w:rPr>
      <w:sz w:val="16"/>
      <w:szCs w:val="16"/>
    </w:rPr>
  </w:style>
  <w:style w:type="paragraph" w:styleId="Tekstkomentarza">
    <w:name w:val="annotation text"/>
    <w:basedOn w:val="Normalny"/>
    <w:link w:val="TekstkomentarzaZnak"/>
    <w:uiPriority w:val="98"/>
    <w:semiHidden/>
    <w:rsid w:val="00025CEF"/>
    <w:rPr>
      <w:sz w:val="20"/>
      <w:szCs w:val="20"/>
    </w:rPr>
  </w:style>
  <w:style w:type="character" w:customStyle="1" w:styleId="TekstkomentarzaZnak">
    <w:name w:val="Tekst komentarza Znak"/>
    <w:basedOn w:val="Domylnaczcionkaakapitu"/>
    <w:link w:val="Tekstkomentarza"/>
    <w:uiPriority w:val="98"/>
    <w:semiHidden/>
    <w:rsid w:val="00025CEF"/>
    <w:rPr>
      <w:sz w:val="20"/>
      <w:szCs w:val="20"/>
      <w:lang w:val="pl-PL"/>
    </w:rPr>
  </w:style>
  <w:style w:type="paragraph" w:styleId="Tematkomentarza">
    <w:name w:val="annotation subject"/>
    <w:basedOn w:val="Tekstkomentarza"/>
    <w:next w:val="Tekstkomentarza"/>
    <w:link w:val="TematkomentarzaZnak"/>
    <w:uiPriority w:val="98"/>
    <w:semiHidden/>
    <w:rsid w:val="00025CEF"/>
    <w:rPr>
      <w:b/>
      <w:bCs/>
    </w:rPr>
  </w:style>
  <w:style w:type="character" w:customStyle="1" w:styleId="TematkomentarzaZnak">
    <w:name w:val="Temat komentarza Znak"/>
    <w:basedOn w:val="TekstkomentarzaZnak"/>
    <w:link w:val="Tematkomentarza"/>
    <w:uiPriority w:val="98"/>
    <w:semiHidden/>
    <w:rsid w:val="00025CEF"/>
    <w:rPr>
      <w:b/>
      <w:bCs/>
      <w:sz w:val="20"/>
      <w:szCs w:val="20"/>
      <w:lang w:val="pl-PL"/>
    </w:rPr>
  </w:style>
  <w:style w:type="table" w:styleId="Ciemnalista">
    <w:name w:val="Dark List"/>
    <w:basedOn w:val="Standardowy"/>
    <w:uiPriority w:val="70"/>
    <w:semiHidden/>
    <w:rsid w:val="00025CEF"/>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25CEF"/>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25CEF"/>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25CEF"/>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025CEF"/>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25CEF"/>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25CEF"/>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025CEF"/>
  </w:style>
  <w:style w:type="character" w:customStyle="1" w:styleId="DataZnak">
    <w:name w:val="Data Znak"/>
    <w:basedOn w:val="Domylnaczcionkaakapitu"/>
    <w:link w:val="Data"/>
    <w:uiPriority w:val="98"/>
    <w:semiHidden/>
    <w:rsid w:val="00025CEF"/>
    <w:rPr>
      <w:sz w:val="24"/>
      <w:szCs w:val="24"/>
      <w:lang w:val="pl-PL"/>
    </w:rPr>
  </w:style>
  <w:style w:type="paragraph" w:styleId="Mapadokumentu">
    <w:name w:val="Document Map"/>
    <w:basedOn w:val="Normalny"/>
    <w:link w:val="MapadokumentuZnak"/>
    <w:uiPriority w:val="98"/>
    <w:semiHidden/>
    <w:rsid w:val="00025CE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025CEF"/>
    <w:rPr>
      <w:rFonts w:ascii="Tahoma" w:hAnsi="Tahoma" w:cs="Tahoma"/>
      <w:sz w:val="16"/>
      <w:szCs w:val="16"/>
      <w:lang w:val="pl-PL"/>
    </w:rPr>
  </w:style>
  <w:style w:type="paragraph" w:styleId="Podpise-mail">
    <w:name w:val="E-mail Signature"/>
    <w:basedOn w:val="Normalny"/>
    <w:link w:val="Podpise-mailZnak"/>
    <w:uiPriority w:val="98"/>
    <w:semiHidden/>
    <w:rsid w:val="00025CEF"/>
  </w:style>
  <w:style w:type="character" w:customStyle="1" w:styleId="Podpise-mailZnak">
    <w:name w:val="Podpis e-mail Znak"/>
    <w:basedOn w:val="Domylnaczcionkaakapitu"/>
    <w:link w:val="Podpise-mail"/>
    <w:uiPriority w:val="98"/>
    <w:semiHidden/>
    <w:rsid w:val="00025CEF"/>
    <w:rPr>
      <w:sz w:val="24"/>
      <w:szCs w:val="24"/>
      <w:lang w:val="pl-PL"/>
    </w:rPr>
  </w:style>
  <w:style w:type="character" w:styleId="Odwoanieprzypisukocowego">
    <w:name w:val="endnote reference"/>
    <w:basedOn w:val="Domylnaczcionkaakapitu"/>
    <w:uiPriority w:val="98"/>
    <w:semiHidden/>
    <w:rsid w:val="00025CEF"/>
    <w:rPr>
      <w:vertAlign w:val="superscript"/>
    </w:rPr>
  </w:style>
  <w:style w:type="paragraph" w:styleId="Tekstprzypisukocowego">
    <w:name w:val="endnote text"/>
    <w:basedOn w:val="Normalny"/>
    <w:link w:val="TekstprzypisukocowegoZnak"/>
    <w:uiPriority w:val="98"/>
    <w:semiHidden/>
    <w:rsid w:val="00025CEF"/>
    <w:rPr>
      <w:sz w:val="20"/>
      <w:szCs w:val="20"/>
    </w:rPr>
  </w:style>
  <w:style w:type="character" w:customStyle="1" w:styleId="TekstprzypisukocowegoZnak">
    <w:name w:val="Tekst przypisu końcowego Znak"/>
    <w:basedOn w:val="Domylnaczcionkaakapitu"/>
    <w:link w:val="Tekstprzypisukocowego"/>
    <w:uiPriority w:val="98"/>
    <w:semiHidden/>
    <w:rsid w:val="00025CEF"/>
    <w:rPr>
      <w:sz w:val="20"/>
      <w:szCs w:val="20"/>
      <w:lang w:val="pl-PL"/>
    </w:rPr>
  </w:style>
  <w:style w:type="paragraph" w:styleId="Adresnakopercie">
    <w:name w:val="envelope address"/>
    <w:basedOn w:val="Normalny"/>
    <w:uiPriority w:val="98"/>
    <w:semiHidden/>
    <w:rsid w:val="00025CE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025CE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025CEF"/>
    <w:rPr>
      <w:color w:val="7030A0" w:themeColor="followedHyperlink"/>
      <w:u w:val="single"/>
    </w:rPr>
  </w:style>
  <w:style w:type="character" w:styleId="HTML-akronim">
    <w:name w:val="HTML Acronym"/>
    <w:basedOn w:val="Domylnaczcionkaakapitu"/>
    <w:uiPriority w:val="98"/>
    <w:semiHidden/>
    <w:rsid w:val="00025CEF"/>
  </w:style>
  <w:style w:type="paragraph" w:styleId="HTML-adres">
    <w:name w:val="HTML Address"/>
    <w:basedOn w:val="Normalny"/>
    <w:link w:val="HTML-adresZnak"/>
    <w:uiPriority w:val="98"/>
    <w:semiHidden/>
    <w:rsid w:val="00025CEF"/>
    <w:rPr>
      <w:i/>
      <w:iCs/>
    </w:rPr>
  </w:style>
  <w:style w:type="character" w:customStyle="1" w:styleId="HTML-adresZnak">
    <w:name w:val="HTML - adres Znak"/>
    <w:basedOn w:val="Domylnaczcionkaakapitu"/>
    <w:link w:val="HTML-adres"/>
    <w:uiPriority w:val="98"/>
    <w:semiHidden/>
    <w:rsid w:val="00025CEF"/>
    <w:rPr>
      <w:i/>
      <w:iCs/>
      <w:sz w:val="24"/>
      <w:szCs w:val="24"/>
      <w:lang w:val="pl-PL"/>
    </w:rPr>
  </w:style>
  <w:style w:type="character" w:styleId="HTML-cytat">
    <w:name w:val="HTML Cite"/>
    <w:basedOn w:val="Domylnaczcionkaakapitu"/>
    <w:uiPriority w:val="98"/>
    <w:semiHidden/>
    <w:rsid w:val="00025CEF"/>
    <w:rPr>
      <w:i/>
      <w:iCs/>
    </w:rPr>
  </w:style>
  <w:style w:type="character" w:styleId="HTML-kod">
    <w:name w:val="HTML Code"/>
    <w:basedOn w:val="Domylnaczcionkaakapitu"/>
    <w:uiPriority w:val="98"/>
    <w:semiHidden/>
    <w:rsid w:val="00025CEF"/>
    <w:rPr>
      <w:rFonts w:ascii="Consolas" w:hAnsi="Consolas" w:cs="Consolas"/>
      <w:sz w:val="20"/>
      <w:szCs w:val="20"/>
    </w:rPr>
  </w:style>
  <w:style w:type="character" w:styleId="HTML-definicja">
    <w:name w:val="HTML Definition"/>
    <w:basedOn w:val="Domylnaczcionkaakapitu"/>
    <w:uiPriority w:val="98"/>
    <w:semiHidden/>
    <w:rsid w:val="00025CEF"/>
    <w:rPr>
      <w:i/>
      <w:iCs/>
    </w:rPr>
  </w:style>
  <w:style w:type="character" w:styleId="HTML-klawiatura">
    <w:name w:val="HTML Keyboard"/>
    <w:basedOn w:val="Domylnaczcionkaakapitu"/>
    <w:uiPriority w:val="98"/>
    <w:semiHidden/>
    <w:rsid w:val="00025CEF"/>
    <w:rPr>
      <w:rFonts w:ascii="Consolas" w:hAnsi="Consolas" w:cs="Consolas"/>
      <w:sz w:val="20"/>
      <w:szCs w:val="20"/>
    </w:rPr>
  </w:style>
  <w:style w:type="paragraph" w:styleId="HTML-wstpniesformatowany">
    <w:name w:val="HTML Preformatted"/>
    <w:basedOn w:val="Normalny"/>
    <w:link w:val="HTML-wstpniesformatowanyZnak"/>
    <w:uiPriority w:val="98"/>
    <w:semiHidden/>
    <w:rsid w:val="00025CE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025CEF"/>
    <w:rPr>
      <w:rFonts w:ascii="Consolas" w:hAnsi="Consolas" w:cs="Consolas"/>
      <w:sz w:val="20"/>
      <w:szCs w:val="20"/>
      <w:lang w:val="pl-PL"/>
    </w:rPr>
  </w:style>
  <w:style w:type="character" w:styleId="HTML-przykad">
    <w:name w:val="HTML Sample"/>
    <w:basedOn w:val="Domylnaczcionkaakapitu"/>
    <w:uiPriority w:val="98"/>
    <w:semiHidden/>
    <w:rsid w:val="00025CEF"/>
    <w:rPr>
      <w:rFonts w:ascii="Consolas" w:hAnsi="Consolas" w:cs="Consolas"/>
      <w:sz w:val="24"/>
      <w:szCs w:val="24"/>
    </w:rPr>
  </w:style>
  <w:style w:type="character" w:styleId="HTML-staaszeroko">
    <w:name w:val="HTML Typewriter"/>
    <w:basedOn w:val="Domylnaczcionkaakapitu"/>
    <w:uiPriority w:val="98"/>
    <w:semiHidden/>
    <w:rsid w:val="00025CEF"/>
    <w:rPr>
      <w:rFonts w:ascii="Consolas" w:hAnsi="Consolas" w:cs="Consolas"/>
      <w:sz w:val="20"/>
      <w:szCs w:val="20"/>
    </w:rPr>
  </w:style>
  <w:style w:type="character" w:styleId="HTML-zmienna">
    <w:name w:val="HTML Variable"/>
    <w:basedOn w:val="Domylnaczcionkaakapitu"/>
    <w:uiPriority w:val="98"/>
    <w:semiHidden/>
    <w:rsid w:val="00025CEF"/>
    <w:rPr>
      <w:i/>
      <w:iCs/>
    </w:rPr>
  </w:style>
  <w:style w:type="paragraph" w:styleId="Indeks1">
    <w:name w:val="index 1"/>
    <w:basedOn w:val="Normalny"/>
    <w:next w:val="Normalny"/>
    <w:autoRedefine/>
    <w:uiPriority w:val="98"/>
    <w:semiHidden/>
    <w:rsid w:val="00025CEF"/>
    <w:pPr>
      <w:ind w:left="240" w:hanging="240"/>
    </w:pPr>
  </w:style>
  <w:style w:type="paragraph" w:styleId="Indeks2">
    <w:name w:val="index 2"/>
    <w:basedOn w:val="Normalny"/>
    <w:next w:val="Normalny"/>
    <w:autoRedefine/>
    <w:uiPriority w:val="98"/>
    <w:semiHidden/>
    <w:rsid w:val="00025CEF"/>
    <w:pPr>
      <w:ind w:left="480" w:hanging="240"/>
    </w:pPr>
  </w:style>
  <w:style w:type="paragraph" w:styleId="Indeks3">
    <w:name w:val="index 3"/>
    <w:basedOn w:val="Normalny"/>
    <w:next w:val="Normalny"/>
    <w:autoRedefine/>
    <w:uiPriority w:val="98"/>
    <w:semiHidden/>
    <w:rsid w:val="00025CEF"/>
    <w:pPr>
      <w:ind w:left="720" w:hanging="240"/>
    </w:pPr>
  </w:style>
  <w:style w:type="paragraph" w:styleId="Indeks4">
    <w:name w:val="index 4"/>
    <w:basedOn w:val="Normalny"/>
    <w:next w:val="Normalny"/>
    <w:autoRedefine/>
    <w:uiPriority w:val="98"/>
    <w:semiHidden/>
    <w:rsid w:val="00025CEF"/>
    <w:pPr>
      <w:ind w:left="960" w:hanging="240"/>
    </w:pPr>
  </w:style>
  <w:style w:type="paragraph" w:styleId="Indeks5">
    <w:name w:val="index 5"/>
    <w:basedOn w:val="Normalny"/>
    <w:next w:val="Normalny"/>
    <w:autoRedefine/>
    <w:uiPriority w:val="98"/>
    <w:semiHidden/>
    <w:rsid w:val="00025CEF"/>
    <w:pPr>
      <w:ind w:left="1200" w:hanging="240"/>
    </w:pPr>
  </w:style>
  <w:style w:type="paragraph" w:styleId="Indeks6">
    <w:name w:val="index 6"/>
    <w:basedOn w:val="Normalny"/>
    <w:next w:val="Normalny"/>
    <w:autoRedefine/>
    <w:uiPriority w:val="98"/>
    <w:semiHidden/>
    <w:rsid w:val="00025CEF"/>
    <w:pPr>
      <w:ind w:left="1440" w:hanging="240"/>
    </w:pPr>
  </w:style>
  <w:style w:type="paragraph" w:styleId="Indeks7">
    <w:name w:val="index 7"/>
    <w:basedOn w:val="Normalny"/>
    <w:next w:val="Normalny"/>
    <w:autoRedefine/>
    <w:uiPriority w:val="98"/>
    <w:semiHidden/>
    <w:rsid w:val="00025CEF"/>
    <w:pPr>
      <w:ind w:left="1680" w:hanging="240"/>
    </w:pPr>
  </w:style>
  <w:style w:type="paragraph" w:styleId="Indeks8">
    <w:name w:val="index 8"/>
    <w:basedOn w:val="Normalny"/>
    <w:next w:val="Normalny"/>
    <w:autoRedefine/>
    <w:uiPriority w:val="98"/>
    <w:semiHidden/>
    <w:rsid w:val="00025CEF"/>
    <w:pPr>
      <w:ind w:left="1920" w:hanging="240"/>
    </w:pPr>
  </w:style>
  <w:style w:type="paragraph" w:styleId="Indeks9">
    <w:name w:val="index 9"/>
    <w:basedOn w:val="Normalny"/>
    <w:next w:val="Normalny"/>
    <w:autoRedefine/>
    <w:uiPriority w:val="98"/>
    <w:semiHidden/>
    <w:rsid w:val="00025CEF"/>
    <w:pPr>
      <w:ind w:left="2160" w:hanging="240"/>
    </w:pPr>
  </w:style>
  <w:style w:type="paragraph" w:styleId="Nagwekindeksu">
    <w:name w:val="index heading"/>
    <w:basedOn w:val="Normalny"/>
    <w:next w:val="Indeks1"/>
    <w:uiPriority w:val="98"/>
    <w:semiHidden/>
    <w:rsid w:val="00025CEF"/>
    <w:rPr>
      <w:rFonts w:asciiTheme="majorHAnsi" w:eastAsiaTheme="majorEastAsia" w:hAnsiTheme="majorHAnsi" w:cstheme="majorBidi"/>
      <w:b/>
      <w:bCs/>
    </w:rPr>
  </w:style>
  <w:style w:type="table" w:styleId="Jasnasiatka">
    <w:name w:val="Light Grid"/>
    <w:basedOn w:val="Standardowy"/>
    <w:uiPriority w:val="62"/>
    <w:semiHidden/>
    <w:rsid w:val="00025CE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25CE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25CE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25CE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025CE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25CE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25CE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25CE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25CE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25CE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25CE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025CE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25CE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25CE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25CE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25CE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25CE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25CEF"/>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025CE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25CE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25CE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025CEF"/>
  </w:style>
  <w:style w:type="paragraph" w:styleId="Lista">
    <w:name w:val="List"/>
    <w:basedOn w:val="Normalny"/>
    <w:uiPriority w:val="98"/>
    <w:semiHidden/>
    <w:rsid w:val="00025CEF"/>
    <w:pPr>
      <w:ind w:left="283" w:hanging="283"/>
      <w:contextualSpacing/>
    </w:pPr>
  </w:style>
  <w:style w:type="paragraph" w:styleId="Lista2">
    <w:name w:val="List 2"/>
    <w:basedOn w:val="Normalny"/>
    <w:uiPriority w:val="98"/>
    <w:semiHidden/>
    <w:rsid w:val="00025CEF"/>
    <w:pPr>
      <w:ind w:left="566" w:hanging="283"/>
      <w:contextualSpacing/>
    </w:pPr>
  </w:style>
  <w:style w:type="paragraph" w:styleId="Lista3">
    <w:name w:val="List 3"/>
    <w:basedOn w:val="Normalny"/>
    <w:uiPriority w:val="98"/>
    <w:semiHidden/>
    <w:rsid w:val="00025CEF"/>
    <w:pPr>
      <w:ind w:left="849" w:hanging="283"/>
      <w:contextualSpacing/>
    </w:pPr>
  </w:style>
  <w:style w:type="paragraph" w:styleId="Lista4">
    <w:name w:val="List 4"/>
    <w:basedOn w:val="Normalny"/>
    <w:uiPriority w:val="98"/>
    <w:semiHidden/>
    <w:rsid w:val="00025CEF"/>
    <w:pPr>
      <w:ind w:left="1132" w:hanging="283"/>
      <w:contextualSpacing/>
    </w:pPr>
  </w:style>
  <w:style w:type="paragraph" w:styleId="Lista5">
    <w:name w:val="List 5"/>
    <w:basedOn w:val="Normalny"/>
    <w:uiPriority w:val="98"/>
    <w:semiHidden/>
    <w:rsid w:val="00025CEF"/>
    <w:pPr>
      <w:ind w:left="1415" w:hanging="283"/>
      <w:contextualSpacing/>
    </w:pPr>
  </w:style>
  <w:style w:type="paragraph" w:styleId="Listapunktowana2">
    <w:name w:val="List Bullet 2"/>
    <w:basedOn w:val="Normalny"/>
    <w:uiPriority w:val="98"/>
    <w:semiHidden/>
    <w:rsid w:val="00025CEF"/>
    <w:pPr>
      <w:numPr>
        <w:numId w:val="8"/>
      </w:numPr>
      <w:contextualSpacing/>
    </w:pPr>
  </w:style>
  <w:style w:type="paragraph" w:styleId="Listapunktowana4">
    <w:name w:val="List Bullet 4"/>
    <w:basedOn w:val="Normalny"/>
    <w:uiPriority w:val="98"/>
    <w:semiHidden/>
    <w:rsid w:val="00025CEF"/>
    <w:pPr>
      <w:numPr>
        <w:numId w:val="10"/>
      </w:numPr>
      <w:contextualSpacing/>
    </w:pPr>
  </w:style>
  <w:style w:type="paragraph" w:styleId="Listapunktowana5">
    <w:name w:val="List Bullet 5"/>
    <w:basedOn w:val="Normalny"/>
    <w:uiPriority w:val="98"/>
    <w:semiHidden/>
    <w:rsid w:val="00025CEF"/>
    <w:pPr>
      <w:numPr>
        <w:numId w:val="11"/>
      </w:numPr>
      <w:contextualSpacing/>
    </w:pPr>
  </w:style>
  <w:style w:type="paragraph" w:styleId="Lista-kontynuacja">
    <w:name w:val="List Continue"/>
    <w:basedOn w:val="Normalny"/>
    <w:uiPriority w:val="98"/>
    <w:semiHidden/>
    <w:rsid w:val="00025CEF"/>
    <w:pPr>
      <w:spacing w:after="120"/>
      <w:ind w:left="283"/>
      <w:contextualSpacing/>
    </w:pPr>
  </w:style>
  <w:style w:type="paragraph" w:styleId="Lista-kontynuacja2">
    <w:name w:val="List Continue 2"/>
    <w:basedOn w:val="Normalny"/>
    <w:uiPriority w:val="98"/>
    <w:semiHidden/>
    <w:rsid w:val="00025CEF"/>
    <w:pPr>
      <w:spacing w:after="120"/>
      <w:ind w:left="566"/>
      <w:contextualSpacing/>
    </w:pPr>
  </w:style>
  <w:style w:type="paragraph" w:styleId="Lista-kontynuacja3">
    <w:name w:val="List Continue 3"/>
    <w:basedOn w:val="Normalny"/>
    <w:uiPriority w:val="98"/>
    <w:semiHidden/>
    <w:rsid w:val="00025CEF"/>
    <w:pPr>
      <w:spacing w:after="120"/>
      <w:ind w:left="849"/>
      <w:contextualSpacing/>
    </w:pPr>
  </w:style>
  <w:style w:type="paragraph" w:styleId="Lista-kontynuacja4">
    <w:name w:val="List Continue 4"/>
    <w:basedOn w:val="Normalny"/>
    <w:uiPriority w:val="98"/>
    <w:semiHidden/>
    <w:rsid w:val="00025CEF"/>
    <w:pPr>
      <w:spacing w:after="120"/>
      <w:ind w:left="1132"/>
      <w:contextualSpacing/>
    </w:pPr>
  </w:style>
  <w:style w:type="paragraph" w:styleId="Lista-kontynuacja5">
    <w:name w:val="List Continue 5"/>
    <w:basedOn w:val="Normalny"/>
    <w:uiPriority w:val="98"/>
    <w:semiHidden/>
    <w:rsid w:val="00025CEF"/>
    <w:pPr>
      <w:spacing w:after="120"/>
      <w:ind w:left="1415"/>
      <w:contextualSpacing/>
    </w:pPr>
  </w:style>
  <w:style w:type="paragraph" w:styleId="Listanumerowana">
    <w:name w:val="List Number"/>
    <w:basedOn w:val="Normalny"/>
    <w:uiPriority w:val="98"/>
    <w:semiHidden/>
    <w:rsid w:val="00025CEF"/>
    <w:pPr>
      <w:numPr>
        <w:numId w:val="12"/>
      </w:numPr>
      <w:contextualSpacing/>
    </w:pPr>
  </w:style>
  <w:style w:type="paragraph" w:styleId="Listanumerowana2">
    <w:name w:val="List Number 2"/>
    <w:basedOn w:val="Normalny"/>
    <w:uiPriority w:val="98"/>
    <w:semiHidden/>
    <w:rsid w:val="00025CEF"/>
    <w:pPr>
      <w:numPr>
        <w:numId w:val="13"/>
      </w:numPr>
      <w:contextualSpacing/>
    </w:pPr>
  </w:style>
  <w:style w:type="paragraph" w:styleId="Listanumerowana3">
    <w:name w:val="List Number 3"/>
    <w:basedOn w:val="Normalny"/>
    <w:uiPriority w:val="98"/>
    <w:semiHidden/>
    <w:rsid w:val="00025CEF"/>
    <w:pPr>
      <w:numPr>
        <w:numId w:val="14"/>
      </w:numPr>
      <w:contextualSpacing/>
    </w:pPr>
  </w:style>
  <w:style w:type="paragraph" w:styleId="Listanumerowana4">
    <w:name w:val="List Number 4"/>
    <w:basedOn w:val="Normalny"/>
    <w:uiPriority w:val="98"/>
    <w:semiHidden/>
    <w:rsid w:val="00025CEF"/>
    <w:pPr>
      <w:numPr>
        <w:numId w:val="15"/>
      </w:numPr>
      <w:contextualSpacing/>
    </w:pPr>
  </w:style>
  <w:style w:type="paragraph" w:styleId="Listanumerowana5">
    <w:name w:val="List Number 5"/>
    <w:basedOn w:val="Normalny"/>
    <w:uiPriority w:val="98"/>
    <w:semiHidden/>
    <w:rsid w:val="00025CEF"/>
    <w:pPr>
      <w:numPr>
        <w:numId w:val="16"/>
      </w:numPr>
      <w:contextualSpacing/>
    </w:pPr>
  </w:style>
  <w:style w:type="paragraph" w:styleId="Tekstmakra">
    <w:name w:val="macro"/>
    <w:link w:val="TekstmakraZnak"/>
    <w:uiPriority w:val="98"/>
    <w:semiHidden/>
    <w:rsid w:val="00025CE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025CEF"/>
    <w:rPr>
      <w:rFonts w:ascii="Consolas" w:eastAsiaTheme="minorEastAsia" w:hAnsi="Consolas" w:cs="Consolas"/>
      <w:sz w:val="20"/>
      <w:szCs w:val="20"/>
    </w:rPr>
  </w:style>
  <w:style w:type="table" w:styleId="redniasiatka1">
    <w:name w:val="Medium Grid 1"/>
    <w:basedOn w:val="Standardowy"/>
    <w:uiPriority w:val="67"/>
    <w:semiHidden/>
    <w:rsid w:val="00025CE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25CE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25CE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25CE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025CE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25CE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25CE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025CE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25CE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25CE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25CEF"/>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025CE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25CE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25CE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025CE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25CE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25CE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25CE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25CE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25CE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25CE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025CE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025CEF"/>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025CEF"/>
    <w:rPr>
      <w:rFonts w:ascii="Times New Roman" w:hAnsi="Times New Roman" w:cs="Times New Roman"/>
    </w:rPr>
  </w:style>
  <w:style w:type="paragraph" w:styleId="Wcicienormalne">
    <w:name w:val="Normal Indent"/>
    <w:basedOn w:val="Normalny"/>
    <w:uiPriority w:val="98"/>
    <w:semiHidden/>
    <w:rsid w:val="00025CEF"/>
    <w:pPr>
      <w:ind w:left="720"/>
    </w:pPr>
  </w:style>
  <w:style w:type="paragraph" w:styleId="Nagweknotatki">
    <w:name w:val="Note Heading"/>
    <w:basedOn w:val="Normalny"/>
    <w:next w:val="Normalny"/>
    <w:link w:val="NagweknotatkiZnak"/>
    <w:uiPriority w:val="98"/>
    <w:semiHidden/>
    <w:rsid w:val="00025CEF"/>
  </w:style>
  <w:style w:type="character" w:customStyle="1" w:styleId="NagweknotatkiZnak">
    <w:name w:val="Nagłówek notatki Znak"/>
    <w:basedOn w:val="Domylnaczcionkaakapitu"/>
    <w:link w:val="Nagweknotatki"/>
    <w:uiPriority w:val="98"/>
    <w:semiHidden/>
    <w:rsid w:val="00025CEF"/>
    <w:rPr>
      <w:sz w:val="24"/>
      <w:szCs w:val="24"/>
      <w:lang w:val="pl-PL"/>
    </w:rPr>
  </w:style>
  <w:style w:type="character" w:styleId="Tekstzastpczy">
    <w:name w:val="Placeholder Text"/>
    <w:basedOn w:val="Domylnaczcionkaakapitu"/>
    <w:uiPriority w:val="98"/>
    <w:semiHidden/>
    <w:rsid w:val="00025CE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025CE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025CEF"/>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025CEF"/>
  </w:style>
  <w:style w:type="character" w:customStyle="1" w:styleId="ZwrotgrzecznociowyZnak">
    <w:name w:val="Zwrot grzecznościowy Znak"/>
    <w:basedOn w:val="Domylnaczcionkaakapitu"/>
    <w:link w:val="Zwrotgrzecznociowy"/>
    <w:uiPriority w:val="98"/>
    <w:semiHidden/>
    <w:rsid w:val="00025CEF"/>
    <w:rPr>
      <w:sz w:val="24"/>
      <w:szCs w:val="24"/>
      <w:lang w:val="pl-PL"/>
    </w:rPr>
  </w:style>
  <w:style w:type="paragraph" w:styleId="Podpis">
    <w:name w:val="Signature"/>
    <w:basedOn w:val="Normalny"/>
    <w:link w:val="PodpisZnak"/>
    <w:uiPriority w:val="98"/>
    <w:semiHidden/>
    <w:rsid w:val="00025CEF"/>
    <w:pPr>
      <w:ind w:left="4252"/>
    </w:pPr>
  </w:style>
  <w:style w:type="character" w:customStyle="1" w:styleId="PodpisZnak">
    <w:name w:val="Podpis Znak"/>
    <w:basedOn w:val="Domylnaczcionkaakapitu"/>
    <w:link w:val="Podpis"/>
    <w:uiPriority w:val="98"/>
    <w:semiHidden/>
    <w:rsid w:val="00025CEF"/>
    <w:rPr>
      <w:sz w:val="24"/>
      <w:szCs w:val="24"/>
      <w:lang w:val="pl-PL"/>
    </w:rPr>
  </w:style>
  <w:style w:type="table" w:styleId="Tabela-Efekty3D1">
    <w:name w:val="Table 3D effects 1"/>
    <w:basedOn w:val="Standardowy"/>
    <w:uiPriority w:val="99"/>
    <w:semiHidden/>
    <w:unhideWhenUsed/>
    <w:rsid w:val="00025CE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025CE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025CE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025CE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025CE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025CE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025CE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025CE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025CE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025CE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025CE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025CE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025CE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025CE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025CE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025CE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025CE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025CE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025CE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025CE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025CE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025CE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025CE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025CE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025CE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025CE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025CE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025CE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025CEF"/>
    <w:pPr>
      <w:ind w:left="240" w:hanging="240"/>
    </w:pPr>
  </w:style>
  <w:style w:type="paragraph" w:styleId="Spisilustracji">
    <w:name w:val="table of figures"/>
    <w:basedOn w:val="Normalny"/>
    <w:next w:val="Normalny"/>
    <w:uiPriority w:val="98"/>
    <w:semiHidden/>
    <w:rsid w:val="00025CEF"/>
  </w:style>
  <w:style w:type="table" w:styleId="Tabela-Profesjonalny">
    <w:name w:val="Table Professional"/>
    <w:basedOn w:val="Standardowy"/>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025CE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025CE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025CE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025CE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025CE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025CE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025CE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025CE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025CE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025CE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025CEF"/>
    <w:pPr>
      <w:spacing w:after="100"/>
      <w:ind w:left="1680"/>
    </w:pPr>
  </w:style>
  <w:style w:type="paragraph" w:styleId="Spistreci9">
    <w:name w:val="toc 9"/>
    <w:basedOn w:val="Normalny"/>
    <w:next w:val="Normalny"/>
    <w:autoRedefine/>
    <w:uiPriority w:val="98"/>
    <w:semiHidden/>
    <w:rsid w:val="00025CE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025CE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25CE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025CE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25CE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25CEF"/>
    <w:pPr>
      <w:numPr>
        <w:numId w:val="20"/>
      </w:numPr>
      <w:spacing w:before="60" w:after="60"/>
    </w:pPr>
  </w:style>
  <w:style w:type="paragraph" w:customStyle="1" w:styleId="ECHRBullet2">
    <w:name w:val="ECHR_Bullet_2"/>
    <w:aliases w:val="_Bul_2"/>
    <w:basedOn w:val="ECHRBullet1"/>
    <w:uiPriority w:val="23"/>
    <w:semiHidden/>
    <w:rsid w:val="00025CEF"/>
    <w:pPr>
      <w:numPr>
        <w:ilvl w:val="1"/>
      </w:numPr>
    </w:pPr>
  </w:style>
  <w:style w:type="paragraph" w:customStyle="1" w:styleId="ECHRBullet3">
    <w:name w:val="ECHR_Bullet_3"/>
    <w:aliases w:val="_Bul_3"/>
    <w:basedOn w:val="ECHRBullet2"/>
    <w:uiPriority w:val="23"/>
    <w:semiHidden/>
    <w:rsid w:val="00025CEF"/>
    <w:pPr>
      <w:numPr>
        <w:ilvl w:val="2"/>
      </w:numPr>
    </w:pPr>
  </w:style>
  <w:style w:type="paragraph" w:customStyle="1" w:styleId="ECHRBullet4">
    <w:name w:val="ECHR_Bullet_4"/>
    <w:aliases w:val="_Bul_4"/>
    <w:basedOn w:val="ECHRBullet3"/>
    <w:uiPriority w:val="23"/>
    <w:semiHidden/>
    <w:rsid w:val="00025CEF"/>
    <w:pPr>
      <w:numPr>
        <w:ilvl w:val="3"/>
      </w:numPr>
    </w:pPr>
  </w:style>
  <w:style w:type="paragraph" w:customStyle="1" w:styleId="ECHRConfidential">
    <w:name w:val="ECHR_Confidential"/>
    <w:aliases w:val="_Confidential"/>
    <w:basedOn w:val="Normalny"/>
    <w:next w:val="Normalny"/>
    <w:uiPriority w:val="42"/>
    <w:semiHidden/>
    <w:qFormat/>
    <w:rsid w:val="00025CEF"/>
    <w:pPr>
      <w:jc w:val="right"/>
    </w:pPr>
    <w:rPr>
      <w:color w:val="C00000"/>
      <w:sz w:val="20"/>
    </w:rPr>
  </w:style>
  <w:style w:type="paragraph" w:customStyle="1" w:styleId="ECHRDecisionBody">
    <w:name w:val="ECHR_Decision_Body"/>
    <w:aliases w:val="_Decision_Body"/>
    <w:basedOn w:val="NormalJustified"/>
    <w:uiPriority w:val="54"/>
    <w:semiHidden/>
    <w:rsid w:val="00025CE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025CE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025CEF"/>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025CEF"/>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025CEF"/>
    <w:pPr>
      <w:jc w:val="right"/>
    </w:pPr>
    <w:rPr>
      <w:sz w:val="20"/>
    </w:rPr>
  </w:style>
  <w:style w:type="paragraph" w:customStyle="1" w:styleId="ECHRHeaderRefIt">
    <w:name w:val="ECHR_Header_Ref_It"/>
    <w:aliases w:val="_Ref_Ital"/>
    <w:basedOn w:val="Normalny"/>
    <w:next w:val="ECHRHeaderDate"/>
    <w:uiPriority w:val="43"/>
    <w:qFormat/>
    <w:rsid w:val="00025CEF"/>
    <w:pPr>
      <w:jc w:val="right"/>
    </w:pPr>
    <w:rPr>
      <w:i/>
      <w:sz w:val="20"/>
    </w:rPr>
  </w:style>
  <w:style w:type="paragraph" w:customStyle="1" w:styleId="ECHRHeading9">
    <w:name w:val="ECHR_Heading_9"/>
    <w:aliases w:val="_Head_9"/>
    <w:basedOn w:val="Nagwek9"/>
    <w:uiPriority w:val="17"/>
    <w:semiHidden/>
    <w:rsid w:val="00025CEF"/>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025CEF"/>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025CEF"/>
    <w:pPr>
      <w:numPr>
        <w:numId w:val="21"/>
      </w:numPr>
      <w:spacing w:before="60" w:after="60"/>
    </w:pPr>
  </w:style>
  <w:style w:type="paragraph" w:customStyle="1" w:styleId="ECHRNumberedList2">
    <w:name w:val="ECHR_Numbered_List_2"/>
    <w:aliases w:val="_Num_2"/>
    <w:basedOn w:val="ECHRNumberedList1"/>
    <w:uiPriority w:val="23"/>
    <w:semiHidden/>
    <w:rsid w:val="00025CEF"/>
    <w:pPr>
      <w:numPr>
        <w:ilvl w:val="1"/>
      </w:numPr>
    </w:pPr>
  </w:style>
  <w:style w:type="paragraph" w:customStyle="1" w:styleId="ECHRNumberedList3">
    <w:name w:val="ECHR_Numbered_List_3"/>
    <w:aliases w:val="_Num_3"/>
    <w:basedOn w:val="ECHRNumberedList2"/>
    <w:uiPriority w:val="23"/>
    <w:semiHidden/>
    <w:rsid w:val="00025CEF"/>
    <w:pPr>
      <w:numPr>
        <w:ilvl w:val="2"/>
      </w:numPr>
    </w:pPr>
  </w:style>
  <w:style w:type="paragraph" w:customStyle="1" w:styleId="ECHRParaHanging">
    <w:name w:val="ECHR_Para_Hanging"/>
    <w:aliases w:val="_Hanging"/>
    <w:basedOn w:val="NormalJustified"/>
    <w:uiPriority w:val="8"/>
    <w:semiHidden/>
    <w:qFormat/>
    <w:rsid w:val="00025CEF"/>
    <w:pPr>
      <w:ind w:left="567" w:hanging="567"/>
    </w:pPr>
  </w:style>
  <w:style w:type="paragraph" w:customStyle="1" w:styleId="ECHRParaIndent">
    <w:name w:val="ECHR_Para_Indent"/>
    <w:aliases w:val="_Indent"/>
    <w:basedOn w:val="NormalJustified"/>
    <w:uiPriority w:val="7"/>
    <w:semiHidden/>
    <w:qFormat/>
    <w:rsid w:val="00025CEF"/>
    <w:pPr>
      <w:spacing w:before="120" w:after="120"/>
      <w:ind w:left="284"/>
    </w:pPr>
  </w:style>
  <w:style w:type="character" w:customStyle="1" w:styleId="ECHRRed">
    <w:name w:val="ECHR_Red"/>
    <w:aliases w:val="_Red"/>
    <w:basedOn w:val="Domylnaczcionkaakapitu"/>
    <w:uiPriority w:val="15"/>
    <w:semiHidden/>
    <w:qFormat/>
    <w:rsid w:val="00025CEF"/>
    <w:rPr>
      <w:color w:val="C00000" w:themeColor="accent2"/>
    </w:rPr>
  </w:style>
  <w:style w:type="paragraph" w:customStyle="1" w:styleId="DecList">
    <w:name w:val="Dec_List"/>
    <w:aliases w:val="_List"/>
    <w:basedOn w:val="JuList"/>
    <w:uiPriority w:val="22"/>
    <w:rsid w:val="00025CEF"/>
    <w:pPr>
      <w:numPr>
        <w:numId w:val="0"/>
      </w:numPr>
      <w:ind w:left="284"/>
    </w:pPr>
  </w:style>
  <w:style w:type="table" w:customStyle="1" w:styleId="ECHRTable2">
    <w:name w:val="ECHR_Table_2"/>
    <w:basedOn w:val="Standardowy"/>
    <w:uiPriority w:val="99"/>
    <w:rsid w:val="00025CE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025CE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025CEF"/>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025CEF"/>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025CEF"/>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025CEF"/>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025CEF"/>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025CEF"/>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025CEF"/>
    <w:pPr>
      <w:outlineLvl w:val="0"/>
    </w:pPr>
  </w:style>
  <w:style w:type="paragraph" w:customStyle="1" w:styleId="ECHRTitleTOC1">
    <w:name w:val="ECHR_Title_TOC_1"/>
    <w:aliases w:val="_Title_L_TOC"/>
    <w:basedOn w:val="ECHRTitle1"/>
    <w:next w:val="Normalny"/>
    <w:uiPriority w:val="27"/>
    <w:semiHidden/>
    <w:qFormat/>
    <w:rsid w:val="00025CEF"/>
    <w:pPr>
      <w:outlineLvl w:val="0"/>
    </w:pPr>
  </w:style>
  <w:style w:type="paragraph" w:customStyle="1" w:styleId="ECHRPlaceholder">
    <w:name w:val="ECHR_Placeholder"/>
    <w:aliases w:val="_Placeholder"/>
    <w:basedOn w:val="JuSigned"/>
    <w:uiPriority w:val="31"/>
    <w:rsid w:val="00025CEF"/>
    <w:rPr>
      <w:color w:val="FFFFFF"/>
    </w:rPr>
  </w:style>
  <w:style w:type="paragraph" w:customStyle="1" w:styleId="ECHRSpacer">
    <w:name w:val="ECHR_Spacer"/>
    <w:aliases w:val="_Spacer"/>
    <w:basedOn w:val="Normalny"/>
    <w:uiPriority w:val="45"/>
    <w:semiHidden/>
    <w:rsid w:val="00025CEF"/>
    <w:rPr>
      <w:sz w:val="4"/>
    </w:rPr>
  </w:style>
  <w:style w:type="table" w:customStyle="1" w:styleId="ECHRTableGrey">
    <w:name w:val="ECHR_Table_Grey"/>
    <w:basedOn w:val="Standardowy"/>
    <w:uiPriority w:val="99"/>
    <w:rsid w:val="00025CEF"/>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025CEF"/>
    <w:rPr>
      <w:color w:val="605E5C"/>
      <w:shd w:val="clear" w:color="auto" w:fill="E1DFDD"/>
    </w:rPr>
  </w:style>
  <w:style w:type="character" w:customStyle="1" w:styleId="JuParaChar">
    <w:name w:val="Ju_Para Char"/>
    <w:aliases w:val="_Para Char"/>
    <w:link w:val="JuPara"/>
    <w:uiPriority w:val="4"/>
    <w:rsid w:val="005C744B"/>
    <w:rPr>
      <w:sz w:val="24"/>
      <w:szCs w:val="24"/>
      <w:lang w:val="pl-PL"/>
    </w:rPr>
  </w:style>
  <w:style w:type="table" w:styleId="Tabelasiatki1jasna">
    <w:name w:val="Grid Table 1 Light"/>
    <w:basedOn w:val="Standardowy"/>
    <w:uiPriority w:val="46"/>
    <w:semiHidden/>
    <w:rsid w:val="005C744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5C744B"/>
    <w:rPr>
      <w:smallCaps/>
    </w:rPr>
  </w:style>
  <w:style w:type="paragraph" w:customStyle="1" w:styleId="JuList4">
    <w:name w:val="Ju_List_4"/>
    <w:aliases w:val="N_Bul_4"/>
    <w:basedOn w:val="JuListi"/>
    <w:uiPriority w:val="19"/>
    <w:rsid w:val="005C744B"/>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5C744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C744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C744B"/>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C744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C744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C744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C744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C744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C744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C744B"/>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5C744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C744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C744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C744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C744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C744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C744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5C744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C744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C744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C744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C744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C744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C744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5C744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C744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C744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C744B"/>
    <w:rPr>
      <w:color w:val="2B579A"/>
      <w:shd w:val="clear" w:color="auto" w:fill="E1DFDD"/>
    </w:rPr>
  </w:style>
  <w:style w:type="table" w:styleId="Tabelalisty1jasna">
    <w:name w:val="List Table 1 Light"/>
    <w:basedOn w:val="Standardowy"/>
    <w:uiPriority w:val="46"/>
    <w:semiHidden/>
    <w:rsid w:val="005C744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C744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C744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C744B"/>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5C744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C744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C744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C744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C744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C744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C744B"/>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5C744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C744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C744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C744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C744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C744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C744B"/>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5C744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C744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C744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C744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C744B"/>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C744B"/>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C744B"/>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C744B"/>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C744B"/>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C744B"/>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C744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C744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C744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C744B"/>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5C744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C744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C744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C744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C744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C744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C744B"/>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C744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C744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C744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C744B"/>
    <w:rPr>
      <w:color w:val="2B579A"/>
      <w:shd w:val="clear" w:color="auto" w:fill="E1DFDD"/>
    </w:rPr>
  </w:style>
  <w:style w:type="table" w:styleId="Zwykatabela1">
    <w:name w:val="Plain Table 1"/>
    <w:basedOn w:val="Standardowy"/>
    <w:uiPriority w:val="41"/>
    <w:semiHidden/>
    <w:rsid w:val="005C744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5C744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C744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C744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5C744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C744B"/>
    <w:rPr>
      <w:u w:val="dotted"/>
    </w:rPr>
  </w:style>
  <w:style w:type="character" w:styleId="Inteligentnylink">
    <w:name w:val="Smart Link"/>
    <w:basedOn w:val="Domylnaczcionkaakapitu"/>
    <w:uiPriority w:val="99"/>
    <w:semiHidden/>
    <w:unhideWhenUsed/>
    <w:rsid w:val="005C744B"/>
    <w:rPr>
      <w:color w:val="0000FF"/>
      <w:u w:val="single"/>
      <w:shd w:val="clear" w:color="auto" w:fill="F3F2F1"/>
    </w:rPr>
  </w:style>
  <w:style w:type="table" w:styleId="Siatkatabelijasna">
    <w:name w:val="Grid Table Light"/>
    <w:basedOn w:val="Standardowy"/>
    <w:uiPriority w:val="40"/>
    <w:semiHidden/>
    <w:rsid w:val="005C744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5C744B"/>
    <w:rPr>
      <w:sz w:val="24"/>
      <w:szCs w:val="24"/>
    </w:rPr>
  </w:style>
  <w:style w:type="character" w:customStyle="1" w:styleId="hgkelc">
    <w:name w:val="hgkelc"/>
    <w:basedOn w:val="Domylnaczcionkaakapitu"/>
    <w:rsid w:val="00C76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8126</Words>
  <Characters>48758</Characters>
  <Application>Microsoft Office Word</Application>
  <DocSecurity>0</DocSecurity>
  <Lines>406</Lines>
  <Paragraphs>113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56771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2024-03-27T12:06:00Z</dcterms:created>
  <dcterms:modified xsi:type="dcterms:W3CDTF">2024-04-02T10:56:00Z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978710</vt:lpwstr>
  </property>
  <property fmtid="{D5CDD505-2E9C-101B-9397-08002B2CF9AE}" pid="3" name="cstLanguage">
    <vt:i4>2057</vt:i4>
  </property>
  <property fmtid="{D5CDD505-2E9C-101B-9397-08002B2CF9AE}" pid="4" name="RegisteredNo">
    <vt:lpwstr>16974/14</vt:lpwstr>
  </property>
</Properties>
</file>