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2EE71" w14:textId="77777777" w:rsidR="00A751C0" w:rsidRPr="0018779E" w:rsidRDefault="00A751C0" w:rsidP="00A751C0">
      <w:pPr>
        <w:spacing w:before="100" w:beforeAutospacing="1" w:after="120"/>
        <w:jc w:val="both"/>
        <w:rPr>
          <w:rFonts w:ascii="Times New Roman" w:hAnsi="Times New Roman" w:cs="Times New Roman"/>
          <w:sz w:val="20"/>
          <w:lang w:val="en-US"/>
        </w:rPr>
      </w:pPr>
      <w:bookmarkStart w:id="0" w:name="_GoBack"/>
      <w:bookmarkEnd w:id="0"/>
      <w:r w:rsidRPr="0018779E">
        <w:rPr>
          <w:rFonts w:ascii="Times New Roman" w:hAnsi="Times New Roman" w:cs="Times New Roman"/>
          <w:sz w:val="20"/>
          <w:lang w:val="en-US"/>
        </w:rPr>
        <w:t xml:space="preserve">© Ministerstwo Sprawiedliwości, </w:t>
      </w:r>
      <w:hyperlink r:id="rId8" w:history="1">
        <w:r w:rsidRPr="0018779E">
          <w:rPr>
            <w:rStyle w:val="Hipercze"/>
            <w:rFonts w:ascii="Times New Roman" w:hAnsi="Times New Roman" w:cs="Times New Roman"/>
            <w:sz w:val="20"/>
            <w:lang w:val="en-US"/>
          </w:rPr>
          <w:t>www.gov.pl/web/sprawiedliwosc</w:t>
        </w:r>
      </w:hyperlink>
      <w:r w:rsidRPr="0018779E">
        <w:rPr>
          <w:rFonts w:ascii="Times New Roman" w:hAnsi="Times New Roman" w:cs="Times New Roman"/>
          <w:sz w:val="20"/>
          <w:lang w:val="en-US"/>
        </w:rPr>
        <w:t xml:space="preserve"> [Translation already published on the official website of the Polish Ministry of Justice] Permission to re-publish this translation has been granted by the Polish Ministry of Justice for the sole purpose of its inclusion in the Court’s database </w:t>
      </w:r>
      <w:proofErr w:type="spellStart"/>
      <w:r w:rsidRPr="0018779E">
        <w:rPr>
          <w:rFonts w:ascii="Times New Roman" w:hAnsi="Times New Roman" w:cs="Times New Roman"/>
          <w:sz w:val="20"/>
          <w:lang w:val="en-US"/>
        </w:rPr>
        <w:t>HUDOC</w:t>
      </w:r>
      <w:proofErr w:type="spellEnd"/>
    </w:p>
    <w:p w14:paraId="61222F14" w14:textId="77777777" w:rsidR="00A751C0" w:rsidRPr="00A751C0" w:rsidRDefault="00A751C0" w:rsidP="00A751C0">
      <w:pPr>
        <w:spacing w:before="100" w:beforeAutospacing="1" w:after="120"/>
        <w:jc w:val="both"/>
        <w:rPr>
          <w:rFonts w:ascii="Times New Roman" w:hAnsi="Times New Roman" w:cs="Times New Roman"/>
          <w:sz w:val="20"/>
          <w:lang w:val="pl-PL"/>
        </w:rPr>
      </w:pPr>
      <w:r w:rsidRPr="00A751C0">
        <w:rPr>
          <w:rFonts w:ascii="Times New Roman" w:hAnsi="Times New Roman" w:cs="Times New Roman"/>
          <w:sz w:val="20"/>
          <w:lang w:val="pl-PL"/>
        </w:rPr>
        <w:t xml:space="preserve">© Ministerstwo Sprawiedliwości, </w:t>
      </w:r>
      <w:hyperlink r:id="rId9" w:history="1">
        <w:r w:rsidRPr="00A751C0">
          <w:rPr>
            <w:rStyle w:val="Hipercze"/>
            <w:rFonts w:ascii="Times New Roman" w:hAnsi="Times New Roman" w:cs="Times New Roman"/>
            <w:sz w:val="20"/>
            <w:lang w:val="pl-PL"/>
          </w:rPr>
          <w:t>www.gov.pl/web/sprawiedliwosc</w:t>
        </w:r>
      </w:hyperlink>
      <w:r w:rsidRPr="00A751C0">
        <w:rPr>
          <w:rFonts w:ascii="Times New Roman" w:hAnsi="Times New Roman" w:cs="Times New Roman"/>
          <w:sz w:val="20"/>
          <w:lang w:val="pl-PL"/>
        </w:rPr>
        <w:t xml:space="preserve"> [Tłumaczenie zostało już opublikowane na oficjalnej stronie Ministerstwa Sprawiedliwości] Zezwolenie na publikację tego tłumaczenia zostało udzielone przez Ministerstwo Sprawiedliwości wyłącznie w celu zamieszczenia w bazie Trybunału </w:t>
      </w:r>
      <w:proofErr w:type="spellStart"/>
      <w:r w:rsidRPr="00A751C0">
        <w:rPr>
          <w:rFonts w:ascii="Times New Roman" w:hAnsi="Times New Roman" w:cs="Times New Roman"/>
          <w:sz w:val="20"/>
          <w:lang w:val="pl-PL"/>
        </w:rPr>
        <w:t>HUDOC</w:t>
      </w:r>
      <w:proofErr w:type="spellEnd"/>
      <w:r w:rsidRPr="00A751C0">
        <w:rPr>
          <w:rFonts w:ascii="Times New Roman" w:hAnsi="Times New Roman" w:cs="Times New Roman"/>
          <w:sz w:val="20"/>
          <w:lang w:val="pl-PL"/>
        </w:rPr>
        <w:t xml:space="preserve"> </w:t>
      </w:r>
    </w:p>
    <w:p w14:paraId="51646B89" w14:textId="77777777" w:rsidR="005C2388" w:rsidRPr="00A751C0" w:rsidRDefault="005C2388" w:rsidP="00710B05">
      <w:pPr>
        <w:jc w:val="center"/>
        <w:rPr>
          <w:lang w:val="pl-PL"/>
        </w:rPr>
      </w:pPr>
    </w:p>
    <w:p w14:paraId="147E4D6D" w14:textId="77777777" w:rsidR="0098410D" w:rsidRPr="007D0212" w:rsidRDefault="006F0F0E" w:rsidP="001E1E7E">
      <w:pPr>
        <w:pStyle w:val="DecHTitle"/>
        <w:spacing w:after="120"/>
        <w:rPr>
          <w:lang w:val="pl-PL"/>
        </w:rPr>
      </w:pPr>
      <w:r>
        <w:rPr>
          <w:lang w:val="pl"/>
        </w:rPr>
        <w:t>SEKCJA PIERWSZA</w:t>
      </w:r>
    </w:p>
    <w:p w14:paraId="4C6CFC3B" w14:textId="77777777" w:rsidR="008E6217" w:rsidRPr="007D0212" w:rsidRDefault="006F0F0E" w:rsidP="00A1786A">
      <w:pPr>
        <w:pStyle w:val="JuTitle"/>
        <w:spacing w:before="960"/>
        <w:rPr>
          <w:lang w:val="pl-PL"/>
        </w:rPr>
      </w:pPr>
      <w:r>
        <w:rPr>
          <w:bCs/>
          <w:color w:val="000000" w:themeColor="text1"/>
          <w:lang w:val="pl"/>
        </w:rPr>
        <w:t xml:space="preserve">SPRAWA </w:t>
      </w:r>
      <w:r>
        <w:rPr>
          <w:bCs/>
          <w:lang w:val="pl"/>
        </w:rPr>
        <w:t>STOWARZYSZENIE OSÓB NARODOWOŚCI ŚLĄSKIEJ (W LIKWIDACJI) przeciwko POLSCE</w:t>
      </w:r>
    </w:p>
    <w:p w14:paraId="0C152EAA" w14:textId="77777777" w:rsidR="00D74888" w:rsidRPr="007D0212" w:rsidRDefault="006F0F0E" w:rsidP="00710B05">
      <w:pPr>
        <w:pStyle w:val="ECHRCoverTitle4"/>
        <w:rPr>
          <w:lang w:val="pl-PL"/>
        </w:rPr>
      </w:pPr>
      <w:r>
        <w:rPr>
          <w:iCs/>
          <w:lang w:val="pl"/>
        </w:rPr>
        <w:t>(Skarga nr 26821/17)</w:t>
      </w:r>
    </w:p>
    <w:p w14:paraId="23ABF152" w14:textId="77777777" w:rsidR="0098410D" w:rsidRPr="007D0212" w:rsidRDefault="0098410D" w:rsidP="00710B05">
      <w:pPr>
        <w:pStyle w:val="DecHCase"/>
        <w:rPr>
          <w:lang w:val="pl-PL"/>
        </w:rPr>
      </w:pPr>
    </w:p>
    <w:p w14:paraId="7007066D" w14:textId="5087EE0C" w:rsidR="0098410D" w:rsidRPr="001E1E7E" w:rsidRDefault="006F0F0E" w:rsidP="00710B05">
      <w:pPr>
        <w:pStyle w:val="DecHCase"/>
        <w:spacing w:after="360"/>
        <w:rPr>
          <w:lang w:val="pl"/>
        </w:rPr>
      </w:pPr>
      <w:r>
        <w:rPr>
          <w:lang w:val="pl"/>
        </w:rPr>
        <w:t>WYROK</w:t>
      </w:r>
    </w:p>
    <w:p w14:paraId="588E71E4" w14:textId="77777777" w:rsidR="00F84A0F" w:rsidRPr="007D0212" w:rsidRDefault="006F0F0E" w:rsidP="00710B05">
      <w:pPr>
        <w:pStyle w:val="JuPara"/>
        <w:pBdr>
          <w:top w:val="single" w:sz="4" w:space="1" w:color="auto"/>
          <w:left w:val="single" w:sz="4" w:space="4" w:color="auto"/>
          <w:bottom w:val="single" w:sz="4" w:space="1" w:color="auto"/>
          <w:right w:val="single" w:sz="4" w:space="4" w:color="auto"/>
        </w:pBdr>
        <w:ind w:firstLine="0"/>
        <w:rPr>
          <w:lang w:val="pl-PL"/>
        </w:rPr>
      </w:pPr>
      <w:r>
        <w:rPr>
          <w:lang w:val="pl"/>
        </w:rPr>
        <w:t>Art. 11 • Wolność stowarzyszania się • Rozwiązanie i zarządzenie likwidacji skarżącego stowarzyszenia nieoparte na istotnych i wystarczających powodach • Brak wykazania, że kwestionowany środek realizował „pilną potrzebę społeczną”</w:t>
      </w:r>
    </w:p>
    <w:p w14:paraId="6BB4200D" w14:textId="77777777" w:rsidR="00A1786A" w:rsidRPr="007D0212" w:rsidRDefault="00A1786A" w:rsidP="00710B05">
      <w:pPr>
        <w:pStyle w:val="JuPara"/>
        <w:pBdr>
          <w:top w:val="single" w:sz="4" w:space="1" w:color="auto"/>
          <w:left w:val="single" w:sz="4" w:space="4" w:color="auto"/>
          <w:bottom w:val="single" w:sz="4" w:space="1" w:color="auto"/>
          <w:right w:val="single" w:sz="4" w:space="4" w:color="auto"/>
        </w:pBdr>
        <w:ind w:firstLine="0"/>
        <w:rPr>
          <w:lang w:val="pl-PL"/>
        </w:rPr>
      </w:pPr>
    </w:p>
    <w:p w14:paraId="783E85F6" w14:textId="77777777" w:rsidR="00A1786A" w:rsidRPr="007D0212" w:rsidRDefault="006F0F0E" w:rsidP="00A1786A">
      <w:pPr>
        <w:pStyle w:val="JuPara"/>
        <w:pBdr>
          <w:top w:val="single" w:sz="4" w:space="1" w:color="auto"/>
          <w:left w:val="single" w:sz="4" w:space="4" w:color="auto"/>
          <w:bottom w:val="single" w:sz="4" w:space="1" w:color="auto"/>
          <w:right w:val="single" w:sz="4" w:space="4" w:color="auto"/>
        </w:pBdr>
        <w:ind w:firstLine="0"/>
        <w:jc w:val="center"/>
        <w:rPr>
          <w:lang w:val="pl-PL"/>
        </w:rPr>
      </w:pPr>
      <w:bookmarkStart w:id="1" w:name="_Hlk158113039"/>
      <w:r>
        <w:rPr>
          <w:sz w:val="20"/>
          <w:szCs w:val="20"/>
          <w:lang w:val="pl"/>
        </w:rPr>
        <w:t>Dokument przygotowała Kancelaria. Nie jest wiążący dla Trybunału.</w:t>
      </w:r>
      <w:bookmarkEnd w:id="1"/>
    </w:p>
    <w:p w14:paraId="2BB212B0" w14:textId="77777777" w:rsidR="0098410D" w:rsidRPr="007D0212" w:rsidRDefault="006F0F0E" w:rsidP="001E1E7E">
      <w:pPr>
        <w:pStyle w:val="DecHCase"/>
        <w:spacing w:before="120"/>
        <w:rPr>
          <w:lang w:val="pl-PL"/>
        </w:rPr>
      </w:pPr>
      <w:r>
        <w:rPr>
          <w:lang w:val="pl"/>
        </w:rPr>
        <w:t>STRASBURG</w:t>
      </w:r>
    </w:p>
    <w:p w14:paraId="6983C2CD" w14:textId="77777777" w:rsidR="0098410D" w:rsidRPr="007D0212" w:rsidRDefault="006F0F0E" w:rsidP="00710B05">
      <w:pPr>
        <w:pStyle w:val="DecHCase"/>
        <w:rPr>
          <w:lang w:val="pl-PL"/>
        </w:rPr>
      </w:pPr>
      <w:r>
        <w:rPr>
          <w:rFonts w:ascii="Times New Roman" w:hAnsi="Times New Roman" w:cs="Times New Roman"/>
          <w:lang w:val="pl"/>
        </w:rPr>
        <w:t>14 marca 2024 r.</w:t>
      </w:r>
    </w:p>
    <w:p w14:paraId="289946C8" w14:textId="0A6F423B" w:rsidR="00074A5D" w:rsidRPr="00675AC8" w:rsidRDefault="00074A5D" w:rsidP="00DB6B47">
      <w:pPr>
        <w:pStyle w:val="s598389fb"/>
        <w:shd w:val="clear" w:color="auto" w:fill="FFFFFF"/>
        <w:spacing w:before="0" w:beforeAutospacing="0" w:after="120" w:afterAutospacing="0"/>
        <w:jc w:val="center"/>
        <w:rPr>
          <w:rFonts w:asciiTheme="majorHAnsi" w:hAnsiTheme="majorHAnsi" w:cstheme="majorHAnsi"/>
          <w:color w:val="000000"/>
          <w:sz w:val="28"/>
          <w:szCs w:val="28"/>
        </w:rPr>
      </w:pPr>
      <w:bookmarkStart w:id="2" w:name="_Hlk59704667"/>
      <w:r w:rsidRPr="00675AC8">
        <w:rPr>
          <w:rStyle w:val="sf5e1c6cf"/>
          <w:rFonts w:asciiTheme="majorHAnsi" w:hAnsiTheme="majorHAnsi" w:cstheme="majorHAnsi"/>
          <w:b/>
          <w:bCs/>
          <w:color w:val="FF0000"/>
          <w:sz w:val="28"/>
          <w:szCs w:val="28"/>
          <w:u w:val="single"/>
        </w:rPr>
        <w:t>OSTATECZNY</w:t>
      </w:r>
      <w:bookmarkEnd w:id="2"/>
    </w:p>
    <w:p w14:paraId="13C6E904" w14:textId="6E4A3EB7" w:rsidR="00074A5D" w:rsidRPr="00675AC8" w:rsidRDefault="00074A5D" w:rsidP="00DB6B47">
      <w:pPr>
        <w:pStyle w:val="sfe10dc93"/>
        <w:shd w:val="clear" w:color="auto" w:fill="FFFFFF"/>
        <w:spacing w:before="0" w:beforeAutospacing="0" w:after="120" w:afterAutospacing="0"/>
        <w:jc w:val="center"/>
        <w:rPr>
          <w:rFonts w:asciiTheme="majorHAnsi" w:hAnsiTheme="majorHAnsi" w:cstheme="majorHAnsi"/>
          <w:color w:val="000000"/>
          <w:sz w:val="28"/>
          <w:szCs w:val="28"/>
        </w:rPr>
      </w:pPr>
      <w:r w:rsidRPr="00675AC8">
        <w:rPr>
          <w:rStyle w:val="se208486f"/>
          <w:rFonts w:asciiTheme="majorHAnsi" w:hAnsiTheme="majorHAnsi" w:cstheme="majorHAnsi"/>
          <w:color w:val="FF0000"/>
          <w:sz w:val="28"/>
          <w:szCs w:val="28"/>
        </w:rPr>
        <w:t> 14/06/2024</w:t>
      </w:r>
    </w:p>
    <w:p w14:paraId="131814C0" w14:textId="16F483E1" w:rsidR="002422B6" w:rsidRPr="007D0212" w:rsidRDefault="006F0F0E" w:rsidP="00DA5D78">
      <w:pPr>
        <w:jc w:val="center"/>
        <w:rPr>
          <w:i/>
          <w:sz w:val="22"/>
          <w:lang w:val="pl-PL"/>
        </w:rPr>
      </w:pPr>
      <w:r>
        <w:rPr>
          <w:i/>
          <w:iCs/>
          <w:sz w:val="22"/>
          <w:lang w:val="pl"/>
        </w:rPr>
        <w:t>Wyrok sta</w:t>
      </w:r>
      <w:r w:rsidR="0063504B">
        <w:rPr>
          <w:i/>
          <w:iCs/>
          <w:sz w:val="22"/>
          <w:lang w:val="pl"/>
        </w:rPr>
        <w:t>ł</w:t>
      </w:r>
      <w:r>
        <w:rPr>
          <w:i/>
          <w:iCs/>
          <w:sz w:val="22"/>
          <w:lang w:val="pl"/>
        </w:rPr>
        <w:t xml:space="preserve"> się ostateczny zgodnie z warunkami określonymi w art. 44 ust. 2 Konwencji. Wyrok może podlegać korekcie wydawniczej.</w:t>
      </w:r>
    </w:p>
    <w:p w14:paraId="1DE0BD9A" w14:textId="77777777" w:rsidR="0098410D" w:rsidRPr="007D0212" w:rsidRDefault="0098410D" w:rsidP="00710B05">
      <w:pPr>
        <w:rPr>
          <w:lang w:val="pl-PL"/>
        </w:rPr>
      </w:pPr>
    </w:p>
    <w:p w14:paraId="51D68B18" w14:textId="77777777" w:rsidR="005C2388" w:rsidRPr="007D0212" w:rsidRDefault="005C2388" w:rsidP="00710B05">
      <w:pPr>
        <w:rPr>
          <w:lang w:val="pl-PL"/>
        </w:rPr>
        <w:sectPr w:rsidR="005C2388" w:rsidRPr="007D0212" w:rsidSect="00502EFD">
          <w:headerReference w:type="default"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EA302DE" w14:textId="77777777" w:rsidR="0098410D" w:rsidRPr="007D0212" w:rsidRDefault="006F0F0E" w:rsidP="00710B05">
      <w:pPr>
        <w:pStyle w:val="JuCase"/>
        <w:rPr>
          <w:lang w:val="pl-PL"/>
        </w:rPr>
      </w:pPr>
      <w:r>
        <w:rPr>
          <w:bCs/>
          <w:lang w:val="pl"/>
        </w:rPr>
        <w:lastRenderedPageBreak/>
        <w:t>W sprawie Stowarzyszenie Osób Narodowości Śląskiej (w likwidacji) przeciwko Polsce,</w:t>
      </w:r>
    </w:p>
    <w:p w14:paraId="3EB1CEBF" w14:textId="77777777" w:rsidR="009F4C8F" w:rsidRPr="007D0212" w:rsidRDefault="006F0F0E" w:rsidP="00710B05">
      <w:pPr>
        <w:pStyle w:val="JuPara"/>
        <w:rPr>
          <w:lang w:val="pl-PL"/>
        </w:rPr>
      </w:pPr>
      <w:r>
        <w:rPr>
          <w:lang w:val="pl"/>
        </w:rPr>
        <w:t>Europejski Trybunał Praw Człowieka (Sekcja Pierwsza), zasiadając jako Izba w składzie:</w:t>
      </w:r>
    </w:p>
    <w:p w14:paraId="465555E5" w14:textId="28C8260F" w:rsidR="00A92625" w:rsidRPr="007D0212" w:rsidRDefault="006F0F0E" w:rsidP="00710B05">
      <w:pPr>
        <w:pStyle w:val="JuJudges"/>
        <w:rPr>
          <w:lang w:val="pl"/>
        </w:rPr>
      </w:pPr>
      <w:r>
        <w:rPr>
          <w:lang w:val="pl"/>
        </w:rPr>
        <w:tab/>
        <w:t xml:space="preserve">Marko </w:t>
      </w:r>
      <w:proofErr w:type="spellStart"/>
      <w:r>
        <w:rPr>
          <w:lang w:val="pl"/>
        </w:rPr>
        <w:t>Bošnjak</w:t>
      </w:r>
      <w:proofErr w:type="spellEnd"/>
      <w:r>
        <w:rPr>
          <w:i/>
          <w:iCs/>
          <w:lang w:val="pl"/>
        </w:rPr>
        <w:t>, Przewodniczący</w:t>
      </w:r>
      <w:r>
        <w:rPr>
          <w:lang w:val="pl"/>
        </w:rPr>
        <w:t>,</w:t>
      </w:r>
      <w:r>
        <w:rPr>
          <w:lang w:val="pl"/>
        </w:rPr>
        <w:br/>
      </w:r>
      <w:r>
        <w:rPr>
          <w:lang w:val="pl"/>
        </w:rPr>
        <w:tab/>
      </w:r>
      <w:proofErr w:type="spellStart"/>
      <w:r>
        <w:rPr>
          <w:lang w:val="pl"/>
        </w:rPr>
        <w:t>Péter</w:t>
      </w:r>
      <w:proofErr w:type="spellEnd"/>
      <w:r>
        <w:rPr>
          <w:lang w:val="pl"/>
        </w:rPr>
        <w:t xml:space="preserve"> </w:t>
      </w:r>
      <w:proofErr w:type="spellStart"/>
      <w:r>
        <w:rPr>
          <w:lang w:val="pl"/>
        </w:rPr>
        <w:t>Paczolay</w:t>
      </w:r>
      <w:proofErr w:type="spellEnd"/>
      <w:r>
        <w:rPr>
          <w:lang w:val="pl"/>
        </w:rPr>
        <w:t>,</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t xml:space="preserve">Alena </w:t>
      </w:r>
      <w:proofErr w:type="spellStart"/>
      <w:r>
        <w:rPr>
          <w:lang w:val="pl"/>
        </w:rPr>
        <w:t>Poláčková</w:t>
      </w:r>
      <w:proofErr w:type="spellEnd"/>
      <w:r>
        <w:rPr>
          <w:lang w:val="pl"/>
        </w:rPr>
        <w:t>,</w:t>
      </w:r>
      <w:r>
        <w:rPr>
          <w:lang w:val="pl"/>
        </w:rPr>
        <w:br/>
      </w:r>
      <w:r>
        <w:rPr>
          <w:lang w:val="pl"/>
        </w:rPr>
        <w:tab/>
      </w:r>
      <w:proofErr w:type="spellStart"/>
      <w:r>
        <w:rPr>
          <w:lang w:val="pl"/>
        </w:rPr>
        <w:t>Lətif</w:t>
      </w:r>
      <w:proofErr w:type="spellEnd"/>
      <w:r>
        <w:rPr>
          <w:lang w:val="pl"/>
        </w:rPr>
        <w:t xml:space="preserve"> </w:t>
      </w:r>
      <w:proofErr w:type="spellStart"/>
      <w:r>
        <w:rPr>
          <w:lang w:val="pl"/>
        </w:rPr>
        <w:t>Hüseynov</w:t>
      </w:r>
      <w:proofErr w:type="spellEnd"/>
      <w:r>
        <w:rPr>
          <w:lang w:val="pl"/>
        </w:rPr>
        <w:t>,</w:t>
      </w:r>
      <w:r>
        <w:rPr>
          <w:lang w:val="pl"/>
        </w:rPr>
        <w:br/>
      </w:r>
      <w:r>
        <w:rPr>
          <w:lang w:val="pl"/>
        </w:rPr>
        <w:tab/>
        <w:t xml:space="preserve">Ivana </w:t>
      </w:r>
      <w:proofErr w:type="spellStart"/>
      <w:r>
        <w:rPr>
          <w:lang w:val="pl"/>
        </w:rPr>
        <w:t>Jelić</w:t>
      </w:r>
      <w:proofErr w:type="spellEnd"/>
      <w:r>
        <w:rPr>
          <w:lang w:val="pl"/>
        </w:rPr>
        <w:t>,</w:t>
      </w:r>
      <w:r>
        <w:rPr>
          <w:lang w:val="pl"/>
        </w:rPr>
        <w:br/>
      </w:r>
      <w:r>
        <w:rPr>
          <w:lang w:val="pl"/>
        </w:rPr>
        <w:tab/>
        <w:t xml:space="preserve">Gilberto </w:t>
      </w:r>
      <w:proofErr w:type="spellStart"/>
      <w:r>
        <w:rPr>
          <w:lang w:val="pl"/>
        </w:rPr>
        <w:t>Felici</w:t>
      </w:r>
      <w:proofErr w:type="spellEnd"/>
      <w:r>
        <w:rPr>
          <w:i/>
          <w:iCs/>
          <w:lang w:val="pl"/>
        </w:rPr>
        <w:t xml:space="preserve">, </w:t>
      </w:r>
      <w:r w:rsidR="00502821">
        <w:rPr>
          <w:i/>
          <w:iCs/>
          <w:lang w:val="pl"/>
        </w:rPr>
        <w:t>Sędziowie</w:t>
      </w:r>
      <w:r>
        <w:rPr>
          <w:lang w:val="pl"/>
        </w:rPr>
        <w:t>,</w:t>
      </w:r>
      <w:r>
        <w:rPr>
          <w:lang w:val="pl"/>
        </w:rPr>
        <w:br/>
        <w:t xml:space="preserve">i </w:t>
      </w:r>
      <w:proofErr w:type="spellStart"/>
      <w:r>
        <w:rPr>
          <w:lang w:val="pl"/>
        </w:rPr>
        <w:t>Ilse</w:t>
      </w:r>
      <w:proofErr w:type="spellEnd"/>
      <w:r>
        <w:rPr>
          <w:lang w:val="pl"/>
        </w:rPr>
        <w:t xml:space="preserve"> </w:t>
      </w:r>
      <w:proofErr w:type="spellStart"/>
      <w:r>
        <w:rPr>
          <w:lang w:val="pl"/>
        </w:rPr>
        <w:t>Freiwirth</w:t>
      </w:r>
      <w:proofErr w:type="spellEnd"/>
      <w:r>
        <w:rPr>
          <w:lang w:val="pl"/>
        </w:rPr>
        <w:t xml:space="preserve">, </w:t>
      </w:r>
      <w:r>
        <w:rPr>
          <w:i/>
          <w:iCs/>
          <w:lang w:val="pl"/>
        </w:rPr>
        <w:t>Kanclerz Sekcji,</w:t>
      </w:r>
    </w:p>
    <w:p w14:paraId="52CD0A3B" w14:textId="77777777" w:rsidR="00234A94" w:rsidRPr="007D0212" w:rsidRDefault="006F0F0E" w:rsidP="00710B05">
      <w:pPr>
        <w:pStyle w:val="JuPara"/>
        <w:rPr>
          <w:lang w:val="pl-PL"/>
        </w:rPr>
      </w:pPr>
      <w:r>
        <w:rPr>
          <w:lang w:val="pl"/>
        </w:rPr>
        <w:t>Uwzględniając:</w:t>
      </w:r>
    </w:p>
    <w:p w14:paraId="1F0E63AF" w14:textId="1AD7F625" w:rsidR="00234A94" w:rsidRPr="007D0212" w:rsidRDefault="006F0F0E" w:rsidP="00710B05">
      <w:pPr>
        <w:pStyle w:val="JuPara"/>
        <w:rPr>
          <w:lang w:val="pl-PL"/>
        </w:rPr>
      </w:pPr>
      <w:r>
        <w:rPr>
          <w:lang w:val="pl"/>
        </w:rPr>
        <w:t>skargę (nr 26821/17) przeciwko Rzeczypospolitej Polskiej wniesioną do Trybunału w dniu 29 marca 2017 r. na podstawie art. 34 Konwencji o</w:t>
      </w:r>
      <w:r w:rsidR="00B911F6">
        <w:rPr>
          <w:lang w:val="pl"/>
        </w:rPr>
        <w:t> </w:t>
      </w:r>
      <w:r>
        <w:rPr>
          <w:lang w:val="pl"/>
        </w:rPr>
        <w:t>ochronie praw człowieka i podstawowych wolności („Konwencja”) przez stowarzyszenie polskie, Stowarzyszenie Osób Narodowości Śląskiej w</w:t>
      </w:r>
      <w:r w:rsidR="00B911F6">
        <w:rPr>
          <w:lang w:val="pl"/>
        </w:rPr>
        <w:t> </w:t>
      </w:r>
      <w:r>
        <w:rPr>
          <w:lang w:val="pl"/>
        </w:rPr>
        <w:t>likwidacji („skarżące stowarzyszenie”);</w:t>
      </w:r>
    </w:p>
    <w:p w14:paraId="0612F9C8" w14:textId="1F965D47" w:rsidR="00234A94" w:rsidRPr="007D0212" w:rsidRDefault="006F0F0E" w:rsidP="00710B05">
      <w:pPr>
        <w:pStyle w:val="JuPara"/>
        <w:rPr>
          <w:lang w:val="pl-PL"/>
        </w:rPr>
      </w:pPr>
      <w:r>
        <w:rPr>
          <w:lang w:val="pl"/>
        </w:rPr>
        <w:t xml:space="preserve">decyzję o </w:t>
      </w:r>
      <w:r w:rsidR="006E0D41">
        <w:rPr>
          <w:lang w:val="pl"/>
        </w:rPr>
        <w:t xml:space="preserve">zakomunikowaniu </w:t>
      </w:r>
      <w:r>
        <w:rPr>
          <w:lang w:val="pl"/>
        </w:rPr>
        <w:t>Rząd</w:t>
      </w:r>
      <w:r w:rsidR="006E0D41">
        <w:rPr>
          <w:lang w:val="pl"/>
        </w:rPr>
        <w:t>owi</w:t>
      </w:r>
      <w:r>
        <w:rPr>
          <w:lang w:val="pl"/>
        </w:rPr>
        <w:t xml:space="preserve"> Rzeczypospolitej Polskiej („Rząd”) </w:t>
      </w:r>
      <w:r w:rsidR="006E0D41">
        <w:rPr>
          <w:lang w:val="pl"/>
        </w:rPr>
        <w:t>skargi</w:t>
      </w:r>
      <w:r>
        <w:rPr>
          <w:lang w:val="pl"/>
        </w:rPr>
        <w:t xml:space="preserve"> dotyczącej art. 11 Konwencji;</w:t>
      </w:r>
    </w:p>
    <w:p w14:paraId="210532E4" w14:textId="77777777" w:rsidR="00234A94" w:rsidRPr="007D0212" w:rsidRDefault="006F0F0E" w:rsidP="00710B05">
      <w:pPr>
        <w:pStyle w:val="JuPara"/>
        <w:rPr>
          <w:lang w:val="pl-PL"/>
        </w:rPr>
      </w:pPr>
      <w:r>
        <w:rPr>
          <w:lang w:val="pl"/>
        </w:rPr>
        <w:t>uwagi stron;</w:t>
      </w:r>
    </w:p>
    <w:p w14:paraId="5F7E285F" w14:textId="77777777" w:rsidR="009F4C8F" w:rsidRPr="007D0212" w:rsidRDefault="006F0F0E" w:rsidP="00710B05">
      <w:pPr>
        <w:pStyle w:val="JuPara"/>
        <w:rPr>
          <w:lang w:val="pl-PL"/>
        </w:rPr>
      </w:pPr>
      <w:r>
        <w:rPr>
          <w:lang w:val="pl"/>
        </w:rPr>
        <w:t>Obradując na posiedzeniu niejawnym w dniu 7 marca 2023 r. oraz 13 lutego 2024 r.,</w:t>
      </w:r>
    </w:p>
    <w:p w14:paraId="05DFB2A9" w14:textId="77777777" w:rsidR="009F4C8F" w:rsidRPr="007D0212" w:rsidRDefault="006F0F0E" w:rsidP="00710B05">
      <w:pPr>
        <w:pStyle w:val="JuPara"/>
        <w:rPr>
          <w:lang w:val="pl-PL"/>
        </w:rPr>
      </w:pPr>
      <w:r>
        <w:rPr>
          <w:lang w:val="pl"/>
        </w:rPr>
        <w:t>Wydaje następujący wyrok, który został przyjęty w tym dniu:</w:t>
      </w:r>
    </w:p>
    <w:p w14:paraId="71D5B151" w14:textId="77777777" w:rsidR="00234A94" w:rsidRPr="00710B05" w:rsidRDefault="006F0F0E" w:rsidP="00710B05">
      <w:pPr>
        <w:pStyle w:val="JuHHead"/>
      </w:pPr>
      <w:r>
        <w:rPr>
          <w:bCs w:val="0"/>
          <w:lang w:val="pl"/>
        </w:rPr>
        <w:t>WPROWADZENIE</w:t>
      </w:r>
    </w:p>
    <w:p w14:paraId="2E006BE9"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w:t>
      </w:r>
      <w:r>
        <w:rPr>
          <w:noProof/>
          <w:lang w:val="pl"/>
        </w:rPr>
        <w:fldChar w:fldCharType="end"/>
      </w:r>
      <w:r>
        <w:rPr>
          <w:lang w:val="pl"/>
        </w:rPr>
        <w:t>.  Skarżący, Stowarzyszenie Osób Narodowości Śląskiej w likwidacji, jest polskim stowarzyszeniem zarejestrowanym w 2011 r., które zostało postawione w stan likwidacji w 2016 r., i było reprezentowane przed Trybunałem przez W. Murka, prawnika praktykującego w Katowicach.</w:t>
      </w:r>
    </w:p>
    <w:p w14:paraId="61388A4E"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w:t>
      </w:r>
      <w:r>
        <w:rPr>
          <w:noProof/>
          <w:lang w:val="pl"/>
        </w:rPr>
        <w:fldChar w:fldCharType="end"/>
      </w:r>
      <w:r>
        <w:rPr>
          <w:lang w:val="pl"/>
        </w:rPr>
        <w:t>.  Rząd Rzeczypospolitej Polskiej („Rząd”) był reprezentowany przez swojego pełnomocnika, J. Sobczaka, z Ministerstwa Spraw Zagranicznych.</w:t>
      </w:r>
    </w:p>
    <w:p w14:paraId="511EC92C" w14:textId="77777777" w:rsidR="00234A94" w:rsidRPr="00710B05" w:rsidRDefault="006F0F0E" w:rsidP="00710B05">
      <w:pPr>
        <w:pStyle w:val="JuHHead"/>
      </w:pPr>
      <w:r>
        <w:rPr>
          <w:bCs w:val="0"/>
          <w:lang w:val="pl"/>
        </w:rPr>
        <w:t>STAN FAKTYCZNY</w:t>
      </w:r>
    </w:p>
    <w:p w14:paraId="251879F9" w14:textId="77777777"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Stan faktyczny sprawy można podsumować w poniższy sposób.</w:t>
      </w:r>
    </w:p>
    <w:p w14:paraId="370C08E5" w14:textId="77777777" w:rsidR="00234A94" w:rsidRPr="00710B05" w:rsidRDefault="006F0F0E" w:rsidP="00710B05">
      <w:pPr>
        <w:pStyle w:val="JuPara"/>
      </w:pPr>
      <w:r>
        <w:fldChar w:fldCharType="begin"/>
      </w:r>
      <w:r w:rsidRPr="007D0212">
        <w:rPr>
          <w:lang w:val="pl-PL"/>
        </w:rPr>
        <w:instrText xml:space="preserve"> SEQ level0 \*arabic \* MERGEFORMAT </w:instrText>
      </w:r>
      <w:r>
        <w:fldChar w:fldCharType="separate"/>
      </w:r>
      <w:r>
        <w:rPr>
          <w:noProof/>
          <w:lang w:val="pl"/>
        </w:rPr>
        <w:t>4</w:t>
      </w:r>
      <w:r>
        <w:rPr>
          <w:noProof/>
          <w:lang w:val="pl"/>
        </w:rPr>
        <w:fldChar w:fldCharType="end"/>
      </w:r>
      <w:r>
        <w:rPr>
          <w:lang w:val="pl"/>
        </w:rPr>
        <w:t>.  Polskie sądy nakazały rozwiązanie skarżącego stowarzyszenia. Skarżące stowarzyszenie zarzuciło w szczególności naruszenie art. 11 Konwencji.</w:t>
      </w:r>
    </w:p>
    <w:p w14:paraId="63BDFEF3" w14:textId="77777777" w:rsidR="00234A94" w:rsidRPr="00710B05" w:rsidRDefault="006F0F0E" w:rsidP="00710B05">
      <w:pPr>
        <w:pStyle w:val="JuHIRoman"/>
      </w:pPr>
      <w:r>
        <w:rPr>
          <w:bCs w:val="0"/>
          <w:lang w:val="pl"/>
        </w:rPr>
        <w:lastRenderedPageBreak/>
        <w:t>KONTEKST</w:t>
      </w:r>
    </w:p>
    <w:p w14:paraId="0AEA8E3E" w14:textId="66854129"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5</w:t>
      </w:r>
      <w:r>
        <w:rPr>
          <w:noProof/>
          <w:lang w:val="pl"/>
        </w:rPr>
        <w:fldChar w:fldCharType="end"/>
      </w:r>
      <w:r>
        <w:rPr>
          <w:lang w:val="pl"/>
        </w:rPr>
        <w:t>.  Śląsk jest historycznym regionem, obecnie znajdującym się w</w:t>
      </w:r>
      <w:r w:rsidR="004565EB">
        <w:rPr>
          <w:lang w:val="pl"/>
        </w:rPr>
        <w:t> </w:t>
      </w:r>
      <w:r>
        <w:rPr>
          <w:lang w:val="pl"/>
        </w:rPr>
        <w:t xml:space="preserve">południowo-zachodniej Polsce. Pierwotnie była to polska prowincja, która w 1355 r. została włączona do Korony Królestwa Czech. W 1526 r. Śląsk dostał się wraz z Koroną pod władzę Habsburgów, a w 1742 r. został przejęty przez Prusy na mocy </w:t>
      </w:r>
      <w:r w:rsidR="005C2D61">
        <w:rPr>
          <w:lang w:val="pl"/>
        </w:rPr>
        <w:t xml:space="preserve">traktatu </w:t>
      </w:r>
      <w:r>
        <w:rPr>
          <w:lang w:val="pl"/>
        </w:rPr>
        <w:t>berlińskiego.</w:t>
      </w:r>
    </w:p>
    <w:p w14:paraId="635F8B75" w14:textId="2121AFF7" w:rsidR="00234A94" w:rsidRPr="007D0212" w:rsidRDefault="006F0F0E" w:rsidP="00710B05">
      <w:pPr>
        <w:pStyle w:val="JuPara"/>
        <w:rPr>
          <w:lang w:val="pl-PL"/>
        </w:rPr>
      </w:pPr>
      <w:r>
        <w:rPr>
          <w:lang w:val="pl"/>
        </w:rPr>
        <w:t>Po I wojnie światowej traktat wersalski z 1919 r. zawierał decyzję o</w:t>
      </w:r>
      <w:r w:rsidR="004565EB">
        <w:rPr>
          <w:lang w:val="pl"/>
        </w:rPr>
        <w:t> </w:t>
      </w:r>
      <w:r>
        <w:rPr>
          <w:lang w:val="pl"/>
        </w:rPr>
        <w:t xml:space="preserve">przeprowadzeniu plebiscytu w celu ustalenia, czy Górny Śląsk powinien pozostać niemiecki, czy też </w:t>
      </w:r>
      <w:r w:rsidR="00884AAA">
        <w:rPr>
          <w:lang w:val="pl"/>
        </w:rPr>
        <w:t>zostać przyłączony</w:t>
      </w:r>
      <w:r>
        <w:rPr>
          <w:lang w:val="pl"/>
        </w:rPr>
        <w:t xml:space="preserve"> do Polski. Wyniki plebiscytu w</w:t>
      </w:r>
      <w:r w:rsidR="004565EB">
        <w:rPr>
          <w:lang w:val="pl"/>
        </w:rPr>
        <w:t> </w:t>
      </w:r>
      <w:r>
        <w:rPr>
          <w:lang w:val="pl"/>
        </w:rPr>
        <w:t>1921 r. były korzystne dla Niemiec, z wyjątkiem najbardziej wysuniętej na wschód części Górnego Śląska. Po zbrojnym powstaniu Polaków w 1922 r. Liga Narodów zgodziła się na podział terytorium; większa część obszaru przemysłowego, w tym Katowice, została przyłączona do Polski.</w:t>
      </w:r>
    </w:p>
    <w:p w14:paraId="6375E46A" w14:textId="63F0BD04" w:rsidR="00234A94" w:rsidRPr="007D0212" w:rsidRDefault="00892D43" w:rsidP="00710B05">
      <w:pPr>
        <w:pStyle w:val="JuPara"/>
        <w:rPr>
          <w:lang w:val="pl-PL"/>
        </w:rPr>
      </w:pPr>
      <w:r>
        <w:rPr>
          <w:lang w:val="pl"/>
        </w:rPr>
        <w:t xml:space="preserve">Po układzie monachijskim z 1938 r. </w:t>
      </w:r>
      <w:r w:rsidR="00884AAA">
        <w:rPr>
          <w:lang w:val="pl"/>
        </w:rPr>
        <w:t xml:space="preserve">większa część </w:t>
      </w:r>
      <w:r>
        <w:rPr>
          <w:lang w:val="pl"/>
        </w:rPr>
        <w:t>czeskiego Śląska została podzielona między Niemcy i Polskę. Po zajęciu Polski w</w:t>
      </w:r>
      <w:r w:rsidR="004565EB">
        <w:rPr>
          <w:lang w:val="pl"/>
        </w:rPr>
        <w:t> </w:t>
      </w:r>
      <w:r>
        <w:rPr>
          <w:lang w:val="pl"/>
        </w:rPr>
        <w:t>1939</w:t>
      </w:r>
      <w:r w:rsidR="004565EB">
        <w:rPr>
          <w:lang w:val="pl"/>
        </w:rPr>
        <w:t> </w:t>
      </w:r>
      <w:r>
        <w:rPr>
          <w:lang w:val="pl"/>
        </w:rPr>
        <w:t>r. cały polski Śląsk został zaanektowany przez Niemcy.</w:t>
      </w:r>
    </w:p>
    <w:p w14:paraId="3CC89957" w14:textId="760B13FB" w:rsidR="00234A94" w:rsidRPr="007D0212" w:rsidRDefault="006F0F0E" w:rsidP="00710B05">
      <w:pPr>
        <w:pStyle w:val="JuPara"/>
        <w:rPr>
          <w:lang w:val="pl-PL"/>
        </w:rPr>
      </w:pPr>
      <w:r>
        <w:rPr>
          <w:lang w:val="pl"/>
        </w:rPr>
        <w:t>Po II wojnie światowej przywrócono granicę sprzed 1938 r. między Polską a Czechosłowacją. Zachodnia granica Polski została przesunięta na Odrę i</w:t>
      </w:r>
      <w:r w:rsidR="004565EB">
        <w:rPr>
          <w:lang w:val="pl"/>
        </w:rPr>
        <w:t> </w:t>
      </w:r>
      <w:r>
        <w:rPr>
          <w:lang w:val="pl"/>
        </w:rPr>
        <w:t>Nysę Łużycką. W rezultacie cały dawny niemiecki Śląsk na wschód od Nysy Łużyckiej został włączony do Polski, a zaledwie niewielki obszar Dolnego Śląska na zachód od Nysy pozostał w byłym wschodnioniemieckim kraju związkowym Saksonia (zob.</w:t>
      </w:r>
      <w:r>
        <w:rPr>
          <w:rFonts w:ascii="Arial" w:hAnsi="Arial"/>
          <w:color w:val="000000"/>
          <w:lang w:val="pl"/>
        </w:rPr>
        <w:t xml:space="preserve"> </w:t>
      </w:r>
      <w:proofErr w:type="spellStart"/>
      <w:r>
        <w:rPr>
          <w:i/>
          <w:iCs/>
          <w:lang w:val="pl"/>
        </w:rPr>
        <w:t>Gorzelik</w:t>
      </w:r>
      <w:proofErr w:type="spellEnd"/>
      <w:r>
        <w:rPr>
          <w:i/>
          <w:iCs/>
          <w:lang w:val="pl"/>
        </w:rPr>
        <w:t xml:space="preserve"> i Inni przeciwko Polsce </w:t>
      </w:r>
      <w:r>
        <w:rPr>
          <w:lang w:val="pl"/>
        </w:rPr>
        <w:t>[</w:t>
      </w:r>
      <w:proofErr w:type="spellStart"/>
      <w:r>
        <w:rPr>
          <w:lang w:val="pl"/>
        </w:rPr>
        <w:t>WI</w:t>
      </w:r>
      <w:proofErr w:type="spellEnd"/>
      <w:r>
        <w:rPr>
          <w:lang w:val="pl"/>
        </w:rPr>
        <w:t>], nr</w:t>
      </w:r>
      <w:r w:rsidR="004565EB">
        <w:rPr>
          <w:lang w:val="pl"/>
        </w:rPr>
        <w:t> </w:t>
      </w:r>
      <w:r>
        <w:rPr>
          <w:lang w:val="pl"/>
        </w:rPr>
        <w:t>44158/98, § 13, ETPC 2004-I)</w:t>
      </w:r>
      <w:r>
        <w:rPr>
          <w:rFonts w:ascii="Arial" w:hAnsi="Arial"/>
          <w:color w:val="000000"/>
          <w:lang w:val="pl"/>
        </w:rPr>
        <w:t>.</w:t>
      </w:r>
    </w:p>
    <w:p w14:paraId="76AF687B" w14:textId="08A196D2"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6</w:t>
      </w:r>
      <w:r>
        <w:rPr>
          <w:noProof/>
          <w:lang w:val="pl"/>
        </w:rPr>
        <w:fldChar w:fldCharType="end"/>
      </w:r>
      <w:r>
        <w:rPr>
          <w:lang w:val="pl"/>
        </w:rPr>
        <w:t>.  W 2011 r. w Polsce przeprowadzono Spis Powszechny. Według raportu spisowego 36 522 200 osób zadeklarowało narodowość polską, 430</w:t>
      </w:r>
      <w:r w:rsidR="004565EB">
        <w:rPr>
          <w:lang w:val="pl"/>
        </w:rPr>
        <w:t> </w:t>
      </w:r>
      <w:r>
        <w:rPr>
          <w:lang w:val="pl"/>
        </w:rPr>
        <w:t>798 osób zadeklarowało narodowość polską</w:t>
      </w:r>
      <w:r w:rsidR="00ED3324">
        <w:rPr>
          <w:lang w:val="pl"/>
        </w:rPr>
        <w:t>, jak</w:t>
      </w:r>
      <w:r>
        <w:rPr>
          <w:lang w:val="pl"/>
        </w:rPr>
        <w:t xml:space="preserve"> i „śląską”, a 375 635 osób zadeklarowało tylko narodowość „śląską”.</w:t>
      </w:r>
    </w:p>
    <w:p w14:paraId="42483AA2" w14:textId="77777777" w:rsidR="00234A94" w:rsidRPr="007D0212" w:rsidRDefault="006F0F0E" w:rsidP="00710B05">
      <w:pPr>
        <w:pStyle w:val="JuHIRoman"/>
        <w:rPr>
          <w:lang w:val="pl-PL"/>
        </w:rPr>
      </w:pPr>
      <w:r>
        <w:rPr>
          <w:bCs w:val="0"/>
          <w:lang w:val="pl"/>
        </w:rPr>
        <w:t xml:space="preserve">POSTĘPOWANIE W SPRAWIE REJESTRACJI SKARŻĄCEGO STOWARZYSZENIA </w:t>
      </w:r>
    </w:p>
    <w:bookmarkStart w:id="3" w:name="registration"/>
    <w:p w14:paraId="67FE2DBE" w14:textId="0B55CDC0"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lang w:val="pl"/>
        </w:rPr>
        <w:fldChar w:fldCharType="end"/>
      </w:r>
      <w:bookmarkEnd w:id="3"/>
      <w:r>
        <w:rPr>
          <w:lang w:val="pl"/>
        </w:rPr>
        <w:t>.  W dniu 21 grudnia 2011 r. Sąd Rejonowy w Opolu zarejestrował skarżące stowarzyszenie jako Stowarzyszenie Osób Narodowości Śląskiej. Sąd zauważył, że rejestracja była możliwa, ponieważ statut stowarzyszenia nie zawierał określeń „naród śląski” ani „śląska mniejszość narodowa”, a</w:t>
      </w:r>
      <w:r w:rsidR="004565EB">
        <w:rPr>
          <w:lang w:val="pl"/>
        </w:rPr>
        <w:t> </w:t>
      </w:r>
      <w:r>
        <w:rPr>
          <w:lang w:val="pl"/>
        </w:rPr>
        <w:t>jedynie odnosił się do „narodowości śląskiej”. Co więcej, statut zawierał również sformułowanie potwierdzające, że skarżące stowarzyszenie nie zamierza rejestrować list wyborczych.</w:t>
      </w:r>
    </w:p>
    <w:bookmarkStart w:id="4" w:name="legal_personality"/>
    <w:p w14:paraId="1D2DCA83" w14:textId="540F9E84"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lang w:val="pl"/>
        </w:rPr>
        <w:fldChar w:fldCharType="end"/>
      </w:r>
      <w:bookmarkEnd w:id="4"/>
      <w:r>
        <w:rPr>
          <w:lang w:val="pl"/>
        </w:rPr>
        <w:t>.  W tym samym dniu skarżące stowarzyszenie zostało zarejestrowane w</w:t>
      </w:r>
      <w:r w:rsidR="004565EB">
        <w:rPr>
          <w:lang w:val="pl"/>
        </w:rPr>
        <w:t> </w:t>
      </w:r>
      <w:r>
        <w:rPr>
          <w:lang w:val="pl"/>
        </w:rPr>
        <w:t>Krajowym Rejestrze Sądowym i uzyskało osobowość prawną.</w:t>
      </w:r>
    </w:p>
    <w:bookmarkStart w:id="5" w:name="statute"/>
    <w:p w14:paraId="00BEBA11" w14:textId="5A02E01C"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5"/>
      <w:r>
        <w:rPr>
          <w:lang w:val="pl"/>
        </w:rPr>
        <w:t>.  Odpowiednie postanowienia statutu skarżącego stowarzyszenia, zmienionego przez Walne Zgromadzenie Członków w dniu 27</w:t>
      </w:r>
      <w:r w:rsidR="004565EB">
        <w:rPr>
          <w:lang w:val="pl"/>
        </w:rPr>
        <w:t> </w:t>
      </w:r>
      <w:r>
        <w:rPr>
          <w:lang w:val="pl"/>
        </w:rPr>
        <w:t>kwietnia</w:t>
      </w:r>
      <w:r w:rsidR="004565EB">
        <w:rPr>
          <w:lang w:val="pl"/>
        </w:rPr>
        <w:t> </w:t>
      </w:r>
      <w:r>
        <w:rPr>
          <w:lang w:val="pl"/>
        </w:rPr>
        <w:t>2013</w:t>
      </w:r>
      <w:r w:rsidR="004565EB">
        <w:rPr>
          <w:lang w:val="pl"/>
        </w:rPr>
        <w:t> </w:t>
      </w:r>
      <w:r>
        <w:rPr>
          <w:lang w:val="pl"/>
        </w:rPr>
        <w:t>r., brzmią następująco:</w:t>
      </w:r>
    </w:p>
    <w:p w14:paraId="2FF4D3AD" w14:textId="515F9D1A" w:rsidR="00234A94" w:rsidRPr="007D0212" w:rsidRDefault="006F0F0E" w:rsidP="00710B05">
      <w:pPr>
        <w:pStyle w:val="JuQuot"/>
        <w:rPr>
          <w:lang w:val="pl-PL"/>
        </w:rPr>
      </w:pPr>
      <w:r>
        <w:rPr>
          <w:lang w:val="pl"/>
        </w:rPr>
        <w:lastRenderedPageBreak/>
        <w:t>„§ 1  Stowarzyszenie nosi nazwę Stowarzyszenie Osób Narodowości Śląskiej i zwane jest w dalszej części Stowarzyszeniem.</w:t>
      </w:r>
    </w:p>
    <w:p w14:paraId="5E6961D9" w14:textId="77777777" w:rsidR="00234A94" w:rsidRPr="007D0212" w:rsidRDefault="006F0F0E" w:rsidP="00710B05">
      <w:pPr>
        <w:pStyle w:val="JuQuot"/>
        <w:rPr>
          <w:lang w:val="pl-PL"/>
        </w:rPr>
      </w:pPr>
      <w:r>
        <w:rPr>
          <w:lang w:val="pl"/>
        </w:rPr>
        <w:t>§ 2  (1) Terenem działania Stowarzyszenia jest obszar Rzeczypospolitej Polskiej.</w:t>
      </w:r>
    </w:p>
    <w:p w14:paraId="0BDBAA8C" w14:textId="77777777" w:rsidR="00234A94" w:rsidRPr="007D0212" w:rsidRDefault="006F0F0E" w:rsidP="00710B05">
      <w:pPr>
        <w:pStyle w:val="JuQuot"/>
        <w:rPr>
          <w:lang w:val="pl-PL"/>
        </w:rPr>
      </w:pPr>
      <w:r>
        <w:rPr>
          <w:lang w:val="pl"/>
        </w:rPr>
        <w:t>[...]</w:t>
      </w:r>
    </w:p>
    <w:p w14:paraId="052A7D74" w14:textId="77777777" w:rsidR="00234A94" w:rsidRPr="007D0212" w:rsidRDefault="006F0F0E" w:rsidP="00710B05">
      <w:pPr>
        <w:pStyle w:val="JuQuot"/>
        <w:rPr>
          <w:lang w:val="pl-PL"/>
        </w:rPr>
      </w:pPr>
      <w:r>
        <w:rPr>
          <w:lang w:val="pl"/>
        </w:rPr>
        <w:t>§ 5  Stowarzyszenie nie będzie rejestrowało komitetu wyborczego w wyborach parlamentarnych.</w:t>
      </w:r>
    </w:p>
    <w:p w14:paraId="4A1B6E48" w14:textId="77777777" w:rsidR="00234A94" w:rsidRPr="007D0212" w:rsidRDefault="006F0F0E" w:rsidP="00710B05">
      <w:pPr>
        <w:pStyle w:val="JuQuot"/>
        <w:rPr>
          <w:lang w:val="pl-PL"/>
        </w:rPr>
      </w:pPr>
      <w:r>
        <w:rPr>
          <w:lang w:val="pl"/>
        </w:rPr>
        <w:t>[...]</w:t>
      </w:r>
    </w:p>
    <w:p w14:paraId="1962A144" w14:textId="77777777" w:rsidR="00234A94" w:rsidRPr="007D0212" w:rsidRDefault="006F0F0E" w:rsidP="00710B05">
      <w:pPr>
        <w:pStyle w:val="JuQuot"/>
        <w:rPr>
          <w:lang w:val="pl-PL"/>
        </w:rPr>
      </w:pPr>
      <w:r>
        <w:rPr>
          <w:lang w:val="pl"/>
        </w:rPr>
        <w:t>§ 8  Celem Stowarzyszenia jest:</w:t>
      </w:r>
    </w:p>
    <w:p w14:paraId="77D170C3" w14:textId="77777777" w:rsidR="00234A94" w:rsidRPr="007D0212" w:rsidRDefault="006F0F0E" w:rsidP="00710B05">
      <w:pPr>
        <w:pStyle w:val="JuQuot"/>
        <w:rPr>
          <w:lang w:val="pl-PL"/>
        </w:rPr>
      </w:pPr>
      <w:r>
        <w:rPr>
          <w:lang w:val="pl"/>
        </w:rPr>
        <w:t>1. Rozbudzanie i ugruntowywanie świadomości narodowej Ślązaków.</w:t>
      </w:r>
    </w:p>
    <w:p w14:paraId="38DFD87C" w14:textId="77777777" w:rsidR="00234A94" w:rsidRPr="007D0212" w:rsidRDefault="006F0F0E" w:rsidP="00710B05">
      <w:pPr>
        <w:pStyle w:val="JuQuot"/>
        <w:rPr>
          <w:lang w:val="pl-PL"/>
        </w:rPr>
      </w:pPr>
      <w:r>
        <w:rPr>
          <w:lang w:val="pl"/>
        </w:rPr>
        <w:t>2. Odrodzenie kultury śląskiej.</w:t>
      </w:r>
    </w:p>
    <w:p w14:paraId="7E80D965" w14:textId="77777777" w:rsidR="00234A94" w:rsidRPr="007D0212" w:rsidRDefault="006F0F0E" w:rsidP="00710B05">
      <w:pPr>
        <w:pStyle w:val="JuQuot"/>
        <w:rPr>
          <w:lang w:val="pl-PL"/>
        </w:rPr>
      </w:pPr>
      <w:r>
        <w:rPr>
          <w:lang w:val="pl"/>
        </w:rPr>
        <w:t>3. Propagowanie wiedzy o Śląsku.</w:t>
      </w:r>
    </w:p>
    <w:p w14:paraId="3020FB6B" w14:textId="77777777" w:rsidR="00234A94" w:rsidRPr="007D0212" w:rsidRDefault="006F0F0E" w:rsidP="00710B05">
      <w:pPr>
        <w:pStyle w:val="JuQuot"/>
        <w:rPr>
          <w:lang w:val="pl-PL"/>
        </w:rPr>
      </w:pPr>
      <w:r>
        <w:rPr>
          <w:lang w:val="pl"/>
        </w:rPr>
        <w:t>4. Kształtowanie i rozwijanie wśród ludności Śląska aktywnej postawy obywatelskiej [...]</w:t>
      </w:r>
    </w:p>
    <w:p w14:paraId="7C59F7EE" w14:textId="77777777" w:rsidR="00234A94" w:rsidRPr="007D0212" w:rsidRDefault="006F0F0E" w:rsidP="00710B05">
      <w:pPr>
        <w:pStyle w:val="JuQuot"/>
        <w:rPr>
          <w:lang w:val="pl-PL"/>
        </w:rPr>
      </w:pPr>
      <w:r>
        <w:rPr>
          <w:lang w:val="pl"/>
        </w:rPr>
        <w:t>5. Współuczestniczenie we współczesnej integracji wszystkich zamieszkujących Śląsk grup ludności.</w:t>
      </w:r>
    </w:p>
    <w:p w14:paraId="22897147" w14:textId="77777777" w:rsidR="00234A94" w:rsidRPr="007D0212" w:rsidRDefault="006F0F0E" w:rsidP="00710B05">
      <w:pPr>
        <w:pStyle w:val="JuQuot"/>
        <w:rPr>
          <w:lang w:val="pl-PL"/>
        </w:rPr>
      </w:pPr>
      <w:r>
        <w:rPr>
          <w:lang w:val="pl"/>
        </w:rPr>
        <w:t>6. Podtrzymywanie kontaktów kulturowych między Ślązakami bez względu na miejsce zamieszkania oraz pomoc osobom chętnym do powrotów z emigracji zarobkowej.</w:t>
      </w:r>
    </w:p>
    <w:p w14:paraId="0DCB888A" w14:textId="77777777" w:rsidR="00234A94" w:rsidRPr="007D0212" w:rsidRDefault="006F0F0E" w:rsidP="00710B05">
      <w:pPr>
        <w:pStyle w:val="JuQuot"/>
        <w:rPr>
          <w:lang w:val="pl-PL"/>
        </w:rPr>
      </w:pPr>
      <w:r>
        <w:rPr>
          <w:lang w:val="pl"/>
        </w:rPr>
        <w:t>7. Promocja i kształtowanie pozytywnego wizerunku Śląska i Ślązaków.</w:t>
      </w:r>
    </w:p>
    <w:p w14:paraId="5441BE25" w14:textId="77777777" w:rsidR="00234A94" w:rsidRPr="007D0212" w:rsidRDefault="006F0F0E" w:rsidP="00710B05">
      <w:pPr>
        <w:pStyle w:val="JuQuot"/>
        <w:rPr>
          <w:lang w:val="pl-PL"/>
        </w:rPr>
      </w:pPr>
      <w:r>
        <w:rPr>
          <w:lang w:val="pl"/>
        </w:rPr>
        <w:t>8. Dbanie o zachowanie materialnego i duchowego dziedzictwa Śląska.</w:t>
      </w:r>
    </w:p>
    <w:p w14:paraId="79286B21" w14:textId="77777777" w:rsidR="00234A94" w:rsidRPr="007D0212" w:rsidRDefault="006F0F0E" w:rsidP="00710B05">
      <w:pPr>
        <w:pStyle w:val="JuQuot"/>
        <w:rPr>
          <w:lang w:val="pl-PL"/>
        </w:rPr>
      </w:pPr>
      <w:r>
        <w:rPr>
          <w:lang w:val="pl"/>
        </w:rPr>
        <w:t>§ 9  Stowarzyszenie realizuje swoje cele poprzez:</w:t>
      </w:r>
    </w:p>
    <w:p w14:paraId="1EA2BB17" w14:textId="15495912" w:rsidR="00234A94" w:rsidRPr="007D0212" w:rsidRDefault="006F0F0E" w:rsidP="00710B05">
      <w:pPr>
        <w:pStyle w:val="JuQuot"/>
        <w:rPr>
          <w:lang w:val="pl-PL"/>
        </w:rPr>
      </w:pPr>
      <w:r>
        <w:rPr>
          <w:lang w:val="pl"/>
        </w:rPr>
        <w:t>1. Organizowanie prelekcji, seminariów, kursów</w:t>
      </w:r>
      <w:r w:rsidR="0098509C">
        <w:rPr>
          <w:lang w:val="pl"/>
        </w:rPr>
        <w:t xml:space="preserve"> i </w:t>
      </w:r>
      <w:r>
        <w:rPr>
          <w:lang w:val="pl"/>
        </w:rPr>
        <w:t xml:space="preserve">spotkań, </w:t>
      </w:r>
      <w:r w:rsidR="0098509C">
        <w:rPr>
          <w:lang w:val="pl"/>
        </w:rPr>
        <w:t xml:space="preserve">zakładanie </w:t>
      </w:r>
      <w:r>
        <w:rPr>
          <w:lang w:val="pl"/>
        </w:rPr>
        <w:t>bibliotek</w:t>
      </w:r>
      <w:r w:rsidR="0098509C">
        <w:rPr>
          <w:lang w:val="pl"/>
        </w:rPr>
        <w:t xml:space="preserve"> i </w:t>
      </w:r>
      <w:r>
        <w:rPr>
          <w:lang w:val="pl"/>
        </w:rPr>
        <w:t xml:space="preserve">klubów </w:t>
      </w:r>
      <w:r w:rsidR="0098509C">
        <w:rPr>
          <w:lang w:val="pl"/>
        </w:rPr>
        <w:t>oraz prowadzenie badań naukowych.</w:t>
      </w:r>
      <w:r>
        <w:rPr>
          <w:lang w:val="pl"/>
        </w:rPr>
        <w:t>.</w:t>
      </w:r>
    </w:p>
    <w:p w14:paraId="63F01C9F" w14:textId="77777777" w:rsidR="00234A94" w:rsidRPr="007D0212" w:rsidRDefault="006F0F0E" w:rsidP="00710B05">
      <w:pPr>
        <w:pStyle w:val="JuQuot"/>
        <w:rPr>
          <w:lang w:val="pl-PL"/>
        </w:rPr>
      </w:pPr>
      <w:r>
        <w:rPr>
          <w:lang w:val="pl"/>
        </w:rPr>
        <w:t>2. Organizowanie imprez oświatowych i kulturalnych dla członków Stowarzyszenia i innych osób.</w:t>
      </w:r>
    </w:p>
    <w:p w14:paraId="0D86F39B" w14:textId="7BE4A7D5" w:rsidR="00234A94" w:rsidRPr="007D0212" w:rsidRDefault="006F0F0E" w:rsidP="00710B05">
      <w:pPr>
        <w:pStyle w:val="JuQuot"/>
        <w:rPr>
          <w:lang w:val="pl-PL"/>
        </w:rPr>
      </w:pPr>
      <w:r>
        <w:rPr>
          <w:lang w:val="pl"/>
        </w:rPr>
        <w:t xml:space="preserve">3. Prowadzenie działalności </w:t>
      </w:r>
      <w:r w:rsidR="0098509C">
        <w:rPr>
          <w:lang w:val="pl"/>
        </w:rPr>
        <w:t>promocyjnej i</w:t>
      </w:r>
      <w:r>
        <w:rPr>
          <w:lang w:val="pl"/>
        </w:rPr>
        <w:t xml:space="preserve"> wydawniczej.</w:t>
      </w:r>
    </w:p>
    <w:p w14:paraId="0D3C2DBF" w14:textId="77777777" w:rsidR="00234A94" w:rsidRPr="007D0212" w:rsidRDefault="006F0F0E" w:rsidP="00710B05">
      <w:pPr>
        <w:pStyle w:val="JuQuot"/>
        <w:rPr>
          <w:lang w:val="pl-PL"/>
        </w:rPr>
      </w:pPr>
      <w:r>
        <w:rPr>
          <w:lang w:val="pl"/>
        </w:rPr>
        <w:t>4. Propagowanie godeł oraz barw śląskich i górnośląskich.</w:t>
      </w:r>
    </w:p>
    <w:p w14:paraId="58B3A0D9" w14:textId="0E077E9C" w:rsidR="00234A94" w:rsidRPr="007D0212" w:rsidRDefault="006F0F0E" w:rsidP="00710B05">
      <w:pPr>
        <w:pStyle w:val="JuQuot"/>
        <w:rPr>
          <w:lang w:val="pl-PL"/>
        </w:rPr>
      </w:pPr>
      <w:r>
        <w:rPr>
          <w:lang w:val="pl"/>
        </w:rPr>
        <w:t xml:space="preserve">5. Organizowanie </w:t>
      </w:r>
      <w:r w:rsidR="00ED3324">
        <w:rPr>
          <w:lang w:val="pl"/>
        </w:rPr>
        <w:t xml:space="preserve">demonstracji </w:t>
      </w:r>
      <w:r>
        <w:rPr>
          <w:lang w:val="pl"/>
        </w:rPr>
        <w:t>i akcji protestacyjnych.</w:t>
      </w:r>
    </w:p>
    <w:p w14:paraId="7E2E81F7" w14:textId="77777777" w:rsidR="00234A94" w:rsidRPr="007D0212" w:rsidRDefault="006F0F0E" w:rsidP="00710B05">
      <w:pPr>
        <w:pStyle w:val="JuQuot"/>
        <w:rPr>
          <w:lang w:val="pl-PL"/>
        </w:rPr>
      </w:pPr>
      <w:r>
        <w:rPr>
          <w:lang w:val="pl"/>
        </w:rPr>
        <w:t>6. Organizowanie imprez sportowych, obozów, rajdów i innych form turystyki.</w:t>
      </w:r>
    </w:p>
    <w:p w14:paraId="593CD877" w14:textId="5090CD42" w:rsidR="00234A94" w:rsidRPr="007D0212" w:rsidRDefault="006F0F0E" w:rsidP="00710B05">
      <w:pPr>
        <w:pStyle w:val="JuQuot"/>
        <w:rPr>
          <w:lang w:val="pl-PL"/>
        </w:rPr>
      </w:pPr>
      <w:r>
        <w:rPr>
          <w:lang w:val="pl"/>
        </w:rPr>
        <w:t xml:space="preserve">7. </w:t>
      </w:r>
      <w:r w:rsidR="0098509C">
        <w:rPr>
          <w:lang w:val="pl"/>
        </w:rPr>
        <w:t xml:space="preserve">Zakładanie </w:t>
      </w:r>
      <w:r>
        <w:rPr>
          <w:lang w:val="pl"/>
        </w:rPr>
        <w:t>szkół i innych placówek oświatowych.</w:t>
      </w:r>
    </w:p>
    <w:p w14:paraId="0E493143" w14:textId="77777777" w:rsidR="00234A94" w:rsidRPr="007D0212" w:rsidRDefault="006F0F0E" w:rsidP="00710B05">
      <w:pPr>
        <w:pStyle w:val="JuQuot"/>
        <w:rPr>
          <w:lang w:val="pl-PL"/>
        </w:rPr>
      </w:pPr>
      <w:r>
        <w:rPr>
          <w:lang w:val="pl"/>
        </w:rPr>
        <w:t>8. Współpracę z innymi organizacjami.</w:t>
      </w:r>
    </w:p>
    <w:p w14:paraId="28F39DA0" w14:textId="77777777" w:rsidR="00234A94" w:rsidRPr="007D0212" w:rsidRDefault="006F0F0E" w:rsidP="00710B05">
      <w:pPr>
        <w:pStyle w:val="JuQuot"/>
        <w:rPr>
          <w:lang w:val="pl-PL"/>
        </w:rPr>
      </w:pPr>
      <w:r>
        <w:rPr>
          <w:lang w:val="pl"/>
        </w:rPr>
        <w:t>9. Prowadzenie działalności gospodarczej, mającej na celu wypracowywanie środków na działalność statutowo-programową, z uwzględnieniem tworzenia podmiotów gospodarczych i współpracy z innymi podmiotami.</w:t>
      </w:r>
    </w:p>
    <w:p w14:paraId="24F2C524" w14:textId="77777777" w:rsidR="00234A94" w:rsidRPr="007D0212" w:rsidRDefault="006F0F0E" w:rsidP="00710B05">
      <w:pPr>
        <w:pStyle w:val="JuQuot"/>
        <w:rPr>
          <w:lang w:val="pl-PL"/>
        </w:rPr>
      </w:pPr>
      <w:r>
        <w:rPr>
          <w:lang w:val="pl"/>
        </w:rPr>
        <w:t>[...]</w:t>
      </w:r>
    </w:p>
    <w:p w14:paraId="1081AA88" w14:textId="77777777" w:rsidR="00234A94" w:rsidRPr="007D0212" w:rsidRDefault="006F0F0E" w:rsidP="00710B05">
      <w:pPr>
        <w:pStyle w:val="JuQuot"/>
        <w:rPr>
          <w:lang w:val="pl-PL"/>
        </w:rPr>
      </w:pPr>
      <w:r>
        <w:rPr>
          <w:lang w:val="pl"/>
        </w:rPr>
        <w:t>§ 11 Członkiem zwyczajnym Stowarzyszenia może być każda osoba fizyczna, która złoży pisemną deklarację o poczuciu przynależności do narodowości śląskiej.</w:t>
      </w:r>
    </w:p>
    <w:p w14:paraId="5977DC93" w14:textId="77777777" w:rsidR="00234A94" w:rsidRPr="007D0212" w:rsidRDefault="006F0F0E" w:rsidP="00710B05">
      <w:pPr>
        <w:pStyle w:val="JuQuot"/>
        <w:rPr>
          <w:lang w:val="pl-PL"/>
        </w:rPr>
      </w:pPr>
      <w:r>
        <w:rPr>
          <w:lang w:val="pl"/>
        </w:rPr>
        <w:t>[...]</w:t>
      </w:r>
    </w:p>
    <w:p w14:paraId="6655E3F1" w14:textId="77777777" w:rsidR="00234A94" w:rsidRPr="007D0212" w:rsidRDefault="006F0F0E" w:rsidP="00710B05">
      <w:pPr>
        <w:pStyle w:val="JuQuot"/>
        <w:rPr>
          <w:lang w:val="pl-PL"/>
        </w:rPr>
      </w:pPr>
      <w:r>
        <w:rPr>
          <w:lang w:val="pl"/>
        </w:rPr>
        <w:lastRenderedPageBreak/>
        <w:t>§ 43. Stowarzyszenie jest organizacją osób deklarujących przynależność do narodowości śląskiej.</w:t>
      </w:r>
    </w:p>
    <w:p w14:paraId="08168E03" w14:textId="77777777" w:rsidR="00234A94" w:rsidRPr="00710B05" w:rsidRDefault="006F0F0E" w:rsidP="00710B05">
      <w:pPr>
        <w:pStyle w:val="JuQuot"/>
      </w:pPr>
      <w:r>
        <w:rPr>
          <w:lang w:val="pl"/>
        </w:rPr>
        <w:t>[...]”</w:t>
      </w:r>
    </w:p>
    <w:p w14:paraId="6452CD6C" w14:textId="77777777" w:rsidR="00234A94" w:rsidRPr="007D0212" w:rsidRDefault="006F0F0E" w:rsidP="00710B05">
      <w:pPr>
        <w:pStyle w:val="JuHIRoman"/>
        <w:rPr>
          <w:lang w:val="pl-PL"/>
        </w:rPr>
      </w:pPr>
      <w:r>
        <w:rPr>
          <w:bCs w:val="0"/>
          <w:lang w:val="pl"/>
        </w:rPr>
        <w:t xml:space="preserve">POSTĘPOWANIE W SPRAWIE ROZWIĄZANIA SKARŻĄCEGO STOWARZYSZENIA </w:t>
      </w:r>
    </w:p>
    <w:bookmarkStart w:id="6" w:name="act_2005"/>
    <w:p w14:paraId="579F9B40" w14:textId="5E1F4BB8"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w:t>
      </w:r>
      <w:r>
        <w:rPr>
          <w:lang w:val="pl"/>
        </w:rPr>
        <w:fldChar w:fldCharType="end"/>
      </w:r>
      <w:bookmarkEnd w:id="6"/>
      <w:r>
        <w:rPr>
          <w:lang w:val="pl"/>
        </w:rPr>
        <w:t>.  Nieznana jest dokładna data złożenia przez prokuraturę okręgową w</w:t>
      </w:r>
      <w:r w:rsidR="004565EB">
        <w:rPr>
          <w:lang w:val="pl"/>
        </w:rPr>
        <w:t> </w:t>
      </w:r>
      <w:r>
        <w:rPr>
          <w:lang w:val="pl"/>
        </w:rPr>
        <w:t xml:space="preserve">Opolu apelacji do Sądu Okręgowego w Opolu od </w:t>
      </w:r>
      <w:r w:rsidR="001E3D26">
        <w:rPr>
          <w:lang w:val="pl"/>
        </w:rPr>
        <w:t xml:space="preserve">postanowienia </w:t>
      </w:r>
      <w:r>
        <w:rPr>
          <w:lang w:val="pl"/>
        </w:rPr>
        <w:t>z dnia 21 grudnia 2011 r. Prokurator podniósł, że skarżące stowarzyszenie zostało zarejestrowane</w:t>
      </w:r>
      <w:r w:rsidR="00427006">
        <w:rPr>
          <w:lang w:val="pl"/>
        </w:rPr>
        <w:t>,</w:t>
      </w:r>
      <w:r>
        <w:rPr>
          <w:lang w:val="pl"/>
        </w:rPr>
        <w:t xml:space="preserve"> pomimo że jego statut był sprzeczny z prawem. W</w:t>
      </w:r>
      <w:r w:rsidR="004565EB">
        <w:rPr>
          <w:lang w:val="pl"/>
        </w:rPr>
        <w:t> </w:t>
      </w:r>
      <w:r>
        <w:rPr>
          <w:lang w:val="pl"/>
        </w:rPr>
        <w:t>szczególności statut naruszał art. 2 ustawy o mniejszościach narodowych i etnicznych oraz o języku regionalnym (dalej „ustawa z 2005 r.”), ponieważ odnosił się do „narodowości śląskiej” i uzależniał członkostwo w</w:t>
      </w:r>
      <w:r w:rsidR="004565EB">
        <w:rPr>
          <w:lang w:val="pl"/>
        </w:rPr>
        <w:t> </w:t>
      </w:r>
      <w:r>
        <w:rPr>
          <w:lang w:val="pl"/>
        </w:rPr>
        <w:t>stowarzyszeniu od zadeklarowania narodowości, która nie istnieje w</w:t>
      </w:r>
      <w:r w:rsidR="004565EB">
        <w:rPr>
          <w:lang w:val="pl"/>
        </w:rPr>
        <w:t> </w:t>
      </w:r>
      <w:r>
        <w:rPr>
          <w:lang w:val="pl"/>
        </w:rPr>
        <w:t>polskim porządku prawnym.</w:t>
      </w:r>
    </w:p>
    <w:p w14:paraId="2113B91F" w14:textId="2D97FF25"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11</w:t>
      </w:r>
      <w:r>
        <w:rPr>
          <w:noProof/>
          <w:lang w:val="pl"/>
        </w:rPr>
        <w:fldChar w:fldCharType="end"/>
      </w:r>
      <w:r>
        <w:rPr>
          <w:lang w:val="pl"/>
        </w:rPr>
        <w:t>.  W dniu 7 września 2012 r. Sąd Okręgowy w Opolu oddalił apelację prokuratury i utrzymał w mocy postanowienie</w:t>
      </w:r>
      <w:r w:rsidR="001E3D26">
        <w:rPr>
          <w:lang w:val="pl"/>
        </w:rPr>
        <w:t xml:space="preserve"> sądu</w:t>
      </w:r>
      <w:r>
        <w:rPr>
          <w:lang w:val="pl"/>
        </w:rPr>
        <w:t xml:space="preserve"> pierwszej instancji. Sąd zauważył, że decyzja o rejestracji skarżącego stowarzyszenia nie stworzyła „narodowości śląskiej” ani mniejszości narodowej, która nie istniała na mocy prawa krajowego. Ponadto rejestracja skarżącego stowarzyszenia nie pozwoliłaby Ślązakom na korzystanie z przywilejów przyznanych komitetom wyborczym zarejestrowanych mniejszości narodowych. Po pierwsze statut skarżącego stowarzyszenia zawierał wyraźne oświadczenie,</w:t>
      </w:r>
      <w:r w:rsidR="004565EB">
        <w:rPr>
          <w:lang w:val="pl"/>
        </w:rPr>
        <w:t xml:space="preserve"> </w:t>
      </w:r>
      <w:r>
        <w:rPr>
          <w:lang w:val="pl"/>
        </w:rPr>
        <w:t>że</w:t>
      </w:r>
      <w:r w:rsidR="004565EB">
        <w:rPr>
          <w:lang w:val="pl"/>
        </w:rPr>
        <w:t> </w:t>
      </w:r>
      <w:r>
        <w:rPr>
          <w:lang w:val="pl"/>
        </w:rPr>
        <w:t>stowarzyszenie nie będzie rejestrować komitetów wyborczych. Po drugie, w</w:t>
      </w:r>
      <w:r w:rsidR="004565EB">
        <w:rPr>
          <w:lang w:val="pl"/>
        </w:rPr>
        <w:t> </w:t>
      </w:r>
      <w:r>
        <w:rPr>
          <w:lang w:val="pl"/>
        </w:rPr>
        <w:t>ocenie Sądu Okręgowego, stowarzyszenie osób deklarujących przynależność do narodowości niewymienionej w ustawie z 2005 r. nie byłoby stowarzyszeniem „mniejszości narodowej” w rozumieniu art. 197 Kodeksu wyborczego.</w:t>
      </w:r>
    </w:p>
    <w:p w14:paraId="0CB1B00F" w14:textId="717B4B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12</w:t>
      </w:r>
      <w:r>
        <w:rPr>
          <w:noProof/>
          <w:lang w:val="pl"/>
        </w:rPr>
        <w:fldChar w:fldCharType="end"/>
      </w:r>
      <w:r>
        <w:rPr>
          <w:lang w:val="pl"/>
        </w:rPr>
        <w:t>.  </w:t>
      </w:r>
      <w:r w:rsidR="001E3D26">
        <w:rPr>
          <w:lang w:val="pl"/>
        </w:rPr>
        <w:t>Prokurator Okręgowy</w:t>
      </w:r>
      <w:r>
        <w:rPr>
          <w:lang w:val="pl"/>
        </w:rPr>
        <w:t xml:space="preserve"> w Opolu odwołał się do Sądu Najwyższego, powołując się na art. 32 Konstytucji i art. 197 Kodeksu wyborczego.</w:t>
      </w:r>
    </w:p>
    <w:p w14:paraId="17BBE21B" w14:textId="6017FD88"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13</w:t>
      </w:r>
      <w:r>
        <w:rPr>
          <w:noProof/>
          <w:lang w:val="pl"/>
        </w:rPr>
        <w:fldChar w:fldCharType="end"/>
      </w:r>
      <w:r>
        <w:rPr>
          <w:lang w:val="pl"/>
        </w:rPr>
        <w:t>.  W dniu 5 grudnia 2013 r. Sąd Najwyższy uchylił postanowienie z</w:t>
      </w:r>
      <w:r w:rsidR="004565EB">
        <w:rPr>
          <w:lang w:val="pl"/>
        </w:rPr>
        <w:t> </w:t>
      </w:r>
      <w:r>
        <w:rPr>
          <w:lang w:val="pl"/>
        </w:rPr>
        <w:t>dnia</w:t>
      </w:r>
      <w:r w:rsidR="004565EB">
        <w:rPr>
          <w:lang w:val="pl"/>
        </w:rPr>
        <w:t> </w:t>
      </w:r>
      <w:r>
        <w:rPr>
          <w:lang w:val="pl"/>
        </w:rPr>
        <w:t>7 września 2012 r. i przekazał sprawę do ponownego rozpoznania Sądowi Okręgowemu w Opolu. Sąd Najwyższy zauważył, że sąd rejestrujący stowarzyszenie jest zobowiązany do zbadania zgodności statutu stowarzyszenia z prawem, a także tego, czy zostały spełnione określone wymogi formalne.</w:t>
      </w:r>
    </w:p>
    <w:bookmarkStart w:id="7" w:name="Supreme_court"/>
    <w:p w14:paraId="1DDDD132" w14:textId="03FFAA88"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7"/>
      <w:r>
        <w:rPr>
          <w:lang w:val="pl"/>
        </w:rPr>
        <w:t>.  Sąd Najwyższy zgodził się ponadto, że założyciele stowarzyszenia mogli wybrać jego nazwę. Jednocześnie Sąd Najwyższy podkreślił, że nazwa ta nie powinna wprowadzać w błąd ani ingerować w prawa innych osób. W</w:t>
      </w:r>
      <w:r w:rsidR="004565EB">
        <w:rPr>
          <w:lang w:val="pl"/>
        </w:rPr>
        <w:t> </w:t>
      </w:r>
      <w:r>
        <w:rPr>
          <w:lang w:val="pl"/>
        </w:rPr>
        <w:t>niniejszej sprawie po zarejestrowaniu skarżącego stowarzyszenia w</w:t>
      </w:r>
      <w:r w:rsidR="004565EB">
        <w:rPr>
          <w:lang w:val="pl"/>
        </w:rPr>
        <w:t> </w:t>
      </w:r>
      <w:r>
        <w:rPr>
          <w:lang w:val="pl"/>
        </w:rPr>
        <w:t xml:space="preserve">mediach pojawiły się artykuły sugerujące, że istnienie „narodu śląskiego” zostało sądownie potwierdzone. W związku z tym nazwa skarżącego stowarzyszenia wprowadzała w błąd i na jej podstawie można było </w:t>
      </w:r>
      <w:r>
        <w:rPr>
          <w:lang w:val="pl"/>
        </w:rPr>
        <w:lastRenderedPageBreak/>
        <w:t>wyciągnąć pewne wnioski. W szczególności uznanie narodowości śląskiej mogłoby doprowadzić do osłabienia jedności i integralności państwa polskiego. Stowarzyszenie mogłoby również skorzystać z przywilejów przyznanych mniejszościom narodowym przez Kodeks wyborczy, takich jak zwolnienie z wymogu, aby partia lub inna organizacja startująca w wyborach otrzymała co najmniej 5% głosów w celu uzyskania miejsc w parlamencie.</w:t>
      </w:r>
    </w:p>
    <w:p w14:paraId="61AF2528" w14:textId="48C6FE88"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15</w:t>
      </w:r>
      <w:r>
        <w:rPr>
          <w:noProof/>
          <w:lang w:val="pl"/>
        </w:rPr>
        <w:fldChar w:fldCharType="end"/>
      </w:r>
      <w:r>
        <w:rPr>
          <w:lang w:val="pl"/>
        </w:rPr>
        <w:t>.  Sąd odniósł się również do swojego wcześniejszego orzecznictwa i</w:t>
      </w:r>
      <w:r w:rsidR="004565EB">
        <w:rPr>
          <w:lang w:val="pl"/>
        </w:rPr>
        <w:t> </w:t>
      </w:r>
      <w:r>
        <w:rPr>
          <w:lang w:val="pl"/>
        </w:rPr>
        <w:t>podkreślił, że wolność wyboru narodowości może być realizowana tylko w</w:t>
      </w:r>
      <w:r w:rsidR="004565EB">
        <w:rPr>
          <w:lang w:val="pl"/>
        </w:rPr>
        <w:t> </w:t>
      </w:r>
      <w:r>
        <w:rPr>
          <w:lang w:val="pl"/>
        </w:rPr>
        <w:t>odniesieniu do narodów obiektywnie istniejących i ukształtowanych w</w:t>
      </w:r>
      <w:r w:rsidR="004565EB">
        <w:rPr>
          <w:lang w:val="pl"/>
        </w:rPr>
        <w:t> </w:t>
      </w:r>
      <w:r>
        <w:rPr>
          <w:lang w:val="pl"/>
        </w:rPr>
        <w:t>procesie historycznym. Sąd powołał się na wyrok Trybunału wydany w</w:t>
      </w:r>
      <w:r w:rsidR="004565EB">
        <w:rPr>
          <w:lang w:val="pl"/>
        </w:rPr>
        <w:t> </w:t>
      </w:r>
      <w:r>
        <w:rPr>
          <w:lang w:val="pl"/>
        </w:rPr>
        <w:t xml:space="preserve">sprawie </w:t>
      </w:r>
      <w:proofErr w:type="spellStart"/>
      <w:r>
        <w:rPr>
          <w:i/>
          <w:iCs/>
          <w:lang w:val="pl"/>
        </w:rPr>
        <w:t>Gorzelik</w:t>
      </w:r>
      <w:proofErr w:type="spellEnd"/>
      <w:r>
        <w:rPr>
          <w:i/>
          <w:iCs/>
          <w:lang w:val="pl"/>
        </w:rPr>
        <w:t xml:space="preserve"> i Inni </w:t>
      </w:r>
      <w:r>
        <w:rPr>
          <w:lang w:val="pl"/>
        </w:rPr>
        <w:t>(</w:t>
      </w:r>
      <w:proofErr w:type="spellStart"/>
      <w:r>
        <w:rPr>
          <w:i/>
          <w:iCs/>
          <w:lang w:val="pl"/>
        </w:rPr>
        <w:t>op.cit</w:t>
      </w:r>
      <w:proofErr w:type="spellEnd"/>
      <w:r>
        <w:rPr>
          <w:i/>
          <w:iCs/>
          <w:lang w:val="pl"/>
        </w:rPr>
        <w:t>.</w:t>
      </w:r>
      <w:r>
        <w:rPr>
          <w:lang w:val="pl"/>
        </w:rPr>
        <w:t>) oraz na swoje wcześniejsze wyroki wydane w odniesieniu do tego stowarzyszenia (Związek Ludności Narodowości Śląskiej).</w:t>
      </w:r>
    </w:p>
    <w:p w14:paraId="17316000"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16</w:t>
      </w:r>
      <w:r>
        <w:rPr>
          <w:noProof/>
          <w:lang w:val="pl"/>
        </w:rPr>
        <w:fldChar w:fldCharType="end"/>
      </w:r>
      <w:r>
        <w:rPr>
          <w:lang w:val="pl"/>
        </w:rPr>
        <w:t>.  Sąd Najwyższy uznał, że wyniki spisu powszechnego z 2011 r. ani żaden inny dokument prawny nie mogą implikować poglądu o istnieniu „narodu śląskiego”. W ustawie z 2005 r. w szczególności nie wymieniono Ślązaków jako mniejszości narodowej ani etnicznej.</w:t>
      </w:r>
    </w:p>
    <w:p w14:paraId="5C3CAC20"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17</w:t>
      </w:r>
      <w:r>
        <w:rPr>
          <w:noProof/>
          <w:lang w:val="pl"/>
        </w:rPr>
        <w:fldChar w:fldCharType="end"/>
      </w:r>
      <w:r>
        <w:rPr>
          <w:lang w:val="pl"/>
        </w:rPr>
        <w:t>.  W dniu 7 marca 2014 r. Sąd Okręgowy w Opolu uchylił postanowienie z dnia 21 grudnia 2011 r. i przekazał sprawę do ponownego rozpoznania Sądowi Rejonowemu w Opolu.</w:t>
      </w:r>
    </w:p>
    <w:bookmarkStart w:id="8" w:name="failure_to_comply_with_law"/>
    <w:bookmarkStart w:id="9" w:name="dissolution"/>
    <w:p w14:paraId="1EA43672" w14:textId="5C1AD060"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lang w:val="pl"/>
        </w:rPr>
        <w:fldChar w:fldCharType="end"/>
      </w:r>
      <w:bookmarkEnd w:id="8"/>
      <w:bookmarkEnd w:id="9"/>
      <w:r>
        <w:rPr>
          <w:lang w:val="pl"/>
        </w:rPr>
        <w:t>.  W dniu 9 stycznia 2015 r. Sąd Rejonowy w Opolu rozwiązał skarżące stowarzyszenie i zarządził jego likwidację. Sąd Rejonowy oparł swoją decyzję na art. 29 ust. 1 pkt 3 ustawy Prawo o stowarzyszeniach, orzekając, że może rozwiązać stowarzyszenie, jeżeli jego działalność wykazuje rażące i</w:t>
      </w:r>
      <w:r w:rsidR="004565EB">
        <w:rPr>
          <w:lang w:val="pl"/>
        </w:rPr>
        <w:t> </w:t>
      </w:r>
      <w:r>
        <w:rPr>
          <w:lang w:val="pl"/>
        </w:rPr>
        <w:t>uporczywe naruszanie prawa albo postanowień statutu i nie ma warunków do przywrócenia działalności zgodnej z prawem lub statutem.</w:t>
      </w:r>
    </w:p>
    <w:bookmarkStart w:id="10" w:name="request_to_comply"/>
    <w:bookmarkStart w:id="11" w:name="changes_memorandum"/>
    <w:p w14:paraId="1CC97FB2" w14:textId="0BB8DC3A"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w:t>
      </w:r>
      <w:r>
        <w:rPr>
          <w:lang w:val="pl"/>
        </w:rPr>
        <w:fldChar w:fldCharType="end"/>
      </w:r>
      <w:bookmarkEnd w:id="10"/>
      <w:bookmarkEnd w:id="11"/>
      <w:r>
        <w:rPr>
          <w:lang w:val="pl"/>
        </w:rPr>
        <w:t>.  Skarżące stowarzyszenie zostało poproszone o zmianę statutu w celu zapewnienia jego zgodności z prawem. W szczególności zwrócono się do niego o zmianę wprowadzającej w błąd nazwy i postanowień, które odnosiły się do „osób narodowości śląskiej”. Zmiany te nie zostały jednak wprowadzone. Delegaci na nadzwyczajnym walnym zgromadzeniu, które odbyło się 25 października 2014 r., zmienili § 8 pkt 1 i 4, ale sprzeciwili się zmianie § 1, 11 i 43, które odnosiły się do „narodowości śląskiej</w:t>
      </w:r>
      <w:r w:rsidR="00767D10">
        <w:rPr>
          <w:lang w:val="pl"/>
        </w:rPr>
        <w:t>”</w:t>
      </w:r>
      <w:r>
        <w:rPr>
          <w:lang w:val="pl"/>
        </w:rPr>
        <w:t>. Sąd odniósł się do wyroku Sądu Najwyższego z dnia 5 grudnia 2013 r., zauważając, że</w:t>
      </w:r>
      <w:r w:rsidR="004565EB">
        <w:rPr>
          <w:lang w:val="pl"/>
        </w:rPr>
        <w:t> </w:t>
      </w:r>
      <w:r>
        <w:rPr>
          <w:lang w:val="pl"/>
        </w:rPr>
        <w:t>nazwa skarżącego stowarzyszenia i niektóre postanowienia statutu sugerowały, że istnieje wyodrębniona prawnie śląska mniejszość narodowa, co nie zostało potwierdzone żadnym przepisem prawa.</w:t>
      </w:r>
    </w:p>
    <w:p w14:paraId="79347FB1"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20</w:t>
      </w:r>
      <w:r>
        <w:rPr>
          <w:noProof/>
          <w:lang w:val="pl"/>
        </w:rPr>
        <w:fldChar w:fldCharType="end"/>
      </w:r>
      <w:r>
        <w:rPr>
          <w:lang w:val="pl"/>
        </w:rPr>
        <w:t xml:space="preserve">.  Sąd Rejonowy oparł się ponadto na wyroku Trybunału w sprawie </w:t>
      </w:r>
      <w:proofErr w:type="spellStart"/>
      <w:r>
        <w:rPr>
          <w:i/>
          <w:iCs/>
          <w:lang w:val="pl"/>
        </w:rPr>
        <w:t>Gorzelik</w:t>
      </w:r>
      <w:proofErr w:type="spellEnd"/>
      <w:r>
        <w:rPr>
          <w:i/>
          <w:iCs/>
          <w:lang w:val="pl"/>
        </w:rPr>
        <w:t xml:space="preserve"> i Inni</w:t>
      </w:r>
      <w:r>
        <w:rPr>
          <w:lang w:val="pl"/>
        </w:rPr>
        <w:t xml:space="preserve"> (</w:t>
      </w:r>
      <w:proofErr w:type="spellStart"/>
      <w:r>
        <w:rPr>
          <w:i/>
          <w:iCs/>
          <w:lang w:val="pl"/>
        </w:rPr>
        <w:t>op.cit</w:t>
      </w:r>
      <w:proofErr w:type="spellEnd"/>
      <w:r>
        <w:rPr>
          <w:i/>
          <w:iCs/>
          <w:lang w:val="pl"/>
        </w:rPr>
        <w:t>.</w:t>
      </w:r>
      <w:r>
        <w:rPr>
          <w:lang w:val="pl"/>
        </w:rPr>
        <w:t xml:space="preserve">) i uznał, że rozumowanie Trybunału jest również ważne w odniesieniu do skarżącego stowarzyszenia. W szczególności, mimo że Ślązacy nie zostali uznani za mniejszość etniczną w żadnym krajowym przepisie prawnym, skarżące stowarzyszenie w swoim statucie odnosiło się do „narodowości śląskiej”. Z tego powodu działalność skarżącego </w:t>
      </w:r>
      <w:r>
        <w:rPr>
          <w:lang w:val="pl"/>
        </w:rPr>
        <w:lastRenderedPageBreak/>
        <w:t>stowarzyszenia stanowiła naruszenie ustawy z 2005 r. i Kodeksu wyborczego.</w:t>
      </w:r>
    </w:p>
    <w:p w14:paraId="6E1393B2"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21</w:t>
      </w:r>
      <w:r>
        <w:rPr>
          <w:noProof/>
          <w:lang w:val="pl"/>
        </w:rPr>
        <w:fldChar w:fldCharType="end"/>
      </w:r>
      <w:r>
        <w:rPr>
          <w:lang w:val="pl"/>
        </w:rPr>
        <w:t>.  W dniu 18 czerwca 2015 r. Sąd Okręgowy w Opolu oddalił apelację skarżącego stowarzyszenia. Sąd stwierdził, że sytuacja prawna i faktyczna nie uległa zmianie, a skarżące stowarzyszenie odmówiło wprowadzenia zmian w swoim statucie.</w:t>
      </w:r>
    </w:p>
    <w:p w14:paraId="0016112C"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22</w:t>
      </w:r>
      <w:r>
        <w:rPr>
          <w:noProof/>
          <w:lang w:val="pl"/>
        </w:rPr>
        <w:fldChar w:fldCharType="end"/>
      </w:r>
      <w:r>
        <w:rPr>
          <w:lang w:val="pl"/>
        </w:rPr>
        <w:t>.  W dniu 12 października 2016 r. Sąd Najwyższy odmówił uwzględnienia skargi kasacyjnej wniesionej przez skarżące stowarzyszenie.</w:t>
      </w:r>
    </w:p>
    <w:p w14:paraId="699D820C" w14:textId="77777777" w:rsidR="00234A94" w:rsidRPr="00710B05" w:rsidRDefault="006F0F0E" w:rsidP="00710B05">
      <w:pPr>
        <w:pStyle w:val="JuHHead"/>
      </w:pPr>
      <w:r>
        <w:rPr>
          <w:bCs w:val="0"/>
          <w:lang w:val="pl"/>
        </w:rPr>
        <w:t>ISTOTNE RAMY PRAWNE</w:t>
      </w:r>
    </w:p>
    <w:p w14:paraId="5A9307FC" w14:textId="4DE55F62"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23</w:t>
      </w:r>
      <w:r>
        <w:rPr>
          <w:noProof/>
          <w:lang w:val="pl"/>
        </w:rPr>
        <w:fldChar w:fldCharType="end"/>
      </w:r>
      <w:r>
        <w:rPr>
          <w:lang w:val="pl"/>
        </w:rPr>
        <w:t xml:space="preserve">.  Odpowiednie prawo krajowe i </w:t>
      </w:r>
      <w:r w:rsidR="00F40D7E">
        <w:rPr>
          <w:lang w:val="pl"/>
        </w:rPr>
        <w:t xml:space="preserve">praktykę </w:t>
      </w:r>
      <w:r>
        <w:rPr>
          <w:lang w:val="pl"/>
        </w:rPr>
        <w:t xml:space="preserve">streszczono w wyroku Trybunału w sprawie </w:t>
      </w:r>
      <w:proofErr w:type="spellStart"/>
      <w:r>
        <w:rPr>
          <w:i/>
          <w:iCs/>
          <w:lang w:val="pl"/>
        </w:rPr>
        <w:t>Gorzelik</w:t>
      </w:r>
      <w:proofErr w:type="spellEnd"/>
      <w:r>
        <w:rPr>
          <w:i/>
          <w:iCs/>
          <w:lang w:val="pl"/>
        </w:rPr>
        <w:t xml:space="preserve"> i Inni </w:t>
      </w:r>
      <w:r>
        <w:rPr>
          <w:lang w:val="pl"/>
        </w:rPr>
        <w:t>(</w:t>
      </w:r>
      <w:proofErr w:type="spellStart"/>
      <w:r>
        <w:rPr>
          <w:i/>
          <w:iCs/>
          <w:lang w:val="pl"/>
        </w:rPr>
        <w:t>op.cit</w:t>
      </w:r>
      <w:proofErr w:type="spellEnd"/>
      <w:r>
        <w:rPr>
          <w:i/>
          <w:iCs/>
          <w:lang w:val="pl"/>
        </w:rPr>
        <w:t>.</w:t>
      </w:r>
      <w:r>
        <w:rPr>
          <w:lang w:val="pl"/>
        </w:rPr>
        <w:t>, §§ 37–44).</w:t>
      </w:r>
    </w:p>
    <w:p w14:paraId="55A63F2A" w14:textId="738902EC"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24</w:t>
      </w:r>
      <w:r>
        <w:rPr>
          <w:noProof/>
          <w:lang w:val="pl"/>
        </w:rPr>
        <w:fldChar w:fldCharType="end"/>
      </w:r>
      <w:r>
        <w:rPr>
          <w:lang w:val="pl"/>
        </w:rPr>
        <w:t xml:space="preserve">.  W następstwie tego wyroku, w dniu 6 stycznia 2005 r. uchwalono ustawę z 2005 r. (zob. paragraf </w:t>
      </w:r>
      <w:r>
        <w:rPr>
          <w:lang w:val="pl"/>
        </w:rPr>
        <w:fldChar w:fldCharType="begin"/>
      </w:r>
      <w:r>
        <w:rPr>
          <w:lang w:val="pl"/>
        </w:rPr>
        <w:instrText xml:space="preserve"> REF act_2005 \h  \* MERGEFORMAT </w:instrText>
      </w:r>
      <w:r>
        <w:rPr>
          <w:lang w:val="pl"/>
        </w:rPr>
      </w:r>
      <w:r>
        <w:rPr>
          <w:lang w:val="pl"/>
        </w:rPr>
        <w:fldChar w:fldCharType="separate"/>
      </w:r>
      <w:r>
        <w:rPr>
          <w:lang w:val="pl"/>
        </w:rPr>
        <w:t>10</w:t>
      </w:r>
      <w:r>
        <w:rPr>
          <w:lang w:val="pl"/>
        </w:rPr>
        <w:fldChar w:fldCharType="end"/>
      </w:r>
      <w:r>
        <w:rPr>
          <w:lang w:val="pl"/>
        </w:rPr>
        <w:t xml:space="preserve"> powyżej). Weszła ona w życie 1 maja 2005</w:t>
      </w:r>
      <w:r w:rsidR="00F40D7E">
        <w:rPr>
          <w:lang w:val="pl"/>
        </w:rPr>
        <w:t> </w:t>
      </w:r>
      <w:r>
        <w:rPr>
          <w:lang w:val="pl"/>
        </w:rPr>
        <w:t>r. Mniejszości narodowe i etniczne zdefiniowano i wymieniono w rozdziale 1 tej ustawy. Nie było wśród nich jednak „narodowości śląskiej”.</w:t>
      </w:r>
    </w:p>
    <w:p w14:paraId="65D20852"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25</w:t>
      </w:r>
      <w:r>
        <w:rPr>
          <w:noProof/>
          <w:lang w:val="pl"/>
        </w:rPr>
        <w:fldChar w:fldCharType="end"/>
      </w:r>
      <w:r>
        <w:rPr>
          <w:lang w:val="pl"/>
        </w:rPr>
        <w:t>.  W dniu 5 stycznia 2011 r. uchwalono Kodeks wyborczy.</w:t>
      </w:r>
    </w:p>
    <w:p w14:paraId="4596185E" w14:textId="2DC0E2B6"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26</w:t>
      </w:r>
      <w:r>
        <w:rPr>
          <w:noProof/>
          <w:lang w:val="pl"/>
        </w:rPr>
        <w:fldChar w:fldCharType="end"/>
      </w:r>
      <w:r>
        <w:rPr>
          <w:lang w:val="pl"/>
        </w:rPr>
        <w:t>.  Art. 196 § 1 Kodeksu wyborczego z 2011 r. stanowi, co następuje, w</w:t>
      </w:r>
      <w:r w:rsidR="004565EB">
        <w:rPr>
          <w:lang w:val="pl"/>
        </w:rPr>
        <w:t> </w:t>
      </w:r>
      <w:r>
        <w:rPr>
          <w:lang w:val="pl"/>
        </w:rPr>
        <w:t>odpowiednim zakresie:</w:t>
      </w:r>
    </w:p>
    <w:p w14:paraId="2A319B2D" w14:textId="170ECB0C" w:rsidR="00234A94" w:rsidRPr="007D0212" w:rsidRDefault="006F0F0E" w:rsidP="00710B05">
      <w:pPr>
        <w:pStyle w:val="JuQuot"/>
        <w:rPr>
          <w:lang w:val="pl-PL"/>
        </w:rPr>
      </w:pPr>
      <w:r>
        <w:rPr>
          <w:lang w:val="pl"/>
        </w:rPr>
        <w:t>„W podziale mandatów w okręgach wyborczych uwzględnia się wyłącznie listy kandydatów na posłów tych komitetów wyborczych, których listy otrzymały co</w:t>
      </w:r>
      <w:r w:rsidR="004565EB">
        <w:rPr>
          <w:lang w:val="pl"/>
        </w:rPr>
        <w:t> </w:t>
      </w:r>
      <w:r>
        <w:rPr>
          <w:lang w:val="pl"/>
        </w:rPr>
        <w:t>najmniej 5% ważnie oddanych głosów w skali [Polski]”.</w:t>
      </w:r>
    </w:p>
    <w:p w14:paraId="4C1ADCB2" w14:textId="6A420D25"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27</w:t>
      </w:r>
      <w:r>
        <w:rPr>
          <w:noProof/>
          <w:lang w:val="pl"/>
        </w:rPr>
        <w:fldChar w:fldCharType="end"/>
      </w:r>
      <w:r>
        <w:rPr>
          <w:lang w:val="pl"/>
        </w:rPr>
        <w:t>.  W zakresie, w jakim art. 197 § 1 ma zastosowanie, stanowi on, co</w:t>
      </w:r>
      <w:r w:rsidR="004565EB">
        <w:rPr>
          <w:lang w:val="pl"/>
        </w:rPr>
        <w:t> </w:t>
      </w:r>
      <w:r>
        <w:rPr>
          <w:lang w:val="pl"/>
        </w:rPr>
        <w:t>następuje:</w:t>
      </w:r>
    </w:p>
    <w:p w14:paraId="3D918037" w14:textId="02FF3690" w:rsidR="00234A94" w:rsidRPr="007D0212" w:rsidRDefault="006F0F0E" w:rsidP="00710B05">
      <w:pPr>
        <w:pStyle w:val="JuQuot"/>
        <w:rPr>
          <w:lang w:val="pl-PL"/>
        </w:rPr>
      </w:pPr>
      <w:r>
        <w:rPr>
          <w:lang w:val="pl"/>
        </w:rPr>
        <w:t>„Komitety wyborcze utworzone przez wyborców zrzeszonych w zarejestrowanych organizacjach mniejszości narodowych mogą korzystać ze zwolnienia list tych komitetów z warunku, o którym mowa w art. 196 § 1, jeżeli złożą Państwowej Komisji Wyborczej oświadczenie w tej sprawie</w:t>
      </w:r>
      <w:bookmarkStart w:id="12" w:name="_ftnref6"/>
      <w:bookmarkEnd w:id="12"/>
      <w:r>
        <w:rPr>
          <w:lang w:val="pl"/>
        </w:rPr>
        <w:t xml:space="preserve"> najpóźniej w 5 dniu przed dniem wyborów [...]”.</w:t>
      </w:r>
    </w:p>
    <w:p w14:paraId="11F098DF" w14:textId="77777777" w:rsidR="00234A94" w:rsidRPr="00710B05" w:rsidRDefault="006F0F0E" w:rsidP="00710B05">
      <w:pPr>
        <w:pStyle w:val="JuHHead"/>
      </w:pPr>
      <w:r>
        <w:rPr>
          <w:bCs w:val="0"/>
          <w:lang w:val="pl"/>
        </w:rPr>
        <w:t xml:space="preserve">PRAWO </w:t>
      </w:r>
    </w:p>
    <w:p w14:paraId="56256326" w14:textId="77777777" w:rsidR="00234A94" w:rsidRPr="00710B05" w:rsidRDefault="006F0F0E" w:rsidP="00710B05">
      <w:pPr>
        <w:pStyle w:val="JuHIRoman"/>
      </w:pPr>
      <w:r>
        <w:rPr>
          <w:bCs w:val="0"/>
          <w:lang w:val="pl"/>
        </w:rPr>
        <w:t>UWAGI WSTĘPNE</w:t>
      </w:r>
    </w:p>
    <w:p w14:paraId="73599539"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28</w:t>
      </w:r>
      <w:r>
        <w:rPr>
          <w:noProof/>
          <w:lang w:val="pl"/>
        </w:rPr>
        <w:fldChar w:fldCharType="end"/>
      </w:r>
      <w:r>
        <w:rPr>
          <w:lang w:val="pl"/>
        </w:rPr>
        <w:t>.  Skarżące stowarzyszenie złożyło skargę na podstawie art. 9, 11 i 14 Konwencji na rzekomo arbitralną decyzję o rozwiązaniu Stowarzyszenia Osób Narodowości Śląskiej.</w:t>
      </w:r>
    </w:p>
    <w:p w14:paraId="4EBEA58A"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29</w:t>
      </w:r>
      <w:r>
        <w:rPr>
          <w:noProof/>
          <w:lang w:val="pl"/>
        </w:rPr>
        <w:fldChar w:fldCharType="end"/>
      </w:r>
      <w:r>
        <w:rPr>
          <w:lang w:val="pl"/>
        </w:rPr>
        <w:t>.  Trybunał uważa, że istota skargi dotyczy rozwiązania skarżącego stowarzyszenia; w związku z tym uznaje za właściwe zbadanie tej skargi jedynie z punktu widzenia art. 11 Konwencji, który stanowi, co następuje:</w:t>
      </w:r>
    </w:p>
    <w:p w14:paraId="02E18677" w14:textId="77777777" w:rsidR="00234A94" w:rsidRPr="007D0212" w:rsidRDefault="006F0F0E" w:rsidP="00710B05">
      <w:pPr>
        <w:pStyle w:val="JuQuot"/>
        <w:rPr>
          <w:lang w:val="pl-PL"/>
        </w:rPr>
      </w:pPr>
      <w:r>
        <w:rPr>
          <w:sz w:val="24"/>
          <w:lang w:val="pl"/>
        </w:rPr>
        <w:t>„</w:t>
      </w:r>
      <w:r>
        <w:rPr>
          <w:lang w:val="pl"/>
        </w:rPr>
        <w:t>1.  Każdy ma prawo do swobodnego, pokojowego zgromadzenia się oraz do swobodnego stowarzyszania się, włącznie z prawem tworzenia związków zawodowych i przystępowania do nich dla ochrony swoich interesów.</w:t>
      </w:r>
    </w:p>
    <w:p w14:paraId="20F022DA" w14:textId="77777777" w:rsidR="00234A94" w:rsidRPr="007D0212" w:rsidRDefault="006F0F0E" w:rsidP="00710B05">
      <w:pPr>
        <w:pStyle w:val="JuQuot"/>
        <w:rPr>
          <w:lang w:val="pl-PL"/>
        </w:rPr>
      </w:pPr>
      <w:r>
        <w:rPr>
          <w:lang w:val="pl"/>
        </w:rPr>
        <w:lastRenderedPageBreak/>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korzystania z tych praw przez członków sił zbrojnych, policji lub administracji państwowej”.</w:t>
      </w:r>
    </w:p>
    <w:p w14:paraId="3775D1B3" w14:textId="6614E565" w:rsidR="00234A94" w:rsidRPr="00710B05" w:rsidRDefault="00483498" w:rsidP="00710B05">
      <w:pPr>
        <w:pStyle w:val="JuHIRoman"/>
      </w:pPr>
      <w:r>
        <w:rPr>
          <w:bCs w:val="0"/>
          <w:lang w:val="pl"/>
        </w:rPr>
        <w:t>zarzucane</w:t>
      </w:r>
      <w:r w:rsidR="006F0F0E">
        <w:rPr>
          <w:bCs w:val="0"/>
          <w:lang w:val="pl"/>
        </w:rPr>
        <w:t xml:space="preserve"> NARUSZENIE ART. 11 KONWENCJI</w:t>
      </w:r>
    </w:p>
    <w:p w14:paraId="3DFA9BF7" w14:textId="77777777" w:rsidR="00234A94" w:rsidRPr="00710B05" w:rsidRDefault="006F0F0E" w:rsidP="00710B05">
      <w:pPr>
        <w:pStyle w:val="JuHA"/>
      </w:pPr>
      <w:r>
        <w:rPr>
          <w:lang w:val="pl"/>
        </w:rPr>
        <w:t>Dopuszczalność</w:t>
      </w:r>
    </w:p>
    <w:p w14:paraId="523E27B3" w14:textId="13963498"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Rząd uznał, że skarga powinna zostać oddalona ze względu na to, że</w:t>
      </w:r>
      <w:r w:rsidR="004565EB">
        <w:rPr>
          <w:lang w:val="pl"/>
        </w:rPr>
        <w:t> </w:t>
      </w:r>
      <w:r>
        <w:rPr>
          <w:lang w:val="pl"/>
        </w:rPr>
        <w:t>jest w sposób oczywisty nieuzasadniona.</w:t>
      </w:r>
    </w:p>
    <w:p w14:paraId="3585D71E" w14:textId="77777777"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Skarżący twierdził, że skarga jest dopuszczalna i że doszło do naruszenia art. 11 Konwencji.</w:t>
      </w:r>
    </w:p>
    <w:p w14:paraId="6A9A729C" w14:textId="77777777"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Trybunał uważa, w świetle stanowisk stron, że w skardze poruszono złożone kwestie faktyczne i prawne, które wymagają zbadania co do jej przedmiotu; w związku z tym nie można jej uznać za w sposób oczywisty nieuzasadnioną w rozumieniu art. 35 ust. 3 Konwencji. Nie stwierdzono innych podstaw dla uznania jej za niedopuszczalną, dlatego Trybunał uznaje skargę za dopuszczalną.</w:t>
      </w:r>
    </w:p>
    <w:p w14:paraId="422BCD46" w14:textId="77777777" w:rsidR="00234A94" w:rsidRPr="00710B05" w:rsidRDefault="006F0F0E" w:rsidP="00710B05">
      <w:pPr>
        <w:pStyle w:val="JuHA"/>
      </w:pPr>
      <w:r>
        <w:rPr>
          <w:lang w:val="pl"/>
        </w:rPr>
        <w:t>Przedmiot skargi</w:t>
      </w:r>
    </w:p>
    <w:p w14:paraId="256EC0E9" w14:textId="77777777" w:rsidR="00234A94" w:rsidRPr="00710B05" w:rsidRDefault="006F0F0E" w:rsidP="00710B05">
      <w:pPr>
        <w:pStyle w:val="JuH1"/>
      </w:pPr>
      <w:r>
        <w:rPr>
          <w:bCs w:val="0"/>
          <w:lang w:val="pl"/>
        </w:rPr>
        <w:t>Stanowiska stron</w:t>
      </w:r>
    </w:p>
    <w:p w14:paraId="24EB7341" w14:textId="13DCD7EE" w:rsidR="00234A94" w:rsidRPr="007D0212" w:rsidRDefault="006F0F0E" w:rsidP="00710B05">
      <w:pPr>
        <w:pStyle w:val="JuPara"/>
        <w:rPr>
          <w:rFonts w:eastAsia="Times New Roman"/>
          <w:lang w:val="pl-PL"/>
        </w:rPr>
      </w:pPr>
      <w:r>
        <w:fldChar w:fldCharType="begin"/>
      </w:r>
      <w:r w:rsidRPr="007D0212">
        <w:rPr>
          <w:lang w:val="pl-PL"/>
        </w:rPr>
        <w:instrText xml:space="preserve"> SEQ level0 \*arabic \* MERGEFORMAT </w:instrText>
      </w:r>
      <w:r>
        <w:fldChar w:fldCharType="separate"/>
      </w:r>
      <w:r>
        <w:rPr>
          <w:noProof/>
          <w:lang w:val="pl"/>
        </w:rPr>
        <w:t>33</w:t>
      </w:r>
      <w:r>
        <w:rPr>
          <w:noProof/>
          <w:lang w:val="pl"/>
        </w:rPr>
        <w:fldChar w:fldCharType="end"/>
      </w:r>
      <w:r>
        <w:rPr>
          <w:lang w:val="pl"/>
        </w:rPr>
        <w:t xml:space="preserve">.  Rząd zauważył, że ingerencja w prawo skarżącego do zrzeszania się była przewidziana przez </w:t>
      </w:r>
      <w:r w:rsidR="00C05B28">
        <w:rPr>
          <w:lang w:val="pl"/>
        </w:rPr>
        <w:t>ustawę</w:t>
      </w:r>
      <w:r>
        <w:rPr>
          <w:lang w:val="pl"/>
        </w:rPr>
        <w:t>, a mianowicie art. 29 ustawy Prawo o</w:t>
      </w:r>
      <w:r w:rsidR="004565EB">
        <w:rPr>
          <w:lang w:val="pl"/>
        </w:rPr>
        <w:t> </w:t>
      </w:r>
      <w:r>
        <w:rPr>
          <w:lang w:val="pl"/>
        </w:rPr>
        <w:t>stowarzyszeniach, który zezwala sądowi na rozwiązanie stowarzyszenia. Rząd wskazał, że przepisy określające warunki rejestracji stowarzyszeń i ich rozwiązania są wystarczająco jasne i precyzyjne, aby umożliwić osobie określenie swojego postępowania, a w konsekwencji spełniają kryterium „przewidywalności” prawa do celów Konwencji. Rząd powołał się ponadto na ustawę z 2005 r., w której wśród uznanych mniejszości narodowych nie wymieniono „narodowości śląskiej”,</w:t>
      </w:r>
      <w:r w:rsidR="004565EB">
        <w:rPr>
          <w:lang w:val="pl"/>
        </w:rPr>
        <w:t xml:space="preserve"> </w:t>
      </w:r>
      <w:r>
        <w:rPr>
          <w:lang w:val="pl"/>
        </w:rPr>
        <w:t>oraz na orzecznictwo Sądu Najwyższego, który konsekwentnie odmawiał rejestracji stowarzyszeń odwołujących się do „narodowości śląskiej”.</w:t>
      </w:r>
    </w:p>
    <w:p w14:paraId="77B13876" w14:textId="19C9ABB7" w:rsidR="00234A94" w:rsidRPr="007D0212" w:rsidRDefault="006F0F0E" w:rsidP="00710B05">
      <w:pPr>
        <w:pStyle w:val="JuPara"/>
        <w:rPr>
          <w:rFonts w:eastAsia="Times New Roman"/>
          <w:lang w:val="pl-PL"/>
        </w:rPr>
      </w:pPr>
      <w:r>
        <w:fldChar w:fldCharType="begin"/>
      </w:r>
      <w:r w:rsidRPr="007D0212">
        <w:rPr>
          <w:lang w:val="pl-PL"/>
        </w:rPr>
        <w:instrText xml:space="preserve"> SEQ level0 \*arabic \* MERGEFORMAT </w:instrText>
      </w:r>
      <w:r>
        <w:fldChar w:fldCharType="separate"/>
      </w:r>
      <w:r>
        <w:rPr>
          <w:noProof/>
          <w:lang w:val="pl"/>
        </w:rPr>
        <w:t>34</w:t>
      </w:r>
      <w:r>
        <w:rPr>
          <w:noProof/>
          <w:lang w:val="pl"/>
        </w:rPr>
        <w:fldChar w:fldCharType="end"/>
      </w:r>
      <w:r>
        <w:rPr>
          <w:lang w:val="pl"/>
        </w:rPr>
        <w:t>.  Rząd utrzymywał również, że przedmiotowa ingerencja służyła uzasadnionemu celowi, jakim była ochrona porządku oraz praw i wolności innych osób, a także ochrona porządku prawnego i integralności państwa polskiego. W tym względzie Rząd zauważył, że zezwolenie na działalność stowarzyszenia, które odwołuje się do „narodowości śląskiej”, może stworzyć wrażenie, że władze polskie uznają istnienie narodu śląskiego, co może zachęcić inne grupy etniczne do podjęcia podobnych kroków, a</w:t>
      </w:r>
      <w:r w:rsidR="004565EB">
        <w:rPr>
          <w:lang w:val="pl"/>
        </w:rPr>
        <w:t> </w:t>
      </w:r>
      <w:r>
        <w:rPr>
          <w:lang w:val="pl"/>
        </w:rPr>
        <w:t>w</w:t>
      </w:r>
      <w:r w:rsidR="004565EB">
        <w:rPr>
          <w:lang w:val="pl"/>
        </w:rPr>
        <w:t> </w:t>
      </w:r>
      <w:r>
        <w:rPr>
          <w:lang w:val="pl"/>
        </w:rPr>
        <w:t xml:space="preserve">konsekwencji podważyć integralność państwa polskiego. Miałoby to </w:t>
      </w:r>
      <w:r>
        <w:rPr>
          <w:lang w:val="pl"/>
        </w:rPr>
        <w:lastRenderedPageBreak/>
        <w:t>również negatywne konsekwencje dla innych grup etnicznych i prowadziłoby do ich dyskryminacji.</w:t>
      </w:r>
    </w:p>
    <w:bookmarkStart w:id="13" w:name="Gov_election_argument"/>
    <w:p w14:paraId="64CFFB61" w14:textId="220AFE42"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lang w:val="pl"/>
        </w:rPr>
        <w:fldChar w:fldCharType="end"/>
      </w:r>
      <w:bookmarkEnd w:id="13"/>
      <w:r>
        <w:rPr>
          <w:lang w:val="pl"/>
        </w:rPr>
        <w:t>.  Rząd stwierdził ponadto, że zaskarżona ingerencja była niezbędna w</w:t>
      </w:r>
      <w:r w:rsidR="00703443">
        <w:rPr>
          <w:lang w:val="pl"/>
        </w:rPr>
        <w:t> </w:t>
      </w:r>
      <w:r>
        <w:rPr>
          <w:lang w:val="pl"/>
        </w:rPr>
        <w:t xml:space="preserve">demokratycznym społeczeństwie, w szczególności dla udaremnienia skarżącemu stowarzyszeniu ewentualnych prób skorzystania z przywilejów wyborczych przyznanych mniejszościom narodowym przez prawo krajowe. W tym względzie Rząd podniósł, że pomimo zmian przyjętych po wyroku w sprawie </w:t>
      </w:r>
      <w:proofErr w:type="spellStart"/>
      <w:r>
        <w:rPr>
          <w:i/>
          <w:iCs/>
          <w:lang w:val="pl"/>
        </w:rPr>
        <w:t>Gorzelik</w:t>
      </w:r>
      <w:proofErr w:type="spellEnd"/>
      <w:r>
        <w:rPr>
          <w:i/>
          <w:iCs/>
          <w:lang w:val="pl"/>
        </w:rPr>
        <w:t xml:space="preserve"> i Inni</w:t>
      </w:r>
      <w:r>
        <w:rPr>
          <w:lang w:val="pl"/>
        </w:rPr>
        <w:t xml:space="preserve"> (</w:t>
      </w:r>
      <w:proofErr w:type="spellStart"/>
      <w:r>
        <w:rPr>
          <w:i/>
          <w:iCs/>
          <w:lang w:val="pl"/>
        </w:rPr>
        <w:t>op.cit</w:t>
      </w:r>
      <w:proofErr w:type="spellEnd"/>
      <w:r>
        <w:rPr>
          <w:i/>
          <w:iCs/>
          <w:lang w:val="pl"/>
        </w:rPr>
        <w:t>.</w:t>
      </w:r>
      <w:r>
        <w:rPr>
          <w:lang w:val="pl"/>
        </w:rPr>
        <w:t>) i wejściu w życie ustawy z</w:t>
      </w:r>
      <w:r w:rsidR="00703443">
        <w:rPr>
          <w:lang w:val="pl"/>
        </w:rPr>
        <w:t> </w:t>
      </w:r>
      <w:r>
        <w:rPr>
          <w:lang w:val="pl"/>
        </w:rPr>
        <w:t>2005</w:t>
      </w:r>
      <w:r w:rsidR="00703443">
        <w:rPr>
          <w:lang w:val="pl"/>
        </w:rPr>
        <w:t> </w:t>
      </w:r>
      <w:r>
        <w:rPr>
          <w:lang w:val="pl"/>
        </w:rPr>
        <w:t>r., nadal istniało ryzyko, że skarżące stowarzyszenie może zarejestrować komitet wyborczy. Rząd uznał również, że ingerencja była proporcjonalna do zamierzonego celu, a w szczególności nie była bezwarunkowa ani bezwzględna; skarżące stowarzyszenie miało bowiem możliwość zmiany statutu w celu dostosowania go do polskiego prawa. Gdyby skarżące stowarzyszenie zastosowało się do nakazu sądu krajowego, nie zostałoby rozwiązane. Rozwiązanie skarżącego stowarzyszenia nie miało na celu uniemożliwienia Ślązakom kultywowania ich tradycji i zwyczajów, lecz ochronę porządku publicznego i praw innych osób. Ponadto Rząd twierdził, że nic nie stało na przeszkodzie, aby członkowie skarżącego stowarzyszenia założyli nowe stowarzyszenie w celu kultywowania śląskich wartości w Polsce bez odwoływania się do „narodowości śląskiej”.</w:t>
      </w:r>
    </w:p>
    <w:p w14:paraId="19EBA377" w14:textId="1500B222"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36</w:t>
      </w:r>
      <w:r>
        <w:rPr>
          <w:noProof/>
          <w:lang w:val="pl"/>
        </w:rPr>
        <w:fldChar w:fldCharType="end"/>
      </w:r>
      <w:r>
        <w:rPr>
          <w:lang w:val="pl"/>
        </w:rPr>
        <w:t>.  Skarżące stowarzyszenie stwierdziło, że jego prawo do zrzeszania się zostało naruszone. Uznało, że nakaz rozwiązania nie był uzasadniony, w</w:t>
      </w:r>
      <w:r w:rsidR="00703443">
        <w:rPr>
          <w:lang w:val="pl"/>
        </w:rPr>
        <w:t> </w:t>
      </w:r>
      <w:r>
        <w:rPr>
          <w:lang w:val="pl"/>
        </w:rPr>
        <w:t xml:space="preserve">szczególności dlatego, że wyraźnie stwierdzono, że skarżące stowarzyszenie nie skorzysta z przepisów przyznających mniejszościom narodowym przywileje wyborcze. W tym względzie skarżące stowarzyszenie odniosło się do zmian legislacyjnych w polskim prawie po wyroku w sprawie </w:t>
      </w:r>
      <w:proofErr w:type="spellStart"/>
      <w:r>
        <w:rPr>
          <w:i/>
          <w:iCs/>
          <w:lang w:val="pl"/>
        </w:rPr>
        <w:t>Gorzelik</w:t>
      </w:r>
      <w:proofErr w:type="spellEnd"/>
      <w:r>
        <w:rPr>
          <w:i/>
          <w:iCs/>
          <w:lang w:val="pl"/>
        </w:rPr>
        <w:t xml:space="preserve"> i Inni </w:t>
      </w:r>
      <w:r>
        <w:rPr>
          <w:lang w:val="pl"/>
        </w:rPr>
        <w:t>(</w:t>
      </w:r>
      <w:proofErr w:type="spellStart"/>
      <w:r>
        <w:rPr>
          <w:i/>
          <w:iCs/>
          <w:lang w:val="pl"/>
        </w:rPr>
        <w:t>op.cit</w:t>
      </w:r>
      <w:proofErr w:type="spellEnd"/>
      <w:r>
        <w:rPr>
          <w:i/>
          <w:iCs/>
          <w:lang w:val="pl"/>
        </w:rPr>
        <w:t>.</w:t>
      </w:r>
      <w:r>
        <w:rPr>
          <w:lang w:val="pl"/>
        </w:rPr>
        <w:t>). Po pierwsze Kodeks wyborczy z 1997 r. przyznawał pewne przywileje komitetom utworzonym przez wyborców, które były związane z zarejestrowanymi mniejszościami narodowymi. Po drugie w</w:t>
      </w:r>
      <w:r w:rsidR="00703443">
        <w:rPr>
          <w:lang w:val="pl"/>
        </w:rPr>
        <w:t> </w:t>
      </w:r>
      <w:r>
        <w:rPr>
          <w:lang w:val="pl"/>
        </w:rPr>
        <w:t>ustawie z 2005 r. wyraźnie wymieniono istniejące mniejszości narodowe i</w:t>
      </w:r>
      <w:r w:rsidR="00703443">
        <w:rPr>
          <w:lang w:val="pl"/>
        </w:rPr>
        <w:t> </w:t>
      </w:r>
      <w:r>
        <w:rPr>
          <w:lang w:val="pl"/>
        </w:rPr>
        <w:t>etniczne i nie było wśród nich narodowości śląskiej. Według skarżącego stowarzyszenia tylko mniejszości narodowe wymienione w ustawie z 2005 r. mogły korzystać z przywilejów wyborczych, a zatem nie istniało niebezpieczeństwo, że skarżące stowarzyszenie, jeśli zostanie zarejestrowane, będzie próbowało korzystać z takich przywilejów.</w:t>
      </w:r>
    </w:p>
    <w:p w14:paraId="7FEABCEE" w14:textId="77777777" w:rsidR="00234A94" w:rsidRPr="00710B05" w:rsidRDefault="006F0F0E" w:rsidP="00710B05">
      <w:pPr>
        <w:pStyle w:val="JuH1"/>
        <w:rPr>
          <w:rFonts w:eastAsia="Times New Roman"/>
        </w:rPr>
      </w:pPr>
      <w:r>
        <w:rPr>
          <w:bCs w:val="0"/>
          <w:lang w:val="pl"/>
        </w:rPr>
        <w:t>Ocena Trybunału</w:t>
      </w:r>
    </w:p>
    <w:p w14:paraId="6B5EF935" w14:textId="1A547FFC"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lang w:val="pl"/>
        </w:rPr>
        <w:fldChar w:fldCharType="end"/>
      </w:r>
      <w:r>
        <w:rPr>
          <w:lang w:val="pl"/>
        </w:rPr>
        <w:t>.  Odpowiednie zasady i orzecznictwo Trybunału przedstawiono w</w:t>
      </w:r>
      <w:r w:rsidR="00703443">
        <w:rPr>
          <w:lang w:val="pl"/>
        </w:rPr>
        <w:t> </w:t>
      </w:r>
      <w:r>
        <w:rPr>
          <w:lang w:val="pl"/>
        </w:rPr>
        <w:t xml:space="preserve">wyroku Trybunału w sprawie </w:t>
      </w:r>
      <w:proofErr w:type="spellStart"/>
      <w:r>
        <w:rPr>
          <w:i/>
          <w:iCs/>
          <w:lang w:val="pl"/>
        </w:rPr>
        <w:t>Gorzelik</w:t>
      </w:r>
      <w:proofErr w:type="spellEnd"/>
      <w:r>
        <w:rPr>
          <w:i/>
          <w:iCs/>
          <w:lang w:val="pl"/>
        </w:rPr>
        <w:t xml:space="preserve"> i Inni </w:t>
      </w:r>
      <w:r>
        <w:rPr>
          <w:lang w:val="pl"/>
        </w:rPr>
        <w:t>(</w:t>
      </w:r>
      <w:proofErr w:type="spellStart"/>
      <w:r>
        <w:rPr>
          <w:i/>
          <w:iCs/>
          <w:lang w:val="pl"/>
        </w:rPr>
        <w:t>op.cit</w:t>
      </w:r>
      <w:proofErr w:type="spellEnd"/>
      <w:r>
        <w:rPr>
          <w:i/>
          <w:iCs/>
          <w:lang w:val="pl"/>
        </w:rPr>
        <w:t>.</w:t>
      </w:r>
      <w:r>
        <w:rPr>
          <w:lang w:val="pl"/>
        </w:rPr>
        <w:t xml:space="preserve"> §§ 64–65 i 88–96) i</w:t>
      </w:r>
      <w:r w:rsidR="00703443">
        <w:rPr>
          <w:lang w:val="pl"/>
        </w:rPr>
        <w:t> </w:t>
      </w:r>
      <w:r>
        <w:rPr>
          <w:lang w:val="pl"/>
        </w:rPr>
        <w:t xml:space="preserve">rozwinięto w wyroku w sprawie </w:t>
      </w:r>
      <w:proofErr w:type="spellStart"/>
      <w:r>
        <w:rPr>
          <w:i/>
          <w:iCs/>
          <w:lang w:val="pl"/>
        </w:rPr>
        <w:t>Ouranio</w:t>
      </w:r>
      <w:proofErr w:type="spellEnd"/>
      <w:r>
        <w:rPr>
          <w:i/>
          <w:iCs/>
          <w:lang w:val="pl"/>
        </w:rPr>
        <w:t xml:space="preserve"> </w:t>
      </w:r>
      <w:proofErr w:type="spellStart"/>
      <w:r>
        <w:rPr>
          <w:i/>
          <w:iCs/>
          <w:lang w:val="pl"/>
        </w:rPr>
        <w:t>Toxo</w:t>
      </w:r>
      <w:proofErr w:type="spellEnd"/>
      <w:r>
        <w:rPr>
          <w:i/>
          <w:iCs/>
          <w:lang w:val="pl"/>
        </w:rPr>
        <w:t xml:space="preserve"> i Inni przeciwko Grecji</w:t>
      </w:r>
      <w:r>
        <w:rPr>
          <w:lang w:val="pl"/>
        </w:rPr>
        <w:t>, nr</w:t>
      </w:r>
      <w:r w:rsidR="00703443">
        <w:rPr>
          <w:lang w:val="pl"/>
        </w:rPr>
        <w:t> </w:t>
      </w:r>
      <w:r>
        <w:rPr>
          <w:lang w:val="pl"/>
        </w:rPr>
        <w:t xml:space="preserve">74989/01, §§ 34–37, ETPC 2005-X (fragmenty), </w:t>
      </w:r>
      <w:proofErr w:type="spellStart"/>
      <w:r>
        <w:rPr>
          <w:i/>
          <w:iCs/>
          <w:lang w:val="pl"/>
        </w:rPr>
        <w:t>Tourkiki</w:t>
      </w:r>
      <w:proofErr w:type="spellEnd"/>
      <w:r>
        <w:rPr>
          <w:i/>
          <w:iCs/>
          <w:lang w:val="pl"/>
        </w:rPr>
        <w:t xml:space="preserve"> </w:t>
      </w:r>
      <w:proofErr w:type="spellStart"/>
      <w:r>
        <w:rPr>
          <w:i/>
          <w:iCs/>
          <w:lang w:val="pl"/>
        </w:rPr>
        <w:t>Enosi</w:t>
      </w:r>
      <w:proofErr w:type="spellEnd"/>
      <w:r>
        <w:rPr>
          <w:i/>
          <w:iCs/>
          <w:lang w:val="pl"/>
        </w:rPr>
        <w:t xml:space="preserve"> </w:t>
      </w:r>
      <w:proofErr w:type="spellStart"/>
      <w:r>
        <w:rPr>
          <w:i/>
          <w:iCs/>
          <w:lang w:val="pl"/>
        </w:rPr>
        <w:t>Xanthis</w:t>
      </w:r>
      <w:proofErr w:type="spellEnd"/>
      <w:r>
        <w:rPr>
          <w:i/>
          <w:iCs/>
          <w:lang w:val="pl"/>
        </w:rPr>
        <w:t xml:space="preserve"> i</w:t>
      </w:r>
      <w:r w:rsidR="00703443">
        <w:rPr>
          <w:i/>
          <w:iCs/>
          <w:lang w:val="pl"/>
        </w:rPr>
        <w:t> </w:t>
      </w:r>
      <w:r>
        <w:rPr>
          <w:i/>
          <w:iCs/>
          <w:lang w:val="pl"/>
        </w:rPr>
        <w:t>Inni przeciwko Grecji</w:t>
      </w:r>
      <w:r>
        <w:rPr>
          <w:lang w:val="pl"/>
        </w:rPr>
        <w:t xml:space="preserve">, nr 26698/05, §§ 43–46, 27 marca 2008 r. oraz </w:t>
      </w:r>
      <w:r>
        <w:rPr>
          <w:i/>
          <w:iCs/>
          <w:lang w:val="pl"/>
        </w:rPr>
        <w:t>Stowarzyszenie Obywateli „Radko”</w:t>
      </w:r>
      <w:r w:rsidR="00735644">
        <w:rPr>
          <w:i/>
          <w:iCs/>
          <w:lang w:val="pl"/>
        </w:rPr>
        <w:t xml:space="preserve"> </w:t>
      </w:r>
      <w:r>
        <w:rPr>
          <w:i/>
          <w:iCs/>
          <w:lang w:val="pl"/>
        </w:rPr>
        <w:t xml:space="preserve">i </w:t>
      </w:r>
      <w:proofErr w:type="spellStart"/>
      <w:r>
        <w:rPr>
          <w:i/>
          <w:iCs/>
          <w:lang w:val="pl"/>
        </w:rPr>
        <w:t>Paunkovski</w:t>
      </w:r>
      <w:proofErr w:type="spellEnd"/>
      <w:r>
        <w:rPr>
          <w:i/>
          <w:iCs/>
          <w:lang w:val="pl"/>
        </w:rPr>
        <w:t xml:space="preserve"> przeciwko Byłej </w:t>
      </w:r>
      <w:r>
        <w:rPr>
          <w:i/>
          <w:iCs/>
          <w:lang w:val="pl"/>
        </w:rPr>
        <w:lastRenderedPageBreak/>
        <w:t>Jugosłowiańskiej Republice Macedonii</w:t>
      </w:r>
      <w:r>
        <w:rPr>
          <w:lang w:val="pl"/>
        </w:rPr>
        <w:t>, nr 74651/01, §§ 64–77, ETPC 2009 (fragmenty).</w:t>
      </w:r>
    </w:p>
    <w:p w14:paraId="358B651C" w14:textId="16FDF3A3" w:rsidR="00234A94" w:rsidRPr="007D0212" w:rsidRDefault="006F0F0E" w:rsidP="00710B05">
      <w:pPr>
        <w:pStyle w:val="JuPara"/>
        <w:rPr>
          <w:rStyle w:val="JuParaChar"/>
          <w:lang w:val="pl-PL"/>
        </w:rPr>
      </w:pPr>
      <w:r>
        <w:rPr>
          <w:rStyle w:val="JuParaChar"/>
          <w:lang w:val="pl"/>
        </w:rPr>
        <w:fldChar w:fldCharType="begin"/>
      </w:r>
      <w:r>
        <w:rPr>
          <w:rStyle w:val="JuParaChar"/>
          <w:lang w:val="pl"/>
        </w:rPr>
        <w:instrText xml:space="preserve"> SEQ level0 \*arabic \* MERGEFORMAT </w:instrText>
      </w:r>
      <w:r>
        <w:rPr>
          <w:rStyle w:val="JuParaChar"/>
          <w:lang w:val="pl"/>
        </w:rPr>
        <w:fldChar w:fldCharType="separate"/>
      </w:r>
      <w:r>
        <w:rPr>
          <w:rStyle w:val="JuParaChar"/>
          <w:noProof/>
          <w:lang w:val="pl"/>
        </w:rPr>
        <w:t>38</w:t>
      </w:r>
      <w:r>
        <w:rPr>
          <w:rStyle w:val="JuParaChar"/>
          <w:lang w:val="pl"/>
        </w:rPr>
        <w:fldChar w:fldCharType="end"/>
      </w:r>
      <w:r>
        <w:rPr>
          <w:rStyle w:val="JuParaChar"/>
          <w:lang w:val="pl"/>
        </w:rPr>
        <w:t>.  Wolność stowarzyszania się nie jest absolutna i należy przyjąć, że</w:t>
      </w:r>
      <w:r w:rsidR="00703443">
        <w:rPr>
          <w:rStyle w:val="JuParaChar"/>
          <w:lang w:val="pl"/>
        </w:rPr>
        <w:t> </w:t>
      </w:r>
      <w:r>
        <w:rPr>
          <w:rStyle w:val="JuParaChar"/>
          <w:lang w:val="pl"/>
        </w:rPr>
        <w:t>w</w:t>
      </w:r>
      <w:r w:rsidR="00703443">
        <w:rPr>
          <w:rStyle w:val="JuParaChar"/>
          <w:lang w:val="pl"/>
        </w:rPr>
        <w:t> </w:t>
      </w:r>
      <w:r>
        <w:rPr>
          <w:rStyle w:val="JuParaChar"/>
          <w:lang w:val="pl"/>
        </w:rPr>
        <w:t>przypadku gdy stowarzyszenie, poprzez swoją działalność lub intencje, które wyraźnie lub w sposób dorozumiany zadeklarowało w swoim programie, zagraża instytucjom państwa lub prawom i wolnościom innych osób, art. 11 nie pozbawia państwa uprawnienia do ochrony tych instytucji i</w:t>
      </w:r>
      <w:r w:rsidR="00703443">
        <w:rPr>
          <w:rStyle w:val="JuParaChar"/>
          <w:lang w:val="pl"/>
        </w:rPr>
        <w:t> </w:t>
      </w:r>
      <w:r>
        <w:rPr>
          <w:rStyle w:val="JuParaChar"/>
          <w:lang w:val="pl"/>
        </w:rPr>
        <w:t>osób. Co więcej, statut i program stowarzyszenia nie mogą być brane pod uwagę jako jedyne kryterium określania jego celów i intencji. Program stowarzyszenia może ukrywać cele i intencje odmienne od tych, które deklaruje. Aby sprawdzić, czy tak nie jest, treść programu należy porównać z działaniami członków stowarzyszenia i stanowiskami, których bronią. Rozpatrywane łącznie, czyny te i stanowiska mogą mieć znaczenie w</w:t>
      </w:r>
      <w:r w:rsidR="00703443">
        <w:rPr>
          <w:rStyle w:val="JuParaChar"/>
          <w:lang w:val="pl"/>
        </w:rPr>
        <w:t> </w:t>
      </w:r>
      <w:r>
        <w:rPr>
          <w:rStyle w:val="JuParaChar"/>
          <w:lang w:val="pl"/>
        </w:rPr>
        <w:t xml:space="preserve">postępowaniu o rozwiązanie stowarzyszenia, pod warunkiem że jako całość ujawniają jego cele i intencje (zob. </w:t>
      </w:r>
      <w:proofErr w:type="spellStart"/>
      <w:r>
        <w:rPr>
          <w:rStyle w:val="JuParaChar"/>
          <w:i/>
          <w:iCs/>
          <w:lang w:val="pl"/>
        </w:rPr>
        <w:t>Gorzelik</w:t>
      </w:r>
      <w:proofErr w:type="spellEnd"/>
      <w:r>
        <w:rPr>
          <w:rStyle w:val="JuParaChar"/>
          <w:i/>
          <w:iCs/>
          <w:lang w:val="pl"/>
        </w:rPr>
        <w:t xml:space="preserve"> i Inni</w:t>
      </w:r>
      <w:r>
        <w:rPr>
          <w:rStyle w:val="JuParaChar"/>
          <w:lang w:val="pl"/>
        </w:rPr>
        <w:t xml:space="preserve">, </w:t>
      </w:r>
      <w:proofErr w:type="spellStart"/>
      <w:r>
        <w:rPr>
          <w:rStyle w:val="JuParaChar"/>
          <w:i/>
          <w:iCs/>
          <w:lang w:val="pl"/>
        </w:rPr>
        <w:t>op.cit</w:t>
      </w:r>
      <w:proofErr w:type="spellEnd"/>
      <w:r>
        <w:rPr>
          <w:rStyle w:val="JuParaChar"/>
          <w:i/>
          <w:iCs/>
          <w:lang w:val="pl"/>
        </w:rPr>
        <w:t>.</w:t>
      </w:r>
      <w:r>
        <w:rPr>
          <w:rStyle w:val="JuParaChar"/>
          <w:lang w:val="pl"/>
        </w:rPr>
        <w:t xml:space="preserve">, § 94, oraz </w:t>
      </w:r>
      <w:proofErr w:type="spellStart"/>
      <w:r>
        <w:rPr>
          <w:i/>
          <w:iCs/>
          <w:lang w:val="pl"/>
        </w:rPr>
        <w:t>Refah</w:t>
      </w:r>
      <w:proofErr w:type="spellEnd"/>
      <w:r>
        <w:rPr>
          <w:i/>
          <w:iCs/>
          <w:lang w:val="pl"/>
        </w:rPr>
        <w:t xml:space="preserve"> </w:t>
      </w:r>
      <w:proofErr w:type="spellStart"/>
      <w:r>
        <w:rPr>
          <w:i/>
          <w:iCs/>
          <w:lang w:val="pl"/>
        </w:rPr>
        <w:t>Partisi</w:t>
      </w:r>
      <w:proofErr w:type="spellEnd"/>
      <w:r>
        <w:rPr>
          <w:i/>
          <w:iCs/>
          <w:lang w:val="pl"/>
        </w:rPr>
        <w:t xml:space="preserve"> (Partia Dobrobytu) i Inni przeciwko Turcji</w:t>
      </w:r>
      <w:r>
        <w:rPr>
          <w:lang w:val="pl"/>
        </w:rPr>
        <w:t xml:space="preserve"> [</w:t>
      </w:r>
      <w:proofErr w:type="spellStart"/>
      <w:r>
        <w:rPr>
          <w:lang w:val="pl"/>
        </w:rPr>
        <w:t>WI</w:t>
      </w:r>
      <w:proofErr w:type="spellEnd"/>
      <w:r>
        <w:rPr>
          <w:lang w:val="pl"/>
        </w:rPr>
        <w:t>], nr 41340/98 i</w:t>
      </w:r>
      <w:r w:rsidR="00703443">
        <w:rPr>
          <w:lang w:val="pl"/>
        </w:rPr>
        <w:t> </w:t>
      </w:r>
      <w:r>
        <w:rPr>
          <w:lang w:val="pl"/>
        </w:rPr>
        <w:t>3 inne, § 101, ETPC 2003</w:t>
      </w:r>
      <w:r>
        <w:rPr>
          <w:lang w:val="pl"/>
        </w:rPr>
        <w:noBreakHyphen/>
        <w:t>II</w:t>
      </w:r>
      <w:r>
        <w:rPr>
          <w:rStyle w:val="JuParaChar"/>
          <w:lang w:val="pl"/>
        </w:rPr>
        <w:t>).</w:t>
      </w:r>
    </w:p>
    <w:p w14:paraId="3FB2AA94" w14:textId="1AC8DE5B" w:rsidR="00234A94" w:rsidRPr="007D0212" w:rsidRDefault="006F0F0E" w:rsidP="00710B05">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r>
        <w:rPr>
          <w:lang w:val="pl"/>
        </w:rPr>
        <w:t xml:space="preserve">.  Trybunał przypomina swoje orzecznictwo, zgodnie z którym nie można wymagać od państwa, aby czekało z ingerencją, aż stowarzyszenie zacznie podejmować konkretne kroki w celu wdrożenia polityki niezgodnej ze standardami Konwencji i demokracji (zob., odpowiednio, </w:t>
      </w:r>
      <w:proofErr w:type="spellStart"/>
      <w:r>
        <w:rPr>
          <w:i/>
          <w:iCs/>
          <w:lang w:val="pl"/>
        </w:rPr>
        <w:t>Refah</w:t>
      </w:r>
      <w:proofErr w:type="spellEnd"/>
      <w:r>
        <w:rPr>
          <w:i/>
          <w:iCs/>
          <w:lang w:val="pl"/>
        </w:rPr>
        <w:t xml:space="preserve"> </w:t>
      </w:r>
      <w:proofErr w:type="spellStart"/>
      <w:r>
        <w:rPr>
          <w:i/>
          <w:iCs/>
          <w:lang w:val="pl"/>
        </w:rPr>
        <w:t>Partisi</w:t>
      </w:r>
      <w:proofErr w:type="spellEnd"/>
      <w:r>
        <w:rPr>
          <w:i/>
          <w:iCs/>
          <w:lang w:val="pl"/>
        </w:rPr>
        <w:t xml:space="preserve"> (Partia Dobrobytu) i Inni, </w:t>
      </w:r>
      <w:proofErr w:type="spellStart"/>
      <w:r>
        <w:rPr>
          <w:i/>
          <w:iCs/>
          <w:lang w:val="pl"/>
        </w:rPr>
        <w:t>op.cit</w:t>
      </w:r>
      <w:proofErr w:type="spellEnd"/>
      <w:r>
        <w:rPr>
          <w:i/>
          <w:iCs/>
          <w:lang w:val="pl"/>
        </w:rPr>
        <w:t>.</w:t>
      </w:r>
      <w:r>
        <w:rPr>
          <w:lang w:val="pl"/>
        </w:rPr>
        <w:t xml:space="preserve">, § 102). Niemniej szeroko zakrojone środki o charakterze prewencyjnym, mające na celu stłumienie wolności zgromadzeń i wyrażania opinii, inne niż w przypadkach podżegania do przemocy lub odrzucenia zasad demokratycznych – niezależnie od tego, jak szokujące i niedopuszczalne mogą wydawać się władzom niektóre poglądy lub użyte słowa, i niezależnie od tego, jak bezprawne mogą być wysuwane żądania – szkodzą demokracji, a często nawet jej zagrażają. Jedną z głównych cech demokracji jest możliwość rozwiązywania problemów poprzez dialog, bez uciekania się do przemocy, nawet jeśli problemy te są uciążliwe. Demokracja rozwija się dzięki wolności słowa. Z tego punktu widzenia nie może istnieć uzasadnienie dla utrudniania działania </w:t>
      </w:r>
      <w:r w:rsidR="001118A6">
        <w:rPr>
          <w:lang w:val="pl"/>
        </w:rPr>
        <w:t xml:space="preserve">społeczności </w:t>
      </w:r>
      <w:r>
        <w:rPr>
          <w:lang w:val="pl"/>
        </w:rPr>
        <w:t>tylko dlatego, że</w:t>
      </w:r>
      <w:r w:rsidR="00703443">
        <w:rPr>
          <w:lang w:val="pl"/>
        </w:rPr>
        <w:t> </w:t>
      </w:r>
      <w:r>
        <w:rPr>
          <w:lang w:val="pl"/>
        </w:rPr>
        <w:t xml:space="preserve">dąży ona do publicznej debaty nad pewnymi kwestiami i do znalezienia rozwiązań zgodnie z zasadami demokratycznymi (zob. </w:t>
      </w:r>
      <w:proofErr w:type="spellStart"/>
      <w:r>
        <w:rPr>
          <w:i/>
          <w:iCs/>
          <w:lang w:val="pl"/>
        </w:rPr>
        <w:t>Çetinkaya</w:t>
      </w:r>
      <w:proofErr w:type="spellEnd"/>
      <w:r>
        <w:rPr>
          <w:i/>
          <w:iCs/>
          <w:lang w:val="pl"/>
        </w:rPr>
        <w:t xml:space="preserve"> przeciwko Turcji</w:t>
      </w:r>
      <w:r>
        <w:rPr>
          <w:lang w:val="pl"/>
        </w:rPr>
        <w:t xml:space="preserve">, nr 75569/01, § 29, 27 czerwca 2006 r.; </w:t>
      </w:r>
      <w:proofErr w:type="spellStart"/>
      <w:r>
        <w:rPr>
          <w:i/>
          <w:iCs/>
          <w:lang w:val="pl"/>
        </w:rPr>
        <w:t>Stankov</w:t>
      </w:r>
      <w:proofErr w:type="spellEnd"/>
      <w:r>
        <w:rPr>
          <w:i/>
          <w:iCs/>
          <w:lang w:val="pl"/>
        </w:rPr>
        <w:t xml:space="preserve"> i Zjednoczona Macedońska Organizacja </w:t>
      </w:r>
      <w:proofErr w:type="spellStart"/>
      <w:r>
        <w:rPr>
          <w:i/>
          <w:iCs/>
          <w:lang w:val="pl"/>
        </w:rPr>
        <w:t>Ilinden</w:t>
      </w:r>
      <w:proofErr w:type="spellEnd"/>
      <w:r>
        <w:rPr>
          <w:i/>
          <w:iCs/>
          <w:lang w:val="pl"/>
        </w:rPr>
        <w:t xml:space="preserve"> przeciwko Bułgarii</w:t>
      </w:r>
      <w:r>
        <w:rPr>
          <w:lang w:val="pl"/>
        </w:rPr>
        <w:t>, nr 29221/95 i</w:t>
      </w:r>
      <w:r w:rsidR="00703443">
        <w:rPr>
          <w:lang w:val="pl"/>
        </w:rPr>
        <w:t> </w:t>
      </w:r>
      <w:r>
        <w:rPr>
          <w:lang w:val="pl"/>
        </w:rPr>
        <w:t xml:space="preserve">29225/95, §§ 88 i 97, ETPC 2001-IX; oraz </w:t>
      </w:r>
      <w:r>
        <w:rPr>
          <w:i/>
          <w:iCs/>
          <w:lang w:val="pl"/>
        </w:rPr>
        <w:t xml:space="preserve">United </w:t>
      </w:r>
      <w:proofErr w:type="spellStart"/>
      <w:r>
        <w:rPr>
          <w:i/>
          <w:iCs/>
          <w:lang w:val="pl"/>
        </w:rPr>
        <w:t>Communist</w:t>
      </w:r>
      <w:proofErr w:type="spellEnd"/>
      <w:r>
        <w:rPr>
          <w:i/>
          <w:iCs/>
          <w:lang w:val="pl"/>
        </w:rPr>
        <w:t xml:space="preserve"> Party of Turkey i Inni przeciwko Turcji</w:t>
      </w:r>
      <w:r>
        <w:rPr>
          <w:lang w:val="pl"/>
        </w:rPr>
        <w:t xml:space="preserve">, 30 stycznia 1998 r., § 57, </w:t>
      </w:r>
      <w:r>
        <w:rPr>
          <w:i/>
          <w:iCs/>
          <w:lang w:val="pl"/>
        </w:rPr>
        <w:t>Zbiór Wyroków i</w:t>
      </w:r>
      <w:r w:rsidR="00703443">
        <w:rPr>
          <w:i/>
          <w:iCs/>
          <w:lang w:val="pl"/>
        </w:rPr>
        <w:t> </w:t>
      </w:r>
      <w:r>
        <w:rPr>
          <w:i/>
          <w:iCs/>
          <w:lang w:val="pl"/>
        </w:rPr>
        <w:t xml:space="preserve">Decyzji </w:t>
      </w:r>
      <w:r>
        <w:rPr>
          <w:lang w:val="pl"/>
        </w:rPr>
        <w:t>1998-I).</w:t>
      </w:r>
    </w:p>
    <w:p w14:paraId="4446CD93" w14:textId="36BEABB5" w:rsidR="00234A94" w:rsidRPr="007D0212" w:rsidRDefault="006F0F0E" w:rsidP="00710B05">
      <w:pPr>
        <w:pStyle w:val="JuPara"/>
        <w:rPr>
          <w:sz w:val="22"/>
          <w:szCs w:val="22"/>
          <w:lang w:val="pl-PL"/>
        </w:rPr>
      </w:pPr>
      <w:r>
        <w:fldChar w:fldCharType="begin"/>
      </w:r>
      <w:r w:rsidRPr="007D0212">
        <w:rPr>
          <w:lang w:val="pl-PL"/>
        </w:rPr>
        <w:instrText xml:space="preserve"> SEQ level0 \*arabic \* MERGEFORMAT </w:instrText>
      </w:r>
      <w:r>
        <w:fldChar w:fldCharType="separate"/>
      </w:r>
      <w:r>
        <w:rPr>
          <w:noProof/>
          <w:lang w:val="pl"/>
        </w:rPr>
        <w:t>40</w:t>
      </w:r>
      <w:r>
        <w:rPr>
          <w:noProof/>
          <w:lang w:val="pl"/>
        </w:rPr>
        <w:fldChar w:fldCharType="end"/>
      </w:r>
      <w:r>
        <w:rPr>
          <w:lang w:val="pl"/>
        </w:rPr>
        <w:t>.  Trybunał orzekł również, że wzmianka o świadomości przynależności do mniejszości oraz zachowaniu i rozwoju kultury mniejszości nie może stanowić zagrożenia dla „społeczeństwa demokratycznego”, nawet jeśli może wywoływać napięcia (</w:t>
      </w:r>
      <w:proofErr w:type="spellStart"/>
      <w:r>
        <w:rPr>
          <w:i/>
          <w:iCs/>
          <w:lang w:val="pl"/>
        </w:rPr>
        <w:t>Ouranio</w:t>
      </w:r>
      <w:proofErr w:type="spellEnd"/>
      <w:r>
        <w:rPr>
          <w:i/>
          <w:iCs/>
          <w:lang w:val="pl"/>
        </w:rPr>
        <w:t xml:space="preserve"> </w:t>
      </w:r>
      <w:proofErr w:type="spellStart"/>
      <w:r>
        <w:rPr>
          <w:i/>
          <w:iCs/>
          <w:lang w:val="pl"/>
        </w:rPr>
        <w:t>Toxo</w:t>
      </w:r>
      <w:proofErr w:type="spellEnd"/>
      <w:r>
        <w:rPr>
          <w:i/>
          <w:iCs/>
          <w:lang w:val="pl"/>
        </w:rPr>
        <w:t xml:space="preserve"> i Inn</w:t>
      </w:r>
      <w:r w:rsidR="00BE3CA6">
        <w:rPr>
          <w:i/>
          <w:iCs/>
          <w:lang w:val="pl"/>
        </w:rPr>
        <w:t>i</w:t>
      </w:r>
      <w:r>
        <w:rPr>
          <w:lang w:val="pl"/>
        </w:rPr>
        <w:t xml:space="preserve">, </w:t>
      </w:r>
      <w:proofErr w:type="spellStart"/>
      <w:r>
        <w:rPr>
          <w:i/>
          <w:iCs/>
          <w:lang w:val="pl"/>
        </w:rPr>
        <w:t>op.cit</w:t>
      </w:r>
      <w:proofErr w:type="spellEnd"/>
      <w:r>
        <w:rPr>
          <w:i/>
          <w:iCs/>
          <w:lang w:val="pl"/>
        </w:rPr>
        <w:t>.</w:t>
      </w:r>
      <w:r>
        <w:rPr>
          <w:lang w:val="pl"/>
        </w:rPr>
        <w:t>, § 40).</w:t>
      </w:r>
    </w:p>
    <w:p w14:paraId="6B496A20" w14:textId="3D9F2CC7" w:rsidR="00234A94" w:rsidRPr="007D0212" w:rsidRDefault="006F0F0E" w:rsidP="00710B05">
      <w:pPr>
        <w:pStyle w:val="JuPara"/>
        <w:rPr>
          <w:rFonts w:eastAsia="Times New Roman"/>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41</w:t>
      </w:r>
      <w:r>
        <w:rPr>
          <w:lang w:val="pl"/>
        </w:rPr>
        <w:fldChar w:fldCharType="end"/>
      </w:r>
      <w:r>
        <w:rPr>
          <w:lang w:val="pl"/>
        </w:rPr>
        <w:t>.  Przechodząc do okoliczności niniejszej sprawy, nie ma wątpliwości co do tego, że orzeczenie Sądu Rejonowego w Opolu z dnia 9 stycznia 2015</w:t>
      </w:r>
      <w:r w:rsidR="00703443">
        <w:rPr>
          <w:lang w:val="pl"/>
        </w:rPr>
        <w:t> </w:t>
      </w:r>
      <w:r>
        <w:rPr>
          <w:lang w:val="pl"/>
        </w:rPr>
        <w:t>r. rozwiązujące skarżące stowarzyszenie i nakazujące jego likwidację stanowiło ingerencję w jego wolność stowarzyszania się.</w:t>
      </w:r>
    </w:p>
    <w:p w14:paraId="7A7932C6" w14:textId="06C406B8" w:rsidR="00234A94" w:rsidRPr="007D0212" w:rsidRDefault="006F0F0E" w:rsidP="00710B05">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42</w:t>
      </w:r>
      <w:r>
        <w:rPr>
          <w:rFonts w:eastAsia="Times New Roman"/>
          <w:lang w:val="pl"/>
        </w:rPr>
        <w:fldChar w:fldCharType="end"/>
      </w:r>
      <w:r>
        <w:rPr>
          <w:rFonts w:eastAsia="Times New Roman"/>
          <w:lang w:val="pl"/>
        </w:rPr>
        <w:t>.  Taka ingerencja będzie sprzeczna z art. 11, chyba że była „przewidziana przez ustawę”, służyła jednemu lub większej liczbie uprawnionych celów zgodnie z ust. 2 tego artykułu i była „niezbędna w</w:t>
      </w:r>
      <w:r w:rsidR="00703443">
        <w:rPr>
          <w:rFonts w:eastAsia="Times New Roman"/>
          <w:lang w:val="pl"/>
        </w:rPr>
        <w:t> </w:t>
      </w:r>
      <w:r>
        <w:rPr>
          <w:rFonts w:eastAsia="Times New Roman"/>
          <w:lang w:val="pl"/>
        </w:rPr>
        <w:t>społeczeństwie demokratycznym” dla osiągnięcia tych celów.</w:t>
      </w:r>
    </w:p>
    <w:p w14:paraId="169DDE87" w14:textId="2706FB43" w:rsidR="00234A94" w:rsidRPr="007D0212" w:rsidRDefault="006F0F0E" w:rsidP="00710B05">
      <w:pPr>
        <w:pStyle w:val="JuPara"/>
        <w:rPr>
          <w:rFonts w:eastAsia="Times New Roman"/>
          <w:sz w:val="17"/>
          <w:szCs w:val="17"/>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lang w:val="pl"/>
        </w:rPr>
        <w:fldChar w:fldCharType="end"/>
      </w:r>
      <w:r>
        <w:rPr>
          <w:lang w:val="pl"/>
        </w:rPr>
        <w:t xml:space="preserve">.  Strony nie zakwestionowały faktu, że zaskarżona ingerencja była przewidziana </w:t>
      </w:r>
      <w:r w:rsidR="00C05B28">
        <w:rPr>
          <w:lang w:val="pl"/>
        </w:rPr>
        <w:t>przez ustawę</w:t>
      </w:r>
      <w:r>
        <w:rPr>
          <w:lang w:val="pl"/>
        </w:rPr>
        <w:t xml:space="preserve">. W istocie Sąd Rejonowy w Opolu oparł swoje </w:t>
      </w:r>
      <w:r w:rsidR="001118A6">
        <w:rPr>
          <w:lang w:val="pl"/>
        </w:rPr>
        <w:t xml:space="preserve">postanowienie </w:t>
      </w:r>
      <w:r>
        <w:rPr>
          <w:lang w:val="pl"/>
        </w:rPr>
        <w:t xml:space="preserve">o rozwiązaniu skarżącego stowarzyszenia na art. 29 ust. 1 pkt 3 ustawy Prawo o stowarzyszeniach (zob. paragraf </w:t>
      </w:r>
      <w:r>
        <w:rPr>
          <w:lang w:val="pl"/>
        </w:rPr>
        <w:fldChar w:fldCharType="begin"/>
      </w:r>
      <w:r>
        <w:rPr>
          <w:lang w:val="pl"/>
        </w:rPr>
        <w:instrText xml:space="preserve"> REF failure_to_comply_with_law \h </w:instrText>
      </w:r>
      <w:r>
        <w:rPr>
          <w:lang w:val="pl"/>
        </w:rPr>
      </w:r>
      <w:r>
        <w:rPr>
          <w:lang w:val="pl"/>
        </w:rPr>
        <w:fldChar w:fldCharType="separate"/>
      </w:r>
      <w:r>
        <w:rPr>
          <w:noProof/>
          <w:lang w:val="pl"/>
        </w:rPr>
        <w:t>18</w:t>
      </w:r>
      <w:r>
        <w:rPr>
          <w:lang w:val="pl"/>
        </w:rPr>
        <w:fldChar w:fldCharType="end"/>
      </w:r>
      <w:r>
        <w:rPr>
          <w:lang w:val="pl"/>
        </w:rPr>
        <w:t xml:space="preserve"> powyżej).</w:t>
      </w:r>
    </w:p>
    <w:p w14:paraId="416E999D" w14:textId="6FC3C386" w:rsidR="00234A94" w:rsidRPr="007D0212" w:rsidRDefault="006F0F0E" w:rsidP="00710B05">
      <w:pPr>
        <w:pStyle w:val="JuPara"/>
        <w:rPr>
          <w:rFonts w:eastAsia="Times New Roman"/>
          <w:sz w:val="17"/>
          <w:szCs w:val="17"/>
          <w:lang w:val="pl-PL"/>
        </w:rPr>
      </w:pPr>
      <w:r>
        <w:rPr>
          <w:lang w:val="pl"/>
        </w:rPr>
        <w:fldChar w:fldCharType="begin"/>
      </w:r>
      <w:r>
        <w:rPr>
          <w:lang w:val="pl"/>
        </w:rPr>
        <w:instrText xml:space="preserve"> SEQ level0 \*arabic \* MERGEFORMAT </w:instrText>
      </w:r>
      <w:r>
        <w:rPr>
          <w:lang w:val="pl"/>
        </w:rPr>
        <w:fldChar w:fldCharType="separate"/>
      </w:r>
      <w:r>
        <w:rPr>
          <w:noProof/>
          <w:lang w:val="pl"/>
        </w:rPr>
        <w:t>44</w:t>
      </w:r>
      <w:r>
        <w:rPr>
          <w:lang w:val="pl"/>
        </w:rPr>
        <w:fldChar w:fldCharType="end"/>
      </w:r>
      <w:r>
        <w:rPr>
          <w:lang w:val="pl"/>
        </w:rPr>
        <w:t>.  W odniesieniu do ustalenia, czy zaskarżona ingerencja służyła „uprawnionemu celowi”, Trybunał zauważył, że w swoim orzeczeniu z dnia 5 grudnia 2013 r. Sąd Najwyższy uznał, że zezwolenie na rejestrację skarżącego stowarzyszenia byłoby sprzeczne z prawem, zwłaszcza że nazwa stowarzyszenia, która jego zdaniem była związana z nieistniejącym narodem, wprowadzałaby w błąd opinię publiczną. Sąd Najwyższy uznał również, że</w:t>
      </w:r>
      <w:r w:rsidR="00703443">
        <w:rPr>
          <w:lang w:val="pl"/>
        </w:rPr>
        <w:t> </w:t>
      </w:r>
      <w:r>
        <w:rPr>
          <w:lang w:val="pl"/>
        </w:rPr>
        <w:t>zarejestrowanie skarżącego stowarzyszenia jako organizacji mniejszości narodowej pociągnęłoby za sobą poważne konsekwencje dla jedności i</w:t>
      </w:r>
      <w:r w:rsidR="00703443">
        <w:rPr>
          <w:lang w:val="pl"/>
        </w:rPr>
        <w:t> </w:t>
      </w:r>
      <w:r>
        <w:rPr>
          <w:lang w:val="pl"/>
        </w:rPr>
        <w:t xml:space="preserve">integralności państwa polskiego (zob. paragraf </w:t>
      </w:r>
      <w:r>
        <w:rPr>
          <w:lang w:val="pl"/>
        </w:rPr>
        <w:fldChar w:fldCharType="begin"/>
      </w:r>
      <w:r>
        <w:rPr>
          <w:lang w:val="pl"/>
        </w:rPr>
        <w:instrText xml:space="preserve"> REF Supreme_court \h  \* MERGEFORMAT </w:instrText>
      </w:r>
      <w:r>
        <w:rPr>
          <w:lang w:val="pl"/>
        </w:rPr>
      </w:r>
      <w:r>
        <w:rPr>
          <w:lang w:val="pl"/>
        </w:rPr>
        <w:fldChar w:fldCharType="separate"/>
      </w:r>
      <w:r>
        <w:rPr>
          <w:lang w:val="pl"/>
        </w:rPr>
        <w:t>14</w:t>
      </w:r>
      <w:r>
        <w:rPr>
          <w:lang w:val="pl"/>
        </w:rPr>
        <w:fldChar w:fldCharType="end"/>
      </w:r>
      <w:r>
        <w:rPr>
          <w:lang w:val="pl"/>
        </w:rPr>
        <w:t xml:space="preserve"> powyżej).</w:t>
      </w:r>
    </w:p>
    <w:p w14:paraId="4B07FB32" w14:textId="77777777" w:rsidR="00234A94" w:rsidRPr="007D0212" w:rsidRDefault="006F0F0E" w:rsidP="00710B05">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45</w:t>
      </w:r>
      <w:r>
        <w:rPr>
          <w:rFonts w:eastAsia="Times New Roman"/>
          <w:lang w:val="pl"/>
        </w:rPr>
        <w:fldChar w:fldCharType="end"/>
      </w:r>
      <w:r>
        <w:rPr>
          <w:rFonts w:eastAsia="Times New Roman"/>
          <w:lang w:val="pl"/>
        </w:rPr>
        <w:t>.  Trybunał gotów jest przyjąć, że kwestionowany środek został podjęty w celu „ochrony porządku” i „ochrony praw innych osób”, które są uzasadnionymi celami w rozumieniu art. 11 Konwencji.</w:t>
      </w:r>
    </w:p>
    <w:p w14:paraId="0C3C7ADE" w14:textId="77777777"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46</w:t>
      </w:r>
      <w:r>
        <w:rPr>
          <w:noProof/>
          <w:lang w:val="pl"/>
        </w:rPr>
        <w:fldChar w:fldCharType="end"/>
      </w:r>
      <w:r>
        <w:rPr>
          <w:lang w:val="pl"/>
        </w:rPr>
        <w:t xml:space="preserve">.  Trybunał zauważa na wstępie, że skarżące stowarzyszenie zostało formalnie zarejestrowane w dniu 21 grudnia 2011 r. i uzyskało osobowość prawną (zob. paragrafy </w:t>
      </w:r>
      <w:r>
        <w:rPr>
          <w:lang w:val="pl"/>
        </w:rPr>
        <w:fldChar w:fldCharType="begin"/>
      </w:r>
      <w:r>
        <w:rPr>
          <w:lang w:val="pl"/>
        </w:rPr>
        <w:instrText xml:space="preserve"> REF registration \h  \* MERGEFORMAT </w:instrText>
      </w:r>
      <w:r>
        <w:rPr>
          <w:lang w:val="pl"/>
        </w:rPr>
      </w:r>
      <w:r>
        <w:rPr>
          <w:lang w:val="pl"/>
        </w:rPr>
        <w:fldChar w:fldCharType="separate"/>
      </w:r>
      <w:r>
        <w:rPr>
          <w:lang w:val="pl"/>
        </w:rPr>
        <w:t>7</w:t>
      </w:r>
      <w:r>
        <w:rPr>
          <w:lang w:val="pl"/>
        </w:rPr>
        <w:fldChar w:fldCharType="end"/>
      </w:r>
      <w:r>
        <w:rPr>
          <w:lang w:val="pl"/>
        </w:rPr>
        <w:t xml:space="preserve"> i </w:t>
      </w:r>
      <w:r>
        <w:rPr>
          <w:lang w:val="pl"/>
        </w:rPr>
        <w:fldChar w:fldCharType="begin"/>
      </w:r>
      <w:r>
        <w:rPr>
          <w:lang w:val="pl"/>
        </w:rPr>
        <w:instrText xml:space="preserve"> REF legal_personality \h </w:instrText>
      </w:r>
      <w:r>
        <w:rPr>
          <w:lang w:val="pl"/>
        </w:rPr>
      </w:r>
      <w:r>
        <w:rPr>
          <w:lang w:val="pl"/>
        </w:rPr>
        <w:fldChar w:fldCharType="separate"/>
      </w:r>
      <w:r>
        <w:rPr>
          <w:noProof/>
          <w:lang w:val="pl"/>
        </w:rPr>
        <w:t>8</w:t>
      </w:r>
      <w:r>
        <w:rPr>
          <w:lang w:val="pl"/>
        </w:rPr>
        <w:fldChar w:fldCharType="end"/>
      </w:r>
      <w:r>
        <w:rPr>
          <w:lang w:val="pl"/>
        </w:rPr>
        <w:t xml:space="preserve"> powyżej).</w:t>
      </w:r>
    </w:p>
    <w:p w14:paraId="074257FD" w14:textId="2146AC56"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47</w:t>
      </w:r>
      <w:r>
        <w:rPr>
          <w:noProof/>
          <w:lang w:val="pl"/>
        </w:rPr>
        <w:fldChar w:fldCharType="end"/>
      </w:r>
      <w:r>
        <w:rPr>
          <w:lang w:val="pl"/>
        </w:rPr>
        <w:t>.  W dniu 9 stycznia 2015 r. Sąd Rejonowy w Opolu podjął decyzję o</w:t>
      </w:r>
      <w:r w:rsidR="00703443">
        <w:rPr>
          <w:lang w:val="pl"/>
        </w:rPr>
        <w:t> </w:t>
      </w:r>
      <w:r>
        <w:rPr>
          <w:lang w:val="pl"/>
        </w:rPr>
        <w:t xml:space="preserve">rozwiązaniu skarżącego stowarzyszenia w następstwie postępowania, które trwało ponad dwa lata (zob. paragraf </w:t>
      </w:r>
      <w:r>
        <w:rPr>
          <w:lang w:val="pl"/>
        </w:rPr>
        <w:fldChar w:fldCharType="begin"/>
      </w:r>
      <w:r>
        <w:rPr>
          <w:lang w:val="pl"/>
        </w:rPr>
        <w:instrText xml:space="preserve"> REF dissolution \h </w:instrText>
      </w:r>
      <w:r>
        <w:rPr>
          <w:lang w:val="pl"/>
        </w:rPr>
      </w:r>
      <w:r>
        <w:rPr>
          <w:lang w:val="pl"/>
        </w:rPr>
        <w:fldChar w:fldCharType="separate"/>
      </w:r>
      <w:r>
        <w:rPr>
          <w:noProof/>
          <w:lang w:val="pl"/>
        </w:rPr>
        <w:t>18</w:t>
      </w:r>
      <w:r>
        <w:rPr>
          <w:lang w:val="pl"/>
        </w:rPr>
        <w:fldChar w:fldCharType="end"/>
      </w:r>
      <w:r>
        <w:rPr>
          <w:lang w:val="pl"/>
        </w:rPr>
        <w:t xml:space="preserve"> powyżej).</w:t>
      </w:r>
    </w:p>
    <w:p w14:paraId="17364760" w14:textId="64FF62AC" w:rsidR="00234A94" w:rsidRPr="007D0212" w:rsidRDefault="006F0F0E" w:rsidP="00710B05">
      <w:pPr>
        <w:pStyle w:val="JuPara"/>
        <w:rPr>
          <w:lang w:val="pl-PL"/>
        </w:rPr>
      </w:pPr>
      <w:r>
        <w:fldChar w:fldCharType="begin"/>
      </w:r>
      <w:r w:rsidRPr="007D0212">
        <w:rPr>
          <w:lang w:val="pl-PL"/>
        </w:rPr>
        <w:instrText xml:space="preserve"> SEQ level0 \*arabic \* MERGEFORMAT </w:instrText>
      </w:r>
      <w:r>
        <w:fldChar w:fldCharType="separate"/>
      </w:r>
      <w:r>
        <w:rPr>
          <w:noProof/>
          <w:lang w:val="pl"/>
        </w:rPr>
        <w:t>48</w:t>
      </w:r>
      <w:r>
        <w:rPr>
          <w:noProof/>
          <w:lang w:val="pl"/>
        </w:rPr>
        <w:fldChar w:fldCharType="end"/>
      </w:r>
      <w:r>
        <w:rPr>
          <w:lang w:val="pl"/>
        </w:rPr>
        <w:t xml:space="preserve">.  Mimo że sądy krajowe powołały się na wyrok </w:t>
      </w:r>
      <w:proofErr w:type="spellStart"/>
      <w:r>
        <w:rPr>
          <w:i/>
          <w:iCs/>
          <w:lang w:val="pl"/>
        </w:rPr>
        <w:t>Gorzelik</w:t>
      </w:r>
      <w:proofErr w:type="spellEnd"/>
      <w:r>
        <w:rPr>
          <w:i/>
          <w:iCs/>
          <w:lang w:val="pl"/>
        </w:rPr>
        <w:t xml:space="preserve"> i Inni</w:t>
      </w:r>
      <w:r>
        <w:rPr>
          <w:lang w:val="pl"/>
        </w:rPr>
        <w:t xml:space="preserve"> (</w:t>
      </w:r>
      <w:proofErr w:type="spellStart"/>
      <w:r>
        <w:rPr>
          <w:i/>
          <w:iCs/>
          <w:lang w:val="pl"/>
        </w:rPr>
        <w:t>op.cit</w:t>
      </w:r>
      <w:proofErr w:type="spellEnd"/>
      <w:r>
        <w:rPr>
          <w:i/>
          <w:iCs/>
          <w:lang w:val="pl"/>
        </w:rPr>
        <w:t>.</w:t>
      </w:r>
      <w:r>
        <w:rPr>
          <w:lang w:val="pl"/>
        </w:rPr>
        <w:t>), nie zajęły się szerzej kwestią zgodności zaskarżonego środka z Konwencją w</w:t>
      </w:r>
      <w:r w:rsidR="00703443">
        <w:rPr>
          <w:lang w:val="pl"/>
        </w:rPr>
        <w:t> </w:t>
      </w:r>
      <w:r>
        <w:rPr>
          <w:lang w:val="pl"/>
        </w:rPr>
        <w:t>świetle bogatego orzecznictwa Trybunału w sprawie wolności stowarzyszania się.</w:t>
      </w:r>
    </w:p>
    <w:p w14:paraId="185CE5C6" w14:textId="51E207A4" w:rsidR="00234A94" w:rsidRPr="007D0212" w:rsidRDefault="006F0F0E" w:rsidP="00710B05">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lang w:val="pl"/>
        </w:rPr>
        <w:fldChar w:fldCharType="end"/>
      </w:r>
      <w:r>
        <w:rPr>
          <w:lang w:val="pl"/>
        </w:rPr>
        <w:t xml:space="preserve">.  Trybunał zauważa, że chociaż sądy krajowe zwróciły uwagę na uporczywe przypadki nieprzestrzegania prawa przez skarżące stowarzyszenie (zob. paragrafy </w:t>
      </w:r>
      <w:r>
        <w:rPr>
          <w:lang w:val="pl"/>
        </w:rPr>
        <w:fldChar w:fldCharType="begin"/>
      </w:r>
      <w:r>
        <w:rPr>
          <w:lang w:val="pl"/>
        </w:rPr>
        <w:instrText xml:space="preserve"> REF Supreme_court \h  \* MERGEFORMAT </w:instrText>
      </w:r>
      <w:r>
        <w:rPr>
          <w:lang w:val="pl"/>
        </w:rPr>
      </w:r>
      <w:r>
        <w:rPr>
          <w:lang w:val="pl"/>
        </w:rPr>
        <w:fldChar w:fldCharType="separate"/>
      </w:r>
      <w:r>
        <w:rPr>
          <w:lang w:val="pl"/>
        </w:rPr>
        <w:t>14</w:t>
      </w:r>
      <w:r>
        <w:rPr>
          <w:lang w:val="pl"/>
        </w:rPr>
        <w:fldChar w:fldCharType="end"/>
      </w:r>
      <w:r>
        <w:rPr>
          <w:lang w:val="pl"/>
        </w:rPr>
        <w:t xml:space="preserve"> i </w:t>
      </w:r>
      <w:r>
        <w:rPr>
          <w:lang w:val="pl"/>
        </w:rPr>
        <w:fldChar w:fldCharType="begin"/>
      </w:r>
      <w:r>
        <w:rPr>
          <w:lang w:val="pl"/>
        </w:rPr>
        <w:instrText xml:space="preserve"> REF failure_to_comply_with_law \h  \* MERGEFORMAT </w:instrText>
      </w:r>
      <w:r>
        <w:rPr>
          <w:lang w:val="pl"/>
        </w:rPr>
      </w:r>
      <w:r>
        <w:rPr>
          <w:lang w:val="pl"/>
        </w:rPr>
        <w:fldChar w:fldCharType="separate"/>
      </w:r>
      <w:r>
        <w:rPr>
          <w:lang w:val="pl"/>
        </w:rPr>
        <w:t>18</w:t>
      </w:r>
      <w:r>
        <w:rPr>
          <w:lang w:val="pl"/>
        </w:rPr>
        <w:fldChar w:fldCharType="end"/>
      </w:r>
      <w:r>
        <w:rPr>
          <w:lang w:val="pl"/>
        </w:rPr>
        <w:t xml:space="preserve"> powyżej), ani Sąd Najwyższy, który w dniu 5 grudnia 2013 r. uchylił </w:t>
      </w:r>
      <w:r w:rsidR="001921AA">
        <w:rPr>
          <w:lang w:val="pl"/>
        </w:rPr>
        <w:t>postanowienie oddalające</w:t>
      </w:r>
      <w:r>
        <w:rPr>
          <w:lang w:val="pl"/>
        </w:rPr>
        <w:t xml:space="preserve"> apelację prokuratora, ani Sąd Rejonowy w Opolu, który rozwiązał skarżące stowarzyszenie w</w:t>
      </w:r>
      <w:r w:rsidR="00703443">
        <w:rPr>
          <w:lang w:val="pl"/>
        </w:rPr>
        <w:t> </w:t>
      </w:r>
      <w:r>
        <w:rPr>
          <w:lang w:val="pl"/>
        </w:rPr>
        <w:t>dniu</w:t>
      </w:r>
      <w:r w:rsidR="00703443">
        <w:rPr>
          <w:lang w:val="pl"/>
        </w:rPr>
        <w:t> </w:t>
      </w:r>
      <w:r>
        <w:rPr>
          <w:lang w:val="pl"/>
        </w:rPr>
        <w:t>9</w:t>
      </w:r>
      <w:r w:rsidR="00703443">
        <w:rPr>
          <w:lang w:val="pl"/>
        </w:rPr>
        <w:t> </w:t>
      </w:r>
      <w:r>
        <w:rPr>
          <w:lang w:val="pl"/>
        </w:rPr>
        <w:t>stycznia 2015 r. (ponad trzy lata po jego rejestracji), nie odniosły się do jakichkolwiek, rzekomych lub dokonanych, niezgodnych z prawem lub antydemokratycznych działań skarżącego stowarzyszenia lub jego członków.</w:t>
      </w:r>
    </w:p>
    <w:p w14:paraId="3EE7A3BD" w14:textId="3A9587C8" w:rsidR="00234A94" w:rsidRPr="007D0212" w:rsidRDefault="006F0F0E" w:rsidP="00710B05">
      <w:pPr>
        <w:pStyle w:val="JuPara"/>
        <w:rPr>
          <w:rFonts w:eastAsia="Times New Roman"/>
          <w:lang w:val="pl-PL"/>
        </w:rPr>
      </w:pPr>
      <w:r>
        <w:lastRenderedPageBreak/>
        <w:fldChar w:fldCharType="begin"/>
      </w:r>
      <w:r w:rsidRPr="007D0212">
        <w:rPr>
          <w:lang w:val="pl-PL"/>
        </w:rPr>
        <w:instrText xml:space="preserve"> SEQ level0 \*arabic \* MERGEFORMAT </w:instrText>
      </w:r>
      <w:r>
        <w:fldChar w:fldCharType="separate"/>
      </w:r>
      <w:r>
        <w:rPr>
          <w:noProof/>
          <w:lang w:val="pl"/>
        </w:rPr>
        <w:t>50</w:t>
      </w:r>
      <w:r>
        <w:rPr>
          <w:noProof/>
          <w:lang w:val="pl"/>
        </w:rPr>
        <w:fldChar w:fldCharType="end"/>
      </w:r>
      <w:r>
        <w:rPr>
          <w:lang w:val="pl"/>
        </w:rPr>
        <w:t>.  W swoich uwagach Rząd stwierdził ponadto, że zaskarżona ingerencja była niezbędna w demokratycznym społeczeństwie, w</w:t>
      </w:r>
      <w:r w:rsidR="00703443">
        <w:rPr>
          <w:lang w:val="pl"/>
        </w:rPr>
        <w:t> </w:t>
      </w:r>
      <w:r>
        <w:rPr>
          <w:lang w:val="pl"/>
        </w:rPr>
        <w:t xml:space="preserve">szczególności dla udaremnienia skarżącemu stowarzyszeniu ewentualnych prób skorzystania z przywilejów wyborczych przyznanych mniejszościom narodowym przez prawo krajowe (zob. paragraf </w:t>
      </w:r>
      <w:r>
        <w:rPr>
          <w:lang w:val="pl"/>
        </w:rPr>
        <w:fldChar w:fldCharType="begin"/>
      </w:r>
      <w:r>
        <w:rPr>
          <w:lang w:val="pl"/>
        </w:rPr>
        <w:instrText xml:space="preserve"> REF Gov_election_argument \h  \* MERGEFORMAT </w:instrText>
      </w:r>
      <w:r>
        <w:rPr>
          <w:lang w:val="pl"/>
        </w:rPr>
      </w:r>
      <w:r>
        <w:rPr>
          <w:lang w:val="pl"/>
        </w:rPr>
        <w:fldChar w:fldCharType="separate"/>
      </w:r>
      <w:r>
        <w:rPr>
          <w:lang w:val="pl"/>
        </w:rPr>
        <w:t>35</w:t>
      </w:r>
      <w:r>
        <w:rPr>
          <w:lang w:val="pl"/>
        </w:rPr>
        <w:fldChar w:fldCharType="end"/>
      </w:r>
      <w:r>
        <w:rPr>
          <w:lang w:val="pl"/>
        </w:rPr>
        <w:t xml:space="preserve"> powyżej). W odniesieniu jednak do domniemanej możliwości skorzystania przez skarżące stowarzyszenie z niektórych przywilejów wyborczych, w swoim statucie stowarzyszenie wyraźnie stwierdziło, że nie zarejestruje komitetu wyborczego w wyborach parlamentarnych (zob. </w:t>
      </w:r>
      <w:r w:rsidR="004D782C">
        <w:rPr>
          <w:lang w:val="pl"/>
        </w:rPr>
        <w:t>p</w:t>
      </w:r>
      <w:r>
        <w:rPr>
          <w:lang w:val="pl"/>
        </w:rPr>
        <w:t>aragraf</w:t>
      </w:r>
      <w:r w:rsidR="004D782C">
        <w:rPr>
          <w:lang w:val="pl"/>
        </w:rPr>
        <w:t xml:space="preserve"> </w:t>
      </w:r>
      <w:r>
        <w:rPr>
          <w:lang w:val="pl"/>
        </w:rPr>
        <w:fldChar w:fldCharType="begin"/>
      </w:r>
      <w:r>
        <w:rPr>
          <w:lang w:val="pl"/>
        </w:rPr>
        <w:instrText xml:space="preserve"> REF statute \h  \* MERGEFORMAT </w:instrText>
      </w:r>
      <w:r>
        <w:rPr>
          <w:lang w:val="pl"/>
        </w:rPr>
      </w:r>
      <w:r>
        <w:rPr>
          <w:lang w:val="pl"/>
        </w:rPr>
        <w:fldChar w:fldCharType="separate"/>
      </w:r>
      <w:r>
        <w:rPr>
          <w:lang w:val="pl"/>
        </w:rPr>
        <w:t>9</w:t>
      </w:r>
      <w:r>
        <w:rPr>
          <w:lang w:val="pl"/>
        </w:rPr>
        <w:fldChar w:fldCharType="end"/>
      </w:r>
      <w:r>
        <w:rPr>
          <w:lang w:val="pl"/>
        </w:rPr>
        <w:t xml:space="preserve"> powyżej). Sądy krajowe nie odniosły się do tego stwierdzenia, a z uzasadnienia ich orzeczeń nie wynika jasno, czy sama rejestracja skarżącego stowarzyszenia automatycznie dawałaby mu prawo do zarejestrowania komitetu wyborczego lub uzyskania jakichkolwiek korzyści wyborczych (zob.</w:t>
      </w:r>
      <w:r w:rsidR="00703443">
        <w:rPr>
          <w:lang w:val="pl"/>
        </w:rPr>
        <w:t> </w:t>
      </w:r>
      <w:r>
        <w:rPr>
          <w:lang w:val="pl"/>
        </w:rPr>
        <w:t>paragraf</w:t>
      </w:r>
      <w:r w:rsidR="00703443">
        <w:rPr>
          <w:lang w:val="pl"/>
        </w:rPr>
        <w:t> </w:t>
      </w:r>
      <w:r>
        <w:rPr>
          <w:lang w:val="pl"/>
        </w:rPr>
        <w:fldChar w:fldCharType="begin"/>
      </w:r>
      <w:r>
        <w:rPr>
          <w:lang w:val="pl"/>
        </w:rPr>
        <w:instrText xml:space="preserve"> REF Supreme_court \h  \* MERGEFORMAT </w:instrText>
      </w:r>
      <w:r>
        <w:rPr>
          <w:lang w:val="pl"/>
        </w:rPr>
      </w:r>
      <w:r>
        <w:rPr>
          <w:lang w:val="pl"/>
        </w:rPr>
        <w:fldChar w:fldCharType="separate"/>
      </w:r>
      <w:r>
        <w:rPr>
          <w:lang w:val="pl"/>
        </w:rPr>
        <w:t>14</w:t>
      </w:r>
      <w:r>
        <w:rPr>
          <w:lang w:val="pl"/>
        </w:rPr>
        <w:fldChar w:fldCharType="end"/>
      </w:r>
      <w:r w:rsidR="00703443">
        <w:rPr>
          <w:lang w:val="pl"/>
        </w:rPr>
        <w:t> </w:t>
      </w:r>
      <w:r>
        <w:rPr>
          <w:lang w:val="pl"/>
        </w:rPr>
        <w:t>powyżej).</w:t>
      </w:r>
    </w:p>
    <w:p w14:paraId="57815616" w14:textId="60F8EA5A" w:rsidR="00234A94" w:rsidRPr="007D0212" w:rsidRDefault="006F0F0E" w:rsidP="00710B05">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lang w:val="pl"/>
        </w:rPr>
        <w:fldChar w:fldCharType="end"/>
      </w:r>
      <w:r>
        <w:rPr>
          <w:lang w:val="pl"/>
        </w:rPr>
        <w:t>.  Głównym argumentem, na który powołał się Sąd Najwyższy, odnoszącym się do jakichkolwiek rzeczywistych konsekwencji rejestracji skarżącego stowarzyszenia, była publikacja w internecie, po rejestracji stowarzyszenia, artykułów sugerujących, że „narodowość śląska” została uznana przez sądy. Zdaniem Sądu Najwyższego stanowiło to dowód, że nazwa skarżącego stowarzyszenia wprowadzała w błąd i mogła mieć inne konotacje w odniesieniu do użycia pojęć „naród”, „narodowość” i</w:t>
      </w:r>
      <w:r w:rsidR="00703443">
        <w:rPr>
          <w:lang w:val="pl"/>
        </w:rPr>
        <w:t> </w:t>
      </w:r>
      <w:r>
        <w:rPr>
          <w:lang w:val="pl"/>
        </w:rPr>
        <w:t xml:space="preserve">„mniejszość narodowa” (zob. </w:t>
      </w:r>
      <w:r w:rsidR="00703443">
        <w:rPr>
          <w:lang w:val="pl"/>
        </w:rPr>
        <w:t>paragraf</w:t>
      </w:r>
      <w:r>
        <w:rPr>
          <w:lang w:val="pl"/>
        </w:rPr>
        <w:t xml:space="preserve"> </w:t>
      </w:r>
      <w:r>
        <w:rPr>
          <w:lang w:val="pl"/>
        </w:rPr>
        <w:fldChar w:fldCharType="begin"/>
      </w:r>
      <w:r>
        <w:rPr>
          <w:lang w:val="pl"/>
        </w:rPr>
        <w:instrText xml:space="preserve"> REF Supreme_court \h  \* MERGEFORMAT </w:instrText>
      </w:r>
      <w:r>
        <w:rPr>
          <w:lang w:val="pl"/>
        </w:rPr>
      </w:r>
      <w:r>
        <w:rPr>
          <w:lang w:val="pl"/>
        </w:rPr>
        <w:fldChar w:fldCharType="separate"/>
      </w:r>
      <w:r>
        <w:rPr>
          <w:lang w:val="pl"/>
        </w:rPr>
        <w:t>14</w:t>
      </w:r>
      <w:r>
        <w:rPr>
          <w:lang w:val="pl"/>
        </w:rPr>
        <w:fldChar w:fldCharType="end"/>
      </w:r>
      <w:r>
        <w:rPr>
          <w:lang w:val="pl"/>
        </w:rPr>
        <w:t xml:space="preserve"> powyżej).</w:t>
      </w:r>
    </w:p>
    <w:p w14:paraId="17D06E53" w14:textId="77777777" w:rsidR="00234A94" w:rsidRPr="007D0212" w:rsidRDefault="006F0F0E" w:rsidP="00710B05">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lang w:val="pl"/>
        </w:rPr>
        <w:fldChar w:fldCharType="end"/>
      </w:r>
      <w:r>
        <w:rPr>
          <w:lang w:val="pl"/>
        </w:rPr>
        <w:t>.  Zdaniem Trybunału w tym kontekście sądy krajowe nie przedstawiły wystarczających argumentów za rozwiązaniem skarżącego stowarzyszenia. Rząd zauważył następnie, że zezwolenie na działalność stowarzyszenia, które odwołuje się do „narodowości śląskiej”, może stworzyć wrażenie, że władze polskie uznają istnienie narodu śląskiego, co może zachęcić inne grupy etniczne do podjęcia podobnych kroków, a w konsekwencji podważyć integralność państwa polskiego.</w:t>
      </w:r>
    </w:p>
    <w:p w14:paraId="322521F2" w14:textId="5F00BF64" w:rsidR="00234A94" w:rsidRPr="007D0212" w:rsidRDefault="006F0F0E" w:rsidP="00710B05">
      <w:pPr>
        <w:pStyle w:val="JuPara"/>
        <w:rPr>
          <w:rFonts w:eastAsia="Times New Roman"/>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lang w:val="pl"/>
        </w:rPr>
        <w:fldChar w:fldCharType="end"/>
      </w:r>
      <w:r>
        <w:rPr>
          <w:lang w:val="pl"/>
        </w:rPr>
        <w:t>.  Wydaje się, że kluczową kwestią w rozwiązaniu skarżącego stowarzyszenia była nazwa stowarzyszenia oraz brzmienie dwóch postanowień jego statutu, które odwoływały się do pojęcia użytego już w</w:t>
      </w:r>
      <w:r w:rsidR="00703443">
        <w:rPr>
          <w:lang w:val="pl"/>
        </w:rPr>
        <w:t> </w:t>
      </w:r>
      <w:r>
        <w:rPr>
          <w:lang w:val="pl"/>
        </w:rPr>
        <w:t xml:space="preserve">nazwie, czyli do „narodowości śląskiej”. Zostało to wyraźnie potwierdzone w orzeczeniach sądów krajowych (zob. paragraf </w:t>
      </w:r>
      <w:r>
        <w:rPr>
          <w:lang w:val="pl"/>
        </w:rPr>
        <w:fldChar w:fldCharType="begin"/>
      </w:r>
      <w:r>
        <w:rPr>
          <w:lang w:val="pl"/>
        </w:rPr>
        <w:instrText xml:space="preserve"> REF changes_memorandum \h  \* MERGEFORMAT </w:instrText>
      </w:r>
      <w:r>
        <w:rPr>
          <w:lang w:val="pl"/>
        </w:rPr>
      </w:r>
      <w:r>
        <w:rPr>
          <w:lang w:val="pl"/>
        </w:rPr>
        <w:fldChar w:fldCharType="separate"/>
      </w:r>
      <w:r>
        <w:rPr>
          <w:lang w:val="pl"/>
        </w:rPr>
        <w:t>19</w:t>
      </w:r>
      <w:r>
        <w:rPr>
          <w:lang w:val="pl"/>
        </w:rPr>
        <w:fldChar w:fldCharType="end"/>
      </w:r>
      <w:r>
        <w:rPr>
          <w:lang w:val="pl"/>
        </w:rPr>
        <w:t xml:space="preserve"> powyżej).</w:t>
      </w:r>
    </w:p>
    <w:p w14:paraId="559418CE" w14:textId="7D664DD1" w:rsidR="00234A94" w:rsidRPr="007D0212" w:rsidRDefault="006F0F0E" w:rsidP="00710B05">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54</w:t>
      </w:r>
      <w:r>
        <w:rPr>
          <w:lang w:val="pl"/>
        </w:rPr>
        <w:fldChar w:fldCharType="end"/>
      </w:r>
      <w:r>
        <w:rPr>
          <w:lang w:val="pl"/>
        </w:rPr>
        <w:t xml:space="preserve">.  Trybunał uważa, że władze krajowe nie wykazały, że nazwa skarżącego stowarzyszenia i brzmienie dwóch postanowień jego statutu, które odnosiły się do „narodowości śląskiej”, mogły stanowić zagrożenie dla porządku publicznego. Wobec braku konkretnych dowodów wskazujących na to, że decydując się na nazwę „Stowarzyszenie Osób Narodowości Śląskiej”, skarżące stowarzyszenie wybrało politykę stanowiącą realne zagrożenie dla porządku publicznego lub społeczeństwa demokratycznego, Trybunał uznaje, że stanowisko oparte na nazwie stowarzyszenia i brzmieniu dwóch postanowień jego statutu nie może samo w sobie uzasadniać rozwiązania stowarzyszenia (zob., odpowiednio, </w:t>
      </w:r>
      <w:proofErr w:type="spellStart"/>
      <w:r>
        <w:rPr>
          <w:i/>
          <w:iCs/>
          <w:lang w:val="pl"/>
        </w:rPr>
        <w:t>Ouranio</w:t>
      </w:r>
      <w:proofErr w:type="spellEnd"/>
      <w:r>
        <w:rPr>
          <w:i/>
          <w:iCs/>
          <w:lang w:val="pl"/>
        </w:rPr>
        <w:t xml:space="preserve"> </w:t>
      </w:r>
      <w:proofErr w:type="spellStart"/>
      <w:r>
        <w:rPr>
          <w:i/>
          <w:iCs/>
          <w:lang w:val="pl"/>
        </w:rPr>
        <w:t>Toxo</w:t>
      </w:r>
      <w:proofErr w:type="spellEnd"/>
      <w:r>
        <w:rPr>
          <w:i/>
          <w:iCs/>
          <w:lang w:val="pl"/>
        </w:rPr>
        <w:t xml:space="preserve"> i Inni, </w:t>
      </w:r>
      <w:proofErr w:type="spellStart"/>
      <w:r>
        <w:rPr>
          <w:i/>
          <w:iCs/>
          <w:lang w:val="pl"/>
        </w:rPr>
        <w:t>op.cit</w:t>
      </w:r>
      <w:proofErr w:type="spellEnd"/>
      <w:r>
        <w:rPr>
          <w:i/>
          <w:iCs/>
          <w:lang w:val="pl"/>
        </w:rPr>
        <w:t>.</w:t>
      </w:r>
      <w:r>
        <w:rPr>
          <w:lang w:val="pl"/>
        </w:rPr>
        <w:t xml:space="preserve">, </w:t>
      </w:r>
      <w:r>
        <w:rPr>
          <w:lang w:val="pl"/>
        </w:rPr>
        <w:lastRenderedPageBreak/>
        <w:t xml:space="preserve">§ 41, oraz </w:t>
      </w:r>
      <w:r>
        <w:rPr>
          <w:i/>
          <w:iCs/>
          <w:lang w:val="pl"/>
        </w:rPr>
        <w:t xml:space="preserve">United </w:t>
      </w:r>
      <w:proofErr w:type="spellStart"/>
      <w:r>
        <w:rPr>
          <w:i/>
          <w:iCs/>
          <w:lang w:val="pl"/>
        </w:rPr>
        <w:t>Communist</w:t>
      </w:r>
      <w:proofErr w:type="spellEnd"/>
      <w:r>
        <w:rPr>
          <w:i/>
          <w:iCs/>
          <w:lang w:val="pl"/>
        </w:rPr>
        <w:t xml:space="preserve"> Party of Turkey i Inni przeciwko Turcji</w:t>
      </w:r>
      <w:r>
        <w:rPr>
          <w:lang w:val="pl"/>
        </w:rPr>
        <w:t xml:space="preserve">, </w:t>
      </w:r>
      <w:proofErr w:type="spellStart"/>
      <w:r>
        <w:rPr>
          <w:i/>
          <w:iCs/>
          <w:lang w:val="pl"/>
        </w:rPr>
        <w:t>op.cit</w:t>
      </w:r>
      <w:proofErr w:type="spellEnd"/>
      <w:r>
        <w:rPr>
          <w:i/>
          <w:iCs/>
          <w:lang w:val="pl"/>
        </w:rPr>
        <w:t>.</w:t>
      </w:r>
      <w:r>
        <w:rPr>
          <w:lang w:val="pl"/>
        </w:rPr>
        <w:t xml:space="preserve"> § 54</w:t>
      </w:r>
      <w:bookmarkStart w:id="14" w:name="_cl21251"/>
      <w:r>
        <w:rPr>
          <w:lang w:val="pl"/>
        </w:rPr>
        <w:t xml:space="preserve"> i </w:t>
      </w:r>
      <w:r>
        <w:rPr>
          <w:i/>
          <w:iCs/>
          <w:lang w:val="pl"/>
        </w:rPr>
        <w:t xml:space="preserve">Stowarzyszenie Obywateli „Radko” i </w:t>
      </w:r>
      <w:proofErr w:type="spellStart"/>
      <w:r>
        <w:rPr>
          <w:i/>
          <w:iCs/>
          <w:lang w:val="pl"/>
        </w:rPr>
        <w:t>Paunkovski</w:t>
      </w:r>
      <w:proofErr w:type="spellEnd"/>
      <w:r>
        <w:rPr>
          <w:lang w:val="pl"/>
        </w:rPr>
        <w:t xml:space="preserve">, </w:t>
      </w:r>
      <w:proofErr w:type="spellStart"/>
      <w:r>
        <w:rPr>
          <w:i/>
          <w:iCs/>
          <w:lang w:val="pl"/>
        </w:rPr>
        <w:t>op.cit</w:t>
      </w:r>
      <w:proofErr w:type="spellEnd"/>
      <w:r>
        <w:rPr>
          <w:i/>
          <w:iCs/>
          <w:lang w:val="pl"/>
        </w:rPr>
        <w:t>.</w:t>
      </w:r>
      <w:r>
        <w:rPr>
          <w:lang w:val="pl"/>
        </w:rPr>
        <w:t>, § 72)</w:t>
      </w:r>
      <w:r w:rsidR="002B7670">
        <w:rPr>
          <w:lang w:val="pl"/>
        </w:rPr>
        <w:t>.</w:t>
      </w:r>
    </w:p>
    <w:p w14:paraId="2D887326" w14:textId="08ECB5C3" w:rsidR="00234A94" w:rsidRPr="007D0212" w:rsidRDefault="006F0F0E" w:rsidP="00710B05">
      <w:pPr>
        <w:pStyle w:val="JuPara"/>
        <w:rPr>
          <w:rFonts w:eastAsia="Times New Roman"/>
          <w:sz w:val="17"/>
          <w:szCs w:val="17"/>
          <w:lang w:val="pl-PL"/>
        </w:rPr>
      </w:pPr>
      <w:r>
        <w:fldChar w:fldCharType="begin"/>
      </w:r>
      <w:r w:rsidRPr="007D0212">
        <w:rPr>
          <w:lang w:val="pl-PL"/>
        </w:rPr>
        <w:instrText xml:space="preserve"> SEQ level0 \*arabic \* MERGEFORMAT </w:instrText>
      </w:r>
      <w:r>
        <w:fldChar w:fldCharType="separate"/>
      </w:r>
      <w:r>
        <w:rPr>
          <w:noProof/>
          <w:lang w:val="pl"/>
        </w:rPr>
        <w:t>55</w:t>
      </w:r>
      <w:r>
        <w:rPr>
          <w:noProof/>
          <w:lang w:val="pl"/>
        </w:rPr>
        <w:fldChar w:fldCharType="end"/>
      </w:r>
      <w:r>
        <w:rPr>
          <w:lang w:val="pl"/>
        </w:rPr>
        <w:t>.  </w:t>
      </w:r>
      <w:bookmarkEnd w:id="14"/>
      <w:r>
        <w:rPr>
          <w:lang w:val="pl"/>
        </w:rPr>
        <w:t xml:space="preserve">W świetle powyższego Trybunał uważa, że powody, na które powołały się władze w celu rozwiązania skarżącego stowarzyszenia, nie były istotne ani wystarczające. W związku z tym nie wykazano, że ograniczenia zastosowane w niniejszej sprawie, a mianowicie rozwiązanie skarżącego stowarzyszenia, </w:t>
      </w:r>
      <w:r w:rsidR="007D0212">
        <w:rPr>
          <w:lang w:val="pl"/>
        </w:rPr>
        <w:t>realizowały</w:t>
      </w:r>
      <w:r>
        <w:rPr>
          <w:lang w:val="pl"/>
        </w:rPr>
        <w:t xml:space="preserve"> „pilną potrzeb</w:t>
      </w:r>
      <w:r w:rsidR="007D0212">
        <w:rPr>
          <w:lang w:val="pl"/>
        </w:rPr>
        <w:t>ę</w:t>
      </w:r>
      <w:r>
        <w:rPr>
          <w:lang w:val="pl"/>
        </w:rPr>
        <w:t xml:space="preserve"> społeczną”. Z powyższego wynika, że środek ten stanowił naruszenie art. 11 Konwencji.</w:t>
      </w:r>
    </w:p>
    <w:p w14:paraId="66B64A40" w14:textId="77777777"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W związku z powyższym doszło do naruszenia art. 11 Konwencji.</w:t>
      </w:r>
    </w:p>
    <w:p w14:paraId="7A4B6418" w14:textId="77777777" w:rsidR="00234A94" w:rsidRPr="00710B05" w:rsidRDefault="006F0F0E" w:rsidP="00710B05">
      <w:pPr>
        <w:pStyle w:val="JuHIRoman"/>
      </w:pPr>
      <w:r>
        <w:rPr>
          <w:bCs w:val="0"/>
          <w:lang w:val="pl"/>
        </w:rPr>
        <w:t>ZASTOSOWANIE ART. 41 KONWENCJI</w:t>
      </w:r>
    </w:p>
    <w:p w14:paraId="394BEDAC" w14:textId="77777777" w:rsidR="00234A94" w:rsidRPr="00710B05" w:rsidRDefault="006F0F0E" w:rsidP="00710B05">
      <w:pPr>
        <w:pStyle w:val="JuPara"/>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Art. 41 Konwencji stanowi:</w:t>
      </w:r>
    </w:p>
    <w:p w14:paraId="30E9AA30" w14:textId="77777777" w:rsidR="00234A94" w:rsidRPr="007D0212" w:rsidRDefault="006F0F0E" w:rsidP="00710B05">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F32D0F4" w14:textId="462BC0AA" w:rsidR="00234A94" w:rsidRPr="007D0212" w:rsidRDefault="006F0F0E" w:rsidP="00710B05">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Skarżący </w:t>
      </w:r>
      <w:r w:rsidR="001921AA">
        <w:rPr>
          <w:lang w:val="pl"/>
        </w:rPr>
        <w:t>nie wnosili o zasądzenie słusznego zadośćuczynienia.</w:t>
      </w:r>
      <w:r>
        <w:rPr>
          <w:lang w:val="pl"/>
        </w:rPr>
        <w:t xml:space="preserve"> W związku z tym Trybunał uznaje, że nie ma potrzeby zasądzania na rzecz skarżącego stowarzyszenia jakiejkolwiek kwoty z tego tytułu.</w:t>
      </w:r>
    </w:p>
    <w:p w14:paraId="2B86C821" w14:textId="77777777" w:rsidR="00234A94" w:rsidRPr="00710B05" w:rsidRDefault="006F0F0E" w:rsidP="00710B05">
      <w:pPr>
        <w:pStyle w:val="JuHHead"/>
        <w:numPr>
          <w:ilvl w:val="0"/>
          <w:numId w:val="21"/>
        </w:numPr>
      </w:pPr>
      <w:r>
        <w:rPr>
          <w:bCs w:val="0"/>
          <w:lang w:val="pl"/>
        </w:rPr>
        <w:t>Z POWYŻSZYCH WZGLĘDÓW TRYBUNAŁ JEDNOGŁOŚNIE</w:t>
      </w:r>
    </w:p>
    <w:p w14:paraId="6CB86943" w14:textId="77777777" w:rsidR="00234A94" w:rsidRPr="00710B05" w:rsidRDefault="006F0F0E" w:rsidP="00710B05">
      <w:pPr>
        <w:pStyle w:val="JuList"/>
      </w:pPr>
      <w:r>
        <w:rPr>
          <w:i/>
          <w:iCs/>
          <w:lang w:val="pl"/>
        </w:rPr>
        <w:t>Uznaje</w:t>
      </w:r>
      <w:r>
        <w:rPr>
          <w:lang w:val="pl"/>
        </w:rPr>
        <w:t xml:space="preserve"> skargę za dopuszczalną;</w:t>
      </w:r>
    </w:p>
    <w:p w14:paraId="79AB0FEB" w14:textId="77777777" w:rsidR="004D0EC7" w:rsidRPr="007D0212" w:rsidRDefault="006F0F0E" w:rsidP="00710B05">
      <w:pPr>
        <w:pStyle w:val="JuList"/>
        <w:rPr>
          <w:lang w:val="pl-PL"/>
        </w:rPr>
      </w:pPr>
      <w:r>
        <w:rPr>
          <w:i/>
          <w:iCs/>
          <w:lang w:val="pl"/>
        </w:rPr>
        <w:t>Orzeka</w:t>
      </w:r>
      <w:r>
        <w:rPr>
          <w:lang w:val="pl"/>
        </w:rPr>
        <w:t>, że doszło do naruszenia art. 11 Konwencji;</w:t>
      </w:r>
    </w:p>
    <w:p w14:paraId="328EAFD2" w14:textId="216EACA2" w:rsidR="008E3A08" w:rsidRPr="007D0212" w:rsidRDefault="006F0F0E" w:rsidP="00710B05">
      <w:pPr>
        <w:pStyle w:val="JuParaLast"/>
        <w:rPr>
          <w:lang w:val="pl-PL"/>
        </w:rPr>
      </w:pPr>
      <w:r>
        <w:rPr>
          <w:lang w:val="pl"/>
        </w:rPr>
        <w:t>Sporządzono w języku angielskim i obwieszczono pisemnie dnia</w:t>
      </w:r>
      <w:r w:rsidR="00703443">
        <w:rPr>
          <w:lang w:val="pl"/>
        </w:rPr>
        <w:t> </w:t>
      </w:r>
      <w:r>
        <w:rPr>
          <w:rFonts w:ascii="Times New Roman" w:hAnsi="Times New Roman"/>
          <w:lang w:val="pl"/>
        </w:rPr>
        <w:t>14 marca</w:t>
      </w:r>
      <w:r w:rsidR="00703443">
        <w:rPr>
          <w:rFonts w:ascii="Times New Roman" w:hAnsi="Times New Roman"/>
          <w:lang w:val="pl"/>
        </w:rPr>
        <w:t> </w:t>
      </w:r>
      <w:r>
        <w:rPr>
          <w:rFonts w:ascii="Times New Roman" w:hAnsi="Times New Roman"/>
          <w:lang w:val="pl"/>
        </w:rPr>
        <w:t>2024 r.</w:t>
      </w:r>
      <w:r>
        <w:rPr>
          <w:lang w:val="pl"/>
        </w:rPr>
        <w:t>, zgodnie z regułą 77 §§ 2 i 3 Regulaminu Trybunału.</w:t>
      </w:r>
    </w:p>
    <w:p w14:paraId="26FBD219" w14:textId="77777777" w:rsidR="007E79A4" w:rsidRPr="007D0212" w:rsidRDefault="006F0F0E" w:rsidP="00710B05">
      <w:pPr>
        <w:pStyle w:val="ECHRPlaceholder"/>
        <w:rPr>
          <w:szCs w:val="22"/>
          <w:lang w:val="pl-PL"/>
        </w:rPr>
      </w:pPr>
      <w:r>
        <w:rPr>
          <w:lang w:val="pl"/>
        </w:rPr>
        <w:tab/>
      </w:r>
    </w:p>
    <w:p w14:paraId="25B7D583" w14:textId="77777777" w:rsidR="007E79A4" w:rsidRPr="007D0212" w:rsidRDefault="006F0F0E" w:rsidP="00710B05">
      <w:pPr>
        <w:pStyle w:val="JuSigned"/>
        <w:rPr>
          <w:lang w:val="pl-PL"/>
        </w:rPr>
      </w:pPr>
      <w:r>
        <w:rPr>
          <w:lang w:val="pl"/>
        </w:rPr>
        <w:tab/>
      </w:r>
      <w:proofErr w:type="spellStart"/>
      <w:r>
        <w:rPr>
          <w:lang w:val="pl"/>
        </w:rPr>
        <w:t>Ilse</w:t>
      </w:r>
      <w:proofErr w:type="spellEnd"/>
      <w:r>
        <w:rPr>
          <w:lang w:val="pl"/>
        </w:rPr>
        <w:t xml:space="preserve"> </w:t>
      </w:r>
      <w:proofErr w:type="spellStart"/>
      <w:r>
        <w:rPr>
          <w:lang w:val="pl"/>
        </w:rPr>
        <w:t>Freiwirth</w:t>
      </w:r>
      <w:proofErr w:type="spellEnd"/>
      <w:r>
        <w:rPr>
          <w:lang w:val="pl"/>
        </w:rPr>
        <w:tab/>
        <w:t xml:space="preserve">Marko </w:t>
      </w:r>
      <w:proofErr w:type="spellStart"/>
      <w:r>
        <w:rPr>
          <w:lang w:val="pl"/>
        </w:rPr>
        <w:t>Bošnjak</w:t>
      </w:r>
      <w:proofErr w:type="spellEnd"/>
      <w:r>
        <w:rPr>
          <w:lang w:val="pl"/>
        </w:rPr>
        <w:br/>
      </w:r>
      <w:r>
        <w:rPr>
          <w:lang w:val="pl"/>
        </w:rPr>
        <w:tab/>
        <w:t>Kanclerz</w:t>
      </w:r>
      <w:r>
        <w:rPr>
          <w:lang w:val="pl"/>
        </w:rPr>
        <w:tab/>
        <w:t>Przewodniczący</w:t>
      </w:r>
    </w:p>
    <w:p w14:paraId="1886C08F" w14:textId="77777777" w:rsidR="00675AF2" w:rsidRPr="007D0212" w:rsidRDefault="00675AF2" w:rsidP="00710B05">
      <w:pPr>
        <w:pStyle w:val="JuPara"/>
        <w:rPr>
          <w:lang w:val="pl-PL"/>
        </w:rPr>
      </w:pPr>
    </w:p>
    <w:p w14:paraId="0495E9BF" w14:textId="77777777" w:rsidR="00182EBA" w:rsidRPr="007D0212" w:rsidRDefault="00182EBA" w:rsidP="00710B05">
      <w:pPr>
        <w:rPr>
          <w:lang w:val="pl-PL"/>
        </w:rPr>
      </w:pPr>
    </w:p>
    <w:sectPr w:rsidR="00182EBA" w:rsidRPr="007D0212" w:rsidSect="00502EFD">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106A3" w14:textId="77777777" w:rsidR="00DD3C78" w:rsidRDefault="00DD3C78">
      <w:r>
        <w:separator/>
      </w:r>
    </w:p>
  </w:endnote>
  <w:endnote w:type="continuationSeparator" w:id="0">
    <w:p w14:paraId="748EF9C7" w14:textId="77777777" w:rsidR="00DD3C78" w:rsidRDefault="00DD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B5666" w14:textId="77777777" w:rsidR="00234A94" w:rsidRPr="00150BFA" w:rsidRDefault="006F0F0E" w:rsidP="0020718E">
    <w:pPr>
      <w:jc w:val="center"/>
    </w:pPr>
    <w:r>
      <w:rPr>
        <w:noProof/>
        <w:lang w:val="pl-PL" w:eastAsia="pl-PL"/>
      </w:rPr>
      <w:drawing>
        <wp:inline distT="0" distB="0" distL="0" distR="0" wp14:anchorId="09C44C49" wp14:editId="4AAF36EE">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91E8310"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1D9B7" w14:textId="77777777" w:rsidR="00234A94" w:rsidRPr="00150BFA" w:rsidRDefault="006F0F0E" w:rsidP="0020718E">
    <w:pPr>
      <w:jc w:val="center"/>
    </w:pPr>
    <w:r>
      <w:rPr>
        <w:noProof/>
        <w:lang w:val="pl-PL" w:eastAsia="pl-PL"/>
      </w:rPr>
      <w:drawing>
        <wp:inline distT="0" distB="0" distL="0" distR="0" wp14:anchorId="59B3CB0B" wp14:editId="61815B4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6DA17F2"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68C4E" w14:textId="54656EAC" w:rsidR="00182EBA" w:rsidRDefault="006F0F0E"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483498">
      <w:rPr>
        <w:rStyle w:val="Numerstrony"/>
        <w:noProof/>
        <w:lang w:val="pl"/>
      </w:rPr>
      <w:t>12</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0BE18" w14:textId="6C029C97" w:rsidR="00182EBA" w:rsidRPr="000B7195" w:rsidRDefault="006F0F0E" w:rsidP="007D3701">
    <w:pPr>
      <w:pStyle w:val="JuHeader"/>
    </w:pPr>
    <w:r>
      <w:rPr>
        <w:lang w:val="pl"/>
      </w:rPr>
      <w:fldChar w:fldCharType="begin"/>
    </w:r>
    <w:r>
      <w:rPr>
        <w:lang w:val="pl"/>
      </w:rPr>
      <w:instrText xml:space="preserve"> PAGE </w:instrText>
    </w:r>
    <w:r>
      <w:rPr>
        <w:lang w:val="pl"/>
      </w:rPr>
      <w:fldChar w:fldCharType="separate"/>
    </w:r>
    <w:r w:rsidR="00483498">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C4D61" w14:textId="77777777" w:rsidR="00DD3C78" w:rsidRDefault="00DD3C78">
      <w:r>
        <w:separator/>
      </w:r>
    </w:p>
  </w:footnote>
  <w:footnote w:type="continuationSeparator" w:id="0">
    <w:p w14:paraId="7907C6F3" w14:textId="77777777" w:rsidR="00DD3C78" w:rsidRDefault="00DD3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37B0A" w14:textId="77777777" w:rsidR="00234A94" w:rsidRPr="00A45145" w:rsidRDefault="006F0F0E" w:rsidP="00A45145">
    <w:pPr>
      <w:jc w:val="center"/>
    </w:pPr>
    <w:r>
      <w:rPr>
        <w:noProof/>
        <w:lang w:val="pl-PL" w:eastAsia="pl-PL"/>
      </w:rPr>
      <w:drawing>
        <wp:inline distT="0" distB="0" distL="0" distR="0" wp14:anchorId="736430EC" wp14:editId="65B5C7F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1043030"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22FB0" w14:textId="77777777" w:rsidR="00234A94" w:rsidRPr="00A45145" w:rsidRDefault="006F0F0E" w:rsidP="00A45145">
    <w:pPr>
      <w:jc w:val="center"/>
    </w:pPr>
    <w:r>
      <w:rPr>
        <w:noProof/>
        <w:lang w:val="pl-PL" w:eastAsia="pl-PL"/>
      </w:rPr>
      <w:drawing>
        <wp:inline distT="0" distB="0" distL="0" distR="0" wp14:anchorId="3EDB1AF5" wp14:editId="76A60251">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66C4E6C"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6B0" w14:textId="77777777" w:rsidR="00B911F6" w:rsidRDefault="006F0F0E" w:rsidP="004D0EC7">
    <w:pPr>
      <w:pStyle w:val="JuHeader"/>
      <w:rPr>
        <w:lang w:val="pl"/>
      </w:rPr>
    </w:pPr>
    <w:r>
      <w:rPr>
        <w:lang w:val="pl"/>
      </w:rPr>
      <w:t xml:space="preserve">WYROK W SPRAWIE STOWARZYSZENIE OSÓB NARODOWOŚCI ŚLĄSKIEJ </w:t>
    </w:r>
  </w:p>
  <w:p w14:paraId="270CED2E" w14:textId="2CC37989" w:rsidR="00182EBA" w:rsidRPr="007D0212" w:rsidRDefault="006F0F0E" w:rsidP="004D0EC7">
    <w:pPr>
      <w:pStyle w:val="JuHeader"/>
      <w:rPr>
        <w:lang w:val="pl-PL"/>
      </w:rPr>
    </w:pPr>
    <w:r>
      <w:rPr>
        <w:lang w:val="pl"/>
      </w:rPr>
      <w:t>(W</w:t>
    </w:r>
    <w:r w:rsidR="00B911F6">
      <w:rPr>
        <w:lang w:val="pl"/>
      </w:rPr>
      <w:t xml:space="preserve"> </w:t>
    </w:r>
    <w:r>
      <w:rPr>
        <w:lang w:val="pl"/>
      </w:rPr>
      <w:t>LIKWIDACJI)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CBF09" w14:textId="77777777" w:rsidR="00182EBA" w:rsidRPr="007D0212" w:rsidRDefault="006F0F0E" w:rsidP="007D3701">
    <w:pPr>
      <w:pStyle w:val="JuHeader"/>
      <w:rPr>
        <w:lang w:val="pl-PL"/>
      </w:rPr>
    </w:pPr>
    <w:r>
      <w:rPr>
        <w:lang w:val="pl"/>
      </w:rPr>
      <w:t>WYROK W SPRAWIE STOWARZYSZENIE OSÓB NARODOWOŚCI ŚLĄSKIEJ (W LIKWIDACJI)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C8223E60">
      <w:start w:val="1"/>
      <w:numFmt w:val="bullet"/>
      <w:pStyle w:val="Listapunktowana"/>
      <w:lvlText w:val=""/>
      <w:lvlJc w:val="left"/>
      <w:pPr>
        <w:tabs>
          <w:tab w:val="num" w:pos="851"/>
        </w:tabs>
        <w:ind w:left="568" w:firstLine="0"/>
      </w:pPr>
      <w:rPr>
        <w:rFonts w:ascii="Wingdings" w:hAnsi="Wingdings" w:hint="default"/>
        <w:color w:val="808080"/>
        <w:sz w:val="16"/>
      </w:rPr>
    </w:lvl>
    <w:lvl w:ilvl="1" w:tplc="4F96A736" w:tentative="1">
      <w:start w:val="1"/>
      <w:numFmt w:val="bullet"/>
      <w:lvlText w:val="o"/>
      <w:lvlJc w:val="left"/>
      <w:pPr>
        <w:tabs>
          <w:tab w:val="num" w:pos="1724"/>
        </w:tabs>
        <w:ind w:left="1724" w:hanging="360"/>
      </w:pPr>
      <w:rPr>
        <w:rFonts w:ascii="Courier New" w:hAnsi="Courier New" w:cs="Courier New" w:hint="default"/>
      </w:rPr>
    </w:lvl>
    <w:lvl w:ilvl="2" w:tplc="4182A38C" w:tentative="1">
      <w:start w:val="1"/>
      <w:numFmt w:val="bullet"/>
      <w:lvlText w:val=""/>
      <w:lvlJc w:val="left"/>
      <w:pPr>
        <w:tabs>
          <w:tab w:val="num" w:pos="2444"/>
        </w:tabs>
        <w:ind w:left="2444" w:hanging="360"/>
      </w:pPr>
      <w:rPr>
        <w:rFonts w:ascii="Wingdings" w:hAnsi="Wingdings" w:hint="default"/>
      </w:rPr>
    </w:lvl>
    <w:lvl w:ilvl="3" w:tplc="CF522668" w:tentative="1">
      <w:start w:val="1"/>
      <w:numFmt w:val="bullet"/>
      <w:lvlText w:val=""/>
      <w:lvlJc w:val="left"/>
      <w:pPr>
        <w:tabs>
          <w:tab w:val="num" w:pos="3164"/>
        </w:tabs>
        <w:ind w:left="3164" w:hanging="360"/>
      </w:pPr>
      <w:rPr>
        <w:rFonts w:ascii="Symbol" w:hAnsi="Symbol" w:hint="default"/>
      </w:rPr>
    </w:lvl>
    <w:lvl w:ilvl="4" w:tplc="C79E8620" w:tentative="1">
      <w:start w:val="1"/>
      <w:numFmt w:val="bullet"/>
      <w:lvlText w:val="o"/>
      <w:lvlJc w:val="left"/>
      <w:pPr>
        <w:tabs>
          <w:tab w:val="num" w:pos="3884"/>
        </w:tabs>
        <w:ind w:left="3884" w:hanging="360"/>
      </w:pPr>
      <w:rPr>
        <w:rFonts w:ascii="Courier New" w:hAnsi="Courier New" w:cs="Courier New" w:hint="default"/>
      </w:rPr>
    </w:lvl>
    <w:lvl w:ilvl="5" w:tplc="F5ECECB0" w:tentative="1">
      <w:start w:val="1"/>
      <w:numFmt w:val="bullet"/>
      <w:lvlText w:val=""/>
      <w:lvlJc w:val="left"/>
      <w:pPr>
        <w:tabs>
          <w:tab w:val="num" w:pos="4604"/>
        </w:tabs>
        <w:ind w:left="4604" w:hanging="360"/>
      </w:pPr>
      <w:rPr>
        <w:rFonts w:ascii="Wingdings" w:hAnsi="Wingdings" w:hint="default"/>
      </w:rPr>
    </w:lvl>
    <w:lvl w:ilvl="6" w:tplc="CA5E31C2" w:tentative="1">
      <w:start w:val="1"/>
      <w:numFmt w:val="bullet"/>
      <w:lvlText w:val=""/>
      <w:lvlJc w:val="left"/>
      <w:pPr>
        <w:tabs>
          <w:tab w:val="num" w:pos="5324"/>
        </w:tabs>
        <w:ind w:left="5324" w:hanging="360"/>
      </w:pPr>
      <w:rPr>
        <w:rFonts w:ascii="Symbol" w:hAnsi="Symbol" w:hint="default"/>
      </w:rPr>
    </w:lvl>
    <w:lvl w:ilvl="7" w:tplc="3258A60C" w:tentative="1">
      <w:start w:val="1"/>
      <w:numFmt w:val="bullet"/>
      <w:lvlText w:val="o"/>
      <w:lvlJc w:val="left"/>
      <w:pPr>
        <w:tabs>
          <w:tab w:val="num" w:pos="6044"/>
        </w:tabs>
        <w:ind w:left="6044" w:hanging="360"/>
      </w:pPr>
      <w:rPr>
        <w:rFonts w:ascii="Courier New" w:hAnsi="Courier New" w:cs="Courier New" w:hint="default"/>
      </w:rPr>
    </w:lvl>
    <w:lvl w:ilvl="8" w:tplc="CD665DFE"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234A94"/>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4A5D"/>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68F8"/>
    <w:rsid w:val="000E7D45"/>
    <w:rsid w:val="000F52F4"/>
    <w:rsid w:val="000F7851"/>
    <w:rsid w:val="00101505"/>
    <w:rsid w:val="00104E23"/>
    <w:rsid w:val="00110DA8"/>
    <w:rsid w:val="001118A6"/>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21A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1E7E"/>
    <w:rsid w:val="001E3D26"/>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4A94"/>
    <w:rsid w:val="0023575D"/>
    <w:rsid w:val="00237148"/>
    <w:rsid w:val="0024222D"/>
    <w:rsid w:val="002422B6"/>
    <w:rsid w:val="00242E7B"/>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B7670"/>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1AF0"/>
    <w:rsid w:val="00302F70"/>
    <w:rsid w:val="0030336F"/>
    <w:rsid w:val="0030375E"/>
    <w:rsid w:val="00312A30"/>
    <w:rsid w:val="003201D8"/>
    <w:rsid w:val="00320F72"/>
    <w:rsid w:val="0032463E"/>
    <w:rsid w:val="00326224"/>
    <w:rsid w:val="00337EE4"/>
    <w:rsid w:val="00340FFD"/>
    <w:rsid w:val="00345C41"/>
    <w:rsid w:val="00345DBE"/>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006"/>
    <w:rsid w:val="00427E7A"/>
    <w:rsid w:val="004355AC"/>
    <w:rsid w:val="00436C49"/>
    <w:rsid w:val="00443D98"/>
    <w:rsid w:val="00445366"/>
    <w:rsid w:val="00447F5B"/>
    <w:rsid w:val="004565EB"/>
    <w:rsid w:val="00461DB0"/>
    <w:rsid w:val="00463926"/>
    <w:rsid w:val="00464AB7"/>
    <w:rsid w:val="00464C9A"/>
    <w:rsid w:val="00474F3D"/>
    <w:rsid w:val="00477E3A"/>
    <w:rsid w:val="00481C75"/>
    <w:rsid w:val="00483498"/>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82C"/>
    <w:rsid w:val="004D7E45"/>
    <w:rsid w:val="004F10AF"/>
    <w:rsid w:val="004F11A4"/>
    <w:rsid w:val="004F2389"/>
    <w:rsid w:val="004F304D"/>
    <w:rsid w:val="004F4290"/>
    <w:rsid w:val="004F61BE"/>
    <w:rsid w:val="004F66B1"/>
    <w:rsid w:val="00502821"/>
    <w:rsid w:val="00502EFD"/>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0303"/>
    <w:rsid w:val="005879A2"/>
    <w:rsid w:val="00587D8D"/>
    <w:rsid w:val="00592772"/>
    <w:rsid w:val="0059574A"/>
    <w:rsid w:val="005A1B9B"/>
    <w:rsid w:val="005A2221"/>
    <w:rsid w:val="005A2E79"/>
    <w:rsid w:val="005A6751"/>
    <w:rsid w:val="005B092E"/>
    <w:rsid w:val="005B152C"/>
    <w:rsid w:val="005B1EE0"/>
    <w:rsid w:val="005B2B24"/>
    <w:rsid w:val="005B4425"/>
    <w:rsid w:val="005B4B94"/>
    <w:rsid w:val="005C2388"/>
    <w:rsid w:val="005C2C62"/>
    <w:rsid w:val="005C2D61"/>
    <w:rsid w:val="005C3EE8"/>
    <w:rsid w:val="005D2F2A"/>
    <w:rsid w:val="005D34F9"/>
    <w:rsid w:val="005D4190"/>
    <w:rsid w:val="005D67A3"/>
    <w:rsid w:val="005E2988"/>
    <w:rsid w:val="005E3085"/>
    <w:rsid w:val="005F0EB3"/>
    <w:rsid w:val="005F51E1"/>
    <w:rsid w:val="00611C80"/>
    <w:rsid w:val="00620692"/>
    <w:rsid w:val="006242CA"/>
    <w:rsid w:val="00627507"/>
    <w:rsid w:val="006321BB"/>
    <w:rsid w:val="00633717"/>
    <w:rsid w:val="006344E1"/>
    <w:rsid w:val="0063504B"/>
    <w:rsid w:val="00643524"/>
    <w:rsid w:val="0064393B"/>
    <w:rsid w:val="00645CF2"/>
    <w:rsid w:val="006545C4"/>
    <w:rsid w:val="00661971"/>
    <w:rsid w:val="00661CE8"/>
    <w:rsid w:val="006623D9"/>
    <w:rsid w:val="006642A5"/>
    <w:rsid w:val="0066550C"/>
    <w:rsid w:val="00665BD2"/>
    <w:rsid w:val="006716F2"/>
    <w:rsid w:val="00675AC8"/>
    <w:rsid w:val="00675AF2"/>
    <w:rsid w:val="00682BF2"/>
    <w:rsid w:val="0068573E"/>
    <w:rsid w:val="006859CE"/>
    <w:rsid w:val="00691270"/>
    <w:rsid w:val="00694BA8"/>
    <w:rsid w:val="006A037C"/>
    <w:rsid w:val="006A0C84"/>
    <w:rsid w:val="006A36F4"/>
    <w:rsid w:val="006A406F"/>
    <w:rsid w:val="006A45A7"/>
    <w:rsid w:val="006A4E97"/>
    <w:rsid w:val="006A5D3A"/>
    <w:rsid w:val="006B1942"/>
    <w:rsid w:val="006C23D4"/>
    <w:rsid w:val="006C7BB0"/>
    <w:rsid w:val="006D3237"/>
    <w:rsid w:val="006E0D41"/>
    <w:rsid w:val="006E2E37"/>
    <w:rsid w:val="006E3CF1"/>
    <w:rsid w:val="006E68A3"/>
    <w:rsid w:val="006E7E80"/>
    <w:rsid w:val="006F0F0E"/>
    <w:rsid w:val="006F1C2D"/>
    <w:rsid w:val="006F48CA"/>
    <w:rsid w:val="006F64DD"/>
    <w:rsid w:val="006F712D"/>
    <w:rsid w:val="00703443"/>
    <w:rsid w:val="00710B05"/>
    <w:rsid w:val="00715127"/>
    <w:rsid w:val="00715E8E"/>
    <w:rsid w:val="00723580"/>
    <w:rsid w:val="00723755"/>
    <w:rsid w:val="00726748"/>
    <w:rsid w:val="0073136C"/>
    <w:rsid w:val="00731CFF"/>
    <w:rsid w:val="00731F0F"/>
    <w:rsid w:val="00733250"/>
    <w:rsid w:val="00735644"/>
    <w:rsid w:val="00741404"/>
    <w:rsid w:val="007449E5"/>
    <w:rsid w:val="0074750E"/>
    <w:rsid w:val="00747FF0"/>
    <w:rsid w:val="00751066"/>
    <w:rsid w:val="0075566E"/>
    <w:rsid w:val="00763602"/>
    <w:rsid w:val="00764AC4"/>
    <w:rsid w:val="00764D4E"/>
    <w:rsid w:val="00765A1F"/>
    <w:rsid w:val="00767D10"/>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0212"/>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84AAA"/>
    <w:rsid w:val="00886A95"/>
    <w:rsid w:val="008877CA"/>
    <w:rsid w:val="00892D43"/>
    <w:rsid w:val="00893576"/>
    <w:rsid w:val="00893E73"/>
    <w:rsid w:val="00896E7A"/>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624"/>
    <w:rsid w:val="009017FB"/>
    <w:rsid w:val="009017FC"/>
    <w:rsid w:val="00902D76"/>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09C"/>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1786A"/>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51C0"/>
    <w:rsid w:val="00A82359"/>
    <w:rsid w:val="00A865D2"/>
    <w:rsid w:val="00A87C10"/>
    <w:rsid w:val="00A90BCD"/>
    <w:rsid w:val="00A92625"/>
    <w:rsid w:val="00A94C20"/>
    <w:rsid w:val="00A95D81"/>
    <w:rsid w:val="00AA1B09"/>
    <w:rsid w:val="00AA227F"/>
    <w:rsid w:val="00AA3BC7"/>
    <w:rsid w:val="00AA754A"/>
    <w:rsid w:val="00AB099E"/>
    <w:rsid w:val="00AB4328"/>
    <w:rsid w:val="00AC0FDD"/>
    <w:rsid w:val="00AC38DE"/>
    <w:rsid w:val="00AC4CD4"/>
    <w:rsid w:val="00AE0A2E"/>
    <w:rsid w:val="00AE354C"/>
    <w:rsid w:val="00AF077A"/>
    <w:rsid w:val="00AF12C5"/>
    <w:rsid w:val="00AF4B07"/>
    <w:rsid w:val="00AF6186"/>
    <w:rsid w:val="00AF7A3A"/>
    <w:rsid w:val="00B02587"/>
    <w:rsid w:val="00B049D1"/>
    <w:rsid w:val="00B14793"/>
    <w:rsid w:val="00B153A0"/>
    <w:rsid w:val="00B160DB"/>
    <w:rsid w:val="00B20736"/>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11F6"/>
    <w:rsid w:val="00B922FF"/>
    <w:rsid w:val="00B9281E"/>
    <w:rsid w:val="00B93925"/>
    <w:rsid w:val="00B95187"/>
    <w:rsid w:val="00BA2D55"/>
    <w:rsid w:val="00BA71B1"/>
    <w:rsid w:val="00BB0637"/>
    <w:rsid w:val="00BB345F"/>
    <w:rsid w:val="00BB4A07"/>
    <w:rsid w:val="00BB68EA"/>
    <w:rsid w:val="00BC0B99"/>
    <w:rsid w:val="00BC1C27"/>
    <w:rsid w:val="00BC56A7"/>
    <w:rsid w:val="00BC6BBF"/>
    <w:rsid w:val="00BD1572"/>
    <w:rsid w:val="00BE14E3"/>
    <w:rsid w:val="00BE3774"/>
    <w:rsid w:val="00BE3CA6"/>
    <w:rsid w:val="00BE41E5"/>
    <w:rsid w:val="00BE4CE2"/>
    <w:rsid w:val="00BF118F"/>
    <w:rsid w:val="00BF4109"/>
    <w:rsid w:val="00BF4CC3"/>
    <w:rsid w:val="00C054C7"/>
    <w:rsid w:val="00C057B5"/>
    <w:rsid w:val="00C05B28"/>
    <w:rsid w:val="00C07D0E"/>
    <w:rsid w:val="00C115C3"/>
    <w:rsid w:val="00C15547"/>
    <w:rsid w:val="00C1672D"/>
    <w:rsid w:val="00C22687"/>
    <w:rsid w:val="00C26A92"/>
    <w:rsid w:val="00C26B1C"/>
    <w:rsid w:val="00C32E4D"/>
    <w:rsid w:val="00C333A0"/>
    <w:rsid w:val="00C36A81"/>
    <w:rsid w:val="00C41974"/>
    <w:rsid w:val="00C42108"/>
    <w:rsid w:val="00C44A2C"/>
    <w:rsid w:val="00C44F09"/>
    <w:rsid w:val="00C477F7"/>
    <w:rsid w:val="00C509A6"/>
    <w:rsid w:val="00C53F4A"/>
    <w:rsid w:val="00C54125"/>
    <w:rsid w:val="00C55B54"/>
    <w:rsid w:val="00C6098E"/>
    <w:rsid w:val="00C6152C"/>
    <w:rsid w:val="00C71424"/>
    <w:rsid w:val="00C743B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1ED6"/>
    <w:rsid w:val="00D15ED0"/>
    <w:rsid w:val="00D164BF"/>
    <w:rsid w:val="00D21B3E"/>
    <w:rsid w:val="00D21FED"/>
    <w:rsid w:val="00D222F2"/>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5D78"/>
    <w:rsid w:val="00DA7B04"/>
    <w:rsid w:val="00DB36C2"/>
    <w:rsid w:val="00DB6B47"/>
    <w:rsid w:val="00DC00A8"/>
    <w:rsid w:val="00DC169B"/>
    <w:rsid w:val="00DC2AB9"/>
    <w:rsid w:val="00DC63F0"/>
    <w:rsid w:val="00DD37EA"/>
    <w:rsid w:val="00DD3C78"/>
    <w:rsid w:val="00DD6EE5"/>
    <w:rsid w:val="00DE386C"/>
    <w:rsid w:val="00DE4D35"/>
    <w:rsid w:val="00DF098B"/>
    <w:rsid w:val="00DF11C4"/>
    <w:rsid w:val="00DF210C"/>
    <w:rsid w:val="00DF4B6A"/>
    <w:rsid w:val="00E004C0"/>
    <w:rsid w:val="00E02C09"/>
    <w:rsid w:val="00E04D59"/>
    <w:rsid w:val="00E0745B"/>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0A91"/>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3CAF"/>
    <w:rsid w:val="00EA592A"/>
    <w:rsid w:val="00EB14E4"/>
    <w:rsid w:val="00EB32A5"/>
    <w:rsid w:val="00EB34ED"/>
    <w:rsid w:val="00EB447C"/>
    <w:rsid w:val="00EB7BE0"/>
    <w:rsid w:val="00EC315E"/>
    <w:rsid w:val="00ED077C"/>
    <w:rsid w:val="00ED10A9"/>
    <w:rsid w:val="00ED1190"/>
    <w:rsid w:val="00ED3324"/>
    <w:rsid w:val="00ED34AC"/>
    <w:rsid w:val="00ED6544"/>
    <w:rsid w:val="00EE0277"/>
    <w:rsid w:val="00EE18E3"/>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D7E"/>
    <w:rsid w:val="00F56A6F"/>
    <w:rsid w:val="00F5709C"/>
    <w:rsid w:val="00F60B85"/>
    <w:rsid w:val="00F64EF1"/>
    <w:rsid w:val="00F72498"/>
    <w:rsid w:val="00F72B14"/>
    <w:rsid w:val="00F7349B"/>
    <w:rsid w:val="00F84A0F"/>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E20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B5B43"/>
    <w:rPr>
      <w:sz w:val="24"/>
      <w:szCs w:val="24"/>
      <w:lang w:val="en-GB"/>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en-GB"/>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semiHidden/>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table" w:styleId="Tabelasiatki1jasna">
    <w:name w:val="Grid Table 1 Light"/>
    <w:basedOn w:val="Standardowy"/>
    <w:uiPriority w:val="46"/>
    <w:semiHidden/>
    <w:rsid w:val="00896E7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en-GB"/>
    </w:rPr>
  </w:style>
  <w:style w:type="character" w:customStyle="1" w:styleId="Nagwek1Znak">
    <w:name w:val="Nagłówek 1 Znak"/>
    <w:basedOn w:val="Domylnaczcionkaakapitu"/>
    <w:link w:val="Nagwek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en-GB"/>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en-GB"/>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B5B43"/>
    <w:rPr>
      <w:b/>
      <w:bCs/>
      <w:i/>
      <w:iCs/>
      <w:sz w:val="24"/>
      <w:szCs w:val="24"/>
      <w:lang w:val="en-GB"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semiHidden/>
    <w:rsid w:val="002B5B43"/>
    <w:rPr>
      <w:i/>
      <w:iCs/>
      <w:sz w:val="24"/>
      <w:szCs w:val="24"/>
      <w:lang w:val="en-GB"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en-GB"/>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en-GB"/>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en-GB"/>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en-GB"/>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en-GB"/>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en-GB"/>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en-GB"/>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en-GB"/>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en-GB"/>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semiHidden/>
    <w:rsid w:val="002B5B43"/>
    <w:rPr>
      <w:sz w:val="20"/>
      <w:szCs w:val="20"/>
      <w:lang w:val="en-GB"/>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en-GB"/>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en-GB"/>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en-GB"/>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en-GB"/>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en-GB"/>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en-GB"/>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en-GB"/>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en-GB"/>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en-GB"/>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en-GB"/>
    </w:rPr>
  </w:style>
  <w:style w:type="table" w:styleId="Tabela-Efekty3W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semiHidden/>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234A94"/>
    <w:rPr>
      <w:sz w:val="24"/>
      <w:szCs w:val="24"/>
      <w:lang w:val="en-GB"/>
    </w:rPr>
  </w:style>
  <w:style w:type="table" w:styleId="Tabelasiatki1jasnaakcent1">
    <w:name w:val="Grid Table 1 Light Accent 1"/>
    <w:basedOn w:val="Standardowy"/>
    <w:uiPriority w:val="46"/>
    <w:semiHidden/>
    <w:rsid w:val="00896E7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96E7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96E7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96E7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96E7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96E7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96E7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96E7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96E7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96E7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896E7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96E7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96E7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96E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96E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96E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96E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896E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96E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96E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96E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96E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96E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96E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896E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96E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96E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96E7A"/>
    <w:rPr>
      <w:color w:val="2B579A"/>
      <w:shd w:val="clear" w:color="auto" w:fill="E1DFDD"/>
    </w:rPr>
  </w:style>
  <w:style w:type="table" w:styleId="Tabelalisty1jasna">
    <w:name w:val="List Table 1 Light"/>
    <w:basedOn w:val="Standardowy"/>
    <w:uiPriority w:val="46"/>
    <w:semiHidden/>
    <w:rsid w:val="00896E7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96E7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96E7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96E7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896E7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96E7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96E7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96E7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96E7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96E7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96E7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896E7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96E7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96E7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96E7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96E7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96E7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96E7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896E7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96E7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96E7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96E7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96E7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96E7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96E7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96E7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96E7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96E7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96E7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96E7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96E7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96E7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896E7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96E7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96E7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96E7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96E7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96E7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96E7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96E7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96E7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96E7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96E7A"/>
    <w:rPr>
      <w:color w:val="2B579A"/>
      <w:shd w:val="clear" w:color="auto" w:fill="E1DFDD"/>
    </w:rPr>
  </w:style>
  <w:style w:type="table" w:styleId="Zwykatabela1">
    <w:name w:val="Plain Table 1"/>
    <w:basedOn w:val="Standardowy"/>
    <w:uiPriority w:val="41"/>
    <w:semiHidden/>
    <w:rsid w:val="00896E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896E7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96E7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96E7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896E7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96E7A"/>
    <w:rPr>
      <w:u w:val="dotted"/>
    </w:rPr>
  </w:style>
  <w:style w:type="character" w:customStyle="1" w:styleId="SmartLink">
    <w:name w:val="Smart Link"/>
    <w:basedOn w:val="Domylnaczcionkaakapitu"/>
    <w:uiPriority w:val="99"/>
    <w:semiHidden/>
    <w:unhideWhenUsed/>
    <w:rsid w:val="00896E7A"/>
    <w:rPr>
      <w:color w:val="0000FF"/>
      <w:u w:val="single"/>
      <w:shd w:val="clear" w:color="auto" w:fill="F3F2F1"/>
    </w:rPr>
  </w:style>
  <w:style w:type="table" w:styleId="Siatkatabelijasna">
    <w:name w:val="Grid Table Light"/>
    <w:basedOn w:val="Standardowy"/>
    <w:uiPriority w:val="40"/>
    <w:semiHidden/>
    <w:rsid w:val="00896E7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242E7B"/>
    <w:rPr>
      <w:sz w:val="24"/>
      <w:szCs w:val="24"/>
      <w:lang w:val="en-GB"/>
    </w:rPr>
  </w:style>
  <w:style w:type="paragraph" w:customStyle="1" w:styleId="s598389fb">
    <w:name w:val="s598389fb"/>
    <w:basedOn w:val="Normalny"/>
    <w:rsid w:val="00074A5D"/>
    <w:pPr>
      <w:spacing w:before="100" w:beforeAutospacing="1" w:after="100" w:afterAutospacing="1"/>
    </w:pPr>
    <w:rPr>
      <w:rFonts w:ascii="Times New Roman" w:eastAsia="Times New Roman" w:hAnsi="Times New Roman" w:cs="Times New Roman"/>
      <w:lang w:val="pl-PL" w:eastAsia="pl-PL"/>
    </w:rPr>
  </w:style>
  <w:style w:type="character" w:customStyle="1" w:styleId="sf5e1c6cf">
    <w:name w:val="sf5e1c6cf"/>
    <w:basedOn w:val="Domylnaczcionkaakapitu"/>
    <w:rsid w:val="00074A5D"/>
  </w:style>
  <w:style w:type="paragraph" w:customStyle="1" w:styleId="sfe10dc93">
    <w:name w:val="sfe10dc93"/>
    <w:basedOn w:val="Normalny"/>
    <w:rsid w:val="00074A5D"/>
    <w:pPr>
      <w:spacing w:before="100" w:beforeAutospacing="1" w:after="100" w:afterAutospacing="1"/>
    </w:pPr>
    <w:rPr>
      <w:rFonts w:ascii="Times New Roman" w:eastAsia="Times New Roman" w:hAnsi="Times New Roman" w:cs="Times New Roman"/>
      <w:lang w:val="pl-PL" w:eastAsia="pl-PL"/>
    </w:rPr>
  </w:style>
  <w:style w:type="character" w:customStyle="1" w:styleId="se208486f">
    <w:name w:val="se208486f"/>
    <w:basedOn w:val="Domylnaczcionkaakapitu"/>
    <w:rsid w:val="00074A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307770">
      <w:bodyDiv w:val="1"/>
      <w:marLeft w:val="0"/>
      <w:marRight w:val="0"/>
      <w:marTop w:val="0"/>
      <w:marBottom w:val="0"/>
      <w:divBdr>
        <w:top w:val="none" w:sz="0" w:space="0" w:color="auto"/>
        <w:left w:val="none" w:sz="0" w:space="0" w:color="auto"/>
        <w:bottom w:val="none" w:sz="0" w:space="0" w:color="auto"/>
        <w:right w:val="none" w:sz="0" w:space="0" w:color="auto"/>
      </w:divBdr>
    </w:div>
    <w:div w:id="92526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web/sprawiedliwosc"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pl/web/sprawiedliwosc"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45384-A2D9-4448-A12A-B82FC5B1A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4725</Words>
  <Characters>28352</Characters>
  <Application>Microsoft Office Word</Application>
  <DocSecurity>0</DocSecurity>
  <Lines>236</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33011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2024-03-14T11:02:00Z</dcterms:created>
  <dcterms:modified xsi:type="dcterms:W3CDTF">2024-09-13T16:17:00Z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1300077</vt:lpwstr>
  </property>
  <property fmtid="{D5CDD505-2E9C-101B-9397-08002B2CF9AE}" pid="3" name="cstLanguage">
    <vt:i4>2057</vt:i4>
  </property>
  <property fmtid="{D5CDD505-2E9C-101B-9397-08002B2CF9AE}" pid="4" name="RegisteredNo">
    <vt:lpwstr>26821/17</vt:lpwstr>
  </property>
</Properties>
</file>