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71BBD" w14:textId="77777777" w:rsidR="00DE7089" w:rsidRPr="0018779E" w:rsidRDefault="00DE7089" w:rsidP="00DE7089">
      <w:pPr>
        <w:spacing w:before="100" w:beforeAutospacing="1" w:after="120"/>
        <w:jc w:val="both"/>
        <w:rPr>
          <w:rFonts w:ascii="Times New Roman" w:hAnsi="Times New Roman" w:cs="Times New Roman"/>
          <w:sz w:val="20"/>
          <w:lang w:val="en-US"/>
        </w:rPr>
      </w:pPr>
      <w:r w:rsidRPr="0018779E">
        <w:rPr>
          <w:rFonts w:ascii="Times New Roman" w:hAnsi="Times New Roman" w:cs="Times New Roman"/>
          <w:sz w:val="20"/>
          <w:lang w:val="en-US"/>
        </w:rPr>
        <w:t xml:space="preserve">© Ministerstwo Sprawiedliwości, </w:t>
      </w:r>
      <w:hyperlink r:id="rId8" w:history="1">
        <w:r w:rsidRPr="0018779E">
          <w:rPr>
            <w:rStyle w:val="Hipercze"/>
            <w:rFonts w:ascii="Times New Roman" w:hAnsi="Times New Roman" w:cs="Times New Roman"/>
            <w:sz w:val="20"/>
            <w:lang w:val="en-US"/>
          </w:rPr>
          <w:t>www.gov.pl/web/sprawiedliwosc</w:t>
        </w:r>
      </w:hyperlink>
      <w:r w:rsidRPr="0018779E">
        <w:rPr>
          <w:rFonts w:ascii="Times New Roman" w:hAnsi="Times New Roman" w:cs="Times New Roman"/>
          <w:sz w:val="20"/>
          <w:lang w:val="en-US"/>
        </w:rPr>
        <w:t xml:space="preserve"> [Translation already published on the official website of the Polish Ministry of Justice] Permission to re-publish this translation has been granted by the Polish Ministry of Justice for the sole purpose of its inclusion in the Court’s database </w:t>
      </w:r>
      <w:proofErr w:type="spellStart"/>
      <w:r w:rsidRPr="0018779E">
        <w:rPr>
          <w:rFonts w:ascii="Times New Roman" w:hAnsi="Times New Roman" w:cs="Times New Roman"/>
          <w:sz w:val="20"/>
          <w:lang w:val="en-US"/>
        </w:rPr>
        <w:t>HUDOC</w:t>
      </w:r>
      <w:proofErr w:type="spellEnd"/>
    </w:p>
    <w:p w14:paraId="253FF249" w14:textId="77777777" w:rsidR="00DE7089" w:rsidRPr="00D62F21" w:rsidRDefault="00DE7089" w:rsidP="00DE7089">
      <w:pPr>
        <w:spacing w:before="100" w:beforeAutospacing="1" w:after="120"/>
        <w:jc w:val="both"/>
        <w:rPr>
          <w:rFonts w:ascii="Times New Roman" w:hAnsi="Times New Roman" w:cs="Times New Roman"/>
          <w:sz w:val="20"/>
        </w:rPr>
      </w:pPr>
      <w:r w:rsidRPr="00D62F21">
        <w:rPr>
          <w:rFonts w:ascii="Times New Roman" w:hAnsi="Times New Roman" w:cs="Times New Roman"/>
          <w:sz w:val="20"/>
        </w:rPr>
        <w:t xml:space="preserve">© Ministerstwo Sprawiedliwości, </w:t>
      </w:r>
      <w:hyperlink r:id="rId9" w:history="1">
        <w:r w:rsidRPr="00D62F21">
          <w:rPr>
            <w:rStyle w:val="Hipercze"/>
            <w:rFonts w:ascii="Times New Roman" w:hAnsi="Times New Roman" w:cs="Times New Roman"/>
            <w:sz w:val="20"/>
          </w:rPr>
          <w:t>www.gov.pl/web/sprawiedliwosc</w:t>
        </w:r>
      </w:hyperlink>
      <w:r w:rsidRPr="00D62F21">
        <w:rPr>
          <w:rFonts w:ascii="Times New Roman" w:hAnsi="Times New Roman" w:cs="Times New Roman"/>
          <w:sz w:val="20"/>
        </w:rPr>
        <w:t xml:space="preserve"> [Tłumaczenie zostało już opublikowane na oficjalnej stronie Ministerstwa Sprawiedliwości]</w:t>
      </w:r>
      <w:r>
        <w:rPr>
          <w:rFonts w:ascii="Times New Roman" w:hAnsi="Times New Roman" w:cs="Times New Roman"/>
          <w:sz w:val="20"/>
        </w:rPr>
        <w:t xml:space="preserve"> </w:t>
      </w:r>
      <w:r w:rsidRPr="00D62F21">
        <w:rPr>
          <w:rFonts w:ascii="Times New Roman" w:hAnsi="Times New Roman" w:cs="Times New Roman"/>
          <w:sz w:val="20"/>
        </w:rPr>
        <w:t xml:space="preserve">Zezwolenie na publikację tego tłumaczenia zostało udzielone przez Ministerstwo Sprawiedliwości wyłącznie w celu zamieszczenia w bazie Trybunału </w:t>
      </w:r>
      <w:proofErr w:type="spellStart"/>
      <w:r w:rsidRPr="00D62F21">
        <w:rPr>
          <w:rFonts w:ascii="Times New Roman" w:hAnsi="Times New Roman" w:cs="Times New Roman"/>
          <w:sz w:val="20"/>
        </w:rPr>
        <w:t>HUDOC</w:t>
      </w:r>
      <w:proofErr w:type="spellEnd"/>
      <w:r w:rsidRPr="00D62F21">
        <w:rPr>
          <w:rFonts w:ascii="Times New Roman" w:hAnsi="Times New Roman" w:cs="Times New Roman"/>
          <w:sz w:val="20"/>
        </w:rPr>
        <w:t xml:space="preserve"> </w:t>
      </w:r>
    </w:p>
    <w:p w14:paraId="1EBB30FA" w14:textId="77777777" w:rsidR="008D51B6" w:rsidRPr="00A10D1C" w:rsidRDefault="008D51B6" w:rsidP="00B66129">
      <w:pPr>
        <w:jc w:val="center"/>
      </w:pPr>
    </w:p>
    <w:p w14:paraId="0E52ACBB" w14:textId="77777777" w:rsidR="004D042B" w:rsidRPr="00A10D1C" w:rsidRDefault="004D042B" w:rsidP="00B66129">
      <w:pPr>
        <w:jc w:val="center"/>
      </w:pPr>
    </w:p>
    <w:p w14:paraId="14B94778" w14:textId="77777777" w:rsidR="000C5149" w:rsidRPr="00A10D1C" w:rsidRDefault="000C5149" w:rsidP="00B66129">
      <w:pPr>
        <w:jc w:val="center"/>
      </w:pPr>
    </w:p>
    <w:p w14:paraId="22F78FA7" w14:textId="77777777" w:rsidR="00787E12" w:rsidRPr="00A10D1C" w:rsidRDefault="00294038" w:rsidP="00B66129">
      <w:pPr>
        <w:pStyle w:val="DecHCase"/>
      </w:pPr>
      <w:r w:rsidRPr="00A10D1C">
        <w:t>SEKCJA PIERWSZA</w:t>
      </w:r>
    </w:p>
    <w:p w14:paraId="0E4EB0F8" w14:textId="77777777" w:rsidR="006D324D" w:rsidRPr="00A10D1C" w:rsidRDefault="00294038" w:rsidP="00B66129">
      <w:pPr>
        <w:pStyle w:val="JuTitle"/>
      </w:pPr>
      <w:bookmarkStart w:id="0" w:name="To"/>
      <w:r w:rsidRPr="00A10D1C">
        <w:rPr>
          <w:color w:val="000000" w:themeColor="text1"/>
        </w:rPr>
        <w:t>SPRAWA</w:t>
      </w:r>
      <w:bookmarkEnd w:id="0"/>
      <w:r w:rsidRPr="00A10D1C">
        <w:rPr>
          <w:color w:val="000000" w:themeColor="text1"/>
        </w:rPr>
        <w:t xml:space="preserve"> </w:t>
      </w:r>
      <w:r w:rsidRPr="00A10D1C">
        <w:t>DRĄG PRZECIWKO POLSCE</w:t>
      </w:r>
    </w:p>
    <w:p w14:paraId="7BE7CF84" w14:textId="77777777" w:rsidR="006D324D" w:rsidRPr="00A10D1C" w:rsidRDefault="00294038" w:rsidP="00B66129">
      <w:pPr>
        <w:pStyle w:val="ECHRCoverTitle4"/>
      </w:pPr>
      <w:r w:rsidRPr="00A10D1C">
        <w:t>(Skarga nr 31457/22)</w:t>
      </w:r>
    </w:p>
    <w:p w14:paraId="0710E85A" w14:textId="77777777" w:rsidR="006D324D" w:rsidRPr="00A10D1C" w:rsidRDefault="006D324D" w:rsidP="00B66129">
      <w:pPr>
        <w:pStyle w:val="DecHCase"/>
      </w:pPr>
    </w:p>
    <w:p w14:paraId="63DEC07C" w14:textId="77777777" w:rsidR="00787E12" w:rsidRPr="00A10D1C" w:rsidRDefault="00787E12" w:rsidP="00B66129">
      <w:pPr>
        <w:pStyle w:val="DecHCase"/>
      </w:pPr>
    </w:p>
    <w:p w14:paraId="738B48CF" w14:textId="77777777" w:rsidR="00787E12" w:rsidRPr="00A10D1C" w:rsidRDefault="00787E12" w:rsidP="00B66129">
      <w:pPr>
        <w:pStyle w:val="DecHCase"/>
      </w:pPr>
    </w:p>
    <w:p w14:paraId="41751F64" w14:textId="77777777" w:rsidR="00A062B9" w:rsidRPr="00A10D1C" w:rsidRDefault="00A062B9" w:rsidP="00B66129">
      <w:pPr>
        <w:pStyle w:val="DecHCase"/>
      </w:pPr>
    </w:p>
    <w:p w14:paraId="45421246" w14:textId="77777777" w:rsidR="00787E12" w:rsidRPr="00A10D1C" w:rsidRDefault="00294038" w:rsidP="00B66129">
      <w:pPr>
        <w:pStyle w:val="DecHCase"/>
      </w:pPr>
      <w:r w:rsidRPr="00A10D1C">
        <w:t>WYROK</w:t>
      </w:r>
    </w:p>
    <w:p w14:paraId="12C3E432" w14:textId="77777777" w:rsidR="00787E12" w:rsidRPr="00A10D1C" w:rsidRDefault="00787E12" w:rsidP="00B66129">
      <w:pPr>
        <w:jc w:val="center"/>
        <w:rPr>
          <w:i/>
        </w:rPr>
      </w:pPr>
    </w:p>
    <w:p w14:paraId="001600B3" w14:textId="77777777" w:rsidR="00787E12" w:rsidRPr="00A10D1C" w:rsidRDefault="00294038" w:rsidP="00B66129">
      <w:pPr>
        <w:pStyle w:val="DecHCase"/>
      </w:pPr>
      <w:r w:rsidRPr="00A10D1C">
        <w:t>STRASBURG</w:t>
      </w:r>
    </w:p>
    <w:p w14:paraId="67257EC9" w14:textId="77777777" w:rsidR="00787E12" w:rsidRPr="00A10D1C" w:rsidRDefault="00294038" w:rsidP="00B66129">
      <w:pPr>
        <w:pStyle w:val="DecHCase"/>
      </w:pPr>
      <w:r w:rsidRPr="00A10D1C">
        <w:t>8 lutego 2024 r.</w:t>
      </w:r>
    </w:p>
    <w:p w14:paraId="247DC1DC" w14:textId="77777777" w:rsidR="00787E12" w:rsidRPr="00A10D1C" w:rsidRDefault="00787E12" w:rsidP="00B66129">
      <w:pPr>
        <w:jc w:val="center"/>
      </w:pPr>
    </w:p>
    <w:p w14:paraId="0782D810" w14:textId="1165003F" w:rsidR="00787E12" w:rsidRPr="00A10D1C" w:rsidRDefault="00294038" w:rsidP="00667E59">
      <w:pPr>
        <w:jc w:val="center"/>
        <w:rPr>
          <w:sz w:val="2"/>
          <w:szCs w:val="2"/>
        </w:rPr>
      </w:pPr>
      <w:r w:rsidRPr="00A10D1C">
        <w:rPr>
          <w:i/>
        </w:rPr>
        <w:t xml:space="preserve">Wyrok ten </w:t>
      </w:r>
      <w:r w:rsidR="00277051">
        <w:rPr>
          <w:i/>
        </w:rPr>
        <w:t>jest</w:t>
      </w:r>
      <w:r w:rsidRPr="00A10D1C">
        <w:rPr>
          <w:i/>
        </w:rPr>
        <w:t xml:space="preserve"> ostateczny, </w:t>
      </w:r>
      <w:r w:rsidR="00277051">
        <w:rPr>
          <w:i/>
        </w:rPr>
        <w:t>ale</w:t>
      </w:r>
      <w:r w:rsidR="00277051" w:rsidRPr="00A10D1C">
        <w:rPr>
          <w:i/>
        </w:rPr>
        <w:t xml:space="preserve"> </w:t>
      </w:r>
      <w:r w:rsidRPr="00A10D1C">
        <w:rPr>
          <w:i/>
        </w:rPr>
        <w:t>może podlegać korekcie wydawniczej.</w:t>
      </w:r>
    </w:p>
    <w:p w14:paraId="41A787B3" w14:textId="77777777" w:rsidR="00787E12" w:rsidRPr="00A10D1C" w:rsidRDefault="00787E12" w:rsidP="00B66129">
      <w:pPr>
        <w:pStyle w:val="JuCase"/>
        <w:sectPr w:rsidR="00787E12" w:rsidRPr="00A10D1C" w:rsidSect="002279EA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530DA61C" w14:textId="77777777" w:rsidR="00787E12" w:rsidRPr="00A10D1C" w:rsidRDefault="00294038" w:rsidP="00B66129">
      <w:pPr>
        <w:pStyle w:val="JuCase"/>
        <w:rPr>
          <w:bCs/>
        </w:rPr>
      </w:pPr>
      <w:r w:rsidRPr="00A10D1C">
        <w:lastRenderedPageBreak/>
        <w:t>W sprawie Drąg przeciwko Polsce</w:t>
      </w:r>
    </w:p>
    <w:p w14:paraId="4DAA4FF8" w14:textId="77777777" w:rsidR="00787E12" w:rsidRPr="00A10D1C" w:rsidRDefault="00294038" w:rsidP="00B66129">
      <w:pPr>
        <w:pStyle w:val="JuPara"/>
      </w:pPr>
      <w:r w:rsidRPr="00A10D1C">
        <w:t>Europejski Trybunał Praw Człowieka (sekcja pierwsza), zasiadając jako Komitet w składzie:</w:t>
      </w:r>
    </w:p>
    <w:p w14:paraId="19CAC818" w14:textId="51BEBAD4" w:rsidR="002C5B23" w:rsidRPr="00A10D1C" w:rsidRDefault="00294038" w:rsidP="00B66129">
      <w:pPr>
        <w:pStyle w:val="JuJudges"/>
      </w:pPr>
      <w:r w:rsidRPr="00A10D1C">
        <w:tab/>
      </w:r>
      <w:proofErr w:type="spellStart"/>
      <w:r w:rsidRPr="00A10D1C">
        <w:t>Péter</w:t>
      </w:r>
      <w:proofErr w:type="spellEnd"/>
      <w:r w:rsidRPr="00A10D1C">
        <w:t xml:space="preserve"> </w:t>
      </w:r>
      <w:proofErr w:type="spellStart"/>
      <w:r w:rsidRPr="00A10D1C">
        <w:t>Paczolay</w:t>
      </w:r>
      <w:proofErr w:type="spellEnd"/>
      <w:r w:rsidRPr="00A10D1C">
        <w:rPr>
          <w:i/>
        </w:rPr>
        <w:t xml:space="preserve">, </w:t>
      </w:r>
      <w:r w:rsidR="00277051">
        <w:rPr>
          <w:i/>
        </w:rPr>
        <w:t>P</w:t>
      </w:r>
      <w:r w:rsidRPr="00A10D1C">
        <w:rPr>
          <w:i/>
        </w:rPr>
        <w:t>r</w:t>
      </w:r>
      <w:r w:rsidRPr="00A10D1C">
        <w:t>z</w:t>
      </w:r>
      <w:r w:rsidRPr="00A10D1C">
        <w:rPr>
          <w:i/>
          <w:iCs/>
        </w:rPr>
        <w:t>ewodniczący</w:t>
      </w:r>
      <w:r w:rsidRPr="00A10D1C">
        <w:t>,</w:t>
      </w:r>
      <w:r w:rsidRPr="00A10D1C">
        <w:br/>
      </w:r>
      <w:r w:rsidRPr="00A10D1C">
        <w:tab/>
        <w:t xml:space="preserve">Gilberto </w:t>
      </w:r>
      <w:proofErr w:type="spellStart"/>
      <w:r w:rsidRPr="00A10D1C">
        <w:t>Felici</w:t>
      </w:r>
      <w:proofErr w:type="spellEnd"/>
      <w:r w:rsidRPr="00A10D1C">
        <w:t>,</w:t>
      </w:r>
      <w:r w:rsidRPr="00A10D1C">
        <w:br/>
      </w:r>
      <w:r w:rsidRPr="00A10D1C">
        <w:tab/>
      </w:r>
      <w:proofErr w:type="spellStart"/>
      <w:r w:rsidRPr="00A10D1C">
        <w:t>Raffaele</w:t>
      </w:r>
      <w:proofErr w:type="spellEnd"/>
      <w:r w:rsidRPr="00A10D1C">
        <w:t xml:space="preserve"> </w:t>
      </w:r>
      <w:proofErr w:type="spellStart"/>
      <w:r w:rsidRPr="00A10D1C">
        <w:t>Sabato</w:t>
      </w:r>
      <w:proofErr w:type="spellEnd"/>
      <w:r w:rsidRPr="00A10D1C">
        <w:rPr>
          <w:i/>
        </w:rPr>
        <w:t xml:space="preserve">, </w:t>
      </w:r>
      <w:r w:rsidR="00277051">
        <w:rPr>
          <w:i/>
        </w:rPr>
        <w:t>S</w:t>
      </w:r>
      <w:r w:rsidRPr="00A10D1C">
        <w:rPr>
          <w:i/>
        </w:rPr>
        <w:t>ędziowie</w:t>
      </w:r>
      <w:r w:rsidRPr="00A10D1C">
        <w:t>,</w:t>
      </w:r>
    </w:p>
    <w:p w14:paraId="136B02E2" w14:textId="77777777" w:rsidR="00787E12" w:rsidRPr="00A10D1C" w:rsidRDefault="00294038" w:rsidP="00B66129">
      <w:pPr>
        <w:pStyle w:val="JuJudges"/>
      </w:pPr>
      <w:r w:rsidRPr="00A10D1C">
        <w:t xml:space="preserve">oraz </w:t>
      </w:r>
      <w:proofErr w:type="spellStart"/>
      <w:r w:rsidRPr="00A10D1C">
        <w:t>Viktoriya</w:t>
      </w:r>
      <w:proofErr w:type="spellEnd"/>
      <w:r w:rsidRPr="00A10D1C">
        <w:t xml:space="preserve"> </w:t>
      </w:r>
      <w:proofErr w:type="spellStart"/>
      <w:r w:rsidRPr="00A10D1C">
        <w:t>Maradudina</w:t>
      </w:r>
      <w:proofErr w:type="spellEnd"/>
      <w:r w:rsidRPr="00A10D1C">
        <w:t xml:space="preserve">, </w:t>
      </w:r>
      <w:bookmarkStart w:id="1" w:name="_Hlk158723036"/>
      <w:r w:rsidRPr="00A10D1C">
        <w:rPr>
          <w:i/>
        </w:rPr>
        <w:t>p.o. Zastępcy Kanclerza Sekcji</w:t>
      </w:r>
      <w:bookmarkEnd w:id="1"/>
      <w:r w:rsidRPr="00A10D1C">
        <w:rPr>
          <w:i/>
        </w:rPr>
        <w:t>,</w:t>
      </w:r>
    </w:p>
    <w:p w14:paraId="0B5A5A7E" w14:textId="77777777" w:rsidR="00787E12" w:rsidRPr="00A10D1C" w:rsidRDefault="00294038" w:rsidP="00B66129">
      <w:pPr>
        <w:pStyle w:val="JuPara"/>
      </w:pPr>
      <w:r w:rsidRPr="00A10D1C">
        <w:t>obradując na posiedzeniu niejawnym w dniu 18 stycznia 2024 r.,</w:t>
      </w:r>
    </w:p>
    <w:p w14:paraId="244E44B4" w14:textId="77777777" w:rsidR="006372F5" w:rsidRPr="00A10D1C" w:rsidRDefault="00294038" w:rsidP="00B66129">
      <w:pPr>
        <w:pStyle w:val="JuPara"/>
      </w:pPr>
      <w:r w:rsidRPr="00A10D1C">
        <w:t>wydaje następujący wyrok, który został przyjęty w tym dniu:</w:t>
      </w:r>
    </w:p>
    <w:p w14:paraId="69AE7851" w14:textId="77777777" w:rsidR="005152F5" w:rsidRPr="00A10D1C" w:rsidRDefault="00294038" w:rsidP="00B66129">
      <w:pPr>
        <w:pStyle w:val="JuHHead"/>
      </w:pPr>
      <w:bookmarkStart w:id="2" w:name="ITMARKStartJudgment"/>
      <w:bookmarkEnd w:id="2"/>
      <w:r w:rsidRPr="00A10D1C">
        <w:t>POSTĘPOWANIE</w:t>
      </w:r>
    </w:p>
    <w:p w14:paraId="654AADD7" w14:textId="1A1035BA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>  Sprawa wywodzi się ze skargi przeciwko Polsce, wniesionej do Trybunału w dniu 14 czerwca 2022 r. na podstawie art. 34 Konwencji o</w:t>
      </w:r>
      <w:r w:rsidR="00AF2073">
        <w:t> </w:t>
      </w:r>
      <w:r w:rsidRPr="00A10D1C">
        <w:t>ochronie praw człowieka i podstawowych wolności („</w:t>
      </w:r>
      <w:r w:rsidR="00640EA0" w:rsidRPr="00A10D1C">
        <w:t>Konwencj</w:t>
      </w:r>
      <w:r w:rsidR="00640EA0">
        <w:t>a</w:t>
      </w:r>
      <w:r w:rsidRPr="00A10D1C">
        <w:t>”).</w:t>
      </w:r>
    </w:p>
    <w:p w14:paraId="7CFBF8F4" w14:textId="6D6B33C9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>  </w:t>
      </w:r>
      <w:r w:rsidR="00277051">
        <w:t>Skarga została zakomunikowana Rządowi polskiemu („Rząd”).</w:t>
      </w:r>
    </w:p>
    <w:p w14:paraId="698A9F66" w14:textId="77777777" w:rsidR="005152F5" w:rsidRPr="00A10D1C" w:rsidRDefault="00294038" w:rsidP="00B66129">
      <w:pPr>
        <w:pStyle w:val="JuHHead"/>
      </w:pPr>
      <w:r w:rsidRPr="00A10D1C">
        <w:t>FAKTY</w:t>
      </w:r>
    </w:p>
    <w:p w14:paraId="06120884" w14:textId="44AE8A46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 xml:space="preserve">  Dane skarżącego oraz informacje istotne dla skargi </w:t>
      </w:r>
      <w:r w:rsidR="00277051">
        <w:t>znajdują się</w:t>
      </w:r>
      <w:r w:rsidRPr="00A10D1C">
        <w:t xml:space="preserve"> w załączonej tabeli.</w:t>
      </w:r>
    </w:p>
    <w:p w14:paraId="7CDD581C" w14:textId="77777777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>  Skarżący zarzucił przewlekłość postępowania cywilnego oraz brak skutecznego środka odwoławczego w prawie krajowym.</w:t>
      </w:r>
    </w:p>
    <w:p w14:paraId="528A3829" w14:textId="77777777" w:rsidR="005152F5" w:rsidRPr="00A10D1C" w:rsidRDefault="00294038" w:rsidP="00B66129">
      <w:pPr>
        <w:pStyle w:val="JuHHead"/>
      </w:pPr>
      <w:r w:rsidRPr="00A10D1C">
        <w:t>PRAWO</w:t>
      </w:r>
    </w:p>
    <w:p w14:paraId="1B995ED4" w14:textId="0FE00521" w:rsidR="005152F5" w:rsidRPr="00A10D1C" w:rsidRDefault="00294038" w:rsidP="00B66129">
      <w:pPr>
        <w:pStyle w:val="JuHIRoman"/>
      </w:pPr>
      <w:r w:rsidRPr="00A10D1C">
        <w:t xml:space="preserve">WNIOSEK RZĄDU O SKREŚLENIE </w:t>
      </w:r>
      <w:r w:rsidR="00CD432C" w:rsidRPr="00A10D1C">
        <w:t>SKAR</w:t>
      </w:r>
      <w:r w:rsidR="00CD432C">
        <w:t>GI</w:t>
      </w:r>
      <w:r w:rsidR="00CD432C" w:rsidRPr="00A10D1C">
        <w:t xml:space="preserve"> </w:t>
      </w:r>
      <w:r w:rsidRPr="00A10D1C">
        <w:t xml:space="preserve">NA PODSTAWIE </w:t>
      </w:r>
      <w:r w:rsidR="00CD432C">
        <w:t>art.</w:t>
      </w:r>
      <w:r w:rsidR="00CD432C" w:rsidRPr="00A10D1C">
        <w:t xml:space="preserve"> </w:t>
      </w:r>
      <w:r w:rsidRPr="00A10D1C">
        <w:t>37 UST.</w:t>
      </w:r>
      <w:r w:rsidR="007913BF">
        <w:t xml:space="preserve"> s</w:t>
      </w:r>
      <w:bookmarkStart w:id="3" w:name="_GoBack"/>
      <w:bookmarkEnd w:id="3"/>
      <w:r w:rsidRPr="00A10D1C">
        <w:t>1 KONWENCJI</w:t>
      </w:r>
    </w:p>
    <w:p w14:paraId="65D7AE00" w14:textId="526F3ED9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>  Rząd przedłożył jednostronną deklarację, która nie stanowiła wystarczającej podstawy do stwierdzenia, że poszanowanie praw człowieka w rozumieniu Konwencji nie wymaga od Trybunału dalszego badania sprawy (art. 37 ust. 1</w:t>
      </w:r>
      <w:r w:rsidR="006531DC" w:rsidRPr="006531DC">
        <w:rPr>
          <w:i/>
          <w:iCs/>
        </w:rPr>
        <w:t xml:space="preserve"> </w:t>
      </w:r>
      <w:r w:rsidR="006531DC" w:rsidRPr="004E1068">
        <w:rPr>
          <w:i/>
          <w:iCs/>
        </w:rPr>
        <w:t>in fine</w:t>
      </w:r>
      <w:r w:rsidRPr="00A10D1C">
        <w:t xml:space="preserve">). Trybunał odrzuca wniosek Rządu o skreślenie </w:t>
      </w:r>
      <w:r w:rsidR="007574A5" w:rsidRPr="00A10D1C">
        <w:t>skar</w:t>
      </w:r>
      <w:r w:rsidR="007574A5">
        <w:t>gi</w:t>
      </w:r>
      <w:r w:rsidR="007574A5" w:rsidRPr="00A10D1C">
        <w:t xml:space="preserve"> </w:t>
      </w:r>
      <w:r w:rsidRPr="00A10D1C">
        <w:t xml:space="preserve">i w związku z tym będzie kontynuował badanie przedmiotu </w:t>
      </w:r>
      <w:r w:rsidR="00E54074" w:rsidRPr="00A10D1C">
        <w:t>spra</w:t>
      </w:r>
      <w:r w:rsidR="00E54074">
        <w:t>wy</w:t>
      </w:r>
      <w:r w:rsidR="00E54074" w:rsidRPr="00A10D1C">
        <w:t xml:space="preserve"> </w:t>
      </w:r>
      <w:r w:rsidRPr="00A10D1C">
        <w:t xml:space="preserve">(zob. </w:t>
      </w:r>
      <w:proofErr w:type="spellStart"/>
      <w:r w:rsidRPr="00A10D1C">
        <w:rPr>
          <w:i/>
          <w:iCs/>
        </w:rPr>
        <w:t>Tahsin</w:t>
      </w:r>
      <w:proofErr w:type="spellEnd"/>
      <w:r w:rsidRPr="00A10D1C">
        <w:rPr>
          <w:i/>
          <w:iCs/>
        </w:rPr>
        <w:t xml:space="preserve"> </w:t>
      </w:r>
      <w:proofErr w:type="spellStart"/>
      <w:r w:rsidRPr="00A10D1C">
        <w:rPr>
          <w:i/>
          <w:iCs/>
        </w:rPr>
        <w:t>Acar</w:t>
      </w:r>
      <w:proofErr w:type="spellEnd"/>
      <w:r w:rsidRPr="00A10D1C">
        <w:rPr>
          <w:i/>
          <w:iCs/>
        </w:rPr>
        <w:t xml:space="preserve"> przeciwko Turcji</w:t>
      </w:r>
      <w:r w:rsidRPr="00A10D1C">
        <w:t xml:space="preserve"> (</w:t>
      </w:r>
      <w:r w:rsidR="009A588E">
        <w:t>zagadnienie</w:t>
      </w:r>
      <w:r w:rsidR="009A588E" w:rsidRPr="00A10D1C">
        <w:t xml:space="preserve"> wstępn</w:t>
      </w:r>
      <w:r w:rsidR="009A588E">
        <w:t>e</w:t>
      </w:r>
      <w:r w:rsidRPr="00A10D1C">
        <w:t>) [</w:t>
      </w:r>
      <w:proofErr w:type="spellStart"/>
      <w:r w:rsidRPr="00A10D1C">
        <w:t>WI</w:t>
      </w:r>
      <w:proofErr w:type="spellEnd"/>
      <w:r w:rsidRPr="00A10D1C">
        <w:t>], nr</w:t>
      </w:r>
      <w:r w:rsidR="005058B2">
        <w:t> </w:t>
      </w:r>
      <w:r w:rsidRPr="00A10D1C">
        <w:t xml:space="preserve">26307/95, </w:t>
      </w:r>
      <w:r w:rsidR="005058B2">
        <w:t>pkt </w:t>
      </w:r>
      <w:r w:rsidRPr="00A10D1C">
        <w:t xml:space="preserve">75, </w:t>
      </w:r>
      <w:proofErr w:type="spellStart"/>
      <w:r w:rsidRPr="00A10D1C">
        <w:t>ETPCz</w:t>
      </w:r>
      <w:proofErr w:type="spellEnd"/>
      <w:r w:rsidRPr="00A10D1C">
        <w:t xml:space="preserve"> 2003-VI).</w:t>
      </w:r>
    </w:p>
    <w:p w14:paraId="1E3B1EAD" w14:textId="4D8D964B" w:rsidR="005152F5" w:rsidRPr="00A10D1C" w:rsidRDefault="006A0C4C" w:rsidP="00B66129">
      <w:pPr>
        <w:pStyle w:val="JuHIRoman"/>
      </w:pPr>
      <w:r>
        <w:t>ZARZUCANE</w:t>
      </w:r>
      <w:r w:rsidR="005D676B" w:rsidRPr="00A10D1C">
        <w:t xml:space="preserve"> NARUSZENIE ART. 6 UST. 1 I ART. 13 KONWENCJI</w:t>
      </w:r>
    </w:p>
    <w:p w14:paraId="5D14A32B" w14:textId="10CAE4D3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 xml:space="preserve">  Skarżący zarzucał, że długość trwania </w:t>
      </w:r>
      <w:r w:rsidR="00E628D2">
        <w:t xml:space="preserve">przedmiotowego </w:t>
      </w:r>
      <w:r w:rsidRPr="00A10D1C">
        <w:t>postępowania cywilnego była niezgodna z wymogiem „rozsądnego terminu” i że w związku z tym był pozbawiony skutecznego środka odwoławczego. Powołał się na art. 6 ust. 1 i</w:t>
      </w:r>
      <w:r w:rsidR="00676594">
        <w:t> </w:t>
      </w:r>
      <w:r w:rsidRPr="00A10D1C">
        <w:t>art. 13 Konwencji.</w:t>
      </w:r>
    </w:p>
    <w:p w14:paraId="7BC49E08" w14:textId="10BBE1DC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lastRenderedPageBreak/>
        <w:t>  Trybunał podkreśla, że rozsądny charakter czasu trwania postępowania należy oceniać w świetle okoliczności sprawy i z uwzględnieniem następujących kryteriów: złożoności sprawy, zachowania skarżącego i</w:t>
      </w:r>
      <w:r w:rsidR="00DD65BD">
        <w:t> </w:t>
      </w:r>
      <w:r w:rsidRPr="00A10D1C">
        <w:t xml:space="preserve">organów procesowych oraz znaczenia sprawy dla interesów skarżącego (zob. </w:t>
      </w:r>
      <w:proofErr w:type="spellStart"/>
      <w:r w:rsidRPr="00A10D1C">
        <w:rPr>
          <w:i/>
          <w:iCs/>
        </w:rPr>
        <w:t>Frydlender</w:t>
      </w:r>
      <w:proofErr w:type="spellEnd"/>
      <w:r w:rsidRPr="00A10D1C">
        <w:rPr>
          <w:i/>
          <w:iCs/>
        </w:rPr>
        <w:t xml:space="preserve"> przeciwko Francji </w:t>
      </w:r>
      <w:r w:rsidRPr="00A10D1C">
        <w:t>[</w:t>
      </w:r>
      <w:proofErr w:type="spellStart"/>
      <w:r w:rsidRPr="00A10D1C">
        <w:t>WI</w:t>
      </w:r>
      <w:proofErr w:type="spellEnd"/>
      <w:r w:rsidRPr="00A10D1C">
        <w:t xml:space="preserve">], nr 30979/96, </w:t>
      </w:r>
      <w:r w:rsidR="00DD65BD">
        <w:t>pkt</w:t>
      </w:r>
      <w:r w:rsidR="00DD65BD" w:rsidRPr="00A10D1C">
        <w:t> </w:t>
      </w:r>
      <w:r w:rsidRPr="00A10D1C">
        <w:t xml:space="preserve">43, </w:t>
      </w:r>
      <w:proofErr w:type="spellStart"/>
      <w:r w:rsidRPr="00A10D1C">
        <w:t>ETPCz</w:t>
      </w:r>
      <w:proofErr w:type="spellEnd"/>
      <w:r w:rsidRPr="00A10D1C">
        <w:t> 2000-VII).</w:t>
      </w:r>
    </w:p>
    <w:p w14:paraId="40EF8AF3" w14:textId="28A19B27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 xml:space="preserve">  Już w wiodącej sprawie </w:t>
      </w:r>
      <w:r w:rsidRPr="00A10D1C">
        <w:rPr>
          <w:i/>
          <w:iCs/>
        </w:rPr>
        <w:t xml:space="preserve">Rutkowski i Inni przeciwko Polsce, </w:t>
      </w:r>
      <w:r w:rsidR="00AA6802">
        <w:t>nr</w:t>
      </w:r>
      <w:r w:rsidRPr="00A10D1C">
        <w:t xml:space="preserve"> 72287/10 i 2 inne, </w:t>
      </w:r>
      <w:r w:rsidR="005D676B">
        <w:t xml:space="preserve">z dnia </w:t>
      </w:r>
      <w:r w:rsidRPr="00A10D1C">
        <w:t xml:space="preserve">7 lipca 2015 r., Trybunał stwierdził naruszenie art. 6 Konwencji w </w:t>
      </w:r>
      <w:r w:rsidR="00F84C1C">
        <w:t xml:space="preserve">związku z przewlekłością </w:t>
      </w:r>
      <w:r w:rsidRPr="00A10D1C">
        <w:t xml:space="preserve"> postępowania </w:t>
      </w:r>
      <w:r w:rsidR="005C13ED">
        <w:t>cywilnego</w:t>
      </w:r>
      <w:r w:rsidRPr="00A10D1C">
        <w:t>.</w:t>
      </w:r>
    </w:p>
    <w:p w14:paraId="40B25170" w14:textId="5AC9FB03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>  Po zapoznaniu się z całym przedstawionym mu materiałem Trybunał nie ustalił żadnego faktu ani argumentu mogącego uzasadnić łączną długość postępowania na poziomie krajowym. Mając na względzie swoje orzecznictwo</w:t>
      </w:r>
      <w:r w:rsidR="005D676B">
        <w:t xml:space="preserve"> w tym przedmiocie</w:t>
      </w:r>
      <w:r w:rsidRPr="00A10D1C">
        <w:t>, Trybunał stwierdza, że długość postępowania w</w:t>
      </w:r>
      <w:r w:rsidR="00DD65BD">
        <w:t> </w:t>
      </w:r>
      <w:r w:rsidR="0039020D">
        <w:t>tej</w:t>
      </w:r>
      <w:r w:rsidR="0039020D" w:rsidRPr="00A10D1C">
        <w:t xml:space="preserve"> </w:t>
      </w:r>
      <w:r w:rsidRPr="00A10D1C">
        <w:t>sprawie była nadmierna i nie spełniała wymogu „rozsądnego terminu”.</w:t>
      </w:r>
    </w:p>
    <w:p w14:paraId="13EB0244" w14:textId="77777777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>  Trybunał zauważa ponadto, że skarżący nie miał do dyspozycji skutecznego środka odwoławczego w odniesieniu do tych skarg.</w:t>
      </w:r>
    </w:p>
    <w:p w14:paraId="39C2B69B" w14:textId="77777777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>  Skargi te są zatem dopuszczalne i ujawniają naruszenie art. 6 ust. 1 oraz art. 13 Konwencji.</w:t>
      </w:r>
    </w:p>
    <w:p w14:paraId="7DE43238" w14:textId="77777777" w:rsidR="005152F5" w:rsidRPr="00A10D1C" w:rsidRDefault="00294038" w:rsidP="00B66129">
      <w:pPr>
        <w:pStyle w:val="JuHIRoman"/>
      </w:pPr>
      <w:r w:rsidRPr="00A10D1C">
        <w:t>ZASTOSOWANIE ART. 41 KONWENCJI</w:t>
      </w:r>
    </w:p>
    <w:p w14:paraId="36678D59" w14:textId="1567A741" w:rsidR="005152F5" w:rsidRPr="00A10D1C" w:rsidRDefault="00294038" w:rsidP="00B66129">
      <w:pPr>
        <w:pStyle w:val="JuPara"/>
        <w:numPr>
          <w:ilvl w:val="0"/>
          <w:numId w:val="21"/>
        </w:numPr>
        <w:ind w:left="0" w:firstLine="284"/>
      </w:pPr>
      <w:r w:rsidRPr="00A10D1C">
        <w:t xml:space="preserve">  Uwzględniając dokumenty znajdujące się w jego posiadaniu oraz swoje orzecznictwo (zob. w szczególności ww. wyrok w sprawie </w:t>
      </w:r>
      <w:r w:rsidRPr="00A10D1C">
        <w:rPr>
          <w:i/>
          <w:iCs/>
        </w:rPr>
        <w:t>Rutkowski i Inni</w:t>
      </w:r>
      <w:r w:rsidRPr="00A10D1C">
        <w:t xml:space="preserve">), Trybunał uważa za zasadne zasądzenie </w:t>
      </w:r>
      <w:r w:rsidR="00A738D9" w:rsidRPr="00A10D1C">
        <w:t>kw</w:t>
      </w:r>
      <w:r w:rsidR="00A738D9">
        <w:t>oty</w:t>
      </w:r>
      <w:r w:rsidR="00A738D9" w:rsidRPr="00A10D1C">
        <w:t xml:space="preserve"> wskazan</w:t>
      </w:r>
      <w:r w:rsidR="00A738D9">
        <w:t>ej</w:t>
      </w:r>
      <w:r w:rsidR="00A738D9" w:rsidRPr="00A10D1C">
        <w:t xml:space="preserve"> </w:t>
      </w:r>
      <w:r w:rsidRPr="00A10D1C">
        <w:t>w</w:t>
      </w:r>
      <w:r w:rsidR="0042294D">
        <w:t> </w:t>
      </w:r>
      <w:r w:rsidRPr="00A10D1C">
        <w:t>załączonej tabeli.</w:t>
      </w:r>
    </w:p>
    <w:p w14:paraId="3DA664AD" w14:textId="77777777" w:rsidR="005152F5" w:rsidRPr="00A10D1C" w:rsidRDefault="00294038" w:rsidP="00B66129">
      <w:pPr>
        <w:pStyle w:val="JuHHead"/>
      </w:pPr>
      <w:r w:rsidRPr="00A10D1C">
        <w:t>Z POWYŻSZYCH WZGLĘDÓW TRYBUNAŁ JEDNOGŁOŚNIE</w:t>
      </w:r>
    </w:p>
    <w:p w14:paraId="3371166B" w14:textId="44881D4A" w:rsidR="005152F5" w:rsidRPr="00A10D1C" w:rsidRDefault="00294038" w:rsidP="00B66129">
      <w:pPr>
        <w:pStyle w:val="JuList"/>
      </w:pPr>
      <w:r w:rsidRPr="00A10D1C">
        <w:rPr>
          <w:i/>
          <w:iCs/>
        </w:rPr>
        <w:t>odrzuca</w:t>
      </w:r>
      <w:r w:rsidRPr="00A10D1C">
        <w:t xml:space="preserve"> wniosek Rządu o skreślenie </w:t>
      </w:r>
      <w:r w:rsidR="006F0E91" w:rsidRPr="00A10D1C">
        <w:t>ska</w:t>
      </w:r>
      <w:r w:rsidR="006F0E91">
        <w:t>rgi</w:t>
      </w:r>
      <w:r w:rsidR="006F0E91" w:rsidRPr="00A10D1C">
        <w:t xml:space="preserve"> </w:t>
      </w:r>
      <w:r w:rsidRPr="00A10D1C">
        <w:t>z listy na podstawie jednostronnej deklaracji;</w:t>
      </w:r>
    </w:p>
    <w:p w14:paraId="1475CAFC" w14:textId="77777777" w:rsidR="005152F5" w:rsidRPr="00A10D1C" w:rsidRDefault="00294038" w:rsidP="00B66129">
      <w:pPr>
        <w:pStyle w:val="JuList"/>
      </w:pPr>
      <w:r w:rsidRPr="00A10D1C">
        <w:rPr>
          <w:i/>
          <w:iCs/>
        </w:rPr>
        <w:t>uznaje</w:t>
      </w:r>
      <w:r w:rsidRPr="00A10D1C">
        <w:t xml:space="preserve"> skargę za dopuszczalną;</w:t>
      </w:r>
    </w:p>
    <w:p w14:paraId="05F8DD4C" w14:textId="77777777" w:rsidR="005152F5" w:rsidRPr="00A10D1C" w:rsidRDefault="00294038" w:rsidP="00B66129">
      <w:pPr>
        <w:pStyle w:val="JuList"/>
      </w:pPr>
      <w:r w:rsidRPr="00A10D1C">
        <w:rPr>
          <w:i/>
          <w:iCs/>
        </w:rPr>
        <w:t>stwierdza</w:t>
      </w:r>
      <w:r w:rsidRPr="00A10D1C">
        <w:t>, że skarga ujawnia naruszenie art. 6 ust. 1 i art. 13 Konwencji dotyczące przewlekłości postępowania cywilnego i braku skutecznego środka odwoławczego w prawie krajowym;</w:t>
      </w:r>
    </w:p>
    <w:p w14:paraId="374E657B" w14:textId="77777777" w:rsidR="005152F5" w:rsidRPr="00A10D1C" w:rsidRDefault="00294038" w:rsidP="00B66129">
      <w:pPr>
        <w:pStyle w:val="JuList"/>
      </w:pPr>
      <w:r w:rsidRPr="00A10D1C">
        <w:rPr>
          <w:i/>
          <w:iCs/>
        </w:rPr>
        <w:t>stwierdza</w:t>
      </w:r>
    </w:p>
    <w:p w14:paraId="5597F45A" w14:textId="1A9E89E5" w:rsidR="005152F5" w:rsidRPr="00A10D1C" w:rsidRDefault="00294038" w:rsidP="00B66129">
      <w:pPr>
        <w:pStyle w:val="JuLista"/>
      </w:pPr>
      <w:r w:rsidRPr="00A10D1C">
        <w:t xml:space="preserve">że pozwane państwo </w:t>
      </w:r>
      <w:r w:rsidR="005D676B">
        <w:t>po</w:t>
      </w:r>
      <w:r w:rsidRPr="00A10D1C">
        <w:t>winno, w terminie trzech miesięcy, uiścić na rzecz skarżącego kwotę wskazaną w załączonej tabeli, przeliczoną na walutę pozwanego państwa według kursu obowiązującego w dniu płatności</w:t>
      </w:r>
      <w:r w:rsidR="0042294D">
        <w:t>;</w:t>
      </w:r>
    </w:p>
    <w:p w14:paraId="41860446" w14:textId="6DFF342E" w:rsidR="00787E12" w:rsidRPr="00A10D1C" w:rsidRDefault="00294038" w:rsidP="00B66129">
      <w:pPr>
        <w:pStyle w:val="JuLista"/>
      </w:pPr>
      <w:r w:rsidRPr="00A10D1C">
        <w:lastRenderedPageBreak/>
        <w:t>że</w:t>
      </w:r>
      <w:r w:rsidR="00A053D3">
        <w:t>,</w:t>
      </w:r>
      <w:r w:rsidRPr="00A10D1C">
        <w:t xml:space="preserve"> od upływu wyżej wskazanego terminu trzech miesięcy aż do momentu uregulowania należności, należne będą odsetki zwykłe od określonej powyżej kwoty, naliczone według stopy równej marginalnej stopie procentowej Europejskiego Banku Centralnego obowiązującej w tym okresie, powiększonej o trzy punkty procentowe</w:t>
      </w:r>
      <w:r w:rsidR="0042294D">
        <w:t>.</w:t>
      </w:r>
    </w:p>
    <w:p w14:paraId="4D5EDAA1" w14:textId="7281C34A" w:rsidR="00C43D38" w:rsidRPr="00A10D1C" w:rsidRDefault="00294038" w:rsidP="00B66129">
      <w:pPr>
        <w:pStyle w:val="JuParaLast"/>
      </w:pPr>
      <w:r w:rsidRPr="00A10D1C">
        <w:t>Sporządzono w języku angielskim i obwieszczono pisemnie w dniu 8</w:t>
      </w:r>
      <w:r w:rsidR="0042294D">
        <w:t> </w:t>
      </w:r>
      <w:r w:rsidRPr="00A10D1C">
        <w:t xml:space="preserve">lutego 2024 r. zgodnie z Regułą 77 </w:t>
      </w:r>
      <w:r w:rsidR="0042294D" w:rsidRPr="00A10D1C">
        <w:t>§</w:t>
      </w:r>
      <w:r w:rsidRPr="00A10D1C">
        <w:t>§ 2 i 3 Regulaminu Trybunału.</w:t>
      </w:r>
    </w:p>
    <w:p w14:paraId="4AF62D3A" w14:textId="77777777" w:rsidR="00656431" w:rsidRPr="00A10D1C" w:rsidRDefault="00294038" w:rsidP="00B66129">
      <w:pPr>
        <w:pStyle w:val="ECHRPlaceholder"/>
        <w:rPr>
          <w:szCs w:val="22"/>
        </w:rPr>
      </w:pPr>
      <w:r w:rsidRPr="00A10D1C">
        <w:tab/>
      </w:r>
    </w:p>
    <w:p w14:paraId="2850F590" w14:textId="772DF460" w:rsidR="00FE3570" w:rsidRDefault="00FE3570" w:rsidP="00061C4F">
      <w:pPr>
        <w:pStyle w:val="JuSigned"/>
        <w:tabs>
          <w:tab w:val="left" w:pos="702"/>
        </w:tabs>
      </w:pPr>
    </w:p>
    <w:p w14:paraId="14401BB7" w14:textId="34E74BBA" w:rsidR="00A053D3" w:rsidRPr="00DE7089" w:rsidRDefault="00A053D3" w:rsidP="00A053D3">
      <w:pPr>
        <w:pStyle w:val="JuSigned"/>
      </w:pPr>
      <w:r>
        <w:tab/>
      </w:r>
      <w:proofErr w:type="spellStart"/>
      <w:r w:rsidRPr="00DE7089">
        <w:t>Viktoriya</w:t>
      </w:r>
      <w:proofErr w:type="spellEnd"/>
      <w:r w:rsidRPr="00DE7089">
        <w:t xml:space="preserve"> </w:t>
      </w:r>
      <w:proofErr w:type="spellStart"/>
      <w:r w:rsidRPr="00DE7089">
        <w:t>Maradudina</w:t>
      </w:r>
      <w:proofErr w:type="spellEnd"/>
      <w:r w:rsidRPr="00DE7089">
        <w:tab/>
      </w:r>
      <w:proofErr w:type="spellStart"/>
      <w:r w:rsidRPr="00DE7089">
        <w:t>Péter</w:t>
      </w:r>
      <w:proofErr w:type="spellEnd"/>
      <w:r w:rsidRPr="00DE7089">
        <w:t xml:space="preserve"> </w:t>
      </w:r>
      <w:proofErr w:type="spellStart"/>
      <w:r w:rsidRPr="00DE7089">
        <w:t>Paczolay</w:t>
      </w:r>
      <w:proofErr w:type="spellEnd"/>
    </w:p>
    <w:p w14:paraId="3349E2D4" w14:textId="4147B85B" w:rsidR="00A053D3" w:rsidRPr="00061C4F" w:rsidRDefault="00A053D3" w:rsidP="00A053D3">
      <w:pPr>
        <w:pStyle w:val="JuSigned"/>
        <w:tabs>
          <w:tab w:val="left" w:pos="5115"/>
        </w:tabs>
        <w:contextualSpacing/>
      </w:pPr>
      <w:r w:rsidRPr="00DE7089">
        <w:tab/>
      </w:r>
      <w:r w:rsidRPr="00061C4F">
        <w:t>p.o. Zastępcy Kanclerza Sekcji</w:t>
      </w:r>
      <w:r w:rsidRPr="00A053D3">
        <w:tab/>
      </w:r>
      <w:r w:rsidRPr="00061C4F">
        <w:t>Przewodniczący</w:t>
      </w:r>
    </w:p>
    <w:p w14:paraId="51D05584" w14:textId="77777777" w:rsidR="00787E12" w:rsidRPr="00A053D3" w:rsidRDefault="00787E12" w:rsidP="00A053D3">
      <w:pPr>
        <w:pStyle w:val="JuSigned"/>
        <w:rPr>
          <w:rFonts w:eastAsia="PMingLiU"/>
        </w:rPr>
      </w:pPr>
    </w:p>
    <w:p w14:paraId="406D7BAD" w14:textId="77777777" w:rsidR="00787E12" w:rsidRPr="00A053D3" w:rsidRDefault="00787E12" w:rsidP="00B66129">
      <w:pPr>
        <w:pStyle w:val="JuParaLast"/>
        <w:sectPr w:rsidR="00787E12" w:rsidRPr="00A053D3" w:rsidSect="002279EA">
          <w:headerReference w:type="even" r:id="rId15"/>
          <w:headerReference w:type="default" r:id="rId16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32E63B4" w14:textId="77777777" w:rsidR="00787E12" w:rsidRPr="00A10D1C" w:rsidRDefault="00294038" w:rsidP="00B66129">
      <w:pPr>
        <w:pStyle w:val="DecHTitle"/>
      </w:pPr>
      <w:r w:rsidRPr="00A10D1C">
        <w:lastRenderedPageBreak/>
        <w:t>ZAŁĄCZNIK</w:t>
      </w:r>
    </w:p>
    <w:p w14:paraId="65B3D1A5" w14:textId="77777777" w:rsidR="00787E12" w:rsidRPr="00A10D1C" w:rsidRDefault="00294038" w:rsidP="00B66129">
      <w:pPr>
        <w:pStyle w:val="DecHCase"/>
        <w:contextualSpacing/>
        <w:rPr>
          <w:b/>
          <w:i/>
          <w:color w:val="3E3E3E" w:themeColor="background2" w:themeShade="40"/>
        </w:rPr>
      </w:pPr>
      <w:r w:rsidRPr="00A10D1C">
        <w:rPr>
          <w:color w:val="3E3E3E" w:themeColor="background2" w:themeShade="40"/>
        </w:rPr>
        <w:t>Skarga zawierająca zarzuty na podstawie art. 6 ust. 1 i art. 13 Konwencji</w:t>
      </w:r>
    </w:p>
    <w:p w14:paraId="3E7E9E4D" w14:textId="77777777" w:rsidR="00787E12" w:rsidRPr="00A10D1C" w:rsidRDefault="00294038" w:rsidP="00B66129">
      <w:pPr>
        <w:pStyle w:val="DecHCase"/>
        <w:contextualSpacing/>
        <w:rPr>
          <w:b/>
          <w:i/>
        </w:rPr>
      </w:pPr>
      <w:r w:rsidRPr="00A10D1C">
        <w:rPr>
          <w:color w:val="3E3E3E" w:themeColor="background2" w:themeShade="40"/>
        </w:rPr>
        <w:t>(przewlekłość postępowania cywilnego oraz brak skutecznego środka odwoławczego w prawie krajowym)</w:t>
      </w:r>
    </w:p>
    <w:tbl>
      <w:tblPr>
        <w:tblStyle w:val="ECHRListTable"/>
        <w:tblW w:w="10627" w:type="dxa"/>
        <w:jc w:val="center"/>
        <w:tblLook w:val="0420" w:firstRow="1" w:lastRow="0" w:firstColumn="0" w:lastColumn="0" w:noHBand="0" w:noVBand="1"/>
      </w:tblPr>
      <w:tblGrid>
        <w:gridCol w:w="1335"/>
        <w:gridCol w:w="1304"/>
        <w:gridCol w:w="1150"/>
        <w:gridCol w:w="1253"/>
        <w:gridCol w:w="2283"/>
        <w:gridCol w:w="1522"/>
        <w:gridCol w:w="1780"/>
      </w:tblGrid>
      <w:tr w:rsidR="00AE7208" w:rsidRPr="00A10D1C" w14:paraId="7100DCD3" w14:textId="77777777" w:rsidTr="00AE72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349" w:type="dxa"/>
          </w:tcPr>
          <w:p w14:paraId="1A8BD760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bookmarkStart w:id="4" w:name="WECLListStart"/>
            <w:bookmarkEnd w:id="4"/>
            <w:r w:rsidRPr="00A10D1C">
              <w:rPr>
                <w:sz w:val="16"/>
                <w:szCs w:val="18"/>
              </w:rPr>
              <w:t>Skarga nr</w:t>
            </w:r>
          </w:p>
          <w:p w14:paraId="01D24AD5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Data złożenia</w:t>
            </w:r>
          </w:p>
        </w:tc>
        <w:tc>
          <w:tcPr>
            <w:tcW w:w="1317" w:type="dxa"/>
          </w:tcPr>
          <w:p w14:paraId="7B8D6F65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Imię i nazwisko skarżącego</w:t>
            </w:r>
          </w:p>
          <w:p w14:paraId="7BF7615D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Rok urodzenia</w:t>
            </w:r>
          </w:p>
          <w:p w14:paraId="5C5F1E4D" w14:textId="77777777" w:rsidR="002B7DD6" w:rsidRPr="00A10D1C" w:rsidRDefault="002B7DD6" w:rsidP="00B6612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481A5101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Wszczęcie postępowania</w:t>
            </w:r>
          </w:p>
        </w:tc>
        <w:tc>
          <w:tcPr>
            <w:tcW w:w="1257" w:type="dxa"/>
          </w:tcPr>
          <w:p w14:paraId="34A275D2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Zakończenie postępowania</w:t>
            </w:r>
          </w:p>
        </w:tc>
        <w:tc>
          <w:tcPr>
            <w:tcW w:w="2338" w:type="dxa"/>
          </w:tcPr>
          <w:p w14:paraId="578EC6B0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Łączny czas trwania</w:t>
            </w:r>
          </w:p>
          <w:p w14:paraId="1B694021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Instancje</w:t>
            </w:r>
          </w:p>
        </w:tc>
        <w:tc>
          <w:tcPr>
            <w:tcW w:w="1537" w:type="dxa"/>
          </w:tcPr>
          <w:p w14:paraId="2FCE04EF" w14:textId="0C2DEDBC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Decyzja krajowa w sprawie skargi na mocy ustawy z</w:t>
            </w:r>
            <w:r w:rsidR="0080012A">
              <w:rPr>
                <w:sz w:val="16"/>
                <w:szCs w:val="18"/>
              </w:rPr>
              <w:t> </w:t>
            </w:r>
            <w:r w:rsidRPr="00A10D1C">
              <w:rPr>
                <w:sz w:val="16"/>
                <w:szCs w:val="18"/>
              </w:rPr>
              <w:t>2004 r.</w:t>
            </w:r>
          </w:p>
          <w:p w14:paraId="0DA02197" w14:textId="5839322A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 xml:space="preserve">Kwota zasądzona przez sąd krajowy (w </w:t>
            </w:r>
            <w:r w:rsidR="00FB1B50">
              <w:rPr>
                <w:sz w:val="16"/>
                <w:szCs w:val="18"/>
              </w:rPr>
              <w:t>PLN</w:t>
            </w:r>
            <w:r w:rsidRPr="00A10D1C">
              <w:rPr>
                <w:sz w:val="16"/>
                <w:szCs w:val="18"/>
              </w:rPr>
              <w:t>)</w:t>
            </w:r>
          </w:p>
        </w:tc>
        <w:tc>
          <w:tcPr>
            <w:tcW w:w="1795" w:type="dxa"/>
          </w:tcPr>
          <w:p w14:paraId="53354C63" w14:textId="25466461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Kwota zasądzona tytułem odszkodowania za szkodę majątkową i zadośćuczynienia za szkodę niemajątkową oraz zwrotu kosztów na jednego skarżącego</w:t>
            </w:r>
          </w:p>
          <w:p w14:paraId="3EC04416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(w EUR)</w:t>
            </w:r>
            <w:r w:rsidRPr="00A10D1C"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AE7208" w:rsidRPr="00A10D1C" w14:paraId="1D4D4800" w14:textId="77777777" w:rsidTr="00AE7208">
        <w:trPr>
          <w:jc w:val="center"/>
        </w:trPr>
        <w:tc>
          <w:tcPr>
            <w:tcW w:w="1349" w:type="dxa"/>
          </w:tcPr>
          <w:p w14:paraId="49248CE1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31457/22</w:t>
            </w:r>
          </w:p>
          <w:p w14:paraId="1A3D61E4" w14:textId="18859F0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14.06.2022</w:t>
            </w:r>
          </w:p>
        </w:tc>
        <w:tc>
          <w:tcPr>
            <w:tcW w:w="1317" w:type="dxa"/>
          </w:tcPr>
          <w:p w14:paraId="3FE12C9D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b/>
                <w:sz w:val="16"/>
                <w:szCs w:val="18"/>
              </w:rPr>
              <w:t>Krzysztof DRĄG</w:t>
            </w:r>
          </w:p>
          <w:p w14:paraId="3C795322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 xml:space="preserve">1971 </w:t>
            </w:r>
          </w:p>
        </w:tc>
        <w:tc>
          <w:tcPr>
            <w:tcW w:w="1034" w:type="dxa"/>
          </w:tcPr>
          <w:p w14:paraId="15771FDD" w14:textId="59329573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15.03.2018</w:t>
            </w:r>
          </w:p>
          <w:p w14:paraId="160E12F7" w14:textId="77777777" w:rsidR="002B7DD6" w:rsidRPr="00A10D1C" w:rsidRDefault="002B7DD6" w:rsidP="00B6612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57" w:type="dxa"/>
          </w:tcPr>
          <w:p w14:paraId="34FA519E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w toku</w:t>
            </w:r>
          </w:p>
          <w:p w14:paraId="0219E39C" w14:textId="77777777" w:rsidR="002B7DD6" w:rsidRPr="00A10D1C" w:rsidRDefault="002B7DD6" w:rsidP="00B6612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338" w:type="dxa"/>
          </w:tcPr>
          <w:p w14:paraId="363D768B" w14:textId="7A9CDDE6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Ponad 5 lat, 8 miesięcy i</w:t>
            </w:r>
            <w:r w:rsidR="0080012A">
              <w:rPr>
                <w:sz w:val="16"/>
                <w:szCs w:val="18"/>
              </w:rPr>
              <w:t> </w:t>
            </w:r>
            <w:r w:rsidRPr="00A10D1C">
              <w:rPr>
                <w:sz w:val="16"/>
                <w:szCs w:val="18"/>
              </w:rPr>
              <w:t>1</w:t>
            </w:r>
            <w:r w:rsidR="0080012A">
              <w:rPr>
                <w:sz w:val="16"/>
                <w:szCs w:val="18"/>
              </w:rPr>
              <w:t> </w:t>
            </w:r>
            <w:r w:rsidRPr="00A10D1C">
              <w:rPr>
                <w:sz w:val="16"/>
                <w:szCs w:val="18"/>
              </w:rPr>
              <w:t>dzień</w:t>
            </w:r>
          </w:p>
          <w:p w14:paraId="6EF9860A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1 instancja</w:t>
            </w:r>
          </w:p>
          <w:p w14:paraId="759832C7" w14:textId="77777777" w:rsidR="002B7DD6" w:rsidRPr="00A10D1C" w:rsidRDefault="002B7DD6" w:rsidP="00B6612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37" w:type="dxa"/>
          </w:tcPr>
          <w:p w14:paraId="6AE0F3F3" w14:textId="7EF73DB3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Sąd Apelacyjny w</w:t>
            </w:r>
            <w:r w:rsidR="00FD67FD">
              <w:rPr>
                <w:sz w:val="16"/>
                <w:szCs w:val="18"/>
              </w:rPr>
              <w:t> </w:t>
            </w:r>
            <w:r w:rsidRPr="00A10D1C">
              <w:rPr>
                <w:sz w:val="16"/>
                <w:szCs w:val="18"/>
              </w:rPr>
              <w:t xml:space="preserve">Warszawie, 28.03.2022, </w:t>
            </w:r>
            <w:r w:rsidR="00FD67FD">
              <w:rPr>
                <w:sz w:val="16"/>
                <w:szCs w:val="18"/>
              </w:rPr>
              <w:br/>
            </w:r>
            <w:r w:rsidRPr="00A10D1C">
              <w:rPr>
                <w:sz w:val="16"/>
                <w:szCs w:val="18"/>
              </w:rPr>
              <w:t>sygn. akt V S 35/22</w:t>
            </w:r>
          </w:p>
        </w:tc>
        <w:tc>
          <w:tcPr>
            <w:tcW w:w="1795" w:type="dxa"/>
          </w:tcPr>
          <w:p w14:paraId="52FBB4A0" w14:textId="77777777" w:rsidR="002B7DD6" w:rsidRPr="00A10D1C" w:rsidRDefault="00294038" w:rsidP="00B66129">
            <w:pPr>
              <w:jc w:val="center"/>
              <w:rPr>
                <w:sz w:val="16"/>
                <w:szCs w:val="18"/>
              </w:rPr>
            </w:pPr>
            <w:r w:rsidRPr="00A10D1C">
              <w:rPr>
                <w:sz w:val="16"/>
                <w:szCs w:val="18"/>
              </w:rPr>
              <w:t>3 900</w:t>
            </w:r>
          </w:p>
        </w:tc>
      </w:tr>
    </w:tbl>
    <w:p w14:paraId="38CFF4BA" w14:textId="77777777" w:rsidR="00787E12" w:rsidRPr="00A10D1C" w:rsidRDefault="00787E12" w:rsidP="00B66129"/>
    <w:p w14:paraId="1CEC5D69" w14:textId="77777777" w:rsidR="00791456" w:rsidRPr="00A10D1C" w:rsidRDefault="00791456" w:rsidP="00B66129"/>
    <w:sectPr w:rsidR="00791456" w:rsidRPr="00A10D1C" w:rsidSect="002279EA">
      <w:headerReference w:type="even" r:id="rId17"/>
      <w:headerReference w:type="default" r:id="rId18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2ACF2" w14:textId="77777777" w:rsidR="00A3665B" w:rsidRDefault="00A3665B">
      <w:r>
        <w:separator/>
      </w:r>
    </w:p>
  </w:endnote>
  <w:endnote w:type="continuationSeparator" w:id="0">
    <w:p w14:paraId="2885E908" w14:textId="77777777" w:rsidR="00A3665B" w:rsidRDefault="00A36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3637A" w14:textId="4F29FAB2" w:rsidR="00BD554D" w:rsidRPr="00611E1D" w:rsidRDefault="00294038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7913BF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07975" w14:textId="5EBB6157" w:rsidR="00BD554D" w:rsidRPr="00611E1D" w:rsidRDefault="00294038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7913BF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19D93" w14:textId="77777777" w:rsidR="00ED7723" w:rsidRPr="00150BFA" w:rsidRDefault="00294038" w:rsidP="0020718E">
    <w:pPr>
      <w:jc w:val="center"/>
    </w:pPr>
    <w:r>
      <w:rPr>
        <w:noProof/>
        <w:lang w:eastAsia="pl-PL"/>
      </w:rPr>
      <w:drawing>
        <wp:inline distT="0" distB="0" distL="0" distR="0" wp14:anchorId="34D1B5D1" wp14:editId="6C38E186">
          <wp:extent cx="771525" cy="619125"/>
          <wp:effectExtent l="0" t="0" r="9525" b="9525"/>
          <wp:docPr id="2083266643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6F52F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6EC14" w14:textId="77777777" w:rsidR="00A3665B" w:rsidRPr="00611E1D" w:rsidRDefault="00A3665B" w:rsidP="00787E12">
      <w:r w:rsidRPr="00611E1D">
        <w:separator/>
      </w:r>
    </w:p>
  </w:footnote>
  <w:footnote w:type="continuationSeparator" w:id="0">
    <w:p w14:paraId="7317DD42" w14:textId="77777777" w:rsidR="00A3665B" w:rsidRPr="00611E1D" w:rsidRDefault="00A3665B" w:rsidP="00787E12">
      <w:r w:rsidRPr="00611E1D">
        <w:continuationSeparator/>
      </w:r>
    </w:p>
  </w:footnote>
  <w:footnote w:id="1">
    <w:p w14:paraId="5D30C046" w14:textId="26F58D25" w:rsidR="002B7DD6" w:rsidRPr="00A92EB5" w:rsidRDefault="00294038" w:rsidP="005152F5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80012A">
        <w:t xml:space="preserve">Powiększona </w:t>
      </w:r>
      <w:r>
        <w:t xml:space="preserve">o </w:t>
      </w:r>
      <w:r w:rsidR="0080012A">
        <w:t xml:space="preserve">wszelkie </w:t>
      </w:r>
      <w:r>
        <w:t xml:space="preserve">należne </w:t>
      </w:r>
      <w:r w:rsidR="0080012A">
        <w:t xml:space="preserve">od skarżącego </w:t>
      </w:r>
      <w:r>
        <w:t>podatki.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E88CF" w14:textId="77777777" w:rsidR="00ED7723" w:rsidRPr="00A45145" w:rsidRDefault="00294038" w:rsidP="00A45145">
    <w:pPr>
      <w:jc w:val="center"/>
    </w:pPr>
    <w:r>
      <w:rPr>
        <w:noProof/>
        <w:lang w:eastAsia="pl-PL"/>
      </w:rPr>
      <w:drawing>
        <wp:inline distT="0" distB="0" distL="0" distR="0" wp14:anchorId="428CF4CB" wp14:editId="3497DBA6">
          <wp:extent cx="2962275" cy="1219200"/>
          <wp:effectExtent l="0" t="0" r="9525" b="0"/>
          <wp:docPr id="1362711391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D34EAF" w14:textId="77777777" w:rsidR="00787E12" w:rsidRPr="00611E1D" w:rsidRDefault="00787E12" w:rsidP="000318F7">
    <w:pPr>
      <w:jc w:val="center"/>
      <w:rPr>
        <w:sz w:val="4"/>
        <w:szCs w:val="4"/>
      </w:rPr>
    </w:pPr>
  </w:p>
  <w:p w14:paraId="637E4F1D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89DDE" w14:textId="77777777" w:rsidR="005152F5" w:rsidRPr="00A45145" w:rsidRDefault="00294038" w:rsidP="00A45145">
    <w:pPr>
      <w:jc w:val="center"/>
    </w:pPr>
    <w:r>
      <w:rPr>
        <w:noProof/>
        <w:lang w:eastAsia="pl-PL"/>
      </w:rPr>
      <w:drawing>
        <wp:inline distT="0" distB="0" distL="0" distR="0" wp14:anchorId="40D24938" wp14:editId="5E4FC1FB">
          <wp:extent cx="2962275" cy="1219200"/>
          <wp:effectExtent l="0" t="0" r="9525" b="0"/>
          <wp:docPr id="1298192329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9CFFC6" w14:textId="77777777" w:rsidR="008D51B6" w:rsidRPr="004F56E2" w:rsidRDefault="008D51B6" w:rsidP="008D51B6">
    <w:pPr>
      <w:pStyle w:val="Nagwek"/>
    </w:pPr>
  </w:p>
  <w:p w14:paraId="3D0D3CA0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CA197" w14:textId="77777777" w:rsidR="00787E12" w:rsidRPr="005C3A15" w:rsidRDefault="00294038" w:rsidP="006372F5">
    <w:pPr>
      <w:pStyle w:val="JuHeader"/>
    </w:pPr>
    <w:r>
      <w:t>WYROK W SPRAWIE DRĄG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35131" w14:textId="77777777" w:rsidR="00787E12" w:rsidRPr="00DE7D3F" w:rsidRDefault="00294038" w:rsidP="00BD554D">
    <w:pPr>
      <w:pStyle w:val="JuHeader"/>
    </w:pPr>
    <w:r>
      <w:t>WYROK W SPRAWIE DRĄG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DDEDA" w14:textId="77777777" w:rsidR="008B3FB7" w:rsidRPr="005C3A15" w:rsidRDefault="00294038" w:rsidP="00E026EC">
    <w:pPr>
      <w:pStyle w:val="JuHeader"/>
    </w:pPr>
    <w:r>
      <w:t>WYROK W SPRAWIE DRĄG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173E6" w14:textId="77777777" w:rsidR="008B3FB7" w:rsidRPr="00DE7D3F" w:rsidRDefault="00294038" w:rsidP="00E026EC">
    <w:pPr>
      <w:pStyle w:val="JuHeader"/>
    </w:pPr>
    <w:r>
      <w:t>WYROK W SPRAWIE DRĄG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22E2821"/>
    <w:multiLevelType w:val="hybridMultilevel"/>
    <w:tmpl w:val="CDA00E72"/>
    <w:lvl w:ilvl="0" w:tplc="3C726256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</w:rPr>
    </w:lvl>
    <w:lvl w:ilvl="1" w:tplc="EF2E804E" w:tentative="1">
      <w:start w:val="1"/>
      <w:numFmt w:val="lowerLetter"/>
      <w:lvlText w:val="%2."/>
      <w:lvlJc w:val="left"/>
      <w:pPr>
        <w:ind w:left="1364" w:hanging="360"/>
      </w:pPr>
    </w:lvl>
    <w:lvl w:ilvl="2" w:tplc="B68C95C0" w:tentative="1">
      <w:start w:val="1"/>
      <w:numFmt w:val="lowerRoman"/>
      <w:lvlText w:val="%3."/>
      <w:lvlJc w:val="right"/>
      <w:pPr>
        <w:ind w:left="2084" w:hanging="180"/>
      </w:pPr>
    </w:lvl>
    <w:lvl w:ilvl="3" w:tplc="895ADBCA" w:tentative="1">
      <w:start w:val="1"/>
      <w:numFmt w:val="decimal"/>
      <w:lvlText w:val="%4."/>
      <w:lvlJc w:val="left"/>
      <w:pPr>
        <w:ind w:left="2804" w:hanging="360"/>
      </w:pPr>
    </w:lvl>
    <w:lvl w:ilvl="4" w:tplc="69A66822" w:tentative="1">
      <w:start w:val="1"/>
      <w:numFmt w:val="lowerLetter"/>
      <w:lvlText w:val="%5."/>
      <w:lvlJc w:val="left"/>
      <w:pPr>
        <w:ind w:left="3524" w:hanging="360"/>
      </w:pPr>
    </w:lvl>
    <w:lvl w:ilvl="5" w:tplc="3D6CE78C" w:tentative="1">
      <w:start w:val="1"/>
      <w:numFmt w:val="lowerRoman"/>
      <w:lvlText w:val="%6."/>
      <w:lvlJc w:val="right"/>
      <w:pPr>
        <w:ind w:left="4244" w:hanging="180"/>
      </w:pPr>
    </w:lvl>
    <w:lvl w:ilvl="6" w:tplc="9FA040BE" w:tentative="1">
      <w:start w:val="1"/>
      <w:numFmt w:val="decimal"/>
      <w:lvlText w:val="%7."/>
      <w:lvlJc w:val="left"/>
      <w:pPr>
        <w:ind w:left="4964" w:hanging="360"/>
      </w:pPr>
    </w:lvl>
    <w:lvl w:ilvl="7" w:tplc="2C2876C6" w:tentative="1">
      <w:start w:val="1"/>
      <w:numFmt w:val="lowerLetter"/>
      <w:lvlText w:val="%8."/>
      <w:lvlJc w:val="left"/>
      <w:pPr>
        <w:ind w:left="5684" w:hanging="360"/>
      </w:pPr>
    </w:lvl>
    <w:lvl w:ilvl="8" w:tplc="1AE885E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3880DEC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15F0FCA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945ADF6C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14A26E8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688F0D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C5306190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6CD472A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ED0EBAB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884F34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6"/>
  </w:num>
  <w:num w:numId="5">
    <w:abstractNumId w:val="13"/>
  </w:num>
  <w:num w:numId="6">
    <w:abstractNumId w:val="17"/>
  </w:num>
  <w:num w:numId="7">
    <w:abstractNumId w:val="16"/>
  </w:num>
  <w:num w:numId="8">
    <w:abstractNumId w:val="17"/>
  </w:num>
  <w:num w:numId="9">
    <w:abstractNumId w:val="10"/>
  </w:num>
  <w:num w:numId="10">
    <w:abstractNumId w:val="9"/>
  </w:num>
  <w:num w:numId="11">
    <w:abstractNumId w:val="18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-1"/>
    <w:docVar w:name="EMM" w:val="0"/>
    <w:docVar w:name="NBEMMDOC" w:val="0"/>
    <w:docVar w:name="Plural" w:val="0"/>
  </w:docVars>
  <w:rsids>
    <w:rsidRoot w:val="005152F5"/>
    <w:rsid w:val="00024405"/>
    <w:rsid w:val="000318F7"/>
    <w:rsid w:val="00061C4F"/>
    <w:rsid w:val="000C5149"/>
    <w:rsid w:val="000F3F7D"/>
    <w:rsid w:val="00135384"/>
    <w:rsid w:val="00150BFA"/>
    <w:rsid w:val="00151727"/>
    <w:rsid w:val="00156E27"/>
    <w:rsid w:val="00173A91"/>
    <w:rsid w:val="001761FF"/>
    <w:rsid w:val="001A15B6"/>
    <w:rsid w:val="001A3C4A"/>
    <w:rsid w:val="001D7CD3"/>
    <w:rsid w:val="001F3812"/>
    <w:rsid w:val="002056B7"/>
    <w:rsid w:val="0020718E"/>
    <w:rsid w:val="002279EA"/>
    <w:rsid w:val="0023337E"/>
    <w:rsid w:val="0023364D"/>
    <w:rsid w:val="0025685C"/>
    <w:rsid w:val="00277051"/>
    <w:rsid w:val="00286A68"/>
    <w:rsid w:val="0029309A"/>
    <w:rsid w:val="00294038"/>
    <w:rsid w:val="002B7DD6"/>
    <w:rsid w:val="002C5B23"/>
    <w:rsid w:val="00337785"/>
    <w:rsid w:val="003743E6"/>
    <w:rsid w:val="0037589C"/>
    <w:rsid w:val="0039020D"/>
    <w:rsid w:val="003A5D08"/>
    <w:rsid w:val="00407B23"/>
    <w:rsid w:val="00415AD9"/>
    <w:rsid w:val="0042294D"/>
    <w:rsid w:val="0048584C"/>
    <w:rsid w:val="00497FF8"/>
    <w:rsid w:val="004B0B4E"/>
    <w:rsid w:val="004D042B"/>
    <w:rsid w:val="004D0EC7"/>
    <w:rsid w:val="004F268A"/>
    <w:rsid w:val="004F56E2"/>
    <w:rsid w:val="005058B2"/>
    <w:rsid w:val="005105D6"/>
    <w:rsid w:val="005152F5"/>
    <w:rsid w:val="00555A1D"/>
    <w:rsid w:val="00573202"/>
    <w:rsid w:val="005B102C"/>
    <w:rsid w:val="005B16C1"/>
    <w:rsid w:val="005C13ED"/>
    <w:rsid w:val="005C3A15"/>
    <w:rsid w:val="005D0519"/>
    <w:rsid w:val="005D676B"/>
    <w:rsid w:val="005F60F9"/>
    <w:rsid w:val="00602083"/>
    <w:rsid w:val="00611E1D"/>
    <w:rsid w:val="006372F5"/>
    <w:rsid w:val="00640EA0"/>
    <w:rsid w:val="006531DC"/>
    <w:rsid w:val="00656431"/>
    <w:rsid w:val="00667E59"/>
    <w:rsid w:val="00676594"/>
    <w:rsid w:val="006A0C4C"/>
    <w:rsid w:val="006D324D"/>
    <w:rsid w:val="006F0E91"/>
    <w:rsid w:val="00743B2A"/>
    <w:rsid w:val="007574A5"/>
    <w:rsid w:val="00787E12"/>
    <w:rsid w:val="007913BF"/>
    <w:rsid w:val="00791456"/>
    <w:rsid w:val="007A72B4"/>
    <w:rsid w:val="007B7887"/>
    <w:rsid w:val="007F018A"/>
    <w:rsid w:val="0080012A"/>
    <w:rsid w:val="008522DD"/>
    <w:rsid w:val="00860732"/>
    <w:rsid w:val="008614D5"/>
    <w:rsid w:val="008A0E2E"/>
    <w:rsid w:val="008B3FB7"/>
    <w:rsid w:val="008B4D1C"/>
    <w:rsid w:val="008D51B6"/>
    <w:rsid w:val="008F200A"/>
    <w:rsid w:val="008F2532"/>
    <w:rsid w:val="009522DD"/>
    <w:rsid w:val="00982A55"/>
    <w:rsid w:val="00997759"/>
    <w:rsid w:val="009A2847"/>
    <w:rsid w:val="009A588E"/>
    <w:rsid w:val="00A053D3"/>
    <w:rsid w:val="00A062B9"/>
    <w:rsid w:val="00A10D1C"/>
    <w:rsid w:val="00A329E0"/>
    <w:rsid w:val="00A34A54"/>
    <w:rsid w:val="00A3665B"/>
    <w:rsid w:val="00A44415"/>
    <w:rsid w:val="00A45145"/>
    <w:rsid w:val="00A6104A"/>
    <w:rsid w:val="00A6692B"/>
    <w:rsid w:val="00A738D9"/>
    <w:rsid w:val="00A92EB5"/>
    <w:rsid w:val="00A94CA7"/>
    <w:rsid w:val="00AA6802"/>
    <w:rsid w:val="00AB1309"/>
    <w:rsid w:val="00AC03BB"/>
    <w:rsid w:val="00AE7208"/>
    <w:rsid w:val="00AF2073"/>
    <w:rsid w:val="00B1369D"/>
    <w:rsid w:val="00B216C1"/>
    <w:rsid w:val="00B64153"/>
    <w:rsid w:val="00B66129"/>
    <w:rsid w:val="00B91668"/>
    <w:rsid w:val="00BA348B"/>
    <w:rsid w:val="00BD554D"/>
    <w:rsid w:val="00BE2415"/>
    <w:rsid w:val="00C20CC3"/>
    <w:rsid w:val="00C26951"/>
    <w:rsid w:val="00C43D38"/>
    <w:rsid w:val="00C4651C"/>
    <w:rsid w:val="00C877A3"/>
    <w:rsid w:val="00CD432C"/>
    <w:rsid w:val="00D5095F"/>
    <w:rsid w:val="00DD65BD"/>
    <w:rsid w:val="00DE7089"/>
    <w:rsid w:val="00DE7D3F"/>
    <w:rsid w:val="00E026EC"/>
    <w:rsid w:val="00E23E3E"/>
    <w:rsid w:val="00E54074"/>
    <w:rsid w:val="00E628D2"/>
    <w:rsid w:val="00EA4979"/>
    <w:rsid w:val="00ED7723"/>
    <w:rsid w:val="00F14C62"/>
    <w:rsid w:val="00F84C1C"/>
    <w:rsid w:val="00FA20EE"/>
    <w:rsid w:val="00FB16F8"/>
    <w:rsid w:val="00FB1B50"/>
    <w:rsid w:val="00FD67FD"/>
    <w:rsid w:val="00FE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5245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10D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web/sprawiedliwosc" TargetMode="External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v.pl/web/sprawiedliwosc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C857C-FB78-4B02-84ED-DE818CB5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829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2024-02-23T08:51:00Z</dcterms:created>
  <dcterms:modified xsi:type="dcterms:W3CDTF">2024-09-13T16:19:00Z</dcterms:modified>
  <cp:category/>
</cp:coreProperties>
</file>