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8F2F0" w14:textId="77777777" w:rsidR="008D51B6" w:rsidRPr="00FA4652" w:rsidRDefault="008D51B6" w:rsidP="00FA4652">
      <w:pPr>
        <w:jc w:val="center"/>
      </w:pPr>
    </w:p>
    <w:p w14:paraId="7F0CA72B" w14:textId="77777777" w:rsidR="00FA4652" w:rsidRPr="00FA4652" w:rsidRDefault="00FA4652" w:rsidP="00FA4652">
      <w:pPr>
        <w:jc w:val="center"/>
      </w:pPr>
    </w:p>
    <w:p w14:paraId="23760F7D" w14:textId="77777777" w:rsidR="004D042B" w:rsidRPr="00FA4652" w:rsidRDefault="004D042B" w:rsidP="00FA4652">
      <w:pPr>
        <w:jc w:val="center"/>
      </w:pPr>
    </w:p>
    <w:p w14:paraId="033CF36C" w14:textId="77777777" w:rsidR="000C5149" w:rsidRPr="00FA4652" w:rsidRDefault="000C5149" w:rsidP="00FA4652">
      <w:pPr>
        <w:jc w:val="center"/>
      </w:pPr>
    </w:p>
    <w:p w14:paraId="545334E0" w14:textId="77777777" w:rsidR="00606600" w:rsidRPr="00FA4652" w:rsidRDefault="0073223F" w:rsidP="00FA4652">
      <w:pPr>
        <w:pStyle w:val="DecHTitle"/>
      </w:pPr>
      <w:r>
        <w:t>SEKCJA PIERWSZA</w:t>
      </w:r>
    </w:p>
    <w:p w14:paraId="17204986" w14:textId="77777777" w:rsidR="006D324D" w:rsidRPr="00FA4652" w:rsidRDefault="0073223F" w:rsidP="00FA4652">
      <w:pPr>
        <w:pStyle w:val="JuTitle"/>
      </w:pPr>
      <w:bookmarkStart w:id="0" w:name="To"/>
      <w:r>
        <w:t xml:space="preserve">SPRAWA </w:t>
      </w:r>
      <w:bookmarkEnd w:id="0"/>
      <w:r>
        <w:t>WANDEL PRZECIWKO POLSCE</w:t>
      </w:r>
    </w:p>
    <w:p w14:paraId="4CB1637C" w14:textId="77777777" w:rsidR="006D324D" w:rsidRPr="00FA4652" w:rsidRDefault="0073223F" w:rsidP="00FA4652">
      <w:pPr>
        <w:pStyle w:val="ECHRCoverTitle4"/>
      </w:pPr>
      <w:r>
        <w:t>(Skarga nr 21096/23)</w:t>
      </w:r>
    </w:p>
    <w:p w14:paraId="4C4262AA" w14:textId="77777777" w:rsidR="006D324D" w:rsidRPr="00FA4652" w:rsidRDefault="006D324D" w:rsidP="00FA4652">
      <w:pPr>
        <w:pStyle w:val="DecHCase"/>
      </w:pPr>
    </w:p>
    <w:p w14:paraId="29CFECB3" w14:textId="77777777" w:rsidR="006D324D" w:rsidRPr="00FA4652" w:rsidRDefault="006D324D" w:rsidP="00FA4652">
      <w:pPr>
        <w:pStyle w:val="DecHCase"/>
      </w:pPr>
    </w:p>
    <w:p w14:paraId="28B859CF" w14:textId="77777777" w:rsidR="00606600" w:rsidRPr="00FA4652" w:rsidRDefault="00606600" w:rsidP="00FA4652">
      <w:pPr>
        <w:pStyle w:val="DecHCase"/>
      </w:pPr>
    </w:p>
    <w:p w14:paraId="435A1851" w14:textId="77777777" w:rsidR="00606600" w:rsidRPr="00FA4652" w:rsidRDefault="00606600" w:rsidP="00FA4652">
      <w:pPr>
        <w:pStyle w:val="DecHCase"/>
      </w:pPr>
    </w:p>
    <w:p w14:paraId="7263A527" w14:textId="77777777" w:rsidR="00606600" w:rsidRPr="00FA4652" w:rsidRDefault="00606600" w:rsidP="00FA4652">
      <w:pPr>
        <w:pStyle w:val="DecHCase"/>
      </w:pPr>
    </w:p>
    <w:p w14:paraId="73C3BF2D" w14:textId="77777777" w:rsidR="00606600" w:rsidRPr="00FA4652" w:rsidRDefault="00606600" w:rsidP="00FA4652">
      <w:pPr>
        <w:pStyle w:val="DecHCase"/>
      </w:pPr>
    </w:p>
    <w:p w14:paraId="378A24D9" w14:textId="77777777" w:rsidR="00606600" w:rsidRPr="00FA4652" w:rsidRDefault="0073223F" w:rsidP="00FA4652">
      <w:pPr>
        <w:pStyle w:val="DecHCase"/>
      </w:pPr>
      <w:r>
        <w:t>WYROK</w:t>
      </w:r>
    </w:p>
    <w:p w14:paraId="49B46A47" w14:textId="77777777" w:rsidR="00606600" w:rsidRPr="00FA4652" w:rsidRDefault="00606600" w:rsidP="00FA4652">
      <w:pPr>
        <w:jc w:val="center"/>
        <w:rPr>
          <w:i/>
        </w:rPr>
      </w:pPr>
    </w:p>
    <w:p w14:paraId="295E10A4" w14:textId="77777777" w:rsidR="00606600" w:rsidRPr="00FA4652" w:rsidRDefault="0073223F" w:rsidP="00FA4652">
      <w:pPr>
        <w:pStyle w:val="DecHCase"/>
      </w:pPr>
      <w:r>
        <w:t>STRASBURG</w:t>
      </w:r>
    </w:p>
    <w:p w14:paraId="18B13E2B" w14:textId="77777777" w:rsidR="00606600" w:rsidRPr="00FA4652" w:rsidRDefault="0073223F" w:rsidP="00FA4652">
      <w:pPr>
        <w:pStyle w:val="DecHCase"/>
      </w:pPr>
      <w:r>
        <w:t>5 września 2024 r.</w:t>
      </w:r>
    </w:p>
    <w:p w14:paraId="62AAC23F" w14:textId="77777777" w:rsidR="00606600" w:rsidRPr="00FA4652" w:rsidRDefault="00606600" w:rsidP="00FA4652">
      <w:pPr>
        <w:jc w:val="center"/>
      </w:pPr>
    </w:p>
    <w:p w14:paraId="4BEAE7CB" w14:textId="77777777" w:rsidR="00606600" w:rsidRPr="00FA4652" w:rsidRDefault="0073223F" w:rsidP="00FA4652">
      <w:pPr>
        <w:rPr>
          <w:sz w:val="22"/>
          <w:szCs w:val="22"/>
        </w:rPr>
      </w:pPr>
      <w:r>
        <w:rPr>
          <w:i/>
          <w:sz w:val="22"/>
          <w:szCs w:val="22"/>
        </w:rPr>
        <w:t>Wyrok ten stał się ostateczny, lecz może podlegać korekcie wydawniczej.</w:t>
      </w:r>
    </w:p>
    <w:p w14:paraId="0DCB28B9" w14:textId="77777777" w:rsidR="00606600" w:rsidRPr="00FA4652" w:rsidRDefault="00606600" w:rsidP="00FA4652">
      <w:pPr>
        <w:pStyle w:val="JuCase"/>
        <w:sectPr w:rsidR="00606600" w:rsidRPr="00FA4652" w:rsidSect="00B9166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45E5E9BE" w14:textId="11F334BB" w:rsidR="00606600" w:rsidRPr="00FA4652" w:rsidRDefault="0073223F" w:rsidP="00FA4652">
      <w:pPr>
        <w:pStyle w:val="JuCase"/>
        <w:rPr>
          <w:bCs/>
        </w:rPr>
      </w:pPr>
      <w:r>
        <w:lastRenderedPageBreak/>
        <w:t xml:space="preserve">W sprawie </w:t>
      </w:r>
      <w:proofErr w:type="spellStart"/>
      <w:r>
        <w:t>Wandel</w:t>
      </w:r>
      <w:proofErr w:type="spellEnd"/>
      <w:r>
        <w:t xml:space="preserve"> przeciwko Polsce</w:t>
      </w:r>
    </w:p>
    <w:p w14:paraId="20450221" w14:textId="77777777" w:rsidR="00606600" w:rsidRPr="00FA4652" w:rsidRDefault="0073223F" w:rsidP="00FA4652">
      <w:pPr>
        <w:pStyle w:val="JuPara"/>
      </w:pPr>
      <w:r>
        <w:t>Europejski Trybunał Praw Człowieka (sekcja pierwsza), zasiadając jako Komitet w składzie:</w:t>
      </w:r>
    </w:p>
    <w:p w14:paraId="126F793E" w14:textId="3A3AB5B0" w:rsidR="002C5B23" w:rsidRPr="00FA4652" w:rsidRDefault="0073223F" w:rsidP="00EB7833">
      <w:pPr>
        <w:pStyle w:val="JuJudges"/>
        <w:ind w:left="567"/>
      </w:pPr>
      <w:proofErr w:type="spellStart"/>
      <w:r>
        <w:t>Lətif</w:t>
      </w:r>
      <w:proofErr w:type="spellEnd"/>
      <w:r>
        <w:t xml:space="preserve"> </w:t>
      </w:r>
      <w:proofErr w:type="spellStart"/>
      <w:r>
        <w:t>Hüseynov</w:t>
      </w:r>
      <w:proofErr w:type="spellEnd"/>
      <w:r>
        <w:t xml:space="preserve">, </w:t>
      </w:r>
      <w:r>
        <w:rPr>
          <w:i/>
        </w:rPr>
        <w:t>przewodniczący</w:t>
      </w:r>
      <w:r>
        <w:t>,</w:t>
      </w:r>
      <w:r>
        <w:br/>
        <w:t xml:space="preserve">Krzysztof </w:t>
      </w:r>
      <w:proofErr w:type="spellStart"/>
      <w:r>
        <w:t>Wojtyczek</w:t>
      </w:r>
      <w:proofErr w:type="spellEnd"/>
      <w:r>
        <w:t>,</w:t>
      </w:r>
      <w:r>
        <w:br/>
        <w:t xml:space="preserve">Erik </w:t>
      </w:r>
      <w:proofErr w:type="spellStart"/>
      <w:r>
        <w:t>Wennerström</w:t>
      </w:r>
      <w:proofErr w:type="spellEnd"/>
      <w:r>
        <w:rPr>
          <w:i/>
        </w:rPr>
        <w:t>, sędziowie</w:t>
      </w:r>
      <w:r>
        <w:t>,</w:t>
      </w:r>
    </w:p>
    <w:p w14:paraId="598AFD6A" w14:textId="77777777" w:rsidR="00606600" w:rsidRPr="00FA4652" w:rsidRDefault="0073223F" w:rsidP="00FA4652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 Zastępcy Kanclerza Sekcji,</w:t>
      </w:r>
    </w:p>
    <w:p w14:paraId="4428A6B2" w14:textId="77777777" w:rsidR="00606600" w:rsidRPr="00FA4652" w:rsidRDefault="0073223F" w:rsidP="00FA4652">
      <w:pPr>
        <w:pStyle w:val="JuPara"/>
      </w:pPr>
      <w:r>
        <w:t>obradując na posiedzeniu niejawnym w dniu 11 lipca 2024 r.,</w:t>
      </w:r>
    </w:p>
    <w:p w14:paraId="668FD6AD" w14:textId="77777777" w:rsidR="00606600" w:rsidRPr="00FA4652" w:rsidRDefault="0073223F" w:rsidP="00FA4652">
      <w:pPr>
        <w:pStyle w:val="JuPara"/>
      </w:pPr>
      <w:r>
        <w:t>wydaje następujący wyrok, który został przyjęty w tym dniu:</w:t>
      </w:r>
    </w:p>
    <w:p w14:paraId="372B86C9" w14:textId="77777777" w:rsidR="0013303D" w:rsidRPr="00FA4652" w:rsidRDefault="0073223F" w:rsidP="00FA4652">
      <w:pPr>
        <w:pStyle w:val="JuHHead"/>
      </w:pPr>
      <w:bookmarkStart w:id="1" w:name="ITMARKStartJudgment"/>
      <w:bookmarkEnd w:id="1"/>
      <w:r>
        <w:t>POSTĘPOWANIE</w:t>
      </w:r>
    </w:p>
    <w:p w14:paraId="1BDEA1FE" w14:textId="1A6CD86D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1</w:t>
      </w:r>
      <w:r w:rsidRPr="00FA4652">
        <w:fldChar w:fldCharType="end"/>
      </w:r>
      <w:r>
        <w:t>.  Sprawa wywodzi się ze skargi przeciwko Polsce, wniesionej do</w:t>
      </w:r>
      <w:r w:rsidR="00047648">
        <w:t> </w:t>
      </w:r>
      <w:r>
        <w:t>Trybunału w dniu 8 maja 2023 r. na podstawie art. 34 Konwencji o</w:t>
      </w:r>
      <w:r w:rsidR="00047648">
        <w:t> </w:t>
      </w:r>
      <w:r>
        <w:t>ochronie praw człowieka i podstawowych wolności („Konwencj</w:t>
      </w:r>
      <w:r w:rsidR="00047648">
        <w:t>a</w:t>
      </w:r>
      <w:r>
        <w:t>”).</w:t>
      </w:r>
    </w:p>
    <w:p w14:paraId="46F94000" w14:textId="5CB783D8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2</w:t>
      </w:r>
      <w:r w:rsidRPr="00FA4652">
        <w:fldChar w:fldCharType="end"/>
      </w:r>
      <w:r>
        <w:t>.  Skarżącego reprezentował T.A. Muszyński, prawnik praktykujący w</w:t>
      </w:r>
      <w:r w:rsidR="00047648">
        <w:t> </w:t>
      </w:r>
      <w:r>
        <w:t>Warszawie.</w:t>
      </w:r>
    </w:p>
    <w:p w14:paraId="631918B7" w14:textId="388E39BF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3</w:t>
      </w:r>
      <w:r w:rsidRPr="00FA4652">
        <w:fldChar w:fldCharType="end"/>
      </w:r>
      <w:r>
        <w:t>.  </w:t>
      </w:r>
      <w:r w:rsidR="00047648">
        <w:t xml:space="preserve">Sprawa została zakomunikowana rządowi polskiemu </w:t>
      </w:r>
      <w:r>
        <w:t>(„Rząd”).</w:t>
      </w:r>
    </w:p>
    <w:p w14:paraId="54D600B7" w14:textId="77777777" w:rsidR="0013303D" w:rsidRPr="00FA4652" w:rsidRDefault="0073223F" w:rsidP="00FA4652">
      <w:pPr>
        <w:pStyle w:val="JuHHead"/>
      </w:pPr>
      <w:r>
        <w:t>FAKTY</w:t>
      </w:r>
    </w:p>
    <w:p w14:paraId="30E65D53" w14:textId="0952B711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4</w:t>
      </w:r>
      <w:r w:rsidRPr="00FA4652">
        <w:fldChar w:fldCharType="end"/>
      </w:r>
      <w:r>
        <w:t>.  Dane skarżącego oraz informacje istotne dla skargi zostały przedstawione w załączonej tabeli.</w:t>
      </w:r>
    </w:p>
    <w:p w14:paraId="109701C3" w14:textId="4B50F7AF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5</w:t>
      </w:r>
      <w:r w:rsidRPr="00FA4652">
        <w:fldChar w:fldCharType="end"/>
      </w:r>
      <w:r>
        <w:t>.  </w:t>
      </w:r>
      <w:r>
        <w:rPr>
          <w:color w:val="000000"/>
        </w:rPr>
        <w:t>Skarżący zarzucił przewlekłość postępowania cywilnego oraz brak skutecznego środka odwoławczego w prawie krajowym</w:t>
      </w:r>
      <w:r>
        <w:rPr>
          <w:bCs/>
          <w:color w:val="000000"/>
        </w:rPr>
        <w:t>.</w:t>
      </w:r>
    </w:p>
    <w:p w14:paraId="0C2B49B2" w14:textId="77777777" w:rsidR="0013303D" w:rsidRPr="00FA4652" w:rsidRDefault="0073223F" w:rsidP="00FA4652">
      <w:pPr>
        <w:pStyle w:val="JuHHead"/>
      </w:pPr>
      <w:r>
        <w:t>PRAWO</w:t>
      </w:r>
    </w:p>
    <w:p w14:paraId="73B6D973" w14:textId="434A3079" w:rsidR="0013303D" w:rsidRPr="00FA4652" w:rsidRDefault="0073223F" w:rsidP="00FA4652">
      <w:pPr>
        <w:pStyle w:val="JuHIRoman"/>
        <w:rPr>
          <w:rFonts w:eastAsia="Times New Roman"/>
        </w:rPr>
      </w:pPr>
      <w:r>
        <w:t>WNIOSEK RZĄDU O SKREŚLENIE SKARG</w:t>
      </w:r>
      <w:r w:rsidR="00AD4413">
        <w:t>I Z LISTY</w:t>
      </w:r>
      <w:r>
        <w:t xml:space="preserve"> NA</w:t>
      </w:r>
      <w:r w:rsidR="00AD4413">
        <w:t> </w:t>
      </w:r>
      <w:r>
        <w:t>PODSTAWIE ARTYKUŁU 37 UST.1 KONWENCJI</w:t>
      </w:r>
    </w:p>
    <w:p w14:paraId="48C0FBED" w14:textId="03969F46" w:rsidR="0013303D" w:rsidRPr="00FA4652" w:rsidRDefault="00FA4652" w:rsidP="00FA4652">
      <w:pPr>
        <w:pStyle w:val="JuPara"/>
        <w:rPr>
          <w:rFonts w:eastAsia="Times New Roman"/>
        </w:rPr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6</w:t>
      </w:r>
      <w:r w:rsidRPr="00FA4652">
        <w:fldChar w:fldCharType="end"/>
      </w:r>
      <w:r>
        <w:t xml:space="preserve">.  Rząd przedłożył jednostronną deklarację, która nie stanowiła wystarczającej podstawy do stwierdzenia, że poszanowanie praw człowieka w rozumieniu Konwencji nie wymaga od Trybunału </w:t>
      </w:r>
      <w:r w:rsidR="00AD4413">
        <w:t>kontynuowania rozpatrywania skargi</w:t>
      </w:r>
      <w:r>
        <w:t xml:space="preserve"> (art. 37 ust. 1 </w:t>
      </w:r>
      <w:r>
        <w:rPr>
          <w:i/>
        </w:rPr>
        <w:t>in fine</w:t>
      </w:r>
      <w:r>
        <w:t>). Trybunał odrzuca wniosek Rządu o skreślenie skargi</w:t>
      </w:r>
      <w:r w:rsidR="00AD4413">
        <w:t xml:space="preserve"> z listy</w:t>
      </w:r>
      <w:r>
        <w:t xml:space="preserve"> i w związku z tym kontynu</w:t>
      </w:r>
      <w:r w:rsidR="00AD4413">
        <w:t>uje</w:t>
      </w:r>
      <w:r>
        <w:t xml:space="preserve"> badanie przedmiotu sprawy (zob.</w:t>
      </w:r>
      <w:r w:rsidR="00AD4413">
        <w:t xml:space="preserve"> wyrok w sprawie</w:t>
      </w:r>
      <w:r>
        <w:t xml:space="preserve"> </w:t>
      </w:r>
      <w:r>
        <w:rPr>
          <w:i/>
        </w:rPr>
        <w:t>Tahsin Acar przeciwko Turcji</w:t>
      </w:r>
      <w:r>
        <w:t xml:space="preserve"> (za</w:t>
      </w:r>
      <w:r w:rsidR="00AD4413">
        <w:t>strzeżenia</w:t>
      </w:r>
      <w:r>
        <w:t xml:space="preserve"> wstępne) [WI],</w:t>
      </w:r>
      <w:r w:rsidR="008B3F8D">
        <w:t xml:space="preserve"> skarga</w:t>
      </w:r>
      <w:r>
        <w:t xml:space="preserve"> nr 26307/95, § 75, ETPCz 2003-VI).</w:t>
      </w:r>
    </w:p>
    <w:p w14:paraId="2E8D8359" w14:textId="77777777" w:rsidR="0013303D" w:rsidRPr="00FA4652" w:rsidRDefault="0073223F" w:rsidP="00FA4652">
      <w:pPr>
        <w:pStyle w:val="JuHIRoman"/>
      </w:pPr>
      <w:r>
        <w:t>ZARZUCANE NARUSZENIE ART. 6 UST. 1 I ART. 13 KONWENCJI</w:t>
      </w:r>
    </w:p>
    <w:p w14:paraId="05F4B56B" w14:textId="7CB8C242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7</w:t>
      </w:r>
      <w:r w:rsidRPr="00FA4652">
        <w:fldChar w:fldCharType="end"/>
      </w:r>
      <w:r>
        <w:t>.  Skarżący zarzuc</w:t>
      </w:r>
      <w:r w:rsidR="00AD4413">
        <w:t>i</w:t>
      </w:r>
      <w:r>
        <w:t xml:space="preserve">ł, że długość postępowania cywilnego była niezgodna z wymogiem „rozsądnego terminu” i że w związku z tym był pozbawiony </w:t>
      </w:r>
      <w:r>
        <w:lastRenderedPageBreak/>
        <w:t>skutecznego środka odwoławczego. Powołał się na art. 6 ust. 1 i</w:t>
      </w:r>
      <w:r w:rsidR="008B3F8D">
        <w:t> </w:t>
      </w:r>
      <w:r>
        <w:t>art. 13 Konwencji.</w:t>
      </w:r>
    </w:p>
    <w:p w14:paraId="17E0734F" w14:textId="6B55D325" w:rsidR="0013303D" w:rsidRPr="00FA4652" w:rsidRDefault="00FA4652" w:rsidP="00FA4652">
      <w:pPr>
        <w:pStyle w:val="JuPara"/>
        <w:rPr>
          <w:strike/>
        </w:rPr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8</w:t>
      </w:r>
      <w:r w:rsidRPr="00FA4652">
        <w:fldChar w:fldCharType="end"/>
      </w:r>
      <w:r>
        <w:t>.  Trybunał podkreśla, że rozsądny charakter czasu trwania postępowania należy oceniać w świetle okoliczności sprawy i z uwzględnieniem następujących kryteriów: złożoności sprawy, zachowania skarżącego i</w:t>
      </w:r>
      <w:r w:rsidR="008B3F8D">
        <w:t> </w:t>
      </w:r>
      <w:r>
        <w:t>organów procesowych oraz znaczenia sprawy dla interesów skarżącego (zob. m.in.</w:t>
      </w:r>
      <w:r w:rsidR="008B3F8D">
        <w:t xml:space="preserve"> wyrok w sprawie </w:t>
      </w:r>
      <w:r>
        <w:rPr>
          <w:i/>
        </w:rPr>
        <w:t xml:space="preserve">Frydlender </w:t>
      </w:r>
      <w:r>
        <w:rPr>
          <w:i/>
          <w:iCs/>
        </w:rPr>
        <w:t>przeciwko Francji</w:t>
      </w:r>
      <w:r>
        <w:rPr>
          <w:i/>
        </w:rPr>
        <w:t xml:space="preserve"> </w:t>
      </w:r>
      <w:r>
        <w:t xml:space="preserve">[WI], </w:t>
      </w:r>
      <w:r w:rsidR="008B3F8D">
        <w:t xml:space="preserve">skarga </w:t>
      </w:r>
      <w:r>
        <w:t>nr 30979/96, § 43, ETPCz 2000-VII).</w:t>
      </w:r>
    </w:p>
    <w:p w14:paraId="18B46256" w14:textId="42A556C4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9</w:t>
      </w:r>
      <w:r w:rsidRPr="00FA4652">
        <w:fldChar w:fldCharType="end"/>
      </w:r>
      <w:r>
        <w:t>.  Już w</w:t>
      </w:r>
      <w:r w:rsidR="008B3F8D">
        <w:t xml:space="preserve"> wyroku w</w:t>
      </w:r>
      <w:r>
        <w:t xml:space="preserve"> </w:t>
      </w:r>
      <w:r w:rsidR="008B3F8D">
        <w:t>precedensowej</w:t>
      </w:r>
      <w:r>
        <w:t xml:space="preserve"> sprawie </w:t>
      </w:r>
      <w:r>
        <w:rPr>
          <w:i/>
          <w:iCs/>
        </w:rPr>
        <w:t xml:space="preserve">Rutkowski i Inni przeciwko Polsce, </w:t>
      </w:r>
      <w:r w:rsidR="008B3F8D">
        <w:t>skargi nr</w:t>
      </w:r>
      <w:r>
        <w:t xml:space="preserve"> 72287/10 i 2 inne, 7 lipca 2015 r., Trybunał stwierdził naruszenie art. 6 Konwencji w odniesieniu do długości postępowania sądowego.</w:t>
      </w:r>
    </w:p>
    <w:p w14:paraId="5B2D3F67" w14:textId="2F1D502F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10</w:t>
      </w:r>
      <w:r w:rsidRPr="00FA4652">
        <w:fldChar w:fldCharType="end"/>
      </w:r>
      <w:r>
        <w:t>.  Po zapoznaniu się z całym przedstawionym mu materiałem</w:t>
      </w:r>
      <w:r w:rsidR="00142286">
        <w:t>,</w:t>
      </w:r>
      <w:r>
        <w:t xml:space="preserve"> Trybunał nie ustalił żadnego faktu ani argumentu mogącego uzasadnić łączną długość postępowania na poziomie krajowym. Mając na względzie swoje orzecznictwo, Trybunał stwierdza, że długość postępowania w</w:t>
      </w:r>
      <w:r w:rsidR="008B3F8D">
        <w:t> </w:t>
      </w:r>
      <w:r>
        <w:t>przedmiotowej sprawie była nadmierna i nie spełniała wymogu „rozsądnego terminu”.</w:t>
      </w:r>
    </w:p>
    <w:p w14:paraId="71E63B2A" w14:textId="4A35892C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11</w:t>
      </w:r>
      <w:r w:rsidRPr="00FA4652">
        <w:fldChar w:fldCharType="end"/>
      </w:r>
      <w:r>
        <w:t xml:space="preserve">.  Trybunał zauważa ponadto, że skarżący nie miał do dyspozycji skutecznego środka odwoławczego w odniesieniu do tych </w:t>
      </w:r>
      <w:r w:rsidR="008B3F8D">
        <w:t>zarzutów</w:t>
      </w:r>
      <w:r>
        <w:t>.</w:t>
      </w:r>
    </w:p>
    <w:p w14:paraId="2878B7EA" w14:textId="0A86897B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12</w:t>
      </w:r>
      <w:r w:rsidRPr="00FA4652">
        <w:fldChar w:fldCharType="end"/>
      </w:r>
      <w:r>
        <w:t>.  </w:t>
      </w:r>
      <w:r w:rsidR="008B3F8D">
        <w:t xml:space="preserve">Zarzuty </w:t>
      </w:r>
      <w:r>
        <w:t xml:space="preserve">te są zatem dopuszczalne i </w:t>
      </w:r>
      <w:r w:rsidR="008B3F8D">
        <w:t xml:space="preserve">wskazują na </w:t>
      </w:r>
      <w:r>
        <w:t>naruszenie art. 6 ust.</w:t>
      </w:r>
      <w:r w:rsidR="008B3F8D">
        <w:t> </w:t>
      </w:r>
      <w:r>
        <w:t>1 oraz art. 13 Konwencji.</w:t>
      </w:r>
    </w:p>
    <w:p w14:paraId="3A345703" w14:textId="77777777" w:rsidR="0013303D" w:rsidRPr="00FA4652" w:rsidRDefault="0073223F" w:rsidP="00FA4652">
      <w:pPr>
        <w:pStyle w:val="JuHIRoman"/>
      </w:pPr>
      <w:r>
        <w:t>ZASTOSOWANIE ART. 41 KONWENCJI</w:t>
      </w:r>
    </w:p>
    <w:p w14:paraId="04FAE11D" w14:textId="607475BD" w:rsidR="0013303D" w:rsidRPr="00FA4652" w:rsidRDefault="00FA4652" w:rsidP="00FA4652">
      <w:pPr>
        <w:pStyle w:val="JuPara"/>
      </w:pPr>
      <w:r w:rsidRPr="00FA4652">
        <w:fldChar w:fldCharType="begin"/>
      </w:r>
      <w:r>
        <w:instrText xml:space="preserve"> SEQ level0 \*arabic \* MERGEFORMAT </w:instrText>
      </w:r>
      <w:r w:rsidRPr="00FA4652">
        <w:fldChar w:fldCharType="separate"/>
      </w:r>
      <w:r w:rsidR="00F50FCF">
        <w:rPr>
          <w:noProof/>
        </w:rPr>
        <w:t>13</w:t>
      </w:r>
      <w:r w:rsidRPr="00FA4652">
        <w:fldChar w:fldCharType="end"/>
      </w:r>
      <w:r>
        <w:t xml:space="preserve">.  Uwzględniając dokumenty znajdujące się w jego posiadaniu oraz swoje orzecznictwo (zob. w szczególności ww. wyrok w sprawie </w:t>
      </w:r>
      <w:r>
        <w:rPr>
          <w:i/>
          <w:iCs/>
        </w:rPr>
        <w:t>Rutkowski i Inni</w:t>
      </w:r>
      <w:r>
        <w:t>), Trybunał uważa za zasadne zasądzenie kwot wskazanych w</w:t>
      </w:r>
      <w:r w:rsidR="00F77B91">
        <w:t> </w:t>
      </w:r>
      <w:r>
        <w:t>załączonej tabeli.</w:t>
      </w:r>
    </w:p>
    <w:p w14:paraId="279AD2E7" w14:textId="77777777" w:rsidR="0013303D" w:rsidRPr="00FA4652" w:rsidRDefault="0073223F" w:rsidP="00FA4652">
      <w:pPr>
        <w:pStyle w:val="JuHHead"/>
      </w:pPr>
      <w:r>
        <w:t>Z POWYŻSZYCH WZGLĘDÓW TRYBUNAŁ JEDNOGŁOŚNIE</w:t>
      </w:r>
    </w:p>
    <w:p w14:paraId="7999B8B0" w14:textId="77777777" w:rsidR="0013303D" w:rsidRPr="00FA4652" w:rsidRDefault="0073223F" w:rsidP="00FA4652">
      <w:pPr>
        <w:pStyle w:val="JuList"/>
      </w:pPr>
      <w:r>
        <w:rPr>
          <w:i/>
          <w:iCs/>
        </w:rPr>
        <w:t>oddala</w:t>
      </w:r>
      <w:r>
        <w:t xml:space="preserve"> wniosek Rządu o skreślenie skargi z listy;</w:t>
      </w:r>
    </w:p>
    <w:p w14:paraId="194F30CD" w14:textId="77777777" w:rsidR="0013303D" w:rsidRPr="00FA4652" w:rsidRDefault="0073223F" w:rsidP="00FA4652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14:paraId="0E0FDB81" w14:textId="72EC88B4" w:rsidR="0013303D" w:rsidRPr="00EE74ED" w:rsidRDefault="00142286" w:rsidP="00FA4652">
      <w:pPr>
        <w:pStyle w:val="JuList"/>
      </w:pPr>
      <w:r w:rsidRPr="00EE74ED">
        <w:rPr>
          <w:i/>
          <w:iCs/>
        </w:rPr>
        <w:t>orzeka</w:t>
      </w:r>
      <w:r w:rsidR="0073223F" w:rsidRPr="00EE74ED">
        <w:t xml:space="preserve">, że </w:t>
      </w:r>
      <w:r w:rsidRPr="00EE74ED">
        <w:t>doszło do</w:t>
      </w:r>
      <w:r w:rsidR="00F77B91" w:rsidRPr="00EE74ED">
        <w:t xml:space="preserve"> </w:t>
      </w:r>
      <w:r w:rsidR="0073223F" w:rsidRPr="00EE74ED">
        <w:t>naruszeni</w:t>
      </w:r>
      <w:r w:rsidRPr="00EE74ED">
        <w:t>a</w:t>
      </w:r>
      <w:r w:rsidR="0073223F" w:rsidRPr="00EE74ED">
        <w:t xml:space="preserve"> art. 6 ust. 1 i art. 13 Konwencji </w:t>
      </w:r>
      <w:r w:rsidRPr="00EE74ED">
        <w:t>ze względu na</w:t>
      </w:r>
      <w:r w:rsidR="0073223F" w:rsidRPr="00EE74ED">
        <w:t xml:space="preserve"> przewlekłoś</w:t>
      </w:r>
      <w:r w:rsidRPr="00EE74ED">
        <w:t>ć</w:t>
      </w:r>
      <w:r w:rsidR="0073223F" w:rsidRPr="00EE74ED">
        <w:t xml:space="preserve"> postępowania cywilnego i brak skutecznego środka odwoławczego w prawie krajowym;</w:t>
      </w:r>
    </w:p>
    <w:p w14:paraId="11648BBA" w14:textId="388944D2" w:rsidR="0013303D" w:rsidRPr="00EE74ED" w:rsidRDefault="00142286" w:rsidP="00FA4652">
      <w:pPr>
        <w:pStyle w:val="JuList"/>
        <w:keepNext/>
        <w:keepLines/>
      </w:pPr>
      <w:r w:rsidRPr="00EE74ED">
        <w:rPr>
          <w:i/>
          <w:iCs/>
        </w:rPr>
        <w:lastRenderedPageBreak/>
        <w:t>orzeka</w:t>
      </w:r>
      <w:r w:rsidR="00F77B91" w:rsidRPr="00EE74ED">
        <w:rPr>
          <w:i/>
          <w:iCs/>
        </w:rPr>
        <w:t>,</w:t>
      </w:r>
    </w:p>
    <w:p w14:paraId="59512A52" w14:textId="1C43489C" w:rsidR="0013303D" w:rsidRPr="00EE74ED" w:rsidRDefault="0073223F" w:rsidP="00FA4652">
      <w:pPr>
        <w:pStyle w:val="JuLista"/>
        <w:keepNext/>
        <w:keepLines/>
      </w:pPr>
      <w:r w:rsidRPr="00EE74ED">
        <w:t>że pozwane państwo winno, w terminie trzech miesięcy, uiścić na</w:t>
      </w:r>
      <w:r w:rsidR="00F77B91" w:rsidRPr="00EE74ED">
        <w:t> </w:t>
      </w:r>
      <w:r w:rsidRPr="00EE74ED">
        <w:t>rzecz skarżącego kwotę wskazaną w załączonej tabeli, przeliczoną na walutę pozwanego państwa według kursu obowiązującego w dniu płatności</w:t>
      </w:r>
      <w:r w:rsidR="00F77B91" w:rsidRPr="00EE74ED">
        <w:t>;</w:t>
      </w:r>
    </w:p>
    <w:p w14:paraId="19D17E22" w14:textId="5A2F6AC4" w:rsidR="00606600" w:rsidRPr="00FA4652" w:rsidRDefault="0073223F" w:rsidP="00FA4652">
      <w:pPr>
        <w:pStyle w:val="JuLista"/>
        <w:keepNext/>
        <w:keepLines/>
      </w:pPr>
      <w:r w:rsidRPr="00EE74ED">
        <w:t>że od upływu wyżej wskazanego terminu trzech miesięcy aż</w:t>
      </w:r>
      <w:r w:rsidR="00F77B91" w:rsidRPr="00EE74ED">
        <w:t> </w:t>
      </w:r>
      <w:r w:rsidRPr="00EE74ED">
        <w:t>do</w:t>
      </w:r>
      <w:r w:rsidR="00F77B91" w:rsidRPr="00EE74ED">
        <w:t> </w:t>
      </w:r>
      <w:r w:rsidRPr="00EE74ED">
        <w:t xml:space="preserve">momentu uregulowania należności, należne będą odsetki zwykłe od określonej </w:t>
      </w:r>
      <w:r>
        <w:t>powyżej kwoty, naliczone według stopy równej marginalnej stopie procentowej Europejskiego Banku Centralnego obowiązującej w tym okresie, powiększonej o trzy punkty procentowe</w:t>
      </w:r>
      <w:r w:rsidR="00F77B91">
        <w:t>.</w:t>
      </w:r>
    </w:p>
    <w:p w14:paraId="14E098E0" w14:textId="681FB4BF" w:rsidR="00606600" w:rsidRPr="00FA4652" w:rsidRDefault="0073223F" w:rsidP="00FA4652">
      <w:pPr>
        <w:pStyle w:val="JuParaLast"/>
      </w:pPr>
      <w:r>
        <w:t>Sporządzono w języku angielskim i obwieszczono pisemnie w dniu 5</w:t>
      </w:r>
      <w:r w:rsidR="00F77B91">
        <w:t> </w:t>
      </w:r>
      <w:r>
        <w:t>września 2024 r. zgodnie z Regułą 77 § 2 i 3 Regulaminu Trybunału.</w:t>
      </w:r>
    </w:p>
    <w:p w14:paraId="07557789" w14:textId="77777777" w:rsidR="00656431" w:rsidRPr="00FA4652" w:rsidRDefault="0073223F" w:rsidP="00FA4652">
      <w:pPr>
        <w:pStyle w:val="ECHRPlaceholder"/>
        <w:rPr>
          <w:szCs w:val="22"/>
        </w:rPr>
      </w:pPr>
      <w:r>
        <w:tab/>
      </w:r>
    </w:p>
    <w:p w14:paraId="74D7720C" w14:textId="5F4813A2" w:rsidR="00606600" w:rsidRPr="00FA4652" w:rsidRDefault="0073223F" w:rsidP="00FA4652">
      <w:pPr>
        <w:pStyle w:val="JuSigned"/>
        <w:rPr>
          <w:rFonts w:eastAsia="PMingLiU"/>
        </w:rPr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 </w:t>
      </w:r>
      <w:r w:rsidR="00CF1208">
        <w:tab/>
      </w:r>
      <w:proofErr w:type="spellStart"/>
      <w:r>
        <w:t>Lətif</w:t>
      </w:r>
      <w:proofErr w:type="spellEnd"/>
      <w:r>
        <w:t xml:space="preserve"> </w:t>
      </w:r>
      <w:proofErr w:type="spellStart"/>
      <w:r>
        <w:t>Hüseynov</w:t>
      </w:r>
      <w:proofErr w:type="spellEnd"/>
    </w:p>
    <w:p w14:paraId="083F27CE" w14:textId="77777777" w:rsidR="00B91668" w:rsidRPr="00FA4652" w:rsidRDefault="0073223F" w:rsidP="00FA4652">
      <w:pPr>
        <w:pStyle w:val="JuSigned"/>
        <w:contextualSpacing/>
        <w:rPr>
          <w:rFonts w:eastAsia="PMingLiU"/>
        </w:rPr>
      </w:pPr>
      <w:r>
        <w:tab/>
        <w:t>p.o. Zastępcy Kanclerza Sekcji</w:t>
      </w:r>
      <w:r>
        <w:tab/>
        <w:t>Przewodniczący</w:t>
      </w:r>
    </w:p>
    <w:p w14:paraId="79E6BD9C" w14:textId="77777777" w:rsidR="00B91668" w:rsidRPr="00FA4652" w:rsidRDefault="00B91668" w:rsidP="00FA4652">
      <w:pPr>
        <w:rPr>
          <w:rFonts w:eastAsia="PMingLiU"/>
        </w:rPr>
      </w:pPr>
    </w:p>
    <w:p w14:paraId="2404F738" w14:textId="77777777" w:rsidR="00BD554D" w:rsidRPr="00FA4652" w:rsidRDefault="0073223F" w:rsidP="00FA4652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6D8CE865" w14:textId="77777777" w:rsidR="00606600" w:rsidRPr="00FA4652" w:rsidRDefault="00606600" w:rsidP="00FA4652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51BC6EB7" w14:textId="77777777" w:rsidR="00606600" w:rsidRPr="00FA4652" w:rsidRDefault="00606600" w:rsidP="00FA4652">
      <w:pPr>
        <w:pStyle w:val="JuParaLast"/>
        <w:sectPr w:rsidR="00606600" w:rsidRPr="00FA4652" w:rsidSect="007A72B4">
          <w:headerReference w:type="even" r:id="rId14"/>
          <w:headerReference w:type="default" r:id="rId15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4F03E6B" w14:textId="77777777" w:rsidR="00606600" w:rsidRPr="00FA4652" w:rsidRDefault="0073223F" w:rsidP="00FA4652">
      <w:pPr>
        <w:pStyle w:val="DecHTitle"/>
      </w:pPr>
      <w:r>
        <w:lastRenderedPageBreak/>
        <w:t>ZAŁĄCZNIK</w:t>
      </w:r>
    </w:p>
    <w:p w14:paraId="4F9763D7" w14:textId="77777777" w:rsidR="00606600" w:rsidRPr="00FA4652" w:rsidRDefault="0073223F" w:rsidP="00FA4652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Skarga zawierająca zarzuty na podstawie art. 6 ust. 1 i art. 13 Konwencji</w:t>
      </w:r>
    </w:p>
    <w:p w14:paraId="7DDE0831" w14:textId="77777777" w:rsidR="00606600" w:rsidRPr="00FA4652" w:rsidRDefault="0073223F" w:rsidP="00FA4652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(przewlekłość postępowania cywilnego oraz brak skutecznego środka odwoławczego w prawie krajowym)</w:t>
      </w:r>
    </w:p>
    <w:tbl>
      <w:tblPr>
        <w:tblStyle w:val="ECHRListTable"/>
        <w:tblW w:w="5186" w:type="pct"/>
        <w:jc w:val="center"/>
        <w:tblLook w:val="0420" w:firstRow="1" w:lastRow="0" w:firstColumn="0" w:lastColumn="0" w:noHBand="0" w:noVBand="1"/>
      </w:tblPr>
      <w:tblGrid>
        <w:gridCol w:w="1010"/>
        <w:gridCol w:w="1298"/>
        <w:gridCol w:w="1728"/>
        <w:gridCol w:w="1150"/>
        <w:gridCol w:w="1150"/>
        <w:gridCol w:w="1667"/>
        <w:gridCol w:w="2437"/>
        <w:gridCol w:w="2297"/>
      </w:tblGrid>
      <w:tr w:rsidR="00F77B91" w14:paraId="591928B9" w14:textId="77777777" w:rsidTr="00B90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3"/>
          <w:jc w:val="center"/>
        </w:trPr>
        <w:tc>
          <w:tcPr>
            <w:tcW w:w="440" w:type="pct"/>
          </w:tcPr>
          <w:p w14:paraId="49ED3EE1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>
              <w:rPr>
                <w:sz w:val="16"/>
                <w:szCs w:val="18"/>
              </w:rPr>
              <w:t>Nr skargi</w:t>
            </w:r>
          </w:p>
          <w:p w14:paraId="2D9219FA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złożenia</w:t>
            </w:r>
          </w:p>
        </w:tc>
        <w:tc>
          <w:tcPr>
            <w:tcW w:w="553" w:type="pct"/>
          </w:tcPr>
          <w:p w14:paraId="58FB564C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 nazwisko skarżącego</w:t>
            </w:r>
          </w:p>
          <w:p w14:paraId="3D2A9094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Rok urodzenia</w:t>
            </w:r>
          </w:p>
          <w:p w14:paraId="24F957FB" w14:textId="77777777" w:rsidR="00143BA8" w:rsidRPr="00FA4652" w:rsidRDefault="00143BA8" w:rsidP="00FA465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553" w:type="pct"/>
          </w:tcPr>
          <w:p w14:paraId="0CB10656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 nazwisko oraz adres zamieszkania/siedziby pełnomocnika</w:t>
            </w:r>
          </w:p>
        </w:tc>
        <w:tc>
          <w:tcPr>
            <w:tcW w:w="405" w:type="pct"/>
          </w:tcPr>
          <w:p w14:paraId="7E4CD606" w14:textId="41F329C8" w:rsidR="00143BA8" w:rsidRPr="00FA4652" w:rsidRDefault="00F77B91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wszczęcia postępowania</w:t>
            </w:r>
          </w:p>
        </w:tc>
        <w:tc>
          <w:tcPr>
            <w:tcW w:w="405" w:type="pct"/>
          </w:tcPr>
          <w:p w14:paraId="64BB9AA4" w14:textId="3B043E0C" w:rsidR="00143BA8" w:rsidRPr="00FA4652" w:rsidRDefault="00F77B91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zakończenia postępowania</w:t>
            </w:r>
          </w:p>
        </w:tc>
        <w:tc>
          <w:tcPr>
            <w:tcW w:w="698" w:type="pct"/>
          </w:tcPr>
          <w:p w14:paraId="0C28662A" w14:textId="6AC6704B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Łączny czas trwania</w:t>
            </w:r>
            <w:r w:rsidR="00F77B91">
              <w:rPr>
                <w:sz w:val="16"/>
                <w:szCs w:val="18"/>
              </w:rPr>
              <w:t xml:space="preserve"> postępowania</w:t>
            </w:r>
          </w:p>
          <w:p w14:paraId="04E411E8" w14:textId="569E2CC4" w:rsidR="00143BA8" w:rsidRPr="00FA4652" w:rsidRDefault="00F77B91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Liczba instancji</w:t>
            </w:r>
          </w:p>
        </w:tc>
        <w:tc>
          <w:tcPr>
            <w:tcW w:w="1000" w:type="pct"/>
          </w:tcPr>
          <w:p w14:paraId="3C8FB10C" w14:textId="0D284754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Decyzja krajowa w sprawie </w:t>
            </w:r>
            <w:r w:rsidR="00F77B91">
              <w:rPr>
                <w:sz w:val="16"/>
                <w:szCs w:val="18"/>
              </w:rPr>
              <w:t>zarzutu</w:t>
            </w:r>
            <w:r>
              <w:rPr>
                <w:sz w:val="16"/>
                <w:szCs w:val="18"/>
              </w:rPr>
              <w:t xml:space="preserve"> na mocy ustawy z 2004 r.</w:t>
            </w:r>
          </w:p>
          <w:p w14:paraId="6F87E2F0" w14:textId="77777777" w:rsidR="00F72E04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przez sąd krajowy</w:t>
            </w:r>
          </w:p>
          <w:p w14:paraId="4B19F943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 PLN)</w:t>
            </w:r>
          </w:p>
        </w:tc>
        <w:tc>
          <w:tcPr>
            <w:tcW w:w="945" w:type="pct"/>
          </w:tcPr>
          <w:p w14:paraId="3E7C64B8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tytułem odszkodowania za szkodę majątkową i zadośćuczynienia za szkodę niemajątkową oraz zwrotu kosztów i wydatków</w:t>
            </w:r>
          </w:p>
          <w:p w14:paraId="4530B777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 EUR)</w:t>
            </w:r>
          </w:p>
          <w:p w14:paraId="78FB3B26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B9040D" w14:paraId="573C5B1B" w14:textId="77777777" w:rsidTr="00B9040D">
        <w:trPr>
          <w:trHeight w:val="992"/>
          <w:jc w:val="center"/>
        </w:trPr>
        <w:tc>
          <w:tcPr>
            <w:tcW w:w="440" w:type="pct"/>
          </w:tcPr>
          <w:p w14:paraId="353C2E3B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21096/23</w:t>
            </w:r>
          </w:p>
          <w:p w14:paraId="60C64BEC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08.05.2023 r.</w:t>
            </w:r>
          </w:p>
        </w:tc>
        <w:tc>
          <w:tcPr>
            <w:tcW w:w="553" w:type="pct"/>
          </w:tcPr>
          <w:p w14:paraId="325B894E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Sławomir WANDEL</w:t>
            </w:r>
          </w:p>
          <w:p w14:paraId="7CAF56BD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1961</w:t>
            </w:r>
          </w:p>
          <w:p w14:paraId="6D9F95F5" w14:textId="77777777" w:rsidR="00143BA8" w:rsidRPr="00FA4652" w:rsidRDefault="00143BA8" w:rsidP="00FA465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553" w:type="pct"/>
          </w:tcPr>
          <w:p w14:paraId="1E48B73D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Tomasz Andrzej Muszyński</w:t>
            </w:r>
          </w:p>
          <w:p w14:paraId="66AA73E7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Warszawa</w:t>
            </w:r>
          </w:p>
        </w:tc>
        <w:tc>
          <w:tcPr>
            <w:tcW w:w="405" w:type="pct"/>
          </w:tcPr>
          <w:p w14:paraId="342D4F78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16.07.2013 r.</w:t>
            </w:r>
          </w:p>
          <w:p w14:paraId="494E6D4F" w14:textId="77777777" w:rsidR="00143BA8" w:rsidRPr="00FA4652" w:rsidRDefault="00143BA8" w:rsidP="00FA465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405" w:type="pct"/>
          </w:tcPr>
          <w:p w14:paraId="60C44ACF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6576E29B" w14:textId="77777777" w:rsidR="00143BA8" w:rsidRPr="00FA4652" w:rsidRDefault="00143BA8" w:rsidP="00FA465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698" w:type="pct"/>
          </w:tcPr>
          <w:p w14:paraId="1CE0345E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</w:rPr>
              <w:t>Ponad 10 lat, 10 miesięcy i 23 dni;</w:t>
            </w:r>
          </w:p>
          <w:p w14:paraId="6045CEBE" w14:textId="77777777" w:rsidR="000F3E1F" w:rsidRPr="00FA4652" w:rsidRDefault="000F3E1F" w:rsidP="00FA4652">
            <w:pPr>
              <w:jc w:val="center"/>
              <w:rPr>
                <w:sz w:val="16"/>
                <w:szCs w:val="18"/>
              </w:rPr>
            </w:pPr>
          </w:p>
          <w:p w14:paraId="71192BA2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 instancja</w:t>
            </w:r>
          </w:p>
          <w:p w14:paraId="6DABD32B" w14:textId="77777777" w:rsidR="00143BA8" w:rsidRPr="00FA4652" w:rsidRDefault="00143BA8" w:rsidP="00FA465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00" w:type="pct"/>
          </w:tcPr>
          <w:p w14:paraId="73D1196C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 Warszawie, 06.11.2018 r., sygn. akt XXIII S 67/18, 2 000 PLN;</w:t>
            </w:r>
          </w:p>
          <w:p w14:paraId="37C9275E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 Warszawie, 09.01.2023 r., sygn. akt VII S 56/22</w:t>
            </w:r>
          </w:p>
        </w:tc>
        <w:tc>
          <w:tcPr>
            <w:tcW w:w="945" w:type="pct"/>
          </w:tcPr>
          <w:p w14:paraId="3AF8009D" w14:textId="77777777" w:rsidR="00143BA8" w:rsidRPr="00FA4652" w:rsidRDefault="0073223F" w:rsidP="00FA465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6 600</w:t>
            </w:r>
          </w:p>
        </w:tc>
      </w:tr>
    </w:tbl>
    <w:p w14:paraId="417FED01" w14:textId="77777777" w:rsidR="00606600" w:rsidRPr="00FA4652" w:rsidRDefault="00606600" w:rsidP="00FA4652"/>
    <w:p w14:paraId="63B4232A" w14:textId="77777777" w:rsidR="00606600" w:rsidRPr="00FA4652" w:rsidRDefault="00606600" w:rsidP="00FA4652"/>
    <w:sectPr w:rsidR="00606600" w:rsidRPr="00FA4652" w:rsidSect="00BD554D">
      <w:headerReference w:type="even" r:id="rId16"/>
      <w:headerReference w:type="default" r:id="rId17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4A7C6" w14:textId="77777777" w:rsidR="006E7960" w:rsidRDefault="006E7960">
      <w:r>
        <w:separator/>
      </w:r>
    </w:p>
  </w:endnote>
  <w:endnote w:type="continuationSeparator" w:id="0">
    <w:p w14:paraId="2D39A70E" w14:textId="77777777" w:rsidR="006E7960" w:rsidRDefault="006E7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DBF45" w14:textId="77777777" w:rsidR="00BD554D" w:rsidRPr="00611E1D" w:rsidRDefault="0073223F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47FBA" w14:textId="77777777" w:rsidR="00BD554D" w:rsidRPr="00611E1D" w:rsidRDefault="0073223F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BDEDA" w14:textId="77777777" w:rsidR="00ED7723" w:rsidRPr="00150BFA" w:rsidRDefault="0073223F" w:rsidP="0020718E">
    <w:pPr>
      <w:jc w:val="center"/>
    </w:pPr>
    <w:r>
      <w:rPr>
        <w:noProof/>
      </w:rPr>
      <w:drawing>
        <wp:inline distT="0" distB="0" distL="0" distR="0" wp14:anchorId="6C81F950" wp14:editId="514665C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A1391F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B87EC" w14:textId="77777777" w:rsidR="006E7960" w:rsidRPr="00611E1D" w:rsidRDefault="006E7960" w:rsidP="00787E12">
      <w:r w:rsidRPr="00611E1D">
        <w:separator/>
      </w:r>
    </w:p>
  </w:footnote>
  <w:footnote w:type="continuationSeparator" w:id="0">
    <w:p w14:paraId="73A3F748" w14:textId="77777777" w:rsidR="006E7960" w:rsidRPr="00611E1D" w:rsidRDefault="006E7960" w:rsidP="00787E12">
      <w:r w:rsidRPr="00611E1D">
        <w:continuationSeparator/>
      </w:r>
    </w:p>
  </w:footnote>
  <w:footnote w:id="1">
    <w:p w14:paraId="14BA61FA" w14:textId="77777777" w:rsidR="00143BA8" w:rsidRPr="00887FDE" w:rsidRDefault="0073223F" w:rsidP="0013303D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powiększona o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984D0" w14:textId="77777777" w:rsidR="00EB58A5" w:rsidRDefault="00EB5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66B44" w14:textId="77777777" w:rsidR="00ED7723" w:rsidRPr="00A45145" w:rsidRDefault="0073223F" w:rsidP="00A45145">
    <w:pPr>
      <w:jc w:val="center"/>
    </w:pPr>
    <w:r>
      <w:rPr>
        <w:noProof/>
      </w:rPr>
      <w:drawing>
        <wp:inline distT="0" distB="0" distL="0" distR="0" wp14:anchorId="469CC418" wp14:editId="071BBA1E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6DD1B8" w14:textId="77777777" w:rsidR="00606600" w:rsidRPr="00611E1D" w:rsidRDefault="00606600" w:rsidP="000318F7">
    <w:pPr>
      <w:jc w:val="center"/>
      <w:rPr>
        <w:sz w:val="4"/>
        <w:szCs w:val="4"/>
      </w:rPr>
    </w:pPr>
  </w:p>
  <w:p w14:paraId="54134B4C" w14:textId="77777777" w:rsidR="00606600" w:rsidRPr="00611E1D" w:rsidRDefault="006066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0D91E" w14:textId="77777777" w:rsidR="0013303D" w:rsidRPr="00A45145" w:rsidRDefault="0073223F" w:rsidP="00A45145">
    <w:pPr>
      <w:jc w:val="center"/>
    </w:pPr>
    <w:r>
      <w:rPr>
        <w:noProof/>
      </w:rPr>
      <w:drawing>
        <wp:inline distT="0" distB="0" distL="0" distR="0" wp14:anchorId="4DBFCBDE" wp14:editId="51FCDB9D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606C6" w14:textId="77777777" w:rsidR="008D51B6" w:rsidRPr="004F56E2" w:rsidRDefault="008D51B6" w:rsidP="008D51B6">
    <w:pPr>
      <w:pStyle w:val="Nagwek"/>
    </w:pPr>
  </w:p>
  <w:p w14:paraId="2DEEC095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1BF63" w14:textId="739DA763" w:rsidR="00606600" w:rsidRPr="005C3A15" w:rsidRDefault="0073223F" w:rsidP="006372F5">
    <w:pPr>
      <w:pStyle w:val="JuHeader"/>
    </w:pPr>
    <w:r>
      <w:t>WYROK WANDEL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A1949" w14:textId="22812E99" w:rsidR="00606600" w:rsidRPr="00DE7D3F" w:rsidRDefault="0073223F" w:rsidP="00BD554D">
    <w:pPr>
      <w:pStyle w:val="JuHeader"/>
    </w:pPr>
    <w:r>
      <w:t>WYROK</w:t>
    </w:r>
    <w:r w:rsidR="00F81EF8">
      <w:t xml:space="preserve"> </w:t>
    </w:r>
    <w:r>
      <w:t>WANDEL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DF95E" w14:textId="050628E3" w:rsidR="00606600" w:rsidRPr="005C3A15" w:rsidRDefault="0073223F" w:rsidP="00E026EC">
    <w:pPr>
      <w:pStyle w:val="JuHeader"/>
    </w:pPr>
    <w:r>
      <w:t>WYROK</w:t>
    </w:r>
    <w:r w:rsidR="00F81EF8">
      <w:t xml:space="preserve"> </w:t>
    </w:r>
    <w:r>
      <w:t>WANDEL PRZECIWKO POLSCE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671FC" w14:textId="77777777" w:rsidR="00606600" w:rsidRPr="00DE7D3F" w:rsidRDefault="0073223F" w:rsidP="00E026EC">
    <w:pPr>
      <w:pStyle w:val="JuHeader"/>
    </w:pPr>
    <w:r>
      <w:t>WYROK WANDEL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AB0EE9B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C11269B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3F40D8A0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3B6427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C99CEC3E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C396D07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40A2DD6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2AD0E3B6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60D4FCA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46018372">
    <w:abstractNumId w:val="14"/>
  </w:num>
  <w:num w:numId="2" w16cid:durableId="842278977">
    <w:abstractNumId w:val="12"/>
  </w:num>
  <w:num w:numId="3" w16cid:durableId="1921988585">
    <w:abstractNumId w:val="11"/>
  </w:num>
  <w:num w:numId="4" w16cid:durableId="365496217">
    <w:abstractNumId w:val="17"/>
  </w:num>
  <w:num w:numId="5" w16cid:durableId="496926320">
    <w:abstractNumId w:val="7"/>
  </w:num>
  <w:num w:numId="6" w16cid:durableId="739474855">
    <w:abstractNumId w:val="6"/>
  </w:num>
  <w:num w:numId="7" w16cid:durableId="2111654931">
    <w:abstractNumId w:val="5"/>
  </w:num>
  <w:num w:numId="8" w16cid:durableId="1121802544">
    <w:abstractNumId w:val="4"/>
  </w:num>
  <w:num w:numId="9" w16cid:durableId="267661681">
    <w:abstractNumId w:val="8"/>
  </w:num>
  <w:num w:numId="10" w16cid:durableId="1491553208">
    <w:abstractNumId w:val="3"/>
  </w:num>
  <w:num w:numId="11" w16cid:durableId="505750012">
    <w:abstractNumId w:val="2"/>
  </w:num>
  <w:num w:numId="12" w16cid:durableId="105731806">
    <w:abstractNumId w:val="1"/>
  </w:num>
  <w:num w:numId="13" w16cid:durableId="637608693">
    <w:abstractNumId w:val="0"/>
  </w:num>
  <w:num w:numId="14" w16cid:durableId="12146477">
    <w:abstractNumId w:val="15"/>
  </w:num>
  <w:num w:numId="15" w16cid:durableId="1013384169">
    <w:abstractNumId w:val="13"/>
  </w:num>
  <w:num w:numId="16" w16cid:durableId="1495680313">
    <w:abstractNumId w:val="16"/>
  </w:num>
  <w:num w:numId="17" w16cid:durableId="780610277">
    <w:abstractNumId w:val="15"/>
  </w:num>
  <w:num w:numId="18" w16cid:durableId="756438758">
    <w:abstractNumId w:val="16"/>
  </w:num>
  <w:num w:numId="19" w16cid:durableId="307364371">
    <w:abstractNumId w:val="10"/>
  </w:num>
  <w:num w:numId="20" w16cid:durableId="17793137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LW_DocType" w:val="NORMAL"/>
    <w:docVar w:name="NBEMMDOC" w:val="0"/>
    <w:docVar w:name="Plural" w:val="0"/>
  </w:docVars>
  <w:rsids>
    <w:rsidRoot w:val="0013303D"/>
    <w:rsid w:val="00005A63"/>
    <w:rsid w:val="000318F7"/>
    <w:rsid w:val="00047648"/>
    <w:rsid w:val="000C5149"/>
    <w:rsid w:val="000F3E1F"/>
    <w:rsid w:val="0013303D"/>
    <w:rsid w:val="00135384"/>
    <w:rsid w:val="00142286"/>
    <w:rsid w:val="00143BA8"/>
    <w:rsid w:val="00150BFA"/>
    <w:rsid w:val="00173A91"/>
    <w:rsid w:val="00177329"/>
    <w:rsid w:val="001A15B6"/>
    <w:rsid w:val="001A3C4A"/>
    <w:rsid w:val="001D7CD3"/>
    <w:rsid w:val="001E099D"/>
    <w:rsid w:val="001F3812"/>
    <w:rsid w:val="002056B7"/>
    <w:rsid w:val="0020718E"/>
    <w:rsid w:val="0023364D"/>
    <w:rsid w:val="00234275"/>
    <w:rsid w:val="0026774D"/>
    <w:rsid w:val="0029309A"/>
    <w:rsid w:val="00295DCB"/>
    <w:rsid w:val="002C5B23"/>
    <w:rsid w:val="003234AD"/>
    <w:rsid w:val="00337785"/>
    <w:rsid w:val="0037589C"/>
    <w:rsid w:val="00384CA7"/>
    <w:rsid w:val="003B3ECB"/>
    <w:rsid w:val="0048584C"/>
    <w:rsid w:val="00497FF8"/>
    <w:rsid w:val="004B0B4E"/>
    <w:rsid w:val="004B3642"/>
    <w:rsid w:val="004D042B"/>
    <w:rsid w:val="004D0EC7"/>
    <w:rsid w:val="004F56E2"/>
    <w:rsid w:val="00521A48"/>
    <w:rsid w:val="00555A1D"/>
    <w:rsid w:val="00573202"/>
    <w:rsid w:val="005B102C"/>
    <w:rsid w:val="005B16C1"/>
    <w:rsid w:val="005C3A15"/>
    <w:rsid w:val="005F60F9"/>
    <w:rsid w:val="00606600"/>
    <w:rsid w:val="00611E1D"/>
    <w:rsid w:val="006372F5"/>
    <w:rsid w:val="00656431"/>
    <w:rsid w:val="006A4BB4"/>
    <w:rsid w:val="006D324D"/>
    <w:rsid w:val="006E7960"/>
    <w:rsid w:val="00701286"/>
    <w:rsid w:val="0073223F"/>
    <w:rsid w:val="00737F01"/>
    <w:rsid w:val="00740560"/>
    <w:rsid w:val="00743B2A"/>
    <w:rsid w:val="007662BE"/>
    <w:rsid w:val="007A72B4"/>
    <w:rsid w:val="007F018A"/>
    <w:rsid w:val="008410F7"/>
    <w:rsid w:val="008522DD"/>
    <w:rsid w:val="00860732"/>
    <w:rsid w:val="00887FDE"/>
    <w:rsid w:val="008A0E2E"/>
    <w:rsid w:val="008B3F8D"/>
    <w:rsid w:val="008D51B6"/>
    <w:rsid w:val="009522DD"/>
    <w:rsid w:val="00A329E0"/>
    <w:rsid w:val="00A34A54"/>
    <w:rsid w:val="00A44415"/>
    <w:rsid w:val="00A45145"/>
    <w:rsid w:val="00A6104A"/>
    <w:rsid w:val="00A94CA7"/>
    <w:rsid w:val="00AC03BB"/>
    <w:rsid w:val="00AD4413"/>
    <w:rsid w:val="00B216C1"/>
    <w:rsid w:val="00B64153"/>
    <w:rsid w:val="00B71F89"/>
    <w:rsid w:val="00B9040D"/>
    <w:rsid w:val="00B91668"/>
    <w:rsid w:val="00BD554D"/>
    <w:rsid w:val="00BE2415"/>
    <w:rsid w:val="00BF256C"/>
    <w:rsid w:val="00C20CC3"/>
    <w:rsid w:val="00C31C93"/>
    <w:rsid w:val="00C83E51"/>
    <w:rsid w:val="00C877A3"/>
    <w:rsid w:val="00CF1208"/>
    <w:rsid w:val="00DE7D3F"/>
    <w:rsid w:val="00E026EC"/>
    <w:rsid w:val="00E6230A"/>
    <w:rsid w:val="00E633BD"/>
    <w:rsid w:val="00EB58A5"/>
    <w:rsid w:val="00EB7833"/>
    <w:rsid w:val="00ED7723"/>
    <w:rsid w:val="00EE74ED"/>
    <w:rsid w:val="00F50FCF"/>
    <w:rsid w:val="00F72E04"/>
    <w:rsid w:val="00F77B91"/>
    <w:rsid w:val="00F81EF8"/>
    <w:rsid w:val="00F83E94"/>
    <w:rsid w:val="00FA4652"/>
    <w:rsid w:val="00FB0139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6475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F72E0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F72E0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F72E0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F72E0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F72E0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F72E0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F72E0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F72E04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F72E04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F72E04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F72E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F72E04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F72E04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F72E04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F72E04"/>
    <w:rPr>
      <w:color w:val="00B050"/>
      <w:sz w:val="22"/>
    </w:rPr>
  </w:style>
  <w:style w:type="character" w:styleId="Pogrubienie">
    <w:name w:val="Strong"/>
    <w:uiPriority w:val="98"/>
    <w:semiHidden/>
    <w:qFormat/>
    <w:rsid w:val="00F72E04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F72E04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F72E04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F72E04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F72E04"/>
    <w:pPr>
      <w:numPr>
        <w:numId w:val="2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F72E04"/>
    <w:pPr>
      <w:numPr>
        <w:ilvl w:val="2"/>
        <w:numId w:val="2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F72E04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F72E04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F72E04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F72E04"/>
    <w:pPr>
      <w:numPr>
        <w:numId w:val="14"/>
      </w:numPr>
    </w:pPr>
  </w:style>
  <w:style w:type="numbering" w:customStyle="1" w:styleId="ECHRA1StyleList">
    <w:name w:val="ECHR_A1_Style_List"/>
    <w:basedOn w:val="Bezlisty"/>
    <w:uiPriority w:val="99"/>
    <w:rsid w:val="00F72E04"/>
    <w:pPr>
      <w:numPr>
        <w:numId w:val="1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F72E04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F72E04"/>
    <w:pPr>
      <w:numPr>
        <w:numId w:val="16"/>
      </w:numPr>
    </w:pPr>
  </w:style>
  <w:style w:type="table" w:customStyle="1" w:styleId="ECHRTable2019">
    <w:name w:val="ECHR_Table_2019"/>
    <w:basedOn w:val="Standardowy"/>
    <w:uiPriority w:val="99"/>
    <w:rsid w:val="00F72E0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F72E04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F72E04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F72E04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F72E04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F72E04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F72E04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F72E04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F72E04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F72E04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F72E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F72E04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F72E04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F72E04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F72E04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F72E04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F72E04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F72E04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F72E04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F72E04"/>
    <w:pPr>
      <w:numPr>
        <w:ilvl w:val="1"/>
        <w:numId w:val="20"/>
      </w:numPr>
    </w:pPr>
  </w:style>
  <w:style w:type="paragraph" w:customStyle="1" w:styleId="NormalJustified">
    <w:name w:val="Normal_Justified"/>
    <w:basedOn w:val="Normalny"/>
    <w:semiHidden/>
    <w:rsid w:val="00F72E04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F72E04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F72E04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F72E04"/>
    <w:rPr>
      <w:i/>
      <w:iCs/>
    </w:rPr>
  </w:style>
  <w:style w:type="table" w:customStyle="1" w:styleId="ECHRTable">
    <w:name w:val="ECHR_Table"/>
    <w:basedOn w:val="Standardowy"/>
    <w:rsid w:val="00F72E04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F72E04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F72E04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F72E04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F72E04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F72E0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F72E04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F72E04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F72E04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F72E0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F72E04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F72E04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F72E04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F72E04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F72E04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F72E04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F72E0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F72E04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F72E04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F72E04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F72E04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F72E04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F72E04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F72E04"/>
    <w:rPr>
      <w:smallCaps/>
    </w:rPr>
  </w:style>
  <w:style w:type="table" w:styleId="Tabela-Siatka">
    <w:name w:val="Table Grid"/>
    <w:basedOn w:val="Standardowy"/>
    <w:uiPriority w:val="59"/>
    <w:semiHidden/>
    <w:rsid w:val="00F72E04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F72E0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F72E0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F72E0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F72E04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F72E0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F72E0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F72E04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F72E04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F72E04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F72E04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F72E04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F72E04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F72E04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F72E04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F72E04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F72E04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F72E04"/>
    <w:pPr>
      <w:ind w:firstLine="284"/>
    </w:pPr>
  </w:style>
  <w:style w:type="paragraph" w:styleId="Tekstblokowy">
    <w:name w:val="Block Text"/>
    <w:basedOn w:val="Normalny"/>
    <w:uiPriority w:val="98"/>
    <w:semiHidden/>
    <w:rsid w:val="00F72E04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F72E04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72E04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F72E04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F72E04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F72E04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F72E04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F72E04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F72E04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F72E04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F72E04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F72E04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F72E04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F72E04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F72E04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F72E0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F72E04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F72E04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F72E04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F72E04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F72E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F72E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F72E04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F72E04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F72E04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F72E04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F72E04"/>
    <w:pPr>
      <w:numPr>
        <w:numId w:val="4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F72E04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F72E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F72E04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F72E0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F72E04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F72E0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F72E04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F72E0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F72E04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F72E04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F72E04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F72E04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F72E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F72E04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F72E0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F72E0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F72E0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F72E0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F72E0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F72E0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F72E0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F72E04"/>
  </w:style>
  <w:style w:type="character" w:customStyle="1" w:styleId="DataZnak">
    <w:name w:val="Data Znak"/>
    <w:basedOn w:val="Domylnaczcionkaakapitu"/>
    <w:link w:val="Data"/>
    <w:uiPriority w:val="98"/>
    <w:semiHidden/>
    <w:rsid w:val="00F72E04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F72E0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F72E04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F72E04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F72E04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F72E0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F72E0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F72E04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F72E04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F72E04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F72E04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F72E04"/>
  </w:style>
  <w:style w:type="paragraph" w:styleId="HTML-adres">
    <w:name w:val="HTML Address"/>
    <w:basedOn w:val="Normalny"/>
    <w:link w:val="HTML-adresZnak"/>
    <w:uiPriority w:val="98"/>
    <w:semiHidden/>
    <w:rsid w:val="00F72E04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F72E04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F72E04"/>
    <w:rPr>
      <w:i/>
      <w:iCs/>
    </w:rPr>
  </w:style>
  <w:style w:type="character" w:styleId="HTML-kod">
    <w:name w:val="HTML Code"/>
    <w:basedOn w:val="Domylnaczcionkaakapitu"/>
    <w:uiPriority w:val="98"/>
    <w:semiHidden/>
    <w:rsid w:val="00F72E0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F72E04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F72E0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F72E04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F72E04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F72E0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F72E0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F72E04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F72E04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F72E04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F72E04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F72E04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F72E04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F72E04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F72E04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F72E04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F72E04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F72E04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F72E04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F72E04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F72E04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F72E04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F72E04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F72E04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F72E04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F72E04"/>
  </w:style>
  <w:style w:type="paragraph" w:styleId="Lista">
    <w:name w:val="List"/>
    <w:basedOn w:val="Normalny"/>
    <w:uiPriority w:val="98"/>
    <w:semiHidden/>
    <w:rsid w:val="00F72E04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F72E04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F72E04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F72E04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F72E04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F72E04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8"/>
    <w:semiHidden/>
    <w:rsid w:val="00F72E04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8"/>
    <w:semiHidden/>
    <w:rsid w:val="00F72E04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8"/>
    <w:semiHidden/>
    <w:rsid w:val="00F72E04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F72E04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F72E04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F72E04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F72E04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F72E04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F72E04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8"/>
    <w:semiHidden/>
    <w:rsid w:val="00F72E04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8"/>
    <w:semiHidden/>
    <w:rsid w:val="00F72E04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8"/>
    <w:semiHidden/>
    <w:rsid w:val="00F72E04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8"/>
    <w:semiHidden/>
    <w:rsid w:val="00F72E04"/>
    <w:pPr>
      <w:numPr>
        <w:numId w:val="13"/>
      </w:numPr>
      <w:contextualSpacing/>
    </w:pPr>
  </w:style>
  <w:style w:type="paragraph" w:styleId="Tekstmakra">
    <w:name w:val="macro"/>
    <w:link w:val="TekstmakraZnak"/>
    <w:uiPriority w:val="98"/>
    <w:semiHidden/>
    <w:rsid w:val="00F72E0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F72E04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F72E0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F72E0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F72E0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F72E0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F72E04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F72E04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F72E04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F72E04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F72E04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F72E0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F72E04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F72E04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F72E04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F72E04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F72E04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F72E04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F72E04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F72E04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F72E04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F72E04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F72E04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F72E04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F72E04"/>
  </w:style>
  <w:style w:type="table" w:styleId="Tabela-Profesjonalny">
    <w:name w:val="Table Professional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F72E04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F72E0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F72E0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F72E04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F72E04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F72E04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F72E04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F72E04"/>
  </w:style>
  <w:style w:type="paragraph" w:customStyle="1" w:styleId="DecList">
    <w:name w:val="Dec_List"/>
    <w:aliases w:val="_List"/>
    <w:basedOn w:val="JuList"/>
    <w:uiPriority w:val="22"/>
    <w:rsid w:val="00F72E04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F72E04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F72E04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F72E04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F72E04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F72E04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F72E04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F72E04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F72E04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F72E04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F72E04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F72E04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F72E04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F72E04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F72E04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F72E04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F72E04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F72E04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F72E04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F72E04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F72E04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F72E04"/>
    <w:rPr>
      <w:sz w:val="4"/>
    </w:rPr>
  </w:style>
  <w:style w:type="table" w:customStyle="1" w:styleId="ECHRTable2">
    <w:name w:val="ECHR_Table_2"/>
    <w:basedOn w:val="Standardowy"/>
    <w:uiPriority w:val="99"/>
    <w:rsid w:val="00F72E04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F72E0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F72E04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F72E04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F72E04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F72E0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F72E0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F72E0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F72E04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F72E04"/>
    <w:pPr>
      <w:outlineLvl w:val="0"/>
    </w:pPr>
  </w:style>
  <w:style w:type="table" w:customStyle="1" w:styleId="ECHRTableGrey">
    <w:name w:val="ECHR_Table_Grey"/>
    <w:basedOn w:val="Standardowy"/>
    <w:uiPriority w:val="99"/>
    <w:rsid w:val="00F72E04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72E04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F72E0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F72E04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F72E04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F72E04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F72E04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F72E04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F72E04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F72E04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F72E04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F72E04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F72E04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F72E04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F72E04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F72E04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F72E0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F72E0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F72E0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F72E0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F72E0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F72E0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F72E0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F72E04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F72E0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F72E0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F72E04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F72E0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F72E0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F72E0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F72E04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F72E0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F72E0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F72E04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F72E0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F72E0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F72E0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F72E04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F72E0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F72E0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F72E0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F72E0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F72E0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F72E0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F72E0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F72E04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F72E04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F72E04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F72E04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F72E04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F72E04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F72E04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F72E04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F72E0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F72E04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F72E04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F72E04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F72E04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F72E04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F72E04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F72E04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F72E04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F72E0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F72E0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F72E04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F72E0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F72E0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F72E0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F72E04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F72E04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F72E04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F72E04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F72E04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F72E04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F72E04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F72E04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F72E0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F72E04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F72E04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F72E0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F72E04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F72E04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F72E04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F72E0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0476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847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2024-09-20T10:15:00Z</dcterms:created>
  <dcterms:modified xsi:type="dcterms:W3CDTF">2024-09-25T09:41:00Z</dcterms:modified>
  <cp:category/>
</cp:coreProperties>
</file>