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BCC30" w14:textId="2965AEF3" w:rsidR="008D51B6" w:rsidRPr="005F116D" w:rsidRDefault="00E055B2" w:rsidP="005F116D">
      <w:pPr>
        <w:jc w:val="center"/>
      </w:pPr>
      <w:r>
        <w:softHyphen/>
      </w:r>
    </w:p>
    <w:p w14:paraId="491519DD" w14:textId="77777777" w:rsidR="000C5149" w:rsidRPr="005F116D" w:rsidRDefault="000C5149" w:rsidP="005F116D">
      <w:pPr>
        <w:jc w:val="center"/>
      </w:pPr>
    </w:p>
    <w:p w14:paraId="498E179D" w14:textId="77777777" w:rsidR="00606600" w:rsidRPr="005F116D" w:rsidRDefault="00B85429" w:rsidP="005F116D">
      <w:pPr>
        <w:pStyle w:val="DecHTitle"/>
      </w:pPr>
      <w:r>
        <w:t>SEKCJA PIERWSZA</w:t>
      </w:r>
    </w:p>
    <w:p w14:paraId="6B2CC430" w14:textId="77777777" w:rsidR="006D324D" w:rsidRPr="005F116D" w:rsidRDefault="00B85429" w:rsidP="005F116D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TERCZYŃSKI I INNI przeciwko POLSCE</w:t>
      </w:r>
    </w:p>
    <w:p w14:paraId="2F6F63B1" w14:textId="77777777" w:rsidR="006D324D" w:rsidRPr="005F116D" w:rsidRDefault="00B85429" w:rsidP="005F116D">
      <w:pPr>
        <w:pStyle w:val="ECHRCoverTitle4"/>
      </w:pPr>
      <w:r>
        <w:t>(Skargi nr 45960/21 i 2 inne – zob. załączony wykaz)</w:t>
      </w:r>
    </w:p>
    <w:p w14:paraId="5F5059B0" w14:textId="77777777" w:rsidR="006D324D" w:rsidRPr="005F116D" w:rsidRDefault="006D324D" w:rsidP="005F116D">
      <w:pPr>
        <w:pStyle w:val="DecHCase"/>
      </w:pPr>
    </w:p>
    <w:p w14:paraId="288D8D5B" w14:textId="77777777" w:rsidR="006D324D" w:rsidRPr="005F116D" w:rsidRDefault="006D324D" w:rsidP="005F116D">
      <w:pPr>
        <w:pStyle w:val="DecHCase"/>
      </w:pPr>
    </w:p>
    <w:p w14:paraId="59749C6C" w14:textId="77777777" w:rsidR="00606600" w:rsidRPr="005F116D" w:rsidRDefault="00606600" w:rsidP="005F116D">
      <w:pPr>
        <w:pStyle w:val="DecHCase"/>
      </w:pPr>
    </w:p>
    <w:p w14:paraId="69A1B632" w14:textId="77777777" w:rsidR="00606600" w:rsidRPr="005F116D" w:rsidRDefault="00606600" w:rsidP="005F116D">
      <w:pPr>
        <w:pStyle w:val="DecHCase"/>
      </w:pPr>
    </w:p>
    <w:p w14:paraId="7BD789A2" w14:textId="77777777" w:rsidR="00606600" w:rsidRPr="005F116D" w:rsidRDefault="00606600" w:rsidP="005F116D">
      <w:pPr>
        <w:pStyle w:val="DecHCase"/>
      </w:pPr>
    </w:p>
    <w:p w14:paraId="16C7F428" w14:textId="77777777" w:rsidR="00606600" w:rsidRPr="005F116D" w:rsidRDefault="00606600" w:rsidP="005F116D">
      <w:pPr>
        <w:pStyle w:val="DecHCase"/>
      </w:pPr>
    </w:p>
    <w:p w14:paraId="0FEE5004" w14:textId="77777777" w:rsidR="00606600" w:rsidRPr="005F116D" w:rsidRDefault="00B85429" w:rsidP="005F116D">
      <w:pPr>
        <w:pStyle w:val="DecHCase"/>
      </w:pPr>
      <w:r>
        <w:t>WYROK</w:t>
      </w:r>
    </w:p>
    <w:p w14:paraId="448066BF" w14:textId="77777777" w:rsidR="00606600" w:rsidRPr="005F116D" w:rsidRDefault="00606600" w:rsidP="005F116D">
      <w:pPr>
        <w:jc w:val="center"/>
        <w:rPr>
          <w:i/>
        </w:rPr>
      </w:pPr>
    </w:p>
    <w:p w14:paraId="0CF27732" w14:textId="77777777" w:rsidR="00606600" w:rsidRPr="005F116D" w:rsidRDefault="00B85429" w:rsidP="005F116D">
      <w:pPr>
        <w:pStyle w:val="DecHCase"/>
      </w:pPr>
      <w:r>
        <w:t>STRASBURG</w:t>
      </w:r>
    </w:p>
    <w:p w14:paraId="4CD3696B" w14:textId="77777777" w:rsidR="00606600" w:rsidRPr="005F116D" w:rsidRDefault="00B85429" w:rsidP="005F116D">
      <w:pPr>
        <w:pStyle w:val="DecHCase"/>
      </w:pPr>
      <w:r>
        <w:t>6 czerwca 2024 r.</w:t>
      </w:r>
    </w:p>
    <w:p w14:paraId="658006CF" w14:textId="77777777" w:rsidR="00606600" w:rsidRPr="005F116D" w:rsidRDefault="00606600" w:rsidP="005F116D">
      <w:pPr>
        <w:jc w:val="center"/>
      </w:pPr>
    </w:p>
    <w:p w14:paraId="7B922456" w14:textId="77777777" w:rsidR="00606600" w:rsidRPr="005F116D" w:rsidRDefault="00B85429" w:rsidP="005F116D">
      <w:pPr>
        <w:rPr>
          <w:sz w:val="22"/>
          <w:szCs w:val="22"/>
        </w:rPr>
      </w:pPr>
      <w:r>
        <w:rPr>
          <w:i/>
          <w:sz w:val="22"/>
          <w:szCs w:val="22"/>
        </w:rPr>
        <w:t>Wyrok ten stał się ostateczny, lecz może podlegać korekcie wydawniczej.</w:t>
      </w:r>
    </w:p>
    <w:p w14:paraId="30890216" w14:textId="77777777" w:rsidR="00606600" w:rsidRPr="005F116D" w:rsidRDefault="00606600" w:rsidP="005F116D">
      <w:pPr>
        <w:pStyle w:val="JuCase"/>
        <w:sectPr w:rsidR="00606600" w:rsidRPr="005F116D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321CFCD" w14:textId="77777777" w:rsidR="00606600" w:rsidRPr="005F116D" w:rsidRDefault="00B85429" w:rsidP="005F116D">
      <w:pPr>
        <w:pStyle w:val="JuCase"/>
        <w:rPr>
          <w:bCs/>
        </w:rPr>
      </w:pPr>
      <w:r>
        <w:lastRenderedPageBreak/>
        <w:t>W sprawie Terczyński i Inni przeciwko Polsce</w:t>
      </w:r>
    </w:p>
    <w:p w14:paraId="132D9BBB" w14:textId="77777777" w:rsidR="00606600" w:rsidRPr="005F116D" w:rsidRDefault="00B85429" w:rsidP="005F116D">
      <w:pPr>
        <w:pStyle w:val="JuPara"/>
      </w:pPr>
      <w:r>
        <w:t>Europejski Trybunał Praw Człowieka (sekcja pierwsza), zasiadając jako Komitet w składzie:</w:t>
      </w:r>
    </w:p>
    <w:p w14:paraId="57BC0782" w14:textId="77777777" w:rsidR="002C5B23" w:rsidRPr="005F116D" w:rsidRDefault="00B85429" w:rsidP="005F116D">
      <w:pPr>
        <w:pStyle w:val="JuJudges"/>
      </w:pPr>
      <w:r>
        <w:tab/>
        <w:t>Péter Paczolay</w:t>
      </w:r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  <w:t>Raffaele Sabato</w:t>
      </w:r>
      <w:r>
        <w:rPr>
          <w:i/>
        </w:rPr>
        <w:t>, sędziowie</w:t>
      </w:r>
      <w:r>
        <w:t>,</w:t>
      </w:r>
    </w:p>
    <w:p w14:paraId="6378F75E" w14:textId="77777777" w:rsidR="00606600" w:rsidRPr="005F116D" w:rsidRDefault="00B85429" w:rsidP="005F116D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32B6B5A1" w14:textId="77777777" w:rsidR="00606600" w:rsidRPr="005F116D" w:rsidRDefault="00B85429" w:rsidP="005F116D">
      <w:pPr>
        <w:pStyle w:val="JuPara"/>
      </w:pPr>
      <w:r>
        <w:t>obradując na posiedzeniu niejawnym w dniu 16 maja 2024 r.,</w:t>
      </w:r>
    </w:p>
    <w:p w14:paraId="2662AB38" w14:textId="77777777" w:rsidR="00606600" w:rsidRPr="005F116D" w:rsidRDefault="00B85429" w:rsidP="005F116D">
      <w:pPr>
        <w:pStyle w:val="JuPara"/>
      </w:pPr>
      <w:r>
        <w:t>wydaje następujący wyrok, który został przyjęty w tym dniu:</w:t>
      </w:r>
    </w:p>
    <w:p w14:paraId="324F52FE" w14:textId="77777777" w:rsidR="00D41AD6" w:rsidRPr="005F116D" w:rsidRDefault="00B85429" w:rsidP="005F116D">
      <w:pPr>
        <w:pStyle w:val="JuHHead"/>
      </w:pPr>
      <w:bookmarkStart w:id="1" w:name="ITMARKStartJudgment"/>
      <w:bookmarkEnd w:id="1"/>
      <w:r>
        <w:t>POSTĘPOWANIE</w:t>
      </w:r>
    </w:p>
    <w:p w14:paraId="282FB756" w14:textId="4D74DB4D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1</w:t>
      </w:r>
      <w:r w:rsidRPr="005F116D">
        <w:fldChar w:fldCharType="end"/>
      </w:r>
      <w:r>
        <w:t>.  Sprawa wywodzi się ze skarg przeciwko Polsce, wniesionych do Trybunału na podstawie art. 34 Konwencji o ochronie praw człowieka i podstawowych wolności („Konwencja”) w różnych terminach wskazanych w załączonej tabeli.</w:t>
      </w:r>
    </w:p>
    <w:p w14:paraId="499928A5" w14:textId="2D60E4D8" w:rsidR="00D41AD6" w:rsidRPr="005F116D" w:rsidRDefault="00B85429" w:rsidP="005F116D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A61210">
        <w:rPr>
          <w:noProof/>
        </w:rPr>
        <w:t>2</w:t>
      </w:r>
      <w:r>
        <w:rPr>
          <w:noProof/>
        </w:rPr>
        <w:fldChar w:fldCharType="end"/>
      </w:r>
      <w:r>
        <w:t xml:space="preserve">.  Sprawy zostały zakomunikowane </w:t>
      </w:r>
      <w:r w:rsidR="00E055B2">
        <w:t>R</w:t>
      </w:r>
      <w:r>
        <w:t>ządowi polskiemu („Rząd”).</w:t>
      </w:r>
    </w:p>
    <w:p w14:paraId="13B929F2" w14:textId="77777777" w:rsidR="00D41AD6" w:rsidRPr="005F116D" w:rsidRDefault="00B85429" w:rsidP="005F116D">
      <w:pPr>
        <w:pStyle w:val="JuHHead"/>
      </w:pPr>
      <w:r>
        <w:t>FAKTY</w:t>
      </w:r>
    </w:p>
    <w:p w14:paraId="418AE0E3" w14:textId="43514428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3</w:t>
      </w:r>
      <w:r w:rsidRPr="005F116D">
        <w:fldChar w:fldCharType="end"/>
      </w:r>
      <w:r>
        <w:t>.  Wykaz skarżących oraz informacje istotne dla skarg zostały przedstawione w załączonej tabeli.</w:t>
      </w:r>
    </w:p>
    <w:p w14:paraId="07E2323F" w14:textId="69A7EFD0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4</w:t>
      </w:r>
      <w:r w:rsidRPr="005F116D">
        <w:fldChar w:fldCharType="end"/>
      </w:r>
      <w:r>
        <w:t>.  </w:t>
      </w:r>
      <w:r>
        <w:rPr>
          <w:color w:val="000000"/>
        </w:rPr>
        <w:t>Skarżący zarzucili przewlekłość postępowania cywilnego oraz brak skutecznego środka odwoławczego w prawie krajowym</w:t>
      </w:r>
      <w:r>
        <w:rPr>
          <w:bCs/>
          <w:color w:val="000000"/>
        </w:rPr>
        <w:t>.</w:t>
      </w:r>
    </w:p>
    <w:p w14:paraId="0BAE3CD5" w14:textId="77777777" w:rsidR="00D41AD6" w:rsidRPr="005F116D" w:rsidRDefault="00B85429" w:rsidP="005F116D">
      <w:pPr>
        <w:pStyle w:val="JuHHead"/>
      </w:pPr>
      <w:r>
        <w:t>PRAWO</w:t>
      </w:r>
    </w:p>
    <w:p w14:paraId="366075B8" w14:textId="77777777" w:rsidR="00D41AD6" w:rsidRPr="005F116D" w:rsidRDefault="00B85429" w:rsidP="005F116D">
      <w:pPr>
        <w:pStyle w:val="JuHIRoman"/>
      </w:pPr>
      <w:r>
        <w:t xml:space="preserve"> POŁĄCZENIE SKARG</w:t>
      </w:r>
    </w:p>
    <w:p w14:paraId="2D90F27B" w14:textId="52E93DE3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5</w:t>
      </w:r>
      <w:r w:rsidRPr="005F116D">
        <w:fldChar w:fldCharType="end"/>
      </w:r>
      <w:r>
        <w:t>.  Mając na uwadze podobieństwo przedmiotu skarg, Trybunał uznaje za stosowne rozstrzygnąć je łącznie w jednym wyroku.</w:t>
      </w:r>
    </w:p>
    <w:p w14:paraId="2CB31BF9" w14:textId="77777777" w:rsidR="00D41AD6" w:rsidRPr="005F116D" w:rsidRDefault="00B85429" w:rsidP="005F116D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Z LISTY NA PODSTAWIE ART. 37 UST. 1 KONWENCJI</w:t>
      </w:r>
    </w:p>
    <w:p w14:paraId="6E44D747" w14:textId="731B0873" w:rsidR="00D41AD6" w:rsidRPr="005F116D" w:rsidRDefault="00B85429" w:rsidP="005F116D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A61210">
        <w:rPr>
          <w:noProof/>
        </w:rPr>
        <w:t>6</w:t>
      </w:r>
      <w:r>
        <w:rPr>
          <w:noProof/>
        </w:rPr>
        <w:fldChar w:fldCharType="end"/>
      </w:r>
      <w:r>
        <w:t xml:space="preserve">.  W odniesieniu do wszystkich trzech skarg Rząd przedłożył jednostronne oświadczenia, które nie stanowiły wystarczającej podstawy do stwierdzenia, że poszanowanie praw człowieka w rozumieniu 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z listy i w związku z tym będzie kontynuował badanie przedmiotu spraw (zob. </w:t>
      </w:r>
      <w:r>
        <w:rPr>
          <w:i/>
        </w:rPr>
        <w:t>Tahsin Acar przeciwko Turcji</w:t>
      </w:r>
      <w:r>
        <w:t xml:space="preserve"> (kwestia wstępna) [WI], nr 26307/95, </w:t>
      </w:r>
      <w:r w:rsidR="00E055B2">
        <w:t>§</w:t>
      </w:r>
      <w:r>
        <w:t xml:space="preserve"> 75, </w:t>
      </w:r>
      <w:proofErr w:type="spellStart"/>
      <w:r>
        <w:t>ETPCz</w:t>
      </w:r>
      <w:proofErr w:type="spellEnd"/>
      <w:r>
        <w:t xml:space="preserve"> 2003</w:t>
      </w:r>
      <w:r>
        <w:noBreakHyphen/>
        <w:t>VI).</w:t>
      </w:r>
    </w:p>
    <w:p w14:paraId="6203A4FE" w14:textId="77777777" w:rsidR="00D41AD6" w:rsidRPr="005F116D" w:rsidRDefault="00B85429" w:rsidP="005F116D">
      <w:pPr>
        <w:pStyle w:val="JuHIRoman"/>
      </w:pPr>
      <w:r>
        <w:lastRenderedPageBreak/>
        <w:t>ZARZUCANE NARUSZENIE ART. 6 UST. 1 I ART. 13 KONWENCJI</w:t>
      </w:r>
    </w:p>
    <w:p w14:paraId="40DD9B2F" w14:textId="55513F38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7</w:t>
      </w:r>
      <w:r w:rsidRPr="005F116D">
        <w:fldChar w:fldCharType="end"/>
      </w:r>
      <w:r>
        <w:t xml:space="preserve">.  Skarżący zarzucili, że czas trwania </w:t>
      </w:r>
      <w:r>
        <w:t>przedmiotowych postępowań w sprawach cywilnych był niezgodny z wymogiem „rozsądnego terminu” i że w związku</w:t>
      </w:r>
      <w:r>
        <w:t xml:space="preserve"> byli pozbawieni skutecznego środka odwoławczego</w:t>
      </w:r>
      <w:r w:rsidR="00E055B2">
        <w:t xml:space="preserve"> w tym względzie</w:t>
      </w:r>
      <w:r>
        <w:t>. Powołali się na art. 6 ust. 1 i art. 13 Konwencji.</w:t>
      </w:r>
    </w:p>
    <w:p w14:paraId="10973E08" w14:textId="55FA2804" w:rsidR="00D41AD6" w:rsidRPr="005F116D" w:rsidRDefault="00B85429" w:rsidP="005F116D">
      <w:pPr>
        <w:pStyle w:val="JuPara"/>
        <w:rPr>
          <w:strike/>
        </w:rPr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8</w:t>
      </w:r>
      <w:r w:rsidRPr="005F116D">
        <w:fldChar w:fldCharType="end"/>
      </w:r>
      <w:r>
        <w:t>.  Trybunał podkreśla, że rozsądny charakter czasu trwania postępowania należy oceniać w świetle okoliczności sprawy</w:t>
      </w:r>
      <w:r w:rsidR="00E055B2">
        <w:t xml:space="preserve"> </w:t>
      </w:r>
      <w:r>
        <w:t>i</w:t>
      </w:r>
      <w:r w:rsidR="00E055B2">
        <w:t xml:space="preserve"> </w:t>
      </w:r>
      <w:r>
        <w:t>z</w:t>
      </w:r>
      <w:r w:rsidR="00E055B2">
        <w:t xml:space="preserve"> </w:t>
      </w:r>
      <w:r>
        <w:t>uwzględnieniem następujących kryteriów: złożoności sprawy, zachowania skarżących i organów procesowych oraz znaczenia sprawy dla interesów skarżących (zob.</w:t>
      </w:r>
      <w:r w:rsidR="00E055B2">
        <w:t xml:space="preserve"> </w:t>
      </w:r>
      <w:proofErr w:type="spellStart"/>
      <w:r>
        <w:rPr>
          <w:i/>
        </w:rPr>
        <w:t>Frydlender</w:t>
      </w:r>
      <w:proofErr w:type="spellEnd"/>
      <w:r>
        <w:rPr>
          <w:i/>
        </w:rPr>
        <w:t xml:space="preserve"> </w:t>
      </w:r>
      <w:r>
        <w:rPr>
          <w:i/>
          <w:iCs/>
        </w:rPr>
        <w:t>przeciwko Francji</w:t>
      </w:r>
      <w:r w:rsidR="00E055B2">
        <w:rPr>
          <w:i/>
        </w:rPr>
        <w:t xml:space="preserve"> </w:t>
      </w:r>
      <w:r>
        <w:t>[WI],</w:t>
      </w:r>
      <w:r w:rsidR="00E055B2">
        <w:t xml:space="preserve"> </w:t>
      </w:r>
      <w:r>
        <w:t>nr</w:t>
      </w:r>
      <w:r w:rsidR="00E055B2">
        <w:t xml:space="preserve"> </w:t>
      </w:r>
      <w:r>
        <w:t>30979/96,</w:t>
      </w:r>
      <w:r w:rsidR="00E055B2">
        <w:t xml:space="preserve"> § </w:t>
      </w:r>
      <w:r>
        <w:t xml:space="preserve">43, </w:t>
      </w:r>
      <w:proofErr w:type="spellStart"/>
      <w:r>
        <w:t>ETPCz</w:t>
      </w:r>
      <w:proofErr w:type="spellEnd"/>
      <w:r w:rsidR="00E055B2">
        <w:t xml:space="preserve"> </w:t>
      </w:r>
      <w:r>
        <w:t>2000</w:t>
      </w:r>
      <w:r>
        <w:noBreakHyphen/>
        <w:t>VII).</w:t>
      </w:r>
    </w:p>
    <w:p w14:paraId="15337839" w14:textId="118AB651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9</w:t>
      </w:r>
      <w:r w:rsidRPr="005F116D">
        <w:fldChar w:fldCharType="end"/>
      </w:r>
      <w:r>
        <w:t xml:space="preserve">.  Już w wyroku w precedensowej sprawie </w:t>
      </w:r>
      <w:r>
        <w:rPr>
          <w:i/>
          <w:iCs/>
        </w:rPr>
        <w:t>Rutkowski i Inni przeciwko Polsce</w:t>
      </w:r>
      <w:r>
        <w:t>, skargi nr 72287/10 i 2 inne, z dnia 7 lipca 2015 r., Trybunał stwierdził naruszenie art. 6 Konwencji w odniesieniu do czasu trwania postępowania sądowego.</w:t>
      </w:r>
    </w:p>
    <w:p w14:paraId="7297E8D6" w14:textId="0FA5E3C8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10</w:t>
      </w:r>
      <w:r w:rsidRPr="005F116D">
        <w:fldChar w:fldCharType="end"/>
      </w:r>
      <w:r>
        <w:t>.  Po zapoznaniu się z całością przedstawionego mu materiału Trybunał nie ustalił żadnych okoliczności faktycznych ani argumentów, które uzasadniałaby łączny czas trwania postępowania na poziomie krajowym. Uwzględniając swoje orzecznictwo w tym zakresie, Trybunał stwierdza, że postępowanie w przedmiotowej sprawie było przewlekłe i nie został spełniony wymóg „rozsądnego terminu”.</w:t>
      </w:r>
    </w:p>
    <w:p w14:paraId="48CC5A8B" w14:textId="30281DBC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11</w:t>
      </w:r>
      <w:r w:rsidRPr="005F116D">
        <w:fldChar w:fldCharType="end"/>
      </w:r>
      <w:r>
        <w:t>.  Trybunał zauważa ponadto, że skarżący nie mieli do dyspozycji skutecznego środka odwoławczego w odniesieniu do tych zarzutów</w:t>
      </w:r>
      <w:r>
        <w:t>.</w:t>
      </w:r>
    </w:p>
    <w:p w14:paraId="62BA69A0" w14:textId="743A970A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12</w:t>
      </w:r>
      <w:r w:rsidRPr="005F116D">
        <w:fldChar w:fldCharType="end"/>
      </w:r>
      <w:r>
        <w:t>.  Zarzuty</w:t>
      </w:r>
      <w:r>
        <w:t xml:space="preserve"> te są zatem dopuszczalne i wskazują na naruszenie art. 6 ust. 1 oraz art. 13 Konwencji.</w:t>
      </w:r>
    </w:p>
    <w:p w14:paraId="247304E1" w14:textId="77777777" w:rsidR="00D41AD6" w:rsidRPr="005F116D" w:rsidRDefault="00B85429" w:rsidP="005F116D">
      <w:pPr>
        <w:pStyle w:val="JuHIRoman"/>
      </w:pPr>
      <w:r>
        <w:t>ZASTOSOWANIE ART. 41 KONWENCJI</w:t>
      </w:r>
    </w:p>
    <w:p w14:paraId="6B8EF8D6" w14:textId="0048EB4F" w:rsidR="00D41AD6" w:rsidRPr="005F116D" w:rsidRDefault="00B85429" w:rsidP="005F116D">
      <w:pPr>
        <w:pStyle w:val="JuPara"/>
      </w:pPr>
      <w:r w:rsidRPr="005F116D">
        <w:fldChar w:fldCharType="begin"/>
      </w:r>
      <w:r w:rsidRPr="005F116D">
        <w:instrText xml:space="preserve"> SEQ level0 \*arabic </w:instrText>
      </w:r>
      <w:r w:rsidRPr="005F116D">
        <w:fldChar w:fldCharType="separate"/>
      </w:r>
      <w:r w:rsidR="00A61210">
        <w:rPr>
          <w:noProof/>
        </w:rPr>
        <w:t>13</w:t>
      </w:r>
      <w:r w:rsidRPr="005F116D">
        <w:fldChar w:fldCharType="end"/>
      </w:r>
      <w:r>
        <w:t xml:space="preserve">.  Uwzględniając posiadaną dokumentację oraz swoje orzecznictwo (zob. w szczególności ww. wyrok w sprawie </w:t>
      </w:r>
      <w:r>
        <w:rPr>
          <w:i/>
          <w:iCs/>
        </w:rPr>
        <w:t>Rutkowski i Inni</w:t>
      </w:r>
      <w:r>
        <w:t>), Trybunał uważa za zasadne zasądzenie kwot wskazanych w załączonej tabeli.</w:t>
      </w:r>
    </w:p>
    <w:p w14:paraId="66ED266C" w14:textId="77777777" w:rsidR="00D41AD6" w:rsidRPr="005F116D" w:rsidRDefault="00B85429" w:rsidP="005F116D">
      <w:pPr>
        <w:pStyle w:val="JuHHead"/>
      </w:pPr>
      <w:r>
        <w:t xml:space="preserve">Z </w:t>
      </w:r>
      <w:r>
        <w:t>TYCH PRZYCZYN TRYBUNAŁ JEDNOGŁOŚNIE</w:t>
      </w:r>
    </w:p>
    <w:p w14:paraId="32E7E0AA" w14:textId="77777777" w:rsidR="00D41AD6" w:rsidRPr="005F116D" w:rsidRDefault="00B85429" w:rsidP="005F116D">
      <w:pPr>
        <w:pStyle w:val="JuList"/>
        <w:ind w:left="0" w:firstLine="0"/>
      </w:pPr>
      <w:r>
        <w:rPr>
          <w:i/>
          <w:iCs/>
        </w:rPr>
        <w:t>postanawia</w:t>
      </w:r>
      <w:r>
        <w:t xml:space="preserve"> połączyć skargi;</w:t>
      </w:r>
    </w:p>
    <w:p w14:paraId="04A2B506" w14:textId="77777777" w:rsidR="00D41AD6" w:rsidRPr="005F116D" w:rsidRDefault="00B85429" w:rsidP="005F116D">
      <w:pPr>
        <w:pStyle w:val="JuList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710763CB" w14:textId="77777777" w:rsidR="00D41AD6" w:rsidRPr="005F116D" w:rsidRDefault="00B85429" w:rsidP="005F116D">
      <w:pPr>
        <w:pStyle w:val="JuList"/>
      </w:pPr>
      <w:r>
        <w:rPr>
          <w:i/>
        </w:rPr>
        <w:t>uznaje</w:t>
      </w:r>
      <w:r>
        <w:t xml:space="preserve"> skargi za dopuszczalne;</w:t>
      </w:r>
    </w:p>
    <w:p w14:paraId="438C60ED" w14:textId="77777777" w:rsidR="00D41AD6" w:rsidRPr="005F116D" w:rsidRDefault="00B85429" w:rsidP="005F116D">
      <w:pPr>
        <w:pStyle w:val="JuList"/>
      </w:pPr>
      <w:r>
        <w:rPr>
          <w:i/>
          <w:iCs/>
        </w:rPr>
        <w:t>stwierdza</w:t>
      </w:r>
      <w:r>
        <w:t>, że skargi te ujawniają naruszenie art. 6 ust. 1 i art. 13 Konwencji, polegające na przewlekłości postępowania cywilnego i braku skutecznego środka odwoławczego w prawie krajowym;</w:t>
      </w:r>
    </w:p>
    <w:p w14:paraId="7B6F3970" w14:textId="77777777" w:rsidR="00D41AD6" w:rsidRPr="005F116D" w:rsidRDefault="00B85429" w:rsidP="005F116D">
      <w:pPr>
        <w:pStyle w:val="JuList"/>
      </w:pPr>
      <w:r>
        <w:rPr>
          <w:i/>
          <w:iCs/>
        </w:rPr>
        <w:lastRenderedPageBreak/>
        <w:t>stwierdza</w:t>
      </w:r>
    </w:p>
    <w:p w14:paraId="74FB799E" w14:textId="77777777" w:rsidR="00D41AD6" w:rsidRPr="005F116D" w:rsidRDefault="00B85429" w:rsidP="005F116D">
      <w:pPr>
        <w:pStyle w:val="JuLista"/>
      </w:pPr>
      <w:r>
        <w:t>że pozwane państwo winno, w terminie trzech miesięcy, uiścić na rzecz skarżących kwoty wskazane w załączonej tabeli, przeliczone na walutę pozwanego państwa według kursu obowiązującego w dniu płatności;</w:t>
      </w:r>
    </w:p>
    <w:p w14:paraId="6E758D05" w14:textId="77777777" w:rsidR="00606600" w:rsidRPr="005F116D" w:rsidRDefault="00B85429" w:rsidP="005F116D">
      <w:pPr>
        <w:pStyle w:val="JuLista"/>
      </w:pPr>
      <w:r>
        <w:t>że,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 trzy punkty procentowe.</w:t>
      </w:r>
    </w:p>
    <w:p w14:paraId="2EAFE4F0" w14:textId="77777777" w:rsidR="00606600" w:rsidRPr="005F116D" w:rsidRDefault="00B85429" w:rsidP="005F116D">
      <w:pPr>
        <w:pStyle w:val="JuParaLast"/>
      </w:pPr>
      <w:r>
        <w:t>Sporządzono w języku angielskim i obwieszczono pisemnie w dniu 6 czerwca 2024 r. zgodnie z Regułą 77 § 2 i 3 Regulaminu Trybunału.</w:t>
      </w:r>
    </w:p>
    <w:p w14:paraId="2CEEA939" w14:textId="77777777" w:rsidR="00B91668" w:rsidRPr="005F116D" w:rsidRDefault="00B85429" w:rsidP="005F116D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  <w:r>
        <w:br/>
      </w:r>
      <w:r>
        <w:tab/>
        <w:t>p.o. Zastępcy Kanclerza Sekcji</w:t>
      </w:r>
      <w:r>
        <w:tab/>
        <w:t>Przewodniczący</w:t>
      </w:r>
    </w:p>
    <w:p w14:paraId="5ADEC7F9" w14:textId="77777777" w:rsidR="00B91668" w:rsidRPr="005F116D" w:rsidRDefault="00B91668" w:rsidP="005F116D">
      <w:pPr>
        <w:rPr>
          <w:rFonts w:eastAsia="PMingLiU"/>
        </w:rPr>
      </w:pPr>
    </w:p>
    <w:p w14:paraId="2FAA7440" w14:textId="77777777" w:rsidR="00BD554D" w:rsidRPr="005F116D" w:rsidRDefault="00B85429" w:rsidP="005F116D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393A7818" w14:textId="77777777" w:rsidR="00606600" w:rsidRPr="005F116D" w:rsidRDefault="00606600" w:rsidP="005F116D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131DF714" w14:textId="77777777" w:rsidR="00606600" w:rsidRPr="005F116D" w:rsidRDefault="00606600" w:rsidP="005F116D">
      <w:pPr>
        <w:pStyle w:val="JuParaLast"/>
        <w:sectPr w:rsidR="00606600" w:rsidRPr="005F116D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7F9C833E" w14:textId="77777777" w:rsidR="00606600" w:rsidRPr="005F116D" w:rsidRDefault="00B85429" w:rsidP="005F116D">
      <w:pPr>
        <w:pStyle w:val="DecHTitle"/>
      </w:pPr>
      <w:r>
        <w:lastRenderedPageBreak/>
        <w:t>ZAŁĄCZNIK</w:t>
      </w:r>
    </w:p>
    <w:p w14:paraId="3263DE94" w14:textId="77777777" w:rsidR="00606600" w:rsidRPr="005F116D" w:rsidRDefault="00B85429" w:rsidP="005F116D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 xml:space="preserve">Wykaz skarg, w których podniesiono zarzuty na </w:t>
      </w:r>
      <w:r>
        <w:rPr>
          <w:color w:val="3E3E3E" w:themeColor="background2" w:themeShade="40"/>
        </w:rPr>
        <w:t>podstawie art. 6 ust. 1 i art. 13 Konwencji</w:t>
      </w:r>
    </w:p>
    <w:p w14:paraId="3C5EB3C0" w14:textId="77777777" w:rsidR="00606600" w:rsidRPr="005F116D" w:rsidRDefault="00B85429" w:rsidP="005F116D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postępowania cywilnego oraz brak skutecznego środka odwoławczego w prawie krajowym)</w:t>
      </w:r>
    </w:p>
    <w:tbl>
      <w:tblPr>
        <w:tblStyle w:val="ECHRListTable"/>
        <w:tblW w:w="15021" w:type="dxa"/>
        <w:jc w:val="center"/>
        <w:tblLook w:val="0420" w:firstRow="1" w:lastRow="0" w:firstColumn="0" w:lastColumn="0" w:noHBand="0" w:noVBand="1"/>
      </w:tblPr>
      <w:tblGrid>
        <w:gridCol w:w="453"/>
        <w:gridCol w:w="1671"/>
        <w:gridCol w:w="1410"/>
        <w:gridCol w:w="1728"/>
        <w:gridCol w:w="1150"/>
        <w:gridCol w:w="1340"/>
        <w:gridCol w:w="1861"/>
        <w:gridCol w:w="2770"/>
        <w:gridCol w:w="2638"/>
      </w:tblGrid>
      <w:tr w:rsidR="004A3AC0" w14:paraId="386408D3" w14:textId="77777777" w:rsidTr="004A3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2" w:type="dxa"/>
          </w:tcPr>
          <w:p w14:paraId="18229A6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Lp.</w:t>
            </w:r>
          </w:p>
        </w:tc>
        <w:tc>
          <w:tcPr>
            <w:tcW w:w="1696" w:type="dxa"/>
          </w:tcPr>
          <w:p w14:paraId="0289359D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Nr skargi</w:t>
            </w:r>
          </w:p>
          <w:p w14:paraId="64DA684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złożenia</w:t>
            </w:r>
          </w:p>
        </w:tc>
        <w:tc>
          <w:tcPr>
            <w:tcW w:w="1416" w:type="dxa"/>
          </w:tcPr>
          <w:p w14:paraId="29DE638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skarżącego</w:t>
            </w:r>
          </w:p>
          <w:p w14:paraId="539C06D5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23BEF159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7" w:type="dxa"/>
          </w:tcPr>
          <w:p w14:paraId="6F3DA03F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oraz adres zamieszkania/siedziby pełnomocnika</w:t>
            </w:r>
          </w:p>
        </w:tc>
        <w:tc>
          <w:tcPr>
            <w:tcW w:w="1133" w:type="dxa"/>
          </w:tcPr>
          <w:p w14:paraId="2A398494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1348" w:type="dxa"/>
          </w:tcPr>
          <w:p w14:paraId="7B9FE69F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1891" w:type="dxa"/>
          </w:tcPr>
          <w:p w14:paraId="405F5F3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Całkowity czas trwania postępowania</w:t>
            </w:r>
          </w:p>
          <w:p w14:paraId="25D3B757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 sądowych</w:t>
            </w:r>
          </w:p>
        </w:tc>
        <w:tc>
          <w:tcPr>
            <w:tcW w:w="2835" w:type="dxa"/>
          </w:tcPr>
          <w:p w14:paraId="462D4498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Decyzja krajowa w przedmiocie skargi na mocy ustawy z 2004 r.</w:t>
            </w:r>
          </w:p>
          <w:p w14:paraId="51AD59B4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 (w polskich złotych)</w:t>
            </w:r>
          </w:p>
        </w:tc>
        <w:tc>
          <w:tcPr>
            <w:tcW w:w="2693" w:type="dxa"/>
          </w:tcPr>
          <w:p w14:paraId="02572A1B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z tytułu szkody majątkowej i niemajątkowej oraz zwrotu kosztów i wydatków na jednego skarżącego</w:t>
            </w:r>
          </w:p>
          <w:p w14:paraId="64F70DDF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 euro)</w:t>
            </w:r>
          </w:p>
          <w:p w14:paraId="74DC0977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4A3AC0" w14:paraId="1506246D" w14:textId="77777777" w:rsidTr="004A3AC0">
        <w:trPr>
          <w:jc w:val="center"/>
        </w:trPr>
        <w:tc>
          <w:tcPr>
            <w:tcW w:w="452" w:type="dxa"/>
          </w:tcPr>
          <w:p w14:paraId="70B36463" w14:textId="77777777" w:rsidR="00B92A32" w:rsidRPr="005F116D" w:rsidRDefault="00B92A32" w:rsidP="005F116D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696" w:type="dxa"/>
          </w:tcPr>
          <w:p w14:paraId="2D1F0CB9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45960/21</w:t>
            </w:r>
          </w:p>
          <w:p w14:paraId="1B37D845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10.09.2021 r.</w:t>
            </w:r>
          </w:p>
        </w:tc>
        <w:tc>
          <w:tcPr>
            <w:tcW w:w="1416" w:type="dxa"/>
          </w:tcPr>
          <w:p w14:paraId="48709859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Jacek TERCZYŃSKI</w:t>
            </w:r>
          </w:p>
          <w:p w14:paraId="22915A89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1965</w:t>
            </w:r>
          </w:p>
          <w:p w14:paraId="3D4B0932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7" w:type="dxa"/>
          </w:tcPr>
          <w:p w14:paraId="02AC8B53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  <w:p w14:paraId="30699F8F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3" w:type="dxa"/>
          </w:tcPr>
          <w:p w14:paraId="5F1AF177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14.02.2018 r.</w:t>
            </w:r>
          </w:p>
          <w:p w14:paraId="27AE3BC6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8" w:type="dxa"/>
          </w:tcPr>
          <w:p w14:paraId="6237D0BA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124F5972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91" w:type="dxa"/>
          </w:tcPr>
          <w:p w14:paraId="09273725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6 lat i 8 dni</w:t>
            </w:r>
          </w:p>
          <w:p w14:paraId="407B39EB" w14:textId="77777777" w:rsidR="00A26555" w:rsidRPr="005F116D" w:rsidRDefault="00A26555" w:rsidP="005F116D">
            <w:pPr>
              <w:jc w:val="center"/>
              <w:rPr>
                <w:sz w:val="16"/>
                <w:szCs w:val="18"/>
              </w:rPr>
            </w:pPr>
          </w:p>
          <w:p w14:paraId="5269BE0B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3DAC8563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835" w:type="dxa"/>
          </w:tcPr>
          <w:p w14:paraId="1E85F531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Apelacyjny </w:t>
            </w:r>
            <w:r>
              <w:rPr>
                <w:sz w:val="16"/>
                <w:szCs w:val="18"/>
              </w:rPr>
              <w:t>w Krakowie, 30.07.2021 r.,</w:t>
            </w:r>
          </w:p>
          <w:p w14:paraId="141C248E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sygn. akt I S 64/21;</w:t>
            </w:r>
          </w:p>
          <w:p w14:paraId="16B32791" w14:textId="77777777" w:rsidR="00A26555" w:rsidRPr="005F116D" w:rsidRDefault="00A26555" w:rsidP="005F116D">
            <w:pPr>
              <w:jc w:val="center"/>
              <w:rPr>
                <w:sz w:val="16"/>
                <w:szCs w:val="18"/>
              </w:rPr>
            </w:pPr>
          </w:p>
          <w:p w14:paraId="7201A031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Krakowie, 04.04.2023 r.,</w:t>
            </w:r>
          </w:p>
          <w:p w14:paraId="436B72AF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sygn. akt I S 10/23, 2.500 PLN</w:t>
            </w:r>
          </w:p>
        </w:tc>
        <w:tc>
          <w:tcPr>
            <w:tcW w:w="2693" w:type="dxa"/>
          </w:tcPr>
          <w:p w14:paraId="0C1B7939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3.300</w:t>
            </w:r>
          </w:p>
        </w:tc>
      </w:tr>
      <w:tr w:rsidR="004A3AC0" w14:paraId="69525114" w14:textId="77777777" w:rsidTr="004A3AC0">
        <w:trPr>
          <w:jc w:val="center"/>
        </w:trPr>
        <w:tc>
          <w:tcPr>
            <w:tcW w:w="452" w:type="dxa"/>
          </w:tcPr>
          <w:p w14:paraId="27B01D3A" w14:textId="77777777" w:rsidR="00B92A32" w:rsidRPr="005F116D" w:rsidRDefault="00B92A32" w:rsidP="005F116D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696" w:type="dxa"/>
          </w:tcPr>
          <w:p w14:paraId="2A5DF35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48628/21</w:t>
            </w:r>
          </w:p>
          <w:p w14:paraId="714C3B92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14.09.2021 r.</w:t>
            </w:r>
          </w:p>
        </w:tc>
        <w:tc>
          <w:tcPr>
            <w:tcW w:w="1416" w:type="dxa"/>
          </w:tcPr>
          <w:p w14:paraId="1496456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Olivier PIELA</w:t>
            </w:r>
          </w:p>
          <w:p w14:paraId="63F05F18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1972</w:t>
            </w:r>
          </w:p>
          <w:p w14:paraId="177D1927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7" w:type="dxa"/>
          </w:tcPr>
          <w:p w14:paraId="353AA331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  <w:p w14:paraId="25936738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3" w:type="dxa"/>
          </w:tcPr>
          <w:p w14:paraId="22EB8FB6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18.04.2017 r.</w:t>
            </w:r>
          </w:p>
          <w:p w14:paraId="41F4EDB8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8" w:type="dxa"/>
          </w:tcPr>
          <w:p w14:paraId="6C5072F3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6556BC93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91" w:type="dxa"/>
          </w:tcPr>
          <w:p w14:paraId="4B8D4D9C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6 lat, 10 miesięcy i 4 dni</w:t>
            </w:r>
          </w:p>
          <w:p w14:paraId="06E73D55" w14:textId="77777777" w:rsidR="00A26555" w:rsidRPr="005F116D" w:rsidRDefault="00A26555" w:rsidP="005F116D">
            <w:pPr>
              <w:jc w:val="center"/>
              <w:rPr>
                <w:sz w:val="16"/>
                <w:szCs w:val="18"/>
              </w:rPr>
            </w:pPr>
          </w:p>
          <w:p w14:paraId="70288951" w14:textId="77777777" w:rsidR="00A26555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</w:tc>
        <w:tc>
          <w:tcPr>
            <w:tcW w:w="2835" w:type="dxa"/>
          </w:tcPr>
          <w:p w14:paraId="5E28E568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</w:t>
            </w:r>
            <w:r>
              <w:rPr>
                <w:sz w:val="16"/>
                <w:szCs w:val="18"/>
              </w:rPr>
              <w:t>Apelacyjny w Gdańsku, 25.02.2021 r.,</w:t>
            </w:r>
          </w:p>
          <w:p w14:paraId="61F59FB8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sygn. akt V S 715/20, 2.000 PLN</w:t>
            </w:r>
          </w:p>
          <w:p w14:paraId="26FD46FD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  <w:p w14:paraId="5D991606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3" w:type="dxa"/>
          </w:tcPr>
          <w:p w14:paraId="54EED445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4.700</w:t>
            </w:r>
          </w:p>
        </w:tc>
      </w:tr>
      <w:tr w:rsidR="004A3AC0" w14:paraId="0E7857DC" w14:textId="77777777" w:rsidTr="004A3AC0">
        <w:trPr>
          <w:jc w:val="center"/>
        </w:trPr>
        <w:tc>
          <w:tcPr>
            <w:tcW w:w="452" w:type="dxa"/>
          </w:tcPr>
          <w:p w14:paraId="15FD4954" w14:textId="77777777" w:rsidR="00B92A32" w:rsidRPr="005F116D" w:rsidRDefault="00B92A32" w:rsidP="005F116D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696" w:type="dxa"/>
          </w:tcPr>
          <w:p w14:paraId="30F2E5EC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53747/21</w:t>
            </w:r>
          </w:p>
          <w:p w14:paraId="716B505E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18.10.2021 r.</w:t>
            </w:r>
          </w:p>
        </w:tc>
        <w:tc>
          <w:tcPr>
            <w:tcW w:w="1416" w:type="dxa"/>
          </w:tcPr>
          <w:p w14:paraId="3CF72AD9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Marcin URBAŚ</w:t>
            </w:r>
          </w:p>
          <w:p w14:paraId="713394AE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1979</w:t>
            </w:r>
          </w:p>
          <w:p w14:paraId="62DBCCD9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7" w:type="dxa"/>
          </w:tcPr>
          <w:p w14:paraId="254E819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Cupiał Dawid</w:t>
            </w:r>
          </w:p>
          <w:p w14:paraId="4FCD5E42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Warszawa</w:t>
            </w:r>
          </w:p>
        </w:tc>
        <w:tc>
          <w:tcPr>
            <w:tcW w:w="1133" w:type="dxa"/>
          </w:tcPr>
          <w:p w14:paraId="14A5E7DD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31.05.2016 r.</w:t>
            </w:r>
          </w:p>
          <w:p w14:paraId="3BBCD39D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8" w:type="dxa"/>
          </w:tcPr>
          <w:p w14:paraId="560F0F11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28.01.2022 r.</w:t>
            </w:r>
          </w:p>
          <w:p w14:paraId="1AC1E1A2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91" w:type="dxa"/>
          </w:tcPr>
          <w:p w14:paraId="1AF9D141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 lat, 7 miesięcy i 29 dni</w:t>
            </w:r>
          </w:p>
          <w:p w14:paraId="7CDD7670" w14:textId="77777777" w:rsidR="00A26555" w:rsidRPr="005F116D" w:rsidRDefault="00A26555" w:rsidP="005F116D">
            <w:pPr>
              <w:jc w:val="center"/>
              <w:rPr>
                <w:sz w:val="16"/>
                <w:szCs w:val="18"/>
              </w:rPr>
            </w:pPr>
          </w:p>
          <w:p w14:paraId="57159FFF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73A7D678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835" w:type="dxa"/>
          </w:tcPr>
          <w:p w14:paraId="08DBBBD3" w14:textId="77777777" w:rsidR="005F116D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Okręgowy w Lublinie, </w:t>
            </w:r>
            <w:r>
              <w:rPr>
                <w:sz w:val="16"/>
                <w:szCs w:val="18"/>
              </w:rPr>
              <w:t>14.09.2021 r.,</w:t>
            </w:r>
          </w:p>
          <w:p w14:paraId="70C13570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sygn. akt II S 54/21, 3.000 PLN</w:t>
            </w:r>
          </w:p>
          <w:p w14:paraId="3F2BF4D6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  <w:p w14:paraId="145C85FE" w14:textId="77777777" w:rsidR="00B92A32" w:rsidRPr="005F116D" w:rsidRDefault="00B92A32" w:rsidP="005F116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3" w:type="dxa"/>
          </w:tcPr>
          <w:p w14:paraId="3C8D295B" w14:textId="77777777" w:rsidR="00B92A32" w:rsidRPr="005F116D" w:rsidRDefault="00B85429" w:rsidP="005F116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3.200</w:t>
            </w:r>
          </w:p>
        </w:tc>
      </w:tr>
    </w:tbl>
    <w:p w14:paraId="39CF578F" w14:textId="77777777" w:rsidR="00606600" w:rsidRPr="005F116D" w:rsidRDefault="00606600" w:rsidP="005F116D"/>
    <w:p w14:paraId="625ECB1C" w14:textId="77777777" w:rsidR="00606600" w:rsidRPr="005F116D" w:rsidRDefault="00606600" w:rsidP="005F116D"/>
    <w:sectPr w:rsidR="00606600" w:rsidRPr="005F116D" w:rsidSect="000C4520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1560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5D0FA" w14:textId="77777777" w:rsidR="003F4012" w:rsidRDefault="003F4012">
      <w:r>
        <w:separator/>
      </w:r>
    </w:p>
  </w:endnote>
  <w:endnote w:type="continuationSeparator" w:id="0">
    <w:p w14:paraId="7149C324" w14:textId="77777777" w:rsidR="003F4012" w:rsidRDefault="003F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FB960" w14:textId="77777777" w:rsidR="00BD554D" w:rsidRPr="00611E1D" w:rsidRDefault="00B85429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A72A3" w14:textId="77777777" w:rsidR="00BD554D" w:rsidRPr="00611E1D" w:rsidRDefault="00B85429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909B0" w14:textId="77777777" w:rsidR="00ED7723" w:rsidRPr="00150BFA" w:rsidRDefault="00B85429" w:rsidP="0020718E">
    <w:pPr>
      <w:jc w:val="center"/>
    </w:pPr>
    <w:r>
      <w:rPr>
        <w:noProof/>
      </w:rPr>
      <w:drawing>
        <wp:inline distT="0" distB="0" distL="0" distR="0" wp14:anchorId="30FB7BCF" wp14:editId="3AC98D84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5600E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1FD4F" w14:textId="77777777" w:rsidR="003F4012" w:rsidRPr="00611E1D" w:rsidRDefault="003F4012" w:rsidP="00787E12">
      <w:r w:rsidRPr="00611E1D">
        <w:separator/>
      </w:r>
    </w:p>
  </w:footnote>
  <w:footnote w:type="continuationSeparator" w:id="0">
    <w:p w14:paraId="6592912E" w14:textId="77777777" w:rsidR="003F4012" w:rsidRPr="00611E1D" w:rsidRDefault="003F4012" w:rsidP="00787E12">
      <w:r w:rsidRPr="00611E1D">
        <w:continuationSeparator/>
      </w:r>
    </w:p>
  </w:footnote>
  <w:footnote w:id="1">
    <w:p w14:paraId="6146C835" w14:textId="77777777" w:rsidR="00B92A32" w:rsidRPr="00727963" w:rsidRDefault="00B85429" w:rsidP="00D41AD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22FBF" w14:textId="77777777" w:rsidR="00ED7723" w:rsidRPr="00A45145" w:rsidRDefault="00B85429" w:rsidP="00A45145">
    <w:pPr>
      <w:jc w:val="center"/>
    </w:pPr>
    <w:r>
      <w:rPr>
        <w:noProof/>
      </w:rPr>
      <w:drawing>
        <wp:inline distT="0" distB="0" distL="0" distR="0" wp14:anchorId="2C0584B4" wp14:editId="6AC0B10C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CE984A" w14:textId="77777777" w:rsidR="00606600" w:rsidRPr="00611E1D" w:rsidRDefault="00606600" w:rsidP="000318F7">
    <w:pPr>
      <w:jc w:val="center"/>
      <w:rPr>
        <w:sz w:val="4"/>
        <w:szCs w:val="4"/>
      </w:rPr>
    </w:pPr>
  </w:p>
  <w:p w14:paraId="36B529EC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354C8" w14:textId="77777777" w:rsidR="00D41AD6" w:rsidRPr="00A45145" w:rsidRDefault="00B85429" w:rsidP="00A45145">
    <w:pPr>
      <w:jc w:val="center"/>
    </w:pPr>
    <w:r>
      <w:rPr>
        <w:noProof/>
      </w:rPr>
      <w:drawing>
        <wp:inline distT="0" distB="0" distL="0" distR="0" wp14:anchorId="7D551A62" wp14:editId="44E21990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D86A59" w14:textId="77777777" w:rsidR="008D51B6" w:rsidRPr="004F56E2" w:rsidRDefault="008D51B6" w:rsidP="008D51B6">
    <w:pPr>
      <w:pStyle w:val="Nagwek"/>
    </w:pPr>
  </w:p>
  <w:p w14:paraId="4574D58A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6AF3" w14:textId="77777777" w:rsidR="00606600" w:rsidRPr="005C3A15" w:rsidRDefault="00B85429" w:rsidP="006372F5">
    <w:pPr>
      <w:pStyle w:val="JuHeader"/>
    </w:pPr>
    <w:r>
      <w:t>WYROK W SPRAWIE TERCZYŃSKI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CD2C0" w14:textId="77777777" w:rsidR="00606600" w:rsidRPr="00DE7D3F" w:rsidRDefault="00B85429" w:rsidP="00BD554D">
    <w:pPr>
      <w:pStyle w:val="JuHeader"/>
    </w:pPr>
    <w:r>
      <w:t>WYROK W SPRAWIE TERCZYŃSKI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1AA8E" w14:textId="77777777" w:rsidR="00606600" w:rsidRPr="005C3A15" w:rsidRDefault="00B85429" w:rsidP="00E026EC">
    <w:pPr>
      <w:pStyle w:val="JuHeader"/>
    </w:pPr>
    <w:r>
      <w:t>WYROK W SPRAWIE TERCZYŃSKI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4A15F" w14:textId="77777777" w:rsidR="00606600" w:rsidRPr="00DE7D3F" w:rsidRDefault="00B85429" w:rsidP="00E026EC">
    <w:pPr>
      <w:pStyle w:val="JuHeader"/>
    </w:pPr>
    <w:r>
      <w:t>WYROK W SPRAWIE TERCZYŃSKI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AA46CB"/>
    <w:multiLevelType w:val="hybridMultilevel"/>
    <w:tmpl w:val="60146D58"/>
    <w:lvl w:ilvl="0" w:tplc="60749CF8">
      <w:start w:val="1"/>
      <w:numFmt w:val="decimal"/>
      <w:lvlText w:val="%1."/>
      <w:lvlJc w:val="left"/>
      <w:pPr>
        <w:ind w:left="720" w:hanging="360"/>
      </w:pPr>
    </w:lvl>
    <w:lvl w:ilvl="1" w:tplc="4F92FF50" w:tentative="1">
      <w:start w:val="1"/>
      <w:numFmt w:val="lowerLetter"/>
      <w:lvlText w:val="%2."/>
      <w:lvlJc w:val="left"/>
      <w:pPr>
        <w:ind w:left="1440" w:hanging="360"/>
      </w:pPr>
    </w:lvl>
    <w:lvl w:ilvl="2" w:tplc="4DB0DF94" w:tentative="1">
      <w:start w:val="1"/>
      <w:numFmt w:val="lowerRoman"/>
      <w:lvlText w:val="%3."/>
      <w:lvlJc w:val="right"/>
      <w:pPr>
        <w:ind w:left="2160" w:hanging="180"/>
      </w:pPr>
    </w:lvl>
    <w:lvl w:ilvl="3" w:tplc="E7427376" w:tentative="1">
      <w:start w:val="1"/>
      <w:numFmt w:val="decimal"/>
      <w:lvlText w:val="%4."/>
      <w:lvlJc w:val="left"/>
      <w:pPr>
        <w:ind w:left="2880" w:hanging="360"/>
      </w:pPr>
    </w:lvl>
    <w:lvl w:ilvl="4" w:tplc="E55EDBEA" w:tentative="1">
      <w:start w:val="1"/>
      <w:numFmt w:val="lowerLetter"/>
      <w:lvlText w:val="%5."/>
      <w:lvlJc w:val="left"/>
      <w:pPr>
        <w:ind w:left="3600" w:hanging="360"/>
      </w:pPr>
    </w:lvl>
    <w:lvl w:ilvl="5" w:tplc="508688C2" w:tentative="1">
      <w:start w:val="1"/>
      <w:numFmt w:val="lowerRoman"/>
      <w:lvlText w:val="%6."/>
      <w:lvlJc w:val="right"/>
      <w:pPr>
        <w:ind w:left="4320" w:hanging="180"/>
      </w:pPr>
    </w:lvl>
    <w:lvl w:ilvl="6" w:tplc="20721A9C" w:tentative="1">
      <w:start w:val="1"/>
      <w:numFmt w:val="decimal"/>
      <w:lvlText w:val="%7."/>
      <w:lvlJc w:val="left"/>
      <w:pPr>
        <w:ind w:left="5040" w:hanging="360"/>
      </w:pPr>
    </w:lvl>
    <w:lvl w:ilvl="7" w:tplc="3AC055DE" w:tentative="1">
      <w:start w:val="1"/>
      <w:numFmt w:val="lowerLetter"/>
      <w:lvlText w:val="%8."/>
      <w:lvlJc w:val="left"/>
      <w:pPr>
        <w:ind w:left="5760" w:hanging="360"/>
      </w:pPr>
    </w:lvl>
    <w:lvl w:ilvl="8" w:tplc="B5F27C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8F2261"/>
    <w:multiLevelType w:val="multilevel"/>
    <w:tmpl w:val="C8FE6436"/>
    <w:numStyleLink w:val="ECHRA1StyleList"/>
  </w:abstractNum>
  <w:abstractNum w:abstractNumId="11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AEC06CE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9586BF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332028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7F787C0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80EC510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F3FEFE9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5560E03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D40BFB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9FEAFA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33065330">
    <w:abstractNumId w:val="9"/>
  </w:num>
  <w:num w:numId="2" w16cid:durableId="2036733984">
    <w:abstractNumId w:val="15"/>
  </w:num>
  <w:num w:numId="3" w16cid:durableId="119809029">
    <w:abstractNumId w:val="13"/>
  </w:num>
  <w:num w:numId="4" w16cid:durableId="1710453416">
    <w:abstractNumId w:val="12"/>
  </w:num>
  <w:num w:numId="5" w16cid:durableId="1321352596">
    <w:abstractNumId w:val="18"/>
  </w:num>
  <w:num w:numId="6" w16cid:durableId="1256284437">
    <w:abstractNumId w:val="7"/>
  </w:num>
  <w:num w:numId="7" w16cid:durableId="1144615600">
    <w:abstractNumId w:val="6"/>
  </w:num>
  <w:num w:numId="8" w16cid:durableId="103234732">
    <w:abstractNumId w:val="5"/>
  </w:num>
  <w:num w:numId="9" w16cid:durableId="288125559">
    <w:abstractNumId w:val="4"/>
  </w:num>
  <w:num w:numId="10" w16cid:durableId="1593200940">
    <w:abstractNumId w:val="8"/>
  </w:num>
  <w:num w:numId="11" w16cid:durableId="463819423">
    <w:abstractNumId w:val="3"/>
  </w:num>
  <w:num w:numId="12" w16cid:durableId="288248689">
    <w:abstractNumId w:val="2"/>
  </w:num>
  <w:num w:numId="13" w16cid:durableId="112943578">
    <w:abstractNumId w:val="1"/>
  </w:num>
  <w:num w:numId="14" w16cid:durableId="320274632">
    <w:abstractNumId w:val="0"/>
  </w:num>
  <w:num w:numId="15" w16cid:durableId="1952321339">
    <w:abstractNumId w:val="16"/>
  </w:num>
  <w:num w:numId="16" w16cid:durableId="887498454">
    <w:abstractNumId w:val="14"/>
  </w:num>
  <w:num w:numId="17" w16cid:durableId="657806909">
    <w:abstractNumId w:val="17"/>
  </w:num>
  <w:num w:numId="18" w16cid:durableId="489712203">
    <w:abstractNumId w:val="16"/>
  </w:num>
  <w:num w:numId="19" w16cid:durableId="2042238055">
    <w:abstractNumId w:val="17"/>
  </w:num>
  <w:num w:numId="20" w16cid:durableId="344288189">
    <w:abstractNumId w:val="11"/>
  </w:num>
  <w:num w:numId="21" w16cid:durableId="192999837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NBEMMDOC" w:val="0"/>
    <w:docVar w:name="Plural" w:val="0"/>
  </w:docVars>
  <w:rsids>
    <w:rsidRoot w:val="00D41AD6"/>
    <w:rsid w:val="000318F7"/>
    <w:rsid w:val="000C4520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2030C0"/>
    <w:rsid w:val="002056B7"/>
    <w:rsid w:val="0020718E"/>
    <w:rsid w:val="0023364D"/>
    <w:rsid w:val="0029309A"/>
    <w:rsid w:val="002C2AC5"/>
    <w:rsid w:val="002C5B23"/>
    <w:rsid w:val="00337785"/>
    <w:rsid w:val="0037589C"/>
    <w:rsid w:val="003A7A43"/>
    <w:rsid w:val="003B3ECB"/>
    <w:rsid w:val="003F4012"/>
    <w:rsid w:val="00406443"/>
    <w:rsid w:val="0048584C"/>
    <w:rsid w:val="00497FF8"/>
    <w:rsid w:val="004A3AC0"/>
    <w:rsid w:val="004B0B4E"/>
    <w:rsid w:val="004D042B"/>
    <w:rsid w:val="004D0EC7"/>
    <w:rsid w:val="004F56E2"/>
    <w:rsid w:val="00555A1D"/>
    <w:rsid w:val="00565161"/>
    <w:rsid w:val="00573202"/>
    <w:rsid w:val="005B102C"/>
    <w:rsid w:val="005B16C1"/>
    <w:rsid w:val="005C3A15"/>
    <w:rsid w:val="005D4BEF"/>
    <w:rsid w:val="005F116D"/>
    <w:rsid w:val="005F46F3"/>
    <w:rsid w:val="005F60F9"/>
    <w:rsid w:val="00606600"/>
    <w:rsid w:val="00611E1D"/>
    <w:rsid w:val="006372F5"/>
    <w:rsid w:val="00656431"/>
    <w:rsid w:val="006B2DE9"/>
    <w:rsid w:val="006D324D"/>
    <w:rsid w:val="00727963"/>
    <w:rsid w:val="00743B2A"/>
    <w:rsid w:val="007A72B4"/>
    <w:rsid w:val="007B6E08"/>
    <w:rsid w:val="007F018A"/>
    <w:rsid w:val="007F6C65"/>
    <w:rsid w:val="00826EE0"/>
    <w:rsid w:val="008522DD"/>
    <w:rsid w:val="00860732"/>
    <w:rsid w:val="008A0E2E"/>
    <w:rsid w:val="008D51B6"/>
    <w:rsid w:val="009522DD"/>
    <w:rsid w:val="009953CE"/>
    <w:rsid w:val="00A26555"/>
    <w:rsid w:val="00A329E0"/>
    <w:rsid w:val="00A34A54"/>
    <w:rsid w:val="00A44415"/>
    <w:rsid w:val="00A45145"/>
    <w:rsid w:val="00A54F20"/>
    <w:rsid w:val="00A6104A"/>
    <w:rsid w:val="00A61210"/>
    <w:rsid w:val="00A67ECB"/>
    <w:rsid w:val="00A94CA7"/>
    <w:rsid w:val="00AA09B6"/>
    <w:rsid w:val="00AC03BB"/>
    <w:rsid w:val="00B216C1"/>
    <w:rsid w:val="00B64153"/>
    <w:rsid w:val="00B85429"/>
    <w:rsid w:val="00B91668"/>
    <w:rsid w:val="00B92A32"/>
    <w:rsid w:val="00BA53F1"/>
    <w:rsid w:val="00BD554D"/>
    <w:rsid w:val="00BE2415"/>
    <w:rsid w:val="00C20CC3"/>
    <w:rsid w:val="00C877A3"/>
    <w:rsid w:val="00D41AD6"/>
    <w:rsid w:val="00DE7D3F"/>
    <w:rsid w:val="00E026EC"/>
    <w:rsid w:val="00E055B2"/>
    <w:rsid w:val="00ED7723"/>
    <w:rsid w:val="00EE5C59"/>
    <w:rsid w:val="00FB16F8"/>
    <w:rsid w:val="00FC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E167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AA09B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AA09B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AA09B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AA09B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AA09B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AA09B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AA09B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AA09B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AA09B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AA09B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AA0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AA09B6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AA09B6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AA09B6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AA09B6"/>
    <w:rPr>
      <w:color w:val="00B050"/>
      <w:sz w:val="22"/>
    </w:rPr>
  </w:style>
  <w:style w:type="character" w:styleId="Pogrubienie">
    <w:name w:val="Strong"/>
    <w:uiPriority w:val="98"/>
    <w:semiHidden/>
    <w:qFormat/>
    <w:rsid w:val="00AA09B6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AA09B6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AA09B6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AA09B6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AA09B6"/>
    <w:pPr>
      <w:numPr>
        <w:numId w:val="21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AA09B6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AA09B6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AA09B6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AA09B6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AA09B6"/>
    <w:pPr>
      <w:numPr>
        <w:numId w:val="15"/>
      </w:numPr>
    </w:pPr>
  </w:style>
  <w:style w:type="numbering" w:customStyle="1" w:styleId="ECHRA1StyleList">
    <w:name w:val="ECHR_A1_Style_List"/>
    <w:basedOn w:val="Bezlisty"/>
    <w:uiPriority w:val="99"/>
    <w:rsid w:val="00AA09B6"/>
    <w:pPr>
      <w:numPr>
        <w:numId w:val="16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AA09B6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AA09B6"/>
    <w:pPr>
      <w:numPr>
        <w:numId w:val="17"/>
      </w:numPr>
    </w:pPr>
  </w:style>
  <w:style w:type="table" w:customStyle="1" w:styleId="ECHRTable2019">
    <w:name w:val="ECHR_Table_2019"/>
    <w:basedOn w:val="Standardowy"/>
    <w:uiPriority w:val="99"/>
    <w:rsid w:val="00AA09B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AA09B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AA09B6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AA09B6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AA09B6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AA09B6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AA09B6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AA09B6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AA09B6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AA09B6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AA09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AA09B6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AA09B6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AA09B6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AA09B6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AA09B6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AA09B6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AA09B6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AA09B6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AA09B6"/>
    <w:pPr>
      <w:numPr>
        <w:ilvl w:val="1"/>
        <w:numId w:val="21"/>
      </w:numPr>
    </w:pPr>
  </w:style>
  <w:style w:type="paragraph" w:customStyle="1" w:styleId="NormalJustified">
    <w:name w:val="Normal_Justified"/>
    <w:basedOn w:val="Normalny"/>
    <w:semiHidden/>
    <w:rsid w:val="00AA09B6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AA09B6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AA09B6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AA09B6"/>
    <w:rPr>
      <w:i/>
      <w:iCs/>
    </w:rPr>
  </w:style>
  <w:style w:type="table" w:customStyle="1" w:styleId="ECHRTable">
    <w:name w:val="ECHR_Table"/>
    <w:basedOn w:val="Standardowy"/>
    <w:rsid w:val="00AA09B6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AA09B6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AA09B6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AA09B6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AA09B6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AA09B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AA09B6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AA09B6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AA09B6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AA09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AA09B6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AA09B6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AA09B6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AA09B6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AA09B6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AA09B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AA09B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AA09B6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AA09B6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AA09B6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AA09B6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AA09B6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AA09B6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AA09B6"/>
    <w:rPr>
      <w:smallCaps/>
    </w:rPr>
  </w:style>
  <w:style w:type="table" w:styleId="Tabela-Siatka">
    <w:name w:val="Table Grid"/>
    <w:basedOn w:val="Standardowy"/>
    <w:uiPriority w:val="59"/>
    <w:semiHidden/>
    <w:rsid w:val="00AA09B6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AA09B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AA09B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AA09B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AA09B6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AA09B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AA09B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AA09B6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AA09B6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AA09B6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AA09B6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AA09B6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AA09B6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AA09B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AA09B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AA09B6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AA09B6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AA09B6"/>
    <w:pPr>
      <w:ind w:firstLine="284"/>
    </w:pPr>
  </w:style>
  <w:style w:type="paragraph" w:styleId="Tekstblokowy">
    <w:name w:val="Block Text"/>
    <w:basedOn w:val="Normalny"/>
    <w:uiPriority w:val="98"/>
    <w:semiHidden/>
    <w:rsid w:val="00AA09B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AA09B6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AA09B6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AA09B6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AA09B6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A09B6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AA09B6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AA09B6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AA09B6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AA09B6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AA09B6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AA09B6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AA09B6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AA09B6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AA09B6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AA09B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AA09B6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AA09B6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AA09B6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AA09B6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AA09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AA09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AA09B6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AA09B6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AA09B6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AA09B6"/>
    <w:pPr>
      <w:numPr>
        <w:numId w:val="4"/>
      </w:numPr>
    </w:pPr>
  </w:style>
  <w:style w:type="paragraph" w:styleId="Listapunktowana">
    <w:name w:val="List Bullet"/>
    <w:basedOn w:val="Normalny"/>
    <w:uiPriority w:val="98"/>
    <w:semiHidden/>
    <w:rsid w:val="00AA09B6"/>
    <w:pPr>
      <w:numPr>
        <w:numId w:val="5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AA09B6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AA09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AA09B6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AA09B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AA09B6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AA09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AA09B6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AA09B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AA09B6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AA09B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AA09B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AA09B6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AA09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AA09B6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AA09B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AA09B6"/>
  </w:style>
  <w:style w:type="character" w:customStyle="1" w:styleId="DataZnak">
    <w:name w:val="Data Znak"/>
    <w:basedOn w:val="Domylnaczcionkaakapitu"/>
    <w:link w:val="Data"/>
    <w:uiPriority w:val="98"/>
    <w:semiHidden/>
    <w:rsid w:val="00AA09B6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AA09B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AA09B6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AA09B6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AA09B6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AA09B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AA09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AA09B6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AA09B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AA09B6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AA09B6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AA09B6"/>
  </w:style>
  <w:style w:type="paragraph" w:styleId="HTML-adres">
    <w:name w:val="HTML Address"/>
    <w:basedOn w:val="Normalny"/>
    <w:link w:val="HTML-adresZnak"/>
    <w:uiPriority w:val="98"/>
    <w:semiHidden/>
    <w:rsid w:val="00AA09B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AA09B6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AA09B6"/>
    <w:rPr>
      <w:i/>
      <w:iCs/>
    </w:rPr>
  </w:style>
  <w:style w:type="character" w:styleId="HTML-kod">
    <w:name w:val="HTML Code"/>
    <w:basedOn w:val="Domylnaczcionkaakapitu"/>
    <w:uiPriority w:val="98"/>
    <w:semiHidden/>
    <w:rsid w:val="00AA09B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AA09B6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AA09B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AA09B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AA09B6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AA09B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AA09B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AA09B6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AA09B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AA09B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AA09B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AA09B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AA09B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AA09B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AA09B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AA09B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AA09B6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AA09B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AA09B6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AA09B6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AA09B6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AA09B6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AA09B6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AA09B6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AA09B6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AA09B6"/>
  </w:style>
  <w:style w:type="paragraph" w:styleId="Lista">
    <w:name w:val="List"/>
    <w:basedOn w:val="Normalny"/>
    <w:uiPriority w:val="98"/>
    <w:semiHidden/>
    <w:rsid w:val="00AA09B6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AA09B6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AA09B6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AA09B6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AA09B6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AA09B6"/>
    <w:pPr>
      <w:numPr>
        <w:numId w:val="6"/>
      </w:numPr>
      <w:contextualSpacing/>
    </w:pPr>
  </w:style>
  <w:style w:type="paragraph" w:styleId="Listapunktowana3">
    <w:name w:val="List Bullet 3"/>
    <w:basedOn w:val="Normalny"/>
    <w:uiPriority w:val="98"/>
    <w:semiHidden/>
    <w:rsid w:val="00AA09B6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AA09B6"/>
    <w:pPr>
      <w:numPr>
        <w:numId w:val="8"/>
      </w:numPr>
      <w:contextualSpacing/>
    </w:pPr>
  </w:style>
  <w:style w:type="paragraph" w:styleId="Listapunktowana5">
    <w:name w:val="List Bullet 5"/>
    <w:basedOn w:val="Normalny"/>
    <w:uiPriority w:val="98"/>
    <w:semiHidden/>
    <w:rsid w:val="00AA09B6"/>
    <w:pPr>
      <w:numPr>
        <w:numId w:val="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AA09B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AA09B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AA09B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AA09B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AA09B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AA09B6"/>
    <w:pPr>
      <w:numPr>
        <w:numId w:val="10"/>
      </w:numPr>
      <w:contextualSpacing/>
    </w:pPr>
  </w:style>
  <w:style w:type="paragraph" w:styleId="Listanumerowana2">
    <w:name w:val="List Number 2"/>
    <w:basedOn w:val="Normalny"/>
    <w:uiPriority w:val="98"/>
    <w:semiHidden/>
    <w:rsid w:val="00AA09B6"/>
    <w:pPr>
      <w:numPr>
        <w:numId w:val="11"/>
      </w:numPr>
      <w:contextualSpacing/>
    </w:pPr>
  </w:style>
  <w:style w:type="paragraph" w:styleId="Listanumerowana3">
    <w:name w:val="List Number 3"/>
    <w:basedOn w:val="Normalny"/>
    <w:uiPriority w:val="98"/>
    <w:semiHidden/>
    <w:rsid w:val="00AA09B6"/>
    <w:pPr>
      <w:numPr>
        <w:numId w:val="12"/>
      </w:numPr>
      <w:contextualSpacing/>
    </w:pPr>
  </w:style>
  <w:style w:type="paragraph" w:styleId="Listanumerowana4">
    <w:name w:val="List Number 4"/>
    <w:basedOn w:val="Normalny"/>
    <w:uiPriority w:val="98"/>
    <w:semiHidden/>
    <w:rsid w:val="00AA09B6"/>
    <w:pPr>
      <w:numPr>
        <w:numId w:val="13"/>
      </w:numPr>
      <w:contextualSpacing/>
    </w:pPr>
  </w:style>
  <w:style w:type="paragraph" w:styleId="Listanumerowana5">
    <w:name w:val="List Number 5"/>
    <w:basedOn w:val="Normalny"/>
    <w:uiPriority w:val="98"/>
    <w:semiHidden/>
    <w:rsid w:val="00AA09B6"/>
    <w:pPr>
      <w:numPr>
        <w:numId w:val="14"/>
      </w:numPr>
      <w:contextualSpacing/>
    </w:pPr>
  </w:style>
  <w:style w:type="paragraph" w:styleId="Tekstmakra">
    <w:name w:val="macro"/>
    <w:link w:val="TekstmakraZnak"/>
    <w:uiPriority w:val="98"/>
    <w:semiHidden/>
    <w:rsid w:val="00AA09B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AA09B6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AA09B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AA09B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AA09B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AA09B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AA09B6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AA09B6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AA09B6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AA09B6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AA09B6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AA09B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AA09B6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AA09B6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AA09B6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AA09B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AA09B6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AA09B6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AA09B6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AA09B6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AA09B6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AA09B6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AA09B6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AA09B6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AA09B6"/>
  </w:style>
  <w:style w:type="table" w:styleId="Tabela-Profesjonalny">
    <w:name w:val="Table Professional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AA09B6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AA09B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AA09B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AA09B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AA09B6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AA09B6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AA09B6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AA09B6"/>
  </w:style>
  <w:style w:type="paragraph" w:customStyle="1" w:styleId="DecList">
    <w:name w:val="Dec_List"/>
    <w:aliases w:val="_List"/>
    <w:basedOn w:val="JuList"/>
    <w:uiPriority w:val="22"/>
    <w:rsid w:val="00AA09B6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AA09B6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AA09B6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AA09B6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AA09B6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AA09B6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AA09B6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AA09B6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AA09B6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AA09B6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AA09B6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AA09B6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AA09B6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AA09B6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AA09B6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AA09B6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AA09B6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AA09B6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AA09B6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AA09B6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AA09B6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AA09B6"/>
    <w:rPr>
      <w:sz w:val="4"/>
    </w:rPr>
  </w:style>
  <w:style w:type="table" w:customStyle="1" w:styleId="ECHRTable2">
    <w:name w:val="ECHR_Table_2"/>
    <w:basedOn w:val="Standardowy"/>
    <w:uiPriority w:val="99"/>
    <w:rsid w:val="00AA09B6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AA09B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AA09B6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AA09B6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AA09B6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AA09B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AA09B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AA09B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AA09B6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AA09B6"/>
    <w:pPr>
      <w:outlineLvl w:val="0"/>
    </w:pPr>
  </w:style>
  <w:style w:type="table" w:customStyle="1" w:styleId="ECHRTableGrey">
    <w:name w:val="ECHR_Table_Grey"/>
    <w:basedOn w:val="Standardowy"/>
    <w:uiPriority w:val="99"/>
    <w:rsid w:val="00AA09B6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A09B6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AA09B6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AA09B6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AA09B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AA09B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AA09B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AA09B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AA09B6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AA09B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AA09B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AA09B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AA09B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AA09B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AA09B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AA09B6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AA09B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AA09B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AA09B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AA09B6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AA09B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AA09B6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AA09B6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AA09B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AA09B6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AA09B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AA09B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AA09B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AA09B6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AA09B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AA09B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AA09B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AA09B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AA09B6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AA09B6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AA09B6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AA09B6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AA09B6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AA09B6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AA09B6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AA09B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AA09B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AA09B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AA09B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AA09B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AA09B6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AA09B6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AA09B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913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2024-07-08T13:42:00Z</dcterms:created>
  <dcterms:modified xsi:type="dcterms:W3CDTF">2024-07-15T08:20:00Z</dcterms:modified>
  <cp:category/>
</cp:coreProperties>
</file>