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19093" w14:textId="77777777" w:rsidR="008D51B6" w:rsidRPr="008D728B" w:rsidRDefault="008D51B6" w:rsidP="00386D25">
      <w:pPr>
        <w:jc w:val="center"/>
        <w:rPr>
          <w:lang w:val="pl-PL"/>
        </w:rPr>
      </w:pPr>
    </w:p>
    <w:p w14:paraId="72E4148B" w14:textId="77777777" w:rsidR="000C5149" w:rsidRPr="008D728B" w:rsidRDefault="000C5149" w:rsidP="00386D25">
      <w:pPr>
        <w:jc w:val="center"/>
        <w:rPr>
          <w:lang w:val="pl-PL"/>
        </w:rPr>
      </w:pPr>
    </w:p>
    <w:p w14:paraId="32F4FABA" w14:textId="65A0E562" w:rsidR="00606600" w:rsidRPr="008D728B" w:rsidRDefault="003F26AD" w:rsidP="00386D25">
      <w:pPr>
        <w:pStyle w:val="DecHTitle"/>
        <w:rPr>
          <w:lang w:val="pl-PL"/>
        </w:rPr>
      </w:pPr>
      <w:r w:rsidRPr="008D728B">
        <w:rPr>
          <w:lang w:val="pl-PL"/>
        </w:rPr>
        <w:t>SEKCJA PIERWSZA</w:t>
      </w:r>
    </w:p>
    <w:p w14:paraId="7B439080" w14:textId="4CDC3A25" w:rsidR="006D324D" w:rsidRPr="008D728B" w:rsidRDefault="003F26AD" w:rsidP="00386D25">
      <w:pPr>
        <w:pStyle w:val="JuTitle"/>
        <w:rPr>
          <w:lang w:val="pl-PL"/>
        </w:rPr>
      </w:pPr>
      <w:bookmarkStart w:id="0" w:name="To"/>
      <w:r w:rsidRPr="008D728B">
        <w:rPr>
          <w:color w:val="000000" w:themeColor="text1"/>
          <w:lang w:val="pl-PL"/>
        </w:rPr>
        <w:t xml:space="preserve">SPRAWA </w:t>
      </w:r>
      <w:bookmarkEnd w:id="0"/>
      <w:r w:rsidRPr="008D728B">
        <w:rPr>
          <w:lang w:val="pl-PL"/>
        </w:rPr>
        <w:t>LEHMANN I INNI przeciwko POLSCE</w:t>
      </w:r>
    </w:p>
    <w:p w14:paraId="6A0B8405" w14:textId="6A076DB6" w:rsidR="006D324D" w:rsidRPr="008D728B" w:rsidRDefault="003F26AD" w:rsidP="00386D25">
      <w:pPr>
        <w:pStyle w:val="ECHRCoverTitle4"/>
        <w:rPr>
          <w:lang w:val="pl-PL"/>
        </w:rPr>
      </w:pPr>
      <w:r w:rsidRPr="008D728B">
        <w:rPr>
          <w:lang w:val="pl-PL"/>
        </w:rPr>
        <w:t>(Skargi nr 52462/21 i 2 inne – zob. załączony wykaz)</w:t>
      </w:r>
    </w:p>
    <w:p w14:paraId="56D4A807" w14:textId="77777777" w:rsidR="006D324D" w:rsidRPr="008D728B" w:rsidRDefault="006D324D" w:rsidP="00386D25">
      <w:pPr>
        <w:pStyle w:val="DecHCase"/>
        <w:rPr>
          <w:lang w:val="pl-PL"/>
        </w:rPr>
      </w:pPr>
    </w:p>
    <w:p w14:paraId="373F0A2E" w14:textId="77777777" w:rsidR="006D324D" w:rsidRPr="008D728B" w:rsidRDefault="006D324D" w:rsidP="00386D25">
      <w:pPr>
        <w:pStyle w:val="DecHCase"/>
        <w:rPr>
          <w:lang w:val="pl-PL"/>
        </w:rPr>
      </w:pPr>
    </w:p>
    <w:p w14:paraId="0876674C" w14:textId="77777777" w:rsidR="00606600" w:rsidRPr="008D728B" w:rsidRDefault="00606600" w:rsidP="00386D25">
      <w:pPr>
        <w:pStyle w:val="DecHCase"/>
        <w:rPr>
          <w:lang w:val="pl-PL"/>
        </w:rPr>
      </w:pPr>
    </w:p>
    <w:p w14:paraId="41658741" w14:textId="77777777" w:rsidR="00606600" w:rsidRPr="008D728B" w:rsidRDefault="00606600" w:rsidP="00386D25">
      <w:pPr>
        <w:pStyle w:val="DecHCase"/>
        <w:rPr>
          <w:lang w:val="pl-PL"/>
        </w:rPr>
      </w:pPr>
    </w:p>
    <w:p w14:paraId="6F02AEBD" w14:textId="77777777" w:rsidR="00606600" w:rsidRPr="008D728B" w:rsidRDefault="00606600" w:rsidP="00386D25">
      <w:pPr>
        <w:pStyle w:val="DecHCase"/>
        <w:rPr>
          <w:lang w:val="pl-PL"/>
        </w:rPr>
      </w:pPr>
    </w:p>
    <w:p w14:paraId="54F6789A" w14:textId="77777777" w:rsidR="00606600" w:rsidRPr="008D728B" w:rsidRDefault="00606600" w:rsidP="00386D25">
      <w:pPr>
        <w:pStyle w:val="DecHCase"/>
        <w:rPr>
          <w:lang w:val="pl-PL"/>
        </w:rPr>
      </w:pPr>
    </w:p>
    <w:p w14:paraId="0E7D942D" w14:textId="028A9D30" w:rsidR="00606600" w:rsidRPr="008D728B" w:rsidRDefault="003F26AD" w:rsidP="00386D25">
      <w:pPr>
        <w:pStyle w:val="DecHCase"/>
        <w:rPr>
          <w:lang w:val="pl-PL"/>
        </w:rPr>
      </w:pPr>
      <w:r w:rsidRPr="008D728B">
        <w:rPr>
          <w:lang w:val="pl-PL"/>
        </w:rPr>
        <w:t>WYROK</w:t>
      </w:r>
    </w:p>
    <w:p w14:paraId="02AA28DD" w14:textId="77777777" w:rsidR="00606600" w:rsidRPr="008D728B" w:rsidRDefault="00606600" w:rsidP="00386D25">
      <w:pPr>
        <w:jc w:val="center"/>
        <w:rPr>
          <w:i/>
          <w:lang w:val="pl-PL"/>
        </w:rPr>
      </w:pPr>
    </w:p>
    <w:p w14:paraId="54EE67B2" w14:textId="66E3A495" w:rsidR="00606600" w:rsidRPr="008D728B" w:rsidRDefault="003F26AD" w:rsidP="003F26AD">
      <w:pPr>
        <w:pStyle w:val="DecHCase"/>
        <w:rPr>
          <w:lang w:val="pl-PL"/>
        </w:rPr>
      </w:pPr>
      <w:r w:rsidRPr="008D728B">
        <w:rPr>
          <w:lang w:val="pl-PL"/>
        </w:rPr>
        <w:t>STRASBURG</w:t>
      </w:r>
    </w:p>
    <w:p w14:paraId="590D0775" w14:textId="4FD7BB10" w:rsidR="00606600" w:rsidRPr="008D728B" w:rsidRDefault="003F26AD" w:rsidP="00386D25">
      <w:pPr>
        <w:pStyle w:val="DecHCase"/>
        <w:rPr>
          <w:lang w:val="pl-PL"/>
        </w:rPr>
      </w:pPr>
      <w:r w:rsidRPr="008D728B">
        <w:rPr>
          <w:lang w:val="pl-PL"/>
        </w:rPr>
        <w:t>6 czerwca 2024 r.</w:t>
      </w:r>
    </w:p>
    <w:p w14:paraId="63E404A5" w14:textId="77777777" w:rsidR="00606600" w:rsidRPr="008D728B" w:rsidRDefault="00606600" w:rsidP="00386D25">
      <w:pPr>
        <w:jc w:val="center"/>
        <w:rPr>
          <w:lang w:val="pl-PL"/>
        </w:rPr>
      </w:pPr>
    </w:p>
    <w:p w14:paraId="3D93126C" w14:textId="3EDABE5F" w:rsidR="00606600" w:rsidRPr="008D728B" w:rsidRDefault="003F26AD" w:rsidP="00386D25">
      <w:pPr>
        <w:rPr>
          <w:sz w:val="22"/>
          <w:szCs w:val="22"/>
          <w:lang w:val="pl-PL"/>
        </w:rPr>
      </w:pPr>
      <w:r w:rsidRPr="008D728B">
        <w:rPr>
          <w:i/>
          <w:sz w:val="22"/>
          <w:szCs w:val="22"/>
          <w:lang w:val="pl-PL"/>
        </w:rPr>
        <w:t>Wyrok ten stał się ostateczny, lecz może podlegać korekcie wydawniczej.</w:t>
      </w:r>
    </w:p>
    <w:p w14:paraId="4E3682F7" w14:textId="77777777" w:rsidR="00606600" w:rsidRPr="008D728B" w:rsidRDefault="00606600" w:rsidP="00386D25">
      <w:pPr>
        <w:pStyle w:val="JuCase"/>
        <w:rPr>
          <w:lang w:val="pl-PL"/>
        </w:rPr>
        <w:sectPr w:rsidR="00606600" w:rsidRPr="008D728B" w:rsidSect="00B9166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14:paraId="4F057540" w14:textId="77777777" w:rsidR="000E7684" w:rsidRPr="008D728B" w:rsidRDefault="000E7684" w:rsidP="000E7684">
      <w:pPr>
        <w:pStyle w:val="JuCase"/>
        <w:rPr>
          <w:bCs/>
          <w:lang w:val="pl-PL"/>
        </w:rPr>
      </w:pPr>
      <w:r w:rsidRPr="008D728B">
        <w:rPr>
          <w:lang w:val="pl-PL"/>
        </w:rPr>
        <w:lastRenderedPageBreak/>
        <w:t>W sprawie Lehmann i Inni przeciwko Polsce</w:t>
      </w:r>
    </w:p>
    <w:p w14:paraId="1F6FF64A" w14:textId="77777777" w:rsidR="000E7684" w:rsidRPr="008D728B" w:rsidRDefault="000E7684" w:rsidP="000E7684">
      <w:pPr>
        <w:pStyle w:val="JuPara"/>
        <w:rPr>
          <w:lang w:val="pl-PL"/>
        </w:rPr>
      </w:pPr>
      <w:r w:rsidRPr="008D728B">
        <w:rPr>
          <w:lang w:val="pl-PL"/>
        </w:rPr>
        <w:t>Europejski Trybunał Praw Człowieka (sekcja pierwsza), zasiadając jako Komitet w składzie:</w:t>
      </w:r>
    </w:p>
    <w:p w14:paraId="254826C9" w14:textId="77777777" w:rsidR="000E7684" w:rsidRPr="008D728B" w:rsidRDefault="000E7684" w:rsidP="000E7684">
      <w:pPr>
        <w:pStyle w:val="JuJudges"/>
        <w:rPr>
          <w:lang w:val="pl-PL"/>
        </w:rPr>
      </w:pPr>
      <w:r w:rsidRPr="008D728B">
        <w:rPr>
          <w:lang w:val="pl-PL"/>
        </w:rPr>
        <w:tab/>
      </w:r>
      <w:proofErr w:type="spellStart"/>
      <w:r w:rsidRPr="008D728B">
        <w:rPr>
          <w:lang w:val="pl-PL"/>
        </w:rPr>
        <w:t>Péter</w:t>
      </w:r>
      <w:proofErr w:type="spellEnd"/>
      <w:r w:rsidRPr="008D728B">
        <w:rPr>
          <w:lang w:val="pl-PL"/>
        </w:rPr>
        <w:t xml:space="preserve"> </w:t>
      </w:r>
      <w:proofErr w:type="spellStart"/>
      <w:r w:rsidRPr="008D728B">
        <w:rPr>
          <w:lang w:val="pl-PL"/>
        </w:rPr>
        <w:t>Paczolay</w:t>
      </w:r>
      <w:proofErr w:type="spellEnd"/>
      <w:r w:rsidRPr="008D728B">
        <w:rPr>
          <w:i/>
          <w:lang w:val="pl-PL"/>
        </w:rPr>
        <w:t>, Pr</w:t>
      </w:r>
      <w:r w:rsidRPr="008D728B">
        <w:rPr>
          <w:lang w:val="pl-PL"/>
        </w:rPr>
        <w:t>z</w:t>
      </w:r>
      <w:r w:rsidRPr="008D728B">
        <w:rPr>
          <w:i/>
          <w:iCs/>
          <w:lang w:val="pl-PL"/>
        </w:rPr>
        <w:t>ewodniczący</w:t>
      </w:r>
      <w:r w:rsidRPr="008D728B">
        <w:rPr>
          <w:lang w:val="pl-PL"/>
        </w:rPr>
        <w:t>,</w:t>
      </w:r>
      <w:r w:rsidRPr="008D728B">
        <w:rPr>
          <w:lang w:val="pl-PL"/>
        </w:rPr>
        <w:br/>
      </w:r>
      <w:r w:rsidRPr="008D728B">
        <w:rPr>
          <w:lang w:val="pl-PL"/>
        </w:rPr>
        <w:tab/>
        <w:t xml:space="preserve">Gilberto </w:t>
      </w:r>
      <w:proofErr w:type="spellStart"/>
      <w:r w:rsidRPr="008D728B">
        <w:rPr>
          <w:lang w:val="pl-PL"/>
        </w:rPr>
        <w:t>Felici</w:t>
      </w:r>
      <w:proofErr w:type="spellEnd"/>
      <w:r w:rsidRPr="008D728B">
        <w:rPr>
          <w:lang w:val="pl-PL"/>
        </w:rPr>
        <w:t>,</w:t>
      </w:r>
      <w:r w:rsidRPr="008D728B">
        <w:rPr>
          <w:lang w:val="pl-PL"/>
        </w:rPr>
        <w:br/>
      </w:r>
      <w:r w:rsidRPr="008D728B">
        <w:rPr>
          <w:lang w:val="pl-PL"/>
        </w:rPr>
        <w:tab/>
      </w:r>
      <w:proofErr w:type="spellStart"/>
      <w:r w:rsidRPr="008D728B">
        <w:rPr>
          <w:lang w:val="pl-PL"/>
        </w:rPr>
        <w:t>Raffaele</w:t>
      </w:r>
      <w:proofErr w:type="spellEnd"/>
      <w:r w:rsidRPr="008D728B">
        <w:rPr>
          <w:lang w:val="pl-PL"/>
        </w:rPr>
        <w:t xml:space="preserve"> </w:t>
      </w:r>
      <w:proofErr w:type="spellStart"/>
      <w:r w:rsidRPr="008D728B">
        <w:rPr>
          <w:lang w:val="pl-PL"/>
        </w:rPr>
        <w:t>Sabato</w:t>
      </w:r>
      <w:proofErr w:type="spellEnd"/>
      <w:r w:rsidRPr="008D728B">
        <w:rPr>
          <w:i/>
          <w:lang w:val="pl-PL"/>
        </w:rPr>
        <w:t>, sędziowie</w:t>
      </w:r>
      <w:r w:rsidRPr="008D728B">
        <w:rPr>
          <w:lang w:val="pl-PL"/>
        </w:rPr>
        <w:t>,</w:t>
      </w:r>
    </w:p>
    <w:p w14:paraId="5C04C5CF" w14:textId="77777777" w:rsidR="000E7684" w:rsidRPr="008D728B" w:rsidRDefault="000E7684" w:rsidP="000E7684">
      <w:pPr>
        <w:pStyle w:val="JuJudges"/>
        <w:rPr>
          <w:lang w:val="pl-PL"/>
        </w:rPr>
      </w:pPr>
      <w:r w:rsidRPr="008D728B">
        <w:rPr>
          <w:lang w:val="pl-PL"/>
        </w:rPr>
        <w:t xml:space="preserve">oraz </w:t>
      </w:r>
      <w:proofErr w:type="spellStart"/>
      <w:r w:rsidRPr="008D728B">
        <w:rPr>
          <w:lang w:val="pl-PL"/>
        </w:rPr>
        <w:t>Viktoriya</w:t>
      </w:r>
      <w:proofErr w:type="spellEnd"/>
      <w:r w:rsidRPr="008D728B">
        <w:rPr>
          <w:lang w:val="pl-PL"/>
        </w:rPr>
        <w:t xml:space="preserve"> </w:t>
      </w:r>
      <w:proofErr w:type="spellStart"/>
      <w:r w:rsidRPr="008D728B">
        <w:rPr>
          <w:lang w:val="pl-PL"/>
        </w:rPr>
        <w:t>Maradudina</w:t>
      </w:r>
      <w:proofErr w:type="spellEnd"/>
      <w:r w:rsidRPr="008D728B">
        <w:rPr>
          <w:lang w:val="pl-PL"/>
        </w:rPr>
        <w:t xml:space="preserve">, </w:t>
      </w:r>
      <w:r w:rsidRPr="008D728B">
        <w:rPr>
          <w:i/>
          <w:lang w:val="pl-PL"/>
        </w:rPr>
        <w:t>p.o. Zastępcy Kanclerza Sekcji,</w:t>
      </w:r>
    </w:p>
    <w:p w14:paraId="3E257968" w14:textId="77777777" w:rsidR="000E7684" w:rsidRPr="008D728B" w:rsidRDefault="000E7684" w:rsidP="000E7684">
      <w:pPr>
        <w:pStyle w:val="JuPara"/>
        <w:rPr>
          <w:lang w:val="pl-PL"/>
        </w:rPr>
      </w:pPr>
      <w:r w:rsidRPr="008D728B">
        <w:rPr>
          <w:lang w:val="pl-PL"/>
        </w:rPr>
        <w:t>obradując na posiedzeniu niejawnym w dniu 16 maja 2024 r.,</w:t>
      </w:r>
    </w:p>
    <w:p w14:paraId="551873E4" w14:textId="3EAF5124" w:rsidR="00606600" w:rsidRPr="008D728B" w:rsidRDefault="000E7684" w:rsidP="000E7684">
      <w:pPr>
        <w:pStyle w:val="JuPara"/>
        <w:rPr>
          <w:lang w:val="pl-PL"/>
        </w:rPr>
      </w:pPr>
      <w:r w:rsidRPr="008D728B">
        <w:rPr>
          <w:lang w:val="pl-PL"/>
        </w:rPr>
        <w:t>wydaje następujący wyrok, który został przyjęty w tym dniu:</w:t>
      </w:r>
    </w:p>
    <w:p w14:paraId="2622E080" w14:textId="0F0CAFAE" w:rsidR="006A55E6" w:rsidRPr="008D728B" w:rsidRDefault="000E7684" w:rsidP="00386D25">
      <w:pPr>
        <w:pStyle w:val="JuHHead"/>
        <w:rPr>
          <w:lang w:val="pl-PL"/>
        </w:rPr>
      </w:pPr>
      <w:bookmarkStart w:id="1" w:name="ITMARKStartJudgment"/>
      <w:bookmarkEnd w:id="1"/>
      <w:r w:rsidRPr="008D728B">
        <w:rPr>
          <w:lang w:val="pl-PL"/>
        </w:rPr>
        <w:t>POSTĘPOWANIE</w:t>
      </w:r>
    </w:p>
    <w:p w14:paraId="230B4CD8" w14:textId="6BFEDAA3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1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>Spraw</w:t>
      </w:r>
      <w:r w:rsidR="001A2EE8">
        <w:rPr>
          <w:lang w:val="pl-PL"/>
        </w:rPr>
        <w:t xml:space="preserve">ę wszczęto </w:t>
      </w:r>
      <w:r w:rsidR="001A2EE8">
        <w:rPr>
          <w:lang w:val="pl-PL"/>
        </w:rPr>
        <w:fldChar w:fldCharType="begin"/>
      </w:r>
      <w:r w:rsidR="001A2EE8">
        <w:rPr>
          <w:lang w:val="pl-PL"/>
        </w:rPr>
        <w:instrText xml:space="preserve"> LISTNUM </w:instrText>
      </w:r>
      <w:r w:rsidR="001A2EE8">
        <w:rPr>
          <w:lang w:val="pl-PL"/>
        </w:rPr>
        <w:fldChar w:fldCharType="end"/>
      </w:r>
      <w:r w:rsidR="00285852">
        <w:rPr>
          <w:lang w:val="pl-PL"/>
        </w:rPr>
        <w:t>na podstawie</w:t>
      </w:r>
      <w:r w:rsidR="001A2EE8">
        <w:rPr>
          <w:lang w:val="pl-PL"/>
        </w:rPr>
        <w:t xml:space="preserve"> </w:t>
      </w:r>
      <w:r w:rsidR="000E7684" w:rsidRPr="008D728B">
        <w:rPr>
          <w:lang w:val="pl-PL"/>
        </w:rPr>
        <w:t xml:space="preserve">skarg przeciwko Polsce, wniesionych do Trybunału </w:t>
      </w:r>
      <w:r w:rsidR="00285852">
        <w:rPr>
          <w:lang w:val="pl-PL"/>
        </w:rPr>
        <w:t>w oparciu o</w:t>
      </w:r>
      <w:r w:rsidR="000E7684" w:rsidRPr="008D728B">
        <w:rPr>
          <w:lang w:val="pl-PL"/>
        </w:rPr>
        <w:t xml:space="preserve"> art. 34 Konwencji o ochronie praw człowieka i podstawowych wolności („Konwencja”) w różnych terminach wskazanych w załączonej tabeli.</w:t>
      </w:r>
    </w:p>
    <w:p w14:paraId="038FB2BE" w14:textId="396803E0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2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>Rząd polski („Rząd”) otrzymał zawiadomienie o złożeniu skarg.</w:t>
      </w:r>
    </w:p>
    <w:p w14:paraId="3AC8E64F" w14:textId="116B7201" w:rsidR="006A55E6" w:rsidRPr="008D728B" w:rsidRDefault="000E7684" w:rsidP="00386D25">
      <w:pPr>
        <w:pStyle w:val="JuHHead"/>
        <w:rPr>
          <w:lang w:val="pl-PL"/>
        </w:rPr>
      </w:pPr>
      <w:r w:rsidRPr="008D728B">
        <w:rPr>
          <w:lang w:val="pl-PL"/>
        </w:rPr>
        <w:t>FAKTY</w:t>
      </w:r>
    </w:p>
    <w:p w14:paraId="483842E2" w14:textId="70FCC235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rFonts w:eastAsia="PMingLiU"/>
          <w:lang w:val="pl-PL"/>
        </w:rPr>
        <w:fldChar w:fldCharType="begin"/>
      </w:r>
      <w:r w:rsidRPr="008D728B">
        <w:rPr>
          <w:rFonts w:eastAsia="PMingLiU"/>
          <w:lang w:val="pl-PL"/>
        </w:rPr>
        <w:instrText xml:space="preserve"> SEQ level0 \*arabic \* MERGEFORMAT </w:instrText>
      </w:r>
      <w:r w:rsidRPr="008D728B">
        <w:rPr>
          <w:rFonts w:eastAsia="PMingLiU"/>
          <w:lang w:val="pl-PL"/>
        </w:rPr>
        <w:fldChar w:fldCharType="separate"/>
      </w:r>
      <w:r w:rsidR="00386D25" w:rsidRPr="008D728B">
        <w:rPr>
          <w:rFonts w:eastAsia="PMingLiU"/>
          <w:noProof/>
          <w:lang w:val="pl-PL"/>
        </w:rPr>
        <w:t>3</w:t>
      </w:r>
      <w:r w:rsidRPr="008D728B">
        <w:rPr>
          <w:rFonts w:eastAsia="PMingLiU"/>
          <w:lang w:val="pl-PL"/>
        </w:rPr>
        <w:fldChar w:fldCharType="end"/>
      </w:r>
      <w:r w:rsidRPr="008D728B">
        <w:rPr>
          <w:rFonts w:eastAsia="PMingLiU"/>
          <w:lang w:val="pl-PL"/>
        </w:rPr>
        <w:t>.  </w:t>
      </w:r>
      <w:r w:rsidR="000E7684" w:rsidRPr="008D728B">
        <w:rPr>
          <w:lang w:val="pl-PL"/>
        </w:rPr>
        <w:t>Wykaz skarżących oraz informacje istotne dla skarg zostały przedstawione w załączonej tabeli.</w:t>
      </w:r>
    </w:p>
    <w:p w14:paraId="316ABE4E" w14:textId="1FB94BF5" w:rsidR="006A55E6" w:rsidRPr="008D728B" w:rsidRDefault="00767D53" w:rsidP="00386D25">
      <w:pPr>
        <w:pStyle w:val="JuPara"/>
        <w:rPr>
          <w:bCs/>
          <w:lang w:val="pl-PL"/>
        </w:rPr>
      </w:pPr>
      <w:r w:rsidRPr="008D728B">
        <w:rPr>
          <w:bCs/>
          <w:lang w:val="pl-PL"/>
        </w:rPr>
        <w:fldChar w:fldCharType="begin"/>
      </w:r>
      <w:r w:rsidRPr="008D728B">
        <w:rPr>
          <w:bCs/>
          <w:lang w:val="pl-PL"/>
        </w:rPr>
        <w:instrText xml:space="preserve"> SEQ level0 \*arabic \* MERGEFORMAT </w:instrText>
      </w:r>
      <w:r w:rsidRPr="008D728B">
        <w:rPr>
          <w:bCs/>
          <w:lang w:val="pl-PL"/>
        </w:rPr>
        <w:fldChar w:fldCharType="separate"/>
      </w:r>
      <w:r w:rsidR="00386D25" w:rsidRPr="008D728B">
        <w:rPr>
          <w:bCs/>
          <w:noProof/>
          <w:lang w:val="pl-PL"/>
        </w:rPr>
        <w:t>4</w:t>
      </w:r>
      <w:r w:rsidRPr="008D728B">
        <w:rPr>
          <w:bCs/>
          <w:lang w:val="pl-PL"/>
        </w:rPr>
        <w:fldChar w:fldCharType="end"/>
      </w:r>
      <w:r w:rsidRPr="008D728B">
        <w:rPr>
          <w:bCs/>
          <w:lang w:val="pl-PL"/>
        </w:rPr>
        <w:t>.  </w:t>
      </w:r>
      <w:r w:rsidR="000E7684" w:rsidRPr="008D728B">
        <w:rPr>
          <w:lang w:val="pl-PL"/>
        </w:rPr>
        <w:t>Skarżący skarżyli się na zbyt długi okres tymczasowego aresztowania</w:t>
      </w:r>
      <w:r w:rsidR="000E7684" w:rsidRPr="008D728B">
        <w:rPr>
          <w:bCs/>
          <w:color w:val="000000"/>
          <w:lang w:val="pl-PL"/>
        </w:rPr>
        <w:t>.</w:t>
      </w:r>
    </w:p>
    <w:p w14:paraId="671386E2" w14:textId="46F8A30B" w:rsidR="006A55E6" w:rsidRPr="008D728B" w:rsidRDefault="000E7684" w:rsidP="00386D25">
      <w:pPr>
        <w:pStyle w:val="JuHHead"/>
        <w:rPr>
          <w:lang w:val="pl-PL"/>
        </w:rPr>
      </w:pPr>
      <w:r w:rsidRPr="008D728B">
        <w:rPr>
          <w:lang w:val="pl-PL"/>
        </w:rPr>
        <w:t>PRAWO</w:t>
      </w:r>
    </w:p>
    <w:p w14:paraId="732A700E" w14:textId="55A34E6F" w:rsidR="006A55E6" w:rsidRPr="008D728B" w:rsidRDefault="000E7684" w:rsidP="00386D25">
      <w:pPr>
        <w:pStyle w:val="JuHIRoman"/>
        <w:rPr>
          <w:lang w:val="pl-PL"/>
        </w:rPr>
      </w:pPr>
      <w:r w:rsidRPr="008D728B">
        <w:rPr>
          <w:lang w:val="pl-PL"/>
        </w:rPr>
        <w:t>POŁĄCZENIE SKARG</w:t>
      </w:r>
    </w:p>
    <w:p w14:paraId="3E19AEC4" w14:textId="11E9E6A3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5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 xml:space="preserve">Mając na uwadze </w:t>
      </w:r>
      <w:r w:rsidR="009A0079">
        <w:rPr>
          <w:lang w:val="pl-PL"/>
        </w:rPr>
        <w:t>podobny</w:t>
      </w:r>
      <w:r w:rsidR="000E7684" w:rsidRPr="008D728B">
        <w:rPr>
          <w:lang w:val="pl-PL"/>
        </w:rPr>
        <w:t xml:space="preserve"> przedmiot skarg, Trybunał uzna</w:t>
      </w:r>
      <w:r w:rsidR="009A0079">
        <w:rPr>
          <w:lang w:val="pl-PL"/>
        </w:rPr>
        <w:t>je</w:t>
      </w:r>
      <w:r w:rsidR="000E7684" w:rsidRPr="008D728B">
        <w:rPr>
          <w:lang w:val="pl-PL"/>
        </w:rPr>
        <w:t xml:space="preserve"> za stosowne rozstrzygnąć je łącznie w jednym </w:t>
      </w:r>
      <w:r w:rsidR="009A0079">
        <w:rPr>
          <w:lang w:val="pl-PL"/>
        </w:rPr>
        <w:t>orzeczeniu</w:t>
      </w:r>
      <w:r w:rsidR="000E7684" w:rsidRPr="008D728B">
        <w:rPr>
          <w:lang w:val="pl-PL"/>
        </w:rPr>
        <w:t>.</w:t>
      </w:r>
    </w:p>
    <w:p w14:paraId="7A525B68" w14:textId="7395E356" w:rsidR="006A55E6" w:rsidRPr="008D728B" w:rsidRDefault="000E7684" w:rsidP="00386D25">
      <w:pPr>
        <w:pStyle w:val="JuHIRoman"/>
        <w:rPr>
          <w:rFonts w:eastAsia="PMingLiU"/>
          <w:lang w:val="pl-PL"/>
        </w:rPr>
      </w:pPr>
      <w:r w:rsidRPr="008D728B">
        <w:rPr>
          <w:lang w:val="pl-PL"/>
        </w:rPr>
        <w:t>ZARZUCANE NARUSZENIE ART. 5 UST. 3 KONWENCJI</w:t>
      </w:r>
    </w:p>
    <w:p w14:paraId="4489AC8D" w14:textId="29C5B10F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6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>Skarżący zarzucili</w:t>
      </w:r>
      <w:r w:rsidR="009A0079">
        <w:rPr>
          <w:lang w:val="pl-PL"/>
        </w:rPr>
        <w:t xml:space="preserve"> na podstawie </w:t>
      </w:r>
      <w:r w:rsidR="009A0079" w:rsidRPr="009A0079">
        <w:rPr>
          <w:lang w:val="pl-PL"/>
        </w:rPr>
        <w:t>art. 5 ust. 3 Konwencji</w:t>
      </w:r>
      <w:r w:rsidR="000E7684" w:rsidRPr="008D728B">
        <w:rPr>
          <w:lang w:val="pl-PL"/>
        </w:rPr>
        <w:t xml:space="preserve">, że </w:t>
      </w:r>
      <w:r w:rsidR="009A0079">
        <w:rPr>
          <w:lang w:val="pl-PL"/>
        </w:rPr>
        <w:t>ich</w:t>
      </w:r>
      <w:r w:rsidR="000E7684" w:rsidRPr="008D728B">
        <w:rPr>
          <w:lang w:val="pl-PL"/>
        </w:rPr>
        <w:t xml:space="preserve"> tymczasowe aresztowanie było nadmiernie długie. </w:t>
      </w:r>
    </w:p>
    <w:p w14:paraId="70AD7C27" w14:textId="1FDE0939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7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 xml:space="preserve">Trybunał zauważa, że zasady ogólne dotyczące prawa do procesu w rozsądnym terminie albo zwolnienia na czas postępowania, zagwarantowane w art. 5 ust. 3 Konwencji, zostały określone w szeregu wcześniejszych wyroków (zob. między innymi </w:t>
      </w:r>
      <w:r w:rsidR="000E7684" w:rsidRPr="008D728B">
        <w:rPr>
          <w:i/>
          <w:lang w:val="pl-PL"/>
        </w:rPr>
        <w:t>Kudła przeciwko Polsce</w:t>
      </w:r>
      <w:r w:rsidR="000E7684" w:rsidRPr="008D728B">
        <w:rPr>
          <w:lang w:val="pl-PL"/>
        </w:rPr>
        <w:t xml:space="preserve"> [WI], nr 30210/96, § 110 i nast., </w:t>
      </w:r>
      <w:proofErr w:type="spellStart"/>
      <w:r w:rsidR="000E7684" w:rsidRPr="008D728B">
        <w:rPr>
          <w:lang w:val="pl-PL"/>
        </w:rPr>
        <w:t>ETPCz</w:t>
      </w:r>
      <w:proofErr w:type="spellEnd"/>
      <w:r w:rsidR="000E7684" w:rsidRPr="008D728B">
        <w:rPr>
          <w:lang w:val="pl-PL"/>
        </w:rPr>
        <w:t> 2000</w:t>
      </w:r>
      <w:r w:rsidR="000E7684" w:rsidRPr="008D728B">
        <w:rPr>
          <w:lang w:val="pl-PL"/>
        </w:rPr>
        <w:noBreakHyphen/>
        <w:t xml:space="preserve">XI; oraz </w:t>
      </w:r>
      <w:proofErr w:type="spellStart"/>
      <w:r w:rsidR="000E7684" w:rsidRPr="008D728B">
        <w:rPr>
          <w:i/>
          <w:iCs/>
          <w:lang w:val="pl-PL"/>
        </w:rPr>
        <w:t>McKay</w:t>
      </w:r>
      <w:proofErr w:type="spellEnd"/>
      <w:r w:rsidR="000E7684" w:rsidRPr="008D728B">
        <w:rPr>
          <w:i/>
          <w:iCs/>
          <w:lang w:val="pl-PL"/>
        </w:rPr>
        <w:t xml:space="preserve"> przeciwko Zjednoczonemu Królestwu</w:t>
      </w:r>
      <w:r w:rsidR="000E7684" w:rsidRPr="008D728B">
        <w:rPr>
          <w:lang w:val="pl-PL"/>
        </w:rPr>
        <w:t xml:space="preserve"> [WI], nr 543/03, §§ 41–44, </w:t>
      </w:r>
      <w:proofErr w:type="spellStart"/>
      <w:r w:rsidR="000E7684" w:rsidRPr="008D728B">
        <w:rPr>
          <w:lang w:val="pl-PL"/>
        </w:rPr>
        <w:t>ETPCz</w:t>
      </w:r>
      <w:proofErr w:type="spellEnd"/>
      <w:r w:rsidR="000E7684" w:rsidRPr="008D728B">
        <w:rPr>
          <w:lang w:val="pl-PL"/>
        </w:rPr>
        <w:t> 2006</w:t>
      </w:r>
      <w:r w:rsidR="000E7684" w:rsidRPr="008D728B">
        <w:rPr>
          <w:lang w:val="pl-PL"/>
        </w:rPr>
        <w:noBreakHyphen/>
        <w:t>X, z dalszymi odniesieniami).</w:t>
      </w:r>
    </w:p>
    <w:p w14:paraId="4A80E9B1" w14:textId="467B9E98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8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 xml:space="preserve">Już w wiodących sprawach </w:t>
      </w:r>
      <w:proofErr w:type="spellStart"/>
      <w:r w:rsidR="000E7684" w:rsidRPr="008D728B">
        <w:rPr>
          <w:i/>
          <w:iCs/>
          <w:lang w:val="pl-PL"/>
        </w:rPr>
        <w:t>Kauczor</w:t>
      </w:r>
      <w:proofErr w:type="spellEnd"/>
      <w:r w:rsidR="000E7684" w:rsidRPr="008D728B">
        <w:rPr>
          <w:i/>
          <w:iCs/>
          <w:lang w:val="pl-PL"/>
        </w:rPr>
        <w:t xml:space="preserve"> przeciwko Polsc</w:t>
      </w:r>
      <w:r w:rsidR="000E7684" w:rsidRPr="008D728B">
        <w:rPr>
          <w:lang w:val="pl-PL"/>
        </w:rPr>
        <w:t xml:space="preserve">e, nr 45219/06, 3 lutego 2009 r., oraz </w:t>
      </w:r>
      <w:proofErr w:type="spellStart"/>
      <w:r w:rsidR="000E7684" w:rsidRPr="008D728B">
        <w:rPr>
          <w:i/>
          <w:iCs/>
          <w:lang w:val="pl-PL"/>
        </w:rPr>
        <w:t>Celejewski</w:t>
      </w:r>
      <w:proofErr w:type="spellEnd"/>
      <w:r w:rsidR="000E7684" w:rsidRPr="008D728B">
        <w:rPr>
          <w:i/>
          <w:iCs/>
          <w:lang w:val="pl-PL"/>
        </w:rPr>
        <w:t xml:space="preserve"> przeciwko Polsce</w:t>
      </w:r>
      <w:r w:rsidR="000E7684" w:rsidRPr="008D728B">
        <w:rPr>
          <w:lang w:val="pl-PL"/>
        </w:rPr>
        <w:t xml:space="preserve">, nr 17584/04, 4 maja </w:t>
      </w:r>
      <w:r w:rsidR="000E7684" w:rsidRPr="008D728B">
        <w:rPr>
          <w:lang w:val="pl-PL"/>
        </w:rPr>
        <w:lastRenderedPageBreak/>
        <w:t>2006 r., Trybunał stwierdził naruszenie w odniesieniu do kwestii podobnych do tych</w:t>
      </w:r>
      <w:r w:rsidR="00DE2AD5">
        <w:rPr>
          <w:lang w:val="pl-PL"/>
        </w:rPr>
        <w:t xml:space="preserve"> co </w:t>
      </w:r>
      <w:r w:rsidR="000E7684" w:rsidRPr="008D728B">
        <w:rPr>
          <w:lang w:val="pl-PL"/>
        </w:rPr>
        <w:t xml:space="preserve"> w niniejszej sprawie.</w:t>
      </w:r>
    </w:p>
    <w:p w14:paraId="4E91F927" w14:textId="0F801200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9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>Po zapoznaniu się z całym przedstawionym mu materiałem Trybunał nie ustalił żadnego faktu ani argumentu, które mogłyby przekonać go do wyciągnięcia innych wniosków w sprawie dopuszczalności i zasadności skarg. Uwzględniając swoje orzecznictwo w tym zakresie, Trybunał uznaje, że w niniejszej sprawie czas trwania tymczasowego aresztowania skarżących był nadmierny.</w:t>
      </w:r>
    </w:p>
    <w:p w14:paraId="51101C71" w14:textId="53CB425E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10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>Skargi te są zatem dopuszczalne i wskazują na naruszenie art. 5 ust. 3 Konwencji.</w:t>
      </w:r>
    </w:p>
    <w:p w14:paraId="721FFBA1" w14:textId="6BD29A91" w:rsidR="006A55E6" w:rsidRPr="008D728B" w:rsidRDefault="000E7684" w:rsidP="00386D25">
      <w:pPr>
        <w:pStyle w:val="JuHIRoman"/>
        <w:rPr>
          <w:lang w:val="pl-PL"/>
        </w:rPr>
      </w:pPr>
      <w:r w:rsidRPr="008D728B">
        <w:rPr>
          <w:lang w:val="pl-PL"/>
        </w:rPr>
        <w:t>ZASTOSOWANIE ART. 41 KONWENCJI</w:t>
      </w:r>
    </w:p>
    <w:p w14:paraId="500554DC" w14:textId="3F3F493D" w:rsidR="006A55E6" w:rsidRPr="008D728B" w:rsidRDefault="00767D53" w:rsidP="00386D25">
      <w:pPr>
        <w:pStyle w:val="JuPara"/>
        <w:rPr>
          <w:lang w:val="pl-PL"/>
        </w:rPr>
      </w:pPr>
      <w:r w:rsidRPr="008D728B">
        <w:rPr>
          <w:lang w:val="pl-PL"/>
        </w:rPr>
        <w:fldChar w:fldCharType="begin"/>
      </w:r>
      <w:r w:rsidRPr="008D728B">
        <w:rPr>
          <w:lang w:val="pl-PL"/>
        </w:rPr>
        <w:instrText xml:space="preserve"> SEQ level0 \*arabic \* MERGEFORMAT </w:instrText>
      </w:r>
      <w:r w:rsidRPr="008D728B">
        <w:rPr>
          <w:lang w:val="pl-PL"/>
        </w:rPr>
        <w:fldChar w:fldCharType="separate"/>
      </w:r>
      <w:r w:rsidRPr="008D728B">
        <w:rPr>
          <w:noProof/>
          <w:lang w:val="pl-PL"/>
        </w:rPr>
        <w:t>11</w:t>
      </w:r>
      <w:r w:rsidRPr="008D728B">
        <w:rPr>
          <w:noProof/>
          <w:lang w:val="pl-PL"/>
        </w:rPr>
        <w:fldChar w:fldCharType="end"/>
      </w:r>
      <w:r w:rsidRPr="008D728B">
        <w:rPr>
          <w:lang w:val="pl-PL"/>
        </w:rPr>
        <w:t>.  </w:t>
      </w:r>
      <w:r w:rsidR="000E7684" w:rsidRPr="008D728B">
        <w:rPr>
          <w:lang w:val="pl-PL"/>
        </w:rPr>
        <w:t xml:space="preserve">Uwzględniając dokumenty znajdujące się w jego posiadaniu oraz swoje orzecznictwo (zob. w szczególności wyrok w sprawie </w:t>
      </w:r>
      <w:proofErr w:type="spellStart"/>
      <w:r w:rsidR="000E7684" w:rsidRPr="008D728B">
        <w:rPr>
          <w:i/>
          <w:iCs/>
          <w:lang w:val="pl-PL"/>
        </w:rPr>
        <w:t>Kauczor</w:t>
      </w:r>
      <w:proofErr w:type="spellEnd"/>
      <w:r w:rsidR="000E7684" w:rsidRPr="008D728B">
        <w:rPr>
          <w:lang w:val="pl-PL"/>
        </w:rPr>
        <w:t>), Trybunał uważa za zasadne zasądzenie kwot wskazanych w załączonej tabeli.</w:t>
      </w:r>
    </w:p>
    <w:p w14:paraId="7795620C" w14:textId="485B2ABE" w:rsidR="006A55E6" w:rsidRPr="008D728B" w:rsidRDefault="000E7684" w:rsidP="00386D25">
      <w:pPr>
        <w:pStyle w:val="JuHHead"/>
        <w:rPr>
          <w:lang w:val="pl-PL"/>
        </w:rPr>
      </w:pPr>
      <w:r w:rsidRPr="008D728B">
        <w:rPr>
          <w:lang w:val="pl-PL"/>
        </w:rPr>
        <w:t>POWYŻSZYCH WZGLĘDÓW TRYBUNAŁ JEDNOGŁOŚNIE</w:t>
      </w:r>
    </w:p>
    <w:p w14:paraId="38DF564E" w14:textId="2AB4CD93" w:rsidR="006A55E6" w:rsidRPr="008D728B" w:rsidRDefault="000E7684" w:rsidP="00386D25">
      <w:pPr>
        <w:pStyle w:val="JuList"/>
        <w:rPr>
          <w:lang w:val="pl-PL"/>
        </w:rPr>
      </w:pPr>
      <w:r w:rsidRPr="008D728B">
        <w:rPr>
          <w:i/>
          <w:iCs/>
          <w:lang w:val="pl-PL"/>
        </w:rPr>
        <w:t>postanawia</w:t>
      </w:r>
      <w:r w:rsidRPr="008D728B">
        <w:rPr>
          <w:lang w:val="pl-PL"/>
        </w:rPr>
        <w:t xml:space="preserve"> połączyć skargi;</w:t>
      </w:r>
    </w:p>
    <w:p w14:paraId="6AFEB032" w14:textId="63D299C7" w:rsidR="006A55E6" w:rsidRPr="008D728B" w:rsidRDefault="000E7684" w:rsidP="00386D25">
      <w:pPr>
        <w:pStyle w:val="JuList"/>
        <w:rPr>
          <w:lang w:val="pl-PL"/>
        </w:rPr>
      </w:pPr>
      <w:r w:rsidRPr="008D728B">
        <w:rPr>
          <w:i/>
          <w:lang w:val="pl-PL"/>
        </w:rPr>
        <w:t>uznaje skargi za</w:t>
      </w:r>
      <w:r w:rsidRPr="008D728B">
        <w:rPr>
          <w:lang w:val="pl-PL"/>
        </w:rPr>
        <w:t xml:space="preserve"> dopuszczalne;</w:t>
      </w:r>
    </w:p>
    <w:p w14:paraId="47BA6167" w14:textId="5755156D" w:rsidR="006A55E6" w:rsidRPr="008D728B" w:rsidRDefault="000E7684" w:rsidP="00386D25">
      <w:pPr>
        <w:pStyle w:val="JuList"/>
        <w:rPr>
          <w:lang w:val="pl-PL"/>
        </w:rPr>
      </w:pPr>
      <w:r w:rsidRPr="008D728B">
        <w:rPr>
          <w:i/>
          <w:iCs/>
          <w:lang w:val="pl-PL"/>
        </w:rPr>
        <w:t>orzeka</w:t>
      </w:r>
      <w:r w:rsidRPr="008D728B">
        <w:rPr>
          <w:lang w:val="pl-PL"/>
        </w:rPr>
        <w:t xml:space="preserve">, że skargi ujawniają naruszenie art. 5 ust. 3 Konwencji </w:t>
      </w:r>
      <w:r w:rsidR="000A40F1">
        <w:rPr>
          <w:lang w:val="pl-PL"/>
        </w:rPr>
        <w:t>przez</w:t>
      </w:r>
      <w:r w:rsidRPr="008D728B">
        <w:rPr>
          <w:lang w:val="pl-PL"/>
        </w:rPr>
        <w:t xml:space="preserve"> nadmiernie długi czas trwania tymczasowego aresztowania;</w:t>
      </w:r>
    </w:p>
    <w:p w14:paraId="54379458" w14:textId="2BA6390B" w:rsidR="006A55E6" w:rsidRPr="008D728B" w:rsidRDefault="000E7684" w:rsidP="00386D25">
      <w:pPr>
        <w:pStyle w:val="JuList"/>
        <w:rPr>
          <w:lang w:val="pl-PL"/>
        </w:rPr>
      </w:pPr>
      <w:r w:rsidRPr="008D728B">
        <w:rPr>
          <w:i/>
          <w:iCs/>
          <w:lang w:val="pl-PL"/>
        </w:rPr>
        <w:t>orzeka</w:t>
      </w:r>
    </w:p>
    <w:p w14:paraId="7342CB55" w14:textId="798FCF6C" w:rsidR="006A55E6" w:rsidRPr="008D728B" w:rsidRDefault="000E7684" w:rsidP="00386D25">
      <w:pPr>
        <w:pStyle w:val="JuLista"/>
        <w:rPr>
          <w:lang w:val="pl-PL"/>
        </w:rPr>
      </w:pPr>
      <w:r w:rsidRPr="008D728B">
        <w:rPr>
          <w:lang w:val="pl-PL"/>
        </w:rPr>
        <w:t>że pozwane państwo winno, w terminie trzech miesięcy, uiścić na rzecz skarżących kwotę wskazaną w załączonej tabeli, przeliczoną na walutę pozwanego państwa według kursu obowiązującego w dniu płatności;</w:t>
      </w:r>
    </w:p>
    <w:p w14:paraId="647F7423" w14:textId="39479302" w:rsidR="00606600" w:rsidRPr="008D728B" w:rsidRDefault="000E7684" w:rsidP="00386D25">
      <w:pPr>
        <w:pStyle w:val="JuLista"/>
        <w:rPr>
          <w:lang w:val="pl-PL"/>
        </w:rPr>
      </w:pPr>
      <w:r w:rsidRPr="008D728B">
        <w:rPr>
          <w:lang w:val="pl-PL"/>
        </w:rPr>
        <w:t>że od upływu wyżej wskazanego terminu trzech miesięcy aż do momentu uregulowania należności należne będą odsetki zwykłe od określonej powyżej kwoty, naliczone według stopy równej marginalnej stopie procentowej Europejskiego Banku Centralnego obowiązującej w tym okresie, powiększonej o trzy punkty procentowe.</w:t>
      </w:r>
    </w:p>
    <w:p w14:paraId="08975117" w14:textId="487A16D9" w:rsidR="00606600" w:rsidRPr="008D728B" w:rsidRDefault="000E7684" w:rsidP="00386D25">
      <w:pPr>
        <w:pStyle w:val="JuParaLast"/>
        <w:rPr>
          <w:lang w:val="pl-PL"/>
        </w:rPr>
      </w:pPr>
      <w:r w:rsidRPr="008D728B">
        <w:rPr>
          <w:lang w:val="pl-PL"/>
        </w:rPr>
        <w:lastRenderedPageBreak/>
        <w:t>Sporządzono w języku angielskim i </w:t>
      </w:r>
      <w:r w:rsidR="000A40F1">
        <w:rPr>
          <w:lang w:val="pl-PL"/>
        </w:rPr>
        <w:t>opublikowano</w:t>
      </w:r>
      <w:r w:rsidRPr="008D728B">
        <w:rPr>
          <w:lang w:val="pl-PL"/>
        </w:rPr>
        <w:t xml:space="preserve"> pisemnie w dniu 6 czerwca 2024 r. zgodnie z Regułą 77 §§ 2 i 3 Regulaminu Trybunału.</w:t>
      </w:r>
    </w:p>
    <w:p w14:paraId="300E81D3" w14:textId="1849B39B" w:rsidR="00606600" w:rsidRPr="008D728B" w:rsidRDefault="00767D53" w:rsidP="00386D25">
      <w:pPr>
        <w:pStyle w:val="JuSigned"/>
        <w:keepNext/>
        <w:keepLines/>
        <w:rPr>
          <w:rFonts w:eastAsia="PMingLiU"/>
          <w:lang w:val="pl-PL"/>
        </w:rPr>
      </w:pPr>
      <w:r w:rsidRPr="008D728B">
        <w:rPr>
          <w:rFonts w:eastAsia="PMingLiU"/>
          <w:lang w:val="pl-PL"/>
        </w:rPr>
        <w:tab/>
      </w:r>
      <w:proofErr w:type="spellStart"/>
      <w:r w:rsidR="006A55E6" w:rsidRPr="008D728B">
        <w:rPr>
          <w:rFonts w:eastAsia="PMingLiU"/>
          <w:lang w:val="pl-PL"/>
        </w:rPr>
        <w:t>Viktoriya</w:t>
      </w:r>
      <w:proofErr w:type="spellEnd"/>
      <w:r w:rsidR="0048584C" w:rsidRPr="008D728B">
        <w:rPr>
          <w:rFonts w:eastAsia="PMingLiU"/>
          <w:lang w:val="pl-PL"/>
        </w:rPr>
        <w:t xml:space="preserve"> </w:t>
      </w:r>
      <w:proofErr w:type="spellStart"/>
      <w:r w:rsidR="006A55E6" w:rsidRPr="008D728B">
        <w:rPr>
          <w:rFonts w:eastAsia="PMingLiU"/>
          <w:lang w:val="pl-PL"/>
        </w:rPr>
        <w:t>Maradudina</w:t>
      </w:r>
      <w:proofErr w:type="spellEnd"/>
      <w:r w:rsidR="0048584C" w:rsidRPr="008D728B">
        <w:rPr>
          <w:rFonts w:eastAsia="PMingLiU"/>
          <w:lang w:val="pl-PL"/>
        </w:rPr>
        <w:tab/>
      </w:r>
      <w:proofErr w:type="spellStart"/>
      <w:r w:rsidR="006A55E6" w:rsidRPr="008D728B">
        <w:rPr>
          <w:rFonts w:eastAsia="PMingLiU"/>
          <w:lang w:val="pl-PL"/>
        </w:rPr>
        <w:t>Péter</w:t>
      </w:r>
      <w:proofErr w:type="spellEnd"/>
      <w:r w:rsidR="006A55E6" w:rsidRPr="008D728B">
        <w:rPr>
          <w:rFonts w:eastAsia="PMingLiU"/>
          <w:lang w:val="pl-PL"/>
        </w:rPr>
        <w:t xml:space="preserve"> </w:t>
      </w:r>
      <w:proofErr w:type="spellStart"/>
      <w:r w:rsidR="006A55E6" w:rsidRPr="008D728B">
        <w:rPr>
          <w:rFonts w:eastAsia="PMingLiU"/>
          <w:lang w:val="pl-PL"/>
        </w:rPr>
        <w:t>Paczolay</w:t>
      </w:r>
      <w:proofErr w:type="spellEnd"/>
      <w:r w:rsidR="00386D25" w:rsidRPr="008D728B">
        <w:rPr>
          <w:rFonts w:eastAsia="PMingLiU"/>
          <w:lang w:val="pl-PL"/>
        </w:rPr>
        <w:br/>
      </w:r>
      <w:r w:rsidR="0048584C" w:rsidRPr="008D728B">
        <w:rPr>
          <w:rFonts w:eastAsia="PMingLiU"/>
          <w:lang w:val="pl-PL"/>
        </w:rPr>
        <w:tab/>
      </w:r>
      <w:r w:rsidR="000E7684" w:rsidRPr="008D728B">
        <w:rPr>
          <w:lang w:val="pl-PL"/>
        </w:rPr>
        <w:t>p.o. Zastępcy Kanclerza Sekcji</w:t>
      </w:r>
      <w:r w:rsidR="0048584C" w:rsidRPr="008D728B">
        <w:rPr>
          <w:rFonts w:eastAsia="PMingLiU"/>
          <w:lang w:val="pl-PL"/>
        </w:rPr>
        <w:tab/>
      </w:r>
      <w:r w:rsidR="000E7684" w:rsidRPr="008D728B">
        <w:rPr>
          <w:lang w:val="pl-PL"/>
        </w:rPr>
        <w:t>Przewodniczący</w:t>
      </w:r>
    </w:p>
    <w:p w14:paraId="37974469" w14:textId="77777777" w:rsidR="00606600" w:rsidRPr="008D728B" w:rsidRDefault="00606600" w:rsidP="00386D25">
      <w:pPr>
        <w:pStyle w:val="JuParaLast"/>
        <w:rPr>
          <w:lang w:val="pl-PL"/>
        </w:rPr>
        <w:sectPr w:rsidR="00606600" w:rsidRPr="008D728B" w:rsidSect="007A72B4">
          <w:headerReference w:type="even" r:id="rId14"/>
          <w:headerReference w:type="default" r:id="rId15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412831EF" w14:textId="0BC019CE" w:rsidR="00606600" w:rsidRPr="008D728B" w:rsidRDefault="000E7684" w:rsidP="00386D25">
      <w:pPr>
        <w:pStyle w:val="DecHTitle"/>
        <w:rPr>
          <w:lang w:val="pl-PL"/>
        </w:rPr>
      </w:pPr>
      <w:r w:rsidRPr="008D728B">
        <w:rPr>
          <w:lang w:val="pl-PL"/>
        </w:rPr>
        <w:lastRenderedPageBreak/>
        <w:t>ZAŁĄCZNIK</w:t>
      </w:r>
    </w:p>
    <w:p w14:paraId="3E1063BC" w14:textId="5944FC5C" w:rsidR="00606600" w:rsidRPr="008D728B" w:rsidRDefault="000E7684" w:rsidP="00386D25">
      <w:pPr>
        <w:pStyle w:val="DecHCase"/>
        <w:contextualSpacing/>
        <w:rPr>
          <w:b/>
          <w:i/>
          <w:color w:val="3E3E3E" w:themeColor="background2" w:themeShade="40"/>
          <w:lang w:val="pl-PL"/>
        </w:rPr>
      </w:pPr>
      <w:r w:rsidRPr="008D728B">
        <w:rPr>
          <w:color w:val="3E3E3E" w:themeColor="background2" w:themeShade="40"/>
          <w:lang w:val="pl-PL"/>
        </w:rPr>
        <w:t>Wykaz skarg zawierających zarzuty na podstawie art. 5 ust. 3 Konwencji</w:t>
      </w:r>
    </w:p>
    <w:p w14:paraId="15CEE8D5" w14:textId="06773F3A" w:rsidR="00606600" w:rsidRPr="008D728B" w:rsidRDefault="000E7684" w:rsidP="00386D25">
      <w:pPr>
        <w:pStyle w:val="DecHCase"/>
        <w:contextualSpacing/>
        <w:rPr>
          <w:b/>
          <w:i/>
          <w:lang w:val="pl-PL"/>
        </w:rPr>
      </w:pPr>
      <w:r w:rsidRPr="008D728B">
        <w:rPr>
          <w:color w:val="3E3E3E" w:themeColor="background2" w:themeShade="40"/>
          <w:lang w:val="pl-PL"/>
        </w:rPr>
        <w:t>(nadmiernie długi czas trwania tymczasowego aresztowania)</w:t>
      </w:r>
    </w:p>
    <w:tbl>
      <w:tblPr>
        <w:tblStyle w:val="ECHRListTable"/>
        <w:tblW w:w="13462" w:type="dxa"/>
        <w:jc w:val="center"/>
        <w:tblLayout w:type="fixed"/>
        <w:tblLook w:val="0420" w:firstRow="1" w:lastRow="0" w:firstColumn="0" w:lastColumn="0" w:noHBand="0" w:noVBand="1"/>
      </w:tblPr>
      <w:tblGrid>
        <w:gridCol w:w="452"/>
        <w:gridCol w:w="961"/>
        <w:gridCol w:w="1276"/>
        <w:gridCol w:w="1559"/>
        <w:gridCol w:w="1276"/>
        <w:gridCol w:w="2268"/>
        <w:gridCol w:w="1134"/>
        <w:gridCol w:w="1998"/>
        <w:gridCol w:w="1262"/>
        <w:gridCol w:w="1276"/>
      </w:tblGrid>
      <w:tr w:rsidR="00CB2C4E" w:rsidRPr="008D728B" w14:paraId="30AEBF36" w14:textId="77777777" w:rsidTr="00767D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14:paraId="3DC6FC6F" w14:textId="0328093F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bookmarkStart w:id="2" w:name="WECLListStart"/>
            <w:bookmarkEnd w:id="2"/>
            <w:r w:rsidRPr="008D728B">
              <w:rPr>
                <w:sz w:val="16"/>
                <w:lang w:val="pl-PL"/>
              </w:rPr>
              <w:t>Lp.</w:t>
            </w:r>
          </w:p>
        </w:tc>
        <w:tc>
          <w:tcPr>
            <w:tcW w:w="961" w:type="dxa"/>
            <w:tcMar>
              <w:top w:w="57" w:type="dxa"/>
              <w:bottom w:w="57" w:type="dxa"/>
            </w:tcMar>
          </w:tcPr>
          <w:p w14:paraId="08D462D6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Nr skargi</w:t>
            </w:r>
          </w:p>
          <w:p w14:paraId="430B9E56" w14:textId="56E07266" w:rsidR="006A55E6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Data złożenia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D151C8A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Imię i nazwisko skarżącego</w:t>
            </w:r>
          </w:p>
          <w:p w14:paraId="2DF4E1D4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Rok urodzenia</w:t>
            </w:r>
          </w:p>
          <w:p w14:paraId="16EDC6CF" w14:textId="77777777" w:rsidR="006A55E6" w:rsidRPr="008D728B" w:rsidRDefault="006A55E6" w:rsidP="00386D25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3AF0B01E" w14:textId="02489213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Imię i nazwisko oraz adres zamieszkania/siedziby pełnomocnika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EA13C3A" w14:textId="05BE43DA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Okres tymczasowego aresztowania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14:paraId="4A9041EE" w14:textId="63B3BF45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Sąd, który wydał postanowienie o zastosowaniu tymczasowego aresztowania / rozpoznał zażalenie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1B3E1E88" w14:textId="7E1EBE9E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Długość tymczasowego aresztowania</w:t>
            </w:r>
          </w:p>
        </w:tc>
        <w:tc>
          <w:tcPr>
            <w:tcW w:w="1998" w:type="dxa"/>
            <w:tcMar>
              <w:top w:w="57" w:type="dxa"/>
              <w:bottom w:w="57" w:type="dxa"/>
            </w:tcMar>
          </w:tcPr>
          <w:p w14:paraId="3925FD6E" w14:textId="0906B163" w:rsidR="006A55E6" w:rsidRPr="008D728B" w:rsidRDefault="000E7684" w:rsidP="00386D25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Szczegółowe wady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14:paraId="7B910FB1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Kwota zasądzona tytułem szkody niemajątkowej na jednego skarżącego</w:t>
            </w:r>
          </w:p>
          <w:p w14:paraId="7CD77299" w14:textId="0713E401" w:rsidR="006A55E6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(w EUR)</w:t>
            </w:r>
            <w:r w:rsidRPr="008D728B">
              <w:rPr>
                <w:rStyle w:val="Odwoanieprzypisudolnego"/>
                <w:sz w:val="16"/>
                <w:lang w:val="pl-PL"/>
              </w:rPr>
              <w:footnoteReference w:id="1"/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85E2E2A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Kwota zasądzona tytułem zwrotu kosztów i wydatków na skargę</w:t>
            </w:r>
          </w:p>
          <w:p w14:paraId="6EE3B54A" w14:textId="501E04C2" w:rsidR="006A55E6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(w EUR)</w:t>
            </w:r>
            <w:r w:rsidRPr="008D728B">
              <w:rPr>
                <w:rStyle w:val="Odwoanieprzypisudolnego"/>
                <w:sz w:val="16"/>
                <w:lang w:val="pl-PL"/>
              </w:rPr>
              <w:footnoteReference w:id="2"/>
            </w:r>
          </w:p>
        </w:tc>
      </w:tr>
      <w:tr w:rsidR="000E7684" w:rsidRPr="008D728B" w14:paraId="1D499CF5" w14:textId="77777777" w:rsidTr="00767D53"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14:paraId="3AEA40AD" w14:textId="77777777" w:rsidR="000E7684" w:rsidRPr="008D728B" w:rsidRDefault="000E7684" w:rsidP="000E7684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61" w:type="dxa"/>
            <w:tcMar>
              <w:top w:w="57" w:type="dxa"/>
              <w:bottom w:w="57" w:type="dxa"/>
            </w:tcMar>
          </w:tcPr>
          <w:p w14:paraId="5F49EF24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52462/21</w:t>
            </w:r>
          </w:p>
          <w:p w14:paraId="2BD90A9B" w14:textId="326830B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18.10.2021 r.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078945B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b/>
                <w:sz w:val="16"/>
                <w:lang w:val="pl-PL"/>
              </w:rPr>
              <w:t>Marcin LEHMANN</w:t>
            </w:r>
          </w:p>
          <w:p w14:paraId="6CE03BCD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1986 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71631205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Sawicki Maciej</w:t>
            </w:r>
          </w:p>
          <w:p w14:paraId="00B72F0C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Gorzów Wlkp.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B556363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13.02.2018 r. do</w:t>
            </w:r>
          </w:p>
          <w:p w14:paraId="65D288C1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04.10.2019 r.</w:t>
            </w:r>
          </w:p>
          <w:p w14:paraId="58D5525E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</w:p>
          <w:p w14:paraId="0AC5BC77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</w:p>
          <w:p w14:paraId="5EDBCC50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02.12.2020 r. do</w:t>
            </w:r>
          </w:p>
          <w:p w14:paraId="2D5A13FF" w14:textId="313A03E9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10.12.2021 r.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14:paraId="582E801B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Sąd Rejonowy – Prawobrzeże i Zachód w Szczecinie, 14.03.2018 r., sygn. akt. V </w:t>
            </w:r>
            <w:proofErr w:type="spellStart"/>
            <w:r w:rsidRPr="008D728B">
              <w:rPr>
                <w:sz w:val="16"/>
                <w:lang w:val="pl-PL"/>
              </w:rPr>
              <w:t>Kp</w:t>
            </w:r>
            <w:proofErr w:type="spellEnd"/>
            <w:r w:rsidRPr="008D728B">
              <w:rPr>
                <w:sz w:val="16"/>
                <w:lang w:val="pl-PL"/>
              </w:rPr>
              <w:t xml:space="preserve"> 156/18 (tymczasowe aresztowanie)</w:t>
            </w:r>
          </w:p>
          <w:p w14:paraId="5A307077" w14:textId="0AF57DEE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Sąd Apelacyjny w Szczecinie, 19.11.2020 r., sygn. akt II </w:t>
            </w:r>
            <w:proofErr w:type="spellStart"/>
            <w:r w:rsidRPr="008D728B">
              <w:rPr>
                <w:sz w:val="16"/>
                <w:lang w:val="pl-PL"/>
              </w:rPr>
              <w:t>Aka</w:t>
            </w:r>
            <w:proofErr w:type="spellEnd"/>
            <w:r w:rsidRPr="008D728B">
              <w:rPr>
                <w:sz w:val="16"/>
                <w:lang w:val="pl-PL"/>
              </w:rPr>
              <w:t xml:space="preserve"> 85/20 (postępowanie główne);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5B07AD93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 rok, 7 miesięcy i 22 dni</w:t>
            </w:r>
          </w:p>
          <w:p w14:paraId="509AC807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</w:p>
          <w:p w14:paraId="5CF89666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 rok i 9 dni</w:t>
            </w:r>
          </w:p>
          <w:p w14:paraId="1E2B1EE1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998" w:type="dxa"/>
            <w:tcMar>
              <w:top w:w="57" w:type="dxa"/>
              <w:bottom w:w="57" w:type="dxa"/>
            </w:tcMar>
          </w:tcPr>
          <w:p w14:paraId="774C7015" w14:textId="123774DA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słabość i powtarzalność rozumowania sądów na dalszych etapach sprawy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14:paraId="4A74C75F" w14:textId="621982BD" w:rsidR="000E7684" w:rsidRPr="008D728B" w:rsidRDefault="00672A3F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3800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D115728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250</w:t>
            </w:r>
          </w:p>
        </w:tc>
      </w:tr>
      <w:tr w:rsidR="000E7684" w:rsidRPr="008D728B" w14:paraId="48DCBF25" w14:textId="77777777" w:rsidTr="00767D53"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14:paraId="2C172D8F" w14:textId="77777777" w:rsidR="000E7684" w:rsidRPr="008D728B" w:rsidRDefault="000E7684" w:rsidP="000E7684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61" w:type="dxa"/>
            <w:tcMar>
              <w:top w:w="57" w:type="dxa"/>
              <w:bottom w:w="57" w:type="dxa"/>
            </w:tcMar>
          </w:tcPr>
          <w:p w14:paraId="2E53FDD2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38002/22</w:t>
            </w:r>
          </w:p>
          <w:p w14:paraId="590A68C5" w14:textId="673D1C08" w:rsidR="000E7684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22.07.2022 r.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7F624273" w14:textId="77777777" w:rsidR="000E7684" w:rsidRPr="008D728B" w:rsidRDefault="000E7684" w:rsidP="000E7684">
            <w:pPr>
              <w:jc w:val="center"/>
              <w:rPr>
                <w:b/>
                <w:sz w:val="16"/>
                <w:lang w:val="pl-PL"/>
              </w:rPr>
            </w:pPr>
            <w:r w:rsidRPr="008D728B">
              <w:rPr>
                <w:b/>
                <w:sz w:val="16"/>
                <w:lang w:val="pl-PL"/>
              </w:rPr>
              <w:t>Rafał</w:t>
            </w:r>
          </w:p>
          <w:p w14:paraId="779C43C3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b/>
                <w:sz w:val="16"/>
                <w:lang w:val="pl-PL"/>
              </w:rPr>
              <w:t>KIZIELEWICZ</w:t>
            </w:r>
          </w:p>
          <w:p w14:paraId="40E09822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1975 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0C627A27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Cupiał Dawid</w:t>
            </w:r>
          </w:p>
          <w:p w14:paraId="456A5093" w14:textId="38F4F014" w:rsidR="000E7684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Warszawa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60B97974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19.11.2019 r. do</w:t>
            </w:r>
          </w:p>
          <w:p w14:paraId="4FA597BC" w14:textId="46753434" w:rsidR="000E7684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28.03.2022 r.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14:paraId="73AF5A4C" w14:textId="1E2124DB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Sąd Rejonowy dla Łodzi-Śródmieścia</w:t>
            </w:r>
            <w:r w:rsidR="00C82376">
              <w:rPr>
                <w:sz w:val="16"/>
                <w:lang w:val="pl-PL"/>
              </w:rPr>
              <w:t xml:space="preserve"> w Łodzi</w:t>
            </w:r>
            <w:r w:rsidRPr="008D728B">
              <w:rPr>
                <w:sz w:val="16"/>
                <w:lang w:val="pl-PL"/>
              </w:rPr>
              <w:t xml:space="preserve">, 20.11.2019 r., sygn. akt. V </w:t>
            </w:r>
            <w:proofErr w:type="spellStart"/>
            <w:r w:rsidRPr="008D728B">
              <w:rPr>
                <w:sz w:val="16"/>
                <w:lang w:val="pl-PL"/>
              </w:rPr>
              <w:t>Kp</w:t>
            </w:r>
            <w:proofErr w:type="spellEnd"/>
            <w:r w:rsidRPr="008D728B">
              <w:rPr>
                <w:sz w:val="16"/>
                <w:lang w:val="pl-PL"/>
              </w:rPr>
              <w:t xml:space="preserve"> 602/19 (pierwsze tymczasowe aresztowanie);</w:t>
            </w:r>
          </w:p>
          <w:p w14:paraId="2928033B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</w:p>
          <w:p w14:paraId="5B854568" w14:textId="7F10BE61" w:rsidR="000E7684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Sąd Okręgowy w Warszawie, sygn. akt XVIII K 136/21 (postępowanie główne);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304771F9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 lata, 4 miesiące i 10 dni</w:t>
            </w:r>
          </w:p>
          <w:p w14:paraId="68BD9777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998" w:type="dxa"/>
            <w:tcMar>
              <w:top w:w="57" w:type="dxa"/>
              <w:bottom w:w="57" w:type="dxa"/>
            </w:tcMar>
          </w:tcPr>
          <w:p w14:paraId="232AB47A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przyjęcie założeń, w braku jakichkolwiek podstaw dowodowych, dotyczących obawy ucieczki lub matactwa procesowego;</w:t>
            </w:r>
          </w:p>
          <w:p w14:paraId="385A839D" w14:textId="77777777" w:rsidR="002835EA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słabość i powtarzalność rozumowania sądów na dalszych etapach sprawy;</w:t>
            </w:r>
          </w:p>
          <w:p w14:paraId="29BC255C" w14:textId="0377E8F8" w:rsidR="000E7684" w:rsidRPr="008D728B" w:rsidRDefault="002835EA" w:rsidP="002835EA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uporczywe opieranie się, w miarę postępu sprawy, </w:t>
            </w:r>
            <w:r w:rsidRPr="008D728B">
              <w:rPr>
                <w:sz w:val="16"/>
                <w:lang w:val="pl-PL"/>
              </w:rPr>
              <w:lastRenderedPageBreak/>
              <w:t>na zarzutach dotyczących członkostwa w zorganizowanej grupie przestępczej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14:paraId="31F2061A" w14:textId="25CED662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lastRenderedPageBreak/>
              <w:t>3300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2CE0D875" w14:textId="77777777" w:rsidR="000E7684" w:rsidRPr="008D728B" w:rsidRDefault="000E7684" w:rsidP="000E7684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250</w:t>
            </w:r>
          </w:p>
        </w:tc>
      </w:tr>
      <w:tr w:rsidR="00767D53" w:rsidRPr="008D728B" w14:paraId="59D27629" w14:textId="77777777" w:rsidTr="00767D53">
        <w:trPr>
          <w:jc w:val="center"/>
        </w:trPr>
        <w:tc>
          <w:tcPr>
            <w:tcW w:w="452" w:type="dxa"/>
            <w:tcMar>
              <w:top w:w="57" w:type="dxa"/>
              <w:bottom w:w="57" w:type="dxa"/>
            </w:tcMar>
          </w:tcPr>
          <w:p w14:paraId="579DC296" w14:textId="77777777" w:rsidR="00767D53" w:rsidRPr="008D728B" w:rsidRDefault="00767D53" w:rsidP="00767D53">
            <w:pPr>
              <w:pStyle w:val="Akapitzlist"/>
              <w:numPr>
                <w:ilvl w:val="0"/>
                <w:numId w:val="21"/>
              </w:numPr>
              <w:tabs>
                <w:tab w:val="num" w:pos="283"/>
              </w:tabs>
              <w:ind w:left="0" w:firstLine="0"/>
              <w:jc w:val="center"/>
              <w:rPr>
                <w:rFonts w:eastAsiaTheme="minorEastAsia"/>
                <w:sz w:val="16"/>
                <w:lang w:val="pl-PL"/>
              </w:rPr>
            </w:pPr>
          </w:p>
        </w:tc>
        <w:tc>
          <w:tcPr>
            <w:tcW w:w="961" w:type="dxa"/>
            <w:tcMar>
              <w:top w:w="57" w:type="dxa"/>
              <w:bottom w:w="57" w:type="dxa"/>
            </w:tcMar>
          </w:tcPr>
          <w:p w14:paraId="0CA167C3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42882/22</w:t>
            </w:r>
          </w:p>
          <w:p w14:paraId="366485B7" w14:textId="271657EB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26.08.2022 r.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496A9599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b/>
                <w:sz w:val="16"/>
                <w:lang w:val="pl-PL"/>
              </w:rPr>
              <w:t>Łukasz BORYS</w:t>
            </w:r>
          </w:p>
          <w:p w14:paraId="18F9D970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 xml:space="preserve">2000 </w:t>
            </w:r>
          </w:p>
        </w:tc>
        <w:tc>
          <w:tcPr>
            <w:tcW w:w="1559" w:type="dxa"/>
            <w:tcMar>
              <w:top w:w="57" w:type="dxa"/>
              <w:bottom w:w="57" w:type="dxa"/>
            </w:tcMar>
          </w:tcPr>
          <w:p w14:paraId="6659E9C7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proofErr w:type="spellStart"/>
            <w:r w:rsidRPr="008D728B">
              <w:rPr>
                <w:sz w:val="16"/>
                <w:lang w:val="pl-PL"/>
              </w:rPr>
              <w:t>Hołubowski</w:t>
            </w:r>
            <w:proofErr w:type="spellEnd"/>
            <w:r w:rsidRPr="008D728B">
              <w:rPr>
                <w:sz w:val="16"/>
                <w:lang w:val="pl-PL"/>
              </w:rPr>
              <w:t xml:space="preserve"> Aleksander</w:t>
            </w:r>
          </w:p>
          <w:p w14:paraId="50350B8A" w14:textId="226A5E52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Warszawa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38DB6579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22.09.2020 r. do</w:t>
            </w:r>
          </w:p>
          <w:p w14:paraId="46B64112" w14:textId="53D09FC2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28.09.2022 r.</w:t>
            </w:r>
          </w:p>
        </w:tc>
        <w:tc>
          <w:tcPr>
            <w:tcW w:w="2268" w:type="dxa"/>
            <w:tcMar>
              <w:top w:w="57" w:type="dxa"/>
              <w:bottom w:w="57" w:type="dxa"/>
            </w:tcMar>
          </w:tcPr>
          <w:p w14:paraId="1FCEBC36" w14:textId="043FCA34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Sąd Rejonowy dla Warszawy-</w:t>
            </w:r>
            <w:proofErr w:type="spellStart"/>
            <w:r w:rsidRPr="008D728B">
              <w:rPr>
                <w:sz w:val="16"/>
                <w:lang w:val="pl-PL"/>
              </w:rPr>
              <w:t>Śródmieścia</w:t>
            </w:r>
            <w:r w:rsidR="00BB26D7">
              <w:rPr>
                <w:sz w:val="16"/>
                <w:lang w:val="pl-PL"/>
              </w:rPr>
              <w:t>w</w:t>
            </w:r>
            <w:proofErr w:type="spellEnd"/>
            <w:r w:rsidR="00BB26D7">
              <w:rPr>
                <w:sz w:val="16"/>
                <w:lang w:val="pl-PL"/>
              </w:rPr>
              <w:t xml:space="preserve"> Warszawie</w:t>
            </w:r>
            <w:r w:rsidRPr="008D728B">
              <w:rPr>
                <w:sz w:val="16"/>
                <w:lang w:val="pl-PL"/>
              </w:rPr>
              <w:t xml:space="preserve">, 24.09.2020 r., sygn. akt. II </w:t>
            </w:r>
            <w:proofErr w:type="spellStart"/>
            <w:r w:rsidRPr="008D728B">
              <w:rPr>
                <w:sz w:val="16"/>
                <w:lang w:val="pl-PL"/>
              </w:rPr>
              <w:t>Kp</w:t>
            </w:r>
            <w:proofErr w:type="spellEnd"/>
            <w:r w:rsidRPr="008D728B">
              <w:rPr>
                <w:sz w:val="16"/>
                <w:lang w:val="pl-PL"/>
              </w:rPr>
              <w:t xml:space="preserve"> 2584/20 (pierwsze tymczasowe aresztowanie);</w:t>
            </w:r>
          </w:p>
          <w:p w14:paraId="50F85BE6" w14:textId="2AB67FEB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Prokurat</w:t>
            </w:r>
            <w:r w:rsidR="00BB26D7">
              <w:rPr>
                <w:sz w:val="16"/>
                <w:lang w:val="pl-PL"/>
              </w:rPr>
              <w:t xml:space="preserve">ura </w:t>
            </w:r>
            <w:r w:rsidRPr="008D728B">
              <w:rPr>
                <w:sz w:val="16"/>
                <w:lang w:val="pl-PL"/>
              </w:rPr>
              <w:t xml:space="preserve"> Okręgow</w:t>
            </w:r>
            <w:r w:rsidR="00BB26D7">
              <w:rPr>
                <w:sz w:val="16"/>
                <w:lang w:val="pl-PL"/>
              </w:rPr>
              <w:t>a</w:t>
            </w:r>
            <w:r w:rsidRPr="008D728B">
              <w:rPr>
                <w:sz w:val="16"/>
                <w:lang w:val="pl-PL"/>
              </w:rPr>
              <w:t xml:space="preserve"> w Gdańsku, 23.09.2022 r., sygn. akt. RP II Ds. 3.2021 (zamiana tymczasowego aresztowania na inne środki zapobiegawcze, w tym poręczenie majątkowe)</w:t>
            </w:r>
          </w:p>
        </w:tc>
        <w:tc>
          <w:tcPr>
            <w:tcW w:w="1134" w:type="dxa"/>
            <w:tcMar>
              <w:top w:w="57" w:type="dxa"/>
              <w:bottom w:w="57" w:type="dxa"/>
            </w:tcMar>
          </w:tcPr>
          <w:p w14:paraId="25BB4593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 lata i 7 dni</w:t>
            </w:r>
          </w:p>
          <w:p w14:paraId="584988C7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</w:p>
        </w:tc>
        <w:tc>
          <w:tcPr>
            <w:tcW w:w="1998" w:type="dxa"/>
            <w:tcMar>
              <w:top w:w="57" w:type="dxa"/>
              <w:bottom w:w="57" w:type="dxa"/>
            </w:tcMar>
          </w:tcPr>
          <w:p w14:paraId="4218B939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słabość i powtarzalność rozumowania sądów na dalszych etapach sprawy;</w:t>
            </w:r>
          </w:p>
          <w:p w14:paraId="66C499E7" w14:textId="4986987F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uporczywe opieranie się, w miarę postępu sprawy, na zarzutach dotyczących członkostwa w zorganizowanej grupie przestępczej</w:t>
            </w:r>
          </w:p>
        </w:tc>
        <w:tc>
          <w:tcPr>
            <w:tcW w:w="1262" w:type="dxa"/>
            <w:tcMar>
              <w:top w:w="57" w:type="dxa"/>
              <w:bottom w:w="57" w:type="dxa"/>
            </w:tcMar>
          </w:tcPr>
          <w:p w14:paraId="1F512782" w14:textId="1A54C56B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2700</w:t>
            </w:r>
          </w:p>
        </w:tc>
        <w:tc>
          <w:tcPr>
            <w:tcW w:w="1276" w:type="dxa"/>
            <w:tcMar>
              <w:top w:w="57" w:type="dxa"/>
              <w:bottom w:w="57" w:type="dxa"/>
            </w:tcMar>
          </w:tcPr>
          <w:p w14:paraId="076571FC" w14:textId="77777777" w:rsidR="00767D53" w:rsidRPr="008D728B" w:rsidRDefault="00767D53" w:rsidP="00767D53">
            <w:pPr>
              <w:jc w:val="center"/>
              <w:rPr>
                <w:sz w:val="16"/>
                <w:lang w:val="pl-PL"/>
              </w:rPr>
            </w:pPr>
            <w:r w:rsidRPr="008D728B">
              <w:rPr>
                <w:sz w:val="16"/>
                <w:lang w:val="pl-PL"/>
              </w:rPr>
              <w:t>250</w:t>
            </w:r>
          </w:p>
        </w:tc>
      </w:tr>
    </w:tbl>
    <w:p w14:paraId="7A0BE3C6" w14:textId="77777777" w:rsidR="00606600" w:rsidRPr="008D728B" w:rsidRDefault="00606600" w:rsidP="00386D25">
      <w:pPr>
        <w:rPr>
          <w:lang w:val="pl-PL"/>
        </w:rPr>
      </w:pPr>
    </w:p>
    <w:sectPr w:rsidR="00606600" w:rsidRPr="008D728B" w:rsidSect="00BD554D">
      <w:headerReference w:type="even" r:id="rId16"/>
      <w:headerReference w:type="default" r:id="rId17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DC33AC" w14:textId="77777777" w:rsidR="005672A7" w:rsidRDefault="005672A7">
      <w:r>
        <w:separator/>
      </w:r>
    </w:p>
  </w:endnote>
  <w:endnote w:type="continuationSeparator" w:id="0">
    <w:p w14:paraId="0465FF1F" w14:textId="77777777" w:rsidR="005672A7" w:rsidRDefault="00567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DFDE9C" w14:textId="77777777" w:rsidR="00BD554D" w:rsidRPr="00611E1D" w:rsidRDefault="00767D53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0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60CF02" w14:textId="77777777" w:rsidR="00BD554D" w:rsidRPr="00611E1D" w:rsidRDefault="00767D53" w:rsidP="00BD554D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E652D4" w14:textId="77777777" w:rsidR="00ED7723" w:rsidRPr="00150BFA" w:rsidRDefault="00767D53" w:rsidP="0020718E">
    <w:pPr>
      <w:jc w:val="center"/>
    </w:pPr>
    <w:r>
      <w:rPr>
        <w:noProof/>
        <w:lang w:val="en-US"/>
      </w:rPr>
      <w:drawing>
        <wp:inline distT="0" distB="0" distL="0" distR="0" wp14:anchorId="4E6D3747" wp14:editId="4EEE721D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044ABC" w14:textId="77777777" w:rsidR="00606600" w:rsidRPr="00611E1D" w:rsidRDefault="00606600" w:rsidP="0029309A">
    <w:pPr>
      <w:pStyle w:val="Stopka"/>
      <w:jc w:val="center"/>
      <w:rPr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F19AA2" w14:textId="77777777" w:rsidR="005672A7" w:rsidRPr="00611E1D" w:rsidRDefault="005672A7" w:rsidP="00787E12">
      <w:r w:rsidRPr="00611E1D">
        <w:separator/>
      </w:r>
    </w:p>
  </w:footnote>
  <w:footnote w:type="continuationSeparator" w:id="0">
    <w:p w14:paraId="180A2A83" w14:textId="77777777" w:rsidR="005672A7" w:rsidRPr="00611E1D" w:rsidRDefault="005672A7" w:rsidP="00787E12">
      <w:r w:rsidRPr="00611E1D">
        <w:continuationSeparator/>
      </w:r>
    </w:p>
  </w:footnote>
  <w:footnote w:id="1">
    <w:p w14:paraId="211EA0A7" w14:textId="77777777" w:rsidR="000E7684" w:rsidRPr="000E7684" w:rsidRDefault="000E7684" w:rsidP="000E768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E7684">
        <w:rPr>
          <w:rStyle w:val="Odwoanieprzypisudolnego"/>
          <w:lang w:val="pl-PL"/>
        </w:rPr>
        <w:t xml:space="preserve"> </w:t>
      </w:r>
      <w:r w:rsidRPr="000E7684">
        <w:rPr>
          <w:lang w:val="pl-PL"/>
        </w:rPr>
        <w:t>powiększona o podatki należne od skarżących.</w:t>
      </w:r>
    </w:p>
  </w:footnote>
  <w:footnote w:id="2">
    <w:p w14:paraId="2AA957ED" w14:textId="77777777" w:rsidR="000E7684" w:rsidRPr="000E7684" w:rsidRDefault="000E7684" w:rsidP="000E7684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 w:rsidRPr="000E7684">
        <w:rPr>
          <w:rStyle w:val="Odwoanieprzypisudolnego"/>
          <w:lang w:val="pl-PL"/>
        </w:rPr>
        <w:t xml:space="preserve"> </w:t>
      </w:r>
      <w:r w:rsidRPr="000E7684">
        <w:rPr>
          <w:lang w:val="pl-PL"/>
        </w:rPr>
        <w:t>powiększona o podatki należne od skarżących.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49199D" w14:textId="77777777" w:rsidR="000E7684" w:rsidRDefault="000E76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EDF92C" w14:textId="77777777" w:rsidR="00ED7723" w:rsidRPr="00A45145" w:rsidRDefault="00767D53" w:rsidP="00A45145">
    <w:pPr>
      <w:jc w:val="center"/>
    </w:pPr>
    <w:r>
      <w:rPr>
        <w:noProof/>
        <w:lang w:val="en-US"/>
      </w:rPr>
      <w:drawing>
        <wp:inline distT="0" distB="0" distL="0" distR="0" wp14:anchorId="0B48FADF" wp14:editId="09CCF6DC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7CDE49" w14:textId="77777777" w:rsidR="00606600" w:rsidRPr="00611E1D" w:rsidRDefault="00606600" w:rsidP="000318F7">
    <w:pPr>
      <w:jc w:val="center"/>
      <w:rPr>
        <w:sz w:val="4"/>
        <w:szCs w:val="4"/>
      </w:rPr>
    </w:pPr>
  </w:p>
  <w:p w14:paraId="43684D11" w14:textId="77777777" w:rsidR="00606600" w:rsidRPr="00611E1D" w:rsidRDefault="006066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F387B" w14:textId="77777777" w:rsidR="006A55E6" w:rsidRPr="00A45145" w:rsidRDefault="00767D53" w:rsidP="00A45145">
    <w:pPr>
      <w:jc w:val="center"/>
    </w:pPr>
    <w:r>
      <w:rPr>
        <w:noProof/>
        <w:lang w:val="en-US"/>
      </w:rPr>
      <w:drawing>
        <wp:inline distT="0" distB="0" distL="0" distR="0" wp14:anchorId="17271218" wp14:editId="50EDD0B9">
          <wp:extent cx="2962275" cy="1219200"/>
          <wp:effectExtent l="0" t="0" r="9525" b="0"/>
          <wp:docPr id="12" name="Picture 12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56A252" w14:textId="77777777" w:rsidR="008D51B6" w:rsidRPr="004F56E2" w:rsidRDefault="008D51B6" w:rsidP="008D51B6">
    <w:pPr>
      <w:pStyle w:val="Nagwek"/>
    </w:pPr>
  </w:p>
  <w:p w14:paraId="529E033F" w14:textId="77777777" w:rsidR="00606600" w:rsidRPr="00611E1D" w:rsidRDefault="00606600" w:rsidP="00B64153">
    <w:pPr>
      <w:jc w:val="center"/>
      <w:rPr>
        <w:sz w:val="4"/>
        <w:szCs w:val="4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747C6" w14:textId="77777777" w:rsidR="00606600" w:rsidRPr="005C3A15" w:rsidRDefault="00767D53" w:rsidP="006372F5">
    <w:pPr>
      <w:pStyle w:val="JuHeader"/>
    </w:pPr>
    <w:r>
      <w:t>LEHMANN</w:t>
    </w:r>
    <w:r w:rsidR="005E3180">
      <w:t xml:space="preserve"> AND OTHERS</w:t>
    </w:r>
    <w:r>
      <w:t xml:space="preserve"> v. POLAND</w:t>
    </w:r>
    <w:r w:rsidR="0048584C" w:rsidRPr="004D0EC7">
      <w:t xml:space="preserve"> </w:t>
    </w:r>
    <w:r w:rsidR="0048584C">
      <w:t>JUDGMENT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6BD427" w14:textId="4CCF097B" w:rsidR="00606600" w:rsidRPr="000E7684" w:rsidRDefault="000E7684" w:rsidP="00BD554D">
    <w:pPr>
      <w:pStyle w:val="JuHeader"/>
      <w:rPr>
        <w:lang w:val="pl-PL"/>
      </w:rPr>
    </w:pPr>
    <w:r w:rsidRPr="000E7684">
      <w:rPr>
        <w:lang w:val="pl-PL"/>
      </w:rPr>
      <w:t>WYROK W SPRAWIE LEHMANN I INNI przeciwko POLSCE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47789" w14:textId="386E4646" w:rsidR="00606600" w:rsidRPr="000E7684" w:rsidRDefault="000E7684" w:rsidP="00E026EC">
    <w:pPr>
      <w:pStyle w:val="JuHeader"/>
      <w:rPr>
        <w:lang w:val="pl-PL"/>
      </w:rPr>
    </w:pPr>
    <w:r w:rsidRPr="000E7684">
      <w:rPr>
        <w:lang w:val="pl-PL"/>
      </w:rPr>
      <w:t>WYROK W SPRAWIE LEHMANN I INNI przeciwko POLSCE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8BA394" w14:textId="77777777" w:rsidR="00606600" w:rsidRPr="00DE7D3F" w:rsidRDefault="00767D53" w:rsidP="00E026EC">
    <w:pPr>
      <w:pStyle w:val="JuHeader"/>
    </w:pPr>
    <w:r>
      <w:t xml:space="preserve">LEHMANN </w:t>
    </w:r>
    <w:r w:rsidR="005E3180">
      <w:t xml:space="preserve">AND OTHERS </w:t>
    </w:r>
    <w:r>
      <w:t>v. POLAND</w:t>
    </w:r>
    <w:r w:rsidR="0048584C" w:rsidRPr="00DE7D3F">
      <w:t xml:space="preserve"> JUDGMENT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8477215"/>
    <w:multiLevelType w:val="hybridMultilevel"/>
    <w:tmpl w:val="BF6C3666"/>
    <w:lvl w:ilvl="0" w:tplc="B5645E40">
      <w:start w:val="1"/>
      <w:numFmt w:val="decimal"/>
      <w:lvlText w:val="%1."/>
      <w:lvlJc w:val="left"/>
      <w:pPr>
        <w:ind w:left="720" w:hanging="360"/>
      </w:pPr>
    </w:lvl>
    <w:lvl w:ilvl="1" w:tplc="1FD6C0C8" w:tentative="1">
      <w:start w:val="1"/>
      <w:numFmt w:val="lowerLetter"/>
      <w:lvlText w:val="%2."/>
      <w:lvlJc w:val="left"/>
      <w:pPr>
        <w:ind w:left="1440" w:hanging="360"/>
      </w:pPr>
    </w:lvl>
    <w:lvl w:ilvl="2" w:tplc="54F46AC0" w:tentative="1">
      <w:start w:val="1"/>
      <w:numFmt w:val="lowerRoman"/>
      <w:lvlText w:val="%3."/>
      <w:lvlJc w:val="right"/>
      <w:pPr>
        <w:ind w:left="2160" w:hanging="180"/>
      </w:pPr>
    </w:lvl>
    <w:lvl w:ilvl="3" w:tplc="AF90BAC0" w:tentative="1">
      <w:start w:val="1"/>
      <w:numFmt w:val="decimal"/>
      <w:lvlText w:val="%4."/>
      <w:lvlJc w:val="left"/>
      <w:pPr>
        <w:ind w:left="2880" w:hanging="360"/>
      </w:pPr>
    </w:lvl>
    <w:lvl w:ilvl="4" w:tplc="EE1EB964" w:tentative="1">
      <w:start w:val="1"/>
      <w:numFmt w:val="lowerLetter"/>
      <w:lvlText w:val="%5."/>
      <w:lvlJc w:val="left"/>
      <w:pPr>
        <w:ind w:left="3600" w:hanging="360"/>
      </w:pPr>
    </w:lvl>
    <w:lvl w:ilvl="5" w:tplc="E97CD592" w:tentative="1">
      <w:start w:val="1"/>
      <w:numFmt w:val="lowerRoman"/>
      <w:lvlText w:val="%6."/>
      <w:lvlJc w:val="right"/>
      <w:pPr>
        <w:ind w:left="4320" w:hanging="180"/>
      </w:pPr>
    </w:lvl>
    <w:lvl w:ilvl="6" w:tplc="D336803A" w:tentative="1">
      <w:start w:val="1"/>
      <w:numFmt w:val="decimal"/>
      <w:lvlText w:val="%7."/>
      <w:lvlJc w:val="left"/>
      <w:pPr>
        <w:ind w:left="5040" w:hanging="360"/>
      </w:pPr>
    </w:lvl>
    <w:lvl w:ilvl="7" w:tplc="912A806E" w:tentative="1">
      <w:start w:val="1"/>
      <w:numFmt w:val="lowerLetter"/>
      <w:lvlText w:val="%8."/>
      <w:lvlJc w:val="left"/>
      <w:pPr>
        <w:ind w:left="5760" w:hanging="360"/>
      </w:pPr>
    </w:lvl>
    <w:lvl w:ilvl="8" w:tplc="653655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7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8" w15:restartNumberingAfterBreak="0">
    <w:nsid w:val="67FD1241"/>
    <w:multiLevelType w:val="hybridMultilevel"/>
    <w:tmpl w:val="F6D86CC2"/>
    <w:lvl w:ilvl="0" w:tplc="F960771E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2EDCF782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F7A64248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5270FE6A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EC52B42E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F7DEBB3C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613CBC1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2A869A9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F9F28472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449739678">
    <w:abstractNumId w:val="15"/>
  </w:num>
  <w:num w:numId="2" w16cid:durableId="1686324393">
    <w:abstractNumId w:val="12"/>
  </w:num>
  <w:num w:numId="3" w16cid:durableId="1705251683">
    <w:abstractNumId w:val="11"/>
  </w:num>
  <w:num w:numId="4" w16cid:durableId="1231698427">
    <w:abstractNumId w:val="16"/>
  </w:num>
  <w:num w:numId="5" w16cid:durableId="632103937">
    <w:abstractNumId w:val="13"/>
  </w:num>
  <w:num w:numId="6" w16cid:durableId="1431898330">
    <w:abstractNumId w:val="17"/>
  </w:num>
  <w:num w:numId="7" w16cid:durableId="268004775">
    <w:abstractNumId w:val="16"/>
  </w:num>
  <w:num w:numId="8" w16cid:durableId="1527208891">
    <w:abstractNumId w:val="17"/>
  </w:num>
  <w:num w:numId="9" w16cid:durableId="1098253113">
    <w:abstractNumId w:val="10"/>
  </w:num>
  <w:num w:numId="10" w16cid:durableId="1461846628">
    <w:abstractNumId w:val="9"/>
  </w:num>
  <w:num w:numId="11" w16cid:durableId="1703241878">
    <w:abstractNumId w:val="18"/>
  </w:num>
  <w:num w:numId="12" w16cid:durableId="107511151">
    <w:abstractNumId w:val="7"/>
  </w:num>
  <w:num w:numId="13" w16cid:durableId="861012100">
    <w:abstractNumId w:val="6"/>
  </w:num>
  <w:num w:numId="14" w16cid:durableId="414673007">
    <w:abstractNumId w:val="5"/>
  </w:num>
  <w:num w:numId="15" w16cid:durableId="503519766">
    <w:abstractNumId w:val="4"/>
  </w:num>
  <w:num w:numId="16" w16cid:durableId="1993176746">
    <w:abstractNumId w:val="8"/>
  </w:num>
  <w:num w:numId="17" w16cid:durableId="2039620629">
    <w:abstractNumId w:val="3"/>
  </w:num>
  <w:num w:numId="18" w16cid:durableId="1999797047">
    <w:abstractNumId w:val="2"/>
  </w:num>
  <w:num w:numId="19" w16cid:durableId="1856263051">
    <w:abstractNumId w:val="1"/>
  </w:num>
  <w:num w:numId="20" w16cid:durableId="295717672">
    <w:abstractNumId w:val="0"/>
  </w:num>
  <w:num w:numId="21" w16cid:durableId="1106271626">
    <w:abstractNumId w:val="1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2"/>
    <w:docVar w:name="EMM" w:val="0"/>
    <w:docVar w:name="LW_DocType" w:val="NORMAL"/>
    <w:docVar w:name="NBEMMDOC" w:val="0"/>
    <w:docVar w:name="Plural" w:val="0"/>
  </w:docVars>
  <w:rsids>
    <w:rsidRoot w:val="006A55E6"/>
    <w:rsid w:val="000318F7"/>
    <w:rsid w:val="00095841"/>
    <w:rsid w:val="000A40F1"/>
    <w:rsid w:val="000C5149"/>
    <w:rsid w:val="000E7684"/>
    <w:rsid w:val="00135384"/>
    <w:rsid w:val="00150BFA"/>
    <w:rsid w:val="00173A91"/>
    <w:rsid w:val="00177329"/>
    <w:rsid w:val="001A15B6"/>
    <w:rsid w:val="001A2EE8"/>
    <w:rsid w:val="001A3C4A"/>
    <w:rsid w:val="001C4868"/>
    <w:rsid w:val="001D7CD3"/>
    <w:rsid w:val="001F3812"/>
    <w:rsid w:val="0020180F"/>
    <w:rsid w:val="002032B5"/>
    <w:rsid w:val="002056B7"/>
    <w:rsid w:val="0020718E"/>
    <w:rsid w:val="002218A0"/>
    <w:rsid w:val="0023364D"/>
    <w:rsid w:val="002835EA"/>
    <w:rsid w:val="00285852"/>
    <w:rsid w:val="0029309A"/>
    <w:rsid w:val="002C5B23"/>
    <w:rsid w:val="003008AC"/>
    <w:rsid w:val="00337785"/>
    <w:rsid w:val="00342B33"/>
    <w:rsid w:val="0037589C"/>
    <w:rsid w:val="00386D25"/>
    <w:rsid w:val="003B3ECB"/>
    <w:rsid w:val="003F26AD"/>
    <w:rsid w:val="0048584C"/>
    <w:rsid w:val="00497FF8"/>
    <w:rsid w:val="004B0B4E"/>
    <w:rsid w:val="004D042B"/>
    <w:rsid w:val="004D0EC7"/>
    <w:rsid w:val="004F56E2"/>
    <w:rsid w:val="00555A1D"/>
    <w:rsid w:val="005672A7"/>
    <w:rsid w:val="00573202"/>
    <w:rsid w:val="005B102C"/>
    <w:rsid w:val="005B16C1"/>
    <w:rsid w:val="005C3A15"/>
    <w:rsid w:val="005E3180"/>
    <w:rsid w:val="005F60F9"/>
    <w:rsid w:val="00606600"/>
    <w:rsid w:val="00611E1D"/>
    <w:rsid w:val="006372F5"/>
    <w:rsid w:val="006429A4"/>
    <w:rsid w:val="00656431"/>
    <w:rsid w:val="00670697"/>
    <w:rsid w:val="00672A3F"/>
    <w:rsid w:val="00691F5B"/>
    <w:rsid w:val="006A55E6"/>
    <w:rsid w:val="006D324D"/>
    <w:rsid w:val="00743B2A"/>
    <w:rsid w:val="00767D53"/>
    <w:rsid w:val="00774B9D"/>
    <w:rsid w:val="007A72B4"/>
    <w:rsid w:val="007B6A7F"/>
    <w:rsid w:val="007F018A"/>
    <w:rsid w:val="008522DD"/>
    <w:rsid w:val="00860732"/>
    <w:rsid w:val="008A0E2E"/>
    <w:rsid w:val="008D51B6"/>
    <w:rsid w:val="008D728B"/>
    <w:rsid w:val="009522DD"/>
    <w:rsid w:val="0095556B"/>
    <w:rsid w:val="009A0079"/>
    <w:rsid w:val="009C7A16"/>
    <w:rsid w:val="00A329E0"/>
    <w:rsid w:val="00A34A54"/>
    <w:rsid w:val="00A44415"/>
    <w:rsid w:val="00A45145"/>
    <w:rsid w:val="00A50C92"/>
    <w:rsid w:val="00A6104A"/>
    <w:rsid w:val="00A71475"/>
    <w:rsid w:val="00A94CA7"/>
    <w:rsid w:val="00AC03BB"/>
    <w:rsid w:val="00B216C1"/>
    <w:rsid w:val="00B64153"/>
    <w:rsid w:val="00B91668"/>
    <w:rsid w:val="00BA70A1"/>
    <w:rsid w:val="00BB26D7"/>
    <w:rsid w:val="00BD554D"/>
    <w:rsid w:val="00BE2415"/>
    <w:rsid w:val="00C12BC3"/>
    <w:rsid w:val="00C20CC3"/>
    <w:rsid w:val="00C22DBE"/>
    <w:rsid w:val="00C70E8E"/>
    <w:rsid w:val="00C81907"/>
    <w:rsid w:val="00C82376"/>
    <w:rsid w:val="00C877A3"/>
    <w:rsid w:val="00C87AE1"/>
    <w:rsid w:val="00CB2C4E"/>
    <w:rsid w:val="00DE2AD5"/>
    <w:rsid w:val="00DE7D3F"/>
    <w:rsid w:val="00E026EC"/>
    <w:rsid w:val="00E86782"/>
    <w:rsid w:val="00EC6041"/>
    <w:rsid w:val="00ED7723"/>
    <w:rsid w:val="00EF490D"/>
    <w:rsid w:val="00F91E4D"/>
    <w:rsid w:val="00FB16F8"/>
    <w:rsid w:val="00FD0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13DE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743B2A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743B2A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743B2A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743B2A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743B2A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743B2A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743B2A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743B2A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743B2A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743B2A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743B2A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743B2A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ny"/>
    <w:semiHidden/>
    <w:qFormat/>
    <w:rsid w:val="00743B2A"/>
    <w:rPr>
      <w:color w:val="00B050"/>
      <w:sz w:val="22"/>
    </w:rPr>
  </w:style>
  <w:style w:type="character" w:styleId="Pogrubienie">
    <w:name w:val="Strong"/>
    <w:uiPriority w:val="98"/>
    <w:semiHidden/>
    <w:qFormat/>
    <w:rsid w:val="00743B2A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743B2A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743B2A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743B2A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743B2A"/>
    <w:pPr>
      <w:numPr>
        <w:numId w:val="1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743B2A"/>
    <w:pPr>
      <w:numPr>
        <w:ilvl w:val="2"/>
        <w:numId w:val="10"/>
      </w:numPr>
    </w:p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743B2A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743B2A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743B2A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743B2A"/>
    <w:pPr>
      <w:numPr>
        <w:numId w:val="4"/>
      </w:numPr>
    </w:pPr>
  </w:style>
  <w:style w:type="numbering" w:customStyle="1" w:styleId="ECHRA1StyleList">
    <w:name w:val="ECHR_A1_Style_List"/>
    <w:basedOn w:val="Bezlisty"/>
    <w:uiPriority w:val="99"/>
    <w:rsid w:val="00743B2A"/>
    <w:pPr>
      <w:numPr>
        <w:numId w:val="5"/>
      </w:numPr>
    </w:p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743B2A"/>
    <w:pPr>
      <w:keepNext/>
      <w:keepLines/>
      <w:numPr>
        <w:numId w:val="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Bezlisty"/>
    <w:rsid w:val="00743B2A"/>
    <w:pPr>
      <w:numPr>
        <w:numId w:val="6"/>
      </w:numPr>
    </w:pPr>
  </w:style>
  <w:style w:type="table" w:customStyle="1" w:styleId="ECHRTable2019">
    <w:name w:val="ECHR_Table_2019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styleId="Tytu">
    <w:name w:val="Title"/>
    <w:basedOn w:val="Normalny"/>
    <w:next w:val="Normalny"/>
    <w:link w:val="TytuZnak"/>
    <w:uiPriority w:val="98"/>
    <w:semiHidden/>
    <w:qFormat/>
    <w:rsid w:val="00743B2A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743B2A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Stopka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743B2A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ny"/>
    <w:uiPriority w:val="30"/>
    <w:qFormat/>
    <w:rsid w:val="00743B2A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omylnaczcionkaakapitu"/>
    <w:uiPriority w:val="54"/>
    <w:semiHidden/>
    <w:qFormat/>
    <w:rsid w:val="00743B2A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743B2A"/>
    <w:pPr>
      <w:keepNext/>
      <w:keepLines/>
      <w:numPr>
        <w:ilvl w:val="1"/>
        <w:numId w:val="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743B2A"/>
    <w:pPr>
      <w:keepNext/>
      <w:keepLines/>
      <w:numPr>
        <w:ilvl w:val="2"/>
        <w:numId w:val="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743B2A"/>
    <w:pPr>
      <w:keepNext/>
      <w:keepLines/>
      <w:numPr>
        <w:ilvl w:val="3"/>
        <w:numId w:val="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743B2A"/>
    <w:pPr>
      <w:keepNext/>
      <w:keepLines/>
      <w:numPr>
        <w:ilvl w:val="4"/>
        <w:numId w:val="9"/>
      </w:numPr>
      <w:spacing w:before="100" w:beforeAutospacing="1" w:after="120"/>
      <w:jc w:val="both"/>
    </w:pPr>
    <w:rPr>
      <w:color w:val="auto"/>
      <w:sz w:val="20"/>
    </w:rPr>
  </w:style>
  <w:style w:type="paragraph" w:styleId="Nagwek">
    <w:name w:val="header"/>
    <w:basedOn w:val="Normalny"/>
    <w:link w:val="NagwekZnak"/>
    <w:uiPriority w:val="98"/>
    <w:semiHidden/>
    <w:rsid w:val="00743B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743B2A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743B2A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Nagwek6"/>
    <w:next w:val="JuPara"/>
    <w:uiPriority w:val="17"/>
    <w:rsid w:val="00743B2A"/>
    <w:pPr>
      <w:keepNext/>
      <w:keepLines/>
      <w:numPr>
        <w:ilvl w:val="5"/>
        <w:numId w:val="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743B2A"/>
    <w:pPr>
      <w:keepNext/>
      <w:keepLines/>
      <w:numPr>
        <w:ilvl w:val="6"/>
        <w:numId w:val="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743B2A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Nagwek8"/>
    <w:next w:val="JuPara"/>
    <w:uiPriority w:val="17"/>
    <w:rsid w:val="00743B2A"/>
    <w:pPr>
      <w:keepNext/>
      <w:keepLines/>
      <w:numPr>
        <w:ilvl w:val="7"/>
        <w:numId w:val="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743B2A"/>
    <w:rPr>
      <w:caps w:val="0"/>
      <w:smallCaps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743B2A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743B2A"/>
    <w:pPr>
      <w:numPr>
        <w:ilvl w:val="1"/>
        <w:numId w:val="10"/>
      </w:numPr>
    </w:pPr>
  </w:style>
  <w:style w:type="paragraph" w:customStyle="1" w:styleId="NormalJustified">
    <w:name w:val="Normal_Justified"/>
    <w:basedOn w:val="Normalny"/>
    <w:semiHidden/>
    <w:rsid w:val="00743B2A"/>
    <w:pPr>
      <w:jc w:val="both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743B2A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Wyrnieniedelikatne">
    <w:name w:val="Subtle Emphasis"/>
    <w:uiPriority w:val="98"/>
    <w:semiHidden/>
    <w:qFormat/>
    <w:rsid w:val="00743B2A"/>
    <w:rPr>
      <w:i/>
      <w:iCs/>
    </w:rPr>
  </w:style>
  <w:style w:type="table" w:customStyle="1" w:styleId="ECHRTable">
    <w:name w:val="ECHR_Table"/>
    <w:basedOn w:val="Standardowy"/>
    <w:rsid w:val="00743B2A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743B2A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743B2A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743B2A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743B2A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Uwydatnienie">
    <w:name w:val="Emphasis"/>
    <w:uiPriority w:val="98"/>
    <w:semiHidden/>
    <w:qFormat/>
    <w:rsid w:val="00743B2A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743B2A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743B2A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743B2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743B2A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743B2A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743B2A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743B2A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743B2A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Wyrnienieintensywne">
    <w:name w:val="Intense Emphasis"/>
    <w:uiPriority w:val="98"/>
    <w:semiHidden/>
    <w:qFormat/>
    <w:rsid w:val="00743B2A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743B2A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743B2A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743B2A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743B2A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743B2A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743B2A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743B2A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743B2A"/>
    <w:rPr>
      <w:smallCaps/>
    </w:rPr>
  </w:style>
  <w:style w:type="table" w:styleId="Tabela-Siatka">
    <w:name w:val="Table Grid"/>
    <w:basedOn w:val="Standardowy"/>
    <w:uiPriority w:val="59"/>
    <w:semiHidden/>
    <w:rsid w:val="00743B2A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743B2A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743B2A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743B2A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743B2A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743B2A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743B2A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743B2A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743B2A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numbering" w:styleId="111111">
    <w:name w:val="Outline List 2"/>
    <w:basedOn w:val="Bezlisty"/>
    <w:uiPriority w:val="99"/>
    <w:semiHidden/>
    <w:unhideWhenUsed/>
    <w:rsid w:val="00743B2A"/>
    <w:pPr>
      <w:numPr>
        <w:numId w:val="1"/>
      </w:numPr>
    </w:pPr>
  </w:style>
  <w:style w:type="numbering" w:styleId="1ai">
    <w:name w:val="Outline List 1"/>
    <w:basedOn w:val="Bezlisty"/>
    <w:uiPriority w:val="99"/>
    <w:semiHidden/>
    <w:unhideWhenUsed/>
    <w:rsid w:val="00743B2A"/>
    <w:pPr>
      <w:numPr>
        <w:numId w:val="2"/>
      </w:numPr>
    </w:pPr>
  </w:style>
  <w:style w:type="paragraph" w:styleId="Bibliografia">
    <w:name w:val="Bibliography"/>
    <w:basedOn w:val="Normalny"/>
    <w:next w:val="Normalny"/>
    <w:uiPriority w:val="98"/>
    <w:semiHidden/>
    <w:rsid w:val="00743B2A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743B2A"/>
    <w:pPr>
      <w:ind w:firstLine="284"/>
    </w:pPr>
  </w:style>
  <w:style w:type="paragraph" w:styleId="Tekstblokowy">
    <w:name w:val="Block Text"/>
    <w:basedOn w:val="Normalny"/>
    <w:uiPriority w:val="98"/>
    <w:semiHidden/>
    <w:rsid w:val="00743B2A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Standardowy"/>
    <w:uiPriority w:val="99"/>
    <w:rsid w:val="00743B2A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743B2A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paragraph" w:styleId="Tekstpodstawowy">
    <w:name w:val="Body Text"/>
    <w:basedOn w:val="Normalny"/>
    <w:link w:val="TekstpodstawowyZnak"/>
    <w:uiPriority w:val="98"/>
    <w:semiHidden/>
    <w:rsid w:val="00743B2A"/>
    <w:pPr>
      <w:spacing w:after="120"/>
    </w:pPr>
  </w:style>
  <w:style w:type="table" w:customStyle="1" w:styleId="ECHRTableForInternalUse">
    <w:name w:val="ECHR_Table_For_Internal_Use"/>
    <w:basedOn w:val="Standardowy"/>
    <w:uiPriority w:val="99"/>
    <w:rsid w:val="00743B2A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743B2A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743B2A"/>
    <w:rPr>
      <w:sz w:val="24"/>
      <w:szCs w:val="24"/>
      <w:lang w:val="en-GB"/>
    </w:rPr>
  </w:style>
  <w:style w:type="paragraph" w:styleId="Tekstpodstawowy2">
    <w:name w:val="Body Text 2"/>
    <w:basedOn w:val="Normalny"/>
    <w:link w:val="Tekstpodstawowy2Znak"/>
    <w:uiPriority w:val="98"/>
    <w:semiHidden/>
    <w:rsid w:val="00743B2A"/>
    <w:pPr>
      <w:spacing w:after="120" w:line="480" w:lineRule="auto"/>
    </w:pPr>
  </w:style>
  <w:style w:type="table" w:customStyle="1" w:styleId="ECHRHeaderTable">
    <w:name w:val="ECHR_Header_Table"/>
    <w:basedOn w:val="Standardowy"/>
    <w:uiPriority w:val="99"/>
    <w:rsid w:val="00743B2A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743B2A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743B2A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Standardowy"/>
    <w:uiPriority w:val="99"/>
    <w:rsid w:val="00743B2A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ny"/>
    <w:uiPriority w:val="32"/>
    <w:qFormat/>
    <w:rsid w:val="00743B2A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Standardowy"/>
    <w:uiPriority w:val="99"/>
    <w:rsid w:val="00743B2A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743B2A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743B2A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743B2A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743B2A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743B2A"/>
    <w:pPr>
      <w:tabs>
        <w:tab w:val="center" w:pos="1418"/>
        <w:tab w:val="center" w:pos="5954"/>
      </w:tabs>
      <w:spacing w:before="720"/>
    </w:pPr>
  </w:style>
  <w:style w:type="character" w:styleId="Numerstrony">
    <w:name w:val="page number"/>
    <w:uiPriority w:val="98"/>
    <w:semiHidden/>
    <w:rsid w:val="00743B2A"/>
    <w:rPr>
      <w:sz w:val="18"/>
    </w:rPr>
  </w:style>
  <w:style w:type="character" w:styleId="Odwoaniedokomentarza">
    <w:name w:val="annotation reference"/>
    <w:basedOn w:val="Domylnaczcionkaakapitu"/>
    <w:uiPriority w:val="98"/>
    <w:semiHidden/>
    <w:rsid w:val="00743B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743B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743B2A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743B2A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743B2A"/>
    <w:pPr>
      <w:keepNext/>
      <w:keepLines/>
      <w:spacing w:before="240" w:after="240"/>
      <w:ind w:firstLine="284"/>
    </w:pPr>
  </w:style>
  <w:style w:type="numbering" w:styleId="Artykusekcja">
    <w:name w:val="Outline List 3"/>
    <w:basedOn w:val="Bezlisty"/>
    <w:uiPriority w:val="99"/>
    <w:semiHidden/>
    <w:unhideWhenUsed/>
    <w:rsid w:val="00743B2A"/>
    <w:pPr>
      <w:numPr>
        <w:numId w:val="3"/>
      </w:numPr>
    </w:pPr>
  </w:style>
  <w:style w:type="paragraph" w:styleId="Listapunktowana">
    <w:name w:val="List Bullet"/>
    <w:basedOn w:val="Normalny"/>
    <w:uiPriority w:val="98"/>
    <w:semiHidden/>
    <w:rsid w:val="00743B2A"/>
    <w:pPr>
      <w:numPr>
        <w:numId w:val="11"/>
      </w:numPr>
    </w:pPr>
  </w:style>
  <w:style w:type="character" w:customStyle="1" w:styleId="JuParaChar">
    <w:name w:val="Ju_Para Char"/>
    <w:aliases w:val="_Para Char"/>
    <w:basedOn w:val="Domylnaczcionkaakapitu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ny"/>
    <w:next w:val="JuPara"/>
    <w:uiPriority w:val="32"/>
    <w:rsid w:val="00743B2A"/>
    <w:pPr>
      <w:ind w:firstLine="284"/>
      <w:jc w:val="both"/>
    </w:pPr>
    <w:rPr>
      <w:b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743B2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743B2A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743B2A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743B2A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743B2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743B2A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743B2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743B2A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743B2A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743B2A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743B2A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743B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743B2A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743B2A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743B2A"/>
  </w:style>
  <w:style w:type="character" w:customStyle="1" w:styleId="DataZnak">
    <w:name w:val="Data Znak"/>
    <w:basedOn w:val="Domylnaczcionkaakapitu"/>
    <w:link w:val="Data"/>
    <w:uiPriority w:val="98"/>
    <w:semiHidden/>
    <w:rsid w:val="00743B2A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743B2A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743B2A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743B2A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743B2A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743B2A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743B2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743B2A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743B2A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743B2A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743B2A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743B2A"/>
  </w:style>
  <w:style w:type="paragraph" w:styleId="HTML-adres">
    <w:name w:val="HTML Address"/>
    <w:basedOn w:val="Normalny"/>
    <w:link w:val="HTML-adresZnak"/>
    <w:uiPriority w:val="98"/>
    <w:semiHidden/>
    <w:rsid w:val="00743B2A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743B2A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743B2A"/>
    <w:rPr>
      <w:i/>
      <w:iCs/>
    </w:rPr>
  </w:style>
  <w:style w:type="character" w:styleId="HTML-kod">
    <w:name w:val="HTML Code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743B2A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743B2A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743B2A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743B2A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743B2A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743B2A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743B2A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743B2A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743B2A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743B2A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743B2A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743B2A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743B2A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743B2A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743B2A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743B2A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743B2A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743B2A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743B2A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743B2A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743B2A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743B2A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743B2A"/>
  </w:style>
  <w:style w:type="paragraph" w:styleId="Lista">
    <w:name w:val="List"/>
    <w:basedOn w:val="Normalny"/>
    <w:uiPriority w:val="98"/>
    <w:semiHidden/>
    <w:rsid w:val="00743B2A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743B2A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743B2A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743B2A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743B2A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743B2A"/>
    <w:pPr>
      <w:numPr>
        <w:numId w:val="12"/>
      </w:numPr>
      <w:contextualSpacing/>
    </w:pPr>
  </w:style>
  <w:style w:type="paragraph" w:styleId="Listapunktowana3">
    <w:name w:val="List Bullet 3"/>
    <w:basedOn w:val="Normalny"/>
    <w:uiPriority w:val="98"/>
    <w:semiHidden/>
    <w:rsid w:val="00743B2A"/>
    <w:pPr>
      <w:numPr>
        <w:numId w:val="13"/>
      </w:numPr>
      <w:contextualSpacing/>
    </w:pPr>
  </w:style>
  <w:style w:type="paragraph" w:styleId="Listapunktowana4">
    <w:name w:val="List Bullet 4"/>
    <w:basedOn w:val="Normalny"/>
    <w:uiPriority w:val="98"/>
    <w:semiHidden/>
    <w:rsid w:val="00743B2A"/>
    <w:pPr>
      <w:numPr>
        <w:numId w:val="14"/>
      </w:numPr>
      <w:contextualSpacing/>
    </w:pPr>
  </w:style>
  <w:style w:type="paragraph" w:styleId="Listapunktowana5">
    <w:name w:val="List Bullet 5"/>
    <w:basedOn w:val="Normalny"/>
    <w:uiPriority w:val="98"/>
    <w:semiHidden/>
    <w:rsid w:val="00743B2A"/>
    <w:pPr>
      <w:numPr>
        <w:numId w:val="15"/>
      </w:numPr>
      <w:contextualSpacing/>
    </w:pPr>
  </w:style>
  <w:style w:type="paragraph" w:styleId="Lista-kontynuacja">
    <w:name w:val="List Continue"/>
    <w:basedOn w:val="Normalny"/>
    <w:uiPriority w:val="98"/>
    <w:semiHidden/>
    <w:rsid w:val="00743B2A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743B2A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743B2A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743B2A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743B2A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743B2A"/>
    <w:pPr>
      <w:numPr>
        <w:numId w:val="16"/>
      </w:numPr>
      <w:contextualSpacing/>
    </w:pPr>
  </w:style>
  <w:style w:type="paragraph" w:styleId="Listanumerowana2">
    <w:name w:val="List Number 2"/>
    <w:basedOn w:val="Normalny"/>
    <w:uiPriority w:val="98"/>
    <w:semiHidden/>
    <w:rsid w:val="00743B2A"/>
    <w:pPr>
      <w:numPr>
        <w:numId w:val="17"/>
      </w:numPr>
      <w:contextualSpacing/>
    </w:pPr>
  </w:style>
  <w:style w:type="paragraph" w:styleId="Listanumerowana3">
    <w:name w:val="List Number 3"/>
    <w:basedOn w:val="Normalny"/>
    <w:uiPriority w:val="98"/>
    <w:semiHidden/>
    <w:rsid w:val="00743B2A"/>
    <w:pPr>
      <w:numPr>
        <w:numId w:val="18"/>
      </w:numPr>
      <w:contextualSpacing/>
    </w:pPr>
  </w:style>
  <w:style w:type="paragraph" w:styleId="Listanumerowana4">
    <w:name w:val="List Number 4"/>
    <w:basedOn w:val="Normalny"/>
    <w:uiPriority w:val="98"/>
    <w:semiHidden/>
    <w:rsid w:val="00743B2A"/>
    <w:pPr>
      <w:numPr>
        <w:numId w:val="19"/>
      </w:numPr>
      <w:contextualSpacing/>
    </w:pPr>
  </w:style>
  <w:style w:type="paragraph" w:styleId="Listanumerowana5">
    <w:name w:val="List Number 5"/>
    <w:basedOn w:val="Normalny"/>
    <w:uiPriority w:val="98"/>
    <w:semiHidden/>
    <w:rsid w:val="00743B2A"/>
    <w:pPr>
      <w:numPr>
        <w:numId w:val="20"/>
      </w:numPr>
      <w:contextualSpacing/>
    </w:pPr>
  </w:style>
  <w:style w:type="paragraph" w:styleId="Tekstmakra">
    <w:name w:val="macro"/>
    <w:link w:val="TekstmakraZnak"/>
    <w:uiPriority w:val="98"/>
    <w:semiHidden/>
    <w:rsid w:val="00743B2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743B2A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743B2A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743B2A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743B2A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743B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743B2A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743B2A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743B2A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743B2A"/>
    <w:pPr>
      <w:tabs>
        <w:tab w:val="center" w:pos="6146"/>
        <w:tab w:val="right" w:pos="13778"/>
      </w:tabs>
      <w:ind w:left="-1474" w:right="-1474"/>
    </w:pPr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743B2A"/>
    <w:rPr>
      <w:sz w:val="24"/>
      <w:szCs w:val="24"/>
      <w:lang w:val="en-GB"/>
    </w:rPr>
  </w:style>
  <w:style w:type="paragraph" w:styleId="Zwykytekst">
    <w:name w:val="Plain Text"/>
    <w:basedOn w:val="Normalny"/>
    <w:link w:val="ZwykytekstZnak"/>
    <w:uiPriority w:val="98"/>
    <w:semiHidden/>
    <w:rsid w:val="0074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743B2A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743B2A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743B2A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743B2A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743B2A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743B2A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743B2A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743B2A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743B2A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743B2A"/>
  </w:style>
  <w:style w:type="table" w:styleId="Tabela-Profesjonalny">
    <w:name w:val="Table Professional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743B2A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743B2A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743B2A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743B2A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743B2A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ipercze">
    <w:name w:val="Hyperlink"/>
    <w:basedOn w:val="Domylnaczcionkaakapitu"/>
    <w:uiPriority w:val="98"/>
    <w:semiHidden/>
    <w:rsid w:val="00743B2A"/>
    <w:rPr>
      <w:color w:val="0072BC" w:themeColor="hyperlink"/>
      <w:u w:val="single"/>
    </w:r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743B2A"/>
  </w:style>
  <w:style w:type="paragraph" w:customStyle="1" w:styleId="DecList">
    <w:name w:val="Dec_List"/>
    <w:aliases w:val="_List"/>
    <w:basedOn w:val="JuList"/>
    <w:uiPriority w:val="22"/>
    <w:rsid w:val="00743B2A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743B2A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743B2A"/>
    <w:pPr>
      <w:numPr>
        <w:numId w:val="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743B2A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743B2A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743B2A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743B2A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743B2A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743B2A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743B2A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743B2A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743B2A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743B2A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743B2A"/>
    <w:pPr>
      <w:keepNext/>
      <w:keepLines/>
      <w:numPr>
        <w:ilvl w:val="8"/>
        <w:numId w:val="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743B2A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743B2A"/>
    <w:pPr>
      <w:numPr>
        <w:numId w:val="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743B2A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743B2A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743B2A"/>
    <w:pPr>
      <w:ind w:left="567" w:hanging="567"/>
      <w:jc w:val="both"/>
    </w:p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743B2A"/>
    <w:pPr>
      <w:spacing w:before="120" w:after="120"/>
      <w:ind w:left="284"/>
      <w:jc w:val="both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743B2A"/>
    <w:rPr>
      <w:color w:val="C00000" w:themeColor="accent2"/>
    </w:rPr>
  </w:style>
  <w:style w:type="paragraph" w:customStyle="1" w:styleId="ECHRSpacer">
    <w:name w:val="ECHR_Spacer"/>
    <w:aliases w:val="_Spacer"/>
    <w:basedOn w:val="Normalny"/>
    <w:uiPriority w:val="45"/>
    <w:semiHidden/>
    <w:rsid w:val="00743B2A"/>
    <w:rPr>
      <w:sz w:val="4"/>
    </w:rPr>
  </w:style>
  <w:style w:type="table" w:customStyle="1" w:styleId="ECHRTable2">
    <w:name w:val="ECHR_Table_2"/>
    <w:basedOn w:val="Standardowy"/>
    <w:uiPriority w:val="99"/>
    <w:rsid w:val="00743B2A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743B2A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743B2A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743B2A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743B2A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743B2A"/>
    <w:pPr>
      <w:outlineLvl w:val="0"/>
    </w:pPr>
  </w:style>
  <w:style w:type="table" w:customStyle="1" w:styleId="ECHRTableGrey">
    <w:name w:val="ECHR_Table_Grey"/>
    <w:basedOn w:val="Standardowy"/>
    <w:uiPriority w:val="99"/>
    <w:rsid w:val="00743B2A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B1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645B30-EC6A-433E-8195-694384A52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927</Words>
  <Characters>5563</Characters>
  <Application>Microsoft Office Word</Application>
  <DocSecurity>0</DocSecurity>
  <Lines>46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6478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dc:creator/>
  <cp:lastModifiedBy/>
  <cp:revision>1</cp:revision>
  <dcterms:created xsi:type="dcterms:W3CDTF">2024-07-22T10:31:00Z</dcterms:created>
  <dcterms:modified xsi:type="dcterms:W3CDTF">2024-07-22T14:11:00Z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1681964</vt:lpwstr>
  </property>
  <property fmtid="{D5CDD505-2E9C-101B-9397-08002B2CF9AE}" pid="3" name="cstLanguage">
    <vt:i4>2057</vt:i4>
  </property>
  <property fmtid="{D5CDD505-2E9C-101B-9397-08002B2CF9AE}" pid="4" name="RegisteredNo">
    <vt:lpwstr>52462/21</vt:lpwstr>
  </property>
</Properties>
</file>