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386D25" w:rsidR="008D51B6" w:rsidP="00386D25" w14:paraId="67EC7AED" w14:textId="77777777">
      <w:pPr>
        <w:jc w:val="center"/>
      </w:pPr>
    </w:p>
    <w:p w:rsidRPr="00386D25" w:rsidR="000C5149" w:rsidP="00386D25" w14:paraId="6410F983" w14:textId="77777777">
      <w:pPr>
        <w:jc w:val="center"/>
      </w:pPr>
    </w:p>
    <w:p w:rsidRPr="00386D25" w:rsidR="00606600" w:rsidP="00386D25" w14:paraId="7A41124B" w14:textId="14E4EA8D">
      <w:pPr>
        <w:pStyle w:val="DecHTitle"/>
      </w:pPr>
      <w:r w:rsidRPr="00386D25">
        <w:t>FIRST SECTION</w:t>
      </w:r>
    </w:p>
    <w:p w:rsidRPr="00386D25" w:rsidR="006D324D" w:rsidP="00386D25" w14:paraId="2D67C32E" w14:textId="3783C4FA">
      <w:pPr>
        <w:pStyle w:val="JuTitle"/>
      </w:pPr>
      <w:bookmarkStart w:name="To" w:id="0"/>
      <w:r w:rsidRPr="00386D25">
        <w:rPr>
          <w:color w:val="000000" w:themeColor="text1"/>
        </w:rPr>
        <w:t xml:space="preserve">CASE OF </w:t>
      </w:r>
      <w:bookmarkEnd w:id="0"/>
      <w:r w:rsidRPr="00386D25" w:rsidR="006A55E6">
        <w:t xml:space="preserve">LEHMANN </w:t>
      </w:r>
      <w:r w:rsidRPr="00386D25" w:rsidR="00EC6041">
        <w:t xml:space="preserve">AND OTHERS </w:t>
      </w:r>
      <w:r w:rsidRPr="00386D25" w:rsidR="006A55E6">
        <w:t>v. POLAND</w:t>
      </w:r>
    </w:p>
    <w:p w:rsidRPr="00386D25" w:rsidR="006D324D" w:rsidP="00386D25" w14:paraId="1AB53925" w14:textId="447B047D">
      <w:pPr>
        <w:pStyle w:val="ECHRCoverTitle4"/>
      </w:pPr>
      <w:r w:rsidRPr="00386D25">
        <w:t>(</w:t>
      </w:r>
      <w:r w:rsidRPr="00386D25" w:rsidR="006A55E6">
        <w:t>Application</w:t>
      </w:r>
      <w:r w:rsidRPr="00386D25" w:rsidR="009C7A16">
        <w:t>s</w:t>
      </w:r>
      <w:r w:rsidRPr="00386D25" w:rsidR="006A55E6">
        <w:t xml:space="preserve"> no</w:t>
      </w:r>
      <w:r w:rsidRPr="00386D25" w:rsidR="009C7A16">
        <w:t>s</w:t>
      </w:r>
      <w:r w:rsidRPr="00386D25" w:rsidR="006A55E6">
        <w:t>. 52462/21 and 2 others –</w:t>
      </w:r>
      <w:r w:rsidRPr="00386D25" w:rsidR="00EC6041">
        <w:t xml:space="preserve"> </w:t>
      </w:r>
      <w:r w:rsidRPr="00386D25" w:rsidR="006A55E6">
        <w:rPr>
          <w:iCs/>
        </w:rPr>
        <w:t>see appended list</w:t>
      </w:r>
      <w:r w:rsidRPr="00386D25">
        <w:t>)</w:t>
      </w:r>
    </w:p>
    <w:p w:rsidRPr="00386D25" w:rsidR="006D324D" w:rsidP="00386D25" w14:paraId="355DF112" w14:textId="77777777">
      <w:pPr>
        <w:pStyle w:val="DecHCase"/>
      </w:pPr>
    </w:p>
    <w:p w:rsidRPr="00386D25" w:rsidR="006D324D" w:rsidP="00386D25" w14:paraId="6FF62075" w14:textId="77777777">
      <w:pPr>
        <w:pStyle w:val="DecHCase"/>
      </w:pPr>
    </w:p>
    <w:p w:rsidRPr="00386D25" w:rsidR="00606600" w:rsidP="00386D25" w14:paraId="504813B0" w14:textId="77777777">
      <w:pPr>
        <w:pStyle w:val="DecHCase"/>
      </w:pPr>
    </w:p>
    <w:p w:rsidRPr="00386D25" w:rsidR="00606600" w:rsidP="00386D25" w14:paraId="78282DD0" w14:textId="77777777">
      <w:pPr>
        <w:pStyle w:val="DecHCase"/>
      </w:pPr>
    </w:p>
    <w:p w:rsidRPr="00386D25" w:rsidR="00606600" w:rsidP="00386D25" w14:paraId="38726D77" w14:textId="77777777">
      <w:pPr>
        <w:pStyle w:val="DecHCase"/>
      </w:pPr>
    </w:p>
    <w:p w:rsidRPr="00386D25" w:rsidR="00606600" w:rsidP="00386D25" w14:paraId="18DE2D19" w14:textId="77777777">
      <w:pPr>
        <w:pStyle w:val="DecHCase"/>
      </w:pPr>
    </w:p>
    <w:p w:rsidRPr="00386D25" w:rsidR="00606600" w:rsidP="00386D25" w14:paraId="1E74DAC5" w14:textId="77777777">
      <w:pPr>
        <w:pStyle w:val="DecHCase"/>
      </w:pPr>
      <w:r w:rsidRPr="00386D25">
        <w:t>JUDGMENT</w:t>
      </w:r>
    </w:p>
    <w:p w:rsidRPr="00386D25" w:rsidR="00606600" w:rsidP="00386D25" w14:paraId="03F9845F" w14:textId="77777777">
      <w:pPr>
        <w:jc w:val="center"/>
        <w:rPr>
          <w:i/>
        </w:rPr>
      </w:pPr>
    </w:p>
    <w:p w:rsidRPr="00386D25" w:rsidR="00606600" w:rsidP="00386D25" w14:paraId="1657EAF5" w14:textId="77777777">
      <w:pPr>
        <w:pStyle w:val="DecHCase"/>
      </w:pPr>
      <w:r w:rsidRPr="00386D25">
        <w:t>STRASBOURG</w:t>
      </w:r>
    </w:p>
    <w:p w:rsidRPr="00386D25" w:rsidR="00606600" w:rsidP="00386D25" w14:paraId="45DD868E" w14:textId="402CCAF5">
      <w:pPr>
        <w:pStyle w:val="DecHCase"/>
      </w:pPr>
      <w:r w:rsidRPr="00386D25">
        <w:t>6 June 2024</w:t>
      </w:r>
    </w:p>
    <w:p w:rsidRPr="00386D25" w:rsidR="00606600" w:rsidP="00386D25" w14:paraId="5E7FCF59" w14:textId="77777777">
      <w:pPr>
        <w:jc w:val="center"/>
      </w:pPr>
    </w:p>
    <w:p w:rsidRPr="00386D25" w:rsidR="00606600" w:rsidP="00386D25" w14:paraId="68427A66" w14:textId="77777777">
      <w:pPr>
        <w:rPr>
          <w:sz w:val="22"/>
          <w:szCs w:val="22"/>
        </w:rPr>
      </w:pPr>
      <w:r w:rsidRPr="00386D25">
        <w:rPr>
          <w:i/>
          <w:sz w:val="22"/>
          <w:szCs w:val="22"/>
        </w:rPr>
        <w:t xml:space="preserve">This judgment is </w:t>
      </w:r>
      <w:r w:rsidRPr="00386D25">
        <w:rPr>
          <w:i/>
          <w:sz w:val="22"/>
          <w:szCs w:val="22"/>
        </w:rPr>
        <w:t>final</w:t>
      </w:r>
      <w:r w:rsidRPr="00386D25">
        <w:rPr>
          <w:i/>
          <w:sz w:val="22"/>
          <w:szCs w:val="22"/>
        </w:rPr>
        <w:t xml:space="preserve"> but it may be subject to editorial revision.</w:t>
      </w:r>
    </w:p>
    <w:p w:rsidRPr="00386D25" w:rsidR="00606600" w:rsidP="00386D25" w14:paraId="595E7890" w14:textId="77777777">
      <w:pPr>
        <w:pStyle w:val="JuCase"/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386D25" w:rsidR="00606600" w:rsidP="00386D25" w14:paraId="18442087" w14:textId="13BB91E8">
      <w:pPr>
        <w:pStyle w:val="JuCase"/>
        <w:rPr>
          <w:bCs/>
        </w:rPr>
      </w:pPr>
      <w:r w:rsidRPr="00386D25">
        <w:t xml:space="preserve">In the case of </w:t>
      </w:r>
      <w:r w:rsidRPr="00386D25" w:rsidR="006A55E6">
        <w:t>Lehmann</w:t>
      </w:r>
      <w:r w:rsidRPr="00386D25" w:rsidR="009C7A16">
        <w:t xml:space="preserve"> and Others</w:t>
      </w:r>
      <w:r w:rsidRPr="00386D25" w:rsidR="006A55E6">
        <w:t xml:space="preserve"> v. Poland</w:t>
      </w:r>
      <w:r w:rsidRPr="00386D25">
        <w:t>,</w:t>
      </w:r>
    </w:p>
    <w:p w:rsidRPr="00386D25" w:rsidR="00606600" w:rsidP="00386D25" w14:paraId="08A0AA52" w14:textId="10733F57">
      <w:pPr>
        <w:pStyle w:val="JuPara"/>
      </w:pPr>
      <w:r w:rsidRPr="00386D25">
        <w:t>The European Court of Human Rights (</w:t>
      </w:r>
      <w:r w:rsidRPr="00386D25" w:rsidR="006A55E6">
        <w:t>First Section</w:t>
      </w:r>
      <w:r w:rsidRPr="00386D25">
        <w:t>), sitting as a Committee composed of:</w:t>
      </w:r>
    </w:p>
    <w:p w:rsidRPr="00386D25" w:rsidR="002C5B23" w:rsidP="00386D25" w14:paraId="16B2C603" w14:textId="5A0BDF92">
      <w:pPr>
        <w:pStyle w:val="JuJudges"/>
        <w:rPr>
          <w:lang w:val="it-IT"/>
        </w:rPr>
      </w:pPr>
      <w:r w:rsidRPr="00386D25">
        <w:tab/>
      </w:r>
      <w:r w:rsidRPr="00386D25">
        <w:rPr>
          <w:lang w:val="it-IT"/>
        </w:rPr>
        <w:t xml:space="preserve">Péter </w:t>
      </w:r>
      <w:r w:rsidRPr="00386D25">
        <w:rPr>
          <w:lang w:val="it-IT"/>
        </w:rPr>
        <w:t>Paczolay</w:t>
      </w:r>
      <w:r w:rsidRPr="00386D25">
        <w:rPr>
          <w:i/>
          <w:lang w:val="it-IT"/>
        </w:rPr>
        <w:t xml:space="preserve">, </w:t>
      </w:r>
      <w:r w:rsidRPr="00386D25">
        <w:rPr>
          <w:i/>
          <w:lang w:val="it-IT"/>
        </w:rPr>
        <w:t>President</w:t>
      </w:r>
      <w:r w:rsidRPr="00386D25">
        <w:rPr>
          <w:lang w:val="it-IT"/>
        </w:rPr>
        <w:t>,</w:t>
      </w:r>
      <w:r w:rsidRPr="00386D25">
        <w:rPr>
          <w:lang w:val="it-IT"/>
        </w:rPr>
        <w:br/>
      </w:r>
      <w:r w:rsidRPr="00386D25">
        <w:rPr>
          <w:lang w:val="it-IT"/>
        </w:rPr>
        <w:tab/>
        <w:t>Gilberto Felici,</w:t>
      </w:r>
      <w:r w:rsidRPr="00386D25">
        <w:rPr>
          <w:lang w:val="it-IT"/>
        </w:rPr>
        <w:br/>
      </w:r>
      <w:r w:rsidRPr="00386D25">
        <w:rPr>
          <w:lang w:val="it-IT"/>
        </w:rPr>
        <w:tab/>
        <w:t>Raffaele Sabato</w:t>
      </w:r>
      <w:r w:rsidRPr="00386D25">
        <w:rPr>
          <w:i/>
          <w:lang w:val="it-IT"/>
        </w:rPr>
        <w:t xml:space="preserve">, </w:t>
      </w:r>
      <w:r w:rsidRPr="00386D25">
        <w:rPr>
          <w:i/>
          <w:lang w:val="it-IT"/>
        </w:rPr>
        <w:t>judges</w:t>
      </w:r>
      <w:r w:rsidRPr="00386D25">
        <w:rPr>
          <w:lang w:val="it-IT"/>
        </w:rPr>
        <w:t>,</w:t>
      </w:r>
    </w:p>
    <w:p w:rsidRPr="00386D25" w:rsidR="00606600" w:rsidP="00386D25" w14:paraId="636319BC" w14:textId="3208CF63">
      <w:pPr>
        <w:pStyle w:val="JuJudges"/>
      </w:pPr>
      <w:r w:rsidRPr="00386D25">
        <w:t xml:space="preserve">and </w:t>
      </w:r>
      <w:r w:rsidRPr="00386D25" w:rsidR="006A55E6">
        <w:t>Viktoriya</w:t>
      </w:r>
      <w:r w:rsidRPr="00386D25">
        <w:t xml:space="preserve"> </w:t>
      </w:r>
      <w:r w:rsidRPr="00386D25" w:rsidR="006A55E6">
        <w:t>Maradudina</w:t>
      </w:r>
      <w:r w:rsidRPr="00386D25" w:rsidR="00555A1D">
        <w:t>,</w:t>
      </w:r>
      <w:r w:rsidRPr="00386D25">
        <w:t xml:space="preserve"> </w:t>
      </w:r>
      <w:r w:rsidRPr="00386D25">
        <w:rPr>
          <w:i/>
        </w:rPr>
        <w:t>Acting</w:t>
      </w:r>
      <w:r w:rsidRPr="00386D25">
        <w:t xml:space="preserve"> </w:t>
      </w:r>
      <w:r w:rsidRPr="00386D25">
        <w:rPr>
          <w:rFonts w:cstheme="minorHAnsi"/>
          <w:i/>
        </w:rPr>
        <w:t>Deputy Section Registrar</w:t>
      </w:r>
      <w:r w:rsidRPr="00386D25">
        <w:rPr>
          <w:i/>
        </w:rPr>
        <w:t>,</w:t>
      </w:r>
    </w:p>
    <w:p w:rsidRPr="00386D25" w:rsidR="00606600" w:rsidP="00386D25" w14:paraId="6BDF276C" w14:textId="6A5F3487">
      <w:pPr>
        <w:pStyle w:val="JuPara"/>
      </w:pPr>
      <w:r w:rsidRPr="00386D25">
        <w:t xml:space="preserve">Having deliberated in private on </w:t>
      </w:r>
      <w:r w:rsidRPr="00386D25" w:rsidR="00EC6041">
        <w:t>16 May 2024</w:t>
      </w:r>
      <w:r w:rsidRPr="00386D25">
        <w:t>,</w:t>
      </w:r>
    </w:p>
    <w:p w:rsidRPr="00386D25" w:rsidR="00606600" w:rsidP="00386D25" w14:paraId="6AF84A2D" w14:textId="77777777">
      <w:pPr>
        <w:pStyle w:val="JuPara"/>
      </w:pPr>
      <w:r w:rsidRPr="00386D25">
        <w:t>Delivers the following judgment, which was adopted on that date:</w:t>
      </w:r>
    </w:p>
    <w:p w:rsidRPr="00386D25" w:rsidR="006A55E6" w:rsidP="00386D25" w14:paraId="52428892" w14:textId="77777777">
      <w:pPr>
        <w:pStyle w:val="JuHHead"/>
      </w:pPr>
      <w:bookmarkStart w:name="ITMARKStartJudgment" w:id="1"/>
      <w:bookmarkEnd w:id="1"/>
      <w:r w:rsidRPr="00386D25">
        <w:t>PROCEDURE</w:t>
      </w:r>
    </w:p>
    <w:p w:rsidRPr="00386D25" w:rsidR="006A55E6" w:rsidP="00386D25" w14:paraId="5D7E3C5A" w14:textId="08918E38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1</w:t>
      </w:r>
      <w:r w:rsidRPr="00386D25">
        <w:fldChar w:fldCharType="end"/>
      </w:r>
      <w:r w:rsidRPr="00386D25">
        <w:t xml:space="preserve">.  The case originated in applications against Poland lodged with the Court under Article 34 of the Convention for the Protection of Human Rights and Fundamental Freedoms (“the Convention”) on </w:t>
      </w:r>
      <w:r w:rsidRPr="00386D25">
        <w:rPr>
          <w:rFonts w:eastAsia="PMingLiU"/>
        </w:rPr>
        <w:t>the various dates indicated in the appended table</w:t>
      </w:r>
      <w:r w:rsidRPr="00386D25">
        <w:t>.</w:t>
      </w:r>
    </w:p>
    <w:p w:rsidRPr="00386D25" w:rsidR="006A55E6" w:rsidP="00386D25" w14:paraId="4EDE3770" w14:textId="4ECBDBA2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2</w:t>
      </w:r>
      <w:r w:rsidRPr="00386D25">
        <w:fldChar w:fldCharType="end"/>
      </w:r>
      <w:r w:rsidRPr="00386D25">
        <w:t>.  The Polish Government (“the Government”) were given notice of the applications.</w:t>
      </w:r>
    </w:p>
    <w:p w:rsidRPr="00386D25" w:rsidR="006A55E6" w:rsidP="00386D25" w14:paraId="3E01AF5C" w14:textId="77777777">
      <w:pPr>
        <w:pStyle w:val="JuHHead"/>
      </w:pPr>
      <w:r w:rsidRPr="00386D25">
        <w:t>THE FACTS</w:t>
      </w:r>
    </w:p>
    <w:p w:rsidRPr="00386D25" w:rsidR="006A55E6" w:rsidP="00386D25" w14:paraId="61B136EF" w14:textId="5CDA3A6D">
      <w:pPr>
        <w:pStyle w:val="JuPara"/>
      </w:pPr>
      <w:r w:rsidRPr="00386D25">
        <w:rPr>
          <w:rFonts w:eastAsia="PMingLiU"/>
        </w:rPr>
        <w:fldChar w:fldCharType="begin"/>
      </w:r>
      <w:r w:rsidRPr="00386D25">
        <w:rPr>
          <w:rFonts w:eastAsia="PMingLiU"/>
        </w:rPr>
        <w:instrText xml:space="preserve"> SEQ level0 \*arabic \* MERGEFORMAT </w:instrText>
      </w:r>
      <w:r w:rsidRPr="00386D25">
        <w:rPr>
          <w:rFonts w:eastAsia="PMingLiU"/>
        </w:rPr>
        <w:fldChar w:fldCharType="separate"/>
      </w:r>
      <w:r w:rsidRPr="00386D25" w:rsidR="00386D25">
        <w:rPr>
          <w:rFonts w:eastAsia="PMingLiU"/>
          <w:noProof/>
        </w:rPr>
        <w:t>3</w:t>
      </w:r>
      <w:r w:rsidRPr="00386D25">
        <w:rPr>
          <w:rFonts w:eastAsia="PMingLiU"/>
        </w:rPr>
        <w:fldChar w:fldCharType="end"/>
      </w:r>
      <w:r w:rsidRPr="00386D25">
        <w:rPr>
          <w:rFonts w:eastAsia="PMingLiU"/>
        </w:rPr>
        <w:t>.  The list of applicant</w:t>
      </w:r>
      <w:r w:rsidRPr="00386D25">
        <w:t>s and the relevant details of the applications are set out in the appended table.</w:t>
      </w:r>
    </w:p>
    <w:p w:rsidRPr="00386D25" w:rsidR="006A55E6" w:rsidP="00386D25" w14:paraId="669558D9" w14:textId="5BB17AAD">
      <w:pPr>
        <w:pStyle w:val="JuPara"/>
        <w:rPr>
          <w:bCs/>
        </w:rPr>
      </w:pPr>
      <w:r w:rsidRPr="00386D25">
        <w:rPr>
          <w:bCs/>
        </w:rPr>
        <w:fldChar w:fldCharType="begin"/>
      </w:r>
      <w:r w:rsidRPr="00386D25">
        <w:rPr>
          <w:bCs/>
        </w:rPr>
        <w:instrText xml:space="preserve"> SEQ level0 \*arabic \* MERGEFORMAT </w:instrText>
      </w:r>
      <w:r w:rsidRPr="00386D25">
        <w:rPr>
          <w:bCs/>
        </w:rPr>
        <w:fldChar w:fldCharType="separate"/>
      </w:r>
      <w:r w:rsidRPr="00386D25" w:rsidR="00386D25">
        <w:rPr>
          <w:bCs/>
          <w:noProof/>
        </w:rPr>
        <w:t>4</w:t>
      </w:r>
      <w:r w:rsidRPr="00386D25">
        <w:rPr>
          <w:bCs/>
        </w:rPr>
        <w:fldChar w:fldCharType="end"/>
      </w:r>
      <w:r w:rsidRPr="00386D25">
        <w:rPr>
          <w:bCs/>
        </w:rPr>
        <w:t>.  The applicant</w:t>
      </w:r>
      <w:r w:rsidRPr="00386D25">
        <w:rPr>
          <w:rFonts w:eastAsia="PMingLiU"/>
        </w:rPr>
        <w:t>s</w:t>
      </w:r>
      <w:r w:rsidRPr="00386D25">
        <w:rPr>
          <w:bCs/>
        </w:rPr>
        <w:t xml:space="preserve"> complained of the excessive length of </w:t>
      </w:r>
      <w:r w:rsidRPr="00386D25">
        <w:rPr>
          <w:rFonts w:eastAsia="PMingLiU"/>
        </w:rPr>
        <w:t>their</w:t>
      </w:r>
      <w:r w:rsidRPr="00386D25">
        <w:rPr>
          <w:bCs/>
        </w:rPr>
        <w:t xml:space="preserve"> pre-trial detention</w:t>
      </w:r>
      <w:r w:rsidRPr="00386D25">
        <w:rPr>
          <w:rFonts w:cstheme="minorHAnsi"/>
          <w:bCs/>
          <w:color w:val="000000"/>
        </w:rPr>
        <w:t>.</w:t>
      </w:r>
    </w:p>
    <w:p w:rsidRPr="00386D25" w:rsidR="006A55E6" w:rsidP="00386D25" w14:paraId="0A7E5780" w14:textId="77777777">
      <w:pPr>
        <w:pStyle w:val="JuHHead"/>
      </w:pPr>
      <w:r w:rsidRPr="00386D25">
        <w:t>THE LAW</w:t>
      </w:r>
    </w:p>
    <w:p w:rsidRPr="00386D25" w:rsidR="006A55E6" w:rsidP="00386D25" w14:paraId="2BEF74BC" w14:textId="77777777">
      <w:pPr>
        <w:pStyle w:val="JuHIRoman"/>
      </w:pPr>
      <w:r w:rsidRPr="00386D25">
        <w:t>JOINDER OF THE APPLICATIONS</w:t>
      </w:r>
    </w:p>
    <w:p w:rsidRPr="00386D25" w:rsidR="006A55E6" w:rsidP="00386D25" w14:paraId="1C5E22B8" w14:textId="32B416AC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5</w:t>
      </w:r>
      <w:r w:rsidRPr="00386D25">
        <w:fldChar w:fldCharType="end"/>
      </w:r>
      <w:r w:rsidRPr="00386D25">
        <w:t>.  Having regard to the similar subject matter of the applications, the Court finds it appropriate to examine them jointly in a single judgment.</w:t>
      </w:r>
    </w:p>
    <w:p w:rsidRPr="00386D25" w:rsidR="006A55E6" w:rsidP="00386D25" w14:paraId="6266BF30" w14:textId="77777777">
      <w:pPr>
        <w:pStyle w:val="JuHIRoman"/>
        <w:rPr>
          <w:rFonts w:eastAsia="PMingLiU"/>
        </w:rPr>
      </w:pPr>
      <w:r w:rsidRPr="00386D25">
        <w:t>ALLEGED VIOLATION OF ARTICLE</w:t>
      </w:r>
      <w:r w:rsidRPr="00386D25">
        <w:rPr>
          <w:rFonts w:eastAsia="PMingLiU"/>
        </w:rPr>
        <w:t xml:space="preserve"> 5 § 3 OF THE CONVENTION</w:t>
      </w:r>
    </w:p>
    <w:p w:rsidRPr="00386D25" w:rsidR="006A55E6" w:rsidP="00386D25" w14:paraId="1AC1862E" w14:textId="2489E3D9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6</w:t>
      </w:r>
      <w:r w:rsidRPr="00386D25">
        <w:fldChar w:fldCharType="end"/>
      </w:r>
      <w:r w:rsidRPr="00386D25">
        <w:t>.  The applicant</w:t>
      </w:r>
      <w:r w:rsidRPr="00386D25">
        <w:rPr>
          <w:rFonts w:eastAsia="PMingLiU"/>
        </w:rPr>
        <w:t>s</w:t>
      </w:r>
      <w:r w:rsidRPr="00386D25">
        <w:t xml:space="preserve"> complained</w:t>
      </w:r>
      <w:r w:rsidRPr="00386D25">
        <w:rPr>
          <w:bCs/>
        </w:rPr>
        <w:t xml:space="preserve"> that </w:t>
      </w:r>
      <w:r w:rsidRPr="00386D25">
        <w:rPr>
          <w:rFonts w:eastAsia="PMingLiU"/>
        </w:rPr>
        <w:t>their</w:t>
      </w:r>
      <w:r w:rsidRPr="00386D25">
        <w:rPr>
          <w:bCs/>
        </w:rPr>
        <w:t xml:space="preserve"> pre-trial detention had been unreasonably long</w:t>
      </w:r>
      <w:r w:rsidRPr="00386D25">
        <w:t>. They relied on Article</w:t>
      </w:r>
      <w:r w:rsidRPr="00386D25">
        <w:rPr>
          <w:rFonts w:eastAsia="PMingLiU"/>
        </w:rPr>
        <w:t> 5 § 3</w:t>
      </w:r>
      <w:r w:rsidRPr="00386D25">
        <w:t xml:space="preserve"> of the Convention.</w:t>
      </w:r>
    </w:p>
    <w:p w:rsidRPr="00386D25" w:rsidR="006A55E6" w:rsidP="00386D25" w14:paraId="0D456237" w14:textId="3A590248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7</w:t>
      </w:r>
      <w:r w:rsidRPr="00386D25">
        <w:fldChar w:fldCharType="end"/>
      </w:r>
      <w:r w:rsidRPr="00386D25">
        <w:t xml:space="preserve">.  The Court observes that the general principles regarding the right to trial within a reasonable time or to release pending trial, as guaranteed by Article 5 § 3 of the Convention, have been stated in a number of its previous judgments (see, among many other authorities, </w:t>
      </w:r>
      <w:r w:rsidRPr="00386D25">
        <w:rPr>
          <w:i/>
        </w:rPr>
        <w:t>Kudła</w:t>
      </w:r>
      <w:r w:rsidRPr="00386D25">
        <w:rPr>
          <w:i/>
        </w:rPr>
        <w:t xml:space="preserve"> v. Poland </w:t>
      </w:r>
      <w:r w:rsidRPr="00386D25">
        <w:t>[GC], no. 30210/96, § 110, ECHR 2000</w:t>
      </w:r>
      <w:r w:rsidRPr="00386D25">
        <w:noBreakHyphen/>
        <w:t xml:space="preserve">XI, and </w:t>
      </w:r>
      <w:r w:rsidRPr="00386D25">
        <w:rPr>
          <w:i/>
        </w:rPr>
        <w:t xml:space="preserve">McKay v. the United Kingdom </w:t>
      </w:r>
      <w:r w:rsidRPr="00386D25">
        <w:t>[GC], no. 543/03, §§ 41-44, ECHR 2006</w:t>
      </w:r>
      <w:r w:rsidRPr="00386D25">
        <w:noBreakHyphen/>
        <w:t>X, with further references).</w:t>
      </w:r>
    </w:p>
    <w:p w:rsidRPr="00386D25" w:rsidR="006A55E6" w:rsidP="00386D25" w14:paraId="39D580BE" w14:textId="7E68DEBD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8</w:t>
      </w:r>
      <w:r w:rsidRPr="00386D25">
        <w:fldChar w:fldCharType="end"/>
      </w:r>
      <w:r w:rsidRPr="00386D25">
        <w:t xml:space="preserve">.  In the leading cases of </w:t>
      </w:r>
      <w:r w:rsidRPr="00386D25">
        <w:rPr>
          <w:i/>
        </w:rPr>
        <w:t>Kauczor</w:t>
      </w:r>
      <w:r w:rsidRPr="00386D25">
        <w:rPr>
          <w:i/>
        </w:rPr>
        <w:t xml:space="preserve"> v. Poland, </w:t>
      </w:r>
      <w:r w:rsidRPr="00386D25">
        <w:t>no. 45219/06, 3 February</w:t>
      </w:r>
      <w:r w:rsidRPr="00386D25">
        <w:t xml:space="preserve"> </w:t>
      </w:r>
      <w:r w:rsidRPr="00386D25">
        <w:t xml:space="preserve">2009 and </w:t>
      </w:r>
      <w:r w:rsidRPr="00386D25">
        <w:rPr>
          <w:i/>
        </w:rPr>
        <w:t>Celejewski</w:t>
      </w:r>
      <w:r w:rsidRPr="00386D25">
        <w:rPr>
          <w:i/>
        </w:rPr>
        <w:t xml:space="preserve"> v. Poland, </w:t>
      </w:r>
      <w:r w:rsidRPr="00386D25">
        <w:t xml:space="preserve">no. 17584/04, 4 May 2006, the Court already found a violation in respect of issues </w:t>
      </w:r>
      <w:r w:rsidRPr="00386D25">
        <w:t>similar to</w:t>
      </w:r>
      <w:r w:rsidRPr="00386D25">
        <w:t xml:space="preserve"> those in the present case.</w:t>
      </w:r>
    </w:p>
    <w:p w:rsidRPr="00386D25" w:rsidR="006A55E6" w:rsidP="00386D25" w14:paraId="4EB8CBAB" w14:textId="44239877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9</w:t>
      </w:r>
      <w:r w:rsidRPr="00386D25">
        <w:fldChar w:fldCharType="end"/>
      </w:r>
      <w:r w:rsidRPr="00386D25">
        <w:t>.  Having examined all the material submitted to it, the Court has not found any fact or argument capable of persuading it to reach a different conclusion on the admissibility and merits of these complaints. Having regard to its case-law on the subject, the Court considers that in the instant case the length of the applicant</w:t>
      </w:r>
      <w:r w:rsidRPr="00386D25">
        <w:rPr>
          <w:rFonts w:eastAsia="PMingLiU"/>
        </w:rPr>
        <w:t>s</w:t>
      </w:r>
      <w:r w:rsidRPr="00386D25">
        <w:t>’</w:t>
      </w:r>
      <w:r w:rsidRPr="00386D25">
        <w:t xml:space="preserve"> pre-trial detention was excessive.</w:t>
      </w:r>
    </w:p>
    <w:p w:rsidRPr="00386D25" w:rsidR="006A55E6" w:rsidP="00386D25" w14:paraId="226A4660" w14:textId="0A4F03BE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10</w:t>
      </w:r>
      <w:r w:rsidRPr="00386D25">
        <w:fldChar w:fldCharType="end"/>
      </w:r>
      <w:r w:rsidRPr="00386D25">
        <w:t>.  These complaints are therefore admissible and disclose a breach of Article</w:t>
      </w:r>
      <w:r w:rsidRPr="00386D25">
        <w:rPr>
          <w:rFonts w:eastAsia="PMingLiU"/>
        </w:rPr>
        <w:t> 5 § 3</w:t>
      </w:r>
      <w:r w:rsidRPr="00386D25">
        <w:t xml:space="preserve"> of the Convention.</w:t>
      </w:r>
    </w:p>
    <w:p w:rsidRPr="00386D25" w:rsidR="006A55E6" w:rsidP="00386D25" w14:paraId="621A8FE3" w14:textId="77777777">
      <w:pPr>
        <w:pStyle w:val="JuHIRoman"/>
      </w:pPr>
      <w:r w:rsidRPr="00386D25">
        <w:t>APPLICATION OF ARTICLE 41 OF THE CONVENTION</w:t>
      </w:r>
    </w:p>
    <w:p w:rsidRPr="00386D25" w:rsidR="006A55E6" w:rsidP="00386D25" w14:paraId="300EEE74" w14:textId="1C28F25B">
      <w:pPr>
        <w:pStyle w:val="JuPara"/>
      </w:pPr>
      <w:r w:rsidRPr="00386D25">
        <w:fldChar w:fldCharType="begin"/>
      </w:r>
      <w:r w:rsidRPr="00386D25">
        <w:instrText xml:space="preserve"> SEQ level0 \*arabic \* MERGEFORMAT </w:instrText>
      </w:r>
      <w:r w:rsidRPr="00386D25">
        <w:fldChar w:fldCharType="separate"/>
      </w:r>
      <w:r w:rsidRPr="00386D25">
        <w:rPr>
          <w:noProof/>
        </w:rPr>
        <w:t>11</w:t>
      </w:r>
      <w:r w:rsidRPr="00386D25">
        <w:fldChar w:fldCharType="end"/>
      </w:r>
      <w:r w:rsidRPr="00386D25">
        <w:t>.  Regard being had to the documents in its possession and to its case</w:t>
      </w:r>
      <w:r w:rsidRPr="00386D25">
        <w:noBreakHyphen/>
        <w:t>law (see</w:t>
      </w:r>
      <w:r w:rsidRPr="00386D25">
        <w:t xml:space="preserve">, in particular, </w:t>
      </w:r>
      <w:r w:rsidRPr="00386D25">
        <w:rPr>
          <w:i/>
        </w:rPr>
        <w:t>Kauczor</w:t>
      </w:r>
      <w:r w:rsidRPr="00386D25">
        <w:rPr>
          <w:i/>
        </w:rPr>
        <w:t xml:space="preserve">, </w:t>
      </w:r>
      <w:r w:rsidRPr="00386D25">
        <w:rPr>
          <w:iCs/>
        </w:rPr>
        <w:t>cited above)</w:t>
      </w:r>
      <w:r w:rsidRPr="00386D25">
        <w:rPr>
          <w:i/>
        </w:rPr>
        <w:t xml:space="preserve">, </w:t>
      </w:r>
      <w:r w:rsidRPr="00386D25">
        <w:t>the Court considers it reasonable to award the sums indicated in the appended table.</w:t>
      </w:r>
    </w:p>
    <w:p w:rsidRPr="00386D25" w:rsidR="006A55E6" w:rsidP="00386D25" w14:paraId="47DE9CB3" w14:textId="77777777">
      <w:pPr>
        <w:pStyle w:val="JuHHead"/>
      </w:pPr>
      <w:r w:rsidRPr="00386D25">
        <w:t>FOR THESE REASONS, THE COURT</w:t>
      </w:r>
      <w:r w:rsidRPr="00386D25">
        <w:rPr>
          <w:color w:val="000000"/>
        </w:rPr>
        <w:t>,</w:t>
      </w:r>
      <w:r w:rsidRPr="00386D25">
        <w:t xml:space="preserve"> UNANIMOUSLY,</w:t>
      </w:r>
    </w:p>
    <w:p w:rsidRPr="00386D25" w:rsidR="006A55E6" w:rsidP="00386D25" w14:paraId="422E6096" w14:textId="77777777">
      <w:pPr>
        <w:pStyle w:val="JuList"/>
      </w:pPr>
      <w:r w:rsidRPr="00386D25">
        <w:rPr>
          <w:i/>
        </w:rPr>
        <w:t xml:space="preserve">Decides </w:t>
      </w:r>
      <w:r w:rsidRPr="00386D25">
        <w:t xml:space="preserve">to join the </w:t>
      </w:r>
      <w:r w:rsidRPr="00386D25">
        <w:t>applications;</w:t>
      </w:r>
    </w:p>
    <w:p w:rsidRPr="00386D25" w:rsidR="006A55E6" w:rsidP="00386D25" w14:paraId="083C2101" w14:textId="77777777">
      <w:pPr>
        <w:pStyle w:val="JuList"/>
      </w:pPr>
      <w:r w:rsidRPr="00386D25">
        <w:rPr>
          <w:i/>
        </w:rPr>
        <w:t xml:space="preserve">Declares </w:t>
      </w:r>
      <w:r w:rsidRPr="00386D25">
        <w:t xml:space="preserve">the applications </w:t>
      </w:r>
      <w:r w:rsidRPr="00386D25">
        <w:t>admissible;</w:t>
      </w:r>
    </w:p>
    <w:p w:rsidRPr="00386D25" w:rsidR="006A55E6" w:rsidP="00386D25" w14:paraId="05CAD3EC" w14:textId="77777777">
      <w:pPr>
        <w:pStyle w:val="JuList"/>
      </w:pPr>
      <w:r w:rsidRPr="00386D25">
        <w:rPr>
          <w:i/>
        </w:rPr>
        <w:t xml:space="preserve">Holds </w:t>
      </w:r>
      <w:r w:rsidRPr="00386D25">
        <w:t xml:space="preserve">that </w:t>
      </w:r>
      <w:r w:rsidRPr="00386D25">
        <w:rPr>
          <w:rFonts w:eastAsia="PMingLiU"/>
        </w:rPr>
        <w:t xml:space="preserve">these applications </w:t>
      </w:r>
      <w:r w:rsidRPr="00386D25">
        <w:t>disclose a breach of Article</w:t>
      </w:r>
      <w:r w:rsidRPr="00386D25">
        <w:rPr>
          <w:rFonts w:eastAsia="PMingLiU"/>
        </w:rPr>
        <w:t xml:space="preserve"> 5 § 3 </w:t>
      </w:r>
      <w:r w:rsidRPr="00386D25">
        <w:t xml:space="preserve">of the Convention concerning the excessive length of pre-trial </w:t>
      </w:r>
      <w:r w:rsidRPr="00386D25">
        <w:t>detention</w:t>
      </w:r>
      <w:r w:rsidRPr="00386D25">
        <w:rPr>
          <w:rFonts w:eastAsia="PMingLiU"/>
        </w:rPr>
        <w:t>;</w:t>
      </w:r>
    </w:p>
    <w:p w:rsidRPr="00386D25" w:rsidR="006A55E6" w:rsidP="00386D25" w14:paraId="5130ACD2" w14:textId="77777777">
      <w:pPr>
        <w:pStyle w:val="JuList"/>
      </w:pPr>
      <w:r w:rsidRPr="00386D25">
        <w:rPr>
          <w:i/>
        </w:rPr>
        <w:t>Holds</w:t>
      </w:r>
    </w:p>
    <w:p w:rsidRPr="00386D25" w:rsidR="006A55E6" w:rsidP="00386D25" w14:paraId="5362D4F2" w14:textId="77777777">
      <w:pPr>
        <w:pStyle w:val="JuLista"/>
      </w:pPr>
      <w:r w:rsidRPr="00386D25">
        <w:t>that the respondent State is to pay the applicant</w:t>
      </w:r>
      <w:r w:rsidRPr="00386D25">
        <w:rPr>
          <w:rFonts w:eastAsia="PMingLiU"/>
        </w:rPr>
        <w:t>s</w:t>
      </w:r>
      <w:r w:rsidRPr="00386D25">
        <w:t xml:space="preserve">, within three months, the amounts indicated in the appended table, to be converted into the currency of the respondent State at the rate applicable at the date of </w:t>
      </w:r>
      <w:r w:rsidRPr="00386D25">
        <w:t>settlement;</w:t>
      </w:r>
    </w:p>
    <w:p w:rsidRPr="00386D25" w:rsidR="00606600" w:rsidP="00386D25" w14:paraId="11902DE5" w14:textId="77777777">
      <w:pPr>
        <w:pStyle w:val="JuLista"/>
      </w:pPr>
      <w:r w:rsidRPr="00386D25">
        <w:t>that from the expiry of the above-mentioned three months until settlement simple interest shall be payable on the above amounts at a rate equal to the marginal lending rate of the European Central Bank during the default period plus three percentage points.</w:t>
      </w:r>
    </w:p>
    <w:p w:rsidRPr="00386D25" w:rsidR="00606600" w:rsidP="00386D25" w14:paraId="633D65D5" w14:textId="7814BCC9">
      <w:pPr>
        <w:pStyle w:val="JuParaLast"/>
      </w:pPr>
      <w:r w:rsidRPr="00386D25">
        <w:t xml:space="preserve">Done in English, and notified in writing on </w:t>
      </w:r>
      <w:r w:rsidRPr="00386D25" w:rsidR="006A55E6">
        <w:t>6 June 2024</w:t>
      </w:r>
      <w:r w:rsidRPr="00386D25">
        <w:t>, pursuant to Rule 77 §§ 2 and 3 of the Rules of Court.</w:t>
      </w:r>
    </w:p>
    <w:p w:rsidRPr="00386D25" w:rsidR="00606600" w:rsidP="00386D25" w14:paraId="0E98EEC9" w14:textId="67AEF5A3">
      <w:pPr>
        <w:pStyle w:val="JuSigned"/>
        <w:keepNext/>
        <w:keepLines/>
        <w:rPr>
          <w:rFonts w:eastAsia="PMingLiU"/>
        </w:rPr>
      </w:pPr>
      <w:r w:rsidRPr="00386D25">
        <w:rPr>
          <w:rFonts w:eastAsia="PMingLiU"/>
        </w:rPr>
        <w:tab/>
      </w:r>
      <w:r w:rsidRPr="00386D25" w:rsidR="006A55E6">
        <w:rPr>
          <w:rFonts w:eastAsia="PMingLiU"/>
        </w:rPr>
        <w:t>Viktoriya</w:t>
      </w:r>
      <w:r w:rsidRPr="00386D25" w:rsidR="0048584C">
        <w:rPr>
          <w:rFonts w:eastAsia="PMingLiU"/>
        </w:rPr>
        <w:t xml:space="preserve"> </w:t>
      </w:r>
      <w:r w:rsidRPr="00386D25" w:rsidR="006A55E6">
        <w:rPr>
          <w:rFonts w:eastAsia="PMingLiU"/>
        </w:rPr>
        <w:t>Maradudina</w:t>
      </w:r>
      <w:r w:rsidRPr="00386D25" w:rsidR="0048584C">
        <w:rPr>
          <w:rFonts w:eastAsia="PMingLiU"/>
        </w:rPr>
        <w:tab/>
      </w:r>
      <w:r w:rsidRPr="00386D25" w:rsidR="006A55E6">
        <w:rPr>
          <w:rFonts w:eastAsia="PMingLiU"/>
        </w:rPr>
        <w:t>Péter</w:t>
      </w:r>
      <w:r w:rsidRPr="00386D25" w:rsidR="006A55E6">
        <w:rPr>
          <w:rFonts w:eastAsia="PMingLiU"/>
        </w:rPr>
        <w:t xml:space="preserve"> </w:t>
      </w:r>
      <w:r w:rsidRPr="00386D25" w:rsidR="006A55E6">
        <w:rPr>
          <w:rFonts w:eastAsia="PMingLiU"/>
        </w:rPr>
        <w:t>Paczolay</w:t>
      </w:r>
      <w:r w:rsidRPr="00386D25" w:rsidR="00386D25">
        <w:rPr>
          <w:rFonts w:eastAsia="PMingLiU"/>
        </w:rPr>
        <w:br/>
      </w:r>
      <w:r w:rsidRPr="00386D25" w:rsidR="0048584C">
        <w:rPr>
          <w:rFonts w:eastAsia="PMingLiU"/>
        </w:rPr>
        <w:tab/>
        <w:t>Acting Deputy Registrar</w:t>
      </w:r>
      <w:r w:rsidRPr="00386D25" w:rsidR="0048584C">
        <w:rPr>
          <w:rFonts w:eastAsia="PMingLiU"/>
        </w:rPr>
        <w:tab/>
        <w:t>President</w:t>
      </w:r>
    </w:p>
    <w:p w:rsidRPr="00386D25" w:rsidR="00606600" w:rsidP="00386D25" w14:paraId="1C0D420E" w14:textId="77777777">
      <w:pPr>
        <w:pStyle w:val="JuParaLast"/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386D25" w:rsidR="00606600" w:rsidP="00386D25" w14:paraId="43ABCCEE" w14:textId="77777777">
      <w:pPr>
        <w:pStyle w:val="DecHTitle"/>
      </w:pPr>
      <w:r w:rsidRPr="00386D25">
        <w:t>APPENDIX</w:t>
      </w:r>
    </w:p>
    <w:p w:rsidRPr="00386D25" w:rsidR="00606600" w:rsidP="00386D25" w14:paraId="30E1A8FE" w14:textId="7B81F9A7">
      <w:pPr>
        <w:pStyle w:val="DecHCase"/>
        <w:contextualSpacing/>
        <w:rPr>
          <w:b/>
          <w:i/>
          <w:color w:val="3E3E3E" w:themeColor="background2" w:themeShade="40"/>
        </w:rPr>
      </w:pPr>
      <w:r w:rsidRPr="00386D25">
        <w:rPr>
          <w:color w:val="3E3E3E" w:themeColor="background2" w:themeShade="40"/>
        </w:rPr>
        <w:t>List of applications</w:t>
      </w:r>
      <w:r w:rsidRPr="00386D25" w:rsidR="0048584C">
        <w:rPr>
          <w:color w:val="3E3E3E" w:themeColor="background2" w:themeShade="40"/>
        </w:rPr>
        <w:t xml:space="preserve"> raising complaints under Article</w:t>
      </w:r>
      <w:r w:rsidRPr="00386D25">
        <w:rPr>
          <w:color w:val="3E3E3E" w:themeColor="background2" w:themeShade="40"/>
        </w:rPr>
        <w:t xml:space="preserve"> 5 § 3 of the Convention</w:t>
      </w:r>
    </w:p>
    <w:p w:rsidRPr="00386D25" w:rsidR="00606600" w:rsidP="00386D25" w14:paraId="5C1CECA4" w14:textId="1305EFF1">
      <w:pPr>
        <w:pStyle w:val="DecHCase"/>
        <w:contextualSpacing/>
        <w:rPr>
          <w:b/>
          <w:i/>
        </w:rPr>
      </w:pPr>
      <w:r w:rsidRPr="00386D25">
        <w:rPr>
          <w:color w:val="3E3E3E" w:themeColor="background2" w:themeShade="40"/>
        </w:rPr>
        <w:t>(</w:t>
      </w:r>
      <w:r w:rsidRPr="00386D25" w:rsidR="006A55E6">
        <w:rPr>
          <w:color w:val="3E3E3E" w:themeColor="background2" w:themeShade="40"/>
        </w:rPr>
        <w:t>excessive</w:t>
      </w:r>
      <w:r w:rsidRPr="00386D25" w:rsidR="006A55E6">
        <w:rPr>
          <w:color w:val="3E3E3E" w:themeColor="background2" w:themeShade="40"/>
        </w:rPr>
        <w:t xml:space="preserve"> length of pre-trial detention</w:t>
      </w:r>
      <w:r w:rsidRPr="00386D25">
        <w:rPr>
          <w:color w:val="3E3E3E" w:themeColor="background2" w:themeShade="40"/>
        </w:rPr>
        <w:t>)</w:t>
      </w:r>
    </w:p>
    <w:tbl>
      <w:tblPr>
        <w:tblStyle w:val="ECHRListTable"/>
        <w:tblW w:w="13462" w:type="dxa"/>
        <w:jc w:val="center"/>
        <w:tblLayout w:type="fixed"/>
        <w:tblLook w:val="0420"/>
      </w:tblPr>
      <w:tblGrid>
        <w:gridCol w:w="452"/>
        <w:gridCol w:w="1094"/>
        <w:gridCol w:w="1426"/>
        <w:gridCol w:w="1418"/>
        <w:gridCol w:w="1134"/>
        <w:gridCol w:w="1984"/>
        <w:gridCol w:w="1134"/>
        <w:gridCol w:w="2282"/>
        <w:gridCol w:w="1262"/>
        <w:gridCol w:w="1276"/>
      </w:tblGrid>
      <w:tr w:rsidTr="00F91E4D" w14:paraId="0DA16E0B" w14:textId="77777777">
        <w:tblPrEx>
          <w:tblW w:w="1346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:rsidRPr="00386D25" w:rsidR="006A55E6" w:rsidP="00386D25" w14:paraId="0C55CE9E" w14:textId="77777777">
            <w:pPr>
              <w:jc w:val="center"/>
              <w:rPr>
                <w:sz w:val="16"/>
              </w:rPr>
            </w:pPr>
            <w:bookmarkStart w:name="WECLListStart" w:id="2"/>
            <w:bookmarkEnd w:id="2"/>
            <w:r w:rsidRPr="00386D25">
              <w:rPr>
                <w:sz w:val="16"/>
              </w:rPr>
              <w:t>No.</w:t>
            </w:r>
          </w:p>
        </w:tc>
        <w:tc>
          <w:tcPr>
            <w:tcW w:w="1094" w:type="dxa"/>
            <w:tcMar>
              <w:top w:w="57" w:type="dxa"/>
              <w:bottom w:w="57" w:type="dxa"/>
            </w:tcMar>
          </w:tcPr>
          <w:p w:rsidRPr="00386D25" w:rsidR="006A55E6" w:rsidP="00386D25" w14:paraId="52E43154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Application no.</w:t>
            </w:r>
          </w:p>
          <w:p w:rsidRPr="00386D25" w:rsidR="006A55E6" w:rsidP="00386D25" w14:paraId="17454A9F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Date of introduction</w:t>
            </w:r>
          </w:p>
        </w:tc>
        <w:tc>
          <w:tcPr>
            <w:tcW w:w="1426" w:type="dxa"/>
            <w:tcMar>
              <w:top w:w="57" w:type="dxa"/>
              <w:bottom w:w="57" w:type="dxa"/>
            </w:tcMar>
          </w:tcPr>
          <w:p w:rsidRPr="00386D25" w:rsidR="006A55E6" w:rsidP="00386D25" w14:paraId="584C66D7" w14:textId="011CA4A5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Applicant</w:t>
            </w:r>
            <w:r w:rsidRPr="00386D25" w:rsidR="00386D25">
              <w:rPr>
                <w:sz w:val="16"/>
              </w:rPr>
              <w:t>’</w:t>
            </w:r>
            <w:r w:rsidRPr="00386D25">
              <w:rPr>
                <w:sz w:val="16"/>
              </w:rPr>
              <w:t>s name</w:t>
            </w:r>
          </w:p>
          <w:p w:rsidRPr="00386D25" w:rsidR="006A55E6" w:rsidP="00386D25" w14:paraId="06121EF9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Year of birth</w:t>
            </w:r>
          </w:p>
          <w:p w:rsidRPr="00386D25" w:rsidR="006A55E6" w:rsidP="00386D25" w14:paraId="003AFA45" w14:textId="77777777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Pr="00386D25" w:rsidR="006A55E6" w:rsidP="00386D25" w14:paraId="719FEB4D" w14:textId="64970D03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Representative</w:t>
            </w:r>
            <w:r w:rsidRPr="00386D25" w:rsidR="00386D25">
              <w:rPr>
                <w:sz w:val="16"/>
              </w:rPr>
              <w:t>’</w:t>
            </w:r>
            <w:r w:rsidRPr="00386D25">
              <w:rPr>
                <w:sz w:val="16"/>
              </w:rPr>
              <w:t>s name and location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1F12D8B2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Period of detention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Pr="00386D25" w:rsidR="006A55E6" w:rsidP="00386D25" w14:paraId="310FDFEF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Court which issued detention order / examined appeal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490EA14D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Length of detention</w:t>
            </w:r>
          </w:p>
        </w:tc>
        <w:tc>
          <w:tcPr>
            <w:tcW w:w="2282" w:type="dxa"/>
            <w:tcMar>
              <w:top w:w="57" w:type="dxa"/>
              <w:bottom w:w="57" w:type="dxa"/>
            </w:tcMar>
          </w:tcPr>
          <w:p w:rsidRPr="00386D25" w:rsidR="006A55E6" w:rsidP="00386D25" w14:paraId="514ED9C5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Specific defects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:rsidRPr="00386D25" w:rsidR="006A55E6" w:rsidP="00386D25" w14:paraId="54F366B0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 xml:space="preserve">Amount awarded for non-pecuniary damage per </w:t>
            </w:r>
            <w:r w:rsidRPr="00386D25">
              <w:rPr>
                <w:sz w:val="16"/>
              </w:rPr>
              <w:t>applicant</w:t>
            </w:r>
          </w:p>
          <w:p w:rsidRPr="00386D25" w:rsidR="006A55E6" w:rsidP="00386D25" w14:paraId="61C4AC9A" w14:textId="5B7A66E3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(</w:t>
            </w:r>
            <w:r w:rsidRPr="00386D25">
              <w:rPr>
                <w:sz w:val="16"/>
              </w:rPr>
              <w:t>in</w:t>
            </w:r>
            <w:r w:rsidRPr="00386D25">
              <w:rPr>
                <w:sz w:val="16"/>
              </w:rPr>
              <w:t xml:space="preserve"> euros)</w:t>
            </w:r>
            <w:r>
              <w:rPr>
                <w:rStyle w:val="FootnoteReference"/>
                <w:sz w:val="16"/>
              </w:rPr>
              <w:footnoteReference w:id="2"/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:rsidRPr="00386D25" w:rsidR="006A55E6" w:rsidP="00386D25" w14:paraId="511E73D3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 xml:space="preserve">Amount awarded for costs and expenses per </w:t>
            </w:r>
            <w:r w:rsidRPr="00386D25">
              <w:rPr>
                <w:sz w:val="16"/>
              </w:rPr>
              <w:t>application</w:t>
            </w:r>
          </w:p>
          <w:p w:rsidRPr="00386D25" w:rsidR="006A55E6" w:rsidP="00386D25" w14:paraId="184E445D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(</w:t>
            </w:r>
            <w:r w:rsidRPr="00386D25">
              <w:rPr>
                <w:sz w:val="16"/>
              </w:rPr>
              <w:t>in</w:t>
            </w:r>
            <w:r w:rsidRPr="00386D25">
              <w:rPr>
                <w:sz w:val="16"/>
              </w:rPr>
              <w:t xml:space="preserve"> euros)</w:t>
            </w:r>
            <w:r>
              <w:rPr>
                <w:rStyle w:val="FootnoteReference"/>
                <w:sz w:val="16"/>
              </w:rPr>
              <w:footnoteReference w:id="3"/>
            </w:r>
          </w:p>
        </w:tc>
      </w:tr>
      <w:tr w:rsidTr="00F91E4D" w14:paraId="678CBB6C" w14:textId="77777777">
        <w:tblPrEx>
          <w:tblW w:w="1346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:rsidRPr="00386D25" w:rsidR="006A55E6" w:rsidP="00386D25" w14:paraId="05074FB3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094" w:type="dxa"/>
            <w:tcMar>
              <w:top w:w="57" w:type="dxa"/>
              <w:bottom w:w="57" w:type="dxa"/>
            </w:tcMar>
          </w:tcPr>
          <w:p w:rsidRPr="00386D25" w:rsidR="006A55E6" w:rsidP="00386D25" w14:paraId="0489463F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52462/21</w:t>
            </w:r>
          </w:p>
          <w:p w:rsidRPr="00386D25" w:rsidR="006A55E6" w:rsidP="00386D25" w14:paraId="2158858D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18/10/2021</w:t>
            </w:r>
          </w:p>
        </w:tc>
        <w:tc>
          <w:tcPr>
            <w:tcW w:w="1426" w:type="dxa"/>
            <w:tcMar>
              <w:top w:w="57" w:type="dxa"/>
              <w:bottom w:w="57" w:type="dxa"/>
            </w:tcMar>
          </w:tcPr>
          <w:p w:rsidRPr="00386D25" w:rsidR="006A55E6" w:rsidP="00386D25" w14:paraId="5C084192" w14:textId="77777777">
            <w:pPr>
              <w:jc w:val="center"/>
              <w:rPr>
                <w:sz w:val="16"/>
              </w:rPr>
            </w:pPr>
            <w:r w:rsidRPr="00386D25">
              <w:rPr>
                <w:b/>
                <w:sz w:val="16"/>
              </w:rPr>
              <w:t>Marcin LEHMANN</w:t>
            </w:r>
          </w:p>
          <w:p w:rsidRPr="00386D25" w:rsidR="006A55E6" w:rsidP="00386D25" w14:paraId="43C86597" w14:textId="1B2EA53F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1986</w:t>
            </w:r>
            <w:r w:rsidRPr="00386D25" w:rsidR="00386D25">
              <w:rPr>
                <w:sz w:val="16"/>
              </w:rPr>
              <w:t xml:space="preserve"> 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Pr="00386D25" w:rsidR="006A55E6" w:rsidP="00386D25" w14:paraId="79EE2CBE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Sawicki Maciej</w:t>
            </w:r>
          </w:p>
          <w:p w:rsidRPr="00386D25" w:rsidR="006A55E6" w:rsidP="00386D25" w14:paraId="41375B87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Gorz</w:t>
            </w:r>
            <w:r w:rsidRPr="00386D25">
              <w:rPr>
                <w:sz w:val="16"/>
                <w:lang w:val="pl-PL"/>
              </w:rPr>
              <w:t>ó</w:t>
            </w:r>
            <w:r w:rsidRPr="00386D25">
              <w:rPr>
                <w:sz w:val="16"/>
              </w:rPr>
              <w:t xml:space="preserve">w </w:t>
            </w:r>
            <w:r w:rsidRPr="00386D25">
              <w:rPr>
                <w:sz w:val="16"/>
              </w:rPr>
              <w:t>Wlkp</w:t>
            </w:r>
            <w:r w:rsidRPr="00386D25">
              <w:rPr>
                <w:sz w:val="16"/>
              </w:rPr>
              <w:t>.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03BF101B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13/02/2018 to</w:t>
            </w:r>
          </w:p>
          <w:p w:rsidRPr="00386D25" w:rsidR="006A55E6" w:rsidP="00386D25" w14:paraId="53D988EA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04/10/2019</w:t>
            </w:r>
          </w:p>
          <w:p w:rsidRPr="00386D25" w:rsidR="00670697" w:rsidP="00386D25" w14:paraId="0242CBC9" w14:textId="77777777">
            <w:pPr>
              <w:jc w:val="center"/>
              <w:rPr>
                <w:sz w:val="16"/>
              </w:rPr>
            </w:pPr>
          </w:p>
          <w:p w:rsidRPr="00386D25" w:rsidR="002032B5" w:rsidP="00386D25" w14:paraId="0BBEC6D7" w14:textId="77777777">
            <w:pPr>
              <w:jc w:val="center"/>
              <w:rPr>
                <w:sz w:val="16"/>
              </w:rPr>
            </w:pPr>
          </w:p>
          <w:p w:rsidRPr="00386D25" w:rsidR="006A55E6" w:rsidP="00386D25" w14:paraId="5B66602F" w14:textId="142287C2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02/12/2020 to</w:t>
            </w:r>
          </w:p>
          <w:p w:rsidRPr="00386D25" w:rsidR="006A55E6" w:rsidP="00386D25" w14:paraId="0184C97D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10/12/2021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Pr="00386D25" w:rsidR="00670697" w:rsidP="00386D25" w14:paraId="55B559E1" w14:textId="1DBB6377">
            <w:pPr>
              <w:jc w:val="center"/>
              <w:rPr>
                <w:sz w:val="16"/>
              </w:rPr>
            </w:pPr>
            <w:r w:rsidRPr="00386D25">
              <w:rPr>
                <w:sz w:val="16"/>
                <w:lang w:val="pl-PL"/>
              </w:rPr>
              <w:t>Szczecin Prawobrzeże i</w:t>
            </w:r>
            <w:r w:rsidRPr="00386D25">
              <w:rPr>
                <w:sz w:val="16"/>
                <w:lang w:val="pl-PL"/>
              </w:rPr>
              <w:t> </w:t>
            </w:r>
            <w:r w:rsidRPr="00386D25">
              <w:rPr>
                <w:sz w:val="16"/>
                <w:lang w:val="pl-PL"/>
              </w:rPr>
              <w:t xml:space="preserve">Zachód </w:t>
            </w:r>
            <w:r w:rsidRPr="00386D25">
              <w:rPr>
                <w:sz w:val="16"/>
                <w:lang w:val="pl-PL"/>
              </w:rPr>
              <w:t>District</w:t>
            </w:r>
            <w:r w:rsidRPr="00386D25">
              <w:rPr>
                <w:sz w:val="16"/>
                <w:lang w:val="pl-PL"/>
              </w:rPr>
              <w:t xml:space="preserve"> Court, 14</w:t>
            </w:r>
            <w:r w:rsidRPr="00386D25" w:rsidR="00F91E4D">
              <w:rPr>
                <w:sz w:val="16"/>
                <w:lang w:val="pl-PL"/>
              </w:rPr>
              <w:t>/03/</w:t>
            </w:r>
            <w:r w:rsidRPr="00386D25">
              <w:rPr>
                <w:sz w:val="16"/>
                <w:lang w:val="pl-PL"/>
              </w:rPr>
              <w:t xml:space="preserve">2018, </w:t>
            </w:r>
            <w:r w:rsidRPr="00386D25">
              <w:rPr>
                <w:sz w:val="16"/>
                <w:lang w:val="pl-PL"/>
              </w:rPr>
              <w:t>case</w:t>
            </w:r>
            <w:r w:rsidRPr="00386D25">
              <w:rPr>
                <w:sz w:val="16"/>
                <w:lang w:val="pl-PL"/>
              </w:rPr>
              <w:t> </w:t>
            </w:r>
            <w:r w:rsidRPr="00386D25">
              <w:rPr>
                <w:sz w:val="16"/>
                <w:lang w:val="pl-PL"/>
              </w:rPr>
              <w:t>no.</w:t>
            </w:r>
            <w:r w:rsidRPr="00386D25">
              <w:rPr>
                <w:sz w:val="16"/>
                <w:lang w:val="pl-PL"/>
              </w:rPr>
              <w:t xml:space="preserve">  </w:t>
            </w:r>
            <w:r w:rsidRPr="00386D25">
              <w:rPr>
                <w:sz w:val="16"/>
              </w:rPr>
              <w:t>VI</w:t>
            </w:r>
            <w:r w:rsidRPr="00386D25" w:rsidR="00F91E4D">
              <w:rPr>
                <w:sz w:val="16"/>
              </w:rPr>
              <w:t> </w:t>
            </w:r>
            <w:r w:rsidRPr="00386D25">
              <w:rPr>
                <w:sz w:val="16"/>
              </w:rPr>
              <w:t>Kp</w:t>
            </w:r>
            <w:r w:rsidRPr="00386D25">
              <w:rPr>
                <w:sz w:val="16"/>
              </w:rPr>
              <w:t xml:space="preserve"> 156/18 (detention on remand</w:t>
            </w:r>
            <w:r w:rsidRPr="00386D25">
              <w:rPr>
                <w:sz w:val="16"/>
              </w:rPr>
              <w:t>);</w:t>
            </w:r>
          </w:p>
          <w:p w:rsidRPr="00386D25" w:rsidR="00F91E4D" w:rsidP="00386D25" w14:paraId="4FD125EE" w14:textId="1321D42C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Szczecin Court of Appeal, 19/11/2020, case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no.</w:t>
            </w:r>
            <w:r w:rsidRPr="00386D25" w:rsidR="00670697">
              <w:rPr>
                <w:sz w:val="16"/>
              </w:rPr>
              <w:t xml:space="preserve">  </w:t>
            </w:r>
            <w:r w:rsidRPr="00386D25">
              <w:rPr>
                <w:sz w:val="16"/>
              </w:rPr>
              <w:t>II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AKa</w:t>
            </w:r>
            <w:r w:rsidRPr="00386D25">
              <w:rPr>
                <w:sz w:val="16"/>
              </w:rPr>
              <w:t xml:space="preserve"> 85/20 (main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proceedings);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25A90C01" w14:textId="72A0387E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year</w:t>
            </w:r>
            <w:r w:rsidRPr="00386D25" w:rsidR="00670697">
              <w:rPr>
                <w:sz w:val="16"/>
              </w:rPr>
              <w:t>,</w:t>
            </w:r>
            <w:r w:rsidRPr="00386D25">
              <w:rPr>
                <w:sz w:val="16"/>
              </w:rPr>
              <w:t xml:space="preserve"> 7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month</w:t>
            </w:r>
            <w:r w:rsidRPr="00386D25" w:rsidR="00670697">
              <w:rPr>
                <w:sz w:val="16"/>
              </w:rPr>
              <w:t>s</w:t>
            </w:r>
            <w:r w:rsidRPr="00386D25">
              <w:rPr>
                <w:sz w:val="16"/>
              </w:rPr>
              <w:t xml:space="preserve"> and 22 day</w:t>
            </w:r>
            <w:r w:rsidRPr="00386D25" w:rsidR="00670697">
              <w:rPr>
                <w:sz w:val="16"/>
              </w:rPr>
              <w:t>s</w:t>
            </w:r>
          </w:p>
          <w:p w:rsidRPr="00386D25" w:rsidR="006A55E6" w:rsidP="00386D25" w14:paraId="613E5575" w14:textId="77777777">
            <w:pPr>
              <w:jc w:val="center"/>
              <w:rPr>
                <w:sz w:val="16"/>
              </w:rPr>
            </w:pPr>
          </w:p>
          <w:p w:rsidRPr="00386D25" w:rsidR="006A55E6" w:rsidP="00386D25" w14:paraId="2F615434" w14:textId="6AECCA93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year and</w:t>
            </w:r>
            <w:r w:rsidRPr="00386D25" w:rsidR="00670697">
              <w:rPr>
                <w:sz w:val="16"/>
              </w:rPr>
              <w:t xml:space="preserve"> </w:t>
            </w:r>
            <w:r w:rsidRPr="00386D25">
              <w:rPr>
                <w:sz w:val="16"/>
              </w:rPr>
              <w:t>9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day</w:t>
            </w:r>
            <w:r w:rsidRPr="00386D25" w:rsidR="00670697">
              <w:rPr>
                <w:sz w:val="16"/>
              </w:rPr>
              <w:t>s</w:t>
            </w:r>
          </w:p>
          <w:p w:rsidRPr="00386D25" w:rsidR="006A55E6" w:rsidP="00386D25" w14:paraId="43E81B8B" w14:textId="77777777">
            <w:pPr>
              <w:jc w:val="center"/>
              <w:rPr>
                <w:sz w:val="16"/>
              </w:rPr>
            </w:pPr>
          </w:p>
        </w:tc>
        <w:tc>
          <w:tcPr>
            <w:tcW w:w="2282" w:type="dxa"/>
            <w:tcMar>
              <w:top w:w="57" w:type="dxa"/>
              <w:bottom w:w="57" w:type="dxa"/>
            </w:tcMar>
          </w:tcPr>
          <w:p w:rsidRPr="00386D25" w:rsidR="006A55E6" w:rsidP="00386D25" w14:paraId="3A75765E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fragility and repetitiveness of the reasoning employed by the courts as the case progressed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:rsidRPr="00386D25" w:rsidR="006A55E6" w:rsidP="00386D25" w14:paraId="474AC9F1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3,800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:rsidRPr="00386D25" w:rsidR="006A55E6" w:rsidP="00386D25" w14:paraId="1B31FB91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250</w:t>
            </w:r>
          </w:p>
        </w:tc>
      </w:tr>
      <w:tr w:rsidTr="00F91E4D" w14:paraId="7EB0A21B" w14:textId="77777777">
        <w:tblPrEx>
          <w:tblW w:w="1346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:rsidRPr="00386D25" w:rsidR="006A55E6" w:rsidP="00386D25" w14:paraId="1CFEFE98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094" w:type="dxa"/>
            <w:tcMar>
              <w:top w:w="57" w:type="dxa"/>
              <w:bottom w:w="57" w:type="dxa"/>
            </w:tcMar>
          </w:tcPr>
          <w:p w:rsidRPr="00386D25" w:rsidR="006A55E6" w:rsidP="00386D25" w14:paraId="7D79D752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38002/22</w:t>
            </w:r>
          </w:p>
          <w:p w:rsidRPr="00386D25" w:rsidR="006A55E6" w:rsidP="00386D25" w14:paraId="46465748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22/07/2022</w:t>
            </w:r>
          </w:p>
        </w:tc>
        <w:tc>
          <w:tcPr>
            <w:tcW w:w="1426" w:type="dxa"/>
            <w:tcMar>
              <w:top w:w="57" w:type="dxa"/>
              <w:bottom w:w="57" w:type="dxa"/>
            </w:tcMar>
          </w:tcPr>
          <w:p w:rsidRPr="00386D25" w:rsidR="00EC6041" w:rsidP="00386D25" w14:paraId="6BA6B3ED" w14:textId="77777777">
            <w:pPr>
              <w:jc w:val="center"/>
              <w:rPr>
                <w:b/>
                <w:sz w:val="16"/>
              </w:rPr>
            </w:pPr>
            <w:r w:rsidRPr="00386D25">
              <w:rPr>
                <w:b/>
                <w:sz w:val="16"/>
              </w:rPr>
              <w:t>Rafał</w:t>
            </w:r>
          </w:p>
          <w:p w:rsidRPr="00386D25" w:rsidR="006A55E6" w:rsidP="00386D25" w14:paraId="138F2D9D" w14:textId="06BBBF4D">
            <w:pPr>
              <w:jc w:val="center"/>
              <w:rPr>
                <w:sz w:val="16"/>
              </w:rPr>
            </w:pPr>
            <w:r w:rsidRPr="00386D25">
              <w:rPr>
                <w:b/>
                <w:sz w:val="16"/>
              </w:rPr>
              <w:t>KIZIELEWICZ</w:t>
            </w:r>
          </w:p>
          <w:p w:rsidRPr="00386D25" w:rsidR="006A55E6" w:rsidP="00386D25" w14:paraId="76D5AC4F" w14:textId="206F659F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1975</w:t>
            </w:r>
            <w:r w:rsidRPr="00386D25" w:rsidR="00386D25">
              <w:rPr>
                <w:sz w:val="16"/>
              </w:rPr>
              <w:t xml:space="preserve"> 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Pr="00386D25" w:rsidR="006A55E6" w:rsidP="00386D25" w14:paraId="7E404F74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Cupiał</w:t>
            </w:r>
            <w:r w:rsidRPr="00386D25">
              <w:rPr>
                <w:sz w:val="16"/>
              </w:rPr>
              <w:t xml:space="preserve"> </w:t>
            </w:r>
            <w:r w:rsidRPr="00386D25">
              <w:rPr>
                <w:sz w:val="16"/>
              </w:rPr>
              <w:t>Dawid</w:t>
            </w:r>
          </w:p>
          <w:p w:rsidRPr="00386D25" w:rsidR="006A55E6" w:rsidP="00386D25" w14:paraId="0434FF9E" w14:textId="688D5DA3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Wars</w:t>
            </w:r>
            <w:r w:rsidRPr="00386D25" w:rsidR="00C87AE1">
              <w:rPr>
                <w:sz w:val="16"/>
              </w:rPr>
              <w:t>aw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003F0839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19/11/2019 to</w:t>
            </w:r>
          </w:p>
          <w:p w:rsidRPr="00386D25" w:rsidR="006A55E6" w:rsidP="00386D25" w14:paraId="0D2B328D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28/03/2022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Pr="00386D25" w:rsidR="006A55E6" w:rsidP="00386D25" w14:paraId="4D3EF569" w14:textId="219DDCBE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Łódź</w:t>
            </w:r>
            <w:r w:rsidRPr="00386D25">
              <w:rPr>
                <w:sz w:val="16"/>
              </w:rPr>
              <w:t xml:space="preserve"> </w:t>
            </w:r>
            <w:r w:rsidRPr="00386D25">
              <w:rPr>
                <w:sz w:val="16"/>
              </w:rPr>
              <w:t>Śródmieście</w:t>
            </w:r>
            <w:r w:rsidRPr="00386D25">
              <w:rPr>
                <w:sz w:val="16"/>
              </w:rPr>
              <w:t xml:space="preserve"> District Court, 20/11/2019, case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 xml:space="preserve">no. IV </w:t>
            </w:r>
            <w:r w:rsidRPr="00386D25">
              <w:rPr>
                <w:sz w:val="16"/>
              </w:rPr>
              <w:t>Kp</w:t>
            </w:r>
            <w:r w:rsidRPr="00386D25">
              <w:rPr>
                <w:sz w:val="16"/>
              </w:rPr>
              <w:t xml:space="preserve"> 602/19 (first detention on remand</w:t>
            </w:r>
            <w:r w:rsidRPr="00386D25">
              <w:rPr>
                <w:sz w:val="16"/>
              </w:rPr>
              <w:t>);</w:t>
            </w:r>
          </w:p>
          <w:p w:rsidRPr="00386D25" w:rsidR="00670697" w:rsidP="00386D25" w14:paraId="7C660E02" w14:textId="77777777">
            <w:pPr>
              <w:jc w:val="center"/>
              <w:rPr>
                <w:sz w:val="16"/>
              </w:rPr>
            </w:pPr>
          </w:p>
          <w:p w:rsidRPr="00386D25" w:rsidR="006A55E6" w:rsidP="00386D25" w14:paraId="0359891E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Warsaw Regional Court, case no. XVIII K 136/21 (main proceedings)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1CEDEF22" w14:textId="321DBF4B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year</w:t>
            </w:r>
            <w:r w:rsidRPr="00386D25" w:rsidR="00670697">
              <w:rPr>
                <w:sz w:val="16"/>
              </w:rPr>
              <w:t>s</w:t>
            </w:r>
            <w:r w:rsidRPr="00386D25">
              <w:rPr>
                <w:sz w:val="16"/>
              </w:rPr>
              <w:t xml:space="preserve"> and 4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month</w:t>
            </w:r>
            <w:r w:rsidRPr="00386D25" w:rsidR="00670697">
              <w:rPr>
                <w:sz w:val="16"/>
              </w:rPr>
              <w:t>s</w:t>
            </w:r>
            <w:r w:rsidRPr="00386D25">
              <w:rPr>
                <w:sz w:val="16"/>
              </w:rPr>
              <w:t xml:space="preserve"> and 10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day</w:t>
            </w:r>
            <w:r w:rsidRPr="00386D25" w:rsidR="00670697">
              <w:rPr>
                <w:sz w:val="16"/>
              </w:rPr>
              <w:t>s</w:t>
            </w:r>
          </w:p>
          <w:p w:rsidRPr="00386D25" w:rsidR="006A55E6" w:rsidP="00386D25" w14:paraId="6EFBBDC5" w14:textId="77777777">
            <w:pPr>
              <w:jc w:val="center"/>
              <w:rPr>
                <w:sz w:val="16"/>
              </w:rPr>
            </w:pPr>
          </w:p>
        </w:tc>
        <w:tc>
          <w:tcPr>
            <w:tcW w:w="2282" w:type="dxa"/>
            <w:tcMar>
              <w:top w:w="57" w:type="dxa"/>
              <w:bottom w:w="57" w:type="dxa"/>
            </w:tcMar>
          </w:tcPr>
          <w:p w:rsidRPr="00386D25" w:rsidR="006A55E6" w:rsidP="00386D25" w14:paraId="4AAC2747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 xml:space="preserve">use of assumptions, in the absence of any evidentiary basis, of the risks of absconding or obstructing </w:t>
            </w:r>
            <w:r w:rsidRPr="00386D25">
              <w:rPr>
                <w:sz w:val="16"/>
              </w:rPr>
              <w:t>justice;</w:t>
            </w:r>
          </w:p>
          <w:p w:rsidRPr="00386D25" w:rsidR="006A55E6" w:rsidP="00386D25" w14:paraId="496B9A3F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 xml:space="preserve">fragility and repetitiveness of the reasoning employed by the courts as the case </w:t>
            </w:r>
            <w:r w:rsidRPr="00386D25">
              <w:rPr>
                <w:sz w:val="16"/>
              </w:rPr>
              <w:t>progressed;</w:t>
            </w:r>
          </w:p>
          <w:p w:rsidRPr="00386D25" w:rsidR="00670697" w:rsidP="00386D25" w14:paraId="4009395B" w14:textId="69EFE399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persistent reliance, as the case progressed, on charges concerning membership of an organised criminal group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:rsidRPr="00386D25" w:rsidR="006A55E6" w:rsidP="00386D25" w14:paraId="3CEA2310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3,300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:rsidRPr="00386D25" w:rsidR="006A55E6" w:rsidP="00386D25" w14:paraId="7D4FEFD4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250</w:t>
            </w:r>
          </w:p>
        </w:tc>
      </w:tr>
      <w:tr w:rsidTr="00F91E4D" w14:paraId="422D3A84" w14:textId="77777777">
        <w:tblPrEx>
          <w:tblW w:w="13462" w:type="dxa"/>
          <w:jc w:val="center"/>
          <w:tblLayout w:type="fixed"/>
          <w:tblLook w:val="0420"/>
        </w:tblPrEx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:rsidRPr="00386D25" w:rsidR="006A55E6" w:rsidP="00386D25" w14:paraId="5947DD05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094" w:type="dxa"/>
            <w:tcMar>
              <w:top w:w="57" w:type="dxa"/>
              <w:bottom w:w="57" w:type="dxa"/>
            </w:tcMar>
          </w:tcPr>
          <w:p w:rsidRPr="00386D25" w:rsidR="006A55E6" w:rsidP="00386D25" w14:paraId="34F6E25B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42882/22</w:t>
            </w:r>
          </w:p>
          <w:p w:rsidRPr="00386D25" w:rsidR="006A55E6" w:rsidP="00386D25" w14:paraId="7E569938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26/08/2022</w:t>
            </w:r>
          </w:p>
        </w:tc>
        <w:tc>
          <w:tcPr>
            <w:tcW w:w="1426" w:type="dxa"/>
            <w:tcMar>
              <w:top w:w="57" w:type="dxa"/>
              <w:bottom w:w="57" w:type="dxa"/>
            </w:tcMar>
          </w:tcPr>
          <w:p w:rsidRPr="00386D25" w:rsidR="006A55E6" w:rsidP="00386D25" w14:paraId="5B40E337" w14:textId="77777777">
            <w:pPr>
              <w:jc w:val="center"/>
              <w:rPr>
                <w:sz w:val="16"/>
              </w:rPr>
            </w:pPr>
            <w:r w:rsidRPr="00386D25">
              <w:rPr>
                <w:b/>
                <w:sz w:val="16"/>
              </w:rPr>
              <w:t>Łukasz</w:t>
            </w:r>
            <w:r w:rsidRPr="00386D25">
              <w:rPr>
                <w:b/>
                <w:sz w:val="16"/>
              </w:rPr>
              <w:t xml:space="preserve"> BORYS</w:t>
            </w:r>
          </w:p>
          <w:p w:rsidRPr="00386D25" w:rsidR="006A55E6" w:rsidP="00386D25" w14:paraId="6359A825" w14:textId="739D2BA1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2000</w:t>
            </w:r>
            <w:r w:rsidRPr="00386D25" w:rsidR="00386D25">
              <w:rPr>
                <w:sz w:val="16"/>
              </w:rPr>
              <w:t xml:space="preserve"> 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Pr="00386D25" w:rsidR="006A55E6" w:rsidP="00386D25" w14:paraId="01947441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Hołubowski</w:t>
            </w:r>
            <w:r w:rsidRPr="00386D25">
              <w:rPr>
                <w:sz w:val="16"/>
              </w:rPr>
              <w:t xml:space="preserve"> Aleksander</w:t>
            </w:r>
          </w:p>
          <w:p w:rsidRPr="00386D25" w:rsidR="006A55E6" w:rsidP="00386D25" w14:paraId="373C88CD" w14:textId="5BA4AE66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Warsaw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2858FA3D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22/09/2020 to</w:t>
            </w:r>
          </w:p>
          <w:p w:rsidRPr="00386D25" w:rsidR="006A55E6" w:rsidP="00386D25" w14:paraId="7884CC53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28/09/2022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Pr="00386D25" w:rsidR="006A55E6" w:rsidP="00386D25" w14:paraId="199F8803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Warsaw-</w:t>
            </w:r>
            <w:r w:rsidRPr="00386D25">
              <w:rPr>
                <w:sz w:val="16"/>
              </w:rPr>
              <w:t>Śródmieście</w:t>
            </w:r>
            <w:r w:rsidRPr="00386D25">
              <w:rPr>
                <w:sz w:val="16"/>
              </w:rPr>
              <w:t xml:space="preserve"> District Court, 24/09/2020, case no. II </w:t>
            </w:r>
            <w:r w:rsidRPr="00386D25">
              <w:rPr>
                <w:sz w:val="16"/>
              </w:rPr>
              <w:t>Kp</w:t>
            </w:r>
            <w:r w:rsidRPr="00386D25">
              <w:rPr>
                <w:sz w:val="16"/>
              </w:rPr>
              <w:t xml:space="preserve"> 2584/20 (first detention on remand</w:t>
            </w:r>
            <w:r w:rsidRPr="00386D25">
              <w:rPr>
                <w:sz w:val="16"/>
              </w:rPr>
              <w:t>);</w:t>
            </w:r>
          </w:p>
          <w:p w:rsidRPr="00386D25" w:rsidR="006A55E6" w:rsidP="00386D25" w14:paraId="1831984F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Gdańsk</w:t>
            </w:r>
            <w:r w:rsidRPr="00386D25">
              <w:rPr>
                <w:sz w:val="16"/>
              </w:rPr>
              <w:t xml:space="preserve"> Regional Prosecutor, 23/09/2022, case no. RP II Ds. 3.2021 (conversion of pre-trial detention into other preventive measures, including bail)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Pr="00386D25" w:rsidR="006A55E6" w:rsidP="00386D25" w14:paraId="41ACD189" w14:textId="0DC4C4FA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year</w:t>
            </w:r>
            <w:r w:rsidRPr="00386D25" w:rsidR="00670697">
              <w:rPr>
                <w:sz w:val="16"/>
              </w:rPr>
              <w:t>s</w:t>
            </w:r>
            <w:r w:rsidRPr="00386D25">
              <w:rPr>
                <w:sz w:val="16"/>
              </w:rPr>
              <w:t xml:space="preserve"> and 7</w:t>
            </w:r>
            <w:r w:rsidRPr="00386D25" w:rsidR="00670697">
              <w:rPr>
                <w:sz w:val="16"/>
              </w:rPr>
              <w:t> </w:t>
            </w:r>
            <w:r w:rsidRPr="00386D25">
              <w:rPr>
                <w:sz w:val="16"/>
              </w:rPr>
              <w:t>day</w:t>
            </w:r>
            <w:r w:rsidRPr="00386D25" w:rsidR="00670697">
              <w:rPr>
                <w:sz w:val="16"/>
              </w:rPr>
              <w:t>s</w:t>
            </w:r>
          </w:p>
          <w:p w:rsidRPr="00386D25" w:rsidR="006A55E6" w:rsidP="00386D25" w14:paraId="1DEF4F83" w14:textId="77777777">
            <w:pPr>
              <w:jc w:val="center"/>
              <w:rPr>
                <w:sz w:val="16"/>
              </w:rPr>
            </w:pPr>
          </w:p>
        </w:tc>
        <w:tc>
          <w:tcPr>
            <w:tcW w:w="2282" w:type="dxa"/>
            <w:tcMar>
              <w:top w:w="57" w:type="dxa"/>
              <w:bottom w:w="57" w:type="dxa"/>
            </w:tcMar>
          </w:tcPr>
          <w:p w:rsidRPr="00386D25" w:rsidR="006A55E6" w:rsidP="00386D25" w14:paraId="00CA06CC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 xml:space="preserve">fragility and repetitiveness of the reasoning employed by the courts as the case </w:t>
            </w:r>
            <w:r w:rsidRPr="00386D25">
              <w:rPr>
                <w:sz w:val="16"/>
              </w:rPr>
              <w:t>progressed;</w:t>
            </w:r>
          </w:p>
          <w:p w:rsidRPr="00386D25" w:rsidR="006A55E6" w:rsidP="00386D25" w14:paraId="6173680B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persistent reliance, as the case progressed, on charges concerning membership of an organised criminal group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:rsidRPr="00386D25" w:rsidR="006A55E6" w:rsidP="00386D25" w14:paraId="236B6715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2,700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:rsidRPr="00386D25" w:rsidR="006A55E6" w:rsidP="00386D25" w14:paraId="6A5E63F2" w14:textId="77777777">
            <w:pPr>
              <w:jc w:val="center"/>
              <w:rPr>
                <w:sz w:val="16"/>
              </w:rPr>
            </w:pPr>
            <w:r w:rsidRPr="00386D25">
              <w:rPr>
                <w:sz w:val="16"/>
              </w:rPr>
              <w:t>250</w:t>
            </w:r>
          </w:p>
        </w:tc>
      </w:tr>
    </w:tbl>
    <w:p w:rsidRPr="00386D25" w:rsidR="00606600" w:rsidP="00386D25" w14:paraId="5CAF3DA5" w14:textId="77777777"/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554D" w:rsidRPr="00611E1D" w:rsidP="00BD554D" w14:paraId="26D0B83E" w14:textId="45A4FDEE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554D" w:rsidRPr="00611E1D" w:rsidP="00BD554D" w14:paraId="1108FD92" w14:textId="4054DD6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7723" w:rsidRPr="00150BFA" w:rsidP="0020718E" w14:paraId="65364CA3" w14:textId="77777777">
    <w:pPr>
      <w:jc w:val="center"/>
    </w:pPr>
    <w:r>
      <w:rPr>
        <w:noProof/>
        <w:lang w:val="en-US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611E1D" w:rsidP="0029309A" w14:paraId="6F27061E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6A55E6" w:rsidRPr="00611E1D" w:rsidP="00787E12" w14:paraId="0B72234F" w14:textId="77777777">
      <w:r w:rsidRPr="00611E1D">
        <w:separator/>
      </w:r>
    </w:p>
  </w:footnote>
  <w:footnote w:type="continuationSeparator" w:id="1">
    <w:p w:rsidR="006A55E6" w:rsidRPr="00611E1D" w:rsidP="00787E12" w14:paraId="74FC8C5F" w14:textId="77777777">
      <w:r w:rsidRPr="00611E1D">
        <w:continuationSeparator/>
      </w:r>
    </w:p>
  </w:footnote>
  <w:footnote w:id="2">
    <w:p w:rsidR="006A55E6" w:rsidRPr="007B6A7F" w:rsidP="006A55E6" w14:paraId="5C2AC09A" w14:textId="77777777">
      <w:pPr>
        <w:pStyle w:val="FootnoteText"/>
      </w:pPr>
      <w:r w:rsidRPr="006A55E6">
        <w:rPr>
          <w:rStyle w:val="FootnoteReference"/>
        </w:rPr>
        <w:footnoteRef/>
      </w:r>
      <w:r w:rsidRPr="006A55E6">
        <w:rPr>
          <w:rStyle w:val="FootnoteReference"/>
        </w:rPr>
        <w:t xml:space="preserve"> </w:t>
      </w:r>
      <w:r w:rsidRPr="007B6A7F">
        <w:t>Plus</w:t>
      </w:r>
      <w:r w:rsidRPr="007B6A7F">
        <w:t xml:space="preserve"> any tax that may be chargeable to the applicants.</w:t>
      </w:r>
    </w:p>
  </w:footnote>
  <w:footnote w:id="3">
    <w:p w:rsidR="006A55E6" w:rsidRPr="007B6A7F" w:rsidP="006A55E6" w14:paraId="6F2BCE4D" w14:textId="77777777">
      <w:pPr>
        <w:pStyle w:val="FootnoteText"/>
      </w:pPr>
      <w:r w:rsidRPr="006A55E6">
        <w:rPr>
          <w:rStyle w:val="FootnoteReference"/>
        </w:rPr>
        <w:footnoteRef/>
      </w:r>
      <w:r w:rsidRPr="006A55E6">
        <w:rPr>
          <w:rStyle w:val="FootnoteReference"/>
        </w:rPr>
        <w:t xml:space="preserve"> </w:t>
      </w:r>
      <w:r w:rsidRPr="006A55E6">
        <w:t>Plus</w:t>
      </w:r>
      <w:r w:rsidRPr="006A55E6">
        <w:t xml:space="preserve"> any tax that may be chargeable to the applicants.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7723" w:rsidRPr="00A45145" w:rsidP="00A45145" w14:paraId="20F77874" w14:textId="77777777">
    <w:pPr>
      <w:jc w:val="center"/>
    </w:pPr>
    <w:r>
      <w:rPr>
        <w:noProof/>
        <w:lang w:val="en-US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611E1D" w:rsidP="000318F7" w14:paraId="50D4BC9A" w14:textId="77777777">
    <w:pPr>
      <w:jc w:val="center"/>
      <w:rPr>
        <w:sz w:val="4"/>
        <w:szCs w:val="4"/>
      </w:rPr>
    </w:pPr>
  </w:p>
  <w:p w:rsidR="00606600" w:rsidRPr="00611E1D" w14:paraId="0C543E35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A55E6" w:rsidRPr="00A45145" w:rsidP="00A45145" w14:paraId="6C118D0B" w14:textId="5AEA1D60">
    <w:pPr>
      <w:jc w:val="center"/>
    </w:pPr>
    <w:r>
      <w:rPr>
        <w:noProof/>
        <w:lang w:val="en-US"/>
      </w:rPr>
      <w:drawing>
        <wp:inline distT="0" distB="0" distL="0" distR="0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51B6" w:rsidRPr="004F56E2" w:rsidP="008D51B6" w14:paraId="3CCACC5C" w14:textId="69BB8BAB">
    <w:pPr>
      <w:pStyle w:val="Header0"/>
    </w:pPr>
  </w:p>
  <w:p w:rsidR="00606600" w:rsidRPr="00611E1D" w:rsidP="00B64153" w14:paraId="4B0EA9E8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5C3A15" w:rsidP="006372F5" w14:paraId="1729BDD9" w14:textId="29110600">
    <w:pPr>
      <w:pStyle w:val="JuHeader"/>
    </w:pPr>
    <w:r>
      <w:t>LEHMANN</w:t>
    </w:r>
    <w:r w:rsidR="005E3180">
      <w:t xml:space="preserve"> AND OTHERS</w:t>
    </w:r>
    <w:r>
      <w:t xml:space="preserve"> v. POLAND</w:t>
    </w:r>
    <w:r w:rsidRPr="004D0EC7" w:rsidR="0048584C">
      <w:t xml:space="preserve"> </w:t>
    </w:r>
    <w:r w:rsidR="0048584C">
      <w:t>JUDGMENT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DE7D3F" w:rsidP="00BD554D" w14:paraId="37C4DB9A" w14:textId="6EC89894">
    <w:pPr>
      <w:pStyle w:val="JuHeader"/>
    </w:pPr>
    <w:r>
      <w:t>LEHMANN</w:t>
    </w:r>
    <w:r w:rsidR="009C7A16">
      <w:t xml:space="preserve"> AND OTHERS</w:t>
    </w:r>
    <w:r>
      <w:t xml:space="preserve"> v. POLAND</w:t>
    </w:r>
    <w:r w:rsidRPr="00DE7D3F" w:rsidR="0048584C">
      <w:t xml:space="preserve"> </w:t>
    </w:r>
    <w:r w:rsidRPr="00BD554D" w:rsidR="0048584C">
      <w:t>JUDGMENT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5C3A15" w:rsidP="00E026EC" w14:paraId="4C918BA3" w14:textId="4271861F">
    <w:pPr>
      <w:pStyle w:val="JuHeader"/>
    </w:pPr>
    <w:r>
      <w:t>LEHMANN</w:t>
    </w:r>
    <w:r w:rsidR="009C7A16">
      <w:t xml:space="preserve"> AND OTHERS</w:t>
    </w:r>
    <w:r>
      <w:t xml:space="preserve"> v. POLAND</w:t>
    </w:r>
    <w:r w:rsidRPr="004D0EC7" w:rsidR="0048584C">
      <w:t xml:space="preserve"> </w:t>
    </w:r>
    <w:r w:rsidR="0048584C">
      <w:t>JUDGMENT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DE7D3F" w:rsidP="00E026EC" w14:paraId="46EEF9EC" w14:textId="02CBBCA2">
    <w:pPr>
      <w:pStyle w:val="JuHeader"/>
    </w:pPr>
    <w:r>
      <w:t xml:space="preserve">LEHMANN </w:t>
    </w:r>
    <w:r w:rsidR="005E3180">
      <w:t xml:space="preserve">AND OTHERS </w:t>
    </w:r>
    <w:r>
      <w:t>v. POLAND</w:t>
    </w:r>
    <w:r w:rsidRPr="00DE7D3F" w:rsidR="0048584C">
      <w:t xml:space="preserve"> JUDGMENT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8477215"/>
    <w:multiLevelType w:val="hybridMultilevel"/>
    <w:tmpl w:val="BF6C366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6"/>
  </w:num>
  <w:num w:numId="5">
    <w:abstractNumId w:val="13"/>
  </w:num>
  <w:num w:numId="6">
    <w:abstractNumId w:val="17"/>
  </w:num>
  <w:num w:numId="7">
    <w:abstractNumId w:val="16"/>
  </w:num>
  <w:num w:numId="8">
    <w:abstractNumId w:val="17"/>
  </w:num>
  <w:num w:numId="9">
    <w:abstractNumId w:val="10"/>
  </w:num>
  <w:num w:numId="10">
    <w:abstractNumId w:val="9"/>
  </w:num>
  <w:num w:numId="11">
    <w:abstractNumId w:val="18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5E6"/>
    <w:rsid w:val="000318F7"/>
    <w:rsid w:val="000C5149"/>
    <w:rsid w:val="00135384"/>
    <w:rsid w:val="00150BFA"/>
    <w:rsid w:val="00173A91"/>
    <w:rsid w:val="00177329"/>
    <w:rsid w:val="001A15B6"/>
    <w:rsid w:val="001A3C4A"/>
    <w:rsid w:val="001D7CD3"/>
    <w:rsid w:val="001F3812"/>
    <w:rsid w:val="002032B5"/>
    <w:rsid w:val="002056B7"/>
    <w:rsid w:val="0020718E"/>
    <w:rsid w:val="002218A0"/>
    <w:rsid w:val="0023364D"/>
    <w:rsid w:val="0029309A"/>
    <w:rsid w:val="002C5B23"/>
    <w:rsid w:val="00337785"/>
    <w:rsid w:val="0037589C"/>
    <w:rsid w:val="00386D25"/>
    <w:rsid w:val="003B3ECB"/>
    <w:rsid w:val="0048584C"/>
    <w:rsid w:val="00497FF8"/>
    <w:rsid w:val="004B0B4E"/>
    <w:rsid w:val="004D042B"/>
    <w:rsid w:val="004D0EC7"/>
    <w:rsid w:val="004F56E2"/>
    <w:rsid w:val="00555A1D"/>
    <w:rsid w:val="00573202"/>
    <w:rsid w:val="005B102C"/>
    <w:rsid w:val="005B16C1"/>
    <w:rsid w:val="005C3A15"/>
    <w:rsid w:val="005E3180"/>
    <w:rsid w:val="005F60F9"/>
    <w:rsid w:val="00606600"/>
    <w:rsid w:val="00611E1D"/>
    <w:rsid w:val="006372F5"/>
    <w:rsid w:val="00656431"/>
    <w:rsid w:val="00670697"/>
    <w:rsid w:val="006A55E6"/>
    <w:rsid w:val="006D324D"/>
    <w:rsid w:val="00743B2A"/>
    <w:rsid w:val="007A72B4"/>
    <w:rsid w:val="007B6A7F"/>
    <w:rsid w:val="007F018A"/>
    <w:rsid w:val="008522DD"/>
    <w:rsid w:val="00860732"/>
    <w:rsid w:val="008A0E2E"/>
    <w:rsid w:val="008D51B6"/>
    <w:rsid w:val="009522DD"/>
    <w:rsid w:val="009C7A16"/>
    <w:rsid w:val="00A329E0"/>
    <w:rsid w:val="00A34A54"/>
    <w:rsid w:val="00A44415"/>
    <w:rsid w:val="00A45145"/>
    <w:rsid w:val="00A6104A"/>
    <w:rsid w:val="00A94CA7"/>
    <w:rsid w:val="00AC03BB"/>
    <w:rsid w:val="00B216C1"/>
    <w:rsid w:val="00B64153"/>
    <w:rsid w:val="00B91668"/>
    <w:rsid w:val="00BD554D"/>
    <w:rsid w:val="00BE2415"/>
    <w:rsid w:val="00C20CC3"/>
    <w:rsid w:val="00C877A3"/>
    <w:rsid w:val="00C87AE1"/>
    <w:rsid w:val="00DE7D3F"/>
    <w:rsid w:val="00E026EC"/>
    <w:rsid w:val="00EC6041"/>
    <w:rsid w:val="00ED7723"/>
    <w:rsid w:val="00F91E4D"/>
    <w:rsid w:val="00FB16F8"/>
  </w:rsids>
  <w:docVars>
    <w:docVar w:name="ApplicationsApp" w:val="2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31B81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743B2A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743B2A"/>
    <w:rPr>
      <w:color w:val="00B050"/>
      <w:sz w:val="22"/>
    </w:rPr>
  </w:style>
  <w:style w:type="character" w:styleId="Strong">
    <w:name w:val="Strong"/>
    <w:uiPriority w:val="98"/>
    <w:semiHidden/>
    <w:qFormat/>
    <w:rsid w:val="00743B2A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743B2A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743B2A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743B2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743B2A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"/>
    <w:semiHidden/>
    <w:rsid w:val="00743B2A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TableNormal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743B2A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743B2A"/>
    <w:rPr>
      <w:vertAlign w:val="superscript"/>
    </w:rPr>
  </w:style>
  <w:style w:type="paragraph" w:styleId="FootnoteText">
    <w:name w:val="footnote text"/>
    <w:basedOn w:val="Normal"/>
    <w:link w:val="FootnoteTextChar"/>
    <w:uiPriority w:val="98"/>
    <w:semiHidden/>
    <w:rsid w:val="00743B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743B2A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743B2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743B2A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743B2A"/>
    <w:rPr>
      <w:smallCaps/>
    </w:rPr>
  </w:style>
  <w:style w:type="table" w:styleId="TableGrid">
    <w:name w:val="Table Grid"/>
    <w:basedOn w:val="TableNormal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="120" w:beforeLines="0" w:beforeAutospacing="0" w:after="12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743B2A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BlockText">
    <w:name w:val="Block Text"/>
    <w:basedOn w:val="Normal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743B2A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743B2A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743B2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743B2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743B2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743B2A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74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743B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743B2A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efaultParagraphFont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"/>
    <w:next w:val="JuPara"/>
    <w:uiPriority w:val="32"/>
    <w:rsid w:val="00743B2A"/>
    <w:pPr>
      <w:ind w:firstLine="284"/>
      <w:jc w:val="both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743B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743B2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743B2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743B2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743B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743B2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743B2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743B2A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743B2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74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743B2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743B2A"/>
  </w:style>
  <w:style w:type="character" w:customStyle="1" w:styleId="DateChar">
    <w:name w:val="Date Char"/>
    <w:basedOn w:val="DefaultParagraphFont"/>
    <w:link w:val="Date"/>
    <w:uiPriority w:val="98"/>
    <w:semiHidden/>
    <w:rsid w:val="00743B2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743B2A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743B2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743B2A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743B2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743B2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743B2A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743B2A"/>
  </w:style>
  <w:style w:type="paragraph" w:styleId="HTMLAddress">
    <w:name w:val="HTML Address"/>
    <w:basedOn w:val="Normal"/>
    <w:link w:val="HTMLAddressChar"/>
    <w:uiPriority w:val="98"/>
    <w:semiHidden/>
    <w:rsid w:val="00743B2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743B2A"/>
    <w:rPr>
      <w:i/>
      <w:iCs/>
    </w:rPr>
  </w:style>
  <w:style w:type="character" w:styleId="HTMLCode">
    <w:name w:val="HTML Code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743B2A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743B2A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743B2A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743B2A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743B2A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743B2A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743B2A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743B2A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743B2A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743B2A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743B2A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743B2A"/>
  </w:style>
  <w:style w:type="paragraph" w:styleId="List">
    <w:name w:val="List"/>
    <w:basedOn w:val="Normal"/>
    <w:uiPriority w:val="98"/>
    <w:semiHidden/>
    <w:rsid w:val="00743B2A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743B2A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743B2A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743B2A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743B2A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743B2A"/>
    <w:pPr>
      <w:numPr>
        <w:numId w:val="12"/>
      </w:numPr>
      <w:contextualSpacing/>
    </w:pPr>
  </w:style>
  <w:style w:type="paragraph" w:styleId="ListBullet3">
    <w:name w:val="List Bullet 3"/>
    <w:basedOn w:val="Normal"/>
    <w:uiPriority w:val="98"/>
    <w:semiHidden/>
    <w:rsid w:val="00743B2A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8"/>
    <w:semiHidden/>
    <w:rsid w:val="00743B2A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8"/>
    <w:semiHidden/>
    <w:rsid w:val="00743B2A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8"/>
    <w:semiHidden/>
    <w:rsid w:val="00743B2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743B2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743B2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743B2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743B2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743B2A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8"/>
    <w:semiHidden/>
    <w:rsid w:val="00743B2A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8"/>
    <w:semiHidden/>
    <w:rsid w:val="00743B2A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8"/>
    <w:semiHidden/>
    <w:rsid w:val="00743B2A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8"/>
    <w:semiHidden/>
    <w:rsid w:val="00743B2A"/>
    <w:pPr>
      <w:numPr>
        <w:numId w:val="20"/>
      </w:numPr>
      <w:contextualSpacing/>
    </w:pPr>
  </w:style>
  <w:style w:type="paragraph" w:styleId="Macro">
    <w:name w:val="macro"/>
    <w:link w:val="MacroTextChar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743B2A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743B2A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743B2A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743B2A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743B2A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743B2A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743B2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743B2A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743B2A"/>
  </w:style>
  <w:style w:type="table" w:styleId="TableProfessional">
    <w:name w:val="Table Professional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743B2A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743B2A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743B2A"/>
    <w:rPr>
      <w:sz w:val="4"/>
    </w:rPr>
  </w:style>
  <w:style w:type="table" w:customStyle="1" w:styleId="ECHRTable2">
    <w:name w:val="ECHR_Table_2"/>
    <w:basedOn w:val="TableNormal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TableNormal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5358</Characters>
  <Application>Microsoft Office Word</Application>
  <DocSecurity>0</DocSecurity>
  <Lines>243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2024-06-04T12:05:00Z</dcterms:created>
  <dcterms:modified xsi:type="dcterms:W3CDTF">2024-06-04T12:06:00Z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1681964</vt:lpwstr>
  </property>
  <property fmtid="{D5CDD505-2E9C-101B-9397-08002B2CF9AE}" pid="3" name="cstLanguage">
    <vt:i4>2057</vt:i4>
  </property>
  <property fmtid="{D5CDD505-2E9C-101B-9397-08002B2CF9AE}" pid="4" name="RegisteredNo">
    <vt:lpwstr>52462/21</vt:lpwstr>
  </property>
</Properties>
</file>