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966AA" w14:textId="77777777" w:rsidR="008D51B6" w:rsidRPr="0053750E" w:rsidRDefault="008D51B6" w:rsidP="0053750E">
      <w:pPr>
        <w:jc w:val="center"/>
      </w:pPr>
    </w:p>
    <w:p w14:paraId="36844A72" w14:textId="77777777" w:rsidR="004D042B" w:rsidRPr="0053750E" w:rsidRDefault="004D042B" w:rsidP="0053750E">
      <w:pPr>
        <w:jc w:val="center"/>
      </w:pPr>
    </w:p>
    <w:p w14:paraId="0C28C438" w14:textId="77777777" w:rsidR="000C5149" w:rsidRPr="0053750E" w:rsidRDefault="000C5149" w:rsidP="0053750E">
      <w:pPr>
        <w:jc w:val="center"/>
      </w:pPr>
    </w:p>
    <w:p w14:paraId="12FC52CA" w14:textId="77777777" w:rsidR="00606600" w:rsidRPr="0053750E" w:rsidRDefault="00000000" w:rsidP="0053750E">
      <w:pPr>
        <w:pStyle w:val="DecHTitle"/>
      </w:pPr>
      <w:r>
        <w:t>SEKCJA PIERWSZA</w:t>
      </w:r>
    </w:p>
    <w:p w14:paraId="7500DCEE" w14:textId="77777777" w:rsidR="006D324D" w:rsidRPr="0053750E" w:rsidRDefault="00000000" w:rsidP="0053750E">
      <w:pPr>
        <w:pStyle w:val="JuTitle"/>
      </w:pPr>
      <w:bookmarkStart w:id="0" w:name="To"/>
      <w:r>
        <w:rPr>
          <w:color w:val="000000" w:themeColor="text1"/>
        </w:rPr>
        <w:t>SPRAWA</w:t>
      </w:r>
      <w:r>
        <w:t xml:space="preserve"> </w:t>
      </w:r>
      <w:bookmarkEnd w:id="0"/>
      <w:r>
        <w:t>STEPNOWSKI PRZECIWKO POLSCE</w:t>
      </w:r>
    </w:p>
    <w:p w14:paraId="3D289697" w14:textId="77777777" w:rsidR="006D324D" w:rsidRPr="0053750E" w:rsidRDefault="00000000" w:rsidP="0053750E">
      <w:pPr>
        <w:pStyle w:val="ECHRCoverTitle4"/>
      </w:pPr>
      <w:r>
        <w:t>(Skarga nr 35540/21)</w:t>
      </w:r>
    </w:p>
    <w:p w14:paraId="5925E9B5" w14:textId="77777777" w:rsidR="006D324D" w:rsidRPr="0053750E" w:rsidRDefault="006D324D" w:rsidP="0053750E">
      <w:pPr>
        <w:pStyle w:val="DecHCase"/>
      </w:pPr>
    </w:p>
    <w:p w14:paraId="1E83B034" w14:textId="77777777" w:rsidR="006D324D" w:rsidRPr="0053750E" w:rsidRDefault="006D324D" w:rsidP="0053750E">
      <w:pPr>
        <w:pStyle w:val="DecHCase"/>
      </w:pPr>
    </w:p>
    <w:p w14:paraId="3D0B8080" w14:textId="77777777" w:rsidR="00606600" w:rsidRPr="0053750E" w:rsidRDefault="00606600" w:rsidP="0053750E">
      <w:pPr>
        <w:pStyle w:val="DecHCase"/>
      </w:pPr>
    </w:p>
    <w:p w14:paraId="7D4D7E85" w14:textId="77777777" w:rsidR="00606600" w:rsidRPr="0053750E" w:rsidRDefault="00606600" w:rsidP="0053750E">
      <w:pPr>
        <w:pStyle w:val="DecHCase"/>
      </w:pPr>
    </w:p>
    <w:p w14:paraId="20FBB439" w14:textId="77777777" w:rsidR="00606600" w:rsidRPr="0053750E" w:rsidRDefault="00606600" w:rsidP="0053750E">
      <w:pPr>
        <w:pStyle w:val="DecHCase"/>
      </w:pPr>
    </w:p>
    <w:p w14:paraId="733DA494" w14:textId="77777777" w:rsidR="00606600" w:rsidRPr="0053750E" w:rsidRDefault="00606600" w:rsidP="0053750E">
      <w:pPr>
        <w:pStyle w:val="DecHCase"/>
      </w:pPr>
    </w:p>
    <w:p w14:paraId="1EDFB29C" w14:textId="77777777" w:rsidR="00606600" w:rsidRPr="0053750E" w:rsidRDefault="00000000" w:rsidP="0053750E">
      <w:pPr>
        <w:pStyle w:val="DecHCase"/>
      </w:pPr>
      <w:r>
        <w:t>WYROK</w:t>
      </w:r>
    </w:p>
    <w:p w14:paraId="06D3D36E" w14:textId="77777777" w:rsidR="00606600" w:rsidRPr="0053750E" w:rsidRDefault="00606600" w:rsidP="0053750E">
      <w:pPr>
        <w:jc w:val="center"/>
        <w:rPr>
          <w:i/>
        </w:rPr>
      </w:pPr>
    </w:p>
    <w:p w14:paraId="0762E4C0" w14:textId="77777777" w:rsidR="00606600" w:rsidRPr="0053750E" w:rsidRDefault="00000000" w:rsidP="0053750E">
      <w:pPr>
        <w:pStyle w:val="DecHCase"/>
      </w:pPr>
      <w:r>
        <w:t>STRASBURG</w:t>
      </w:r>
    </w:p>
    <w:p w14:paraId="77EE5FA8" w14:textId="77777777" w:rsidR="00606600" w:rsidRPr="0053750E" w:rsidRDefault="00000000" w:rsidP="0053750E">
      <w:pPr>
        <w:pStyle w:val="DecHCase"/>
      </w:pPr>
      <w:r>
        <w:t>6 czerwca 2024 r.</w:t>
      </w:r>
    </w:p>
    <w:p w14:paraId="0ED89BEE" w14:textId="77777777" w:rsidR="00606600" w:rsidRPr="0053750E" w:rsidRDefault="00606600" w:rsidP="0053750E">
      <w:pPr>
        <w:jc w:val="center"/>
      </w:pPr>
    </w:p>
    <w:p w14:paraId="26E2C285" w14:textId="77777777" w:rsidR="00606600" w:rsidRPr="0053750E" w:rsidRDefault="00000000" w:rsidP="0053750E">
      <w:pPr>
        <w:jc w:val="center"/>
        <w:rPr>
          <w:sz w:val="22"/>
          <w:szCs w:val="22"/>
        </w:rPr>
      </w:pPr>
      <w:r>
        <w:rPr>
          <w:i/>
          <w:sz w:val="22"/>
          <w:szCs w:val="22"/>
        </w:rPr>
        <w:t>Niniejszy wyrok jest ostateczny, lecz może podlegać korekcie wydawniczej.</w:t>
      </w:r>
    </w:p>
    <w:p w14:paraId="644D1F9D" w14:textId="77777777" w:rsidR="00606600" w:rsidRPr="0053750E" w:rsidRDefault="00606600" w:rsidP="0053750E">
      <w:pPr>
        <w:pStyle w:val="JuCase"/>
        <w:sectPr w:rsidR="00606600" w:rsidRPr="0053750E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7DC2A5D2" w14:textId="77777777" w:rsidR="00606600" w:rsidRPr="0053750E" w:rsidRDefault="00000000" w:rsidP="0053750E">
      <w:pPr>
        <w:pStyle w:val="JuCase"/>
        <w:rPr>
          <w:bCs/>
        </w:rPr>
      </w:pPr>
      <w:r>
        <w:lastRenderedPageBreak/>
        <w:t>W sprawie Stepnowski przeciwko Polsce</w:t>
      </w:r>
    </w:p>
    <w:p w14:paraId="2F6056B0" w14:textId="77777777" w:rsidR="00606600" w:rsidRPr="0053750E" w:rsidRDefault="00000000" w:rsidP="0053750E">
      <w:pPr>
        <w:pStyle w:val="JuPara"/>
      </w:pPr>
      <w:r>
        <w:t>Europejski Trybunał Praw Człowieka (sekcja pierwsza), zasiadając jako Komitet w składzie:</w:t>
      </w:r>
    </w:p>
    <w:p w14:paraId="1DEA58E9" w14:textId="77777777" w:rsidR="002C5B23" w:rsidRPr="0053750E" w:rsidRDefault="00000000" w:rsidP="0053750E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</w:rPr>
        <w:t>, sędziowie</w:t>
      </w:r>
      <w:r>
        <w:t>,</w:t>
      </w:r>
    </w:p>
    <w:p w14:paraId="4261943F" w14:textId="77777777" w:rsidR="00606600" w:rsidRPr="0053750E" w:rsidRDefault="00000000" w:rsidP="0053750E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3481182B" w14:textId="77777777" w:rsidR="00606600" w:rsidRPr="0053750E" w:rsidRDefault="00000000" w:rsidP="0053750E">
      <w:pPr>
        <w:pStyle w:val="JuPara"/>
      </w:pPr>
      <w:r>
        <w:t>obradując na posiedzeniu niejawnym w dniu 16 maja 2024 r.,</w:t>
      </w:r>
    </w:p>
    <w:p w14:paraId="5788F6F2" w14:textId="77777777" w:rsidR="00606600" w:rsidRPr="0053750E" w:rsidRDefault="00000000" w:rsidP="0053750E">
      <w:pPr>
        <w:pStyle w:val="JuPara"/>
      </w:pPr>
      <w:r>
        <w:t>wydaje następujący wyrok, który został przyjęty w tym dniu:</w:t>
      </w:r>
    </w:p>
    <w:p w14:paraId="3C768D23" w14:textId="77777777" w:rsidR="00545306" w:rsidRPr="0053750E" w:rsidRDefault="00000000" w:rsidP="0053750E">
      <w:pPr>
        <w:pStyle w:val="JuHHead"/>
      </w:pPr>
      <w:bookmarkStart w:id="1" w:name="ITMARKStartJudgment"/>
      <w:bookmarkEnd w:id="1"/>
      <w:r>
        <w:t>POSTĘPOWANIE</w:t>
      </w:r>
    </w:p>
    <w:p w14:paraId="2B114EC8" w14:textId="4B878B13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1</w:t>
      </w:r>
      <w:r w:rsidRPr="0053750E">
        <w:fldChar w:fldCharType="end"/>
      </w:r>
      <w:r>
        <w:t>.  Sprawa wywodzi się ze skargi przeciwko Polsce, wniesionej do Trybunału w dniu 22 czerwca 2021 r. na podstawie art. 34 Konwencji o ochronie praw człowieka i podstawowych wolności („Konwencja”).</w:t>
      </w:r>
    </w:p>
    <w:p w14:paraId="52082B0B" w14:textId="1125ADF7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2</w:t>
      </w:r>
      <w:r w:rsidRPr="0053750E">
        <w:fldChar w:fldCharType="end"/>
      </w:r>
      <w:r>
        <w:t xml:space="preserve">.  Skarżącego reprezentował </w:t>
      </w:r>
      <w:r w:rsidR="00951D93">
        <w:t xml:space="preserve">p. </w:t>
      </w:r>
      <w:r>
        <w:t>R. Nowosielski, prawnik praktykujący w Gdańsku.</w:t>
      </w:r>
    </w:p>
    <w:p w14:paraId="1E681D6A" w14:textId="6F0D55D5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3</w:t>
      </w:r>
      <w:r w:rsidRPr="0053750E">
        <w:fldChar w:fldCharType="end"/>
      </w:r>
      <w:r>
        <w:t>.  Sprawa została zakomunikowana rządowi polskiemu („Rząd”).</w:t>
      </w:r>
    </w:p>
    <w:p w14:paraId="1B3D2BE0" w14:textId="77777777" w:rsidR="00545306" w:rsidRPr="0053750E" w:rsidRDefault="00000000" w:rsidP="0053750E">
      <w:pPr>
        <w:pStyle w:val="JuHHead"/>
      </w:pPr>
      <w:r>
        <w:t>FAKTY</w:t>
      </w:r>
    </w:p>
    <w:p w14:paraId="14C8E4FA" w14:textId="4C3A5AB2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4</w:t>
      </w:r>
      <w:r w:rsidRPr="0053750E">
        <w:fldChar w:fldCharType="end"/>
      </w:r>
      <w:r>
        <w:t>.  Dane skarżącego oraz informacje istotne dla skargi zostały przedstawione w załączonej tabeli.</w:t>
      </w:r>
    </w:p>
    <w:p w14:paraId="7A0511ED" w14:textId="57755032" w:rsidR="00545306" w:rsidRPr="0053750E" w:rsidRDefault="00000000" w:rsidP="0053750E">
      <w:pPr>
        <w:pStyle w:val="JuPara"/>
        <w:rPr>
          <w:bCs/>
        </w:rPr>
      </w:pPr>
      <w:r w:rsidRPr="0053750E">
        <w:rPr>
          <w:bCs/>
        </w:rPr>
        <w:fldChar w:fldCharType="begin"/>
      </w:r>
      <w:r w:rsidRPr="0053750E">
        <w:rPr>
          <w:bCs/>
        </w:rPr>
        <w:instrText xml:space="preserve"> SEQ level0 \*arabic \* MERGEFORMAT </w:instrText>
      </w:r>
      <w:r w:rsidRPr="0053750E">
        <w:rPr>
          <w:bCs/>
        </w:rPr>
        <w:fldChar w:fldCharType="separate"/>
      </w:r>
      <w:r w:rsidR="003A4546">
        <w:rPr>
          <w:bCs/>
          <w:noProof/>
        </w:rPr>
        <w:t>5</w:t>
      </w:r>
      <w:r w:rsidRPr="0053750E">
        <w:rPr>
          <w:bCs/>
        </w:rPr>
        <w:fldChar w:fldCharType="end"/>
      </w:r>
      <w:r>
        <w:t xml:space="preserve">.  Skarżący zarzucił </w:t>
      </w:r>
      <w:r w:rsidR="00951D93">
        <w:t xml:space="preserve">nadmierna długość jego </w:t>
      </w:r>
      <w:r>
        <w:t>tymczasowego aresztowania</w:t>
      </w:r>
      <w:r>
        <w:rPr>
          <w:bCs/>
          <w:color w:val="000000"/>
        </w:rPr>
        <w:t>.</w:t>
      </w:r>
    </w:p>
    <w:p w14:paraId="2F8D9966" w14:textId="77777777" w:rsidR="00545306" w:rsidRPr="0053750E" w:rsidRDefault="00000000" w:rsidP="0053750E">
      <w:pPr>
        <w:pStyle w:val="JuHHead"/>
      </w:pPr>
      <w:r>
        <w:t>PRAWO</w:t>
      </w:r>
    </w:p>
    <w:p w14:paraId="6642B1E6" w14:textId="77777777" w:rsidR="00545306" w:rsidRPr="0053750E" w:rsidRDefault="00000000" w:rsidP="0053750E">
      <w:pPr>
        <w:pStyle w:val="JuHIRoman"/>
        <w:rPr>
          <w:rFonts w:eastAsia="PMingLiU"/>
        </w:rPr>
      </w:pPr>
      <w:r>
        <w:t>ZARZUCANE NARUSZENIE ART. 5 UST. 3 KONWENCJI</w:t>
      </w:r>
    </w:p>
    <w:p w14:paraId="27AFA836" w14:textId="615A365E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6</w:t>
      </w:r>
      <w:r w:rsidRPr="0053750E">
        <w:fldChar w:fldCharType="end"/>
      </w:r>
      <w:r>
        <w:t>.  Skarżący zarzucił, że jego tymczasowe aresztowanie było nadmiernie długie. Powołał się na art. 5 ust. 3 Konwencji.</w:t>
      </w:r>
    </w:p>
    <w:p w14:paraId="18D4E96D" w14:textId="691CBD60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7</w:t>
      </w:r>
      <w:r w:rsidRPr="0053750E">
        <w:fldChar w:fldCharType="end"/>
      </w:r>
      <w:r>
        <w:t>.  Trybunał zauważa, że zasady ogólne dotyczące prawa do bycia sądzonym w rozsądnym terminie albo zwolnienia na czas postępowania, gwarantowane art. 5 ust. 3 Konwencji, określono w szeregu wcześniejszych wyroków (zob. m</w:t>
      </w:r>
      <w:r w:rsidR="00951D93">
        <w:t>.</w:t>
      </w:r>
      <w:r>
        <w:t xml:space="preserve"> in</w:t>
      </w:r>
      <w:r w:rsidR="00951D93">
        <w:t>.,</w:t>
      </w:r>
      <w:r>
        <w:t xml:space="preserve"> </w:t>
      </w:r>
      <w:r>
        <w:rPr>
          <w:i/>
        </w:rPr>
        <w:t>Kudła przeciwko Polsce</w:t>
      </w:r>
      <w:r>
        <w:t xml:space="preserve"> [WI], nr 30210/96, pkt 110, ETPC 2000</w:t>
      </w:r>
      <w:r>
        <w:noBreakHyphen/>
        <w:t xml:space="preserve">XI oraz </w:t>
      </w:r>
      <w:proofErr w:type="spellStart"/>
      <w:r>
        <w:rPr>
          <w:i/>
          <w:iCs/>
        </w:rPr>
        <w:t>McKay</w:t>
      </w:r>
      <w:proofErr w:type="spellEnd"/>
      <w:r>
        <w:rPr>
          <w:i/>
          <w:iCs/>
        </w:rPr>
        <w:t xml:space="preserve"> przeciwko Zjednoczonemu Królestwu</w:t>
      </w:r>
      <w:r>
        <w:t xml:space="preserve"> [WI], nr 543/03, pkt 41–44, ETPC 2006</w:t>
      </w:r>
      <w:r>
        <w:noBreakHyphen/>
        <w:t>X, z dalszymi odniesieniami).</w:t>
      </w:r>
    </w:p>
    <w:p w14:paraId="3B0BAADA" w14:textId="36C9EDB8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8</w:t>
      </w:r>
      <w:r w:rsidRPr="0053750E">
        <w:fldChar w:fldCharType="end"/>
      </w:r>
      <w:r>
        <w:t xml:space="preserve">.  Już w wiodących sprawach </w:t>
      </w:r>
      <w:r>
        <w:rPr>
          <w:i/>
          <w:iCs/>
        </w:rPr>
        <w:t>Kauczor przeciwko Polsc</w:t>
      </w:r>
      <w:r>
        <w:t xml:space="preserve">e, nr 45219/06, 3 lutego 2009 r. </w:t>
      </w:r>
      <w:r w:rsidR="00951D93">
        <w:t>i</w:t>
      </w:r>
      <w:r>
        <w:t xml:space="preserve"> </w:t>
      </w:r>
      <w:proofErr w:type="spellStart"/>
      <w:r>
        <w:rPr>
          <w:i/>
          <w:iCs/>
        </w:rPr>
        <w:t>Celejewski</w:t>
      </w:r>
      <w:proofErr w:type="spellEnd"/>
      <w:r>
        <w:rPr>
          <w:i/>
          <w:iCs/>
        </w:rPr>
        <w:t xml:space="preserve"> przeciwko Polsce</w:t>
      </w:r>
      <w:r>
        <w:t xml:space="preserve">, nr 17584/04, 4 maja 2006 r., Trybunał stwierdził naruszenie w odniesieniu do kwestii podobnych do </w:t>
      </w:r>
      <w:r w:rsidR="00951D93">
        <w:t>występujących</w:t>
      </w:r>
      <w:r>
        <w:t xml:space="preserve"> w niniejszej sprawie.</w:t>
      </w:r>
    </w:p>
    <w:p w14:paraId="49A64623" w14:textId="30D23E0E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9</w:t>
      </w:r>
      <w:r w:rsidRPr="0053750E">
        <w:fldChar w:fldCharType="end"/>
      </w:r>
      <w:r>
        <w:t>.  Po zapoznaniu się z całym przedstawionym mu materiałem</w:t>
      </w:r>
      <w:r w:rsidR="00951D93">
        <w:t>,</w:t>
      </w:r>
      <w:r>
        <w:t xml:space="preserve"> Trybunał nie </w:t>
      </w:r>
      <w:r w:rsidR="005C0336">
        <w:t>stwierdził</w:t>
      </w:r>
      <w:r>
        <w:t xml:space="preserve"> żadnego faktu ani argumentu, które mogłyby przekonać go do </w:t>
      </w:r>
      <w:r>
        <w:lastRenderedPageBreak/>
        <w:t>wyciągnięcia innych wniosków w </w:t>
      </w:r>
      <w:r w:rsidR="005C0336">
        <w:t>przedmiocie d</w:t>
      </w:r>
      <w:r>
        <w:t>opuszczalności i </w:t>
      </w:r>
      <w:r w:rsidR="005C0336">
        <w:t>meritum</w:t>
      </w:r>
      <w:r>
        <w:t xml:space="preserve"> tych skarg. Uwzględniając swoje orzecznictwo w tym zakresie, Trybunał uznaje, że w niniejszej sprawie czas trwania tymczasowego aresztowania skarżącego był nadmiern</w:t>
      </w:r>
      <w:r w:rsidR="005C0336">
        <w:t>y.</w:t>
      </w:r>
    </w:p>
    <w:p w14:paraId="0ADD777F" w14:textId="1AE499B7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10</w:t>
      </w:r>
      <w:r w:rsidRPr="0053750E">
        <w:fldChar w:fldCharType="end"/>
      </w:r>
      <w:r>
        <w:t>.  Skargi te są zatem dopuszczalne i ujawniają naruszenie art. 5 ust. 3 Konwencji.</w:t>
      </w:r>
    </w:p>
    <w:p w14:paraId="6D3E0140" w14:textId="77777777" w:rsidR="00545306" w:rsidRPr="0053750E" w:rsidRDefault="00000000" w:rsidP="0053750E">
      <w:pPr>
        <w:pStyle w:val="JuHIRoman"/>
      </w:pPr>
      <w:r>
        <w:t>ZASTOSOWANIE ART. 41 KONWENCJI</w:t>
      </w:r>
    </w:p>
    <w:p w14:paraId="7EC2E457" w14:textId="332C75B2" w:rsidR="00545306" w:rsidRPr="0053750E" w:rsidRDefault="0053750E" w:rsidP="0053750E">
      <w:pPr>
        <w:pStyle w:val="JuPara"/>
      </w:pPr>
      <w:r w:rsidRPr="0053750E">
        <w:fldChar w:fldCharType="begin"/>
      </w:r>
      <w:r>
        <w:instrText xml:space="preserve"> SEQ level0 \*arabic \* MERGEFORMAT </w:instrText>
      </w:r>
      <w:r w:rsidRPr="0053750E">
        <w:fldChar w:fldCharType="separate"/>
      </w:r>
      <w:r w:rsidR="003A4546">
        <w:rPr>
          <w:noProof/>
        </w:rPr>
        <w:t>11</w:t>
      </w:r>
      <w:r w:rsidRPr="0053750E">
        <w:fldChar w:fldCharType="end"/>
      </w:r>
      <w:r>
        <w:t>.  Uwzględniając dokumenty znajdujące się w jego posiadaniu oraz swoje orzecznictwo (zob.</w:t>
      </w:r>
      <w:r w:rsidR="005C0336">
        <w:t>,</w:t>
      </w:r>
      <w:r>
        <w:t xml:space="preserve"> w szczególności</w:t>
      </w:r>
      <w:r w:rsidR="005C0336">
        <w:t>,</w:t>
      </w:r>
      <w:r>
        <w:t xml:space="preserve"> </w:t>
      </w:r>
      <w:r>
        <w:rPr>
          <w:i/>
          <w:iCs/>
        </w:rPr>
        <w:t>Kauczor</w:t>
      </w:r>
      <w:r w:rsidR="005C0336">
        <w:rPr>
          <w:i/>
          <w:iCs/>
        </w:rPr>
        <w:t xml:space="preserve">, </w:t>
      </w:r>
      <w:r w:rsidR="005C0336" w:rsidRPr="005C0336">
        <w:t>cyt. pow</w:t>
      </w:r>
      <w:r w:rsidR="005C0336">
        <w:rPr>
          <w:i/>
          <w:iCs/>
        </w:rPr>
        <w:t>.</w:t>
      </w:r>
      <w:r>
        <w:t xml:space="preserve">), Trybunał uważa za zasadne </w:t>
      </w:r>
      <w:r w:rsidR="005C0336">
        <w:t>przyznanie</w:t>
      </w:r>
      <w:r>
        <w:t xml:space="preserve"> kwoty wskazanej w załączonej tabeli.</w:t>
      </w:r>
    </w:p>
    <w:p w14:paraId="15BED39F" w14:textId="1DA07E27" w:rsidR="00545306" w:rsidRPr="0053750E" w:rsidRDefault="00000000" w:rsidP="0053750E">
      <w:pPr>
        <w:pStyle w:val="JuHHead"/>
      </w:pPr>
      <w:r>
        <w:t xml:space="preserve">Z </w:t>
      </w:r>
      <w:r w:rsidR="005C0336">
        <w:t>TYCH</w:t>
      </w:r>
      <w:r>
        <w:t xml:space="preserve"> WZGLĘDÓW TRYBUNAŁ JEDNOGŁOŚNIE</w:t>
      </w:r>
    </w:p>
    <w:p w14:paraId="54C93189" w14:textId="77777777" w:rsidR="00545306" w:rsidRPr="0053750E" w:rsidRDefault="00000000" w:rsidP="0053750E">
      <w:pPr>
        <w:pStyle w:val="JuList"/>
      </w:pPr>
      <w:r>
        <w:rPr>
          <w:i/>
        </w:rPr>
        <w:t>uznaje</w:t>
      </w:r>
      <w:r>
        <w:t xml:space="preserve"> skargę za dopuszczalną;</w:t>
      </w:r>
    </w:p>
    <w:p w14:paraId="457E2624" w14:textId="46662269" w:rsidR="00545306" w:rsidRPr="0053750E" w:rsidRDefault="00000000" w:rsidP="0053750E">
      <w:pPr>
        <w:pStyle w:val="JuList"/>
      </w:pPr>
      <w:r>
        <w:rPr>
          <w:i/>
          <w:iCs/>
        </w:rPr>
        <w:t>stwierdza</w:t>
      </w:r>
      <w:r>
        <w:t xml:space="preserve">, że </w:t>
      </w:r>
      <w:r w:rsidR="005C0336">
        <w:t>niniejsza</w:t>
      </w:r>
      <w:r>
        <w:t xml:space="preserve"> skarga ujawnia naruszenie art. 5 ust. 3 Konwencji dotyczące nadmiernie długiego tymczasowego aresztowania;</w:t>
      </w:r>
    </w:p>
    <w:p w14:paraId="138A16F6" w14:textId="77777777" w:rsidR="00545306" w:rsidRPr="0053750E" w:rsidRDefault="00000000" w:rsidP="0053750E">
      <w:pPr>
        <w:pStyle w:val="JuList"/>
      </w:pPr>
      <w:r>
        <w:rPr>
          <w:i/>
          <w:iCs/>
        </w:rPr>
        <w:t>stwierdza</w:t>
      </w:r>
    </w:p>
    <w:p w14:paraId="339F93B7" w14:textId="77777777" w:rsidR="00545306" w:rsidRPr="0053750E" w:rsidRDefault="00000000" w:rsidP="0053750E">
      <w:pPr>
        <w:pStyle w:val="JuLista"/>
      </w:pPr>
      <w:r>
        <w:t>że pozwane państwo winno, w terminie trzech miesięcy, uiścić na rzecz skarżącego kwoty wskazane w załączonej tabeli, przeliczone na walutę pozwanego państwa według kursu obowiązującego w dniu płatności;</w:t>
      </w:r>
    </w:p>
    <w:p w14:paraId="0BF29DBD" w14:textId="77777777" w:rsidR="00606600" w:rsidRPr="0053750E" w:rsidRDefault="00000000" w:rsidP="0053750E">
      <w:pPr>
        <w:pStyle w:val="JuLista"/>
      </w:pPr>
      <w:r>
        <w:t>że, od upływu wyżej wskazanego terminu trzech miesięcy aż do momentu uregulowania należności, należne będą odsetki zwykłe od określonej powyżej kwoty, naliczone według stopy równej marginalnej stopie procentowej Europejskiego Banku Centralnego obowiązującej w tym okresie, powiększonej o trzy punkty procentowe.</w:t>
      </w:r>
    </w:p>
    <w:p w14:paraId="759A0F5C" w14:textId="3DF4C89B" w:rsidR="00606600" w:rsidRPr="0053750E" w:rsidRDefault="00000000" w:rsidP="0053750E">
      <w:pPr>
        <w:pStyle w:val="JuParaLast"/>
      </w:pPr>
      <w:r>
        <w:t>Sporządzono w języku angielskim i obwieszczono pisemnie 6 czerwca 2024 r.</w:t>
      </w:r>
      <w:r w:rsidR="005C0336">
        <w:t>,</w:t>
      </w:r>
      <w:r>
        <w:t xml:space="preserve"> zgodnie z Regułą 77 § 2 i § 3 Regulaminu Trybunału.</w:t>
      </w:r>
    </w:p>
    <w:p w14:paraId="324C2300" w14:textId="77777777" w:rsidR="00656431" w:rsidRPr="0053750E" w:rsidRDefault="00000000" w:rsidP="0053750E">
      <w:pPr>
        <w:pStyle w:val="ECHRPlaceholder"/>
        <w:rPr>
          <w:szCs w:val="22"/>
        </w:rPr>
      </w:pPr>
      <w:r>
        <w:tab/>
      </w:r>
    </w:p>
    <w:p w14:paraId="2DE7841A" w14:textId="77777777" w:rsidR="00606600" w:rsidRPr="0053750E" w:rsidRDefault="00000000" w:rsidP="0053750E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</w:p>
    <w:p w14:paraId="25C3AFC4" w14:textId="77777777" w:rsidR="00B91668" w:rsidRPr="0053750E" w:rsidRDefault="00000000" w:rsidP="0053750E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5F3AAF45" w14:textId="77777777" w:rsidR="00BD554D" w:rsidRPr="0053750E" w:rsidRDefault="00000000" w:rsidP="0053750E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6962C554" w14:textId="77777777" w:rsidR="00606600" w:rsidRPr="0053750E" w:rsidRDefault="00606600" w:rsidP="0053750E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D390A80" w14:textId="77777777" w:rsidR="00606600" w:rsidRPr="0053750E" w:rsidRDefault="00606600" w:rsidP="0053750E">
      <w:pPr>
        <w:pStyle w:val="JuParaLast"/>
        <w:sectPr w:rsidR="00606600" w:rsidRPr="0053750E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605481F3" w14:textId="77777777" w:rsidR="00606600" w:rsidRPr="0053750E" w:rsidRDefault="00000000" w:rsidP="0053750E">
      <w:pPr>
        <w:pStyle w:val="DecHTitle"/>
      </w:pPr>
      <w:r>
        <w:lastRenderedPageBreak/>
        <w:t>ZAŁĄCZNIK</w:t>
      </w:r>
    </w:p>
    <w:p w14:paraId="250A42FC" w14:textId="68C7DAE9" w:rsidR="00606600" w:rsidRPr="0053750E" w:rsidRDefault="00000000" w:rsidP="0053750E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 xml:space="preserve">Skarga zawierająca zarzuty </w:t>
      </w:r>
      <w:r w:rsidR="005C0336">
        <w:rPr>
          <w:color w:val="3E3E3E" w:themeColor="background2" w:themeShade="40"/>
        </w:rPr>
        <w:t>z</w:t>
      </w:r>
      <w:r>
        <w:rPr>
          <w:color w:val="3E3E3E" w:themeColor="background2" w:themeShade="40"/>
        </w:rPr>
        <w:t xml:space="preserve"> art. 5 ust. 3 Konwencji</w:t>
      </w:r>
    </w:p>
    <w:p w14:paraId="15B8931E" w14:textId="56261966" w:rsidR="00606600" w:rsidRPr="0053750E" w:rsidRDefault="00000000" w:rsidP="0053750E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(nadmiernie długi czas tymczasowego aresztowania)</w:t>
      </w:r>
    </w:p>
    <w:tbl>
      <w:tblPr>
        <w:tblStyle w:val="ECHRListTable"/>
        <w:tblW w:w="13305" w:type="dxa"/>
        <w:jc w:val="center"/>
        <w:tblLook w:val="0420" w:firstRow="1" w:lastRow="0" w:firstColumn="0" w:lastColumn="0" w:noHBand="0" w:noVBand="1"/>
      </w:tblPr>
      <w:tblGrid>
        <w:gridCol w:w="1073"/>
        <w:gridCol w:w="1326"/>
        <w:gridCol w:w="1258"/>
        <w:gridCol w:w="1117"/>
        <w:gridCol w:w="1964"/>
        <w:gridCol w:w="2093"/>
        <w:gridCol w:w="1495"/>
        <w:gridCol w:w="1818"/>
        <w:gridCol w:w="1161"/>
      </w:tblGrid>
      <w:tr w:rsidR="007C5602" w14:paraId="7402AEFF" w14:textId="77777777" w:rsidTr="00B57B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64F0AA02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Nr skargi</w:t>
            </w:r>
          </w:p>
          <w:p w14:paraId="7FB6ECD5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złożenia</w:t>
            </w:r>
          </w:p>
        </w:tc>
        <w:tc>
          <w:tcPr>
            <w:tcW w:w="0" w:type="auto"/>
          </w:tcPr>
          <w:p w14:paraId="27A8ACFA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0D00C791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71F4C9DC" w14:textId="77777777" w:rsidR="00C01A2D" w:rsidRPr="0053750E" w:rsidRDefault="00C01A2D" w:rsidP="0053750E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6F0E200" w14:textId="5F899362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adres pełnomocnika</w:t>
            </w:r>
          </w:p>
        </w:tc>
        <w:tc>
          <w:tcPr>
            <w:tcW w:w="0" w:type="auto"/>
          </w:tcPr>
          <w:p w14:paraId="721AF52F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Okres pozbawienia wolności</w:t>
            </w:r>
          </w:p>
        </w:tc>
        <w:tc>
          <w:tcPr>
            <w:tcW w:w="0" w:type="auto"/>
          </w:tcPr>
          <w:p w14:paraId="0F3D0E74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Sąd, który wydał postanowienie o zastosowaniu tymczasowego aresztowania / rozpoznał zażalenie</w:t>
            </w:r>
          </w:p>
        </w:tc>
        <w:tc>
          <w:tcPr>
            <w:tcW w:w="2093" w:type="dxa"/>
          </w:tcPr>
          <w:p w14:paraId="34602DB7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Długość pozbawienia wolności</w:t>
            </w:r>
          </w:p>
        </w:tc>
        <w:tc>
          <w:tcPr>
            <w:tcW w:w="0" w:type="auto"/>
          </w:tcPr>
          <w:p w14:paraId="68C69A72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Konkretne braki</w:t>
            </w:r>
          </w:p>
        </w:tc>
        <w:tc>
          <w:tcPr>
            <w:tcW w:w="0" w:type="auto"/>
          </w:tcPr>
          <w:p w14:paraId="262006DE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tytułem odszkodowania za szkodę majątkową i zadośćuczynienia za szkodę niemajątkową na jednego skarżącego</w:t>
            </w:r>
          </w:p>
          <w:p w14:paraId="35B44B5D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  <w:r>
              <w:rPr>
                <w:rStyle w:val="Odwoanieprzypisudolnego"/>
                <w:sz w:val="16"/>
              </w:rPr>
              <w:footnoteReference w:id="1"/>
            </w:r>
          </w:p>
        </w:tc>
        <w:tc>
          <w:tcPr>
            <w:tcW w:w="0" w:type="auto"/>
          </w:tcPr>
          <w:p w14:paraId="60BC0B05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tytułem zwrotu kosztów i wydatków na skargę</w:t>
            </w:r>
          </w:p>
          <w:p w14:paraId="28FFAFA9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  <w:r>
              <w:rPr>
                <w:rStyle w:val="Odwoanieprzypisudolnego"/>
                <w:sz w:val="16"/>
              </w:rPr>
              <w:footnoteReference w:id="2"/>
            </w:r>
          </w:p>
        </w:tc>
      </w:tr>
      <w:tr w:rsidR="00B57BA3" w14:paraId="5E060862" w14:textId="77777777" w:rsidTr="00B57BA3">
        <w:trPr>
          <w:jc w:val="center"/>
        </w:trPr>
        <w:tc>
          <w:tcPr>
            <w:tcW w:w="0" w:type="auto"/>
          </w:tcPr>
          <w:p w14:paraId="26006D37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35540/21</w:t>
            </w:r>
          </w:p>
          <w:p w14:paraId="796AA521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22.06.2021 r.</w:t>
            </w:r>
          </w:p>
        </w:tc>
        <w:tc>
          <w:tcPr>
            <w:tcW w:w="0" w:type="auto"/>
          </w:tcPr>
          <w:p w14:paraId="0B4DCE24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Łukasz STEPNOWSKI</w:t>
            </w:r>
          </w:p>
          <w:p w14:paraId="42E9E4F7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1994 </w:t>
            </w:r>
          </w:p>
        </w:tc>
        <w:tc>
          <w:tcPr>
            <w:tcW w:w="0" w:type="auto"/>
          </w:tcPr>
          <w:p w14:paraId="53FEEF6E" w14:textId="77777777" w:rsidR="003A4546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Nowosielski </w:t>
            </w:r>
          </w:p>
          <w:p w14:paraId="22019FD0" w14:textId="0DECE44C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Roman</w:t>
            </w:r>
          </w:p>
          <w:p w14:paraId="335CBE5D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Gdańsk</w:t>
            </w:r>
          </w:p>
        </w:tc>
        <w:tc>
          <w:tcPr>
            <w:tcW w:w="0" w:type="auto"/>
          </w:tcPr>
          <w:p w14:paraId="07FFBA6C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od 19.06.2018 r. do</w:t>
            </w:r>
          </w:p>
          <w:p w14:paraId="789F8365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09.11.2021 r.</w:t>
            </w:r>
          </w:p>
        </w:tc>
        <w:tc>
          <w:tcPr>
            <w:tcW w:w="0" w:type="auto"/>
          </w:tcPr>
          <w:p w14:paraId="1A80A272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Rejonowy Gdańsk-Południe, 21.06.2018 r., sygn. akt X </w:t>
            </w:r>
            <w:proofErr w:type="spellStart"/>
            <w:r>
              <w:rPr>
                <w:sz w:val="16"/>
              </w:rPr>
              <w:t>Kp</w:t>
            </w:r>
            <w:proofErr w:type="spellEnd"/>
            <w:r>
              <w:rPr>
                <w:sz w:val="16"/>
              </w:rPr>
              <w:t> 400/18 (pierwsze postanowienie o zastosowaniu tymczasowego aresztowania);</w:t>
            </w:r>
          </w:p>
          <w:p w14:paraId="53E4A07E" w14:textId="40483C42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Gdańsku, 27.04.2021 r., sygn. akt. II </w:t>
            </w:r>
            <w:proofErr w:type="spellStart"/>
            <w:r>
              <w:rPr>
                <w:sz w:val="16"/>
              </w:rPr>
              <w:t>AKz</w:t>
            </w:r>
            <w:proofErr w:type="spellEnd"/>
            <w:r>
              <w:rPr>
                <w:sz w:val="16"/>
              </w:rPr>
              <w:t> 319/21 (postanowienie w przedmiocie zażalenia na ostatnie przedłużeni</w:t>
            </w:r>
            <w:r w:rsidR="007C5602">
              <w:rPr>
                <w:sz w:val="16"/>
              </w:rPr>
              <w:t>e</w:t>
            </w:r>
            <w:r>
              <w:rPr>
                <w:sz w:val="16"/>
              </w:rPr>
              <w:t>)</w:t>
            </w:r>
          </w:p>
        </w:tc>
        <w:tc>
          <w:tcPr>
            <w:tcW w:w="2093" w:type="dxa"/>
          </w:tcPr>
          <w:p w14:paraId="04EDDAA4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3 lata, 4 miesiące i 22 dni</w:t>
            </w:r>
          </w:p>
          <w:p w14:paraId="33E98964" w14:textId="77777777" w:rsidR="00C01A2D" w:rsidRPr="0053750E" w:rsidRDefault="00C01A2D" w:rsidP="0053750E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1488391" w14:textId="2E3C8A7E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przyjęcie założeń, w braku jakichkolwiek podstaw dowodowych, obawy ucieczki lub utrudniania postępowania;</w:t>
            </w:r>
          </w:p>
          <w:p w14:paraId="75EC1B07" w14:textId="06BA58EA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słabość i powtarzalność </w:t>
            </w:r>
            <w:r w:rsidR="007C5602">
              <w:rPr>
                <w:sz w:val="16"/>
              </w:rPr>
              <w:t>uzasadnienia</w:t>
            </w:r>
            <w:r>
              <w:rPr>
                <w:sz w:val="16"/>
              </w:rPr>
              <w:t xml:space="preserve"> sądów na dalszych etapach sprawy</w:t>
            </w:r>
          </w:p>
        </w:tc>
        <w:tc>
          <w:tcPr>
            <w:tcW w:w="0" w:type="auto"/>
          </w:tcPr>
          <w:p w14:paraId="7DD5D513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4 600</w:t>
            </w:r>
          </w:p>
        </w:tc>
        <w:tc>
          <w:tcPr>
            <w:tcW w:w="0" w:type="auto"/>
          </w:tcPr>
          <w:p w14:paraId="0F5C2BB9" w14:textId="77777777" w:rsidR="00C01A2D" w:rsidRPr="0053750E" w:rsidRDefault="00000000" w:rsidP="0053750E">
            <w:pPr>
              <w:jc w:val="center"/>
              <w:rPr>
                <w:sz w:val="16"/>
              </w:rPr>
            </w:pPr>
            <w:r>
              <w:rPr>
                <w:sz w:val="16"/>
              </w:rPr>
              <w:t>250</w:t>
            </w:r>
          </w:p>
        </w:tc>
      </w:tr>
    </w:tbl>
    <w:p w14:paraId="287C8FF0" w14:textId="77777777" w:rsidR="00606600" w:rsidRPr="0053750E" w:rsidRDefault="00606600" w:rsidP="0053750E"/>
    <w:p w14:paraId="4DAAB916" w14:textId="77777777" w:rsidR="00606600" w:rsidRPr="0053750E" w:rsidRDefault="00606600" w:rsidP="0053750E"/>
    <w:sectPr w:rsidR="00606600" w:rsidRPr="0053750E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6F092" w14:textId="77777777" w:rsidR="00E10888" w:rsidRDefault="00E10888">
      <w:r>
        <w:separator/>
      </w:r>
    </w:p>
  </w:endnote>
  <w:endnote w:type="continuationSeparator" w:id="0">
    <w:p w14:paraId="055C2C10" w14:textId="77777777" w:rsidR="00E10888" w:rsidRDefault="00E10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B4068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9B1E5" w14:textId="77777777" w:rsidR="00BD554D" w:rsidRPr="00611E1D" w:rsidRDefault="00000000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647985" w14:textId="77777777" w:rsidR="00ED7723" w:rsidRPr="00150BFA" w:rsidRDefault="00000000" w:rsidP="0020718E">
    <w:pPr>
      <w:jc w:val="center"/>
    </w:pPr>
    <w:r>
      <w:rPr>
        <w:noProof/>
      </w:rPr>
      <w:drawing>
        <wp:inline distT="0" distB="0" distL="0" distR="0" wp14:anchorId="4DAE53AD" wp14:editId="33CCE7B2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96EA1C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47374" w14:textId="77777777" w:rsidR="00E10888" w:rsidRPr="00611E1D" w:rsidRDefault="00E10888" w:rsidP="00787E12">
      <w:r w:rsidRPr="00611E1D">
        <w:separator/>
      </w:r>
    </w:p>
  </w:footnote>
  <w:footnote w:type="continuationSeparator" w:id="0">
    <w:p w14:paraId="6C2E388B" w14:textId="77777777" w:rsidR="00E10888" w:rsidRPr="00611E1D" w:rsidRDefault="00E10888" w:rsidP="00787E12">
      <w:r w:rsidRPr="00611E1D">
        <w:continuationSeparator/>
      </w:r>
    </w:p>
  </w:footnote>
  <w:footnote w:id="1">
    <w:p w14:paraId="56E154F4" w14:textId="77777777" w:rsidR="00C01A2D" w:rsidRPr="00933958" w:rsidRDefault="00000000" w:rsidP="0054530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podatki, którymi może zostać obciążony skarżący.</w:t>
      </w:r>
    </w:p>
  </w:footnote>
  <w:footnote w:id="2">
    <w:p w14:paraId="1D8504D0" w14:textId="77777777" w:rsidR="00C01A2D" w:rsidRPr="00933958" w:rsidRDefault="00000000" w:rsidP="00545306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podatki, którymi może zostać obciążony skarżący.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C379A" w14:textId="77777777" w:rsidR="00ED7723" w:rsidRPr="00A45145" w:rsidRDefault="00000000" w:rsidP="00A45145">
    <w:pPr>
      <w:jc w:val="center"/>
    </w:pPr>
    <w:r>
      <w:rPr>
        <w:noProof/>
      </w:rPr>
      <w:drawing>
        <wp:inline distT="0" distB="0" distL="0" distR="0" wp14:anchorId="77E3BD9A" wp14:editId="76EDC1CA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CDE928" w14:textId="77777777" w:rsidR="00606600" w:rsidRPr="00611E1D" w:rsidRDefault="00606600" w:rsidP="000318F7">
    <w:pPr>
      <w:jc w:val="center"/>
      <w:rPr>
        <w:sz w:val="4"/>
        <w:szCs w:val="4"/>
      </w:rPr>
    </w:pPr>
  </w:p>
  <w:p w14:paraId="2576980C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83A2D" w14:textId="77777777" w:rsidR="00545306" w:rsidRPr="00A45145" w:rsidRDefault="00000000" w:rsidP="00A45145">
    <w:pPr>
      <w:jc w:val="center"/>
    </w:pPr>
    <w:r>
      <w:rPr>
        <w:noProof/>
      </w:rPr>
      <w:drawing>
        <wp:inline distT="0" distB="0" distL="0" distR="0" wp14:anchorId="1A306489" wp14:editId="4D8DA2E0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4CBA13" w14:textId="77777777" w:rsidR="008D51B6" w:rsidRPr="004F56E2" w:rsidRDefault="008D51B6" w:rsidP="008D51B6">
    <w:pPr>
      <w:pStyle w:val="Nagwek"/>
    </w:pPr>
  </w:p>
  <w:p w14:paraId="448B29B1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8A78C" w14:textId="77777777" w:rsidR="00606600" w:rsidRPr="005C3A15" w:rsidRDefault="00000000" w:rsidP="006372F5">
    <w:pPr>
      <w:pStyle w:val="JuHeader"/>
    </w:pPr>
    <w:r>
      <w:t>WYROK W SPRAWIE STEPNOWSKI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4EA07" w14:textId="77777777" w:rsidR="00606600" w:rsidRPr="00DE7D3F" w:rsidRDefault="00000000" w:rsidP="00BD554D">
    <w:pPr>
      <w:pStyle w:val="JuHeader"/>
    </w:pPr>
    <w:r>
      <w:t>WYROK W SPRAWIE STEPNOWSKI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321B3" w14:textId="77777777" w:rsidR="00606600" w:rsidRPr="005C3A15" w:rsidRDefault="00000000" w:rsidP="00E026EC">
    <w:pPr>
      <w:pStyle w:val="JuHeader"/>
    </w:pPr>
    <w:r>
      <w:t>WYROK W SPRAWIE STEPNOWSKI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BFBE6" w14:textId="77777777" w:rsidR="00606600" w:rsidRPr="00DE7D3F" w:rsidRDefault="00000000" w:rsidP="00E026EC">
    <w:pPr>
      <w:pStyle w:val="JuHeader"/>
    </w:pPr>
    <w:r>
      <w:t>WYROK W SPRAWIE STEPNOWSKI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39001EB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535A0AC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90BC0D7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EB5A9AD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C386A41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406851B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B3A0708E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5FA23A4E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2E834C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216554896">
    <w:abstractNumId w:val="14"/>
  </w:num>
  <w:num w:numId="2" w16cid:durableId="1988167322">
    <w:abstractNumId w:val="12"/>
  </w:num>
  <w:num w:numId="3" w16cid:durableId="2145150365">
    <w:abstractNumId w:val="11"/>
  </w:num>
  <w:num w:numId="4" w16cid:durableId="569271409">
    <w:abstractNumId w:val="15"/>
  </w:num>
  <w:num w:numId="5" w16cid:durableId="1492334587">
    <w:abstractNumId w:val="13"/>
  </w:num>
  <w:num w:numId="6" w16cid:durableId="1710375576">
    <w:abstractNumId w:val="16"/>
  </w:num>
  <w:num w:numId="7" w16cid:durableId="1520581776">
    <w:abstractNumId w:val="15"/>
  </w:num>
  <w:num w:numId="8" w16cid:durableId="134563273">
    <w:abstractNumId w:val="16"/>
  </w:num>
  <w:num w:numId="9" w16cid:durableId="1394040188">
    <w:abstractNumId w:val="10"/>
  </w:num>
  <w:num w:numId="10" w16cid:durableId="2019691722">
    <w:abstractNumId w:val="9"/>
  </w:num>
  <w:num w:numId="11" w16cid:durableId="932081813">
    <w:abstractNumId w:val="17"/>
  </w:num>
  <w:num w:numId="12" w16cid:durableId="573004350">
    <w:abstractNumId w:val="7"/>
  </w:num>
  <w:num w:numId="13" w16cid:durableId="2117215233">
    <w:abstractNumId w:val="6"/>
  </w:num>
  <w:num w:numId="14" w16cid:durableId="770004286">
    <w:abstractNumId w:val="5"/>
  </w:num>
  <w:num w:numId="15" w16cid:durableId="333841923">
    <w:abstractNumId w:val="4"/>
  </w:num>
  <w:num w:numId="16" w16cid:durableId="1311206615">
    <w:abstractNumId w:val="8"/>
  </w:num>
  <w:num w:numId="17" w16cid:durableId="1209492580">
    <w:abstractNumId w:val="3"/>
  </w:num>
  <w:num w:numId="18" w16cid:durableId="1975596398">
    <w:abstractNumId w:val="2"/>
  </w:num>
  <w:num w:numId="19" w16cid:durableId="1852407220">
    <w:abstractNumId w:val="1"/>
  </w:num>
  <w:num w:numId="20" w16cid:durableId="2136557054">
    <w:abstractNumId w:val="0"/>
  </w:num>
  <w:num w:numId="21" w16cid:durableId="1279020203">
    <w:abstractNumId w:val="14"/>
  </w:num>
  <w:num w:numId="22" w16cid:durableId="1676879001">
    <w:abstractNumId w:val="12"/>
  </w:num>
  <w:num w:numId="23" w16cid:durableId="1324163939">
    <w:abstractNumId w:val="11"/>
  </w:num>
  <w:num w:numId="24" w16cid:durableId="1932733369">
    <w:abstractNumId w:val="17"/>
  </w:num>
  <w:num w:numId="25" w16cid:durableId="1602445314">
    <w:abstractNumId w:val="7"/>
  </w:num>
  <w:num w:numId="26" w16cid:durableId="974531694">
    <w:abstractNumId w:val="6"/>
  </w:num>
  <w:num w:numId="27" w16cid:durableId="1815491942">
    <w:abstractNumId w:val="5"/>
  </w:num>
  <w:num w:numId="28" w16cid:durableId="2143231138">
    <w:abstractNumId w:val="4"/>
  </w:num>
  <w:num w:numId="29" w16cid:durableId="788013148">
    <w:abstractNumId w:val="8"/>
  </w:num>
  <w:num w:numId="30" w16cid:durableId="1275407445">
    <w:abstractNumId w:val="3"/>
  </w:num>
  <w:num w:numId="31" w16cid:durableId="398403460">
    <w:abstractNumId w:val="2"/>
  </w:num>
  <w:num w:numId="32" w16cid:durableId="708840168">
    <w:abstractNumId w:val="1"/>
  </w:num>
  <w:num w:numId="33" w16cid:durableId="1748112978">
    <w:abstractNumId w:val="0"/>
  </w:num>
  <w:num w:numId="34" w16cid:durableId="1648631959">
    <w:abstractNumId w:val="15"/>
  </w:num>
  <w:num w:numId="35" w16cid:durableId="1484008925">
    <w:abstractNumId w:val="13"/>
  </w:num>
  <w:num w:numId="36" w16cid:durableId="440688175">
    <w:abstractNumId w:val="16"/>
  </w:num>
  <w:num w:numId="37" w16cid:durableId="560336284">
    <w:abstractNumId w:val="15"/>
  </w:num>
  <w:num w:numId="38" w16cid:durableId="2121416969">
    <w:abstractNumId w:val="15"/>
  </w:num>
  <w:num w:numId="39" w16cid:durableId="515922661">
    <w:abstractNumId w:val="15"/>
  </w:num>
  <w:num w:numId="40" w16cid:durableId="607584286">
    <w:abstractNumId w:val="15"/>
  </w:num>
  <w:num w:numId="41" w16cid:durableId="415827050">
    <w:abstractNumId w:val="10"/>
  </w:num>
  <w:num w:numId="42" w16cid:durableId="364868953">
    <w:abstractNumId w:val="16"/>
  </w:num>
  <w:num w:numId="43" w16cid:durableId="1310016183">
    <w:abstractNumId w:val="16"/>
  </w:num>
  <w:num w:numId="44" w16cid:durableId="67847039">
    <w:abstractNumId w:val="16"/>
  </w:num>
  <w:num w:numId="45" w16cid:durableId="112868236">
    <w:abstractNumId w:val="10"/>
  </w:num>
  <w:num w:numId="46" w16cid:durableId="769855395">
    <w:abstractNumId w:val="10"/>
  </w:num>
  <w:num w:numId="47" w16cid:durableId="1533418762">
    <w:abstractNumId w:val="10"/>
  </w:num>
  <w:num w:numId="48" w16cid:durableId="381178626">
    <w:abstractNumId w:val="10"/>
  </w:num>
  <w:num w:numId="49" w16cid:durableId="578909324">
    <w:abstractNumId w:val="10"/>
  </w:num>
  <w:num w:numId="50" w16cid:durableId="753210502">
    <w:abstractNumId w:val="10"/>
  </w:num>
  <w:num w:numId="51" w16cid:durableId="214320175">
    <w:abstractNumId w:val="10"/>
  </w:num>
  <w:num w:numId="52" w16cid:durableId="1615089671">
    <w:abstractNumId w:val="10"/>
  </w:num>
  <w:num w:numId="53" w16cid:durableId="1835490886">
    <w:abstractNumId w:val="9"/>
  </w:num>
  <w:num w:numId="54" w16cid:durableId="703559414">
    <w:abstractNumId w:val="9"/>
  </w:num>
  <w:num w:numId="55" w16cid:durableId="1773236950">
    <w:abstractNumId w:val="9"/>
  </w:num>
  <w:num w:numId="56" w16cid:durableId="1941330551">
    <w:abstractNumId w:val="14"/>
  </w:num>
  <w:num w:numId="57" w16cid:durableId="1461419183">
    <w:abstractNumId w:val="12"/>
  </w:num>
  <w:num w:numId="58" w16cid:durableId="1877891788">
    <w:abstractNumId w:val="11"/>
  </w:num>
  <w:num w:numId="59" w16cid:durableId="1528326303">
    <w:abstractNumId w:val="17"/>
  </w:num>
  <w:num w:numId="60" w16cid:durableId="784037054">
    <w:abstractNumId w:val="7"/>
  </w:num>
  <w:num w:numId="61" w16cid:durableId="1782798605">
    <w:abstractNumId w:val="6"/>
  </w:num>
  <w:num w:numId="62" w16cid:durableId="2068797501">
    <w:abstractNumId w:val="5"/>
  </w:num>
  <w:num w:numId="63" w16cid:durableId="663313661">
    <w:abstractNumId w:val="4"/>
  </w:num>
  <w:num w:numId="64" w16cid:durableId="1805733408">
    <w:abstractNumId w:val="8"/>
  </w:num>
  <w:num w:numId="65" w16cid:durableId="451360806">
    <w:abstractNumId w:val="3"/>
  </w:num>
  <w:num w:numId="66" w16cid:durableId="1673490036">
    <w:abstractNumId w:val="2"/>
  </w:num>
  <w:num w:numId="67" w16cid:durableId="791751021">
    <w:abstractNumId w:val="1"/>
  </w:num>
  <w:num w:numId="68" w16cid:durableId="871723801">
    <w:abstractNumId w:val="0"/>
  </w:num>
  <w:num w:numId="69" w16cid:durableId="58024153">
    <w:abstractNumId w:val="15"/>
  </w:num>
  <w:num w:numId="70" w16cid:durableId="1739982915">
    <w:abstractNumId w:val="13"/>
  </w:num>
  <w:num w:numId="71" w16cid:durableId="403727009">
    <w:abstractNumId w:val="16"/>
  </w:num>
  <w:num w:numId="72" w16cid:durableId="1060444530">
    <w:abstractNumId w:val="15"/>
  </w:num>
  <w:num w:numId="73" w16cid:durableId="1921940050">
    <w:abstractNumId w:val="15"/>
  </w:num>
  <w:num w:numId="74" w16cid:durableId="536237563">
    <w:abstractNumId w:val="15"/>
  </w:num>
  <w:num w:numId="75" w16cid:durableId="790897599">
    <w:abstractNumId w:val="15"/>
  </w:num>
  <w:num w:numId="76" w16cid:durableId="1726291989">
    <w:abstractNumId w:val="10"/>
  </w:num>
  <w:num w:numId="77" w16cid:durableId="819804281">
    <w:abstractNumId w:val="16"/>
  </w:num>
  <w:num w:numId="78" w16cid:durableId="615330045">
    <w:abstractNumId w:val="16"/>
  </w:num>
  <w:num w:numId="79" w16cid:durableId="598102464">
    <w:abstractNumId w:val="16"/>
  </w:num>
  <w:num w:numId="80" w16cid:durableId="1231310287">
    <w:abstractNumId w:val="10"/>
  </w:num>
  <w:num w:numId="81" w16cid:durableId="780883873">
    <w:abstractNumId w:val="10"/>
  </w:num>
  <w:num w:numId="82" w16cid:durableId="1259676310">
    <w:abstractNumId w:val="10"/>
  </w:num>
  <w:num w:numId="83" w16cid:durableId="1336156108">
    <w:abstractNumId w:val="10"/>
  </w:num>
  <w:num w:numId="84" w16cid:durableId="836265807">
    <w:abstractNumId w:val="10"/>
  </w:num>
  <w:num w:numId="85" w16cid:durableId="1523401383">
    <w:abstractNumId w:val="10"/>
  </w:num>
  <w:num w:numId="86" w16cid:durableId="2003046453">
    <w:abstractNumId w:val="10"/>
  </w:num>
  <w:num w:numId="87" w16cid:durableId="1769109654">
    <w:abstractNumId w:val="10"/>
  </w:num>
  <w:num w:numId="88" w16cid:durableId="1070924493">
    <w:abstractNumId w:val="9"/>
  </w:num>
  <w:num w:numId="89" w16cid:durableId="1659311426">
    <w:abstractNumId w:val="9"/>
  </w:num>
  <w:num w:numId="90" w16cid:durableId="115370218">
    <w:abstractNumId w:val="9"/>
  </w:num>
  <w:num w:numId="91" w16cid:durableId="751389854">
    <w:abstractNumId w:val="14"/>
  </w:num>
  <w:num w:numId="92" w16cid:durableId="354505835">
    <w:abstractNumId w:val="12"/>
  </w:num>
  <w:num w:numId="93" w16cid:durableId="1793405154">
    <w:abstractNumId w:val="11"/>
  </w:num>
  <w:num w:numId="94" w16cid:durableId="667174071">
    <w:abstractNumId w:val="17"/>
  </w:num>
  <w:num w:numId="95" w16cid:durableId="535318307">
    <w:abstractNumId w:val="7"/>
  </w:num>
  <w:num w:numId="96" w16cid:durableId="1255669966">
    <w:abstractNumId w:val="6"/>
  </w:num>
  <w:num w:numId="97" w16cid:durableId="1646080684">
    <w:abstractNumId w:val="5"/>
  </w:num>
  <w:num w:numId="98" w16cid:durableId="622274198">
    <w:abstractNumId w:val="4"/>
  </w:num>
  <w:num w:numId="99" w16cid:durableId="1681202734">
    <w:abstractNumId w:val="8"/>
  </w:num>
  <w:num w:numId="100" w16cid:durableId="951715124">
    <w:abstractNumId w:val="3"/>
  </w:num>
  <w:num w:numId="101" w16cid:durableId="282462145">
    <w:abstractNumId w:val="2"/>
  </w:num>
  <w:num w:numId="102" w16cid:durableId="402727921">
    <w:abstractNumId w:val="1"/>
  </w:num>
  <w:num w:numId="103" w16cid:durableId="243926334">
    <w:abstractNumId w:val="0"/>
  </w:num>
  <w:num w:numId="104" w16cid:durableId="1106929099">
    <w:abstractNumId w:val="15"/>
  </w:num>
  <w:num w:numId="105" w16cid:durableId="1907640265">
    <w:abstractNumId w:val="13"/>
  </w:num>
  <w:num w:numId="106" w16cid:durableId="1830057140">
    <w:abstractNumId w:val="16"/>
  </w:num>
  <w:num w:numId="107" w16cid:durableId="23294671">
    <w:abstractNumId w:val="15"/>
  </w:num>
  <w:num w:numId="108" w16cid:durableId="431517620">
    <w:abstractNumId w:val="15"/>
  </w:num>
  <w:num w:numId="109" w16cid:durableId="1278221828">
    <w:abstractNumId w:val="15"/>
  </w:num>
  <w:num w:numId="110" w16cid:durableId="880627020">
    <w:abstractNumId w:val="15"/>
  </w:num>
  <w:num w:numId="111" w16cid:durableId="45032175">
    <w:abstractNumId w:val="10"/>
  </w:num>
  <w:num w:numId="112" w16cid:durableId="1259603981">
    <w:abstractNumId w:val="16"/>
  </w:num>
  <w:num w:numId="113" w16cid:durableId="1737164225">
    <w:abstractNumId w:val="16"/>
  </w:num>
  <w:num w:numId="114" w16cid:durableId="1571622092">
    <w:abstractNumId w:val="16"/>
  </w:num>
  <w:num w:numId="115" w16cid:durableId="479730786">
    <w:abstractNumId w:val="10"/>
  </w:num>
  <w:num w:numId="116" w16cid:durableId="462037302">
    <w:abstractNumId w:val="10"/>
  </w:num>
  <w:num w:numId="117" w16cid:durableId="925772803">
    <w:abstractNumId w:val="10"/>
  </w:num>
  <w:num w:numId="118" w16cid:durableId="46347216">
    <w:abstractNumId w:val="10"/>
  </w:num>
  <w:num w:numId="119" w16cid:durableId="1246763110">
    <w:abstractNumId w:val="10"/>
  </w:num>
  <w:num w:numId="120" w16cid:durableId="1387800387">
    <w:abstractNumId w:val="10"/>
  </w:num>
  <w:num w:numId="121" w16cid:durableId="615022331">
    <w:abstractNumId w:val="10"/>
  </w:num>
  <w:num w:numId="122" w16cid:durableId="1566060630">
    <w:abstractNumId w:val="10"/>
  </w:num>
  <w:num w:numId="123" w16cid:durableId="1896382371">
    <w:abstractNumId w:val="9"/>
  </w:num>
  <w:num w:numId="124" w16cid:durableId="894852098">
    <w:abstractNumId w:val="9"/>
  </w:num>
  <w:num w:numId="125" w16cid:durableId="2110269269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-1"/>
    <w:docVar w:name="EMM" w:val="0"/>
    <w:docVar w:name="NBEMMDOC" w:val="0"/>
    <w:docVar w:name="Plural" w:val="0"/>
  </w:docVars>
  <w:rsids>
    <w:rsidRoot w:val="00545306"/>
    <w:rsid w:val="000318F7"/>
    <w:rsid w:val="000C5149"/>
    <w:rsid w:val="00135384"/>
    <w:rsid w:val="00150BFA"/>
    <w:rsid w:val="00173A91"/>
    <w:rsid w:val="00177329"/>
    <w:rsid w:val="001A15B6"/>
    <w:rsid w:val="001A3C4A"/>
    <w:rsid w:val="001D7CD3"/>
    <w:rsid w:val="001F3812"/>
    <w:rsid w:val="002056B7"/>
    <w:rsid w:val="0020718E"/>
    <w:rsid w:val="0023364D"/>
    <w:rsid w:val="0029309A"/>
    <w:rsid w:val="002B408B"/>
    <w:rsid w:val="002C5B23"/>
    <w:rsid w:val="00337785"/>
    <w:rsid w:val="0037589C"/>
    <w:rsid w:val="003A4546"/>
    <w:rsid w:val="003B3ECB"/>
    <w:rsid w:val="003E6612"/>
    <w:rsid w:val="00403B90"/>
    <w:rsid w:val="00420B0A"/>
    <w:rsid w:val="00476B0D"/>
    <w:rsid w:val="0048584C"/>
    <w:rsid w:val="00497FF8"/>
    <w:rsid w:val="004B0B4E"/>
    <w:rsid w:val="004D042B"/>
    <w:rsid w:val="004D0EC7"/>
    <w:rsid w:val="004F56E2"/>
    <w:rsid w:val="0053750E"/>
    <w:rsid w:val="00545306"/>
    <w:rsid w:val="00552D42"/>
    <w:rsid w:val="00555A1D"/>
    <w:rsid w:val="00573202"/>
    <w:rsid w:val="005B102C"/>
    <w:rsid w:val="005B16C1"/>
    <w:rsid w:val="005C0336"/>
    <w:rsid w:val="005C3A15"/>
    <w:rsid w:val="005F60F9"/>
    <w:rsid w:val="00606600"/>
    <w:rsid w:val="00611E1D"/>
    <w:rsid w:val="006372F5"/>
    <w:rsid w:val="00656431"/>
    <w:rsid w:val="006D324D"/>
    <w:rsid w:val="00743B2A"/>
    <w:rsid w:val="007A72B4"/>
    <w:rsid w:val="007C5602"/>
    <w:rsid w:val="007D661D"/>
    <w:rsid w:val="007F018A"/>
    <w:rsid w:val="008522DD"/>
    <w:rsid w:val="00860732"/>
    <w:rsid w:val="00877434"/>
    <w:rsid w:val="008A0E2E"/>
    <w:rsid w:val="008A72AB"/>
    <w:rsid w:val="008D51B6"/>
    <w:rsid w:val="008E061E"/>
    <w:rsid w:val="008E4FD0"/>
    <w:rsid w:val="00933958"/>
    <w:rsid w:val="00951D93"/>
    <w:rsid w:val="009522DD"/>
    <w:rsid w:val="009D24AA"/>
    <w:rsid w:val="009D3DFF"/>
    <w:rsid w:val="009E42A5"/>
    <w:rsid w:val="00A329E0"/>
    <w:rsid w:val="00A34A54"/>
    <w:rsid w:val="00A44415"/>
    <w:rsid w:val="00A45145"/>
    <w:rsid w:val="00A57696"/>
    <w:rsid w:val="00A6104A"/>
    <w:rsid w:val="00A94CA7"/>
    <w:rsid w:val="00AC03BB"/>
    <w:rsid w:val="00B049F6"/>
    <w:rsid w:val="00B216C1"/>
    <w:rsid w:val="00B57BA3"/>
    <w:rsid w:val="00B64153"/>
    <w:rsid w:val="00B91668"/>
    <w:rsid w:val="00BD554D"/>
    <w:rsid w:val="00BE2415"/>
    <w:rsid w:val="00C01A2D"/>
    <w:rsid w:val="00C20CC3"/>
    <w:rsid w:val="00C877A3"/>
    <w:rsid w:val="00D11DF3"/>
    <w:rsid w:val="00D41409"/>
    <w:rsid w:val="00DB26EE"/>
    <w:rsid w:val="00DE7D3F"/>
    <w:rsid w:val="00E026EC"/>
    <w:rsid w:val="00E10888"/>
    <w:rsid w:val="00ED7723"/>
    <w:rsid w:val="00EF10BD"/>
    <w:rsid w:val="00FB16F8"/>
    <w:rsid w:val="00FC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4C58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53750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53750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53750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53750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53750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53750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53750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53750E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53750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53750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5375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53750E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53750E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53750E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53750E"/>
    <w:rPr>
      <w:color w:val="00B050"/>
      <w:sz w:val="22"/>
    </w:rPr>
  </w:style>
  <w:style w:type="character" w:styleId="Pogrubienie">
    <w:name w:val="Strong"/>
    <w:uiPriority w:val="98"/>
    <w:semiHidden/>
    <w:qFormat/>
    <w:rsid w:val="0053750E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53750E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53750E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53750E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53750E"/>
    <w:pPr>
      <w:numPr>
        <w:numId w:val="125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53750E"/>
    <w:pPr>
      <w:numPr>
        <w:ilvl w:val="2"/>
        <w:numId w:val="125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53750E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3750E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53750E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53750E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53750E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53750E"/>
    <w:pPr>
      <w:keepNext/>
      <w:keepLines/>
      <w:numPr>
        <w:numId w:val="12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53750E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53750E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53750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53750E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53750E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53750E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53750E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53750E"/>
    <w:pPr>
      <w:keepNext/>
      <w:keepLines/>
      <w:numPr>
        <w:ilvl w:val="1"/>
        <w:numId w:val="122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53750E"/>
    <w:pPr>
      <w:keepNext/>
      <w:keepLines/>
      <w:numPr>
        <w:ilvl w:val="2"/>
        <w:numId w:val="122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53750E"/>
    <w:pPr>
      <w:keepNext/>
      <w:keepLines/>
      <w:numPr>
        <w:ilvl w:val="3"/>
        <w:numId w:val="122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53750E"/>
    <w:pPr>
      <w:keepNext/>
      <w:keepLines/>
      <w:numPr>
        <w:ilvl w:val="4"/>
        <w:numId w:val="122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5375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53750E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53750E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53750E"/>
    <w:pPr>
      <w:keepNext/>
      <w:keepLines/>
      <w:numPr>
        <w:ilvl w:val="5"/>
        <w:numId w:val="12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53750E"/>
    <w:pPr>
      <w:keepNext/>
      <w:keepLines/>
      <w:numPr>
        <w:ilvl w:val="6"/>
        <w:numId w:val="12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53750E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53750E"/>
    <w:pPr>
      <w:keepNext/>
      <w:keepLines/>
      <w:numPr>
        <w:ilvl w:val="7"/>
        <w:numId w:val="122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53750E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53750E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53750E"/>
    <w:pPr>
      <w:numPr>
        <w:ilvl w:val="1"/>
        <w:numId w:val="125"/>
      </w:numPr>
    </w:pPr>
  </w:style>
  <w:style w:type="paragraph" w:customStyle="1" w:styleId="NormalJustified">
    <w:name w:val="Normal_Justified"/>
    <w:basedOn w:val="Normalny"/>
    <w:semiHidden/>
    <w:rsid w:val="0053750E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53750E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53750E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53750E"/>
    <w:rPr>
      <w:i/>
      <w:iCs/>
    </w:rPr>
  </w:style>
  <w:style w:type="table" w:customStyle="1" w:styleId="ECHRTable">
    <w:name w:val="ECHR_Table"/>
    <w:basedOn w:val="Standardowy"/>
    <w:rsid w:val="0053750E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53750E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53750E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53750E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3750E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53750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53750E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53750E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53750E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53750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53750E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53750E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53750E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53750E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53750E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53750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53750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53750E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53750E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53750E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53750E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53750E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53750E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53750E"/>
    <w:rPr>
      <w:smallCaps/>
    </w:rPr>
  </w:style>
  <w:style w:type="table" w:styleId="Tabela-Siatka">
    <w:name w:val="Table Grid"/>
    <w:basedOn w:val="Standardowy"/>
    <w:uiPriority w:val="59"/>
    <w:semiHidden/>
    <w:rsid w:val="0053750E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53750E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53750E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53750E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53750E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53750E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53750E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53750E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53750E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53750E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53750E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53750E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53750E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53750E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53750E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53750E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53750E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53750E"/>
    <w:pPr>
      <w:ind w:firstLine="284"/>
    </w:pPr>
  </w:style>
  <w:style w:type="paragraph" w:styleId="Tekstblokowy">
    <w:name w:val="Block Text"/>
    <w:basedOn w:val="Normalny"/>
    <w:uiPriority w:val="98"/>
    <w:semiHidden/>
    <w:rsid w:val="0053750E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53750E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53750E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53750E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53750E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3750E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53750E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53750E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53750E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53750E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53750E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53750E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53750E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53750E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53750E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53750E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53750E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53750E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53750E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53750E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5375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5375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53750E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3750E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3750E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53750E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53750E"/>
    <w:pPr>
      <w:numPr>
        <w:numId w:val="9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53750E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53750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53750E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53750E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53750E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53750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53750E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53750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53750E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53750E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53750E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53750E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5375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53750E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53750E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53750E"/>
  </w:style>
  <w:style w:type="character" w:customStyle="1" w:styleId="DataZnak">
    <w:name w:val="Data Znak"/>
    <w:basedOn w:val="Domylnaczcionkaakapitu"/>
    <w:link w:val="Data"/>
    <w:uiPriority w:val="98"/>
    <w:semiHidden/>
    <w:rsid w:val="0053750E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53750E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53750E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53750E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53750E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53750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5375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53750E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53750E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53750E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53750E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53750E"/>
  </w:style>
  <w:style w:type="paragraph" w:styleId="HTML-adres">
    <w:name w:val="HTML Address"/>
    <w:basedOn w:val="Normalny"/>
    <w:link w:val="HTML-adresZnak"/>
    <w:uiPriority w:val="98"/>
    <w:semiHidden/>
    <w:rsid w:val="0053750E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53750E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53750E"/>
    <w:rPr>
      <w:i/>
      <w:iCs/>
    </w:rPr>
  </w:style>
  <w:style w:type="character" w:styleId="HTML-kod">
    <w:name w:val="HTML Code"/>
    <w:basedOn w:val="Domylnaczcionkaakapitu"/>
    <w:uiPriority w:val="98"/>
    <w:semiHidden/>
    <w:rsid w:val="0053750E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53750E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53750E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53750E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53750E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53750E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53750E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53750E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53750E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53750E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53750E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53750E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53750E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53750E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53750E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53750E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53750E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53750E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53750E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53750E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53750E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53750E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53750E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53750E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53750E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53750E"/>
  </w:style>
  <w:style w:type="paragraph" w:styleId="Lista">
    <w:name w:val="List"/>
    <w:basedOn w:val="Normalny"/>
    <w:uiPriority w:val="98"/>
    <w:semiHidden/>
    <w:rsid w:val="0053750E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53750E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53750E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53750E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53750E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53750E"/>
    <w:pPr>
      <w:numPr>
        <w:numId w:val="95"/>
      </w:numPr>
      <w:contextualSpacing/>
    </w:pPr>
  </w:style>
  <w:style w:type="paragraph" w:styleId="Listapunktowana3">
    <w:name w:val="List Bullet 3"/>
    <w:basedOn w:val="Normalny"/>
    <w:uiPriority w:val="98"/>
    <w:semiHidden/>
    <w:rsid w:val="0053750E"/>
    <w:pPr>
      <w:numPr>
        <w:numId w:val="96"/>
      </w:numPr>
      <w:contextualSpacing/>
    </w:pPr>
  </w:style>
  <w:style w:type="paragraph" w:styleId="Listapunktowana4">
    <w:name w:val="List Bullet 4"/>
    <w:basedOn w:val="Normalny"/>
    <w:uiPriority w:val="98"/>
    <w:semiHidden/>
    <w:rsid w:val="0053750E"/>
    <w:pPr>
      <w:numPr>
        <w:numId w:val="97"/>
      </w:numPr>
      <w:contextualSpacing/>
    </w:pPr>
  </w:style>
  <w:style w:type="paragraph" w:styleId="Listapunktowana5">
    <w:name w:val="List Bullet 5"/>
    <w:basedOn w:val="Normalny"/>
    <w:uiPriority w:val="98"/>
    <w:semiHidden/>
    <w:rsid w:val="0053750E"/>
    <w:pPr>
      <w:numPr>
        <w:numId w:val="9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53750E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53750E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53750E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53750E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53750E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53750E"/>
    <w:pPr>
      <w:numPr>
        <w:numId w:val="99"/>
      </w:numPr>
      <w:contextualSpacing/>
    </w:pPr>
  </w:style>
  <w:style w:type="paragraph" w:styleId="Listanumerowana2">
    <w:name w:val="List Number 2"/>
    <w:basedOn w:val="Normalny"/>
    <w:uiPriority w:val="98"/>
    <w:semiHidden/>
    <w:rsid w:val="0053750E"/>
    <w:pPr>
      <w:numPr>
        <w:numId w:val="100"/>
      </w:numPr>
      <w:contextualSpacing/>
    </w:pPr>
  </w:style>
  <w:style w:type="paragraph" w:styleId="Listanumerowana3">
    <w:name w:val="List Number 3"/>
    <w:basedOn w:val="Normalny"/>
    <w:uiPriority w:val="98"/>
    <w:semiHidden/>
    <w:rsid w:val="0053750E"/>
    <w:pPr>
      <w:numPr>
        <w:numId w:val="101"/>
      </w:numPr>
      <w:contextualSpacing/>
    </w:pPr>
  </w:style>
  <w:style w:type="paragraph" w:styleId="Listanumerowana4">
    <w:name w:val="List Number 4"/>
    <w:basedOn w:val="Normalny"/>
    <w:uiPriority w:val="98"/>
    <w:semiHidden/>
    <w:rsid w:val="0053750E"/>
    <w:pPr>
      <w:numPr>
        <w:numId w:val="102"/>
      </w:numPr>
      <w:contextualSpacing/>
    </w:pPr>
  </w:style>
  <w:style w:type="paragraph" w:styleId="Listanumerowana5">
    <w:name w:val="List Number 5"/>
    <w:basedOn w:val="Normalny"/>
    <w:uiPriority w:val="98"/>
    <w:semiHidden/>
    <w:rsid w:val="0053750E"/>
    <w:pPr>
      <w:numPr>
        <w:numId w:val="103"/>
      </w:numPr>
      <w:contextualSpacing/>
    </w:pPr>
  </w:style>
  <w:style w:type="paragraph" w:styleId="Tekstmakra">
    <w:name w:val="macro"/>
    <w:link w:val="TekstmakraZnak"/>
    <w:uiPriority w:val="98"/>
    <w:semiHidden/>
    <w:rsid w:val="0053750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53750E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53750E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53750E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53750E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53750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53750E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53750E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53750E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3750E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53750E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53750E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53750E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53750E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53750E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53750E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53750E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53750E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53750E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53750E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53750E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53750E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53750E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53750E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53750E"/>
  </w:style>
  <w:style w:type="table" w:styleId="Tabela-Profesjonalny">
    <w:name w:val="Table Professional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53750E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53750E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53750E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53750E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53750E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53750E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53750E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53750E"/>
  </w:style>
  <w:style w:type="paragraph" w:customStyle="1" w:styleId="DecList">
    <w:name w:val="Dec_List"/>
    <w:aliases w:val="_List"/>
    <w:basedOn w:val="JuList"/>
    <w:uiPriority w:val="22"/>
    <w:rsid w:val="0053750E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53750E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3750E"/>
    <w:pPr>
      <w:numPr>
        <w:numId w:val="110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3750E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3750E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3750E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53750E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3750E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53750E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53750E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53750E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53750E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53750E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53750E"/>
    <w:pPr>
      <w:keepNext/>
      <w:keepLines/>
      <w:numPr>
        <w:ilvl w:val="8"/>
        <w:numId w:val="12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53750E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3750E"/>
    <w:pPr>
      <w:numPr>
        <w:numId w:val="114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3750E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3750E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3750E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3750E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53750E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53750E"/>
    <w:rPr>
      <w:sz w:val="4"/>
    </w:rPr>
  </w:style>
  <w:style w:type="table" w:customStyle="1" w:styleId="ECHRTable2">
    <w:name w:val="ECHR_Table_2"/>
    <w:basedOn w:val="Standardowy"/>
    <w:uiPriority w:val="99"/>
    <w:rsid w:val="0053750E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53750E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53750E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53750E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53750E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53750E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53750E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53750E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53750E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53750E"/>
    <w:pPr>
      <w:outlineLvl w:val="0"/>
    </w:pPr>
  </w:style>
  <w:style w:type="table" w:customStyle="1" w:styleId="ECHRTableGrey">
    <w:name w:val="ECHR_Table_Grey"/>
    <w:basedOn w:val="Standardowy"/>
    <w:uiPriority w:val="99"/>
    <w:rsid w:val="0053750E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3750E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53750E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53750E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53750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5375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5375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5375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53750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5375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5375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5375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53750E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5375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5375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53750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5375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5375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5375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53750E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53750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53750E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53750E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53750E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53750E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53750E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53750E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53750E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53750E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53750E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53750E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53750E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53750E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53750E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53750E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53750E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53750E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53750E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53750E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53750E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53750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53750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53750E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53750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53750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53750E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53750E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53750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2024-07-22T14:15:00Z</dcterms:created>
  <dcterms:modified xsi:type="dcterms:W3CDTF">2024-07-22T14:15:00Z</dcterms:modified>
  <cp:category/>
</cp:coreProperties>
</file>