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C3D6B3" w14:textId="38B029D3" w:rsidR="008D51B6" w:rsidRPr="007A48C7" w:rsidRDefault="008D51B6" w:rsidP="007A48C7">
      <w:pPr>
        <w:jc w:val="center"/>
      </w:pPr>
    </w:p>
    <w:p w14:paraId="5210902E" w14:textId="77777777" w:rsidR="004D042B" w:rsidRPr="007A48C7" w:rsidRDefault="004D042B" w:rsidP="007A48C7">
      <w:pPr>
        <w:jc w:val="center"/>
      </w:pPr>
    </w:p>
    <w:p w14:paraId="607817FD" w14:textId="77777777" w:rsidR="000C5149" w:rsidRPr="007A48C7" w:rsidRDefault="000C5149" w:rsidP="007A48C7">
      <w:pPr>
        <w:jc w:val="center"/>
      </w:pPr>
    </w:p>
    <w:p w14:paraId="7A3D3899" w14:textId="77777777" w:rsidR="00606600" w:rsidRPr="007A48C7" w:rsidRDefault="00DF373B" w:rsidP="007A48C7">
      <w:pPr>
        <w:pStyle w:val="DecHTitle"/>
      </w:pPr>
      <w:r>
        <w:t>SEKCJA PIERWSZA</w:t>
      </w:r>
    </w:p>
    <w:p w14:paraId="19B130CF" w14:textId="77777777" w:rsidR="006D324D" w:rsidRPr="007A48C7" w:rsidRDefault="00DF373B" w:rsidP="007A48C7">
      <w:pPr>
        <w:pStyle w:val="JuTitle"/>
      </w:pPr>
      <w:bookmarkStart w:id="0" w:name="To"/>
      <w:r>
        <w:rPr>
          <w:color w:val="000000" w:themeColor="text1"/>
        </w:rPr>
        <w:t>SPRAWA</w:t>
      </w:r>
      <w:bookmarkEnd w:id="0"/>
      <w:r>
        <w:rPr>
          <w:color w:val="000000" w:themeColor="text1"/>
        </w:rPr>
        <w:t xml:space="preserve"> </w:t>
      </w:r>
      <w:r>
        <w:t>JANOWSKI PRZECIWKO POLSCE</w:t>
      </w:r>
    </w:p>
    <w:p w14:paraId="3DAA25FA" w14:textId="77777777" w:rsidR="006D324D" w:rsidRPr="007A48C7" w:rsidRDefault="00DF373B" w:rsidP="007A48C7">
      <w:pPr>
        <w:pStyle w:val="ECHRCoverTitle4"/>
      </w:pPr>
      <w:r>
        <w:t>(Skarga nr 36483/19)</w:t>
      </w:r>
    </w:p>
    <w:p w14:paraId="437FCB2D" w14:textId="77777777" w:rsidR="006D324D" w:rsidRPr="007A48C7" w:rsidRDefault="006D324D" w:rsidP="007A48C7">
      <w:pPr>
        <w:pStyle w:val="DecHCase"/>
      </w:pPr>
    </w:p>
    <w:p w14:paraId="18A251A5" w14:textId="77777777" w:rsidR="006D324D" w:rsidRPr="007A48C7" w:rsidRDefault="006D324D" w:rsidP="007A48C7">
      <w:pPr>
        <w:pStyle w:val="DecHCase"/>
      </w:pPr>
    </w:p>
    <w:p w14:paraId="2622E7AE" w14:textId="77777777" w:rsidR="00606600" w:rsidRPr="007A48C7" w:rsidRDefault="00606600" w:rsidP="007A48C7">
      <w:pPr>
        <w:pStyle w:val="DecHCase"/>
      </w:pPr>
    </w:p>
    <w:p w14:paraId="241ED5A7" w14:textId="77777777" w:rsidR="00606600" w:rsidRPr="007A48C7" w:rsidRDefault="00606600" w:rsidP="007A48C7">
      <w:pPr>
        <w:pStyle w:val="DecHCase"/>
      </w:pPr>
    </w:p>
    <w:p w14:paraId="4DF74088" w14:textId="77777777" w:rsidR="00606600" w:rsidRPr="007A48C7" w:rsidRDefault="00606600" w:rsidP="007A48C7">
      <w:pPr>
        <w:pStyle w:val="DecHCase"/>
      </w:pPr>
    </w:p>
    <w:p w14:paraId="21738B95" w14:textId="77777777" w:rsidR="00606600" w:rsidRPr="007A48C7" w:rsidRDefault="00606600" w:rsidP="007A48C7">
      <w:pPr>
        <w:pStyle w:val="DecHCase"/>
      </w:pPr>
    </w:p>
    <w:p w14:paraId="68BE955D" w14:textId="77777777" w:rsidR="00606600" w:rsidRPr="007A48C7" w:rsidRDefault="00DF373B" w:rsidP="007A48C7">
      <w:pPr>
        <w:pStyle w:val="DecHCase"/>
        <w:rPr>
          <w:i/>
        </w:rPr>
      </w:pPr>
      <w:r>
        <w:t>WYROK</w:t>
      </w:r>
      <w:r>
        <w:br/>
      </w:r>
    </w:p>
    <w:p w14:paraId="72750080" w14:textId="77777777" w:rsidR="00606600" w:rsidRPr="007A48C7" w:rsidRDefault="00DF373B" w:rsidP="007A48C7">
      <w:pPr>
        <w:pStyle w:val="DecHCase"/>
      </w:pPr>
      <w:r>
        <w:t>STRASBURG</w:t>
      </w:r>
    </w:p>
    <w:p w14:paraId="0DA12809" w14:textId="77777777" w:rsidR="00606600" w:rsidRPr="007A48C7" w:rsidRDefault="00DF373B" w:rsidP="007A48C7">
      <w:pPr>
        <w:pStyle w:val="DecHCase"/>
      </w:pPr>
      <w:r>
        <w:t>6 czerwca 2024 r.</w:t>
      </w:r>
    </w:p>
    <w:p w14:paraId="7A89ACB8" w14:textId="77777777" w:rsidR="00606600" w:rsidRPr="007A48C7" w:rsidRDefault="00606600" w:rsidP="007A48C7">
      <w:pPr>
        <w:jc w:val="center"/>
      </w:pPr>
    </w:p>
    <w:p w14:paraId="0EB40BAD" w14:textId="77777777" w:rsidR="00606600" w:rsidRPr="007A48C7" w:rsidRDefault="00DF373B" w:rsidP="007A48C7">
      <w:pPr>
        <w:jc w:val="center"/>
        <w:rPr>
          <w:sz w:val="22"/>
          <w:szCs w:val="22"/>
        </w:rPr>
      </w:pPr>
      <w:r>
        <w:rPr>
          <w:i/>
          <w:sz w:val="22"/>
          <w:szCs w:val="22"/>
        </w:rPr>
        <w:t>Wyrok jest ostateczny, ale może podlegać korekcie wydawniczej.</w:t>
      </w:r>
    </w:p>
    <w:p w14:paraId="2C30B701" w14:textId="77777777" w:rsidR="00606600" w:rsidRPr="007A48C7" w:rsidRDefault="00606600" w:rsidP="007A48C7">
      <w:pPr>
        <w:pStyle w:val="JuCase"/>
        <w:sectPr w:rsidR="00606600" w:rsidRPr="007A48C7" w:rsidSect="00B91668"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footnotePr>
            <w:numRestart w:val="eachPage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cols w:space="720"/>
          <w:titlePg/>
          <w:docGrid w:linePitch="326"/>
        </w:sectPr>
      </w:pPr>
    </w:p>
    <w:p w14:paraId="63E95BF5" w14:textId="77777777" w:rsidR="00606600" w:rsidRPr="007A48C7" w:rsidRDefault="00DF373B" w:rsidP="007A48C7">
      <w:pPr>
        <w:pStyle w:val="JuCase"/>
        <w:rPr>
          <w:bCs/>
        </w:rPr>
      </w:pPr>
      <w:r>
        <w:lastRenderedPageBreak/>
        <w:t>W sprawie Janowski przeciwko Polsce</w:t>
      </w:r>
    </w:p>
    <w:p w14:paraId="0A79A17F" w14:textId="77777777" w:rsidR="00606600" w:rsidRPr="007A48C7" w:rsidRDefault="00DF373B" w:rsidP="007A48C7">
      <w:pPr>
        <w:pStyle w:val="JuPara"/>
      </w:pPr>
      <w:r>
        <w:t>Europejski Trybunał Praw Człowieka (sekcja pierwsza), zasiadając jako Komitet w składzie:</w:t>
      </w:r>
    </w:p>
    <w:p w14:paraId="7735304B" w14:textId="77777777" w:rsidR="002C5B23" w:rsidRPr="007A48C7" w:rsidRDefault="00DF373B" w:rsidP="007A48C7">
      <w:pPr>
        <w:pStyle w:val="JuJudges"/>
      </w:pPr>
      <w:r>
        <w:tab/>
      </w:r>
      <w:proofErr w:type="spellStart"/>
      <w:r>
        <w:t>Péter</w:t>
      </w:r>
      <w:proofErr w:type="spellEnd"/>
      <w:r>
        <w:t xml:space="preserve"> </w:t>
      </w:r>
      <w:proofErr w:type="spellStart"/>
      <w:r>
        <w:t>Paczolay</w:t>
      </w:r>
      <w:proofErr w:type="spellEnd"/>
      <w:r>
        <w:rPr>
          <w:i/>
        </w:rPr>
        <w:t>, Pr</w:t>
      </w:r>
      <w:r>
        <w:t>z</w:t>
      </w:r>
      <w:r>
        <w:rPr>
          <w:i/>
          <w:iCs/>
        </w:rPr>
        <w:t>ewodniczący</w:t>
      </w:r>
      <w:r>
        <w:t>,</w:t>
      </w:r>
      <w:r>
        <w:br/>
      </w:r>
      <w:r>
        <w:tab/>
        <w:t xml:space="preserve">Gilberto </w:t>
      </w:r>
      <w:proofErr w:type="spellStart"/>
      <w:r>
        <w:t>Felici</w:t>
      </w:r>
      <w:proofErr w:type="spellEnd"/>
      <w:r>
        <w:t>,</w:t>
      </w:r>
      <w:r>
        <w:br/>
      </w:r>
      <w:r>
        <w:tab/>
      </w:r>
      <w:proofErr w:type="spellStart"/>
      <w:r>
        <w:t>Raffaele</w:t>
      </w:r>
      <w:proofErr w:type="spellEnd"/>
      <w:r>
        <w:t xml:space="preserve"> </w:t>
      </w:r>
      <w:proofErr w:type="spellStart"/>
      <w:r>
        <w:t>Sabato</w:t>
      </w:r>
      <w:proofErr w:type="spellEnd"/>
      <w:r>
        <w:rPr>
          <w:i/>
        </w:rPr>
        <w:t>, sędziowie</w:t>
      </w:r>
      <w:r>
        <w:t>,</w:t>
      </w:r>
    </w:p>
    <w:p w14:paraId="4E8A9F10" w14:textId="77777777" w:rsidR="00606600" w:rsidRPr="007A48C7" w:rsidRDefault="00DF373B" w:rsidP="007A48C7">
      <w:pPr>
        <w:pStyle w:val="JuJudges"/>
      </w:pPr>
      <w:r>
        <w:t xml:space="preserve">oraz </w:t>
      </w:r>
      <w:proofErr w:type="spellStart"/>
      <w:r>
        <w:t>Viktoriya</w:t>
      </w:r>
      <w:proofErr w:type="spellEnd"/>
      <w:r>
        <w:t xml:space="preserve"> </w:t>
      </w:r>
      <w:proofErr w:type="spellStart"/>
      <w:r>
        <w:t>Maradudina</w:t>
      </w:r>
      <w:proofErr w:type="spellEnd"/>
      <w:r>
        <w:t xml:space="preserve">, </w:t>
      </w:r>
      <w:r>
        <w:rPr>
          <w:i/>
        </w:rPr>
        <w:t>p.o. Zastępcy Kanclerza Sekcji,</w:t>
      </w:r>
    </w:p>
    <w:p w14:paraId="3704FF5B" w14:textId="77777777" w:rsidR="00606600" w:rsidRPr="007A48C7" w:rsidRDefault="00DF373B" w:rsidP="007A48C7">
      <w:pPr>
        <w:pStyle w:val="JuPara"/>
      </w:pPr>
      <w:r>
        <w:t>obradując na posiedzeniu niejawnym w dniu16 maja 2024 r.,</w:t>
      </w:r>
    </w:p>
    <w:p w14:paraId="55C51807" w14:textId="77777777" w:rsidR="00606600" w:rsidRPr="007A48C7" w:rsidRDefault="00DF373B" w:rsidP="007A48C7">
      <w:pPr>
        <w:pStyle w:val="JuPara"/>
      </w:pPr>
      <w:r>
        <w:t>wydaje następujący wyrok, który został przyjęty w tym dniu:</w:t>
      </w:r>
    </w:p>
    <w:p w14:paraId="0537B9CF" w14:textId="77777777" w:rsidR="00230C5C" w:rsidRPr="007A48C7" w:rsidRDefault="00DF373B" w:rsidP="007A48C7">
      <w:pPr>
        <w:pStyle w:val="JuHHead"/>
      </w:pPr>
      <w:bookmarkStart w:id="1" w:name="ITMARKStartJudgment"/>
      <w:bookmarkEnd w:id="1"/>
      <w:r>
        <w:t>POSTĘPOWANIE</w:t>
      </w:r>
    </w:p>
    <w:p w14:paraId="45DFF7F1" w14:textId="0E9580B7" w:rsidR="00230C5C" w:rsidRPr="007A48C7" w:rsidRDefault="00DF373B" w:rsidP="007A48C7">
      <w:pPr>
        <w:pStyle w:val="JuPara"/>
      </w:pPr>
      <w:r w:rsidRPr="007A48C7">
        <w:fldChar w:fldCharType="begin"/>
      </w:r>
      <w:r w:rsidRPr="007A48C7">
        <w:instrText xml:space="preserve"> SEQ level0 \*arabic </w:instrText>
      </w:r>
      <w:r w:rsidRPr="007A48C7">
        <w:fldChar w:fldCharType="separate"/>
      </w:r>
      <w:r w:rsidR="006E7367">
        <w:rPr>
          <w:noProof/>
        </w:rPr>
        <w:t>1</w:t>
      </w:r>
      <w:r w:rsidRPr="007A48C7">
        <w:fldChar w:fldCharType="end"/>
      </w:r>
      <w:r>
        <w:t>.  Sprawa wywodzi się ze skargi przeciwko Polsce, wniesionej do Trybunału w dniu 6 sierpnia 2019 r. na podstawie art. 34 Konwencji o ochronie praw człowieka i podstawowych wolności („Konwencja”).</w:t>
      </w:r>
    </w:p>
    <w:p w14:paraId="3C37A5CD" w14:textId="7F72EA3D" w:rsidR="00230C5C" w:rsidRPr="007A48C7" w:rsidRDefault="00DF373B" w:rsidP="007A48C7">
      <w:pPr>
        <w:pStyle w:val="JuPara"/>
      </w:pPr>
      <w:r w:rsidRPr="007A48C7">
        <w:rPr>
          <w:rFonts w:cs="Times New Roman"/>
        </w:rPr>
        <w:fldChar w:fldCharType="begin"/>
      </w:r>
      <w:r w:rsidRPr="007A48C7">
        <w:rPr>
          <w:rFonts w:cs="Times New Roman"/>
        </w:rPr>
        <w:instrText xml:space="preserve"> SEQ level0 \*arabic </w:instrText>
      </w:r>
      <w:r w:rsidRPr="007A48C7">
        <w:rPr>
          <w:rFonts w:cs="Times New Roman"/>
        </w:rPr>
        <w:fldChar w:fldCharType="separate"/>
      </w:r>
      <w:r w:rsidR="006E7367">
        <w:rPr>
          <w:rFonts w:cs="Times New Roman"/>
          <w:noProof/>
        </w:rPr>
        <w:t>2</w:t>
      </w:r>
      <w:r w:rsidRPr="007A48C7">
        <w:rPr>
          <w:rFonts w:cs="Times New Roman"/>
        </w:rPr>
        <w:fldChar w:fldCharType="end"/>
      </w:r>
      <w:r>
        <w:t>.  Sprawa została zakomunikowana rządowi polskiemu („Rząd”).</w:t>
      </w:r>
    </w:p>
    <w:p w14:paraId="3DE08DBA" w14:textId="77777777" w:rsidR="00230C5C" w:rsidRPr="007A48C7" w:rsidRDefault="00DF373B" w:rsidP="007A48C7">
      <w:pPr>
        <w:pStyle w:val="JuHHead"/>
      </w:pPr>
      <w:r>
        <w:t>FAKTY</w:t>
      </w:r>
    </w:p>
    <w:p w14:paraId="6AA9F3C1" w14:textId="104E6ECE" w:rsidR="00230C5C" w:rsidRPr="007A48C7" w:rsidRDefault="00000000" w:rsidP="007A48C7">
      <w:pPr>
        <w:pStyle w:val="JuPara"/>
      </w:pPr>
      <w:fldSimple w:instr=" SEQ level0 \*arabic \* MERGEFORMAT ">
        <w:r w:rsidR="006E7367">
          <w:rPr>
            <w:noProof/>
          </w:rPr>
          <w:t>3</w:t>
        </w:r>
      </w:fldSimple>
      <w:r w:rsidR="00DF373B">
        <w:t>.  Dane skarżącego oraz informacje istotne dla skargi przedstawiono w załączonej tabeli.</w:t>
      </w:r>
    </w:p>
    <w:p w14:paraId="14F9357E" w14:textId="14C010E4" w:rsidR="00230C5C" w:rsidRPr="007A48C7" w:rsidRDefault="00DF373B" w:rsidP="007A48C7">
      <w:pPr>
        <w:pStyle w:val="JuPara"/>
        <w:rPr>
          <w:bCs/>
        </w:rPr>
      </w:pPr>
      <w:r w:rsidRPr="007A48C7">
        <w:fldChar w:fldCharType="begin"/>
      </w:r>
      <w:r w:rsidRPr="007A48C7">
        <w:instrText xml:space="preserve"> SEQ level0 \*arabic </w:instrText>
      </w:r>
      <w:r w:rsidRPr="007A48C7">
        <w:fldChar w:fldCharType="separate"/>
      </w:r>
      <w:r w:rsidR="006E7367">
        <w:rPr>
          <w:noProof/>
        </w:rPr>
        <w:t>4</w:t>
      </w:r>
      <w:r w:rsidRPr="007A48C7">
        <w:fldChar w:fldCharType="end"/>
      </w:r>
      <w:r>
        <w:t>.  Skarżący skarżył się na nadmierną długość tymczasowego aresztowania, a także podniósł inne zarzuty na podstawie postanowień Konwencji.</w:t>
      </w:r>
    </w:p>
    <w:p w14:paraId="3785D859" w14:textId="77777777" w:rsidR="00230C5C" w:rsidRPr="007A48C7" w:rsidRDefault="00DF373B" w:rsidP="007A48C7">
      <w:pPr>
        <w:pStyle w:val="JuHHead"/>
      </w:pPr>
      <w:r>
        <w:t>PRAWO</w:t>
      </w:r>
    </w:p>
    <w:p w14:paraId="24C9A34D" w14:textId="77777777" w:rsidR="00230C5C" w:rsidRPr="007A48C7" w:rsidRDefault="00DF373B" w:rsidP="007A48C7">
      <w:pPr>
        <w:pStyle w:val="JuHIRoman"/>
        <w:rPr>
          <w:rFonts w:eastAsia="PMingLiU"/>
        </w:rPr>
      </w:pPr>
      <w:r>
        <w:t>ZARZUCANE NARUSZENIE ART. 5 UST. 3 KONWENCJI</w:t>
      </w:r>
    </w:p>
    <w:p w14:paraId="668A9A0F" w14:textId="58AD7FBB" w:rsidR="00230C5C" w:rsidRPr="007A48C7" w:rsidRDefault="00DF373B" w:rsidP="007A48C7">
      <w:pPr>
        <w:pStyle w:val="JuPara"/>
      </w:pPr>
      <w:r w:rsidRPr="007A48C7">
        <w:fldChar w:fldCharType="begin"/>
      </w:r>
      <w:r w:rsidRPr="007A48C7">
        <w:instrText xml:space="preserve"> SEQ level0 \*arabic </w:instrText>
      </w:r>
      <w:r w:rsidRPr="007A48C7">
        <w:fldChar w:fldCharType="separate"/>
      </w:r>
      <w:r w:rsidR="006E7367">
        <w:rPr>
          <w:noProof/>
        </w:rPr>
        <w:t>5</w:t>
      </w:r>
      <w:r w:rsidRPr="007A48C7">
        <w:fldChar w:fldCharType="end"/>
      </w:r>
      <w:r>
        <w:t>.  Skarżący zarzucił przede wszystkim, że jego tymczasowe aresztowanie było niezasadnie długotrwałe. Powołał się na art. 5 ust. 3 Konwencji.</w:t>
      </w:r>
    </w:p>
    <w:p w14:paraId="6E453086" w14:textId="3EB8DAC2" w:rsidR="00230C5C" w:rsidRPr="007A48C7" w:rsidRDefault="00DF373B" w:rsidP="007A48C7">
      <w:pPr>
        <w:pStyle w:val="JuPara"/>
      </w:pPr>
      <w:r w:rsidRPr="007A48C7">
        <w:fldChar w:fldCharType="begin"/>
      </w:r>
      <w:r w:rsidRPr="007A48C7">
        <w:instrText xml:space="preserve"> SEQ level0 \*arabic </w:instrText>
      </w:r>
      <w:r w:rsidRPr="007A48C7">
        <w:fldChar w:fldCharType="separate"/>
      </w:r>
      <w:r w:rsidR="006E7367">
        <w:rPr>
          <w:noProof/>
        </w:rPr>
        <w:t>6</w:t>
      </w:r>
      <w:r w:rsidRPr="007A48C7">
        <w:fldChar w:fldCharType="end"/>
      </w:r>
      <w:r>
        <w:t xml:space="preserve">.  Trybunał zauważa, że zasady ogólne dotyczące prawa do bycia sądzonym w rozsądnym terminie albo zwolnienia na czas postępowania, gwarantowanego w art. 5 ust. 3 Konwencji, zostały określone w szeregu wcześniejszych wyroków (zob. między innymi </w:t>
      </w:r>
      <w:r>
        <w:rPr>
          <w:i/>
        </w:rPr>
        <w:t>Kudła przeciwko Polsce</w:t>
      </w:r>
      <w:r>
        <w:t xml:space="preserve"> [WI], nr 30210/96, § 110 i nast., </w:t>
      </w:r>
      <w:proofErr w:type="spellStart"/>
      <w:r>
        <w:t>ETPCz</w:t>
      </w:r>
      <w:proofErr w:type="spellEnd"/>
      <w:r>
        <w:t> 2000</w:t>
      </w:r>
      <w:r>
        <w:noBreakHyphen/>
        <w:t xml:space="preserve">XI; oraz </w:t>
      </w:r>
      <w:proofErr w:type="spellStart"/>
      <w:r>
        <w:rPr>
          <w:i/>
          <w:iCs/>
        </w:rPr>
        <w:t>McKay</w:t>
      </w:r>
      <w:proofErr w:type="spellEnd"/>
      <w:r>
        <w:rPr>
          <w:i/>
          <w:iCs/>
        </w:rPr>
        <w:t xml:space="preserve"> przeciwko Zjednoczonemu Królestwu</w:t>
      </w:r>
      <w:r>
        <w:t xml:space="preserve"> [WI], nr 543/03, §§ 41-44, </w:t>
      </w:r>
      <w:proofErr w:type="spellStart"/>
      <w:r>
        <w:t>ETPCz</w:t>
      </w:r>
      <w:proofErr w:type="spellEnd"/>
      <w:r>
        <w:t> 2006</w:t>
      </w:r>
      <w:r>
        <w:noBreakHyphen/>
        <w:t>X, z dalszymi odniesieniami).</w:t>
      </w:r>
    </w:p>
    <w:p w14:paraId="6F638747" w14:textId="035502E4" w:rsidR="00230C5C" w:rsidRPr="007A48C7" w:rsidRDefault="00DF373B" w:rsidP="007A48C7">
      <w:pPr>
        <w:pStyle w:val="JuPara"/>
      </w:pPr>
      <w:r w:rsidRPr="007A48C7">
        <w:fldChar w:fldCharType="begin"/>
      </w:r>
      <w:r w:rsidRPr="007A48C7">
        <w:instrText xml:space="preserve"> SEQ level0 \*arabic </w:instrText>
      </w:r>
      <w:r w:rsidRPr="007A48C7">
        <w:fldChar w:fldCharType="separate"/>
      </w:r>
      <w:r w:rsidR="006E7367">
        <w:rPr>
          <w:noProof/>
        </w:rPr>
        <w:t>7</w:t>
      </w:r>
      <w:r w:rsidRPr="007A48C7">
        <w:fldChar w:fldCharType="end"/>
      </w:r>
      <w:r>
        <w:t xml:space="preserve">.  W sprawach wiodących </w:t>
      </w:r>
      <w:proofErr w:type="spellStart"/>
      <w:r>
        <w:rPr>
          <w:i/>
          <w:iCs/>
        </w:rPr>
        <w:t>Kauczor</w:t>
      </w:r>
      <w:proofErr w:type="spellEnd"/>
      <w:r>
        <w:rPr>
          <w:i/>
          <w:iCs/>
        </w:rPr>
        <w:t xml:space="preserve"> przeciwko Polsc</w:t>
      </w:r>
      <w:r>
        <w:t xml:space="preserve">e, nr 45219/06, 3 lutego 2009 r., oraz </w:t>
      </w:r>
      <w:proofErr w:type="spellStart"/>
      <w:r>
        <w:rPr>
          <w:i/>
          <w:iCs/>
        </w:rPr>
        <w:t>Celejewski</w:t>
      </w:r>
      <w:proofErr w:type="spellEnd"/>
      <w:r>
        <w:rPr>
          <w:i/>
          <w:iCs/>
        </w:rPr>
        <w:t xml:space="preserve"> przeciwko Polsce</w:t>
      </w:r>
      <w:r>
        <w:t>, nr 17584/04, 4 maja 2006 r., Trybunał stwierdził już naruszenie w odniesieniu do kwestii podobnych do tych w niniejszej sprawie.</w:t>
      </w:r>
    </w:p>
    <w:p w14:paraId="58499FB5" w14:textId="01C7AC4D" w:rsidR="00230C5C" w:rsidRPr="007A48C7" w:rsidRDefault="00DF373B" w:rsidP="007A48C7">
      <w:pPr>
        <w:pStyle w:val="JuPara"/>
      </w:pPr>
      <w:r w:rsidRPr="007A48C7">
        <w:fldChar w:fldCharType="begin"/>
      </w:r>
      <w:r w:rsidRPr="007A48C7">
        <w:instrText xml:space="preserve"> SEQ level0 \*arabic </w:instrText>
      </w:r>
      <w:r w:rsidRPr="007A48C7">
        <w:fldChar w:fldCharType="separate"/>
      </w:r>
      <w:r w:rsidR="006E7367">
        <w:rPr>
          <w:noProof/>
        </w:rPr>
        <w:t>8</w:t>
      </w:r>
      <w:r w:rsidRPr="007A48C7">
        <w:fldChar w:fldCharType="end"/>
      </w:r>
      <w:r>
        <w:t xml:space="preserve">.  Po zapoznaniu się z całym przedstawionym mu materiałem Trybunał nie ustalił żadnego faktu ani argumentu, które mogłyby przekonać go do </w:t>
      </w:r>
      <w:r>
        <w:lastRenderedPageBreak/>
        <w:t>wyciągnięcia innych wniosków w sprawie dopuszczalności i zasadności tych skarg. Uwzględniając swoje orzecznictwo w tym zakresie, Trybunał uznaje, że w niniejszej sprawie czas trwania tymczasowego aresztowania skarżącego był nadmierny.</w:t>
      </w:r>
    </w:p>
    <w:p w14:paraId="1B80D8C5" w14:textId="058BB199" w:rsidR="00230C5C" w:rsidRPr="007A48C7" w:rsidRDefault="00DF373B" w:rsidP="007A48C7">
      <w:pPr>
        <w:pStyle w:val="JuPara"/>
      </w:pPr>
      <w:r w:rsidRPr="007A48C7">
        <w:fldChar w:fldCharType="begin"/>
      </w:r>
      <w:r w:rsidRPr="007A48C7">
        <w:instrText xml:space="preserve"> SEQ level0 \*arabic </w:instrText>
      </w:r>
      <w:r w:rsidRPr="007A48C7">
        <w:fldChar w:fldCharType="separate"/>
      </w:r>
      <w:r w:rsidR="006E7367">
        <w:rPr>
          <w:noProof/>
        </w:rPr>
        <w:t>9</w:t>
      </w:r>
      <w:r w:rsidRPr="007A48C7">
        <w:fldChar w:fldCharType="end"/>
      </w:r>
      <w:r>
        <w:t>.  Skargi te są zatem dopuszczalne i wskazują na naruszenie art. 5 ust. 3 Konwencji.</w:t>
      </w:r>
    </w:p>
    <w:p w14:paraId="3908B444" w14:textId="77777777" w:rsidR="00230C5C" w:rsidRPr="007A48C7" w:rsidRDefault="00DF373B" w:rsidP="007A48C7">
      <w:pPr>
        <w:pStyle w:val="JuHIRoman"/>
        <w:rPr>
          <w:rFonts w:eastAsia="PMingLiU"/>
        </w:rPr>
      </w:pPr>
      <w:r>
        <w:t>INNE ZARZUCANE NARUSZENIA ZGODNIE Z UGRUNTOWANYM ORZECZNICTWEM</w:t>
      </w:r>
    </w:p>
    <w:p w14:paraId="1DF85F1C" w14:textId="05518CCC" w:rsidR="00230C5C" w:rsidRPr="007A48C7" w:rsidRDefault="00DF373B" w:rsidP="007A48C7">
      <w:pPr>
        <w:pStyle w:val="JuPara"/>
      </w:pPr>
      <w:r w:rsidRPr="007A48C7">
        <w:fldChar w:fldCharType="begin"/>
      </w:r>
      <w:r w:rsidRPr="007A48C7">
        <w:instrText xml:space="preserve"> SEQ level0 \*arabic </w:instrText>
      </w:r>
      <w:r w:rsidRPr="007A48C7">
        <w:fldChar w:fldCharType="separate"/>
      </w:r>
      <w:r w:rsidR="006E7367">
        <w:rPr>
          <w:noProof/>
        </w:rPr>
        <w:t>10</w:t>
      </w:r>
      <w:r w:rsidRPr="007A48C7">
        <w:fldChar w:fldCharType="end"/>
      </w:r>
      <w:r>
        <w:t xml:space="preserve">.  Skarżący </w:t>
      </w:r>
      <w:r w:rsidR="0062733B">
        <w:t>sformułowań inne zarzuty</w:t>
      </w:r>
      <w:r>
        <w:t xml:space="preserve">, w których również podniósł kwestie wynikające z Konwencji, biorąc pod uwagę odpowiednie ugruntowane orzecznictwo Trybunału (zob. załączona tabela). Skargi nie są w sposób oczywisty nieuzasadnione w rozumieniu art. 35 ust. 3 lit. a Konwencji ani niedopuszczalne z jakichkolwiek innych względów. W związku z tym należy je uznać za dopuszczalne. Po przeanalizowaniu wszystkich zgromadzonych materiałów Trybunał stwierdza, że wskazują one również na naruszenia Konwencji w świetle jego ustaleń w sprawie </w:t>
      </w:r>
      <w:bookmarkStart w:id="2" w:name="_cl25951"/>
      <w:proofErr w:type="spellStart"/>
      <w:r w:rsidRPr="0062733B">
        <w:rPr>
          <w:i/>
          <w:iCs/>
        </w:rPr>
        <w:t>Frasik</w:t>
      </w:r>
      <w:proofErr w:type="spellEnd"/>
      <w:r w:rsidRPr="0062733B">
        <w:rPr>
          <w:i/>
          <w:iCs/>
        </w:rPr>
        <w:t xml:space="preserve"> przeciwko Polsce</w:t>
      </w:r>
      <w:bookmarkEnd w:id="2"/>
      <w:r>
        <w:t xml:space="preserve">, nr 22933/02, §§ 64-66, </w:t>
      </w:r>
      <w:proofErr w:type="spellStart"/>
      <w:r>
        <w:t>ETPCz</w:t>
      </w:r>
      <w:proofErr w:type="spellEnd"/>
      <w:r>
        <w:t xml:space="preserve"> 2010 (fragmenty).</w:t>
      </w:r>
    </w:p>
    <w:p w14:paraId="5C6576CF" w14:textId="39DF4485" w:rsidR="00230C5C" w:rsidRPr="007A48C7" w:rsidRDefault="00DF373B" w:rsidP="007A48C7">
      <w:pPr>
        <w:pStyle w:val="JuHIRoman"/>
      </w:pPr>
      <w:r>
        <w:t xml:space="preserve">POZOSTAŁE </w:t>
      </w:r>
      <w:r w:rsidR="00777063">
        <w:t>ZARZUTY</w:t>
      </w:r>
    </w:p>
    <w:p w14:paraId="3B8BC189" w14:textId="4554641A" w:rsidR="00230C5C" w:rsidRPr="007A48C7" w:rsidRDefault="00DF373B" w:rsidP="007A48C7">
      <w:pPr>
        <w:pStyle w:val="JuPara"/>
      </w:pPr>
      <w:r w:rsidRPr="007A48C7">
        <w:fldChar w:fldCharType="begin"/>
      </w:r>
      <w:r w:rsidRPr="007A48C7">
        <w:instrText xml:space="preserve"> SEQ level0 \*arabic </w:instrText>
      </w:r>
      <w:r w:rsidRPr="007A48C7">
        <w:fldChar w:fldCharType="separate"/>
      </w:r>
      <w:r w:rsidR="006E7367">
        <w:rPr>
          <w:noProof/>
        </w:rPr>
        <w:t>11</w:t>
      </w:r>
      <w:r w:rsidRPr="007A48C7">
        <w:fldChar w:fldCharType="end"/>
      </w:r>
      <w:r>
        <w:t>.  Rząd zauważył, że skarga wniesiona na podstawie art. 5 ust. 4 Konwencji</w:t>
      </w:r>
      <w:r w:rsidR="00777063">
        <w:t>,</w:t>
      </w:r>
      <w:r>
        <w:t xml:space="preserve"> dotycząca rzekomo przewlekłego rozpatrywania zażalenia skarżącego na postanowienie z dnia 4 października 2019 r. w sprawie przedłużenia jego tymczasowego aresztowania, nie została podniesiona w żadnym z pism skarżącego. Skarżący nie odniósł się do tej kwestii.</w:t>
      </w:r>
    </w:p>
    <w:p w14:paraId="7B8C728B" w14:textId="256A8D86" w:rsidR="00230C5C" w:rsidRPr="007A48C7" w:rsidRDefault="00DF373B" w:rsidP="007A48C7">
      <w:pPr>
        <w:pStyle w:val="JuPara"/>
        <w:rPr>
          <w:rFonts w:eastAsia="PMingLiU"/>
        </w:rPr>
      </w:pPr>
      <w:r w:rsidRPr="007A48C7">
        <w:fldChar w:fldCharType="begin"/>
      </w:r>
      <w:r w:rsidRPr="007A48C7">
        <w:instrText xml:space="preserve"> SEQ level0 \*arabic </w:instrText>
      </w:r>
      <w:r w:rsidRPr="007A48C7">
        <w:fldChar w:fldCharType="separate"/>
      </w:r>
      <w:r w:rsidR="006E7367">
        <w:rPr>
          <w:noProof/>
        </w:rPr>
        <w:t>12</w:t>
      </w:r>
      <w:r w:rsidRPr="007A48C7">
        <w:fldChar w:fldCharType="end"/>
      </w:r>
      <w:r>
        <w:t xml:space="preserve">.  Trybunał zauważa, że chociaż skarżący przekazał Trybunałowi odpisy dokumentów dotyczących przedmiotowego postępowania, to nie podniósł, nawet co do istoty, żadnych zarzutów w tym zakresie. W związku z powyższym ta część skargi jest w sposób oczywisty nieuzasadniona i podlega odrzuceniu zgodnie z art. 35 ust. 3 lit. a oraz ust. 4 Konwencji (zob. </w:t>
      </w:r>
      <w:proofErr w:type="spellStart"/>
      <w:r>
        <w:rPr>
          <w:i/>
          <w:iCs/>
        </w:rPr>
        <w:t>Uruç</w:t>
      </w:r>
      <w:proofErr w:type="spellEnd"/>
      <w:r>
        <w:rPr>
          <w:i/>
          <w:iCs/>
        </w:rPr>
        <w:t xml:space="preserve"> przeciwko Turcji</w:t>
      </w:r>
      <w:r>
        <w:t xml:space="preserve"> (</w:t>
      </w:r>
      <w:proofErr w:type="spellStart"/>
      <w:r>
        <w:t>dec</w:t>
      </w:r>
      <w:proofErr w:type="spellEnd"/>
      <w:r>
        <w:t>.), nr 39558/10, § 26, 20 października 2020 r.).</w:t>
      </w:r>
    </w:p>
    <w:p w14:paraId="56132D2A" w14:textId="77777777" w:rsidR="00230C5C" w:rsidRPr="007A48C7" w:rsidRDefault="00DF373B" w:rsidP="007A48C7">
      <w:pPr>
        <w:pStyle w:val="JuHIRoman"/>
      </w:pPr>
      <w:r>
        <w:t>ZASTOSOWANIE ART. 41 KONWENCJI</w:t>
      </w:r>
    </w:p>
    <w:p w14:paraId="38B8890A" w14:textId="519125B7" w:rsidR="00230C5C" w:rsidRPr="007A48C7" w:rsidRDefault="00DF373B" w:rsidP="007A48C7">
      <w:pPr>
        <w:pStyle w:val="JuPara"/>
      </w:pPr>
      <w:r w:rsidRPr="007A48C7">
        <w:fldChar w:fldCharType="begin"/>
      </w:r>
      <w:r w:rsidRPr="007A48C7">
        <w:instrText xml:space="preserve"> SEQ level0 \*arabic </w:instrText>
      </w:r>
      <w:r w:rsidRPr="007A48C7">
        <w:fldChar w:fldCharType="separate"/>
      </w:r>
      <w:r w:rsidR="006E7367">
        <w:rPr>
          <w:noProof/>
        </w:rPr>
        <w:t>13</w:t>
      </w:r>
      <w:r w:rsidRPr="007A48C7">
        <w:fldChar w:fldCharType="end"/>
      </w:r>
      <w:r>
        <w:t xml:space="preserve">.  Uwzględniając dokumenty znajdujące się w jego posiadaniu oraz swoje orzecznictwo (zob. w szczególności ww. wyrok w sprawie </w:t>
      </w:r>
      <w:proofErr w:type="spellStart"/>
      <w:r>
        <w:rPr>
          <w:i/>
          <w:iCs/>
        </w:rPr>
        <w:t>Kauczor</w:t>
      </w:r>
      <w:proofErr w:type="spellEnd"/>
      <w:r>
        <w:t>), Trybunał uważa za zasadne zasądzenie kwot wskazanych w załączonej tabeli.</w:t>
      </w:r>
    </w:p>
    <w:p w14:paraId="1A6E03E0" w14:textId="77777777" w:rsidR="00230C5C" w:rsidRPr="007A48C7" w:rsidRDefault="00DF373B" w:rsidP="007A48C7">
      <w:pPr>
        <w:pStyle w:val="JuHHead"/>
      </w:pPr>
      <w:r>
        <w:lastRenderedPageBreak/>
        <w:t>Z POWYŻSZYCH WZGLĘDÓW TRYBUNAŁ JEDNOGŁOŚNIE</w:t>
      </w:r>
    </w:p>
    <w:p w14:paraId="0997678B" w14:textId="52306255" w:rsidR="00230C5C" w:rsidRPr="007A48C7" w:rsidRDefault="00DF373B" w:rsidP="007A48C7">
      <w:pPr>
        <w:pStyle w:val="JuList"/>
      </w:pPr>
      <w:r>
        <w:rPr>
          <w:i/>
          <w:iCs/>
        </w:rPr>
        <w:t>uznaje</w:t>
      </w:r>
      <w:r>
        <w:t xml:space="preserve"> za dopuszczalne </w:t>
      </w:r>
      <w:r w:rsidR="00777063">
        <w:t>zarzuty</w:t>
      </w:r>
      <w:r>
        <w:t xml:space="preserve"> dotyczące nadmiernej długości tymczasowego aresztowania oraz inne </w:t>
      </w:r>
      <w:r w:rsidR="00777063">
        <w:t>zarzuty</w:t>
      </w:r>
      <w:r>
        <w:t xml:space="preserve"> w świetle ugruntowanego orzecznictwa Trybunału, zgodnie z załączoną tabelą, zaś pozostałą część skargi za niedopuszczalną;</w:t>
      </w:r>
    </w:p>
    <w:p w14:paraId="106BF7B2" w14:textId="45AD26D4" w:rsidR="00230C5C" w:rsidRPr="007A48C7" w:rsidRDefault="00DF373B" w:rsidP="007A48C7">
      <w:pPr>
        <w:pStyle w:val="JuList"/>
      </w:pPr>
      <w:r>
        <w:rPr>
          <w:i/>
          <w:iCs/>
        </w:rPr>
        <w:t>stwierdza</w:t>
      </w:r>
      <w:r>
        <w:t xml:space="preserve">, że </w:t>
      </w:r>
      <w:r w:rsidR="00777063">
        <w:t>zarzuty</w:t>
      </w:r>
      <w:r>
        <w:t xml:space="preserve"> wskazują na naruszenie art. 5 ust. 3 Konwencji dotyczące nadmiernej długości tymczasowego aresztowania;</w:t>
      </w:r>
    </w:p>
    <w:p w14:paraId="190A23FC" w14:textId="1CDD0BDF" w:rsidR="00230C5C" w:rsidRPr="007A48C7" w:rsidRDefault="00DF373B" w:rsidP="007A48C7">
      <w:pPr>
        <w:pStyle w:val="JuList"/>
      </w:pPr>
      <w:r>
        <w:rPr>
          <w:i/>
          <w:iCs/>
        </w:rPr>
        <w:t>stwierdza</w:t>
      </w:r>
      <w:r>
        <w:t xml:space="preserve">, że doszło do naruszenia Konwencji w odniesieniu do pozostałych </w:t>
      </w:r>
      <w:r w:rsidR="00777063">
        <w:t>zarzutów</w:t>
      </w:r>
      <w:r>
        <w:t xml:space="preserve"> wniesionych na podstawie ugruntowanego orzecznictwa Trybunału (zob. załączona tabela);</w:t>
      </w:r>
    </w:p>
    <w:p w14:paraId="3513367E" w14:textId="77777777" w:rsidR="00230C5C" w:rsidRPr="007A48C7" w:rsidRDefault="00DF373B" w:rsidP="007A48C7">
      <w:pPr>
        <w:pStyle w:val="JuList"/>
      </w:pPr>
      <w:r>
        <w:rPr>
          <w:i/>
          <w:iCs/>
        </w:rPr>
        <w:t>stwierdza</w:t>
      </w:r>
    </w:p>
    <w:p w14:paraId="3D1E3F3D" w14:textId="62ADB9D5" w:rsidR="00E15334" w:rsidRPr="007A48C7" w:rsidRDefault="00DF373B" w:rsidP="007A48C7">
      <w:pPr>
        <w:pStyle w:val="JuLista"/>
      </w:pPr>
      <w:r>
        <w:t>że pozwane państwo winno, w terminie trzech miesięcy, uiścić na rzecz skarżącego kwotę wskazaną w załączonej tabeli, przeliczoną na walutę pozwanego państwa według kursu obowiązującego w dniu płatności</w:t>
      </w:r>
      <w:r w:rsidR="00777063">
        <w:t>;</w:t>
      </w:r>
    </w:p>
    <w:p w14:paraId="4C6CDB3B" w14:textId="3DBEFE31" w:rsidR="00606600" w:rsidRPr="007A48C7" w:rsidRDefault="00DF373B" w:rsidP="007A48C7">
      <w:pPr>
        <w:pStyle w:val="JuLista"/>
      </w:pPr>
      <w:r>
        <w:t>że od upływu wyżej wskazanego terminu trzech miesięcy aż do momentu uregulowania należności należne będą odsetki zwykłe od określonej powyżej kwoty, naliczone według stopy równej marginalnej stopie procentowej Europejskiego Banku Centralnego obowiązującej w tym okresie, powiększonej o trzy punkty procentowe.</w:t>
      </w:r>
    </w:p>
    <w:p w14:paraId="072338A2" w14:textId="77777777" w:rsidR="00606600" w:rsidRPr="007A48C7" w:rsidRDefault="00DF373B" w:rsidP="007A48C7">
      <w:pPr>
        <w:pStyle w:val="JuParaLast"/>
      </w:pPr>
      <w:r>
        <w:t>Sporządzono w języku angielskim i obwieszczono pisemnie w dniu 6 czerwca 2024 r. zgodnie z Regułą 77 § 2 i 3 Regulaminu Trybunału.</w:t>
      </w:r>
    </w:p>
    <w:p w14:paraId="6D405C4A" w14:textId="77777777" w:rsidR="00656431" w:rsidRPr="007A48C7" w:rsidRDefault="00DF373B" w:rsidP="007A48C7">
      <w:pPr>
        <w:pStyle w:val="ECHRPlaceholder"/>
        <w:rPr>
          <w:szCs w:val="22"/>
        </w:rPr>
      </w:pPr>
      <w:r>
        <w:tab/>
      </w:r>
    </w:p>
    <w:p w14:paraId="13010084" w14:textId="22EDF8FD" w:rsidR="00A52214" w:rsidRPr="007A48C7" w:rsidRDefault="00A52214" w:rsidP="00A52214">
      <w:pPr>
        <w:pStyle w:val="JuSigned"/>
        <w:rPr>
          <w:rFonts w:eastAsia="PMingLiU"/>
        </w:rPr>
      </w:pPr>
      <w:r w:rsidRPr="007A48C7">
        <w:rPr>
          <w:rFonts w:eastAsia="PMingLiU"/>
        </w:rPr>
        <w:tab/>
      </w:r>
      <w:proofErr w:type="spellStart"/>
      <w:r w:rsidRPr="007A48C7">
        <w:rPr>
          <w:rFonts w:eastAsia="PMingLiU"/>
        </w:rPr>
        <w:t>Viktoriya</w:t>
      </w:r>
      <w:proofErr w:type="spellEnd"/>
      <w:r w:rsidRPr="007A48C7">
        <w:rPr>
          <w:rFonts w:eastAsia="PMingLiU"/>
        </w:rPr>
        <w:t xml:space="preserve"> </w:t>
      </w:r>
      <w:proofErr w:type="spellStart"/>
      <w:r w:rsidRPr="007A48C7">
        <w:rPr>
          <w:rFonts w:eastAsia="PMingLiU"/>
        </w:rPr>
        <w:t>Maradudina</w:t>
      </w:r>
      <w:proofErr w:type="spellEnd"/>
      <w:r w:rsidRPr="007A48C7">
        <w:rPr>
          <w:rFonts w:eastAsia="PMingLiU"/>
        </w:rPr>
        <w:tab/>
      </w:r>
      <w:proofErr w:type="spellStart"/>
      <w:r w:rsidRPr="007A48C7">
        <w:rPr>
          <w:rFonts w:eastAsia="PMingLiU"/>
        </w:rPr>
        <w:t>Péter</w:t>
      </w:r>
      <w:proofErr w:type="spellEnd"/>
      <w:r w:rsidRPr="007A48C7">
        <w:rPr>
          <w:rFonts w:eastAsia="PMingLiU"/>
        </w:rPr>
        <w:t xml:space="preserve"> </w:t>
      </w:r>
      <w:proofErr w:type="spellStart"/>
      <w:r w:rsidRPr="007A48C7">
        <w:rPr>
          <w:rFonts w:eastAsia="PMingLiU"/>
        </w:rPr>
        <w:t>Paczolay</w:t>
      </w:r>
      <w:proofErr w:type="spellEnd"/>
      <w:r w:rsidRPr="007A48C7">
        <w:rPr>
          <w:rFonts w:eastAsia="PMingLiU"/>
        </w:rPr>
        <w:br/>
      </w:r>
      <w:r w:rsidRPr="007A48C7">
        <w:rPr>
          <w:rFonts w:eastAsia="PMingLiU"/>
        </w:rPr>
        <w:tab/>
      </w:r>
      <w:r w:rsidRPr="00A52214">
        <w:rPr>
          <w:rFonts w:eastAsia="PMingLiU"/>
        </w:rPr>
        <w:t>p.o. Zastępcy Kanclerza Sekcji</w:t>
      </w:r>
      <w:r w:rsidRPr="007A48C7">
        <w:rPr>
          <w:rFonts w:eastAsia="PMingLiU"/>
        </w:rPr>
        <w:tab/>
      </w:r>
      <w:r w:rsidRPr="00A52214">
        <w:rPr>
          <w:rFonts w:eastAsia="PMingLiU"/>
        </w:rPr>
        <w:t>Przewodniczący</w:t>
      </w:r>
    </w:p>
    <w:p w14:paraId="592180FC" w14:textId="1E75D36F" w:rsidR="00B91668" w:rsidRPr="007A48C7" w:rsidRDefault="00B91668" w:rsidP="00A52214">
      <w:pPr>
        <w:pStyle w:val="JuSigned"/>
        <w:tabs>
          <w:tab w:val="clear" w:pos="1418"/>
        </w:tabs>
        <w:rPr>
          <w:rFonts w:eastAsia="PMingLiU"/>
        </w:rPr>
      </w:pPr>
    </w:p>
    <w:p w14:paraId="674D9F64" w14:textId="77777777" w:rsidR="00606600" w:rsidRPr="007A48C7" w:rsidRDefault="00606600" w:rsidP="007A48C7">
      <w:pPr>
        <w:pStyle w:val="JuParaLast"/>
        <w:sectPr w:rsidR="00606600" w:rsidRPr="007A48C7" w:rsidSect="007A72B4">
          <w:headerReference w:type="even" r:id="rId13"/>
          <w:headerReference w:type="default" r:id="rId14"/>
          <w:footnotePr>
            <w:numRestart w:val="eachPage"/>
          </w:footnotePr>
          <w:endnotePr>
            <w:numFmt w:val="decimal"/>
          </w:endnotePr>
          <w:type w:val="oddPage"/>
          <w:pgSz w:w="11906" w:h="16838" w:code="9"/>
          <w:pgMar w:top="2274" w:right="2274" w:bottom="2274" w:left="2274" w:header="1701" w:footer="720" w:gutter="0"/>
          <w:pgNumType w:start="1"/>
          <w:cols w:space="720"/>
          <w:docGrid w:linePitch="326"/>
        </w:sectPr>
      </w:pPr>
    </w:p>
    <w:p w14:paraId="27E8AF46" w14:textId="77777777" w:rsidR="00606600" w:rsidRPr="007A48C7" w:rsidRDefault="00DF373B" w:rsidP="007A48C7">
      <w:pPr>
        <w:pStyle w:val="DecHTitle"/>
      </w:pPr>
      <w:r>
        <w:lastRenderedPageBreak/>
        <w:t>ZAŁĄCZNIK</w:t>
      </w:r>
    </w:p>
    <w:p w14:paraId="2498D225" w14:textId="77777777" w:rsidR="00606600" w:rsidRPr="007A48C7" w:rsidRDefault="00DF373B" w:rsidP="007A48C7">
      <w:pPr>
        <w:pStyle w:val="DecHCase"/>
        <w:contextualSpacing/>
        <w:rPr>
          <w:b/>
          <w:i/>
          <w:color w:val="3E3E3E" w:themeColor="background2" w:themeShade="40"/>
        </w:rPr>
      </w:pPr>
      <w:r>
        <w:rPr>
          <w:color w:val="3E3E3E" w:themeColor="background2" w:themeShade="40"/>
        </w:rPr>
        <w:t>Skarga, w której podniesiono zarzuty na podstawie art. 5 ust. 3 Konwencji</w:t>
      </w:r>
    </w:p>
    <w:p w14:paraId="15C29462" w14:textId="77777777" w:rsidR="00606600" w:rsidRPr="007A48C7" w:rsidRDefault="00DF373B" w:rsidP="007A48C7">
      <w:pPr>
        <w:pStyle w:val="DecHCase"/>
        <w:contextualSpacing/>
        <w:rPr>
          <w:b/>
          <w:i/>
        </w:rPr>
      </w:pPr>
      <w:r>
        <w:rPr>
          <w:color w:val="3E3E3E" w:themeColor="background2" w:themeShade="40"/>
        </w:rPr>
        <w:t>(nadmiernie długi czas trwania tymczasowego aresztowania)</w:t>
      </w:r>
    </w:p>
    <w:tbl>
      <w:tblPr>
        <w:tblStyle w:val="ECHRListTable"/>
        <w:tblW w:w="15168" w:type="dxa"/>
        <w:jc w:val="center"/>
        <w:tblLook w:val="0420" w:firstRow="1" w:lastRow="0" w:firstColumn="0" w:lastColumn="0" w:noHBand="0" w:noVBand="1"/>
      </w:tblPr>
      <w:tblGrid>
        <w:gridCol w:w="1555"/>
        <w:gridCol w:w="1559"/>
        <w:gridCol w:w="1559"/>
        <w:gridCol w:w="1418"/>
        <w:gridCol w:w="1417"/>
        <w:gridCol w:w="2126"/>
        <w:gridCol w:w="3402"/>
        <w:gridCol w:w="2132"/>
      </w:tblGrid>
      <w:tr w:rsidR="001F5C55" w14:paraId="7DE4A4E6" w14:textId="77777777" w:rsidTr="001F5C5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1555" w:type="dxa"/>
          </w:tcPr>
          <w:p w14:paraId="64C33D41" w14:textId="77777777" w:rsidR="00F613C4" w:rsidRPr="007A48C7" w:rsidRDefault="00DF373B" w:rsidP="007A48C7">
            <w:pPr>
              <w:jc w:val="center"/>
              <w:rPr>
                <w:sz w:val="16"/>
              </w:rPr>
            </w:pPr>
            <w:bookmarkStart w:id="3" w:name="WECLListStart"/>
            <w:bookmarkEnd w:id="3"/>
            <w:r>
              <w:rPr>
                <w:sz w:val="16"/>
              </w:rPr>
              <w:t>Nr skargi</w:t>
            </w:r>
          </w:p>
          <w:p w14:paraId="3111D5A9" w14:textId="77777777" w:rsidR="00F613C4" w:rsidRPr="007A48C7" w:rsidRDefault="00DF373B" w:rsidP="007A48C7">
            <w:pPr>
              <w:jc w:val="center"/>
              <w:rPr>
                <w:sz w:val="16"/>
              </w:rPr>
            </w:pPr>
            <w:r>
              <w:rPr>
                <w:sz w:val="16"/>
              </w:rPr>
              <w:t>Data wniesienia skargi</w:t>
            </w:r>
          </w:p>
        </w:tc>
        <w:tc>
          <w:tcPr>
            <w:tcW w:w="1559" w:type="dxa"/>
          </w:tcPr>
          <w:p w14:paraId="143E6F37" w14:textId="77777777" w:rsidR="00F613C4" w:rsidRPr="007A48C7" w:rsidRDefault="00DF373B" w:rsidP="007A48C7">
            <w:pPr>
              <w:jc w:val="center"/>
              <w:rPr>
                <w:sz w:val="16"/>
              </w:rPr>
            </w:pPr>
            <w:r>
              <w:rPr>
                <w:sz w:val="16"/>
              </w:rPr>
              <w:t>Imię i nazwisko skarżącego</w:t>
            </w:r>
          </w:p>
          <w:p w14:paraId="3A3D5B03" w14:textId="77777777" w:rsidR="00F613C4" w:rsidRPr="007A48C7" w:rsidRDefault="00DF373B" w:rsidP="007A48C7">
            <w:pPr>
              <w:jc w:val="center"/>
              <w:rPr>
                <w:sz w:val="16"/>
              </w:rPr>
            </w:pPr>
            <w:r>
              <w:rPr>
                <w:sz w:val="16"/>
              </w:rPr>
              <w:t>Rok urodzenia</w:t>
            </w:r>
          </w:p>
          <w:p w14:paraId="5ED9473F" w14:textId="77777777" w:rsidR="00F613C4" w:rsidRPr="007A48C7" w:rsidRDefault="00F613C4" w:rsidP="007A48C7">
            <w:pPr>
              <w:jc w:val="center"/>
              <w:rPr>
                <w:sz w:val="16"/>
              </w:rPr>
            </w:pPr>
          </w:p>
        </w:tc>
        <w:tc>
          <w:tcPr>
            <w:tcW w:w="1559" w:type="dxa"/>
          </w:tcPr>
          <w:p w14:paraId="508F2ED3" w14:textId="77777777" w:rsidR="00F613C4" w:rsidRPr="007A48C7" w:rsidRDefault="00DF373B" w:rsidP="007A48C7">
            <w:pPr>
              <w:jc w:val="center"/>
              <w:rPr>
                <w:sz w:val="16"/>
              </w:rPr>
            </w:pPr>
            <w:r>
              <w:rPr>
                <w:sz w:val="16"/>
              </w:rPr>
              <w:t>Okres tymczasowego aresztowania</w:t>
            </w:r>
          </w:p>
        </w:tc>
        <w:tc>
          <w:tcPr>
            <w:tcW w:w="1418" w:type="dxa"/>
          </w:tcPr>
          <w:p w14:paraId="200446EC" w14:textId="77777777" w:rsidR="00F613C4" w:rsidRPr="007A48C7" w:rsidRDefault="00DF373B" w:rsidP="007A48C7">
            <w:pPr>
              <w:jc w:val="center"/>
              <w:rPr>
                <w:sz w:val="16"/>
              </w:rPr>
            </w:pPr>
            <w:r>
              <w:rPr>
                <w:sz w:val="16"/>
              </w:rPr>
              <w:t>Sąd, który wydał postanowienie o zastosowaniu tymczasowego aresztowania / rozpoznał zażalenie</w:t>
            </w:r>
          </w:p>
        </w:tc>
        <w:tc>
          <w:tcPr>
            <w:tcW w:w="1417" w:type="dxa"/>
          </w:tcPr>
          <w:p w14:paraId="5F217F49" w14:textId="77777777" w:rsidR="00F613C4" w:rsidRPr="007A48C7" w:rsidRDefault="00DF373B" w:rsidP="007A48C7">
            <w:pPr>
              <w:jc w:val="center"/>
              <w:rPr>
                <w:sz w:val="16"/>
              </w:rPr>
            </w:pPr>
            <w:r>
              <w:rPr>
                <w:sz w:val="16"/>
              </w:rPr>
              <w:t>Długość tymczasowego aresztowania</w:t>
            </w:r>
          </w:p>
        </w:tc>
        <w:tc>
          <w:tcPr>
            <w:tcW w:w="2126" w:type="dxa"/>
          </w:tcPr>
          <w:p w14:paraId="231CEC29" w14:textId="77777777" w:rsidR="00F613C4" w:rsidRPr="007A48C7" w:rsidRDefault="00DF373B" w:rsidP="007A48C7">
            <w:pPr>
              <w:jc w:val="center"/>
              <w:rPr>
                <w:sz w:val="16"/>
              </w:rPr>
            </w:pPr>
            <w:r>
              <w:rPr>
                <w:sz w:val="16"/>
              </w:rPr>
              <w:t>Szczegółowe wady</w:t>
            </w:r>
          </w:p>
        </w:tc>
        <w:tc>
          <w:tcPr>
            <w:tcW w:w="3402" w:type="dxa"/>
          </w:tcPr>
          <w:p w14:paraId="279CB62A" w14:textId="77777777" w:rsidR="00F613C4" w:rsidRPr="007A48C7" w:rsidRDefault="00DF373B" w:rsidP="007A48C7">
            <w:pPr>
              <w:jc w:val="center"/>
              <w:rPr>
                <w:sz w:val="16"/>
              </w:rPr>
            </w:pPr>
            <w:r>
              <w:rPr>
                <w:sz w:val="16"/>
              </w:rPr>
              <w:t>Inne zarzuty na podstawie ugruntowanego orzecznictwa</w:t>
            </w:r>
          </w:p>
        </w:tc>
        <w:tc>
          <w:tcPr>
            <w:tcW w:w="2132" w:type="dxa"/>
          </w:tcPr>
          <w:p w14:paraId="420537DC" w14:textId="77777777" w:rsidR="00F613C4" w:rsidRPr="007A48C7" w:rsidRDefault="00DF373B" w:rsidP="007A48C7">
            <w:pPr>
              <w:jc w:val="center"/>
              <w:rPr>
                <w:sz w:val="16"/>
              </w:rPr>
            </w:pPr>
            <w:r>
              <w:rPr>
                <w:sz w:val="16"/>
              </w:rPr>
              <w:t>Kwota zasądzona tytułem odszkodowania za szkodę majątkową i zadośćuczynienia za szkodę niemajątkową na jednego skarżącego</w:t>
            </w:r>
          </w:p>
          <w:p w14:paraId="5D3CBB27" w14:textId="77777777" w:rsidR="00F613C4" w:rsidRPr="007A48C7" w:rsidRDefault="00DF373B" w:rsidP="007A48C7">
            <w:pPr>
              <w:jc w:val="center"/>
              <w:rPr>
                <w:sz w:val="16"/>
              </w:rPr>
            </w:pPr>
            <w:r>
              <w:rPr>
                <w:sz w:val="16"/>
              </w:rPr>
              <w:t>(w EUR)</w:t>
            </w:r>
            <w:r>
              <w:rPr>
                <w:rStyle w:val="Odwoanieprzypisudolnego"/>
                <w:sz w:val="16"/>
              </w:rPr>
              <w:footnoteReference w:id="1"/>
            </w:r>
          </w:p>
        </w:tc>
      </w:tr>
      <w:tr w:rsidR="001F5C55" w14:paraId="23498FA0" w14:textId="77777777" w:rsidTr="001F5C55">
        <w:trPr>
          <w:jc w:val="center"/>
        </w:trPr>
        <w:tc>
          <w:tcPr>
            <w:tcW w:w="1555" w:type="dxa"/>
          </w:tcPr>
          <w:p w14:paraId="479714AC" w14:textId="77777777" w:rsidR="00F613C4" w:rsidRPr="007A48C7" w:rsidRDefault="00DF373B" w:rsidP="007A48C7">
            <w:pPr>
              <w:jc w:val="center"/>
              <w:rPr>
                <w:sz w:val="16"/>
              </w:rPr>
            </w:pPr>
            <w:r>
              <w:rPr>
                <w:sz w:val="16"/>
              </w:rPr>
              <w:t>36483/19</w:t>
            </w:r>
          </w:p>
          <w:p w14:paraId="0A00F3E9" w14:textId="77777777" w:rsidR="00F613C4" w:rsidRPr="007A48C7" w:rsidRDefault="00DF373B" w:rsidP="007A48C7">
            <w:pPr>
              <w:jc w:val="center"/>
              <w:rPr>
                <w:sz w:val="16"/>
              </w:rPr>
            </w:pPr>
            <w:r>
              <w:rPr>
                <w:sz w:val="16"/>
              </w:rPr>
              <w:t>06.08.2019 r.</w:t>
            </w:r>
          </w:p>
        </w:tc>
        <w:tc>
          <w:tcPr>
            <w:tcW w:w="1559" w:type="dxa"/>
          </w:tcPr>
          <w:p w14:paraId="6199FAEC" w14:textId="77777777" w:rsidR="00F613C4" w:rsidRPr="007A48C7" w:rsidRDefault="00DF373B" w:rsidP="007A48C7">
            <w:pPr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Tomasz JANOWSKI</w:t>
            </w:r>
          </w:p>
          <w:p w14:paraId="6B3C224C" w14:textId="77777777" w:rsidR="00F613C4" w:rsidRPr="007A48C7" w:rsidRDefault="00DF373B" w:rsidP="007A48C7">
            <w:pPr>
              <w:jc w:val="center"/>
              <w:rPr>
                <w:sz w:val="16"/>
              </w:rPr>
            </w:pPr>
            <w:r>
              <w:rPr>
                <w:sz w:val="16"/>
              </w:rPr>
              <w:t>1983 r.</w:t>
            </w:r>
          </w:p>
          <w:p w14:paraId="7CFCB365" w14:textId="77777777" w:rsidR="00F613C4" w:rsidRPr="007A48C7" w:rsidRDefault="00F613C4" w:rsidP="007A48C7">
            <w:pPr>
              <w:jc w:val="center"/>
              <w:rPr>
                <w:sz w:val="16"/>
              </w:rPr>
            </w:pPr>
          </w:p>
        </w:tc>
        <w:tc>
          <w:tcPr>
            <w:tcW w:w="1559" w:type="dxa"/>
          </w:tcPr>
          <w:p w14:paraId="057B1837" w14:textId="77777777" w:rsidR="00F613C4" w:rsidRPr="007A48C7" w:rsidRDefault="00DF373B" w:rsidP="007A48C7">
            <w:pPr>
              <w:jc w:val="center"/>
              <w:rPr>
                <w:sz w:val="16"/>
              </w:rPr>
            </w:pPr>
            <w:r>
              <w:rPr>
                <w:sz w:val="16"/>
              </w:rPr>
              <w:t>14.11.2018 r. do</w:t>
            </w:r>
          </w:p>
          <w:p w14:paraId="5E5CA675" w14:textId="77777777" w:rsidR="00F613C4" w:rsidRPr="007A48C7" w:rsidRDefault="00DF373B" w:rsidP="007A48C7">
            <w:pPr>
              <w:jc w:val="center"/>
              <w:rPr>
                <w:sz w:val="16"/>
              </w:rPr>
            </w:pPr>
            <w:r>
              <w:rPr>
                <w:sz w:val="16"/>
              </w:rPr>
              <w:t>10.11.2021 r.</w:t>
            </w:r>
          </w:p>
        </w:tc>
        <w:tc>
          <w:tcPr>
            <w:tcW w:w="1418" w:type="dxa"/>
          </w:tcPr>
          <w:p w14:paraId="236AC45A" w14:textId="77777777" w:rsidR="00F613C4" w:rsidRPr="007A48C7" w:rsidRDefault="00DF373B" w:rsidP="007A48C7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Sąd Rejonowy w Łodzi, 16.11.2018 r., IV </w:t>
            </w:r>
            <w:proofErr w:type="spellStart"/>
            <w:r>
              <w:rPr>
                <w:sz w:val="16"/>
              </w:rPr>
              <w:t>Kp</w:t>
            </w:r>
            <w:proofErr w:type="spellEnd"/>
            <w:r>
              <w:rPr>
                <w:sz w:val="16"/>
              </w:rPr>
              <w:t xml:space="preserve"> 530/18 (pierwsze postanowienie o zastosowaniu tymczasowego aresztowania);</w:t>
            </w:r>
          </w:p>
          <w:p w14:paraId="51FB6F1C" w14:textId="77777777" w:rsidR="00F613C4" w:rsidRPr="007A48C7" w:rsidRDefault="00F613C4" w:rsidP="007A48C7">
            <w:pPr>
              <w:jc w:val="center"/>
              <w:rPr>
                <w:sz w:val="16"/>
              </w:rPr>
            </w:pPr>
          </w:p>
          <w:p w14:paraId="35E26AC7" w14:textId="77777777" w:rsidR="00F613C4" w:rsidRPr="007A48C7" w:rsidRDefault="00DF373B" w:rsidP="007A48C7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Sąd Apelacyjny w Łodzi, 15.09.2021 r., II </w:t>
            </w:r>
            <w:proofErr w:type="spellStart"/>
            <w:r>
              <w:rPr>
                <w:sz w:val="16"/>
              </w:rPr>
              <w:t>AKp</w:t>
            </w:r>
            <w:proofErr w:type="spellEnd"/>
            <w:r>
              <w:rPr>
                <w:sz w:val="16"/>
              </w:rPr>
              <w:t xml:space="preserve"> 126/21 (ostatnie przedłużenie)</w:t>
            </w:r>
          </w:p>
        </w:tc>
        <w:tc>
          <w:tcPr>
            <w:tcW w:w="1417" w:type="dxa"/>
          </w:tcPr>
          <w:p w14:paraId="4A271375" w14:textId="77777777" w:rsidR="00F613C4" w:rsidRPr="007A48C7" w:rsidRDefault="00DF373B" w:rsidP="007A48C7">
            <w:pPr>
              <w:jc w:val="center"/>
              <w:rPr>
                <w:sz w:val="16"/>
              </w:rPr>
            </w:pPr>
            <w:r>
              <w:rPr>
                <w:sz w:val="16"/>
              </w:rPr>
              <w:t>2 lata, 11 miesięcy i 28 dni</w:t>
            </w:r>
          </w:p>
          <w:p w14:paraId="58224E10" w14:textId="77777777" w:rsidR="00F613C4" w:rsidRPr="007A48C7" w:rsidRDefault="00F613C4" w:rsidP="007A48C7">
            <w:pPr>
              <w:jc w:val="center"/>
              <w:rPr>
                <w:sz w:val="16"/>
              </w:rPr>
            </w:pPr>
          </w:p>
        </w:tc>
        <w:tc>
          <w:tcPr>
            <w:tcW w:w="2126" w:type="dxa"/>
          </w:tcPr>
          <w:p w14:paraId="37199E7E" w14:textId="77777777" w:rsidR="00F613C4" w:rsidRPr="007A48C7" w:rsidRDefault="00DF373B" w:rsidP="007A48C7">
            <w:pPr>
              <w:jc w:val="center"/>
              <w:rPr>
                <w:sz w:val="16"/>
              </w:rPr>
            </w:pPr>
            <w:r>
              <w:rPr>
                <w:sz w:val="16"/>
              </w:rPr>
              <w:t>brak przeprowadzenia postępowania z należytą starannością w okresie tymczasowego aresztowania;</w:t>
            </w:r>
          </w:p>
          <w:p w14:paraId="6CE22A14" w14:textId="77777777" w:rsidR="00F613C4" w:rsidRPr="007A48C7" w:rsidRDefault="00DF373B" w:rsidP="007A48C7">
            <w:pPr>
              <w:jc w:val="center"/>
              <w:rPr>
                <w:sz w:val="16"/>
              </w:rPr>
            </w:pPr>
            <w:r>
              <w:rPr>
                <w:sz w:val="16"/>
              </w:rPr>
              <w:t>przyjęcie założenia, bez podstaw dowodowych, że istnieje ryzyko ucieczki lub utrudniania postępowania;</w:t>
            </w:r>
          </w:p>
          <w:p w14:paraId="3B752718" w14:textId="77777777" w:rsidR="00F613C4" w:rsidRPr="007A48C7" w:rsidRDefault="00DF373B" w:rsidP="007A48C7">
            <w:pPr>
              <w:jc w:val="center"/>
              <w:rPr>
                <w:sz w:val="16"/>
              </w:rPr>
            </w:pPr>
            <w:r>
              <w:rPr>
                <w:sz w:val="16"/>
              </w:rPr>
              <w:t>uporczywe opieranie się, w miarę postępu sprawy, na zarzutach dotyczących członkostwa w zorganizowanej grupie przestępczej;</w:t>
            </w:r>
          </w:p>
          <w:p w14:paraId="186997DE" w14:textId="77777777" w:rsidR="00F613C4" w:rsidRPr="007A48C7" w:rsidRDefault="00DF373B" w:rsidP="007A48C7">
            <w:pPr>
              <w:jc w:val="center"/>
              <w:rPr>
                <w:sz w:val="16"/>
              </w:rPr>
            </w:pPr>
            <w:r>
              <w:rPr>
                <w:sz w:val="16"/>
              </w:rPr>
              <w:t>grupowe postanowienia o zastosowaniu tymczasowego aresztowania</w:t>
            </w:r>
          </w:p>
        </w:tc>
        <w:tc>
          <w:tcPr>
            <w:tcW w:w="3402" w:type="dxa"/>
          </w:tcPr>
          <w:p w14:paraId="25F3D274" w14:textId="77777777" w:rsidR="00F613C4" w:rsidRPr="007A48C7" w:rsidRDefault="00DF373B" w:rsidP="007A48C7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Artykuł 5 ust. 4 – nadmierna długość sądowej kontroli postanowienia o zastosowaniu tymczasowego aresztowania – w dniu 07.02.2019 r. Sąd Okręgowy w Łodzi przedłużył tymczasowe aresztowanie skarżącego do dnia 13.05.2019 r. Skarżący wniósł zażalenie. Jego zażalenie zostało oddalone przez Sąd Apelacyjny w Łodzi w dniu 08.05.2019 r. (sygn. akt II </w:t>
            </w:r>
            <w:proofErr w:type="spellStart"/>
            <w:r>
              <w:rPr>
                <w:sz w:val="16"/>
              </w:rPr>
              <w:t>AKz</w:t>
            </w:r>
            <w:proofErr w:type="spellEnd"/>
            <w:r>
              <w:rPr>
                <w:sz w:val="16"/>
              </w:rPr>
              <w:t xml:space="preserve"> 298/19). W dniu 09.05.2019 r. jego tymczasowe aresztowanie przedłużono na kolejny okres.</w:t>
            </w:r>
          </w:p>
          <w:p w14:paraId="15DD6577" w14:textId="77777777" w:rsidR="00F613C4" w:rsidRPr="007A48C7" w:rsidRDefault="00DF373B" w:rsidP="007A48C7">
            <w:pPr>
              <w:jc w:val="center"/>
              <w:rPr>
                <w:sz w:val="16"/>
              </w:rPr>
            </w:pPr>
            <w:r>
              <w:rPr>
                <w:sz w:val="16"/>
              </w:rPr>
              <w:t>Skarżący zarzuca, że jego zażalenie było bezcelowe, ponieważ Sąd Apelacyjny rozpoznał je zaledwie jeden dzień przed kolejnym przedłużeniem.</w:t>
            </w:r>
          </w:p>
          <w:p w14:paraId="698A37FB" w14:textId="77777777" w:rsidR="00F613C4" w:rsidRPr="007A48C7" w:rsidRDefault="00F613C4" w:rsidP="007A48C7">
            <w:pPr>
              <w:jc w:val="center"/>
              <w:rPr>
                <w:sz w:val="16"/>
              </w:rPr>
            </w:pPr>
          </w:p>
          <w:p w14:paraId="76928966" w14:textId="77777777" w:rsidR="00F613C4" w:rsidRPr="007A48C7" w:rsidRDefault="00DF373B" w:rsidP="007A48C7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Artykuł 5 ust. 4 – nadmierna długość sądowej kontroli postanowienia o zastosowaniu tymczasowego aresztowania – w dniu 08.02.2021 r. Sąd Apelacyjny w Łodzi (sygn. akt II </w:t>
            </w:r>
            <w:proofErr w:type="spellStart"/>
            <w:r>
              <w:rPr>
                <w:sz w:val="16"/>
              </w:rPr>
              <w:t>AKz</w:t>
            </w:r>
            <w:proofErr w:type="spellEnd"/>
            <w:r>
              <w:rPr>
                <w:sz w:val="16"/>
              </w:rPr>
              <w:t xml:space="preserve"> 21/21) postanowił nie rozpoznawać zażalenia skarżącego na postanowienie z dnia 17.12.2020 r. </w:t>
            </w:r>
            <w:r>
              <w:rPr>
                <w:sz w:val="16"/>
              </w:rPr>
              <w:lastRenderedPageBreak/>
              <w:t>o przedłużeniu tymczasowego aresztowania. Sąd ten uznał, że tymczasowe aresztowanie skarżącego zostało już przedłużone na kolejny okres. Tym samym rozpoznawanie jego zażalenia  było bezcelowe.</w:t>
            </w:r>
          </w:p>
        </w:tc>
        <w:tc>
          <w:tcPr>
            <w:tcW w:w="2132" w:type="dxa"/>
          </w:tcPr>
          <w:p w14:paraId="6EADF980" w14:textId="77777777" w:rsidR="00F613C4" w:rsidRPr="007A48C7" w:rsidRDefault="00DF373B" w:rsidP="007A48C7">
            <w:pPr>
              <w:jc w:val="center"/>
              <w:rPr>
                <w:sz w:val="16"/>
              </w:rPr>
            </w:pPr>
            <w:r>
              <w:rPr>
                <w:sz w:val="16"/>
              </w:rPr>
              <w:lastRenderedPageBreak/>
              <w:t>5100</w:t>
            </w:r>
          </w:p>
        </w:tc>
      </w:tr>
    </w:tbl>
    <w:p w14:paraId="5817A4CC" w14:textId="77777777" w:rsidR="00606600" w:rsidRPr="007A48C7" w:rsidRDefault="00606600" w:rsidP="007A48C7"/>
    <w:sectPr w:rsidR="00606600" w:rsidRPr="007A48C7" w:rsidSect="00BD554D">
      <w:headerReference w:type="even" r:id="rId15"/>
      <w:headerReference w:type="default" r:id="rId16"/>
      <w:footnotePr>
        <w:numRestart w:val="eachPage"/>
      </w:footnotePr>
      <w:endnotePr>
        <w:numFmt w:val="decimal"/>
      </w:endnotePr>
      <w:pgSz w:w="16838" w:h="11906" w:orient="landscape" w:code="9"/>
      <w:pgMar w:top="2274" w:right="2274" w:bottom="2274" w:left="2274" w:header="1701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875D65" w14:textId="77777777" w:rsidR="00CC13D5" w:rsidRDefault="00CC13D5">
      <w:r>
        <w:separator/>
      </w:r>
    </w:p>
  </w:endnote>
  <w:endnote w:type="continuationSeparator" w:id="0">
    <w:p w14:paraId="419F5B5B" w14:textId="77777777" w:rsidR="00CC13D5" w:rsidRDefault="00CC13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AC991F" w14:textId="77777777" w:rsidR="00BD554D" w:rsidRPr="00611E1D" w:rsidRDefault="00DF373B" w:rsidP="00BD554D">
    <w:pPr>
      <w:pStyle w:val="JuHeader"/>
    </w:pP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D2C331" w14:textId="77777777" w:rsidR="00BD554D" w:rsidRPr="00611E1D" w:rsidRDefault="00DF373B" w:rsidP="00BD554D">
    <w:pPr>
      <w:pStyle w:val="JuHeader"/>
    </w:pP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8FB3A0" w14:textId="77777777" w:rsidR="00ED7723" w:rsidRPr="00150BFA" w:rsidRDefault="00DF373B" w:rsidP="0020718E">
    <w:pPr>
      <w:jc w:val="center"/>
    </w:pPr>
    <w:r>
      <w:rPr>
        <w:noProof/>
      </w:rPr>
      <w:drawing>
        <wp:inline distT="0" distB="0" distL="0" distR="0" wp14:anchorId="224CCD8B" wp14:editId="77761F77">
          <wp:extent cx="771525" cy="619125"/>
          <wp:effectExtent l="0" t="0" r="9525" b="9525"/>
          <wp:docPr id="9" name="Picture 9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EAD845" w14:textId="77777777" w:rsidR="00606600" w:rsidRPr="00611E1D" w:rsidRDefault="00606600" w:rsidP="0029309A">
    <w:pPr>
      <w:pStyle w:val="Stopka"/>
      <w:jc w:val="cen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772BF7" w14:textId="77777777" w:rsidR="00CC13D5" w:rsidRPr="00611E1D" w:rsidRDefault="00CC13D5" w:rsidP="00787E12">
      <w:r w:rsidRPr="00611E1D">
        <w:separator/>
      </w:r>
    </w:p>
  </w:footnote>
  <w:footnote w:type="continuationSeparator" w:id="0">
    <w:p w14:paraId="30885A51" w14:textId="77777777" w:rsidR="00CC13D5" w:rsidRPr="00611E1D" w:rsidRDefault="00CC13D5" w:rsidP="00787E12">
      <w:r w:rsidRPr="00611E1D">
        <w:continuationSeparator/>
      </w:r>
    </w:p>
  </w:footnote>
  <w:footnote w:id="1">
    <w:p w14:paraId="09A20D7F" w14:textId="267F4C2F" w:rsidR="00F613C4" w:rsidRPr="00850D4A" w:rsidRDefault="00DF373B" w:rsidP="00230C5C">
      <w:pPr>
        <w:pStyle w:val="Tekstprzypisudolnego"/>
      </w:pPr>
      <w:r>
        <w:rPr>
          <w:rStyle w:val="Odwoanieprzypisudolnego"/>
        </w:rPr>
        <w:footnoteRef/>
      </w:r>
      <w:r>
        <w:rPr>
          <w:rStyle w:val="Odwoanieprzypisudolnego"/>
        </w:rPr>
        <w:t xml:space="preserve"> </w:t>
      </w:r>
      <w:r w:rsidR="00862F1D">
        <w:t>P</w:t>
      </w:r>
      <w:r>
        <w:t>owiększona o </w:t>
      </w:r>
      <w:r w:rsidR="00862F1D">
        <w:t>podatki, które mogą być nałożone na skarżącego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71D058" w14:textId="77777777" w:rsidR="00ED7723" w:rsidRPr="00A45145" w:rsidRDefault="00DF373B" w:rsidP="00A45145">
    <w:pPr>
      <w:jc w:val="center"/>
    </w:pPr>
    <w:r>
      <w:rPr>
        <w:noProof/>
      </w:rPr>
      <w:drawing>
        <wp:inline distT="0" distB="0" distL="0" distR="0" wp14:anchorId="72FE4355" wp14:editId="1F6A0B65">
          <wp:extent cx="2962275" cy="1219200"/>
          <wp:effectExtent l="0" t="0" r="9525" b="0"/>
          <wp:docPr id="10" name="Picture 10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952A160" w14:textId="77777777" w:rsidR="00606600" w:rsidRPr="00611E1D" w:rsidRDefault="00606600" w:rsidP="000318F7">
    <w:pPr>
      <w:jc w:val="center"/>
      <w:rPr>
        <w:sz w:val="4"/>
        <w:szCs w:val="4"/>
      </w:rPr>
    </w:pPr>
  </w:p>
  <w:p w14:paraId="5205BECF" w14:textId="77777777" w:rsidR="00606600" w:rsidRPr="00611E1D" w:rsidRDefault="006066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DFC57D" w14:textId="77777777" w:rsidR="00230C5C" w:rsidRPr="00A45145" w:rsidRDefault="00DF373B" w:rsidP="00A45145">
    <w:pPr>
      <w:jc w:val="center"/>
    </w:pPr>
    <w:r>
      <w:rPr>
        <w:noProof/>
      </w:rPr>
      <w:drawing>
        <wp:inline distT="0" distB="0" distL="0" distR="0" wp14:anchorId="4243D5EB" wp14:editId="3F726300">
          <wp:extent cx="2962275" cy="1219200"/>
          <wp:effectExtent l="0" t="0" r="9525" b="0"/>
          <wp:docPr id="14" name="Picture 14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1A83B3A" w14:textId="77777777" w:rsidR="008D51B6" w:rsidRPr="004F56E2" w:rsidRDefault="008D51B6" w:rsidP="008D51B6">
    <w:pPr>
      <w:pStyle w:val="Nagwek"/>
    </w:pPr>
  </w:p>
  <w:p w14:paraId="0DF512B7" w14:textId="77777777" w:rsidR="00606600" w:rsidRPr="00611E1D" w:rsidRDefault="00606600" w:rsidP="00B64153">
    <w:pPr>
      <w:jc w:val="center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44EFBE" w14:textId="77777777" w:rsidR="00606600" w:rsidRPr="005C3A15" w:rsidRDefault="00DF373B" w:rsidP="006372F5">
    <w:pPr>
      <w:pStyle w:val="JuHeader"/>
    </w:pPr>
    <w:r>
      <w:t>WYROK W SPRAWIE JANOWSKI PRZECIWKO POLSCE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EC2A10" w14:textId="77777777" w:rsidR="00606600" w:rsidRPr="00DE7D3F" w:rsidRDefault="00DF373B" w:rsidP="00BD554D">
    <w:pPr>
      <w:pStyle w:val="JuHeader"/>
    </w:pPr>
    <w:r>
      <w:t>WYROK W SPRAWIE JANOWSKI PRZECIWKO POLSCE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1314F4" w14:textId="77777777" w:rsidR="00606600" w:rsidRPr="005C3A15" w:rsidRDefault="00DF373B" w:rsidP="00E026EC">
    <w:pPr>
      <w:pStyle w:val="JuHeader"/>
    </w:pPr>
    <w:r>
      <w:t>WYROK W SPRAWIE JANOWSKI PRZECIWKO POLSCE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DA7049" w14:textId="77777777" w:rsidR="00606600" w:rsidRPr="00DE7D3F" w:rsidRDefault="00DF373B" w:rsidP="00E026EC">
    <w:pPr>
      <w:pStyle w:val="JuHeader"/>
    </w:pPr>
    <w:r>
      <w:t>WYROK W SPRAWIE JANOWSKI PRZECIWKO POLSCE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48F2261"/>
    <w:multiLevelType w:val="multilevel"/>
    <w:tmpl w:val="C8FE6436"/>
    <w:numStyleLink w:val="ECHRA1StyleList"/>
  </w:abstractNum>
  <w:abstractNum w:abstractNumId="10" w15:restartNumberingAfterBreak="0">
    <w:nsid w:val="0C0F5BFC"/>
    <w:multiLevelType w:val="multilevel"/>
    <w:tmpl w:val="E2B270D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6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7" w15:restartNumberingAfterBreak="0">
    <w:nsid w:val="67FD1241"/>
    <w:multiLevelType w:val="hybridMultilevel"/>
    <w:tmpl w:val="F6D86CC2"/>
    <w:lvl w:ilvl="0" w:tplc="38B60E68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F3C6AF10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9DA441A8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2CFE6610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EE909490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D360B264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5D2E3B46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6EAC2CB2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F258B730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 w16cid:durableId="1892378369">
    <w:abstractNumId w:val="14"/>
  </w:num>
  <w:num w:numId="2" w16cid:durableId="157885068">
    <w:abstractNumId w:val="12"/>
  </w:num>
  <w:num w:numId="3" w16cid:durableId="545605884">
    <w:abstractNumId w:val="11"/>
  </w:num>
  <w:num w:numId="4" w16cid:durableId="455149405">
    <w:abstractNumId w:val="15"/>
  </w:num>
  <w:num w:numId="5" w16cid:durableId="1954315582">
    <w:abstractNumId w:val="13"/>
  </w:num>
  <w:num w:numId="6" w16cid:durableId="570194521">
    <w:abstractNumId w:val="16"/>
  </w:num>
  <w:num w:numId="7" w16cid:durableId="408579838">
    <w:abstractNumId w:val="15"/>
  </w:num>
  <w:num w:numId="8" w16cid:durableId="1642345742">
    <w:abstractNumId w:val="16"/>
  </w:num>
  <w:num w:numId="9" w16cid:durableId="2027444005">
    <w:abstractNumId w:val="10"/>
  </w:num>
  <w:num w:numId="10" w16cid:durableId="204831670">
    <w:abstractNumId w:val="9"/>
  </w:num>
  <w:num w:numId="11" w16cid:durableId="111443737">
    <w:abstractNumId w:val="17"/>
  </w:num>
  <w:num w:numId="12" w16cid:durableId="656687864">
    <w:abstractNumId w:val="7"/>
  </w:num>
  <w:num w:numId="13" w16cid:durableId="1465082176">
    <w:abstractNumId w:val="6"/>
  </w:num>
  <w:num w:numId="14" w16cid:durableId="1085612084">
    <w:abstractNumId w:val="5"/>
  </w:num>
  <w:num w:numId="15" w16cid:durableId="1536768418">
    <w:abstractNumId w:val="4"/>
  </w:num>
  <w:num w:numId="16" w16cid:durableId="1816798154">
    <w:abstractNumId w:val="8"/>
  </w:num>
  <w:num w:numId="17" w16cid:durableId="1611546553">
    <w:abstractNumId w:val="3"/>
  </w:num>
  <w:num w:numId="18" w16cid:durableId="1107652894">
    <w:abstractNumId w:val="2"/>
  </w:num>
  <w:num w:numId="19" w16cid:durableId="593439035">
    <w:abstractNumId w:val="1"/>
  </w:num>
  <w:num w:numId="20" w16cid:durableId="1567762713">
    <w:abstractNumId w:val="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pplicationsApp" w:val="-1"/>
    <w:docVar w:name="EMM" w:val="0"/>
    <w:docVar w:name="LW_DocType" w:val="NORMAL"/>
    <w:docVar w:name="NBEMMDOC" w:val="0"/>
    <w:docVar w:name="Plural" w:val="0"/>
  </w:docVars>
  <w:rsids>
    <w:rsidRoot w:val="00230C5C"/>
    <w:rsid w:val="000318F7"/>
    <w:rsid w:val="000C5149"/>
    <w:rsid w:val="00135384"/>
    <w:rsid w:val="00150BFA"/>
    <w:rsid w:val="00173A91"/>
    <w:rsid w:val="00177329"/>
    <w:rsid w:val="001A15B6"/>
    <w:rsid w:val="001A3C4A"/>
    <w:rsid w:val="001D7CD3"/>
    <w:rsid w:val="001F3812"/>
    <w:rsid w:val="001F5C55"/>
    <w:rsid w:val="002056B7"/>
    <w:rsid w:val="0020718E"/>
    <w:rsid w:val="00230C5C"/>
    <w:rsid w:val="0023364D"/>
    <w:rsid w:val="0029309A"/>
    <w:rsid w:val="002C5B23"/>
    <w:rsid w:val="00337785"/>
    <w:rsid w:val="00365266"/>
    <w:rsid w:val="00365321"/>
    <w:rsid w:val="0037589C"/>
    <w:rsid w:val="003B3ECB"/>
    <w:rsid w:val="00424103"/>
    <w:rsid w:val="0048584C"/>
    <w:rsid w:val="00497FF8"/>
    <w:rsid w:val="004B0B4E"/>
    <w:rsid w:val="004D042B"/>
    <w:rsid w:val="004D0EC7"/>
    <w:rsid w:val="004F56E2"/>
    <w:rsid w:val="00555A1D"/>
    <w:rsid w:val="00573202"/>
    <w:rsid w:val="005B102C"/>
    <w:rsid w:val="005B16C1"/>
    <w:rsid w:val="005B2809"/>
    <w:rsid w:val="005C3A15"/>
    <w:rsid w:val="005E06B6"/>
    <w:rsid w:val="005F60F9"/>
    <w:rsid w:val="00606600"/>
    <w:rsid w:val="00611E1D"/>
    <w:rsid w:val="0062733B"/>
    <w:rsid w:val="006372F5"/>
    <w:rsid w:val="00656431"/>
    <w:rsid w:val="00681F2F"/>
    <w:rsid w:val="006D324D"/>
    <w:rsid w:val="006E4EC9"/>
    <w:rsid w:val="006E7367"/>
    <w:rsid w:val="00743B2A"/>
    <w:rsid w:val="00777063"/>
    <w:rsid w:val="007A48C7"/>
    <w:rsid w:val="007A72B4"/>
    <w:rsid w:val="007F018A"/>
    <w:rsid w:val="00850D4A"/>
    <w:rsid w:val="008522DD"/>
    <w:rsid w:val="00860732"/>
    <w:rsid w:val="00862F1D"/>
    <w:rsid w:val="00893ED4"/>
    <w:rsid w:val="008A0E2E"/>
    <w:rsid w:val="008D51B6"/>
    <w:rsid w:val="008D6EEA"/>
    <w:rsid w:val="009173FA"/>
    <w:rsid w:val="009522DD"/>
    <w:rsid w:val="009D6D79"/>
    <w:rsid w:val="00A329E0"/>
    <w:rsid w:val="00A34A54"/>
    <w:rsid w:val="00A44415"/>
    <w:rsid w:val="00A45145"/>
    <w:rsid w:val="00A52214"/>
    <w:rsid w:val="00A6104A"/>
    <w:rsid w:val="00A87536"/>
    <w:rsid w:val="00A94CA7"/>
    <w:rsid w:val="00AC03BB"/>
    <w:rsid w:val="00B216C1"/>
    <w:rsid w:val="00B64153"/>
    <w:rsid w:val="00B80E1B"/>
    <w:rsid w:val="00B91668"/>
    <w:rsid w:val="00BD554D"/>
    <w:rsid w:val="00BE2415"/>
    <w:rsid w:val="00C023BC"/>
    <w:rsid w:val="00C20CC3"/>
    <w:rsid w:val="00C877A3"/>
    <w:rsid w:val="00CB02A2"/>
    <w:rsid w:val="00CC13D5"/>
    <w:rsid w:val="00CD6249"/>
    <w:rsid w:val="00D2308E"/>
    <w:rsid w:val="00D4792B"/>
    <w:rsid w:val="00DE7D3F"/>
    <w:rsid w:val="00DF373B"/>
    <w:rsid w:val="00E026EC"/>
    <w:rsid w:val="00E15334"/>
    <w:rsid w:val="00EB3F2B"/>
    <w:rsid w:val="00ED7723"/>
    <w:rsid w:val="00F613C4"/>
    <w:rsid w:val="00FB1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DAC1A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8" w:defSemiHidden="0" w:defUnhideWhenUsed="0" w:defQFormat="0" w:count="376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ny">
    <w:name w:val="Normal"/>
    <w:semiHidden/>
    <w:rsid w:val="00743B2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743B2A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743B2A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743B2A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743B2A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743B2A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743B2A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743B2A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743B2A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743B2A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8"/>
    <w:semiHidden/>
    <w:rsid w:val="00743B2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743B2A"/>
    <w:rPr>
      <w:rFonts w:ascii="Tahoma" w:hAnsi="Tahoma" w:cs="Tahoma"/>
      <w:sz w:val="16"/>
      <w:szCs w:val="16"/>
      <w:lang w:val="pl-PL"/>
    </w:rPr>
  </w:style>
  <w:style w:type="character" w:styleId="Tytuksiki">
    <w:name w:val="Book Title"/>
    <w:uiPriority w:val="98"/>
    <w:semiHidden/>
    <w:qFormat/>
    <w:rsid w:val="00743B2A"/>
    <w:rPr>
      <w:i/>
      <w:iCs/>
      <w:smallCaps/>
      <w:spacing w:val="5"/>
    </w:rPr>
  </w:style>
  <w:style w:type="paragraph" w:customStyle="1" w:styleId="JuHeader">
    <w:name w:val="Ju_Header"/>
    <w:aliases w:val="_Header"/>
    <w:basedOn w:val="Nagwek"/>
    <w:uiPriority w:val="29"/>
    <w:qFormat/>
    <w:rsid w:val="00743B2A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DummyStyle">
    <w:name w:val="Dummy_Style"/>
    <w:aliases w:val="_Dummy"/>
    <w:basedOn w:val="Normalny"/>
    <w:semiHidden/>
    <w:qFormat/>
    <w:rsid w:val="00743B2A"/>
    <w:rPr>
      <w:color w:val="00B050"/>
      <w:sz w:val="22"/>
    </w:rPr>
  </w:style>
  <w:style w:type="character" w:styleId="Pogrubienie">
    <w:name w:val="Strong"/>
    <w:uiPriority w:val="98"/>
    <w:semiHidden/>
    <w:qFormat/>
    <w:rsid w:val="00743B2A"/>
    <w:rPr>
      <w:b/>
      <w:bCs/>
    </w:rPr>
  </w:style>
  <w:style w:type="paragraph" w:styleId="Bezodstpw">
    <w:name w:val="No Spacing"/>
    <w:basedOn w:val="Normalny"/>
    <w:link w:val="BezodstpwZnak"/>
    <w:uiPriority w:val="98"/>
    <w:semiHidden/>
    <w:qFormat/>
    <w:rsid w:val="00743B2A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743B2A"/>
    <w:rPr>
      <w:sz w:val="24"/>
      <w:szCs w:val="24"/>
      <w:lang w:val="pl-PL"/>
    </w:rPr>
  </w:style>
  <w:style w:type="paragraph" w:customStyle="1" w:styleId="JuQuot">
    <w:name w:val="Ju_Quot"/>
    <w:aliases w:val="_Quote"/>
    <w:basedOn w:val="NormalJustified"/>
    <w:uiPriority w:val="20"/>
    <w:qFormat/>
    <w:rsid w:val="00743B2A"/>
    <w:pPr>
      <w:spacing w:before="120" w:after="120"/>
      <w:ind w:left="425" w:firstLine="142"/>
    </w:pPr>
    <w:rPr>
      <w:sz w:val="20"/>
    </w:rPr>
  </w:style>
  <w:style w:type="paragraph" w:customStyle="1" w:styleId="JuList">
    <w:name w:val="Ju_List"/>
    <w:aliases w:val="_List_1"/>
    <w:basedOn w:val="NormalJustified"/>
    <w:uiPriority w:val="23"/>
    <w:qFormat/>
    <w:rsid w:val="00743B2A"/>
    <w:pPr>
      <w:numPr>
        <w:numId w:val="10"/>
      </w:numPr>
      <w:spacing w:before="280" w:after="60"/>
    </w:pPr>
  </w:style>
  <w:style w:type="paragraph" w:customStyle="1" w:styleId="JuListi">
    <w:name w:val="Ju_List_i"/>
    <w:aliases w:val="_List_3"/>
    <w:basedOn w:val="NormalJustified"/>
    <w:uiPriority w:val="23"/>
    <w:rsid w:val="00743B2A"/>
    <w:pPr>
      <w:numPr>
        <w:ilvl w:val="2"/>
        <w:numId w:val="10"/>
      </w:numPr>
    </w:p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743B2A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743B2A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743B2A"/>
    <w:pPr>
      <w:keepNext/>
      <w:spacing w:before="100" w:beforeAutospacing="1" w:after="120"/>
      <w:contextualSpacing/>
      <w:jc w:val="center"/>
    </w:pPr>
    <w:rPr>
      <w:b/>
      <w:sz w:val="20"/>
    </w:rPr>
  </w:style>
  <w:style w:type="numbering" w:customStyle="1" w:styleId="ECHRA1StyleBulletedSquare">
    <w:name w:val="ECHR_A1_Style_Bulleted_Square"/>
    <w:basedOn w:val="Bezlisty"/>
    <w:rsid w:val="00743B2A"/>
    <w:pPr>
      <w:numPr>
        <w:numId w:val="4"/>
      </w:numPr>
    </w:pPr>
  </w:style>
  <w:style w:type="numbering" w:customStyle="1" w:styleId="ECHRA1StyleList">
    <w:name w:val="ECHR_A1_Style_List"/>
    <w:basedOn w:val="Bezlisty"/>
    <w:uiPriority w:val="99"/>
    <w:rsid w:val="00743B2A"/>
    <w:pPr>
      <w:numPr>
        <w:numId w:val="5"/>
      </w:numPr>
    </w:p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743B2A"/>
    <w:pPr>
      <w:keepNext/>
      <w:keepLines/>
      <w:numPr>
        <w:numId w:val="9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NumberedList">
    <w:name w:val="ECHR_A1_Style_Numbered_List"/>
    <w:basedOn w:val="Bezlisty"/>
    <w:rsid w:val="00743B2A"/>
    <w:pPr>
      <w:numPr>
        <w:numId w:val="6"/>
      </w:numPr>
    </w:pPr>
  </w:style>
  <w:style w:type="table" w:customStyle="1" w:styleId="ECHRTable2019">
    <w:name w:val="ECHR_Table_2019"/>
    <w:basedOn w:val="Standardowy"/>
    <w:uiPriority w:val="99"/>
    <w:rsid w:val="00743B2A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FDFDF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band2Horz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5F5F5F" w:themeColor="accent3"/>
          <w:tl2br w:val="nil"/>
          <w:tr2bl w:val="nil"/>
        </w:tcBorders>
        <w:shd w:val="clear" w:color="auto" w:fill="F3F3F3" w:themeFill="text2" w:themeFillTint="33"/>
      </w:tcPr>
    </w:tblStylePr>
  </w:style>
  <w:style w:type="paragraph" w:styleId="Tytu">
    <w:name w:val="Title"/>
    <w:basedOn w:val="Normalny"/>
    <w:next w:val="Normalny"/>
    <w:link w:val="TytuZnak"/>
    <w:uiPriority w:val="98"/>
    <w:semiHidden/>
    <w:qFormat/>
    <w:rsid w:val="00743B2A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743B2A"/>
    <w:rPr>
      <w:rFonts w:asciiTheme="majorHAnsi" w:eastAsiaTheme="majorEastAsia" w:hAnsiTheme="majorHAnsi" w:cstheme="majorBidi"/>
      <w:spacing w:val="5"/>
      <w:sz w:val="52"/>
      <w:szCs w:val="52"/>
      <w:lang w:val="pl-PL" w:bidi="en-US"/>
    </w:rPr>
  </w:style>
  <w:style w:type="paragraph" w:customStyle="1" w:styleId="Footer">
    <w:name w:val="_Footer"/>
    <w:aliases w:val="Footer_"/>
    <w:basedOn w:val="Stopka"/>
    <w:uiPriority w:val="57"/>
    <w:semiHidden/>
    <w:rsid w:val="00BD554D"/>
    <w:rPr>
      <w:sz w:val="8"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743B2A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Initialled">
    <w:name w:val="Ju_Initialled"/>
    <w:aliases w:val="_Right"/>
    <w:basedOn w:val="Normalny"/>
    <w:uiPriority w:val="30"/>
    <w:qFormat/>
    <w:rsid w:val="00743B2A"/>
    <w:pPr>
      <w:tabs>
        <w:tab w:val="center" w:pos="6407"/>
      </w:tabs>
      <w:spacing w:before="720"/>
      <w:jc w:val="right"/>
    </w:pPr>
  </w:style>
  <w:style w:type="character" w:customStyle="1" w:styleId="JuITMark">
    <w:name w:val="Ju_ITMark"/>
    <w:aliases w:val="_ITMark"/>
    <w:basedOn w:val="Domylnaczcionkaakapitu"/>
    <w:uiPriority w:val="54"/>
    <w:semiHidden/>
    <w:qFormat/>
    <w:rsid w:val="00743B2A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paragraph" w:customStyle="1" w:styleId="JuHIRoman">
    <w:name w:val="Ju_H_I_Roman"/>
    <w:aliases w:val="_Head_2"/>
    <w:basedOn w:val="Nagwek2"/>
    <w:next w:val="JuPara"/>
    <w:uiPriority w:val="17"/>
    <w:qFormat/>
    <w:rsid w:val="00743B2A"/>
    <w:pPr>
      <w:keepNext/>
      <w:keepLines/>
      <w:numPr>
        <w:ilvl w:val="1"/>
        <w:numId w:val="9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743B2A"/>
    <w:pPr>
      <w:keepNext/>
      <w:keepLines/>
      <w:numPr>
        <w:ilvl w:val="2"/>
        <w:numId w:val="9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Nagwek4"/>
    <w:next w:val="JuPara"/>
    <w:uiPriority w:val="17"/>
    <w:rsid w:val="00743B2A"/>
    <w:pPr>
      <w:keepNext/>
      <w:keepLines/>
      <w:numPr>
        <w:ilvl w:val="3"/>
        <w:numId w:val="9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customStyle="1" w:styleId="JuHa0">
    <w:name w:val="Ju_H_a"/>
    <w:aliases w:val="_Head_5"/>
    <w:basedOn w:val="Nagwek5"/>
    <w:next w:val="JuPara"/>
    <w:uiPriority w:val="17"/>
    <w:rsid w:val="00743B2A"/>
    <w:pPr>
      <w:keepNext/>
      <w:keepLines/>
      <w:numPr>
        <w:ilvl w:val="4"/>
        <w:numId w:val="9"/>
      </w:numPr>
      <w:spacing w:before="100" w:beforeAutospacing="1" w:after="120"/>
      <w:jc w:val="both"/>
    </w:pPr>
    <w:rPr>
      <w:color w:val="auto"/>
      <w:sz w:val="20"/>
    </w:rPr>
  </w:style>
  <w:style w:type="paragraph" w:styleId="Nagwek">
    <w:name w:val="header"/>
    <w:basedOn w:val="Normalny"/>
    <w:link w:val="NagwekZnak"/>
    <w:uiPriority w:val="98"/>
    <w:semiHidden/>
    <w:rsid w:val="00743B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743B2A"/>
    <w:rPr>
      <w:sz w:val="24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743B2A"/>
    <w:rPr>
      <w:rFonts w:asciiTheme="majorHAnsi" w:eastAsiaTheme="majorEastAsia" w:hAnsiTheme="majorHAnsi" w:cstheme="majorBidi"/>
      <w:b/>
      <w:bCs/>
      <w:color w:val="333333"/>
      <w:sz w:val="28"/>
      <w:szCs w:val="28"/>
      <w:lang w:val="pl-PL"/>
    </w:rPr>
  </w:style>
  <w:style w:type="paragraph" w:customStyle="1" w:styleId="JuHi">
    <w:name w:val="Ju_H_i"/>
    <w:aliases w:val="_Head_6"/>
    <w:basedOn w:val="Nagwek6"/>
    <w:next w:val="JuPara"/>
    <w:uiPriority w:val="17"/>
    <w:rsid w:val="00743B2A"/>
    <w:pPr>
      <w:keepNext/>
      <w:keepLines/>
      <w:numPr>
        <w:ilvl w:val="5"/>
        <w:numId w:val="9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743B2A"/>
    <w:pPr>
      <w:keepNext/>
      <w:keepLines/>
      <w:numPr>
        <w:ilvl w:val="6"/>
        <w:numId w:val="9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743B2A"/>
    <w:rPr>
      <w:rFonts w:asciiTheme="majorHAnsi" w:eastAsiaTheme="majorEastAsia" w:hAnsiTheme="majorHAnsi" w:cstheme="majorBidi"/>
      <w:b/>
      <w:bCs/>
      <w:color w:val="4D4D4D"/>
      <w:sz w:val="26"/>
      <w:szCs w:val="26"/>
      <w:lang w:val="pl-PL"/>
    </w:rPr>
  </w:style>
  <w:style w:type="paragraph" w:customStyle="1" w:styleId="JuH">
    <w:name w:val="Ju_H_–"/>
    <w:aliases w:val="_Head_8"/>
    <w:basedOn w:val="Nagwek8"/>
    <w:next w:val="JuPara"/>
    <w:uiPriority w:val="17"/>
    <w:rsid w:val="00743B2A"/>
    <w:pPr>
      <w:keepNext/>
      <w:keepLines/>
      <w:numPr>
        <w:ilvl w:val="7"/>
        <w:numId w:val="9"/>
      </w:numPr>
      <w:spacing w:before="100" w:beforeAutospacing="1" w:after="120"/>
      <w:jc w:val="both"/>
    </w:pPr>
    <w:rPr>
      <w:i/>
    </w:rPr>
  </w:style>
  <w:style w:type="character" w:customStyle="1" w:styleId="JUNAMES">
    <w:name w:val="JU_NAMES"/>
    <w:aliases w:val="_Ju_Names"/>
    <w:uiPriority w:val="33"/>
    <w:qFormat/>
    <w:rsid w:val="00743B2A"/>
    <w:rPr>
      <w:caps w:val="0"/>
      <w:smallCaps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743B2A"/>
    <w:rPr>
      <w:rFonts w:asciiTheme="majorHAnsi" w:eastAsiaTheme="majorEastAsia" w:hAnsiTheme="majorHAnsi" w:cstheme="majorBidi"/>
      <w:b/>
      <w:bCs/>
      <w:color w:val="5F5F5F"/>
      <w:lang w:val="pl-PL"/>
    </w:rPr>
  </w:style>
  <w:style w:type="paragraph" w:customStyle="1" w:styleId="JuLista">
    <w:name w:val="Ju_List_a"/>
    <w:aliases w:val="_List_2"/>
    <w:basedOn w:val="NormalJustified"/>
    <w:uiPriority w:val="23"/>
    <w:rsid w:val="00743B2A"/>
    <w:pPr>
      <w:numPr>
        <w:ilvl w:val="1"/>
        <w:numId w:val="10"/>
      </w:numPr>
    </w:pPr>
  </w:style>
  <w:style w:type="paragraph" w:customStyle="1" w:styleId="NormalJustified">
    <w:name w:val="Normal_Justified"/>
    <w:basedOn w:val="Normalny"/>
    <w:semiHidden/>
    <w:rsid w:val="00743B2A"/>
    <w:pPr>
      <w:jc w:val="both"/>
    </w:p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743B2A"/>
    <w:rPr>
      <w:rFonts w:asciiTheme="majorHAnsi" w:eastAsiaTheme="majorEastAsia" w:hAnsiTheme="majorHAnsi" w:cstheme="majorBidi"/>
      <w:b/>
      <w:bCs/>
      <w:i/>
      <w:iCs/>
      <w:color w:val="777777"/>
      <w:lang w:val="pl-PL"/>
    </w:r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743B2A"/>
    <w:rPr>
      <w:rFonts w:asciiTheme="majorHAnsi" w:eastAsiaTheme="majorEastAsia" w:hAnsiTheme="majorHAnsi" w:cstheme="majorBidi"/>
      <w:b/>
      <w:bCs/>
      <w:color w:val="808080"/>
      <w:lang w:val="pl-PL"/>
    </w:rPr>
  </w:style>
  <w:style w:type="character" w:styleId="Wyrnieniedelikatne">
    <w:name w:val="Subtle Emphasis"/>
    <w:uiPriority w:val="98"/>
    <w:semiHidden/>
    <w:qFormat/>
    <w:rsid w:val="00743B2A"/>
    <w:rPr>
      <w:i/>
      <w:iCs/>
    </w:rPr>
  </w:style>
  <w:style w:type="table" w:customStyle="1" w:styleId="ECHRTable">
    <w:name w:val="ECHR_Table"/>
    <w:basedOn w:val="Standardowy"/>
    <w:rsid w:val="00743B2A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743B2A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743B2A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743B2A"/>
    <w:rPr>
      <w:rFonts w:asciiTheme="majorHAnsi" w:eastAsiaTheme="majorEastAsia" w:hAnsiTheme="majorHAnsi" w:cstheme="majorBidi"/>
      <w:i/>
      <w:iCs/>
      <w:spacing w:val="13"/>
      <w:sz w:val="24"/>
      <w:szCs w:val="24"/>
      <w:lang w:val="pl-PL" w:bidi="en-US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743B2A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character" w:styleId="Uwydatnienie">
    <w:name w:val="Emphasis"/>
    <w:uiPriority w:val="98"/>
    <w:semiHidden/>
    <w:qFormat/>
    <w:rsid w:val="00743B2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98"/>
    <w:semiHidden/>
    <w:rsid w:val="00743B2A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743B2A"/>
    <w:rPr>
      <w:sz w:val="24"/>
      <w:szCs w:val="24"/>
      <w:lang w:val="pl-PL"/>
    </w:rPr>
  </w:style>
  <w:style w:type="character" w:styleId="Odwoanieprzypisudolnego">
    <w:name w:val="footnote reference"/>
    <w:basedOn w:val="Domylnaczcionkaakapitu"/>
    <w:uiPriority w:val="98"/>
    <w:semiHidden/>
    <w:rsid w:val="00743B2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8"/>
    <w:semiHidden/>
    <w:rsid w:val="00743B2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743B2A"/>
    <w:rPr>
      <w:sz w:val="20"/>
      <w:szCs w:val="20"/>
      <w:lang w:val="pl-PL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743B2A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pl-PL" w:bidi="en-US"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743B2A"/>
    <w:rPr>
      <w:rFonts w:asciiTheme="majorHAnsi" w:eastAsiaTheme="majorEastAsia" w:hAnsiTheme="majorHAnsi" w:cstheme="majorBidi"/>
      <w:i/>
      <w:iCs/>
      <w:lang w:val="pl-PL" w:bidi="en-US"/>
    </w:r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743B2A"/>
    <w:rPr>
      <w:rFonts w:asciiTheme="majorHAnsi" w:eastAsiaTheme="majorEastAsia" w:hAnsiTheme="majorHAnsi" w:cstheme="majorBidi"/>
      <w:sz w:val="20"/>
      <w:szCs w:val="20"/>
      <w:lang w:val="pl-PL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743B2A"/>
    <w:rPr>
      <w:rFonts w:asciiTheme="majorHAnsi" w:eastAsiaTheme="majorEastAsia" w:hAnsiTheme="majorHAnsi" w:cstheme="majorBidi"/>
      <w:i/>
      <w:iCs/>
      <w:spacing w:val="5"/>
      <w:sz w:val="20"/>
      <w:szCs w:val="20"/>
      <w:lang w:val="pl-PL" w:bidi="en-US"/>
    </w:rPr>
  </w:style>
  <w:style w:type="character" w:styleId="Wyrnienieintensywne">
    <w:name w:val="Intense Emphasis"/>
    <w:uiPriority w:val="98"/>
    <w:semiHidden/>
    <w:qFormat/>
    <w:rsid w:val="00743B2A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743B2A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743B2A"/>
    <w:rPr>
      <w:b/>
      <w:bCs/>
      <w:i/>
      <w:iCs/>
      <w:sz w:val="24"/>
      <w:szCs w:val="24"/>
      <w:lang w:val="pl-PL" w:bidi="en-US"/>
    </w:rPr>
  </w:style>
  <w:style w:type="character" w:styleId="Odwoanieintensywne">
    <w:name w:val="Intense Reference"/>
    <w:uiPriority w:val="98"/>
    <w:semiHidden/>
    <w:qFormat/>
    <w:rsid w:val="00743B2A"/>
    <w:rPr>
      <w:smallCaps/>
      <w:spacing w:val="5"/>
      <w:u w:val="single"/>
    </w:rPr>
  </w:style>
  <w:style w:type="paragraph" w:styleId="Akapitzlist">
    <w:name w:val="List Paragraph"/>
    <w:basedOn w:val="Normalny"/>
    <w:uiPriority w:val="98"/>
    <w:semiHidden/>
    <w:qFormat/>
    <w:rsid w:val="00743B2A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Standardowy"/>
    <w:uiPriority w:val="99"/>
    <w:rsid w:val="00743B2A"/>
    <w:rPr>
      <w:sz w:val="24"/>
      <w:szCs w:val="24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743B2A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743B2A"/>
    <w:rPr>
      <w:i/>
      <w:iCs/>
      <w:sz w:val="24"/>
      <w:szCs w:val="24"/>
      <w:lang w:val="pl-PL" w:bidi="en-US"/>
    </w:rPr>
  </w:style>
  <w:style w:type="character" w:styleId="Odwoaniedelikatne">
    <w:name w:val="Subtle Reference"/>
    <w:uiPriority w:val="98"/>
    <w:semiHidden/>
    <w:qFormat/>
    <w:rsid w:val="00743B2A"/>
    <w:rPr>
      <w:smallCaps/>
    </w:rPr>
  </w:style>
  <w:style w:type="table" w:styleId="Tabela-Siatka">
    <w:name w:val="Table Grid"/>
    <w:basedOn w:val="Standardowy"/>
    <w:uiPriority w:val="59"/>
    <w:semiHidden/>
    <w:rsid w:val="00743B2A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8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table" w:customStyle="1" w:styleId="UGTable">
    <w:name w:val="UG_Table"/>
    <w:aliases w:val="ECHR_UG_Table"/>
    <w:basedOn w:val="Standardowy"/>
    <w:uiPriority w:val="99"/>
    <w:rsid w:val="00743B2A"/>
    <w:rPr>
      <w:rFonts w:eastAsiaTheme="minorEastAsia"/>
      <w:sz w:val="20"/>
      <w:szCs w:val="24"/>
      <w:lang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743B2A"/>
    <w:rPr>
      <w:rFonts w:eastAsiaTheme="minorEastAsia"/>
      <w:sz w:val="24"/>
      <w:szCs w:val="24"/>
      <w:lang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Standardowy"/>
    <w:uiPriority w:val="99"/>
    <w:rsid w:val="00743B2A"/>
    <w:rPr>
      <w:color w:val="000000" w:themeColor="text1"/>
      <w:sz w:val="18"/>
      <w:szCs w:val="24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743B2A"/>
    <w:rPr>
      <w:color w:val="000000" w:themeColor="text1"/>
      <w:sz w:val="24"/>
      <w:szCs w:val="24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743B2A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Standardowy"/>
    <w:uiPriority w:val="99"/>
    <w:rsid w:val="00743B2A"/>
    <w:rPr>
      <w:sz w:val="24"/>
      <w:szCs w:val="24"/>
    </w:rPr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743B2A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</w:rPr>
  </w:style>
  <w:style w:type="numbering" w:styleId="111111">
    <w:name w:val="Outline List 2"/>
    <w:basedOn w:val="Bezlisty"/>
    <w:uiPriority w:val="99"/>
    <w:semiHidden/>
    <w:unhideWhenUsed/>
    <w:rsid w:val="00743B2A"/>
    <w:pPr>
      <w:numPr>
        <w:numId w:val="1"/>
      </w:numPr>
    </w:pPr>
  </w:style>
  <w:style w:type="numbering" w:styleId="1ai">
    <w:name w:val="Outline List 1"/>
    <w:basedOn w:val="Bezlisty"/>
    <w:uiPriority w:val="99"/>
    <w:semiHidden/>
    <w:unhideWhenUsed/>
    <w:rsid w:val="00743B2A"/>
    <w:pPr>
      <w:numPr>
        <w:numId w:val="2"/>
      </w:numPr>
    </w:pPr>
  </w:style>
  <w:style w:type="paragraph" w:styleId="Bibliografia">
    <w:name w:val="Bibliography"/>
    <w:basedOn w:val="Normalny"/>
    <w:next w:val="Normalny"/>
    <w:uiPriority w:val="98"/>
    <w:semiHidden/>
    <w:rsid w:val="00743B2A"/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743B2A"/>
    <w:pPr>
      <w:ind w:firstLine="284"/>
    </w:pPr>
  </w:style>
  <w:style w:type="paragraph" w:styleId="Tekstblokowy">
    <w:name w:val="Block Text"/>
    <w:basedOn w:val="Normalny"/>
    <w:uiPriority w:val="98"/>
    <w:semiHidden/>
    <w:rsid w:val="00743B2A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TableSimpleBox">
    <w:name w:val="ECHR_Table_Simple_Box"/>
    <w:basedOn w:val="Standardowy"/>
    <w:uiPriority w:val="99"/>
    <w:rsid w:val="00743B2A"/>
    <w:rPr>
      <w:sz w:val="24"/>
      <w:szCs w:val="24"/>
    </w:rPr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743B2A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paragraph" w:styleId="Tekstpodstawowy">
    <w:name w:val="Body Text"/>
    <w:basedOn w:val="Normalny"/>
    <w:link w:val="TekstpodstawowyZnak"/>
    <w:uiPriority w:val="98"/>
    <w:semiHidden/>
    <w:rsid w:val="00743B2A"/>
    <w:pPr>
      <w:spacing w:after="120"/>
    </w:pPr>
  </w:style>
  <w:style w:type="table" w:customStyle="1" w:styleId="ECHRTableForInternalUse">
    <w:name w:val="ECHR_Table_For_Internal_Use"/>
    <w:basedOn w:val="Standardowy"/>
    <w:uiPriority w:val="99"/>
    <w:rsid w:val="00743B2A"/>
    <w:rPr>
      <w:color w:val="636363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743B2A"/>
    <w:rPr>
      <w:sz w:val="24"/>
      <w:szCs w:val="24"/>
    </w:rPr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743B2A"/>
    <w:rPr>
      <w:sz w:val="24"/>
      <w:szCs w:val="24"/>
      <w:lang w:val="pl-PL"/>
    </w:rPr>
  </w:style>
  <w:style w:type="paragraph" w:styleId="Tekstpodstawowy2">
    <w:name w:val="Body Text 2"/>
    <w:basedOn w:val="Normalny"/>
    <w:link w:val="Tekstpodstawowy2Znak"/>
    <w:uiPriority w:val="98"/>
    <w:semiHidden/>
    <w:rsid w:val="00743B2A"/>
    <w:pPr>
      <w:spacing w:after="120" w:line="480" w:lineRule="auto"/>
    </w:pPr>
  </w:style>
  <w:style w:type="table" w:customStyle="1" w:styleId="ECHRHeaderTable">
    <w:name w:val="ECHR_Header_Table"/>
    <w:basedOn w:val="Standardowy"/>
    <w:uiPriority w:val="99"/>
    <w:rsid w:val="00743B2A"/>
    <w:rPr>
      <w:sz w:val="24"/>
      <w:szCs w:val="24"/>
    </w:rPr>
    <w:tblPr>
      <w:tblInd w:w="-1474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743B2A"/>
    <w:rPr>
      <w:sz w:val="24"/>
      <w:szCs w:val="24"/>
      <w:lang w:val="pl-PL"/>
    </w:rPr>
  </w:style>
  <w:style w:type="paragraph" w:styleId="Tekstpodstawowy3">
    <w:name w:val="Body Text 3"/>
    <w:basedOn w:val="Normalny"/>
    <w:link w:val="Tekstpodstawowy3Znak"/>
    <w:uiPriority w:val="98"/>
    <w:semiHidden/>
    <w:rsid w:val="00743B2A"/>
    <w:pPr>
      <w:spacing w:after="120"/>
    </w:pPr>
    <w:rPr>
      <w:sz w:val="16"/>
      <w:szCs w:val="16"/>
    </w:rPr>
  </w:style>
  <w:style w:type="table" w:customStyle="1" w:styleId="ECHRTableOddBanded">
    <w:name w:val="ECHR_Table_Odd_Banded"/>
    <w:basedOn w:val="Standardowy"/>
    <w:uiPriority w:val="99"/>
    <w:rsid w:val="00743B2A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JuJudges">
    <w:name w:val="Ju_Judges"/>
    <w:aliases w:val="_Judges"/>
    <w:basedOn w:val="Normalny"/>
    <w:uiPriority w:val="32"/>
    <w:qFormat/>
    <w:rsid w:val="00743B2A"/>
    <w:pPr>
      <w:tabs>
        <w:tab w:val="left" w:pos="567"/>
        <w:tab w:val="left" w:pos="1134"/>
      </w:tabs>
    </w:pPr>
  </w:style>
  <w:style w:type="table" w:customStyle="1" w:styleId="ECHRHeaderTableReduced">
    <w:name w:val="ECHR_Header_Table_Reduced"/>
    <w:basedOn w:val="Standardowy"/>
    <w:uiPriority w:val="99"/>
    <w:rsid w:val="00743B2A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743B2A"/>
    <w:rPr>
      <w:sz w:val="16"/>
      <w:szCs w:val="16"/>
      <w:lang w:val="pl-PL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743B2A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743B2A"/>
    <w:rPr>
      <w:sz w:val="24"/>
      <w:szCs w:val="24"/>
      <w:lang w:val="pl-PL"/>
    </w:rPr>
  </w:style>
  <w:style w:type="character" w:styleId="Tekstzastpczy">
    <w:name w:val="Placeholder Text"/>
    <w:basedOn w:val="Domylnaczcionkaakapitu"/>
    <w:uiPriority w:val="98"/>
    <w:semiHidden/>
    <w:rsid w:val="00743B2A"/>
    <w:rPr>
      <w:color w:val="auto"/>
      <w:bdr w:val="none" w:sz="0" w:space="0" w:color="auto"/>
      <w:shd w:val="clear" w:color="auto" w:fill="DFDFDF" w:themeFill="background2" w:themeFillShade="E6"/>
    </w:rPr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743B2A"/>
    <w:pPr>
      <w:tabs>
        <w:tab w:val="center" w:pos="1418"/>
        <w:tab w:val="center" w:pos="5954"/>
      </w:tabs>
      <w:spacing w:before="720"/>
    </w:pPr>
  </w:style>
  <w:style w:type="character" w:styleId="Numerstrony">
    <w:name w:val="page number"/>
    <w:uiPriority w:val="98"/>
    <w:semiHidden/>
    <w:rsid w:val="00743B2A"/>
    <w:rPr>
      <w:sz w:val="18"/>
    </w:rPr>
  </w:style>
  <w:style w:type="character" w:styleId="Odwoaniedokomentarza">
    <w:name w:val="annotation reference"/>
    <w:basedOn w:val="Domylnaczcionkaakapitu"/>
    <w:uiPriority w:val="98"/>
    <w:semiHidden/>
    <w:rsid w:val="00743B2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743B2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743B2A"/>
    <w:rPr>
      <w:sz w:val="20"/>
      <w:szCs w:val="20"/>
      <w:lang w:val="pl-PL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743B2A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743B2A"/>
    <w:pPr>
      <w:keepNext/>
      <w:keepLines/>
      <w:spacing w:before="240" w:after="240"/>
      <w:ind w:firstLine="284"/>
    </w:pPr>
  </w:style>
  <w:style w:type="numbering" w:styleId="Artykusekcja">
    <w:name w:val="Outline List 3"/>
    <w:basedOn w:val="Bezlisty"/>
    <w:uiPriority w:val="99"/>
    <w:semiHidden/>
    <w:unhideWhenUsed/>
    <w:rsid w:val="00743B2A"/>
    <w:pPr>
      <w:numPr>
        <w:numId w:val="3"/>
      </w:numPr>
    </w:pPr>
  </w:style>
  <w:style w:type="paragraph" w:styleId="Listapunktowana">
    <w:name w:val="List Bullet"/>
    <w:basedOn w:val="Normalny"/>
    <w:uiPriority w:val="98"/>
    <w:semiHidden/>
    <w:rsid w:val="00743B2A"/>
    <w:pPr>
      <w:numPr>
        <w:numId w:val="11"/>
      </w:numPr>
    </w:pPr>
  </w:style>
  <w:style w:type="character" w:customStyle="1" w:styleId="JuParaChar">
    <w:name w:val="Ju_Para Char"/>
    <w:aliases w:val="_Para Char"/>
    <w:basedOn w:val="Domylnaczcionkaakapitu"/>
    <w:link w:val="JuPara"/>
    <w:uiPriority w:val="4"/>
    <w:rsid w:val="00787E12"/>
    <w:rPr>
      <w:sz w:val="24"/>
      <w:szCs w:val="24"/>
      <w:lang w:val="pl-PL"/>
    </w:rPr>
  </w:style>
  <w:style w:type="paragraph" w:customStyle="1" w:styleId="JuCase">
    <w:name w:val="Ju_Case"/>
    <w:aliases w:val="_Case_Name"/>
    <w:basedOn w:val="Normalny"/>
    <w:next w:val="JuPara"/>
    <w:uiPriority w:val="32"/>
    <w:rsid w:val="00743B2A"/>
    <w:pPr>
      <w:ind w:firstLine="284"/>
      <w:jc w:val="both"/>
    </w:pPr>
    <w:rPr>
      <w:b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743B2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743B2A"/>
    <w:rPr>
      <w:sz w:val="24"/>
      <w:szCs w:val="24"/>
      <w:lang w:val="pl-PL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743B2A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743B2A"/>
    <w:rPr>
      <w:sz w:val="24"/>
      <w:szCs w:val="24"/>
      <w:lang w:val="pl-PL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743B2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743B2A"/>
    <w:rPr>
      <w:sz w:val="24"/>
      <w:szCs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743B2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743B2A"/>
    <w:rPr>
      <w:sz w:val="16"/>
      <w:szCs w:val="16"/>
      <w:lang w:val="pl-PL"/>
    </w:rPr>
  </w:style>
  <w:style w:type="paragraph" w:styleId="Legenda">
    <w:name w:val="caption"/>
    <w:basedOn w:val="Normalny"/>
    <w:next w:val="Normalny"/>
    <w:uiPriority w:val="98"/>
    <w:semiHidden/>
    <w:qFormat/>
    <w:rsid w:val="00743B2A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743B2A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743B2A"/>
    <w:rPr>
      <w:sz w:val="24"/>
      <w:szCs w:val="24"/>
      <w:lang w:val="pl-PL"/>
    </w:rPr>
  </w:style>
  <w:style w:type="table" w:styleId="Kolorowasiatka">
    <w:name w:val="Colorful Grid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743B2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743B2A"/>
    <w:rPr>
      <w:b/>
      <w:bCs/>
      <w:sz w:val="20"/>
      <w:szCs w:val="20"/>
      <w:lang w:val="pl-PL"/>
    </w:rPr>
  </w:style>
  <w:style w:type="table" w:styleId="Ciemnalista">
    <w:name w:val="Dark List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743B2A"/>
  </w:style>
  <w:style w:type="character" w:customStyle="1" w:styleId="DataZnak">
    <w:name w:val="Data Znak"/>
    <w:basedOn w:val="Domylnaczcionkaakapitu"/>
    <w:link w:val="Data"/>
    <w:uiPriority w:val="98"/>
    <w:semiHidden/>
    <w:rsid w:val="00743B2A"/>
    <w:rPr>
      <w:sz w:val="24"/>
      <w:szCs w:val="24"/>
      <w:lang w:val="pl-PL"/>
    </w:rPr>
  </w:style>
  <w:style w:type="paragraph" w:styleId="Mapadokumentu">
    <w:name w:val="Document Map"/>
    <w:basedOn w:val="Normalny"/>
    <w:link w:val="MapadokumentuZnak"/>
    <w:uiPriority w:val="98"/>
    <w:semiHidden/>
    <w:rsid w:val="00743B2A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743B2A"/>
    <w:rPr>
      <w:rFonts w:ascii="Tahoma" w:hAnsi="Tahoma" w:cs="Tahoma"/>
      <w:sz w:val="16"/>
      <w:szCs w:val="16"/>
      <w:lang w:val="pl-PL"/>
    </w:rPr>
  </w:style>
  <w:style w:type="paragraph" w:styleId="Podpise-mail">
    <w:name w:val="E-mail Signature"/>
    <w:basedOn w:val="Normalny"/>
    <w:link w:val="Podpise-mailZnak"/>
    <w:uiPriority w:val="98"/>
    <w:semiHidden/>
    <w:rsid w:val="00743B2A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743B2A"/>
    <w:rPr>
      <w:sz w:val="24"/>
      <w:szCs w:val="24"/>
      <w:lang w:val="pl-PL"/>
    </w:rPr>
  </w:style>
  <w:style w:type="character" w:styleId="Odwoanieprzypisukocowego">
    <w:name w:val="endnote reference"/>
    <w:basedOn w:val="Domylnaczcionkaakapitu"/>
    <w:uiPriority w:val="98"/>
    <w:semiHidden/>
    <w:rsid w:val="00743B2A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743B2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743B2A"/>
    <w:rPr>
      <w:sz w:val="20"/>
      <w:szCs w:val="20"/>
      <w:lang w:val="pl-PL"/>
    </w:rPr>
  </w:style>
  <w:style w:type="paragraph" w:styleId="Adresnakopercie">
    <w:name w:val="envelope address"/>
    <w:basedOn w:val="Normalny"/>
    <w:uiPriority w:val="98"/>
    <w:semiHidden/>
    <w:rsid w:val="00743B2A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743B2A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sid w:val="00743B2A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8"/>
    <w:semiHidden/>
    <w:rsid w:val="00743B2A"/>
  </w:style>
  <w:style w:type="paragraph" w:styleId="HTML-adres">
    <w:name w:val="HTML Address"/>
    <w:basedOn w:val="Normalny"/>
    <w:link w:val="HTML-adresZnak"/>
    <w:uiPriority w:val="98"/>
    <w:semiHidden/>
    <w:rsid w:val="00743B2A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743B2A"/>
    <w:rPr>
      <w:i/>
      <w:iCs/>
      <w:sz w:val="24"/>
      <w:szCs w:val="24"/>
      <w:lang w:val="pl-PL"/>
    </w:rPr>
  </w:style>
  <w:style w:type="character" w:styleId="HTML-cytat">
    <w:name w:val="HTML Cite"/>
    <w:basedOn w:val="Domylnaczcionkaakapitu"/>
    <w:uiPriority w:val="98"/>
    <w:semiHidden/>
    <w:rsid w:val="00743B2A"/>
    <w:rPr>
      <w:i/>
      <w:iCs/>
    </w:rPr>
  </w:style>
  <w:style w:type="character" w:styleId="HTML-kod">
    <w:name w:val="HTML Code"/>
    <w:basedOn w:val="Domylnaczcionkaakapitu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743B2A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743B2A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743B2A"/>
    <w:rPr>
      <w:rFonts w:ascii="Consolas" w:hAnsi="Consolas" w:cs="Consolas"/>
      <w:sz w:val="20"/>
      <w:szCs w:val="20"/>
      <w:lang w:val="pl-PL"/>
    </w:rPr>
  </w:style>
  <w:style w:type="character" w:styleId="HTML-przykad">
    <w:name w:val="HTML Sample"/>
    <w:basedOn w:val="Domylnaczcionkaakapitu"/>
    <w:uiPriority w:val="98"/>
    <w:semiHidden/>
    <w:rsid w:val="00743B2A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743B2A"/>
    <w:rPr>
      <w:i/>
      <w:iCs/>
    </w:rPr>
  </w:style>
  <w:style w:type="paragraph" w:styleId="Indeks1">
    <w:name w:val="index 1"/>
    <w:basedOn w:val="Normalny"/>
    <w:next w:val="Normalny"/>
    <w:autoRedefine/>
    <w:uiPriority w:val="98"/>
    <w:semiHidden/>
    <w:rsid w:val="00743B2A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743B2A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743B2A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743B2A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743B2A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743B2A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743B2A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743B2A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743B2A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743B2A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743B2A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743B2A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743B2A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743B2A"/>
    <w:rPr>
      <w:color w:val="474747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743B2A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743B2A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743B2A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743B2A"/>
  </w:style>
  <w:style w:type="paragraph" w:styleId="Lista">
    <w:name w:val="List"/>
    <w:basedOn w:val="Normalny"/>
    <w:uiPriority w:val="98"/>
    <w:semiHidden/>
    <w:rsid w:val="00743B2A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743B2A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743B2A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743B2A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743B2A"/>
    <w:pPr>
      <w:ind w:left="1415" w:hanging="283"/>
      <w:contextualSpacing/>
    </w:pPr>
  </w:style>
  <w:style w:type="paragraph" w:styleId="Listapunktowana2">
    <w:name w:val="List Bullet 2"/>
    <w:basedOn w:val="Normalny"/>
    <w:uiPriority w:val="98"/>
    <w:semiHidden/>
    <w:rsid w:val="00743B2A"/>
    <w:pPr>
      <w:numPr>
        <w:numId w:val="12"/>
      </w:numPr>
      <w:contextualSpacing/>
    </w:pPr>
  </w:style>
  <w:style w:type="paragraph" w:styleId="Listapunktowana3">
    <w:name w:val="List Bullet 3"/>
    <w:basedOn w:val="Normalny"/>
    <w:uiPriority w:val="98"/>
    <w:semiHidden/>
    <w:rsid w:val="00743B2A"/>
    <w:pPr>
      <w:numPr>
        <w:numId w:val="13"/>
      </w:numPr>
      <w:contextualSpacing/>
    </w:pPr>
  </w:style>
  <w:style w:type="paragraph" w:styleId="Listapunktowana4">
    <w:name w:val="List Bullet 4"/>
    <w:basedOn w:val="Normalny"/>
    <w:uiPriority w:val="98"/>
    <w:semiHidden/>
    <w:rsid w:val="00743B2A"/>
    <w:pPr>
      <w:numPr>
        <w:numId w:val="14"/>
      </w:numPr>
      <w:contextualSpacing/>
    </w:pPr>
  </w:style>
  <w:style w:type="paragraph" w:styleId="Listapunktowana5">
    <w:name w:val="List Bullet 5"/>
    <w:basedOn w:val="Normalny"/>
    <w:uiPriority w:val="98"/>
    <w:semiHidden/>
    <w:rsid w:val="00743B2A"/>
    <w:pPr>
      <w:numPr>
        <w:numId w:val="15"/>
      </w:numPr>
      <w:contextualSpacing/>
    </w:pPr>
  </w:style>
  <w:style w:type="paragraph" w:styleId="Lista-kontynuacja">
    <w:name w:val="List Continue"/>
    <w:basedOn w:val="Normalny"/>
    <w:uiPriority w:val="98"/>
    <w:semiHidden/>
    <w:rsid w:val="00743B2A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743B2A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743B2A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743B2A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743B2A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743B2A"/>
    <w:pPr>
      <w:numPr>
        <w:numId w:val="16"/>
      </w:numPr>
      <w:contextualSpacing/>
    </w:pPr>
  </w:style>
  <w:style w:type="paragraph" w:styleId="Listanumerowana2">
    <w:name w:val="List Number 2"/>
    <w:basedOn w:val="Normalny"/>
    <w:uiPriority w:val="98"/>
    <w:semiHidden/>
    <w:rsid w:val="00743B2A"/>
    <w:pPr>
      <w:numPr>
        <w:numId w:val="17"/>
      </w:numPr>
      <w:contextualSpacing/>
    </w:pPr>
  </w:style>
  <w:style w:type="paragraph" w:styleId="Listanumerowana3">
    <w:name w:val="List Number 3"/>
    <w:basedOn w:val="Normalny"/>
    <w:uiPriority w:val="98"/>
    <w:semiHidden/>
    <w:rsid w:val="00743B2A"/>
    <w:pPr>
      <w:numPr>
        <w:numId w:val="18"/>
      </w:numPr>
      <w:contextualSpacing/>
    </w:pPr>
  </w:style>
  <w:style w:type="paragraph" w:styleId="Listanumerowana4">
    <w:name w:val="List Number 4"/>
    <w:basedOn w:val="Normalny"/>
    <w:uiPriority w:val="98"/>
    <w:semiHidden/>
    <w:rsid w:val="00743B2A"/>
    <w:pPr>
      <w:numPr>
        <w:numId w:val="19"/>
      </w:numPr>
      <w:contextualSpacing/>
    </w:pPr>
  </w:style>
  <w:style w:type="paragraph" w:styleId="Listanumerowana5">
    <w:name w:val="List Number 5"/>
    <w:basedOn w:val="Normalny"/>
    <w:uiPriority w:val="98"/>
    <w:semiHidden/>
    <w:rsid w:val="00743B2A"/>
    <w:pPr>
      <w:numPr>
        <w:numId w:val="20"/>
      </w:numPr>
      <w:contextualSpacing/>
    </w:pPr>
  </w:style>
  <w:style w:type="paragraph" w:styleId="Tekstmakra">
    <w:name w:val="macro"/>
    <w:link w:val="TekstmakraZnak"/>
    <w:uiPriority w:val="98"/>
    <w:semiHidden/>
    <w:rsid w:val="00743B2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743B2A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743B2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743B2A"/>
    <w:rPr>
      <w:rFonts w:asciiTheme="majorHAnsi" w:eastAsiaTheme="majorEastAsia" w:hAnsiTheme="majorHAnsi" w:cstheme="majorBidi"/>
      <w:sz w:val="24"/>
      <w:szCs w:val="24"/>
      <w:shd w:val="pct20" w:color="auto" w:fill="auto"/>
      <w:lang w:val="pl-PL"/>
    </w:rPr>
  </w:style>
  <w:style w:type="paragraph" w:styleId="NormalnyWeb">
    <w:name w:val="Normal (Web)"/>
    <w:basedOn w:val="Normalny"/>
    <w:uiPriority w:val="98"/>
    <w:semiHidden/>
    <w:rsid w:val="00743B2A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743B2A"/>
    <w:pPr>
      <w:ind w:left="720"/>
    </w:p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743B2A"/>
    <w:pPr>
      <w:tabs>
        <w:tab w:val="center" w:pos="6146"/>
        <w:tab w:val="right" w:pos="13778"/>
      </w:tabs>
      <w:ind w:left="-1474" w:right="-1474"/>
    </w:pPr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743B2A"/>
    <w:rPr>
      <w:sz w:val="24"/>
      <w:szCs w:val="24"/>
      <w:lang w:val="pl-PL"/>
    </w:rPr>
  </w:style>
  <w:style w:type="paragraph" w:styleId="Zwykytekst">
    <w:name w:val="Plain Text"/>
    <w:basedOn w:val="Normalny"/>
    <w:link w:val="ZwykytekstZnak"/>
    <w:uiPriority w:val="98"/>
    <w:semiHidden/>
    <w:rsid w:val="00743B2A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743B2A"/>
    <w:rPr>
      <w:rFonts w:ascii="Consolas" w:hAnsi="Consolas" w:cs="Consolas"/>
      <w:sz w:val="21"/>
      <w:szCs w:val="21"/>
      <w:lang w:val="pl-PL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743B2A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743B2A"/>
    <w:rPr>
      <w:sz w:val="24"/>
      <w:szCs w:val="24"/>
      <w:lang w:val="pl-PL"/>
    </w:rPr>
  </w:style>
  <w:style w:type="paragraph" w:styleId="Podpis">
    <w:name w:val="Signature"/>
    <w:basedOn w:val="Normalny"/>
    <w:link w:val="PodpisZnak"/>
    <w:uiPriority w:val="98"/>
    <w:semiHidden/>
    <w:rsid w:val="00743B2A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743B2A"/>
    <w:rPr>
      <w:sz w:val="24"/>
      <w:szCs w:val="24"/>
      <w:lang w:val="pl-PL"/>
    </w:rPr>
  </w:style>
  <w:style w:type="table" w:styleId="Tabela-Efekty3D1">
    <w:name w:val="Table 3D effects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D2">
    <w:name w:val="Table 3D effects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D3">
    <w:name w:val="Table 3D effects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743B2A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743B2A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743B2A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743B2A"/>
  </w:style>
  <w:style w:type="table" w:styleId="Tabela-Profesjonalny">
    <w:name w:val="Table Professional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743B2A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743B2A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0167D8"/>
    <w:rPr>
      <w:sz w:val="8"/>
    </w:rPr>
  </w:style>
  <w:style w:type="paragraph" w:customStyle="1" w:styleId="ECHRFooterLine">
    <w:name w:val="ECHR_Footer_Line"/>
    <w:aliases w:val="_Footer_Line"/>
    <w:basedOn w:val="Normalny"/>
    <w:next w:val="Normalny"/>
    <w:uiPriority w:val="30"/>
    <w:semiHidden/>
    <w:rsid w:val="00743B2A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character" w:styleId="Hipercze">
    <w:name w:val="Hyperlink"/>
    <w:basedOn w:val="Domylnaczcionkaakapitu"/>
    <w:uiPriority w:val="98"/>
    <w:semiHidden/>
    <w:rsid w:val="00743B2A"/>
    <w:rPr>
      <w:color w:val="0072BC" w:themeColor="hyperlink"/>
      <w:u w:val="single"/>
    </w:r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743B2A"/>
  </w:style>
  <w:style w:type="paragraph" w:customStyle="1" w:styleId="DecList">
    <w:name w:val="Dec_List"/>
    <w:aliases w:val="_List"/>
    <w:basedOn w:val="JuList"/>
    <w:uiPriority w:val="22"/>
    <w:rsid w:val="00743B2A"/>
    <w:pPr>
      <w:numPr>
        <w:numId w:val="0"/>
      </w:numPr>
      <w:ind w:left="284"/>
    </w:pPr>
  </w:style>
  <w:style w:type="paragraph" w:customStyle="1" w:styleId="ECHRPlaceholder">
    <w:name w:val="ECHR_Placeholder"/>
    <w:aliases w:val="_Placeholder"/>
    <w:basedOn w:val="JuSigned"/>
    <w:uiPriority w:val="31"/>
    <w:rsid w:val="00743B2A"/>
    <w:rPr>
      <w:color w:val="FFFFFF"/>
    </w:r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743B2A"/>
    <w:pPr>
      <w:numPr>
        <w:numId w:val="7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743B2A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743B2A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743B2A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743B2A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743B2A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743B2A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743B2A"/>
    <w:rPr>
      <w:rFonts w:ascii="Arial" w:hAnsi="Arial"/>
      <w:i/>
      <w:color w:val="002856"/>
      <w:sz w:val="32"/>
      <w:szCs w:val="24"/>
      <w:lang w:val="pl-PL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743B2A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74747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743B2A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semiHidden/>
    <w:qFormat/>
    <w:rsid w:val="00743B2A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uiPriority w:val="17"/>
    <w:semiHidden/>
    <w:rsid w:val="00743B2A"/>
    <w:pPr>
      <w:keepNext/>
      <w:keepLines/>
      <w:numPr>
        <w:ilvl w:val="8"/>
        <w:numId w:val="9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743B2A"/>
    <w:pPr>
      <w:pBdr>
        <w:bottom w:val="single" w:sz="12" w:space="1" w:color="949494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ny"/>
    <w:uiPriority w:val="23"/>
    <w:semiHidden/>
    <w:qFormat/>
    <w:rsid w:val="00743B2A"/>
    <w:pPr>
      <w:numPr>
        <w:numId w:val="8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743B2A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743B2A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ny"/>
    <w:uiPriority w:val="8"/>
    <w:semiHidden/>
    <w:qFormat/>
    <w:rsid w:val="00743B2A"/>
    <w:pPr>
      <w:ind w:left="567" w:hanging="567"/>
      <w:jc w:val="both"/>
    </w:pPr>
  </w:style>
  <w:style w:type="paragraph" w:customStyle="1" w:styleId="ECHRParaIndent">
    <w:name w:val="ECHR_Para_Indent"/>
    <w:aliases w:val="_Indent"/>
    <w:basedOn w:val="Normalny"/>
    <w:uiPriority w:val="7"/>
    <w:semiHidden/>
    <w:qFormat/>
    <w:rsid w:val="00743B2A"/>
    <w:pPr>
      <w:spacing w:before="120" w:after="120"/>
      <w:ind w:left="284"/>
      <w:jc w:val="both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743B2A"/>
    <w:rPr>
      <w:color w:val="C00000" w:themeColor="accent2"/>
    </w:rPr>
  </w:style>
  <w:style w:type="paragraph" w:customStyle="1" w:styleId="ECHRSpacer">
    <w:name w:val="ECHR_Spacer"/>
    <w:aliases w:val="_Spacer"/>
    <w:basedOn w:val="Normalny"/>
    <w:uiPriority w:val="45"/>
    <w:semiHidden/>
    <w:rsid w:val="00743B2A"/>
    <w:rPr>
      <w:sz w:val="4"/>
    </w:rPr>
  </w:style>
  <w:style w:type="table" w:customStyle="1" w:styleId="ECHRTable2">
    <w:name w:val="ECHR_Table_2"/>
    <w:basedOn w:val="Standardowy"/>
    <w:uiPriority w:val="99"/>
    <w:rsid w:val="00743B2A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743B2A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F8F8F8" w:themeColor="background2"/>
          <w:tl2br w:val="nil"/>
          <w:tr2bl w:val="nil"/>
        </w:tcBorders>
        <w:shd w:val="clear" w:color="auto" w:fill="5F5F5F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E8E8E8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743B2A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743B2A"/>
    <w:pPr>
      <w:outlineLvl w:val="0"/>
    </w:pPr>
  </w:style>
  <w:style w:type="table" w:customStyle="1" w:styleId="ECHRTableGrey">
    <w:name w:val="ECHR_Table_Grey"/>
    <w:basedOn w:val="Standardowy"/>
    <w:uiPriority w:val="99"/>
    <w:rsid w:val="00743B2A"/>
    <w:pPr>
      <w:tabs>
        <w:tab w:val="left" w:pos="397"/>
      </w:tabs>
    </w:pPr>
    <w:tblPr>
      <w:jc w:val="center"/>
      <w:tblBorders>
        <w:top w:val="single" w:sz="4" w:space="0" w:color="636363" w:themeColor="text2" w:themeShade="80"/>
        <w:left w:val="single" w:sz="4" w:space="0" w:color="636363" w:themeColor="text2" w:themeShade="80"/>
        <w:bottom w:val="single" w:sz="4" w:space="0" w:color="636363" w:themeColor="text2" w:themeShade="80"/>
        <w:right w:val="single" w:sz="4" w:space="0" w:color="636363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B16F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645B30-EC6A-433E-8195-694384A52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1149</Words>
  <Characters>6899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>1</cp:revision>
  <dcterms:created xsi:type="dcterms:W3CDTF">2024-07-10T08:54:00Z</dcterms:created>
  <dcterms:modified xsi:type="dcterms:W3CDTF">2024-07-10T08:54:00Z</dcterms:modified>
  <cp:category/>
</cp:coreProperties>
</file>