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C0EDC" w14:textId="77777777" w:rsidR="008D51B6" w:rsidRPr="00CB56FA" w:rsidRDefault="008D51B6" w:rsidP="00CB56FA">
      <w:pPr>
        <w:jc w:val="center"/>
      </w:pPr>
    </w:p>
    <w:p w14:paraId="3972FE64" w14:textId="77777777" w:rsidR="004D042B" w:rsidRPr="00CB56FA" w:rsidRDefault="004D042B" w:rsidP="00CB56FA">
      <w:pPr>
        <w:jc w:val="center"/>
      </w:pPr>
    </w:p>
    <w:p w14:paraId="0B960E89" w14:textId="77777777" w:rsidR="000C5149" w:rsidRPr="00CB56FA" w:rsidRDefault="000C5149" w:rsidP="00CB56FA">
      <w:pPr>
        <w:jc w:val="center"/>
      </w:pPr>
    </w:p>
    <w:p w14:paraId="16B846D5" w14:textId="77777777" w:rsidR="00787E12" w:rsidRPr="00CB56FA" w:rsidRDefault="00000000" w:rsidP="00CB56FA">
      <w:pPr>
        <w:pStyle w:val="DecHTitle"/>
      </w:pPr>
      <w:r>
        <w:t>SEKCJA PIERWSZA</w:t>
      </w:r>
    </w:p>
    <w:p w14:paraId="36822189" w14:textId="77777777" w:rsidR="006D324D" w:rsidRPr="00CB56FA" w:rsidRDefault="00000000" w:rsidP="00CB56FA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RÓŻYCKI przeciwko POLSCE</w:t>
      </w:r>
    </w:p>
    <w:p w14:paraId="394D5B8A" w14:textId="77777777" w:rsidR="006D324D" w:rsidRPr="00CB56FA" w:rsidRDefault="00000000" w:rsidP="00CB56FA">
      <w:pPr>
        <w:pStyle w:val="ECHRCoverTitle4"/>
      </w:pPr>
      <w:r>
        <w:t>(Skargi nr 24897/20 oraz 24900/20)</w:t>
      </w:r>
    </w:p>
    <w:p w14:paraId="67BD7DA5" w14:textId="77777777" w:rsidR="006D324D" w:rsidRPr="00CB56FA" w:rsidRDefault="006D324D" w:rsidP="00CB56FA">
      <w:pPr>
        <w:pStyle w:val="DecHCase"/>
      </w:pPr>
    </w:p>
    <w:p w14:paraId="6B8A0BD7" w14:textId="77777777" w:rsidR="006D324D" w:rsidRPr="00CB56FA" w:rsidRDefault="006D324D" w:rsidP="00CB56FA">
      <w:pPr>
        <w:pStyle w:val="DecHCase"/>
      </w:pPr>
    </w:p>
    <w:p w14:paraId="29F51C56" w14:textId="77777777" w:rsidR="00787E12" w:rsidRPr="00CB56FA" w:rsidRDefault="00787E12" w:rsidP="00CB56FA">
      <w:pPr>
        <w:pStyle w:val="DecHCase"/>
      </w:pPr>
    </w:p>
    <w:p w14:paraId="3B4CD201" w14:textId="77777777" w:rsidR="00787E12" w:rsidRPr="00CB56FA" w:rsidRDefault="00787E12" w:rsidP="00CB56FA">
      <w:pPr>
        <w:pStyle w:val="DecHCase"/>
      </w:pPr>
    </w:p>
    <w:p w14:paraId="0D214423" w14:textId="77777777" w:rsidR="00787E12" w:rsidRPr="00CB56FA" w:rsidRDefault="00787E12" w:rsidP="00CB56FA">
      <w:pPr>
        <w:pStyle w:val="DecHCase"/>
      </w:pPr>
    </w:p>
    <w:p w14:paraId="503FA90A" w14:textId="77777777" w:rsidR="00A062B9" w:rsidRPr="00CB56FA" w:rsidRDefault="00A062B9" w:rsidP="00CB56FA">
      <w:pPr>
        <w:pStyle w:val="DecHCase"/>
      </w:pPr>
    </w:p>
    <w:p w14:paraId="3544B28F" w14:textId="77777777" w:rsidR="00787E12" w:rsidRPr="00CB56FA" w:rsidRDefault="00000000" w:rsidP="00CB56FA">
      <w:pPr>
        <w:pStyle w:val="DecHCase"/>
      </w:pPr>
      <w:r>
        <w:t>WYROK</w:t>
      </w:r>
    </w:p>
    <w:p w14:paraId="2782EE32" w14:textId="77777777" w:rsidR="00787E12" w:rsidRPr="00CB56FA" w:rsidRDefault="00787E12" w:rsidP="00CB56FA">
      <w:pPr>
        <w:jc w:val="center"/>
        <w:rPr>
          <w:i/>
        </w:rPr>
      </w:pPr>
    </w:p>
    <w:p w14:paraId="64F8AA43" w14:textId="77777777" w:rsidR="00787E12" w:rsidRPr="00CB56FA" w:rsidRDefault="00000000" w:rsidP="00CB56FA">
      <w:pPr>
        <w:pStyle w:val="DecHCase"/>
      </w:pPr>
      <w:r>
        <w:t>STRASBURG</w:t>
      </w:r>
    </w:p>
    <w:p w14:paraId="32A8ABBA" w14:textId="77777777" w:rsidR="00787E12" w:rsidRPr="00CB56FA" w:rsidRDefault="00000000" w:rsidP="00CB56FA">
      <w:pPr>
        <w:pStyle w:val="DecHCase"/>
      </w:pPr>
      <w:r>
        <w:t>11 kwietnia 2024 r.</w:t>
      </w:r>
    </w:p>
    <w:p w14:paraId="0BD0BAD1" w14:textId="77777777" w:rsidR="00787E12" w:rsidRPr="00CB56FA" w:rsidRDefault="00787E12" w:rsidP="00CB56FA">
      <w:pPr>
        <w:jc w:val="center"/>
      </w:pPr>
    </w:p>
    <w:p w14:paraId="619B98E6" w14:textId="77777777" w:rsidR="00787E12" w:rsidRPr="00CB56FA" w:rsidRDefault="00000000" w:rsidP="00CB56FA">
      <w:pPr>
        <w:rPr>
          <w:sz w:val="2"/>
          <w:szCs w:val="2"/>
        </w:rPr>
      </w:pPr>
      <w:r>
        <w:rPr>
          <w:i/>
        </w:rPr>
        <w:t>Wyrok jest ostateczny, ale może podlegać korekcie wydawniczej.</w:t>
      </w:r>
    </w:p>
    <w:p w14:paraId="29459981" w14:textId="77777777" w:rsidR="00787E12" w:rsidRPr="00CB56FA" w:rsidRDefault="00787E12" w:rsidP="00CB56FA">
      <w:pPr>
        <w:pStyle w:val="JuCase"/>
        <w:sectPr w:rsidR="00787E12" w:rsidRPr="00CB56FA" w:rsidSect="00A514AD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6E1EBD8E" w14:textId="77777777" w:rsidR="00787E12" w:rsidRPr="00CB56FA" w:rsidRDefault="00000000" w:rsidP="00CB56FA">
      <w:pPr>
        <w:pStyle w:val="JuCase"/>
        <w:rPr>
          <w:bCs/>
        </w:rPr>
      </w:pPr>
      <w:r>
        <w:lastRenderedPageBreak/>
        <w:t>W sprawie Różycki przeciwko Polsce</w:t>
      </w:r>
    </w:p>
    <w:p w14:paraId="2C5AECAB" w14:textId="77777777" w:rsidR="00787E12" w:rsidRPr="00CB56FA" w:rsidRDefault="00000000" w:rsidP="00CB56FA">
      <w:pPr>
        <w:pStyle w:val="JuPara"/>
      </w:pPr>
      <w:r>
        <w:t>Europejski Trybunał Praw Człowieka (sekcja pierwsza), zasiadając jako Komitet w składzie:</w:t>
      </w:r>
    </w:p>
    <w:p w14:paraId="37362E2B" w14:textId="77777777" w:rsidR="002C5B23" w:rsidRPr="00CB56FA" w:rsidRDefault="00000000" w:rsidP="00CB56FA">
      <w:pPr>
        <w:pStyle w:val="JuJudges"/>
      </w:pPr>
      <w:r>
        <w:tab/>
        <w:t>Péter Paczolay</w:t>
      </w:r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>Gilberto Felici,</w:t>
      </w:r>
      <w:r>
        <w:br/>
      </w:r>
      <w:r>
        <w:tab/>
        <w:t>Raffaele Sabato</w:t>
      </w:r>
      <w:r>
        <w:rPr>
          <w:i/>
        </w:rPr>
        <w:t>, sędziowie</w:t>
      </w:r>
      <w:r>
        <w:t>,</w:t>
      </w:r>
    </w:p>
    <w:p w14:paraId="3495FD7D" w14:textId="77777777" w:rsidR="00787E12" w:rsidRPr="00CB56FA" w:rsidRDefault="00000000" w:rsidP="00CB56FA">
      <w:pPr>
        <w:pStyle w:val="JuJudges"/>
      </w:pPr>
      <w:r>
        <w:t xml:space="preserve">oraz Viktoriya Maradudina, </w:t>
      </w:r>
      <w:r>
        <w:rPr>
          <w:i/>
        </w:rPr>
        <w:t>p.o. Zastępcy Kanclerza Sekcji,</w:t>
      </w:r>
    </w:p>
    <w:p w14:paraId="792A8464" w14:textId="77777777" w:rsidR="00787E12" w:rsidRPr="00CB56FA" w:rsidRDefault="00000000" w:rsidP="00CB56FA">
      <w:pPr>
        <w:pStyle w:val="JuPara"/>
      </w:pPr>
      <w:r>
        <w:t>obradując na posiedzeniu niejawnym w dniu 21 marca 2024 r.,</w:t>
      </w:r>
    </w:p>
    <w:p w14:paraId="6F25E451" w14:textId="77777777" w:rsidR="006372F5" w:rsidRPr="00CB56FA" w:rsidRDefault="00000000" w:rsidP="00CB56FA">
      <w:pPr>
        <w:pStyle w:val="JuPara"/>
      </w:pPr>
      <w:r>
        <w:t>wydaje następujący wyrok, który został przyjęty w tym dniu:</w:t>
      </w:r>
    </w:p>
    <w:p w14:paraId="1BB4D829" w14:textId="77777777" w:rsidR="00BA5187" w:rsidRPr="00CB56FA" w:rsidRDefault="00000000" w:rsidP="00CB56FA">
      <w:pPr>
        <w:pStyle w:val="JuHHead"/>
      </w:pPr>
      <w:bookmarkStart w:id="1" w:name="ITMARKStartJudgment"/>
      <w:bookmarkEnd w:id="1"/>
      <w:r>
        <w:t>POSTĘPOWANIE</w:t>
      </w:r>
    </w:p>
    <w:p w14:paraId="03D5638E" w14:textId="16DCEBE4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\r1 </w:instrText>
      </w:r>
      <w:r w:rsidRPr="00CB56FA">
        <w:fldChar w:fldCharType="separate"/>
      </w:r>
      <w:r w:rsidR="0099159B">
        <w:rPr>
          <w:noProof/>
        </w:rPr>
        <w:t>1</w:t>
      </w:r>
      <w:r w:rsidRPr="00CB56FA">
        <w:fldChar w:fldCharType="end"/>
      </w:r>
      <w:r>
        <w:t xml:space="preserve">.  Sprawa wywodzi się ze skarg przeciwko Polsce, wniesionych do Trybunału </w:t>
      </w:r>
      <w:r w:rsidR="00607C2A">
        <w:t>na podstawie art. 34 Konwencji o ochronie praw człowieka i podstawowych wolności („Konwencja”)</w:t>
      </w:r>
      <w:r w:rsidR="00607C2A">
        <w:t xml:space="preserve"> </w:t>
      </w:r>
      <w:r>
        <w:t xml:space="preserve">w różnych </w:t>
      </w:r>
      <w:r w:rsidR="00607C2A">
        <w:t>datach,</w:t>
      </w:r>
      <w:r>
        <w:t xml:space="preserve"> wskazanych w załączonej tabeli.</w:t>
      </w:r>
    </w:p>
    <w:p w14:paraId="2C58FD14" w14:textId="78B00D40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2</w:t>
      </w:r>
      <w:r w:rsidRPr="00CB56FA">
        <w:fldChar w:fldCharType="end"/>
      </w:r>
      <w:r>
        <w:t>.  Skargi zostały zakomunikowane rządowi polskiemu („Rząd”).</w:t>
      </w:r>
    </w:p>
    <w:p w14:paraId="6CF1AE79" w14:textId="77777777" w:rsidR="00BA5187" w:rsidRPr="00CB56FA" w:rsidRDefault="00000000" w:rsidP="00CB56FA">
      <w:pPr>
        <w:pStyle w:val="JuHHead"/>
      </w:pPr>
      <w:r>
        <w:t>FAKTY</w:t>
      </w:r>
    </w:p>
    <w:p w14:paraId="0EBF395E" w14:textId="21847A98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3</w:t>
      </w:r>
      <w:r w:rsidRPr="00CB56FA">
        <w:fldChar w:fldCharType="end"/>
      </w:r>
      <w:r>
        <w:t>.  Istotne informacje dotyczące skarg przedstawion</w:t>
      </w:r>
      <w:r w:rsidR="00607C2A">
        <w:t>o</w:t>
      </w:r>
      <w:r>
        <w:t xml:space="preserve"> w załączonej tabeli.</w:t>
      </w:r>
    </w:p>
    <w:p w14:paraId="590883B8" w14:textId="1EDC617C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4</w:t>
      </w:r>
      <w:r w:rsidRPr="00CB56FA">
        <w:fldChar w:fldCharType="end"/>
      </w:r>
      <w:r>
        <w:t>.  </w:t>
      </w:r>
      <w:r>
        <w:rPr>
          <w:color w:val="000000"/>
        </w:rPr>
        <w:t xml:space="preserve">Skarżący zarzucił </w:t>
      </w:r>
      <w:r w:rsidR="00607C2A">
        <w:rPr>
          <w:color w:val="000000"/>
        </w:rPr>
        <w:t>nadmierną długość postępowania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postępowania</w:t>
      </w:r>
      <w:proofErr w:type="spellEnd"/>
      <w:r>
        <w:rPr>
          <w:color w:val="000000"/>
        </w:rPr>
        <w:t xml:space="preserve"> w sprawie karnej oraz brak skutecznego środka odwoławczego w prawie krajowym</w:t>
      </w:r>
      <w:r>
        <w:rPr>
          <w:bCs/>
          <w:color w:val="000000"/>
        </w:rPr>
        <w:t>.</w:t>
      </w:r>
    </w:p>
    <w:p w14:paraId="36B20901" w14:textId="77777777" w:rsidR="00BA5187" w:rsidRPr="00CB56FA" w:rsidRDefault="00000000" w:rsidP="00CB56FA">
      <w:pPr>
        <w:pStyle w:val="JuHHead"/>
      </w:pPr>
      <w:r>
        <w:t>PRAWO</w:t>
      </w:r>
    </w:p>
    <w:p w14:paraId="67103910" w14:textId="77777777" w:rsidR="00BA5187" w:rsidRPr="00CB56FA" w:rsidRDefault="00000000" w:rsidP="00CB56FA">
      <w:pPr>
        <w:pStyle w:val="JuHIRoman"/>
      </w:pPr>
      <w:r>
        <w:t>POŁĄCZENIE SKARG</w:t>
      </w:r>
    </w:p>
    <w:p w14:paraId="746A0283" w14:textId="60270E3A" w:rsidR="00BA5187" w:rsidRPr="00CB56FA" w:rsidRDefault="00000000" w:rsidP="00CB56FA">
      <w:pPr>
        <w:pStyle w:val="JuPara"/>
        <w:rPr>
          <w:i/>
          <w:color w:val="0072BC" w:themeColor="background1"/>
        </w:rPr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5</w:t>
      </w:r>
      <w:r w:rsidRPr="00CB56FA">
        <w:fldChar w:fldCharType="end"/>
      </w:r>
      <w:r>
        <w:t>.  Mając na uwadze podobieństwo przedmiotu skarg, Trybunał uznaje za właściwe rozpatrzenie ich łącznie i rozstrzygnięcie jednym wyrok</w:t>
      </w:r>
      <w:r w:rsidR="00607C2A">
        <w:t>iem</w:t>
      </w:r>
      <w:r>
        <w:t>.</w:t>
      </w:r>
    </w:p>
    <w:p w14:paraId="21EF446B" w14:textId="77777777" w:rsidR="00BA5187" w:rsidRPr="00CB56FA" w:rsidRDefault="00000000" w:rsidP="00CB56FA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 SKREŚLENIE SKARG Z LISTY NA PODSTAWIE ART. 37 UST. 1 KONWENCJI</w:t>
      </w:r>
    </w:p>
    <w:p w14:paraId="732074D7" w14:textId="4226501F" w:rsidR="00BA5187" w:rsidRPr="00CB56FA" w:rsidRDefault="00CB56FA" w:rsidP="00CB56FA">
      <w:pPr>
        <w:pStyle w:val="JuPara"/>
        <w:rPr>
          <w:rFonts w:eastAsia="Times New Roman"/>
        </w:rPr>
      </w:pPr>
      <w:r w:rsidRPr="00CB56FA">
        <w:fldChar w:fldCharType="begin"/>
      </w:r>
      <w:r>
        <w:instrText xml:space="preserve"> SEQ level0 \*arabic \* MERGEFORMAT </w:instrText>
      </w:r>
      <w:r w:rsidRPr="00CB56FA">
        <w:fldChar w:fldCharType="separate"/>
      </w:r>
      <w:r w:rsidR="0099159B">
        <w:rPr>
          <w:noProof/>
        </w:rPr>
        <w:t>6</w:t>
      </w:r>
      <w:r w:rsidRPr="00CB56FA">
        <w:fldChar w:fldCharType="end"/>
      </w:r>
      <w:r>
        <w:t xml:space="preserve">.  Rząd przedłożył jednostronne oświadczenie, które nie stanowiło wystarczającej podstawy do stwierdzenia, że poszanowanie praw człowieka w rozumieniu 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z listy i w związku z tym będzie kontynuował badanie przedmiotu spraw (zob. </w:t>
      </w:r>
      <w:r>
        <w:rPr>
          <w:i/>
        </w:rPr>
        <w:t>Tahsin Acar przeciwko Turcji</w:t>
      </w:r>
      <w:r>
        <w:t xml:space="preserve"> (zastrzeżenia wstępne) [WI], nr 26307/95, pkt 75, ETPC 2003-VI).</w:t>
      </w:r>
    </w:p>
    <w:p w14:paraId="3F2F503F" w14:textId="77777777" w:rsidR="00BA5187" w:rsidRPr="00CB56FA" w:rsidRDefault="00000000" w:rsidP="00CB56FA">
      <w:pPr>
        <w:pStyle w:val="JuHIRoman"/>
        <w:rPr>
          <w:rFonts w:eastAsia="PMingLiU"/>
        </w:rPr>
      </w:pPr>
      <w:r>
        <w:lastRenderedPageBreak/>
        <w:t>ZARZUCANE NARUSZENIE ART. 6 UST. 1 I ART. 13 KONWENCJI</w:t>
      </w:r>
    </w:p>
    <w:p w14:paraId="15264958" w14:textId="0056E3B7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7</w:t>
      </w:r>
      <w:r w:rsidRPr="00CB56FA">
        <w:fldChar w:fldCharType="end"/>
      </w:r>
      <w:r>
        <w:t>.  Skarżący zarzucił, że czas trwania przedmiotowego postępowania karne</w:t>
      </w:r>
      <w:r w:rsidR="007A50D5">
        <w:t>go</w:t>
      </w:r>
      <w:r>
        <w:t xml:space="preserve"> był niezgodny z wymogiem „rozsądnego terminu” i że w t</w:t>
      </w:r>
      <w:r w:rsidR="007A50D5">
        <w:t>ej kwestii</w:t>
      </w:r>
      <w:r>
        <w:t xml:space="preserve"> skarżący był pozbawiony skutecznego środka odwoławczego. Powołał się na art. 6 ust. 1 i art. 13 Konwencji.</w:t>
      </w:r>
    </w:p>
    <w:p w14:paraId="78D8813E" w14:textId="07D31538" w:rsidR="00BA5187" w:rsidRPr="00CB56FA" w:rsidRDefault="00CB56FA" w:rsidP="00CB56FA">
      <w:pPr>
        <w:pStyle w:val="JuPara"/>
        <w:rPr>
          <w:strike/>
        </w:rPr>
      </w:pPr>
      <w:r w:rsidRPr="00CB56FA">
        <w:fldChar w:fldCharType="begin"/>
      </w:r>
      <w:r>
        <w:instrText xml:space="preserve"> SEQ level0 \*arabic \* MERGEFORMAT </w:instrText>
      </w:r>
      <w:r w:rsidRPr="00CB56FA">
        <w:fldChar w:fldCharType="separate"/>
      </w:r>
      <w:r w:rsidR="0099159B">
        <w:rPr>
          <w:noProof/>
        </w:rPr>
        <w:t>8</w:t>
      </w:r>
      <w:r w:rsidRPr="00CB56FA">
        <w:fldChar w:fldCharType="end"/>
      </w:r>
      <w:r>
        <w:t xml:space="preserve">.  Trybunał </w:t>
      </w:r>
      <w:r w:rsidR="007A50D5">
        <w:t>przypomina</w:t>
      </w:r>
      <w:r>
        <w:t>, że rozsądny czas trwania postępowania należy oceniać w świetle okoliczności sprawy i z uwzględnieniem następujących kryteriów: złożonoś</w:t>
      </w:r>
      <w:r w:rsidR="007A50D5">
        <w:t>ć</w:t>
      </w:r>
      <w:r>
        <w:t xml:space="preserve"> sprawy, zachowani</w:t>
      </w:r>
      <w:r w:rsidR="007A50D5">
        <w:t>e</w:t>
      </w:r>
      <w:r>
        <w:t xml:space="preserve"> skarżących i właściwych organów oraz znaczeni</w:t>
      </w:r>
      <w:r w:rsidR="007A50D5">
        <w:t>e</w:t>
      </w:r>
      <w:r>
        <w:t xml:space="preserve"> sprawy dla interesów skarżących (zob. m.in. </w:t>
      </w:r>
      <w:r>
        <w:rPr>
          <w:i/>
        </w:rPr>
        <w:t>Pélissier i Sassi przeciwko Francji</w:t>
      </w:r>
      <w:r>
        <w:t xml:space="preserve"> [WI], nr 25444/94, pkt 67, ETPC 1999</w:t>
      </w:r>
      <w:r>
        <w:noBreakHyphen/>
        <w:t xml:space="preserve">II oraz </w:t>
      </w:r>
      <w:proofErr w:type="spellStart"/>
      <w:r>
        <w:rPr>
          <w:i/>
        </w:rPr>
        <w:t>Frydlender</w:t>
      </w:r>
      <w:proofErr w:type="spellEnd"/>
      <w:r>
        <w:rPr>
          <w:i/>
        </w:rPr>
        <w:t xml:space="preserve"> </w:t>
      </w:r>
      <w:r>
        <w:rPr>
          <w:i/>
          <w:iCs/>
        </w:rPr>
        <w:t>przeciwko Francji</w:t>
      </w:r>
      <w:r>
        <w:rPr>
          <w:i/>
        </w:rPr>
        <w:t xml:space="preserve"> </w:t>
      </w:r>
      <w:r>
        <w:t>[WI], nr 30979/96, pkt 43, ETPC 2000</w:t>
      </w:r>
      <w:r>
        <w:noBreakHyphen/>
        <w:t>VII).</w:t>
      </w:r>
    </w:p>
    <w:p w14:paraId="24E32448" w14:textId="06C56074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9</w:t>
      </w:r>
      <w:r w:rsidRPr="00CB56FA">
        <w:fldChar w:fldCharType="end"/>
      </w:r>
      <w:r>
        <w:t>.  Już w </w:t>
      </w:r>
      <w:r w:rsidR="007A50D5">
        <w:t>wiodącej</w:t>
      </w:r>
      <w:r>
        <w:t xml:space="preserve"> sprawie </w:t>
      </w:r>
      <w:r>
        <w:rPr>
          <w:i/>
          <w:iCs/>
        </w:rPr>
        <w:t xml:space="preserve">Rutkowski i Inni przeciwko Polsce, </w:t>
      </w:r>
      <w:r w:rsidRPr="00DF333E">
        <w:t>skargi nr</w:t>
      </w:r>
      <w:r>
        <w:t xml:space="preserve"> 72287/10 i 2 inne, z dnia 7 lipca 2015 r., Trybunał stwierdził naruszenie art. 6 Konwencji w </w:t>
      </w:r>
      <w:r w:rsidR="00DF333E">
        <w:t>związku z</w:t>
      </w:r>
      <w:r>
        <w:t xml:space="preserve"> </w:t>
      </w:r>
      <w:r w:rsidR="00DF333E">
        <w:t>c</w:t>
      </w:r>
      <w:r>
        <w:t>zas</w:t>
      </w:r>
      <w:r w:rsidR="00DF333E">
        <w:t>em</w:t>
      </w:r>
      <w:r>
        <w:t xml:space="preserve"> trwania postępowania sądowego.</w:t>
      </w:r>
    </w:p>
    <w:p w14:paraId="38F3A244" w14:textId="12C1175E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10</w:t>
      </w:r>
      <w:r w:rsidRPr="00CB56FA">
        <w:fldChar w:fldCharType="end"/>
      </w:r>
      <w:r>
        <w:t xml:space="preserve">.  Po </w:t>
      </w:r>
      <w:r w:rsidR="00DF333E">
        <w:t>zbadaniu</w:t>
      </w:r>
      <w:r>
        <w:t xml:space="preserve"> całości przedstawionego mu materiału Trybunał nie </w:t>
      </w:r>
      <w:r w:rsidR="00DF333E">
        <w:t>znalazł</w:t>
      </w:r>
      <w:r>
        <w:t xml:space="preserve"> żadnych okoliczności faktycznych ani argumentów, które uzasadniałaby łączny czas trwania postępowań na poziomie krajowym. Uwzględniając swoje orzecznictwo w tym zakresie, Trybunał stwierdza, że w </w:t>
      </w:r>
      <w:r w:rsidR="00DF333E">
        <w:t>niniejszej</w:t>
      </w:r>
      <w:r>
        <w:t xml:space="preserve"> sprawie </w:t>
      </w:r>
      <w:r w:rsidR="00DF333E">
        <w:t xml:space="preserve">długość </w:t>
      </w:r>
      <w:r w:rsidR="00DF333E">
        <w:t>postępowa</w:t>
      </w:r>
      <w:r w:rsidR="00DF333E">
        <w:t>ń</w:t>
      </w:r>
      <w:r w:rsidR="00DF333E">
        <w:t xml:space="preserve"> </w:t>
      </w:r>
      <w:r>
        <w:t>był</w:t>
      </w:r>
      <w:r w:rsidR="00DF333E">
        <w:t>a nadmierna</w:t>
      </w:r>
      <w:r>
        <w:t xml:space="preserve"> i nie został spełniony wymóg „rozsądnego terminu”.</w:t>
      </w:r>
    </w:p>
    <w:p w14:paraId="75A4E8CF" w14:textId="14737804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11</w:t>
      </w:r>
      <w:r w:rsidRPr="00CB56FA">
        <w:fldChar w:fldCharType="end"/>
      </w:r>
      <w:r>
        <w:t>.  Trybunał zauważa ponadto, że skarżący nie miał do dyspozycji skutecznego środka odwoławczego w odniesieniu do tych zarzutów.</w:t>
      </w:r>
    </w:p>
    <w:p w14:paraId="528452CC" w14:textId="0F476C29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12</w:t>
      </w:r>
      <w:r w:rsidRPr="00CB56FA">
        <w:fldChar w:fldCharType="end"/>
      </w:r>
      <w:r>
        <w:t>.  Zarzuty te są zatem dopuszczalne i </w:t>
      </w:r>
      <w:r w:rsidR="00DF333E">
        <w:t>ujawniają</w:t>
      </w:r>
      <w:r>
        <w:t xml:space="preserve"> naruszenie art. 6 ust. 1 </w:t>
      </w:r>
      <w:r w:rsidR="00DF333E">
        <w:br/>
        <w:t>i</w:t>
      </w:r>
      <w:r>
        <w:t xml:space="preserve"> art. 13 Konwencji.</w:t>
      </w:r>
    </w:p>
    <w:p w14:paraId="396930DB" w14:textId="77777777" w:rsidR="00BA5187" w:rsidRPr="00CB56FA" w:rsidRDefault="00000000" w:rsidP="00CB56FA">
      <w:pPr>
        <w:pStyle w:val="JuHIRoman"/>
      </w:pPr>
      <w:r>
        <w:t>ZASTOSOWANIE ART. 41 KONWENCJI</w:t>
      </w:r>
    </w:p>
    <w:p w14:paraId="138405BF" w14:textId="472A8F4F" w:rsidR="00BA5187" w:rsidRPr="00CB56FA" w:rsidRDefault="00000000" w:rsidP="00CB56FA">
      <w:pPr>
        <w:pStyle w:val="JuPara"/>
      </w:pPr>
      <w:r w:rsidRPr="00CB56FA">
        <w:fldChar w:fldCharType="begin"/>
      </w:r>
      <w:r w:rsidRPr="00CB56FA">
        <w:instrText xml:space="preserve"> SEQ level0 \*arabic </w:instrText>
      </w:r>
      <w:r w:rsidRPr="00CB56FA">
        <w:fldChar w:fldCharType="separate"/>
      </w:r>
      <w:r w:rsidR="0099159B">
        <w:rPr>
          <w:noProof/>
        </w:rPr>
        <w:t>13</w:t>
      </w:r>
      <w:r w:rsidRPr="00CB56FA">
        <w:fldChar w:fldCharType="end"/>
      </w:r>
      <w:r>
        <w:t xml:space="preserve">.  Uwzględniając dokumenty znajdujące się w jego posiadaniu </w:t>
      </w:r>
      <w:r w:rsidR="001930EF">
        <w:t>i</w:t>
      </w:r>
      <w:r>
        <w:t xml:space="preserve"> swoje orzecznictwo (zob.</w:t>
      </w:r>
      <w:r w:rsidR="001930EF">
        <w:t>,</w:t>
      </w:r>
      <w:r>
        <w:t xml:space="preserve"> w szczególności</w:t>
      </w:r>
      <w:r w:rsidR="001930EF">
        <w:t>,</w:t>
      </w:r>
      <w:r>
        <w:t xml:space="preserve"> wyrok </w:t>
      </w:r>
      <w:r>
        <w:rPr>
          <w:i/>
          <w:iCs/>
        </w:rPr>
        <w:t>Rutkowski i Inni</w:t>
      </w:r>
      <w:r w:rsidR="001930EF">
        <w:rPr>
          <w:i/>
          <w:iCs/>
        </w:rPr>
        <w:t xml:space="preserve">, </w:t>
      </w:r>
      <w:r w:rsidR="001930EF">
        <w:t>cyt. pow.</w:t>
      </w:r>
      <w:r>
        <w:t>)</w:t>
      </w:r>
      <w:r w:rsidR="001930EF">
        <w:t>,</w:t>
      </w:r>
      <w:r>
        <w:t xml:space="preserve"> Trybunał uważa za zasadne zasądzenie kwot wskazan</w:t>
      </w:r>
      <w:r w:rsidR="001930EF">
        <w:t>ych</w:t>
      </w:r>
      <w:r>
        <w:t xml:space="preserve"> w załączonej tabeli.</w:t>
      </w:r>
    </w:p>
    <w:p w14:paraId="4ADD2F1A" w14:textId="77777777" w:rsidR="00BA5187" w:rsidRPr="00CB56FA" w:rsidRDefault="00000000" w:rsidP="00CB56FA">
      <w:pPr>
        <w:pStyle w:val="JuHHead"/>
      </w:pPr>
      <w:r>
        <w:t>Z TYCH PRZYCZYN TRYBUNAŁ JEDNOGŁOŚNIE</w:t>
      </w:r>
    </w:p>
    <w:p w14:paraId="2264D38F" w14:textId="77777777" w:rsidR="00BA5187" w:rsidRPr="00CB56FA" w:rsidRDefault="00000000" w:rsidP="00CB56FA">
      <w:pPr>
        <w:pStyle w:val="JuList"/>
      </w:pPr>
      <w:r>
        <w:rPr>
          <w:i/>
          <w:iCs/>
        </w:rPr>
        <w:t>postanawia</w:t>
      </w:r>
      <w:r>
        <w:t xml:space="preserve"> połączyć skargi;</w:t>
      </w:r>
    </w:p>
    <w:p w14:paraId="1114E9FF" w14:textId="3982A6F6" w:rsidR="00BA5187" w:rsidRPr="00CB56FA" w:rsidRDefault="001930EF" w:rsidP="00CB56FA">
      <w:pPr>
        <w:pStyle w:val="JuList"/>
      </w:pPr>
      <w:r>
        <w:rPr>
          <w:i/>
          <w:iCs/>
        </w:rPr>
        <w:t>odrzuca</w:t>
      </w:r>
      <w:r w:rsidR="00000000">
        <w:t xml:space="preserve"> wniosek Rządu o skreślenie skarg z listy;</w:t>
      </w:r>
    </w:p>
    <w:p w14:paraId="6A619554" w14:textId="77777777" w:rsidR="00BA5187" w:rsidRPr="00CB56FA" w:rsidRDefault="00000000" w:rsidP="00CB56FA">
      <w:pPr>
        <w:pStyle w:val="JuList"/>
      </w:pPr>
      <w:r>
        <w:rPr>
          <w:i/>
        </w:rPr>
        <w:t xml:space="preserve">uznaje </w:t>
      </w:r>
      <w:r>
        <w:t>skargi za dopuszczalne;</w:t>
      </w:r>
    </w:p>
    <w:p w14:paraId="3CAAB279" w14:textId="11492368" w:rsidR="00BA5187" w:rsidRPr="00CB56FA" w:rsidRDefault="00000000" w:rsidP="00CB56FA">
      <w:pPr>
        <w:pStyle w:val="JuList"/>
      </w:pPr>
      <w:r>
        <w:rPr>
          <w:i/>
          <w:iCs/>
        </w:rPr>
        <w:t>orzeka</w:t>
      </w:r>
      <w:r>
        <w:t xml:space="preserve">, że </w:t>
      </w:r>
      <w:r w:rsidR="001930EF">
        <w:t>skargi ujawniają</w:t>
      </w:r>
      <w:r>
        <w:t> naruszeni</w:t>
      </w:r>
      <w:r w:rsidR="001930EF">
        <w:t>e</w:t>
      </w:r>
      <w:r>
        <w:t xml:space="preserve"> art. 6 ust. 1 i art. 13 Konwencji, </w:t>
      </w:r>
      <w:r w:rsidR="00054ACD">
        <w:t>dotyczące nadmiernej długości</w:t>
      </w:r>
      <w:r>
        <w:t xml:space="preserve"> postępowania </w:t>
      </w:r>
      <w:r w:rsidR="00054ACD">
        <w:t>karnego</w:t>
      </w:r>
      <w:r>
        <w:t xml:space="preserve"> i braku skutecznego krajowego środka odwoławczego w tym zakresie;</w:t>
      </w:r>
    </w:p>
    <w:p w14:paraId="7B8DA891" w14:textId="77777777" w:rsidR="00BA5187" w:rsidRPr="00CB56FA" w:rsidRDefault="00000000" w:rsidP="00CB56FA">
      <w:pPr>
        <w:pStyle w:val="JuList"/>
      </w:pPr>
      <w:r>
        <w:rPr>
          <w:i/>
          <w:iCs/>
        </w:rPr>
        <w:lastRenderedPageBreak/>
        <w:t>orzeka,</w:t>
      </w:r>
    </w:p>
    <w:p w14:paraId="0488B000" w14:textId="09530E37" w:rsidR="00BA5187" w:rsidRPr="00CB56FA" w:rsidRDefault="00000000" w:rsidP="00CB56FA">
      <w:pPr>
        <w:pStyle w:val="JuLista"/>
      </w:pPr>
      <w:r>
        <w:t>że pozwane państwo winno</w:t>
      </w:r>
      <w:r w:rsidR="00054ACD" w:rsidRPr="00054ACD">
        <w:t xml:space="preserve"> </w:t>
      </w:r>
      <w:r w:rsidR="00054ACD">
        <w:t>uiścić na rzecz skarżącego</w:t>
      </w:r>
      <w:r>
        <w:t>, w terminie trzech miesięcy, kwotę wskazaną w załączonej tabeli, przeliczoną na walutę pozwanego państwa według kursu obowiązującego w dniu płatności;</w:t>
      </w:r>
    </w:p>
    <w:p w14:paraId="0AD4A414" w14:textId="77777777" w:rsidR="00BA5187" w:rsidRPr="00CB56FA" w:rsidRDefault="00000000" w:rsidP="00CB56FA">
      <w:pPr>
        <w:pStyle w:val="JuLista"/>
        <w:rPr>
          <w:specVanish/>
        </w:rPr>
      </w:pPr>
      <w:r>
        <w:t>że, od upływu wyżej wskazanego terminu trzech miesięcy aż do momentu uregulowania należności, należne będą odsetki zwykłe od określonej powyżej kwoty, naliczone według stopy równej marginalnej stopie procentowej Europejskiego Banku Centralnego obowiązującej w tym okresie, powiększonej o trzy punkty procentowe.</w:t>
      </w:r>
    </w:p>
    <w:p w14:paraId="1AA74FF6" w14:textId="77777777" w:rsidR="00787E12" w:rsidRPr="00CB56FA" w:rsidRDefault="00787E12" w:rsidP="00CB56FA">
      <w:pPr>
        <w:pStyle w:val="JuLista"/>
        <w:numPr>
          <w:ilvl w:val="0"/>
          <w:numId w:val="0"/>
        </w:numPr>
        <w:ind w:left="680"/>
      </w:pPr>
    </w:p>
    <w:p w14:paraId="1FB348CA" w14:textId="21261B09" w:rsidR="00C43D38" w:rsidRPr="00CB56FA" w:rsidRDefault="00000000" w:rsidP="00CB56FA">
      <w:pPr>
        <w:pStyle w:val="JuParaLast"/>
      </w:pPr>
      <w:r>
        <w:t>Sporządzono w języku angielskim i obwieszczono pisemnie 11 kwietnia 2024 r.</w:t>
      </w:r>
      <w:r w:rsidR="00054ACD">
        <w:t>,</w:t>
      </w:r>
      <w:r>
        <w:t xml:space="preserve"> zgodnie z Regułą 77 § 2 i § 3 Regulaminu Trybunału.</w:t>
      </w:r>
    </w:p>
    <w:p w14:paraId="3BFC3E9B" w14:textId="77777777" w:rsidR="00656431" w:rsidRPr="00CB56FA" w:rsidRDefault="00000000" w:rsidP="00CB56FA">
      <w:pPr>
        <w:pStyle w:val="ECHRPlaceholder"/>
        <w:rPr>
          <w:szCs w:val="22"/>
        </w:rPr>
      </w:pPr>
      <w:r>
        <w:tab/>
      </w:r>
    </w:p>
    <w:p w14:paraId="56FA9640" w14:textId="77777777" w:rsidR="00B91668" w:rsidRPr="00CB56FA" w:rsidRDefault="00000000" w:rsidP="00CB56FA">
      <w:pPr>
        <w:pStyle w:val="JuSigned"/>
        <w:rPr>
          <w:rFonts w:eastAsia="PMingLiU"/>
        </w:rPr>
      </w:pPr>
      <w:r>
        <w:tab/>
        <w:t>Viktoriya Maradudina</w:t>
      </w:r>
      <w:r>
        <w:tab/>
        <w:t>Péter Paczolay</w:t>
      </w:r>
      <w:r>
        <w:br/>
      </w:r>
      <w:r>
        <w:tab/>
        <w:t>p.o. Zastępcy Kanclerza Sekcji</w:t>
      </w:r>
      <w:r>
        <w:tab/>
        <w:t>Przewodniczący</w:t>
      </w:r>
    </w:p>
    <w:p w14:paraId="6662FC33" w14:textId="77777777" w:rsidR="00B91668" w:rsidRPr="00CB56FA" w:rsidRDefault="00B91668" w:rsidP="00CB56FA">
      <w:pPr>
        <w:rPr>
          <w:rFonts w:eastAsia="PMingLiU"/>
        </w:rPr>
      </w:pPr>
    </w:p>
    <w:p w14:paraId="7E722064" w14:textId="77777777" w:rsidR="00BD554D" w:rsidRPr="00CB56FA" w:rsidRDefault="00000000" w:rsidP="00CB56FA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7B51A3CC" w14:textId="77777777" w:rsidR="00787E12" w:rsidRPr="00CB56FA" w:rsidRDefault="00787E12" w:rsidP="00CB56FA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605B28A" w14:textId="77777777" w:rsidR="00787E12" w:rsidRPr="00CB56FA" w:rsidRDefault="00787E12" w:rsidP="00CB56FA">
      <w:pPr>
        <w:pStyle w:val="JuParaLast"/>
        <w:sectPr w:rsidR="00787E12" w:rsidRPr="00CB56FA" w:rsidSect="00A514AD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39EFB20" w14:textId="77777777" w:rsidR="00787E12" w:rsidRPr="00CB56FA" w:rsidRDefault="00000000" w:rsidP="00CB56FA">
      <w:pPr>
        <w:pStyle w:val="DecHTitle"/>
      </w:pPr>
      <w:r>
        <w:lastRenderedPageBreak/>
        <w:t>ZAŁĄCZNIK</w:t>
      </w:r>
    </w:p>
    <w:p w14:paraId="2514CDCC" w14:textId="77777777" w:rsidR="00787E12" w:rsidRPr="00CB56FA" w:rsidRDefault="00000000" w:rsidP="00CB56FA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2A27D66A" w14:textId="25E6BC45" w:rsidR="00787E12" w:rsidRPr="00CB56FA" w:rsidRDefault="00000000" w:rsidP="00CB56FA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</w:t>
      </w:r>
      <w:r w:rsidR="00054ACD">
        <w:rPr>
          <w:color w:val="3E3E3E" w:themeColor="background2" w:themeShade="40"/>
        </w:rPr>
        <w:t>nadmierna długość</w:t>
      </w:r>
      <w:r>
        <w:rPr>
          <w:color w:val="3E3E3E" w:themeColor="background2" w:themeShade="40"/>
        </w:rPr>
        <w:t xml:space="preserve"> postępowania karne</w:t>
      </w:r>
      <w:r w:rsidR="00054ACD">
        <w:rPr>
          <w:color w:val="3E3E3E" w:themeColor="background2" w:themeShade="40"/>
        </w:rPr>
        <w:t>go</w:t>
      </w:r>
      <w:r>
        <w:rPr>
          <w:color w:val="3E3E3E" w:themeColor="background2" w:themeShade="40"/>
        </w:rPr>
        <w:t xml:space="preserve"> i brak skutecznego środka odwoławczego w prawie krajowym)</w:t>
      </w:r>
    </w:p>
    <w:tbl>
      <w:tblPr>
        <w:tblStyle w:val="ECHRListTable"/>
        <w:tblW w:w="5596" w:type="pct"/>
        <w:jc w:val="center"/>
        <w:tblLayout w:type="fixed"/>
        <w:tblLook w:val="0420" w:firstRow="1" w:lastRow="0" w:firstColumn="0" w:lastColumn="0" w:noHBand="0" w:noVBand="1"/>
      </w:tblPr>
      <w:tblGrid>
        <w:gridCol w:w="452"/>
        <w:gridCol w:w="1253"/>
        <w:gridCol w:w="1226"/>
        <w:gridCol w:w="1036"/>
        <w:gridCol w:w="1036"/>
        <w:gridCol w:w="2647"/>
        <w:gridCol w:w="3543"/>
        <w:gridCol w:w="2551"/>
      </w:tblGrid>
      <w:tr w:rsidR="00D16A31" w14:paraId="182E8E89" w14:textId="77777777" w:rsidTr="00D16A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64" w:type="pct"/>
          </w:tcPr>
          <w:p w14:paraId="5559690A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Lp.</w:t>
            </w:r>
          </w:p>
        </w:tc>
        <w:tc>
          <w:tcPr>
            <w:tcW w:w="456" w:type="pct"/>
          </w:tcPr>
          <w:p w14:paraId="621F77E0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 skargi</w:t>
            </w:r>
          </w:p>
          <w:p w14:paraId="6C46C502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złożenia</w:t>
            </w:r>
          </w:p>
        </w:tc>
        <w:tc>
          <w:tcPr>
            <w:tcW w:w="446" w:type="pct"/>
          </w:tcPr>
          <w:p w14:paraId="7200C87F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2318AA32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</w:tc>
        <w:tc>
          <w:tcPr>
            <w:tcW w:w="377" w:type="pct"/>
          </w:tcPr>
          <w:p w14:paraId="044615F6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wszczęcia postępowania</w:t>
            </w:r>
          </w:p>
        </w:tc>
        <w:tc>
          <w:tcPr>
            <w:tcW w:w="377" w:type="pct"/>
          </w:tcPr>
          <w:p w14:paraId="0FC53106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zakończenia postępowania</w:t>
            </w:r>
          </w:p>
        </w:tc>
        <w:tc>
          <w:tcPr>
            <w:tcW w:w="963" w:type="pct"/>
          </w:tcPr>
          <w:p w14:paraId="1AF65E91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Całkowity czas trwania postępowania</w:t>
            </w:r>
          </w:p>
          <w:p w14:paraId="78969AAB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Liczba instancji sądowych</w:t>
            </w:r>
          </w:p>
        </w:tc>
        <w:tc>
          <w:tcPr>
            <w:tcW w:w="1289" w:type="pct"/>
          </w:tcPr>
          <w:p w14:paraId="44B88297" w14:textId="10F86DE6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Decyzja krajowa </w:t>
            </w:r>
            <w:r w:rsidR="00C044E9">
              <w:rPr>
                <w:sz w:val="16"/>
              </w:rPr>
              <w:t>co do</w:t>
            </w:r>
            <w:r>
              <w:rPr>
                <w:sz w:val="16"/>
              </w:rPr>
              <w:t xml:space="preserve"> skargi na </w:t>
            </w:r>
            <w:r w:rsidR="00C044E9">
              <w:rPr>
                <w:sz w:val="16"/>
              </w:rPr>
              <w:t>podstawie</w:t>
            </w:r>
            <w:r>
              <w:rPr>
                <w:sz w:val="16"/>
              </w:rPr>
              <w:t xml:space="preserve"> ustawy z 2004 r.</w:t>
            </w:r>
          </w:p>
          <w:p w14:paraId="7576A70E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przez sąd krajowy (w PLN)</w:t>
            </w:r>
          </w:p>
        </w:tc>
        <w:tc>
          <w:tcPr>
            <w:tcW w:w="928" w:type="pct"/>
          </w:tcPr>
          <w:p w14:paraId="63F3B9DF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z tytułu szkody majątkowej i niemajątkowej oraz zwrotu kosztów i wydatków na jednego skarżącego (w EUR)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D16A31" w14:paraId="1C243AF3" w14:textId="77777777" w:rsidTr="00D16A31">
        <w:trPr>
          <w:trHeight w:val="1734"/>
          <w:jc w:val="center"/>
        </w:trPr>
        <w:tc>
          <w:tcPr>
            <w:tcW w:w="164" w:type="pct"/>
          </w:tcPr>
          <w:p w14:paraId="4D1ECE2C" w14:textId="77777777" w:rsidR="009C4A98" w:rsidRPr="00CB56FA" w:rsidRDefault="009C4A98" w:rsidP="00CB56FA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456" w:type="pct"/>
          </w:tcPr>
          <w:p w14:paraId="31D854DD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24897/20</w:t>
            </w:r>
          </w:p>
          <w:p w14:paraId="533C64D2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27.05.2020 r.</w:t>
            </w:r>
          </w:p>
        </w:tc>
        <w:tc>
          <w:tcPr>
            <w:tcW w:w="446" w:type="pct"/>
            <w:vMerge w:val="restart"/>
            <w:vAlign w:val="center"/>
          </w:tcPr>
          <w:p w14:paraId="4EF4B184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Marek RÓŻYCKI</w:t>
            </w:r>
          </w:p>
          <w:p w14:paraId="1C4AFE01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1985 r.</w:t>
            </w:r>
          </w:p>
          <w:p w14:paraId="03FF392B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377" w:type="pct"/>
          </w:tcPr>
          <w:p w14:paraId="7140E110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31.03.2016 r.</w:t>
            </w:r>
          </w:p>
          <w:p w14:paraId="610716BA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377" w:type="pct"/>
          </w:tcPr>
          <w:p w14:paraId="67FFB768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28.10.2020 r.</w:t>
            </w:r>
          </w:p>
          <w:p w14:paraId="582C08D1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963" w:type="pct"/>
          </w:tcPr>
          <w:p w14:paraId="2C5B1351" w14:textId="77777777" w:rsidR="00CB56FA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4 lata, 6 miesięcy i 29 dni</w:t>
            </w:r>
          </w:p>
          <w:p w14:paraId="3D00D8A7" w14:textId="77777777" w:rsidR="0035771C" w:rsidRPr="00CB56FA" w:rsidRDefault="0035771C" w:rsidP="00CB56FA">
            <w:pPr>
              <w:jc w:val="center"/>
              <w:rPr>
                <w:sz w:val="16"/>
              </w:rPr>
            </w:pPr>
          </w:p>
          <w:p w14:paraId="64844A6B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 instancje</w:t>
            </w:r>
          </w:p>
          <w:p w14:paraId="4227DD36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1289" w:type="pct"/>
          </w:tcPr>
          <w:p w14:paraId="0E5E4181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03.04.2020 r., sygn. akt VI S 23/20</w:t>
            </w:r>
          </w:p>
          <w:p w14:paraId="5103A005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18.08.2020 r., sygn. akt VI S 67/20</w:t>
            </w:r>
          </w:p>
        </w:tc>
        <w:tc>
          <w:tcPr>
            <w:tcW w:w="928" w:type="pct"/>
            <w:vMerge w:val="restart"/>
            <w:vAlign w:val="center"/>
          </w:tcPr>
          <w:p w14:paraId="131EB576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5 900</w:t>
            </w:r>
          </w:p>
        </w:tc>
      </w:tr>
      <w:tr w:rsidR="00D16A31" w14:paraId="19EACAEF" w14:textId="77777777" w:rsidTr="00D16A31">
        <w:trPr>
          <w:jc w:val="center"/>
        </w:trPr>
        <w:tc>
          <w:tcPr>
            <w:tcW w:w="164" w:type="pct"/>
          </w:tcPr>
          <w:p w14:paraId="34F62FE7" w14:textId="77777777" w:rsidR="009C4A98" w:rsidRPr="00CB56FA" w:rsidRDefault="009C4A98" w:rsidP="00CB56FA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456" w:type="pct"/>
          </w:tcPr>
          <w:p w14:paraId="63989086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24900/20</w:t>
            </w:r>
          </w:p>
          <w:p w14:paraId="6EED5C30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26.05.2020 r.</w:t>
            </w:r>
          </w:p>
        </w:tc>
        <w:tc>
          <w:tcPr>
            <w:tcW w:w="446" w:type="pct"/>
            <w:vMerge/>
          </w:tcPr>
          <w:p w14:paraId="22F692C7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377" w:type="pct"/>
          </w:tcPr>
          <w:p w14:paraId="6869A126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31.03.2016 r.</w:t>
            </w:r>
          </w:p>
          <w:p w14:paraId="37582C3C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377" w:type="pct"/>
          </w:tcPr>
          <w:p w14:paraId="4CA5D62F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1116A17E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963" w:type="pct"/>
          </w:tcPr>
          <w:p w14:paraId="2C3E1F23" w14:textId="77777777" w:rsidR="00CB56FA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7 lat, 10 miesięcy i 6 dni</w:t>
            </w:r>
          </w:p>
          <w:p w14:paraId="663D5CAD" w14:textId="77777777" w:rsidR="0035771C" w:rsidRPr="00CB56FA" w:rsidRDefault="0035771C" w:rsidP="00CB56FA">
            <w:pPr>
              <w:jc w:val="center"/>
              <w:rPr>
                <w:sz w:val="16"/>
              </w:rPr>
            </w:pPr>
          </w:p>
          <w:p w14:paraId="5B194651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>1 instancja</w:t>
            </w:r>
          </w:p>
          <w:p w14:paraId="73AB79B9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  <w:tc>
          <w:tcPr>
            <w:tcW w:w="1289" w:type="pct"/>
          </w:tcPr>
          <w:p w14:paraId="1469A86B" w14:textId="77777777" w:rsidR="009C4A98" w:rsidRPr="00CB56FA" w:rsidRDefault="00000000" w:rsidP="00CB56FA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Sąd Okręgowy w Warszawie, 03.04.2020 r., sygn. akt VI S 22/20 </w:t>
            </w:r>
          </w:p>
        </w:tc>
        <w:tc>
          <w:tcPr>
            <w:tcW w:w="928" w:type="pct"/>
            <w:vMerge/>
          </w:tcPr>
          <w:p w14:paraId="346ECE3D" w14:textId="77777777" w:rsidR="009C4A98" w:rsidRPr="00CB56FA" w:rsidRDefault="009C4A98" w:rsidP="00CB56FA">
            <w:pPr>
              <w:jc w:val="center"/>
              <w:rPr>
                <w:sz w:val="16"/>
              </w:rPr>
            </w:pPr>
          </w:p>
        </w:tc>
      </w:tr>
    </w:tbl>
    <w:p w14:paraId="5F780552" w14:textId="77777777" w:rsidR="00787E12" w:rsidRPr="00CB56FA" w:rsidRDefault="00787E12" w:rsidP="00CB56FA"/>
    <w:p w14:paraId="1A70F41B" w14:textId="77777777" w:rsidR="00791456" w:rsidRPr="00CB56FA" w:rsidRDefault="00791456" w:rsidP="00CB56FA"/>
    <w:sectPr w:rsidR="00791456" w:rsidRPr="00CB56FA" w:rsidSect="00A514A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FFF63" w14:textId="77777777" w:rsidR="0064187A" w:rsidRDefault="0064187A">
      <w:r>
        <w:separator/>
      </w:r>
    </w:p>
  </w:endnote>
  <w:endnote w:type="continuationSeparator" w:id="0">
    <w:p w14:paraId="4ED063BF" w14:textId="77777777" w:rsidR="0064187A" w:rsidRDefault="0064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CCA1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8E89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9854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6DBB46FF" wp14:editId="449F8957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46AE46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7CAF9" w14:textId="77777777" w:rsidR="0064187A" w:rsidRPr="00611E1D" w:rsidRDefault="0064187A" w:rsidP="00787E12">
      <w:r w:rsidRPr="00611E1D">
        <w:separator/>
      </w:r>
    </w:p>
  </w:footnote>
  <w:footnote w:type="continuationSeparator" w:id="0">
    <w:p w14:paraId="297FCBCB" w14:textId="77777777" w:rsidR="0064187A" w:rsidRPr="00611E1D" w:rsidRDefault="0064187A" w:rsidP="00787E12">
      <w:r w:rsidRPr="00611E1D">
        <w:continuationSeparator/>
      </w:r>
    </w:p>
  </w:footnote>
  <w:footnote w:id="1">
    <w:p w14:paraId="3764B8C8" w14:textId="77777777" w:rsidR="009C4A98" w:rsidRPr="00455FE1" w:rsidRDefault="00000000" w:rsidP="00BA5187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015EA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527991E1" wp14:editId="1CDE3A61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F590F1" w14:textId="77777777" w:rsidR="00787E12" w:rsidRPr="00611E1D" w:rsidRDefault="00787E12" w:rsidP="000318F7">
    <w:pPr>
      <w:jc w:val="center"/>
      <w:rPr>
        <w:sz w:val="4"/>
        <w:szCs w:val="4"/>
      </w:rPr>
    </w:pPr>
  </w:p>
  <w:p w14:paraId="4AC64CB6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68BF9" w14:textId="77777777" w:rsidR="00BA5187" w:rsidRPr="00A45145" w:rsidRDefault="00000000" w:rsidP="00A45145">
    <w:pPr>
      <w:jc w:val="center"/>
    </w:pPr>
    <w:r>
      <w:rPr>
        <w:noProof/>
      </w:rPr>
      <w:drawing>
        <wp:inline distT="0" distB="0" distL="0" distR="0" wp14:anchorId="14725336" wp14:editId="00EF0C66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94DA26" w14:textId="77777777" w:rsidR="008D51B6" w:rsidRPr="004F56E2" w:rsidRDefault="008D51B6" w:rsidP="008D51B6">
    <w:pPr>
      <w:pStyle w:val="Nagwek"/>
    </w:pPr>
  </w:p>
  <w:p w14:paraId="7081C608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998AF" w14:textId="77777777" w:rsidR="00787E12" w:rsidRPr="005C3A15" w:rsidRDefault="00000000" w:rsidP="006372F5">
    <w:pPr>
      <w:pStyle w:val="JuHeader"/>
    </w:pPr>
    <w:r>
      <w:t>WYROK W SPRAWIE RÓŻYCKI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D424" w14:textId="77777777" w:rsidR="00787E12" w:rsidRPr="00DE7D3F" w:rsidRDefault="00000000" w:rsidP="00BD554D">
    <w:pPr>
      <w:pStyle w:val="JuHeader"/>
    </w:pPr>
    <w:r>
      <w:t>WYROK W SPRAWIE RÓŻYCKI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77514" w14:textId="77777777" w:rsidR="008B3FB7" w:rsidRPr="005C3A15" w:rsidRDefault="00000000" w:rsidP="00E026EC">
    <w:pPr>
      <w:pStyle w:val="JuHeader"/>
    </w:pPr>
    <w:r>
      <w:t>WYROK W SPRAWIE RÓŻYCKI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817" w14:textId="77777777" w:rsidR="008B3FB7" w:rsidRPr="00DE7D3F" w:rsidRDefault="00000000" w:rsidP="00E026EC">
    <w:pPr>
      <w:pStyle w:val="JuHeader"/>
    </w:pPr>
    <w:r>
      <w:t>WYROK W SPRAWIE RÓŻYCKI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4E531949"/>
    <w:multiLevelType w:val="hybridMultilevel"/>
    <w:tmpl w:val="8A66EBF4"/>
    <w:lvl w:ilvl="0" w:tplc="8EBE7BEC">
      <w:start w:val="1"/>
      <w:numFmt w:val="decimal"/>
      <w:lvlText w:val="%1."/>
      <w:lvlJc w:val="left"/>
      <w:pPr>
        <w:ind w:left="720" w:hanging="360"/>
      </w:pPr>
    </w:lvl>
    <w:lvl w:ilvl="1" w:tplc="9A1ED858" w:tentative="1">
      <w:start w:val="1"/>
      <w:numFmt w:val="lowerLetter"/>
      <w:lvlText w:val="%2."/>
      <w:lvlJc w:val="left"/>
      <w:pPr>
        <w:ind w:left="1440" w:hanging="360"/>
      </w:pPr>
    </w:lvl>
    <w:lvl w:ilvl="2" w:tplc="25A8F9CC" w:tentative="1">
      <w:start w:val="1"/>
      <w:numFmt w:val="lowerRoman"/>
      <w:lvlText w:val="%3."/>
      <w:lvlJc w:val="right"/>
      <w:pPr>
        <w:ind w:left="2160" w:hanging="180"/>
      </w:pPr>
    </w:lvl>
    <w:lvl w:ilvl="3" w:tplc="AE081606" w:tentative="1">
      <w:start w:val="1"/>
      <w:numFmt w:val="decimal"/>
      <w:lvlText w:val="%4."/>
      <w:lvlJc w:val="left"/>
      <w:pPr>
        <w:ind w:left="2880" w:hanging="360"/>
      </w:pPr>
    </w:lvl>
    <w:lvl w:ilvl="4" w:tplc="6422F9D0" w:tentative="1">
      <w:start w:val="1"/>
      <w:numFmt w:val="lowerLetter"/>
      <w:lvlText w:val="%5."/>
      <w:lvlJc w:val="left"/>
      <w:pPr>
        <w:ind w:left="3600" w:hanging="360"/>
      </w:pPr>
    </w:lvl>
    <w:lvl w:ilvl="5" w:tplc="450C50D6" w:tentative="1">
      <w:start w:val="1"/>
      <w:numFmt w:val="lowerRoman"/>
      <w:lvlText w:val="%6."/>
      <w:lvlJc w:val="right"/>
      <w:pPr>
        <w:ind w:left="4320" w:hanging="180"/>
      </w:pPr>
    </w:lvl>
    <w:lvl w:ilvl="6" w:tplc="A60A4B6E" w:tentative="1">
      <w:start w:val="1"/>
      <w:numFmt w:val="decimal"/>
      <w:lvlText w:val="%7."/>
      <w:lvlJc w:val="left"/>
      <w:pPr>
        <w:ind w:left="5040" w:hanging="360"/>
      </w:pPr>
    </w:lvl>
    <w:lvl w:ilvl="7" w:tplc="2200A756" w:tentative="1">
      <w:start w:val="1"/>
      <w:numFmt w:val="lowerLetter"/>
      <w:lvlText w:val="%8."/>
      <w:lvlJc w:val="left"/>
      <w:pPr>
        <w:ind w:left="5760" w:hanging="360"/>
      </w:pPr>
    </w:lvl>
    <w:lvl w:ilvl="8" w:tplc="2A6A6A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B7EA43C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B5C240F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B58213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C70915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B4E2CF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76AC1D3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76CAD6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52CC9E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2DAE58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757747034">
    <w:abstractNumId w:val="14"/>
  </w:num>
  <w:num w:numId="2" w16cid:durableId="1419055666">
    <w:abstractNumId w:val="12"/>
  </w:num>
  <w:num w:numId="3" w16cid:durableId="820848494">
    <w:abstractNumId w:val="11"/>
  </w:num>
  <w:num w:numId="4" w16cid:durableId="2002922017">
    <w:abstractNumId w:val="15"/>
  </w:num>
  <w:num w:numId="5" w16cid:durableId="197277664">
    <w:abstractNumId w:val="13"/>
  </w:num>
  <w:num w:numId="6" w16cid:durableId="1120032751">
    <w:abstractNumId w:val="17"/>
  </w:num>
  <w:num w:numId="7" w16cid:durableId="1590700968">
    <w:abstractNumId w:val="15"/>
  </w:num>
  <w:num w:numId="8" w16cid:durableId="318189357">
    <w:abstractNumId w:val="17"/>
  </w:num>
  <w:num w:numId="9" w16cid:durableId="237178529">
    <w:abstractNumId w:val="10"/>
  </w:num>
  <w:num w:numId="10" w16cid:durableId="1990860669">
    <w:abstractNumId w:val="9"/>
  </w:num>
  <w:num w:numId="11" w16cid:durableId="742873856">
    <w:abstractNumId w:val="18"/>
  </w:num>
  <w:num w:numId="12" w16cid:durableId="52239896">
    <w:abstractNumId w:val="7"/>
  </w:num>
  <w:num w:numId="13" w16cid:durableId="1523203706">
    <w:abstractNumId w:val="6"/>
  </w:num>
  <w:num w:numId="14" w16cid:durableId="198474649">
    <w:abstractNumId w:val="5"/>
  </w:num>
  <w:num w:numId="15" w16cid:durableId="1461996584">
    <w:abstractNumId w:val="4"/>
  </w:num>
  <w:num w:numId="16" w16cid:durableId="868681591">
    <w:abstractNumId w:val="8"/>
  </w:num>
  <w:num w:numId="17" w16cid:durableId="1650356143">
    <w:abstractNumId w:val="3"/>
  </w:num>
  <w:num w:numId="18" w16cid:durableId="424543388">
    <w:abstractNumId w:val="2"/>
  </w:num>
  <w:num w:numId="19" w16cid:durableId="681320988">
    <w:abstractNumId w:val="1"/>
  </w:num>
  <w:num w:numId="20" w16cid:durableId="1003052779">
    <w:abstractNumId w:val="0"/>
  </w:num>
  <w:num w:numId="21" w16cid:durableId="1418749719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  <w:docVar w:name="Plural" w:val="0"/>
  </w:docVars>
  <w:rsids>
    <w:rsidRoot w:val="00BA5187"/>
    <w:rsid w:val="000318F7"/>
    <w:rsid w:val="00054ACD"/>
    <w:rsid w:val="000C5149"/>
    <w:rsid w:val="000F6C03"/>
    <w:rsid w:val="00135384"/>
    <w:rsid w:val="00150BFA"/>
    <w:rsid w:val="00173A91"/>
    <w:rsid w:val="00177329"/>
    <w:rsid w:val="001930EF"/>
    <w:rsid w:val="001A15B6"/>
    <w:rsid w:val="001A3C4A"/>
    <w:rsid w:val="001D7CD3"/>
    <w:rsid w:val="001F3812"/>
    <w:rsid w:val="002056B7"/>
    <w:rsid w:val="0020718E"/>
    <w:rsid w:val="00224BBC"/>
    <w:rsid w:val="0023364D"/>
    <w:rsid w:val="0029309A"/>
    <w:rsid w:val="002C5B23"/>
    <w:rsid w:val="00337785"/>
    <w:rsid w:val="0035771C"/>
    <w:rsid w:val="0037589C"/>
    <w:rsid w:val="003B3ECB"/>
    <w:rsid w:val="00455FE1"/>
    <w:rsid w:val="0048584C"/>
    <w:rsid w:val="00497FF8"/>
    <w:rsid w:val="004B0B4E"/>
    <w:rsid w:val="004D042B"/>
    <w:rsid w:val="004D0EC7"/>
    <w:rsid w:val="004F56E2"/>
    <w:rsid w:val="005377CE"/>
    <w:rsid w:val="00555A1D"/>
    <w:rsid w:val="00573202"/>
    <w:rsid w:val="005B102C"/>
    <w:rsid w:val="005B16C1"/>
    <w:rsid w:val="005C3A15"/>
    <w:rsid w:val="005F60F9"/>
    <w:rsid w:val="00607C2A"/>
    <w:rsid w:val="00611E1D"/>
    <w:rsid w:val="006372F5"/>
    <w:rsid w:val="0064187A"/>
    <w:rsid w:val="00656431"/>
    <w:rsid w:val="006D324D"/>
    <w:rsid w:val="00743B2A"/>
    <w:rsid w:val="007765AD"/>
    <w:rsid w:val="00787E12"/>
    <w:rsid w:val="00791456"/>
    <w:rsid w:val="007A50D5"/>
    <w:rsid w:val="007A72B4"/>
    <w:rsid w:val="007F018A"/>
    <w:rsid w:val="008476B5"/>
    <w:rsid w:val="008522DD"/>
    <w:rsid w:val="00860732"/>
    <w:rsid w:val="008A0E2E"/>
    <w:rsid w:val="008A5485"/>
    <w:rsid w:val="008B3FB7"/>
    <w:rsid w:val="008D51B6"/>
    <w:rsid w:val="009522DD"/>
    <w:rsid w:val="0099159B"/>
    <w:rsid w:val="009C4A98"/>
    <w:rsid w:val="00A062B9"/>
    <w:rsid w:val="00A30BC8"/>
    <w:rsid w:val="00A329E0"/>
    <w:rsid w:val="00A34A54"/>
    <w:rsid w:val="00A44415"/>
    <w:rsid w:val="00A45145"/>
    <w:rsid w:val="00A514AD"/>
    <w:rsid w:val="00A6104A"/>
    <w:rsid w:val="00A93A16"/>
    <w:rsid w:val="00A94CA7"/>
    <w:rsid w:val="00AC03BB"/>
    <w:rsid w:val="00B20033"/>
    <w:rsid w:val="00B216C1"/>
    <w:rsid w:val="00B64153"/>
    <w:rsid w:val="00B91668"/>
    <w:rsid w:val="00BA5187"/>
    <w:rsid w:val="00BD554D"/>
    <w:rsid w:val="00BE2415"/>
    <w:rsid w:val="00C044E9"/>
    <w:rsid w:val="00C20CC3"/>
    <w:rsid w:val="00C43D38"/>
    <w:rsid w:val="00C877A3"/>
    <w:rsid w:val="00CB56FA"/>
    <w:rsid w:val="00D16A31"/>
    <w:rsid w:val="00DC67B5"/>
    <w:rsid w:val="00DE7D3F"/>
    <w:rsid w:val="00DF333E"/>
    <w:rsid w:val="00E026EC"/>
    <w:rsid w:val="00E50B82"/>
    <w:rsid w:val="00ED7723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AFE2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2024-05-31T06:00:00Z</dcterms:created>
  <dcterms:modified xsi:type="dcterms:W3CDTF">2024-05-31T06:32:00Z</dcterms:modified>
  <cp:category/>
</cp:coreProperties>
</file>