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D2CE2" w14:textId="77777777" w:rsidR="008D51B6" w:rsidRPr="002D6F90" w:rsidRDefault="008D51B6" w:rsidP="002D6F90">
      <w:pPr>
        <w:jc w:val="center"/>
      </w:pPr>
    </w:p>
    <w:p w14:paraId="60BFA09B" w14:textId="77777777" w:rsidR="004D042B" w:rsidRPr="002D6F90" w:rsidRDefault="004D042B" w:rsidP="002D6F90">
      <w:pPr>
        <w:jc w:val="center"/>
      </w:pPr>
    </w:p>
    <w:p w14:paraId="32815797" w14:textId="77777777" w:rsidR="000C5149" w:rsidRPr="002D6F90" w:rsidRDefault="000C5149" w:rsidP="002D6F90">
      <w:pPr>
        <w:jc w:val="center"/>
      </w:pPr>
    </w:p>
    <w:p w14:paraId="270A0A4F" w14:textId="77777777" w:rsidR="00787E12" w:rsidRPr="002D6F90" w:rsidRDefault="00000000" w:rsidP="002D6F90">
      <w:pPr>
        <w:pStyle w:val="DecHTitle"/>
      </w:pPr>
      <w:r>
        <w:t>SEKCJA PIERWSZA</w:t>
      </w:r>
    </w:p>
    <w:p w14:paraId="473A32FE" w14:textId="77777777" w:rsidR="006D324D" w:rsidRPr="002D6F90" w:rsidRDefault="00000000" w:rsidP="002D6F90">
      <w:pPr>
        <w:pStyle w:val="JuTitle"/>
      </w:pPr>
      <w:bookmarkStart w:id="0" w:name="To"/>
      <w:r>
        <w:rPr>
          <w:color w:val="000000" w:themeColor="text1"/>
        </w:rPr>
        <w:t>SPRAWA</w:t>
      </w:r>
      <w:r>
        <w:t xml:space="preserve"> </w:t>
      </w:r>
      <w:bookmarkEnd w:id="0"/>
      <w:r>
        <w:t>U.K. przeciwko POLSCE</w:t>
      </w:r>
    </w:p>
    <w:p w14:paraId="1EC32041" w14:textId="77777777" w:rsidR="006D324D" w:rsidRPr="002D6F90" w:rsidRDefault="00000000" w:rsidP="002D6F90">
      <w:pPr>
        <w:pStyle w:val="ECHRCoverTitle4"/>
      </w:pPr>
      <w:r>
        <w:t>(Skarga nr 58832/21)</w:t>
      </w:r>
    </w:p>
    <w:p w14:paraId="3EB91942" w14:textId="77777777" w:rsidR="006D324D" w:rsidRPr="002D6F90" w:rsidRDefault="006D324D" w:rsidP="002D6F90">
      <w:pPr>
        <w:pStyle w:val="DecHCase"/>
      </w:pPr>
    </w:p>
    <w:p w14:paraId="5E0AC2EE" w14:textId="77777777" w:rsidR="006D324D" w:rsidRPr="002D6F90" w:rsidRDefault="006D324D" w:rsidP="002D6F90">
      <w:pPr>
        <w:pStyle w:val="DecHCase"/>
      </w:pPr>
    </w:p>
    <w:p w14:paraId="5DE50903" w14:textId="77777777" w:rsidR="00787E12" w:rsidRPr="002D6F90" w:rsidRDefault="00787E12" w:rsidP="002D6F90">
      <w:pPr>
        <w:pStyle w:val="DecHCase"/>
      </w:pPr>
    </w:p>
    <w:p w14:paraId="3697AF27" w14:textId="77777777" w:rsidR="00787E12" w:rsidRPr="002D6F90" w:rsidRDefault="00787E12" w:rsidP="002D6F90">
      <w:pPr>
        <w:pStyle w:val="DecHCase"/>
      </w:pPr>
    </w:p>
    <w:p w14:paraId="742736B1" w14:textId="77777777" w:rsidR="00787E12" w:rsidRPr="002D6F90" w:rsidRDefault="00787E12" w:rsidP="002D6F90">
      <w:pPr>
        <w:pStyle w:val="DecHCase"/>
      </w:pPr>
    </w:p>
    <w:p w14:paraId="1F6A281A" w14:textId="77777777" w:rsidR="00A062B9" w:rsidRPr="002D6F90" w:rsidRDefault="00A062B9" w:rsidP="002D6F90">
      <w:pPr>
        <w:pStyle w:val="DecHCase"/>
      </w:pPr>
    </w:p>
    <w:p w14:paraId="46913467" w14:textId="77777777" w:rsidR="00787E12" w:rsidRPr="002D6F90" w:rsidRDefault="00000000" w:rsidP="002D6F90">
      <w:pPr>
        <w:pStyle w:val="DecHCase"/>
      </w:pPr>
      <w:r>
        <w:t>WYROK</w:t>
      </w:r>
    </w:p>
    <w:p w14:paraId="4B942DC8" w14:textId="77777777" w:rsidR="00787E12" w:rsidRPr="002D6F90" w:rsidRDefault="00787E12" w:rsidP="002D6F90">
      <w:pPr>
        <w:jc w:val="center"/>
        <w:rPr>
          <w:i/>
        </w:rPr>
      </w:pPr>
    </w:p>
    <w:p w14:paraId="0EAD2DBF" w14:textId="77777777" w:rsidR="00787E12" w:rsidRPr="002D6F90" w:rsidRDefault="00000000" w:rsidP="002D6F90">
      <w:pPr>
        <w:pStyle w:val="DecHCase"/>
      </w:pPr>
      <w:r>
        <w:t>STRASBURG</w:t>
      </w:r>
    </w:p>
    <w:p w14:paraId="24C0B4EE" w14:textId="77777777" w:rsidR="00787E12" w:rsidRPr="002D6F90" w:rsidRDefault="00000000" w:rsidP="002D6F90">
      <w:pPr>
        <w:pStyle w:val="DecHCase"/>
      </w:pPr>
      <w:r>
        <w:t>11 kwietnia 2024 r.</w:t>
      </w:r>
    </w:p>
    <w:p w14:paraId="0FE9DF50" w14:textId="77777777" w:rsidR="00787E12" w:rsidRDefault="00787E12" w:rsidP="002D6F90">
      <w:pPr>
        <w:jc w:val="center"/>
      </w:pPr>
    </w:p>
    <w:p w14:paraId="1A28B32B" w14:textId="77777777" w:rsidR="002D6F90" w:rsidRDefault="002D6F90" w:rsidP="002D6F90">
      <w:pPr>
        <w:jc w:val="center"/>
      </w:pPr>
    </w:p>
    <w:p w14:paraId="266E2774" w14:textId="77777777" w:rsidR="002D6F90" w:rsidRPr="002D6F90" w:rsidRDefault="002D6F90" w:rsidP="002D6F90">
      <w:pPr>
        <w:jc w:val="center"/>
      </w:pPr>
    </w:p>
    <w:p w14:paraId="6AEC54C5" w14:textId="6711855D" w:rsidR="00787E12" w:rsidRPr="002D6F90" w:rsidRDefault="00000000" w:rsidP="002D6F90">
      <w:pPr>
        <w:rPr>
          <w:sz w:val="2"/>
          <w:szCs w:val="2"/>
        </w:rPr>
      </w:pPr>
      <w:r>
        <w:rPr>
          <w:i/>
        </w:rPr>
        <w:t xml:space="preserve">Wyrok jest ostateczny, </w:t>
      </w:r>
      <w:r w:rsidR="00F855FD">
        <w:rPr>
          <w:i/>
        </w:rPr>
        <w:t>lecz</w:t>
      </w:r>
      <w:r w:rsidR="00F855FD">
        <w:rPr>
          <w:i/>
        </w:rPr>
        <w:t xml:space="preserve"> </w:t>
      </w:r>
      <w:r>
        <w:rPr>
          <w:i/>
        </w:rPr>
        <w:t>może podlegać korekcie wydawniczej.</w:t>
      </w:r>
    </w:p>
    <w:p w14:paraId="077CFC49" w14:textId="77777777" w:rsidR="00787E12" w:rsidRDefault="00787E12" w:rsidP="002D6F90">
      <w:pPr>
        <w:pStyle w:val="JuCase"/>
      </w:pPr>
    </w:p>
    <w:p w14:paraId="60E73397" w14:textId="77777777" w:rsidR="002D6F90" w:rsidRPr="002D6F90" w:rsidRDefault="002D6F90" w:rsidP="002D6F90">
      <w:pPr>
        <w:pStyle w:val="JuPara"/>
        <w:sectPr w:rsidR="002D6F90" w:rsidRPr="002D6F90" w:rsidSect="00395B91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20B3151A" w14:textId="77777777" w:rsidR="00787E12" w:rsidRPr="002D6F90" w:rsidRDefault="00000000" w:rsidP="002D6F90">
      <w:pPr>
        <w:pStyle w:val="JuCase"/>
        <w:rPr>
          <w:bCs/>
        </w:rPr>
      </w:pPr>
      <w:r>
        <w:lastRenderedPageBreak/>
        <w:t>W sprawie U.K. przeciwko Polsce</w:t>
      </w:r>
    </w:p>
    <w:p w14:paraId="113D59D8" w14:textId="77777777" w:rsidR="00787E12" w:rsidRPr="002D6F90" w:rsidRDefault="00000000" w:rsidP="002D6F90">
      <w:pPr>
        <w:pStyle w:val="JuPara"/>
      </w:pPr>
      <w:r>
        <w:t>Europejski Trybunał Praw Człowieka (sekcja pierwsza), zasiadając jako Komitet w składzie:</w:t>
      </w:r>
    </w:p>
    <w:p w14:paraId="79AC6D4F" w14:textId="096DE6D6" w:rsidR="002C5B23" w:rsidRPr="002D6F90" w:rsidRDefault="00000000" w:rsidP="002D6F90">
      <w:pPr>
        <w:pStyle w:val="JuJudges"/>
      </w:pPr>
      <w:r>
        <w:tab/>
        <w:t>Péter Paczolay</w:t>
      </w:r>
      <w:r>
        <w:rPr>
          <w:i/>
        </w:rPr>
        <w:t>, Pr</w:t>
      </w:r>
      <w:r>
        <w:t>z</w:t>
      </w:r>
      <w:r>
        <w:rPr>
          <w:i/>
          <w:iCs/>
        </w:rPr>
        <w:t>ewodniczący</w:t>
      </w:r>
      <w:r>
        <w:t>,</w:t>
      </w:r>
      <w:r>
        <w:br/>
      </w:r>
      <w:r>
        <w:tab/>
        <w:t>Gilberto Felici,</w:t>
      </w:r>
      <w:r>
        <w:br/>
      </w:r>
      <w:r>
        <w:tab/>
        <w:t>Raffaele Sabato</w:t>
      </w:r>
      <w:r>
        <w:rPr>
          <w:i/>
        </w:rPr>
        <w:t xml:space="preserve">, </w:t>
      </w:r>
      <w:r w:rsidR="00F855FD">
        <w:rPr>
          <w:i/>
        </w:rPr>
        <w:t>S</w:t>
      </w:r>
      <w:r>
        <w:rPr>
          <w:i/>
        </w:rPr>
        <w:t>ędziowie</w:t>
      </w:r>
      <w:r>
        <w:t>,</w:t>
      </w:r>
    </w:p>
    <w:p w14:paraId="66EA7897" w14:textId="77777777" w:rsidR="00787E12" w:rsidRPr="002D6F90" w:rsidRDefault="00000000" w:rsidP="002D6F90">
      <w:pPr>
        <w:pStyle w:val="JuJudges"/>
      </w:pPr>
      <w:r>
        <w:t xml:space="preserve">oraz Viktoriya Maradudina, </w:t>
      </w:r>
      <w:r>
        <w:rPr>
          <w:i/>
        </w:rPr>
        <w:t>p.o. Zastępcy Kanclerza Sekcji,</w:t>
      </w:r>
    </w:p>
    <w:p w14:paraId="4C2133AA" w14:textId="77777777" w:rsidR="00787E12" w:rsidRPr="002D6F90" w:rsidRDefault="00000000" w:rsidP="002D6F90">
      <w:pPr>
        <w:pStyle w:val="JuPara"/>
      </w:pPr>
      <w:r>
        <w:t>obradując na posiedzeniu niejawnym w dniu 21 marca 2024 r.,</w:t>
      </w:r>
    </w:p>
    <w:p w14:paraId="30C7CF6F" w14:textId="77777777" w:rsidR="00240E25" w:rsidRPr="002D6F90" w:rsidRDefault="00000000" w:rsidP="002D6F90">
      <w:pPr>
        <w:pStyle w:val="JuPara"/>
      </w:pPr>
      <w:r>
        <w:t>uwzględniając decyzję o przyznaniu skarżącej anonimowości, zgodnie z Regułą 47 § 4 Regulaminu Trybunału,</w:t>
      </w:r>
    </w:p>
    <w:p w14:paraId="7C6DA485" w14:textId="77777777" w:rsidR="006372F5" w:rsidRPr="002D6F90" w:rsidRDefault="00000000" w:rsidP="002D6F90">
      <w:pPr>
        <w:pStyle w:val="JuPara"/>
      </w:pPr>
      <w:r>
        <w:t>wydaje następujący wyrok, który został przyjęty w tym dniu:</w:t>
      </w:r>
    </w:p>
    <w:p w14:paraId="154D824C" w14:textId="77777777" w:rsidR="00F05771" w:rsidRPr="002D6F90" w:rsidRDefault="00000000" w:rsidP="002D6F90">
      <w:pPr>
        <w:pStyle w:val="JuHHead"/>
      </w:pPr>
      <w:bookmarkStart w:id="1" w:name="ITMARKStartJudgment"/>
      <w:bookmarkEnd w:id="1"/>
      <w:r>
        <w:t>POSTĘPOWANIE</w:t>
      </w:r>
    </w:p>
    <w:p w14:paraId="598C5A60" w14:textId="65DD87A0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\r1 </w:instrText>
      </w:r>
      <w:r w:rsidRPr="002D6F90">
        <w:fldChar w:fldCharType="separate"/>
      </w:r>
      <w:r w:rsidR="00D33F0F">
        <w:rPr>
          <w:noProof/>
        </w:rPr>
        <w:t>1</w:t>
      </w:r>
      <w:r w:rsidRPr="002D6F90">
        <w:fldChar w:fldCharType="end"/>
      </w:r>
      <w:r>
        <w:t>.  Sprawa wywodzi się ze skargi przeciwko Polsce, wniesionej do Trybunału w dniu 22 listopada 2021 r. na podstawie art. 34 Konwencji o ochronie praw człowieka i podstawowych wolności („Konwencja”).</w:t>
      </w:r>
    </w:p>
    <w:p w14:paraId="7873FAA0" w14:textId="04BBDCC5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2</w:t>
      </w:r>
      <w:r w:rsidRPr="002D6F90">
        <w:fldChar w:fldCharType="end"/>
      </w:r>
      <w:r>
        <w:t>.  Skarga została zakomunikowana rządowi polskiemu („Rząd”).</w:t>
      </w:r>
    </w:p>
    <w:p w14:paraId="1462BF98" w14:textId="77777777" w:rsidR="00F05771" w:rsidRPr="002D6F90" w:rsidRDefault="00000000" w:rsidP="002D6F90">
      <w:pPr>
        <w:pStyle w:val="JuHHead"/>
      </w:pPr>
      <w:r>
        <w:t>FAKTY</w:t>
      </w:r>
    </w:p>
    <w:p w14:paraId="2B5CDA40" w14:textId="124DD8F2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3</w:t>
      </w:r>
      <w:r w:rsidRPr="002D6F90">
        <w:fldChar w:fldCharType="end"/>
      </w:r>
      <w:r>
        <w:t>.  Dane skarżącej oraz informacje istotne dla skargi zostały przedstawione w załączonej tabeli.</w:t>
      </w:r>
    </w:p>
    <w:p w14:paraId="242D8D49" w14:textId="204669D9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4</w:t>
      </w:r>
      <w:r w:rsidRPr="002D6F90">
        <w:fldChar w:fldCharType="end"/>
      </w:r>
      <w:r>
        <w:t>.  </w:t>
      </w:r>
      <w:r>
        <w:rPr>
          <w:color w:val="000000"/>
        </w:rPr>
        <w:t>Skarżąca zarzuciła przewlekłość postępowania cywilnego oraz brak skutecznego środka odwoławczego w prawie krajowym</w:t>
      </w:r>
      <w:r>
        <w:rPr>
          <w:bCs/>
          <w:color w:val="000000"/>
        </w:rPr>
        <w:t>.</w:t>
      </w:r>
    </w:p>
    <w:p w14:paraId="029200AA" w14:textId="77777777" w:rsidR="00F05771" w:rsidRPr="002D6F90" w:rsidRDefault="00000000" w:rsidP="002D6F90">
      <w:pPr>
        <w:pStyle w:val="JuHHead"/>
      </w:pPr>
      <w:r>
        <w:t>PRAWO</w:t>
      </w:r>
    </w:p>
    <w:p w14:paraId="363036C0" w14:textId="77777777" w:rsidR="00F05771" w:rsidRPr="002D6F90" w:rsidRDefault="00000000" w:rsidP="002D6F90">
      <w:pPr>
        <w:pStyle w:val="JuHIRoman"/>
      </w:pPr>
      <w:r>
        <w:t>ZARZUCANE NARUSZENIE ART. 6 UST. 1 I ART. 13 KONWENCJI</w:t>
      </w:r>
    </w:p>
    <w:p w14:paraId="72B1380B" w14:textId="1A38ADDA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5</w:t>
      </w:r>
      <w:r w:rsidRPr="002D6F90">
        <w:fldChar w:fldCharType="end"/>
      </w:r>
      <w:r>
        <w:t>.  Skarżąca zarzuciła, że czas trwania postępowania cywilnego był niezgodny z wymogiem „rozsądnego terminu” i że w związku z tym skarżąca była pozbawiona skutecznego środka odwoławczego. Powołała się na art. 6 ust. 1 i art. 13 Konwencji.</w:t>
      </w:r>
    </w:p>
    <w:p w14:paraId="13BFFC1A" w14:textId="31B9E0F7" w:rsidR="00F05771" w:rsidRPr="002D6F90" w:rsidRDefault="002D6F90" w:rsidP="002D6F90">
      <w:pPr>
        <w:pStyle w:val="JuPara"/>
      </w:pPr>
      <w:r w:rsidRPr="002D6F90">
        <w:fldChar w:fldCharType="begin"/>
      </w:r>
      <w:r>
        <w:instrText xml:space="preserve"> SEQ level0 \*arabic \* MERGEFORMAT </w:instrText>
      </w:r>
      <w:r w:rsidRPr="002D6F90">
        <w:fldChar w:fldCharType="separate"/>
      </w:r>
      <w:r w:rsidR="00D33F0F">
        <w:rPr>
          <w:noProof/>
        </w:rPr>
        <w:t>6</w:t>
      </w:r>
      <w:r w:rsidRPr="002D6F90">
        <w:fldChar w:fldCharType="end"/>
      </w:r>
      <w:r>
        <w:t>.  Trybunał zauważa, że Rząd zgłosił zastrzeżenia wstępne, w szczególności podniósł, że skarżąca nie może być już uważana, w rozumieniu art. 34 Konwencji, za „ofiarę” naruszenia jej prawa do rozpoznania sprawy w rozsądnym terminie, ponieważ stała się stroną postępowania dopiero w 2019 r., a Sąd Okręgowy w Ostrołęce już zasądził na jej rzecz kwotę 2 000 złotych polskich (PLN).</w:t>
      </w:r>
    </w:p>
    <w:p w14:paraId="47373FE5" w14:textId="63852E5D" w:rsidR="00F05771" w:rsidRPr="002D6F90" w:rsidRDefault="002D6F90" w:rsidP="002D6F90">
      <w:pPr>
        <w:pStyle w:val="JuPara"/>
      </w:pPr>
      <w:r w:rsidRPr="002D6F90">
        <w:fldChar w:fldCharType="begin"/>
      </w:r>
      <w:r>
        <w:instrText xml:space="preserve"> SEQ level0 \*arabic \* MERGEFORMAT </w:instrText>
      </w:r>
      <w:r w:rsidRPr="002D6F90">
        <w:fldChar w:fldCharType="separate"/>
      </w:r>
      <w:r w:rsidR="00D33F0F">
        <w:rPr>
          <w:noProof/>
        </w:rPr>
        <w:t>7</w:t>
      </w:r>
      <w:r w:rsidRPr="002D6F90">
        <w:fldChar w:fldCharType="end"/>
      </w:r>
      <w:r>
        <w:t xml:space="preserve">.  Trybunał zauważa, że kwestia ta powinna zostać rozstrzygnięta w świetle zasad ustanowionych w orzecznictwie Trybunału (zob. </w:t>
      </w:r>
      <w:bookmarkStart w:id="2" w:name="_cl23675"/>
      <w:r>
        <w:rPr>
          <w:i/>
          <w:iCs/>
        </w:rPr>
        <w:t>Cocchiarella przeciwko Włochom</w:t>
      </w:r>
      <w:bookmarkEnd w:id="2"/>
      <w:r>
        <w:t xml:space="preserve"> [WI], skarga nr 64886/01, </w:t>
      </w:r>
      <w:r w:rsidR="00F855FD">
        <w:t>§§</w:t>
      </w:r>
      <w:r w:rsidR="00F855FD">
        <w:t> </w:t>
      </w:r>
      <w:r>
        <w:t xml:space="preserve">69–107, </w:t>
      </w:r>
      <w:r>
        <w:lastRenderedPageBreak/>
        <w:t>ETPC 2006</w:t>
      </w:r>
      <w:r>
        <w:noBreakHyphen/>
        <w:t xml:space="preserve">V, oraz </w:t>
      </w:r>
      <w:bookmarkStart w:id="3" w:name="_cl36021"/>
      <w:r>
        <w:rPr>
          <w:i/>
          <w:iCs/>
        </w:rPr>
        <w:t>Scordino przeciwko Włochom</w:t>
      </w:r>
      <w:r>
        <w:t xml:space="preserve"> </w:t>
      </w:r>
      <w:r>
        <w:rPr>
          <w:i/>
          <w:iCs/>
        </w:rPr>
        <w:t>(nr 1)</w:t>
      </w:r>
      <w:bookmarkEnd w:id="3"/>
      <w:r>
        <w:t xml:space="preserve"> [WI], skarga nr 36813/97, </w:t>
      </w:r>
      <w:r w:rsidR="00464173">
        <w:t>§§</w:t>
      </w:r>
      <w:r w:rsidR="00464173">
        <w:t> </w:t>
      </w:r>
      <w:r>
        <w:t>178–213 i 220, ETPC 2006</w:t>
      </w:r>
      <w:r>
        <w:noBreakHyphen/>
        <w:t>V).</w:t>
      </w:r>
    </w:p>
    <w:p w14:paraId="2D9B14DA" w14:textId="3B9DD0DA" w:rsidR="00F05771" w:rsidRPr="002D6F90" w:rsidRDefault="002D6F90" w:rsidP="002D6F90">
      <w:pPr>
        <w:pStyle w:val="JuPara"/>
      </w:pPr>
      <w:r w:rsidRPr="002D6F90">
        <w:fldChar w:fldCharType="begin"/>
      </w:r>
      <w:r>
        <w:instrText xml:space="preserve"> SEQ level0 \*arabic \* MERGEFORMAT </w:instrText>
      </w:r>
      <w:r w:rsidRPr="002D6F90">
        <w:fldChar w:fldCharType="separate"/>
      </w:r>
      <w:r w:rsidR="00D33F0F">
        <w:rPr>
          <w:noProof/>
        </w:rPr>
        <w:t>8</w:t>
      </w:r>
      <w:r w:rsidRPr="002D6F90">
        <w:fldChar w:fldCharType="end"/>
      </w:r>
      <w:r>
        <w:t xml:space="preserve">.  Trybunał stwierdza, że skarżąca zadeklarowała zamiar kontynuowania postępowania jako następca prawny, w związku z czym mogła złożyć skargę na czas trwania całego postępowania </w:t>
      </w:r>
      <w:r>
        <w:rPr>
          <w:i/>
          <w:iCs/>
        </w:rPr>
        <w:t>(Scordino</w:t>
      </w:r>
      <w:r>
        <w:t xml:space="preserve">, cytowany powyżej, </w:t>
      </w:r>
      <w:r w:rsidR="00464173">
        <w:t>§</w:t>
      </w:r>
      <w:r w:rsidR="00464173">
        <w:t> </w:t>
      </w:r>
      <w:r>
        <w:t xml:space="preserve">220). Trybunał zauważa, że Sąd Okręgowy w Ostrołęce przyznał skarżącej równowartość 440 euro (EUR) w związku z czasem trwania postępowania. Trybunał stwierdza, że zadośćuczynienie przyznane skarżącej na poziomie krajowym, rozpatrywane na podstawie okoliczności faktycznych będących przedmiotem skargi wniesionej do Trybunału, było niewystarczające (zob. </w:t>
      </w:r>
      <w:r>
        <w:rPr>
          <w:i/>
          <w:iCs/>
        </w:rPr>
        <w:t>Janulis przeciwko Polsce</w:t>
      </w:r>
      <w:r>
        <w:t xml:space="preserve">, skarga nr 31792/15, </w:t>
      </w:r>
      <w:r w:rsidR="00464173">
        <w:t>§</w:t>
      </w:r>
      <w:r w:rsidR="00464173">
        <w:t> </w:t>
      </w:r>
      <w:r>
        <w:t>21, 16 stycznia 2020 r., z dalszymi przykładami). W tych okolicznościach nie można przychylić się do argumentu, że skarżąca utraciła status ofiary lub że jej skarga jest w inny sposób oczywiście bezzasadna.</w:t>
      </w:r>
    </w:p>
    <w:p w14:paraId="317BAED0" w14:textId="3B1ECADA" w:rsidR="00F05771" w:rsidRPr="002D6F90" w:rsidRDefault="00000000" w:rsidP="002D6F90">
      <w:pPr>
        <w:pStyle w:val="JuPara"/>
        <w:rPr>
          <w:strike/>
        </w:rPr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9</w:t>
      </w:r>
      <w:r w:rsidRPr="002D6F90">
        <w:fldChar w:fldCharType="end"/>
      </w:r>
      <w:r>
        <w:t xml:space="preserve">.  Trybunał podkreśla, że rozsądny charakter czasu trwania postępowania należy oceniać w świetle okoliczności sprawy i z uwzględnieniem następujących kryteriów: złożoności sprawy, zachowania skarżącego i właściwych organów oraz znaczenia sprawy dla interesów skarżącego (zob. </w:t>
      </w:r>
      <w:r>
        <w:rPr>
          <w:i/>
        </w:rPr>
        <w:t xml:space="preserve">Frydlender </w:t>
      </w:r>
      <w:r>
        <w:rPr>
          <w:i/>
          <w:iCs/>
        </w:rPr>
        <w:t>przeciwko Francji</w:t>
      </w:r>
      <w:r>
        <w:rPr>
          <w:i/>
        </w:rPr>
        <w:t xml:space="preserve"> </w:t>
      </w:r>
      <w:r>
        <w:t xml:space="preserve">[WI], skarga nr 30979/96, </w:t>
      </w:r>
      <w:r w:rsidR="00464173">
        <w:t>§</w:t>
      </w:r>
      <w:r w:rsidR="00464173">
        <w:t> </w:t>
      </w:r>
      <w:r>
        <w:t>43, ETPC 2000-VII).</w:t>
      </w:r>
    </w:p>
    <w:p w14:paraId="70EE1D34" w14:textId="5F799C5D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10</w:t>
      </w:r>
      <w:r w:rsidRPr="002D6F90">
        <w:fldChar w:fldCharType="end"/>
      </w:r>
      <w:r>
        <w:t xml:space="preserve">.  Już w precedensowej sprawie </w:t>
      </w:r>
      <w:r>
        <w:rPr>
          <w:i/>
          <w:iCs/>
        </w:rPr>
        <w:t>Rutkowski i Inni przeciwko Polsce, skargi nr</w:t>
      </w:r>
      <w:r>
        <w:t> 72287/10 i 2 inne, z dnia 7 lipca 2015 r., Trybunał stwierdził naruszenie art. 6 Konwencji w odniesieniu do czasu trwania postępowania sądowego.</w:t>
      </w:r>
    </w:p>
    <w:p w14:paraId="79E34434" w14:textId="1BEF931F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11</w:t>
      </w:r>
      <w:r w:rsidRPr="002D6F90">
        <w:fldChar w:fldCharType="end"/>
      </w:r>
      <w:r>
        <w:t>.  Po zapoznaniu się z całością przedstawionego mu materiału Trybunał nie ustalił żadnych okoliczności faktycznych ani argumentów, które uzasadniałaby łączny czas trwania postępowania na poziomie krajowym. Uwzględniając swoje orzecznictwo w tym zakresie, Trybunał stwierdza, że postępowanie w przedmiotowej sprawie było przewlekłe i nie został spełniony wymóg „rozsądnego terminu”.</w:t>
      </w:r>
    </w:p>
    <w:p w14:paraId="1EBC89E3" w14:textId="6990C126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12</w:t>
      </w:r>
      <w:r w:rsidRPr="002D6F90">
        <w:fldChar w:fldCharType="end"/>
      </w:r>
      <w:r>
        <w:t>.  Trybunał zauważa ponadto, że skarżąca nie miała do dyspozycji skutecznego środka odwoławczego w odniesieniu do tych zarzutów.</w:t>
      </w:r>
    </w:p>
    <w:p w14:paraId="42027AD8" w14:textId="2537E4B0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13</w:t>
      </w:r>
      <w:r w:rsidRPr="002D6F90">
        <w:fldChar w:fldCharType="end"/>
      </w:r>
      <w:r>
        <w:t>.  Zarzuty te są zatem dopuszczalne i wskazują na naruszenie art. 6 ust. 1 oraz art. 13 Konwencji.</w:t>
      </w:r>
    </w:p>
    <w:p w14:paraId="742F7ED7" w14:textId="77777777" w:rsidR="00F05771" w:rsidRPr="002D6F90" w:rsidRDefault="00000000" w:rsidP="002D6F90">
      <w:pPr>
        <w:pStyle w:val="JuHIRoman"/>
      </w:pPr>
      <w:r>
        <w:t>ZASTOSOWANIE ART. 41 KONWENCJI</w:t>
      </w:r>
    </w:p>
    <w:p w14:paraId="5D21FE28" w14:textId="51B5A90A" w:rsidR="00F05771" w:rsidRPr="002D6F90" w:rsidRDefault="00000000" w:rsidP="002D6F90">
      <w:pPr>
        <w:pStyle w:val="JuPara"/>
      </w:pPr>
      <w:r w:rsidRPr="002D6F90">
        <w:fldChar w:fldCharType="begin"/>
      </w:r>
      <w:r w:rsidRPr="002D6F90">
        <w:instrText xml:space="preserve"> SEQ level0 \*arabic </w:instrText>
      </w:r>
      <w:r w:rsidRPr="002D6F90">
        <w:fldChar w:fldCharType="separate"/>
      </w:r>
      <w:r w:rsidR="00D33F0F">
        <w:rPr>
          <w:noProof/>
        </w:rPr>
        <w:t>14</w:t>
      </w:r>
      <w:r w:rsidRPr="002D6F90">
        <w:fldChar w:fldCharType="end"/>
      </w:r>
      <w:r>
        <w:t xml:space="preserve">.  Uwzględniając dokumenty znajdujące się w jego posiadaniu oraz swoje orzecznictwo (zob. w szczególności ww. wyrok w sprawie </w:t>
      </w:r>
      <w:r>
        <w:rPr>
          <w:i/>
          <w:iCs/>
        </w:rPr>
        <w:t>Rutkowski i Inni</w:t>
      </w:r>
      <w:r>
        <w:t>), Trybunał uważa za zasadne zasądzenie kwoty wskazanej w załączonej tabeli.</w:t>
      </w:r>
    </w:p>
    <w:p w14:paraId="7C202EB4" w14:textId="77777777" w:rsidR="00F05771" w:rsidRPr="002D6F90" w:rsidRDefault="00000000" w:rsidP="002D6F90">
      <w:pPr>
        <w:pStyle w:val="JuHHead"/>
      </w:pPr>
      <w:r>
        <w:lastRenderedPageBreak/>
        <w:t>Z TYCH PRZYCZYN TRYBUNAŁ JEDNOGŁOŚNIE</w:t>
      </w:r>
    </w:p>
    <w:p w14:paraId="79AC97FD" w14:textId="77777777" w:rsidR="00F05771" w:rsidRPr="002D6F90" w:rsidRDefault="00000000" w:rsidP="002D6F90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14:paraId="6D4FB4A0" w14:textId="645508DB" w:rsidR="00F05771" w:rsidRPr="002D6F90" w:rsidRDefault="00000000" w:rsidP="002D6F90">
      <w:pPr>
        <w:pStyle w:val="JuList"/>
      </w:pPr>
      <w:r>
        <w:t xml:space="preserve">orzeka, że zarzuty przedmiotowej skargi </w:t>
      </w:r>
      <w:r w:rsidR="00464173">
        <w:t>potwierdzają</w:t>
      </w:r>
      <w:r>
        <w:t> naruszeni</w:t>
      </w:r>
      <w:r w:rsidR="00464173">
        <w:t>e</w:t>
      </w:r>
      <w:r>
        <w:t xml:space="preserve"> art. 6 ust. 1 i art. 13 Konwencji, </w:t>
      </w:r>
      <w:r w:rsidR="00464173">
        <w:t>polegające</w:t>
      </w:r>
      <w:r w:rsidR="00464173">
        <w:t xml:space="preserve"> </w:t>
      </w:r>
      <w:r>
        <w:t>na przewlekłości postępowania cywilnego i braku skutecznego środka odwoławczego w prawie krajowym;</w:t>
      </w:r>
    </w:p>
    <w:p w14:paraId="25D157BC" w14:textId="77777777" w:rsidR="00F05771" w:rsidRPr="002D6F90" w:rsidRDefault="00000000" w:rsidP="002D6F90">
      <w:pPr>
        <w:pStyle w:val="JuList"/>
      </w:pPr>
      <w:r>
        <w:rPr>
          <w:i/>
          <w:iCs/>
        </w:rPr>
        <w:t>orzeka,</w:t>
      </w:r>
    </w:p>
    <w:p w14:paraId="6B1F99A4" w14:textId="6ABA2832" w:rsidR="00F05771" w:rsidRPr="002D6F90" w:rsidRDefault="00000000" w:rsidP="002D6F90">
      <w:pPr>
        <w:pStyle w:val="JuLista"/>
      </w:pPr>
      <w:r>
        <w:t xml:space="preserve">że pozwane państwo </w:t>
      </w:r>
      <w:r w:rsidR="00464173">
        <w:t>po</w:t>
      </w:r>
      <w:r>
        <w:t>winno, w terminie trzech miesięcy, uiścić na rzecz skarżącej kwotę wskazaną w załączonej tabeli, przeliczoną na walutę pozwanego państwa według kursu obowiązującego w dniu płatności;</w:t>
      </w:r>
    </w:p>
    <w:p w14:paraId="36561A52" w14:textId="77777777" w:rsidR="00E52718" w:rsidRPr="002D6F90" w:rsidRDefault="00000000" w:rsidP="002D6F90">
      <w:pPr>
        <w:pStyle w:val="JuLista"/>
      </w:pPr>
      <w:r>
        <w:t>że, od upływu wyżej wskazanego terminu trzech miesięcy aż do momentu uregulowania należności, należne będą odsetki zwykłe od określonej powyżej kwoty, naliczone według stopy równej marginalnej stopie procentowej Europejskiego Banku Centralnego obowiązującej w tym okresie, powiększonej o trzy punkty procentowe.</w:t>
      </w:r>
    </w:p>
    <w:p w14:paraId="203C8B71" w14:textId="77777777" w:rsidR="00C43D38" w:rsidRPr="002D6F90" w:rsidRDefault="00000000" w:rsidP="002D6F90">
      <w:pPr>
        <w:pStyle w:val="JuParaLast"/>
      </w:pPr>
      <w:r>
        <w:t>Sporządzono w języku angielskim i obwieszczono pisemnie w dniu 11 kwietnia 2024 r. zgodnie z Regułą 77 § 2 i § 3 Regulaminu Trybunału.</w:t>
      </w:r>
    </w:p>
    <w:p w14:paraId="4DBE24BF" w14:textId="77777777" w:rsidR="00656431" w:rsidRPr="002D6F90" w:rsidRDefault="00000000" w:rsidP="002D6F90">
      <w:pPr>
        <w:pStyle w:val="ECHRPlaceholder"/>
        <w:rPr>
          <w:szCs w:val="22"/>
        </w:rPr>
      </w:pPr>
      <w:r>
        <w:tab/>
      </w:r>
    </w:p>
    <w:p w14:paraId="1294A428" w14:textId="77777777" w:rsidR="00CF644B" w:rsidRPr="002D6F90" w:rsidRDefault="00000000" w:rsidP="002D6F90">
      <w:pPr>
        <w:pStyle w:val="JuSigned"/>
        <w:rPr>
          <w:rFonts w:eastAsia="PMingLiU"/>
        </w:rPr>
      </w:pPr>
      <w:r>
        <w:tab/>
        <w:t>Viktoriya Maradudina</w:t>
      </w:r>
      <w:r>
        <w:tab/>
        <w:t>Péter Paczolay</w:t>
      </w:r>
    </w:p>
    <w:p w14:paraId="6B6A542B" w14:textId="77777777" w:rsidR="00B91668" w:rsidRPr="002D6F90" w:rsidRDefault="00000000" w:rsidP="002D6F90">
      <w:pPr>
        <w:pStyle w:val="JuSigned"/>
        <w:contextualSpacing/>
        <w:rPr>
          <w:rFonts w:eastAsia="PMingLiU"/>
        </w:rPr>
      </w:pPr>
      <w:r>
        <w:tab/>
        <w:t>p.o. Zastępcy Kanclerza Sekcji</w:t>
      </w:r>
      <w:r>
        <w:tab/>
        <w:t>Przewodniczący</w:t>
      </w:r>
    </w:p>
    <w:p w14:paraId="692BD3F4" w14:textId="77777777" w:rsidR="00B91668" w:rsidRPr="002D6F90" w:rsidRDefault="00B91668" w:rsidP="002D6F90">
      <w:pPr>
        <w:rPr>
          <w:rFonts w:eastAsia="PMingLiU"/>
        </w:rPr>
      </w:pPr>
    </w:p>
    <w:p w14:paraId="516F2BDB" w14:textId="77777777" w:rsidR="00BD554D" w:rsidRPr="002D6F90" w:rsidRDefault="00000000" w:rsidP="002D6F90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30F23FD5" w14:textId="77777777" w:rsidR="00787E12" w:rsidRPr="002D6F90" w:rsidRDefault="00787E12" w:rsidP="002D6F90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5887AEF6" w14:textId="77777777" w:rsidR="00787E12" w:rsidRPr="002D6F90" w:rsidRDefault="00787E12" w:rsidP="002D6F90">
      <w:pPr>
        <w:pStyle w:val="JuParaLast"/>
        <w:sectPr w:rsidR="00787E12" w:rsidRPr="002D6F90" w:rsidSect="00395B91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684FF260" w14:textId="77777777" w:rsidR="00787E12" w:rsidRPr="002D6F90" w:rsidRDefault="00000000" w:rsidP="002D6F90">
      <w:pPr>
        <w:pStyle w:val="DecHTitle"/>
      </w:pPr>
      <w:r>
        <w:lastRenderedPageBreak/>
        <w:t>ZAŁĄCZNIK</w:t>
      </w:r>
    </w:p>
    <w:p w14:paraId="5E123300" w14:textId="77777777" w:rsidR="00787E12" w:rsidRPr="002D6F90" w:rsidRDefault="00000000" w:rsidP="002D6F90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Skarga, w której podniesiono zarzuty na podstawie art. 6 ust. 1 i art. 13 Konwencji</w:t>
      </w:r>
    </w:p>
    <w:p w14:paraId="7B3B76F1" w14:textId="77777777" w:rsidR="00787E12" w:rsidRPr="002D6F90" w:rsidRDefault="00000000" w:rsidP="002D6F90">
      <w:pPr>
        <w:pStyle w:val="DecHCase"/>
        <w:contextualSpacing/>
        <w:rPr>
          <w:color w:val="3E3E3E" w:themeColor="background2" w:themeShade="40"/>
        </w:rPr>
      </w:pPr>
      <w:r>
        <w:rPr>
          <w:color w:val="3E3E3E" w:themeColor="background2" w:themeShade="40"/>
        </w:rPr>
        <w:t>(przewlekłość postępowania cywilnego i brak skutecznego środka odwoławczego w prawie krajowym)</w:t>
      </w:r>
    </w:p>
    <w:p w14:paraId="334EE3A1" w14:textId="77777777" w:rsidR="000B2CBA" w:rsidRPr="002D6F90" w:rsidRDefault="000B2CBA" w:rsidP="002D6F90">
      <w:pPr>
        <w:pStyle w:val="JuPara"/>
      </w:pPr>
    </w:p>
    <w:tbl>
      <w:tblPr>
        <w:tblStyle w:val="ECHRListTable"/>
        <w:tblW w:w="12753" w:type="dxa"/>
        <w:tblLook w:val="0420" w:firstRow="1" w:lastRow="0" w:firstColumn="0" w:lastColumn="0" w:noHBand="0" w:noVBand="1"/>
      </w:tblPr>
      <w:tblGrid>
        <w:gridCol w:w="1072"/>
        <w:gridCol w:w="1294"/>
        <w:gridCol w:w="1281"/>
        <w:gridCol w:w="1178"/>
        <w:gridCol w:w="2586"/>
        <w:gridCol w:w="2365"/>
        <w:gridCol w:w="2977"/>
      </w:tblGrid>
      <w:tr w:rsidR="00E956FD" w14:paraId="2015A280" w14:textId="77777777" w:rsidTr="00E956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747F5680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bookmarkStart w:id="4" w:name="WECLListStart"/>
            <w:bookmarkEnd w:id="4"/>
            <w:r>
              <w:rPr>
                <w:sz w:val="16"/>
                <w:szCs w:val="18"/>
              </w:rPr>
              <w:t>Nr skargi</w:t>
            </w:r>
          </w:p>
          <w:p w14:paraId="5426637C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złożenia</w:t>
            </w:r>
          </w:p>
        </w:tc>
        <w:tc>
          <w:tcPr>
            <w:tcW w:w="1294" w:type="dxa"/>
          </w:tcPr>
          <w:p w14:paraId="5FC376F8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 nazwisko skarżącego</w:t>
            </w:r>
          </w:p>
          <w:p w14:paraId="68B7E9A6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Rok urodzenia</w:t>
            </w:r>
          </w:p>
          <w:p w14:paraId="728B722C" w14:textId="77777777" w:rsidR="00884E94" w:rsidRPr="002D6F90" w:rsidRDefault="00884E94" w:rsidP="002D6F9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81" w:type="dxa"/>
          </w:tcPr>
          <w:p w14:paraId="6AA7FF43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wszczęcia postępowania</w:t>
            </w:r>
          </w:p>
        </w:tc>
        <w:tc>
          <w:tcPr>
            <w:tcW w:w="0" w:type="auto"/>
          </w:tcPr>
          <w:p w14:paraId="49F8A227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zakończenia postępowania</w:t>
            </w:r>
          </w:p>
        </w:tc>
        <w:tc>
          <w:tcPr>
            <w:tcW w:w="2586" w:type="dxa"/>
          </w:tcPr>
          <w:p w14:paraId="627192D3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Całkowity czas trwania postępowania</w:t>
            </w:r>
          </w:p>
          <w:p w14:paraId="3A1A8EA1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Liczba instancji sądowych</w:t>
            </w:r>
          </w:p>
        </w:tc>
        <w:tc>
          <w:tcPr>
            <w:tcW w:w="2365" w:type="dxa"/>
          </w:tcPr>
          <w:p w14:paraId="27DE987F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Decyzja krajowa w przedmiocie skargi na mocy ustawy z 2004 r.</w:t>
            </w:r>
          </w:p>
          <w:p w14:paraId="218D0A18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przez sąd krajowy (w PLN)</w:t>
            </w:r>
          </w:p>
        </w:tc>
        <w:tc>
          <w:tcPr>
            <w:tcW w:w="2977" w:type="dxa"/>
          </w:tcPr>
          <w:p w14:paraId="3AC8F8E9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z tytułu szkody majątkowej i niemajątkowej oraz zwrotu kosztów i wydatków na jednego skarżącego</w:t>
            </w:r>
          </w:p>
          <w:p w14:paraId="4B01D358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 EUR)</w:t>
            </w:r>
            <w:r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E956FD" w14:paraId="3DE97605" w14:textId="77777777" w:rsidTr="00E956FD">
        <w:tc>
          <w:tcPr>
            <w:tcW w:w="0" w:type="auto"/>
          </w:tcPr>
          <w:p w14:paraId="7907BF92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58832/21</w:t>
            </w:r>
          </w:p>
          <w:p w14:paraId="394D3149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22.11.2021 r.</w:t>
            </w:r>
          </w:p>
          <w:p w14:paraId="61689110" w14:textId="77777777" w:rsidR="00884E94" w:rsidRPr="002D6F90" w:rsidRDefault="00884E94" w:rsidP="002D6F9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94" w:type="dxa"/>
          </w:tcPr>
          <w:p w14:paraId="039200F6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U.K.</w:t>
            </w:r>
          </w:p>
          <w:p w14:paraId="133B914C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1969 r.</w:t>
            </w:r>
          </w:p>
        </w:tc>
        <w:tc>
          <w:tcPr>
            <w:tcW w:w="1281" w:type="dxa"/>
          </w:tcPr>
          <w:p w14:paraId="6F41BF5D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22.06.2007 r.</w:t>
            </w:r>
          </w:p>
          <w:p w14:paraId="485739D0" w14:textId="77777777" w:rsidR="00884E94" w:rsidRPr="002D6F90" w:rsidRDefault="00884E94" w:rsidP="002D6F9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5551B11C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3A046320" w14:textId="77777777" w:rsidR="00884E94" w:rsidRPr="002D6F90" w:rsidRDefault="00884E94" w:rsidP="002D6F9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86" w:type="dxa"/>
          </w:tcPr>
          <w:p w14:paraId="555BA84D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16 lat, 8 miesięcy i 8 dni</w:t>
            </w:r>
          </w:p>
          <w:p w14:paraId="38547E78" w14:textId="77777777" w:rsidR="000B2CBA" w:rsidRPr="002D6F90" w:rsidRDefault="000B2CBA" w:rsidP="002D6F90">
            <w:pPr>
              <w:jc w:val="center"/>
              <w:rPr>
                <w:sz w:val="16"/>
                <w:szCs w:val="18"/>
              </w:rPr>
            </w:pPr>
          </w:p>
          <w:p w14:paraId="1C849C09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  <w:p w14:paraId="2662C1F7" w14:textId="77777777" w:rsidR="00884E94" w:rsidRPr="002D6F90" w:rsidRDefault="00884E94" w:rsidP="002D6F9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365" w:type="dxa"/>
          </w:tcPr>
          <w:p w14:paraId="35B7D927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Ostrołęce, 17.06.2021 r., sygn. akt I S 4/21, 2 000 PLN</w:t>
            </w:r>
          </w:p>
          <w:p w14:paraId="69127E63" w14:textId="77777777" w:rsidR="00884E94" w:rsidRPr="002D6F90" w:rsidRDefault="00884E94" w:rsidP="002D6F90">
            <w:pPr>
              <w:rPr>
                <w:sz w:val="16"/>
                <w:szCs w:val="18"/>
              </w:rPr>
            </w:pPr>
          </w:p>
        </w:tc>
        <w:tc>
          <w:tcPr>
            <w:tcW w:w="2977" w:type="dxa"/>
          </w:tcPr>
          <w:p w14:paraId="05879846" w14:textId="77777777" w:rsidR="00884E94" w:rsidRPr="002D6F90" w:rsidRDefault="00000000" w:rsidP="002D6F9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17 700</w:t>
            </w:r>
          </w:p>
        </w:tc>
      </w:tr>
    </w:tbl>
    <w:p w14:paraId="40616752" w14:textId="77777777" w:rsidR="00787E12" w:rsidRPr="002D6F90" w:rsidRDefault="00787E12" w:rsidP="002D6F90"/>
    <w:p w14:paraId="73C595E5" w14:textId="77777777" w:rsidR="00791456" w:rsidRPr="002D6F90" w:rsidRDefault="00791456" w:rsidP="002D6F90"/>
    <w:sectPr w:rsidR="00791456" w:rsidRPr="002D6F90" w:rsidSect="00395B91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8E587" w14:textId="77777777" w:rsidR="0071577B" w:rsidRDefault="0071577B">
      <w:r>
        <w:separator/>
      </w:r>
    </w:p>
  </w:endnote>
  <w:endnote w:type="continuationSeparator" w:id="0">
    <w:p w14:paraId="16672971" w14:textId="77777777" w:rsidR="0071577B" w:rsidRDefault="00715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E8227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7B0D9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FC6F2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391E1AA2" wp14:editId="52F0935D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AFF8CC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1B64A" w14:textId="77777777" w:rsidR="0071577B" w:rsidRPr="00611E1D" w:rsidRDefault="0071577B" w:rsidP="00787E12">
      <w:r w:rsidRPr="00611E1D">
        <w:separator/>
      </w:r>
    </w:p>
  </w:footnote>
  <w:footnote w:type="continuationSeparator" w:id="0">
    <w:p w14:paraId="0A967B95" w14:textId="77777777" w:rsidR="0071577B" w:rsidRPr="00611E1D" w:rsidRDefault="0071577B" w:rsidP="00787E12">
      <w:r w:rsidRPr="00611E1D">
        <w:continuationSeparator/>
      </w:r>
    </w:p>
  </w:footnote>
  <w:footnote w:id="1">
    <w:p w14:paraId="725240CE" w14:textId="77777777" w:rsidR="00884E94" w:rsidRPr="00E21412" w:rsidRDefault="00000000" w:rsidP="00F05771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005C7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00492BFB" wp14:editId="1228ED44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FA84D9" w14:textId="77777777" w:rsidR="00787E12" w:rsidRPr="00611E1D" w:rsidRDefault="00787E12" w:rsidP="000318F7">
    <w:pPr>
      <w:jc w:val="center"/>
      <w:rPr>
        <w:sz w:val="4"/>
        <w:szCs w:val="4"/>
      </w:rPr>
    </w:pPr>
  </w:p>
  <w:p w14:paraId="07C765B5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88247" w14:textId="77777777" w:rsidR="00F05771" w:rsidRPr="00A45145" w:rsidRDefault="00000000" w:rsidP="00A45145">
    <w:pPr>
      <w:jc w:val="center"/>
    </w:pPr>
    <w:r>
      <w:rPr>
        <w:noProof/>
      </w:rPr>
      <w:drawing>
        <wp:inline distT="0" distB="0" distL="0" distR="0" wp14:anchorId="4722FC35" wp14:editId="24324F6F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5A9BFB" w14:textId="77777777" w:rsidR="008D51B6" w:rsidRPr="004F56E2" w:rsidRDefault="008D51B6" w:rsidP="008D51B6">
    <w:pPr>
      <w:pStyle w:val="Nagwek"/>
    </w:pPr>
  </w:p>
  <w:p w14:paraId="3E1EE33F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39E12" w14:textId="77777777" w:rsidR="00787E12" w:rsidRPr="005C3A15" w:rsidRDefault="00000000" w:rsidP="006372F5">
    <w:pPr>
      <w:pStyle w:val="JuHeader"/>
    </w:pPr>
    <w:r>
      <w:t>WYROK W SPRAWIE U.K.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3B5E9" w14:textId="77777777" w:rsidR="00787E12" w:rsidRPr="00DE7D3F" w:rsidRDefault="00000000" w:rsidP="00BD554D">
    <w:pPr>
      <w:pStyle w:val="JuHeader"/>
    </w:pPr>
    <w:r>
      <w:t>WYROK W SPRAWIE U.K.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1704" w14:textId="77777777" w:rsidR="008B3FB7" w:rsidRPr="005C3A15" w:rsidRDefault="00000000" w:rsidP="00E026EC">
    <w:pPr>
      <w:pStyle w:val="JuHeader"/>
    </w:pPr>
    <w:r>
      <w:t>WYROK W SPRAWIE U.K.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6E5F3" w14:textId="77777777" w:rsidR="008B3FB7" w:rsidRPr="00DE7D3F" w:rsidRDefault="00000000" w:rsidP="00E026EC">
    <w:pPr>
      <w:pStyle w:val="JuHeader"/>
    </w:pPr>
    <w:r>
      <w:t>WYROK W SPRAWIE U.K.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74B0052C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D8025CA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D4A53F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415E4344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E6C48E9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248A15DC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0560108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CFA4384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698EC94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814880121">
    <w:abstractNumId w:val="14"/>
  </w:num>
  <w:num w:numId="2" w16cid:durableId="330068689">
    <w:abstractNumId w:val="12"/>
  </w:num>
  <w:num w:numId="3" w16cid:durableId="170947432">
    <w:abstractNumId w:val="11"/>
  </w:num>
  <w:num w:numId="4" w16cid:durableId="1488980228">
    <w:abstractNumId w:val="15"/>
  </w:num>
  <w:num w:numId="5" w16cid:durableId="411127236">
    <w:abstractNumId w:val="13"/>
  </w:num>
  <w:num w:numId="6" w16cid:durableId="1666666695">
    <w:abstractNumId w:val="16"/>
  </w:num>
  <w:num w:numId="7" w16cid:durableId="97717651">
    <w:abstractNumId w:val="15"/>
  </w:num>
  <w:num w:numId="8" w16cid:durableId="1810397535">
    <w:abstractNumId w:val="16"/>
  </w:num>
  <w:num w:numId="9" w16cid:durableId="148207384">
    <w:abstractNumId w:val="10"/>
  </w:num>
  <w:num w:numId="10" w16cid:durableId="1437139102">
    <w:abstractNumId w:val="9"/>
  </w:num>
  <w:num w:numId="11" w16cid:durableId="672076072">
    <w:abstractNumId w:val="17"/>
  </w:num>
  <w:num w:numId="12" w16cid:durableId="1603146452">
    <w:abstractNumId w:val="7"/>
  </w:num>
  <w:num w:numId="13" w16cid:durableId="1278869874">
    <w:abstractNumId w:val="6"/>
  </w:num>
  <w:num w:numId="14" w16cid:durableId="458689456">
    <w:abstractNumId w:val="5"/>
  </w:num>
  <w:num w:numId="15" w16cid:durableId="1718775468">
    <w:abstractNumId w:val="4"/>
  </w:num>
  <w:num w:numId="16" w16cid:durableId="110252082">
    <w:abstractNumId w:val="8"/>
  </w:num>
  <w:num w:numId="17" w16cid:durableId="1975793116">
    <w:abstractNumId w:val="3"/>
  </w:num>
  <w:num w:numId="18" w16cid:durableId="933514497">
    <w:abstractNumId w:val="2"/>
  </w:num>
  <w:num w:numId="19" w16cid:durableId="332225026">
    <w:abstractNumId w:val="1"/>
  </w:num>
  <w:num w:numId="20" w16cid:durableId="2028630787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F05771"/>
    <w:rsid w:val="000318F7"/>
    <w:rsid w:val="000B2CBA"/>
    <w:rsid w:val="000C5149"/>
    <w:rsid w:val="00135384"/>
    <w:rsid w:val="00150BFA"/>
    <w:rsid w:val="00173A91"/>
    <w:rsid w:val="00177329"/>
    <w:rsid w:val="001A15B6"/>
    <w:rsid w:val="001A3C4A"/>
    <w:rsid w:val="001B4F39"/>
    <w:rsid w:val="001D7CD3"/>
    <w:rsid w:val="001F3812"/>
    <w:rsid w:val="002056B7"/>
    <w:rsid w:val="0020718E"/>
    <w:rsid w:val="0023364D"/>
    <w:rsid w:val="00240E25"/>
    <w:rsid w:val="00246A39"/>
    <w:rsid w:val="00252A1C"/>
    <w:rsid w:val="0029309A"/>
    <w:rsid w:val="002C5B23"/>
    <w:rsid w:val="002D07D1"/>
    <w:rsid w:val="002D6F90"/>
    <w:rsid w:val="002E6F1B"/>
    <w:rsid w:val="00337785"/>
    <w:rsid w:val="0037589C"/>
    <w:rsid w:val="00395B91"/>
    <w:rsid w:val="003A52CD"/>
    <w:rsid w:val="003B3ECB"/>
    <w:rsid w:val="004147CB"/>
    <w:rsid w:val="00446EF4"/>
    <w:rsid w:val="00464173"/>
    <w:rsid w:val="0048584C"/>
    <w:rsid w:val="00497FF8"/>
    <w:rsid w:val="004B0B4E"/>
    <w:rsid w:val="004D042B"/>
    <w:rsid w:val="004D0EC7"/>
    <w:rsid w:val="004F56E2"/>
    <w:rsid w:val="00555A1D"/>
    <w:rsid w:val="00566CB2"/>
    <w:rsid w:val="00573202"/>
    <w:rsid w:val="005B102C"/>
    <w:rsid w:val="005B16C1"/>
    <w:rsid w:val="005C3A15"/>
    <w:rsid w:val="005F60F9"/>
    <w:rsid w:val="00611E1D"/>
    <w:rsid w:val="0062021E"/>
    <w:rsid w:val="006372F5"/>
    <w:rsid w:val="00656431"/>
    <w:rsid w:val="006D324D"/>
    <w:rsid w:val="0071577B"/>
    <w:rsid w:val="00743B2A"/>
    <w:rsid w:val="00787E12"/>
    <w:rsid w:val="00791456"/>
    <w:rsid w:val="007A72B4"/>
    <w:rsid w:val="007F018A"/>
    <w:rsid w:val="008522DD"/>
    <w:rsid w:val="00860732"/>
    <w:rsid w:val="00884E94"/>
    <w:rsid w:val="008A0E2E"/>
    <w:rsid w:val="008B3FB7"/>
    <w:rsid w:val="008D4058"/>
    <w:rsid w:val="008D51B6"/>
    <w:rsid w:val="0094464A"/>
    <w:rsid w:val="009522DD"/>
    <w:rsid w:val="00A062B9"/>
    <w:rsid w:val="00A15E3A"/>
    <w:rsid w:val="00A329E0"/>
    <w:rsid w:val="00A34A54"/>
    <w:rsid w:val="00A44415"/>
    <w:rsid w:val="00A45145"/>
    <w:rsid w:val="00A6104A"/>
    <w:rsid w:val="00A94CA7"/>
    <w:rsid w:val="00AB16FC"/>
    <w:rsid w:val="00AC03BB"/>
    <w:rsid w:val="00B216C1"/>
    <w:rsid w:val="00B64153"/>
    <w:rsid w:val="00B91668"/>
    <w:rsid w:val="00B942BD"/>
    <w:rsid w:val="00BD554D"/>
    <w:rsid w:val="00BE2415"/>
    <w:rsid w:val="00C20CC3"/>
    <w:rsid w:val="00C43D38"/>
    <w:rsid w:val="00C877A3"/>
    <w:rsid w:val="00CA223D"/>
    <w:rsid w:val="00CF644B"/>
    <w:rsid w:val="00D33F0F"/>
    <w:rsid w:val="00D947FD"/>
    <w:rsid w:val="00DE7D3F"/>
    <w:rsid w:val="00E026EC"/>
    <w:rsid w:val="00E21412"/>
    <w:rsid w:val="00E52718"/>
    <w:rsid w:val="00E956FD"/>
    <w:rsid w:val="00ED7723"/>
    <w:rsid w:val="00EF0993"/>
    <w:rsid w:val="00F05771"/>
    <w:rsid w:val="00F855FD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0E9A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202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2024-05-28T06:18:00Z</dcterms:created>
  <dcterms:modified xsi:type="dcterms:W3CDTF">2024-05-28T06:29:00Z</dcterms:modified>
  <cp:category/>
</cp:coreProperties>
</file>