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F13AB" w14:textId="77777777" w:rsidR="008D51B6" w:rsidRPr="003B6A6A" w:rsidRDefault="008D51B6" w:rsidP="008F0045">
      <w:pPr>
        <w:jc w:val="center"/>
      </w:pPr>
    </w:p>
    <w:p w14:paraId="4C424250" w14:textId="77777777" w:rsidR="004D042B" w:rsidRPr="003B6A6A" w:rsidRDefault="004D042B" w:rsidP="008F0045">
      <w:pPr>
        <w:jc w:val="center"/>
      </w:pPr>
    </w:p>
    <w:p w14:paraId="24F6E3EF" w14:textId="77777777" w:rsidR="000C5149" w:rsidRPr="003B6A6A" w:rsidRDefault="000C5149" w:rsidP="008F0045">
      <w:pPr>
        <w:jc w:val="center"/>
      </w:pPr>
    </w:p>
    <w:p w14:paraId="2E931EBE" w14:textId="77777777" w:rsidR="00787E12" w:rsidRPr="003B6A6A" w:rsidRDefault="00060DCF" w:rsidP="008F0045">
      <w:pPr>
        <w:pStyle w:val="DecHCase"/>
      </w:pPr>
      <w:r w:rsidRPr="003B6A6A">
        <w:t>SEKCJA PIERWSZA</w:t>
      </w:r>
    </w:p>
    <w:p w14:paraId="5D0F2D79" w14:textId="77777777" w:rsidR="006D324D" w:rsidRPr="003B6A6A" w:rsidRDefault="00060DCF" w:rsidP="008F0045">
      <w:pPr>
        <w:pStyle w:val="JuTitle"/>
      </w:pPr>
      <w:bookmarkStart w:id="0" w:name="To"/>
      <w:r w:rsidRPr="003B6A6A">
        <w:rPr>
          <w:color w:val="000000" w:themeColor="text1"/>
        </w:rPr>
        <w:t>SPRAWA</w:t>
      </w:r>
      <w:bookmarkEnd w:id="0"/>
      <w:r w:rsidRPr="003B6A6A">
        <w:rPr>
          <w:color w:val="000000" w:themeColor="text1"/>
        </w:rPr>
        <w:t xml:space="preserve"> </w:t>
      </w:r>
      <w:r w:rsidRPr="003B6A6A">
        <w:t>KOWALSKI PRZECIWKO POLSCE</w:t>
      </w:r>
    </w:p>
    <w:p w14:paraId="2A505B9E" w14:textId="77777777" w:rsidR="006D324D" w:rsidRPr="003B6A6A" w:rsidRDefault="00060DCF" w:rsidP="008F0045">
      <w:pPr>
        <w:pStyle w:val="ECHRCoverTitle4"/>
      </w:pPr>
      <w:r w:rsidRPr="003B6A6A">
        <w:t>(Skarga nr 4771/20)</w:t>
      </w:r>
    </w:p>
    <w:p w14:paraId="67D77C03" w14:textId="77777777" w:rsidR="006D324D" w:rsidRPr="003B6A6A" w:rsidRDefault="006D324D" w:rsidP="008F0045">
      <w:pPr>
        <w:pStyle w:val="DecHCase"/>
      </w:pPr>
    </w:p>
    <w:p w14:paraId="50BD6118" w14:textId="77777777" w:rsidR="006D324D" w:rsidRPr="003B6A6A" w:rsidRDefault="006D324D" w:rsidP="008F0045">
      <w:pPr>
        <w:pStyle w:val="DecHCase"/>
      </w:pPr>
    </w:p>
    <w:p w14:paraId="0C42C60A" w14:textId="77777777" w:rsidR="00787E12" w:rsidRPr="003B6A6A" w:rsidRDefault="00787E12" w:rsidP="008F0045">
      <w:pPr>
        <w:pStyle w:val="DecHCase"/>
      </w:pPr>
    </w:p>
    <w:p w14:paraId="78B42BD2" w14:textId="77777777" w:rsidR="00787E12" w:rsidRPr="003B6A6A" w:rsidRDefault="00787E12" w:rsidP="008F0045">
      <w:pPr>
        <w:pStyle w:val="DecHCase"/>
      </w:pPr>
    </w:p>
    <w:p w14:paraId="33020E5A" w14:textId="77777777" w:rsidR="00A062B9" w:rsidRPr="003B6A6A" w:rsidRDefault="00A062B9" w:rsidP="008F0045">
      <w:pPr>
        <w:pStyle w:val="DecHCase"/>
      </w:pPr>
    </w:p>
    <w:p w14:paraId="70ED5E4C" w14:textId="77777777" w:rsidR="00787E12" w:rsidRPr="003B6A6A" w:rsidRDefault="00060DCF" w:rsidP="008F0045">
      <w:pPr>
        <w:pStyle w:val="DecHCase"/>
      </w:pPr>
      <w:r w:rsidRPr="003B6A6A">
        <w:t>WYROK</w:t>
      </w:r>
    </w:p>
    <w:p w14:paraId="5D476E03" w14:textId="77777777" w:rsidR="00787E12" w:rsidRPr="003B6A6A" w:rsidRDefault="00787E12" w:rsidP="008F0045">
      <w:pPr>
        <w:jc w:val="center"/>
        <w:rPr>
          <w:i/>
        </w:rPr>
      </w:pPr>
    </w:p>
    <w:p w14:paraId="18545238" w14:textId="77777777" w:rsidR="00787E12" w:rsidRPr="003B6A6A" w:rsidRDefault="00060DCF" w:rsidP="008F0045">
      <w:pPr>
        <w:pStyle w:val="DecHCase"/>
      </w:pPr>
      <w:r w:rsidRPr="003B6A6A">
        <w:t>STRASBURG</w:t>
      </w:r>
    </w:p>
    <w:p w14:paraId="75E2DBBF" w14:textId="77777777" w:rsidR="00787E12" w:rsidRPr="003B6A6A" w:rsidRDefault="00060DCF" w:rsidP="008F0045">
      <w:pPr>
        <w:pStyle w:val="DecHCase"/>
      </w:pPr>
      <w:r w:rsidRPr="003B6A6A">
        <w:t>8 lutego 2024 r.</w:t>
      </w:r>
    </w:p>
    <w:p w14:paraId="1B153170" w14:textId="77777777" w:rsidR="00787E12" w:rsidRPr="003B6A6A" w:rsidRDefault="00787E12" w:rsidP="008F0045">
      <w:pPr>
        <w:jc w:val="center"/>
      </w:pPr>
    </w:p>
    <w:p w14:paraId="171663B1" w14:textId="77777777" w:rsidR="008F0045" w:rsidRPr="003B6A6A" w:rsidRDefault="008F0045" w:rsidP="008F0045">
      <w:pPr>
        <w:jc w:val="center"/>
      </w:pPr>
    </w:p>
    <w:p w14:paraId="50FB3426" w14:textId="5D59D3E0" w:rsidR="00787E12" w:rsidRPr="003B6A6A" w:rsidRDefault="00060DCF" w:rsidP="008F0045">
      <w:pPr>
        <w:rPr>
          <w:sz w:val="2"/>
          <w:szCs w:val="2"/>
        </w:rPr>
      </w:pPr>
      <w:r w:rsidRPr="003B6A6A">
        <w:rPr>
          <w:i/>
        </w:rPr>
        <w:t xml:space="preserve">Wyrok ten </w:t>
      </w:r>
      <w:r w:rsidR="00221886">
        <w:rPr>
          <w:i/>
        </w:rPr>
        <w:t>jest</w:t>
      </w:r>
      <w:r w:rsidRPr="003B6A6A">
        <w:rPr>
          <w:i/>
        </w:rPr>
        <w:t xml:space="preserve"> ostateczny, lecz może podlegać korekcie wydawniczej.</w:t>
      </w:r>
    </w:p>
    <w:p w14:paraId="500C6E25" w14:textId="77777777" w:rsidR="00787E12" w:rsidRPr="003B6A6A" w:rsidRDefault="00787E12" w:rsidP="008F0045">
      <w:pPr>
        <w:pStyle w:val="JuCase"/>
      </w:pPr>
    </w:p>
    <w:p w14:paraId="07EA6134" w14:textId="77777777" w:rsidR="008F0045" w:rsidRPr="003B6A6A" w:rsidRDefault="008F0045" w:rsidP="008F0045">
      <w:pPr>
        <w:pStyle w:val="JuPara"/>
        <w:sectPr w:rsidR="008F0045" w:rsidRPr="003B6A6A" w:rsidSect="009F3D90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459FC09D" w14:textId="77777777" w:rsidR="00787E12" w:rsidRPr="003B6A6A" w:rsidRDefault="00060DCF" w:rsidP="008F0045">
      <w:pPr>
        <w:pStyle w:val="JuCase"/>
        <w:rPr>
          <w:bCs/>
        </w:rPr>
      </w:pPr>
      <w:r w:rsidRPr="003B6A6A">
        <w:lastRenderedPageBreak/>
        <w:t>W sprawie Kowalski przeciwko Polsce</w:t>
      </w:r>
    </w:p>
    <w:p w14:paraId="1CAD0DC5" w14:textId="77777777" w:rsidR="00787E12" w:rsidRPr="003B6A6A" w:rsidRDefault="00060DCF" w:rsidP="008F0045">
      <w:pPr>
        <w:pStyle w:val="JuPara"/>
      </w:pPr>
      <w:r w:rsidRPr="003B6A6A">
        <w:t>Europejski Trybunał Praw Człowieka (sekcja pierwsza), zasiadając jako Komitet w składzie:</w:t>
      </w:r>
    </w:p>
    <w:p w14:paraId="35F60407" w14:textId="449A95B8" w:rsidR="002C5B23" w:rsidRPr="003B6A6A" w:rsidRDefault="00060DCF" w:rsidP="008F0045">
      <w:pPr>
        <w:pStyle w:val="JuJudges"/>
      </w:pPr>
      <w:r w:rsidRPr="003B6A6A">
        <w:tab/>
      </w:r>
      <w:proofErr w:type="spellStart"/>
      <w:r w:rsidRPr="003B6A6A">
        <w:t>Péter</w:t>
      </w:r>
      <w:proofErr w:type="spellEnd"/>
      <w:r w:rsidRPr="003B6A6A">
        <w:t xml:space="preserve"> </w:t>
      </w:r>
      <w:proofErr w:type="spellStart"/>
      <w:r w:rsidRPr="003B6A6A">
        <w:t>Paczolay</w:t>
      </w:r>
      <w:proofErr w:type="spellEnd"/>
      <w:r w:rsidRPr="003B6A6A">
        <w:rPr>
          <w:i/>
        </w:rPr>
        <w:t xml:space="preserve">, </w:t>
      </w:r>
      <w:r w:rsidR="003B6A6A">
        <w:rPr>
          <w:i/>
          <w:iCs/>
        </w:rPr>
        <w:t>p</w:t>
      </w:r>
      <w:r w:rsidRPr="003B6A6A">
        <w:rPr>
          <w:i/>
          <w:iCs/>
        </w:rPr>
        <w:t>rzewodniczący</w:t>
      </w:r>
      <w:r w:rsidRPr="003B6A6A">
        <w:t>,</w:t>
      </w:r>
      <w:r w:rsidRPr="003B6A6A">
        <w:br/>
      </w:r>
      <w:r w:rsidRPr="003B6A6A">
        <w:tab/>
        <w:t xml:space="preserve">Gilberto </w:t>
      </w:r>
      <w:proofErr w:type="spellStart"/>
      <w:r w:rsidRPr="003B6A6A">
        <w:t>Felici</w:t>
      </w:r>
      <w:proofErr w:type="spellEnd"/>
      <w:r w:rsidRPr="003B6A6A">
        <w:t>,</w:t>
      </w:r>
      <w:r w:rsidRPr="003B6A6A">
        <w:br/>
      </w:r>
      <w:r w:rsidRPr="003B6A6A">
        <w:tab/>
      </w:r>
      <w:proofErr w:type="spellStart"/>
      <w:r w:rsidRPr="003B6A6A">
        <w:t>Raffaele</w:t>
      </w:r>
      <w:proofErr w:type="spellEnd"/>
      <w:r w:rsidRPr="003B6A6A">
        <w:t xml:space="preserve"> </w:t>
      </w:r>
      <w:proofErr w:type="spellStart"/>
      <w:r w:rsidRPr="003B6A6A">
        <w:t>Sabato</w:t>
      </w:r>
      <w:proofErr w:type="spellEnd"/>
      <w:r w:rsidRPr="003B6A6A">
        <w:rPr>
          <w:i/>
        </w:rPr>
        <w:t>, sędziowie</w:t>
      </w:r>
      <w:r w:rsidRPr="003B6A6A">
        <w:t>,</w:t>
      </w:r>
    </w:p>
    <w:p w14:paraId="3A0542A1" w14:textId="77777777" w:rsidR="00787E12" w:rsidRPr="003B6A6A" w:rsidRDefault="00060DCF" w:rsidP="008F0045">
      <w:pPr>
        <w:pStyle w:val="JuJudges"/>
      </w:pPr>
      <w:r w:rsidRPr="003B6A6A">
        <w:t xml:space="preserve">oraz </w:t>
      </w:r>
      <w:proofErr w:type="spellStart"/>
      <w:r w:rsidRPr="003B6A6A">
        <w:t>Viktoriya</w:t>
      </w:r>
      <w:proofErr w:type="spellEnd"/>
      <w:r w:rsidRPr="003B6A6A">
        <w:t xml:space="preserve"> </w:t>
      </w:r>
      <w:proofErr w:type="spellStart"/>
      <w:r w:rsidRPr="003B6A6A">
        <w:t>Maradudina</w:t>
      </w:r>
      <w:proofErr w:type="spellEnd"/>
      <w:r w:rsidRPr="003B6A6A">
        <w:t xml:space="preserve">, </w:t>
      </w:r>
      <w:r w:rsidRPr="003B6A6A">
        <w:rPr>
          <w:i/>
        </w:rPr>
        <w:t>p.o. Zastępcy Kanclerza Sekcji,</w:t>
      </w:r>
    </w:p>
    <w:p w14:paraId="76D9FC44" w14:textId="77777777" w:rsidR="00787E12" w:rsidRPr="003B6A6A" w:rsidRDefault="00060DCF" w:rsidP="008F0045">
      <w:pPr>
        <w:pStyle w:val="JuPara"/>
      </w:pPr>
      <w:r w:rsidRPr="003B6A6A">
        <w:t>obradując na posiedzeniu niejawnym w dniu 18 stycznia 2024 r.,</w:t>
      </w:r>
    </w:p>
    <w:p w14:paraId="23AFBE7B" w14:textId="77777777" w:rsidR="006372F5" w:rsidRPr="003B6A6A" w:rsidRDefault="00060DCF" w:rsidP="008F0045">
      <w:pPr>
        <w:pStyle w:val="JuPara"/>
      </w:pPr>
      <w:r w:rsidRPr="003B6A6A">
        <w:t>wydaje następujący wyrok, który został przyjęty w tym dniu:</w:t>
      </w:r>
    </w:p>
    <w:p w14:paraId="282B3F3D" w14:textId="77777777" w:rsidR="00102699" w:rsidRPr="003B6A6A" w:rsidRDefault="00060DCF" w:rsidP="008F0045">
      <w:pPr>
        <w:pStyle w:val="JuHHead"/>
        <w:numPr>
          <w:ilvl w:val="0"/>
          <w:numId w:val="0"/>
        </w:numPr>
      </w:pPr>
      <w:bookmarkStart w:id="1" w:name="ITMARKStartJudgment"/>
      <w:bookmarkEnd w:id="1"/>
      <w:r w:rsidRPr="003B6A6A">
        <w:t>POSTĘPOWANIE</w:t>
      </w:r>
    </w:p>
    <w:p w14:paraId="1E25D6BD" w14:textId="2354EC32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1</w:t>
      </w:r>
      <w:r>
        <w:rPr>
          <w:noProof/>
        </w:rPr>
        <w:fldChar w:fldCharType="end"/>
      </w:r>
      <w:r w:rsidRPr="003B6A6A">
        <w:t>.  Sprawa wywodzi się ze skargi przeciwko Polsce, wniesionej do Trybunału w dniu 2 stycznia 2020 r. na podstawie art. 34 Konwencji o</w:t>
      </w:r>
      <w:r w:rsidR="003B6A6A">
        <w:t> </w:t>
      </w:r>
      <w:r w:rsidRPr="003B6A6A">
        <w:t>ochronie praw człowieka i podstawowych wolności („</w:t>
      </w:r>
      <w:r w:rsidR="003B6A6A" w:rsidRPr="003B6A6A">
        <w:t>Konwencj</w:t>
      </w:r>
      <w:r w:rsidR="003B6A6A">
        <w:t>a</w:t>
      </w:r>
      <w:r w:rsidRPr="003B6A6A">
        <w:t>”).</w:t>
      </w:r>
    </w:p>
    <w:p w14:paraId="2CABC064" w14:textId="3DDDDD2E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2</w:t>
      </w:r>
      <w:r>
        <w:rPr>
          <w:noProof/>
        </w:rPr>
        <w:fldChar w:fldCharType="end"/>
      </w:r>
      <w:r w:rsidRPr="003B6A6A">
        <w:t xml:space="preserve">.  Skarżący był reprezentowany przez D. Cupiała, adwokata </w:t>
      </w:r>
      <w:r w:rsidRPr="003B6A6A">
        <w:t>praktykującego w Warszawie.</w:t>
      </w:r>
    </w:p>
    <w:p w14:paraId="54008ADA" w14:textId="2E7A38CF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3</w:t>
      </w:r>
      <w:r>
        <w:rPr>
          <w:noProof/>
        </w:rPr>
        <w:fldChar w:fldCharType="end"/>
      </w:r>
      <w:r w:rsidRPr="003B6A6A">
        <w:t>.  Rząd</w:t>
      </w:r>
      <w:r w:rsidR="003B6A6A">
        <w:t xml:space="preserve"> polski</w:t>
      </w:r>
      <w:r w:rsidRPr="003B6A6A">
        <w:t xml:space="preserve"> („Rząd”) otrzymał zawiadomienie o złożeniu skargi.</w:t>
      </w:r>
    </w:p>
    <w:p w14:paraId="33DBB4D2" w14:textId="77777777" w:rsidR="00102699" w:rsidRPr="003B6A6A" w:rsidRDefault="00060DCF" w:rsidP="008F0045">
      <w:pPr>
        <w:pStyle w:val="JuHHead"/>
        <w:numPr>
          <w:ilvl w:val="0"/>
          <w:numId w:val="0"/>
        </w:numPr>
      </w:pPr>
      <w:r w:rsidRPr="003B6A6A">
        <w:t>FAKTY</w:t>
      </w:r>
    </w:p>
    <w:p w14:paraId="0EB4BE26" w14:textId="5BB5BE4E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4</w:t>
      </w:r>
      <w:r>
        <w:rPr>
          <w:noProof/>
        </w:rPr>
        <w:fldChar w:fldCharType="end"/>
      </w:r>
      <w:r w:rsidRPr="003B6A6A">
        <w:t>.  Dane skarżącego oraz informacje istotne dla skargi zostały przedstawione w załączonej tabeli.</w:t>
      </w:r>
    </w:p>
    <w:p w14:paraId="46EF73D2" w14:textId="639C2529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5</w:t>
      </w:r>
      <w:r>
        <w:rPr>
          <w:noProof/>
        </w:rPr>
        <w:fldChar w:fldCharType="end"/>
      </w:r>
      <w:r w:rsidRPr="003B6A6A">
        <w:t>.  </w:t>
      </w:r>
      <w:r w:rsidRPr="003B6A6A">
        <w:rPr>
          <w:color w:val="000000"/>
        </w:rPr>
        <w:t>Skarżący zarzucił przewlekłość postępowania karnego oraz brak skutecznego środka odwoławczego w prawie krajowym</w:t>
      </w:r>
      <w:r w:rsidRPr="003B6A6A">
        <w:rPr>
          <w:bCs/>
          <w:color w:val="000000"/>
        </w:rPr>
        <w:t>.</w:t>
      </w:r>
    </w:p>
    <w:p w14:paraId="6B3B2C15" w14:textId="77777777" w:rsidR="00102699" w:rsidRPr="003B6A6A" w:rsidRDefault="00060DCF" w:rsidP="008F0045">
      <w:pPr>
        <w:pStyle w:val="JuHHead"/>
        <w:numPr>
          <w:ilvl w:val="0"/>
          <w:numId w:val="0"/>
        </w:numPr>
      </w:pPr>
      <w:r w:rsidRPr="003B6A6A">
        <w:t>PRAWO</w:t>
      </w:r>
    </w:p>
    <w:p w14:paraId="581717F1" w14:textId="77777777" w:rsidR="001A72BA" w:rsidRPr="003B6A6A" w:rsidRDefault="00060DCF" w:rsidP="008F0045">
      <w:pPr>
        <w:pStyle w:val="JuHIRoman"/>
        <w:tabs>
          <w:tab w:val="clear" w:pos="1080"/>
          <w:tab w:val="num" w:pos="426"/>
        </w:tabs>
        <w:ind w:left="426" w:hanging="426"/>
        <w:rPr>
          <w:rFonts w:eastAsia="PMingLiU"/>
        </w:rPr>
      </w:pPr>
      <w:r w:rsidRPr="003B6A6A">
        <w:t>ZARZUCANE NARUSZENIE ART. 6 UST. 1 I ART. 13 KONWENCJI</w:t>
      </w:r>
    </w:p>
    <w:p w14:paraId="08FE4B33" w14:textId="0BF5EDF1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6</w:t>
      </w:r>
      <w:r>
        <w:rPr>
          <w:noProof/>
        </w:rPr>
        <w:fldChar w:fldCharType="end"/>
      </w:r>
      <w:r w:rsidRPr="003B6A6A">
        <w:t>.  Skarżący zarzucił, że długość trwania</w:t>
      </w:r>
      <w:r w:rsidR="00D75A14">
        <w:t xml:space="preserve"> przedmiotowego</w:t>
      </w:r>
      <w:r w:rsidRPr="003B6A6A">
        <w:t xml:space="preserve"> postępowania karnego była niezgodna z wymogiem „rozsądnego terminu” i że w związku z tym był pozbawiony skutecznego środka odwoławczego. Powołał się na art. 6 ust. 1 i</w:t>
      </w:r>
      <w:r w:rsidR="00646ECF">
        <w:t> </w:t>
      </w:r>
      <w:r w:rsidRPr="003B6A6A">
        <w:t>art. 13 Konwencji.</w:t>
      </w:r>
    </w:p>
    <w:p w14:paraId="1E97A46B" w14:textId="74B5FDBB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7</w:t>
      </w:r>
      <w:r>
        <w:rPr>
          <w:noProof/>
        </w:rPr>
        <w:fldChar w:fldCharType="end"/>
      </w:r>
      <w:r w:rsidRPr="003B6A6A">
        <w:t>.  Rząd stwierdził, że ogólna długość postępowania była spowodowana zachowaniem skarżącego</w:t>
      </w:r>
      <w:r w:rsidR="00D75A14">
        <w:t>,</w:t>
      </w:r>
      <w:r w:rsidRPr="003B6A6A">
        <w:t xml:space="preserve"> i </w:t>
      </w:r>
      <w:r w:rsidR="00D75A14">
        <w:t>utrzymywał</w:t>
      </w:r>
      <w:r w:rsidRPr="003B6A6A">
        <w:t>, że opóźnienia przypisywane władzom krajowym nie były znaczące.</w:t>
      </w:r>
    </w:p>
    <w:p w14:paraId="3A8B5BE3" w14:textId="624F7742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9D0C9C" w:rsidRPr="003B6A6A">
        <w:rPr>
          <w:noProof/>
        </w:rPr>
        <w:t>8</w:t>
      </w:r>
      <w:r>
        <w:rPr>
          <w:noProof/>
        </w:rPr>
        <w:fldChar w:fldCharType="end"/>
      </w:r>
      <w:r w:rsidR="008F0045" w:rsidRPr="003B6A6A">
        <w:t>.  Trybunał podkreśla, że rozsądny charakter czasu trwania postępowania należy oceniać w świetle okoliczności sprawy i z uwzględnieniem następujących kryteriów: złożoności sprawy, zachowania skarżącego i</w:t>
      </w:r>
      <w:r w:rsidR="00646ECF">
        <w:t> </w:t>
      </w:r>
      <w:r w:rsidR="008F0045" w:rsidRPr="003B6A6A">
        <w:t>odpowiednich organów oraz znaczenia sprawy dla interesów skarżącego (zob. m.in. </w:t>
      </w:r>
      <w:proofErr w:type="spellStart"/>
      <w:r w:rsidR="008F0045" w:rsidRPr="003B6A6A">
        <w:rPr>
          <w:i/>
        </w:rPr>
        <w:t>Pélissier</w:t>
      </w:r>
      <w:proofErr w:type="spellEnd"/>
      <w:r w:rsidR="008F0045" w:rsidRPr="003B6A6A">
        <w:rPr>
          <w:i/>
        </w:rPr>
        <w:t xml:space="preserve"> i Sassi przeciwko Francji</w:t>
      </w:r>
      <w:r w:rsidR="008F0045" w:rsidRPr="003B6A6A">
        <w:t xml:space="preserve"> [WI], nr 25444/94, </w:t>
      </w:r>
      <w:r w:rsidR="00C63479">
        <w:t>§</w:t>
      </w:r>
      <w:r w:rsidR="008F0045" w:rsidRPr="003B6A6A">
        <w:t xml:space="preserve"> 67, </w:t>
      </w:r>
      <w:proofErr w:type="spellStart"/>
      <w:r w:rsidR="008F0045" w:rsidRPr="003B6A6A">
        <w:lastRenderedPageBreak/>
        <w:t>ETPCz</w:t>
      </w:r>
      <w:proofErr w:type="spellEnd"/>
      <w:r w:rsidR="008F0045" w:rsidRPr="003B6A6A">
        <w:t> 1999</w:t>
      </w:r>
      <w:r w:rsidR="008F0045" w:rsidRPr="003B6A6A">
        <w:noBreakHyphen/>
        <w:t xml:space="preserve">II, oraz </w:t>
      </w:r>
      <w:proofErr w:type="spellStart"/>
      <w:r w:rsidR="008F0045" w:rsidRPr="003B6A6A">
        <w:rPr>
          <w:i/>
        </w:rPr>
        <w:t>Frydlender</w:t>
      </w:r>
      <w:proofErr w:type="spellEnd"/>
      <w:r w:rsidR="008F0045" w:rsidRPr="003B6A6A">
        <w:rPr>
          <w:i/>
        </w:rPr>
        <w:t xml:space="preserve"> </w:t>
      </w:r>
      <w:r w:rsidR="008F0045" w:rsidRPr="003B6A6A">
        <w:rPr>
          <w:i/>
          <w:iCs/>
        </w:rPr>
        <w:t>przeciwko Francji</w:t>
      </w:r>
      <w:r w:rsidR="008F0045" w:rsidRPr="003B6A6A">
        <w:rPr>
          <w:i/>
        </w:rPr>
        <w:t xml:space="preserve"> </w:t>
      </w:r>
      <w:r w:rsidR="008F0045" w:rsidRPr="003B6A6A">
        <w:t xml:space="preserve">[WI], nr 30979/96, </w:t>
      </w:r>
      <w:r w:rsidR="00C63479">
        <w:t>§</w:t>
      </w:r>
      <w:r w:rsidR="008F0045" w:rsidRPr="003B6A6A">
        <w:t xml:space="preserve"> 43, </w:t>
      </w:r>
      <w:proofErr w:type="spellStart"/>
      <w:r w:rsidR="008F0045" w:rsidRPr="003B6A6A">
        <w:t>ETPCz</w:t>
      </w:r>
      <w:proofErr w:type="spellEnd"/>
      <w:r w:rsidR="008F0045" w:rsidRPr="003B6A6A">
        <w:t> 2000</w:t>
      </w:r>
      <w:r w:rsidR="008F0045" w:rsidRPr="003B6A6A">
        <w:noBreakHyphen/>
        <w:t>VII).</w:t>
      </w:r>
    </w:p>
    <w:p w14:paraId="2D4B0AEB" w14:textId="0251D2ED" w:rsidR="00102699" w:rsidRPr="003B6A6A" w:rsidRDefault="00060DCF" w:rsidP="00267F9A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9D0C9C" w:rsidRPr="003B6A6A">
        <w:rPr>
          <w:noProof/>
        </w:rPr>
        <w:t>9</w:t>
      </w:r>
      <w:r>
        <w:rPr>
          <w:noProof/>
        </w:rPr>
        <w:fldChar w:fldCharType="end"/>
      </w:r>
      <w:r w:rsidR="008F0045" w:rsidRPr="003B6A6A">
        <w:t xml:space="preserve">.  Już w wiodącej sprawie </w:t>
      </w:r>
      <w:r w:rsidR="008F0045" w:rsidRPr="003B6A6A">
        <w:rPr>
          <w:i/>
          <w:iCs/>
        </w:rPr>
        <w:t xml:space="preserve">Rutkowski i Inni przeciwko Polsce, </w:t>
      </w:r>
      <w:r w:rsidR="00D75A14">
        <w:t>nr</w:t>
      </w:r>
      <w:r w:rsidR="00D75A14" w:rsidRPr="00D75A14">
        <w:t> </w:t>
      </w:r>
      <w:r w:rsidR="008F0045" w:rsidRPr="003B6A6A">
        <w:t>72287/10 i 2 inne, 7 lipca 2015 r., Trybunał stwierdził naruszenie art. 6 Konwencji</w:t>
      </w:r>
      <w:r w:rsidR="00D75A14">
        <w:t xml:space="preserve"> </w:t>
      </w:r>
      <w:r w:rsidRPr="003B6A6A">
        <w:t>w odniesieniu do przewlekłości postępowania karnego.</w:t>
      </w:r>
    </w:p>
    <w:p w14:paraId="32EE9491" w14:textId="181572AA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9D0C9C" w:rsidRPr="003B6A6A">
        <w:rPr>
          <w:noProof/>
        </w:rPr>
        <w:t>10</w:t>
      </w:r>
      <w:r>
        <w:rPr>
          <w:noProof/>
        </w:rPr>
        <w:fldChar w:fldCharType="end"/>
      </w:r>
      <w:r w:rsidR="008F0045" w:rsidRPr="003B6A6A">
        <w:t>.  Po zapoznaniu się z całym przedstawionym mu materiałem Trybunał nie ustalił żadnego faktu ani argumentu mogącego uzasadnić łączną długość postępowania na poziomie krajowym. Mając na względzie swoje orzecznictwo</w:t>
      </w:r>
      <w:r w:rsidR="00814D56">
        <w:t xml:space="preserve"> w tym przedmiocie</w:t>
      </w:r>
      <w:r w:rsidR="008F0045" w:rsidRPr="003B6A6A">
        <w:t>, Trybunał stwierdza, że długość postępowania w</w:t>
      </w:r>
      <w:r w:rsidR="00AC3965">
        <w:t> </w:t>
      </w:r>
      <w:r w:rsidR="008F0045" w:rsidRPr="003B6A6A">
        <w:t>przedmiotowej sprawie była nadmierna i nie spełniała wymogu „rozsądnego terminu”.</w:t>
      </w:r>
    </w:p>
    <w:p w14:paraId="05C64530" w14:textId="701AE44A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9D0C9C" w:rsidRPr="003B6A6A">
        <w:rPr>
          <w:noProof/>
        </w:rPr>
        <w:t>11</w:t>
      </w:r>
      <w:r>
        <w:rPr>
          <w:noProof/>
        </w:rPr>
        <w:fldChar w:fldCharType="end"/>
      </w:r>
      <w:r w:rsidR="008F0045" w:rsidRPr="003B6A6A">
        <w:t xml:space="preserve">.  Trybunał zauważa ponadto, że skarżący nie miał do dyspozycji skutecznego środka odwoławczego w odniesieniu do tych </w:t>
      </w:r>
      <w:r w:rsidR="00C63479">
        <w:t>zarzutów</w:t>
      </w:r>
      <w:r w:rsidR="008F0045" w:rsidRPr="003B6A6A">
        <w:t>.</w:t>
      </w:r>
    </w:p>
    <w:p w14:paraId="2258F2FE" w14:textId="5555F730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="009D0C9C" w:rsidRPr="003B6A6A">
        <w:rPr>
          <w:noProof/>
        </w:rPr>
        <w:t>12</w:t>
      </w:r>
      <w:r>
        <w:rPr>
          <w:noProof/>
        </w:rPr>
        <w:fldChar w:fldCharType="end"/>
      </w:r>
      <w:r w:rsidR="008F0045" w:rsidRPr="003B6A6A">
        <w:t>.  </w:t>
      </w:r>
      <w:r w:rsidR="00C63479">
        <w:t>Zarzuty</w:t>
      </w:r>
      <w:r w:rsidR="008F0045" w:rsidRPr="003B6A6A">
        <w:t xml:space="preserve"> te są zatem dopuszczalne i </w:t>
      </w:r>
      <w:r w:rsidR="00C63479">
        <w:t>wskazują na</w:t>
      </w:r>
      <w:r w:rsidR="008F0045" w:rsidRPr="003B6A6A">
        <w:t xml:space="preserve"> naruszenie art. 6 ust. 1 oraz art. 13 Konwencji.</w:t>
      </w:r>
    </w:p>
    <w:p w14:paraId="496EC8B9" w14:textId="77777777" w:rsidR="001A72BA" w:rsidRPr="003B6A6A" w:rsidRDefault="00060DCF" w:rsidP="008F0045">
      <w:pPr>
        <w:pStyle w:val="JuHIRoman"/>
        <w:tabs>
          <w:tab w:val="clear" w:pos="1080"/>
          <w:tab w:val="num" w:pos="426"/>
        </w:tabs>
        <w:ind w:left="426" w:hanging="426"/>
      </w:pPr>
      <w:r w:rsidRPr="003B6A6A">
        <w:t>ZASTOSOWANIE ART. 41 KONWENCJI</w:t>
      </w:r>
    </w:p>
    <w:p w14:paraId="3A1741DD" w14:textId="7251970D" w:rsidR="00102699" w:rsidRPr="003B6A6A" w:rsidRDefault="00060DCF" w:rsidP="008F0045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9D0C9C" w:rsidRPr="003B6A6A">
        <w:rPr>
          <w:noProof/>
        </w:rPr>
        <w:t>13</w:t>
      </w:r>
      <w:r>
        <w:rPr>
          <w:noProof/>
        </w:rPr>
        <w:fldChar w:fldCharType="end"/>
      </w:r>
      <w:r w:rsidRPr="003B6A6A">
        <w:t xml:space="preserve">.  Uwzględniając dokumenty znajdujące się w jego posiadaniu oraz swoje orzecznictwo (zob. w szczególności ww. wyrok w sprawie </w:t>
      </w:r>
      <w:r w:rsidRPr="003B6A6A">
        <w:rPr>
          <w:i/>
          <w:iCs/>
        </w:rPr>
        <w:t>Rutkowski i Inni</w:t>
      </w:r>
      <w:r w:rsidRPr="003B6A6A">
        <w:t>), Trybunał uważa za zasadne zasądzenie kwot</w:t>
      </w:r>
      <w:r w:rsidR="00BC6C3D">
        <w:t>y</w:t>
      </w:r>
      <w:r w:rsidRPr="003B6A6A">
        <w:t xml:space="preserve"> </w:t>
      </w:r>
      <w:r w:rsidR="00BC6C3D" w:rsidRPr="003B6A6A">
        <w:t>wskazan</w:t>
      </w:r>
      <w:r w:rsidR="00BC6C3D">
        <w:t>ej</w:t>
      </w:r>
      <w:r w:rsidR="00BC6C3D" w:rsidRPr="003B6A6A">
        <w:t xml:space="preserve"> </w:t>
      </w:r>
      <w:r w:rsidRPr="003B6A6A">
        <w:t>w</w:t>
      </w:r>
      <w:r w:rsidR="00AC3965">
        <w:t> </w:t>
      </w:r>
      <w:r w:rsidRPr="003B6A6A">
        <w:t>załączonej tabeli.</w:t>
      </w:r>
    </w:p>
    <w:p w14:paraId="2946A144" w14:textId="77777777" w:rsidR="00825700" w:rsidRPr="003B6A6A" w:rsidRDefault="00060DCF" w:rsidP="008F0045">
      <w:pPr>
        <w:pStyle w:val="JuHHead"/>
        <w:tabs>
          <w:tab w:val="clear" w:pos="1080"/>
          <w:tab w:val="num" w:pos="360"/>
        </w:tabs>
        <w:ind w:left="360"/>
      </w:pPr>
      <w:r w:rsidRPr="003B6A6A">
        <w:t>Z POWYŻSZYCH WZGLĘDÓW TRYBUNAŁ JEDNOGŁOŚNIE</w:t>
      </w:r>
    </w:p>
    <w:p w14:paraId="15A56959" w14:textId="77777777" w:rsidR="00102699" w:rsidRPr="003B6A6A" w:rsidRDefault="00060DCF" w:rsidP="008F0045">
      <w:pPr>
        <w:pStyle w:val="JuList"/>
        <w:tabs>
          <w:tab w:val="clear" w:pos="1209"/>
          <w:tab w:val="num" w:pos="340"/>
        </w:tabs>
        <w:ind w:left="340" w:hanging="340"/>
      </w:pPr>
      <w:r w:rsidRPr="003B6A6A">
        <w:rPr>
          <w:i/>
        </w:rPr>
        <w:t>uznaje</w:t>
      </w:r>
      <w:r w:rsidRPr="003B6A6A">
        <w:t xml:space="preserve"> skargę za dopuszczalną;</w:t>
      </w:r>
    </w:p>
    <w:p w14:paraId="05C7454A" w14:textId="333B4288" w:rsidR="00102699" w:rsidRPr="003B6A6A" w:rsidRDefault="00060DCF" w:rsidP="008F0045">
      <w:pPr>
        <w:pStyle w:val="JuList"/>
        <w:tabs>
          <w:tab w:val="clear" w:pos="1209"/>
          <w:tab w:val="num" w:pos="340"/>
        </w:tabs>
        <w:ind w:left="340" w:hanging="340"/>
      </w:pPr>
      <w:r w:rsidRPr="003B6A6A">
        <w:rPr>
          <w:i/>
          <w:iCs/>
        </w:rPr>
        <w:t>stwierdza</w:t>
      </w:r>
      <w:r w:rsidRPr="003B6A6A">
        <w:t xml:space="preserve">, że </w:t>
      </w:r>
      <w:r>
        <w:t xml:space="preserve">niniejsza </w:t>
      </w:r>
      <w:r w:rsidRPr="003B6A6A">
        <w:t xml:space="preserve">skarga </w:t>
      </w:r>
      <w:r>
        <w:t>wskazuje na</w:t>
      </w:r>
      <w:r w:rsidRPr="003B6A6A">
        <w:t xml:space="preserve"> naruszenie art. 6 ust. 1 i art. 13 Konwencji dotyczące przewlekłości postępowania karnego i braku skutecznego środka odwoławczego w </w:t>
      </w:r>
      <w:r w:rsidR="000D13A5">
        <w:t>tym względzie</w:t>
      </w:r>
      <w:r w:rsidRPr="003B6A6A">
        <w:t>;</w:t>
      </w:r>
    </w:p>
    <w:p w14:paraId="48B9E613" w14:textId="77777777" w:rsidR="00102699" w:rsidRPr="003B6A6A" w:rsidRDefault="00060DCF" w:rsidP="008F0045">
      <w:pPr>
        <w:pStyle w:val="JuList"/>
        <w:keepNext/>
        <w:keepLines/>
        <w:tabs>
          <w:tab w:val="clear" w:pos="1209"/>
          <w:tab w:val="num" w:pos="340"/>
        </w:tabs>
        <w:ind w:left="340" w:hanging="340"/>
      </w:pPr>
      <w:r w:rsidRPr="003B6A6A">
        <w:rPr>
          <w:i/>
          <w:iCs/>
        </w:rPr>
        <w:t>stwierdza</w:t>
      </w:r>
    </w:p>
    <w:p w14:paraId="1EBC379A" w14:textId="3577AC59" w:rsidR="00102699" w:rsidRPr="003B6A6A" w:rsidRDefault="00060DCF" w:rsidP="008F0045">
      <w:pPr>
        <w:pStyle w:val="JuLista"/>
        <w:keepNext/>
        <w:keepLines/>
      </w:pPr>
      <w:r w:rsidRPr="003B6A6A">
        <w:t xml:space="preserve">że pozwane państwo winno, w terminie trzech miesięcy, uiścić na rzecz </w:t>
      </w:r>
      <w:r w:rsidRPr="003B6A6A">
        <w:t>skarżącego kwotę wskazaną w załączonej tabeli, przeliczoną</w:t>
      </w:r>
      <w:r w:rsidRPr="003B6A6A">
        <w:rPr>
          <w:color w:val="000000"/>
        </w:rPr>
        <w:t xml:space="preserve"> na walutę pozwanego państwa</w:t>
      </w:r>
      <w:r w:rsidRPr="003B6A6A">
        <w:t xml:space="preserve"> według kursu obowiązującego w dniu płatności</w:t>
      </w:r>
      <w:r w:rsidR="00E151E9" w:rsidRPr="003B6A6A">
        <w:t>;</w:t>
      </w:r>
    </w:p>
    <w:p w14:paraId="35ADDA79" w14:textId="1B11D03C" w:rsidR="00102699" w:rsidRPr="003B6A6A" w:rsidRDefault="00060DCF" w:rsidP="008F0045">
      <w:pPr>
        <w:pStyle w:val="JuLista"/>
        <w:rPr>
          <w:specVanish/>
        </w:rPr>
      </w:pPr>
      <w:r w:rsidRPr="003B6A6A">
        <w:t>że</w:t>
      </w:r>
      <w:r w:rsidRPr="003B6A6A">
        <w:t xml:space="preserve"> od upływu wyżej wskazanego terminu trzech miesięcy aż do momentu uregulowania należności</w:t>
      </w:r>
      <w:r w:rsidRPr="003B6A6A">
        <w:t xml:space="preserve"> należne będą odsetki zwykłe od określonej powyżej kwoty, naliczone według stopy równej marginalnej stopie procentowej Europejskiego Banku Centralnego obowiązującej w tym okresie, powiększonej o trzy punkty procentowe</w:t>
      </w:r>
      <w:r w:rsidR="00EF1502">
        <w:t>.</w:t>
      </w:r>
    </w:p>
    <w:p w14:paraId="69A33164" w14:textId="065D09F7" w:rsidR="00C43D38" w:rsidRPr="003B6A6A" w:rsidRDefault="00060DCF" w:rsidP="008F0045">
      <w:pPr>
        <w:pStyle w:val="JuParaLast"/>
      </w:pPr>
      <w:r w:rsidRPr="003B6A6A">
        <w:lastRenderedPageBreak/>
        <w:t>Sporządzono w języku angielskim i obwieszczono pisemnie w dniu 8</w:t>
      </w:r>
      <w:r w:rsidR="00EF1502">
        <w:t> </w:t>
      </w:r>
      <w:r w:rsidRPr="003B6A6A">
        <w:t>lutego 2024 r. zgodnie z Regułą 77 §</w:t>
      </w:r>
      <w:r w:rsidR="00EF1502" w:rsidRPr="003B6A6A">
        <w:t>§</w:t>
      </w:r>
      <w:r w:rsidRPr="003B6A6A">
        <w:t> 2 i 3 Regulaminu Trybunału.</w:t>
      </w:r>
    </w:p>
    <w:p w14:paraId="34AAB693" w14:textId="77777777" w:rsidR="00656431" w:rsidRPr="003B6A6A" w:rsidRDefault="00060DCF" w:rsidP="008F0045">
      <w:pPr>
        <w:pStyle w:val="ECHRPlaceholder"/>
        <w:rPr>
          <w:szCs w:val="22"/>
        </w:rPr>
      </w:pPr>
      <w:r w:rsidRPr="003B6A6A">
        <w:tab/>
      </w:r>
    </w:p>
    <w:p w14:paraId="142AF8CD" w14:textId="48690D05" w:rsidR="00CF644B" w:rsidRPr="003B6A6A" w:rsidRDefault="00060DCF" w:rsidP="008F0045">
      <w:pPr>
        <w:pStyle w:val="JuSigned"/>
        <w:rPr>
          <w:rFonts w:eastAsia="PMingLiU"/>
        </w:rPr>
      </w:pPr>
      <w:r w:rsidRPr="003B6A6A">
        <w:tab/>
      </w:r>
      <w:proofErr w:type="spellStart"/>
      <w:r w:rsidRPr="003B6A6A">
        <w:t>Viktoriya</w:t>
      </w:r>
      <w:proofErr w:type="spellEnd"/>
      <w:r w:rsidRPr="003B6A6A">
        <w:t xml:space="preserve"> </w:t>
      </w:r>
      <w:proofErr w:type="spellStart"/>
      <w:r w:rsidRPr="003B6A6A">
        <w:t>Maradudina</w:t>
      </w:r>
      <w:proofErr w:type="spellEnd"/>
      <w:r w:rsidR="009D0C9C" w:rsidRPr="003B6A6A">
        <w:tab/>
      </w:r>
      <w:proofErr w:type="spellStart"/>
      <w:r w:rsidRPr="003B6A6A">
        <w:t>Péter</w:t>
      </w:r>
      <w:proofErr w:type="spellEnd"/>
      <w:r w:rsidRPr="003B6A6A">
        <w:t xml:space="preserve"> </w:t>
      </w:r>
      <w:proofErr w:type="spellStart"/>
      <w:r w:rsidRPr="003B6A6A">
        <w:t>Paczolay</w:t>
      </w:r>
      <w:proofErr w:type="spellEnd"/>
    </w:p>
    <w:p w14:paraId="4F978A51" w14:textId="77777777" w:rsidR="00B91668" w:rsidRPr="003B6A6A" w:rsidRDefault="00060DCF" w:rsidP="008F0045">
      <w:pPr>
        <w:pStyle w:val="JuSigned"/>
        <w:contextualSpacing/>
        <w:rPr>
          <w:rFonts w:eastAsia="PMingLiU"/>
        </w:rPr>
      </w:pPr>
      <w:r w:rsidRPr="003B6A6A">
        <w:tab/>
        <w:t>p.o. Zastępcy Kanclerza Sekcji</w:t>
      </w:r>
      <w:r w:rsidRPr="003B6A6A">
        <w:tab/>
        <w:t>Przewodniczący</w:t>
      </w:r>
    </w:p>
    <w:p w14:paraId="03A227F6" w14:textId="77777777" w:rsidR="00B91668" w:rsidRPr="003B6A6A" w:rsidRDefault="00B91668" w:rsidP="008F0045">
      <w:pPr>
        <w:rPr>
          <w:rFonts w:eastAsia="PMingLiU"/>
        </w:rPr>
      </w:pPr>
    </w:p>
    <w:p w14:paraId="7EE3B65F" w14:textId="77777777" w:rsidR="00BD554D" w:rsidRPr="003B6A6A" w:rsidRDefault="00060DCF" w:rsidP="008F0045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3B6A6A">
        <w:tab/>
      </w:r>
    </w:p>
    <w:p w14:paraId="00D84896" w14:textId="77777777" w:rsidR="00787E12" w:rsidRPr="003B6A6A" w:rsidRDefault="00787E12" w:rsidP="008F0045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04654F87" w14:textId="77777777" w:rsidR="00787E12" w:rsidRPr="003B6A6A" w:rsidRDefault="00787E12" w:rsidP="008F0045">
      <w:pPr>
        <w:pStyle w:val="JuParaLast"/>
        <w:sectPr w:rsidR="00787E12" w:rsidRPr="003B6A6A" w:rsidSect="009F3D90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3DA8A7E4" w14:textId="77777777" w:rsidR="00787E12" w:rsidRPr="003B6A6A" w:rsidRDefault="00060DCF" w:rsidP="008F0045">
      <w:pPr>
        <w:pStyle w:val="DecHTitle"/>
      </w:pPr>
      <w:r w:rsidRPr="003B6A6A">
        <w:lastRenderedPageBreak/>
        <w:t>ZAŁĄCZNIK</w:t>
      </w:r>
    </w:p>
    <w:p w14:paraId="0A3D9D7F" w14:textId="77777777" w:rsidR="00787E12" w:rsidRPr="003B6A6A" w:rsidRDefault="00060DCF" w:rsidP="008F0045">
      <w:pPr>
        <w:pStyle w:val="DecHCase"/>
        <w:contextualSpacing/>
        <w:rPr>
          <w:b/>
          <w:i/>
          <w:color w:val="3E3E3E" w:themeColor="background2" w:themeShade="40"/>
        </w:rPr>
      </w:pPr>
      <w:r w:rsidRPr="003B6A6A">
        <w:rPr>
          <w:color w:val="3E3E3E" w:themeColor="background2" w:themeShade="40"/>
        </w:rPr>
        <w:t>Skarga zawierająca zarzuty na podstawie art. 6 ust. 1 i art. 13 Konwencji</w:t>
      </w:r>
    </w:p>
    <w:p w14:paraId="78CFC62F" w14:textId="77777777" w:rsidR="00787E12" w:rsidRPr="003B6A6A" w:rsidRDefault="00060DCF" w:rsidP="008F0045">
      <w:pPr>
        <w:pStyle w:val="DecHCase"/>
        <w:contextualSpacing/>
        <w:rPr>
          <w:b/>
          <w:i/>
        </w:rPr>
      </w:pPr>
      <w:r w:rsidRPr="003B6A6A">
        <w:rPr>
          <w:color w:val="3E3E3E" w:themeColor="background2" w:themeShade="40"/>
        </w:rPr>
        <w:t>(przewlekłość postępowania karnego oraz brak skutecznego środka odwoławczego w prawie krajowym)</w:t>
      </w:r>
    </w:p>
    <w:tbl>
      <w:tblPr>
        <w:tblStyle w:val="ECHRListTable"/>
        <w:tblW w:w="11194" w:type="dxa"/>
        <w:jc w:val="center"/>
        <w:tblLook w:val="0420" w:firstRow="1" w:lastRow="0" w:firstColumn="0" w:lastColumn="0" w:noHBand="0" w:noVBand="1"/>
      </w:tblPr>
      <w:tblGrid>
        <w:gridCol w:w="1202"/>
        <w:gridCol w:w="1361"/>
        <w:gridCol w:w="1728"/>
        <w:gridCol w:w="1150"/>
        <w:gridCol w:w="1150"/>
        <w:gridCol w:w="1156"/>
        <w:gridCol w:w="1582"/>
        <w:gridCol w:w="1865"/>
      </w:tblGrid>
      <w:tr w:rsidR="00D51CBD" w:rsidRPr="003B6A6A" w14:paraId="06D22F37" w14:textId="77777777" w:rsidTr="00D51C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271" w:type="dxa"/>
          </w:tcPr>
          <w:p w14:paraId="55F2E9FD" w14:textId="5D2BEB20" w:rsidR="00523213" w:rsidRPr="003B6A6A" w:rsidRDefault="00060DCF" w:rsidP="008F0045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Nr skargi</w:t>
            </w:r>
          </w:p>
          <w:p w14:paraId="630784EC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Data złożenia</w:t>
            </w:r>
          </w:p>
        </w:tc>
        <w:tc>
          <w:tcPr>
            <w:tcW w:w="1422" w:type="dxa"/>
          </w:tcPr>
          <w:p w14:paraId="32832ECC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 xml:space="preserve">Imię i </w:t>
            </w:r>
            <w:r w:rsidRPr="003B6A6A">
              <w:rPr>
                <w:sz w:val="16"/>
              </w:rPr>
              <w:t>nazwisko skarżącego</w:t>
            </w:r>
          </w:p>
          <w:p w14:paraId="6DA71283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Rok urodzenia</w:t>
            </w:r>
          </w:p>
          <w:p w14:paraId="3D7E1397" w14:textId="77777777" w:rsidR="00523213" w:rsidRPr="003B6A6A" w:rsidRDefault="00523213" w:rsidP="008F0045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28C26631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Imię i nazwisko oraz adres zamieszkania/siedziby pełnomocnika</w:t>
            </w:r>
          </w:p>
        </w:tc>
        <w:tc>
          <w:tcPr>
            <w:tcW w:w="0" w:type="auto"/>
          </w:tcPr>
          <w:p w14:paraId="44D73394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Wszczęcie postępowania</w:t>
            </w:r>
          </w:p>
        </w:tc>
        <w:tc>
          <w:tcPr>
            <w:tcW w:w="0" w:type="auto"/>
          </w:tcPr>
          <w:p w14:paraId="0EE27D13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Zakończenie postępowania</w:t>
            </w:r>
          </w:p>
        </w:tc>
        <w:tc>
          <w:tcPr>
            <w:tcW w:w="1200" w:type="dxa"/>
          </w:tcPr>
          <w:p w14:paraId="21E5003F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Łączny czas trwania</w:t>
            </w:r>
          </w:p>
          <w:p w14:paraId="69472928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Instancje</w:t>
            </w:r>
          </w:p>
        </w:tc>
        <w:tc>
          <w:tcPr>
            <w:tcW w:w="1701" w:type="dxa"/>
          </w:tcPr>
          <w:p w14:paraId="6A02CD2E" w14:textId="3BAC1786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Decyzja krajowa w</w:t>
            </w:r>
            <w:r w:rsidR="009602DF">
              <w:rPr>
                <w:sz w:val="16"/>
              </w:rPr>
              <w:t> </w:t>
            </w:r>
            <w:r w:rsidRPr="003B6A6A">
              <w:rPr>
                <w:sz w:val="16"/>
              </w:rPr>
              <w:t>sprawie skargi na mocy ustawy z</w:t>
            </w:r>
            <w:r w:rsidR="009602DF">
              <w:rPr>
                <w:sz w:val="16"/>
              </w:rPr>
              <w:t> </w:t>
            </w:r>
            <w:r w:rsidRPr="003B6A6A">
              <w:rPr>
                <w:sz w:val="16"/>
              </w:rPr>
              <w:t>2004 r.</w:t>
            </w:r>
          </w:p>
          <w:p w14:paraId="08863BE6" w14:textId="77777777" w:rsidR="00627C1C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Kwota zasądzona przez sąd krajowy</w:t>
            </w:r>
          </w:p>
          <w:p w14:paraId="20B4A665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(w PLN)</w:t>
            </w:r>
          </w:p>
        </w:tc>
        <w:tc>
          <w:tcPr>
            <w:tcW w:w="1985" w:type="dxa"/>
          </w:tcPr>
          <w:p w14:paraId="4D60413D" w14:textId="540F4E3D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Kwota zasądzona tytułem zadośćuczynienia za szkodę niemajątkową oraz zwrotu kosztów i</w:t>
            </w:r>
            <w:r w:rsidR="006C3F5D">
              <w:rPr>
                <w:sz w:val="16"/>
              </w:rPr>
              <w:t> </w:t>
            </w:r>
            <w:r w:rsidRPr="003B6A6A">
              <w:rPr>
                <w:sz w:val="16"/>
              </w:rPr>
              <w:t>wydatków</w:t>
            </w:r>
          </w:p>
          <w:p w14:paraId="00B3A51E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(w EUR)</w:t>
            </w:r>
            <w:r w:rsidRPr="003B6A6A">
              <w:rPr>
                <w:rStyle w:val="Odwoanieprzypisudolnego"/>
                <w:sz w:val="16"/>
              </w:rPr>
              <w:footnoteReference w:id="1"/>
            </w:r>
          </w:p>
        </w:tc>
      </w:tr>
      <w:tr w:rsidR="00D51CBD" w:rsidRPr="003B6A6A" w14:paraId="3C51EA41" w14:textId="77777777" w:rsidTr="00D51CBD">
        <w:trPr>
          <w:jc w:val="center"/>
        </w:trPr>
        <w:tc>
          <w:tcPr>
            <w:tcW w:w="1271" w:type="dxa"/>
          </w:tcPr>
          <w:p w14:paraId="486A171D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4771/20</w:t>
            </w:r>
          </w:p>
          <w:p w14:paraId="2905997A" w14:textId="12F5F3A1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02.01.2020</w:t>
            </w:r>
          </w:p>
        </w:tc>
        <w:tc>
          <w:tcPr>
            <w:tcW w:w="1422" w:type="dxa"/>
          </w:tcPr>
          <w:p w14:paraId="56DDA8B2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b/>
                <w:sz w:val="16"/>
              </w:rPr>
              <w:t>Piotr KOWALSKI</w:t>
            </w:r>
          </w:p>
          <w:p w14:paraId="109DAA88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 xml:space="preserve">1979 </w:t>
            </w:r>
          </w:p>
        </w:tc>
        <w:tc>
          <w:tcPr>
            <w:tcW w:w="0" w:type="auto"/>
          </w:tcPr>
          <w:p w14:paraId="0BA3CC2C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Cupiał Dawid</w:t>
            </w:r>
          </w:p>
          <w:p w14:paraId="25DC6045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Warszawa</w:t>
            </w:r>
          </w:p>
        </w:tc>
        <w:tc>
          <w:tcPr>
            <w:tcW w:w="0" w:type="auto"/>
          </w:tcPr>
          <w:p w14:paraId="1265F7F5" w14:textId="0090247C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30.06.2014</w:t>
            </w:r>
          </w:p>
          <w:p w14:paraId="6CE63104" w14:textId="77777777" w:rsidR="00523213" w:rsidRPr="003B6A6A" w:rsidRDefault="00523213" w:rsidP="008F0045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55F35D70" w14:textId="34D456FB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10.06.2020</w:t>
            </w:r>
          </w:p>
          <w:p w14:paraId="74547C9B" w14:textId="77777777" w:rsidR="00523213" w:rsidRPr="003B6A6A" w:rsidRDefault="00523213" w:rsidP="008F0045">
            <w:pPr>
              <w:jc w:val="center"/>
              <w:rPr>
                <w:sz w:val="16"/>
              </w:rPr>
            </w:pPr>
          </w:p>
        </w:tc>
        <w:tc>
          <w:tcPr>
            <w:tcW w:w="1200" w:type="dxa"/>
          </w:tcPr>
          <w:p w14:paraId="683D4E3A" w14:textId="5E7F8FAD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5 lat, 11</w:t>
            </w:r>
            <w:r w:rsidR="009602DF">
              <w:rPr>
                <w:sz w:val="16"/>
              </w:rPr>
              <w:t> </w:t>
            </w:r>
            <w:r w:rsidRPr="003B6A6A">
              <w:rPr>
                <w:sz w:val="16"/>
              </w:rPr>
              <w:t>miesięcy i</w:t>
            </w:r>
            <w:r w:rsidR="009602DF">
              <w:rPr>
                <w:sz w:val="16"/>
              </w:rPr>
              <w:t> </w:t>
            </w:r>
            <w:r w:rsidRPr="003B6A6A">
              <w:rPr>
                <w:sz w:val="16"/>
              </w:rPr>
              <w:t>12 dni</w:t>
            </w:r>
          </w:p>
          <w:p w14:paraId="12EEF418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 xml:space="preserve">2 </w:t>
            </w:r>
            <w:r w:rsidRPr="003B6A6A">
              <w:rPr>
                <w:sz w:val="16"/>
              </w:rPr>
              <w:t>instancje</w:t>
            </w:r>
          </w:p>
          <w:p w14:paraId="7416FB35" w14:textId="77777777" w:rsidR="00523213" w:rsidRPr="003B6A6A" w:rsidRDefault="00523213" w:rsidP="008F0045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</w:tcPr>
          <w:p w14:paraId="30B00CD4" w14:textId="4B696EF1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Sąd Okręgowy w</w:t>
            </w:r>
            <w:r w:rsidR="009602DF">
              <w:rPr>
                <w:sz w:val="16"/>
              </w:rPr>
              <w:t> </w:t>
            </w:r>
            <w:r w:rsidRPr="003B6A6A">
              <w:rPr>
                <w:sz w:val="16"/>
              </w:rPr>
              <w:t>Warszawie, 14.11.2019, sygn. akt X S 146/19</w:t>
            </w:r>
          </w:p>
        </w:tc>
        <w:tc>
          <w:tcPr>
            <w:tcW w:w="1985" w:type="dxa"/>
          </w:tcPr>
          <w:p w14:paraId="6CE8DC22" w14:textId="77777777" w:rsidR="00523213" w:rsidRPr="003B6A6A" w:rsidRDefault="00060DCF" w:rsidP="008F0045">
            <w:pPr>
              <w:jc w:val="center"/>
              <w:rPr>
                <w:sz w:val="16"/>
              </w:rPr>
            </w:pPr>
            <w:r w:rsidRPr="003B6A6A">
              <w:rPr>
                <w:sz w:val="16"/>
              </w:rPr>
              <w:t>2 300</w:t>
            </w:r>
          </w:p>
        </w:tc>
      </w:tr>
    </w:tbl>
    <w:p w14:paraId="2D949AA7" w14:textId="77777777" w:rsidR="00787E12" w:rsidRPr="003B6A6A" w:rsidRDefault="00787E12" w:rsidP="008F0045"/>
    <w:p w14:paraId="38FDC6BE" w14:textId="77777777" w:rsidR="00791456" w:rsidRPr="003B6A6A" w:rsidRDefault="00791456" w:rsidP="008F0045"/>
    <w:sectPr w:rsidR="00791456" w:rsidRPr="003B6A6A" w:rsidSect="009F3D90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E0EF6" w14:textId="77777777" w:rsidR="004E019D" w:rsidRDefault="004E019D">
      <w:r>
        <w:separator/>
      </w:r>
    </w:p>
  </w:endnote>
  <w:endnote w:type="continuationSeparator" w:id="0">
    <w:p w14:paraId="0615CF3D" w14:textId="77777777" w:rsidR="004E019D" w:rsidRDefault="004E0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16A0A" w14:textId="77777777" w:rsidR="00BD554D" w:rsidRPr="00611E1D" w:rsidRDefault="00060DCF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ECC25" w14:textId="77777777" w:rsidR="00BD554D" w:rsidRPr="00611E1D" w:rsidRDefault="00060DCF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86B1B" w14:textId="77777777" w:rsidR="00ED7723" w:rsidRPr="00150BFA" w:rsidRDefault="00060DCF" w:rsidP="0020718E">
    <w:pPr>
      <w:jc w:val="center"/>
    </w:pPr>
    <w:r>
      <w:rPr>
        <w:noProof/>
      </w:rPr>
      <w:drawing>
        <wp:inline distT="0" distB="0" distL="0" distR="0" wp14:anchorId="7AEF842F" wp14:editId="51AEF4DC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81E5FD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4D68D" w14:textId="77777777" w:rsidR="004E019D" w:rsidRPr="00611E1D" w:rsidRDefault="004E019D" w:rsidP="00787E12">
      <w:r w:rsidRPr="00611E1D">
        <w:separator/>
      </w:r>
    </w:p>
  </w:footnote>
  <w:footnote w:type="continuationSeparator" w:id="0">
    <w:p w14:paraId="01C73BD0" w14:textId="77777777" w:rsidR="004E019D" w:rsidRPr="00611E1D" w:rsidRDefault="004E019D" w:rsidP="00787E12">
      <w:r w:rsidRPr="00611E1D">
        <w:continuationSeparator/>
      </w:r>
    </w:p>
  </w:footnote>
  <w:footnote w:id="1">
    <w:p w14:paraId="3FF48A71" w14:textId="6072B124" w:rsidR="00523213" w:rsidRPr="00E54563" w:rsidRDefault="00060DCF" w:rsidP="00102699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9B218C">
        <w:t xml:space="preserve">Powiększona </w:t>
      </w:r>
      <w:r>
        <w:t>o</w:t>
      </w:r>
      <w:r w:rsidR="009B218C">
        <w:t xml:space="preserve"> wszelkie</w:t>
      </w:r>
      <w:r>
        <w:t xml:space="preserve"> podatki</w:t>
      </w:r>
      <w:r w:rsidR="009B218C" w:rsidRPr="009B218C">
        <w:t xml:space="preserve"> </w:t>
      </w:r>
      <w:r w:rsidR="009B218C">
        <w:t>należne od skarżącego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8E117" w14:textId="77777777" w:rsidR="00ED7723" w:rsidRPr="00A45145" w:rsidRDefault="00060DCF" w:rsidP="00A45145">
    <w:pPr>
      <w:jc w:val="center"/>
    </w:pPr>
    <w:r>
      <w:rPr>
        <w:noProof/>
      </w:rPr>
      <w:drawing>
        <wp:inline distT="0" distB="0" distL="0" distR="0" wp14:anchorId="10301639" wp14:editId="1FD14374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FFDA10" w14:textId="77777777" w:rsidR="00787E12" w:rsidRPr="00611E1D" w:rsidRDefault="00787E12" w:rsidP="000318F7">
    <w:pPr>
      <w:jc w:val="center"/>
      <w:rPr>
        <w:sz w:val="4"/>
        <w:szCs w:val="4"/>
      </w:rPr>
    </w:pPr>
  </w:p>
  <w:p w14:paraId="3D5D862F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37BDF" w14:textId="77777777" w:rsidR="00102699" w:rsidRPr="00A45145" w:rsidRDefault="00060DCF" w:rsidP="00A45145">
    <w:pPr>
      <w:jc w:val="center"/>
    </w:pPr>
    <w:r>
      <w:rPr>
        <w:noProof/>
      </w:rPr>
      <w:drawing>
        <wp:inline distT="0" distB="0" distL="0" distR="0" wp14:anchorId="3A157C34" wp14:editId="654AA02B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F41E1D" w14:textId="77777777" w:rsidR="008D51B6" w:rsidRPr="004F56E2" w:rsidRDefault="008D51B6" w:rsidP="008D51B6">
    <w:pPr>
      <w:pStyle w:val="Nagwek"/>
    </w:pPr>
  </w:p>
  <w:p w14:paraId="2D33FB01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692A2" w14:textId="77777777" w:rsidR="00787E12" w:rsidRPr="005C3A15" w:rsidRDefault="00060DCF" w:rsidP="006372F5">
    <w:pPr>
      <w:pStyle w:val="JuHeader"/>
    </w:pPr>
    <w:r>
      <w:t>WYROK W SPRAWIE KOWALSKI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16D51" w14:textId="77777777" w:rsidR="00787E12" w:rsidRPr="00DE7D3F" w:rsidRDefault="00060DCF" w:rsidP="00BD554D">
    <w:pPr>
      <w:pStyle w:val="JuHeader"/>
    </w:pPr>
    <w:r>
      <w:t>WYROK W SPRAWIE KOWALSKI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F890" w14:textId="77777777" w:rsidR="008B3FB7" w:rsidRPr="005C3A15" w:rsidRDefault="00060DCF" w:rsidP="00E026EC">
    <w:pPr>
      <w:pStyle w:val="JuHeader"/>
    </w:pPr>
    <w:r>
      <w:t>WYROK W SPRAWIE KOWALSKI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9B504" w14:textId="77777777" w:rsidR="008B3FB7" w:rsidRPr="00DE7D3F" w:rsidRDefault="00060DCF" w:rsidP="00E026EC">
    <w:pPr>
      <w:pStyle w:val="JuHeader"/>
    </w:pPr>
    <w:r>
      <w:t>WYROK W SPRAWIE KOWALSKI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45A89BF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EE92EA1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16AE953C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A8F0B37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4B01C4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D4AEC8C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608B68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EB7A64F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A908191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810053132">
    <w:abstractNumId w:val="14"/>
  </w:num>
  <w:num w:numId="2" w16cid:durableId="1635022905">
    <w:abstractNumId w:val="12"/>
  </w:num>
  <w:num w:numId="3" w16cid:durableId="665977172">
    <w:abstractNumId w:val="11"/>
  </w:num>
  <w:num w:numId="4" w16cid:durableId="994337270">
    <w:abstractNumId w:val="15"/>
  </w:num>
  <w:num w:numId="5" w16cid:durableId="1953128989">
    <w:abstractNumId w:val="13"/>
  </w:num>
  <w:num w:numId="6" w16cid:durableId="1085414633">
    <w:abstractNumId w:val="16"/>
  </w:num>
  <w:num w:numId="7" w16cid:durableId="2002611887">
    <w:abstractNumId w:val="15"/>
  </w:num>
  <w:num w:numId="8" w16cid:durableId="1351951962">
    <w:abstractNumId w:val="16"/>
  </w:num>
  <w:num w:numId="9" w16cid:durableId="718549139">
    <w:abstractNumId w:val="10"/>
  </w:num>
  <w:num w:numId="10" w16cid:durableId="1644890501">
    <w:abstractNumId w:val="9"/>
  </w:num>
  <w:num w:numId="11" w16cid:durableId="1939874770">
    <w:abstractNumId w:val="17"/>
  </w:num>
  <w:num w:numId="12" w16cid:durableId="700125894">
    <w:abstractNumId w:val="7"/>
  </w:num>
  <w:num w:numId="13" w16cid:durableId="158084577">
    <w:abstractNumId w:val="6"/>
  </w:num>
  <w:num w:numId="14" w16cid:durableId="1621497142">
    <w:abstractNumId w:val="5"/>
  </w:num>
  <w:num w:numId="15" w16cid:durableId="1728602779">
    <w:abstractNumId w:val="4"/>
  </w:num>
  <w:num w:numId="16" w16cid:durableId="493030116">
    <w:abstractNumId w:val="8"/>
  </w:num>
  <w:num w:numId="17" w16cid:durableId="638267517">
    <w:abstractNumId w:val="3"/>
  </w:num>
  <w:num w:numId="18" w16cid:durableId="1894000574">
    <w:abstractNumId w:val="2"/>
  </w:num>
  <w:num w:numId="19" w16cid:durableId="1771778456">
    <w:abstractNumId w:val="1"/>
  </w:num>
  <w:num w:numId="20" w16cid:durableId="699470552">
    <w:abstractNumId w:val="0"/>
  </w:num>
  <w:num w:numId="21" w16cid:durableId="5572821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102699"/>
    <w:rsid w:val="000318F7"/>
    <w:rsid w:val="00060DCF"/>
    <w:rsid w:val="000C5149"/>
    <w:rsid w:val="000D13A5"/>
    <w:rsid w:val="00102699"/>
    <w:rsid w:val="00135384"/>
    <w:rsid w:val="00150BFA"/>
    <w:rsid w:val="00173A91"/>
    <w:rsid w:val="001A15B6"/>
    <w:rsid w:val="001A3C4A"/>
    <w:rsid w:val="001A72BA"/>
    <w:rsid w:val="001B4B12"/>
    <w:rsid w:val="001D7CD3"/>
    <w:rsid w:val="001F3812"/>
    <w:rsid w:val="002056B7"/>
    <w:rsid w:val="0020718E"/>
    <w:rsid w:val="00221886"/>
    <w:rsid w:val="0023364D"/>
    <w:rsid w:val="00247E08"/>
    <w:rsid w:val="00267F9A"/>
    <w:rsid w:val="0029309A"/>
    <w:rsid w:val="002C5B23"/>
    <w:rsid w:val="00330513"/>
    <w:rsid w:val="00337785"/>
    <w:rsid w:val="003411BE"/>
    <w:rsid w:val="0037589C"/>
    <w:rsid w:val="003B6A6A"/>
    <w:rsid w:val="003F4508"/>
    <w:rsid w:val="00414FFA"/>
    <w:rsid w:val="0048584C"/>
    <w:rsid w:val="00497FF8"/>
    <w:rsid w:val="004B0B4E"/>
    <w:rsid w:val="004B2445"/>
    <w:rsid w:val="004D042B"/>
    <w:rsid w:val="004D0EC7"/>
    <w:rsid w:val="004E019D"/>
    <w:rsid w:val="004F56E2"/>
    <w:rsid w:val="00523213"/>
    <w:rsid w:val="005545B0"/>
    <w:rsid w:val="00555A1D"/>
    <w:rsid w:val="00573202"/>
    <w:rsid w:val="005B102C"/>
    <w:rsid w:val="005B16C1"/>
    <w:rsid w:val="005C3A15"/>
    <w:rsid w:val="005F60F9"/>
    <w:rsid w:val="00610BF7"/>
    <w:rsid w:val="00611E1D"/>
    <w:rsid w:val="00615A34"/>
    <w:rsid w:val="00627C1C"/>
    <w:rsid w:val="00634569"/>
    <w:rsid w:val="006372F5"/>
    <w:rsid w:val="00646ECF"/>
    <w:rsid w:val="00656431"/>
    <w:rsid w:val="006C3F5D"/>
    <w:rsid w:val="006D324D"/>
    <w:rsid w:val="00743B2A"/>
    <w:rsid w:val="00787E12"/>
    <w:rsid w:val="00791456"/>
    <w:rsid w:val="007A72B4"/>
    <w:rsid w:val="007D614D"/>
    <w:rsid w:val="007F018A"/>
    <w:rsid w:val="00814D56"/>
    <w:rsid w:val="00825700"/>
    <w:rsid w:val="00851378"/>
    <w:rsid w:val="008522DD"/>
    <w:rsid w:val="00860732"/>
    <w:rsid w:val="008A0E2E"/>
    <w:rsid w:val="008B3FB7"/>
    <w:rsid w:val="008D51B6"/>
    <w:rsid w:val="008F0045"/>
    <w:rsid w:val="009522DD"/>
    <w:rsid w:val="009602DF"/>
    <w:rsid w:val="00981D58"/>
    <w:rsid w:val="009B2070"/>
    <w:rsid w:val="009B218C"/>
    <w:rsid w:val="009D0C9C"/>
    <w:rsid w:val="009F3D90"/>
    <w:rsid w:val="00A062B9"/>
    <w:rsid w:val="00A329E0"/>
    <w:rsid w:val="00A34A54"/>
    <w:rsid w:val="00A44415"/>
    <w:rsid w:val="00A45145"/>
    <w:rsid w:val="00A511BA"/>
    <w:rsid w:val="00A6104A"/>
    <w:rsid w:val="00A94CA7"/>
    <w:rsid w:val="00AB340E"/>
    <w:rsid w:val="00AC03BB"/>
    <w:rsid w:val="00AC3965"/>
    <w:rsid w:val="00B216C1"/>
    <w:rsid w:val="00B64153"/>
    <w:rsid w:val="00B91668"/>
    <w:rsid w:val="00BA128D"/>
    <w:rsid w:val="00BC6C3D"/>
    <w:rsid w:val="00BD554D"/>
    <w:rsid w:val="00BE2415"/>
    <w:rsid w:val="00C20CC3"/>
    <w:rsid w:val="00C43D38"/>
    <w:rsid w:val="00C63479"/>
    <w:rsid w:val="00C877A3"/>
    <w:rsid w:val="00CF644B"/>
    <w:rsid w:val="00D140BA"/>
    <w:rsid w:val="00D51CBD"/>
    <w:rsid w:val="00D75A14"/>
    <w:rsid w:val="00DE7D3F"/>
    <w:rsid w:val="00DF532D"/>
    <w:rsid w:val="00E026EC"/>
    <w:rsid w:val="00E151E9"/>
    <w:rsid w:val="00E54563"/>
    <w:rsid w:val="00ED7723"/>
    <w:rsid w:val="00EF1502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F358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tabs>
        <w:tab w:val="clear" w:pos="340"/>
        <w:tab w:val="num" w:pos="1209"/>
      </w:tabs>
      <w:spacing w:before="280" w:after="60"/>
      <w:ind w:left="1209" w:hanging="3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  <w:tabs>
        <w:tab w:val="num" w:pos="1209"/>
      </w:tabs>
      <w:ind w:left="1209" w:hanging="360"/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tabs>
        <w:tab w:val="num" w:pos="1080"/>
      </w:tabs>
      <w:spacing w:before="100" w:beforeAutospacing="1" w:after="240"/>
      <w:ind w:left="1080" w:hanging="36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  <w:tab w:val="num" w:pos="1080"/>
      </w:tabs>
      <w:spacing w:before="100" w:beforeAutospacing="1" w:after="240"/>
      <w:ind w:left="1080" w:hanging="36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tabs>
        <w:tab w:val="num" w:pos="1080"/>
      </w:tabs>
      <w:spacing w:before="100" w:beforeAutospacing="1" w:after="240" w:line="240" w:lineRule="auto"/>
      <w:ind w:left="1080" w:hanging="360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ind w:left="1080" w:hanging="36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num" w:pos="1080"/>
        <w:tab w:val="left" w:pos="1361"/>
      </w:tabs>
      <w:spacing w:before="100" w:beforeAutospacing="1" w:after="120"/>
      <w:ind w:left="1080" w:hanging="36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tabs>
        <w:tab w:val="num" w:pos="1080"/>
      </w:tabs>
      <w:spacing w:before="100" w:beforeAutospacing="1" w:after="120"/>
      <w:ind w:left="1080" w:hanging="36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tabs>
        <w:tab w:val="num" w:pos="360"/>
        <w:tab w:val="num" w:pos="1080"/>
      </w:tabs>
      <w:spacing w:before="100" w:beforeAutospacing="1"/>
      <w:ind w:left="1080" w:hanging="360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B6A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757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2024-02-16T14:20:00Z</dcterms:created>
  <dcterms:modified xsi:type="dcterms:W3CDTF">2024-02-22T11:51:00Z</dcterms:modified>
  <cp:category/>
</cp:coreProperties>
</file>