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C522F" w14:textId="77777777" w:rsidR="008D51B6" w:rsidRPr="00107EFE" w:rsidRDefault="008D51B6" w:rsidP="00005DE2">
      <w:pPr>
        <w:jc w:val="center"/>
      </w:pPr>
    </w:p>
    <w:p w14:paraId="7DD9A3E5" w14:textId="77777777" w:rsidR="004D042B" w:rsidRPr="00107EFE" w:rsidRDefault="004D042B" w:rsidP="00005DE2">
      <w:pPr>
        <w:jc w:val="center"/>
      </w:pPr>
    </w:p>
    <w:p w14:paraId="21718BB1" w14:textId="77777777" w:rsidR="000C5149" w:rsidRPr="00107EFE" w:rsidRDefault="000C5149" w:rsidP="00005DE2">
      <w:pPr>
        <w:jc w:val="center"/>
      </w:pPr>
    </w:p>
    <w:p w14:paraId="1C08D6C0" w14:textId="77777777" w:rsidR="00787E12" w:rsidRPr="00107EFE" w:rsidRDefault="00000000" w:rsidP="00005DE2">
      <w:pPr>
        <w:pStyle w:val="DecHCase"/>
      </w:pPr>
      <w:r w:rsidRPr="00107EFE">
        <w:t>SEKCJA PIERWSZA</w:t>
      </w:r>
    </w:p>
    <w:p w14:paraId="1A23483D" w14:textId="77777777" w:rsidR="006D324D" w:rsidRPr="00107EFE" w:rsidRDefault="00000000" w:rsidP="00005DE2">
      <w:pPr>
        <w:pStyle w:val="JuTitle"/>
      </w:pPr>
      <w:bookmarkStart w:id="0" w:name="To"/>
      <w:r w:rsidRPr="00107EFE">
        <w:rPr>
          <w:color w:val="000000" w:themeColor="text1"/>
        </w:rPr>
        <w:t>SPRAWA</w:t>
      </w:r>
      <w:bookmarkEnd w:id="0"/>
      <w:r w:rsidRPr="00107EFE">
        <w:rPr>
          <w:color w:val="000000" w:themeColor="text1"/>
        </w:rPr>
        <w:t xml:space="preserve"> </w:t>
      </w:r>
      <w:r w:rsidRPr="00107EFE">
        <w:t>NAWROT PRZECIWKO POLSCE</w:t>
      </w:r>
    </w:p>
    <w:p w14:paraId="56970062" w14:textId="77777777" w:rsidR="006D324D" w:rsidRPr="00107EFE" w:rsidRDefault="00000000" w:rsidP="00005DE2">
      <w:pPr>
        <w:pStyle w:val="ECHRCoverTitle4"/>
      </w:pPr>
      <w:r w:rsidRPr="00107EFE">
        <w:t>(Skarga nr 12686/22)</w:t>
      </w:r>
    </w:p>
    <w:p w14:paraId="79F6A097" w14:textId="77777777" w:rsidR="006D324D" w:rsidRPr="00107EFE" w:rsidRDefault="006D324D" w:rsidP="00005DE2">
      <w:pPr>
        <w:pStyle w:val="DecHCase"/>
      </w:pPr>
    </w:p>
    <w:p w14:paraId="057BBDC4" w14:textId="77777777" w:rsidR="006D324D" w:rsidRPr="00107EFE" w:rsidRDefault="006D324D" w:rsidP="00005DE2">
      <w:pPr>
        <w:pStyle w:val="DecHCase"/>
      </w:pPr>
    </w:p>
    <w:p w14:paraId="772BB3E2" w14:textId="77777777" w:rsidR="00787E12" w:rsidRPr="00107EFE" w:rsidRDefault="00787E12" w:rsidP="00005DE2">
      <w:pPr>
        <w:pStyle w:val="DecHCase"/>
      </w:pPr>
    </w:p>
    <w:p w14:paraId="62A0E155" w14:textId="77777777" w:rsidR="00787E12" w:rsidRPr="00107EFE" w:rsidRDefault="00787E12" w:rsidP="00005DE2">
      <w:pPr>
        <w:pStyle w:val="DecHCase"/>
      </w:pPr>
    </w:p>
    <w:p w14:paraId="50F15A03" w14:textId="77777777" w:rsidR="00787E12" w:rsidRPr="00107EFE" w:rsidRDefault="00787E12" w:rsidP="00005DE2">
      <w:pPr>
        <w:pStyle w:val="DecHCase"/>
      </w:pPr>
    </w:p>
    <w:p w14:paraId="561700A7" w14:textId="77777777" w:rsidR="00A062B9" w:rsidRPr="00107EFE" w:rsidRDefault="00A062B9" w:rsidP="00005DE2">
      <w:pPr>
        <w:pStyle w:val="DecHCase"/>
      </w:pPr>
    </w:p>
    <w:p w14:paraId="4B80DF28" w14:textId="77777777" w:rsidR="00787E12" w:rsidRPr="00107EFE" w:rsidRDefault="00000000" w:rsidP="00005DE2">
      <w:pPr>
        <w:pStyle w:val="DecHCase"/>
      </w:pPr>
      <w:r w:rsidRPr="00107EFE">
        <w:t>WYROK</w:t>
      </w:r>
    </w:p>
    <w:p w14:paraId="29FDEF3A" w14:textId="77777777" w:rsidR="00787E12" w:rsidRPr="00107EFE" w:rsidRDefault="00787E12" w:rsidP="00005DE2">
      <w:pPr>
        <w:jc w:val="center"/>
        <w:rPr>
          <w:i/>
        </w:rPr>
      </w:pPr>
    </w:p>
    <w:p w14:paraId="0DCF5AEA" w14:textId="77777777" w:rsidR="00787E12" w:rsidRPr="00107EFE" w:rsidRDefault="00000000" w:rsidP="00005DE2">
      <w:pPr>
        <w:pStyle w:val="DecHCase"/>
      </w:pPr>
      <w:r w:rsidRPr="00107EFE">
        <w:t>STRASBURG</w:t>
      </w:r>
    </w:p>
    <w:p w14:paraId="66DF8A7D" w14:textId="77777777" w:rsidR="00787E12" w:rsidRPr="00107EFE" w:rsidRDefault="00000000" w:rsidP="00005DE2">
      <w:pPr>
        <w:pStyle w:val="DecHCase"/>
      </w:pPr>
      <w:r w:rsidRPr="00107EFE">
        <w:t>8 lutego 2024 r.</w:t>
      </w:r>
    </w:p>
    <w:p w14:paraId="28D0C231" w14:textId="77777777" w:rsidR="00787E12" w:rsidRPr="00107EFE" w:rsidRDefault="00787E12" w:rsidP="00005DE2">
      <w:pPr>
        <w:jc w:val="center"/>
      </w:pPr>
    </w:p>
    <w:p w14:paraId="6BB6910A" w14:textId="182A00FD" w:rsidR="00787E12" w:rsidRPr="00107EFE" w:rsidRDefault="00000000" w:rsidP="00005DE2">
      <w:pPr>
        <w:rPr>
          <w:sz w:val="2"/>
          <w:szCs w:val="2"/>
        </w:rPr>
      </w:pPr>
      <w:r w:rsidRPr="00107EFE">
        <w:rPr>
          <w:i/>
        </w:rPr>
        <w:t xml:space="preserve">Wyrok </w:t>
      </w:r>
      <w:r w:rsidR="00F143D3">
        <w:rPr>
          <w:i/>
        </w:rPr>
        <w:t>jest</w:t>
      </w:r>
      <w:r w:rsidRPr="00107EFE">
        <w:rPr>
          <w:i/>
        </w:rPr>
        <w:t xml:space="preserve"> ostateczny, </w:t>
      </w:r>
      <w:r w:rsidR="00F143D3">
        <w:rPr>
          <w:i/>
        </w:rPr>
        <w:t>ale</w:t>
      </w:r>
      <w:r w:rsidR="00F143D3" w:rsidRPr="00107EFE">
        <w:rPr>
          <w:i/>
        </w:rPr>
        <w:t xml:space="preserve"> </w:t>
      </w:r>
      <w:r w:rsidRPr="00107EFE">
        <w:rPr>
          <w:i/>
        </w:rPr>
        <w:t>może podlegać korekcie wydawniczej.</w:t>
      </w:r>
    </w:p>
    <w:p w14:paraId="55E71229" w14:textId="77777777" w:rsidR="00787E12" w:rsidRPr="00107EFE" w:rsidRDefault="00787E12" w:rsidP="00005DE2">
      <w:pPr>
        <w:pStyle w:val="JuCase"/>
        <w:sectPr w:rsidR="00787E12" w:rsidRPr="00107EFE" w:rsidSect="00EB205C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1CB08D88" w14:textId="77777777" w:rsidR="00787E12" w:rsidRPr="00107EFE" w:rsidRDefault="00000000" w:rsidP="00005DE2">
      <w:pPr>
        <w:pStyle w:val="JuCase"/>
        <w:rPr>
          <w:bCs/>
        </w:rPr>
      </w:pPr>
      <w:r w:rsidRPr="00107EFE">
        <w:lastRenderedPageBreak/>
        <w:t xml:space="preserve">W sprawie </w:t>
      </w:r>
      <w:proofErr w:type="spellStart"/>
      <w:r w:rsidRPr="00107EFE">
        <w:t>Nawrot</w:t>
      </w:r>
      <w:proofErr w:type="spellEnd"/>
      <w:r w:rsidRPr="00107EFE">
        <w:t xml:space="preserve"> przeciwko Polsce</w:t>
      </w:r>
    </w:p>
    <w:p w14:paraId="3C325DB1" w14:textId="77777777" w:rsidR="00787E12" w:rsidRPr="00107EFE" w:rsidRDefault="00000000" w:rsidP="00005DE2">
      <w:pPr>
        <w:pStyle w:val="JuPara"/>
      </w:pPr>
      <w:r w:rsidRPr="00107EFE">
        <w:t>Europejski Trybunał Praw Człowieka (sekcja pierwsza), zasiadając jako Komitet w składzie:</w:t>
      </w:r>
    </w:p>
    <w:p w14:paraId="73412D7C" w14:textId="7EB1E380" w:rsidR="002C5B23" w:rsidRPr="00107EFE" w:rsidRDefault="00000000" w:rsidP="00005DE2">
      <w:pPr>
        <w:pStyle w:val="JuJudges"/>
      </w:pPr>
      <w:r w:rsidRPr="00107EFE">
        <w:tab/>
      </w:r>
      <w:proofErr w:type="spellStart"/>
      <w:r w:rsidRPr="00107EFE">
        <w:t>Péter</w:t>
      </w:r>
      <w:proofErr w:type="spellEnd"/>
      <w:r w:rsidRPr="00107EFE">
        <w:t xml:space="preserve"> </w:t>
      </w:r>
      <w:proofErr w:type="spellStart"/>
      <w:r w:rsidRPr="00107EFE">
        <w:t>Paczolay</w:t>
      </w:r>
      <w:proofErr w:type="spellEnd"/>
      <w:r w:rsidRPr="00107EFE">
        <w:rPr>
          <w:i/>
        </w:rPr>
        <w:t xml:space="preserve">, </w:t>
      </w:r>
      <w:r w:rsidR="004059A7">
        <w:rPr>
          <w:i/>
          <w:iCs/>
        </w:rPr>
        <w:t>P</w:t>
      </w:r>
      <w:r w:rsidRPr="00107EFE">
        <w:rPr>
          <w:i/>
          <w:iCs/>
        </w:rPr>
        <w:t>rzewodniczący</w:t>
      </w:r>
      <w:r w:rsidRPr="00107EFE">
        <w:t>,</w:t>
      </w:r>
      <w:r w:rsidRPr="00107EFE">
        <w:br/>
      </w:r>
      <w:r w:rsidRPr="00107EFE">
        <w:tab/>
        <w:t xml:space="preserve">Gilberto </w:t>
      </w:r>
      <w:proofErr w:type="spellStart"/>
      <w:r w:rsidRPr="00107EFE">
        <w:t>Felici</w:t>
      </w:r>
      <w:proofErr w:type="spellEnd"/>
      <w:r w:rsidRPr="00107EFE">
        <w:t>,</w:t>
      </w:r>
      <w:r w:rsidRPr="00107EFE">
        <w:br/>
      </w:r>
      <w:r w:rsidRPr="00107EFE">
        <w:tab/>
      </w:r>
      <w:proofErr w:type="spellStart"/>
      <w:r w:rsidRPr="00107EFE">
        <w:t>Raffaele</w:t>
      </w:r>
      <w:proofErr w:type="spellEnd"/>
      <w:r w:rsidRPr="00107EFE">
        <w:t xml:space="preserve"> </w:t>
      </w:r>
      <w:proofErr w:type="spellStart"/>
      <w:r w:rsidRPr="00107EFE">
        <w:t>Sabato</w:t>
      </w:r>
      <w:proofErr w:type="spellEnd"/>
      <w:r w:rsidRPr="00107EFE">
        <w:rPr>
          <w:i/>
        </w:rPr>
        <w:t>, sędziowie</w:t>
      </w:r>
      <w:r w:rsidRPr="00107EFE">
        <w:t>,</w:t>
      </w:r>
    </w:p>
    <w:p w14:paraId="267AD440" w14:textId="77777777" w:rsidR="00787E12" w:rsidRPr="00107EFE" w:rsidRDefault="00000000" w:rsidP="00005DE2">
      <w:pPr>
        <w:pStyle w:val="JuJudges"/>
      </w:pPr>
      <w:r w:rsidRPr="00107EFE">
        <w:t xml:space="preserve">oraz </w:t>
      </w:r>
      <w:proofErr w:type="spellStart"/>
      <w:r w:rsidRPr="00107EFE">
        <w:t>Viktoriya</w:t>
      </w:r>
      <w:proofErr w:type="spellEnd"/>
      <w:r w:rsidRPr="00107EFE">
        <w:t xml:space="preserve"> </w:t>
      </w:r>
      <w:proofErr w:type="spellStart"/>
      <w:r w:rsidRPr="00107EFE">
        <w:t>Maradudina</w:t>
      </w:r>
      <w:proofErr w:type="spellEnd"/>
      <w:r w:rsidRPr="00107EFE">
        <w:t xml:space="preserve">, </w:t>
      </w:r>
      <w:r w:rsidRPr="00107EFE">
        <w:rPr>
          <w:i/>
        </w:rPr>
        <w:t>p.o. Zastępcy Kanclerza Sekcji,</w:t>
      </w:r>
    </w:p>
    <w:p w14:paraId="512D6BCC" w14:textId="77777777" w:rsidR="00787E12" w:rsidRPr="00107EFE" w:rsidRDefault="00000000" w:rsidP="00005DE2">
      <w:pPr>
        <w:pStyle w:val="JuPara"/>
      </w:pPr>
      <w:r w:rsidRPr="00107EFE">
        <w:t>obradując na posiedzeniu niejawnym w dniu 18 stycznia 2024 r.,</w:t>
      </w:r>
    </w:p>
    <w:p w14:paraId="568D5510" w14:textId="77777777" w:rsidR="006372F5" w:rsidRPr="00107EFE" w:rsidRDefault="00000000" w:rsidP="00005DE2">
      <w:pPr>
        <w:pStyle w:val="JuPara"/>
      </w:pPr>
      <w:r w:rsidRPr="00107EFE">
        <w:t>wydaje następujący wyrok, który został przyjęty w tym dniu:</w:t>
      </w:r>
    </w:p>
    <w:p w14:paraId="07052C7E" w14:textId="77777777" w:rsidR="00885C81" w:rsidRPr="00107EFE" w:rsidRDefault="00000000" w:rsidP="00005DE2">
      <w:pPr>
        <w:pStyle w:val="JuHHead"/>
      </w:pPr>
      <w:bookmarkStart w:id="1" w:name="ITMARKStartJudgment"/>
      <w:bookmarkEnd w:id="1"/>
      <w:r w:rsidRPr="00107EFE">
        <w:t>POSTĘPOWANIE</w:t>
      </w:r>
    </w:p>
    <w:p w14:paraId="6C88A3E7" w14:textId="294BAC7E" w:rsidR="00885C81" w:rsidRPr="00107EFE" w:rsidRDefault="00000000" w:rsidP="00005DE2">
      <w:pPr>
        <w:pStyle w:val="JuPara"/>
      </w:pPr>
      <w:fldSimple w:instr=" SEQ level0 \*arabic ">
        <w:r w:rsidR="00107EFE" w:rsidRPr="00107EFE">
          <w:rPr>
            <w:noProof/>
          </w:rPr>
          <w:t>1</w:t>
        </w:r>
      </w:fldSimple>
      <w:r w:rsidRPr="00107EFE">
        <w:t>.  Sprawa wywodzi się ze skargi przeciwko Polsce, wniesionej do Trybunału w dniu 25 lutego 2022 r. na podstawie art. 34 Konwencji o</w:t>
      </w:r>
      <w:r w:rsidR="00107EFE">
        <w:t> </w:t>
      </w:r>
      <w:r w:rsidRPr="00107EFE">
        <w:t>ochronie praw człowieka i podstawowych wolności („</w:t>
      </w:r>
      <w:r w:rsidR="00107EFE" w:rsidRPr="00107EFE">
        <w:t>Konwencj</w:t>
      </w:r>
      <w:r w:rsidR="00107EFE">
        <w:t>a</w:t>
      </w:r>
      <w:r w:rsidRPr="00107EFE">
        <w:t>”).</w:t>
      </w:r>
    </w:p>
    <w:p w14:paraId="5104D5B8" w14:textId="1806FD0C" w:rsidR="00885C81" w:rsidRPr="00107EFE" w:rsidRDefault="00000000" w:rsidP="00005DE2">
      <w:pPr>
        <w:pStyle w:val="JuPara"/>
      </w:pPr>
      <w:fldSimple w:instr=" SEQ level0 \*arabic ">
        <w:r w:rsidR="00107EFE" w:rsidRPr="00107EFE">
          <w:rPr>
            <w:noProof/>
          </w:rPr>
          <w:t>2</w:t>
        </w:r>
      </w:fldSimple>
      <w:r w:rsidRPr="00107EFE">
        <w:t>.  </w:t>
      </w:r>
      <w:r w:rsidR="004059A7">
        <w:t>Skargę zakomunikowano rz</w:t>
      </w:r>
      <w:r w:rsidRPr="00107EFE">
        <w:t>ąd</w:t>
      </w:r>
      <w:r w:rsidR="004059A7">
        <w:t>owi</w:t>
      </w:r>
      <w:r w:rsidR="00107EFE">
        <w:t xml:space="preserve"> polski</w:t>
      </w:r>
      <w:r w:rsidR="004059A7">
        <w:t>emu</w:t>
      </w:r>
      <w:r w:rsidRPr="00107EFE">
        <w:t xml:space="preserve"> („Rząd”).</w:t>
      </w:r>
    </w:p>
    <w:p w14:paraId="4187D6F9" w14:textId="77777777" w:rsidR="00885C81" w:rsidRPr="00107EFE" w:rsidRDefault="00000000" w:rsidP="00005DE2">
      <w:pPr>
        <w:pStyle w:val="JuHHead"/>
      </w:pPr>
      <w:r w:rsidRPr="00107EFE">
        <w:t>FAKTY</w:t>
      </w:r>
    </w:p>
    <w:p w14:paraId="134EF436" w14:textId="13D567CB" w:rsidR="00885C81" w:rsidRPr="00107EFE" w:rsidRDefault="00000000" w:rsidP="00005DE2">
      <w:pPr>
        <w:pStyle w:val="JuPara"/>
      </w:pPr>
      <w:fldSimple w:instr=" SEQ level0 \*arabic ">
        <w:r w:rsidR="00107EFE" w:rsidRPr="00107EFE">
          <w:rPr>
            <w:noProof/>
          </w:rPr>
          <w:t>3</w:t>
        </w:r>
      </w:fldSimple>
      <w:r w:rsidRPr="00107EFE">
        <w:t>.  Dane skarżącego oraz informacje istotne dla skargi zostały przedstawione w załączonej tabeli.</w:t>
      </w:r>
    </w:p>
    <w:p w14:paraId="56FB88B8" w14:textId="73233F1E" w:rsidR="00885C81" w:rsidRPr="00107EFE" w:rsidRDefault="00000000" w:rsidP="00005DE2">
      <w:pPr>
        <w:pStyle w:val="JuPara"/>
      </w:pPr>
      <w:fldSimple w:instr=" SEQ level0 \*arabic ">
        <w:r w:rsidR="00107EFE" w:rsidRPr="00107EFE">
          <w:rPr>
            <w:noProof/>
          </w:rPr>
          <w:t>4</w:t>
        </w:r>
      </w:fldSimple>
      <w:r w:rsidRPr="00107EFE">
        <w:t>.  </w:t>
      </w:r>
      <w:r w:rsidRPr="00107EFE">
        <w:rPr>
          <w:color w:val="000000"/>
        </w:rPr>
        <w:t>Skarżący zarzucił przewlekłość postępowania cywilnego oraz brak skutecznego środka odwoławczego w prawie krajowym</w:t>
      </w:r>
      <w:r w:rsidRPr="00107EFE">
        <w:rPr>
          <w:bCs/>
          <w:color w:val="000000"/>
        </w:rPr>
        <w:t>.</w:t>
      </w:r>
    </w:p>
    <w:p w14:paraId="0AB8D12A" w14:textId="77777777" w:rsidR="00885C81" w:rsidRPr="00107EFE" w:rsidRDefault="00000000" w:rsidP="00005DE2">
      <w:pPr>
        <w:pStyle w:val="JuHHead"/>
      </w:pPr>
      <w:r w:rsidRPr="00107EFE">
        <w:t>PRAWO</w:t>
      </w:r>
    </w:p>
    <w:p w14:paraId="6F3CF552" w14:textId="469D38B2" w:rsidR="00885C81" w:rsidRPr="00107EFE" w:rsidRDefault="00000000" w:rsidP="00005DE2">
      <w:pPr>
        <w:pStyle w:val="JuHIRoman"/>
      </w:pPr>
      <w:r w:rsidRPr="00107EFE">
        <w:t xml:space="preserve">WNIOSEK RZĄDU O SKREŚLENIE </w:t>
      </w:r>
      <w:r w:rsidR="0091514B" w:rsidRPr="00107EFE">
        <w:t>SKAR</w:t>
      </w:r>
      <w:r w:rsidR="0091514B">
        <w:t>GI</w:t>
      </w:r>
      <w:r w:rsidR="0091514B" w:rsidRPr="00107EFE">
        <w:t xml:space="preserve"> </w:t>
      </w:r>
      <w:r w:rsidRPr="00107EFE">
        <w:t xml:space="preserve">NA PODSTAWIE </w:t>
      </w:r>
      <w:r w:rsidR="00FC2857" w:rsidRPr="00107EFE">
        <w:t>ART</w:t>
      </w:r>
      <w:r w:rsidR="00FC2857">
        <w:t>.</w:t>
      </w:r>
      <w:r w:rsidR="00FC2857" w:rsidRPr="00107EFE">
        <w:t xml:space="preserve"> </w:t>
      </w:r>
      <w:r w:rsidRPr="00107EFE">
        <w:t>37 UST.1 KONWENCJI</w:t>
      </w:r>
    </w:p>
    <w:p w14:paraId="109C4C6B" w14:textId="0B6B8CE7" w:rsidR="00885C81" w:rsidRPr="00107EFE" w:rsidRDefault="00000000" w:rsidP="00005DE2">
      <w:pPr>
        <w:pStyle w:val="JuPara"/>
        <w:rPr>
          <w:rFonts w:eastAsia="Times New Roman"/>
        </w:rPr>
      </w:pPr>
      <w:r w:rsidRPr="00107EFE">
        <w:rPr>
          <w:rFonts w:eastAsia="Times New Roman"/>
        </w:rPr>
        <w:fldChar w:fldCharType="begin"/>
      </w:r>
      <w:r w:rsidRPr="00107EFE">
        <w:rPr>
          <w:rFonts w:eastAsia="Times New Roman"/>
        </w:rPr>
        <w:instrText xml:space="preserve"> SEQ level0 \*arabic \* MERGEFORMAT </w:instrText>
      </w:r>
      <w:r w:rsidRPr="00107EFE">
        <w:rPr>
          <w:rFonts w:eastAsia="Times New Roman"/>
        </w:rPr>
        <w:fldChar w:fldCharType="separate"/>
      </w:r>
      <w:r w:rsidR="00107EFE" w:rsidRPr="00107EFE">
        <w:rPr>
          <w:rFonts w:eastAsia="Times New Roman"/>
          <w:noProof/>
        </w:rPr>
        <w:t>5</w:t>
      </w:r>
      <w:r w:rsidRPr="00107EFE">
        <w:rPr>
          <w:rFonts w:eastAsia="Times New Roman"/>
        </w:rPr>
        <w:fldChar w:fldCharType="end"/>
      </w:r>
      <w:r w:rsidRPr="00107EFE">
        <w:t xml:space="preserve">.  Rząd przedłożył </w:t>
      </w:r>
      <w:r w:rsidR="004059A7" w:rsidRPr="00107EFE">
        <w:t xml:space="preserve">deklarację </w:t>
      </w:r>
      <w:r w:rsidRPr="00107EFE">
        <w:t xml:space="preserve">jednostronną, </w:t>
      </w:r>
      <w:r w:rsidR="00F9607E">
        <w:t xml:space="preserve">która nie </w:t>
      </w:r>
      <w:r w:rsidRPr="00107EFE">
        <w:t xml:space="preserve">stanowiła wystarczającej podstawy do stwierdzenia, że poszanowanie praw człowieka w rozumieniu Konwencji nie wymaga od Trybunału dalszego badania sprawy (art. 37 ust. 1 </w:t>
      </w:r>
      <w:r w:rsidRPr="00107EFE">
        <w:rPr>
          <w:i/>
        </w:rPr>
        <w:t>in fine</w:t>
      </w:r>
      <w:r w:rsidRPr="00107EFE">
        <w:t xml:space="preserve">). Trybunał odrzuca wniosek Rządu o skreślenie </w:t>
      </w:r>
      <w:r w:rsidR="006C1078" w:rsidRPr="00107EFE">
        <w:t>skar</w:t>
      </w:r>
      <w:r w:rsidR="006C1078">
        <w:t xml:space="preserve">gi </w:t>
      </w:r>
      <w:r w:rsidRPr="00107EFE">
        <w:t>i</w:t>
      </w:r>
      <w:r w:rsidR="00315159">
        <w:t> </w:t>
      </w:r>
      <w:r w:rsidRPr="00107EFE">
        <w:t>w</w:t>
      </w:r>
      <w:r w:rsidR="000A5D1C">
        <w:t> </w:t>
      </w:r>
      <w:r w:rsidRPr="00107EFE">
        <w:t xml:space="preserve">związku z tym będzie kontynuował </w:t>
      </w:r>
      <w:r w:rsidR="00F9607E">
        <w:t xml:space="preserve">jej </w:t>
      </w:r>
      <w:r w:rsidRPr="00107EFE">
        <w:t xml:space="preserve">badanie (zob. </w:t>
      </w:r>
      <w:proofErr w:type="spellStart"/>
      <w:r w:rsidRPr="00107EFE">
        <w:rPr>
          <w:i/>
        </w:rPr>
        <w:t>Tahsin</w:t>
      </w:r>
      <w:proofErr w:type="spellEnd"/>
      <w:r w:rsidRPr="00107EFE">
        <w:rPr>
          <w:i/>
        </w:rPr>
        <w:t xml:space="preserve"> </w:t>
      </w:r>
      <w:proofErr w:type="spellStart"/>
      <w:r w:rsidRPr="00107EFE">
        <w:rPr>
          <w:i/>
        </w:rPr>
        <w:t>Acar</w:t>
      </w:r>
      <w:proofErr w:type="spellEnd"/>
      <w:r w:rsidRPr="00107EFE">
        <w:rPr>
          <w:i/>
        </w:rPr>
        <w:t xml:space="preserve"> p</w:t>
      </w:r>
      <w:r w:rsidR="00F9607E">
        <w:rPr>
          <w:i/>
        </w:rPr>
        <w:t>.</w:t>
      </w:r>
      <w:r w:rsidRPr="00107EFE">
        <w:rPr>
          <w:i/>
        </w:rPr>
        <w:t xml:space="preserve"> Turcji</w:t>
      </w:r>
      <w:r w:rsidRPr="00107EFE">
        <w:t xml:space="preserve"> (</w:t>
      </w:r>
      <w:r w:rsidR="00F9607E">
        <w:t>zarzuty</w:t>
      </w:r>
      <w:r w:rsidR="00F9607E" w:rsidRPr="00107EFE">
        <w:t xml:space="preserve"> </w:t>
      </w:r>
      <w:r w:rsidRPr="00107EFE">
        <w:t>wstępn</w:t>
      </w:r>
      <w:r w:rsidR="000B7F3F">
        <w:t>e</w:t>
      </w:r>
      <w:r w:rsidRPr="00107EFE">
        <w:t>) [WI], nr</w:t>
      </w:r>
      <w:r w:rsidR="00D26352">
        <w:t> </w:t>
      </w:r>
      <w:r w:rsidRPr="00107EFE">
        <w:t xml:space="preserve">26307/95, </w:t>
      </w:r>
      <w:r w:rsidR="001904D3">
        <w:t>pkt </w:t>
      </w:r>
      <w:r w:rsidRPr="00107EFE">
        <w:t>75, ETPC 2003-VI).</w:t>
      </w:r>
    </w:p>
    <w:p w14:paraId="572C61A3" w14:textId="77777777" w:rsidR="00885C81" w:rsidRPr="00107EFE" w:rsidRDefault="00000000" w:rsidP="00005DE2">
      <w:pPr>
        <w:pStyle w:val="JuHIRoman"/>
      </w:pPr>
      <w:r w:rsidRPr="00107EFE">
        <w:t>ZARZUCANE NARUSZENIE ART. 6 UST. 1 I ART. 13 KONWENCJI</w:t>
      </w:r>
    </w:p>
    <w:p w14:paraId="5CAA8FF7" w14:textId="54B1BB42" w:rsidR="00885C81" w:rsidRPr="00107EFE" w:rsidRDefault="00000000" w:rsidP="00005DE2">
      <w:pPr>
        <w:pStyle w:val="JuPara"/>
      </w:pPr>
      <w:fldSimple w:instr=" SEQ level0 \*arabic ">
        <w:r w:rsidR="00107EFE" w:rsidRPr="00107EFE">
          <w:rPr>
            <w:noProof/>
          </w:rPr>
          <w:t>6</w:t>
        </w:r>
      </w:fldSimple>
      <w:r w:rsidRPr="00107EFE">
        <w:t xml:space="preserve">.  Skarżący zarzucał, że długość </w:t>
      </w:r>
      <w:r w:rsidR="00F9607E">
        <w:t xml:space="preserve">przedmiotowego </w:t>
      </w:r>
      <w:r w:rsidRPr="00107EFE">
        <w:t>postępowania cywilnego była niezgodna z wymogiem „rozsądnego terminu” i że był pozbawiony skutecznego środka odwoławczego</w:t>
      </w:r>
      <w:r w:rsidR="002C0E28">
        <w:t xml:space="preserve"> w tym zakresie</w:t>
      </w:r>
      <w:r w:rsidRPr="00107EFE">
        <w:t>. Powołał się na art. 6 ust. 1 i</w:t>
      </w:r>
      <w:r w:rsidR="00315159">
        <w:t> </w:t>
      </w:r>
      <w:r w:rsidRPr="00107EFE">
        <w:t>art. 13 Konwencji.</w:t>
      </w:r>
    </w:p>
    <w:p w14:paraId="1661EA33" w14:textId="12C3BE6A" w:rsidR="00885C81" w:rsidRPr="00107EFE" w:rsidRDefault="00000000" w:rsidP="00005DE2">
      <w:pPr>
        <w:pStyle w:val="JuPara"/>
        <w:rPr>
          <w:strike/>
        </w:rPr>
      </w:pPr>
      <w:fldSimple w:instr=" SEQ level0 \*arabic ">
        <w:r w:rsidR="00107EFE" w:rsidRPr="00107EFE">
          <w:rPr>
            <w:noProof/>
          </w:rPr>
          <w:t>7</w:t>
        </w:r>
      </w:fldSimple>
      <w:r w:rsidRPr="00107EFE">
        <w:t xml:space="preserve">.  Trybunał </w:t>
      </w:r>
      <w:r w:rsidR="002C0E28">
        <w:t>przypomina</w:t>
      </w:r>
      <w:r w:rsidRPr="00107EFE">
        <w:t xml:space="preserve">, że rozsądny charakter czasu trwania postępowania należy oceniać w świetle okoliczności sprawy i z </w:t>
      </w:r>
      <w:r w:rsidRPr="00107EFE">
        <w:lastRenderedPageBreak/>
        <w:t>uwzględnieniem następujących kryteriów: złożoności sprawy, zachowania skarżącego i</w:t>
      </w:r>
      <w:r w:rsidR="008E146B">
        <w:t> </w:t>
      </w:r>
      <w:r w:rsidR="002C0E28">
        <w:t xml:space="preserve">właściwych </w:t>
      </w:r>
      <w:r w:rsidRPr="00107EFE">
        <w:t xml:space="preserve">organów oraz znaczenia sprawy dla interesów skarżącego (zob. </w:t>
      </w:r>
      <w:proofErr w:type="spellStart"/>
      <w:r w:rsidRPr="00107EFE">
        <w:rPr>
          <w:i/>
        </w:rPr>
        <w:t>Frydlender</w:t>
      </w:r>
      <w:proofErr w:type="spellEnd"/>
      <w:r w:rsidRPr="00107EFE">
        <w:rPr>
          <w:i/>
        </w:rPr>
        <w:t xml:space="preserve"> </w:t>
      </w:r>
      <w:r w:rsidRPr="00107EFE">
        <w:rPr>
          <w:i/>
          <w:iCs/>
        </w:rPr>
        <w:t>p</w:t>
      </w:r>
      <w:r w:rsidR="002C0E28">
        <w:rPr>
          <w:i/>
          <w:iCs/>
        </w:rPr>
        <w:t xml:space="preserve">. </w:t>
      </w:r>
      <w:r w:rsidRPr="00107EFE">
        <w:rPr>
          <w:i/>
          <w:iCs/>
        </w:rPr>
        <w:t>Francji</w:t>
      </w:r>
      <w:r w:rsidRPr="00107EFE">
        <w:rPr>
          <w:i/>
        </w:rPr>
        <w:t xml:space="preserve"> </w:t>
      </w:r>
      <w:r w:rsidRPr="00107EFE">
        <w:t xml:space="preserve">[WI], nr 30979/96, </w:t>
      </w:r>
      <w:r w:rsidR="00F721B6">
        <w:t>pkt</w:t>
      </w:r>
      <w:r w:rsidR="00F721B6" w:rsidRPr="00107EFE">
        <w:t> </w:t>
      </w:r>
      <w:r w:rsidRPr="00107EFE">
        <w:t>43, ETPC 2000-VII).</w:t>
      </w:r>
    </w:p>
    <w:p w14:paraId="4562567B" w14:textId="7A6C9CBB" w:rsidR="00885C81" w:rsidRPr="00107EFE" w:rsidRDefault="00000000" w:rsidP="00005DE2">
      <w:pPr>
        <w:pStyle w:val="JuPara"/>
      </w:pPr>
      <w:fldSimple w:instr=" SEQ level0 \*arabic ">
        <w:r w:rsidR="00107EFE" w:rsidRPr="00107EFE">
          <w:rPr>
            <w:noProof/>
          </w:rPr>
          <w:t>8</w:t>
        </w:r>
      </w:fldSimple>
      <w:r w:rsidRPr="00107EFE">
        <w:t xml:space="preserve">.  Już w wiodącej sprawie </w:t>
      </w:r>
      <w:r w:rsidRPr="00107EFE">
        <w:rPr>
          <w:i/>
          <w:iCs/>
        </w:rPr>
        <w:t>Rutkowski i Inni p</w:t>
      </w:r>
      <w:r w:rsidR="002C0E28">
        <w:rPr>
          <w:i/>
          <w:iCs/>
        </w:rPr>
        <w:t>.</w:t>
      </w:r>
      <w:r w:rsidRPr="00107EFE">
        <w:rPr>
          <w:i/>
          <w:iCs/>
        </w:rPr>
        <w:t xml:space="preserve"> Polsce, </w:t>
      </w:r>
      <w:r w:rsidR="00BE0A6F">
        <w:t>nr</w:t>
      </w:r>
      <w:r w:rsidRPr="00107EFE">
        <w:t> 72287/10 i 2 inne, 7 lipca 2015 r., Trybunał stwierdził naruszenie art. 6 Konwencji w odniesieniu do przewlekłości postępowania sądowego.</w:t>
      </w:r>
    </w:p>
    <w:p w14:paraId="689C901C" w14:textId="15D8498D" w:rsidR="00885C81" w:rsidRPr="00107EFE" w:rsidRDefault="00000000" w:rsidP="00005DE2">
      <w:pPr>
        <w:pStyle w:val="JuPara"/>
      </w:pPr>
      <w:fldSimple w:instr=" SEQ level0 \*arabic ">
        <w:r w:rsidR="00107EFE" w:rsidRPr="00107EFE">
          <w:rPr>
            <w:noProof/>
          </w:rPr>
          <w:t>9</w:t>
        </w:r>
      </w:fldSimple>
      <w:r w:rsidRPr="00107EFE">
        <w:t xml:space="preserve">.  Po zapoznaniu się z całym przedstawionym mu materiałem Trybunał nie </w:t>
      </w:r>
      <w:r w:rsidR="00FB13C9">
        <w:t>znalazł</w:t>
      </w:r>
      <w:r w:rsidR="00FB13C9" w:rsidRPr="00107EFE">
        <w:t xml:space="preserve"> </w:t>
      </w:r>
      <w:r w:rsidRPr="00107EFE">
        <w:t xml:space="preserve">żadnego faktu ani argumentu mogącego </w:t>
      </w:r>
      <w:r w:rsidR="00FB13C9">
        <w:t>usprawiedliwić</w:t>
      </w:r>
      <w:r w:rsidR="00FB13C9" w:rsidRPr="00107EFE">
        <w:t xml:space="preserve"> </w:t>
      </w:r>
      <w:r w:rsidRPr="00107EFE">
        <w:t>łączną długość postępowania na poziomie krajowym. Mając na względzie swoje orzecznictwo</w:t>
      </w:r>
      <w:r w:rsidR="00BE0A6F">
        <w:t xml:space="preserve"> w tym przedmiocie</w:t>
      </w:r>
      <w:r w:rsidRPr="00107EFE">
        <w:t>, Trybunał stwierdza, że długość postępowania w</w:t>
      </w:r>
      <w:r w:rsidR="008E146B">
        <w:t> </w:t>
      </w:r>
      <w:r w:rsidR="00FB13C9">
        <w:t>niniejszej</w:t>
      </w:r>
      <w:r w:rsidR="00FB13C9" w:rsidRPr="00107EFE">
        <w:t xml:space="preserve"> </w:t>
      </w:r>
      <w:r w:rsidRPr="00107EFE">
        <w:t>sprawie była nadmierna i nie spełniała wymogu „rozsądnego terminu”.</w:t>
      </w:r>
    </w:p>
    <w:p w14:paraId="595183CC" w14:textId="258A7520" w:rsidR="00885C81" w:rsidRPr="00107EFE" w:rsidRDefault="00000000" w:rsidP="00005DE2">
      <w:pPr>
        <w:pStyle w:val="JuPara"/>
      </w:pPr>
      <w:fldSimple w:instr=" SEQ level0 \*arabic ">
        <w:r w:rsidR="00107EFE" w:rsidRPr="00107EFE">
          <w:rPr>
            <w:noProof/>
          </w:rPr>
          <w:t>10</w:t>
        </w:r>
      </w:fldSimple>
      <w:r w:rsidRPr="00107EFE">
        <w:t xml:space="preserve">.  Trybunał zauważa ponadto, że skarżący nie miał do dyspozycji skutecznego środka odwoławczego w odniesieniu do tych </w:t>
      </w:r>
      <w:r w:rsidR="00FB13C9">
        <w:t>zarzutów</w:t>
      </w:r>
      <w:r w:rsidRPr="00107EFE">
        <w:t>.</w:t>
      </w:r>
    </w:p>
    <w:p w14:paraId="273A0C17" w14:textId="07E68567" w:rsidR="00885C81" w:rsidRPr="00107EFE" w:rsidRDefault="00000000" w:rsidP="00005DE2">
      <w:pPr>
        <w:pStyle w:val="JuPara"/>
      </w:pPr>
      <w:fldSimple w:instr=" SEQ level0 \*arabic ">
        <w:r w:rsidR="00107EFE" w:rsidRPr="00107EFE">
          <w:rPr>
            <w:noProof/>
          </w:rPr>
          <w:t>11</w:t>
        </w:r>
      </w:fldSimple>
      <w:r w:rsidRPr="00107EFE">
        <w:t>.  </w:t>
      </w:r>
      <w:r w:rsidR="00FB13C9">
        <w:t>Zarzuty</w:t>
      </w:r>
      <w:r w:rsidRPr="00107EFE">
        <w:t xml:space="preserve"> te są zatem dopuszczalne i ujawniają naruszenie art. 6 ust. 1 </w:t>
      </w:r>
      <w:r w:rsidR="00FB13C9">
        <w:t>i</w:t>
      </w:r>
      <w:r w:rsidR="00FB13C9" w:rsidRPr="00107EFE">
        <w:t xml:space="preserve"> </w:t>
      </w:r>
      <w:r w:rsidRPr="00107EFE">
        <w:t>art. 13 Konwencji.</w:t>
      </w:r>
    </w:p>
    <w:p w14:paraId="78EEA62B" w14:textId="77777777" w:rsidR="00885C81" w:rsidRPr="00107EFE" w:rsidRDefault="00000000" w:rsidP="00005DE2">
      <w:pPr>
        <w:pStyle w:val="JuHIRoman"/>
      </w:pPr>
      <w:r w:rsidRPr="00107EFE">
        <w:t>ZASTOSOWANIE ART. 41 KONWENCJI</w:t>
      </w:r>
    </w:p>
    <w:p w14:paraId="7669BB53" w14:textId="423277E3" w:rsidR="00885C81" w:rsidRPr="00107EFE" w:rsidRDefault="00000000" w:rsidP="00005DE2">
      <w:pPr>
        <w:pStyle w:val="JuPara"/>
      </w:pPr>
      <w:fldSimple w:instr=" SEQ level0 \*arabic ">
        <w:r w:rsidR="00107EFE" w:rsidRPr="00107EFE">
          <w:rPr>
            <w:noProof/>
          </w:rPr>
          <w:t>12</w:t>
        </w:r>
      </w:fldSimple>
      <w:r w:rsidRPr="00107EFE">
        <w:t>.  Uwzględniając dokumenty znajdujące się w jego posiadaniu oraz swoje orzecznictwo (zob.</w:t>
      </w:r>
      <w:r w:rsidR="00FB13C9">
        <w:t>,</w:t>
      </w:r>
      <w:r w:rsidRPr="00107EFE">
        <w:t xml:space="preserve"> w szczególności</w:t>
      </w:r>
      <w:r w:rsidR="00FB13C9">
        <w:t>,</w:t>
      </w:r>
      <w:r w:rsidRPr="00107EFE">
        <w:t xml:space="preserve"> </w:t>
      </w:r>
      <w:r w:rsidRPr="00107EFE">
        <w:rPr>
          <w:i/>
          <w:iCs/>
        </w:rPr>
        <w:t>Rutkowski i Inni</w:t>
      </w:r>
      <w:r w:rsidR="00FB13C9">
        <w:rPr>
          <w:i/>
          <w:iCs/>
        </w:rPr>
        <w:t xml:space="preserve">, </w:t>
      </w:r>
      <w:r w:rsidR="00FB13C9">
        <w:t>cyt. pow.</w:t>
      </w:r>
      <w:r w:rsidRPr="00107EFE">
        <w:t xml:space="preserve">), Trybunał uważa za zasadne </w:t>
      </w:r>
      <w:r w:rsidR="00FB13C9">
        <w:t>przyznanie</w:t>
      </w:r>
      <w:r w:rsidR="00FB13C9" w:rsidRPr="00107EFE">
        <w:t xml:space="preserve"> </w:t>
      </w:r>
      <w:r w:rsidRPr="00107EFE">
        <w:t>kwot</w:t>
      </w:r>
      <w:r w:rsidR="00127A7E">
        <w:t>y</w:t>
      </w:r>
      <w:r w:rsidRPr="00107EFE">
        <w:t xml:space="preserve"> </w:t>
      </w:r>
      <w:r w:rsidR="00127A7E" w:rsidRPr="00107EFE">
        <w:t>wskazan</w:t>
      </w:r>
      <w:r w:rsidR="00127A7E">
        <w:t>ej</w:t>
      </w:r>
      <w:r w:rsidR="00127A7E" w:rsidRPr="00107EFE">
        <w:t xml:space="preserve"> </w:t>
      </w:r>
      <w:r w:rsidRPr="00107EFE">
        <w:t>w</w:t>
      </w:r>
      <w:r w:rsidR="008E146B">
        <w:t> </w:t>
      </w:r>
      <w:r w:rsidRPr="00107EFE">
        <w:t>załączonej tabeli.</w:t>
      </w:r>
    </w:p>
    <w:p w14:paraId="51445B28" w14:textId="252E1B7B" w:rsidR="00885C81" w:rsidRPr="00107EFE" w:rsidRDefault="00000000" w:rsidP="00005DE2">
      <w:pPr>
        <w:pStyle w:val="JuHHead"/>
      </w:pPr>
      <w:r w:rsidRPr="00107EFE">
        <w:t xml:space="preserve">Z </w:t>
      </w:r>
      <w:r w:rsidR="00FB13C9">
        <w:t>TYCH</w:t>
      </w:r>
      <w:r w:rsidR="00FB13C9" w:rsidRPr="00107EFE">
        <w:t xml:space="preserve"> </w:t>
      </w:r>
      <w:r w:rsidRPr="00107EFE">
        <w:t>WZGLĘDÓW TRYBUNAŁ JEDNOGŁOŚNIE</w:t>
      </w:r>
    </w:p>
    <w:p w14:paraId="4669FF0C" w14:textId="74E0F341" w:rsidR="00885C81" w:rsidRPr="00107EFE" w:rsidRDefault="00000000" w:rsidP="00005DE2">
      <w:pPr>
        <w:pStyle w:val="JuList"/>
      </w:pPr>
      <w:r w:rsidRPr="00107EFE">
        <w:rPr>
          <w:i/>
          <w:iCs/>
        </w:rPr>
        <w:t>odrzuca</w:t>
      </w:r>
      <w:r w:rsidRPr="00107EFE">
        <w:t xml:space="preserve"> wniosek Rządu o skreślenie </w:t>
      </w:r>
      <w:r w:rsidR="00C03DDA" w:rsidRPr="00107EFE">
        <w:t>skar</w:t>
      </w:r>
      <w:r w:rsidR="00C03DDA">
        <w:t>gi</w:t>
      </w:r>
      <w:r w:rsidR="00C03DDA" w:rsidRPr="00107EFE">
        <w:t xml:space="preserve"> </w:t>
      </w:r>
      <w:r w:rsidRPr="00107EFE">
        <w:t xml:space="preserve">z listy na podstawie </w:t>
      </w:r>
      <w:r w:rsidR="00FB13C9" w:rsidRPr="00107EFE">
        <w:t xml:space="preserve">deklaracji </w:t>
      </w:r>
      <w:r w:rsidRPr="00107EFE">
        <w:t>jednostronnej;</w:t>
      </w:r>
    </w:p>
    <w:p w14:paraId="6B6A5050" w14:textId="77777777" w:rsidR="00885C81" w:rsidRPr="00107EFE" w:rsidRDefault="00000000" w:rsidP="00005DE2">
      <w:pPr>
        <w:pStyle w:val="JuList"/>
      </w:pPr>
      <w:r w:rsidRPr="00107EFE">
        <w:rPr>
          <w:i/>
          <w:iCs/>
        </w:rPr>
        <w:t>uznaje</w:t>
      </w:r>
      <w:r w:rsidRPr="00107EFE">
        <w:t xml:space="preserve"> skargę za dopuszczalną;</w:t>
      </w:r>
    </w:p>
    <w:p w14:paraId="68980EE9" w14:textId="77777777" w:rsidR="00885C81" w:rsidRPr="00107EFE" w:rsidRDefault="00000000" w:rsidP="00005DE2">
      <w:pPr>
        <w:pStyle w:val="JuList"/>
      </w:pPr>
      <w:r w:rsidRPr="00107EFE">
        <w:rPr>
          <w:i/>
          <w:iCs/>
        </w:rPr>
        <w:t>stwierdza</w:t>
      </w:r>
      <w:r w:rsidRPr="00107EFE">
        <w:t>, że skarga ujawnia naruszenie art. 6 ust. 1 i art. 13 Konwencji dotyczące przewlekłości postępowania cywilnego i braku skutecznego środka odwoławczego w prawie krajowym;</w:t>
      </w:r>
    </w:p>
    <w:p w14:paraId="2C80F89B" w14:textId="77777777" w:rsidR="00885C81" w:rsidRPr="00107EFE" w:rsidRDefault="00000000" w:rsidP="00005DE2">
      <w:pPr>
        <w:pStyle w:val="JuList"/>
      </w:pPr>
      <w:r w:rsidRPr="00107EFE">
        <w:rPr>
          <w:i/>
          <w:iCs/>
        </w:rPr>
        <w:t>stwierdza</w:t>
      </w:r>
    </w:p>
    <w:p w14:paraId="6ACE24BA" w14:textId="74E0FFF1" w:rsidR="00885C81" w:rsidRPr="00107EFE" w:rsidRDefault="00000000" w:rsidP="00005DE2">
      <w:pPr>
        <w:pStyle w:val="JuLista"/>
      </w:pPr>
      <w:r w:rsidRPr="00107EFE">
        <w:t>że pozwane państwo winno</w:t>
      </w:r>
      <w:r w:rsidR="002307DE">
        <w:t xml:space="preserve"> uiścić</w:t>
      </w:r>
      <w:r w:rsidRPr="00107EFE">
        <w:t>, w terminie trzech miesięcy, na rzecz skarżącego kwotę wskazaną w załączonej tabeli, przeliczoną na walutę pozwanego państwa według kursu obowiązującego w dniu płatności;</w:t>
      </w:r>
    </w:p>
    <w:p w14:paraId="0163EC49" w14:textId="76C7C027" w:rsidR="00787E12" w:rsidRPr="00107EFE" w:rsidRDefault="00000000" w:rsidP="00005DE2">
      <w:pPr>
        <w:pStyle w:val="JuLista"/>
      </w:pPr>
      <w:r w:rsidRPr="00107EFE">
        <w:t>że</w:t>
      </w:r>
      <w:r w:rsidR="00C03DDA">
        <w:t>,</w:t>
      </w:r>
      <w:r w:rsidRPr="00107EFE">
        <w:t xml:space="preserve"> od upływu wyżej wskazanego terminu trzech miesięcy aż do momentu </w:t>
      </w:r>
      <w:r w:rsidR="002307DE">
        <w:t>płatności</w:t>
      </w:r>
      <w:r w:rsidRPr="00107EFE">
        <w:t xml:space="preserve">, należne będą odsetki zwykłe od określonej powyżej kwoty, naliczone według stopy równej marginalnej stopie </w:t>
      </w:r>
      <w:r w:rsidRPr="00107EFE">
        <w:lastRenderedPageBreak/>
        <w:t>procentowej Europejskiego Banku Centralnego obowiązującej w tym okresie, powiększonej o trzy punkty procentowe</w:t>
      </w:r>
      <w:r w:rsidR="00C03DDA">
        <w:t>.</w:t>
      </w:r>
    </w:p>
    <w:p w14:paraId="716C519B" w14:textId="68237EE4" w:rsidR="00C43D38" w:rsidRPr="00107EFE" w:rsidRDefault="00000000" w:rsidP="00005DE2">
      <w:pPr>
        <w:pStyle w:val="JuParaLast"/>
      </w:pPr>
      <w:r w:rsidRPr="00107EFE">
        <w:t>Sporządzono w języku angielskim i obwieszczono pisemnie 8</w:t>
      </w:r>
      <w:r w:rsidR="00C03DDA">
        <w:t> </w:t>
      </w:r>
      <w:r w:rsidRPr="00107EFE">
        <w:t>lutego 2024 r.</w:t>
      </w:r>
      <w:r w:rsidR="002307DE">
        <w:t>,</w:t>
      </w:r>
      <w:r w:rsidRPr="00107EFE">
        <w:t xml:space="preserve"> zgodnie z Regułą 77 </w:t>
      </w:r>
      <w:r w:rsidR="00C03DDA" w:rsidRPr="00107EFE">
        <w:t>§</w:t>
      </w:r>
      <w:r w:rsidRPr="00107EFE">
        <w:t>§ 2 i 3 Regulaminu Trybunału.</w:t>
      </w:r>
    </w:p>
    <w:p w14:paraId="6383A423" w14:textId="77777777" w:rsidR="00656431" w:rsidRPr="00107EFE" w:rsidRDefault="00000000" w:rsidP="00005DE2">
      <w:pPr>
        <w:pStyle w:val="ECHRPlaceholder"/>
        <w:rPr>
          <w:szCs w:val="22"/>
        </w:rPr>
      </w:pPr>
      <w:r w:rsidRPr="00107EFE">
        <w:tab/>
      </w:r>
    </w:p>
    <w:p w14:paraId="1E1B4A59" w14:textId="74B256C1" w:rsidR="0015374D" w:rsidRPr="0015374D" w:rsidRDefault="0015374D" w:rsidP="0015374D">
      <w:pPr>
        <w:pStyle w:val="JuSigned"/>
        <w:rPr>
          <w:rFonts w:eastAsia="PMingLiU"/>
        </w:rPr>
      </w:pPr>
      <w:r w:rsidRPr="00005DE2">
        <w:rPr>
          <w:rFonts w:eastAsia="PMingLiU"/>
        </w:rPr>
        <w:tab/>
      </w:r>
      <w:proofErr w:type="spellStart"/>
      <w:r w:rsidRPr="0015374D">
        <w:rPr>
          <w:rFonts w:eastAsia="PMingLiU"/>
        </w:rPr>
        <w:t>Viktoriya</w:t>
      </w:r>
      <w:proofErr w:type="spellEnd"/>
      <w:r w:rsidRPr="0015374D">
        <w:rPr>
          <w:rFonts w:eastAsia="PMingLiU"/>
        </w:rPr>
        <w:t xml:space="preserve"> </w:t>
      </w:r>
      <w:proofErr w:type="spellStart"/>
      <w:r w:rsidRPr="0015374D">
        <w:rPr>
          <w:rFonts w:eastAsia="PMingLiU"/>
        </w:rPr>
        <w:t>Maradudina</w:t>
      </w:r>
      <w:proofErr w:type="spellEnd"/>
      <w:r w:rsidRPr="0015374D">
        <w:rPr>
          <w:rFonts w:eastAsia="PMingLiU"/>
        </w:rPr>
        <w:tab/>
      </w:r>
      <w:proofErr w:type="spellStart"/>
      <w:r w:rsidRPr="0015374D">
        <w:rPr>
          <w:rFonts w:eastAsia="PMingLiU"/>
        </w:rPr>
        <w:t>Péter</w:t>
      </w:r>
      <w:proofErr w:type="spellEnd"/>
      <w:r w:rsidRPr="0015374D">
        <w:rPr>
          <w:rFonts w:eastAsia="PMingLiU"/>
        </w:rPr>
        <w:t xml:space="preserve"> </w:t>
      </w:r>
      <w:proofErr w:type="spellStart"/>
      <w:r w:rsidRPr="0015374D">
        <w:rPr>
          <w:rFonts w:eastAsia="PMingLiU"/>
        </w:rPr>
        <w:t>Paczolay</w:t>
      </w:r>
      <w:proofErr w:type="spellEnd"/>
      <w:r w:rsidRPr="0015374D">
        <w:rPr>
          <w:rFonts w:eastAsia="PMingLiU"/>
        </w:rPr>
        <w:br/>
      </w:r>
      <w:r w:rsidRPr="0015374D">
        <w:rPr>
          <w:rFonts w:eastAsia="PMingLiU"/>
        </w:rPr>
        <w:tab/>
      </w:r>
      <w:r w:rsidRPr="00975501">
        <w:rPr>
          <w:rFonts w:eastAsia="PMingLiU"/>
        </w:rPr>
        <w:t>p.o. Zastę</w:t>
      </w:r>
      <w:r>
        <w:rPr>
          <w:rFonts w:eastAsia="PMingLiU"/>
        </w:rPr>
        <w:t>pcy Kanclerza Sekcji</w:t>
      </w:r>
      <w:r w:rsidRPr="0015374D">
        <w:rPr>
          <w:rFonts w:eastAsia="PMingLiU"/>
        </w:rPr>
        <w:tab/>
      </w:r>
      <w:r>
        <w:rPr>
          <w:rFonts w:eastAsia="PMingLiU"/>
        </w:rPr>
        <w:t>Przewodniczący</w:t>
      </w:r>
    </w:p>
    <w:p w14:paraId="53F5D8BB" w14:textId="77777777" w:rsidR="00787E12" w:rsidRPr="0015374D" w:rsidRDefault="00787E12" w:rsidP="00005DE2">
      <w:pPr>
        <w:pStyle w:val="JuSigned"/>
        <w:tabs>
          <w:tab w:val="left" w:pos="5115"/>
        </w:tabs>
        <w:contextualSpacing/>
        <w:rPr>
          <w:rFonts w:eastAsia="PMingLiU"/>
        </w:rPr>
      </w:pPr>
    </w:p>
    <w:p w14:paraId="19887333" w14:textId="77777777" w:rsidR="00787E12" w:rsidRPr="0015374D" w:rsidRDefault="00787E12" w:rsidP="00005DE2">
      <w:pPr>
        <w:pStyle w:val="JuParaLast"/>
        <w:sectPr w:rsidR="00787E12" w:rsidRPr="0015374D" w:rsidSect="00EB205C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22B82945" w14:textId="77777777" w:rsidR="00787E12" w:rsidRPr="00107EFE" w:rsidRDefault="00000000" w:rsidP="00005DE2">
      <w:pPr>
        <w:pStyle w:val="DecHTitle"/>
      </w:pPr>
      <w:r w:rsidRPr="00107EFE">
        <w:lastRenderedPageBreak/>
        <w:t>ZAŁĄCZNIK</w:t>
      </w:r>
    </w:p>
    <w:p w14:paraId="0E140952" w14:textId="77777777" w:rsidR="00787E12" w:rsidRPr="00107EFE" w:rsidRDefault="00000000" w:rsidP="00005DE2">
      <w:pPr>
        <w:pStyle w:val="DecHCase"/>
        <w:contextualSpacing/>
        <w:rPr>
          <w:b/>
          <w:i/>
          <w:color w:val="3E3E3E" w:themeColor="background2" w:themeShade="40"/>
        </w:rPr>
      </w:pPr>
      <w:r w:rsidRPr="00107EFE">
        <w:rPr>
          <w:color w:val="3E3E3E" w:themeColor="background2" w:themeShade="40"/>
        </w:rPr>
        <w:t>Skarga zawierająca zarzuty na podstawie art. 6 ust. 1 i art. 13 Konwencji</w:t>
      </w:r>
    </w:p>
    <w:p w14:paraId="31B64CAE" w14:textId="77777777" w:rsidR="00787E12" w:rsidRPr="00107EFE" w:rsidRDefault="00000000" w:rsidP="00005DE2">
      <w:pPr>
        <w:pStyle w:val="DecHCase"/>
        <w:contextualSpacing/>
        <w:rPr>
          <w:b/>
          <w:i/>
        </w:rPr>
      </w:pPr>
      <w:r w:rsidRPr="00107EFE">
        <w:rPr>
          <w:color w:val="3E3E3E" w:themeColor="background2" w:themeShade="40"/>
        </w:rPr>
        <w:t>(przewlekłość postępowania cywilnego oraz brak skutecznego środka odwoławczego w prawie krajowym)</w:t>
      </w:r>
    </w:p>
    <w:tbl>
      <w:tblPr>
        <w:tblStyle w:val="ECHRListTable"/>
        <w:tblW w:w="11194" w:type="dxa"/>
        <w:jc w:val="center"/>
        <w:tblLook w:val="0420" w:firstRow="1" w:lastRow="0" w:firstColumn="0" w:lastColumn="0" w:noHBand="0" w:noVBand="1"/>
      </w:tblPr>
      <w:tblGrid>
        <w:gridCol w:w="1254"/>
        <w:gridCol w:w="1261"/>
        <w:gridCol w:w="1150"/>
        <w:gridCol w:w="1150"/>
        <w:gridCol w:w="1548"/>
        <w:gridCol w:w="2337"/>
        <w:gridCol w:w="2494"/>
      </w:tblGrid>
      <w:tr w:rsidR="002D1F48" w:rsidRPr="00107EFE" w14:paraId="78667C1F" w14:textId="77777777" w:rsidTr="002D1F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271" w:type="dxa"/>
          </w:tcPr>
          <w:p w14:paraId="39A88A66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bookmarkStart w:id="2" w:name="WECLListStart"/>
            <w:bookmarkEnd w:id="2"/>
            <w:r w:rsidRPr="00107EFE">
              <w:rPr>
                <w:sz w:val="16"/>
                <w:szCs w:val="18"/>
              </w:rPr>
              <w:t>Skarga nr</w:t>
            </w:r>
          </w:p>
          <w:p w14:paraId="11D24712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Data złożenia</w:t>
            </w:r>
          </w:p>
        </w:tc>
        <w:tc>
          <w:tcPr>
            <w:tcW w:w="1276" w:type="dxa"/>
          </w:tcPr>
          <w:p w14:paraId="4AFD331D" w14:textId="3527EED2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Imię i</w:t>
            </w:r>
            <w:r w:rsidR="00224AB9">
              <w:rPr>
                <w:sz w:val="16"/>
                <w:szCs w:val="18"/>
              </w:rPr>
              <w:t> </w:t>
            </w:r>
            <w:r w:rsidRPr="00107EFE">
              <w:rPr>
                <w:sz w:val="16"/>
                <w:szCs w:val="18"/>
              </w:rPr>
              <w:t>nazwisko skarżącego</w:t>
            </w:r>
          </w:p>
          <w:p w14:paraId="6E9EB480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Rok urodzenia</w:t>
            </w:r>
          </w:p>
          <w:p w14:paraId="597F91F4" w14:textId="77777777" w:rsidR="00933317" w:rsidRPr="00107EFE" w:rsidRDefault="00933317" w:rsidP="00005DE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0E0F166F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Wszczęcie postępowania</w:t>
            </w:r>
          </w:p>
        </w:tc>
        <w:tc>
          <w:tcPr>
            <w:tcW w:w="0" w:type="auto"/>
          </w:tcPr>
          <w:p w14:paraId="73DC5D2A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Zakończenie postępowania</w:t>
            </w:r>
          </w:p>
        </w:tc>
        <w:tc>
          <w:tcPr>
            <w:tcW w:w="1583" w:type="dxa"/>
          </w:tcPr>
          <w:p w14:paraId="67EF00FA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Łączny czas trwania</w:t>
            </w:r>
          </w:p>
          <w:p w14:paraId="5705663D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Instancje</w:t>
            </w:r>
          </w:p>
        </w:tc>
        <w:tc>
          <w:tcPr>
            <w:tcW w:w="2410" w:type="dxa"/>
          </w:tcPr>
          <w:p w14:paraId="05300FD3" w14:textId="57396DBA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Decyzja krajowa w sprawie skargi na mocy ustawy z</w:t>
            </w:r>
            <w:r w:rsidR="006B33AF">
              <w:rPr>
                <w:sz w:val="16"/>
                <w:szCs w:val="18"/>
              </w:rPr>
              <w:t> </w:t>
            </w:r>
            <w:r w:rsidRPr="00107EFE">
              <w:rPr>
                <w:sz w:val="16"/>
                <w:szCs w:val="18"/>
              </w:rPr>
              <w:t>2004</w:t>
            </w:r>
            <w:r w:rsidR="006B33AF">
              <w:rPr>
                <w:sz w:val="16"/>
                <w:szCs w:val="18"/>
              </w:rPr>
              <w:t> </w:t>
            </w:r>
            <w:r w:rsidRPr="00107EFE">
              <w:rPr>
                <w:sz w:val="16"/>
                <w:szCs w:val="18"/>
              </w:rPr>
              <w:t>r.</w:t>
            </w:r>
          </w:p>
          <w:p w14:paraId="1FDBC714" w14:textId="77777777" w:rsidR="00C74236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Kwota zasądzona przez sąd krajowy</w:t>
            </w:r>
          </w:p>
          <w:p w14:paraId="4D71114C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(w PLN)</w:t>
            </w:r>
          </w:p>
        </w:tc>
        <w:tc>
          <w:tcPr>
            <w:tcW w:w="2552" w:type="dxa"/>
          </w:tcPr>
          <w:p w14:paraId="05B171F2" w14:textId="51336D88" w:rsidR="00C74236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Kwota zasądzona tytułem odszkodowania za szkodę majątkową i zadośćuczynienia za szkodę niemajątkową oraz zwrotu kosztów i wydatków</w:t>
            </w:r>
          </w:p>
          <w:p w14:paraId="036D0285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na jednego skarżącego</w:t>
            </w:r>
          </w:p>
          <w:p w14:paraId="0806653D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(w EUR)</w:t>
            </w:r>
            <w:r w:rsidRPr="00107EFE"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2D1F48" w:rsidRPr="00107EFE" w14:paraId="14BEAE8E" w14:textId="77777777" w:rsidTr="002D1F48">
        <w:trPr>
          <w:jc w:val="center"/>
        </w:trPr>
        <w:tc>
          <w:tcPr>
            <w:tcW w:w="1271" w:type="dxa"/>
          </w:tcPr>
          <w:p w14:paraId="0EB49C7D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12686/22</w:t>
            </w:r>
          </w:p>
          <w:p w14:paraId="41E41830" w14:textId="3CFDE900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25.02.2022</w:t>
            </w:r>
          </w:p>
        </w:tc>
        <w:tc>
          <w:tcPr>
            <w:tcW w:w="1276" w:type="dxa"/>
          </w:tcPr>
          <w:p w14:paraId="6680CCCA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b/>
                <w:sz w:val="16"/>
                <w:szCs w:val="18"/>
              </w:rPr>
              <w:t>Krzysztof NAWROT</w:t>
            </w:r>
          </w:p>
          <w:p w14:paraId="763D5C0A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 xml:space="preserve">1981 </w:t>
            </w:r>
          </w:p>
        </w:tc>
        <w:tc>
          <w:tcPr>
            <w:tcW w:w="1034" w:type="dxa"/>
          </w:tcPr>
          <w:p w14:paraId="2B00D2BC" w14:textId="73E082BC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11.08.2016</w:t>
            </w:r>
          </w:p>
          <w:p w14:paraId="59A14DBD" w14:textId="77777777" w:rsidR="00933317" w:rsidRPr="00107EFE" w:rsidRDefault="00933317" w:rsidP="00005DE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0" w:type="auto"/>
          </w:tcPr>
          <w:p w14:paraId="1C302487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w toku</w:t>
            </w:r>
          </w:p>
          <w:p w14:paraId="7DF612DA" w14:textId="77777777" w:rsidR="00933317" w:rsidRPr="00107EFE" w:rsidRDefault="00933317" w:rsidP="00005DE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83" w:type="dxa"/>
          </w:tcPr>
          <w:p w14:paraId="643E1DCB" w14:textId="0704490E" w:rsidR="00C74236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Ponad 7 lat, 3</w:t>
            </w:r>
            <w:r w:rsidR="006B33AF">
              <w:rPr>
                <w:sz w:val="16"/>
                <w:szCs w:val="18"/>
              </w:rPr>
              <w:t> </w:t>
            </w:r>
            <w:r w:rsidRPr="00107EFE">
              <w:rPr>
                <w:sz w:val="16"/>
                <w:szCs w:val="18"/>
              </w:rPr>
              <w:t>miesiące i 21 dni</w:t>
            </w:r>
          </w:p>
          <w:p w14:paraId="3E09E477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1 instancja</w:t>
            </w:r>
          </w:p>
          <w:p w14:paraId="1C8E7C67" w14:textId="77777777" w:rsidR="00933317" w:rsidRPr="00107EFE" w:rsidRDefault="00933317" w:rsidP="00005DE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410" w:type="dxa"/>
          </w:tcPr>
          <w:p w14:paraId="214746B9" w14:textId="4762B816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Sąd Apelacyjny w Warszawie, 09.12.2020, sygn. akt V S 226/20, 3</w:t>
            </w:r>
            <w:r w:rsidR="006F6FC0">
              <w:rPr>
                <w:sz w:val="16"/>
                <w:szCs w:val="18"/>
              </w:rPr>
              <w:t> </w:t>
            </w:r>
            <w:r w:rsidRPr="00107EFE">
              <w:rPr>
                <w:sz w:val="16"/>
                <w:szCs w:val="18"/>
              </w:rPr>
              <w:t>000 PLN;</w:t>
            </w:r>
          </w:p>
          <w:p w14:paraId="4670EFBD" w14:textId="313CF032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Sąd Apelacyjny w Warszawie, 29.08.2023, sygn. akt VI S 195/23, 1 000 PLN</w:t>
            </w:r>
          </w:p>
        </w:tc>
        <w:tc>
          <w:tcPr>
            <w:tcW w:w="2552" w:type="dxa"/>
          </w:tcPr>
          <w:p w14:paraId="75A9F8E7" w14:textId="77777777" w:rsidR="00933317" w:rsidRPr="00107EFE" w:rsidRDefault="00000000" w:rsidP="00005DE2">
            <w:pPr>
              <w:jc w:val="center"/>
              <w:rPr>
                <w:sz w:val="16"/>
                <w:szCs w:val="18"/>
              </w:rPr>
            </w:pPr>
            <w:r w:rsidRPr="00107EFE">
              <w:rPr>
                <w:sz w:val="16"/>
                <w:szCs w:val="18"/>
              </w:rPr>
              <w:t>3 900</w:t>
            </w:r>
          </w:p>
        </w:tc>
      </w:tr>
    </w:tbl>
    <w:p w14:paraId="723B4225" w14:textId="77777777" w:rsidR="00791456" w:rsidRPr="00107EFE" w:rsidRDefault="00791456" w:rsidP="00005DE2"/>
    <w:sectPr w:rsidR="00791456" w:rsidRPr="00107EFE" w:rsidSect="00EB205C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322B0" w14:textId="77777777" w:rsidR="00EB205C" w:rsidRDefault="00EB205C">
      <w:r>
        <w:separator/>
      </w:r>
    </w:p>
  </w:endnote>
  <w:endnote w:type="continuationSeparator" w:id="0">
    <w:p w14:paraId="0B746A74" w14:textId="77777777" w:rsidR="00EB205C" w:rsidRDefault="00EB2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4683C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652B4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5C2C7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55830C11" wp14:editId="1F72DD4A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4E0038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DF539" w14:textId="77777777" w:rsidR="00EB205C" w:rsidRPr="00611E1D" w:rsidRDefault="00EB205C" w:rsidP="00787E12">
      <w:r w:rsidRPr="00611E1D">
        <w:separator/>
      </w:r>
    </w:p>
  </w:footnote>
  <w:footnote w:type="continuationSeparator" w:id="0">
    <w:p w14:paraId="45B6764A" w14:textId="77777777" w:rsidR="00EB205C" w:rsidRPr="00611E1D" w:rsidRDefault="00EB205C" w:rsidP="00787E12">
      <w:r w:rsidRPr="00611E1D">
        <w:continuationSeparator/>
      </w:r>
    </w:p>
  </w:footnote>
  <w:footnote w:id="1">
    <w:p w14:paraId="14A0360E" w14:textId="2AF9D203" w:rsidR="00933317" w:rsidRPr="001D77A6" w:rsidRDefault="00000000" w:rsidP="00885C81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742F1E">
        <w:t xml:space="preserve">Powiększona </w:t>
      </w:r>
      <w:r>
        <w:t xml:space="preserve">o </w:t>
      </w:r>
      <w:r w:rsidR="00742F1E">
        <w:t xml:space="preserve">wszelkie podatki </w:t>
      </w:r>
      <w:r>
        <w:t xml:space="preserve">należne </w:t>
      </w:r>
      <w:r w:rsidR="00742F1E">
        <w:t>od skarżącego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01772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3D8D0B8D" wp14:editId="6700F377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C03906" w14:textId="77777777" w:rsidR="00787E12" w:rsidRPr="00611E1D" w:rsidRDefault="00787E12" w:rsidP="000318F7">
    <w:pPr>
      <w:jc w:val="center"/>
      <w:rPr>
        <w:sz w:val="4"/>
        <w:szCs w:val="4"/>
      </w:rPr>
    </w:pPr>
  </w:p>
  <w:p w14:paraId="5C584F07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F76D" w14:textId="77777777" w:rsidR="00885C81" w:rsidRPr="00A45145" w:rsidRDefault="00000000" w:rsidP="00A45145">
    <w:pPr>
      <w:jc w:val="center"/>
    </w:pPr>
    <w:r>
      <w:rPr>
        <w:noProof/>
      </w:rPr>
      <w:drawing>
        <wp:inline distT="0" distB="0" distL="0" distR="0" wp14:anchorId="2A8914DE" wp14:editId="67F24D0E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C2D9CD" w14:textId="77777777" w:rsidR="008D51B6" w:rsidRPr="004F56E2" w:rsidRDefault="008D51B6" w:rsidP="008D51B6">
    <w:pPr>
      <w:pStyle w:val="Nagwek"/>
    </w:pPr>
  </w:p>
  <w:p w14:paraId="2E2A7912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84AE5" w14:textId="77777777" w:rsidR="00787E12" w:rsidRPr="005C3A15" w:rsidRDefault="00000000" w:rsidP="006372F5">
    <w:pPr>
      <w:pStyle w:val="JuHeader"/>
    </w:pPr>
    <w:r>
      <w:t>WYROK W SPRAWIE NAWROT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F6DBF" w14:textId="77777777" w:rsidR="00787E12" w:rsidRPr="00DE7D3F" w:rsidRDefault="00000000" w:rsidP="00BD554D">
    <w:pPr>
      <w:pStyle w:val="JuHeader"/>
    </w:pPr>
    <w:r>
      <w:t>WYROK W SPRAWIE NAWROT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69EE9" w14:textId="77777777" w:rsidR="008B3FB7" w:rsidRPr="005C3A15" w:rsidRDefault="00000000" w:rsidP="00E026EC">
    <w:pPr>
      <w:pStyle w:val="JuHeader"/>
    </w:pPr>
    <w:r>
      <w:t>WYROK W SPRAWIE NAWROT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B2841" w14:textId="77777777" w:rsidR="008B3FB7" w:rsidRPr="00DE7D3F" w:rsidRDefault="00000000" w:rsidP="00E026EC">
    <w:pPr>
      <w:pStyle w:val="JuHeader"/>
    </w:pPr>
    <w:r>
      <w:t>WYROK W SPRAWIE NAWROT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C62AE22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D45AF71C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8884AE4E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8AE4B2C0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1C041946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D346DBCA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5DD6558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6910E7FE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89B4638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975940755">
    <w:abstractNumId w:val="14"/>
  </w:num>
  <w:num w:numId="2" w16cid:durableId="1625237618">
    <w:abstractNumId w:val="12"/>
  </w:num>
  <w:num w:numId="3" w16cid:durableId="684599036">
    <w:abstractNumId w:val="11"/>
  </w:num>
  <w:num w:numId="4" w16cid:durableId="1051156191">
    <w:abstractNumId w:val="15"/>
  </w:num>
  <w:num w:numId="5" w16cid:durableId="1234004224">
    <w:abstractNumId w:val="13"/>
  </w:num>
  <w:num w:numId="6" w16cid:durableId="321928214">
    <w:abstractNumId w:val="16"/>
  </w:num>
  <w:num w:numId="7" w16cid:durableId="349069915">
    <w:abstractNumId w:val="15"/>
  </w:num>
  <w:num w:numId="8" w16cid:durableId="591934394">
    <w:abstractNumId w:val="16"/>
  </w:num>
  <w:num w:numId="9" w16cid:durableId="1449466774">
    <w:abstractNumId w:val="10"/>
  </w:num>
  <w:num w:numId="10" w16cid:durableId="133109379">
    <w:abstractNumId w:val="9"/>
  </w:num>
  <w:num w:numId="11" w16cid:durableId="1449354736">
    <w:abstractNumId w:val="17"/>
  </w:num>
  <w:num w:numId="12" w16cid:durableId="112795210">
    <w:abstractNumId w:val="7"/>
  </w:num>
  <w:num w:numId="13" w16cid:durableId="1373845607">
    <w:abstractNumId w:val="6"/>
  </w:num>
  <w:num w:numId="14" w16cid:durableId="986129975">
    <w:abstractNumId w:val="5"/>
  </w:num>
  <w:num w:numId="15" w16cid:durableId="1855915633">
    <w:abstractNumId w:val="4"/>
  </w:num>
  <w:num w:numId="16" w16cid:durableId="1809779669">
    <w:abstractNumId w:val="8"/>
  </w:num>
  <w:num w:numId="17" w16cid:durableId="1882664509">
    <w:abstractNumId w:val="3"/>
  </w:num>
  <w:num w:numId="18" w16cid:durableId="643395424">
    <w:abstractNumId w:val="2"/>
  </w:num>
  <w:num w:numId="19" w16cid:durableId="459691976">
    <w:abstractNumId w:val="1"/>
  </w:num>
  <w:num w:numId="20" w16cid:durableId="1665433587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885C81"/>
    <w:rsid w:val="00005DE2"/>
    <w:rsid w:val="000318F7"/>
    <w:rsid w:val="00043C5A"/>
    <w:rsid w:val="00063B81"/>
    <w:rsid w:val="0007300B"/>
    <w:rsid w:val="000A5D1C"/>
    <w:rsid w:val="000B7F3F"/>
    <w:rsid w:val="000C5149"/>
    <w:rsid w:val="000F4BE8"/>
    <w:rsid w:val="00107EFE"/>
    <w:rsid w:val="00127A7E"/>
    <w:rsid w:val="00135384"/>
    <w:rsid w:val="00150BFA"/>
    <w:rsid w:val="0015374D"/>
    <w:rsid w:val="00173A91"/>
    <w:rsid w:val="001904D3"/>
    <w:rsid w:val="001A15B6"/>
    <w:rsid w:val="001A3C4A"/>
    <w:rsid w:val="001C6EAC"/>
    <w:rsid w:val="001D77A6"/>
    <w:rsid w:val="001D7CD3"/>
    <w:rsid w:val="001F3812"/>
    <w:rsid w:val="002056B7"/>
    <w:rsid w:val="0020718E"/>
    <w:rsid w:val="00224AB9"/>
    <w:rsid w:val="002307DE"/>
    <w:rsid w:val="0023364D"/>
    <w:rsid w:val="0029309A"/>
    <w:rsid w:val="002C0E28"/>
    <w:rsid w:val="002C5B23"/>
    <w:rsid w:val="002D0D6A"/>
    <w:rsid w:val="002D1F48"/>
    <w:rsid w:val="00315159"/>
    <w:rsid w:val="00337785"/>
    <w:rsid w:val="0037589C"/>
    <w:rsid w:val="004059A7"/>
    <w:rsid w:val="0048584C"/>
    <w:rsid w:val="00493ADA"/>
    <w:rsid w:val="004940D0"/>
    <w:rsid w:val="00494F95"/>
    <w:rsid w:val="00497FF8"/>
    <w:rsid w:val="004B0B4E"/>
    <w:rsid w:val="004D042B"/>
    <w:rsid w:val="004D0EC7"/>
    <w:rsid w:val="004D335B"/>
    <w:rsid w:val="004F56E2"/>
    <w:rsid w:val="00555A1D"/>
    <w:rsid w:val="00573202"/>
    <w:rsid w:val="005B102C"/>
    <w:rsid w:val="005B16C1"/>
    <w:rsid w:val="005B1A20"/>
    <w:rsid w:val="005C3A15"/>
    <w:rsid w:val="005D6549"/>
    <w:rsid w:val="005F60F9"/>
    <w:rsid w:val="00611E1D"/>
    <w:rsid w:val="00613EE8"/>
    <w:rsid w:val="006372F5"/>
    <w:rsid w:val="00642B0C"/>
    <w:rsid w:val="00651927"/>
    <w:rsid w:val="00656431"/>
    <w:rsid w:val="00677CBA"/>
    <w:rsid w:val="006B33AF"/>
    <w:rsid w:val="006C1078"/>
    <w:rsid w:val="006C5891"/>
    <w:rsid w:val="006D324D"/>
    <w:rsid w:val="006F6FC0"/>
    <w:rsid w:val="00742F1E"/>
    <w:rsid w:val="00743B2A"/>
    <w:rsid w:val="00746D19"/>
    <w:rsid w:val="00774D72"/>
    <w:rsid w:val="00787E12"/>
    <w:rsid w:val="00791456"/>
    <w:rsid w:val="007A72B4"/>
    <w:rsid w:val="007F018A"/>
    <w:rsid w:val="00817E88"/>
    <w:rsid w:val="00825E0B"/>
    <w:rsid w:val="008522DD"/>
    <w:rsid w:val="00860732"/>
    <w:rsid w:val="00885C81"/>
    <w:rsid w:val="008A0E2E"/>
    <w:rsid w:val="008B3FB7"/>
    <w:rsid w:val="008C6474"/>
    <w:rsid w:val="008D2D45"/>
    <w:rsid w:val="008D4DE9"/>
    <w:rsid w:val="008D51B6"/>
    <w:rsid w:val="008E146B"/>
    <w:rsid w:val="008F4521"/>
    <w:rsid w:val="0091514B"/>
    <w:rsid w:val="00920127"/>
    <w:rsid w:val="0092528C"/>
    <w:rsid w:val="00933317"/>
    <w:rsid w:val="009522DD"/>
    <w:rsid w:val="00975501"/>
    <w:rsid w:val="00A062B9"/>
    <w:rsid w:val="00A07BFD"/>
    <w:rsid w:val="00A329E0"/>
    <w:rsid w:val="00A34A54"/>
    <w:rsid w:val="00A44415"/>
    <w:rsid w:val="00A45145"/>
    <w:rsid w:val="00A6104A"/>
    <w:rsid w:val="00A76833"/>
    <w:rsid w:val="00A94CA7"/>
    <w:rsid w:val="00AC03BB"/>
    <w:rsid w:val="00B147AB"/>
    <w:rsid w:val="00B216C1"/>
    <w:rsid w:val="00B64153"/>
    <w:rsid w:val="00B72672"/>
    <w:rsid w:val="00B91668"/>
    <w:rsid w:val="00BD3239"/>
    <w:rsid w:val="00BD554D"/>
    <w:rsid w:val="00BE0A6F"/>
    <w:rsid w:val="00BE2415"/>
    <w:rsid w:val="00C03DDA"/>
    <w:rsid w:val="00C20CC3"/>
    <w:rsid w:val="00C35F0A"/>
    <w:rsid w:val="00C43D38"/>
    <w:rsid w:val="00C74236"/>
    <w:rsid w:val="00C877A3"/>
    <w:rsid w:val="00CD2715"/>
    <w:rsid w:val="00D23997"/>
    <w:rsid w:val="00D26352"/>
    <w:rsid w:val="00D46774"/>
    <w:rsid w:val="00DE7D3F"/>
    <w:rsid w:val="00E026EC"/>
    <w:rsid w:val="00E9513E"/>
    <w:rsid w:val="00EB205C"/>
    <w:rsid w:val="00EC1A3A"/>
    <w:rsid w:val="00ED7723"/>
    <w:rsid w:val="00F0165B"/>
    <w:rsid w:val="00F143D3"/>
    <w:rsid w:val="00F22D42"/>
    <w:rsid w:val="00F721B6"/>
    <w:rsid w:val="00F9607E"/>
    <w:rsid w:val="00FB13C9"/>
    <w:rsid w:val="00FB16F8"/>
    <w:rsid w:val="00FC0500"/>
    <w:rsid w:val="00FC2857"/>
    <w:rsid w:val="00FD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468A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07E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2024-02-16T14:19:00Z</dcterms:created>
  <dcterms:modified xsi:type="dcterms:W3CDTF">2024-02-19T08:48:00Z</dcterms:modified>
  <cp:category/>
</cp:coreProperties>
</file>