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51852" w14:textId="77777777" w:rsidR="008D51B6" w:rsidRPr="00EC3230" w:rsidRDefault="008D51B6" w:rsidP="00EC3230">
      <w:pPr>
        <w:jc w:val="center"/>
      </w:pPr>
    </w:p>
    <w:p w14:paraId="2CD2B7F7" w14:textId="77777777" w:rsidR="004D042B" w:rsidRPr="00EC3230" w:rsidRDefault="004D042B" w:rsidP="00EC3230">
      <w:pPr>
        <w:jc w:val="center"/>
      </w:pPr>
    </w:p>
    <w:p w14:paraId="2AE83EB9" w14:textId="77777777" w:rsidR="000C5149" w:rsidRPr="00EC3230" w:rsidRDefault="000C5149" w:rsidP="00EC3230">
      <w:pPr>
        <w:jc w:val="center"/>
      </w:pPr>
    </w:p>
    <w:p w14:paraId="2ABB0E55" w14:textId="77777777" w:rsidR="00787E12" w:rsidRPr="00EC3230" w:rsidRDefault="00000000" w:rsidP="00EC3230">
      <w:pPr>
        <w:pStyle w:val="DecHCase"/>
      </w:pPr>
      <w:r>
        <w:t>SEKCJA PIERWSZA</w:t>
      </w:r>
    </w:p>
    <w:p w14:paraId="6521A586" w14:textId="77777777" w:rsidR="006D324D" w:rsidRPr="00EC3230" w:rsidRDefault="00000000" w:rsidP="00EC3230">
      <w:pPr>
        <w:pStyle w:val="JuTitle"/>
      </w:pPr>
      <w:bookmarkStart w:id="0" w:name="To"/>
      <w:r>
        <w:rPr>
          <w:color w:val="000000" w:themeColor="text1"/>
        </w:rPr>
        <w:t>SPRAWA</w:t>
      </w:r>
      <w:bookmarkEnd w:id="0"/>
      <w:r>
        <w:rPr>
          <w:color w:val="000000" w:themeColor="text1"/>
        </w:rPr>
        <w:t xml:space="preserve"> </w:t>
      </w:r>
      <w:r>
        <w:t>OLECHNO PRZECIWKO POLSCE</w:t>
      </w:r>
    </w:p>
    <w:p w14:paraId="56D7ECEE" w14:textId="77777777" w:rsidR="006D324D" w:rsidRPr="00EC3230" w:rsidRDefault="00000000" w:rsidP="00EC3230">
      <w:pPr>
        <w:pStyle w:val="ECHRCoverTitle4"/>
      </w:pPr>
      <w:r>
        <w:t>(Skarga nr 44719/21)</w:t>
      </w:r>
    </w:p>
    <w:p w14:paraId="34A94BD7" w14:textId="77777777" w:rsidR="006D324D" w:rsidRPr="00EC3230" w:rsidRDefault="006D324D" w:rsidP="00EC3230">
      <w:pPr>
        <w:pStyle w:val="DecHCase"/>
      </w:pPr>
    </w:p>
    <w:p w14:paraId="5DCF47BA" w14:textId="77777777" w:rsidR="006D324D" w:rsidRPr="00EC3230" w:rsidRDefault="006D324D" w:rsidP="00EC3230">
      <w:pPr>
        <w:pStyle w:val="DecHCase"/>
      </w:pPr>
    </w:p>
    <w:p w14:paraId="73FF957D" w14:textId="77777777" w:rsidR="00787E12" w:rsidRPr="00EC3230" w:rsidRDefault="00787E12" w:rsidP="00EC3230">
      <w:pPr>
        <w:pStyle w:val="DecHCase"/>
      </w:pPr>
    </w:p>
    <w:p w14:paraId="2F16E455" w14:textId="77777777" w:rsidR="00787E12" w:rsidRPr="00EC3230" w:rsidRDefault="00787E12" w:rsidP="00EC3230">
      <w:pPr>
        <w:pStyle w:val="DecHCase"/>
      </w:pPr>
    </w:p>
    <w:p w14:paraId="1C42578A" w14:textId="77777777" w:rsidR="00787E12" w:rsidRPr="00EC3230" w:rsidRDefault="00787E12" w:rsidP="00EC3230">
      <w:pPr>
        <w:pStyle w:val="DecHCase"/>
      </w:pPr>
    </w:p>
    <w:p w14:paraId="382507A0" w14:textId="77777777" w:rsidR="00A062B9" w:rsidRPr="00EC3230" w:rsidRDefault="00A062B9" w:rsidP="00EC3230">
      <w:pPr>
        <w:pStyle w:val="DecHCase"/>
      </w:pPr>
    </w:p>
    <w:p w14:paraId="7FA24B54" w14:textId="77777777" w:rsidR="00787E12" w:rsidRPr="00EC3230" w:rsidRDefault="00000000" w:rsidP="00EC3230">
      <w:pPr>
        <w:pStyle w:val="DecHCase"/>
      </w:pPr>
      <w:r>
        <w:t>WYROK</w:t>
      </w:r>
    </w:p>
    <w:p w14:paraId="1030DD4A" w14:textId="77777777" w:rsidR="00787E12" w:rsidRPr="00EC3230" w:rsidRDefault="00787E12" w:rsidP="00EC3230">
      <w:pPr>
        <w:jc w:val="center"/>
        <w:rPr>
          <w:i/>
        </w:rPr>
      </w:pPr>
    </w:p>
    <w:p w14:paraId="3DA61874" w14:textId="77777777" w:rsidR="00787E12" w:rsidRPr="00EC3230" w:rsidRDefault="00000000" w:rsidP="00EC3230">
      <w:pPr>
        <w:pStyle w:val="DecHCase"/>
      </w:pPr>
      <w:r>
        <w:t>STRASBURG</w:t>
      </w:r>
    </w:p>
    <w:p w14:paraId="2804F94D" w14:textId="77777777" w:rsidR="00787E12" w:rsidRPr="00EC3230" w:rsidRDefault="00000000" w:rsidP="00EC3230">
      <w:pPr>
        <w:pStyle w:val="DecHCase"/>
      </w:pPr>
      <w:r>
        <w:t>30 listopada 2023 r.</w:t>
      </w:r>
    </w:p>
    <w:p w14:paraId="61DCCCAC" w14:textId="77777777" w:rsidR="00787E12" w:rsidRPr="00EC3230" w:rsidRDefault="00787E12" w:rsidP="00EC3230">
      <w:pPr>
        <w:jc w:val="center"/>
      </w:pPr>
    </w:p>
    <w:p w14:paraId="6EA4CA2F" w14:textId="77777777" w:rsidR="00E06BA8" w:rsidRPr="00EC3230" w:rsidRDefault="00E06BA8" w:rsidP="00EC3230">
      <w:pPr>
        <w:jc w:val="center"/>
      </w:pPr>
    </w:p>
    <w:p w14:paraId="42ED55E6" w14:textId="77777777" w:rsidR="00E06BA8" w:rsidRPr="00EC3230" w:rsidRDefault="00E06BA8" w:rsidP="00EC3230">
      <w:pPr>
        <w:jc w:val="center"/>
      </w:pPr>
    </w:p>
    <w:p w14:paraId="260536E4" w14:textId="77777777" w:rsidR="00E06BA8" w:rsidRPr="00EC3230" w:rsidRDefault="00E06BA8" w:rsidP="00EC3230">
      <w:pPr>
        <w:jc w:val="center"/>
      </w:pPr>
    </w:p>
    <w:p w14:paraId="3117969B" w14:textId="77777777" w:rsidR="00E06BA8" w:rsidRPr="00EC3230" w:rsidRDefault="00E06BA8" w:rsidP="00EC3230">
      <w:pPr>
        <w:jc w:val="center"/>
      </w:pPr>
    </w:p>
    <w:p w14:paraId="70F9809D" w14:textId="77777777" w:rsidR="00E06BA8" w:rsidRPr="00EC3230" w:rsidRDefault="00E06BA8" w:rsidP="00EC3230">
      <w:pPr>
        <w:jc w:val="center"/>
      </w:pPr>
    </w:p>
    <w:p w14:paraId="2EC7EBBD" w14:textId="77777777" w:rsidR="00787E12" w:rsidRPr="00EC3230" w:rsidRDefault="00000000" w:rsidP="00EC3230">
      <w:pPr>
        <w:rPr>
          <w:sz w:val="2"/>
          <w:szCs w:val="2"/>
        </w:rPr>
      </w:pPr>
      <w:r>
        <w:rPr>
          <w:i/>
        </w:rPr>
        <w:t>Wyrok ten stał się ostateczny, lecz może podlegać korekcie wydawniczej.</w:t>
      </w:r>
    </w:p>
    <w:p w14:paraId="46AB904B" w14:textId="77777777" w:rsidR="00787E12" w:rsidRPr="00EC3230" w:rsidRDefault="00787E12" w:rsidP="00EC3230">
      <w:pPr>
        <w:pStyle w:val="JuCase"/>
        <w:sectPr w:rsidR="00787E12" w:rsidRPr="00EC3230" w:rsidSect="00FB053F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3ECB76E5" w14:textId="77777777" w:rsidR="00787E12" w:rsidRPr="00EC3230" w:rsidRDefault="00000000" w:rsidP="00EC3230">
      <w:pPr>
        <w:pStyle w:val="JuCase"/>
        <w:rPr>
          <w:bCs/>
        </w:rPr>
      </w:pPr>
      <w:r>
        <w:lastRenderedPageBreak/>
        <w:t>W sprawie Olechno przeciwko Polsce</w:t>
      </w:r>
    </w:p>
    <w:p w14:paraId="1E9D0D61" w14:textId="77777777" w:rsidR="00787E12" w:rsidRPr="00EC3230" w:rsidRDefault="00000000" w:rsidP="00EC3230">
      <w:pPr>
        <w:pStyle w:val="JuPara"/>
      </w:pPr>
      <w:r>
        <w:t>Europejski Trybunał Praw Człowieka (sekcja pierwsza), zasiadając jako Komitet w składzie:</w:t>
      </w:r>
    </w:p>
    <w:p w14:paraId="0A170215" w14:textId="49049277" w:rsidR="002C5B23" w:rsidRPr="00EC3230" w:rsidRDefault="00000000" w:rsidP="00A2638C">
      <w:pPr>
        <w:pStyle w:val="JuJudges"/>
      </w:pPr>
      <w:r>
        <w:tab/>
        <w:t xml:space="preserve">Lətif Hüseynov, </w:t>
      </w:r>
      <w:r>
        <w:rPr>
          <w:i/>
        </w:rPr>
        <w:t>przewodniczący</w:t>
      </w:r>
      <w:r>
        <w:t>,</w:t>
      </w:r>
      <w:r>
        <w:br/>
      </w:r>
      <w:r w:rsidR="00A2638C" w:rsidRPr="00EC3230">
        <w:tab/>
        <w:t>Krzysztof Wojtyczek,</w:t>
      </w:r>
      <w:r w:rsidR="00A2638C" w:rsidRPr="00EC3230">
        <w:br/>
      </w:r>
      <w:r w:rsidR="00A2638C" w:rsidRPr="00EC3230">
        <w:tab/>
        <w:t>Ivana Jelić</w:t>
      </w:r>
      <w:r w:rsidR="00A2638C">
        <w:t xml:space="preserve">, </w:t>
      </w:r>
      <w:r>
        <w:rPr>
          <w:i/>
        </w:rPr>
        <w:t>sędziowie</w:t>
      </w:r>
      <w:r>
        <w:t>,</w:t>
      </w:r>
    </w:p>
    <w:p w14:paraId="2FB789D1" w14:textId="77777777" w:rsidR="00787E12" w:rsidRPr="00EC3230" w:rsidRDefault="00000000" w:rsidP="00EC3230">
      <w:pPr>
        <w:pStyle w:val="JuJudges"/>
      </w:pPr>
      <w:r>
        <w:t xml:space="preserve">oraz Viktoriya Maradudina, </w:t>
      </w:r>
      <w:r>
        <w:rPr>
          <w:i/>
        </w:rPr>
        <w:t>p.o. Zastępcy Kanclerza Sekcji,</w:t>
      </w:r>
    </w:p>
    <w:p w14:paraId="2F2ED485" w14:textId="77777777" w:rsidR="00787E12" w:rsidRPr="00EC3230" w:rsidRDefault="00000000" w:rsidP="00EC3230">
      <w:pPr>
        <w:pStyle w:val="JuPara"/>
      </w:pPr>
      <w:r>
        <w:t>obradując na posiedzeniu niejawnym w dniu 9 listopada 2023 r.,</w:t>
      </w:r>
    </w:p>
    <w:p w14:paraId="329BB1A2" w14:textId="77777777" w:rsidR="006372F5" w:rsidRPr="00EC3230" w:rsidRDefault="00000000" w:rsidP="00EC3230">
      <w:pPr>
        <w:pStyle w:val="JuPara"/>
      </w:pPr>
      <w:r>
        <w:t>wydaje następujący wyrok, który został przyjęty w tym dniu:</w:t>
      </w:r>
    </w:p>
    <w:p w14:paraId="19FA59FD" w14:textId="77777777" w:rsidR="006D5E2F" w:rsidRPr="00EC3230" w:rsidRDefault="00000000" w:rsidP="00EC3230">
      <w:pPr>
        <w:pStyle w:val="JuHHead"/>
      </w:pPr>
      <w:bookmarkStart w:id="1" w:name="ITMARKStartJudgment"/>
      <w:bookmarkEnd w:id="1"/>
      <w:r>
        <w:t>POSTĘPOWANIE</w:t>
      </w:r>
    </w:p>
    <w:p w14:paraId="345AF2FD" w14:textId="3D62415C" w:rsidR="006D5E2F" w:rsidRPr="00EC3230" w:rsidRDefault="00000000" w:rsidP="00EC3230">
      <w:pPr>
        <w:pStyle w:val="JuPara"/>
      </w:pPr>
      <w:fldSimple w:instr=" SEQ level0 \*arabic ">
        <w:r w:rsidR="001246E0">
          <w:rPr>
            <w:noProof/>
          </w:rPr>
          <w:t>1</w:t>
        </w:r>
      </w:fldSimple>
      <w:r>
        <w:t>.  Sprawa wywodzi się ze skargi przeciwko Polsce, wniesionej do</w:t>
      </w:r>
      <w:r w:rsidR="00A2638C">
        <w:t> </w:t>
      </w:r>
      <w:r>
        <w:t>Trybunału w dniu 24 sierpnia 2021 r. na podstawie art. 34 Konwencji o</w:t>
      </w:r>
      <w:r w:rsidR="00A2638C">
        <w:t> </w:t>
      </w:r>
      <w:r>
        <w:t>ochronie praw człowieka i podstawowych wolności („Konwencj</w:t>
      </w:r>
      <w:r w:rsidR="00A2638C">
        <w:t>a</w:t>
      </w:r>
      <w:r>
        <w:t>”).</w:t>
      </w:r>
    </w:p>
    <w:p w14:paraId="2028909B" w14:textId="24E40752" w:rsidR="006D5E2F" w:rsidRPr="00EC3230" w:rsidRDefault="00000000" w:rsidP="00EC3230">
      <w:pPr>
        <w:pStyle w:val="JuPara"/>
      </w:pPr>
      <w:fldSimple w:instr=" SEQ level0 \*arabic ">
        <w:r w:rsidR="001246E0">
          <w:rPr>
            <w:noProof/>
          </w:rPr>
          <w:t>2</w:t>
        </w:r>
      </w:fldSimple>
      <w:r>
        <w:t>.  </w:t>
      </w:r>
      <w:r w:rsidR="00A2638C">
        <w:t>Sprawa została zakomunikowana r</w:t>
      </w:r>
      <w:r>
        <w:t>ząd</w:t>
      </w:r>
      <w:r w:rsidR="00A2638C">
        <w:t>owi polskiemu</w:t>
      </w:r>
      <w:r>
        <w:t xml:space="preserve"> („Rząd”).</w:t>
      </w:r>
    </w:p>
    <w:p w14:paraId="4F4042BB" w14:textId="77777777" w:rsidR="006D5E2F" w:rsidRPr="00EC3230" w:rsidRDefault="00000000" w:rsidP="00EC3230">
      <w:pPr>
        <w:pStyle w:val="JuHHead"/>
      </w:pPr>
      <w:r>
        <w:t>FAKTY</w:t>
      </w:r>
    </w:p>
    <w:p w14:paraId="6F4CD127" w14:textId="5AF9A722" w:rsidR="006D5E2F" w:rsidRPr="00EC3230" w:rsidRDefault="00000000" w:rsidP="00EC3230">
      <w:pPr>
        <w:pStyle w:val="JuPara"/>
      </w:pPr>
      <w:fldSimple w:instr=" SEQ level0 \*arabic ">
        <w:r w:rsidR="001246E0">
          <w:rPr>
            <w:noProof/>
          </w:rPr>
          <w:t>3</w:t>
        </w:r>
      </w:fldSimple>
      <w:r>
        <w:t>.  Dane skarżące</w:t>
      </w:r>
      <w:r w:rsidR="00A2638C">
        <w:t>j</w:t>
      </w:r>
      <w:r>
        <w:t xml:space="preserve"> oraz informacje istotne dla skargi zostały przedstawione w załączonej tabeli.</w:t>
      </w:r>
    </w:p>
    <w:p w14:paraId="7100C179" w14:textId="368DB518" w:rsidR="006D5E2F" w:rsidRPr="00EC3230" w:rsidRDefault="00000000" w:rsidP="00EC3230">
      <w:pPr>
        <w:pStyle w:val="JuPara"/>
      </w:pPr>
      <w:fldSimple w:instr=" SEQ level0 \*arabic ">
        <w:r w:rsidR="001246E0">
          <w:rPr>
            <w:noProof/>
          </w:rPr>
          <w:t>4</w:t>
        </w:r>
      </w:fldSimple>
      <w:r>
        <w:t>.  </w:t>
      </w:r>
      <w:r>
        <w:rPr>
          <w:color w:val="000000"/>
        </w:rPr>
        <w:t>Skarżąc</w:t>
      </w:r>
      <w:r w:rsidR="00A2638C">
        <w:rPr>
          <w:color w:val="000000"/>
        </w:rPr>
        <w:t>a</w:t>
      </w:r>
      <w:r>
        <w:rPr>
          <w:color w:val="000000"/>
        </w:rPr>
        <w:t xml:space="preserve"> zarzucił</w:t>
      </w:r>
      <w:r w:rsidR="00A2638C">
        <w:rPr>
          <w:color w:val="000000"/>
        </w:rPr>
        <w:t>a</w:t>
      </w:r>
      <w:r>
        <w:rPr>
          <w:color w:val="000000"/>
        </w:rPr>
        <w:t xml:space="preserve"> przewlekłość postępowania cywilnego oraz brak skutecznego środka odwoławczego w prawie krajowym</w:t>
      </w:r>
      <w:r>
        <w:rPr>
          <w:bCs/>
          <w:color w:val="000000"/>
        </w:rPr>
        <w:t>.</w:t>
      </w:r>
    </w:p>
    <w:p w14:paraId="450B25FC" w14:textId="77777777" w:rsidR="006D5E2F" w:rsidRPr="00EC3230" w:rsidRDefault="00000000" w:rsidP="00EC3230">
      <w:pPr>
        <w:pStyle w:val="JuHHead"/>
      </w:pPr>
      <w:r>
        <w:t>PRAWO</w:t>
      </w:r>
    </w:p>
    <w:p w14:paraId="57BD0518" w14:textId="77777777" w:rsidR="006D5E2F" w:rsidRPr="00EC3230" w:rsidRDefault="00000000" w:rsidP="00EC3230">
      <w:pPr>
        <w:pStyle w:val="JuHIRoman"/>
      </w:pPr>
      <w:r>
        <w:t>ZARZUCANE NARUSZENIE ART. 6 UST. 1 I ART. 13 KONWENCJI</w:t>
      </w:r>
    </w:p>
    <w:p w14:paraId="09794DAD" w14:textId="5DA1D686" w:rsidR="006D5E2F" w:rsidRPr="00EC3230" w:rsidRDefault="00000000" w:rsidP="00EC3230">
      <w:pPr>
        <w:pStyle w:val="JuPara"/>
      </w:pPr>
      <w:fldSimple w:instr=" SEQ level0 \*arabic ">
        <w:r w:rsidR="001246E0">
          <w:rPr>
            <w:noProof/>
          </w:rPr>
          <w:t>5</w:t>
        </w:r>
      </w:fldSimple>
      <w:r>
        <w:t>.  Skarżąca zarzuc</w:t>
      </w:r>
      <w:r w:rsidR="00054005">
        <w:t>i</w:t>
      </w:r>
      <w:r>
        <w:t xml:space="preserve">ła, że </w:t>
      </w:r>
      <w:r w:rsidR="00054005">
        <w:t xml:space="preserve">czas </w:t>
      </w:r>
      <w:r>
        <w:t xml:space="preserve">trwania postępowania </w:t>
      </w:r>
      <w:r w:rsidR="00054005">
        <w:t xml:space="preserve">w sprawie cywilnej </w:t>
      </w:r>
      <w:r>
        <w:t>był niezgodn</w:t>
      </w:r>
      <w:r w:rsidR="0040203E">
        <w:t>y</w:t>
      </w:r>
      <w:r>
        <w:t xml:space="preserve"> z wymogiem „rozsądnego terminu” i że w związku z tym </w:t>
      </w:r>
      <w:r w:rsidR="00054005">
        <w:t xml:space="preserve">skarżąca </w:t>
      </w:r>
      <w:r w:rsidR="001246E0">
        <w:t>była</w:t>
      </w:r>
      <w:r>
        <w:t xml:space="preserve"> pozbawiona skutecznego środka odwoławczego. Powołała się na art. 6 ust. 1 i art. 13 Konwencji.</w:t>
      </w:r>
    </w:p>
    <w:p w14:paraId="0DA5A52A" w14:textId="129C9B06" w:rsidR="006D5E2F" w:rsidRPr="00EC3230" w:rsidRDefault="00000000" w:rsidP="00EC3230">
      <w:pPr>
        <w:pStyle w:val="JuPara"/>
      </w:pPr>
      <w:fldSimple w:instr=" SEQ level0 \*arabic ">
        <w:r w:rsidR="001246E0">
          <w:rPr>
            <w:noProof/>
          </w:rPr>
          <w:t>6</w:t>
        </w:r>
      </w:fldSimple>
      <w:r>
        <w:t xml:space="preserve">. Trybunał zauważa, że Rząd </w:t>
      </w:r>
      <w:r w:rsidR="00054005">
        <w:t xml:space="preserve">zgłosił zastrzeżenie </w:t>
      </w:r>
      <w:r>
        <w:t>wstępn</w:t>
      </w:r>
      <w:r w:rsidR="00054005">
        <w:t>e</w:t>
      </w:r>
      <w:r>
        <w:t xml:space="preserve"> </w:t>
      </w:r>
      <w:r w:rsidR="00054005">
        <w:t xml:space="preserve">w przedmiocie </w:t>
      </w:r>
      <w:r>
        <w:t>nadużycia prawa do skargi indywidualnej, ponieważ skarżąca rzekomo nie przekazała Trybunałowi istotnych informacji dotyczących przebiegu przedmiotowego postępowania krajowego.</w:t>
      </w:r>
    </w:p>
    <w:p w14:paraId="26BE0264" w14:textId="6270D142" w:rsidR="006D5E2F" w:rsidRPr="00EC3230" w:rsidRDefault="00EC3230" w:rsidP="00EC3230">
      <w:pPr>
        <w:pStyle w:val="JuPara"/>
      </w:pPr>
      <w:r w:rsidRPr="00EC3230">
        <w:fldChar w:fldCharType="begin"/>
      </w:r>
      <w:r>
        <w:instrText xml:space="preserve"> SEQ level0 \*arabic \* MERGEFORMAT </w:instrText>
      </w:r>
      <w:r w:rsidRPr="00EC3230">
        <w:fldChar w:fldCharType="separate"/>
      </w:r>
      <w:r w:rsidR="001246E0">
        <w:rPr>
          <w:noProof/>
        </w:rPr>
        <w:t>7</w:t>
      </w:r>
      <w:r w:rsidRPr="00EC3230">
        <w:fldChar w:fldCharType="end"/>
      </w:r>
      <w:r>
        <w:t xml:space="preserve">.  Trybunał powtarza, że </w:t>
      </w:r>
      <w:r w:rsidR="00054005">
        <w:t xml:space="preserve">skarga </w:t>
      </w:r>
      <w:r>
        <w:t>może zostać odrzucon</w:t>
      </w:r>
      <w:r w:rsidR="00054005">
        <w:t>a</w:t>
      </w:r>
      <w:r>
        <w:t xml:space="preserve"> z tytułu nadużycia prawa do skargi jedynie w szczególnych okolicznościach (zob. </w:t>
      </w:r>
      <w:r>
        <w:rPr>
          <w:i/>
          <w:iCs/>
        </w:rPr>
        <w:t>Gross przeciwko Szwajcarii</w:t>
      </w:r>
      <w:r>
        <w:t xml:space="preserve"> [WI], </w:t>
      </w:r>
      <w:r w:rsidR="00054005">
        <w:t xml:space="preserve">skarga </w:t>
      </w:r>
      <w:r>
        <w:t xml:space="preserve">nr 67810/10, § 28, ETPCz 2014, oraz </w:t>
      </w:r>
      <w:r>
        <w:rPr>
          <w:i/>
          <w:iCs/>
        </w:rPr>
        <w:t>Nowak przeciwko Polsce</w:t>
      </w:r>
      <w:r>
        <w:t xml:space="preserve">, </w:t>
      </w:r>
      <w:r w:rsidR="00054005">
        <w:t xml:space="preserve">skarga </w:t>
      </w:r>
      <w:r>
        <w:t>nr 60906/16, § 20, 13 października 2022 r.). Mając na uwadze swoje orzecznictwo, Trybunał nie znajduje podstaw do stwierdzenia, że niniejsza sprawa została wniesiona z</w:t>
      </w:r>
      <w:r w:rsidR="00054005">
        <w:t> </w:t>
      </w:r>
      <w:r>
        <w:t>nadużyciem prawa do skargi w rozumieniu art. 35 ust. 3 lit. a Konwencji. Z</w:t>
      </w:r>
      <w:r w:rsidR="00054005">
        <w:t> </w:t>
      </w:r>
      <w:r>
        <w:t>powyższego wynika, że za</w:t>
      </w:r>
      <w:r w:rsidR="00054005">
        <w:t>strzeżenie</w:t>
      </w:r>
      <w:r>
        <w:t xml:space="preserve"> Rządu należy oddalić.</w:t>
      </w:r>
    </w:p>
    <w:p w14:paraId="626E90C4" w14:textId="0CAF4444" w:rsidR="006D5E2F" w:rsidRPr="00EC3230" w:rsidRDefault="00EC3230" w:rsidP="00EC3230">
      <w:pPr>
        <w:pStyle w:val="JuPara"/>
        <w:rPr>
          <w:strike/>
        </w:rPr>
      </w:pPr>
      <w:r w:rsidRPr="00EC3230">
        <w:lastRenderedPageBreak/>
        <w:fldChar w:fldCharType="begin"/>
      </w:r>
      <w:r>
        <w:instrText xml:space="preserve"> SEQ level0 \*arabic \* MERGEFORMAT </w:instrText>
      </w:r>
      <w:r w:rsidRPr="00EC3230">
        <w:fldChar w:fldCharType="separate"/>
      </w:r>
      <w:r w:rsidR="001246E0">
        <w:rPr>
          <w:noProof/>
        </w:rPr>
        <w:t>8</w:t>
      </w:r>
      <w:r w:rsidRPr="00EC3230">
        <w:fldChar w:fldCharType="end"/>
      </w:r>
      <w:r>
        <w:t xml:space="preserve">.  Trybunał </w:t>
      </w:r>
      <w:r w:rsidR="00054005">
        <w:t xml:space="preserve">nadto </w:t>
      </w:r>
      <w:r>
        <w:t>podkreśla, że rozsądny charakter czasu trwania postępowania należy oceniać w świetle okoliczności sprawy i</w:t>
      </w:r>
      <w:r w:rsidR="00054005">
        <w:t> </w:t>
      </w:r>
      <w:r>
        <w:t>z</w:t>
      </w:r>
      <w:r w:rsidR="00054005">
        <w:t> </w:t>
      </w:r>
      <w:r>
        <w:t xml:space="preserve">uwzględnieniem następujących kryteriów: </w:t>
      </w:r>
      <w:r w:rsidR="00054005">
        <w:t xml:space="preserve">zawiłości </w:t>
      </w:r>
      <w:r>
        <w:t>sprawy, zachowania skarżących i</w:t>
      </w:r>
      <w:r w:rsidR="00F54D77">
        <w:t xml:space="preserve"> właściwych</w:t>
      </w:r>
      <w:r>
        <w:t xml:space="preserve"> organów oraz znaczenia sprawy dla interesów skarżących (zob. m.in.</w:t>
      </w:r>
      <w:r w:rsidR="00F54D77">
        <w:t xml:space="preserve"> </w:t>
      </w:r>
      <w:r>
        <w:rPr>
          <w:i/>
        </w:rPr>
        <w:t xml:space="preserve">Frydlender </w:t>
      </w:r>
      <w:r>
        <w:rPr>
          <w:i/>
          <w:iCs/>
        </w:rPr>
        <w:t>przeciwko Francji</w:t>
      </w:r>
      <w:r>
        <w:rPr>
          <w:i/>
        </w:rPr>
        <w:t xml:space="preserve"> </w:t>
      </w:r>
      <w:r>
        <w:t xml:space="preserve">[WI], </w:t>
      </w:r>
      <w:r w:rsidR="00F54D77">
        <w:t xml:space="preserve">skarga </w:t>
      </w:r>
      <w:r>
        <w:t>nr 30979/96, § 43, ETPCz 2000-VII).</w:t>
      </w:r>
    </w:p>
    <w:p w14:paraId="46B49242" w14:textId="22A4FEF0" w:rsidR="006D5E2F" w:rsidRPr="00EC3230" w:rsidRDefault="00000000" w:rsidP="00EC3230">
      <w:pPr>
        <w:pStyle w:val="JuPara"/>
      </w:pPr>
      <w:fldSimple w:instr=" SEQ level0 \*arabic ">
        <w:r w:rsidR="001246E0">
          <w:rPr>
            <w:noProof/>
          </w:rPr>
          <w:t>9</w:t>
        </w:r>
      </w:fldSimple>
      <w:r>
        <w:t xml:space="preserve">.  Już w precedensowej sprawie </w:t>
      </w:r>
      <w:r>
        <w:rPr>
          <w:i/>
          <w:iCs/>
        </w:rPr>
        <w:t xml:space="preserve">Rutkowski i Inni przeciwko Polsce, </w:t>
      </w:r>
      <w:r w:rsidR="00F54D77">
        <w:t xml:space="preserve">skargi nr </w:t>
      </w:r>
      <w:r>
        <w:t xml:space="preserve">72287/10 i 2 inne, 7 lipca 2015 r., Trybunał stwierdził naruszenie art. 6 Konwencji w odniesieniu do </w:t>
      </w:r>
      <w:r w:rsidR="00F54D77">
        <w:t>czasu trwania</w:t>
      </w:r>
      <w:r>
        <w:t xml:space="preserve"> postępowania sądowego.</w:t>
      </w:r>
    </w:p>
    <w:p w14:paraId="185BCCC3" w14:textId="1B9D23C0" w:rsidR="006D5E2F" w:rsidRPr="00EC3230" w:rsidRDefault="00000000" w:rsidP="00EC3230">
      <w:pPr>
        <w:pStyle w:val="JuPara"/>
      </w:pPr>
      <w:fldSimple w:instr=" SEQ level0 \*arabic ">
        <w:r w:rsidR="001246E0">
          <w:rPr>
            <w:noProof/>
          </w:rPr>
          <w:t>10</w:t>
        </w:r>
      </w:fldSimple>
      <w:r>
        <w:t>.  Po zapoznaniu się z całym przedstawionym mu materiałem Trybunał nie ustalił żadnego faktu ani argumentu mogącego uzasadnić łączn</w:t>
      </w:r>
      <w:r w:rsidR="00F54D77">
        <w:t>y czas trwania</w:t>
      </w:r>
      <w:r>
        <w:t xml:space="preserve"> postępowania na poziomie krajowym. Mając na względzie swoje orzecznictwo</w:t>
      </w:r>
      <w:r w:rsidR="0040203E">
        <w:t xml:space="preserve"> w tym przedmiocie</w:t>
      </w:r>
      <w:r>
        <w:t xml:space="preserve">, Trybunał stwierdza, że </w:t>
      </w:r>
      <w:r w:rsidR="00F54D77">
        <w:t>czas trwania</w:t>
      </w:r>
      <w:r>
        <w:t xml:space="preserve"> postępowania w</w:t>
      </w:r>
      <w:r w:rsidR="00F54D77">
        <w:t> </w:t>
      </w:r>
      <w:r w:rsidR="0040203E">
        <w:t xml:space="preserve">rzeczonej </w:t>
      </w:r>
      <w:r>
        <w:t>sprawie był nadmiern</w:t>
      </w:r>
      <w:r w:rsidR="00F54D77">
        <w:t>y</w:t>
      </w:r>
      <w:r>
        <w:t xml:space="preserve"> i nie spełniał wymogu „rozsądnego terminu”.</w:t>
      </w:r>
    </w:p>
    <w:p w14:paraId="14CB2611" w14:textId="1F0B05FD" w:rsidR="006D5E2F" w:rsidRPr="00EC3230" w:rsidRDefault="00000000" w:rsidP="00EC3230">
      <w:pPr>
        <w:pStyle w:val="JuPara"/>
      </w:pPr>
      <w:fldSimple w:instr=" SEQ level0 \*arabic ">
        <w:r w:rsidR="001246E0">
          <w:rPr>
            <w:noProof/>
          </w:rPr>
          <w:t>11</w:t>
        </w:r>
      </w:fldSimple>
      <w:r>
        <w:t>.  Trybunał zauważa ponadto, że skarżąc</w:t>
      </w:r>
      <w:r w:rsidR="00F54D77">
        <w:t>a</w:t>
      </w:r>
      <w:r>
        <w:t xml:space="preserve"> nie mi</w:t>
      </w:r>
      <w:r w:rsidR="00F54D77">
        <w:t>ała</w:t>
      </w:r>
      <w:r>
        <w:t xml:space="preserve"> do dyspozycji skutecznego środka odwoławczego w odniesieniu do tych </w:t>
      </w:r>
      <w:r w:rsidR="00F54D77">
        <w:t>zarzutów</w:t>
      </w:r>
      <w:r>
        <w:t>.</w:t>
      </w:r>
    </w:p>
    <w:p w14:paraId="508009C1" w14:textId="081CD7FB" w:rsidR="006D5E2F" w:rsidRPr="00EC3230" w:rsidRDefault="00000000" w:rsidP="00EC3230">
      <w:pPr>
        <w:pStyle w:val="JuPara"/>
      </w:pPr>
      <w:fldSimple w:instr=" SEQ level0 \*arabic ">
        <w:r w:rsidR="001246E0">
          <w:rPr>
            <w:noProof/>
          </w:rPr>
          <w:t>12</w:t>
        </w:r>
      </w:fldSimple>
      <w:r>
        <w:t>.  </w:t>
      </w:r>
      <w:r w:rsidR="00F54D77">
        <w:t xml:space="preserve">Zarzuty te </w:t>
      </w:r>
      <w:r>
        <w:t xml:space="preserve">są zatem dopuszczalne i </w:t>
      </w:r>
      <w:r w:rsidR="00F54D77">
        <w:t xml:space="preserve">wskazują na </w:t>
      </w:r>
      <w:r>
        <w:t>naruszenie art. 6 ust.</w:t>
      </w:r>
      <w:r w:rsidR="00F54D77">
        <w:t> </w:t>
      </w:r>
      <w:r>
        <w:t>1 oraz art. 13 Konwencji.</w:t>
      </w:r>
    </w:p>
    <w:p w14:paraId="5B031810" w14:textId="77777777" w:rsidR="006D5E2F" w:rsidRPr="00EC3230" w:rsidRDefault="00000000" w:rsidP="00EC3230">
      <w:pPr>
        <w:pStyle w:val="JuHIRoman"/>
      </w:pPr>
      <w:r>
        <w:t>ZASTOSOWANIE ART. 41 KONWENCJI</w:t>
      </w:r>
    </w:p>
    <w:p w14:paraId="20BF0DAF" w14:textId="50153A25" w:rsidR="006D5E2F" w:rsidRPr="00EC3230" w:rsidRDefault="00000000" w:rsidP="00EC3230">
      <w:pPr>
        <w:pStyle w:val="JuPara"/>
      </w:pPr>
      <w:fldSimple w:instr=" SEQ level0 \*arabic ">
        <w:r w:rsidR="001246E0">
          <w:rPr>
            <w:noProof/>
          </w:rPr>
          <w:t>13</w:t>
        </w:r>
      </w:fldSimple>
      <w:r>
        <w:t xml:space="preserve">.  Uwzględniając dokumenty znajdujące się w jego posiadaniu oraz swoje orzecznictwo (zob. w szczególności </w:t>
      </w:r>
      <w:r w:rsidR="00F54D77">
        <w:t>powyższy</w:t>
      </w:r>
      <w:r>
        <w:t xml:space="preserve"> wyrok w sprawie </w:t>
      </w:r>
      <w:r>
        <w:rPr>
          <w:i/>
          <w:iCs/>
        </w:rPr>
        <w:t>Rutkowski i Inni</w:t>
      </w:r>
      <w:r>
        <w:t>), Trybunał uważa za zasadne zasądzenie kwot</w:t>
      </w:r>
      <w:r w:rsidR="00F54D77">
        <w:t>y</w:t>
      </w:r>
      <w:r>
        <w:t xml:space="preserve"> wskazan</w:t>
      </w:r>
      <w:r w:rsidR="00F54D77">
        <w:t>ej</w:t>
      </w:r>
      <w:r>
        <w:t xml:space="preserve"> w załączonej tabeli.</w:t>
      </w:r>
    </w:p>
    <w:p w14:paraId="5C7CAD51" w14:textId="77777777" w:rsidR="006D5E2F" w:rsidRPr="00EC3230" w:rsidRDefault="00000000" w:rsidP="00EC3230">
      <w:pPr>
        <w:pStyle w:val="JuHHead"/>
      </w:pPr>
      <w:r>
        <w:t>Z POWYŻSZYCH WZGLĘDÓW TRYBUNAŁ JEDNOGŁOŚNIE</w:t>
      </w:r>
    </w:p>
    <w:p w14:paraId="3611E5DA" w14:textId="77777777" w:rsidR="006D5E2F" w:rsidRPr="00EC3230" w:rsidRDefault="00000000" w:rsidP="00EC3230">
      <w:pPr>
        <w:pStyle w:val="JuList"/>
      </w:pPr>
      <w:r>
        <w:rPr>
          <w:i/>
          <w:iCs/>
        </w:rPr>
        <w:t>uznaje</w:t>
      </w:r>
      <w:r>
        <w:t xml:space="preserve"> skargę za dopuszczalną;</w:t>
      </w:r>
    </w:p>
    <w:p w14:paraId="67ABA579" w14:textId="59647089" w:rsidR="006D5E2F" w:rsidRPr="00EC3230" w:rsidRDefault="00000000" w:rsidP="00EC3230">
      <w:pPr>
        <w:pStyle w:val="JuList"/>
      </w:pPr>
      <w:r>
        <w:rPr>
          <w:i/>
          <w:iCs/>
        </w:rPr>
        <w:t>stwierdza</w:t>
      </w:r>
      <w:r>
        <w:t xml:space="preserve">, że skarga </w:t>
      </w:r>
      <w:r w:rsidR="00F54D77">
        <w:t xml:space="preserve">wskazuje na </w:t>
      </w:r>
      <w:r>
        <w:t>naruszenie art. 6 ust. 1 i art. 13 Konwencji dotyczące przewlekłości postępowania cywilnego i braku skutecznego środka odwoławczego w prawie krajowym;</w:t>
      </w:r>
    </w:p>
    <w:p w14:paraId="3EF80586" w14:textId="77777777" w:rsidR="006D5E2F" w:rsidRPr="00EC3230" w:rsidRDefault="00000000" w:rsidP="00EC3230">
      <w:pPr>
        <w:pStyle w:val="JuList"/>
      </w:pPr>
      <w:r>
        <w:rPr>
          <w:i/>
          <w:iCs/>
        </w:rPr>
        <w:t>stwierdza</w:t>
      </w:r>
    </w:p>
    <w:p w14:paraId="4BF8B51A" w14:textId="7FCED123" w:rsidR="006D5E2F" w:rsidRPr="00EC3230" w:rsidRDefault="00000000" w:rsidP="00EC3230">
      <w:pPr>
        <w:pStyle w:val="JuLista"/>
      </w:pPr>
      <w:r>
        <w:t>że pozwane państwo winno, w terminie trzech miesięcy, uiścić na</w:t>
      </w:r>
      <w:r w:rsidR="00F54D77">
        <w:t> </w:t>
      </w:r>
      <w:r>
        <w:t>rzecz skarżącej kwot</w:t>
      </w:r>
      <w:r w:rsidR="00F54D77">
        <w:t>ę</w:t>
      </w:r>
      <w:r>
        <w:t xml:space="preserve"> wskazan</w:t>
      </w:r>
      <w:r w:rsidR="00F54D77">
        <w:t>ą</w:t>
      </w:r>
      <w:r>
        <w:t xml:space="preserve"> w załączonej tabeli, przeliczon</w:t>
      </w:r>
      <w:r w:rsidR="00F54D77">
        <w:t>ą</w:t>
      </w:r>
      <w:r>
        <w:t xml:space="preserve"> na walutę pozwanego państwa według kursu obowiązującego w dniu płatności:</w:t>
      </w:r>
    </w:p>
    <w:p w14:paraId="1F4894F8" w14:textId="1DF5F0A8" w:rsidR="00787E12" w:rsidRPr="00EC3230" w:rsidRDefault="00000000" w:rsidP="00EC3230">
      <w:pPr>
        <w:pStyle w:val="JuLista"/>
      </w:pPr>
      <w:r>
        <w:t>że od upływu wyżej wskazanego terminu trzech miesięcy aż</w:t>
      </w:r>
      <w:r w:rsidR="00F54D77">
        <w:t> </w:t>
      </w:r>
      <w:r>
        <w:t>do</w:t>
      </w:r>
      <w:r w:rsidR="00F54D77">
        <w:t> </w:t>
      </w:r>
      <w:r>
        <w:t xml:space="preserve">momentu uregulowania należności, należne będą odsetki zwykłe od określonej powyżej kwoty, naliczone według stopy równej </w:t>
      </w:r>
      <w:r>
        <w:lastRenderedPageBreak/>
        <w:t>marginalnej stopie procentowej Europejskiego Banku Centralnego obowiązującej w tym okresie, powiększonej o trzy punkty procentowe;</w:t>
      </w:r>
    </w:p>
    <w:p w14:paraId="3E879E7F" w14:textId="7F1E1A78" w:rsidR="00C43D38" w:rsidRPr="00EC3230" w:rsidRDefault="00000000" w:rsidP="00EC3230">
      <w:pPr>
        <w:pStyle w:val="JuParaLast"/>
      </w:pPr>
      <w:r>
        <w:t>Sporządzono w języku angielskim i obwieszczono pisemnie w dniu 30</w:t>
      </w:r>
      <w:r w:rsidR="00F54D77">
        <w:t> </w:t>
      </w:r>
      <w:r>
        <w:t>listopada 2023 r. zgodnie z Regułą 77 § 2 i 3 Regulaminu Trybunału.</w:t>
      </w:r>
    </w:p>
    <w:p w14:paraId="73D85503" w14:textId="77777777" w:rsidR="00656431" w:rsidRPr="00EC3230" w:rsidRDefault="00000000" w:rsidP="00EC3230">
      <w:pPr>
        <w:pStyle w:val="ECHRPlaceholder"/>
        <w:rPr>
          <w:szCs w:val="22"/>
        </w:rPr>
      </w:pPr>
      <w:r>
        <w:tab/>
      </w:r>
    </w:p>
    <w:p w14:paraId="4D423CFD" w14:textId="00D65021" w:rsidR="00B91668" w:rsidRPr="00EC3230" w:rsidRDefault="00000000" w:rsidP="00EC3230">
      <w:pPr>
        <w:pStyle w:val="JuSigned"/>
        <w:rPr>
          <w:rFonts w:eastAsia="PMingLiU"/>
        </w:rPr>
      </w:pPr>
      <w:r>
        <w:tab/>
        <w:t>Viktoriya Maradudina</w:t>
      </w:r>
      <w:r w:rsidR="001246E0">
        <w:tab/>
      </w:r>
      <w:r>
        <w:t>Lətif Hüseynov</w:t>
      </w:r>
      <w:r>
        <w:br/>
        <w:t>p.o. Zastępcy Kanclerza Sekcji</w:t>
      </w:r>
      <w:r w:rsidR="001246E0">
        <w:tab/>
      </w:r>
      <w:r>
        <w:t>Przewodniczący</w:t>
      </w:r>
    </w:p>
    <w:p w14:paraId="012A9B24" w14:textId="77777777" w:rsidR="00B91668" w:rsidRPr="00EC3230" w:rsidRDefault="00B91668" w:rsidP="00EC3230">
      <w:pPr>
        <w:rPr>
          <w:rFonts w:eastAsia="PMingLiU"/>
        </w:rPr>
      </w:pPr>
    </w:p>
    <w:p w14:paraId="5A8E76C3" w14:textId="77777777" w:rsidR="00BD554D" w:rsidRPr="00EC3230" w:rsidRDefault="00000000" w:rsidP="00EC3230">
      <w:pPr>
        <w:pStyle w:val="JuSigned"/>
        <w:tabs>
          <w:tab w:val="left" w:pos="5115"/>
        </w:tabs>
        <w:contextualSpacing/>
        <w:rPr>
          <w:rFonts w:eastAsia="PMingLiU"/>
        </w:rPr>
      </w:pPr>
      <w:r>
        <w:tab/>
      </w:r>
    </w:p>
    <w:p w14:paraId="266F0A02" w14:textId="77777777" w:rsidR="00787E12" w:rsidRPr="00EC3230" w:rsidRDefault="00787E12" w:rsidP="00EC3230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0CDFB4A3" w14:textId="77777777" w:rsidR="00787E12" w:rsidRPr="00EC3230" w:rsidRDefault="00787E12" w:rsidP="00EC3230">
      <w:pPr>
        <w:pStyle w:val="JuParaLast"/>
        <w:sectPr w:rsidR="00787E12" w:rsidRPr="00EC3230" w:rsidSect="00FB053F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7D2196BF" w14:textId="77777777" w:rsidR="00787E12" w:rsidRPr="00EC3230" w:rsidRDefault="00000000" w:rsidP="00EC3230">
      <w:pPr>
        <w:pStyle w:val="DecHTitle"/>
      </w:pPr>
      <w:r>
        <w:lastRenderedPageBreak/>
        <w:t>ZAŁĄCZNIK</w:t>
      </w:r>
    </w:p>
    <w:p w14:paraId="0CA10CCF" w14:textId="77777777" w:rsidR="00787E12" w:rsidRPr="00EC3230" w:rsidRDefault="00000000" w:rsidP="00EC3230">
      <w:pPr>
        <w:pStyle w:val="DecHCase"/>
        <w:contextualSpacing/>
        <w:rPr>
          <w:b/>
          <w:i/>
          <w:color w:val="3E3E3E" w:themeColor="background2" w:themeShade="40"/>
        </w:rPr>
      </w:pPr>
      <w:r>
        <w:rPr>
          <w:color w:val="3E3E3E" w:themeColor="background2" w:themeShade="40"/>
        </w:rPr>
        <w:t>Skarga zawierająca zarzuty na podstawie art. 6 ust. 1 i art. 13 Konwencji</w:t>
      </w:r>
    </w:p>
    <w:p w14:paraId="19751893" w14:textId="77777777" w:rsidR="00787E12" w:rsidRPr="00EC3230" w:rsidRDefault="00000000" w:rsidP="00EC3230">
      <w:pPr>
        <w:pStyle w:val="DecHCase"/>
        <w:contextualSpacing/>
        <w:rPr>
          <w:b/>
          <w:i/>
        </w:rPr>
      </w:pPr>
      <w:r>
        <w:rPr>
          <w:color w:val="3E3E3E" w:themeColor="background2" w:themeShade="40"/>
        </w:rPr>
        <w:t>(przewlekłość postępowania cywilnego oraz brak skutecznego środka odwoławczego w prawie krajowym)</w:t>
      </w:r>
    </w:p>
    <w:tbl>
      <w:tblPr>
        <w:tblStyle w:val="ECHRListTable"/>
        <w:tblW w:w="13042" w:type="dxa"/>
        <w:jc w:val="center"/>
        <w:tblLook w:val="0420" w:firstRow="1" w:lastRow="0" w:firstColumn="0" w:lastColumn="0" w:noHBand="0" w:noVBand="1"/>
      </w:tblPr>
      <w:tblGrid>
        <w:gridCol w:w="1844"/>
        <w:gridCol w:w="2409"/>
        <w:gridCol w:w="1418"/>
        <w:gridCol w:w="1150"/>
        <w:gridCol w:w="1955"/>
        <w:gridCol w:w="1548"/>
        <w:gridCol w:w="2718"/>
      </w:tblGrid>
      <w:tr w:rsidR="00CE32F2" w14:paraId="79231484" w14:textId="77777777" w:rsidTr="002809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1844" w:type="dxa"/>
          </w:tcPr>
          <w:p w14:paraId="3C3C7BCC" w14:textId="3877A8FB" w:rsidR="00BF6CE2" w:rsidRPr="00EC3230" w:rsidRDefault="00F54D77" w:rsidP="00EC3230">
            <w:pPr>
              <w:jc w:val="center"/>
              <w:rPr>
                <w:sz w:val="16"/>
                <w:szCs w:val="18"/>
              </w:rPr>
            </w:pPr>
            <w:bookmarkStart w:id="2" w:name="WECLListStart"/>
            <w:bookmarkEnd w:id="2"/>
            <w:r>
              <w:rPr>
                <w:sz w:val="16"/>
                <w:szCs w:val="18"/>
              </w:rPr>
              <w:t>Nr skargi</w:t>
            </w:r>
          </w:p>
          <w:p w14:paraId="77660404" w14:textId="77777777" w:rsidR="00BF6CE2" w:rsidRPr="00EC3230" w:rsidRDefault="00000000" w:rsidP="00EC323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Data złożenia</w:t>
            </w:r>
          </w:p>
        </w:tc>
        <w:tc>
          <w:tcPr>
            <w:tcW w:w="2409" w:type="dxa"/>
          </w:tcPr>
          <w:p w14:paraId="1FB51586" w14:textId="77777777" w:rsidR="00BF6CE2" w:rsidRPr="00EC3230" w:rsidRDefault="00000000" w:rsidP="00EC323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Imię i nazwisko skarżącego</w:t>
            </w:r>
          </w:p>
          <w:p w14:paraId="01078A21" w14:textId="77777777" w:rsidR="00BF6CE2" w:rsidRPr="00EC3230" w:rsidRDefault="00000000" w:rsidP="00EC323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Rok urodzenia</w:t>
            </w:r>
          </w:p>
          <w:p w14:paraId="194ABC4D" w14:textId="77777777" w:rsidR="00BF6CE2" w:rsidRPr="00EC3230" w:rsidRDefault="00BF6CE2" w:rsidP="00EC3230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418" w:type="dxa"/>
          </w:tcPr>
          <w:p w14:paraId="6326A52C" w14:textId="7B1F87DB" w:rsidR="00BF6CE2" w:rsidRPr="00EC3230" w:rsidRDefault="00F54D77" w:rsidP="00EC323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Data wszczęcia postępowania</w:t>
            </w:r>
          </w:p>
        </w:tc>
        <w:tc>
          <w:tcPr>
            <w:tcW w:w="1134" w:type="dxa"/>
          </w:tcPr>
          <w:p w14:paraId="5C9B6E19" w14:textId="6FA3603A" w:rsidR="00BF6CE2" w:rsidRPr="00EC3230" w:rsidRDefault="00F54D77" w:rsidP="00EC323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Data zakończenia postępowania</w:t>
            </w:r>
          </w:p>
        </w:tc>
        <w:tc>
          <w:tcPr>
            <w:tcW w:w="1955" w:type="dxa"/>
          </w:tcPr>
          <w:p w14:paraId="51DBA6D3" w14:textId="77777777" w:rsidR="00BF6CE2" w:rsidRPr="00EC3230" w:rsidRDefault="00000000" w:rsidP="00EC323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Łączny czas trwania</w:t>
            </w:r>
          </w:p>
          <w:p w14:paraId="729BBC26" w14:textId="77777777" w:rsidR="00BF6CE2" w:rsidRPr="00EC3230" w:rsidRDefault="00000000" w:rsidP="00EC323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Instancje</w:t>
            </w:r>
          </w:p>
        </w:tc>
        <w:tc>
          <w:tcPr>
            <w:tcW w:w="0" w:type="auto"/>
          </w:tcPr>
          <w:p w14:paraId="5B8DF34A" w14:textId="34536A49" w:rsidR="00BF6CE2" w:rsidRPr="00EC3230" w:rsidRDefault="00000000" w:rsidP="00EC323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Decyzja krajowa w </w:t>
            </w:r>
            <w:r w:rsidR="0040203E">
              <w:rPr>
                <w:sz w:val="16"/>
                <w:szCs w:val="18"/>
              </w:rPr>
              <w:t xml:space="preserve">przedmiocie zarzutu </w:t>
            </w:r>
            <w:r>
              <w:rPr>
                <w:sz w:val="16"/>
                <w:szCs w:val="18"/>
              </w:rPr>
              <w:t>na mocy ustawy z</w:t>
            </w:r>
            <w:r w:rsidR="00F54D77">
              <w:rPr>
                <w:sz w:val="16"/>
                <w:szCs w:val="18"/>
              </w:rPr>
              <w:t> </w:t>
            </w:r>
            <w:r>
              <w:rPr>
                <w:sz w:val="16"/>
                <w:szCs w:val="18"/>
              </w:rPr>
              <w:t>2004 r.</w:t>
            </w:r>
          </w:p>
          <w:p w14:paraId="6FBB56E4" w14:textId="77777777" w:rsidR="00F53E2F" w:rsidRPr="00EC3230" w:rsidRDefault="00000000" w:rsidP="00EC323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Kwota zasądzona przez sąd krajowy</w:t>
            </w:r>
          </w:p>
          <w:p w14:paraId="01015015" w14:textId="77777777" w:rsidR="00BF6CE2" w:rsidRPr="00EC3230" w:rsidRDefault="00000000" w:rsidP="00EC323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(w PLN)</w:t>
            </w:r>
          </w:p>
        </w:tc>
        <w:tc>
          <w:tcPr>
            <w:tcW w:w="2718" w:type="dxa"/>
          </w:tcPr>
          <w:p w14:paraId="2A69F4CC" w14:textId="3B8693FB" w:rsidR="00BF6CE2" w:rsidRPr="00EC3230" w:rsidRDefault="00000000" w:rsidP="00EC323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Kwota zasądzona tytułem szkody </w:t>
            </w:r>
            <w:r w:rsidR="0040203E">
              <w:rPr>
                <w:sz w:val="16"/>
                <w:szCs w:val="18"/>
              </w:rPr>
              <w:t xml:space="preserve">majątkowej i </w:t>
            </w:r>
            <w:r>
              <w:rPr>
                <w:sz w:val="16"/>
                <w:szCs w:val="18"/>
              </w:rPr>
              <w:t>niemajątkowej oraz zwrotu kosztów na jednego skarżącego</w:t>
            </w:r>
          </w:p>
          <w:p w14:paraId="3DE0EE4F" w14:textId="77777777" w:rsidR="00BF6CE2" w:rsidRPr="00EC3230" w:rsidRDefault="00000000" w:rsidP="00EC323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(w EUR)</w:t>
            </w:r>
            <w:r>
              <w:rPr>
                <w:rStyle w:val="Odwoanieprzypisudolnego"/>
                <w:sz w:val="16"/>
                <w:szCs w:val="18"/>
              </w:rPr>
              <w:footnoteReference w:id="1"/>
            </w:r>
          </w:p>
        </w:tc>
      </w:tr>
      <w:tr w:rsidR="002809E5" w14:paraId="4EA99650" w14:textId="77777777" w:rsidTr="002809E5">
        <w:trPr>
          <w:jc w:val="center"/>
        </w:trPr>
        <w:tc>
          <w:tcPr>
            <w:tcW w:w="1844" w:type="dxa"/>
          </w:tcPr>
          <w:p w14:paraId="51D6FCF2" w14:textId="77777777" w:rsidR="00BF6CE2" w:rsidRPr="00EC3230" w:rsidRDefault="00000000" w:rsidP="00EC323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44719/21</w:t>
            </w:r>
          </w:p>
          <w:p w14:paraId="3FB2A675" w14:textId="77777777" w:rsidR="00BF6CE2" w:rsidRPr="00EC3230" w:rsidRDefault="00000000" w:rsidP="00EC323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24.08.2021 r.</w:t>
            </w:r>
          </w:p>
        </w:tc>
        <w:tc>
          <w:tcPr>
            <w:tcW w:w="2409" w:type="dxa"/>
          </w:tcPr>
          <w:p w14:paraId="43A8A87A" w14:textId="77777777" w:rsidR="00BF6CE2" w:rsidRPr="00EC3230" w:rsidRDefault="00000000" w:rsidP="00EC3230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Zofia OLECHNO</w:t>
            </w:r>
          </w:p>
          <w:p w14:paraId="38541F38" w14:textId="77777777" w:rsidR="00BF6CE2" w:rsidRPr="00EC3230" w:rsidRDefault="00000000" w:rsidP="00EC323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1955 </w:t>
            </w:r>
          </w:p>
        </w:tc>
        <w:tc>
          <w:tcPr>
            <w:tcW w:w="1418" w:type="dxa"/>
          </w:tcPr>
          <w:p w14:paraId="0E3E8B74" w14:textId="77777777" w:rsidR="00BF6CE2" w:rsidRPr="00EC3230" w:rsidRDefault="00000000" w:rsidP="00EC323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12.01.2017 r.</w:t>
            </w:r>
          </w:p>
          <w:p w14:paraId="10788808" w14:textId="77777777" w:rsidR="00BF6CE2" w:rsidRPr="00EC3230" w:rsidRDefault="00BF6CE2" w:rsidP="00EC3230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134" w:type="dxa"/>
          </w:tcPr>
          <w:p w14:paraId="7B0758CB" w14:textId="77777777" w:rsidR="00BF6CE2" w:rsidRPr="00EC3230" w:rsidRDefault="00000000" w:rsidP="00EC323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w toku</w:t>
            </w:r>
          </w:p>
          <w:p w14:paraId="63E6654C" w14:textId="77777777" w:rsidR="00BF6CE2" w:rsidRPr="00EC3230" w:rsidRDefault="00BF6CE2" w:rsidP="00EC3230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955" w:type="dxa"/>
          </w:tcPr>
          <w:p w14:paraId="18C8F0B3" w14:textId="77777777" w:rsidR="00F53E2F" w:rsidRPr="00EC3230" w:rsidRDefault="00000000" w:rsidP="00EC323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Ponad 6 lat,</w:t>
            </w:r>
          </w:p>
          <w:p w14:paraId="6FC6BF91" w14:textId="77777777" w:rsidR="00F53E2F" w:rsidRPr="00EC3230" w:rsidRDefault="00000000" w:rsidP="00EC323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 miesięcy i 23 dni</w:t>
            </w:r>
          </w:p>
          <w:p w14:paraId="36B014E3" w14:textId="77777777" w:rsidR="00BF6CE2" w:rsidRPr="00EC3230" w:rsidRDefault="00000000" w:rsidP="00EC323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 instancja</w:t>
            </w:r>
          </w:p>
          <w:p w14:paraId="1C1E2202" w14:textId="77777777" w:rsidR="00BF6CE2" w:rsidRPr="00EC3230" w:rsidRDefault="00BF6CE2" w:rsidP="00EC3230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0" w:type="auto"/>
          </w:tcPr>
          <w:p w14:paraId="4B0B5C86" w14:textId="3CAF9778" w:rsidR="00BF6CE2" w:rsidRPr="00EC3230" w:rsidRDefault="00000000" w:rsidP="00EC323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Sąd Okręgowy Warszawa-Praga, 19.05.2021 r., sygn. akt IV S 118/</w:t>
            </w:r>
            <w:r w:rsidR="0040203E">
              <w:rPr>
                <w:sz w:val="16"/>
                <w:szCs w:val="18"/>
              </w:rPr>
              <w:t>21</w:t>
            </w:r>
          </w:p>
        </w:tc>
        <w:tc>
          <w:tcPr>
            <w:tcW w:w="2718" w:type="dxa"/>
          </w:tcPr>
          <w:p w14:paraId="0DE96A8F" w14:textId="77777777" w:rsidR="00BF6CE2" w:rsidRPr="00EC3230" w:rsidRDefault="00000000" w:rsidP="00EC323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3 600</w:t>
            </w:r>
          </w:p>
        </w:tc>
      </w:tr>
    </w:tbl>
    <w:p w14:paraId="5AF854E6" w14:textId="77777777" w:rsidR="00791456" w:rsidRPr="00EC3230" w:rsidRDefault="00791456" w:rsidP="00EC3230"/>
    <w:sectPr w:rsidR="00791456" w:rsidRPr="00EC3230" w:rsidSect="00FB053F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C848B" w14:textId="77777777" w:rsidR="001742C4" w:rsidRDefault="001742C4">
      <w:r>
        <w:separator/>
      </w:r>
    </w:p>
  </w:endnote>
  <w:endnote w:type="continuationSeparator" w:id="0">
    <w:p w14:paraId="1F92475C" w14:textId="77777777" w:rsidR="001742C4" w:rsidRDefault="00174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BAC40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DE801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FABC5" w14:textId="77777777" w:rsidR="00ED7723" w:rsidRPr="00150BFA" w:rsidRDefault="00000000" w:rsidP="0020718E">
    <w:pPr>
      <w:jc w:val="center"/>
    </w:pPr>
    <w:r>
      <w:rPr>
        <w:noProof/>
      </w:rPr>
      <w:drawing>
        <wp:inline distT="0" distB="0" distL="0" distR="0" wp14:anchorId="037F948A" wp14:editId="50722BE7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7D5101" w14:textId="77777777" w:rsidR="0029309A" w:rsidRPr="00611E1D" w:rsidRDefault="0029309A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37ED4" w14:textId="77777777" w:rsidR="001742C4" w:rsidRPr="00611E1D" w:rsidRDefault="001742C4" w:rsidP="00787E12">
      <w:r w:rsidRPr="00611E1D">
        <w:separator/>
      </w:r>
    </w:p>
  </w:footnote>
  <w:footnote w:type="continuationSeparator" w:id="0">
    <w:p w14:paraId="7500F92F" w14:textId="77777777" w:rsidR="001742C4" w:rsidRPr="00611E1D" w:rsidRDefault="001742C4" w:rsidP="00787E12">
      <w:r w:rsidRPr="00611E1D">
        <w:continuationSeparator/>
      </w:r>
    </w:p>
  </w:footnote>
  <w:footnote w:id="1">
    <w:p w14:paraId="470B187B" w14:textId="77777777" w:rsidR="00BF6CE2" w:rsidRPr="00F94348" w:rsidRDefault="00000000" w:rsidP="006D5E2F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>
        <w:t>powiększona o należne podatki.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6DFD7" w14:textId="77777777" w:rsidR="00ED7723" w:rsidRPr="00A45145" w:rsidRDefault="00000000" w:rsidP="00A45145">
    <w:pPr>
      <w:jc w:val="center"/>
    </w:pPr>
    <w:r>
      <w:rPr>
        <w:noProof/>
      </w:rPr>
      <w:drawing>
        <wp:inline distT="0" distB="0" distL="0" distR="0" wp14:anchorId="56EB521E" wp14:editId="1CBA23F0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161DC9" w14:textId="77777777" w:rsidR="00787E12" w:rsidRPr="00611E1D" w:rsidRDefault="00787E12" w:rsidP="000318F7">
    <w:pPr>
      <w:jc w:val="center"/>
      <w:rPr>
        <w:sz w:val="4"/>
        <w:szCs w:val="4"/>
      </w:rPr>
    </w:pPr>
  </w:p>
  <w:p w14:paraId="5A818A53" w14:textId="77777777" w:rsidR="00787E12" w:rsidRPr="00611E1D" w:rsidRDefault="0078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0482F" w14:textId="77777777" w:rsidR="006D5E2F" w:rsidRPr="00A45145" w:rsidRDefault="00000000" w:rsidP="00A45145">
    <w:pPr>
      <w:jc w:val="center"/>
    </w:pPr>
    <w:r>
      <w:rPr>
        <w:noProof/>
      </w:rPr>
      <w:drawing>
        <wp:inline distT="0" distB="0" distL="0" distR="0" wp14:anchorId="2C017C44" wp14:editId="5008FA85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8E0CC4" w14:textId="77777777" w:rsidR="008D51B6" w:rsidRPr="004F56E2" w:rsidRDefault="008D51B6" w:rsidP="008D51B6">
    <w:pPr>
      <w:pStyle w:val="Nagwek"/>
    </w:pPr>
  </w:p>
  <w:p w14:paraId="298C7EF1" w14:textId="77777777" w:rsidR="00787E12" w:rsidRPr="00611E1D" w:rsidRDefault="00787E12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EACA" w14:textId="77777777" w:rsidR="00787E12" w:rsidRPr="005C3A15" w:rsidRDefault="00000000" w:rsidP="006372F5">
    <w:pPr>
      <w:pStyle w:val="JuHeader"/>
    </w:pPr>
    <w:r>
      <w:t>WYROK W SPRAWIE OLECHNO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687FD" w14:textId="77777777" w:rsidR="00787E12" w:rsidRPr="00DE7D3F" w:rsidRDefault="00000000" w:rsidP="00BD554D">
    <w:pPr>
      <w:pStyle w:val="JuHeader"/>
    </w:pPr>
    <w:r>
      <w:t>WYROK W SPRAWIE OLECHNO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202CD" w14:textId="77777777" w:rsidR="008B3FB7" w:rsidRPr="005C3A15" w:rsidRDefault="00000000" w:rsidP="00E026EC">
    <w:pPr>
      <w:pStyle w:val="JuHeader"/>
    </w:pPr>
    <w:r>
      <w:t>WYROK W SPRAWIE OLECHNO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F0A59" w14:textId="77777777" w:rsidR="008B3FB7" w:rsidRPr="00DE7D3F" w:rsidRDefault="00000000" w:rsidP="00E026EC">
    <w:pPr>
      <w:pStyle w:val="JuHeader"/>
    </w:pPr>
    <w:r>
      <w:t>WYROK W SPRAWIE OLECHNO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3ECEECFE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8EF4A55C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4A447FDA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3D2AF4D0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55AE69CA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E6BC7C0E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CA22219C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DD406480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219EF34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100107618">
    <w:abstractNumId w:val="14"/>
  </w:num>
  <w:num w:numId="2" w16cid:durableId="1334914947">
    <w:abstractNumId w:val="12"/>
  </w:num>
  <w:num w:numId="3" w16cid:durableId="1317369651">
    <w:abstractNumId w:val="11"/>
  </w:num>
  <w:num w:numId="4" w16cid:durableId="2132746048">
    <w:abstractNumId w:val="15"/>
  </w:num>
  <w:num w:numId="5" w16cid:durableId="1234973429">
    <w:abstractNumId w:val="13"/>
  </w:num>
  <w:num w:numId="6" w16cid:durableId="813911592">
    <w:abstractNumId w:val="16"/>
  </w:num>
  <w:num w:numId="7" w16cid:durableId="865562220">
    <w:abstractNumId w:val="15"/>
  </w:num>
  <w:num w:numId="8" w16cid:durableId="1234925734">
    <w:abstractNumId w:val="16"/>
  </w:num>
  <w:num w:numId="9" w16cid:durableId="829710360">
    <w:abstractNumId w:val="10"/>
  </w:num>
  <w:num w:numId="10" w16cid:durableId="248927950">
    <w:abstractNumId w:val="9"/>
  </w:num>
  <w:num w:numId="11" w16cid:durableId="626853951">
    <w:abstractNumId w:val="17"/>
  </w:num>
  <w:num w:numId="12" w16cid:durableId="608851211">
    <w:abstractNumId w:val="7"/>
  </w:num>
  <w:num w:numId="13" w16cid:durableId="494763069">
    <w:abstractNumId w:val="6"/>
  </w:num>
  <w:num w:numId="14" w16cid:durableId="1187518747">
    <w:abstractNumId w:val="5"/>
  </w:num>
  <w:num w:numId="15" w16cid:durableId="296884682">
    <w:abstractNumId w:val="4"/>
  </w:num>
  <w:num w:numId="16" w16cid:durableId="1573349235">
    <w:abstractNumId w:val="8"/>
  </w:num>
  <w:num w:numId="17" w16cid:durableId="1462118456">
    <w:abstractNumId w:val="3"/>
  </w:num>
  <w:num w:numId="18" w16cid:durableId="177089316">
    <w:abstractNumId w:val="2"/>
  </w:num>
  <w:num w:numId="19" w16cid:durableId="103886799">
    <w:abstractNumId w:val="1"/>
  </w:num>
  <w:num w:numId="20" w16cid:durableId="1033968693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-1"/>
    <w:docVar w:name="EMM" w:val="0"/>
    <w:docVar w:name="NBEMMDOC" w:val="0"/>
    <w:docVar w:name="Plural" w:val="0"/>
  </w:docVars>
  <w:rsids>
    <w:rsidRoot w:val="006D5E2F"/>
    <w:rsid w:val="000318F7"/>
    <w:rsid w:val="00054005"/>
    <w:rsid w:val="000C5149"/>
    <w:rsid w:val="000D0B56"/>
    <w:rsid w:val="001246E0"/>
    <w:rsid w:val="00135384"/>
    <w:rsid w:val="00150BFA"/>
    <w:rsid w:val="00173A91"/>
    <w:rsid w:val="001742C4"/>
    <w:rsid w:val="001A15B6"/>
    <w:rsid w:val="001A3C4A"/>
    <w:rsid w:val="001A61E7"/>
    <w:rsid w:val="001D1354"/>
    <w:rsid w:val="001D7CD3"/>
    <w:rsid w:val="001F3812"/>
    <w:rsid w:val="002056B7"/>
    <w:rsid w:val="0020718E"/>
    <w:rsid w:val="002124A3"/>
    <w:rsid w:val="0022722E"/>
    <w:rsid w:val="0023364D"/>
    <w:rsid w:val="002809E5"/>
    <w:rsid w:val="0029309A"/>
    <w:rsid w:val="002C5B23"/>
    <w:rsid w:val="00337785"/>
    <w:rsid w:val="0037589C"/>
    <w:rsid w:val="003C082C"/>
    <w:rsid w:val="0040203E"/>
    <w:rsid w:val="0048584C"/>
    <w:rsid w:val="00497FF8"/>
    <w:rsid w:val="004B0B4E"/>
    <w:rsid w:val="004D042B"/>
    <w:rsid w:val="004D0EC7"/>
    <w:rsid w:val="004F56E2"/>
    <w:rsid w:val="00555A1D"/>
    <w:rsid w:val="00573202"/>
    <w:rsid w:val="005B102C"/>
    <w:rsid w:val="005B16C1"/>
    <w:rsid w:val="005C3A15"/>
    <w:rsid w:val="005F60F9"/>
    <w:rsid w:val="00606EFF"/>
    <w:rsid w:val="00611E1D"/>
    <w:rsid w:val="006372F5"/>
    <w:rsid w:val="006456D8"/>
    <w:rsid w:val="006563B7"/>
    <w:rsid w:val="00656431"/>
    <w:rsid w:val="006D324D"/>
    <w:rsid w:val="006D5E2F"/>
    <w:rsid w:val="00743B2A"/>
    <w:rsid w:val="00787E12"/>
    <w:rsid w:val="00791456"/>
    <w:rsid w:val="007A72B4"/>
    <w:rsid w:val="007F018A"/>
    <w:rsid w:val="008522DD"/>
    <w:rsid w:val="00860732"/>
    <w:rsid w:val="008A0E2E"/>
    <w:rsid w:val="008B3FB7"/>
    <w:rsid w:val="008D51B6"/>
    <w:rsid w:val="00907B80"/>
    <w:rsid w:val="00927E7C"/>
    <w:rsid w:val="009406E5"/>
    <w:rsid w:val="009522DD"/>
    <w:rsid w:val="00A062B9"/>
    <w:rsid w:val="00A2638C"/>
    <w:rsid w:val="00A329E0"/>
    <w:rsid w:val="00A34A54"/>
    <w:rsid w:val="00A44415"/>
    <w:rsid w:val="00A45145"/>
    <w:rsid w:val="00A6104A"/>
    <w:rsid w:val="00A94CA7"/>
    <w:rsid w:val="00AC03BB"/>
    <w:rsid w:val="00B216C1"/>
    <w:rsid w:val="00B64153"/>
    <w:rsid w:val="00B76060"/>
    <w:rsid w:val="00B91668"/>
    <w:rsid w:val="00BD554D"/>
    <w:rsid w:val="00BE2415"/>
    <w:rsid w:val="00BF6CE2"/>
    <w:rsid w:val="00C20CC3"/>
    <w:rsid w:val="00C43D38"/>
    <w:rsid w:val="00C877A3"/>
    <w:rsid w:val="00CE32F2"/>
    <w:rsid w:val="00CF3A78"/>
    <w:rsid w:val="00DE7D3F"/>
    <w:rsid w:val="00E026EC"/>
    <w:rsid w:val="00E06BA8"/>
    <w:rsid w:val="00E7434F"/>
    <w:rsid w:val="00EC3230"/>
    <w:rsid w:val="00ED7723"/>
    <w:rsid w:val="00F53E2F"/>
    <w:rsid w:val="00F54D77"/>
    <w:rsid w:val="00F94348"/>
    <w:rsid w:val="00FB053F"/>
    <w:rsid w:val="00FB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ED72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743B2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743B2A"/>
    <w:rPr>
      <w:color w:val="00B050"/>
      <w:sz w:val="22"/>
    </w:rPr>
  </w:style>
  <w:style w:type="character" w:styleId="Pogrubienie">
    <w:name w:val="Strong"/>
    <w:uiPriority w:val="98"/>
    <w:semiHidden/>
    <w:qFormat/>
    <w:rsid w:val="00743B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743B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43B2A"/>
    <w:rPr>
      <w:i/>
      <w:iCs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A2638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814</Words>
  <Characters>4885</Characters>
  <Application>Microsoft Office Word</Application>
  <DocSecurity>0</DocSecurity>
  <Lines>40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Company/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lastModifiedBy/>
  <cp:revision>1</cp:revision>
  <dcterms:created xsi:type="dcterms:W3CDTF">2024-01-23T09:03:00Z</dcterms:created>
  <dcterms:modified xsi:type="dcterms:W3CDTF">2024-01-23T09:03:00Z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1664221</vt:lpwstr>
  </property>
  <property fmtid="{D5CDD505-2E9C-101B-9397-08002B2CF9AE}" pid="3" name="cstLanguage">
    <vt:i4>2057</vt:i4>
  </property>
  <property fmtid="{D5CDD505-2E9C-101B-9397-08002B2CF9AE}" pid="4" name="RegisteredNo">
    <vt:lpwstr>44719/21</vt:lpwstr>
  </property>
</Properties>
</file>