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F3010" w14:textId="77777777" w:rsidR="0098410D" w:rsidRPr="00D637A7" w:rsidRDefault="008E2D0D" w:rsidP="00D637A7">
      <w:pPr>
        <w:pStyle w:val="DecHTitle"/>
      </w:pPr>
      <w:r>
        <w:t>PIERWSZA SEKCJA</w:t>
      </w:r>
    </w:p>
    <w:p w14:paraId="44E3C59B" w14:textId="77777777" w:rsidR="008E6217" w:rsidRPr="00D637A7" w:rsidRDefault="008E2D0D" w:rsidP="00D637A7">
      <w:pPr>
        <w:pStyle w:val="JuTitle"/>
        <w:spacing w:before="360" w:after="120"/>
      </w:pPr>
      <w:r>
        <w:rPr>
          <w:color w:val="000000" w:themeColor="text1"/>
        </w:rPr>
        <w:t xml:space="preserve">SPRAWA </w:t>
      </w:r>
      <w:r>
        <w:t>WAŁĘSA przeciwko POLSCE</w:t>
      </w:r>
    </w:p>
    <w:p w14:paraId="7120A572" w14:textId="77777777" w:rsidR="00D74888" w:rsidRPr="00D637A7" w:rsidRDefault="008E2D0D" w:rsidP="00D637A7">
      <w:pPr>
        <w:pStyle w:val="ECHRCoverTitle4"/>
      </w:pPr>
      <w:r>
        <w:t>(Skarga nr 50849/21)</w:t>
      </w:r>
    </w:p>
    <w:p w14:paraId="0C77F3F6" w14:textId="77777777" w:rsidR="0098410D" w:rsidRPr="00D637A7" w:rsidRDefault="0098410D" w:rsidP="00D637A7">
      <w:pPr>
        <w:pStyle w:val="DecHCase"/>
        <w:spacing w:after="0"/>
      </w:pPr>
    </w:p>
    <w:p w14:paraId="70D6ED6B" w14:textId="77777777" w:rsidR="0098410D" w:rsidRPr="00D637A7" w:rsidRDefault="008E2D0D" w:rsidP="00D637A7">
      <w:pPr>
        <w:pStyle w:val="DecHCase"/>
        <w:spacing w:after="0"/>
      </w:pPr>
      <w:r>
        <w:t>WYROK</w:t>
      </w:r>
      <w:r>
        <w:br/>
      </w:r>
    </w:p>
    <w:p w14:paraId="005F25E6" w14:textId="193E8BFF" w:rsidR="00D637A7" w:rsidRPr="00D637A7" w:rsidRDefault="008E2D0D" w:rsidP="00D637A7">
      <w:pPr>
        <w:pBdr>
          <w:top w:val="single" w:sz="4" w:space="1" w:color="auto"/>
          <w:left w:val="single" w:sz="4" w:space="4" w:color="auto"/>
          <w:bottom w:val="single" w:sz="4" w:space="1" w:color="auto"/>
          <w:right w:val="single" w:sz="4" w:space="4" w:color="auto"/>
        </w:pBdr>
        <w:jc w:val="both"/>
        <w:rPr>
          <w:sz w:val="18"/>
          <w:szCs w:val="18"/>
        </w:rPr>
      </w:pPr>
      <w:r>
        <w:rPr>
          <w:sz w:val="18"/>
          <w:szCs w:val="18"/>
        </w:rPr>
        <w:t xml:space="preserve">Artykuł 6 ust. 1 (aspekt cywilny) • Sąd ustanowiony ustawą • Niezawisły i bezstronny sąd • Uchylenie przez Izbę Kontroli Nadzwyczajnej i Spraw Publicznych Sądu Najwyższego (IKNiSP) prawomocnego wyroku w sprawie o zniesławienie wydanego na korzyść skarżącego dziesięć lat wcześniej w następstwie skargi nadzwyczajnej złożonej przez Prokuratora Generalnego w imieniu strony pozwanej • Stwierdzenie naruszenia ze względów przedstawionych w wyroku </w:t>
      </w:r>
      <w:r>
        <w:rPr>
          <w:i/>
          <w:iCs/>
          <w:sz w:val="18"/>
          <w:szCs w:val="18"/>
        </w:rPr>
        <w:t>Dolińska-Ficek i Ozimek przeciwko Polsce</w:t>
      </w:r>
      <w:r>
        <w:rPr>
          <w:sz w:val="18"/>
          <w:szCs w:val="18"/>
        </w:rPr>
        <w:t xml:space="preserve"> w świetle trzyelementowego testu sformułowanego w sprawie </w:t>
      </w:r>
      <w:r>
        <w:rPr>
          <w:i/>
          <w:iCs/>
          <w:sz w:val="18"/>
          <w:szCs w:val="18"/>
        </w:rPr>
        <w:t>Guðmundur Andri Ástráðsson przeciwko Islandii</w:t>
      </w:r>
      <w:r>
        <w:rPr>
          <w:sz w:val="18"/>
          <w:szCs w:val="18"/>
        </w:rPr>
        <w:t xml:space="preserve"> [WI] • Oczywiste naruszenia przy powoływaniu sędziów do IKNiSP w następstwie reformy ustawodawstwa • Wyłączna kompetencja IKNiSP w sprawach obejmujących zarzut braku niezawisłości sędziego lub sądu, w tym w przypadku wniosków dotyczących ich bezpośrednio, naruszająca podstawową zasadę </w:t>
      </w:r>
      <w:r>
        <w:rPr>
          <w:i/>
          <w:iCs/>
          <w:sz w:val="18"/>
          <w:szCs w:val="18"/>
        </w:rPr>
        <w:t>nemo iudex in causa sua</w:t>
      </w:r>
      <w:r>
        <w:rPr>
          <w:sz w:val="18"/>
          <w:szCs w:val="18"/>
        </w:rPr>
        <w:t xml:space="preserve"> • nieograniczona właściwość IKNiSP we wszystkich </w:t>
      </w:r>
      <w:r w:rsidR="002753AF">
        <w:rPr>
          <w:sz w:val="18"/>
          <w:szCs w:val="18"/>
        </w:rPr>
        <w:t>kwestiach</w:t>
      </w:r>
      <w:r>
        <w:rPr>
          <w:sz w:val="18"/>
          <w:szCs w:val="18"/>
        </w:rPr>
        <w:t xml:space="preserve"> dotyczących </w:t>
      </w:r>
      <w:r w:rsidR="002753AF">
        <w:rPr>
          <w:sz w:val="18"/>
          <w:szCs w:val="18"/>
        </w:rPr>
        <w:t>niezawisłości</w:t>
      </w:r>
      <w:r>
        <w:rPr>
          <w:sz w:val="18"/>
          <w:szCs w:val="18"/>
        </w:rPr>
        <w:t xml:space="preserve"> polskiego sądownictwa</w:t>
      </w:r>
    </w:p>
    <w:p w14:paraId="5D3D9E21" w14:textId="79AC352C" w:rsidR="00D637A7" w:rsidRPr="00D637A7" w:rsidRDefault="008E2D0D" w:rsidP="00D637A7">
      <w:pPr>
        <w:pBdr>
          <w:top w:val="single" w:sz="4" w:space="1" w:color="auto"/>
          <w:left w:val="single" w:sz="4" w:space="4" w:color="auto"/>
          <w:bottom w:val="single" w:sz="4" w:space="1" w:color="auto"/>
          <w:right w:val="single" w:sz="4" w:space="4" w:color="auto"/>
        </w:pBdr>
        <w:jc w:val="both"/>
        <w:rPr>
          <w:sz w:val="18"/>
          <w:szCs w:val="18"/>
        </w:rPr>
      </w:pPr>
      <w:r>
        <w:rPr>
          <w:sz w:val="18"/>
          <w:szCs w:val="18"/>
        </w:rPr>
        <w:t xml:space="preserve">Artykuł 6 ust. 1 (aspekt cywilny) • Sprawiedliwe rozpatrzenie sprawy • Procedura skargi nadzwyczajnej niezgodna z zasadą pewności prawa • Brak </w:t>
      </w:r>
      <w:r w:rsidR="002753AF">
        <w:rPr>
          <w:sz w:val="18"/>
          <w:szCs w:val="18"/>
        </w:rPr>
        <w:t>przewidywalności odpowiednich</w:t>
      </w:r>
      <w:r>
        <w:rPr>
          <w:sz w:val="18"/>
          <w:szCs w:val="18"/>
        </w:rPr>
        <w:t xml:space="preserve"> przepisów prawa • Nieograniczona swoboda uznania przysługująca organom </w:t>
      </w:r>
      <w:r w:rsidR="002753AF">
        <w:rPr>
          <w:sz w:val="18"/>
          <w:szCs w:val="18"/>
        </w:rPr>
        <w:t>dokonującym</w:t>
      </w:r>
      <w:r>
        <w:rPr>
          <w:sz w:val="18"/>
          <w:szCs w:val="18"/>
        </w:rPr>
        <w:t xml:space="preserve"> wykładni przesłanek skargi nadzwyczajnej • Wyjątkowo wydłuż</w:t>
      </w:r>
      <w:r w:rsidR="004F3755">
        <w:rPr>
          <w:sz w:val="18"/>
          <w:szCs w:val="18"/>
        </w:rPr>
        <w:t>o</w:t>
      </w:r>
      <w:r>
        <w:rPr>
          <w:sz w:val="18"/>
          <w:szCs w:val="18"/>
        </w:rPr>
        <w:t xml:space="preserve">ne i stosowane z mocą wsteczną terminy </w:t>
      </w:r>
      <w:r w:rsidR="004F3755">
        <w:rPr>
          <w:sz w:val="18"/>
          <w:szCs w:val="18"/>
        </w:rPr>
        <w:t>zaskarżania,</w:t>
      </w:r>
      <w:r>
        <w:rPr>
          <w:sz w:val="18"/>
          <w:szCs w:val="18"/>
        </w:rPr>
        <w:t xml:space="preserve"> po </w:t>
      </w:r>
      <w:r w:rsidR="004F3755">
        <w:rPr>
          <w:sz w:val="18"/>
          <w:szCs w:val="18"/>
        </w:rPr>
        <w:t xml:space="preserve">upływie </w:t>
      </w:r>
      <w:r>
        <w:rPr>
          <w:sz w:val="18"/>
          <w:szCs w:val="18"/>
        </w:rPr>
        <w:t>znaczn</w:t>
      </w:r>
      <w:r w:rsidR="004F3755">
        <w:rPr>
          <w:sz w:val="18"/>
          <w:szCs w:val="18"/>
        </w:rPr>
        <w:t>ego</w:t>
      </w:r>
      <w:r>
        <w:rPr>
          <w:sz w:val="18"/>
          <w:szCs w:val="18"/>
        </w:rPr>
        <w:t xml:space="preserve"> czas</w:t>
      </w:r>
      <w:r w:rsidR="004F3755">
        <w:rPr>
          <w:sz w:val="18"/>
          <w:szCs w:val="18"/>
        </w:rPr>
        <w:t>u,</w:t>
      </w:r>
      <w:r>
        <w:rPr>
          <w:sz w:val="18"/>
          <w:szCs w:val="18"/>
        </w:rPr>
        <w:t xml:space="preserve"> wyroków wydanych w sprawach cywilnych zakończonych ponad dwadzieścia lat przed wejściem przepisów w życie • Brak </w:t>
      </w:r>
      <w:r w:rsidR="004F3755">
        <w:rPr>
          <w:sz w:val="18"/>
          <w:szCs w:val="18"/>
        </w:rPr>
        <w:t>odpowiednich</w:t>
      </w:r>
      <w:r>
        <w:rPr>
          <w:sz w:val="18"/>
          <w:szCs w:val="18"/>
        </w:rPr>
        <w:t xml:space="preserve"> gwarancji chroniących przed możliwym nadużyciem </w:t>
      </w:r>
      <w:r w:rsidR="004F3755">
        <w:rPr>
          <w:sz w:val="18"/>
          <w:szCs w:val="18"/>
        </w:rPr>
        <w:t>procedury</w:t>
      </w:r>
      <w:r>
        <w:rPr>
          <w:sz w:val="18"/>
          <w:szCs w:val="18"/>
        </w:rPr>
        <w:t xml:space="preserve"> oraz instrumentalizacją instytucji skargi nadzwyczajnej • Wyłączna </w:t>
      </w:r>
      <w:r w:rsidR="00120F55">
        <w:rPr>
          <w:sz w:val="18"/>
          <w:szCs w:val="18"/>
        </w:rPr>
        <w:t>właściwość</w:t>
      </w:r>
      <w:r>
        <w:rPr>
          <w:sz w:val="18"/>
          <w:szCs w:val="18"/>
        </w:rPr>
        <w:t xml:space="preserve"> IKNiSP, organu pozbawionego przymiotu „niezawisłego i bezstronnego sądu ustanowionego ustawą” do rozpoznawania skarg nadzwyczajnych • Procedura stosowana jako „zakamuflowany zwyczajny środek zaskarżenia”, skutkująca </w:t>
      </w:r>
      <w:r w:rsidR="00120F55">
        <w:rPr>
          <w:sz w:val="18"/>
          <w:szCs w:val="18"/>
        </w:rPr>
        <w:t>ponownym rozpoznawaniem</w:t>
      </w:r>
      <w:r>
        <w:rPr>
          <w:sz w:val="18"/>
          <w:szCs w:val="18"/>
        </w:rPr>
        <w:t xml:space="preserve"> sprawy rozstrzygniętej w sposób ostateczny • </w:t>
      </w:r>
      <w:r w:rsidR="008B51E7">
        <w:rPr>
          <w:sz w:val="18"/>
          <w:szCs w:val="18"/>
        </w:rPr>
        <w:t>Nadużycie procedury</w:t>
      </w:r>
      <w:r>
        <w:rPr>
          <w:sz w:val="18"/>
          <w:szCs w:val="18"/>
        </w:rPr>
        <w:t xml:space="preserve"> w niniejszej sprawie przez organ państw</w:t>
      </w:r>
      <w:r w:rsidR="008B51E7">
        <w:rPr>
          <w:sz w:val="18"/>
          <w:szCs w:val="18"/>
        </w:rPr>
        <w:t>a</w:t>
      </w:r>
      <w:r>
        <w:rPr>
          <w:sz w:val="18"/>
          <w:szCs w:val="18"/>
        </w:rPr>
        <w:t xml:space="preserve"> </w:t>
      </w:r>
      <w:r w:rsidR="008B51E7">
        <w:rPr>
          <w:sz w:val="18"/>
          <w:szCs w:val="18"/>
        </w:rPr>
        <w:t>w celu realizacji</w:t>
      </w:r>
      <w:r>
        <w:rPr>
          <w:sz w:val="18"/>
          <w:szCs w:val="18"/>
        </w:rPr>
        <w:t xml:space="preserve"> własny</w:t>
      </w:r>
      <w:r w:rsidR="008B51E7">
        <w:rPr>
          <w:sz w:val="18"/>
          <w:szCs w:val="18"/>
        </w:rPr>
        <w:t>ch</w:t>
      </w:r>
      <w:r>
        <w:rPr>
          <w:sz w:val="18"/>
          <w:szCs w:val="18"/>
        </w:rPr>
        <w:t xml:space="preserve"> przekona</w:t>
      </w:r>
      <w:r w:rsidR="008B51E7">
        <w:rPr>
          <w:sz w:val="18"/>
          <w:szCs w:val="18"/>
        </w:rPr>
        <w:t>ń</w:t>
      </w:r>
      <w:r>
        <w:rPr>
          <w:sz w:val="18"/>
          <w:szCs w:val="18"/>
        </w:rPr>
        <w:t xml:space="preserve"> i motyw</w:t>
      </w:r>
      <w:r w:rsidR="008B51E7">
        <w:rPr>
          <w:sz w:val="18"/>
          <w:szCs w:val="18"/>
        </w:rPr>
        <w:t>ów</w:t>
      </w:r>
      <w:r>
        <w:rPr>
          <w:sz w:val="18"/>
          <w:szCs w:val="18"/>
        </w:rPr>
        <w:t xml:space="preserve"> polityczny</w:t>
      </w:r>
      <w:r w:rsidR="008B51E7">
        <w:rPr>
          <w:sz w:val="18"/>
          <w:szCs w:val="18"/>
        </w:rPr>
        <w:t>ch</w:t>
      </w:r>
      <w:r>
        <w:rPr>
          <w:sz w:val="18"/>
          <w:szCs w:val="18"/>
        </w:rPr>
        <w:t xml:space="preserve"> • Brak </w:t>
      </w:r>
      <w:r w:rsidR="008B51E7">
        <w:rPr>
          <w:sz w:val="18"/>
          <w:szCs w:val="18"/>
        </w:rPr>
        <w:t xml:space="preserve">istotnych i </w:t>
      </w:r>
      <w:r>
        <w:rPr>
          <w:sz w:val="18"/>
          <w:szCs w:val="18"/>
        </w:rPr>
        <w:t xml:space="preserve">przekonujących okoliczności uzasadniających odejście od zasady </w:t>
      </w:r>
      <w:r>
        <w:rPr>
          <w:i/>
          <w:iCs/>
          <w:sz w:val="18"/>
          <w:szCs w:val="18"/>
        </w:rPr>
        <w:t>res judicata</w:t>
      </w:r>
    </w:p>
    <w:p w14:paraId="1FE82CF6" w14:textId="179EA7AE" w:rsidR="00D637A7" w:rsidRPr="00D637A7" w:rsidRDefault="008E2D0D" w:rsidP="00D637A7">
      <w:pPr>
        <w:pBdr>
          <w:top w:val="single" w:sz="4" w:space="1" w:color="auto"/>
          <w:left w:val="single" w:sz="4" w:space="4" w:color="auto"/>
          <w:bottom w:val="single" w:sz="4" w:space="1" w:color="auto"/>
          <w:right w:val="single" w:sz="4" w:space="4" w:color="auto"/>
        </w:pBdr>
        <w:jc w:val="both"/>
        <w:rPr>
          <w:sz w:val="18"/>
          <w:szCs w:val="18"/>
        </w:rPr>
      </w:pPr>
      <w:r>
        <w:rPr>
          <w:sz w:val="18"/>
          <w:szCs w:val="18"/>
        </w:rPr>
        <w:t>Artykuł 8 • Uchylenie przez IKNiSP prawomocnego wyroku powodujące znaczący uszczerbek dla życia prywatnego skarżącego • Naruszenie wymogu „przewidzenia przez ustawę” wynikające</w:t>
      </w:r>
      <w:r w:rsidR="006939F7">
        <w:rPr>
          <w:sz w:val="18"/>
          <w:szCs w:val="18"/>
        </w:rPr>
        <w:t>go</w:t>
      </w:r>
      <w:r>
        <w:rPr>
          <w:sz w:val="18"/>
          <w:szCs w:val="18"/>
        </w:rPr>
        <w:t xml:space="preserve"> z art. 6 ust. 1.</w:t>
      </w:r>
    </w:p>
    <w:p w14:paraId="29119A7B" w14:textId="59A2626B" w:rsidR="00D637A7" w:rsidRPr="00D637A7" w:rsidRDefault="008E2D0D" w:rsidP="00D637A7">
      <w:pPr>
        <w:pBdr>
          <w:top w:val="single" w:sz="4" w:space="1" w:color="auto"/>
          <w:left w:val="single" w:sz="4" w:space="4" w:color="auto"/>
          <w:bottom w:val="single" w:sz="4" w:space="1" w:color="auto"/>
          <w:right w:val="single" w:sz="4" w:space="4" w:color="auto"/>
        </w:pBdr>
        <w:jc w:val="both"/>
        <w:rPr>
          <w:color w:val="000000"/>
          <w:sz w:val="18"/>
          <w:szCs w:val="18"/>
        </w:rPr>
      </w:pPr>
      <w:r>
        <w:rPr>
          <w:color w:val="000000"/>
          <w:sz w:val="18"/>
          <w:szCs w:val="18"/>
        </w:rPr>
        <w:t>Artykuł 46 • Wyrok pilotażowy • Naruszeni</w:t>
      </w:r>
      <w:r w:rsidR="009C0C4C">
        <w:rPr>
          <w:color w:val="000000"/>
          <w:sz w:val="18"/>
          <w:szCs w:val="18"/>
        </w:rPr>
        <w:t>a</w:t>
      </w:r>
      <w:r>
        <w:rPr>
          <w:color w:val="000000"/>
          <w:sz w:val="18"/>
          <w:szCs w:val="18"/>
        </w:rPr>
        <w:t xml:space="preserve"> wynikające z powiązanych </w:t>
      </w:r>
      <w:r w:rsidR="00B4174D">
        <w:rPr>
          <w:color w:val="000000"/>
          <w:sz w:val="18"/>
          <w:szCs w:val="18"/>
        </w:rPr>
        <w:t xml:space="preserve">ze sobą </w:t>
      </w:r>
      <w:r>
        <w:rPr>
          <w:color w:val="000000"/>
          <w:sz w:val="18"/>
          <w:szCs w:val="18"/>
        </w:rPr>
        <w:t xml:space="preserve">problemów systemowych związanych z </w:t>
      </w:r>
      <w:r w:rsidR="00B4174D">
        <w:rPr>
          <w:color w:val="000000"/>
          <w:sz w:val="18"/>
          <w:szCs w:val="18"/>
        </w:rPr>
        <w:t>nieprawidłowym</w:t>
      </w:r>
      <w:r>
        <w:rPr>
          <w:color w:val="000000"/>
          <w:sz w:val="18"/>
          <w:szCs w:val="18"/>
        </w:rPr>
        <w:t xml:space="preserve"> funkcjonowaniem </w:t>
      </w:r>
      <w:r w:rsidR="00B4174D">
        <w:rPr>
          <w:color w:val="000000"/>
          <w:sz w:val="18"/>
          <w:szCs w:val="18"/>
        </w:rPr>
        <w:t xml:space="preserve">krajowego </w:t>
      </w:r>
      <w:r>
        <w:rPr>
          <w:color w:val="000000"/>
          <w:sz w:val="18"/>
          <w:szCs w:val="18"/>
        </w:rPr>
        <w:t xml:space="preserve">ustawodawstwa i praktyki • </w:t>
      </w:r>
      <w:r w:rsidR="009C0C4C">
        <w:rPr>
          <w:color w:val="000000"/>
          <w:sz w:val="18"/>
          <w:szCs w:val="18"/>
        </w:rPr>
        <w:t>Stały</w:t>
      </w:r>
      <w:r>
        <w:rPr>
          <w:color w:val="000000"/>
          <w:sz w:val="18"/>
          <w:szCs w:val="18"/>
        </w:rPr>
        <w:t xml:space="preserve"> wzrost liczby skarg przeciwko pozwanemu państwu wynikający z polskiej reformy sądownictwa • Państwo pozwane </w:t>
      </w:r>
      <w:r>
        <w:rPr>
          <w:sz w:val="18"/>
          <w:szCs w:val="18"/>
        </w:rPr>
        <w:t xml:space="preserve">zobowiązane do podjęcia szybkich i odpowiednich środków ustawodawczych i środków innego rodzaju w celu </w:t>
      </w:r>
      <w:r w:rsidR="009C0C4C">
        <w:rPr>
          <w:sz w:val="18"/>
          <w:szCs w:val="18"/>
        </w:rPr>
        <w:t>zapewnienia</w:t>
      </w:r>
      <w:r>
        <w:rPr>
          <w:sz w:val="18"/>
          <w:szCs w:val="18"/>
        </w:rPr>
        <w:t xml:space="preserve"> w wewnętrznym porządku prawnym zgodności z wymogiem „niezawisłego i bezstronnego sądu ustanowionego ustawą” i zasadą pewności prawa </w:t>
      </w:r>
      <w:r>
        <w:rPr>
          <w:color w:val="000000"/>
          <w:sz w:val="18"/>
          <w:szCs w:val="18"/>
        </w:rPr>
        <w:t>•</w:t>
      </w:r>
      <w:r>
        <w:rPr>
          <w:sz w:val="18"/>
          <w:szCs w:val="18"/>
        </w:rPr>
        <w:t xml:space="preserve"> </w:t>
      </w:r>
      <w:r>
        <w:rPr>
          <w:color w:val="000000"/>
          <w:sz w:val="18"/>
          <w:szCs w:val="18"/>
        </w:rPr>
        <w:t>Szczegółowe środki ogólne wskazane przez Trybunał</w:t>
      </w:r>
    </w:p>
    <w:p w14:paraId="2360349B" w14:textId="77777777" w:rsidR="00D637A7" w:rsidRPr="00D637A7" w:rsidRDefault="00D637A7" w:rsidP="00D637A7">
      <w:pPr>
        <w:pStyle w:val="JuPara"/>
        <w:rPr>
          <w:sz w:val="18"/>
          <w:szCs w:val="18"/>
        </w:rPr>
      </w:pPr>
    </w:p>
    <w:p w14:paraId="3CCEE292" w14:textId="77777777" w:rsidR="0098410D" w:rsidRPr="00D637A7" w:rsidRDefault="008E2D0D" w:rsidP="00D637A7">
      <w:pPr>
        <w:pStyle w:val="DecHCase"/>
        <w:spacing w:after="120"/>
      </w:pPr>
      <w:r>
        <w:lastRenderedPageBreak/>
        <w:t>STRASBURG</w:t>
      </w:r>
    </w:p>
    <w:p w14:paraId="67D6C0B8" w14:textId="77777777" w:rsidR="0098410D" w:rsidRPr="00D637A7" w:rsidRDefault="008E2D0D" w:rsidP="00D637A7">
      <w:pPr>
        <w:pStyle w:val="DecHCase"/>
      </w:pPr>
      <w:r>
        <w:rPr>
          <w:rFonts w:ascii="Times New Roman" w:hAnsi="Times New Roman"/>
        </w:rPr>
        <w:t>23 listopada 2023 r.</w:t>
      </w:r>
    </w:p>
    <w:p w14:paraId="34AC5033" w14:textId="77777777" w:rsidR="00AC4CD4" w:rsidRPr="00D637A7" w:rsidRDefault="00AC4CD4" w:rsidP="00D637A7">
      <w:pPr>
        <w:pStyle w:val="JuPara"/>
      </w:pPr>
    </w:p>
    <w:p w14:paraId="518D89F2" w14:textId="77777777" w:rsidR="002422B6" w:rsidRPr="00D637A7" w:rsidRDefault="008E2D0D" w:rsidP="00D637A7">
      <w:pPr>
        <w:rPr>
          <w:i/>
          <w:sz w:val="22"/>
        </w:rPr>
      </w:pPr>
      <w:r>
        <w:rPr>
          <w:i/>
          <w:sz w:val="22"/>
        </w:rPr>
        <w:t>Wyrok stanie się ostateczny zgodnie z warunkami określonymi w art. 44 ust. 2 Konwencji. Wyrok może podlegać korekcie wydawniczej.</w:t>
      </w:r>
    </w:p>
    <w:p w14:paraId="3DF1E573" w14:textId="77777777" w:rsidR="0098410D" w:rsidRPr="00D637A7" w:rsidRDefault="0098410D" w:rsidP="00D637A7">
      <w:pPr>
        <w:sectPr w:rsidR="0098410D" w:rsidRPr="00D637A7" w:rsidSect="00672A86">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03FC5322" w14:textId="77777777" w:rsidR="0098410D" w:rsidRPr="00D637A7" w:rsidRDefault="008E2D0D" w:rsidP="00D637A7">
      <w:pPr>
        <w:pStyle w:val="JuCase"/>
      </w:pPr>
      <w:r>
        <w:lastRenderedPageBreak/>
        <w:t>W sprawie Wałęsa przeciwko Polsce</w:t>
      </w:r>
    </w:p>
    <w:p w14:paraId="020DF77A" w14:textId="77777777" w:rsidR="009F4C8F" w:rsidRPr="00D637A7" w:rsidRDefault="008E2D0D" w:rsidP="00D637A7">
      <w:pPr>
        <w:pStyle w:val="JuPara"/>
      </w:pPr>
      <w:r>
        <w:t>Europejski Trybunał Praw Człowieka (Pierwsza Sekcja), zasiadając jako Izba w składzie:</w:t>
      </w:r>
    </w:p>
    <w:p w14:paraId="6CDBB8AB" w14:textId="1F2502A1" w:rsidR="00ED4223" w:rsidRPr="00D637A7" w:rsidRDefault="008E2D0D" w:rsidP="00D637A7">
      <w:pPr>
        <w:pStyle w:val="JuJudges"/>
      </w:pPr>
      <w:r>
        <w:tab/>
        <w:t>Marko Bošnjak</w:t>
      </w:r>
      <w:r>
        <w:rPr>
          <w:i/>
        </w:rPr>
        <w:t xml:space="preserve">, </w:t>
      </w:r>
      <w:r w:rsidR="009C0C4C">
        <w:rPr>
          <w:i/>
        </w:rPr>
        <w:t>P</w:t>
      </w:r>
      <w:r>
        <w:rPr>
          <w:i/>
        </w:rPr>
        <w:t>rzewodniczący</w:t>
      </w:r>
      <w:r>
        <w:t>,</w:t>
      </w:r>
      <w:r>
        <w:br/>
      </w:r>
      <w:r>
        <w:tab/>
        <w:t>Alena Poláčková,</w:t>
      </w:r>
    </w:p>
    <w:p w14:paraId="44485E8D" w14:textId="77777777" w:rsidR="00ED7CE1" w:rsidRPr="00D637A7" w:rsidRDefault="008E2D0D" w:rsidP="00D637A7">
      <w:pPr>
        <w:pStyle w:val="JuJudges"/>
        <w:ind w:left="284"/>
      </w:pPr>
      <w:r>
        <w:tab/>
        <w:t>Ivana Jelić,</w:t>
      </w:r>
    </w:p>
    <w:p w14:paraId="27601D51" w14:textId="77777777" w:rsidR="00205EC3" w:rsidRPr="00D637A7" w:rsidRDefault="008E2D0D" w:rsidP="00D637A7">
      <w:pPr>
        <w:pStyle w:val="JuJudges"/>
        <w:ind w:left="284"/>
      </w:pPr>
      <w:r>
        <w:tab/>
        <w:t>Gilberto Felici,</w:t>
      </w:r>
    </w:p>
    <w:p w14:paraId="2D517AF4" w14:textId="77777777" w:rsidR="00ED4223" w:rsidRPr="00D637A7" w:rsidRDefault="008E2D0D" w:rsidP="00D637A7">
      <w:pPr>
        <w:pStyle w:val="JuJudges"/>
        <w:ind w:left="284"/>
        <w:rPr>
          <w:i/>
        </w:rPr>
      </w:pPr>
      <w:r>
        <w:tab/>
        <w:t xml:space="preserve">Erik </w:t>
      </w:r>
      <w:proofErr w:type="spellStart"/>
      <w:r>
        <w:t>Wennerström</w:t>
      </w:r>
      <w:proofErr w:type="spellEnd"/>
      <w:r>
        <w:br/>
      </w:r>
      <w:r>
        <w:tab/>
        <w:t>Raffaele Sabato,</w:t>
      </w:r>
      <w:r>
        <w:rPr>
          <w:i/>
        </w:rPr>
        <w:t xml:space="preserve"> sędziowie,</w:t>
      </w:r>
    </w:p>
    <w:p w14:paraId="29E6A3E8" w14:textId="77777777" w:rsidR="00A92625" w:rsidRPr="00D637A7" w:rsidRDefault="008E2D0D" w:rsidP="00D637A7">
      <w:pPr>
        <w:pStyle w:val="JuJudges"/>
        <w:ind w:left="284"/>
      </w:pPr>
      <w:r>
        <w:tab/>
        <w:t>Ioannis Ktistakis</w:t>
      </w:r>
      <w:r>
        <w:rPr>
          <w:i/>
        </w:rPr>
        <w:t>, sędzia ad hoc</w:t>
      </w:r>
      <w:r>
        <w:t>,</w:t>
      </w:r>
      <w:r>
        <w:br/>
        <w:t xml:space="preserve">i Renata Degener, </w:t>
      </w:r>
      <w:r>
        <w:rPr>
          <w:i/>
        </w:rPr>
        <w:t xml:space="preserve">Kanclerz </w:t>
      </w:r>
      <w:r>
        <w:rPr>
          <w:i/>
          <w:iCs/>
        </w:rPr>
        <w:t>Sekcji</w:t>
      </w:r>
      <w:r>
        <w:rPr>
          <w:i/>
        </w:rPr>
        <w:t>,</w:t>
      </w:r>
    </w:p>
    <w:p w14:paraId="102AB6C7" w14:textId="77777777" w:rsidR="000410B4" w:rsidRPr="00D637A7" w:rsidRDefault="008E2D0D" w:rsidP="00D637A7">
      <w:pPr>
        <w:pStyle w:val="JuPara"/>
      </w:pPr>
      <w:r>
        <w:t>uwzględniając:</w:t>
      </w:r>
    </w:p>
    <w:p w14:paraId="51B2AC4F" w14:textId="36D4EB9B" w:rsidR="000410B4" w:rsidRPr="00D637A7" w:rsidRDefault="008E2D0D" w:rsidP="00D637A7">
      <w:pPr>
        <w:pStyle w:val="JuPara"/>
      </w:pPr>
      <w:r>
        <w:t xml:space="preserve">skargę (nr 50849/21) przeciwko Rzeczypospolitej Polskiej wniesioną do Trybunału w dniu 5 października 2021 r. na podstawie art. 34 Konwencji o ochronie praw człowieka i podstawowych wolności („Konwencja”) przez obywatela polskiego </w:t>
      </w:r>
      <w:r w:rsidR="009C0C4C">
        <w:t xml:space="preserve">p. </w:t>
      </w:r>
      <w:r>
        <w:t>Lecha Wałęsę („skarżący”);</w:t>
      </w:r>
    </w:p>
    <w:p w14:paraId="4E893F7F" w14:textId="7582D710" w:rsidR="000410B4" w:rsidRDefault="008E2D0D" w:rsidP="00D637A7">
      <w:pPr>
        <w:pStyle w:val="JuPara"/>
      </w:pPr>
      <w:r>
        <w:t xml:space="preserve">decyzję o zakomunikowaniu sprawy </w:t>
      </w:r>
      <w:r w:rsidR="009C0C4C">
        <w:t>R</w:t>
      </w:r>
      <w:r>
        <w:t>ządowi polskiemu („Rząd”);</w:t>
      </w:r>
    </w:p>
    <w:p w14:paraId="514140A4" w14:textId="544CB694" w:rsidR="008B3208" w:rsidRDefault="008B3208" w:rsidP="00D637A7">
      <w:pPr>
        <w:pStyle w:val="JuPara"/>
      </w:pPr>
      <w:r>
        <w:t xml:space="preserve">wyłączenie się </w:t>
      </w:r>
      <w:r w:rsidR="00375184">
        <w:t xml:space="preserve">ze </w:t>
      </w:r>
      <w:r>
        <w:t>spraw</w:t>
      </w:r>
      <w:r w:rsidR="00375184">
        <w:t>y</w:t>
      </w:r>
      <w:r w:rsidR="00083311">
        <w:t xml:space="preserve"> wybranego </w:t>
      </w:r>
      <w:r w:rsidR="00375184">
        <w:t>z ramienia Polski</w:t>
      </w:r>
      <w:r>
        <w:t xml:space="preserve"> sędziego Krzysztofa Wojtyczka</w:t>
      </w:r>
      <w:r w:rsidR="00083311">
        <w:t xml:space="preserve"> (Reguła 28 § 3 Regulaminu Trybunału);</w:t>
      </w:r>
    </w:p>
    <w:p w14:paraId="4D82FD30" w14:textId="5BE1FB93" w:rsidR="00083311" w:rsidRPr="00083311" w:rsidRDefault="00083311" w:rsidP="00D637A7">
      <w:pPr>
        <w:pStyle w:val="JuPara"/>
        <w:rPr>
          <w:i/>
          <w:iCs/>
        </w:rPr>
      </w:pPr>
      <w:r>
        <w:t xml:space="preserve">decyzję Izby na podstawie Reguły 29 § 2 b), że mniej niż trzy osoby wskazane na </w:t>
      </w:r>
      <w:r w:rsidR="00375184">
        <w:t xml:space="preserve">uprzednio złożonej </w:t>
      </w:r>
      <w:r>
        <w:t xml:space="preserve">liście sędziów </w:t>
      </w:r>
      <w:r w:rsidRPr="00083311">
        <w:rPr>
          <w:i/>
          <w:iCs/>
        </w:rPr>
        <w:t>ad hoc</w:t>
      </w:r>
      <w:r>
        <w:t xml:space="preserve"> </w:t>
      </w:r>
      <w:r w:rsidR="001139C0">
        <w:t>przedłożon</w:t>
      </w:r>
      <w:r w:rsidR="00375184">
        <w:t>ej</w:t>
      </w:r>
      <w:r w:rsidR="001139C0">
        <w:t xml:space="preserve"> przez Rząd</w:t>
      </w:r>
      <w:r w:rsidR="001139C0">
        <w:rPr>
          <w:i/>
          <w:iCs/>
        </w:rPr>
        <w:t xml:space="preserve"> </w:t>
      </w:r>
      <w:r w:rsidRPr="001139C0">
        <w:t>zgodnie z art.</w:t>
      </w:r>
      <w:r w:rsidRPr="00083311">
        <w:t xml:space="preserve"> </w:t>
      </w:r>
      <w:r>
        <w:t xml:space="preserve">26 </w:t>
      </w:r>
      <w:bookmarkStart w:id="0" w:name="_Hlk156467129"/>
      <w:r>
        <w:t>§</w:t>
      </w:r>
      <w:bookmarkEnd w:id="0"/>
      <w:r>
        <w:t xml:space="preserve"> 4 Konwencji i Regułą 29 </w:t>
      </w:r>
      <w:r w:rsidR="001139C0">
        <w:t>§ 1 a) spełniają warunki wskazane w § 1 c) tej Reguły;</w:t>
      </w:r>
    </w:p>
    <w:p w14:paraId="0255BB17" w14:textId="01DDDA94" w:rsidR="000410B4" w:rsidRPr="00D637A7" w:rsidRDefault="008E2D0D" w:rsidP="00D637A7">
      <w:pPr>
        <w:pStyle w:val="JuPara"/>
      </w:pPr>
      <w:r>
        <w:t xml:space="preserve">decyzję </w:t>
      </w:r>
      <w:r w:rsidR="008B3208">
        <w:t>P</w:t>
      </w:r>
      <w:r>
        <w:t xml:space="preserve">rzewodniczącego Sekcji o powołaniu sędziego Ioannisa Ktistakisa </w:t>
      </w:r>
      <w:r w:rsidR="008B3208">
        <w:t>jako</w:t>
      </w:r>
      <w:r>
        <w:t xml:space="preserve"> sędziego </w:t>
      </w:r>
      <w:r>
        <w:rPr>
          <w:i/>
          <w:iCs/>
        </w:rPr>
        <w:t>ad hoc</w:t>
      </w:r>
      <w:r>
        <w:t xml:space="preserve"> (art. 26 ust. 4 Konwencji oraz Reguła 29 </w:t>
      </w:r>
      <w:bookmarkStart w:id="1" w:name="_Hlk156466891"/>
      <w:r>
        <w:t>§</w:t>
      </w:r>
      <w:bookmarkEnd w:id="1"/>
      <w:r>
        <w:t xml:space="preserve"> 2 lit. b) Regulaminu Trybunału), ze względu na wyłączenie się </w:t>
      </w:r>
      <w:r w:rsidR="00375184">
        <w:t>ze</w:t>
      </w:r>
      <w:r w:rsidR="008B3208">
        <w:t xml:space="preserve"> spraw</w:t>
      </w:r>
      <w:r w:rsidR="00375184">
        <w:t>y</w:t>
      </w:r>
      <w:r w:rsidR="008B3208">
        <w:t xml:space="preserve"> wybranego </w:t>
      </w:r>
      <w:r w:rsidR="00375184">
        <w:t>z ramienia</w:t>
      </w:r>
      <w:r w:rsidR="008B3208">
        <w:t xml:space="preserve"> Polsk</w:t>
      </w:r>
      <w:r w:rsidR="00375184">
        <w:t>i</w:t>
      </w:r>
      <w:r w:rsidR="008B3208">
        <w:t xml:space="preserve"> </w:t>
      </w:r>
      <w:r>
        <w:t>sędziego</w:t>
      </w:r>
      <w:r w:rsidR="008B3208">
        <w:t xml:space="preserve"> </w:t>
      </w:r>
      <w:r>
        <w:t xml:space="preserve">K. Wojtyczka (Reguła 28 </w:t>
      </w:r>
      <w:bookmarkStart w:id="2" w:name="_Hlk156466709"/>
      <w:r>
        <w:t>§ </w:t>
      </w:r>
      <w:bookmarkEnd w:id="2"/>
      <w:r>
        <w:t>3);</w:t>
      </w:r>
    </w:p>
    <w:p w14:paraId="2DF70D91" w14:textId="77777777" w:rsidR="000410B4" w:rsidRPr="00D637A7" w:rsidRDefault="008E2D0D" w:rsidP="00D637A7">
      <w:pPr>
        <w:pStyle w:val="JuPara"/>
      </w:pPr>
      <w:r>
        <w:t>uwagi przedstawione przez pozwany Rząd oraz uwagi przedstawione w odpowiedzi przez skarżącego;</w:t>
      </w:r>
    </w:p>
    <w:p w14:paraId="79D02D98" w14:textId="094AD094" w:rsidR="000410B4" w:rsidRPr="00D637A7" w:rsidRDefault="008E2D0D" w:rsidP="00D637A7">
      <w:pPr>
        <w:pStyle w:val="JuPara"/>
      </w:pPr>
      <w:r>
        <w:t xml:space="preserve">uwagi przedstawione przez interweniujące strony trzecie, Helsińską Fundację Praw Człowieka, Rzecznika Praw Obywatelskich Rzeczypospolitej Polskiej oraz Stowarzyszenie Sędziów Polskich „Iustitia”, którym to stronom Przewodniczący Sekcji </w:t>
      </w:r>
      <w:r w:rsidR="008B3208">
        <w:t>przyznał prawo interwencji</w:t>
      </w:r>
      <w:r>
        <w:t>;</w:t>
      </w:r>
    </w:p>
    <w:p w14:paraId="427220B9" w14:textId="77777777" w:rsidR="009F4C8F" w:rsidRPr="00D637A7" w:rsidRDefault="008E2D0D" w:rsidP="00D637A7">
      <w:pPr>
        <w:pStyle w:val="JuPara"/>
      </w:pPr>
      <w:r>
        <w:t>obradując na posiedzeniu niejawnym w dniu 14 listopada 2023 r.,</w:t>
      </w:r>
    </w:p>
    <w:p w14:paraId="2F5E2077" w14:textId="77777777" w:rsidR="009F4C8F" w:rsidRPr="00D637A7" w:rsidRDefault="008E2D0D" w:rsidP="00D637A7">
      <w:pPr>
        <w:pStyle w:val="JuPara"/>
      </w:pPr>
      <w:r>
        <w:t>wydaje następujący wyrok, który został przyjęty w tym dniu:</w:t>
      </w:r>
    </w:p>
    <w:p w14:paraId="4910451B" w14:textId="77777777" w:rsidR="000410B4" w:rsidRPr="00D637A7" w:rsidRDefault="008E2D0D" w:rsidP="00D637A7">
      <w:pPr>
        <w:pStyle w:val="JuHHead"/>
        <w:numPr>
          <w:ilvl w:val="0"/>
          <w:numId w:val="0"/>
        </w:numPr>
      </w:pPr>
      <w:r>
        <w:t>WPROWADZENIE</w:t>
      </w:r>
    </w:p>
    <w:p w14:paraId="1037E86A" w14:textId="4A3EBEBE" w:rsidR="000410B4" w:rsidRPr="00D637A7" w:rsidRDefault="00000000" w:rsidP="00D637A7">
      <w:pPr>
        <w:pStyle w:val="JuPara"/>
      </w:pPr>
      <w:fldSimple w:instr=" SEQ level0 \*arabic ">
        <w:r w:rsidR="006D0886">
          <w:rPr>
            <w:noProof/>
          </w:rPr>
          <w:t>1</w:t>
        </w:r>
      </w:fldSimple>
      <w:r w:rsidR="008E2D0D">
        <w:t xml:space="preserve">.  Sprawa dotyczy postępowania, w </w:t>
      </w:r>
      <w:r w:rsidR="00375184">
        <w:t>którym</w:t>
      </w:r>
      <w:r w:rsidR="008E2D0D">
        <w:t xml:space="preserve"> – w następstwie skargi nadzwyczajnej złożonej przez Prokuratora Generalnego w sprawie </w:t>
      </w:r>
      <w:r w:rsidR="00375184">
        <w:t xml:space="preserve">skarżącego </w:t>
      </w:r>
      <w:r w:rsidR="008E2D0D">
        <w:t>o zniesławienie</w:t>
      </w:r>
      <w:r w:rsidR="00375184">
        <w:t xml:space="preserve"> </w:t>
      </w:r>
      <w:r w:rsidR="008E2D0D">
        <w:t>– Izba Kontroli Nadzwyczajnej i Spraw Publicznych Sądu Najwyższego uchyliła prawomocny wyrok sądu cywilnego wydany na korzyść skarżącego ponad dziesięć lat wcześniej. W skardze podniesiono zarzuty naruszenia art. 6 ust. 1, art. 8 i art. 18 Konwencji.</w:t>
      </w:r>
    </w:p>
    <w:p w14:paraId="4BDBE88C" w14:textId="6E39D2AC" w:rsidR="000410B4" w:rsidRPr="00D637A7" w:rsidRDefault="00874328" w:rsidP="00D637A7">
      <w:pPr>
        <w:pStyle w:val="JuHHead"/>
      </w:pPr>
      <w:r>
        <w:lastRenderedPageBreak/>
        <w:t>KONTEKST PRAWNY</w:t>
      </w:r>
      <w:r w:rsidR="008E2D0D">
        <w:t xml:space="preserve"> sprawy</w:t>
      </w:r>
    </w:p>
    <w:p w14:paraId="4E752BFC" w14:textId="6D4DD519" w:rsidR="000410B4" w:rsidRPr="00D637A7" w:rsidRDefault="00000000" w:rsidP="00D637A7">
      <w:pPr>
        <w:pStyle w:val="JuPara"/>
      </w:pPr>
      <w:fldSimple w:instr=" SEQ level0 \*arabic \* MERGEFORMAT ">
        <w:r w:rsidR="006D0886">
          <w:rPr>
            <w:noProof/>
          </w:rPr>
          <w:t>2</w:t>
        </w:r>
      </w:fldSimple>
      <w:r w:rsidR="008E2D0D">
        <w:t xml:space="preserve">.  Aspekty prawne sprawy </w:t>
      </w:r>
      <w:r w:rsidR="00DB51BE">
        <w:t>związane są</w:t>
      </w:r>
      <w:r w:rsidR="008E2D0D">
        <w:t xml:space="preserve"> z tzw. reformą sądownictwa w Polsce, którą rozpoczęto w 2017 r. i </w:t>
      </w:r>
      <w:r w:rsidR="00DB51BE">
        <w:t>wprowadzano</w:t>
      </w:r>
      <w:r w:rsidR="008E2D0D">
        <w:t xml:space="preserve"> kolejnymi ustawami zmieniającymi.</w:t>
      </w:r>
    </w:p>
    <w:p w14:paraId="00253652" w14:textId="6BB098C8" w:rsidR="000410B4" w:rsidRPr="00D637A7" w:rsidRDefault="008E2D0D" w:rsidP="00D637A7">
      <w:pPr>
        <w:pStyle w:val="JuPara"/>
        <w:rPr>
          <w:iCs/>
        </w:rPr>
      </w:pPr>
      <w:r>
        <w:t xml:space="preserve">Szerszy krajowy kontekst prawny niniejszej sprawy i materiały międzynarodowe istotne dla polskiej reformy sądownictwa przedstawiono w wyrokach Trybunału w sprawach </w:t>
      </w:r>
      <w:r>
        <w:rPr>
          <w:i/>
        </w:rPr>
        <w:t>Reczkowicz</w:t>
      </w:r>
      <w:r>
        <w:t xml:space="preserve"> </w:t>
      </w:r>
      <w:r>
        <w:rPr>
          <w:i/>
          <w:iCs/>
        </w:rPr>
        <w:t>przeciwko Polsce</w:t>
      </w:r>
      <w:r>
        <w:t xml:space="preserve"> (skarga nr 43447/19, §§ 4</w:t>
      </w:r>
      <w:r>
        <w:noBreakHyphen/>
        <w:t xml:space="preserve">53, 22 lipca 2021 r.), </w:t>
      </w:r>
      <w:bookmarkStart w:id="3" w:name="_cl41335"/>
      <w:r>
        <w:rPr>
          <w:i/>
          <w:iCs/>
        </w:rPr>
        <w:t>Dolińska-Ficek i Ozimek przeciwko Polsce</w:t>
      </w:r>
      <w:r>
        <w:t xml:space="preserve"> (skarga nr  49868/19 i 57511/19, 8 listopada 2021 r.), </w:t>
      </w:r>
      <w:r>
        <w:rPr>
          <w:i/>
          <w:iCs/>
        </w:rPr>
        <w:t>Advance Pharma sp. z o.o. przeciwko Polsce</w:t>
      </w:r>
      <w:bookmarkEnd w:id="3"/>
      <w:r>
        <w:t xml:space="preserve"> (skarga nr 1469/20, §§ 4-78 i 95-225, 3 lutego 2022 r.)</w:t>
      </w:r>
      <w:r w:rsidR="00DB51BE">
        <w:t xml:space="preserve"> i</w:t>
      </w:r>
      <w:r>
        <w:t xml:space="preserve"> </w:t>
      </w:r>
      <w:r>
        <w:rPr>
          <w:i/>
        </w:rPr>
        <w:t>Grzęda przeciwko Polsce</w:t>
      </w:r>
      <w:r>
        <w:t>([WI], skarga nr 43572/18, §§ 14-28, 15 marca 2022 r.).</w:t>
      </w:r>
    </w:p>
    <w:p w14:paraId="2EA19E1D" w14:textId="44A9A197" w:rsidR="000410B4" w:rsidRPr="00D637A7" w:rsidRDefault="00000000" w:rsidP="00D637A7">
      <w:pPr>
        <w:pStyle w:val="JuPara"/>
      </w:pPr>
      <w:fldSimple w:instr=" SEQ level0 \*arabic \* MERGEFORMAT ">
        <w:r w:rsidR="006D0886">
          <w:rPr>
            <w:noProof/>
          </w:rPr>
          <w:t>3</w:t>
        </w:r>
      </w:fldSimple>
      <w:r w:rsidR="008E2D0D">
        <w:t xml:space="preserve">.  Niniejsza sprawa dotyczy głównie działania ustawy z dnia 12 lipca 2017 r. o zmianie ustawy o Krajowej Radzie Sądownictwa oraz niektórych innych ustaw („ustawa zmieniająca z 2017 r.”), którą zmodyfikowano procedurę wyboru członków Krajowej Rady Sądownictwa („KRS”), organu odpowiedzialnego za rekomendowanie kandydatów na sędziów sądów powszechnych, Sądu Najwyższego, Naczelnego Sądu Administracyjnego, sądów administracyjnych i sądów wojskowych, </w:t>
      </w:r>
      <w:r w:rsidR="00DB51BE">
        <w:t>celem</w:t>
      </w:r>
      <w:r w:rsidR="008E2D0D">
        <w:t xml:space="preserve"> powoł</w:t>
      </w:r>
      <w:r w:rsidR="00DB51BE">
        <w:t>ania</w:t>
      </w:r>
      <w:r w:rsidR="008E2D0D">
        <w:t xml:space="preserve"> przez Prezydenta Rzeczypospolitej</w:t>
      </w:r>
      <w:r w:rsidR="00DB51BE">
        <w:t xml:space="preserve"> oraz</w:t>
      </w:r>
      <w:r w:rsidR="008E2D0D">
        <w:t xml:space="preserve"> ustawy z dnia 8 grudnia 2017 r. o Sądzie Najwyższym („ustawa o Sądzie Najwyższym z 2017 r.”), którą ustanowiono dwie nowe izby Sądu Najwyższego</w:t>
      </w:r>
      <w:r w:rsidR="00DD744C">
        <w:t xml:space="preserve"> - </w:t>
      </w:r>
      <w:r w:rsidR="008E2D0D">
        <w:t xml:space="preserve">Izbę Dyscyplinarną </w:t>
      </w:r>
      <w:r w:rsidR="00DD744C">
        <w:t>i</w:t>
      </w:r>
      <w:r w:rsidR="008E2D0D">
        <w:t xml:space="preserve"> Izbę Kontroli Nadzwyczajnej i Spraw Publicznych, a także wprowadzono do polskiego systemu prawnego instytucję skargi nadzwyczajnej.</w:t>
      </w:r>
    </w:p>
    <w:p w14:paraId="093B8C77" w14:textId="5D4B6E2F" w:rsidR="000410B4" w:rsidRPr="00D637A7" w:rsidRDefault="00000000" w:rsidP="00D637A7">
      <w:pPr>
        <w:pStyle w:val="JuPara"/>
      </w:pPr>
      <w:fldSimple w:instr=" SEQ level0 \*arabic \* MERGEFORMAT ">
        <w:r w:rsidR="006D0886">
          <w:rPr>
            <w:noProof/>
          </w:rPr>
          <w:t>4</w:t>
        </w:r>
      </w:fldSimple>
      <w:r w:rsidR="008E2D0D">
        <w:t xml:space="preserve">.  Trybunał zajmował się działaniem ustawy zmieniającej z 2017 r. oraz KRS w ukształtowanym na nowo składzie, w tym jej </w:t>
      </w:r>
      <w:r w:rsidR="00DD744C">
        <w:t>udziałem</w:t>
      </w:r>
      <w:r w:rsidR="008E2D0D">
        <w:t xml:space="preserve"> w proce</w:t>
      </w:r>
      <w:r w:rsidR="00DC1018">
        <w:t>durze</w:t>
      </w:r>
      <w:r w:rsidR="008E2D0D">
        <w:t xml:space="preserve"> powoływania sędziów, w sprawach </w:t>
      </w:r>
      <w:r w:rsidR="008E2D0D">
        <w:rPr>
          <w:i/>
        </w:rPr>
        <w:t>Reczkowicz</w:t>
      </w:r>
      <w:r w:rsidR="008E2D0D">
        <w:t xml:space="preserve">, </w:t>
      </w:r>
      <w:r w:rsidR="008E2D0D">
        <w:rPr>
          <w:i/>
          <w:iCs/>
        </w:rPr>
        <w:t>Dolińska-Ficek i Ozimek,</w:t>
      </w:r>
      <w:r w:rsidR="008E2D0D">
        <w:t xml:space="preserve"> </w:t>
      </w:r>
      <w:r w:rsidR="008E2D0D">
        <w:rPr>
          <w:i/>
          <w:iCs/>
        </w:rPr>
        <w:t>Advance Pharma sp. z o.o.</w:t>
      </w:r>
      <w:r w:rsidR="008E2D0D">
        <w:t xml:space="preserve">, </w:t>
      </w:r>
      <w:r w:rsidR="008E2D0D">
        <w:rPr>
          <w:i/>
          <w:iCs/>
        </w:rPr>
        <w:t xml:space="preserve">Grzęda </w:t>
      </w:r>
      <w:r w:rsidR="008E2D0D">
        <w:t>(wszystkie przytoczon</w:t>
      </w:r>
      <w:r w:rsidR="00DC1018">
        <w:t>e</w:t>
      </w:r>
      <w:r w:rsidR="008E2D0D">
        <w:t xml:space="preserve"> powyżej), </w:t>
      </w:r>
      <w:bookmarkStart w:id="4" w:name="_cl41733"/>
      <w:r w:rsidR="008E2D0D">
        <w:rPr>
          <w:i/>
          <w:iCs/>
        </w:rPr>
        <w:t>Żurek przeciwko Polsce</w:t>
      </w:r>
      <w:bookmarkEnd w:id="4"/>
      <w:r w:rsidR="008E2D0D">
        <w:t>, skarga nr 39650/18, 16 czerwca 2022 r.</w:t>
      </w:r>
      <w:r w:rsidR="00DC1018">
        <w:t>,</w:t>
      </w:r>
      <w:r w:rsidR="008E2D0D">
        <w:t xml:space="preserve"> </w:t>
      </w:r>
      <w:bookmarkStart w:id="5" w:name="_cl41999"/>
      <w:r w:rsidR="008E2D0D">
        <w:rPr>
          <w:i/>
          <w:iCs/>
        </w:rPr>
        <w:t>Juszczyszyn przeciwko Polsce</w:t>
      </w:r>
      <w:bookmarkEnd w:id="5"/>
      <w:r w:rsidR="008E2D0D">
        <w:t xml:space="preserve">, skarga nr 35599/20, 6 października 2022 r. oraz </w:t>
      </w:r>
      <w:bookmarkStart w:id="6" w:name="_cl42619"/>
      <w:r w:rsidR="008E2D0D">
        <w:rPr>
          <w:i/>
          <w:iCs/>
        </w:rPr>
        <w:t>Tuleya przeciwko Polsce</w:t>
      </w:r>
      <w:bookmarkEnd w:id="6"/>
      <w:r w:rsidR="008E2D0D">
        <w:t>, skargi nr 21181/19 i 51751/20, 6 lipca 2023 r.).</w:t>
      </w:r>
    </w:p>
    <w:p w14:paraId="4C886F7F" w14:textId="2DED38CC" w:rsidR="000410B4" w:rsidRPr="00D637A7" w:rsidRDefault="008E2D0D" w:rsidP="00D637A7">
      <w:pPr>
        <w:pStyle w:val="JuPara"/>
      </w:pPr>
      <w:r>
        <w:t xml:space="preserve">W wyroku </w:t>
      </w:r>
      <w:r>
        <w:rPr>
          <w:i/>
          <w:iCs/>
        </w:rPr>
        <w:t xml:space="preserve">Dolińska-Ficek i Ozimek </w:t>
      </w:r>
      <w:r>
        <w:t xml:space="preserve">(zob. §§ 353-354) Trybunał </w:t>
      </w:r>
      <w:r w:rsidR="00DC1018">
        <w:t>stwierdził</w:t>
      </w:r>
      <w:r>
        <w:t xml:space="preserve"> naruszeni</w:t>
      </w:r>
      <w:r w:rsidR="00DC1018">
        <w:t>e</w:t>
      </w:r>
      <w:r>
        <w:t xml:space="preserve"> prawa skarżących do niezawisłego i bezstronnego sądu ustanowionego ustawą</w:t>
      </w:r>
      <w:r w:rsidR="00DC1018">
        <w:t xml:space="preserve"> z </w:t>
      </w:r>
      <w:r>
        <w:t>art. 6 ust. 1 Konwencji z</w:t>
      </w:r>
      <w:r w:rsidR="00DC1018">
        <w:t xml:space="preserve"> uwagi</w:t>
      </w:r>
      <w:r>
        <w:t xml:space="preserve"> na z natury wadliwą procedurę powoływania sędziów Izby Kontroli Nadzwyczajnej i Spraw Publicznych.</w:t>
      </w:r>
    </w:p>
    <w:p w14:paraId="292A32CE" w14:textId="29432072" w:rsidR="000410B4" w:rsidRPr="00D637A7" w:rsidRDefault="00DC1018" w:rsidP="00D637A7">
      <w:pPr>
        <w:pStyle w:val="JuPara"/>
      </w:pPr>
      <w:r>
        <w:t>Zgodnie</w:t>
      </w:r>
      <w:r w:rsidR="008E2D0D">
        <w:t xml:space="preserve"> z oficjalny</w:t>
      </w:r>
      <w:r>
        <w:t>mi</w:t>
      </w:r>
      <w:r w:rsidR="008E2D0D">
        <w:t xml:space="preserve"> statystyk</w:t>
      </w:r>
      <w:r>
        <w:t>ami</w:t>
      </w:r>
      <w:r w:rsidR="008E2D0D">
        <w:t xml:space="preserve"> publikowany</w:t>
      </w:r>
      <w:r>
        <w:t>mi</w:t>
      </w:r>
      <w:r w:rsidR="008E2D0D">
        <w:t xml:space="preserve"> na stronie Prezydenta RP</w:t>
      </w:r>
      <w:r w:rsidR="008E2D0D">
        <w:rPr>
          <w:rStyle w:val="Odwoanieprzypisudolnego"/>
        </w:rPr>
        <w:footnoteReference w:id="1"/>
      </w:r>
      <w:r w:rsidR="008E2D0D">
        <w:t>, w okresie</w:t>
      </w:r>
      <w:r>
        <w:t xml:space="preserve"> pomiędzy</w:t>
      </w:r>
      <w:r w:rsidR="008E2D0D">
        <w:t xml:space="preserve"> 6 kwietnia 2018 r. (</w:t>
      </w:r>
      <w:r>
        <w:t xml:space="preserve">kiedy </w:t>
      </w:r>
      <w:proofErr w:type="spellStart"/>
      <w:r>
        <w:t>nowoukształtowan</w:t>
      </w:r>
      <w:r w:rsidR="004F1B30">
        <w:t>ą</w:t>
      </w:r>
      <w:proofErr w:type="spellEnd"/>
      <w:r w:rsidR="008E2D0D">
        <w:t xml:space="preserve"> KRS </w:t>
      </w:r>
      <w:r>
        <w:t>rozpoczęła pracę</w:t>
      </w:r>
      <w:r w:rsidR="008E2D0D">
        <w:t xml:space="preserve">) a 17 października 2023 r. Prezydent powołał 2006 sędziów sądów powszechnych, 58 sędziów Sądu Najwyższego, 31 sędziów Naczelnego Sądu Administracyjnego </w:t>
      </w:r>
      <w:r w:rsidR="004F1B30">
        <w:t>i</w:t>
      </w:r>
      <w:r w:rsidR="008E2D0D">
        <w:t xml:space="preserve"> 115 sędziów wojewódzkich sądów </w:t>
      </w:r>
      <w:r w:rsidR="008E2D0D">
        <w:lastRenderedPageBreak/>
        <w:t xml:space="preserve">administracyjnych. Ostatnie 72 akty powołania </w:t>
      </w:r>
      <w:r w:rsidR="004F1B30">
        <w:t>miały miejsce</w:t>
      </w:r>
      <w:r w:rsidR="008E2D0D">
        <w:t xml:space="preserve"> 17 października 2023 r.</w:t>
      </w:r>
    </w:p>
    <w:p w14:paraId="52EBD03E" w14:textId="77777777" w:rsidR="000410B4" w:rsidRPr="00D637A7" w:rsidRDefault="008E2D0D" w:rsidP="00D637A7">
      <w:pPr>
        <w:pStyle w:val="JuHHead"/>
      </w:pPr>
      <w:r>
        <w:t>FAKTY</w:t>
      </w:r>
    </w:p>
    <w:p w14:paraId="3BA0B856" w14:textId="67E9EC2A" w:rsidR="000410B4" w:rsidRPr="00D637A7" w:rsidRDefault="00000000" w:rsidP="00D637A7">
      <w:pPr>
        <w:pStyle w:val="JuPara"/>
      </w:pPr>
      <w:fldSimple w:instr=" SEQ level0 \*arabic ">
        <w:r w:rsidR="006D0886">
          <w:rPr>
            <w:noProof/>
          </w:rPr>
          <w:t>5</w:t>
        </w:r>
      </w:fldSimple>
      <w:r w:rsidR="008E2D0D">
        <w:t xml:space="preserve">.  Skarżący urodził się w 1943 r. i mieszka w Gdańsku. W postępowaniu przed Trybunałem był reprezentowany przez </w:t>
      </w:r>
      <w:r w:rsidR="004F1B30">
        <w:t>p</w:t>
      </w:r>
      <w:r w:rsidR="008E2D0D">
        <w:t>. K. Warecką, prawniczkę praktykującą w Gdańsku.</w:t>
      </w:r>
    </w:p>
    <w:p w14:paraId="1FCC7E9B" w14:textId="77777777" w:rsidR="000410B4" w:rsidRPr="00D637A7" w:rsidRDefault="00000000" w:rsidP="00D637A7">
      <w:pPr>
        <w:pStyle w:val="JuPara"/>
      </w:pPr>
      <w:fldSimple w:instr=" SEQ level0 \*arabic ">
        <w:r w:rsidR="006D0886">
          <w:rPr>
            <w:noProof/>
          </w:rPr>
          <w:t>6</w:t>
        </w:r>
      </w:fldSimple>
      <w:r w:rsidR="008E2D0D">
        <w:t>.  Rząd był reprezentowany przez swojego Pełnomocnika – p. J. Sobczaka z Ministerstwa Spraw Zagranicznych.</w:t>
      </w:r>
    </w:p>
    <w:p w14:paraId="0321BF1A" w14:textId="77777777" w:rsidR="000410B4" w:rsidRPr="00D637A7" w:rsidRDefault="00000000" w:rsidP="00D637A7">
      <w:pPr>
        <w:pStyle w:val="JuPara"/>
      </w:pPr>
      <w:fldSimple w:instr=" SEQ level0 \*arabic ">
        <w:r w:rsidR="006D0886">
          <w:rPr>
            <w:noProof/>
          </w:rPr>
          <w:t>7</w:t>
        </w:r>
      </w:fldSimple>
      <w:r w:rsidR="008E2D0D">
        <w:t>.  Okoliczności faktyczne sprawy można streścić w następujący sposób.</w:t>
      </w:r>
    </w:p>
    <w:p w14:paraId="40AD042A" w14:textId="77777777" w:rsidR="000410B4" w:rsidRPr="00D637A7" w:rsidRDefault="008E2D0D" w:rsidP="00D637A7">
      <w:pPr>
        <w:pStyle w:val="JuHIRoman"/>
      </w:pPr>
      <w:r>
        <w:rPr>
          <w:caps w:val="0"/>
        </w:rPr>
        <w:t>KONTEKST SPRAWY</w:t>
      </w:r>
    </w:p>
    <w:p w14:paraId="4885902F" w14:textId="5870DF2A" w:rsidR="000410B4" w:rsidRPr="00D637A7" w:rsidRDefault="00000000" w:rsidP="00D637A7">
      <w:pPr>
        <w:pStyle w:val="JuPara"/>
      </w:pPr>
      <w:fldSimple w:instr=" SEQ level0 \*arabic ">
        <w:r w:rsidR="006D0886">
          <w:rPr>
            <w:noProof/>
          </w:rPr>
          <w:t>8</w:t>
        </w:r>
      </w:fldSimple>
      <w:r w:rsidR="008E2D0D">
        <w:t>.  Skarżący jest dawnym przywódcą związku zawodowego „Solidarność”, byłym Prezydentem Polski (</w:t>
      </w:r>
      <w:r w:rsidR="004F1B30">
        <w:t>od</w:t>
      </w:r>
      <w:r w:rsidR="008E2D0D">
        <w:t xml:space="preserve"> 1990</w:t>
      </w:r>
      <w:r w:rsidR="004F1B30">
        <w:t xml:space="preserve"> do </w:t>
      </w:r>
      <w:r w:rsidR="008E2D0D">
        <w:t>1995</w:t>
      </w:r>
      <w:r w:rsidR="004F1B30">
        <w:t xml:space="preserve"> r.</w:t>
      </w:r>
      <w:r w:rsidR="008E2D0D">
        <w:t>) i laureatem Pokojowej Nagrody Nobla z 1983 r.</w:t>
      </w:r>
    </w:p>
    <w:p w14:paraId="46F92C26" w14:textId="77777777" w:rsidR="000410B4" w:rsidRPr="00D637A7" w:rsidRDefault="00000000" w:rsidP="00D637A7">
      <w:pPr>
        <w:pStyle w:val="JuPara"/>
      </w:pPr>
      <w:fldSimple w:instr=" SEQ level0 \*arabic \* MERGEFORMAT ">
        <w:r w:rsidR="006D0886">
          <w:rPr>
            <w:noProof/>
          </w:rPr>
          <w:t>9</w:t>
        </w:r>
      </w:fldSimple>
      <w:r w:rsidR="008E2D0D">
        <w:t>.  W 2000 r. skarżący był kandydatem w wyborach prezydenckich. Kandydaci byli zobowiązani prawem do złożenia „oświadczenia lustracyjnego” na podstawie ustawy z dnia 11 kwietnia 1997 r. o ujawnieniu pracy lub służby w organach bezpieczeństwa państwa lub współpracy z nimi w latach 1944–1990 osób pełniących funkcje publiczne). W nieokreślonej dacie skarżący złożył oświadczenie, w którym oświadczył, że nie współpracował z komunistycznymi służbami bezpieczeństwa.</w:t>
      </w:r>
    </w:p>
    <w:p w14:paraId="601F75CF" w14:textId="77777777" w:rsidR="000410B4" w:rsidRPr="00D637A7" w:rsidRDefault="00000000" w:rsidP="00D637A7">
      <w:pPr>
        <w:pStyle w:val="JuPara"/>
      </w:pPr>
      <w:fldSimple w:instr=" SEQ level0 \*arabic \* MERGEFORMAT ">
        <w:r w:rsidR="006D0886">
          <w:rPr>
            <w:noProof/>
          </w:rPr>
          <w:t>10</w:t>
        </w:r>
      </w:fldSimple>
      <w:r w:rsidR="008E2D0D">
        <w:t xml:space="preserve">.  W dniu 12 lipca 2000 r. Sąd Apelacyjny w Warszawie wszczął </w:t>
      </w:r>
      <w:r w:rsidR="008E2D0D">
        <w:rPr>
          <w:i/>
          <w:iCs/>
        </w:rPr>
        <w:t xml:space="preserve">ex </w:t>
      </w:r>
      <w:proofErr w:type="spellStart"/>
      <w:r w:rsidR="008E2D0D">
        <w:rPr>
          <w:i/>
          <w:iCs/>
        </w:rPr>
        <w:t>proprio</w:t>
      </w:r>
      <w:proofErr w:type="spellEnd"/>
      <w:r w:rsidR="008E2D0D">
        <w:rPr>
          <w:i/>
          <w:iCs/>
        </w:rPr>
        <w:t xml:space="preserve"> motu</w:t>
      </w:r>
      <w:r w:rsidR="008E2D0D">
        <w:t xml:space="preserve"> postępowanie lustracyjne dotyczące skarżącego. W toku postępowania przeprowadzono dowód z dokumentów dostarczonych przez Urząd Ochrony Państwa oraz z zeznań świadków.</w:t>
      </w:r>
    </w:p>
    <w:p w14:paraId="31F77565" w14:textId="19C4E8D2" w:rsidR="000410B4" w:rsidRPr="00D637A7" w:rsidRDefault="00000000" w:rsidP="00D637A7">
      <w:pPr>
        <w:pStyle w:val="JuPara"/>
      </w:pPr>
      <w:fldSimple w:instr=" SEQ level0 \*arabic \* MERGEFORMAT ">
        <w:r w:rsidR="006D0886">
          <w:rPr>
            <w:noProof/>
          </w:rPr>
          <w:t>11</w:t>
        </w:r>
      </w:fldSimple>
      <w:r w:rsidR="008E2D0D">
        <w:t>.  W wyroku z dnia 11 sierpnia 2000 r. Sąd Apelacyjny w Warszawie orzekł, że</w:t>
      </w:r>
      <w:r w:rsidR="00ED0362">
        <w:t xml:space="preserve"> skarżący złożył prawdziwe </w:t>
      </w:r>
      <w:r w:rsidR="008E2D0D">
        <w:t>oświadczenie lustracyjne</w:t>
      </w:r>
      <w:r w:rsidR="00ED0362">
        <w:t>. S</w:t>
      </w:r>
      <w:r w:rsidR="008E2D0D">
        <w:t>ąd ten</w:t>
      </w:r>
      <w:r w:rsidR="00ED0362">
        <w:t xml:space="preserve"> stwierdził</w:t>
      </w:r>
      <w:r w:rsidR="008E2D0D">
        <w:t xml:space="preserve">, że nie </w:t>
      </w:r>
      <w:r w:rsidR="00ED0362">
        <w:t>było</w:t>
      </w:r>
      <w:r w:rsidR="008E2D0D">
        <w:t xml:space="preserve"> możliwe ustalenie z pewnością, czy dokumentacja byłej Służby Bezpieczeństwa dotycząca tajnego współpracownika o pseudonimie Bolek (który miał być rzekomo pseudonimem skarżącego) była autentyczna i sporządzona w czasie istotnym dla sprawy, czy też została sfabrykowana dużo później w celu zdyskredytowania skarżącego. Z tych względów sąd ten orzekł, że wobec braku </w:t>
      </w:r>
      <w:r w:rsidR="00ED0362">
        <w:t xml:space="preserve">jakichkolwiek </w:t>
      </w:r>
      <w:r w:rsidR="008E2D0D">
        <w:t>dowodów zarzucan</w:t>
      </w:r>
      <w:r w:rsidR="00CE1787">
        <w:t>ej</w:t>
      </w:r>
      <w:r w:rsidR="008E2D0D">
        <w:t xml:space="preserve"> współprac</w:t>
      </w:r>
      <w:r w:rsidR="00CE1787">
        <w:t>y</w:t>
      </w:r>
      <w:r w:rsidR="008E2D0D">
        <w:t xml:space="preserve"> skarżącego z byłą Służbą Bezpieczeństwa należy uznać, że </w:t>
      </w:r>
      <w:r w:rsidR="00CE1787">
        <w:t xml:space="preserve">skarżący </w:t>
      </w:r>
      <w:r w:rsidR="008E2D0D">
        <w:t>złoż</w:t>
      </w:r>
      <w:r w:rsidR="00CE1787">
        <w:t>ył</w:t>
      </w:r>
      <w:r w:rsidR="008E2D0D">
        <w:t xml:space="preserve"> oświadczenie lustracyjne zgodne z prawdą.</w:t>
      </w:r>
    </w:p>
    <w:p w14:paraId="7D5F6C72" w14:textId="7B5F1DF2" w:rsidR="000410B4" w:rsidRPr="00D637A7" w:rsidRDefault="00000000" w:rsidP="00D637A7">
      <w:pPr>
        <w:pStyle w:val="JuPara"/>
      </w:pPr>
      <w:fldSimple w:instr=" SEQ level0 \*arabic \* MERGEFORMAT ">
        <w:r w:rsidR="006D0886">
          <w:rPr>
            <w:noProof/>
          </w:rPr>
          <w:t>12</w:t>
        </w:r>
      </w:fldSimple>
      <w:r w:rsidR="008E2D0D">
        <w:t xml:space="preserve">.  Niezależnie od </w:t>
      </w:r>
      <w:r w:rsidR="00CE1787">
        <w:t>tego</w:t>
      </w:r>
      <w:r w:rsidR="008E2D0D">
        <w:t xml:space="preserve"> wyroku, kwestia zarzucanej współpracy skarżącego odbiła się echem w </w:t>
      </w:r>
      <w:r w:rsidR="00CE1787">
        <w:t>niektórych</w:t>
      </w:r>
      <w:r w:rsidR="008E2D0D">
        <w:t xml:space="preserve"> dyskusjach w kręgach politycznych i medialnych, </w:t>
      </w:r>
      <w:r w:rsidR="00CE1787">
        <w:t>wzbudzając</w:t>
      </w:r>
      <w:r w:rsidR="008E2D0D">
        <w:t xml:space="preserve"> wielokrotnie znaczn</w:t>
      </w:r>
      <w:r w:rsidR="00CE1787">
        <w:t>e zainteresowanie</w:t>
      </w:r>
      <w:r w:rsidR="008E2D0D">
        <w:t xml:space="preserve"> opinii publicznej. Na przestrzeni lat opublikowano wiele artykułów </w:t>
      </w:r>
      <w:r w:rsidR="00CE1787">
        <w:t xml:space="preserve">prasowych </w:t>
      </w:r>
      <w:r w:rsidR="008E2D0D">
        <w:t xml:space="preserve">i książek, a głos w debatach zabierali historycy. Opinia publiczna </w:t>
      </w:r>
      <w:r w:rsidR="00CE1787">
        <w:t>była</w:t>
      </w:r>
      <w:r w:rsidR="008E2D0D">
        <w:t xml:space="preserve"> podzielona.</w:t>
      </w:r>
    </w:p>
    <w:bookmarkStart w:id="7" w:name="case_Background_1"/>
    <w:p w14:paraId="50D03990" w14:textId="38B28927" w:rsidR="000410B4" w:rsidRPr="00D637A7" w:rsidRDefault="008E2D0D" w:rsidP="00D637A7">
      <w:pPr>
        <w:pStyle w:val="JuPara"/>
        <w:rPr>
          <w:rFonts w:cstheme="minorHAnsi"/>
        </w:rPr>
      </w:pPr>
      <w:r w:rsidRPr="00D637A7">
        <w:lastRenderedPageBreak/>
        <w:fldChar w:fldCharType="begin"/>
      </w:r>
      <w:r w:rsidRPr="00D637A7">
        <w:instrText xml:space="preserve"> SEQ level0 \*arabic \* MERGEFORMAT </w:instrText>
      </w:r>
      <w:r w:rsidRPr="00D637A7">
        <w:fldChar w:fldCharType="separate"/>
      </w:r>
      <w:r w:rsidR="006D0886">
        <w:rPr>
          <w:noProof/>
        </w:rPr>
        <w:t>13</w:t>
      </w:r>
      <w:r w:rsidRPr="00D637A7">
        <w:fldChar w:fldCharType="end"/>
      </w:r>
      <w:bookmarkEnd w:id="7"/>
      <w:r>
        <w:t xml:space="preserve">.  Najmocniejsze, </w:t>
      </w:r>
      <w:r w:rsidR="00CE1787">
        <w:t>najgłośniejsze</w:t>
      </w:r>
      <w:r>
        <w:t xml:space="preserve"> i najbardziej kategoryczne </w:t>
      </w:r>
      <w:r w:rsidR="00336836">
        <w:t>publiczne stwierdzenia</w:t>
      </w:r>
      <w:r>
        <w:t xml:space="preserve">, że skarżący był tajnym współpracownikiem, pochodziły z kręgów członków i zwolenników </w:t>
      </w:r>
      <w:r w:rsidR="00336836">
        <w:t xml:space="preserve">partii </w:t>
      </w:r>
      <w:r>
        <w:t>Praw</w:t>
      </w:r>
      <w:r w:rsidR="00336836">
        <w:t>o</w:t>
      </w:r>
      <w:r>
        <w:t xml:space="preserve"> i Sprawiedliwoś</w:t>
      </w:r>
      <w:r w:rsidR="00336836">
        <w:t>ć</w:t>
      </w:r>
      <w:r>
        <w:t xml:space="preserve"> („PiS”), której liderem jest Jarosław Kaczyński, od samego Jarosława Kaczyńskiego (prezesa partii od 2003 r., premiera w latach 2006–2007; wicepremiera od 6 października 2020 r. do 17 czerwca 2022 r., a następnie znowu wicepremiera od 21 czerwca 2023 r. do chwili obecnej), jego nieżyjącego brata Lecha Kaczyńskiego, byłego Prezydenta RP w latach 2005–2010 oraz p. Zbigniewa Ziobry (posła od 2005 r., ministra sprawiedliwości i prokuratora generalnego od października 2005 r. do listopada 2007 r., ministra sprawiedliwości od listopada 2015 r., a od lutego 2016 r. ministra sprawiedliwości i prokuratora generalnego, członka partii PiS w latach 2001–2011; od 2012 r. lidera partii noszącej najpierw nazwę Solidarna Polska, a obecnie Suwerenna Polska, tworzącej z PiS koalicję Zjednoczon</w:t>
      </w:r>
      <w:r w:rsidR="00336836">
        <w:t>a</w:t>
      </w:r>
      <w:r>
        <w:t xml:space="preserve"> Prawic</w:t>
      </w:r>
      <w:r w:rsidR="00336836">
        <w:t>a</w:t>
      </w:r>
      <w:r>
        <w:t xml:space="preserve"> od 2014 r.).</w:t>
      </w:r>
    </w:p>
    <w:p w14:paraId="5F3D35BB" w14:textId="3D08200E" w:rsidR="000410B4" w:rsidRPr="00D637A7" w:rsidRDefault="008E2D0D" w:rsidP="00D637A7">
      <w:pPr>
        <w:pStyle w:val="JuPara"/>
        <w:rPr>
          <w:rFonts w:cstheme="minorHAnsi"/>
        </w:rPr>
      </w:pPr>
      <w:r>
        <w:t xml:space="preserve">W latach 1990–1991 p. Jarosław Kaczyński pełnił funkcję Szefa Kancelarii Prezydenta RP </w:t>
      </w:r>
      <w:r w:rsidR="00336836">
        <w:t xml:space="preserve">podczas </w:t>
      </w:r>
      <w:r w:rsidR="00C0426D">
        <w:t>sprawowania</w:t>
      </w:r>
      <w:r>
        <w:t xml:space="preserve"> urz</w:t>
      </w:r>
      <w:r w:rsidR="00336836">
        <w:t>ędu</w:t>
      </w:r>
      <w:r>
        <w:t xml:space="preserve"> Prezydenta RP </w:t>
      </w:r>
      <w:r w:rsidR="00336836">
        <w:t>przez</w:t>
      </w:r>
      <w:r>
        <w:t xml:space="preserve"> skarżąc</w:t>
      </w:r>
      <w:r w:rsidR="00336836">
        <w:t>ego</w:t>
      </w:r>
      <w:r>
        <w:t>. Został on odwołany przez p. Wałęsę. W styczniu 1993 r. był jednym z organizatorów tzw. marszu na Belweder</w:t>
      </w:r>
      <w:r>
        <w:rPr>
          <w:rStyle w:val="Odwoanieprzypisudolnego"/>
          <w:rFonts w:cstheme="minorHAnsi"/>
        </w:rPr>
        <w:footnoteReference w:id="2"/>
      </w:r>
      <w:r>
        <w:t xml:space="preserve">, podczas którego domagano się </w:t>
      </w:r>
      <w:r w:rsidR="00C0426D">
        <w:t>ustąpienia p.</w:t>
      </w:r>
      <w:r>
        <w:t xml:space="preserve"> Wałęsy. Na początku 1993 r. była partia polityczna p. J. Kaczyńskiego zainicjowała ruch, którego celem było usunięcie skarżącego z urzędu.</w:t>
      </w:r>
    </w:p>
    <w:p w14:paraId="4A4340C4" w14:textId="77777777" w:rsidR="000410B4" w:rsidRPr="00D637A7" w:rsidRDefault="008E2D0D" w:rsidP="00D637A7">
      <w:pPr>
        <w:pStyle w:val="JuPara"/>
        <w:rPr>
          <w:rFonts w:cstheme="minorHAnsi"/>
        </w:rPr>
      </w:pPr>
      <w:r>
        <w:t>P. Krzysztof Wyszkowski, powiązany z partią PiS i braćmi Kaczyńskimi, który od 2010 r. był członkiem partii, niezmiennie wyrażał pogląd, że skarżący był tajnym współpracownikiem komunistycznej Służby Bezpieczeństwa.</w:t>
      </w:r>
    </w:p>
    <w:bookmarkStart w:id="8" w:name="case_Background_2"/>
    <w:p w14:paraId="11188662" w14:textId="71A6907C" w:rsidR="000410B4" w:rsidRPr="00D637A7" w:rsidRDefault="008E2D0D" w:rsidP="00D637A7">
      <w:pPr>
        <w:pStyle w:val="JuPara"/>
        <w:rPr>
          <w:rFonts w:cstheme="minorHAnsi"/>
        </w:rPr>
      </w:pPr>
      <w:r w:rsidRPr="00D637A7">
        <w:rPr>
          <w:rFonts w:cstheme="minorHAnsi"/>
        </w:rPr>
        <w:fldChar w:fldCharType="begin"/>
      </w:r>
      <w:r w:rsidRPr="00D637A7">
        <w:rPr>
          <w:rFonts w:cstheme="minorHAnsi"/>
        </w:rPr>
        <w:instrText xml:space="preserve"> SEQ level0 \*arabic \* MERGEFORMAT </w:instrText>
      </w:r>
      <w:r w:rsidRPr="00D637A7">
        <w:rPr>
          <w:rFonts w:cstheme="minorHAnsi"/>
        </w:rPr>
        <w:fldChar w:fldCharType="separate"/>
      </w:r>
      <w:r w:rsidR="006D0886">
        <w:rPr>
          <w:rFonts w:cstheme="minorHAnsi"/>
          <w:noProof/>
        </w:rPr>
        <w:t>14</w:t>
      </w:r>
      <w:r w:rsidRPr="00D637A7">
        <w:rPr>
          <w:rFonts w:cstheme="minorHAnsi"/>
        </w:rPr>
        <w:fldChar w:fldCharType="end"/>
      </w:r>
      <w:bookmarkEnd w:id="8"/>
      <w:r>
        <w:t>.  Dnia 9 czerwca 2005 r. stacja TVN 24 wyemitowała program z udziałem między innymi skarżącego i p. Wyszkowskiego. W trakcie programu dyskutowano, czy Instytut Pamięci Narodowej – Komisja Ścigania Zbrodni przeciwko Narodowi Polskiemu („IPN”) powinien przyznać skarżącemu status osoby pokrzywdzonej. Pan Wyszkowski był zdania, że IPN powinien odmówić skarżącemu przyznania statusu osoby pokrzywdzonej ze względu na fakt, ż</w:t>
      </w:r>
      <w:r w:rsidR="00C0426D">
        <w:t>e</w:t>
      </w:r>
      <w:r>
        <w:t xml:space="preserve"> zanim był prześladowany, był tajnym współpracownikiem Służby Bezpieczeństwa.</w:t>
      </w:r>
    </w:p>
    <w:p w14:paraId="74E815A5" w14:textId="0E1A4590" w:rsidR="000410B4" w:rsidRPr="00D637A7" w:rsidRDefault="00000000" w:rsidP="00D637A7">
      <w:pPr>
        <w:pStyle w:val="JuPara"/>
      </w:pPr>
      <w:fldSimple w:instr=" SEQ level0 \*arabic \* MERGEFORMAT ">
        <w:r w:rsidR="006D0886">
          <w:rPr>
            <w:noProof/>
          </w:rPr>
          <w:t>15</w:t>
        </w:r>
      </w:fldSimple>
      <w:r w:rsidR="008E2D0D">
        <w:t xml:space="preserve">.  Dnia 16 listopada 2005 r. IPN przyznał skarżącemu status osoby pokrzywdzonej na podstawie art. 6 ustawy z dnia 18 grudnia 1998 r. o Instytucie Pamięci Narodowej – Komisji Ścigania Zbrodni przeciwko Narodowi Polskiemu. Zgodnie z art. 6 ust. 1 ustawy „pokrzywdzonym, w rozumieniu ustawy, jest osoba, o której organy bezpieczeństwa państwa zbierały informacje na podstawie celowo gromadzonych danych, w tym w sposób tajny”. Zgodnie z art. 6 ust. 3 „pokrzywdzonym nie jest osoba, która została następnie funkcjonariuszem, pracownikiem lub współpracownikiem </w:t>
      </w:r>
      <w:r w:rsidR="008E2D0D">
        <w:lastRenderedPageBreak/>
        <w:t xml:space="preserve">organów bezpieczeństwa państwa”. IPN wydał skarżącemu zaświadczenie nr 1763/05, potwierdzając w ten sposób, że jako pokrzywdzony nie był współpracownikiem komunistycznych organów bezpieczeństwa państwa. Fakt ten był szeroko </w:t>
      </w:r>
      <w:r w:rsidR="00F41CFA">
        <w:t>opisywany</w:t>
      </w:r>
      <w:r w:rsidR="008E2D0D">
        <w:t xml:space="preserve"> przez media.</w:t>
      </w:r>
    </w:p>
    <w:bookmarkStart w:id="9" w:name="case_Background_3"/>
    <w:p w14:paraId="0693560D" w14:textId="4357066B"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bookmarkStart w:id="10" w:name="paragraph00006"/>
      <w:r w:rsidR="006D0886">
        <w:rPr>
          <w:noProof/>
        </w:rPr>
        <w:t>16</w:t>
      </w:r>
      <w:bookmarkEnd w:id="10"/>
      <w:r w:rsidRPr="00D637A7">
        <w:fldChar w:fldCharType="end"/>
      </w:r>
      <w:bookmarkEnd w:id="9"/>
      <w:r>
        <w:t>.  </w:t>
      </w:r>
      <w:r w:rsidR="00F41CFA">
        <w:t>Wieczorem t</w:t>
      </w:r>
      <w:r>
        <w:t>ego samego dnia informację tę podały programy informacyjne dwóch stacji telewizyjnych: TVP 2 i TVN 24. Dziennikarze poprosili o komentarz p. Krzysztofa Wyszkowskiego, dawnego przyjaciela i współpracownika skarżącego. Pan Wyszkowski stwierdził między innymi, że „... Dzisiaj status osoby pokrzywdzonej nie oznacza, że nie było się informatorem. Lech Wałęsa był tajnym współpracownikiem o pseudonimie Bolek, donosił na kolegów, otrzymywał za to pieniądze...”.</w:t>
      </w:r>
    </w:p>
    <w:p w14:paraId="5D58F4FB" w14:textId="77777777" w:rsidR="000410B4" w:rsidRPr="00D637A7" w:rsidRDefault="008E2D0D" w:rsidP="00D637A7">
      <w:pPr>
        <w:pStyle w:val="JuHIRoman"/>
      </w:pPr>
      <w:r>
        <w:rPr>
          <w:caps w:val="0"/>
        </w:rPr>
        <w:t>POWÓDZTWO O ZNIESŁAWIENIE WYTOCZONE PRZEZ SKARŻĄCEGO</w:t>
      </w:r>
    </w:p>
    <w:p w14:paraId="38BB2D3B" w14:textId="58C75DFD" w:rsidR="000410B4" w:rsidRPr="00D637A7" w:rsidRDefault="00000000" w:rsidP="00D637A7">
      <w:pPr>
        <w:pStyle w:val="JuPara"/>
      </w:pPr>
      <w:fldSimple w:instr=" SEQ level0 \*arabic \* MERGEFORMAT ">
        <w:r w:rsidR="006D0886">
          <w:rPr>
            <w:noProof/>
          </w:rPr>
          <w:t>17</w:t>
        </w:r>
      </w:fldSimple>
      <w:r w:rsidR="008E2D0D">
        <w:t xml:space="preserve">.  Dnia 23 listopada 2005 r. skarżący złożył do Sądu Okręgowego w Gdańsku pozew cywilny o naruszenie dóbr osobistych przeciwko p. Wyszkowskiemu. </w:t>
      </w:r>
      <w:r w:rsidR="00F41CFA">
        <w:t>Zarzucał</w:t>
      </w:r>
      <w:r w:rsidR="008E2D0D">
        <w:t xml:space="preserve">, że pozwany rozpowszechniał nieprawdziwe informacje </w:t>
      </w:r>
      <w:r w:rsidR="00F41CFA">
        <w:t>o nim</w:t>
      </w:r>
      <w:r w:rsidR="008E2D0D">
        <w:t xml:space="preserve"> i </w:t>
      </w:r>
      <w:r w:rsidR="00F41CFA">
        <w:t>zniszczył jego reputację</w:t>
      </w:r>
      <w:r w:rsidR="008E2D0D">
        <w:t xml:space="preserve">. Skarżący zażądał od pozwanego </w:t>
      </w:r>
      <w:r w:rsidR="00F41CFA">
        <w:t xml:space="preserve">opublikowania </w:t>
      </w:r>
      <w:r w:rsidR="008E2D0D">
        <w:t>przeprosin na antenie TVP 2 i TVN 24 o następującej treści:</w:t>
      </w:r>
    </w:p>
    <w:p w14:paraId="7FC3076C" w14:textId="77777777" w:rsidR="000410B4" w:rsidRPr="00D637A7" w:rsidRDefault="008E2D0D" w:rsidP="00D637A7">
      <w:pPr>
        <w:pStyle w:val="JuQuot"/>
      </w:pPr>
      <w:r>
        <w:t>„W dniu 16 listopada 2005 r. w programach informacyjnych 2. programu TVP i „Fakty” telewizji TVN wyemitowano moje oświadczenie, iż powód Lech Wałęsa współpracował ze Służbą Bezpieczeństwa i pobierał za to pieniądze. To oświadczenie stanowiło nieprawdę i naruszało godność osobistą i dobre imię Lecha Wałęsy, wobec czego ja, Krzysztof Wyszkowski, odwołuję je w całości i przepraszam Lecha Wałęsę za naruszenie jego dóbr osobistych”.</w:t>
      </w:r>
    </w:p>
    <w:p w14:paraId="7800B603" w14:textId="77777777" w:rsidR="000410B4" w:rsidRPr="00D637A7" w:rsidRDefault="008E2D0D" w:rsidP="00D637A7">
      <w:pPr>
        <w:pStyle w:val="JuPara"/>
      </w:pPr>
      <w:r>
        <w:t>Skarżący domagał się również zobowiązania pozwanego do zapłaty 40 000 złotych na rzecz gdańskiego Szpitala Dziecięcego w celu zakupu nowego sprzętu do RTG tytułem zadośćuczynienia za szkodę niemajątkową spowodowaną tym zniesławieniem.</w:t>
      </w:r>
    </w:p>
    <w:bookmarkStart w:id="11" w:name="Gdansk_regional_court_1"/>
    <w:p w14:paraId="4E5393FD" w14:textId="72A9B949"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18</w:t>
      </w:r>
      <w:r w:rsidRPr="00D637A7">
        <w:fldChar w:fldCharType="end"/>
      </w:r>
      <w:bookmarkEnd w:id="11"/>
      <w:r>
        <w:t xml:space="preserve">.  Dnia 30 stycznia 2006 r. Sąd Okręgowy z Gdańsku wydał wyrok, w którym nakazał p. Wyszkowskiemu opublikowanie przeprosin i zapłatę 10 000 złotych zadośćuczynienia. Dnia 25 października 2006 r. Sąd Apelacyjny w Gdańsku uchylił wyrok, a sprawa została przekazana do ponownego rozpoznania przez Sąd Okręgowy w Gdańsku. Sąd Apelacyjny stwierdził w uzasadnieniu między innymi, że pozwanemu uniemożliwiono wszczęcie postępowania dowodowego przed sądem </w:t>
      </w:r>
      <w:r w:rsidR="00EF0D81">
        <w:t>I</w:t>
      </w:r>
      <w:r>
        <w:t xml:space="preserve"> instancji, mimo że </w:t>
      </w:r>
      <w:r w:rsidR="00EF0D81">
        <w:t>tego chciał</w:t>
      </w:r>
      <w:r>
        <w:t>.</w:t>
      </w:r>
    </w:p>
    <w:p w14:paraId="77613756" w14:textId="78D8A43D" w:rsidR="000410B4" w:rsidRPr="00D637A7" w:rsidRDefault="00000000" w:rsidP="00D637A7">
      <w:pPr>
        <w:pStyle w:val="JuPara"/>
      </w:pPr>
      <w:fldSimple w:instr=" SEQ level0 \*arabic \* MERGEFORMAT ">
        <w:r w:rsidR="006D0886">
          <w:rPr>
            <w:noProof/>
          </w:rPr>
          <w:t>19</w:t>
        </w:r>
      </w:fldSimple>
      <w:r w:rsidR="008E2D0D">
        <w:t>.  Wyrokiem z dnia 5 marca 2007 r. Sąd Okręgowy w Gdańsku nakazał p. Wyszkowskiemu opublikowanie na własny koszt przeprosin w formie określonej przez skarżącego. Ponadto nakazał mu zapłatę 40 000 złotych na rzecz Szpitala Dziecięcego</w:t>
      </w:r>
      <w:r w:rsidR="00A41A30">
        <w:t xml:space="preserve"> w Gdańsku</w:t>
      </w:r>
      <w:r w:rsidR="008E2D0D">
        <w:t xml:space="preserve">. Dnia 23 października 2007 r., w następstwie apelacji wniesionej przez pozwanego, Sąd Apelacyjny w Gdańsku uchylił zaskarżony wyrok, stwierdzając nieważność postępowania </w:t>
      </w:r>
      <w:r w:rsidR="008E2D0D">
        <w:lastRenderedPageBreak/>
        <w:t>prowadzonego przed Sądem Okręgowym w Gdańsku począwszy od rozprawy z dnia 5 marca 2007 r. i skierował sprawę do ponownego rozpoznania przez ten sąd.</w:t>
      </w:r>
    </w:p>
    <w:p w14:paraId="6794C3B1" w14:textId="43D2DEF7" w:rsidR="000410B4" w:rsidRPr="00D637A7" w:rsidRDefault="00000000" w:rsidP="00D637A7">
      <w:pPr>
        <w:pStyle w:val="JuPara"/>
      </w:pPr>
      <w:fldSimple w:instr=" SEQ level0 \*arabic \* MERGEFORMAT ">
        <w:r w:rsidR="006D0886">
          <w:rPr>
            <w:noProof/>
          </w:rPr>
          <w:t>20</w:t>
        </w:r>
      </w:fldSimple>
      <w:r w:rsidR="008E2D0D">
        <w:t>.  Dnia 31 sierpnia 2010 r. Sąd Okręgowy wydał wyrok, którym oddalił pozew.</w:t>
      </w:r>
    </w:p>
    <w:p w14:paraId="51245B68" w14:textId="517DDFDA" w:rsidR="000410B4" w:rsidRPr="00D637A7" w:rsidRDefault="008E2D0D" w:rsidP="00D637A7">
      <w:pPr>
        <w:pStyle w:val="JuPara"/>
      </w:pPr>
      <w:r>
        <w:t xml:space="preserve">Stwierdził, że nie można całkowicie wykluczyć możliwości badania i omawiania istnienia faktu historycznego, a mianowicie zarzucanej współpracy skarżącego ze Służbą Bezpieczeństwa. Nie można też, zdaniem sądu, zakazać, szczególnie dziennikarzom, mówienia o istnieniu konkretnego faktu historycznego na podstawie wiarygodnych doniesień z </w:t>
      </w:r>
      <w:r w:rsidR="001B76EA">
        <w:t>solidnych</w:t>
      </w:r>
      <w:r>
        <w:t xml:space="preserve"> badań historycznych. Zdaniem sądu dyskusja na temat zarzucanej współpracy skarżącego nie wynikała ze stwierdzenia p. Wyszkowskiego, ale – wręcz przeciwnie – stwierdzenie to było jedynie częścią szerzej zakrojonej i toczącej się od dłuższego czasu dyskusji na ten temat. Sąd zauważył, że pozwany jako renomowany dziennikarz, który gromadził, analizował i publikował wyniki kwerendy historycznej i dane na ten temat, miał prawo zabrać głos w dyskusji, a skarżący jako osoba publiczna musiał spodziewać się, że cały okres jego działalności będzie poddawany analizie, zaś skutki takiej analizy będą stanowić przedmiot publicznej debaty.</w:t>
      </w:r>
    </w:p>
    <w:p w14:paraId="7AD37327" w14:textId="77777777" w:rsidR="000410B4" w:rsidRPr="00D637A7" w:rsidRDefault="008E2D0D" w:rsidP="00D637A7">
      <w:pPr>
        <w:pStyle w:val="JuPara"/>
      </w:pPr>
      <w:r>
        <w:t>Na poparcie swoich konkluzji sąd powołał się na orzecznictwo Trybunału dotyczące wolności wyrażania opinii, roli debaty publicznej i dziennikarzy oraz granic dozwolonej krytyki polityków. Sąd stwierdził też, że fakt, iż dziennikarz dochował wymaganej staranności i działał w dobrej wierze, stanowił okoliczność czyniącą jego postępowanie uzasadnionym, tj. takim które nie jest niezgodne z prawem, i nie zachodzi konieczność wykazania przez niego, że formułowane przez niego oskarżenia były prawdziwe. Z tego względu to nie do pozwanego należało udowodnienie w sposób niebudzący wątpliwości, że jego dziennikarskie oświadczenie było prawdziwe, a należało do niego jedynie wykazanie, że jako dziennikarz dochował wymaganej staranności w prowadzeniu kwerendy i sprawdzaniu informacji, które uzyskał z wiarygodnych źródeł. Zdaniem sądu pozwany uczynił zadość temu warunkowi, a pozew wniesiony przez powoda (skarżącego w niniejszej sprawie) należy oddalić.</w:t>
      </w:r>
    </w:p>
    <w:bookmarkStart w:id="12" w:name="Gdansk_regional_court_2"/>
    <w:p w14:paraId="1CF59F39"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bookmarkStart w:id="13" w:name="paragraph00007"/>
      <w:r w:rsidR="006D0886">
        <w:rPr>
          <w:noProof/>
        </w:rPr>
        <w:t>21</w:t>
      </w:r>
      <w:bookmarkEnd w:id="13"/>
      <w:r w:rsidRPr="00D637A7">
        <w:fldChar w:fldCharType="end"/>
      </w:r>
      <w:bookmarkEnd w:id="12"/>
      <w:r>
        <w:t>.  W dniu 24 marca 2011 r. Sąd Apelacyjny w Gdańsku uwzględnił apelację skarżącego i zmienił wyrok Sądu Okręgowego. Sąd nakazał p. Wyszkowskiemu przeproszenie skarżącego na antenie stacji telewizyjnych TVP 2 i TVN 24. Oddalił pozostałą część apelacji skarżącego w zakresie dotyczącym roszczeń pieniężnych.</w:t>
      </w:r>
    </w:p>
    <w:p w14:paraId="15EA1185" w14:textId="05232616" w:rsidR="000410B4" w:rsidRPr="00D637A7" w:rsidRDefault="008E2D0D" w:rsidP="00D637A7">
      <w:pPr>
        <w:pStyle w:val="JuPara"/>
      </w:pPr>
      <w:r>
        <w:t xml:space="preserve">Sąd Apelacyjny orzekł, że pozwany nie dowiódł prawdziwości swoich twierdzeń, iż skarżący współpracował ze Służbą Bezpieczeństwa. W ocenie sądu zarzuty formułowane przez pozwanego przeciwko skarżącemu powinny były opierać się na zgodnych z prawdą faktach i zweryfikowanych dowodach, a gdyby tak było, skarżący nie mógłby domagać się ochrony dóbr, ponieważ jako osoba publiczna musiał liczyć się z publiczną krytyką w </w:t>
      </w:r>
      <w:r>
        <w:lastRenderedPageBreak/>
        <w:t>stosunku do jego zachowania. W rezultacie prawdziwość twierdzeń dotyczących dawnej współpracy ze Służbą Bezpieczeństwa</w:t>
      </w:r>
      <w:r w:rsidR="001B76EA">
        <w:t>,</w:t>
      </w:r>
      <w:r>
        <w:t xml:space="preserve"> zdaniem sądu</w:t>
      </w:r>
      <w:r w:rsidR="001B76EA">
        <w:t>,</w:t>
      </w:r>
      <w:r>
        <w:t xml:space="preserve"> powinna zostać przez p. Wyszkowskiego udowodniona.</w:t>
      </w:r>
    </w:p>
    <w:p w14:paraId="4FAEDD8D" w14:textId="77777777" w:rsidR="000410B4" w:rsidRPr="00D637A7" w:rsidRDefault="008E2D0D" w:rsidP="00D637A7">
      <w:pPr>
        <w:pStyle w:val="JuPara"/>
      </w:pPr>
      <w:r>
        <w:t>Sąd Apelacyjny podzielił pogląd wyrażony przez Sąd Najwyższy w uzasadnieniu wyroku SN z dnia 10 września 2009 r. w sprawie V CSK 64/09, zgodnie z którym koniecznym elementem wyłączenia bezprawności działania naruszającego dobra osobiste jest prawdziwość twierdzeń co do faktów. Bezprawności nie usunięto samym wykazaniem się wymaganą starannością w weryfikacji i korzystaniu z danych, na podstawie których sformułowano oskarżenia. Nie było też wystarczające, by wykluczyć bezprawność fałszywego twierdzenia naruszającego dobra osobiste drugiej osoby, to, że autor twierdzenia uważa, iż – wykonując zagwarantowane mu konstytucyjnie prawo wolności wyrażania opinii – działał w obronie uzasadnionego interesu społecznego. W opinii Sądu Apelacyjnego w Gdańsku, wbrew stanowisku Sądu Okręgowego, przy formułowaniu zarzutów co do dawnej tajnej współpracy skarżącego, pozwany nie działał w charakterze dziennikarza publikującego materiał, ale w charakterze zwykłego obywatela, do którego zwrócono się o komentarz w sprawie przyznania skarżącemu przez IPN statusu osoby pokrzywdzonej. Wypowiedź pozwanego była cytowana w zwykłych celach i jako taka została zapowiedziana przez autora i dziennikarza programu telewizyjnego. Pozwanego poproszono o komentarz jako jednego z głównych oponentów skarżącego i jego byłego współpracownika, o czym wspomniano w emisji (zob. również par. 16 powyżej). Nie istniała zatem możliwość zastosowania przepisów ustawy Prawo prasowe w celu ochrony oświadczeń pozwanego lub, jak uczynił to Sąd Okręgowy, w celu podjęcia próby uzasadnienia bezkompromisowych twierdzeń naruszających dobra osobiste skarżącego. W ocenie sądu pozwany nie wykazał, że w tamtym czasie był aktywnym dziennikarzem.</w:t>
      </w:r>
    </w:p>
    <w:bookmarkStart w:id="14" w:name="supreme_court_refusal"/>
    <w:p w14:paraId="027659F2"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22</w:t>
      </w:r>
      <w:r w:rsidRPr="00D637A7">
        <w:fldChar w:fldCharType="end"/>
      </w:r>
      <w:bookmarkEnd w:id="14"/>
      <w:r>
        <w:t>.  Dnia 30 listopada 2011 r. Sąd Najwyższy odmówił uwzględnienia skargi kasacyjnej wniesionej przez p. Wyszkowskiego z uwagi na brak odpowiednich podstaw.</w:t>
      </w:r>
    </w:p>
    <w:p w14:paraId="116545B9" w14:textId="77777777" w:rsidR="000410B4" w:rsidRPr="00D637A7" w:rsidRDefault="00000000" w:rsidP="00D637A7">
      <w:pPr>
        <w:pStyle w:val="JuPara"/>
      </w:pPr>
      <w:fldSimple w:instr=" SEQ level0 \*arabic \* MERGEFORMAT ">
        <w:r w:rsidR="006D0886">
          <w:rPr>
            <w:noProof/>
          </w:rPr>
          <w:t>23</w:t>
        </w:r>
      </w:fldSimple>
      <w:r w:rsidR="008E2D0D">
        <w:t>.  Powyższe postępowanie i rozstrzygnięcie były przedmiotem skargi (nr 34282/12) wniesionej przez p. Wyszkowskiego do Trybunału na podstawie art. 10 Konwencji dnia 8 maja 2012 r., którą zakomunikowano Rządowi dnia 11 marca 2019 r.</w:t>
      </w:r>
      <w:r w:rsidR="008E2D0D">
        <w:rPr>
          <w:rStyle w:val="Odwoanieprzypisudolnego"/>
        </w:rPr>
        <w:footnoteReference w:id="3"/>
      </w:r>
      <w:r w:rsidR="008E2D0D">
        <w:t>. Skarga ta w następstwie deklaracji jednostronnej Rządu została skreślona z listy spraw Trybunału w dniu 1 lipca 2021 r.</w:t>
      </w:r>
      <w:r w:rsidR="008E2D0D">
        <w:rPr>
          <w:rStyle w:val="Odwoanieprzypisudolnego"/>
        </w:rPr>
        <w:footnoteReference w:id="4"/>
      </w:r>
      <w:r w:rsidR="008E2D0D">
        <w:t xml:space="preserve"> (więcej informacji na ten temat znajduje się w par. </w:t>
      </w:r>
      <w:r w:rsidR="008E2D0D" w:rsidRPr="00D637A7">
        <w:fldChar w:fldCharType="begin"/>
      </w:r>
      <w:r w:rsidR="008E2D0D" w:rsidRPr="00D637A7">
        <w:instrText xml:space="preserve"> REF Wyszkowski \h </w:instrText>
      </w:r>
      <w:r w:rsidR="008E2D0D" w:rsidRPr="00D637A7">
        <w:fldChar w:fldCharType="separate"/>
      </w:r>
      <w:r w:rsidR="006D0886">
        <w:rPr>
          <w:noProof/>
        </w:rPr>
        <w:t>45</w:t>
      </w:r>
      <w:r w:rsidR="008E2D0D" w:rsidRPr="00D637A7">
        <w:fldChar w:fldCharType="end"/>
      </w:r>
      <w:r w:rsidR="008E2D0D">
        <w:noBreakHyphen/>
      </w:r>
      <w:r w:rsidR="008E2D0D" w:rsidRPr="00D637A7">
        <w:fldChar w:fldCharType="begin"/>
      </w:r>
      <w:r w:rsidR="008E2D0D" w:rsidRPr="00D637A7">
        <w:instrText xml:space="preserve"> REF Wyszkowski_suite \h </w:instrText>
      </w:r>
      <w:r w:rsidR="008E2D0D" w:rsidRPr="00D637A7">
        <w:fldChar w:fldCharType="separate"/>
      </w:r>
      <w:r w:rsidR="006D0886">
        <w:rPr>
          <w:noProof/>
        </w:rPr>
        <w:t>46</w:t>
      </w:r>
      <w:r w:rsidR="008E2D0D" w:rsidRPr="00D637A7">
        <w:fldChar w:fldCharType="end"/>
      </w:r>
      <w:r w:rsidR="008E2D0D">
        <w:t xml:space="preserve"> poniżej).</w:t>
      </w:r>
    </w:p>
    <w:bookmarkStart w:id="15" w:name="apeal_21March2017"/>
    <w:p w14:paraId="75309582" w14:textId="7ED0F112" w:rsidR="000410B4" w:rsidRPr="00D637A7" w:rsidRDefault="008E2D0D" w:rsidP="00D637A7">
      <w:pPr>
        <w:pStyle w:val="JuPara"/>
      </w:pPr>
      <w:r w:rsidRPr="00D637A7">
        <w:lastRenderedPageBreak/>
        <w:fldChar w:fldCharType="begin"/>
      </w:r>
      <w:r w:rsidRPr="00D637A7">
        <w:instrText xml:space="preserve"> SEQ level0 \*arabic \* MERGEFORMAT </w:instrText>
      </w:r>
      <w:r w:rsidRPr="00D637A7">
        <w:fldChar w:fldCharType="separate"/>
      </w:r>
      <w:bookmarkStart w:id="16" w:name="paragraph00010"/>
      <w:r w:rsidR="006D0886">
        <w:rPr>
          <w:noProof/>
        </w:rPr>
        <w:t>24</w:t>
      </w:r>
      <w:bookmarkEnd w:id="16"/>
      <w:r w:rsidRPr="00D637A7">
        <w:fldChar w:fldCharType="end"/>
      </w:r>
      <w:bookmarkEnd w:id="15"/>
      <w:r>
        <w:t xml:space="preserve">.  Dnia 21 marca 2017 r. p. Wyszkowski złożył do Sądu Apelacyjnego w Gdańsku wniosek o wznowienie </w:t>
      </w:r>
      <w:r w:rsidR="001B76EA">
        <w:t>zakoń</w:t>
      </w:r>
      <w:r w:rsidR="00670C02">
        <w:t>c</w:t>
      </w:r>
      <w:r w:rsidR="001B76EA">
        <w:t>zonego</w:t>
      </w:r>
      <w:r>
        <w:t xml:space="preserve"> postępowania ze względu na nowo uzyskane dowody, które miały rzekomo stanowić potwierdzenie jego wypowiedzi o współpracy skarżącego z komunistyczną Służbą Bezpieczeństwa (tajne akta przechowywane przez ostatniego komunistycznego premiera RP, które zostały pozyskane przez IPN w czasie przeszukania jego domu po jego śmierci).</w:t>
      </w:r>
    </w:p>
    <w:bookmarkStart w:id="17" w:name="apeal_21March2017_1"/>
    <w:p w14:paraId="63E4A21F"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bookmarkStart w:id="18" w:name="paragraph00011"/>
      <w:r w:rsidR="006D0886">
        <w:rPr>
          <w:noProof/>
        </w:rPr>
        <w:t>25</w:t>
      </w:r>
      <w:bookmarkEnd w:id="18"/>
      <w:r w:rsidRPr="00D637A7">
        <w:fldChar w:fldCharType="end"/>
      </w:r>
      <w:bookmarkEnd w:id="17"/>
      <w:r>
        <w:t>.  Dnia 27 czerwca 2017 r. Sąd Apelacyjny w Gdańsku odrzucił ten wniosek jako złożony po upływie mającego zastosowanie terminu. Dnia 30 listopada 2017 r. Sąd Najwyższy oddalił zażalenie p. Wyszkowskiego na to postanowienie.</w:t>
      </w:r>
    </w:p>
    <w:bookmarkStart w:id="19" w:name="Wyszkowski_1"/>
    <w:p w14:paraId="552C6FE1" w14:textId="30BD39F9"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26</w:t>
      </w:r>
      <w:r w:rsidRPr="00D637A7">
        <w:fldChar w:fldCharType="end"/>
      </w:r>
      <w:bookmarkEnd w:id="19"/>
      <w:r>
        <w:t>.  P. Wyszkowski, który najwyraźniej krótko po wydaniu prawomocnego wyroku zwrócił się z publicznym apelem o wsparcie finansowe na pokrycie kosztów publikacji przeprosin, ostatecznie odmówił opublikowania ich w sposób przewidziany orzeczeniem. Skarżący opublikował przeprosiny samodzielnie, w ramach wykonania zastępczego. Ostatecznie telewizja TVN, która wyemitowała przeprosiny, zwróciła skarżącemu koszty publikacji w kwocie 24 000 złotych (około 5 200 euro).</w:t>
      </w:r>
    </w:p>
    <w:p w14:paraId="24CCE4CE" w14:textId="77777777" w:rsidR="000410B4" w:rsidRPr="00D637A7" w:rsidRDefault="008E2D0D" w:rsidP="00D637A7">
      <w:pPr>
        <w:pStyle w:val="JuHIRoman"/>
      </w:pPr>
      <w:r>
        <w:rPr>
          <w:caps w:val="0"/>
        </w:rPr>
        <w:t>WPROWADZENIE SKARGI NADZWYCZAJNEJ USTAWĄ O SĄDZIE NAJWYŻSZYM Z 2017 R.</w:t>
      </w:r>
    </w:p>
    <w:p w14:paraId="6372730C" w14:textId="77777777" w:rsidR="000410B4" w:rsidRPr="00D637A7" w:rsidRDefault="00000000" w:rsidP="00D637A7">
      <w:pPr>
        <w:pStyle w:val="JuPara"/>
      </w:pPr>
      <w:fldSimple w:instr=" SEQ level0 \*arabic \* MERGEFORMAT ">
        <w:r w:rsidR="006D0886">
          <w:rPr>
            <w:noProof/>
          </w:rPr>
          <w:t>27</w:t>
        </w:r>
      </w:fldSimple>
      <w:r w:rsidR="008E2D0D">
        <w:t>.  Dnia 8 grudnia 2017 r. Sejm przyjął nową ustawę z dnia 8 grudnia 2017 r. o Sądzie Najwyższym („ustawa o Sądzie Najwyższym z 2017 r.”), którą powołano dwie nowe izby: Izbę Dyscyplinarną oraz Izbę Kontroli Nadzwyczajnej i Spraw Publicznych. Druga z Izb stałą się właściwa do rozpoznawania skarg nadzwyczajnych – nowego typu środka zaskarżenia, również wprowadzonego do polskiego systemu prawnego na mocy ustawy o Sądzie Najwyższym z 2017 r. (zob. par. </w:t>
      </w:r>
      <w:r w:rsidR="008E2D0D" w:rsidRPr="00D637A7">
        <w:fldChar w:fldCharType="begin"/>
      </w:r>
      <w:r w:rsidR="008E2D0D" w:rsidRPr="00D637A7">
        <w:instrText xml:space="preserve"> REF Extraordinary_appeals \h </w:instrText>
      </w:r>
      <w:r w:rsidR="008E2D0D" w:rsidRPr="00D637A7">
        <w:fldChar w:fldCharType="separate"/>
      </w:r>
      <w:r w:rsidR="006D0886">
        <w:rPr>
          <w:noProof/>
        </w:rPr>
        <w:t>69</w:t>
      </w:r>
      <w:r w:rsidR="008E2D0D" w:rsidRPr="00D637A7">
        <w:fldChar w:fldCharType="end"/>
      </w:r>
      <w:r w:rsidR="008E2D0D">
        <w:t xml:space="preserve"> poniżej; zobacz również </w:t>
      </w:r>
      <w:r w:rsidR="008E2D0D">
        <w:rPr>
          <w:i/>
          <w:iCs/>
        </w:rPr>
        <w:t>Dolińska-Ficek i Ozimek</w:t>
      </w:r>
      <w:r w:rsidR="008E2D0D">
        <w:t>,</w:t>
      </w:r>
      <w:r w:rsidR="008E2D0D">
        <w:rPr>
          <w:i/>
          <w:iCs/>
        </w:rPr>
        <w:t xml:space="preserve"> op.cit.</w:t>
      </w:r>
      <w:r w:rsidR="008E2D0D">
        <w:t>, §§ 23, 25, 89 i 91, wyrok z dnia 8 listopada 2021 r.). Ustawa o Sądzie Najwyższym z 2017 r. weszła w życie 3 kwietnia 2018 r.</w:t>
      </w:r>
    </w:p>
    <w:p w14:paraId="38B486C0" w14:textId="6E9ED760" w:rsidR="000410B4" w:rsidRPr="00D637A7" w:rsidRDefault="008E2D0D" w:rsidP="00D637A7">
      <w:pPr>
        <w:pStyle w:val="JuHIRoman"/>
      </w:pPr>
      <w:r>
        <w:t xml:space="preserve">Skarga nadzwyczajna Prokuratora Generalnego i postępowanie przez Izbą Kontroli Nadzwyczajnej i Spraw Publicznych Sądu Najwyższego (sprawa </w:t>
      </w:r>
      <w:r w:rsidR="00670C02">
        <w:t>o sygn.</w:t>
      </w:r>
      <w:r>
        <w:t> </w:t>
      </w:r>
      <w:r w:rsidR="00AC57ED">
        <w:t xml:space="preserve">AKT </w:t>
      </w:r>
      <w:r>
        <w:t>I NSNc 89/20)</w:t>
      </w:r>
    </w:p>
    <w:bookmarkStart w:id="20" w:name="Gdansk_Court_of_appeal_24032011"/>
    <w:p w14:paraId="00A2431A"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28</w:t>
      </w:r>
      <w:r w:rsidRPr="00D637A7">
        <w:fldChar w:fldCharType="end"/>
      </w:r>
      <w:bookmarkEnd w:id="20"/>
      <w:r>
        <w:t>.  Dnia 31 stycznia 2020 r. Prokurator Generalny Zbigniew Ziobro wniósł skargę nadzwyczajną od wyroku Sądu Apelacyjnego w Gdańsku z dnia 24 marca 2011 r.</w:t>
      </w:r>
    </w:p>
    <w:p w14:paraId="6BF4FDA1" w14:textId="77777777" w:rsidR="000410B4" w:rsidRPr="00D637A7" w:rsidRDefault="00000000" w:rsidP="00D637A7">
      <w:pPr>
        <w:pStyle w:val="JuPara"/>
      </w:pPr>
      <w:fldSimple w:instr=" SEQ level0 \*arabic \* MERGEFORMAT ">
        <w:r w:rsidR="006D0886">
          <w:rPr>
            <w:noProof/>
          </w:rPr>
          <w:t>29</w:t>
        </w:r>
      </w:fldSimple>
      <w:r w:rsidR="008E2D0D">
        <w:t xml:space="preserve">.  Powołując się na art. 89 § 1 i § 2 w związku z art. 115 § 1 i 1a ustawy o Sądzie Najwyższym z 2017 r., Prokurator Generalny stwierdził, że złożenie skargi nadzwyczajnej było konieczne dla zapewnienia zgodności z zasadą </w:t>
      </w:r>
      <w:r w:rsidR="008E2D0D">
        <w:lastRenderedPageBreak/>
        <w:t>demokratycznego państwa prawnego urzeczywistniającego zasady sprawiedliwości społecznej (art. 2 konstytucji), która musi chronić wolność wyrażania opinii i wolność prasy.</w:t>
      </w:r>
    </w:p>
    <w:p w14:paraId="30B30ABE" w14:textId="674FC8B8" w:rsidR="000410B4" w:rsidRPr="00D637A7" w:rsidRDefault="00000000" w:rsidP="00D637A7">
      <w:pPr>
        <w:pStyle w:val="JuPara"/>
      </w:pPr>
      <w:fldSimple w:instr=" SEQ level0 \*arabic \* MERGEFORMAT ">
        <w:r w:rsidR="006D0886">
          <w:rPr>
            <w:noProof/>
          </w:rPr>
          <w:t>30</w:t>
        </w:r>
      </w:fldSimple>
      <w:r w:rsidR="008E2D0D">
        <w:t xml:space="preserve">.  Prokurator Generalny twierdził, że zaskarżonym wyrokiem naruszono zasady, wolności i prawa człowieka i obywatela określone w art. 31 ust. 3 i art. 54 Konstytucji, poprzez naruszenie zasady proporcjonalności w ochronie prawa do czci i dobrego imienia skarżącego kosztem prawa do wolności wyrażania swoich poglądów przez p. Wyszkowskiego. Prokurator Generalny podniósł również, powołując się na orzecznictwo Trybunału Konstytucyjnego, Sądu Najwyższego i </w:t>
      </w:r>
      <w:r w:rsidR="00330666">
        <w:t xml:space="preserve">Europejskiego </w:t>
      </w:r>
      <w:r w:rsidR="008E2D0D">
        <w:t>Trybunału</w:t>
      </w:r>
      <w:r w:rsidR="00330666">
        <w:t xml:space="preserve"> Praw Człowieka</w:t>
      </w:r>
      <w:r w:rsidR="008E2D0D">
        <w:t xml:space="preserve">, że zaskarżonym wyrokiem naruszono konstytucyjną wolność słowa, jak również w sposób rażący naruszono art. 10 Konwencji w związku z art. 54 Konstytucji </w:t>
      </w:r>
      <w:r w:rsidR="009028AE">
        <w:t>oraz</w:t>
      </w:r>
      <w:r w:rsidR="008E2D0D">
        <w:t xml:space="preserve"> art. 23 i art. 24 § 1 kodeksu cywilnego ze względu na fakt, iż nie uznano wypowiedzi p. Wyszkowskiego za mieszczące się w granicach jego prawa do wolności wyrażania opinii. Sąd Apelacyjny nie dokonał odpowiedniego wyważenia między konstytucyjną ochroną wolności słowa z jednej strony a ochroną dobrego imienia i czci z drugiej strony, w sposób nieuzasadniony przyznając pierwszeństwo ochronie życia prywatnego. Prokurator Generalny argumentował dodatkowo, że Sąd Apelacyjny w Gdańsku dopuścił się błędu w ustalaniu stanu faktycznego i ocenie dowodów przedstawionych przez p. Wyszkowskiego, które – zdaniem Prokuratora Generalnego – dowodziły prawdziwości twierdzeń pozwanego dotyczących współpracy skarżącego z komunistyczną Służbą Bezpieczeństwa. Wreszcie zakwestionował on twierdzenie Sądu Apelacyjnego, że p. Wyszkowski nie działał w charakterze dziennikarza, podkreślając, że pozwany w przeszłości – i w późniejszym okresie – publikował w Gazecie Polskiej, a z uwagi na rzeczywistość gospodarczą jego działalność dziennikarska nie zawsze była zajęciem wykonywanym odpłatnie.</w:t>
      </w:r>
    </w:p>
    <w:bookmarkStart w:id="21" w:name="Gdansk_Court_of_appeal_24032011_1"/>
    <w:p w14:paraId="5FAFE6C6"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31</w:t>
      </w:r>
      <w:r w:rsidRPr="00D637A7">
        <w:fldChar w:fldCharType="end"/>
      </w:r>
      <w:bookmarkEnd w:id="21"/>
      <w:r>
        <w:t>.  Zgodnie z art. 91 § 1 ustawy o Sądzie Najwyższym z 2017 r. Prokurator Generalny wniósł do Sądu Najwyższego o uchylenie zaskarżonego wyroku w zakresie, w jakim nakazano w nim p. Wyszkowskiemu przeproszenie skarżącego oraz o orzeczenie co do istoty sprawy poprzez oddalenie powództwa skarżącego, a także o rozstrzygnięcie o kosztach postępowania.</w:t>
      </w:r>
    </w:p>
    <w:p w14:paraId="7A352C44" w14:textId="77777777" w:rsidR="000410B4" w:rsidRPr="00D637A7" w:rsidRDefault="00000000" w:rsidP="00D637A7">
      <w:pPr>
        <w:pStyle w:val="JuPara"/>
      </w:pPr>
      <w:fldSimple w:instr=" SEQ level0 \*arabic \* MERGEFORMAT ">
        <w:r w:rsidR="006D0886">
          <w:rPr>
            <w:noProof/>
          </w:rPr>
          <w:t>32</w:t>
        </w:r>
      </w:fldSimple>
      <w:r w:rsidR="008E2D0D">
        <w:t xml:space="preserve">.  Skarżący podkreślił, że skargę nadzwyczajną Prokuratora Generalnego doręczono mu dopiero 23 czerwca 2020 r. i zobowiązano go do przedstawienia argumentów w odpowiedzi na skargę w terminie dwóch tygodni. W udzielonej odpowiedzi obalił argumenty Prokuratora Generalnego, kwestionując konstytucyjność skargi nadzwyczajnej, która – jak wynika z jego pisma – narusza praworządność, jak również wskazując, że ponowne rozpoznawanie sprawy dziesięć lat po jej ostatecznym rozstrzygnięciu stanowiłoby naruszenie jego prawa do rzetelnego procesu sądowego i zasady pewności prawa. Podkreślał, że termin dwóch tygodni na </w:t>
      </w:r>
      <w:r w:rsidR="008E2D0D">
        <w:lastRenderedPageBreak/>
        <w:t>złożenie odpowiedzi na skargę nadzwyczajną jest zbyt krótki i narusza zasadę równości broni. Co więcej, nowe przepisy prawne dotyczące skarg nadzwyczajnych wprowadzono w kontekście politycznym i były pozbawione prawnego uzasadnienia.</w:t>
      </w:r>
    </w:p>
    <w:p w14:paraId="64F033F2" w14:textId="190CA392" w:rsidR="000410B4" w:rsidRPr="00D637A7" w:rsidRDefault="00000000" w:rsidP="00D637A7">
      <w:pPr>
        <w:pStyle w:val="JuPara"/>
      </w:pPr>
      <w:fldSimple w:instr=" SEQ level0 \*arabic \* MERGEFORMAT ">
        <w:r w:rsidR="006D0886">
          <w:rPr>
            <w:noProof/>
          </w:rPr>
          <w:t>33</w:t>
        </w:r>
      </w:fldSimple>
      <w:r w:rsidR="008E2D0D">
        <w:t xml:space="preserve">.  Skarżący zauważył również, że „logiczną niemożliwością” było przyznanie </w:t>
      </w:r>
      <w:r w:rsidR="00E96831">
        <w:t>ochrony</w:t>
      </w:r>
      <w:r w:rsidR="008E2D0D">
        <w:t>, które</w:t>
      </w:r>
      <w:r w:rsidR="00E96831">
        <w:t>j</w:t>
      </w:r>
      <w:r w:rsidR="008E2D0D">
        <w:t xml:space="preserve"> domagano się w skardze: Prokurator Generalny domagał się uchylenia prawomocnego wyroku w części nakazującej przeprosiny, podczas gdy – jego zdaniem – skutków opublikowanych już przeprosin nie można unieważnić. Twierdził też, że uwzględnienie skargi nadzwyczajnej stanowiłoby bezprawną ingerencję w jego prawo do poszanowania życia prywatnego.</w:t>
      </w:r>
    </w:p>
    <w:bookmarkStart w:id="22" w:name="exclusion_1"/>
    <w:p w14:paraId="6E05C5DE"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34</w:t>
      </w:r>
      <w:r w:rsidRPr="00D637A7">
        <w:fldChar w:fldCharType="end"/>
      </w:r>
      <w:bookmarkEnd w:id="22"/>
      <w:r>
        <w:t>.  Dnia 19 kwietnia 2021 r. skarżący zażądał, by siedemnastu sędziów zasiadających obecnie w Izbie Kontroli Nadzwyczajnej i Spraw Publicznych Sądu Najwyższego, począwszy od przewodniczącej, sędzi Joanny Lemańskiej, włączając sędziego Aleksandra Stępkowskiego wyznaczonego na sędziego sprawozdawcę w jego sprawie i sędziego Pawła Księżaka (który następnie miał rozpatrywać wniosek skarżącego o wyłączenie ze składu orzekającego – zobacz par. </w:t>
      </w:r>
      <w:r w:rsidRPr="00D637A7">
        <w:fldChar w:fldCharType="begin"/>
      </w:r>
      <w:r w:rsidRPr="00D637A7">
        <w:instrText xml:space="preserve"> REF exclusion \h </w:instrText>
      </w:r>
      <w:r w:rsidRPr="00D637A7">
        <w:fldChar w:fldCharType="separate"/>
      </w:r>
      <w:r w:rsidR="006D0886">
        <w:rPr>
          <w:noProof/>
        </w:rPr>
        <w:t>35</w:t>
      </w:r>
      <w:r w:rsidRPr="00D637A7">
        <w:fldChar w:fldCharType="end"/>
      </w:r>
      <w:r>
        <w:t xml:space="preserve"> poniżej), zostało wyłączonych z rozpoznawania skargi nadzwyczajnej Prokuratora Generalnego złożonej w jego sprawie. Skarżący zauważył, że procedura powoływania wszystkich tych sędziów do Sądu Najwyższego budzi poważne wątpliwości z perspektywy praworządności, szczególnie, że zostali oni zarekomendowani do powołania na urząd sędziowski przez zreformowaną KRS, którą ukształtowano wadliwą procedurą na podstawie ustawy zmieniającej z 2017 r. Przed Trybunałem toczyło się już kilka spraw, w których badano legalność Izby Dyscyplinarnej oraz Izby Kontroli Nadzwyczajnej i Spraw Publicznych. Powinno to skutkować zawieszeniem funkcjonowania tych organów. Co więcej, procedura powołania sędziów do tych izb była przedmiotem szeroko zakrojonej krytyki wyrażanej przez różne instytucje, w tym Komisję Wenecką, Komisję Europejską i Trybunał Sprawiedliwości Unii Europejskiej (TSUE). Sąd Najwyższy we wniosku o wydanie orzeczenia w trybie prejudycjalnym skierowanym do TSUE wyraził swoje wątpliwości, czy osoba powołana w toku procedury przeprowadzonej z udziałem wadliwie wybranej KRS może być uznana za „niezawisły i bezstronny sąd”. Istniały zatem poważne wątpliwości co do niezawisłości i bezstronności sędziego Stępkowskiego, jako że to właśnie jego status sędziego stanowił przedmiot postępowania toczącego się przed TSUE w następstwie wspominanego wniosku o orzeczenie w trybie prejudycjalnym (</w:t>
      </w:r>
      <w:r>
        <w:rPr>
          <w:i/>
          <w:iCs/>
        </w:rPr>
        <w:t>W.Ż.</w:t>
      </w:r>
      <w:r>
        <w:t>, sprawa nr C</w:t>
      </w:r>
      <w:r>
        <w:noBreakHyphen/>
        <w:t xml:space="preserve">487/19; zobacz </w:t>
      </w:r>
      <w:r>
        <w:rPr>
          <w:i/>
          <w:iCs/>
        </w:rPr>
        <w:t>Dolińska-Ficek i Ozimek</w:t>
      </w:r>
      <w:r>
        <w:t xml:space="preserve">, </w:t>
      </w:r>
      <w:r>
        <w:rPr>
          <w:i/>
          <w:iCs/>
        </w:rPr>
        <w:t>op.cit.</w:t>
      </w:r>
      <w:r>
        <w:t>, §§ 131-136 oraz 201</w:t>
      </w:r>
      <w:r>
        <w:noBreakHyphen/>
        <w:t xml:space="preserve">203). Skarżący stwierdził, że jest zbulwersowany faktem, iż w składzie sądu orzekającego w jego sprawie zasiada sędzia Stępkowski. W tym względzie odniósł się również do przeszłości sędziego i jego działalności z okresu poprzedzającego powołanie na urząd, w tym </w:t>
      </w:r>
      <w:proofErr w:type="spellStart"/>
      <w:r>
        <w:t>współzałożycielstwa</w:t>
      </w:r>
      <w:proofErr w:type="spellEnd"/>
      <w:r>
        <w:t xml:space="preserve"> i przewodzenia „Ordo Iuris” w Polsce, organizacji pozarządowej, która – zdaniem skarżącego – promuje </w:t>
      </w:r>
      <w:r>
        <w:lastRenderedPageBreak/>
        <w:t>ekstremizm i fundamentalizm, budząc zdecydowany sprzeciw szerokich kręgów społeczeństwa; działalność ta świadczyła o poglądach wpływających niekorzystnie na jego bezstronność. Wszystko to, jak twierdził skarżący, powinno dyskwalifikować sędziego Stępkowskiego z rozpoznawania jego sprawy.</w:t>
      </w:r>
    </w:p>
    <w:bookmarkStart w:id="23" w:name="exclusion"/>
    <w:p w14:paraId="6E84D89F"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bookmarkStart w:id="24" w:name="paragraph00016"/>
      <w:r w:rsidR="006D0886">
        <w:rPr>
          <w:noProof/>
        </w:rPr>
        <w:t>35</w:t>
      </w:r>
      <w:bookmarkEnd w:id="24"/>
      <w:r w:rsidRPr="00D637A7">
        <w:fldChar w:fldCharType="end"/>
      </w:r>
      <w:bookmarkEnd w:id="23"/>
      <w:r>
        <w:t>.  Dnia 21 kwietnia 2021 r. wniosek skarżącego o wyłączenie sędziów oddalono w zakresie dotyczącym sędziego Stępkowskiego, a w pozostałej części – odrzucono. Postanowienie wydała Izba Kontroli Nadzwyczajnej i Spraw Publicznych zasiadająca w składzie jednoosobowym (sędzia Księżak). Nie przedstawiono uzasadnienia na piśmie. Postanowienie jest dostępne na stronie internetowej Sądu Najwyższego.</w:t>
      </w:r>
    </w:p>
    <w:bookmarkStart w:id="25" w:name="CERPA"/>
    <w:p w14:paraId="79773914" w14:textId="35A35059"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36</w:t>
      </w:r>
      <w:r w:rsidRPr="00D637A7">
        <w:fldChar w:fldCharType="end"/>
      </w:r>
      <w:bookmarkEnd w:id="25"/>
      <w:r>
        <w:t>.  Tego samego dnia Izba Kontroli Nadzwyczajnej i Spraw Publicznych uchyliła wyrok Sądu Apelacyjnego w Gdańsku z dnia 24 marca 2011 r. i oddaliła apelację skarżącego przeciwko wyrokowi sądu pierwszej instancji w zakresie, w jakim Sąd Apelacyjny uwzględnił wcześniej jego powództwo. Sąd obradował w następującym składzie: sędzia Marcin Łochowski (przewodniczący), Aleksander Stępkowski (sprawozdawca) i ławnik Ma</w:t>
      </w:r>
      <w:r w:rsidR="00E96831">
        <w:t>r</w:t>
      </w:r>
      <w:r>
        <w:t xml:space="preserve">ek Sławomir </w:t>
      </w:r>
      <w:proofErr w:type="spellStart"/>
      <w:r>
        <w:t>Molczyk</w:t>
      </w:r>
      <w:proofErr w:type="spellEnd"/>
      <w:r>
        <w:t>. Pełna treść wyroku jest dostępna na stronie internetowej Sądu Najwyższego.</w:t>
      </w:r>
    </w:p>
    <w:p w14:paraId="6DD5B511" w14:textId="613DD3B9" w:rsidR="000410B4" w:rsidRPr="00D637A7" w:rsidRDefault="00000000" w:rsidP="00D637A7">
      <w:pPr>
        <w:pStyle w:val="JuPara"/>
      </w:pPr>
      <w:fldSimple w:instr=" SEQ level0 \*arabic \* MERGEFORMAT ">
        <w:bookmarkStart w:id="26" w:name="paragraph00017"/>
        <w:r w:rsidR="006D0886">
          <w:rPr>
            <w:noProof/>
          </w:rPr>
          <w:t>37</w:t>
        </w:r>
        <w:bookmarkEnd w:id="26"/>
      </w:fldSimple>
      <w:r w:rsidR="008E2D0D">
        <w:t xml:space="preserve">.  Izba Kontroli Nadzwyczajnej i Spraw Publicznych rozpoczęła uzasadnienie na piśmie od podsumowania uzasadnienia skargi nadzwyczajnej. Powołując się na orzecznictwo Sądu Najwyższego oraz orzecznictwo Trybunału (w szczególności sprawy </w:t>
      </w:r>
      <w:r w:rsidR="008E2D0D">
        <w:rPr>
          <w:i/>
          <w:iCs/>
        </w:rPr>
        <w:t>Brumărescu przeciwko Rumunii</w:t>
      </w:r>
      <w:r w:rsidR="008E2D0D">
        <w:t xml:space="preserve"> [WI], skarga nr 28342/95, § 62, </w:t>
      </w:r>
      <w:proofErr w:type="spellStart"/>
      <w:r w:rsidR="008E2D0D">
        <w:t>ETPCz</w:t>
      </w:r>
      <w:proofErr w:type="spellEnd"/>
      <w:r w:rsidR="008E2D0D">
        <w:t xml:space="preserve"> 1999-VII; </w:t>
      </w:r>
      <w:r w:rsidR="008E2D0D">
        <w:rPr>
          <w:i/>
          <w:iCs/>
        </w:rPr>
        <w:t>Ryabykh przeciwko Rosji</w:t>
      </w:r>
      <w:r w:rsidR="008E2D0D">
        <w:t xml:space="preserve">, skarga nr 52854/99, § 52, </w:t>
      </w:r>
      <w:proofErr w:type="spellStart"/>
      <w:r w:rsidR="008E2D0D">
        <w:t>ETPCz</w:t>
      </w:r>
      <w:proofErr w:type="spellEnd"/>
      <w:r w:rsidR="008E2D0D">
        <w:t xml:space="preserve"> 2003</w:t>
      </w:r>
      <w:r w:rsidR="008E2D0D">
        <w:noBreakHyphen/>
        <w:t xml:space="preserve">IX; a także </w:t>
      </w:r>
      <w:r w:rsidR="008E2D0D">
        <w:rPr>
          <w:i/>
          <w:iCs/>
        </w:rPr>
        <w:t>Sutyazhnik przeciwko Rosji</w:t>
      </w:r>
      <w:r w:rsidR="008E2D0D">
        <w:t>, skarga nr 8269/02, § 38, 23 lipca 2009 r.), wyjaśniła, że podstawa skargi nadzwyczajnej jest zgodna z międzynarodowymi standardami ochrony praw człowieka, a mechanizm ma na celu korygowanie fundamentalnych wad, które niweczą podstawową funkcję wymiaru sprawiedliwości. Co więcej, odrębna podstawa prawna skargi nadzwyczajnej, termin na jej wniesienie i dodatkowe gwarancje przewidziane w art. 89 § 3 i § 4 ustawy o Sądzie Najwyższym z 2017 r. (zob.</w:t>
      </w:r>
      <w:r w:rsidR="00ED2180">
        <w:t xml:space="preserve"> </w:t>
      </w:r>
      <w:r w:rsidR="008E2D0D">
        <w:t>par.</w:t>
      </w:r>
      <w:r w:rsidR="00ED2180">
        <w:t xml:space="preserve"> </w:t>
      </w:r>
      <w:r w:rsidR="008E2D0D" w:rsidRPr="00D637A7">
        <w:fldChar w:fldCharType="begin"/>
      </w:r>
      <w:r w:rsidR="008E2D0D" w:rsidRPr="00D637A7">
        <w:instrText xml:space="preserve"> REF Extraordinary_appeals \h </w:instrText>
      </w:r>
      <w:r w:rsidR="008E2D0D" w:rsidRPr="00D637A7">
        <w:fldChar w:fldCharType="separate"/>
      </w:r>
      <w:r w:rsidR="006D0886">
        <w:rPr>
          <w:noProof/>
        </w:rPr>
        <w:t>69</w:t>
      </w:r>
      <w:r w:rsidR="008E2D0D" w:rsidRPr="00D637A7">
        <w:fldChar w:fldCharType="end"/>
      </w:r>
      <w:r w:rsidR="008E2D0D">
        <w:t xml:space="preserve"> poniżej) zapewniały jej zgodność ze standardami</w:t>
      </w:r>
      <w:r w:rsidR="00ED2180">
        <w:t xml:space="preserve"> </w:t>
      </w:r>
      <w:r w:rsidR="008E2D0D">
        <w:t>wypracowanymi przez Trybunał.</w:t>
      </w:r>
    </w:p>
    <w:p w14:paraId="3A90304E" w14:textId="2435D839" w:rsidR="000410B4" w:rsidRPr="00D637A7" w:rsidRDefault="00000000" w:rsidP="00D637A7">
      <w:pPr>
        <w:pStyle w:val="JuPara"/>
      </w:pPr>
      <w:fldSimple w:instr=" SEQ level0 \*arabic \* MERGEFORMAT ">
        <w:r w:rsidR="006D0886">
          <w:rPr>
            <w:noProof/>
          </w:rPr>
          <w:t>38</w:t>
        </w:r>
      </w:fldSimple>
      <w:r w:rsidR="008E2D0D">
        <w:t>.  Izba oceniła następnie dopuszczalność skargi, ustaliła charakter argumentów podnoszonych przez Prokuratora Generalnego (uznając część z nich za sformułowane w sposób nieprawidłowy) i dokonała podsumowania faktów. Odnosząc się do postępowań prowadz</w:t>
      </w:r>
      <w:r w:rsidR="00ED2180">
        <w:t>onych</w:t>
      </w:r>
      <w:r w:rsidR="008E2D0D">
        <w:t xml:space="preserve"> przed sądami niższych instancji, stwierdziła, że Sąd Apelacyjny w Gdańsku mógł co najwyżej nakazać p. Wyszkowskiemu złożenie oświadczenia o niewykazaniu prawdziwości jego twierdzeń dotyczących przeszłości skarżącego, podczas gdy nakazał mu złożenie oświadczenia przesądzającego o ich nieprawdziwości. W związku z tym</w:t>
      </w:r>
      <w:r w:rsidR="00ED2180">
        <w:t>,</w:t>
      </w:r>
      <w:r w:rsidR="008E2D0D">
        <w:t xml:space="preserve"> zdaniem </w:t>
      </w:r>
      <w:r w:rsidR="00ED2180">
        <w:t>sądu,</w:t>
      </w:r>
      <w:r w:rsidR="008E2D0D">
        <w:t xml:space="preserve"> wyrok Sądu Apelacyjnego w Gdańsku cechował rażący brak poszanowania </w:t>
      </w:r>
      <w:r w:rsidR="008E2D0D">
        <w:lastRenderedPageBreak/>
        <w:t xml:space="preserve">konstytucyjnej wolności słowa i stanowił rażące naruszenie art. 54 </w:t>
      </w:r>
      <w:r w:rsidR="00ED2180">
        <w:t>K</w:t>
      </w:r>
      <w:r w:rsidR="008E2D0D">
        <w:t>onstytucji.</w:t>
      </w:r>
    </w:p>
    <w:bookmarkStart w:id="27" w:name="art_8_10"/>
    <w:p w14:paraId="489A062A" w14:textId="063E6B02"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39</w:t>
      </w:r>
      <w:r w:rsidRPr="00D637A7">
        <w:fldChar w:fldCharType="end"/>
      </w:r>
      <w:bookmarkEnd w:id="27"/>
      <w:r>
        <w:t>.  Odnosząc się szeroko do orzecznictwa Trybunału formułowanego w odniesieniu do art. 8 i 10 Konwencji, izba orzekła, że doszło do rażącego naruszenia tych postanowień. Wyjaśniła, że p. Wyszkowski powinien być uznany za zaliczającego się funkcjonalnie do kategorii „publicznego strażnika”</w:t>
      </w:r>
      <w:r w:rsidR="00ED2180">
        <w:t xml:space="preserve"> </w:t>
      </w:r>
      <w:r>
        <w:t>i nie występowała żadna nagląca potrzeba społeczna uzasadniająca ograniczenie jego wolności wyrażania opinii, skoro jego wypowiedź dotyczyła skarżącego</w:t>
      </w:r>
      <w:r w:rsidR="00ED2180">
        <w:t xml:space="preserve"> –</w:t>
      </w:r>
      <w:r>
        <w:t xml:space="preserve"> osob</w:t>
      </w:r>
      <w:r w:rsidR="00ED2180">
        <w:t>y</w:t>
      </w:r>
      <w:r>
        <w:t xml:space="preserve"> publiczn</w:t>
      </w:r>
      <w:r w:rsidR="00ED2180">
        <w:t>ej</w:t>
      </w:r>
      <w:r>
        <w:t>. W jej ocenie Sąd Apelacyjny w sposób formalistyczny ograniczył pojęcie „dziennikarza” do terminu zdefiniowanego w ustawie Prawo prasowe, a w rezultacie nie wyłączył bezprawności czynów pozwanego, odmawiając mu tym samym ochrony przysługującej dziennikarzom, którzy wypełnili obowiązek zachowania szczególnej staranności przy zbieraniu materiałów na potrzeby swoich wypowiedzi i publikacji. Co więcej, kara nałożona na pozwanego była nieproporcjonalna.</w:t>
      </w:r>
    </w:p>
    <w:p w14:paraId="57EB4D54" w14:textId="77777777" w:rsidR="000410B4" w:rsidRPr="00D637A7" w:rsidRDefault="00000000" w:rsidP="00D637A7">
      <w:pPr>
        <w:pStyle w:val="JuPara"/>
      </w:pPr>
      <w:fldSimple w:instr=" SEQ level0 \*arabic \* MERGEFORMAT ">
        <w:r w:rsidR="006D0886">
          <w:rPr>
            <w:noProof/>
          </w:rPr>
          <w:t>40</w:t>
        </w:r>
      </w:fldSimple>
      <w:r w:rsidR="008E2D0D">
        <w:t>.  Izba uznała za istotne, że wypowiedzi pozwanego nie dotyczyły ściśle prywatnej sfery życia skarżącego, ale jego relacji ze służbami specjalnymi państwa totalitarnego. Ponieważ służby te odpowiadały za systemowe naruszenia praw człowieka, współpraca z organizacjami tego rodzaju niosła w nieuchronny sposób jednoznaczną ocenę moralną, która była niewątpliwie nader dotkliwa dla czci i dobrego imienia osoby, której zarzuca się taką współpracę. Niemniej jednak ta jednoznacznie negatywna ocena w odniesieniu osób publicznych, w szczególności osób piastujących wysokie urzędy publiczne, wymagała w szczególny sposób domagała się ujawnienia i w uzasadniony sposób była przedmiotem żywego zainteresowania opinii publicznej oraz mediów.</w:t>
      </w:r>
    </w:p>
    <w:p w14:paraId="790261B5" w14:textId="77777777" w:rsidR="000410B4" w:rsidRPr="00D637A7" w:rsidRDefault="008E2D0D" w:rsidP="00D637A7">
      <w:pPr>
        <w:pStyle w:val="JuPara"/>
      </w:pPr>
      <w:r>
        <w:t>W związku z powyższym życie prywatne skarżącego było chronione w mniejszym stopniu ze względu na jego status osoby publicznej.</w:t>
      </w:r>
    </w:p>
    <w:p w14:paraId="6B6B66EB" w14:textId="77777777" w:rsidR="000410B4" w:rsidRPr="00D637A7" w:rsidRDefault="00000000" w:rsidP="00D637A7">
      <w:pPr>
        <w:pStyle w:val="JuPara"/>
      </w:pPr>
      <w:fldSimple w:instr=" SEQ level0 \*arabic \* MERGEFORMAT ">
        <w:r w:rsidR="006D0886">
          <w:rPr>
            <w:noProof/>
          </w:rPr>
          <w:t>41</w:t>
        </w:r>
      </w:fldSimple>
      <w:r w:rsidR="008E2D0D">
        <w:t>.  Powołując się na orzecznictwo Trybunału dotyczące art. 10 Konwencji, izba orzekła, że wypowiedzi pozwanego nie można rozpatrywać w kontekście naruszenia art. 8 Konwencji. Wypowiedzi te, poza tym iż nie miały związku z życiem prywatnym skarżącego czy też jego bardziej intymnymi aspektami, dotyczyły jednego z najważniejszych zagadnień debaty publicznej w Polsce po 1989 r. W rezultacie nie było podstaw, by rozpatrywać kwestię naruszenia dobrego imienia skarżącego na podstawie art. 8. Można było rozpatrywać tę sytuacją wyłącznie z perspektywy ograniczeń, o których mowa w art. 10 ust. 2 Konwencji, które to postanowienie należy wykładać w sposób rygorystyczny.</w:t>
      </w:r>
    </w:p>
    <w:bookmarkStart w:id="28" w:name="art_10"/>
    <w:p w14:paraId="1258437B" w14:textId="1A697619"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42</w:t>
      </w:r>
      <w:r w:rsidRPr="00D637A7">
        <w:fldChar w:fldCharType="end"/>
      </w:r>
      <w:bookmarkEnd w:id="28"/>
      <w:r>
        <w:t xml:space="preserve">.  Izba </w:t>
      </w:r>
      <w:r w:rsidR="00ED2180">
        <w:t>stwierdziła</w:t>
      </w:r>
      <w:r>
        <w:t>, że stopień naruszenia art. 10 Konwencji był dalece poważniejszy niż stopień naruszenia art. 54 Konstytucji, ponieważ sankcje nałożone na pozwanego były dotkliwe, podczas gdy jego wypowiedzi zasługiwały na szczególną ochronę na podstawie art. 10. Z tego względu doszło do rażącego naruszenia art. 10 Konwencji.</w:t>
      </w:r>
    </w:p>
    <w:p w14:paraId="5F216DC5" w14:textId="77777777" w:rsidR="000410B4" w:rsidRPr="00D637A7" w:rsidRDefault="00000000" w:rsidP="00D637A7">
      <w:pPr>
        <w:pStyle w:val="JuPara"/>
      </w:pPr>
      <w:fldSimple w:instr=" SEQ level0 \*arabic \* MERGEFORMAT ">
        <w:r w:rsidR="006D0886">
          <w:rPr>
            <w:noProof/>
          </w:rPr>
          <w:t>43</w:t>
        </w:r>
      </w:fldSimple>
      <w:r w:rsidR="008E2D0D">
        <w:t>.  W dalszej części wyroku izba oddaliła argumenty Prokuratora Generalnego dotyczące zarzutów w przedmiocie nieprawidłowej oceny dowodów i błędów w ustaleniach faktycznych.</w:t>
      </w:r>
    </w:p>
    <w:bookmarkStart w:id="29" w:name="paragraph00027"/>
    <w:p w14:paraId="207CFF3A"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44</w:t>
      </w:r>
      <w:r w:rsidRPr="00D637A7">
        <w:fldChar w:fldCharType="end"/>
      </w:r>
      <w:bookmarkEnd w:id="29"/>
      <w:r>
        <w:t xml:space="preserve">.  Na zakończenie izba uznała, że chociaż od uprawomocnienia się wyroku wydanego przez Sąd Apelacyjny w Gdańsku minęło ponad pięć lat, w świetle znaczenia debaty publicznej dla demokratycznego państwa prawnego, zaskarżony wyrok należy uchylić i nie zachodzi nic, co nakazywałoby przyznanie pierwszeństwa zasadzie powagi rzeczy osądzonej. Izba zauważyła, że postępowanie w sprawie p. Wyszkowskiego (zob. par.  </w:t>
      </w:r>
      <w:r w:rsidRPr="00D637A7">
        <w:fldChar w:fldCharType="begin"/>
      </w:r>
      <w:r w:rsidRPr="00D637A7">
        <w:instrText xml:space="preserve"> REF Wyszkowski \h </w:instrText>
      </w:r>
      <w:r w:rsidRPr="00D637A7">
        <w:fldChar w:fldCharType="separate"/>
      </w:r>
      <w:r w:rsidR="006D0886">
        <w:rPr>
          <w:noProof/>
        </w:rPr>
        <w:t>45</w:t>
      </w:r>
      <w:r w:rsidRPr="00D637A7">
        <w:fldChar w:fldCharType="end"/>
      </w:r>
      <w:r>
        <w:noBreakHyphen/>
      </w:r>
      <w:r w:rsidRPr="00D637A7">
        <w:fldChar w:fldCharType="begin"/>
      </w:r>
      <w:r w:rsidRPr="00D637A7">
        <w:instrText xml:space="preserve"> REF Wyszkowski_suite \h </w:instrText>
      </w:r>
      <w:r w:rsidRPr="00D637A7">
        <w:fldChar w:fldCharType="separate"/>
      </w:r>
      <w:r w:rsidR="006D0886">
        <w:rPr>
          <w:noProof/>
        </w:rPr>
        <w:t>46</w:t>
      </w:r>
      <w:r w:rsidRPr="00D637A7">
        <w:fldChar w:fldCharType="end"/>
      </w:r>
      <w:r>
        <w:t xml:space="preserve"> poniżej) dotyczące naruszenia art. 10 Konwencji wynikające z zaskarżonego wyroku jest obecnie przedmiotem sprawy zawisłej przed Trybunałem. Uznała, że w świetle dokonanych przez nią ustaleń w sprawie skarżącego, wynik postępowania przed Trybunałem „wydaje się dosyć łatwy do przewidzenia”. W związku z tym oczywiste jest, że uchylenie wyroku jest nie tylko proporcjonalne, ale i konieczne dla zapewnienia zgodności z zasadą demokratycznego państwa prawnego urzeczywistniającego zasady sprawiedliwości społecznej.</w:t>
      </w:r>
    </w:p>
    <w:p w14:paraId="765813AE" w14:textId="77777777" w:rsidR="000410B4" w:rsidRPr="00D637A7" w:rsidRDefault="008E2D0D" w:rsidP="00D637A7">
      <w:pPr>
        <w:pStyle w:val="JuHIRoman"/>
      </w:pPr>
      <w:r>
        <w:rPr>
          <w:caps w:val="0"/>
        </w:rPr>
        <w:t xml:space="preserve">POWIĄZANE POSTĘPOWANIE PRZED TRYBUNAŁEM (SKARGA NR 34282/12 </w:t>
      </w:r>
      <w:r>
        <w:rPr>
          <w:i/>
          <w:iCs/>
          <w:caps w:val="0"/>
        </w:rPr>
        <w:t>WYSZKOWSKI PRZECIWKO POLSCE</w:t>
      </w:r>
      <w:r>
        <w:rPr>
          <w:caps w:val="0"/>
        </w:rPr>
        <w:t>)</w:t>
      </w:r>
    </w:p>
    <w:bookmarkStart w:id="30" w:name="Wyszkowski"/>
    <w:p w14:paraId="2BF80295" w14:textId="24FE205C"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45</w:t>
      </w:r>
      <w:r w:rsidRPr="00D637A7">
        <w:fldChar w:fldCharType="end"/>
      </w:r>
      <w:bookmarkEnd w:id="30"/>
      <w:r>
        <w:t xml:space="preserve">.  W </w:t>
      </w:r>
      <w:r w:rsidR="00B70FEC">
        <w:t xml:space="preserve">swojej </w:t>
      </w:r>
      <w:r>
        <w:t xml:space="preserve">skardze z 8 maja 2012 r. p. Wyszkowski zarzucał, że orzeczenia sądowe wydane w jego sprawie, w szczególności wyrok Sądu Apelacyjnego w Gdańsku z 24 marca 2011 r., naruszały art. 10 </w:t>
      </w:r>
      <w:r w:rsidR="00B70FEC">
        <w:t>K</w:t>
      </w:r>
      <w:r>
        <w:t xml:space="preserve">onwencji. Dnia 11 marca 2019 r. Trybunał zakomunikował skargę Rządowi RP (zob. </w:t>
      </w:r>
      <w:r w:rsidR="00B70FEC">
        <w:t xml:space="preserve">także </w:t>
      </w:r>
      <w:r>
        <w:t xml:space="preserve">par. 23 powyżej). Dnia 15 stycznia 2021 r., po nieudanej próbie </w:t>
      </w:r>
      <w:r w:rsidR="009C5DE0">
        <w:t>ugodowej</w:t>
      </w:r>
      <w:r>
        <w:t>, Rząd przedłożył deklarację jednostronną.</w:t>
      </w:r>
    </w:p>
    <w:bookmarkStart w:id="31" w:name="Wyszkowski_suite"/>
    <w:p w14:paraId="6487D815" w14:textId="7D605E1E"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bookmarkStart w:id="32" w:name="paragraph00019"/>
      <w:r w:rsidR="006D0886">
        <w:rPr>
          <w:noProof/>
        </w:rPr>
        <w:t>46</w:t>
      </w:r>
      <w:bookmarkEnd w:id="32"/>
      <w:r w:rsidRPr="00D637A7">
        <w:fldChar w:fldCharType="end"/>
      </w:r>
      <w:bookmarkEnd w:id="31"/>
      <w:r>
        <w:t xml:space="preserve">.  Dnia 1 lipca 2021 r. Trybunał skreślił skargę </w:t>
      </w:r>
      <w:r>
        <w:rPr>
          <w:i/>
          <w:iCs/>
        </w:rPr>
        <w:t>Wyszkowski przeciwko Polsce</w:t>
      </w:r>
      <w:r>
        <w:t xml:space="preserve"> (skarga nr 34282/12, [decyzja Komitetu]) z listy spraw zgodnie z </w:t>
      </w:r>
      <w:r w:rsidR="009C5DE0">
        <w:t>art.</w:t>
      </w:r>
      <w:r>
        <w:t xml:space="preserve"> 37 ust. 1 lit. c) Konwencji. Odnotował, że Rząd w swojej deklaracji </w:t>
      </w:r>
      <w:r w:rsidR="009C5DE0">
        <w:t>przy</w:t>
      </w:r>
      <w:r>
        <w:t>znał, iż doszło do naruszenia art. 10 Konwencji w związku z ingerencją w wolność wyrażania opinii p. Wyszkowskiego i zaoferował uiszczenie na jego rzecz 20 000 złotych, co miało stanowić ostateczne rozstrzygnięcie sprawy.</w:t>
      </w:r>
    </w:p>
    <w:p w14:paraId="4A79822F" w14:textId="75EBF517" w:rsidR="000410B4" w:rsidRPr="00D637A7" w:rsidRDefault="008E2D0D" w:rsidP="00D637A7">
      <w:pPr>
        <w:pStyle w:val="JuPara"/>
      </w:pPr>
      <w:r>
        <w:t>Ponieważ żadna ze stron nie poinformowała Trybunału o skardze nadzwyczajnej wniesionej przez Prokuratura Generalnego w imieniu p. Wyszkowskiego (skargę wniesiono około rok przed przedłożeniem deklaracji jednostronnej przez Rząd, zob. par. </w:t>
      </w:r>
      <w:r w:rsidRPr="00D637A7">
        <w:fldChar w:fldCharType="begin"/>
      </w:r>
      <w:r w:rsidRPr="00D637A7">
        <w:instrText xml:space="preserve"> REF Gdansk_Court_of_appeal_24032011 \h </w:instrText>
      </w:r>
      <w:r w:rsidRPr="00D637A7">
        <w:fldChar w:fldCharType="separate"/>
      </w:r>
      <w:r w:rsidR="006D0886">
        <w:rPr>
          <w:noProof/>
        </w:rPr>
        <w:t>28</w:t>
      </w:r>
      <w:r w:rsidRPr="00D637A7">
        <w:fldChar w:fldCharType="end"/>
      </w:r>
      <w:r>
        <w:t xml:space="preserve"> powyżej) ani o wyroku wydanym przez Izbę Kontroli Nadzwyczajnej i Spraw Publicznych </w:t>
      </w:r>
      <w:r w:rsidR="009C5DE0">
        <w:t>dnia</w:t>
      </w:r>
      <w:r>
        <w:t xml:space="preserve"> 21 kwietnia 2021 r., okoliczności te nie zostały wzięte pod uwagę przy podejmowaniu przez Trybunał decyzji o skreśleniu skargi.</w:t>
      </w:r>
    </w:p>
    <w:p w14:paraId="328415C6" w14:textId="0B24A84E" w:rsidR="000410B4" w:rsidRPr="00D637A7" w:rsidRDefault="008E2D0D" w:rsidP="00D637A7">
      <w:pPr>
        <w:pStyle w:val="JuHIRoman"/>
      </w:pPr>
      <w:r>
        <w:rPr>
          <w:caps w:val="0"/>
        </w:rPr>
        <w:lastRenderedPageBreak/>
        <w:t xml:space="preserve">PO </w:t>
      </w:r>
      <w:r w:rsidR="009C5DE0">
        <w:rPr>
          <w:caps w:val="0"/>
        </w:rPr>
        <w:t xml:space="preserve">DECYZJI TRYBUNAŁU O </w:t>
      </w:r>
      <w:r>
        <w:rPr>
          <w:caps w:val="0"/>
        </w:rPr>
        <w:t xml:space="preserve">SKREŚLENIU SKARGI W SPRAWIE </w:t>
      </w:r>
      <w:r>
        <w:rPr>
          <w:i/>
          <w:iCs/>
          <w:caps w:val="0"/>
        </w:rPr>
        <w:t>WYSZKOWSKI</w:t>
      </w:r>
    </w:p>
    <w:p w14:paraId="10441876" w14:textId="7BE940AE" w:rsidR="000410B4" w:rsidRPr="00D637A7" w:rsidRDefault="00000000" w:rsidP="00D637A7">
      <w:pPr>
        <w:pStyle w:val="JuPara"/>
      </w:pPr>
      <w:fldSimple w:instr=" SEQ level0 \*arabic \* MERGEFORMAT ">
        <w:r w:rsidR="006D0886">
          <w:rPr>
            <w:noProof/>
          </w:rPr>
          <w:t>47</w:t>
        </w:r>
      </w:fldSimple>
      <w:r w:rsidR="008E2D0D">
        <w:t>.  Dnia 16 września 2021 r. Sąd Najwyższy opublikował komunikat prasowy zatytułowany „Europejski Trybunał Praw Człowieka potwierdza rozstrzygniecie Sądu Najwyższego”, w którym stwierdzono, że „E</w:t>
      </w:r>
      <w:r w:rsidR="00E56C6B">
        <w:t xml:space="preserve">uropejski </w:t>
      </w:r>
      <w:r w:rsidR="008E2D0D">
        <w:t>T</w:t>
      </w:r>
      <w:r w:rsidR="00E56C6B">
        <w:t xml:space="preserve">rybunał </w:t>
      </w:r>
      <w:r w:rsidR="008E2D0D">
        <w:t>P</w:t>
      </w:r>
      <w:r w:rsidR="00E56C6B">
        <w:t xml:space="preserve">raz </w:t>
      </w:r>
      <w:r w:rsidR="008E2D0D">
        <w:t>Cz</w:t>
      </w:r>
      <w:r w:rsidR="00E56C6B">
        <w:t>łowieka</w:t>
      </w:r>
      <w:r w:rsidR="008E2D0D">
        <w:t xml:space="preserve"> w Strasburgu, w </w:t>
      </w:r>
      <w:r w:rsidR="00E56C6B">
        <w:t>opublikowanej</w:t>
      </w:r>
      <w:r w:rsidR="008E2D0D">
        <w:t xml:space="preserve"> niedawno decyzji z 1 lipca 2021 r. stwierdził naruszenie </w:t>
      </w:r>
      <w:r w:rsidR="00E56C6B">
        <w:t>art.</w:t>
      </w:r>
      <w:r w:rsidR="008E2D0D">
        <w:t xml:space="preserve"> 10 [Konwencji] w </w:t>
      </w:r>
      <w:r w:rsidR="00E56C6B">
        <w:t>związku z</w:t>
      </w:r>
      <w:r w:rsidR="008E2D0D">
        <w:t xml:space="preserve"> ingerencj</w:t>
      </w:r>
      <w:r w:rsidR="00E56C6B">
        <w:t>ą</w:t>
      </w:r>
      <w:r w:rsidR="008E2D0D">
        <w:t xml:space="preserve"> w wolność wypowiedzi i nakazał wypłatę </w:t>
      </w:r>
      <w:r w:rsidR="00E56C6B">
        <w:t>zadośćuczynienia</w:t>
      </w:r>
      <w:r w:rsidR="008E2D0D">
        <w:t xml:space="preserve"> na rzecz skarżącego”. Stwierdzono, że „wyrok [</w:t>
      </w:r>
      <w:r w:rsidR="008E2D0D">
        <w:rPr>
          <w:i/>
          <w:iCs/>
        </w:rPr>
        <w:t>sic</w:t>
      </w:r>
      <w:r w:rsidR="008E2D0D">
        <w:t xml:space="preserve">] zapadł w związku z deklaracją jednostronną Rzeczpospolitej Polskiej, w której przyznano naruszenie [Konwencji]”. </w:t>
      </w:r>
    </w:p>
    <w:p w14:paraId="1F6B1DF1" w14:textId="2953AE33" w:rsidR="000410B4" w:rsidRPr="00D637A7" w:rsidRDefault="008E2D0D" w:rsidP="00D637A7">
      <w:pPr>
        <w:pStyle w:val="JuPara"/>
      </w:pPr>
      <w:r>
        <w:t>Dodano jeszcze, że „naruszenie to</w:t>
      </w:r>
      <w:r w:rsidR="00E56C6B" w:rsidRPr="00E56C6B">
        <w:t xml:space="preserve"> </w:t>
      </w:r>
      <w:r w:rsidR="00E56C6B">
        <w:t>stwierdził</w:t>
      </w:r>
      <w:r>
        <w:t>, 21 kwietnia 2021 r.</w:t>
      </w:r>
      <w:r w:rsidR="00E56C6B">
        <w:t>,</w:t>
      </w:r>
      <w:r>
        <w:t xml:space="preserve"> Sąd Najwyższy w Izbie Kontroli Nadzwyczajnej i Spraw Publicznych który, po rozpoznaniu sprawy I </w:t>
      </w:r>
      <w:proofErr w:type="spellStart"/>
      <w:r>
        <w:t>NSNc</w:t>
      </w:r>
      <w:proofErr w:type="spellEnd"/>
      <w:r>
        <w:t xml:space="preserve"> 89/20 uwzględnił skargę nadzwyczajną Prokuratora Generalnego od wyroku Sądu Apelacyjnego w Gdańsku z 24 marca 2011 r. nakazującego przeprosić powoda za zarzucenie mu współpracy ze Służbą Bezpieczeństwa PRL”.</w:t>
      </w:r>
    </w:p>
    <w:p w14:paraId="6B686D6E" w14:textId="3FF6898D" w:rsidR="000410B4" w:rsidRPr="00D637A7" w:rsidRDefault="00AC38C9" w:rsidP="00D637A7">
      <w:pPr>
        <w:pStyle w:val="JuPara"/>
      </w:pPr>
      <w:r>
        <w:t>Po zakomunikowaniu</w:t>
      </w:r>
      <w:r w:rsidR="008E2D0D">
        <w:t xml:space="preserve"> Rządowi niniejsz</w:t>
      </w:r>
      <w:r>
        <w:t>ej</w:t>
      </w:r>
      <w:r w:rsidR="008E2D0D">
        <w:t xml:space="preserve"> skarg</w:t>
      </w:r>
      <w:r>
        <w:t>i</w:t>
      </w:r>
      <w:r w:rsidR="008E2D0D">
        <w:t>, komunikat zmieniono, zastępując słowo „wyrok” słowem „decyzja”.</w:t>
      </w:r>
    </w:p>
    <w:p w14:paraId="203B0EB9" w14:textId="77777777" w:rsidR="000410B4" w:rsidRPr="00D637A7" w:rsidRDefault="008E2D0D" w:rsidP="00D637A7">
      <w:pPr>
        <w:pStyle w:val="JuHIRoman"/>
      </w:pPr>
      <w:r>
        <w:rPr>
          <w:caps w:val="0"/>
        </w:rPr>
        <w:t>DANE STATYSTYCZNE DOTYCZĄCE SKARG NADZWYCZAJNYCH W LATACH 2018–2022 PRZEKAZANE PRZEZ RZĄD</w:t>
      </w:r>
    </w:p>
    <w:bookmarkStart w:id="33" w:name="Extraordinary_appeals_statistics"/>
    <w:p w14:paraId="14B08921" w14:textId="3C7761B3"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48</w:t>
      </w:r>
      <w:r w:rsidRPr="00D637A7">
        <w:fldChar w:fldCharType="end"/>
      </w:r>
      <w:bookmarkEnd w:id="33"/>
      <w:r>
        <w:t xml:space="preserve">.  Na wniosek Trybunału Rząd </w:t>
      </w:r>
      <w:r w:rsidR="00AC38C9">
        <w:t>przedłożył</w:t>
      </w:r>
      <w:r>
        <w:t xml:space="preserve"> dokument opisujący funkcjonowanie skarg nadzwyczajnych w okresie od 3 kwietnia 2018 r. (wejście w życie ustawy o Sądzie Najwyższym z 2017 r.) do 30 listopada 2022 r. Z dokumentu wynika, że łączna liczba skarg nadzwyczajnych wniesionych do Sądu Najwyższego w tym okresie wyniosła 1489, z czego w 801 przypadkach sprawy skierowano do sądów niższej instancji w celu korekty </w:t>
      </w:r>
      <w:r w:rsidR="00AC38C9">
        <w:t>braków</w:t>
      </w:r>
      <w:r>
        <w:t xml:space="preserve"> formalnych akt sprawy (w związku z czym nie rozpatrywano </w:t>
      </w:r>
      <w:r w:rsidR="00325F94">
        <w:t>ich co do meritum</w:t>
      </w:r>
      <w:r>
        <w:t>). Rząd wyjaśnił, że ze względu na metodę prowadzenia statystyk w Sądzie Najwyższym ta sama skarga nadzwyczajna mogła być zarejestrowana dwukrotnie lub większą liczbę razy</w:t>
      </w:r>
      <w:r w:rsidR="00325F94">
        <w:t>,</w:t>
      </w:r>
      <w:r>
        <w:t xml:space="preserve"> pod różnymi sygnaturami.</w:t>
      </w:r>
    </w:p>
    <w:p w14:paraId="53897A20" w14:textId="3C131351" w:rsidR="000410B4" w:rsidRPr="00D637A7" w:rsidRDefault="008E2D0D" w:rsidP="00D637A7">
      <w:pPr>
        <w:pStyle w:val="JuPara"/>
      </w:pPr>
      <w:r>
        <w:t xml:space="preserve">W okresie od 3 kwietnia 2018 r. do 30 listopada 2022 r. Sąd Najwyższy </w:t>
      </w:r>
      <w:r w:rsidR="00325F94">
        <w:t>rozpoznał</w:t>
      </w:r>
      <w:r>
        <w:t xml:space="preserve"> 429 skarg nadzwyczajnych, z których 237 – około 55% – uwzględniono w całości lub części.</w:t>
      </w:r>
    </w:p>
    <w:p w14:paraId="5C1EEDDF" w14:textId="657EB5FB" w:rsidR="000410B4" w:rsidRPr="00D637A7" w:rsidRDefault="008E2D0D" w:rsidP="00D637A7">
      <w:pPr>
        <w:pStyle w:val="JuPara"/>
      </w:pPr>
      <w:r>
        <w:t xml:space="preserve">Ze wspomnianych 429 skarg nadzwyczajnych 348 wniósł Prokurator Generalny (81%), z czego 158 uwzględniono. Izba Kontroli Nadzwyczajnej i Spraw Publicznych </w:t>
      </w:r>
      <w:r w:rsidR="00325F94">
        <w:t>rozpoznała</w:t>
      </w:r>
      <w:r>
        <w:t xml:space="preserve"> również 58 skarg nadzwyczajnych wniesionych przez Rzecznika Praw Obywatelskich (z których </w:t>
      </w:r>
      <w:r>
        <w:lastRenderedPageBreak/>
        <w:t>37 uwzględniono) i 23 skargi wniesione przez inne uprawnione organ</w:t>
      </w:r>
      <w:r w:rsidR="00325F94">
        <w:t>y</w:t>
      </w:r>
      <w:r>
        <w:t xml:space="preserve"> (z których 7 uwzględniono).</w:t>
      </w:r>
    </w:p>
    <w:p w14:paraId="29987275" w14:textId="6C707F79" w:rsidR="000410B4" w:rsidRPr="00D637A7" w:rsidRDefault="008E2D0D" w:rsidP="00D637A7">
      <w:pPr>
        <w:pStyle w:val="JuPara"/>
      </w:pPr>
      <w:r>
        <w:t xml:space="preserve">Rząd przedstawił dwie tabele (w języku polskim) z wykazem wszystkich skarg nadzwyczajnych </w:t>
      </w:r>
      <w:r w:rsidR="00F87820">
        <w:t>złożonych</w:t>
      </w:r>
      <w:r>
        <w:t xml:space="preserve"> do Sądu Najwyższego. W tabeli </w:t>
      </w:r>
      <w:r w:rsidR="00F87820">
        <w:t xml:space="preserve">wymieniono </w:t>
      </w:r>
      <w:r>
        <w:t xml:space="preserve">1460 spraw (49 karnych i 1411 cywilnych), </w:t>
      </w:r>
      <w:r w:rsidR="00F87820">
        <w:t>w tym</w:t>
      </w:r>
      <w:r>
        <w:t xml:space="preserve"> sprawy, któr</w:t>
      </w:r>
      <w:r w:rsidR="00F87820">
        <w:t>e zwrócono</w:t>
      </w:r>
      <w:r>
        <w:t xml:space="preserve"> </w:t>
      </w:r>
      <w:r w:rsidR="00F87820">
        <w:t>bez</w:t>
      </w:r>
      <w:r>
        <w:t xml:space="preserve"> rozpoznawan</w:t>
      </w:r>
      <w:r w:rsidR="00F87820">
        <w:t>ia ich</w:t>
      </w:r>
      <w:r>
        <w:t xml:space="preserve"> co do istoty.</w:t>
      </w:r>
    </w:p>
    <w:p w14:paraId="586BC24D" w14:textId="53A5E90C" w:rsidR="000410B4" w:rsidRPr="00D637A7" w:rsidRDefault="008E2D0D" w:rsidP="00D637A7">
      <w:pPr>
        <w:pStyle w:val="JuPara"/>
      </w:pPr>
      <w:r>
        <w:t xml:space="preserve">Zdecydowana większość skarg nadzwyczajnych </w:t>
      </w:r>
      <w:r w:rsidR="00F87820">
        <w:t>wymienionych</w:t>
      </w:r>
      <w:r>
        <w:t xml:space="preserve"> w wykazie dotyczyła spraw cywilnych (najczęściej sporów dotyczących umów, odszkodowań za delikty, spraw spadkowych, wpisów do ksiąg wieczystych, eksmisji i uprowadzenia dziecka za granicę). Było też kilka skarg nadzwyczajnych dotyczących sporów z zakresu prawa pracy, emerytur i świadczeń socjalnych. Sprawy karne dotyczyły rozmaitych przestępstw (najczęściej zabójstw, kradzieży, oszustw, wykorzystywania seksualnego) i kilku wniosków o odszkodowanie za bezprawne pozbawienie wolności.</w:t>
      </w:r>
    </w:p>
    <w:p w14:paraId="3909EEF9" w14:textId="69362360" w:rsidR="000410B4" w:rsidRPr="00D637A7" w:rsidRDefault="008E2D0D" w:rsidP="00D637A7">
      <w:pPr>
        <w:pStyle w:val="JuPara"/>
      </w:pPr>
      <w:r>
        <w:t xml:space="preserve">W 234 przypadkach (jak wspomniano </w:t>
      </w:r>
      <w:r w:rsidR="00402B10">
        <w:t>powyżej</w:t>
      </w:r>
      <w:r>
        <w:t xml:space="preserve"> w około 55% wszystkich rozpoznanych skarg) Sąd Najwyższy uchylił prawomocne orzeczenie i albo </w:t>
      </w:r>
      <w:r w:rsidR="00402B10">
        <w:t>przekazał</w:t>
      </w:r>
      <w:r>
        <w:t xml:space="preserve"> sprawę do sądu niższej instancji, albo orzekł co do istoty sprawy; 191 skarg nadzwyczajnych (około 45%) zostało oddalonych, odrzuconych, skreślonych na wstępie lub skutkowało umorzeniem postępowania. W trzech sprawach Sąd Najwyższy ograniczył się do stwierdzenia, że prawomocne orzeczenie wydano z naruszeniem prawa.</w:t>
      </w:r>
    </w:p>
    <w:p w14:paraId="4D21889E" w14:textId="50BE2187" w:rsidR="000410B4" w:rsidRPr="00D637A7" w:rsidRDefault="008E2D0D" w:rsidP="00D637A7">
      <w:pPr>
        <w:pStyle w:val="JuHIRoman"/>
      </w:pPr>
      <w:r>
        <w:rPr>
          <w:caps w:val="0"/>
        </w:rPr>
        <w:t>WYBÓR MATERIAŁU PRZEDSTAWIONEGO PRZEZ SKARŻĄCEGO W ZWIĄZKU Z</w:t>
      </w:r>
      <w:r w:rsidR="00402B10">
        <w:rPr>
          <w:caps w:val="0"/>
        </w:rPr>
        <w:t xml:space="preserve"> JEGO</w:t>
      </w:r>
      <w:r>
        <w:rPr>
          <w:caps w:val="0"/>
        </w:rPr>
        <w:t xml:space="preserve"> SKARGĄ NA PODSTAWIE ART. 18 KONWENCJI</w:t>
      </w:r>
    </w:p>
    <w:bookmarkStart w:id="34" w:name="complaint_art_18_1"/>
    <w:p w14:paraId="1A82FE27" w14:textId="2ADDB5F8"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49</w:t>
      </w:r>
      <w:r w:rsidRPr="00D637A7">
        <w:fldChar w:fldCharType="end"/>
      </w:r>
      <w:bookmarkEnd w:id="34"/>
      <w:r>
        <w:t xml:space="preserve">.  Skarżący przedstawił materiały dotyczące swojej działalności oraz </w:t>
      </w:r>
      <w:r w:rsidR="00402B10">
        <w:t xml:space="preserve">jego </w:t>
      </w:r>
      <w:r>
        <w:t xml:space="preserve">związków z partią Prawo i Sprawiedliwość (PiS), Prokuratorem Generalnym </w:t>
      </w:r>
      <w:r w:rsidR="00402B10">
        <w:t xml:space="preserve">p. </w:t>
      </w:r>
      <w:r>
        <w:t xml:space="preserve">Ziobro oraz rządem </w:t>
      </w:r>
      <w:r w:rsidR="006362E4">
        <w:t>sformowanym</w:t>
      </w:r>
      <w:r>
        <w:t xml:space="preserve"> w latach 2015–2023 przez Zjednoczoną Prawicę, które to materiały można podsumować jak poniżej. </w:t>
      </w:r>
    </w:p>
    <w:p w14:paraId="2E5CCF19" w14:textId="2F4FD73C" w:rsidR="000410B4" w:rsidRPr="00D637A7" w:rsidRDefault="00000000" w:rsidP="00D637A7">
      <w:pPr>
        <w:pStyle w:val="JuPara"/>
      </w:pPr>
      <w:fldSimple w:instr=" SEQ level0 \*arabic \* MERGEFORMAT ">
        <w:r w:rsidR="006D0886">
          <w:rPr>
            <w:noProof/>
          </w:rPr>
          <w:t>50</w:t>
        </w:r>
      </w:fldSimple>
      <w:r w:rsidR="008E2D0D">
        <w:t xml:space="preserve">.  Dnia 23 grudnia 2015 r. dziennik </w:t>
      </w:r>
      <w:r w:rsidR="008E2D0D">
        <w:rPr>
          <w:i/>
          <w:iCs/>
        </w:rPr>
        <w:t>The Guardian</w:t>
      </w:r>
      <w:r w:rsidR="008E2D0D">
        <w:t xml:space="preserve"> opublikował artykuł o </w:t>
      </w:r>
      <w:r w:rsidR="006362E4">
        <w:t>mającym miejsce</w:t>
      </w:r>
      <w:r w:rsidR="008E2D0D">
        <w:t xml:space="preserve"> kryzysie konstytucyjnym w Polsce zatytułowany: “Poland: Lech Wałęsa </w:t>
      </w:r>
      <w:proofErr w:type="spellStart"/>
      <w:r w:rsidR="008E2D0D">
        <w:t>warns</w:t>
      </w:r>
      <w:proofErr w:type="spellEnd"/>
      <w:r w:rsidR="008E2D0D">
        <w:t xml:space="preserve"> </w:t>
      </w:r>
      <w:proofErr w:type="spellStart"/>
      <w:r w:rsidR="008E2D0D">
        <w:t>against</w:t>
      </w:r>
      <w:proofErr w:type="spellEnd"/>
      <w:r w:rsidR="008E2D0D">
        <w:t xml:space="preserve"> ‘</w:t>
      </w:r>
      <w:proofErr w:type="spellStart"/>
      <w:r w:rsidR="008E2D0D">
        <w:t>undemocratic</w:t>
      </w:r>
      <w:proofErr w:type="spellEnd"/>
      <w:r w:rsidR="008E2D0D">
        <w:t xml:space="preserve">’ </w:t>
      </w:r>
      <w:proofErr w:type="spellStart"/>
      <w:r w:rsidR="008E2D0D">
        <w:t>curbs</w:t>
      </w:r>
      <w:proofErr w:type="spellEnd"/>
      <w:r w:rsidR="008E2D0D">
        <w:t xml:space="preserve"> on </w:t>
      </w:r>
      <w:proofErr w:type="spellStart"/>
      <w:r w:rsidR="008E2D0D">
        <w:t>court</w:t>
      </w:r>
      <w:proofErr w:type="spellEnd"/>
      <w:r w:rsidR="008E2D0D">
        <w:t xml:space="preserve">” [„Polska: Lech Wałęsa ostrzega przed »niedemokratycznym« kagańcem </w:t>
      </w:r>
      <w:r w:rsidR="006362E4">
        <w:t>na sądy</w:t>
      </w:r>
      <w:r w:rsidR="008E2D0D">
        <w:t xml:space="preserve">”], w którym w części istotnej dla sprawy napisano: </w:t>
      </w:r>
    </w:p>
    <w:p w14:paraId="3981BD03" w14:textId="77777777" w:rsidR="000410B4" w:rsidRPr="00D637A7" w:rsidRDefault="008E2D0D" w:rsidP="00D637A7">
      <w:pPr>
        <w:pStyle w:val="JuQuot"/>
      </w:pPr>
      <w:r>
        <w:t>„Lech Wałęsa, przywódca ruchu Solidarność działającego w latach osiemdziesiątych, ostrzegł, że demokracja jest zagrożona, co było reakcją na próbę ograniczenia uprawnień Trybunału Konstytucyjnego przez prawicową partię rządzącą.</w:t>
      </w:r>
    </w:p>
    <w:p w14:paraId="413CE824" w14:textId="02159E5C" w:rsidR="000410B4" w:rsidRPr="00D637A7" w:rsidRDefault="008E2D0D" w:rsidP="00D637A7">
      <w:pPr>
        <w:pStyle w:val="JuQuot"/>
      </w:pPr>
      <w:r>
        <w:t>Wałęsa, który po upadku komunizmu przez pięć lat zajmował urząd prezydencki, zaapelował o referendum w sprawie uchylenia ustawy prz</w:t>
      </w:r>
      <w:r w:rsidR="006362E4">
        <w:t>y</w:t>
      </w:r>
      <w:r>
        <w:t>jętej we wtorkową noc przez Prawo i Sprawiedliwość (PiS). Ustawa ta wprowadza wymóg, aby Trybunał Konstytucyjny wydawał orzeczenia i blokował ustawy większością dwóch trzecich głosów, co stanowi podniesienie poprzeczki względem zwykłej większości. W przypadku postępowań procesowych obecnych będzie musiało być trzynastu z piętnastu sędziów, a nie dziewięciu jak dotychczas.</w:t>
      </w:r>
    </w:p>
    <w:p w14:paraId="58A294ED" w14:textId="77777777" w:rsidR="000410B4" w:rsidRPr="00D637A7" w:rsidRDefault="008E2D0D" w:rsidP="00D637A7">
      <w:pPr>
        <w:pStyle w:val="JuQuot"/>
      </w:pPr>
      <w:r>
        <w:lastRenderedPageBreak/>
        <w:t>Zdaniem krytyków praktycznie wyklucza to pełnienie przez ten trybunał roli organu kontrolującego władzę rządu, który od październikowych wyborów ma większość w obydwu izbach parlamentu.</w:t>
      </w:r>
    </w:p>
    <w:p w14:paraId="70383EDB" w14:textId="77777777" w:rsidR="000410B4" w:rsidRPr="00D637A7" w:rsidRDefault="008E2D0D" w:rsidP="00D637A7">
      <w:pPr>
        <w:pStyle w:val="JuQuot"/>
        <w:rPr>
          <w:rFonts w:cstheme="minorHAnsi"/>
        </w:rPr>
      </w:pPr>
      <w:r>
        <w:t xml:space="preserve">Rząd PiS </w:t>
      </w:r>
      <w:proofErr w:type="spellStart"/>
      <w:r>
        <w:t>zaprzysiężono</w:t>
      </w:r>
      <w:proofErr w:type="spellEnd"/>
      <w:r>
        <w:t xml:space="preserve"> 16 października, a premierem została Beata Szydło. Krytycy twierdzą, że polecenia płyną jednak od Jarosława Kaczyńskiego, szefa partii, którego określają mianem polaryzującego i mściwego.</w:t>
      </w:r>
    </w:p>
    <w:p w14:paraId="38D053F1" w14:textId="107828A9" w:rsidR="000410B4" w:rsidRPr="00D637A7" w:rsidRDefault="008E2D0D" w:rsidP="00D637A7">
      <w:pPr>
        <w:pStyle w:val="JuQuot"/>
      </w:pPr>
      <w:r>
        <w:t>W wypowiedzi dla radia ZET Lech Wałęsa stwierdził: »Ten rząd działa przeciwko Polsce, przeciw naszym zdobyczom, wolności, demokracji, nie mówiąc już o tym, że ośmiesza nas na świecie. Wstydzę się wyjechać za granicę</w:t>
      </w:r>
      <w:r w:rsidR="00152E19">
        <w:t>”</w:t>
      </w:r>
      <w:r>
        <w:t>.</w:t>
      </w:r>
    </w:p>
    <w:p w14:paraId="2B310C1C" w14:textId="7D07EDEB" w:rsidR="000410B4" w:rsidRPr="00D637A7" w:rsidRDefault="008E2D0D" w:rsidP="00D637A7">
      <w:pPr>
        <w:pStyle w:val="JuQuot"/>
      </w:pPr>
      <w:r>
        <w:t>Lech Wałęsa (72 l.) ma niewielką władzę polityczną, ale jako uosobienie rewolucji Solidarności pozostaje ważnym symbolem”.</w:t>
      </w:r>
    </w:p>
    <w:p w14:paraId="13AA538F" w14:textId="3E3313E0" w:rsidR="000410B4" w:rsidRPr="00D637A7" w:rsidRDefault="00000000" w:rsidP="00D637A7">
      <w:pPr>
        <w:pStyle w:val="JuPara"/>
      </w:pPr>
      <w:fldSimple w:instr=" SEQ level0 \*arabic \* MERGEFORMAT ">
        <w:r w:rsidR="006D0886">
          <w:rPr>
            <w:noProof/>
          </w:rPr>
          <w:t>51</w:t>
        </w:r>
      </w:fldSimple>
      <w:r w:rsidR="008E2D0D">
        <w:t xml:space="preserve">.  Dnia 18 lutego 2016 r. na łamach </w:t>
      </w:r>
      <w:r w:rsidR="008E2D0D">
        <w:rPr>
          <w:i/>
          <w:iCs/>
        </w:rPr>
        <w:t>The Financial Times</w:t>
      </w:r>
      <w:r w:rsidR="008E2D0D">
        <w:t xml:space="preserve"> </w:t>
      </w:r>
      <w:r w:rsidR="00152E19">
        <w:t>opublikowano</w:t>
      </w:r>
      <w:r w:rsidR="008E2D0D">
        <w:t xml:space="preserve"> artykuł zatytułowany „Lech </w:t>
      </w:r>
      <w:proofErr w:type="spellStart"/>
      <w:r w:rsidR="008E2D0D">
        <w:t>Walesa</w:t>
      </w:r>
      <w:proofErr w:type="spellEnd"/>
      <w:r w:rsidR="008E2D0D">
        <w:t xml:space="preserve"> </w:t>
      </w:r>
      <w:proofErr w:type="spellStart"/>
      <w:r w:rsidR="008E2D0D">
        <w:t>accusations</w:t>
      </w:r>
      <w:proofErr w:type="spellEnd"/>
      <w:r w:rsidR="008E2D0D">
        <w:t xml:space="preserve"> </w:t>
      </w:r>
      <w:proofErr w:type="spellStart"/>
      <w:r w:rsidR="008E2D0D">
        <w:t>are</w:t>
      </w:r>
      <w:proofErr w:type="spellEnd"/>
      <w:r w:rsidR="008E2D0D">
        <w:t xml:space="preserve"> the </w:t>
      </w:r>
      <w:proofErr w:type="spellStart"/>
      <w:r w:rsidR="008E2D0D">
        <w:t>latest</w:t>
      </w:r>
      <w:proofErr w:type="spellEnd"/>
      <w:r w:rsidR="008E2D0D">
        <w:t xml:space="preserve"> twist in </w:t>
      </w:r>
      <w:proofErr w:type="spellStart"/>
      <w:r w:rsidR="008E2D0D">
        <w:t>partisan</w:t>
      </w:r>
      <w:proofErr w:type="spellEnd"/>
      <w:r w:rsidR="008E2D0D">
        <w:t xml:space="preserve"> </w:t>
      </w:r>
      <w:proofErr w:type="spellStart"/>
      <w:r w:rsidR="008E2D0D">
        <w:t>battle</w:t>
      </w:r>
      <w:proofErr w:type="spellEnd"/>
      <w:r w:rsidR="008E2D0D">
        <w:t>” [„Oskarżenia ze strony Lecha Wałęsy kolejnym zwrotem w bitwie stronnictw”], w którym czytamy:</w:t>
      </w:r>
    </w:p>
    <w:p w14:paraId="08545012" w14:textId="77777777" w:rsidR="000410B4" w:rsidRPr="00D637A7" w:rsidRDefault="008E2D0D" w:rsidP="00D637A7">
      <w:pPr>
        <w:pStyle w:val="JuQuot"/>
      </w:pPr>
      <w:r>
        <w:t>„Dla wielu osób w Polsce informacja o tym, że śledczy odnaleźli dokumenty świadczące, iż były prezydent i legendarny działacz antykomunistyczny, Lech Wałęsa, był komunistycznym szpiegiem, są dowodem na to, co podejrzewali od długiego czasu.</w:t>
      </w:r>
    </w:p>
    <w:p w14:paraId="25908215" w14:textId="77777777" w:rsidR="000410B4" w:rsidRPr="00D637A7" w:rsidRDefault="008E2D0D" w:rsidP="00D637A7">
      <w:pPr>
        <w:pStyle w:val="JuQuot"/>
      </w:pPr>
      <w:r>
        <w:t>Dla innych jest to najnowsza próba szkalowania narodowego bohatera w zaciekłej bitwie stronnictw, jaka toczy się między dwiema grupami polskiego społeczeństwa stojącymi po dwóch stronach barykady, którą wzniesiono ponad dwie dekady temu.</w:t>
      </w:r>
    </w:p>
    <w:p w14:paraId="33DB144E" w14:textId="2B44E281" w:rsidR="000410B4" w:rsidRPr="00D637A7" w:rsidRDefault="008E2D0D" w:rsidP="00D637A7">
      <w:pPr>
        <w:pStyle w:val="JuQuot"/>
      </w:pPr>
      <w:r>
        <w:t>Podobne oskarżenia wobec Lech</w:t>
      </w:r>
      <w:r w:rsidR="00152E19">
        <w:t>a</w:t>
      </w:r>
      <w:r>
        <w:t xml:space="preserve"> Wałęs</w:t>
      </w:r>
      <w:r w:rsidR="00152E19">
        <w:t>y</w:t>
      </w:r>
      <w:r>
        <w:t xml:space="preserve"> padały już wcześniej i pomimo, iż warszawski sąd w 2000 r. oczyścił go z zarzutów, pogoń nie ustaje.</w:t>
      </w:r>
    </w:p>
    <w:p w14:paraId="76A6C269" w14:textId="77777777" w:rsidR="000410B4" w:rsidRPr="00D637A7" w:rsidRDefault="008E2D0D" w:rsidP="00D637A7">
      <w:pPr>
        <w:pStyle w:val="JuQuot"/>
      </w:pPr>
      <w:r>
        <w:t>Nowe dowody – które Wałęsa neguje – zamiast potwierdzić krążącą od dawna plotkę prawdopodobnie jedynie pogłębią podział między tymi, którzy podziwiają związkowca za obalenie komunizmu w 1989 r., niezależnie od wykorzystanych środków, a tymi, którzy nigdy nie mogą wybaczyć nikomu, kto wspierał długie cztery dekady okupacji polskiej polityki przy wsparciu sowieckim.</w:t>
      </w:r>
    </w:p>
    <w:p w14:paraId="767D1A52" w14:textId="77777777" w:rsidR="000410B4" w:rsidRPr="00D637A7" w:rsidRDefault="008E2D0D" w:rsidP="00D637A7">
      <w:pPr>
        <w:pStyle w:val="JuQuot"/>
      </w:pPr>
      <w:r>
        <w:t>[…]</w:t>
      </w:r>
    </w:p>
    <w:p w14:paraId="3867B673" w14:textId="2A4664FC" w:rsidR="000410B4" w:rsidRPr="00D637A7" w:rsidRDefault="008E2D0D" w:rsidP="00D637A7">
      <w:pPr>
        <w:pStyle w:val="JuQuot"/>
      </w:pPr>
      <w:r>
        <w:t>Lech Wałęsa stworzył związek zawodowy Solidarność, który ostatecznie zmusił władze komunistyczne do przeprowadzenia wolnych wyborów, za co w 1983 r. otrzymał Nagrodę Nobla. W 1990 r. został prezydentem Polski.</w:t>
      </w:r>
    </w:p>
    <w:p w14:paraId="7DCF1A96" w14:textId="1386D12B" w:rsidR="000410B4" w:rsidRPr="00D637A7" w:rsidRDefault="008E2D0D" w:rsidP="00D637A7">
      <w:pPr>
        <w:pStyle w:val="JuQuot"/>
      </w:pPr>
      <w:r>
        <w:t xml:space="preserve">Jednak [Jarosław] Kaczyński, który był doradcą i zwolennikiem Wałęsy </w:t>
      </w:r>
      <w:r w:rsidR="005C2E06">
        <w:t>podczas wyborów</w:t>
      </w:r>
      <w:r>
        <w:t>, poróżnił się ze swoim szefem i oskarżył go o nadmierną współpracę z urzędnikami komunistycznymi, co wywołało trwające do dziś animozje.</w:t>
      </w:r>
    </w:p>
    <w:p w14:paraId="0D3BF145" w14:textId="77777777" w:rsidR="000410B4" w:rsidRPr="00D637A7" w:rsidRDefault="008E2D0D" w:rsidP="00D637A7">
      <w:pPr>
        <w:pStyle w:val="JuQuot"/>
      </w:pPr>
      <w:r>
        <w:t>[…]”.</w:t>
      </w:r>
    </w:p>
    <w:p w14:paraId="4FA39272" w14:textId="77777777" w:rsidR="000410B4" w:rsidRPr="00D637A7" w:rsidRDefault="00000000" w:rsidP="00D637A7">
      <w:pPr>
        <w:pStyle w:val="JuPara"/>
      </w:pPr>
      <w:fldSimple w:instr=" SEQ level0 \*arabic \* MERGEFORMAT ">
        <w:r w:rsidR="006D0886">
          <w:rPr>
            <w:noProof/>
          </w:rPr>
          <w:t>52</w:t>
        </w:r>
      </w:fldSimple>
      <w:r w:rsidR="008E2D0D">
        <w:t xml:space="preserve">.  Dnia 19 grudnia 2016 r. </w:t>
      </w:r>
      <w:proofErr w:type="spellStart"/>
      <w:r w:rsidR="008E2D0D">
        <w:rPr>
          <w:i/>
          <w:iCs/>
        </w:rPr>
        <w:t>Politico</w:t>
      </w:r>
      <w:proofErr w:type="spellEnd"/>
      <w:r w:rsidR="008E2D0D">
        <w:t xml:space="preserve"> opublikowało artykuł zatytułowany „Lech Wałęsa: </w:t>
      </w:r>
      <w:proofErr w:type="spellStart"/>
      <w:r w:rsidR="008E2D0D">
        <w:t>Throw</w:t>
      </w:r>
      <w:proofErr w:type="spellEnd"/>
      <w:r w:rsidR="008E2D0D">
        <w:t xml:space="preserve"> Poland out of the EU – </w:t>
      </w:r>
      <w:proofErr w:type="spellStart"/>
      <w:r w:rsidR="008E2D0D">
        <w:t>Poland’s</w:t>
      </w:r>
      <w:proofErr w:type="spellEnd"/>
      <w:r w:rsidR="008E2D0D">
        <w:t xml:space="preserve"> </w:t>
      </w:r>
      <w:proofErr w:type="spellStart"/>
      <w:r w:rsidR="008E2D0D">
        <w:t>independence</w:t>
      </w:r>
      <w:proofErr w:type="spellEnd"/>
      <w:r w:rsidR="008E2D0D">
        <w:t xml:space="preserve"> hero </w:t>
      </w:r>
      <w:proofErr w:type="spellStart"/>
      <w:r w:rsidR="008E2D0D">
        <w:t>has</w:t>
      </w:r>
      <w:proofErr w:type="spellEnd"/>
      <w:r w:rsidR="008E2D0D">
        <w:t xml:space="preserve"> one </w:t>
      </w:r>
      <w:proofErr w:type="spellStart"/>
      <w:r w:rsidR="008E2D0D">
        <w:t>fight</w:t>
      </w:r>
      <w:proofErr w:type="spellEnd"/>
      <w:r w:rsidR="008E2D0D">
        <w:t xml:space="preserve"> </w:t>
      </w:r>
      <w:proofErr w:type="spellStart"/>
      <w:r w:rsidR="008E2D0D">
        <w:t>left</w:t>
      </w:r>
      <w:proofErr w:type="spellEnd"/>
      <w:r w:rsidR="008E2D0D">
        <w:t xml:space="preserve">: </w:t>
      </w:r>
      <w:proofErr w:type="spellStart"/>
      <w:r w:rsidR="008E2D0D">
        <w:t>upending</w:t>
      </w:r>
      <w:proofErr w:type="spellEnd"/>
      <w:r w:rsidR="008E2D0D">
        <w:t xml:space="preserve"> the </w:t>
      </w:r>
      <w:proofErr w:type="spellStart"/>
      <w:r w:rsidR="008E2D0D">
        <w:t>country’s</w:t>
      </w:r>
      <w:proofErr w:type="spellEnd"/>
      <w:r w:rsidR="008E2D0D">
        <w:t xml:space="preserve"> </w:t>
      </w:r>
      <w:proofErr w:type="spellStart"/>
      <w:r w:rsidR="008E2D0D">
        <w:t>right-wing</w:t>
      </w:r>
      <w:proofErr w:type="spellEnd"/>
      <w:r w:rsidR="008E2D0D">
        <w:t xml:space="preserve"> </w:t>
      </w:r>
      <w:proofErr w:type="spellStart"/>
      <w:r w:rsidR="008E2D0D">
        <w:t>government</w:t>
      </w:r>
      <w:proofErr w:type="spellEnd"/>
      <w:r w:rsidR="008E2D0D">
        <w:t>” [„Lech Wałęsa: Wyrzućcie Polskę z UE – polski bohater w walce o niepodległość ma przed sobą ostatnią misję: obalić prawicowy rząd”], w którego istotnym fragmencie napisano:</w:t>
      </w:r>
    </w:p>
    <w:p w14:paraId="513609F6" w14:textId="77777777" w:rsidR="000410B4" w:rsidRPr="00D637A7" w:rsidRDefault="008E2D0D" w:rsidP="00D637A7">
      <w:pPr>
        <w:pStyle w:val="JuQuot"/>
      </w:pPr>
      <w:r>
        <w:t xml:space="preserve">„[…] – Jestem na drodze do życia wiecznego, ale dopóki mam siłę, nie chcę pozwolić na zniszczenie Polski – mówi Wałęsa, siedząc w biurze usytuowanym w Europejskim </w:t>
      </w:r>
      <w:r>
        <w:lastRenderedPageBreak/>
        <w:t>Centrum Solidarności, muzeum poświęconym historii Solidarności, które mieści się zaledwie kilka kroków od dawnej bramy Stoczni im. Lenina, gdzie Wałęsa pracował niegdyś jako elektryk.</w:t>
      </w:r>
    </w:p>
    <w:p w14:paraId="21290773" w14:textId="26D38001" w:rsidR="000410B4" w:rsidRPr="00D637A7" w:rsidRDefault="008E2D0D" w:rsidP="00D637A7">
      <w:pPr>
        <w:pStyle w:val="JuQuot"/>
      </w:pPr>
      <w:r>
        <w:t>Wałęsa jest laureatem nagrody Nobla i byłym prezydentem Polski. Związek zawodowy Solidarność pomógł położyć kres komunizmowi w Europie Środkowej. Jednak Wałęsa ma przed sobą jeszcze jeden polityczny cel: zniszczyć rządzącą w Polsce partię Prawo i Sprawiedliwość i zakończyć dominację jej przywódcy – Jarosława Kaczyńskiego. – Kaczyński łamie zasady i konstytucję oraz prawa i zasady trójpodziału władzy – mówi Wałęsa. – Jest niebezpieczny i nieodpowiedzialny. To się źle skończy.</w:t>
      </w:r>
    </w:p>
    <w:p w14:paraId="3E0F7B87" w14:textId="77777777" w:rsidR="000410B4" w:rsidRPr="00D637A7" w:rsidRDefault="008E2D0D" w:rsidP="00D637A7">
      <w:pPr>
        <w:pStyle w:val="JuQuot"/>
      </w:pPr>
      <w:r>
        <w:t>[…]</w:t>
      </w:r>
    </w:p>
    <w:p w14:paraId="7302BF15" w14:textId="77777777" w:rsidR="000410B4" w:rsidRPr="00D637A7" w:rsidRDefault="008E2D0D" w:rsidP="00D637A7">
      <w:pPr>
        <w:pStyle w:val="JuQuot"/>
      </w:pPr>
      <w:r>
        <w:t>Zamiast wieść spokojne życie emeryta, [Wałęsa] zdecydował się podjąć próbę utworzenia ogólnopolskiego ruchu nawołującego do referendum w sprawie rozpisania nowych wyborów i lobbowania wśród urzędników europejskich odwiedzających jego biuro, do których apeluje o twardsze stanowisko wobec rządu jego kraju. […] W szczególności chce on, aby Bruksela zagroziła pozbawieniem Polski członkostwa w Unii, jeżeli Prawo i Sprawiedliwość będzie nadal łamać zasady demokracji.</w:t>
      </w:r>
    </w:p>
    <w:p w14:paraId="4B698F0D" w14:textId="64CDA49C" w:rsidR="000410B4" w:rsidRPr="00D637A7" w:rsidRDefault="008E2D0D" w:rsidP="00D637A7">
      <w:pPr>
        <w:pStyle w:val="JuQuot"/>
      </w:pPr>
      <w:r>
        <w:t>– Nie podoba mi się występowanie przeciwko Polsce, ale nie mam wyboru – mówi Wałęsa. – Musi być tak, że jeżeli należysz do klubu, ale nie pasujesz, to cię wyrzucają. Utrata prawa głosu [w UE] to za mało. Muszą nas wyrzucić.</w:t>
      </w:r>
    </w:p>
    <w:p w14:paraId="2BA1BA78" w14:textId="77777777" w:rsidR="000410B4" w:rsidRPr="00D637A7" w:rsidRDefault="008E2D0D" w:rsidP="00D637A7">
      <w:pPr>
        <w:pStyle w:val="JuQuot"/>
        <w:rPr>
          <w:b/>
          <w:bCs/>
        </w:rPr>
      </w:pPr>
      <w:r>
        <w:rPr>
          <w:b/>
          <w:bCs/>
        </w:rPr>
        <w:t>Wieloletni wrogowie</w:t>
      </w:r>
    </w:p>
    <w:p w14:paraId="767B51C7" w14:textId="77777777" w:rsidR="000410B4" w:rsidRPr="00D637A7" w:rsidRDefault="008E2D0D" w:rsidP="00D637A7">
      <w:pPr>
        <w:pStyle w:val="JuQuot"/>
        <w:rPr>
          <w:rFonts w:cstheme="minorHAnsi"/>
        </w:rPr>
      </w:pPr>
      <w:r>
        <w:t>Lech Wałęsa i Jarosław Kaczyński (67 l.) znają się od dekad i wzajemnie darzą się niechęcią, a wręcz nienawiścią.</w:t>
      </w:r>
    </w:p>
    <w:p w14:paraId="73FD245E" w14:textId="2B91C7B6" w:rsidR="000410B4" w:rsidRPr="00D637A7" w:rsidRDefault="008E2D0D" w:rsidP="00D637A7">
      <w:pPr>
        <w:pStyle w:val="JuQuot"/>
      </w:pPr>
      <w:r>
        <w:t>W jednym z ostatnich wywiadów z prasą zagraniczną Jarosław Kaczyński powiedział reporterom, by »nie traktowali Wałęsy poważnie«, dodając, że były przywódca Solidarności »cierpi na poważne deficyty intelektualne i wady charakteru oraz ma okropną przeszłość«. Dodał, że Wałęsa »się skompromitował«.</w:t>
      </w:r>
    </w:p>
    <w:p w14:paraId="51692BB3" w14:textId="77777777" w:rsidR="000410B4" w:rsidRPr="00D637A7" w:rsidRDefault="008E2D0D" w:rsidP="00D637A7">
      <w:pPr>
        <w:pStyle w:val="JuQuot"/>
      </w:pPr>
      <w:r>
        <w:t>[…]</w:t>
      </w:r>
    </w:p>
    <w:p w14:paraId="4ABE4E1D" w14:textId="77777777" w:rsidR="000410B4" w:rsidRPr="00D637A7" w:rsidRDefault="008E2D0D" w:rsidP="00D637A7">
      <w:pPr>
        <w:pStyle w:val="JuQuot"/>
        <w:rPr>
          <w:rFonts w:cstheme="minorHAnsi"/>
        </w:rPr>
      </w:pPr>
      <w:r>
        <w:t>Po ogłoszeniu przez polski komunistyczny rząd stanu wojennego w 1981 r. Lech Wałęsa i Lech Kaczyński odsiadywali wyroki w więzieniu. Ponieważ Jarosław Kaczyński był mało znaczącą postacią opozycji, nie został internowany.</w:t>
      </w:r>
    </w:p>
    <w:p w14:paraId="01C79172" w14:textId="77777777" w:rsidR="000410B4" w:rsidRPr="00D637A7" w:rsidRDefault="008E2D0D" w:rsidP="00D637A7">
      <w:pPr>
        <w:pStyle w:val="JuQuot"/>
      </w:pPr>
      <w:r>
        <w:t>Podczas Okrągłego Stołu z udziałem Solidarności i rządu w 1989 r. Kaczyńscy pełnili rolę doradców Wałęsy, a niedługo po zwycięskiej dla niego kampanii prezydenckiej z 1990 r. doszło do rozłamu między nimi a ich patronem. Przez kilka lat Jarosław Kaczyński stał na czele głośnych protestów przeciwko Wałęsie, które organizowano w centrum Warszawy. Od tamtego czasu są zagorzałymi wrogami.</w:t>
      </w:r>
    </w:p>
    <w:p w14:paraId="60236CE6" w14:textId="77777777" w:rsidR="000410B4" w:rsidRPr="00D637A7" w:rsidRDefault="008E2D0D" w:rsidP="00D637A7">
      <w:pPr>
        <w:pStyle w:val="JuQuot"/>
      </w:pPr>
      <w:r>
        <w:t>Pogarda Kaczyńskiego wobec Wałęsy ma wymiar zarówno osobisty, jak i polityczny. Jest on rozgoryczony, że to Wałęsę postrzega się jako tego, który wyzwolił Polskę z komunizmu, ponieważ uważa, że historycy za małą uwagę poświęcają jego bratu. – Ważną postacią faktycznie prowadzącą związek był mój brat – powiedział Kaczyński na początku roku, co Wałęsa uznał za »nonsens«, dodając, że zwolnił bliźniaków, ponieważ nie można było na nich polegać i byli niebezpieczni.</w:t>
      </w:r>
    </w:p>
    <w:p w14:paraId="4A158D05" w14:textId="77777777" w:rsidR="000410B4" w:rsidRPr="00D637A7" w:rsidRDefault="008E2D0D" w:rsidP="00D637A7">
      <w:pPr>
        <w:pStyle w:val="JuQuot"/>
      </w:pPr>
      <w:r>
        <w:t>Ataki na Wałęsę stanowią trzon przekazu politycznego Kaczyńskiego. Lubi powtarzać, że transformacja po 1989 r. była obarczona poważnymi wadami, a Wałęsa ponosi winę za układ, który umożliwił komunistom oddanie władzy politycznej w zamian za zachowanie korzyści gospodarczych.</w:t>
      </w:r>
    </w:p>
    <w:p w14:paraId="37CFE504" w14:textId="77777777" w:rsidR="000410B4" w:rsidRPr="00D637A7" w:rsidRDefault="008E2D0D" w:rsidP="00D637A7">
      <w:pPr>
        <w:pStyle w:val="JuQuot"/>
      </w:pPr>
      <w:r>
        <w:lastRenderedPageBreak/>
        <w:t>[…]</w:t>
      </w:r>
    </w:p>
    <w:p w14:paraId="3D918905" w14:textId="77777777" w:rsidR="000410B4" w:rsidRPr="00D637A7" w:rsidRDefault="008E2D0D" w:rsidP="00D637A7">
      <w:pPr>
        <w:pStyle w:val="JuQuot"/>
      </w:pPr>
      <w:r>
        <w:t>To Kaczyński zdołał dotrzeć do niezadowolonego elektoratu obietnicami szczodrych wydatków socjalnych, co było jednym z powodów sukcesu jego partii w ubiegłorocznych wyborach parlamentarnych i prezydenckich. Teraz, gdy kontroluje państwo, chce zmienić kształt historycznej narracji, w szczególności jeżeli chodzi o rolę Wałęsy.</w:t>
      </w:r>
    </w:p>
    <w:p w14:paraId="134251FF" w14:textId="77777777" w:rsidR="000410B4" w:rsidRPr="00D637A7" w:rsidRDefault="008E2D0D" w:rsidP="00D637A7">
      <w:pPr>
        <w:pStyle w:val="JuQuot"/>
        <w:rPr>
          <w:b/>
          <w:bCs/>
        </w:rPr>
      </w:pPr>
      <w:r>
        <w:rPr>
          <w:b/>
          <w:bCs/>
        </w:rPr>
        <w:t>Agent Bolek</w:t>
      </w:r>
    </w:p>
    <w:p w14:paraId="72505A8E" w14:textId="77777777" w:rsidR="000410B4" w:rsidRPr="00D637A7" w:rsidRDefault="008E2D0D" w:rsidP="00D637A7">
      <w:pPr>
        <w:pStyle w:val="JuQuot"/>
      </w:pPr>
      <w:r>
        <w:t>Największą rysą na biografii Wałęsy jest wątek z 1970 r., gdy był młodym robotnikiem i organizatorem związku zawodowego, a niedługo wcześniej doszło do krwawego stłumienia przez milicję strajku stoczniowców. Istnieją dość mocne dowody, że został zastraszony przez tajne służby i podpisał zgodę na dostarczanie informacji, uzyskując pseudonim »Bolek«. W 1970 r. został najwyraźniej wykreślony z listy tajnych współpracowników ze względu na brak współpracy.</w:t>
      </w:r>
    </w:p>
    <w:p w14:paraId="0FAEFF43" w14:textId="77777777" w:rsidR="000410B4" w:rsidRPr="00D637A7" w:rsidRDefault="008E2D0D" w:rsidP="00D637A7">
      <w:pPr>
        <w:pStyle w:val="JuQuot"/>
      </w:pPr>
      <w:r>
        <w:t>Wałęsa nigdy nie przyznał się, że wyraził zgodę na współpracę z tajnymi służbami, określając to mianem »incydentu« z przeszłości, a w wywiadach mówił, że grał w »gierki« z tajnymi służbami i próbował ich wykiwać. W 2000 r. został oczyszczony z zarzutu bycia tajnym współpracownikiem przez specjalny sąd.</w:t>
      </w:r>
    </w:p>
    <w:p w14:paraId="4783629D" w14:textId="77777777" w:rsidR="000410B4" w:rsidRPr="00D637A7" w:rsidRDefault="008E2D0D" w:rsidP="00D637A7">
      <w:pPr>
        <w:pStyle w:val="JuQuot"/>
      </w:pPr>
      <w:r>
        <w:t>– Gdybym był kimś nieważnym, nikt by mnie nie zauważył – mówił pytany o oskarżenia. – Skoro mówią takie rzeczy, znaczy, że jestem silny. Podczas antyrządowej demonstracji, która odbyła się tego lata, setki protestujących pojawiły się z transparentami w kształcie wąsów, aby okazać poparcie dla dawnego przywódcy”.</w:t>
      </w:r>
    </w:p>
    <w:p w14:paraId="166B007F" w14:textId="77777777" w:rsidR="000410B4" w:rsidRPr="00D637A7" w:rsidRDefault="00000000" w:rsidP="00D637A7">
      <w:pPr>
        <w:pStyle w:val="JuPara"/>
        <w:rPr>
          <w:rFonts w:cstheme="minorHAnsi"/>
        </w:rPr>
      </w:pPr>
      <w:fldSimple w:instr=" SEQ level0 \*arabic \* MERGEFORMAT ">
        <w:r w:rsidR="006D0886">
          <w:rPr>
            <w:noProof/>
          </w:rPr>
          <w:t>53</w:t>
        </w:r>
      </w:fldSimple>
      <w:r w:rsidR="008E2D0D">
        <w:t xml:space="preserve">.  Dnia 6 grudnia 2018 r. </w:t>
      </w:r>
      <w:proofErr w:type="spellStart"/>
      <w:r w:rsidR="008E2D0D">
        <w:rPr>
          <w:i/>
          <w:iCs/>
        </w:rPr>
        <w:t>Politico</w:t>
      </w:r>
      <w:proofErr w:type="spellEnd"/>
      <w:r w:rsidR="008E2D0D">
        <w:t xml:space="preserve"> opublikowało artykuł zatytułowany „Court </w:t>
      </w:r>
      <w:proofErr w:type="spellStart"/>
      <w:r w:rsidR="008E2D0D">
        <w:t>intervenes</w:t>
      </w:r>
      <w:proofErr w:type="spellEnd"/>
      <w:r w:rsidR="008E2D0D">
        <w:t xml:space="preserve"> in </w:t>
      </w:r>
      <w:proofErr w:type="spellStart"/>
      <w:r w:rsidR="008E2D0D">
        <w:t>long-running</w:t>
      </w:r>
      <w:proofErr w:type="spellEnd"/>
      <w:r w:rsidR="008E2D0D">
        <w:t xml:space="preserve"> </w:t>
      </w:r>
      <w:proofErr w:type="spellStart"/>
      <w:r w:rsidR="008E2D0D">
        <w:t>feud</w:t>
      </w:r>
      <w:proofErr w:type="spellEnd"/>
      <w:r w:rsidR="008E2D0D">
        <w:t xml:space="preserve"> </w:t>
      </w:r>
      <w:proofErr w:type="spellStart"/>
      <w:r w:rsidR="008E2D0D">
        <w:t>between</w:t>
      </w:r>
      <w:proofErr w:type="spellEnd"/>
      <w:r w:rsidR="008E2D0D">
        <w:t xml:space="preserve"> Wałęsa and Kaczyński” [„Trybunał interweniuje w długotrwałym pojedynku między Wałęsą a Kaczyńskim”], który we fragmencie istotnym dla sprawy, brzmi:</w:t>
      </w:r>
    </w:p>
    <w:p w14:paraId="21FECB59" w14:textId="77777777" w:rsidR="000410B4" w:rsidRPr="00D637A7" w:rsidRDefault="008E2D0D" w:rsidP="00D637A7">
      <w:pPr>
        <w:pStyle w:val="JuQuot"/>
        <w:rPr>
          <w:rFonts w:cstheme="minorHAnsi"/>
        </w:rPr>
      </w:pPr>
      <w:r>
        <w:t>„Lech Wałęsa, laureat pokojowej nagrody Nobla i były prezydent Polski, będzie musiał przeprosić Jarosława Kaczyńskiego, lidera partii Prawo i Sprawiedliwość, za sugerowanie, że ten ponosi odpowiedzialność za katastrofę lotniczą z 2010 r., w którym zginął jego brat bliźniak, ówczesny prezydent Polski, Lech Kaczyński.</w:t>
      </w:r>
    </w:p>
    <w:p w14:paraId="46CBEC8C" w14:textId="77777777" w:rsidR="000410B4" w:rsidRPr="00D637A7" w:rsidRDefault="008E2D0D" w:rsidP="00D637A7">
      <w:pPr>
        <w:pStyle w:val="JuQuot"/>
      </w:pPr>
      <w:r>
        <w:t>Sąd w Gdańsku orzekł w czwartek, że Wałęsa będzie musiał opublikować przeprosiny na swojej stronie na Facebooku, jak również w gazecie codziennej i w tygodniku. Oddalono jednak żądanie Kaczyńskiego o zapłatę 30 000 złotych (7 000 euro) odszkodowania. Sąd nie przychylił się również do żądania Kaczyńskiego, by Wałęsa przeprosił za sugerowanie, że Kaczyński jest chory psychicznie.</w:t>
      </w:r>
    </w:p>
    <w:p w14:paraId="183EA12F" w14:textId="77777777" w:rsidR="000410B4" w:rsidRPr="00D637A7" w:rsidRDefault="008E2D0D" w:rsidP="00D637A7">
      <w:pPr>
        <w:pStyle w:val="JuQuot"/>
      </w:pPr>
      <w:r>
        <w:t>[…]</w:t>
      </w:r>
    </w:p>
    <w:p w14:paraId="35BA5840" w14:textId="77777777" w:rsidR="000410B4" w:rsidRPr="00D637A7" w:rsidRDefault="008E2D0D" w:rsidP="00D637A7">
      <w:pPr>
        <w:pStyle w:val="JuQuot"/>
        <w:rPr>
          <w:rFonts w:cstheme="minorHAnsi"/>
        </w:rPr>
      </w:pPr>
      <w:r>
        <w:t>Wałęsa opublikował sugestie dotyczące katastrofy lotniczej na swoim Facebooku [...]. W katastrofie lotniczej z 2010 r., do której doszło gdy samolot próbował lądować w gęstej mgle na podniszczonym lotnisku wojskowym w Smoleńsku, zginęło 96 osób, w tym Lech Kaczyński i wielu wysokich rangą urzędników państwowych.</w:t>
      </w:r>
    </w:p>
    <w:p w14:paraId="48D8505D" w14:textId="77777777" w:rsidR="000410B4" w:rsidRPr="00D637A7" w:rsidRDefault="008E2D0D" w:rsidP="00D637A7">
      <w:pPr>
        <w:pStyle w:val="JuQuot"/>
        <w:rPr>
          <w:rFonts w:cstheme="minorHAnsi"/>
        </w:rPr>
      </w:pPr>
      <w:r>
        <w:t>Chociaż śledztwo wykazało, że odpowiedzialność ponoszą w dużej mierze niedostatecznie przeszkoleni piloci wojskowi, którzy podchodząc do lądowania w okropnych warunkach, popełnili szereg błędów, Prawo i Sprawiedliwość zmieniło tę katastrofę w potężny symbol polityczny. Partia sugerowała, że wina leży po stronie Rosji i Platformy Obywatelskiej, która rządziła wówczas Polską.</w:t>
      </w:r>
    </w:p>
    <w:p w14:paraId="2D8FD3B5" w14:textId="77777777" w:rsidR="000410B4" w:rsidRPr="00D637A7" w:rsidRDefault="008E2D0D" w:rsidP="00D637A7">
      <w:pPr>
        <w:pStyle w:val="JuQuot"/>
        <w:rPr>
          <w:rFonts w:cstheme="minorHAnsi"/>
        </w:rPr>
      </w:pPr>
      <w:r>
        <w:lastRenderedPageBreak/>
        <w:t>Wałęsa zarzucał Kaczyńskiemu, który w chwili katastrofy przebywał w Warszawie, że miał świadomość złych warunków pogodowych, ale telefonicznie wydał rozkaz, by samolot lądował.</w:t>
      </w:r>
    </w:p>
    <w:p w14:paraId="01B98B05" w14:textId="77777777" w:rsidR="000410B4" w:rsidRPr="00D637A7" w:rsidRDefault="008E2D0D" w:rsidP="00D637A7">
      <w:pPr>
        <w:pStyle w:val="JuQuot"/>
        <w:rPr>
          <w:rFonts w:cstheme="minorHAnsi"/>
        </w:rPr>
      </w:pPr>
      <w:r>
        <w:t>Relacja Wałęsy i Kaczyńskiego od lat jest pełna goryczy.</w:t>
      </w:r>
    </w:p>
    <w:p w14:paraId="4616DE23" w14:textId="1DE16384" w:rsidR="000410B4" w:rsidRPr="00D637A7" w:rsidRDefault="008E2D0D" w:rsidP="00D637A7">
      <w:pPr>
        <w:pStyle w:val="JuQuot"/>
      </w:pPr>
      <w:r>
        <w:t>Na początku lat osiemdziesiątych Wałęsa stał na czele związku zawodowego Solidarność, a następnie w 1989 r. przewodził działaniom na rzecz odsunięcia komunistów od władzy; w tym okresie bracia Kaczyńscy byli jego doradcami. Do wielkiego rozłamu doszło, gdy Wałęsa został prezydentem.</w:t>
      </w:r>
    </w:p>
    <w:p w14:paraId="7654BBB5" w14:textId="21A17382" w:rsidR="000410B4" w:rsidRPr="00D637A7" w:rsidRDefault="008E2D0D" w:rsidP="00D637A7">
      <w:pPr>
        <w:pStyle w:val="JuQuot"/>
      </w:pPr>
      <w:r>
        <w:t xml:space="preserve">Kaczyński oskarżył Wałęsę, że w latach siedemdziesiątych był informatorem komunistycznej Służby Bezpieczeństwa, a Wałęsa stał się zagorzałym przeciwnikiem PiS-u. Oskarża partię, że </w:t>
      </w:r>
      <w:r w:rsidR="00E647E0">
        <w:t xml:space="preserve">swoim </w:t>
      </w:r>
      <w:r>
        <w:t>programem reform prawnych łamie polską konstytucję, a także staje na czele inicjatyw służących organizowaniu publicznej opozycji przeciwko PiS przed przyszłorocznymi wyborami parlamentarnymi”.</w:t>
      </w:r>
    </w:p>
    <w:bookmarkStart w:id="35" w:name="Agent_Bolek_1"/>
    <w:p w14:paraId="2BB1FB2D" w14:textId="4B1A5B7C"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54</w:t>
      </w:r>
      <w:r w:rsidRPr="00D637A7">
        <w:fldChar w:fldCharType="end"/>
      </w:r>
      <w:bookmarkEnd w:id="35"/>
      <w:r>
        <w:t xml:space="preserve">.  Dnia 26 lutego 2020 r. </w:t>
      </w:r>
      <w:r>
        <w:rPr>
          <w:i/>
          <w:iCs/>
        </w:rPr>
        <w:t>Gazet</w:t>
      </w:r>
      <w:r w:rsidR="00E647E0">
        <w:rPr>
          <w:i/>
          <w:iCs/>
        </w:rPr>
        <w:t>a</w:t>
      </w:r>
      <w:r>
        <w:rPr>
          <w:i/>
          <w:iCs/>
        </w:rPr>
        <w:t xml:space="preserve"> Wyborcz</w:t>
      </w:r>
      <w:r w:rsidR="00E647E0">
        <w:rPr>
          <w:i/>
          <w:iCs/>
        </w:rPr>
        <w:t>a</w:t>
      </w:r>
      <w:r>
        <w:t xml:space="preserve"> </w:t>
      </w:r>
      <w:r w:rsidR="00E647E0">
        <w:t>opublikowała</w:t>
      </w:r>
      <w:r>
        <w:t xml:space="preserve"> artykuł zatytułowany „Ziobro chce podważenia wyroku </w:t>
      </w:r>
      <w:proofErr w:type="spellStart"/>
      <w:r>
        <w:t>ws</w:t>
      </w:r>
      <w:proofErr w:type="spellEnd"/>
      <w:r>
        <w:t>. Wyszkowski-Wałęsa z 2011</w:t>
      </w:r>
      <w:r w:rsidR="00E647E0">
        <w:t xml:space="preserve"> r</w:t>
      </w:r>
      <w:r>
        <w:t>. Skarga nadzwyczajna”. W zakresie istotnym dla sprawy artykuł brzmi następująco ([treść za artykułem w języku polskim]):</w:t>
      </w:r>
    </w:p>
    <w:p w14:paraId="65FDC0E4" w14:textId="77777777" w:rsidR="000410B4" w:rsidRPr="00D637A7" w:rsidRDefault="008E2D0D" w:rsidP="00D637A7">
      <w:pPr>
        <w:pStyle w:val="JuQuot"/>
      </w:pPr>
      <w:r>
        <w:t>„»Chłoptasiu, nie ze mną te numery« – napisał kilka dni temu Lech Wałęsa pod adresem Zbigniewa Ziobry. Dziś wiemy, że była to reakcja na skargę nadzwyczajną złożoną przez Ziobrę na wyrok sądu z 2011 r., według którego Krzysztof Wyszkowski naruszył dobra osobiste Lecha Wałęsy, nazywając go agentem bezpieki.</w:t>
      </w:r>
    </w:p>
    <w:p w14:paraId="52DDD8F9" w14:textId="19A975C6" w:rsidR="000410B4" w:rsidRPr="00D637A7" w:rsidRDefault="008E2D0D" w:rsidP="00D637A7">
      <w:pPr>
        <w:pStyle w:val="JuQuot"/>
      </w:pPr>
      <w:r>
        <w:t>»Panie Ziobro odpowiadam Panu publicznie na Pańskie pismo skierowane do mnie. Informuje Pan mnie w tym piśmie, że zamierza Pan zmienić moje wygrane wyroki sądowe na moje przegrane. Jeśli można uznać to za groźby czy straszenie to odpowiadam Panu: chłoptasiu, nie ze mną te numery« – napisał 18 lutego Lech Wałęsa na Facebooku</w:t>
      </w:r>
      <w:r w:rsidR="00E647E0">
        <w:t>.</w:t>
      </w:r>
    </w:p>
    <w:p w14:paraId="23D9A2BF" w14:textId="77777777" w:rsidR="000410B4" w:rsidRPr="00D637A7" w:rsidRDefault="008E2D0D" w:rsidP="00D637A7">
      <w:pPr>
        <w:pStyle w:val="JuQuot"/>
      </w:pPr>
      <w:r>
        <w:t>We wtorek 25 lutego okazało się, że Wałęsa odnosił się w swoim wpisie do skargi nadzwyczajnej, którą prokurator generalny Zbigniew Ziobro złożył do wyroku Sądu Apelacyjnego w Gdańsku z roku 2011.</w:t>
      </w:r>
    </w:p>
    <w:p w14:paraId="6F454E81" w14:textId="77777777" w:rsidR="000410B4" w:rsidRPr="00D637A7" w:rsidRDefault="008E2D0D" w:rsidP="00D637A7">
      <w:pPr>
        <w:pStyle w:val="JuQuot"/>
      </w:pPr>
      <w:r>
        <w:t>[…]</w:t>
      </w:r>
    </w:p>
    <w:p w14:paraId="50E191E4" w14:textId="77777777" w:rsidR="000410B4" w:rsidRPr="00D637A7" w:rsidRDefault="008E2D0D" w:rsidP="00D637A7">
      <w:pPr>
        <w:pStyle w:val="JuQuot"/>
      </w:pPr>
      <w:r>
        <w:t>Teraz, na mocy nowelizacji ustawy o Sądzie Najwyższym z grudnia 2017 r., Ziobro złożył skargę nadzwyczajną. Zbigniew Ziobro zarzuca wyrokowi Sądu Apelacyjnego w Gdańsku »naruszenie zasad, wolności i praw człowieka i obywatela, określonych w Konstytucji, (...) wolności słowa” oraz „naruszenie w sposób rażący przepisów prawa«.</w:t>
      </w:r>
    </w:p>
    <w:p w14:paraId="78A6A85F" w14:textId="77777777" w:rsidR="000410B4" w:rsidRPr="00D637A7" w:rsidRDefault="008E2D0D" w:rsidP="00D637A7">
      <w:pPr>
        <w:pStyle w:val="JuQuot"/>
      </w:pPr>
      <w:r>
        <w:t>Prokurator generalny podkreślił, że sąd drugiej instancji nie uwzględnił przedstawionych przez Wyszkowskiego dowodów na agenturalną przeszłość Wałęsy, podczas gdy w pierwszej instancji wystarczyły cztery z nich [dowodów], by Wyszkowskiego uniewinnić.</w:t>
      </w:r>
    </w:p>
    <w:p w14:paraId="2C964ED5" w14:textId="77777777" w:rsidR="000410B4" w:rsidRPr="00D637A7" w:rsidRDefault="008E2D0D" w:rsidP="00D637A7">
      <w:pPr>
        <w:pStyle w:val="JuQuot"/>
      </w:pPr>
      <w:r>
        <w:t>Pismo Ziobry trafiło do stron sporu oraz do Sądu Apelacyjnego w Gdańsku. W najbliższych tygodniach skarga zostanie przekazana do Sądu Najwyższego.</w:t>
      </w:r>
    </w:p>
    <w:p w14:paraId="1D5B00D8" w14:textId="77777777" w:rsidR="000410B4" w:rsidRPr="00D637A7" w:rsidRDefault="008E2D0D" w:rsidP="00D637A7">
      <w:pPr>
        <w:pStyle w:val="JuQuot"/>
      </w:pPr>
      <w:r>
        <w:t>»Pan niszczy dorobek Polskiej Wolności. Dlatego oświadczam Panu, że nie będzie nigdy mojej zgody za żadną cenę! Odmawiam więc stawiania się na każde wezwania Pana i podległych Panu służb w tych sprawach, przy siłowym doprowadzeniu nawet nie podam nazwiska czy daty urodzenia« – zapowiedział Lech Wałęsa w komentarzu skierowanym do Ziobry 18 lutego”.</w:t>
      </w:r>
    </w:p>
    <w:bookmarkStart w:id="36" w:name="Agent_Bolek_2"/>
    <w:p w14:paraId="473C328A" w14:textId="52691E80" w:rsidR="000410B4" w:rsidRPr="00D637A7" w:rsidRDefault="008E2D0D" w:rsidP="00D637A7">
      <w:pPr>
        <w:pStyle w:val="JuPara"/>
      </w:pPr>
      <w:r w:rsidRPr="00D637A7">
        <w:lastRenderedPageBreak/>
        <w:fldChar w:fldCharType="begin"/>
      </w:r>
      <w:r w:rsidRPr="00D637A7">
        <w:instrText xml:space="preserve"> SEQ level0 \*arabic \* MERGEFORMAT </w:instrText>
      </w:r>
      <w:r w:rsidRPr="00D637A7">
        <w:fldChar w:fldCharType="separate"/>
      </w:r>
      <w:r w:rsidR="006D0886">
        <w:rPr>
          <w:noProof/>
        </w:rPr>
        <w:t>55</w:t>
      </w:r>
      <w:r w:rsidRPr="00D637A7">
        <w:fldChar w:fldCharType="end"/>
      </w:r>
      <w:bookmarkEnd w:id="36"/>
      <w:r>
        <w:t xml:space="preserve">.  Dnia 22 kwietnia 2021 r. </w:t>
      </w:r>
      <w:r w:rsidR="000109D5">
        <w:t xml:space="preserve">inny </w:t>
      </w:r>
      <w:r>
        <w:t>dziennik</w:t>
      </w:r>
      <w:r w:rsidR="000109D5">
        <w:t>,</w:t>
      </w:r>
      <w:r>
        <w:t xml:space="preserve"> </w:t>
      </w:r>
      <w:r>
        <w:rPr>
          <w:i/>
          <w:iCs/>
        </w:rPr>
        <w:t>Gazeta Prawna</w:t>
      </w:r>
      <w:r w:rsidR="000109D5">
        <w:rPr>
          <w:i/>
          <w:iCs/>
        </w:rPr>
        <w:t>,</w:t>
      </w:r>
      <w:r>
        <w:t xml:space="preserve"> opublikował artykuł zatytułowany „Ziobro o wyroku SN </w:t>
      </w:r>
      <w:proofErr w:type="spellStart"/>
      <w:r>
        <w:t>ws</w:t>
      </w:r>
      <w:proofErr w:type="spellEnd"/>
      <w:r>
        <w:t>. Wyszkowskiego: Czekaliśmy przez lata, ale prawda w końcu zatriumfowała”. W zakresie istotnym dla sprawy artykuł brzmi następująco ([treść za artykułem w języku polskim]):</w:t>
      </w:r>
    </w:p>
    <w:p w14:paraId="6B6BAA54" w14:textId="77777777" w:rsidR="000410B4" w:rsidRPr="00D637A7" w:rsidRDefault="008E2D0D" w:rsidP="00D637A7">
      <w:pPr>
        <w:pStyle w:val="JuQuot"/>
      </w:pPr>
      <w:r>
        <w:t>„Czekaliśmy przez lata, ale prawda w końcu zatriumfowała – napisał Prokurator Generalny Zbigniew Ziobro, podkreślając, że zgodnie ze środowym orzeczeniem SN b. opozycjonista z czasów PRL Krzysztof Wyszkowski nie musi przepraszać b. prezydenta Lecha Wałęsy za nazwanie go tajnym współpracownikiem SB.</w:t>
      </w:r>
    </w:p>
    <w:p w14:paraId="1C723C53" w14:textId="77777777" w:rsidR="000410B4" w:rsidRPr="00D637A7" w:rsidRDefault="008E2D0D" w:rsidP="00D637A7">
      <w:pPr>
        <w:pStyle w:val="JuQuot"/>
      </w:pPr>
      <w:r>
        <w:t>Jak dodał, Sąd Najwyższy uchylił w środę »jawnie niesprawiedliwy wyrok«.</w:t>
      </w:r>
    </w:p>
    <w:p w14:paraId="6580ED87" w14:textId="77777777" w:rsidR="000410B4" w:rsidRPr="00D637A7" w:rsidRDefault="008E2D0D" w:rsidP="00D637A7">
      <w:pPr>
        <w:pStyle w:val="JuQuot"/>
      </w:pPr>
      <w:r>
        <w:t xml:space="preserve">»Czekaliśmy przez lata, ale prawda w końcu zatriumfowała. SN uwzględnił moją skargę nadzwyczajną i uchylił jawnie niesprawiedliwy wyrok – [Krzysztof] Wyszkowski nie musi przepraszać L. Wałęsy za nazwanie go tajnym współpracownikiem [Służby Bezpieczeństwa]« – czytamy we wpisie opublikowanym w czwartek na </w:t>
      </w:r>
      <w:proofErr w:type="spellStart"/>
      <w:r>
        <w:t>Twitterze</w:t>
      </w:r>
      <w:proofErr w:type="spellEnd"/>
      <w:r>
        <w:t xml:space="preserve"> Ziobry.</w:t>
      </w:r>
    </w:p>
    <w:p w14:paraId="1E2548C9" w14:textId="77777777" w:rsidR="000410B4" w:rsidRPr="00D637A7" w:rsidRDefault="008E2D0D" w:rsidP="00D637A7">
      <w:pPr>
        <w:pStyle w:val="JuQuot"/>
      </w:pPr>
      <w:r>
        <w:t>Chodzi o środowe orzeczenie Izby Kontroli Nadzwyczajnej [i Spraw Publicznych] SN uchylające wyrok z 2011 r., w którym nakazano byłemu opozycjoniście z czasów PRL Krzysztofowi Wyszkowskiemu przeproszenie b. prezydenta Lecha Wałęsy za nazwanie go tajnym współpracownikiem SB. Oznacza to, że stan prawny powraca do tego ukształtowanego przez Sąd Okręgowy w Gdańsku, który w wyroku I instancji z 2010 r. orzekł, że Wyszkowski nie musi przepraszać Wałęsy.</w:t>
      </w:r>
    </w:p>
    <w:p w14:paraId="1765FA59" w14:textId="77777777" w:rsidR="000410B4" w:rsidRPr="00D637A7" w:rsidRDefault="008E2D0D" w:rsidP="00D637A7">
      <w:pPr>
        <w:pStyle w:val="JuQuot"/>
      </w:pPr>
      <w:r>
        <w:t>W rozmowie z dziennikarzami Wyszkowski wyraził zadowolenie z orzeczenia.</w:t>
      </w:r>
    </w:p>
    <w:p w14:paraId="3E41EC11" w14:textId="77777777" w:rsidR="000410B4" w:rsidRPr="00D637A7" w:rsidRDefault="008E2D0D" w:rsidP="00D637A7">
      <w:pPr>
        <w:pStyle w:val="JuQuot"/>
      </w:pPr>
      <w:r>
        <w:t>»Bardzo się cieszę, miałem mocną nadzieję na tego rodzaju orzeczenie. Ale cieszę się szczególnie z końcówki uzasadnienia orzeczenia. Mianowicie SN orzekł, że leży w interesie społecznym i dobra opinii publicznej prawo każdego obywatela do mówienia prawdy« – zaznaczył.</w:t>
      </w:r>
    </w:p>
    <w:p w14:paraId="020A29D0" w14:textId="77777777" w:rsidR="000410B4" w:rsidRPr="00D637A7" w:rsidRDefault="008E2D0D" w:rsidP="00D637A7">
      <w:pPr>
        <w:pStyle w:val="JuQuot"/>
      </w:pPr>
      <w:r>
        <w:t>Były opozycjonista podkreślił, że Sąd Najwyższy uchylił bezprawny – jego zdaniem – wyrok sądu apelacyjnego.</w:t>
      </w:r>
    </w:p>
    <w:p w14:paraId="5AF2B7AC" w14:textId="44DAF5C5" w:rsidR="000410B4" w:rsidRPr="00D637A7" w:rsidRDefault="008E2D0D" w:rsidP="00D637A7">
      <w:pPr>
        <w:pStyle w:val="JuQuot"/>
      </w:pPr>
      <w:r>
        <w:t>»W moim przekonaniu głęboko krzywdzący dla mnie. 16 lat spędziłem w sądach nękany przez ‘kastę’ [sędziów].  Ci sędziowie byli na usługach ludzi niegodnych, tak jak Lech Wałęsa czy Donald Tusk, którzy zakazywali dyskusji o rzeczach ogóln</w:t>
      </w:r>
      <w:r w:rsidR="000109D5">
        <w:t>i</w:t>
      </w:r>
      <w:r>
        <w:t>e znanych« – dodał Wyszkowski. Wyraził też nadzieję, że ta »haniebna przeszłość odchodzi na swoje miejsce«.”</w:t>
      </w:r>
    </w:p>
    <w:bookmarkStart w:id="37" w:name="complaint_art_18_2"/>
    <w:p w14:paraId="2C7D3AA6" w14:textId="44C82E91"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56</w:t>
      </w:r>
      <w:r w:rsidRPr="00D637A7">
        <w:fldChar w:fldCharType="end"/>
      </w:r>
      <w:bookmarkEnd w:id="37"/>
      <w:r>
        <w:t>.  Jeszcze tego samego dnia t</w:t>
      </w:r>
      <w:r w:rsidR="000109D5">
        <w:t>ą</w:t>
      </w:r>
      <w:r>
        <w:t xml:space="preserve"> samą informację opublikowano na stronie internetowej Polskiego Radia.</w:t>
      </w:r>
    </w:p>
    <w:p w14:paraId="5B3FB1C5" w14:textId="77777777" w:rsidR="000410B4" w:rsidRPr="00D637A7" w:rsidRDefault="008E2D0D" w:rsidP="00D637A7">
      <w:pPr>
        <w:pStyle w:val="JuHHead"/>
      </w:pPr>
      <w:r>
        <w:t>WŁAŚCIWE RAMY PRAWNE I PRAKTYKA</w:t>
      </w:r>
    </w:p>
    <w:p w14:paraId="3593A6A3" w14:textId="77777777" w:rsidR="000410B4" w:rsidRPr="00D637A7" w:rsidRDefault="008E2D0D" w:rsidP="00D637A7">
      <w:pPr>
        <w:pStyle w:val="JuHIRoman"/>
      </w:pPr>
      <w:r>
        <w:t>PRAWO KRAJOWE I PRAKTYKA</w:t>
      </w:r>
    </w:p>
    <w:p w14:paraId="7C6C8D68" w14:textId="77777777" w:rsidR="000410B4" w:rsidRPr="00D637A7" w:rsidRDefault="008E2D0D" w:rsidP="00D637A7">
      <w:pPr>
        <w:pStyle w:val="JuHA"/>
      </w:pPr>
      <w:r>
        <w:t>Prawo krajowe</w:t>
      </w:r>
    </w:p>
    <w:p w14:paraId="6B79D8F2" w14:textId="73E811A9" w:rsidR="000410B4" w:rsidRPr="00D637A7" w:rsidRDefault="00000000" w:rsidP="00D637A7">
      <w:pPr>
        <w:pStyle w:val="JuPara"/>
      </w:pPr>
      <w:fldSimple w:instr=" SEQ level0 \*arabic ">
        <w:r w:rsidR="006D0886">
          <w:rPr>
            <w:noProof/>
          </w:rPr>
          <w:t>57</w:t>
        </w:r>
      </w:fldSimple>
      <w:r w:rsidR="008E2D0D">
        <w:t xml:space="preserve">.  Szczegółowe przedstawienie </w:t>
      </w:r>
      <w:r w:rsidR="00E842E3">
        <w:t>odpowiednich</w:t>
      </w:r>
      <w:r w:rsidR="008E2D0D">
        <w:t xml:space="preserve"> przepisów prawa krajowego dotyczących funkcjonowania sądownictwa i KRS można znaleźć w</w:t>
      </w:r>
      <w:r w:rsidR="00E842E3">
        <w:t>e wcześniejszych</w:t>
      </w:r>
      <w:r w:rsidR="008E2D0D">
        <w:t xml:space="preserve"> wyrokach Trybunału w sprawach </w:t>
      </w:r>
      <w:r w:rsidR="008E2D0D">
        <w:rPr>
          <w:i/>
          <w:iCs/>
        </w:rPr>
        <w:t xml:space="preserve">Reczkowicz </w:t>
      </w:r>
      <w:r w:rsidR="008E2D0D">
        <w:t>(</w:t>
      </w:r>
      <w:r w:rsidR="008E2D0D">
        <w:rPr>
          <w:i/>
          <w:iCs/>
        </w:rPr>
        <w:t>op.</w:t>
      </w:r>
      <w:r w:rsidR="00E842E3">
        <w:rPr>
          <w:i/>
          <w:iCs/>
        </w:rPr>
        <w:t xml:space="preserve"> </w:t>
      </w:r>
      <w:r w:rsidR="008E2D0D">
        <w:rPr>
          <w:i/>
          <w:iCs/>
        </w:rPr>
        <w:t>cit.</w:t>
      </w:r>
      <w:r w:rsidR="008E2D0D">
        <w:t xml:space="preserve">, </w:t>
      </w:r>
      <w:r w:rsidR="008E2D0D">
        <w:lastRenderedPageBreak/>
        <w:t xml:space="preserve">§§ 59-70), </w:t>
      </w:r>
      <w:r w:rsidR="008E2D0D">
        <w:rPr>
          <w:i/>
          <w:iCs/>
        </w:rPr>
        <w:t>Dolińska</w:t>
      </w:r>
      <w:r w:rsidR="008E2D0D">
        <w:rPr>
          <w:i/>
          <w:iCs/>
        </w:rPr>
        <w:noBreakHyphen/>
        <w:t xml:space="preserve">Ficek i Ozimek </w:t>
      </w:r>
      <w:r w:rsidR="008E2D0D">
        <w:t>(</w:t>
      </w:r>
      <w:r w:rsidR="008E2D0D">
        <w:rPr>
          <w:i/>
          <w:iCs/>
        </w:rPr>
        <w:t>op.</w:t>
      </w:r>
      <w:r w:rsidR="00E842E3">
        <w:rPr>
          <w:i/>
          <w:iCs/>
        </w:rPr>
        <w:t xml:space="preserve"> </w:t>
      </w:r>
      <w:r w:rsidR="008E2D0D">
        <w:rPr>
          <w:i/>
          <w:iCs/>
        </w:rPr>
        <w:t>cit.</w:t>
      </w:r>
      <w:r w:rsidR="008E2D0D">
        <w:t>, §§ 82</w:t>
      </w:r>
      <w:r w:rsidR="008E2D0D">
        <w:noBreakHyphen/>
        <w:t xml:space="preserve">96), </w:t>
      </w:r>
      <w:r w:rsidR="008E2D0D">
        <w:rPr>
          <w:i/>
          <w:iCs/>
        </w:rPr>
        <w:t xml:space="preserve">Advance Pharma sp. z o. o. </w:t>
      </w:r>
      <w:r w:rsidR="008E2D0D">
        <w:t>(</w:t>
      </w:r>
      <w:r w:rsidR="008E2D0D">
        <w:rPr>
          <w:i/>
          <w:iCs/>
        </w:rPr>
        <w:t>op.</w:t>
      </w:r>
      <w:r w:rsidR="00E842E3">
        <w:rPr>
          <w:i/>
          <w:iCs/>
        </w:rPr>
        <w:t xml:space="preserve"> </w:t>
      </w:r>
      <w:r w:rsidR="008E2D0D">
        <w:rPr>
          <w:i/>
          <w:iCs/>
        </w:rPr>
        <w:t>cit.</w:t>
      </w:r>
      <w:r w:rsidR="008E2D0D">
        <w:t xml:space="preserve">, §§ 95-109) oraz </w:t>
      </w:r>
      <w:r w:rsidR="008E2D0D">
        <w:rPr>
          <w:i/>
          <w:iCs/>
        </w:rPr>
        <w:t xml:space="preserve">Grzęda </w:t>
      </w:r>
      <w:r w:rsidR="008E2D0D">
        <w:t>(</w:t>
      </w:r>
      <w:r w:rsidR="008E2D0D">
        <w:rPr>
          <w:i/>
          <w:iCs/>
        </w:rPr>
        <w:t>op.</w:t>
      </w:r>
      <w:r w:rsidR="00E842E3">
        <w:rPr>
          <w:i/>
          <w:iCs/>
        </w:rPr>
        <w:t xml:space="preserve"> </w:t>
      </w:r>
      <w:r w:rsidR="008E2D0D">
        <w:rPr>
          <w:i/>
          <w:iCs/>
        </w:rPr>
        <w:t>cit.</w:t>
      </w:r>
      <w:r w:rsidR="008E2D0D">
        <w:t>, §§ 64-76).</w:t>
      </w:r>
    </w:p>
    <w:p w14:paraId="3C84BA05" w14:textId="77777777" w:rsidR="000410B4" w:rsidRPr="00D637A7" w:rsidRDefault="008E2D0D" w:rsidP="00D637A7">
      <w:pPr>
        <w:pStyle w:val="JuH1"/>
      </w:pPr>
      <w:r>
        <w:t>Przepisy konstytucyjne</w:t>
      </w:r>
    </w:p>
    <w:bookmarkStart w:id="38" w:name="Constitutional_provisions"/>
    <w:p w14:paraId="4AE12044"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58</w:t>
      </w:r>
      <w:r w:rsidRPr="00D637A7">
        <w:fldChar w:fldCharType="end"/>
      </w:r>
      <w:bookmarkEnd w:id="38"/>
      <w:r>
        <w:t>.  Właściwe przepisy Konstytucji stanowią, w istotnym zakresie, co następuje:</w:t>
      </w:r>
    </w:p>
    <w:p w14:paraId="399FB15D" w14:textId="77777777" w:rsidR="000410B4" w:rsidRPr="00D637A7" w:rsidRDefault="008E2D0D" w:rsidP="00D637A7">
      <w:pPr>
        <w:pStyle w:val="JuHArticle"/>
      </w:pPr>
      <w:r>
        <w:t>Artykuł 2</w:t>
      </w:r>
    </w:p>
    <w:p w14:paraId="3E63FC66" w14:textId="77777777" w:rsidR="000410B4" w:rsidRPr="00D637A7" w:rsidRDefault="008E2D0D" w:rsidP="00D637A7">
      <w:pPr>
        <w:pStyle w:val="JuQuot"/>
      </w:pPr>
      <w:r>
        <w:t>„Rzeczpospolita Polska jest demokratycznym państwem prawnym, urzeczywistniającym zasady sprawiedliwości społecznej”.</w:t>
      </w:r>
    </w:p>
    <w:p w14:paraId="1CD6B710" w14:textId="77777777" w:rsidR="000410B4" w:rsidRPr="00D637A7" w:rsidRDefault="008E2D0D" w:rsidP="00D637A7">
      <w:pPr>
        <w:pStyle w:val="JuHArticle"/>
      </w:pPr>
      <w:r>
        <w:t>Artykuł 31</w:t>
      </w:r>
    </w:p>
    <w:p w14:paraId="7439AAC4" w14:textId="77777777" w:rsidR="000410B4" w:rsidRPr="00D637A7" w:rsidRDefault="008E2D0D" w:rsidP="00D637A7">
      <w:pPr>
        <w:pStyle w:val="JuQuot"/>
      </w:pPr>
      <w:r>
        <w:t>„3. Ograniczenia w zakresie korzystania z konstytucyjnych wolności i praw mogą być ustanawiane tylko w ustawie i tylko wtedy, gdy są konieczne w demokratycznym państwie dla jego bezpieczeństwa lub porządku publicznego, bądź dla ochrony środowiska, zdrowia i moralności publicznej, albo wolności i praw innych osób. Ograniczenia te nie mogą naruszać istoty wolności i praw”.</w:t>
      </w:r>
    </w:p>
    <w:p w14:paraId="635905C1" w14:textId="77777777" w:rsidR="000410B4" w:rsidRPr="00D637A7" w:rsidRDefault="008E2D0D" w:rsidP="00D637A7">
      <w:pPr>
        <w:pStyle w:val="JuHArticle"/>
      </w:pPr>
      <w:r>
        <w:t>Artykuł 45 ust. 1</w:t>
      </w:r>
    </w:p>
    <w:p w14:paraId="693EB452" w14:textId="77777777" w:rsidR="000410B4" w:rsidRPr="00D637A7" w:rsidRDefault="008E2D0D" w:rsidP="00D637A7">
      <w:pPr>
        <w:pStyle w:val="JuQuot"/>
      </w:pPr>
      <w:r>
        <w:t>„Każdy ma prawo do sprawiedliwego i jawnego rozpatrzenia sprawy bez nieuzasadnionej zwłoki przez właściwy, niezależny, bezstronny i niezawisły sąd”.</w:t>
      </w:r>
    </w:p>
    <w:p w14:paraId="2598AD9E" w14:textId="77777777" w:rsidR="000410B4" w:rsidRPr="00D637A7" w:rsidRDefault="008E2D0D" w:rsidP="00D637A7">
      <w:pPr>
        <w:pStyle w:val="JuHArticle"/>
      </w:pPr>
      <w:r>
        <w:t>Artykuł 47</w:t>
      </w:r>
    </w:p>
    <w:p w14:paraId="6D495B97" w14:textId="77777777" w:rsidR="000410B4" w:rsidRPr="00D637A7" w:rsidRDefault="008E2D0D" w:rsidP="00D637A7">
      <w:pPr>
        <w:pStyle w:val="JuQuot"/>
      </w:pPr>
      <w:r>
        <w:t>„Każdy ma prawo do ochrony prawnej życia prywatnego, rodzinnego, czci i dobrego imienia oraz do decydowania o swoim życiu osobistym”.</w:t>
      </w:r>
    </w:p>
    <w:p w14:paraId="324B9DDA" w14:textId="77777777" w:rsidR="000410B4" w:rsidRPr="00D637A7" w:rsidRDefault="008E2D0D" w:rsidP="00D637A7">
      <w:pPr>
        <w:pStyle w:val="JuHArticle"/>
      </w:pPr>
      <w:r>
        <w:t>Artykuł 54</w:t>
      </w:r>
    </w:p>
    <w:p w14:paraId="19F3808D" w14:textId="77777777" w:rsidR="000410B4" w:rsidRPr="00D637A7" w:rsidRDefault="008E2D0D" w:rsidP="00D637A7">
      <w:pPr>
        <w:pStyle w:val="JuQuot"/>
      </w:pPr>
      <w:r>
        <w:t>„1. Każdy ma prawo do ochrony prawnej życia prywatnego, rodzinnego, czci i dobrego imienia oraz do decydowania o swoim życiu osobistym”.</w:t>
      </w:r>
    </w:p>
    <w:p w14:paraId="2D975839" w14:textId="77777777" w:rsidR="000410B4" w:rsidRPr="00D637A7" w:rsidRDefault="008E2D0D" w:rsidP="00D637A7">
      <w:pPr>
        <w:pStyle w:val="JuHArticle"/>
      </w:pPr>
      <w:r>
        <w:t>Artykuł 79 ust. 1</w:t>
      </w:r>
    </w:p>
    <w:p w14:paraId="2220429F" w14:textId="77777777" w:rsidR="000410B4" w:rsidRPr="00D637A7" w:rsidRDefault="008E2D0D" w:rsidP="00D637A7">
      <w:pPr>
        <w:pStyle w:val="JuQuot"/>
      </w:pPr>
      <w:r>
        <w:t>„Każdy, czyje konstytucyjne wolności lub prawa zostały naruszone, ma prawo, na zasadach określonych w ustawie, wnieść skargę do Trybunału Konstytucyjnego w sprawie zgodności z Konstytucją ustawy lub innego aktu normatywnego, na podstawie którego sąd lub organ administracji publicznej orzekł ostatecznie o jego wolnościach lub prawach albo o jego obowiązkach określonych w Konstytucji”.</w:t>
      </w:r>
    </w:p>
    <w:p w14:paraId="4AA8A547" w14:textId="77777777" w:rsidR="000410B4" w:rsidRPr="00D637A7" w:rsidRDefault="008E2D0D" w:rsidP="00D637A7">
      <w:pPr>
        <w:pStyle w:val="JuH1"/>
      </w:pPr>
      <w:r>
        <w:t>Ustawa o Krajowej Radzie Sądownictwa z 2011 r. i ustawa zmieniająca z 2017 r.</w:t>
      </w:r>
    </w:p>
    <w:p w14:paraId="42D974A0" w14:textId="2AC6AFC2" w:rsidR="000410B4" w:rsidRPr="00D637A7" w:rsidRDefault="00000000" w:rsidP="00D637A7">
      <w:pPr>
        <w:pStyle w:val="JuPara"/>
      </w:pPr>
      <w:fldSimple w:instr=" SEQ level0 \*arabic \* MERGEFORMAT ">
        <w:r w:rsidR="006D0886">
          <w:rPr>
            <w:noProof/>
          </w:rPr>
          <w:t>59</w:t>
        </w:r>
      </w:fldSimple>
      <w:r w:rsidR="008E2D0D">
        <w:t xml:space="preserve">.  Właściwe przepisy ustawy </w:t>
      </w:r>
      <w:r w:rsidR="008E2D0D">
        <w:rPr>
          <w:rFonts w:ascii="Times New Roman" w:hAnsi="Times New Roman"/>
          <w:bCs/>
        </w:rPr>
        <w:t>z dnia 12 maja 2011 r. o Krajowej Radzie Sądownictwa</w:t>
      </w:r>
      <w:r w:rsidR="008E2D0D">
        <w:rPr>
          <w:rFonts w:ascii="Times New Roman" w:hAnsi="Times New Roman"/>
          <w:bCs/>
          <w:i/>
          <w:iCs/>
        </w:rPr>
        <w:t xml:space="preserve"> </w:t>
      </w:r>
      <w:r w:rsidR="008E2D0D">
        <w:rPr>
          <w:rFonts w:ascii="Times New Roman" w:hAnsi="Times New Roman"/>
          <w:bCs/>
        </w:rPr>
        <w:t xml:space="preserve">(„ustawa o KRS z 2011 r.”) </w:t>
      </w:r>
      <w:r w:rsidR="001C68C8">
        <w:t>w brzmieniu obowiązującym</w:t>
      </w:r>
      <w:r w:rsidR="008E2D0D">
        <w:t xml:space="preserve"> przed i po wejściu w życie ustawy zmieniającej z 2017 r. przytoczono w wyrok</w:t>
      </w:r>
      <w:r w:rsidR="001C68C8">
        <w:t>ach w sprawach</w:t>
      </w:r>
      <w:r w:rsidR="008E2D0D">
        <w:t xml:space="preserve"> </w:t>
      </w:r>
      <w:r w:rsidR="008E2D0D">
        <w:rPr>
          <w:i/>
          <w:iCs/>
        </w:rPr>
        <w:t>Reczkowicz</w:t>
      </w:r>
      <w:r w:rsidR="008E2D0D">
        <w:t xml:space="preserve"> (</w:t>
      </w:r>
      <w:r w:rsidR="008E2D0D">
        <w:rPr>
          <w:i/>
          <w:iCs/>
        </w:rPr>
        <w:t>op.</w:t>
      </w:r>
      <w:r w:rsidR="001C68C8">
        <w:rPr>
          <w:i/>
          <w:iCs/>
        </w:rPr>
        <w:t xml:space="preserve"> </w:t>
      </w:r>
      <w:r w:rsidR="008E2D0D">
        <w:rPr>
          <w:i/>
          <w:iCs/>
        </w:rPr>
        <w:t>cit.</w:t>
      </w:r>
      <w:r w:rsidR="008E2D0D">
        <w:t xml:space="preserve">, §§ 62-63) </w:t>
      </w:r>
      <w:r w:rsidR="001C68C8">
        <w:t>i</w:t>
      </w:r>
      <w:r w:rsidR="008E2D0D">
        <w:t xml:space="preserve"> </w:t>
      </w:r>
      <w:r w:rsidR="008E2D0D">
        <w:rPr>
          <w:i/>
          <w:iCs/>
        </w:rPr>
        <w:t xml:space="preserve">Dolińska-Ficek i Ozimek </w:t>
      </w:r>
      <w:r w:rsidR="008E2D0D">
        <w:t>(</w:t>
      </w:r>
      <w:r w:rsidR="008E2D0D">
        <w:rPr>
          <w:i/>
          <w:iCs/>
        </w:rPr>
        <w:t>op.</w:t>
      </w:r>
      <w:r w:rsidR="001C68C8">
        <w:rPr>
          <w:i/>
          <w:iCs/>
        </w:rPr>
        <w:t xml:space="preserve"> </w:t>
      </w:r>
      <w:r w:rsidR="008E2D0D">
        <w:rPr>
          <w:i/>
          <w:iCs/>
        </w:rPr>
        <w:t>cit.</w:t>
      </w:r>
      <w:r w:rsidR="008E2D0D">
        <w:t>, §§ 85-87).</w:t>
      </w:r>
    </w:p>
    <w:p w14:paraId="2B5C042E" w14:textId="17951305" w:rsidR="000410B4" w:rsidRPr="00D637A7" w:rsidRDefault="00000000" w:rsidP="00D637A7">
      <w:pPr>
        <w:pStyle w:val="JuPara"/>
      </w:pPr>
      <w:fldSimple w:instr=" SEQ level0 \*arabic \* MERGEFORMAT ">
        <w:r w:rsidR="006D0886">
          <w:rPr>
            <w:noProof/>
          </w:rPr>
          <w:t>60</w:t>
        </w:r>
      </w:fldSimple>
      <w:r w:rsidR="008E2D0D">
        <w:t xml:space="preserve">.  Artykuł 3 § 1 pkt 1-2 ustawy o KRS z 2011 r., </w:t>
      </w:r>
      <w:r w:rsidR="001C68C8">
        <w:t>w brzmieniu nadanym</w:t>
      </w:r>
      <w:r w:rsidR="008E2D0D">
        <w:t xml:space="preserve"> ustawą zmieniającą z 2017 r., stanowi:</w:t>
      </w:r>
    </w:p>
    <w:p w14:paraId="04191B54" w14:textId="77777777" w:rsidR="000410B4" w:rsidRPr="00D637A7" w:rsidRDefault="008E2D0D" w:rsidP="00D637A7">
      <w:pPr>
        <w:pStyle w:val="JuHArticle"/>
      </w:pPr>
      <w:r>
        <w:t>Artykuł 3 § 1</w:t>
      </w:r>
    </w:p>
    <w:p w14:paraId="523A04FC" w14:textId="77777777" w:rsidR="000410B4" w:rsidRPr="00D637A7" w:rsidRDefault="008E2D0D" w:rsidP="00D637A7">
      <w:pPr>
        <w:pStyle w:val="JuQuot"/>
        <w:rPr>
          <w:rFonts w:eastAsia="Times New Roman"/>
        </w:rPr>
      </w:pPr>
      <w:r>
        <w:t>„Do kompetencji Rady należy:</w:t>
      </w:r>
    </w:p>
    <w:p w14:paraId="16DE1C7A" w14:textId="77777777" w:rsidR="000410B4" w:rsidRPr="00D637A7" w:rsidRDefault="008E2D0D" w:rsidP="00D637A7">
      <w:pPr>
        <w:pStyle w:val="JuQuot"/>
        <w:rPr>
          <w:rFonts w:eastAsia="Times New Roman"/>
        </w:rPr>
      </w:pPr>
      <w:r>
        <w:t>1) rozpatrywanie i ocena kandydatów do pełnienia urzędu na stanowiskach sędziów Sądu Najwyższego oraz stanowiskach sędziowskich w sądach powszechnych, sądach administracyjnych i sądach wojskowych oraz na stanowiskach asesorów sądowych w sądach administracyjnych;</w:t>
      </w:r>
    </w:p>
    <w:p w14:paraId="61F7417F" w14:textId="77777777" w:rsidR="000410B4" w:rsidRPr="00D637A7" w:rsidRDefault="008E2D0D" w:rsidP="00D637A7">
      <w:pPr>
        <w:pStyle w:val="JuQuot"/>
        <w:rPr>
          <w:rFonts w:eastAsia="Times New Roman"/>
        </w:rPr>
      </w:pPr>
      <w:r>
        <w:t>2) przedstawianie Prezydentowi Rzeczypospolitej Polskiej wniosków o powołanie sędziów w Sądzie Najwyższym, sądach powszechnych, sądach administracyjnych i sądach wojskowych (…)”.</w:t>
      </w:r>
    </w:p>
    <w:p w14:paraId="6598826C" w14:textId="77777777" w:rsidR="000410B4" w:rsidRPr="00D637A7" w:rsidRDefault="008E2D0D" w:rsidP="00D637A7">
      <w:pPr>
        <w:pStyle w:val="JuH1"/>
      </w:pPr>
      <w:r>
        <w:t>Ustawa o Sądzie Najwyższym z 2017 r.</w:t>
      </w:r>
    </w:p>
    <w:p w14:paraId="26D0488C" w14:textId="4D075905" w:rsidR="000410B4" w:rsidRPr="00D637A7" w:rsidRDefault="00000000" w:rsidP="00D637A7">
      <w:pPr>
        <w:pStyle w:val="JuPara"/>
        <w:rPr>
          <w:bCs/>
          <w:i/>
          <w:iCs/>
        </w:rPr>
      </w:pPr>
      <w:fldSimple w:instr=" SEQ level0 \*arabic \* MERGEFORMAT ">
        <w:r w:rsidR="006D0886">
          <w:rPr>
            <w:noProof/>
          </w:rPr>
          <w:t>61</w:t>
        </w:r>
      </w:fldSimple>
      <w:r w:rsidR="008E2D0D">
        <w:t>.  Ustawa z dnia 8 grudnia 2017 r. o Sądzie Najwyższym („ustawa o Sądzie Najwyższym z 2017 r.”) weszła w życie 3 kwietnia 2018 r.</w:t>
      </w:r>
    </w:p>
    <w:p w14:paraId="1F7BD823" w14:textId="77777777" w:rsidR="000410B4" w:rsidRPr="00D637A7" w:rsidRDefault="00000000" w:rsidP="00D637A7">
      <w:pPr>
        <w:pStyle w:val="JuPara"/>
      </w:pPr>
      <w:fldSimple w:instr=" SEQ level0 \*arabic \* MERGEFORMAT ">
        <w:r w:rsidR="006D0886">
          <w:rPr>
            <w:noProof/>
          </w:rPr>
          <w:t>62</w:t>
        </w:r>
      </w:fldSimple>
      <w:r w:rsidR="008E2D0D">
        <w:t>.  Zgodnie z art. 29 sędziowie są powoływani do Sądu Najwyższego przez Prezydenta Rzeczypospolitej Polskiej na wniosek KRS.</w:t>
      </w:r>
    </w:p>
    <w:p w14:paraId="6D1F6FCF" w14:textId="77777777" w:rsidR="000410B4" w:rsidRPr="00D637A7" w:rsidRDefault="00000000" w:rsidP="00D637A7">
      <w:pPr>
        <w:pStyle w:val="JuPara"/>
      </w:pPr>
      <w:fldSimple w:instr=" SEQ level0 \*arabic \* MERGEFORMAT ">
        <w:r w:rsidR="006D0886">
          <w:rPr>
            <w:noProof/>
          </w:rPr>
          <w:t>63</w:t>
        </w:r>
      </w:fldSimple>
      <w:r w:rsidR="008E2D0D">
        <w:t>.  W art. 3 przewidziano utworzenie w Sądzie Najwyższym dwóch nowych izb: Izby Dyscyplinarnej oraz Izby Kontroli Nadzwyczajnej i Spraw Publicznych.</w:t>
      </w:r>
    </w:p>
    <w:p w14:paraId="6A1141C5" w14:textId="77777777" w:rsidR="000410B4" w:rsidRPr="00D637A7" w:rsidRDefault="00000000" w:rsidP="00D637A7">
      <w:pPr>
        <w:pStyle w:val="JuPara"/>
      </w:pPr>
      <w:fldSimple w:instr=" SEQ level0 \*arabic \* MERGEFORMAT ">
        <w:r w:rsidR="006D0886">
          <w:rPr>
            <w:noProof/>
          </w:rPr>
          <w:t>64</w:t>
        </w:r>
      </w:fldSimple>
      <w:r w:rsidR="008E2D0D">
        <w:t>.  Artykułami 89-95 wprowadzono do polskiego systemu prawnego skargę nadzwyczajną.</w:t>
      </w:r>
    </w:p>
    <w:p w14:paraId="33152039" w14:textId="77777777" w:rsidR="000410B4" w:rsidRPr="00D637A7" w:rsidRDefault="008E2D0D" w:rsidP="00D637A7">
      <w:pPr>
        <w:pStyle w:val="JuHa0"/>
      </w:pPr>
      <w:r>
        <w:t>Izba Kontroli Nadzwyczajnej i Spraw Publicznych</w:t>
      </w:r>
    </w:p>
    <w:bookmarkStart w:id="39" w:name="Domesic_law_ActonSupremeCourt_text"/>
    <w:bookmarkStart w:id="40" w:name="CERPA_jurisdiction"/>
    <w:p w14:paraId="4C81F5A3" w14:textId="77777777" w:rsidR="000410B4" w:rsidRPr="00D637A7" w:rsidRDefault="008E2D0D" w:rsidP="00D637A7">
      <w:pPr>
        <w:pStyle w:val="JuPara"/>
      </w:pPr>
      <w:r w:rsidRPr="00D637A7">
        <w:fldChar w:fldCharType="begin"/>
      </w:r>
      <w:r w:rsidRPr="00D637A7">
        <w:instrText xml:space="preserve"> SEQ level0 \*arabic </w:instrText>
      </w:r>
      <w:r w:rsidRPr="00D637A7">
        <w:fldChar w:fldCharType="separate"/>
      </w:r>
      <w:r w:rsidR="006D0886">
        <w:rPr>
          <w:noProof/>
        </w:rPr>
        <w:t>65</w:t>
      </w:r>
      <w:r w:rsidRPr="00D637A7">
        <w:fldChar w:fldCharType="end"/>
      </w:r>
      <w:bookmarkEnd w:id="39"/>
      <w:bookmarkEnd w:id="40"/>
      <w:r>
        <w:t>.  Ustawa o Sądzie Najwyższym z 2017 r. w swoim pierwotnym brzmieniu określała zakres właściwości tej izby w następujący sposób:</w:t>
      </w:r>
    </w:p>
    <w:p w14:paraId="30B93A45" w14:textId="77777777" w:rsidR="000410B4" w:rsidRPr="00D637A7" w:rsidRDefault="008E2D0D" w:rsidP="00D637A7">
      <w:pPr>
        <w:pStyle w:val="JuHArticle"/>
      </w:pPr>
      <w:r>
        <w:t>Artykuł 26 § 1</w:t>
      </w:r>
    </w:p>
    <w:p w14:paraId="4CFD2A8E" w14:textId="77777777" w:rsidR="000410B4" w:rsidRPr="00D637A7" w:rsidRDefault="008E2D0D" w:rsidP="00D637A7">
      <w:pPr>
        <w:pStyle w:val="JuQuot"/>
      </w:pPr>
      <w:r>
        <w:t>„Do właściwości Izby Kontroli Nadzwyczajnej i Spraw Publicznych należy rozpatrywanie skarg nadzwyczajnych, rozpoznawanie protestów wyborczych i protestów przeciwko ważności referendum ogólnokrajowego i referendum konstytucyjnego oraz stwierdzanie ważności wyborów i referendum, inne sprawy z zakresu prawa publicznego, w tym sprawy z zakresu ochrony konkurencji, regulacji energetyki, telekomunikacji i transportu kolejowego oraz sprawy, w których złożono odwołanie od decyzji Przewodniczącego Krajowej Rady Radiofonii i Telewizji, a także skargi dotyczące przewlekłości postępowania przed sądami powszechnymi i wojskowymi oraz Sądem Najwyższym”.</w:t>
      </w:r>
    </w:p>
    <w:p w14:paraId="275659FC" w14:textId="77777777" w:rsidR="000410B4" w:rsidRPr="00D637A7" w:rsidRDefault="00000000" w:rsidP="00D637A7">
      <w:pPr>
        <w:pStyle w:val="JuPara"/>
      </w:pPr>
      <w:fldSimple w:instr=" SEQ level0 \*arabic \* MERGEFORMAT ">
        <w:r w:rsidR="006D0886">
          <w:rPr>
            <w:noProof/>
          </w:rPr>
          <w:t>66</w:t>
        </w:r>
      </w:fldSimple>
      <w:r w:rsidR="008E2D0D">
        <w:t>.  Dnia 20 grudnia 2019 r. Sejm uchwalił Ustawę o zmianie ustawy Prawo o ustroju sądów powszechnych, ustawy o Sądzie Najwyższym oraz niektórych innych ustaw („Ustawa zmieniająca z 2019 r.”).</w:t>
      </w:r>
    </w:p>
    <w:p w14:paraId="36C6EE91" w14:textId="408BC89F" w:rsidR="000410B4" w:rsidRPr="00D637A7" w:rsidRDefault="008E2D0D" w:rsidP="00D637A7">
      <w:pPr>
        <w:pStyle w:val="JuPara"/>
      </w:pPr>
      <w:r>
        <w:t>Ustawą zmieniającą z 2019 r., która weszła w życie 14 lutego 2020 r.</w:t>
      </w:r>
      <w:r w:rsidR="001C68C8">
        <w:t>,</w:t>
      </w:r>
      <w:r>
        <w:t xml:space="preserve"> wprowadzono nowe przewinienia i kary dyscyplinarne dla sędziów, w tym </w:t>
      </w:r>
      <w:r>
        <w:lastRenderedPageBreak/>
        <w:t>za kwestionowanie zgodności z prawem nominacji sędziowskich dokonanych przy udziale nowej KRS.</w:t>
      </w:r>
    </w:p>
    <w:bookmarkStart w:id="41" w:name="domestic_law_2019AmendingActcited"/>
    <w:bookmarkStart w:id="42" w:name="Amendin_Act_2019_2"/>
    <w:p w14:paraId="08BAF83C"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67</w:t>
      </w:r>
      <w:r w:rsidRPr="00D637A7">
        <w:fldChar w:fldCharType="end"/>
      </w:r>
      <w:bookmarkEnd w:id="41"/>
      <w:bookmarkEnd w:id="42"/>
      <w:r>
        <w:t>.  Zgodnie z art. 10 ustawy zmieniającej z 2019 r. – będącym przepisem przejściowym – ustawę stosuje się także do spraw, które podlegają rozpoznaniu przez Izbę Kontroli Nadzwyczajnej i Spraw Publicznych Sądu Najwyższego, wszczętych i niezakończonych prawomocnym orzeczeniem przed dniem wejścia w życie tej ustawy.</w:t>
      </w:r>
    </w:p>
    <w:bookmarkStart w:id="43" w:name="Amending_Act_2019_3"/>
    <w:bookmarkStart w:id="44" w:name="CERPA_jurisdiction_1"/>
    <w:p w14:paraId="07D1DB2F" w14:textId="793B4D26"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68</w:t>
      </w:r>
      <w:r w:rsidRPr="00D637A7">
        <w:fldChar w:fldCharType="end"/>
      </w:r>
      <w:bookmarkEnd w:id="43"/>
      <w:bookmarkEnd w:id="44"/>
      <w:r>
        <w:t xml:space="preserve">.  Ustawą zmieniającą z 2019 r. rozszerzono zakres właściwości izby. Od tego czasu ma ona wyłączną właściwość w zakresie wyłączania sędziów, wszelkich wniosków </w:t>
      </w:r>
      <w:r w:rsidR="0007167E">
        <w:t>lub oświadczeń dotyczących</w:t>
      </w:r>
      <w:r>
        <w:t xml:space="preserve"> braku niezależności sądu lub braku niezawisłości sędziego, a także skarg o stwierdzenie niezgodności z prawem prawomocnego orzeczenia, „jeżeli niezgodność z prawem polega na podważeniu statusu osoby powołanej do pełnienia urzędu na stanowisku sędziego, która wydała orzeczenie w sprawie”.</w:t>
      </w:r>
    </w:p>
    <w:p w14:paraId="18D25532" w14:textId="77777777" w:rsidR="000410B4" w:rsidRPr="00D637A7" w:rsidRDefault="008E2D0D" w:rsidP="00D637A7">
      <w:pPr>
        <w:pStyle w:val="JuHArticle"/>
      </w:pPr>
      <w:r>
        <w:t>Artykuł 26</w:t>
      </w:r>
      <w:r>
        <w:rPr>
          <w:rStyle w:val="Odwoanieprzypisudolnego"/>
        </w:rPr>
        <w:footnoteReference w:id="5"/>
      </w:r>
    </w:p>
    <w:p w14:paraId="581B1EB4" w14:textId="77777777" w:rsidR="000410B4" w:rsidRPr="00D637A7" w:rsidRDefault="008E2D0D" w:rsidP="00D637A7">
      <w:pPr>
        <w:pStyle w:val="JuQuot"/>
      </w:pPr>
      <w:r>
        <w:t>„§ 2.  Do właściwości Izby Kontroli Nadzwyczajnej i Spraw Publicznych należy rozpoznawanie wniosków lub oświadczeń dotyczących wyłączenia sędziego albo o oznaczenie sądu, przed którym ma się toczyć postępowanie, obejmujących zarzut braku niezależności sądu lub braku niezawisłości sędziego. Sąd rozpoznający sprawę przekazuje niezwłocznie wniosek Prezesowi Izby Kontroli Nadzwyczajnej i Spraw Publicznych celem nadania mu dalszego biegu na zasadach określonych w odrębnych przepisach. Przekazanie wniosku Prezesowi Izby Kontroli Nadzwyczajnej i Spraw Publicznych nie wstrzymuje biegu toczącego się postępowania.</w:t>
      </w:r>
    </w:p>
    <w:p w14:paraId="2375BA6E" w14:textId="77777777" w:rsidR="000410B4" w:rsidRPr="00D637A7" w:rsidRDefault="008E2D0D" w:rsidP="00D637A7">
      <w:pPr>
        <w:pStyle w:val="JuQuot"/>
      </w:pPr>
      <w:r>
        <w:t>§ 3.  Wniosek, o którym mowa w § 2, pozostawia się bez rozpoznania, jeżeli obejmuje ustalenie oraz ocenę zgodności z prawem powołania sędziego lub jego umocowania do wykonywania zadań z zakresu wymiaru sprawiedliwości.</w:t>
      </w:r>
    </w:p>
    <w:p w14:paraId="767DDC09" w14:textId="77777777" w:rsidR="000410B4" w:rsidRPr="00D637A7" w:rsidRDefault="008E2D0D" w:rsidP="00D637A7">
      <w:pPr>
        <w:pStyle w:val="JuQuot"/>
      </w:pPr>
      <w:r>
        <w:t>§ 4.  Do właściwości Izby Kontroli Nadzwyczajnej i Spraw Publicznych należy rozpoznawanie skarg o stwierdzenie niezgodności z prawem prawomocnego orzeczenia Sądu Najwyższego, sądów powszechnych, sądów wojskowych oraz sądów administracyjnych, w tym Naczelnego Sądu Administracyjnego, jeżeli niezgodność z prawem polega na podważeniu statusu osoby powołanej do pełnienia urzędu na stanowisku sędziego, która wydała orzeczenie w sprawie.</w:t>
      </w:r>
    </w:p>
    <w:p w14:paraId="556F2973" w14:textId="77777777" w:rsidR="000410B4" w:rsidRPr="00D637A7" w:rsidRDefault="008E2D0D" w:rsidP="00D637A7">
      <w:pPr>
        <w:pStyle w:val="JuQuot"/>
      </w:pPr>
      <w:r>
        <w:t>§ 5.  Do postępowania w sprawach, o których mowa w § 4, stosuje się odpowiednie przepisy o stwierdzeniu niezgodności z prawem prawomocnych orzeczeń, a w sprawach karnych przepisy o wznowieniu postępowania sądowego zakończonego prawomocnym orzeczeniem. Nie jest konieczne uprawdopodobnienie ani wyrządzenie szkody, spowodowanej przez wydanie orzeczenia, którego skarga dotyczy.</w:t>
      </w:r>
    </w:p>
    <w:p w14:paraId="2495F513" w14:textId="77777777" w:rsidR="000410B4" w:rsidRPr="00D637A7" w:rsidRDefault="008E2D0D" w:rsidP="00D637A7">
      <w:pPr>
        <w:pStyle w:val="JuQuot"/>
      </w:pPr>
      <w:r>
        <w:t>§ 6.  Skargę o stwierdzenie niezgodności z prawem prawomocnego orzeczenia, o którym mowa w § 4, można wnieść do Sądu Najwyższego – Izby Kontroli Nadzwyczajnej i Spraw Publicznych, z pominięciem sądu, który wydał zaskarżone orzeczenie, a także w razie nieskorzystania przez stronę z przysługujących jej środków prawnych, w tym skargi nadzwyczajnej do Sądu Najwyższego”.</w:t>
      </w:r>
    </w:p>
    <w:p w14:paraId="27E79AA4" w14:textId="77777777" w:rsidR="000410B4" w:rsidRPr="00D637A7" w:rsidRDefault="008E2D0D" w:rsidP="00D637A7">
      <w:pPr>
        <w:pStyle w:val="JuHa0"/>
      </w:pPr>
      <w:r>
        <w:lastRenderedPageBreak/>
        <w:t>Skargi nadzwyczajne</w:t>
      </w:r>
    </w:p>
    <w:bookmarkStart w:id="45" w:name="Extraordinary_appeals"/>
    <w:bookmarkStart w:id="46" w:name="CERPA_Extraordinary_appeals"/>
    <w:p w14:paraId="7B245D04" w14:textId="47D1C453"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bookmarkStart w:id="47" w:name="paragraph00029"/>
      <w:r w:rsidR="006D0886">
        <w:rPr>
          <w:noProof/>
        </w:rPr>
        <w:t>69</w:t>
      </w:r>
      <w:bookmarkEnd w:id="47"/>
      <w:r w:rsidRPr="00D637A7">
        <w:fldChar w:fldCharType="end"/>
      </w:r>
      <w:bookmarkEnd w:id="45"/>
      <w:bookmarkEnd w:id="46"/>
      <w:r>
        <w:t>.  Właściwe przepisy w brzmieniu obowiązującym w czasie istotnym dla sprawy stanowi</w:t>
      </w:r>
      <w:r w:rsidR="00874B5D">
        <w:t>ły</w:t>
      </w:r>
      <w:r>
        <w:t>, co następuje:</w:t>
      </w:r>
    </w:p>
    <w:p w14:paraId="3D1161AF" w14:textId="77777777" w:rsidR="000410B4" w:rsidRPr="00D637A7" w:rsidRDefault="008E2D0D" w:rsidP="00D637A7">
      <w:pPr>
        <w:pStyle w:val="JuHArticle"/>
      </w:pPr>
      <w:r>
        <w:t>Artykuł 89</w:t>
      </w:r>
    </w:p>
    <w:p w14:paraId="5EDD3A88" w14:textId="77777777" w:rsidR="000410B4" w:rsidRPr="00D637A7" w:rsidRDefault="008E2D0D" w:rsidP="00D637A7">
      <w:pPr>
        <w:pStyle w:val="JuQuot"/>
      </w:pPr>
      <w:r>
        <w:t>„§ 1. Jeżeli jest to konieczne dla zapewnienia zgodności z zasadą demokratycznego państwa prawnego urzeczywistniającego zasady sprawiedliwości społecznej, od prawomocnego orzeczenia sądu powszechnego lub sądu wojskowego kończącego postępowanie w sprawie może być wniesiona skarga nadzwyczajna, o ile:</w:t>
      </w:r>
    </w:p>
    <w:p w14:paraId="681B69F1" w14:textId="77777777" w:rsidR="000410B4" w:rsidRPr="00D637A7" w:rsidRDefault="008E2D0D" w:rsidP="00D637A7">
      <w:pPr>
        <w:pStyle w:val="JuQuot"/>
      </w:pPr>
      <w:r>
        <w:t>1) orzeczenie narusza zasady lub wolności i prawa człowieka i obywatela określone w Konstytucji lub</w:t>
      </w:r>
    </w:p>
    <w:p w14:paraId="7EBC2A06" w14:textId="77777777" w:rsidR="000410B4" w:rsidRPr="00D637A7" w:rsidRDefault="008E2D0D" w:rsidP="00D637A7">
      <w:pPr>
        <w:pStyle w:val="JuQuot"/>
      </w:pPr>
      <w:r>
        <w:t>2) orzeczenie w sposób rażący narusza prawo przez błędną jego wykładnię lub niewłaściwe zastosowanie, lub</w:t>
      </w:r>
    </w:p>
    <w:p w14:paraId="13A52277" w14:textId="77777777" w:rsidR="000410B4" w:rsidRPr="00D637A7" w:rsidRDefault="008E2D0D" w:rsidP="00D637A7">
      <w:pPr>
        <w:pStyle w:val="JuQuot"/>
      </w:pPr>
      <w:r>
        <w:t>3) zachodzi oczywista sprzeczność istotnych ustaleń sądu z treścią zebranego w sprawie materiału dowodowego</w:t>
      </w:r>
    </w:p>
    <w:p w14:paraId="4127F37E" w14:textId="77777777" w:rsidR="000410B4" w:rsidRPr="00D637A7" w:rsidRDefault="008E2D0D" w:rsidP="00D637A7">
      <w:pPr>
        <w:pStyle w:val="JuQuot"/>
      </w:pPr>
      <w:r>
        <w:t>– a orzeczenie nie może być uchylone lub zmienione w trybie innych nadzwyczajnych środków zaskarżenia.</w:t>
      </w:r>
    </w:p>
    <w:p w14:paraId="34B4EE75" w14:textId="77777777" w:rsidR="000410B4" w:rsidRPr="00D637A7" w:rsidRDefault="008E2D0D" w:rsidP="00D637A7">
      <w:pPr>
        <w:pStyle w:val="JuQuot"/>
      </w:pPr>
      <w:r>
        <w:t>§ 2. Skargę nadzwyczajną może wnieść Prokurator Generalny, Rzecznik Praw Obywatelskich oraz, w zakresie swojej właściwości, Prezes Prokuratorii Generalnej Rzeczypospolitej Polskiej, Rzecznik Praw Dziecka, Rzecznik Praw Pacjenta, Przewodniczący Komisji Nadzoru Finansowego, Rzecznik Finansowy, Rzecznik Małych i Średnich Przedsiębiorców i Prezes Urzędu Ochrony Konkurencji i Konsumentów.</w:t>
      </w:r>
    </w:p>
    <w:p w14:paraId="1C2CD580" w14:textId="77777777" w:rsidR="000410B4" w:rsidRPr="00D637A7" w:rsidRDefault="008E2D0D" w:rsidP="00D637A7">
      <w:pPr>
        <w:pStyle w:val="JuQuot"/>
      </w:pPr>
      <w:r>
        <w:t>§ 3. Skargę nadzwyczajną wnosi się w terminie 5 lat od dnia uprawomocnienia się zaskarżonego orzeczenia, a jeżeli od orzeczenia została wniesiona kasacja albo skarga kasacyjna – w terminie roku od dnia ich rozpoznania. Niedopuszczalne jest uwzględnienie skargi nadzwyczajnej na niekorzyść oskarżonego wniesionej po upływie roku od dnia uprawomocnienia się orzeczenia, a jeżeli od orzeczenia została wniesiona kasacja albo skarga kasacyjna – po upływie 6 miesięcy od dnia jej rozpoznania.</w:t>
      </w:r>
    </w:p>
    <w:p w14:paraId="7F073E8D" w14:textId="77777777" w:rsidR="000410B4" w:rsidRPr="00D637A7" w:rsidRDefault="008E2D0D" w:rsidP="00D637A7">
      <w:pPr>
        <w:pStyle w:val="JuQuot"/>
      </w:pPr>
      <w:r>
        <w:t>§ 4. Jeżeli zachodzą przesłanki wskazane w § 1, a zaskarżone orzeczenie wywołało nieodwracalne skutki prawne, w szczególności jeżeli od dnia uprawomocnienia się zaskarżonego orzeczenia upłynęło 5 lat, a także jeżeli uchylenie orzeczenia naruszyłoby międzynarodowe zobowiązania Rzeczypospolitej Polskiej, Sąd Najwyższy ogranicza się do stwierdzenia wydania zaskarżonego orzeczenia z naruszeniem prawa oraz wskazania okoliczności, z powodu których wydał takie rozstrzygnięcie, chyba że zasady lub wolności i prawa człowieka i obywatela określone w Konstytucji przemawiają za wydaniem rozstrzygnięcia, o którym mowa w art. 91 § 1”.</w:t>
      </w:r>
    </w:p>
    <w:p w14:paraId="53F7AA1F" w14:textId="77777777" w:rsidR="000410B4" w:rsidRPr="00D637A7" w:rsidRDefault="008E2D0D" w:rsidP="00D637A7">
      <w:pPr>
        <w:pStyle w:val="JuHArticle"/>
      </w:pPr>
      <w:r>
        <w:t>Artykuł 90</w:t>
      </w:r>
    </w:p>
    <w:p w14:paraId="5F464DB0" w14:textId="77777777" w:rsidR="000410B4" w:rsidRPr="00D637A7" w:rsidRDefault="008E2D0D" w:rsidP="00D637A7">
      <w:pPr>
        <w:pStyle w:val="JuQuot"/>
      </w:pPr>
      <w:r>
        <w:t>„§ 1. Od tego samego orzeczenia w interesie tej samej strony skarga nadzwyczajna może być wniesiona tylko raz.</w:t>
      </w:r>
    </w:p>
    <w:p w14:paraId="271F3E64" w14:textId="77777777" w:rsidR="000410B4" w:rsidRPr="00D637A7" w:rsidRDefault="008E2D0D" w:rsidP="00D637A7">
      <w:pPr>
        <w:pStyle w:val="JuQuot"/>
      </w:pPr>
      <w:r>
        <w:t>§ 2. Skargi nadzwyczajnej nie można oprzeć na zarzutach, które były przedmiotem rozpoznawania skargi kasacyjnej lub kasacji przyjętej do rozpoznania przez Sąd Najwyższy.</w:t>
      </w:r>
    </w:p>
    <w:p w14:paraId="74A959EB" w14:textId="77777777" w:rsidR="000410B4" w:rsidRPr="00D637A7" w:rsidRDefault="008E2D0D" w:rsidP="00D637A7">
      <w:pPr>
        <w:pStyle w:val="JuQuot"/>
      </w:pPr>
      <w:r>
        <w:lastRenderedPageBreak/>
        <w:t>§ 3. Skarga nadzwyczajna nie jest dopuszczalna od wyroku ustalającego nieistnienie małżeństwa, orzekającego unieważnienie małżeństwa albo rozwód, jeżeli choćby jedna ze stron po uprawomocnieniu się takiego orzeczenia zawarła związek małżeński, oraz od postanowienia o przysposobieniu.</w:t>
      </w:r>
    </w:p>
    <w:p w14:paraId="1FEB732D" w14:textId="77777777" w:rsidR="000410B4" w:rsidRPr="00D637A7" w:rsidRDefault="008E2D0D" w:rsidP="00D637A7">
      <w:pPr>
        <w:pStyle w:val="JuQuot"/>
      </w:pPr>
      <w:r>
        <w:t>§ 4. Skarga nadzwyczajna nie jest dopuszczalna w sprawach o wykroczenia i wykroczenia skarbowe.</w:t>
      </w:r>
    </w:p>
    <w:p w14:paraId="26AE40EB" w14:textId="77777777" w:rsidR="000410B4" w:rsidRPr="00D637A7" w:rsidRDefault="008E2D0D" w:rsidP="00D637A7">
      <w:pPr>
        <w:pStyle w:val="JuHArticle"/>
      </w:pPr>
      <w:r>
        <w:t>Artykuł 91</w:t>
      </w:r>
    </w:p>
    <w:p w14:paraId="05FD3A5C" w14:textId="77777777" w:rsidR="000410B4" w:rsidRPr="00D637A7" w:rsidRDefault="008E2D0D" w:rsidP="00D637A7">
      <w:pPr>
        <w:pStyle w:val="JuQuot"/>
      </w:pPr>
      <w:r>
        <w:t>„§ 1. W przypadku uwzględnienia skargi nadzwyczajnej, Sąd Najwyższy uchyla zaskarżone orzeczenie w całości lub w części i stosownie do wyników postępowania orzeka co do istoty sprawy albo przekazuje sprawę do ponownego rozpoznania właściwemu sądowi, w razie potrzeby uchylając także orzeczenie sądu pierwszej instancji, albo umarza postępowanie. Sąd Najwyższy oddala skargę nadzwyczajną, jeżeli stwierdzi brak podstawy do uchylenia zaskarżonego orzeczenia.</w:t>
      </w:r>
    </w:p>
    <w:p w14:paraId="5EB49DBB" w14:textId="77777777" w:rsidR="000410B4" w:rsidRPr="00D637A7" w:rsidRDefault="008E2D0D" w:rsidP="00D637A7">
      <w:pPr>
        <w:pStyle w:val="JuHArticle"/>
      </w:pPr>
      <w:r>
        <w:t>Artykuł 94</w:t>
      </w:r>
    </w:p>
    <w:p w14:paraId="5214059F" w14:textId="77777777" w:rsidR="000410B4" w:rsidRPr="00D637A7" w:rsidRDefault="008E2D0D" w:rsidP="00D637A7">
      <w:pPr>
        <w:pStyle w:val="JuQuot"/>
      </w:pPr>
      <w:r>
        <w:t>„§ 1. Skargę nadzwyczajną rozpoznaje Sąd Najwyższy w składzie 2 sędziów Sądu Najwyższego orzekających w Izbie Kontroli Nadzwyczajnej i Spraw Publicznych oraz 1 ławnika Sądu Najwyższego.</w:t>
      </w:r>
    </w:p>
    <w:p w14:paraId="652873CF" w14:textId="77777777" w:rsidR="000410B4" w:rsidRPr="00D637A7" w:rsidRDefault="008E2D0D" w:rsidP="00D637A7">
      <w:pPr>
        <w:pStyle w:val="JuQuot"/>
      </w:pPr>
      <w:r>
        <w:t>§ 2. Jeżeli skarga nadzwyczajna dotyczy orzeczenia zapadłego w wyniku postępowania, w którego toku orzeczenie wydał Sąd Najwyższy, sprawę rozpoznaje Sąd Najwyższy w składzie 5 sędziów Sądu Najwyższego orzekających w Izbie Kontroli Nadzwyczajnej i Spraw Publicznych oraz 2 ławników Sądu Najwyższego”.</w:t>
      </w:r>
    </w:p>
    <w:p w14:paraId="5BEFBE3D" w14:textId="77777777" w:rsidR="000410B4" w:rsidRPr="00D637A7" w:rsidRDefault="008E2D0D" w:rsidP="00CF77E9">
      <w:pPr>
        <w:pStyle w:val="JuHArticle"/>
        <w:tabs>
          <w:tab w:val="left" w:pos="3119"/>
        </w:tabs>
      </w:pPr>
      <w:r>
        <w:t>Artykuł 115</w:t>
      </w:r>
    </w:p>
    <w:p w14:paraId="17621589" w14:textId="77777777" w:rsidR="000410B4" w:rsidRPr="00D637A7" w:rsidRDefault="008E2D0D" w:rsidP="00D637A7">
      <w:pPr>
        <w:pStyle w:val="JuQuot"/>
      </w:pPr>
      <w:r>
        <w:t>„§ 1. W okresie 3 lat od dnia wejścia w życie niniejszej ustawy skarga nadzwyczajna może być wniesiona od prawomocnych orzeczeń kończących postępowanie w sprawach, które uprawomocniły się po dniu 17 października 1997 r</w:t>
      </w:r>
      <w:r>
        <w:rPr>
          <w:rStyle w:val="Odwoanieprzypisudolnego"/>
        </w:rPr>
        <w:footnoteReference w:id="6"/>
      </w:r>
      <w:r>
        <w:t>. Przepisu art. 89 § 3 zdanie pierwsze nie stosuje się.</w:t>
      </w:r>
    </w:p>
    <w:p w14:paraId="28E0E769" w14:textId="77777777" w:rsidR="000410B4" w:rsidRPr="00D637A7" w:rsidRDefault="008E2D0D" w:rsidP="00D637A7">
      <w:pPr>
        <w:pStyle w:val="JuQuot"/>
      </w:pPr>
      <w:r>
        <w:t>§ 1a. Skarga nadzwyczajna od prawomocnego orzeczenia kończącego postępowanie w sprawie, które uprawomocniło się przed wejściem w życie niniejszej ustawy, może być wniesiona przez Prokuratora Generalnego lub Rzecznika Praw Obywatelskich. Przepisu art. 89 § 2 nie stosuje się.</w:t>
      </w:r>
    </w:p>
    <w:p w14:paraId="571A7B4A" w14:textId="77777777" w:rsidR="000410B4" w:rsidRPr="00D637A7" w:rsidRDefault="008E2D0D" w:rsidP="00D637A7">
      <w:pPr>
        <w:pStyle w:val="JuQuot"/>
      </w:pPr>
      <w:r>
        <w:t>§ 2. Jeżeli zachodzą przesłanki wskazane w art. 89 § 1, a zaskarżone orzeczenie wywołało nieodwracalne skutki prawne, w szczególności jeżeli od dnia uprawomocnienia się zaskarżonego orzeczenia upłynęło 5 lat, a także jeżeli uchylenie orzeczenia naruszyłoby międzynarodowe zobowiązania Rzeczypospolitej Polskiej, Sąd Najwyższy ogranicza się do stwierdzenia wydania zaskarżonego orzeczenia z naruszeniem prawa oraz wskazania okoliczności, z powodu których wydał takie rozstrzygnięcie, chyba że zasady lub wolności i prawa człowieka i obywatela określone w Konstytucji przemawiają za wydaniem rozstrzygnięcia, o którym mowa w art. 91 § 1”.</w:t>
      </w:r>
    </w:p>
    <w:bookmarkStart w:id="48" w:name="Extraordinary_appeals_1"/>
    <w:p w14:paraId="2DF89F0D" w14:textId="7F8DB6AE" w:rsidR="000410B4" w:rsidRPr="00D637A7" w:rsidRDefault="008E2D0D" w:rsidP="00D637A7">
      <w:pPr>
        <w:pStyle w:val="JuPara"/>
      </w:pPr>
      <w:r w:rsidRPr="00D637A7">
        <w:lastRenderedPageBreak/>
        <w:fldChar w:fldCharType="begin"/>
      </w:r>
      <w:r w:rsidRPr="00D637A7">
        <w:instrText xml:space="preserve"> SEQ level0 \*arabic \* MERGEFORMAT </w:instrText>
      </w:r>
      <w:r w:rsidRPr="00D637A7">
        <w:fldChar w:fldCharType="separate"/>
      </w:r>
      <w:r w:rsidR="006D0886">
        <w:rPr>
          <w:noProof/>
        </w:rPr>
        <w:t>70</w:t>
      </w:r>
      <w:r w:rsidRPr="00D637A7">
        <w:fldChar w:fldCharType="end"/>
      </w:r>
      <w:bookmarkEnd w:id="48"/>
      <w:r>
        <w:t xml:space="preserve">.  Dnia 30 marca 2021 r. art. 115 zmieniono, a okres </w:t>
      </w:r>
      <w:r w:rsidR="00874B5D">
        <w:t>3</w:t>
      </w:r>
      <w:r>
        <w:t xml:space="preserve"> lat, o którym mowa w ust. 1, przedłużono do </w:t>
      </w:r>
      <w:r w:rsidR="00874B5D">
        <w:t>6</w:t>
      </w:r>
      <w:r>
        <w:t xml:space="preserve"> lat, </w:t>
      </w:r>
      <w:r w:rsidR="00874B5D">
        <w:t>zatem</w:t>
      </w:r>
      <w:r>
        <w:t xml:space="preserve"> do 3 kwietnia 2024 r. Zmiany weszły w życie w dniu 2 kwietnia 2021 r.</w:t>
      </w:r>
    </w:p>
    <w:p w14:paraId="35FA6F0B" w14:textId="77777777" w:rsidR="000410B4" w:rsidRPr="00D637A7" w:rsidRDefault="008E2D0D" w:rsidP="00D637A7">
      <w:pPr>
        <w:pStyle w:val="JuH1"/>
      </w:pPr>
      <w:r>
        <w:t>Kasacje i skargi kasacyjne</w:t>
      </w:r>
    </w:p>
    <w:p w14:paraId="6382D11C" w14:textId="183EAD61" w:rsidR="000410B4" w:rsidRPr="00D637A7" w:rsidRDefault="00000000" w:rsidP="00874B5D">
      <w:pPr>
        <w:pStyle w:val="JuPara"/>
        <w:spacing w:after="120"/>
      </w:pPr>
      <w:fldSimple w:instr=" SEQ level0 \*arabic \* MERGEFORMAT ">
        <w:r w:rsidR="006D0886">
          <w:rPr>
            <w:noProof/>
          </w:rPr>
          <w:t>71</w:t>
        </w:r>
      </w:fldSimple>
      <w:r w:rsidR="008E2D0D">
        <w:t>.  </w:t>
      </w:r>
      <w:r w:rsidR="00874B5D">
        <w:t xml:space="preserve">Zgodnie z </w:t>
      </w:r>
      <w:r w:rsidR="008E2D0D">
        <w:t>Kodeks</w:t>
      </w:r>
      <w:r w:rsidR="00874B5D">
        <w:t>em</w:t>
      </w:r>
      <w:r w:rsidR="008E2D0D">
        <w:t xml:space="preserve"> postępowania karnego kasacja </w:t>
      </w:r>
      <w:r w:rsidR="00874B5D">
        <w:t>stanowi</w:t>
      </w:r>
      <w:r w:rsidR="008E2D0D">
        <w:t xml:space="preserve"> nadzwyczajny środek zaskarżenia. Właściwe przepisy </w:t>
      </w:r>
      <w:r w:rsidR="00CF77E9">
        <w:t>mają następujące brzmienie</w:t>
      </w:r>
      <w:r w:rsidR="008E2D0D">
        <w:t>:</w:t>
      </w:r>
    </w:p>
    <w:p w14:paraId="2C9D1064" w14:textId="77777777" w:rsidR="000410B4" w:rsidRPr="00D637A7" w:rsidRDefault="008E2D0D" w:rsidP="00CF77E9">
      <w:pPr>
        <w:pStyle w:val="JuQuot"/>
        <w:ind w:left="2585" w:firstLine="534"/>
        <w:rPr>
          <w:b/>
          <w:bCs/>
        </w:rPr>
      </w:pPr>
      <w:r>
        <w:rPr>
          <w:b/>
          <w:bCs/>
        </w:rPr>
        <w:t>Artykuł 524</w:t>
      </w:r>
    </w:p>
    <w:p w14:paraId="208A916A" w14:textId="77777777" w:rsidR="000410B4" w:rsidRPr="00D637A7" w:rsidRDefault="008E2D0D" w:rsidP="00D637A7">
      <w:pPr>
        <w:pStyle w:val="JuQuot"/>
      </w:pPr>
      <w:r>
        <w:t>„§ 1. Termin do wniesienia kasacji dla stron wynosi 30 dni od daty doręczenia orzeczenia z uzasadnieniem […].</w:t>
      </w:r>
    </w:p>
    <w:p w14:paraId="7EF9551D" w14:textId="77777777" w:rsidR="000410B4" w:rsidRPr="00D637A7" w:rsidRDefault="008E2D0D" w:rsidP="00D637A7">
      <w:pPr>
        <w:pStyle w:val="JuQuot"/>
      </w:pPr>
      <w:r>
        <w:t>§ 2. Terminu do wniesienia kasacji wskazanego w § 1 nie stosuje się do kasacji wnoszonej przez Prokuratora Generalnego, Rzecznika Praw Obywatelskich i Rzecznika Praw Dziecka.</w:t>
      </w:r>
    </w:p>
    <w:p w14:paraId="3E432FEC" w14:textId="77777777" w:rsidR="000410B4" w:rsidRPr="00D637A7" w:rsidRDefault="008E2D0D" w:rsidP="00D637A7">
      <w:pPr>
        <w:pStyle w:val="JuQuot"/>
      </w:pPr>
      <w:r>
        <w:t>§ 3. Niedopuszczalne jest uwzględnienie kasacji na niekorzyść oskarżonego wniesionej po upływie roku od daty uprawomocnienia się orzeczenia”.</w:t>
      </w:r>
    </w:p>
    <w:p w14:paraId="32924A46" w14:textId="77777777" w:rsidR="000410B4" w:rsidRPr="00D637A7" w:rsidRDefault="00000000" w:rsidP="00D637A7">
      <w:pPr>
        <w:pStyle w:val="JuPara"/>
      </w:pPr>
      <w:fldSimple w:instr=" SEQ level0 \*arabic \* MERGEFORMAT ">
        <w:r w:rsidR="006D0886">
          <w:rPr>
            <w:noProof/>
          </w:rPr>
          <w:t>72</w:t>
        </w:r>
      </w:fldSimple>
      <w:r w:rsidR="008E2D0D">
        <w:t>.  W Kodeksie postępowania cywilnego skarga kasacyjna jest jednym ze środków zaskarżenia, z którego mogą skorzystać strony. W istotnym zakresie stanowi on, co następuje:</w:t>
      </w:r>
    </w:p>
    <w:p w14:paraId="31383B98" w14:textId="77777777" w:rsidR="000410B4" w:rsidRPr="00D637A7" w:rsidRDefault="008E2D0D" w:rsidP="00CF77E9">
      <w:pPr>
        <w:pStyle w:val="JuHArticle"/>
        <w:tabs>
          <w:tab w:val="left" w:pos="3402"/>
        </w:tabs>
      </w:pPr>
      <w:r>
        <w:t>Artykuł 398</w:t>
      </w:r>
      <w:r>
        <w:rPr>
          <w:vertAlign w:val="superscript"/>
        </w:rPr>
        <w:t>5</w:t>
      </w:r>
    </w:p>
    <w:p w14:paraId="5552F9BA" w14:textId="77777777" w:rsidR="000410B4" w:rsidRPr="00D637A7" w:rsidRDefault="008E2D0D" w:rsidP="00D637A7">
      <w:pPr>
        <w:pStyle w:val="JuQuot"/>
      </w:pPr>
      <w:r>
        <w:t>„§ 1. Skargę kasacyjną wnosi się do sądu, który wydał zaskarżone orzeczenie, w terminie dwóch miesięcy od dnia doręczenia orzeczenia z uzasadnieniem stronie skarżącej.</w:t>
      </w:r>
    </w:p>
    <w:p w14:paraId="6B4347A8" w14:textId="77777777" w:rsidR="000410B4" w:rsidRPr="00D637A7" w:rsidRDefault="008E2D0D" w:rsidP="00D637A7">
      <w:pPr>
        <w:pStyle w:val="JuQuot"/>
      </w:pPr>
      <w:r>
        <w:t>§ 2. Termin do wniesienia skargi kasacyjnej przez Prokuratora Generalnego, Rzecznika Praw Obywatelskich i Rzecznika Praw Dziecka wynosi sześć miesięcy od dnia uprawomocnienia się orzeczenia, a jeżeli strona zażądała doręczenia orzeczenia z uzasadnieniem – od chwili doręczenia orzeczenia stronie”.</w:t>
      </w:r>
    </w:p>
    <w:p w14:paraId="0F20F83D" w14:textId="77777777" w:rsidR="000410B4" w:rsidRPr="00D637A7" w:rsidRDefault="008E2D0D" w:rsidP="00D637A7">
      <w:pPr>
        <w:pStyle w:val="JuH1"/>
      </w:pPr>
      <w:r>
        <w:t>Wznowienie postępowania cywilnego i karnego</w:t>
      </w:r>
    </w:p>
    <w:p w14:paraId="7EDFE78A" w14:textId="77777777" w:rsidR="000410B4" w:rsidRPr="00D637A7" w:rsidRDefault="00000000" w:rsidP="00D637A7">
      <w:pPr>
        <w:pStyle w:val="JuPara"/>
      </w:pPr>
      <w:fldSimple w:instr=" SEQ level0 \*arabic \* MERGEFORMAT ">
        <w:bookmarkStart w:id="49" w:name="paragraph00067"/>
        <w:r w:rsidR="006D0886">
          <w:rPr>
            <w:noProof/>
          </w:rPr>
          <w:t>73</w:t>
        </w:r>
        <w:bookmarkEnd w:id="49"/>
      </w:fldSimple>
      <w:r w:rsidR="008E2D0D">
        <w:t>.  Artykuł 408 Kodeksu postępowania cywilnego stanowi:</w:t>
      </w:r>
    </w:p>
    <w:p w14:paraId="6EC29FDA" w14:textId="77777777" w:rsidR="000410B4" w:rsidRPr="00D637A7" w:rsidRDefault="008E2D0D" w:rsidP="00D637A7">
      <w:pPr>
        <w:pStyle w:val="JuQuot"/>
      </w:pPr>
      <w:r>
        <w:t>„Po upływie lat dziesięciu od dnia uprawomocnienia się wyroku nie można żądać wznowienia, z wyjątkiem przypadku, gdy strona była pozbawiona możności działania lub nie była należycie reprezentowana”.</w:t>
      </w:r>
    </w:p>
    <w:p w14:paraId="3B7B5ED0" w14:textId="77777777" w:rsidR="000410B4" w:rsidRPr="00D637A7" w:rsidRDefault="00000000" w:rsidP="00D637A7">
      <w:pPr>
        <w:pStyle w:val="JuPara"/>
      </w:pPr>
      <w:fldSimple w:instr=" SEQ level0 \*arabic \* MERGEFORMAT ">
        <w:r w:rsidR="006D0886">
          <w:rPr>
            <w:noProof/>
          </w:rPr>
          <w:t>74</w:t>
        </w:r>
      </w:fldSimple>
      <w:r w:rsidR="008E2D0D">
        <w:t>.  Artykuł 542 § 5 Kodeksu postępowania karnego stanowi:</w:t>
      </w:r>
    </w:p>
    <w:p w14:paraId="06F12BB4" w14:textId="77777777" w:rsidR="000410B4" w:rsidRPr="00D637A7" w:rsidRDefault="008E2D0D" w:rsidP="00D637A7">
      <w:pPr>
        <w:pStyle w:val="JuQuot"/>
      </w:pPr>
      <w:r>
        <w:t>„§ 5. Niedopuszczalne jest wznowienie postępowania z urzędu na niekorzyść oskarżonego po upływie roku od daty uprawomocnienia się orzeczenia”.</w:t>
      </w:r>
    </w:p>
    <w:p w14:paraId="6D265F92" w14:textId="77777777" w:rsidR="000410B4" w:rsidRPr="00D637A7" w:rsidRDefault="008E2D0D" w:rsidP="00D637A7">
      <w:pPr>
        <w:pStyle w:val="JuH1"/>
      </w:pPr>
      <w:r>
        <w:t>Skarga o stwierdzenie niezgodności z prawem prawomocnego orzeczenia</w:t>
      </w:r>
    </w:p>
    <w:p w14:paraId="742D534E" w14:textId="77777777" w:rsidR="000410B4" w:rsidRPr="00D637A7" w:rsidRDefault="00000000" w:rsidP="00D637A7">
      <w:pPr>
        <w:pStyle w:val="JuPara"/>
      </w:pPr>
      <w:fldSimple w:instr=" SEQ level0 \*arabic \* MERGEFORMAT ">
        <w:r w:rsidR="006D0886">
          <w:rPr>
            <w:noProof/>
          </w:rPr>
          <w:t>75</w:t>
        </w:r>
      </w:fldSimple>
      <w:r w:rsidR="008E2D0D">
        <w:t>.  Artykuł 424</w:t>
      </w:r>
      <w:r w:rsidR="008E2D0D">
        <w:rPr>
          <w:vertAlign w:val="superscript"/>
        </w:rPr>
        <w:t>1</w:t>
      </w:r>
      <w:r w:rsidR="008E2D0D">
        <w:t xml:space="preserve"> Kodeksu postępowania cywilnego stanowi, co następuje:</w:t>
      </w:r>
    </w:p>
    <w:p w14:paraId="09E1CD80" w14:textId="77777777" w:rsidR="000410B4" w:rsidRPr="00D637A7" w:rsidRDefault="008E2D0D" w:rsidP="00D637A7">
      <w:pPr>
        <w:pStyle w:val="JuHArticle"/>
        <w:rPr>
          <w:vertAlign w:val="superscript"/>
        </w:rPr>
      </w:pPr>
      <w:r>
        <w:lastRenderedPageBreak/>
        <w:t>Artykuł 424</w:t>
      </w:r>
      <w:r>
        <w:rPr>
          <w:vertAlign w:val="superscript"/>
        </w:rPr>
        <w:t>1</w:t>
      </w:r>
    </w:p>
    <w:p w14:paraId="36956C36" w14:textId="77777777" w:rsidR="000410B4" w:rsidRPr="00D637A7" w:rsidRDefault="008E2D0D" w:rsidP="00D637A7">
      <w:pPr>
        <w:pStyle w:val="JuQuot"/>
      </w:pPr>
      <w:r>
        <w:t>„§ 1. Można żądać stwierdzenia niezgodności z prawem prawomocnego wyroku sądu drugiej instancji kończącego postępowanie w sprawie, jeżeli przez jego wydanie stronie została wyrządzona szkoda, a zmiana lub uchylenie tego wyroku w drodze innych środków prawnych przysługujących stronie na podstawie kodeksu nie było i nie jest możliwe.</w:t>
      </w:r>
    </w:p>
    <w:p w14:paraId="1D651CC0" w14:textId="77777777" w:rsidR="000410B4" w:rsidRPr="00D637A7" w:rsidRDefault="008E2D0D" w:rsidP="00D637A7">
      <w:pPr>
        <w:pStyle w:val="JuQuot"/>
      </w:pPr>
      <w:r>
        <w:t>§ 2. W wyjątkowych wypadkach, gdy niezgodność z prawem wynika z naruszenia podstawowych zasad porządku prawnego lub konstytucyjnych wolności albo praw człowieka i obywatela, można także żądać stwierdzenia niezgodności z prawem prawomocnego wyroku sądu pierwszej lub drugiej instancji kończącego postępowanie w sprawie, jeżeli strona nie skorzystała z przysługujących jej środków prawnych, chyba że jest możliwa zmiana lub uchylenie wyroku w drodze innych przysługujących stronie środków prawnych”.</w:t>
      </w:r>
    </w:p>
    <w:p w14:paraId="4B0CB004" w14:textId="77777777" w:rsidR="000410B4" w:rsidRPr="00D637A7" w:rsidRDefault="008E2D0D" w:rsidP="00D637A7">
      <w:pPr>
        <w:pStyle w:val="JuPara"/>
      </w:pPr>
      <w:r>
        <w:t>Zgodnie z art. 424</w:t>
      </w:r>
      <w:r>
        <w:rPr>
          <w:vertAlign w:val="superscript"/>
        </w:rPr>
        <w:t>6</w:t>
      </w:r>
      <w:r>
        <w:t xml:space="preserve"> skargę o stwierdzenie niezgodności z prawem prawomocnego orzeczenia wnosi się do sądu, który wydał zaskarżony wyrok, w terminie dwóch lat od dnia jego uprawomocnienia się.</w:t>
      </w:r>
    </w:p>
    <w:p w14:paraId="40C9611F" w14:textId="7DD32907" w:rsidR="000410B4" w:rsidRPr="00D637A7" w:rsidRDefault="008E2D0D" w:rsidP="00D637A7">
      <w:pPr>
        <w:pStyle w:val="JuH1"/>
      </w:pPr>
      <w:r>
        <w:t xml:space="preserve">Przepisy dotyczące skutków składu sądu „sprzecznego z przepisami prawa” lub </w:t>
      </w:r>
      <w:r w:rsidR="00C220E4">
        <w:t xml:space="preserve">sądu </w:t>
      </w:r>
      <w:r>
        <w:t>„nienależy</w:t>
      </w:r>
      <w:r w:rsidR="00C220E4">
        <w:t>cie</w:t>
      </w:r>
      <w:r>
        <w:t xml:space="preserve"> obsadz</w:t>
      </w:r>
      <w:r w:rsidR="00C220E4">
        <w:t>onego</w:t>
      </w:r>
      <w:r>
        <w:t>”</w:t>
      </w:r>
    </w:p>
    <w:p w14:paraId="089FA9AC" w14:textId="77777777" w:rsidR="000410B4" w:rsidRPr="00D637A7" w:rsidRDefault="00000000" w:rsidP="00D637A7">
      <w:pPr>
        <w:pStyle w:val="JuPara"/>
      </w:pPr>
      <w:fldSimple w:instr=" SEQ level0 \*arabic \* MERGEFORMAT ">
        <w:r w:rsidR="006D0886">
          <w:rPr>
            <w:noProof/>
          </w:rPr>
          <w:t>76</w:t>
        </w:r>
      </w:fldSimple>
      <w:r w:rsidR="008E2D0D">
        <w:t>.  Artykuł 379 Kodeksu postępowania cywilnego traktuje o nieważności postępowania:</w:t>
      </w:r>
    </w:p>
    <w:p w14:paraId="703CE2EE" w14:textId="77777777" w:rsidR="000410B4" w:rsidRPr="00D637A7" w:rsidRDefault="008E2D0D" w:rsidP="00D637A7">
      <w:pPr>
        <w:pStyle w:val="JuQuot"/>
      </w:pPr>
      <w:r>
        <w:t>„Nieważność postępowania zachodzi:</w:t>
      </w:r>
    </w:p>
    <w:p w14:paraId="6ADAAE2F" w14:textId="77777777" w:rsidR="000410B4" w:rsidRPr="00D637A7" w:rsidRDefault="008E2D0D" w:rsidP="00D637A7">
      <w:pPr>
        <w:pStyle w:val="JuQuot"/>
      </w:pPr>
      <w:r>
        <w:t>[…]</w:t>
      </w:r>
    </w:p>
    <w:p w14:paraId="6259264D" w14:textId="77777777" w:rsidR="000410B4" w:rsidRPr="00D637A7" w:rsidRDefault="008E2D0D" w:rsidP="00D637A7">
      <w:pPr>
        <w:pStyle w:val="JuQuot"/>
      </w:pPr>
      <w:r>
        <w:t>4) jeżeli skład sądu orzekającego był sprzeczny z przepisami prawa albo jeżeli w rozpoznaniu sprawy brał udział sędzia wyłączony z mocy ustawy;</w:t>
      </w:r>
    </w:p>
    <w:p w14:paraId="111F411A" w14:textId="77777777" w:rsidR="000410B4" w:rsidRPr="00D637A7" w:rsidRDefault="008E2D0D" w:rsidP="00D637A7">
      <w:pPr>
        <w:pStyle w:val="JuQuot"/>
      </w:pPr>
      <w:r>
        <w:t>[…]”.</w:t>
      </w:r>
    </w:p>
    <w:p w14:paraId="77112FD9" w14:textId="389754DB" w:rsidR="000410B4" w:rsidRPr="00D637A7" w:rsidRDefault="00000000" w:rsidP="00D637A7">
      <w:pPr>
        <w:pStyle w:val="JuPara"/>
      </w:pPr>
      <w:fldSimple w:instr=" SEQ level0 \*arabic \* MERGEFORMAT ">
        <w:r w:rsidR="006D0886">
          <w:rPr>
            <w:noProof/>
          </w:rPr>
          <w:t>77</w:t>
        </w:r>
      </w:fldSimple>
      <w:r w:rsidR="008E2D0D">
        <w:t xml:space="preserve">.  O bezwzględnych przyczynach odwoławczych, a więc uchybieniach, które (z urzędu) musi brać pod uwagę sąd </w:t>
      </w:r>
      <w:r w:rsidR="00C220E4">
        <w:t>odwoławczy</w:t>
      </w:r>
      <w:r w:rsidR="008E2D0D">
        <w:t xml:space="preserve">, </w:t>
      </w:r>
      <w:r w:rsidR="00C220E4">
        <w:t>stanowi</w:t>
      </w:r>
      <w:r w:rsidR="008E2D0D">
        <w:t xml:space="preserve"> art. 439 § 1 Kodeksu postępowania karnego:</w:t>
      </w:r>
    </w:p>
    <w:p w14:paraId="69659AE1" w14:textId="77777777" w:rsidR="000410B4" w:rsidRPr="00D637A7" w:rsidRDefault="008E2D0D" w:rsidP="00D637A7">
      <w:pPr>
        <w:pStyle w:val="JuQuot"/>
      </w:pPr>
      <w:r>
        <w:t>„Niezależnie od granic zaskarżenia i podniesionych zarzutów oraz wpływu uchybienia na treść orzeczenia sąd odwoławczy na posiedzeniu uchyla zaskarżone orzeczenie, jeżeli:</w:t>
      </w:r>
    </w:p>
    <w:p w14:paraId="79F39E19" w14:textId="77777777" w:rsidR="000410B4" w:rsidRPr="00D637A7" w:rsidRDefault="008E2D0D" w:rsidP="00D637A7">
      <w:pPr>
        <w:pStyle w:val="JuQuot"/>
      </w:pPr>
      <w:r>
        <w:t>[…]</w:t>
      </w:r>
    </w:p>
    <w:p w14:paraId="120528A9" w14:textId="77777777" w:rsidR="000410B4" w:rsidRPr="00D637A7" w:rsidRDefault="008E2D0D" w:rsidP="00D637A7">
      <w:pPr>
        <w:pStyle w:val="JuQuot"/>
      </w:pPr>
      <w:r>
        <w:t>2) sąd był nienależycie obsadzony lub którykolwiek z jego członków nie był obecny na całej rozprawie”.</w:t>
      </w:r>
    </w:p>
    <w:p w14:paraId="6AF58D5F" w14:textId="77777777" w:rsidR="000410B4" w:rsidRPr="00D637A7" w:rsidRDefault="008E2D0D" w:rsidP="00D637A7">
      <w:pPr>
        <w:pStyle w:val="JuHA"/>
      </w:pPr>
      <w:r>
        <w:t>Praktyka krajowa</w:t>
      </w:r>
    </w:p>
    <w:p w14:paraId="693D5545" w14:textId="3238A225" w:rsidR="000410B4" w:rsidRPr="00D637A7" w:rsidRDefault="008E2D0D" w:rsidP="00D637A7">
      <w:pPr>
        <w:pStyle w:val="JuH1"/>
      </w:pPr>
      <w:r>
        <w:t xml:space="preserve">Praktyka krajowa </w:t>
      </w:r>
      <w:r w:rsidR="00C220E4">
        <w:t>uprzednio streszczona</w:t>
      </w:r>
    </w:p>
    <w:p w14:paraId="70FD174C" w14:textId="420062C1" w:rsidR="000410B4" w:rsidRPr="00D637A7" w:rsidRDefault="00000000" w:rsidP="00D637A7">
      <w:pPr>
        <w:pStyle w:val="JuPara"/>
      </w:pPr>
      <w:fldSimple w:instr=" SEQ level0 \*arabic \* MERGEFORMAT ">
        <w:r w:rsidR="006D0886">
          <w:rPr>
            <w:noProof/>
          </w:rPr>
          <w:t>78</w:t>
        </w:r>
      </w:fldSimple>
      <w:r w:rsidR="008E2D0D">
        <w:t>.  Właściwą praktykę krajową podsumowano w</w:t>
      </w:r>
      <w:r w:rsidR="00CF06A7">
        <w:t>e wcześniejszych</w:t>
      </w:r>
      <w:r w:rsidR="008E2D0D">
        <w:t xml:space="preserve"> wyrokach Trybunału w sprawach </w:t>
      </w:r>
      <w:r w:rsidR="008E2D0D">
        <w:rPr>
          <w:i/>
          <w:iCs/>
        </w:rPr>
        <w:t xml:space="preserve">Reczkowicz </w:t>
      </w:r>
      <w:r w:rsidR="008E2D0D">
        <w:t>(</w:t>
      </w:r>
      <w:r w:rsidR="008E2D0D">
        <w:rPr>
          <w:i/>
          <w:iCs/>
        </w:rPr>
        <w:t>op.</w:t>
      </w:r>
      <w:r w:rsidR="00CF06A7">
        <w:rPr>
          <w:i/>
          <w:iCs/>
        </w:rPr>
        <w:t xml:space="preserve"> </w:t>
      </w:r>
      <w:r w:rsidR="008E2D0D">
        <w:rPr>
          <w:i/>
          <w:iCs/>
        </w:rPr>
        <w:t>cit.</w:t>
      </w:r>
      <w:r w:rsidR="008E2D0D">
        <w:t xml:space="preserve">, § 71-125), </w:t>
      </w:r>
      <w:r w:rsidR="008E2D0D">
        <w:rPr>
          <w:i/>
          <w:iCs/>
        </w:rPr>
        <w:t>Dolińska</w:t>
      </w:r>
      <w:r w:rsidR="00CF06A7">
        <w:rPr>
          <w:i/>
          <w:iCs/>
        </w:rPr>
        <w:br/>
      </w:r>
      <w:r w:rsidR="008E2D0D">
        <w:rPr>
          <w:i/>
          <w:iCs/>
        </w:rPr>
        <w:lastRenderedPageBreak/>
        <w:t xml:space="preserve">-Ficek i Ozimek </w:t>
      </w:r>
      <w:r w:rsidR="008E2D0D">
        <w:t>(</w:t>
      </w:r>
      <w:r w:rsidR="008E2D0D">
        <w:rPr>
          <w:i/>
          <w:iCs/>
        </w:rPr>
        <w:t>op.</w:t>
      </w:r>
      <w:r w:rsidR="00CF06A7">
        <w:rPr>
          <w:i/>
          <w:iCs/>
        </w:rPr>
        <w:t xml:space="preserve"> </w:t>
      </w:r>
      <w:r w:rsidR="008E2D0D">
        <w:rPr>
          <w:i/>
          <w:iCs/>
        </w:rPr>
        <w:t>cit.</w:t>
      </w:r>
      <w:r w:rsidR="008E2D0D">
        <w:t xml:space="preserve">, § 97-155), </w:t>
      </w:r>
      <w:r w:rsidR="008E2D0D">
        <w:rPr>
          <w:i/>
          <w:iCs/>
        </w:rPr>
        <w:t xml:space="preserve">Advance Pharma sp. z o.o. </w:t>
      </w:r>
      <w:r w:rsidR="008E2D0D">
        <w:t>(</w:t>
      </w:r>
      <w:r w:rsidR="008E2D0D">
        <w:rPr>
          <w:i/>
          <w:iCs/>
        </w:rPr>
        <w:t>op.</w:t>
      </w:r>
      <w:r w:rsidR="00CF06A7">
        <w:rPr>
          <w:i/>
          <w:iCs/>
        </w:rPr>
        <w:t xml:space="preserve"> </w:t>
      </w:r>
      <w:r w:rsidR="008E2D0D">
        <w:rPr>
          <w:i/>
          <w:iCs/>
        </w:rPr>
        <w:t>cit.</w:t>
      </w:r>
      <w:r w:rsidR="008E2D0D">
        <w:t xml:space="preserve">, § 110-169) i </w:t>
      </w:r>
      <w:r w:rsidR="008E2D0D">
        <w:rPr>
          <w:i/>
          <w:iCs/>
        </w:rPr>
        <w:t>Grzęda</w:t>
      </w:r>
      <w:r w:rsidR="008E2D0D">
        <w:t xml:space="preserve"> (</w:t>
      </w:r>
      <w:r w:rsidR="008E2D0D">
        <w:rPr>
          <w:i/>
          <w:iCs/>
        </w:rPr>
        <w:t>op.</w:t>
      </w:r>
      <w:r w:rsidR="00CF06A7">
        <w:rPr>
          <w:i/>
          <w:iCs/>
        </w:rPr>
        <w:t xml:space="preserve"> </w:t>
      </w:r>
      <w:r w:rsidR="008E2D0D">
        <w:rPr>
          <w:i/>
          <w:iCs/>
        </w:rPr>
        <w:t>cit.</w:t>
      </w:r>
      <w:r w:rsidR="008E2D0D">
        <w:t>, § 77-119).</w:t>
      </w:r>
    </w:p>
    <w:p w14:paraId="3873B9A4" w14:textId="77777777" w:rsidR="000410B4" w:rsidRPr="00D637A7" w:rsidRDefault="008E2D0D" w:rsidP="00D637A7">
      <w:pPr>
        <w:pStyle w:val="JuH1"/>
      </w:pPr>
      <w:r>
        <w:t>Orzecznictwo Sądu Najwyższego</w:t>
      </w:r>
    </w:p>
    <w:p w14:paraId="4AA5AC4F" w14:textId="23D9546A" w:rsidR="000410B4" w:rsidRPr="00D637A7" w:rsidRDefault="008E2D0D" w:rsidP="00D637A7">
      <w:pPr>
        <w:pStyle w:val="JuHa0"/>
      </w:pPr>
      <w:r>
        <w:t>Wyrok z 5 grudnia 2019 r., sygn. akt III PO 7/18</w:t>
      </w:r>
    </w:p>
    <w:bookmarkStart w:id="50" w:name="Judgment_5december2019_1"/>
    <w:p w14:paraId="50D02379" w14:textId="00437CCA"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79</w:t>
      </w:r>
      <w:r w:rsidRPr="00D637A7">
        <w:fldChar w:fldCharType="end"/>
      </w:r>
      <w:bookmarkEnd w:id="50"/>
      <w:r>
        <w:t>.  Dnia 5 grudnia 2019 r. Sąd Najwyższy w składzie trzech sędziów Izby Pracy i Ubezpieczeń Społecznych wydał wyrok w pierwszej z trzech spraw, w których skierowano pytania prejudycjalne do TSUE, co nastąpiło w następstwie wydania przezeń wyroku z 19 listopada 2019 r. (</w:t>
      </w:r>
      <w:r>
        <w:rPr>
          <w:i/>
          <w:iCs/>
        </w:rPr>
        <w:t>A.K. i Inni</w:t>
      </w:r>
      <w:r>
        <w:t>, sprawy połączone C</w:t>
      </w:r>
      <w:r>
        <w:noBreakHyphen/>
        <w:t>585/18, C</w:t>
      </w:r>
      <w:r>
        <w:noBreakHyphen/>
        <w:t>624/18 i C</w:t>
      </w:r>
      <w:r>
        <w:noBreakHyphen/>
        <w:t>625/18; zob. </w:t>
      </w:r>
      <w:r>
        <w:rPr>
          <w:i/>
          <w:iCs/>
        </w:rPr>
        <w:t>Dolińska-Ficek i Ozimek, op.</w:t>
      </w:r>
      <w:r w:rsidR="00CF06A7">
        <w:rPr>
          <w:i/>
          <w:iCs/>
        </w:rPr>
        <w:t xml:space="preserve"> </w:t>
      </w:r>
      <w:r>
        <w:rPr>
          <w:i/>
          <w:iCs/>
        </w:rPr>
        <w:t>cit.</w:t>
      </w:r>
      <w:r>
        <w:t xml:space="preserve">, § 193). SN uchylił </w:t>
      </w:r>
      <w:r w:rsidR="00CF06A7">
        <w:t xml:space="preserve">negatywną </w:t>
      </w:r>
      <w:r>
        <w:t xml:space="preserve">uchwałę KRS z 27 lipca 2018 r. dotyczącą dalszego pełnienia przez A.K. urzędu sędziego Naczelnego Sądu Administracyjnego. Sąd Najwyższy orzekł, że KRS w aktualnym składzie nie jest ani bezstronna, ani niezależna od władzy ustawodawczej i władzy wykonawczej. Dalej </w:t>
      </w:r>
      <w:r w:rsidR="00CF06A7">
        <w:t>stwierdził</w:t>
      </w:r>
      <w:r>
        <w:t xml:space="preserve">, że Izba Dyscyplinarna nie spełnia wymogów niezawisłego i bezstronnego sądu. </w:t>
      </w:r>
      <w:r w:rsidR="00CA77E8">
        <w:t>Sąd Najwyższy doszedł do następującej konkluzji odnośnie do</w:t>
      </w:r>
      <w:r>
        <w:t xml:space="preserve"> Izby Dyscyplinarnej:</w:t>
      </w:r>
    </w:p>
    <w:p w14:paraId="5BEDAB74" w14:textId="77777777" w:rsidR="000410B4" w:rsidRPr="00D637A7" w:rsidRDefault="008E2D0D" w:rsidP="00D637A7">
      <w:pPr>
        <w:pStyle w:val="JuQuot"/>
        <w:rPr>
          <w:rFonts w:eastAsia="Times New Roman"/>
        </w:rPr>
      </w:pPr>
      <w:r>
        <w:t>„79.  Summa summarum, każda z przedstawionych okoliczności samodzielnie oceniana nie rozstrzyga o niezachowaniu standardu z art. 47 KPP [Karty praw podstawowych Unii Europejskiej] (art. 6 Konwencji w związku z art. 45 ust. 1 Konstytucji RP). Jednak gdy te wszystkie okoliczności zestawi się łącznie, a mianowicie (utworzenie od podstaw nowej jednostki organizacyjnej w SN, obsadzenie tej jednostki wyłącznie nowymi osobami, których związki z władzą ustawodawczą i wykonawczą są silne i które przed nominacją były beneficjentami zmian w wymiarze sprawiedliwości, a wybrane zostały przez KRS niedziałający w sposób niezależny od władzy ustawodawczej i wykonawczej, z szeroką autonomią i kompetencjami odebranymi innym sądom i innym izbom Sądu Najwyższego), to z nich wynika jasna i jednoznaczna konsekwencja, że Izba Dyscyplinarna Sądu Najwyższego nie jest sądem w rozumieniu art. 47 KPP oraz art. 6 Konwencji i art. 45 ust. 1 Konstytucji RP”.</w:t>
      </w:r>
    </w:p>
    <w:bookmarkStart w:id="51" w:name="Judgment_5december2019_2"/>
    <w:p w14:paraId="47D75A74" w14:textId="56E0686C"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80</w:t>
      </w:r>
      <w:r w:rsidRPr="00D637A7">
        <w:fldChar w:fldCharType="end"/>
      </w:r>
      <w:bookmarkEnd w:id="51"/>
      <w:r>
        <w:t xml:space="preserve">.  Pozostałe istotne elementy uzasadnienia wyroku Sądu Najwyższego z 5 grudnia 2019 r. przytoczono w sprawie </w:t>
      </w:r>
      <w:r>
        <w:rPr>
          <w:i/>
          <w:iCs/>
        </w:rPr>
        <w:t>Reczkowicz</w:t>
      </w:r>
      <w:r>
        <w:t xml:space="preserve"> (</w:t>
      </w:r>
      <w:r>
        <w:rPr>
          <w:i/>
          <w:iCs/>
        </w:rPr>
        <w:t>op.</w:t>
      </w:r>
      <w:r w:rsidR="0083023D">
        <w:rPr>
          <w:i/>
          <w:iCs/>
        </w:rPr>
        <w:t xml:space="preserve"> </w:t>
      </w:r>
      <w:r>
        <w:rPr>
          <w:i/>
          <w:iCs/>
        </w:rPr>
        <w:t>cit.</w:t>
      </w:r>
      <w:r>
        <w:t>, §§ 71-86).</w:t>
      </w:r>
    </w:p>
    <w:p w14:paraId="2BB601C3" w14:textId="7A12E6F3" w:rsidR="000410B4" w:rsidRPr="00D637A7" w:rsidRDefault="008E2D0D" w:rsidP="00D637A7">
      <w:pPr>
        <w:pStyle w:val="JuHa0"/>
        <w:rPr>
          <w:rFonts w:eastAsia="Times New Roman"/>
        </w:rPr>
      </w:pPr>
      <w:r>
        <w:t>Uchwała z 8 stycznia 2020 r. (sygn. akt I NOZP 3/19)</w:t>
      </w:r>
    </w:p>
    <w:p w14:paraId="006E65B8" w14:textId="4A4EFFF1" w:rsidR="000410B4" w:rsidRPr="00D637A7" w:rsidRDefault="00000000" w:rsidP="00D637A7">
      <w:pPr>
        <w:pStyle w:val="JuPara"/>
      </w:pPr>
      <w:fldSimple w:instr=" SEQ level0 \*arabic \* MERGEFORMAT ">
        <w:r w:rsidR="006D0886">
          <w:rPr>
            <w:noProof/>
          </w:rPr>
          <w:t>81</w:t>
        </w:r>
      </w:fldSimple>
      <w:r w:rsidR="008E2D0D">
        <w:t>.  Dnia 8 stycznia 2020 r.</w:t>
      </w:r>
      <w:r w:rsidR="00A8750A">
        <w:t>,</w:t>
      </w:r>
      <w:r w:rsidR="008E2D0D">
        <w:t xml:space="preserve"> w odpowiedzi na </w:t>
      </w:r>
      <w:r w:rsidR="00A8750A">
        <w:t>powyższy</w:t>
      </w:r>
      <w:r w:rsidR="008E2D0D">
        <w:t xml:space="preserve"> wyrok Izby Pracy i Ubezpieczeń Społecznych</w:t>
      </w:r>
      <w:r w:rsidR="00A8750A">
        <w:t>,</w:t>
      </w:r>
      <w:r w:rsidR="008E2D0D">
        <w:t xml:space="preserve"> Izba Kontroli Nadzwyczajnej i Spraw Publicznych Sądu Najwyższego wydała uchwałę, w której dokonała zawężającej wykładni </w:t>
      </w:r>
      <w:r w:rsidR="00A8750A">
        <w:t>skutków</w:t>
      </w:r>
      <w:r w:rsidR="008E2D0D">
        <w:t xml:space="preserve"> wyroku TSUE wydanego w sprawie A.K. i </w:t>
      </w:r>
      <w:r w:rsidR="00A8750A">
        <w:t>I</w:t>
      </w:r>
      <w:r w:rsidR="008E2D0D">
        <w:t>n</w:t>
      </w:r>
      <w:r w:rsidR="00A8750A">
        <w:t>ni</w:t>
      </w:r>
      <w:r w:rsidR="008E2D0D">
        <w:t xml:space="preserve"> (I NOZP 3/19). Uchwałę wydano w składzie siedmiu sędziów Izby Kontroli Nadzwyczajnej i Spraw Publicznych: Ewa Stefańska, Leszek </w:t>
      </w:r>
      <w:proofErr w:type="spellStart"/>
      <w:r w:rsidR="008E2D0D">
        <w:t>Bosek</w:t>
      </w:r>
      <w:proofErr w:type="spellEnd"/>
      <w:r w:rsidR="008E2D0D">
        <w:t xml:space="preserve">, Tomasz </w:t>
      </w:r>
      <w:proofErr w:type="spellStart"/>
      <w:r w:rsidR="008E2D0D">
        <w:t>Demendecki</w:t>
      </w:r>
      <w:proofErr w:type="spellEnd"/>
      <w:r w:rsidR="008E2D0D">
        <w:t>, Adam Redzik, Mirosław Sadowski, Aleksander Stępkowski i Krzysztof Wiak. Izba stwierdziła, że uchwała KRS w przedmiocie przedstawienia Prezydentowi Rzeczypospolitej Polskiej kandydat</w:t>
      </w:r>
      <w:r w:rsidR="00A8750A">
        <w:t>ów</w:t>
      </w:r>
      <w:r w:rsidR="008E2D0D">
        <w:t xml:space="preserve"> na urząd sędziego może zostać uchylona na skutek odwołania kandydata tylko wówczas, jeżeli odwołujący się wykaże, że brak </w:t>
      </w:r>
      <w:r w:rsidR="008E2D0D">
        <w:lastRenderedPageBreak/>
        <w:t xml:space="preserve">niezależności KRS miał negatywny wpływ na treść zaskarżonej uchwały lub jeżeli odwołujący się wykaże, że sąd nie był niezawisły lub bezstronny według kryteriów wskazanych w wyroku TSUE. W odniesieniu do </w:t>
      </w:r>
      <w:r w:rsidR="00E26E26">
        <w:t xml:space="preserve">tej </w:t>
      </w:r>
      <w:r w:rsidR="008E2D0D">
        <w:t xml:space="preserve">ostatniej kwestii </w:t>
      </w:r>
      <w:r w:rsidR="00A8750A">
        <w:t>I</w:t>
      </w:r>
      <w:r w:rsidR="008E2D0D">
        <w:t xml:space="preserve">zba podkreśliła, że Konstytucja nie </w:t>
      </w:r>
      <w:r w:rsidR="00E26E26">
        <w:t xml:space="preserve">umożliwiała </w:t>
      </w:r>
      <w:r w:rsidR="008E2D0D">
        <w:t>badania skuteczności aktu powołania sędziów przez Prezydenta RP. Rozpoznając takie odwołania, Sąd Najwyższy był związany zakresem odwołania i musiał zbadać, czy KRS była organem niezależnym w świetle kryteriów określonych w wyroku TSUE z dnia 19 listopada 2019 r. (w pkt 134</w:t>
      </w:r>
      <w:r w:rsidR="008E2D0D">
        <w:noBreakHyphen/>
        <w:t>144 tego wyroku).</w:t>
      </w:r>
    </w:p>
    <w:p w14:paraId="2640E916" w14:textId="77777777" w:rsidR="000410B4" w:rsidRPr="00D637A7" w:rsidRDefault="008E2D0D" w:rsidP="00D637A7">
      <w:pPr>
        <w:pStyle w:val="JuHa0"/>
      </w:pPr>
      <w:r>
        <w:t>Uchwała składu połączonych Izb: Cywilnej, Karnej oraz Pracy i Ubezpieczeń Społecznych Sądu Najwyższego z dnia 23 stycznia 2020 r. (BSA I-4110-1/20)</w:t>
      </w:r>
    </w:p>
    <w:bookmarkStart w:id="52" w:name="BSA_début"/>
    <w:p w14:paraId="233AAF09" w14:textId="77777777" w:rsidR="000410B4" w:rsidRPr="00D637A7" w:rsidRDefault="008E2D0D" w:rsidP="00D637A7">
      <w:pPr>
        <w:pStyle w:val="JuPara"/>
        <w:rPr>
          <w:rFonts w:eastAsia="Times New Roman"/>
        </w:rPr>
      </w:pPr>
      <w:r w:rsidRPr="00D637A7">
        <w:fldChar w:fldCharType="begin"/>
      </w:r>
      <w:r w:rsidRPr="00D637A7">
        <w:instrText xml:space="preserve"> SEQ level0 \*arabic \* MERGEFORMAT </w:instrText>
      </w:r>
      <w:r w:rsidRPr="00D637A7">
        <w:fldChar w:fldCharType="separate"/>
      </w:r>
      <w:r w:rsidR="006D0886">
        <w:rPr>
          <w:noProof/>
        </w:rPr>
        <w:t>82</w:t>
      </w:r>
      <w:r w:rsidRPr="00D637A7">
        <w:fldChar w:fldCharType="end"/>
      </w:r>
      <w:bookmarkEnd w:id="52"/>
      <w:r>
        <w:t xml:space="preserve">.  Mając na uwadze wyrok Sądu Najwyższego z dnia 5 grudnia 2019 r. i uchwałę z dnia 8 stycznia 2020 r. Izby Kontroli Nadzwyczajnej i Spraw Publicznych Sądu Najwyższego, Pierwsza Prezes Sądu Najwyższego, Małgorzata </w:t>
      </w:r>
      <w:proofErr w:type="spellStart"/>
      <w:r>
        <w:t>Gersdorf</w:t>
      </w:r>
      <w:proofErr w:type="spellEnd"/>
      <w:r>
        <w:t>, zwróciła się do trzech połączonych izb SN o wydanie uchwały w celu rozstrzygnięcia rozbieżności w orzecznictwie Sądu Najwyższego w związku z wyrokiem TSUE z dnia 19 listopada 2019 r. Wniosek dotyczył następującego zagadnienia prawnego: czy udział w składzie sądu powszechnego lub Sądu Najwyższego osoby powołanej do pełnienia urzędu na stanowisku sędziowskim przez Prezydenta Rzeczypospolitej Polskiej na wniosek Krajowej Rady Sądownictwa, ukształtowanej w trybie określonym przepisami ustawy zmieniającej z 2017 r., prowadzi do naruszenia art. 45 ust. 1 Konstytucji, art. 6 ust. 1 Konwencji lub art. 47 Karty praw podstawowych Unii Europejskiej.</w:t>
      </w:r>
    </w:p>
    <w:bookmarkStart w:id="53" w:name="BSA_I_4110"/>
    <w:p w14:paraId="1D59BA89" w14:textId="00A39C23" w:rsidR="000410B4" w:rsidRPr="00D637A7" w:rsidRDefault="008E2D0D" w:rsidP="00D637A7">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006D0886">
        <w:rPr>
          <w:rFonts w:eastAsia="Times New Roman"/>
          <w:noProof/>
        </w:rPr>
        <w:t>83</w:t>
      </w:r>
      <w:r w:rsidRPr="00D637A7">
        <w:rPr>
          <w:rFonts w:eastAsia="Times New Roman"/>
        </w:rPr>
        <w:fldChar w:fldCharType="end"/>
      </w:r>
      <w:bookmarkEnd w:id="53"/>
      <w:r>
        <w:t>.  Dnia 23 stycznia 2020 r. Sąd Najwyższy w składzie połączonych Izb: Cywilnej, Karnej oraz Pracy i Ubezpieczeń Społecznych (pięćdziesięcioro dziewięcioro sędziów) wydał uchwałę</w:t>
      </w:r>
      <w:r>
        <w:rPr>
          <w:rFonts w:eastAsia="Times New Roman"/>
          <w:vertAlign w:val="superscript"/>
          <w:lang w:eastAsia="fr-FR"/>
        </w:rPr>
        <w:footnoteReference w:id="7"/>
      </w:r>
      <w:r>
        <w:t xml:space="preserve">. </w:t>
      </w:r>
      <w:r w:rsidR="00F56016">
        <w:t xml:space="preserve">Wykonując w ten sposób </w:t>
      </w:r>
      <w:r>
        <w:t>wyrok TSUE z dnia 19 listopada 2019 r.</w:t>
      </w:r>
      <w:r w:rsidR="00F56016">
        <w:t>,</w:t>
      </w:r>
      <w:r>
        <w:t xml:space="preserve"> Sąd Najwyższy doszedł do następujących wniosków</w:t>
      </w:r>
      <w:r>
        <w:rPr>
          <w:rFonts w:eastAsia="Times New Roman"/>
          <w:vertAlign w:val="superscript"/>
          <w:lang w:eastAsia="fr-FR"/>
        </w:rPr>
        <w:footnoteReference w:id="8"/>
      </w:r>
      <w:r>
        <w:t>:</w:t>
      </w:r>
    </w:p>
    <w:p w14:paraId="1655D5D4" w14:textId="77777777" w:rsidR="000410B4" w:rsidRPr="00D637A7" w:rsidRDefault="008E2D0D" w:rsidP="00D637A7">
      <w:pPr>
        <w:pStyle w:val="JuQuot"/>
        <w:rPr>
          <w:rFonts w:eastAsia="Times New Roman"/>
        </w:rPr>
      </w:pPr>
      <w:r>
        <w:t>„1.  Nienależyta obsada sądu w rozumieniu art. 439 § 1 pkt 2 k.p.k. albo sprzeczność składu sądu z przepisami prawa w rozumieniu art. 379 pkt 4 k.p.c. zachodzi także wtedy, gdy w składzie sądu bierze udział osoba powołana na urząd sędziego Sądu Najwyższego na wniosek Krajowej Rady Sądownictwa ukształtowanej w trybie określonym przepisami [ustawy zmieniającej z 2017 r.].</w:t>
      </w:r>
    </w:p>
    <w:p w14:paraId="75F8DCBF" w14:textId="77777777" w:rsidR="000410B4" w:rsidRPr="00D637A7" w:rsidRDefault="008E2D0D" w:rsidP="00D637A7">
      <w:pPr>
        <w:pStyle w:val="JuQuot"/>
        <w:rPr>
          <w:rFonts w:eastAsia="Times New Roman"/>
        </w:rPr>
      </w:pPr>
      <w:r>
        <w:t xml:space="preserve">2.  Nienależyta obsada sądu w rozumieniu art. 439 § 1 pkt 2 k.p.k. albo sprzeczność składu sądu z przepisami prawa w rozumieniu art. 379 pkt 4 k.p.c. zachodzi także wtedy, gdy w składzie sądu bierze udział osoba powołana na urząd sędziego w sądzie powszechnym albo wojskowym na wniosek Krajowej Rady Sądownictwa ukształtowanej w trybie określonym przepisami [ustawy zmieniającej z 2017 r.], jeżeli wadliwość procesu powoływania prowadzi, w konkretnych okolicznościach, do naruszenia standardu niezawisłości i bezstronności w rozumieniu art. 45 ust. 1 </w:t>
      </w:r>
      <w:r>
        <w:lastRenderedPageBreak/>
        <w:t>Konstytucji Rzeczypospolitej Polskiej, art. 47 Karty Praw Podstawowych Unii Europejskiej oraz art. 6 ust. 1 [Konwencji].</w:t>
      </w:r>
    </w:p>
    <w:p w14:paraId="673992D1" w14:textId="77777777" w:rsidR="000410B4" w:rsidRPr="00D637A7" w:rsidRDefault="008E2D0D" w:rsidP="00D637A7">
      <w:pPr>
        <w:pStyle w:val="JuQuot"/>
        <w:rPr>
          <w:rFonts w:eastAsia="Times New Roman"/>
        </w:rPr>
      </w:pPr>
      <w:r>
        <w:t>3.  Wykładnia art. 439 § 1 pkt 2 k.p.k. oraz art. 379 pkt 4 k.p.c. przyjęta w punktach 1 i 2 niniejszej uchwały nie ma zastosowania do orzeczeń wydanych przez sądy przed dniem jej podjęcia oraz do orzeczeń, które zostaną wydane w toczących się w tym dniu postępowaniach na podstawie Kodeksu postępowania karnego przed danym składem sądu.</w:t>
      </w:r>
    </w:p>
    <w:p w14:paraId="26C25516" w14:textId="77777777" w:rsidR="000410B4" w:rsidRPr="00D637A7" w:rsidRDefault="008E2D0D" w:rsidP="00D637A7">
      <w:pPr>
        <w:pStyle w:val="JuQuot"/>
        <w:rPr>
          <w:rFonts w:eastAsia="Times New Roman"/>
        </w:rPr>
      </w:pPr>
      <w:r>
        <w:t>4.  Punkt 1 niniejszej uchwały ma zastosowanie do orzeczeń wydanych z udziałem sędziów Izby Dyscyplinarnej utworzonej w Sądzie Najwyższym na podstawie ustawy z dnia 8 grudnia 2017 r. […] bez względu na datę wydania tych orzeczeń”.</w:t>
      </w:r>
    </w:p>
    <w:p w14:paraId="0846FBD2" w14:textId="77777777" w:rsidR="000410B4" w:rsidRPr="00D637A7" w:rsidRDefault="00000000" w:rsidP="00D637A7">
      <w:pPr>
        <w:pStyle w:val="JuPara"/>
      </w:pPr>
      <w:fldSimple w:instr=" SEQ level0 \*arabic \* MERGEFORMAT ">
        <w:r w:rsidR="006D0886">
          <w:rPr>
            <w:noProof/>
          </w:rPr>
          <w:t>84</w:t>
        </w:r>
      </w:fldSimple>
      <w:r w:rsidR="008E2D0D">
        <w:t xml:space="preserve">.  Uchwała Sądu Najwyższego zawierała obszerne uzasadnienie, którego istotne części przedstawiono w wyroku </w:t>
      </w:r>
      <w:r w:rsidR="008E2D0D">
        <w:rPr>
          <w:i/>
          <w:iCs/>
        </w:rPr>
        <w:t>Reczkowicz</w:t>
      </w:r>
      <w:r w:rsidR="008E2D0D">
        <w:t xml:space="preserve"> (</w:t>
      </w:r>
      <w:r w:rsidR="008E2D0D">
        <w:rPr>
          <w:i/>
          <w:iCs/>
        </w:rPr>
        <w:t>op.cit.</w:t>
      </w:r>
      <w:r w:rsidR="008E2D0D">
        <w:t xml:space="preserve">, §§ 91-105) oraz </w:t>
      </w:r>
      <w:r w:rsidR="008E2D0D">
        <w:rPr>
          <w:i/>
          <w:iCs/>
        </w:rPr>
        <w:t>Dolińska-Ficek i Ozimek</w:t>
      </w:r>
      <w:r w:rsidR="008E2D0D">
        <w:t xml:space="preserve"> (</w:t>
      </w:r>
      <w:r w:rsidR="008E2D0D">
        <w:rPr>
          <w:i/>
          <w:iCs/>
        </w:rPr>
        <w:t>op.cit.,</w:t>
      </w:r>
      <w:r w:rsidR="008E2D0D">
        <w:t xml:space="preserve"> §§ 114-129).</w:t>
      </w:r>
    </w:p>
    <w:bookmarkStart w:id="54" w:name="supreme_court"/>
    <w:p w14:paraId="26375E10"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85</w:t>
      </w:r>
      <w:r w:rsidRPr="00D637A7">
        <w:fldChar w:fldCharType="end"/>
      </w:r>
      <w:bookmarkEnd w:id="54"/>
      <w:r>
        <w:t>.  Sąd Najwyższy orzekł, że konsekwencje prawne stwierdzenia, że KRS nie była organem niezależnym w procedurze powoływania sędziów, zależą od rodzaju sądu, do których sędziowie byli powoływani:</w:t>
      </w:r>
    </w:p>
    <w:p w14:paraId="35205D30" w14:textId="77777777" w:rsidR="000410B4" w:rsidRPr="00D637A7" w:rsidRDefault="008E2D0D" w:rsidP="00D637A7">
      <w:pPr>
        <w:pStyle w:val="JuQuot"/>
      </w:pPr>
      <w:r>
        <w:t>„45.  Brak niezależności Krajowej Rady Sądownictwa prowadzi do wadliwości procedury powołania na urząd sędziego. Wadliwość ta, a także jej wpływ na naruszenie standardu niezawisłości i bezstronności sądu, podlega jednak stopniowaniu. Przede wszystkim zasadniczo różna jest skala i zakres procesowych skutków wadliwości powołania na urząd sędziego w zależności od typu sądu, do którego następuje powołanie i miejsca tego sądu w strukturze organów wymiaru sprawiedliwości.</w:t>
      </w:r>
    </w:p>
    <w:p w14:paraId="35A3B7F4" w14:textId="1463C8DC" w:rsidR="000410B4" w:rsidRPr="00D637A7" w:rsidRDefault="008E2D0D" w:rsidP="00D637A7">
      <w:pPr>
        <w:pStyle w:val="JuQuot"/>
      </w:pPr>
      <w:r>
        <w:t>Status sędziego sądów powszechnych i wojskowych jest inny niż status sędziego Sądu Najwyższego. […] Jest to konsekwencja innej pozycji ustrojowej sądów powszechnych i wojskowych oraz Sądu Najwyższego, innych kompetencji tych sądów oraz innych wymagań do objęcia w nich urzędu (art. 175 ust. 1 Konstytucji RP). Należy zwrócić uwagę na szczególne, konstytucyjne, ustrojowe właściwości Sądu Najwyższego, wyróżniające ten organ nie tylko na tle innych organów władzy sądowniczej, ale także innych władz Rzeczypospolitej Polskiej. Szczególna pod tym względem pozycja Sądu Najwyższego wynika między innymi z kluczowych dla funkcjonowania Rzeczypospolitej Polskiej, wyłącznych kompetencji tego Sądu, mających zagwarantować niezakłócone i prawidłowe funkcjonowanie demokratycznego państwa prawnego, w tym zgodności z prawem mechanizmów udziału obywateli w sprawowaniu władzy w ramach procesu wyborczego oraz kontroli obywatelskie</w:t>
      </w:r>
      <w:r w:rsidR="003330BE">
        <w:t>j</w:t>
      </w:r>
      <w:r>
        <w:t>. […]</w:t>
      </w:r>
    </w:p>
    <w:p w14:paraId="64D4EA59" w14:textId="77777777" w:rsidR="000410B4" w:rsidRPr="00D637A7" w:rsidRDefault="008E2D0D" w:rsidP="00D637A7">
      <w:pPr>
        <w:pStyle w:val="JuQuot"/>
      </w:pPr>
      <w:r>
        <w:t>Kwalifikowany standard niezależności Sądu Najwyższego od władzy politycznej jest warunkiem koniecznym zgodnego z Konstytucją funkcjonowania i prawidłowego wykonywania podstawowych dla obywateli kompetencji w strukturach państwa demokratycznego. […]</w:t>
      </w:r>
    </w:p>
    <w:p w14:paraId="572F48F3" w14:textId="77777777" w:rsidR="000410B4" w:rsidRPr="00D637A7" w:rsidRDefault="008E2D0D" w:rsidP="00D637A7">
      <w:pPr>
        <w:pStyle w:val="JuQuot"/>
      </w:pPr>
      <w:r>
        <w:t>Skala uchybień w postępowaniach konkursowych związanych z powoływaniem sędziów sądów powszechnych i wojskowych oraz sędziów Sądu Najwyższego w okresie od zmian normatywnych przeprowadzonych w 2017 r. była różna, zdecydowanie jednak poważniejsza przy obsadzeniu stanowisk sędziowskich w Sądzie Najwyższym.</w:t>
      </w:r>
    </w:p>
    <w:p w14:paraId="4C0E6C57" w14:textId="77777777" w:rsidR="000410B4" w:rsidRPr="00D637A7" w:rsidRDefault="008E2D0D" w:rsidP="00D637A7">
      <w:pPr>
        <w:pStyle w:val="JuQuot"/>
      </w:pPr>
      <w:r>
        <w:t xml:space="preserve">Mimo formalnego wymagania od kandydata na urząd sędziego Sądu Najwyższego nieskazitelnego charakteru i wyróżniania się wysokim poziomem wiedzy prawniczej, wyeliminowano z procedury konkursowej etapy kontroli spełniania tych wymagań, a ich ocenę pozostawiono wyłącznie wyłonionym przez większość parlamentarną członkom Krajowej Rady Sądownictwa. Z natury rzeczy w prowadzonym przez ten </w:t>
      </w:r>
      <w:r>
        <w:lastRenderedPageBreak/>
        <w:t>organ postępowaniu weryfikacja spełnienia wskazanych wyżej wymagań przez kandydatów do objęcia urzędu sędziego Sądu Najwyższego jest ograniczona.</w:t>
      </w:r>
    </w:p>
    <w:p w14:paraId="605F2C2E" w14:textId="77777777" w:rsidR="000410B4" w:rsidRPr="00D637A7" w:rsidRDefault="008E2D0D" w:rsidP="00D637A7">
      <w:pPr>
        <w:pStyle w:val="JuQuot"/>
      </w:pPr>
      <w:r>
        <w:t xml:space="preserve">Wyeliminowano także efektywną możliwość zaskarżenia uchwały o wskazaniu kandydata do objęcia urzędu przez pozostałe osoby biorące udział w tym samym postępowaniu konkursowym, pozostawiając im jedynie możliwość ubiegania się o urząd w innym konkursie, o którego ogłoszeniu arbitralnie miał decydować Prezydent RP. Oznacza to </w:t>
      </w:r>
      <w:r>
        <w:rPr>
          <w:i/>
          <w:iCs/>
        </w:rPr>
        <w:t>de facto</w:t>
      </w:r>
      <w:r>
        <w:t>, że obsadzenie stanowisk w Sądzie Najwyższym oddane zostało decyzji władzy politycznej”.</w:t>
      </w:r>
    </w:p>
    <w:bookmarkStart w:id="55" w:name="Chamber_Extraordinary_Review"/>
    <w:p w14:paraId="3E2ED41A" w14:textId="77777777" w:rsidR="000410B4" w:rsidRPr="00D637A7" w:rsidRDefault="008E2D0D" w:rsidP="00D637A7">
      <w:pPr>
        <w:pStyle w:val="JuPara"/>
      </w:pPr>
      <w:r w:rsidRPr="00D637A7">
        <w:fldChar w:fldCharType="begin"/>
      </w:r>
      <w:r w:rsidRPr="00D637A7">
        <w:instrText xml:space="preserve"> SEQ level0 \*arabic </w:instrText>
      </w:r>
      <w:r w:rsidRPr="00D637A7">
        <w:fldChar w:fldCharType="separate"/>
      </w:r>
      <w:r w:rsidR="006D0886">
        <w:rPr>
          <w:noProof/>
        </w:rPr>
        <w:t>86</w:t>
      </w:r>
      <w:r w:rsidRPr="00D637A7">
        <w:fldChar w:fldCharType="end"/>
      </w:r>
      <w:bookmarkEnd w:id="55"/>
      <w:r>
        <w:t>.  Jeśli chodzi o Izbę Kontroli Nadzwyczajnej i Spraw Publicznych, Sąd stwierdził:</w:t>
      </w:r>
    </w:p>
    <w:p w14:paraId="258BB8CC" w14:textId="77777777" w:rsidR="000410B4" w:rsidRPr="00D637A7" w:rsidRDefault="008E2D0D" w:rsidP="00D637A7">
      <w:pPr>
        <w:pStyle w:val="JuQuot"/>
      </w:pPr>
      <w:r>
        <w:t>„Osoby, które zgłosiły wnioski o powołanie ich na stanowisko sędziego Sądu Najwyższego – jako prawnicy, posiadający rozeznanie w obowiązującym prawie i umiejętności jego wykładni – musiały być świadome zasadniczych zastrzeżeń dotyczących nowych procedur objęcia urzędu sędziego Sądu Najwyższego oraz statusu i obsady Krajowej Rady Sądownictwa, jako organu uczestniczącego w postępowaniu zmierzającym do obsadzenia stanowisk sędziowskich. Osoby te wiedziały także o tym, że uchwały Krajowej Rady Sądownictwa o przedstawieniu ich kandydatur Prezydentowi RP zostały zaskarżone do Naczelnego Sądu Administracyjnego przez innych uczestników konkursów. Kandydaci do Izby Cywilnej, Karnej oraz Kontroli Nadzwyczajnej i Spraw Publicznych wiedzieli, że Naczelny Sąd Administracyjny wstrzymał wykonanie uchwał Krajowej Rady Sądownictwa, które ich dotyczyły, a mimo to przyjęli powołania na stanowisko sędziów tego Sądu [...].</w:t>
      </w:r>
    </w:p>
    <w:p w14:paraId="7C3D2B4B" w14:textId="77777777" w:rsidR="000410B4" w:rsidRPr="00D637A7" w:rsidRDefault="008E2D0D" w:rsidP="00D637A7">
      <w:pPr>
        <w:pStyle w:val="JuQuot"/>
      </w:pPr>
      <w:r>
        <w:t>Warto przy tym pamiętać, że ze względu na wykreowaną przez ustawę o Sądzie Najwyższym z 2017 r. strukturę tego Sądu, Izba Kontroli Nadzwyczajnej i Spraw Publicznych została obsadzona wyłącznie przez sędziów powołanych w nowych konkursach. Fakt, że Izba ta została w ten sposób obsadzona w całości, tj. zajęte zostały wszystkie przewidziane w niej miejsca (20), sprawia, że obecnie nie ma możliwości przeniesienia do tej Izby innego sędziego. To powoduje, że korzystanie z prewencyjnego wniosku o wyłącznie sędziego tej Izby nie daje gwarancji obiektywnej oceny sprawy, gdyż w rozpoznaniu wniosku uczestniczą sędziowie powołani w tak samo wadliwym postępowaniu, których ewentualny zarzut braku niezawisłości i bezstronności dotyczy w takim samym stopniu, co sędziego, objętego wnioskiem. Nie są też oni zainteresowani tym, by oceniać w jakim stopniu wadliwość tego postępowania (nawet jeśli przyznają, że miała ona miejsce, zob. uchwała składu siedmiu sędziów podjęta w dniu 8 stycznia 2020 r., I NOZP 3/19) wpływa na postrzeganie ich własnej niezawisłości i bezstronności. Sędziowie powołani we wskazanych konkursach podejmowali rozstrzygnięcia w kwestiach ich dotyczących, nie przestrzegając ustawowych norm nakazujących im wyłączenie się z urzędu z rozpoznawania sprawy bezpośrednio ich dotyczącej (zob. choćby cytowana uchwała z dnia 8 stycznia 2020 r., I NOZP 3/19).</w:t>
      </w:r>
    </w:p>
    <w:p w14:paraId="51B2DD7F" w14:textId="77777777" w:rsidR="000410B4" w:rsidRPr="00D637A7" w:rsidRDefault="008E2D0D" w:rsidP="00D637A7">
      <w:pPr>
        <w:pStyle w:val="JuQuot"/>
      </w:pPr>
      <w:r>
        <w:t xml:space="preserve">Nie bez znaczenia jest także to, że do wyłącznej kompetencji Izby Kontroli Nadzwyczajnej i Spraw Publicznych należy rozpatrywanie </w:t>
      </w:r>
      <w:proofErr w:type="spellStart"/>
      <w:r>
        <w:t>odwołań</w:t>
      </w:r>
      <w:proofErr w:type="spellEnd"/>
      <w:r>
        <w:t xml:space="preserve"> od uchwał Krajowej Rady Sądownictwa dotyczących kandydatów na stanowiska sędziów sądów powszechnych, wojskowych i administracyjnych. Oznacza to, że Izba w całości złożona z wadliwie powołanych sędziów kontroluje prawidłowość powołania – na wniosek tak samo ukształtowanej Krajowej Rady Sądownictwa – innych sędziów”.</w:t>
      </w:r>
    </w:p>
    <w:bookmarkStart w:id="56" w:name="SN_23January20_finalRemarks"/>
    <w:bookmarkStart w:id="57" w:name="BSA_fin"/>
    <w:p w14:paraId="55E837B6" w14:textId="77777777" w:rsidR="000410B4" w:rsidRPr="00D637A7" w:rsidRDefault="008E2D0D" w:rsidP="00D637A7">
      <w:pPr>
        <w:pStyle w:val="JuPara"/>
      </w:pPr>
      <w:r w:rsidRPr="00D637A7">
        <w:fldChar w:fldCharType="begin"/>
      </w:r>
      <w:r w:rsidRPr="00D637A7">
        <w:instrText xml:space="preserve"> SEQ level0 \*arabic </w:instrText>
      </w:r>
      <w:r w:rsidRPr="00D637A7">
        <w:fldChar w:fldCharType="separate"/>
      </w:r>
      <w:r w:rsidR="006D0886">
        <w:rPr>
          <w:noProof/>
        </w:rPr>
        <w:t>87</w:t>
      </w:r>
      <w:r w:rsidRPr="00D637A7">
        <w:fldChar w:fldCharType="end"/>
      </w:r>
      <w:bookmarkEnd w:id="56"/>
      <w:bookmarkEnd w:id="57"/>
      <w:r>
        <w:t>.  W uwagach końcowych Sąd Najwyższy odniósł się m.in. do aktualnej sytuacji polskiego sądownictwa:</w:t>
      </w:r>
    </w:p>
    <w:p w14:paraId="48AE3482" w14:textId="77777777" w:rsidR="000410B4" w:rsidRPr="00D637A7" w:rsidRDefault="008E2D0D" w:rsidP="00D637A7">
      <w:pPr>
        <w:pStyle w:val="JuQuot"/>
      </w:pPr>
      <w:r>
        <w:lastRenderedPageBreak/>
        <w:t>„59.  Obecna niestabilność w polskim wymiarze sprawiedliwości ma swoje źródło w dokonywanych w ostatnich latach zmianach ustroju sądów, naruszających zarówno standard konstytucyjny, jak i wynikający z Traktatu o UE, Karty Praw Podstawowych oraz Europejskiej Konwencji Praw Człowieka.</w:t>
      </w:r>
    </w:p>
    <w:p w14:paraId="5E212E93" w14:textId="512ABA46" w:rsidR="000410B4" w:rsidRPr="00D637A7" w:rsidRDefault="008E2D0D" w:rsidP="00D637A7">
      <w:pPr>
        <w:pStyle w:val="JuQuot"/>
      </w:pPr>
      <w:r>
        <w:t xml:space="preserve">Dominującym motywem tych zmian było podporządkowanie sędziów i sądów władzy politycznej oraz dokonanie zmian personalnych w poszczególnych sądach, w tym w Sądzie Najwyższym. Dotyczyło to zarówno procesu wyłaniania sędziów i organów uczestniczących w tej procedurze, jak też systemu awansów sędziów, a także ich dyscyplinowania. Szczególny charakter miała jaskrawo niekonstytucyjna próba usunięcia części sędziów Sądu Najwyższego oraz skrócenia kadencji Pierwszego Prezesa Sądu Najwyższego, </w:t>
      </w:r>
      <w:r w:rsidR="006257B4">
        <w:t>czym</w:t>
      </w:r>
      <w:r>
        <w:t xml:space="preserve"> </w:t>
      </w:r>
      <w:r w:rsidR="006257B4">
        <w:t>zakwestionowało</w:t>
      </w:r>
      <w:r>
        <w:t xml:space="preserve"> legitymac</w:t>
      </w:r>
      <w:r w:rsidR="006257B4">
        <w:t>ję</w:t>
      </w:r>
      <w:r>
        <w:t xml:space="preserve"> tego organu.</w:t>
      </w:r>
    </w:p>
    <w:p w14:paraId="3A04A4F4" w14:textId="77777777" w:rsidR="000410B4" w:rsidRPr="00D637A7" w:rsidRDefault="008E2D0D" w:rsidP="00D637A7">
      <w:pPr>
        <w:pStyle w:val="JuQuot"/>
      </w:pPr>
      <w:r>
        <w:t>Zmiany ustawowe doprowadziły do powstania wątpliwości, dotyczących legitymacji do wydawania orzeczeń przez sędziów powołanych do pełnienia urzędu w nowych procedurach. Polityczna motywacja dokonywanych zmian spowodowała, że zagrożone zostały obiektywne warunki do postrzegania sędziów i sądów jako organów bezstronnych i niezawisłych. Sąd Najwyższy dostrzega, że dokonywane z naruszeniem konstytucyjnych procedur upolitycznienie sądów i podporządkowywanie ich większości parlamentarnej tworzy stały mechanizm podważania legitymacji określonych sędziów oraz kwestionowania wydawanych przez nich wyroków sądowych przy każdej kolejnej zmianie władzy politycznej. Niezależnie od tego, upolitycznienie sądów prowadzi do odstąpienia od standardu niezawisłości i bezstronności tych sądów wymaganych przepisami prawa unijnego i międzynarodowego, w szczególności art. 47 [Karty praw podstawowych UE] oraz art. 6 ust. 1 [Konwencji].</w:t>
      </w:r>
    </w:p>
    <w:p w14:paraId="5F38FF87" w14:textId="77777777" w:rsidR="000410B4" w:rsidRPr="00D637A7" w:rsidRDefault="008E2D0D" w:rsidP="00D637A7">
      <w:pPr>
        <w:pStyle w:val="JuQuot"/>
      </w:pPr>
      <w:r>
        <w:t>To z kolei prowadzi do stanu niepewności w perspektywie uznawania orzeczeń wydawanych przez polskie sądy w unijnej przestrzeni wolności, sprawiedliwości i bezpieczeństwa. Już obecnie, z powołaniem się na niedochowanie tego standardu, sądy w niektórych krajach UE wstrzymują się z tą współpracą, kwestionując orzeczenia wydawane przez polskie sądy. Należy mieć świadomość, że uchwała Sądu Najwyższego nie jest w stanie zniwelować wszystkich zagrożeń, do jakich doszło w funkcjonowaniu polskiego wymiaru sprawiedliwości na poziomie ustrojowym. W istocie wyłącznie może to uczynić ustawodawca, przywracając zgodne z Konstytucją RP i prawem unijnym regulacje dotyczące wymiaru sprawiedliwości.</w:t>
      </w:r>
    </w:p>
    <w:p w14:paraId="28AFC48C" w14:textId="77777777" w:rsidR="000410B4" w:rsidRPr="00D637A7" w:rsidRDefault="008E2D0D" w:rsidP="00D637A7">
      <w:pPr>
        <w:pStyle w:val="JuQuot"/>
      </w:pPr>
      <w:r>
        <w:t>Sąd Najwyższy może co najwyżej uwzględniać te zagrożenia i cel, jakim jest stabilność orzecznictwa sądowego oraz bezpieczeństwo prawne obywateli, dokonując wykładni przepisów, których zadaniem jest gwarantowanie wydania orzeczenia w konkretnej sprawie przez bezstronny i niezawisły sąd. Dokonując wykładni wskazanych we wniosku Pierwszej Prezes Sądu Najwyższego przepisów postępowania karnego i cywilnego, Sąd Najwyższy miał przy tym na względzie konsekwencje wyroku Trybunału Sprawiedliwości UE z dnia 19 listopada 2019 r. w sprawach C-585/18, C</w:t>
      </w:r>
      <w:r>
        <w:noBreakHyphen/>
        <w:t>624/18 i C-625/18 oraz obowiązek wskazania w systemie prawnym tych rozwiązań ustawowych, które dałyby możliwość zachowania gwarancji wydania w sprawie orzeczenia przez sąd bezstronny i niezawisły, mimo wątpliwości, które rodzą kolejne zmiany ustawowe odnoszące się do statusu sędziów”.</w:t>
      </w:r>
    </w:p>
    <w:p w14:paraId="7A13F4EA" w14:textId="77777777" w:rsidR="000410B4" w:rsidRPr="00D637A7" w:rsidRDefault="008E2D0D" w:rsidP="00D637A7">
      <w:pPr>
        <w:pStyle w:val="JuH1"/>
      </w:pPr>
      <w:r>
        <w:t>Orzecznictwo Trybunału Konstytucyjnego</w:t>
      </w:r>
    </w:p>
    <w:p w14:paraId="6AA7AED7" w14:textId="77777777" w:rsidR="000410B4" w:rsidRPr="00D637A7" w:rsidRDefault="00000000" w:rsidP="00D637A7">
      <w:pPr>
        <w:pStyle w:val="JuPara"/>
      </w:pPr>
      <w:fldSimple w:instr=" SEQ level0 \*arabic \* MERGEFORMAT ">
        <w:bookmarkStart w:id="58" w:name="paragraph00075"/>
        <w:r w:rsidR="006D0886">
          <w:rPr>
            <w:noProof/>
          </w:rPr>
          <w:t>88</w:t>
        </w:r>
        <w:bookmarkEnd w:id="58"/>
      </w:fldSimple>
      <w:r w:rsidR="008E2D0D">
        <w:t xml:space="preserve">.  Odpowiednie wyroki Trybunału Konstytucyjnego dotyczące funkcjonowania KRS (z dnia 18 lipca 2007 r. (sygn. akt K 25/07), z dnia </w:t>
      </w:r>
      <w:r w:rsidR="008E2D0D">
        <w:lastRenderedPageBreak/>
        <w:t xml:space="preserve">20 czerwca 2017 r. (sygn. akt nr 5/17) i z dnia 25 marca 2019 r. (sygn. akt K 12/18)) podsumowano w sprawie </w:t>
      </w:r>
      <w:r w:rsidR="008E2D0D">
        <w:rPr>
          <w:i/>
          <w:iCs/>
        </w:rPr>
        <w:t>Grzęda</w:t>
      </w:r>
      <w:r w:rsidR="008E2D0D">
        <w:t xml:space="preserve"> (</w:t>
      </w:r>
      <w:r w:rsidR="008E2D0D">
        <w:rPr>
          <w:i/>
          <w:iCs/>
        </w:rPr>
        <w:t>op.cit.</w:t>
      </w:r>
      <w:r w:rsidR="008E2D0D">
        <w:t>, §§ 82-87).</w:t>
      </w:r>
    </w:p>
    <w:p w14:paraId="3DEB556F" w14:textId="77777777" w:rsidR="000410B4" w:rsidRPr="00D637A7" w:rsidRDefault="008E2D0D" w:rsidP="00D637A7">
      <w:pPr>
        <w:pStyle w:val="JuHa0"/>
      </w:pPr>
      <w:r>
        <w:t>Wyrok z dnia 20 kwietnia 2020 r. (sygn. akt U 2/20)</w:t>
      </w:r>
    </w:p>
    <w:bookmarkStart w:id="59" w:name="Judgment_20April2020_1"/>
    <w:p w14:paraId="08394950"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89</w:t>
      </w:r>
      <w:r w:rsidRPr="00D637A7">
        <w:fldChar w:fldCharType="end"/>
      </w:r>
      <w:bookmarkEnd w:id="59"/>
      <w:r>
        <w:t>.  W dniu 24 lutego 2020 r. Prezes Rady Ministrów skierował do Trybunału Konstytucyjnego pytanie o zgodność uchwały Sądu Najwyższego z dnia 23 stycznia 2020 roku z szeregiem przepisów Konstytucji RP, Karty praw podstawowych Unii Europejskiej oraz Konwencji.</w:t>
      </w:r>
    </w:p>
    <w:p w14:paraId="18BE2834" w14:textId="77777777" w:rsidR="000410B4" w:rsidRPr="00D637A7" w:rsidRDefault="00000000" w:rsidP="00D637A7">
      <w:pPr>
        <w:pStyle w:val="JuPara"/>
      </w:pPr>
      <w:fldSimple w:instr=" SEQ level0 \*arabic \* MERGEFORMAT ">
        <w:r w:rsidR="006D0886">
          <w:rPr>
            <w:noProof/>
          </w:rPr>
          <w:t>90</w:t>
        </w:r>
      </w:fldSimple>
      <w:r w:rsidR="008E2D0D">
        <w:t>.  W dniu 20 kwietnia 2020 r. Trybunał Konstytucyjny wydał wyrok stwierdzający niezgodność uchwały Sądu Najwyższego z dnia 23 stycznia 2020 roku z art. 179, art. 144 ust. 3 pkt 17, art. 183 ust. 1, art. 45 ust. 1, art. 8 ust. 1, art. 7 i art. 2 Konstytucji, art. 2 i art. 4 ust. 3 Traktatu o Unii Europejskiej (TUE) oraz art. 6 ust. 1 Konwencji. Stwierdzono w nim w szczególności, że decyzje Prezydenta RP w sprawie nominacji sędziowskich nie mogą podlegać żadnej kontroli, w tym kontroli Sądu Najwyższego. Wyrok został wydany przez skład Trybunału Konstytucyjnego, w którym zasiadał sędzia Marek Muszyński</w:t>
      </w:r>
      <w:r w:rsidR="008E2D0D">
        <w:rPr>
          <w:rStyle w:val="Odwoanieprzypisudolnego"/>
        </w:rPr>
        <w:footnoteReference w:id="9"/>
      </w:r>
      <w:r w:rsidR="008E2D0D">
        <w:t>. Opublikowano go w Dzienniku Urzędowym dnia 21 kwietnia 2020 r. Trybunał orzekł w szczególności (pominięto odniesienia):</w:t>
      </w:r>
    </w:p>
    <w:p w14:paraId="521917D3" w14:textId="77777777" w:rsidR="000410B4" w:rsidRPr="00D637A7" w:rsidRDefault="008E2D0D" w:rsidP="00D637A7">
      <w:pPr>
        <w:pStyle w:val="JuQuot"/>
      </w:pPr>
      <w:r>
        <w:t>„[…] Cztery jednostki redakcyjne uchwały SN, stanowiące całość treści przedmiotu kontroli, wprowadzają i regulują nowość normatywną (nieznaną innym aktom prawnym Rzeczypospolitej Polskiej, w szczególności Konstytucji), polegającą na tym, że sądy powszechne, wojskowe i Sąd Najwyższy mogą kontrolować i ograniczać prawo sędziego do orzekania wyłącznie w oparciu o fakt powołania sędziego przez Prezydenta na wniosek KRS, której członkowie będący sędziami zostali wybrani przez Sejm, a nie przez gremia sędziowskie [...].</w:t>
      </w:r>
    </w:p>
    <w:p w14:paraId="27B3D7B0" w14:textId="77777777" w:rsidR="000410B4" w:rsidRPr="00D637A7" w:rsidRDefault="008E2D0D" w:rsidP="00D637A7">
      <w:pPr>
        <w:pStyle w:val="JuQuot"/>
      </w:pPr>
      <w:r>
        <w:t>Kwestionowana uchwała SN jest niezgodna z art. 179 Konstytucji, ponieważ podważa charakter tego przepisu jako samodzielnej podstawy skutecznego powołania sędziego przez Prezydenta na wniosek KRS, a więc jako samodzielnej, zupełnej i wystarczającej regulacji prawnej umożliwiającej wykonywanie przez Prezydenta wskazanej w tym przepisie kompetencji.</w:t>
      </w:r>
    </w:p>
    <w:p w14:paraId="39665334" w14:textId="77777777" w:rsidR="000410B4" w:rsidRPr="00D637A7" w:rsidRDefault="008E2D0D" w:rsidP="00D637A7">
      <w:pPr>
        <w:pStyle w:val="JuQuot"/>
      </w:pPr>
      <w:r>
        <w:t xml:space="preserve">Zaskarżona uchwała SN jest niezgodna z art. 144 ust. 3 pkt 17 Konstytucji, ponieważ nie można jej pogodzić z istotą prerogatywy Prezydenta do powoływania sędziów na terenie Rzeczypospolitej Polskiej. Prerogatywa Prezydenta nie podlega kontroli w żadnym trybie. Tym bardziej więc nie może stanowić przedmiotu ograniczenia czy jakiegokolwiek zawężenia interpretacyjnego dokonanego w treści </w:t>
      </w:r>
      <w:proofErr w:type="spellStart"/>
      <w:r>
        <w:t>podustawowego</w:t>
      </w:r>
      <w:proofErr w:type="spellEnd"/>
      <w:r>
        <w:t xml:space="preserve"> aktu normatywnego [...]”.</w:t>
      </w:r>
    </w:p>
    <w:bookmarkStart w:id="60" w:name="Judgment_20April2020_2"/>
    <w:p w14:paraId="2592CAAF"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91</w:t>
      </w:r>
      <w:r w:rsidRPr="00D637A7">
        <w:fldChar w:fldCharType="end"/>
      </w:r>
      <w:bookmarkEnd w:id="60"/>
      <w:r>
        <w:t>.  W odniesieniu do art. 45 ust. 1 Konstytucji i art. 6 ust. 1 Konwencji Trybunał Konstytucyjny orzekł, w zakresie w jakim jest to istotne (pominięto odniesienia):</w:t>
      </w:r>
    </w:p>
    <w:p w14:paraId="0B76586B" w14:textId="77777777" w:rsidR="000410B4" w:rsidRPr="00D637A7" w:rsidRDefault="008E2D0D" w:rsidP="00D637A7">
      <w:pPr>
        <w:pStyle w:val="JuQuot"/>
      </w:pPr>
      <w:r>
        <w:lastRenderedPageBreak/>
        <w:t xml:space="preserve">„W szczególności zaskarżona uchwała SN jest niezgodna z art. 45 ust. 1 Konstytucji oraz art. 6 ust. 1 Konwencji z powodu naruszenia w jej treści standardu niezależności sądu i niezawisłości sędziego obejmującej – zgodnie z orzecznictwem TSUE – dwa aspekty. Pierwszy – zewnętrzny – aspekt niezawisłości sędziego zakłada, że sąd w zakresie orzekania wykonuje swoje zadania całkowicie niezależnie, bez podlegania jakiejkolwiek hierarchii służbowej lub podporządkowania komukolwiek, oraz nie otrzymuje nakazów lub wskazówek z jakiegokolwiek źródła, dzięki czemu jest chroniony przed ingerencją i naciskami zewnętrznymi mogącymi zagrozić niezależności osądu jego członków (sędziów) podczas rozpatrywania przez nich sporów. Z tak nakreślonym standardem, wynikającym ze wszystkich wskazanych wzorców kontroli, nie sposób pogodzić treści zaskarżonej uchwały SN, przyznającej jednym sędziom prawo decydowania o faktycznym orzeczeniu, iż inni sędziowie powoływani przez Prezydenta mają, </w:t>
      </w:r>
      <w:r>
        <w:rPr>
          <w:i/>
          <w:iCs/>
        </w:rPr>
        <w:t>de facto</w:t>
      </w:r>
      <w:r>
        <w:t xml:space="preserve">, status sędziów w stanie spoczynku </w:t>
      </w:r>
      <w:r>
        <w:rPr>
          <w:i/>
          <w:iCs/>
        </w:rPr>
        <w:t>ab initio</w:t>
      </w:r>
      <w:r>
        <w:t xml:space="preserve">. Jak wskazuje TSUE, drugi aspekt niezawisłości sędziego – wewnętrzny – łączy się z pojęciem bezstronności i dotyczy jednakowego dystansu do stron sporu, a także względem ich odpowiednich interesów, w odniesieniu do toczącego się przed sądem sporu. Czynnik ten wymaga przestrzegania obiektywizmu oraz braku wszelkiego interesu sędziego w rozstrzyganiu sporu, poza ścisłym stosowaniem przepisu prawa. Aspekt ten wyklucza procedurę kwestionowania generalnego prawa sędziego do orzekania dokonywanego przez innych sędziów oraz weryfikowania przez sędziów prawidłowości postępowania poprzedzającego powołanie sędziego przez Prezydenta, jako podstawę generalnego zakwestionowania prawa takiego sędziego do orzekania. Jednakowy dystans sędziego do sporu możliwy jest wyłącznie dzięki oparciu wszelkich wniosków sądu prowadzących do rozstrzygnięcia sprawy na poszanowaniu fundamentu w postaci Konstytucji. Tak nakreślony aspekt niezawisłości sędziego wyklucza uzależnienie treści wyroku sądowego od konieczności dokonania wyboru między przepisem konstytucyjnym a treścią aktu </w:t>
      </w:r>
      <w:proofErr w:type="spellStart"/>
      <w:r>
        <w:t>podustawowego</w:t>
      </w:r>
      <w:proofErr w:type="spellEnd"/>
      <w:r>
        <w:t xml:space="preserve"> pozostającego w sprzeczności z Konstytucją, który jednak – wskutek regulacji ustawowej – z dużym prawdopodobieństwem mógłby stanowić przyczynę podważenia wyroku sądowego przez sąd wyższej instancji. Treści zaskarżonej uchwały SN nie można również z tego powodu pogodzić z art. 45 ust. 1 Konstytucji oraz art. 6 ust. 1 Konwencji”.</w:t>
      </w:r>
    </w:p>
    <w:p w14:paraId="562AC73A" w14:textId="77777777" w:rsidR="000410B4" w:rsidRPr="00D637A7" w:rsidRDefault="008E2D0D" w:rsidP="00D637A7">
      <w:pPr>
        <w:pStyle w:val="JuHa0"/>
      </w:pPr>
      <w:r>
        <w:t>Postanowienia z dnia 28 stycznia i 21 kwietnia 2020 r. (sygn. akt Kpt 1/20)</w:t>
      </w:r>
    </w:p>
    <w:p w14:paraId="4229EB6A" w14:textId="77777777" w:rsidR="000410B4" w:rsidRPr="00D637A7" w:rsidRDefault="00000000" w:rsidP="00D637A7">
      <w:pPr>
        <w:pStyle w:val="JuPara"/>
      </w:pPr>
      <w:fldSimple w:instr=" SEQ level0 \*arabic \* MERGEFORMAT ">
        <w:r w:rsidR="006D0886">
          <w:rPr>
            <w:noProof/>
          </w:rPr>
          <w:t>92</w:t>
        </w:r>
      </w:fldSimple>
      <w:r w:rsidR="008E2D0D">
        <w:t xml:space="preserve">.  Marszałek Sejmu skierował do Trybunału Konstytucyjnego pytanie, czy zachodzi „spór kompetencyjny między </w:t>
      </w:r>
      <w:r w:rsidR="008E2D0D">
        <w:rPr>
          <w:i/>
          <w:iCs/>
        </w:rPr>
        <w:t>Sejmem</w:t>
      </w:r>
      <w:r w:rsidR="008E2D0D">
        <w:t xml:space="preserve"> a Sądem Najwyższym oraz między Prezydentem RP a Sądem Najwyższym”.</w:t>
      </w:r>
    </w:p>
    <w:p w14:paraId="5D391833" w14:textId="77777777" w:rsidR="000410B4" w:rsidRPr="00D637A7" w:rsidRDefault="00000000" w:rsidP="00D637A7">
      <w:pPr>
        <w:pStyle w:val="JuPara"/>
      </w:pPr>
      <w:fldSimple w:instr=" SEQ level0 \*arabic \* MERGEFORMAT ">
        <w:r w:rsidR="006D0886">
          <w:rPr>
            <w:noProof/>
          </w:rPr>
          <w:t>93</w:t>
        </w:r>
      </w:fldSimple>
      <w:r w:rsidR="008E2D0D">
        <w:t xml:space="preserve">.  W dniu 28 stycznia 2020 r. Trybunał Konstytucyjny wydał postanowienie, na mocy którego wstrzymał stosowanie uchwały Sądu Najwyższego z dnia 23 stycznia 2020 r. (zob. par. </w:t>
      </w:r>
      <w:r w:rsidR="008E2D0D" w:rsidRPr="00D637A7">
        <w:fldChar w:fldCharType="begin"/>
      </w:r>
      <w:r w:rsidR="008E2D0D" w:rsidRPr="00D637A7">
        <w:instrText xml:space="preserve"> REF BSA_début \h </w:instrText>
      </w:r>
      <w:r w:rsidR="008E2D0D" w:rsidRPr="00D637A7">
        <w:fldChar w:fldCharType="separate"/>
      </w:r>
      <w:r w:rsidR="006D0886">
        <w:rPr>
          <w:noProof/>
        </w:rPr>
        <w:t>82</w:t>
      </w:r>
      <w:r w:rsidR="008E2D0D" w:rsidRPr="00D637A7">
        <w:fldChar w:fldCharType="end"/>
      </w:r>
      <w:r w:rsidR="008E2D0D">
        <w:t>-</w:t>
      </w:r>
      <w:r w:rsidR="008E2D0D" w:rsidRPr="00D637A7">
        <w:fldChar w:fldCharType="begin"/>
      </w:r>
      <w:r w:rsidR="008E2D0D" w:rsidRPr="00D637A7">
        <w:instrText xml:space="preserve"> REF BSA_fin \h </w:instrText>
      </w:r>
      <w:r w:rsidR="008E2D0D" w:rsidRPr="00D637A7">
        <w:fldChar w:fldCharType="separate"/>
      </w:r>
      <w:r w:rsidR="006D0886">
        <w:rPr>
          <w:noProof/>
        </w:rPr>
        <w:t>87</w:t>
      </w:r>
      <w:r w:rsidR="008E2D0D" w:rsidRPr="00D637A7">
        <w:fldChar w:fldCharType="end"/>
      </w:r>
      <w:r w:rsidR="008E2D0D">
        <w:t xml:space="preserve"> powyżej) oraz wstrzymał wykonywanie przez Sąd Najwyższy kompetencji do wydawania uchwał dotyczących zgodności z prawem krajowym, międzynarodowym oraz orzecznictwem sądów międzynarodowych, ukształtowania składu KRS, trybu przedstawiania Prezydentowi RP kandydatur do pełnienia urzędu na stanowisku sędziego, prerogatywy Prezydenta RP do powoływania sędziów oraz kompetencji do pełnienia urzędu na stanowisku sędziego przez osobę powołaną przez Prezydenta RP na wniosek KRS.</w:t>
      </w:r>
    </w:p>
    <w:p w14:paraId="72623C6F" w14:textId="77777777" w:rsidR="000410B4" w:rsidRPr="00D637A7" w:rsidRDefault="00000000" w:rsidP="00D637A7">
      <w:pPr>
        <w:pStyle w:val="JuPara"/>
      </w:pPr>
      <w:fldSimple w:instr=" SEQ level0 \*arabic \* MERGEFORMAT ">
        <w:r w:rsidR="006D0886">
          <w:rPr>
            <w:noProof/>
          </w:rPr>
          <w:t>94</w:t>
        </w:r>
      </w:fldSimple>
      <w:r w:rsidR="008E2D0D">
        <w:t xml:space="preserve">.  W dniu 21 kwietnia 2020 r. Trybunał Konstytucyjny wydał postanowienie, ostatecznie rozstrzygając kwestię „sporu kompetencyjnego”. Zarówno środek tymczasowy, jak i orzeczenie kończące postępowanie </w:t>
      </w:r>
      <w:r w:rsidR="008E2D0D">
        <w:lastRenderedPageBreak/>
        <w:t>zostały wydane przez Trybunał Konstytucyjny w składzie, w którym zasiadał sędzia Muszyński.</w:t>
      </w:r>
    </w:p>
    <w:p w14:paraId="3DB55B58" w14:textId="77777777" w:rsidR="000410B4" w:rsidRPr="00D637A7" w:rsidRDefault="008E2D0D" w:rsidP="00D637A7">
      <w:pPr>
        <w:pStyle w:val="JuHa0"/>
      </w:pPr>
      <w:r>
        <w:t>Wyrok z dnia 14 lipca 2021 r. (sygn. akt P 7/20)</w:t>
      </w:r>
    </w:p>
    <w:bookmarkStart w:id="61" w:name="CaseC44823_1"/>
    <w:bookmarkStart w:id="62" w:name="Judgment_14July2021_1"/>
    <w:p w14:paraId="717E23E5" w14:textId="77777777" w:rsidR="000410B4" w:rsidRPr="00D637A7" w:rsidRDefault="008E2D0D" w:rsidP="00D637A7">
      <w:pPr>
        <w:pStyle w:val="JuPara"/>
        <w:rPr>
          <w:rFonts w:eastAsia="Times New Roman"/>
        </w:rPr>
      </w:pPr>
      <w:r w:rsidRPr="00D637A7">
        <w:fldChar w:fldCharType="begin"/>
      </w:r>
      <w:r w:rsidRPr="00D637A7">
        <w:instrText xml:space="preserve"> SEQ level0 \*arabic \* MERGEFORMAT </w:instrText>
      </w:r>
      <w:r w:rsidRPr="00D637A7">
        <w:fldChar w:fldCharType="separate"/>
      </w:r>
      <w:r w:rsidR="006D0886">
        <w:rPr>
          <w:noProof/>
        </w:rPr>
        <w:t>95</w:t>
      </w:r>
      <w:r w:rsidRPr="00D637A7">
        <w:fldChar w:fldCharType="end"/>
      </w:r>
      <w:bookmarkEnd w:id="61"/>
      <w:bookmarkEnd w:id="62"/>
      <w:r>
        <w:t>.  Dnia 9 kwietnia 2020 r. Izba Dyscyplinarna Sądu Najwyższego skierowała do Trybunału Konstytucyjnego pytanie prawne o zgodność niektórych postanowień TUE z Konstytucją w zakresie, w jakim dotyczą one obowiązku państwa członkowskiego UE polegającym na wykonywaniu środków tymczasowych odnoszących się do ustroju sądownictwa tego państwa.</w:t>
      </w:r>
    </w:p>
    <w:bookmarkStart w:id="63" w:name="CaseC44823_2"/>
    <w:bookmarkStart w:id="64" w:name="Judgment_14July2021_2"/>
    <w:p w14:paraId="0F33FBBC" w14:textId="77777777" w:rsidR="000410B4" w:rsidRPr="00D637A7" w:rsidRDefault="008E2D0D" w:rsidP="00D637A7">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006D0886">
        <w:rPr>
          <w:rFonts w:eastAsia="Times New Roman"/>
          <w:noProof/>
        </w:rPr>
        <w:t>96</w:t>
      </w:r>
      <w:r w:rsidRPr="00D637A7">
        <w:rPr>
          <w:rFonts w:eastAsia="Times New Roman"/>
        </w:rPr>
        <w:fldChar w:fldCharType="end"/>
      </w:r>
      <w:bookmarkEnd w:id="63"/>
      <w:bookmarkEnd w:id="64"/>
      <w:r>
        <w:t>.  Dnia 14 lipca 2021 r. Trybunał Konstytucyjny w składzie pięciorga sędziów odbył rozprawę i wydał wyrok. Większością głosów orzekł [tekst polski cytatu według tekstu oryginalnego]:</w:t>
      </w:r>
    </w:p>
    <w:p w14:paraId="584D125E" w14:textId="77777777" w:rsidR="000410B4" w:rsidRPr="00D637A7" w:rsidRDefault="008E2D0D" w:rsidP="00D637A7">
      <w:pPr>
        <w:pStyle w:val="JuQuot"/>
        <w:rPr>
          <w:rFonts w:eastAsia="Times New Roman"/>
        </w:rPr>
      </w:pPr>
      <w:r>
        <w:t xml:space="preserve">„Art. 4 ust. 3 zdanie drugie [TUE] w związku z art. 279 [TFUE] w zakresie, w jakim Trybunał Sprawiedliwości Unii Europejskiej nakłada </w:t>
      </w:r>
      <w:r>
        <w:rPr>
          <w:i/>
          <w:iCs/>
        </w:rPr>
        <w:t xml:space="preserve">ultra </w:t>
      </w:r>
      <w:proofErr w:type="spellStart"/>
      <w:r>
        <w:rPr>
          <w:i/>
          <w:iCs/>
        </w:rPr>
        <w:t>vires</w:t>
      </w:r>
      <w:proofErr w:type="spellEnd"/>
      <w:r>
        <w:t xml:space="preserve"> zobowiązania na Rzeczpospolitą Polską jako państwo członkowskie Unii Europejskiej, wydając środki tymczasowe odnoszące się do ustroju i właściwości polskich sądów oraz trybu postępowania przed polskimi sądami, jest niezgodny z art. 2, art. 7, art. 8 ust. 1 oraz art. 90 ust. 1 w związku z art. 4 ust. 1 Konstytucji Rzeczypospolitej Polskiej i w tym zakresie nie jest objęty zasadami pierwszeństwa oraz bezpośredniego stosowania [ratyfikowanej umowy międzynarodowej] określonymi w art. 91 ust. 1-3 Konstytucji”.</w:t>
      </w:r>
    </w:p>
    <w:p w14:paraId="1FC68D65" w14:textId="77777777" w:rsidR="000410B4" w:rsidRPr="00D637A7" w:rsidRDefault="008E2D0D" w:rsidP="00D637A7">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006D0886">
        <w:rPr>
          <w:rFonts w:eastAsia="Times New Roman"/>
          <w:noProof/>
        </w:rPr>
        <w:t>97</w:t>
      </w:r>
      <w:r w:rsidRPr="00D637A7">
        <w:rPr>
          <w:rFonts w:eastAsia="Times New Roman"/>
        </w:rPr>
        <w:fldChar w:fldCharType="end"/>
      </w:r>
      <w:r>
        <w:t>.  Dnia 17 lipca 2023 r. w związku z przytoczonym wyrokiem i wyrokiem z dnia 7 października 2021 r. (sygn. akt K 3/21), o którym mowa poniżej (zob. par. </w:t>
      </w:r>
      <w:r w:rsidRPr="00D637A7">
        <w:rPr>
          <w:rFonts w:eastAsia="Times New Roman"/>
        </w:rPr>
        <w:fldChar w:fldCharType="begin"/>
      </w:r>
      <w:r w:rsidRPr="00D637A7">
        <w:rPr>
          <w:rFonts w:eastAsia="Times New Roman"/>
        </w:rPr>
        <w:instrText xml:space="preserve"> REF Judgement_7october2021_1 \h </w:instrText>
      </w:r>
      <w:r w:rsidRPr="00D637A7">
        <w:rPr>
          <w:rFonts w:eastAsia="Times New Roman"/>
        </w:rPr>
      </w:r>
      <w:r w:rsidRPr="00D637A7">
        <w:rPr>
          <w:rFonts w:eastAsia="Times New Roman"/>
        </w:rPr>
        <w:fldChar w:fldCharType="separate"/>
      </w:r>
      <w:r w:rsidR="006D0886">
        <w:rPr>
          <w:noProof/>
        </w:rPr>
        <w:t>98</w:t>
      </w:r>
      <w:r w:rsidRPr="00D637A7">
        <w:rPr>
          <w:rFonts w:eastAsia="Times New Roman"/>
        </w:rPr>
        <w:fldChar w:fldCharType="end"/>
      </w:r>
      <w:r>
        <w:noBreakHyphen/>
      </w:r>
      <w:r w:rsidRPr="00D637A7">
        <w:rPr>
          <w:rFonts w:eastAsia="Times New Roman"/>
        </w:rPr>
        <w:fldChar w:fldCharType="begin"/>
      </w:r>
      <w:r w:rsidRPr="00D637A7">
        <w:rPr>
          <w:rFonts w:eastAsia="Times New Roman"/>
        </w:rPr>
        <w:instrText xml:space="preserve"> REF Judgement_7october2021_2 \h </w:instrText>
      </w:r>
      <w:r w:rsidRPr="00D637A7">
        <w:rPr>
          <w:rFonts w:eastAsia="Times New Roman"/>
        </w:rPr>
      </w:r>
      <w:r w:rsidRPr="00D637A7">
        <w:rPr>
          <w:rFonts w:eastAsia="Times New Roman"/>
        </w:rPr>
        <w:fldChar w:fldCharType="separate"/>
      </w:r>
      <w:r w:rsidR="006D0886">
        <w:rPr>
          <w:noProof/>
        </w:rPr>
        <w:t>99</w:t>
      </w:r>
      <w:r w:rsidRPr="00D637A7">
        <w:rPr>
          <w:rFonts w:eastAsia="Times New Roman"/>
        </w:rPr>
        <w:fldChar w:fldCharType="end"/>
      </w:r>
      <w:r>
        <w:t xml:space="preserve">), Komisja Europejska złożyła skargę na Polskę w związku z uchybieniem zobowiązaniom państwa członkowskiego wynikającym z art. 19 ust. 1 akapit drugi TUE </w:t>
      </w:r>
      <w:r>
        <w:rPr>
          <w:color w:val="000000" w:themeColor="text1"/>
        </w:rPr>
        <w:t>(zob. par. </w:t>
      </w:r>
      <w:r w:rsidRPr="00D637A7">
        <w:rPr>
          <w:rFonts w:eastAsia="Times New Roman"/>
          <w:color w:val="000000" w:themeColor="text1"/>
        </w:rPr>
        <w:fldChar w:fldCharType="begin"/>
      </w:r>
      <w:r w:rsidRPr="00D637A7">
        <w:rPr>
          <w:rFonts w:eastAsia="Times New Roman"/>
          <w:color w:val="000000" w:themeColor="text1"/>
        </w:rPr>
        <w:instrText xml:space="preserve"> REF European_Commission \h </w:instrText>
      </w:r>
      <w:r w:rsidRPr="00D637A7">
        <w:rPr>
          <w:rFonts w:eastAsia="Times New Roman"/>
          <w:color w:val="000000" w:themeColor="text1"/>
        </w:rPr>
      </w:r>
      <w:r w:rsidRPr="00D637A7">
        <w:rPr>
          <w:rFonts w:eastAsia="Times New Roman"/>
          <w:color w:val="000000" w:themeColor="text1"/>
        </w:rPr>
        <w:fldChar w:fldCharType="separate"/>
      </w:r>
      <w:r w:rsidR="006D0886">
        <w:rPr>
          <w:rFonts w:eastAsia="Times New Roman"/>
          <w:noProof/>
        </w:rPr>
        <w:t>127</w:t>
      </w:r>
      <w:r w:rsidRPr="00D637A7">
        <w:rPr>
          <w:rFonts w:eastAsia="Times New Roman"/>
          <w:color w:val="000000" w:themeColor="text1"/>
        </w:rPr>
        <w:fldChar w:fldCharType="end"/>
      </w:r>
      <w:r>
        <w:rPr>
          <w:color w:val="000000" w:themeColor="text1"/>
        </w:rPr>
        <w:t xml:space="preserve"> poniżej</w:t>
      </w:r>
      <w:r>
        <w:t>).</w:t>
      </w:r>
    </w:p>
    <w:p w14:paraId="1F2B2F17" w14:textId="77777777" w:rsidR="000410B4" w:rsidRPr="00D637A7" w:rsidRDefault="008E2D0D" w:rsidP="00D637A7">
      <w:pPr>
        <w:pStyle w:val="JuHa0"/>
        <w:rPr>
          <w:rFonts w:eastAsia="Times New Roman"/>
        </w:rPr>
      </w:pPr>
      <w:r>
        <w:t>Wyrok z dnia 7 października 2021 r. (sygn. akt K 3/21)</w:t>
      </w:r>
    </w:p>
    <w:bookmarkStart w:id="65" w:name="Judgement_7october2021_1"/>
    <w:p w14:paraId="56BA3F33" w14:textId="70541E98"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98</w:t>
      </w:r>
      <w:r w:rsidRPr="00D637A7">
        <w:fldChar w:fldCharType="end"/>
      </w:r>
      <w:bookmarkEnd w:id="65"/>
      <w:r>
        <w:t xml:space="preserve">.  Dnia 29 marca 2021 r. Prezes Rady Ministrów wniósł do Trybunału Konstytucyjnego skargę, w której zarzucił, że </w:t>
      </w:r>
      <w:r w:rsidR="00622362">
        <w:t>(</w:t>
      </w:r>
      <w:r>
        <w:t xml:space="preserve">1) art. 1 akapit pierwszy i drugi w związku z art. 4 ust. 3 TUE, </w:t>
      </w:r>
      <w:r w:rsidR="00622362">
        <w:t>(</w:t>
      </w:r>
      <w:r>
        <w:t xml:space="preserve">2) art. 19 ust. 1 akapit drugi w związku z art. 4 ust. 3 TUE oraz </w:t>
      </w:r>
      <w:r w:rsidR="00622362">
        <w:t>(</w:t>
      </w:r>
      <w:r>
        <w:t>3) art. 19 ust. 1 akapit drugi w związku z art. 2 TUE są sprzeczne z niektórymi przepisami Konstytucji.</w:t>
      </w:r>
    </w:p>
    <w:bookmarkStart w:id="66" w:name="Judgement_7october2021_2"/>
    <w:p w14:paraId="42176A0F"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99</w:t>
      </w:r>
      <w:r w:rsidRPr="00D637A7">
        <w:fldChar w:fldCharType="end"/>
      </w:r>
      <w:bookmarkEnd w:id="66"/>
      <w:r>
        <w:t>.  Dnia 7 października 2021 r. Trybunał Konstytucyjny wydał wyrok, zasiadając w pełnym składzie dwunastu sędziów, wśród których znalazł się sędzia Muszyński. Sentencja wyroku, opublikowana w Dzienniku Ustaw z dnia 12 października 2021 r. (poz. 1852), stanowi:</w:t>
      </w:r>
    </w:p>
    <w:p w14:paraId="174C95D2" w14:textId="77777777" w:rsidR="000410B4" w:rsidRPr="00D637A7" w:rsidRDefault="008E2D0D" w:rsidP="00D637A7">
      <w:pPr>
        <w:pStyle w:val="JuQuot"/>
      </w:pPr>
      <w:r>
        <w:t>„1.  Art. 1 akapit pierwszy i drugi w związku z art. 4 ust. 3 Traktatu o Unii Europejskiej [...] w zakresie, w jakim Unia Europejska ustanowiona przez równe i suwerenne państwa, tworząca „coraz ściślejszy związek między narodami Europy”, których integracja – odbywająca się na podstawie prawa unijnego oraz poprzez jego wykładnię dokonywaną przez Trybunał Sprawiedliwości Unii Europejskiej – osiąga „nowy etap”, w którym:</w:t>
      </w:r>
    </w:p>
    <w:p w14:paraId="701C60FE" w14:textId="77777777" w:rsidR="000410B4" w:rsidRPr="00D637A7" w:rsidRDefault="008E2D0D" w:rsidP="00D637A7">
      <w:pPr>
        <w:pStyle w:val="JuQuot"/>
      </w:pPr>
      <w:r>
        <w:lastRenderedPageBreak/>
        <w:t>a) organy Unii Europejskiej działają poza granicami kompetencji przekazanych przez Rzeczpospolitą Polską w traktatach,</w:t>
      </w:r>
    </w:p>
    <w:p w14:paraId="0BC1E9F6" w14:textId="77777777" w:rsidR="000410B4" w:rsidRPr="00D637A7" w:rsidRDefault="008E2D0D" w:rsidP="00D637A7">
      <w:pPr>
        <w:pStyle w:val="JuQuot"/>
      </w:pPr>
      <w:r>
        <w:t>b) Konstytucja nie jest najwyższym prawem Rzeczypospolitej Polskiej, mającym pierwszeństwo obowiązywania i stosowania,</w:t>
      </w:r>
    </w:p>
    <w:p w14:paraId="2939353F" w14:textId="77777777" w:rsidR="000410B4" w:rsidRPr="00D637A7" w:rsidRDefault="008E2D0D" w:rsidP="00D637A7">
      <w:pPr>
        <w:pStyle w:val="JuQuot"/>
      </w:pPr>
      <w:r>
        <w:t>c) Rzeczpospolita Polska nie może funkcjonować jako państwo suwerenne i demokratyczne</w:t>
      </w:r>
    </w:p>
    <w:p w14:paraId="12BC722E" w14:textId="77777777" w:rsidR="000410B4" w:rsidRPr="00D637A7" w:rsidRDefault="008E2D0D" w:rsidP="00D637A7">
      <w:pPr>
        <w:pStyle w:val="JuQuot"/>
      </w:pPr>
      <w:r>
        <w:t>– jest niezgodny z art. 2, art. 8 i art. 90 ust. 1 Konstytucji Rzeczypospolitej Polskiej.</w:t>
      </w:r>
    </w:p>
    <w:p w14:paraId="6274FC57" w14:textId="77777777" w:rsidR="000410B4" w:rsidRPr="00D637A7" w:rsidRDefault="008E2D0D" w:rsidP="00D637A7">
      <w:pPr>
        <w:pStyle w:val="JuQuot"/>
      </w:pPr>
      <w:r>
        <w:t>2.  Art. 19 ust. 1 akapit drugi Traktatu o Unii Europejskiej w zakresie, w jakim – w celu zapewnienia skutecznej ochrony prawnej w dziedzinach objętych prawem Unii – przyznaje sądom krajowym (sądom powszechnym, sądom administracyjnym, sądom wojskowym i Sądowi Najwyższemu) kompetencje do:</w:t>
      </w:r>
    </w:p>
    <w:p w14:paraId="3D018732" w14:textId="77777777" w:rsidR="000410B4" w:rsidRPr="00D637A7" w:rsidRDefault="008E2D0D" w:rsidP="00D637A7">
      <w:pPr>
        <w:pStyle w:val="JuQuot"/>
      </w:pPr>
      <w:r>
        <w:t>a) pomijania w procesie orzekania przepisów Konstytucji, jest niezgodny z art. 2, art. 7, art. 8 ust. 1, art. 90 ust. 1 i art. 178 ust. 1 Konstytucji,</w:t>
      </w:r>
    </w:p>
    <w:p w14:paraId="7EAC7116" w14:textId="77777777" w:rsidR="000410B4" w:rsidRPr="00D637A7" w:rsidRDefault="008E2D0D" w:rsidP="00D637A7">
      <w:pPr>
        <w:pStyle w:val="JuQuot"/>
      </w:pPr>
      <w:r>
        <w:t>b) orzekania na podstawie przepisów nieobowiązujących, uchylonych przez Sejm lub uznanych przez Trybunał Konstytucyjny za niezgodne z Konstytucją, jest niezgodny z art. 2, art. 7 i art. 8 ust. 1, art. 90 ust. 1, art. 178 ust. 1 i art. 190 ust. 1 Konstytucji.</w:t>
      </w:r>
    </w:p>
    <w:p w14:paraId="387B56B9" w14:textId="77777777" w:rsidR="000410B4" w:rsidRPr="00D637A7" w:rsidRDefault="008E2D0D" w:rsidP="00D637A7">
      <w:pPr>
        <w:pStyle w:val="JuQuot"/>
      </w:pPr>
      <w:r>
        <w:t>3.  Art.19 ust. 1 akapit drugi i art. 2 Traktatu o Unii Europejskiej w zakresie, w jakim – w celu zapewnienia skutecznej ochrony prawnej w dziedzinach objętych prawem Unii oraz zapewnienia niezawisłości sędziowskiej – przyznają sądom krajowym (sądom powszechnym, sądom administracyjnym, sądom wojskowym i Sądowi Najwyższemu) kompetencje do:</w:t>
      </w:r>
    </w:p>
    <w:p w14:paraId="6EBAC940" w14:textId="77777777" w:rsidR="000410B4" w:rsidRPr="00D637A7" w:rsidRDefault="008E2D0D" w:rsidP="00D637A7">
      <w:pPr>
        <w:pStyle w:val="JuQuot"/>
      </w:pPr>
      <w:r>
        <w:t>a) kontroli legalności procedury powołania sędziego, w tym badania zgodności z prawem aktu powołania sędziego przez Prezydenta Rzeczypospolitej Polskiej, są niezgodne z art. 2, art. 8 ust. 1, art. 90 ust. 1 i art. 179 w związku z art. 144 ust. 3 pkt 17 Konstytucji,</w:t>
      </w:r>
    </w:p>
    <w:p w14:paraId="0EC7987C" w14:textId="77777777" w:rsidR="000410B4" w:rsidRPr="00D637A7" w:rsidRDefault="008E2D0D" w:rsidP="00D637A7">
      <w:pPr>
        <w:pStyle w:val="JuQuot"/>
      </w:pPr>
      <w:r>
        <w:t>b) kontroli legalności uchwały Krajowej Rady Sądownictwa zawierającej wniosek do Prezydenta o powołanie sędziego, są niezgodne z art. 2, art. 8 ust. 1, art. 90 ust. 1 i art. 186 ust. 1 Konstytucji,</w:t>
      </w:r>
    </w:p>
    <w:p w14:paraId="1A3186D2" w14:textId="77777777" w:rsidR="000410B4" w:rsidRPr="00D637A7" w:rsidRDefault="008E2D0D" w:rsidP="00D637A7">
      <w:pPr>
        <w:pStyle w:val="JuQuot"/>
      </w:pPr>
      <w:r>
        <w:t>c) stwierdzania przez sąd krajowy wadliwości procesu nominacji sędziego i w jego efekcie odmowy uznania za sędziego osoby powołanej na urząd sędziowski zgodnie z art. 179 Konstytucji, są niezgodne z art. 2, art. 8 ust. 1, art. 90 ust. 1 i art. 179 w związku z art. 144 ust. 3 pkt 17 Konstytucji”.</w:t>
      </w:r>
    </w:p>
    <w:p w14:paraId="790DDB7C" w14:textId="77777777" w:rsidR="000410B4" w:rsidRPr="00D637A7" w:rsidRDefault="008E2D0D" w:rsidP="00D637A7">
      <w:pPr>
        <w:pStyle w:val="JuHa0"/>
      </w:pPr>
      <w:r>
        <w:t>Wyrok z dnia 24 listopada 2021 r. (sygn. akt K 6/21)</w:t>
      </w:r>
    </w:p>
    <w:bookmarkStart w:id="67" w:name="Judgment_24November2021"/>
    <w:p w14:paraId="23AA22E7"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100</w:t>
      </w:r>
      <w:r w:rsidRPr="00D637A7">
        <w:fldChar w:fldCharType="end"/>
      </w:r>
      <w:bookmarkEnd w:id="67"/>
      <w:r>
        <w:t>.  W dniu 27 lipca 2021 r. p. Zbigniew Ziobro, Minister Sprawiedliwości / Prokurator Generalny, skierował do Trybunału Konstytucyjnego następujący wniosek:</w:t>
      </w:r>
    </w:p>
    <w:p w14:paraId="5109BF53" w14:textId="77777777" w:rsidR="000410B4" w:rsidRPr="00D637A7" w:rsidRDefault="008E2D0D" w:rsidP="00D637A7">
      <w:pPr>
        <w:pStyle w:val="JuQuot"/>
      </w:pPr>
      <w:r>
        <w:t>„Wniosek o zbadanie zgodności:</w:t>
      </w:r>
    </w:p>
    <w:p w14:paraId="7DFDB0F6" w14:textId="77777777" w:rsidR="000410B4" w:rsidRPr="00D637A7" w:rsidRDefault="008E2D0D" w:rsidP="00D637A7">
      <w:pPr>
        <w:pStyle w:val="JuQuot"/>
      </w:pPr>
      <w:r>
        <w:t>1. art. 6 ust. 1 zdanie pierwsze [Konwencji] w zakresie, w jakim pojęciem «sąd» użytym w tym przepisie obejmuje Trybunał Konstytucyjny Rzeczypospolitej Polskiej, z art. 2, art. 8 ust. 1, art. 10 ust. 2, art. 173 i art. 175 ust. 1 Konstytucji;</w:t>
      </w:r>
    </w:p>
    <w:p w14:paraId="087AB718" w14:textId="77777777" w:rsidR="000410B4" w:rsidRPr="00D637A7" w:rsidRDefault="008E2D0D" w:rsidP="00D637A7">
      <w:pPr>
        <w:pStyle w:val="JuQuot"/>
      </w:pPr>
      <w:r>
        <w:t xml:space="preserve">2. art. 6 ust. 2 oraz art. 6 ust. 1 zdanie pierwsze Konwencji powołanej w punkcie 1 w zakresie, w jakim utożsamia wynikającą z tego przepisu gwarancję rozpatrzenia indywidualnej sprawy w rozsądnym terminie przez niezawisły i bezstronny sąd ustanowiony ustawą przy rozstrzyganiu o prawach i obowiązkach danego podmiotu o </w:t>
      </w:r>
      <w:r>
        <w:lastRenderedPageBreak/>
        <w:t>charakterze cywilnym albo o zasadności każdego oskarżenia w wytoczonej przeciwko niemu sprawie karnej z kompetencją Trybunału Konstytucyjnego do orzekania w sprawie hierarchicznej zgodności określonych w Konstytucji RP przepisów i aktów normatywnych, a przez to pozwala objąć postępowanie przed Trybunałem Konstytucyjnym wymogami wynikającymi z art. 6 [Konwencji], z art. 2, art. 8 ust. 1, art. 79 ust. 1, art. 122 ust. 3 i 4, art. 188 pkt 1-3 i 5 oraz art. 193 Konstytucji;</w:t>
      </w:r>
    </w:p>
    <w:p w14:paraId="66CED295" w14:textId="77777777" w:rsidR="000410B4" w:rsidRPr="00D637A7" w:rsidRDefault="008E2D0D" w:rsidP="00D637A7">
      <w:pPr>
        <w:pStyle w:val="JuQuot"/>
      </w:pPr>
      <w:r>
        <w:t>3. art. 6 ust. 1 zdanie pierwsze Konwencji powołanej w punkcie 1 w zakresie, w jakim obejmuje dokonywanie przez Europejski Trybunał Praw Człowieka oceny legalności procesu wyboru sędziów Trybunału Konstytucyjnego w celu ustalenia, czy Trybunał Konstytucyjny jest niezawisłym i bezstronnym sądem ustanowionym ustawą, z art. 2, art. 8 ust. 1, art. 89 ust. 1 pkt 3 i art. 194 ust. 1 Konstytucji”.</w:t>
      </w:r>
    </w:p>
    <w:p w14:paraId="2771872E" w14:textId="77777777" w:rsidR="000410B4" w:rsidRPr="00D637A7" w:rsidRDefault="00000000" w:rsidP="00D637A7">
      <w:pPr>
        <w:pStyle w:val="JuPara"/>
      </w:pPr>
      <w:fldSimple w:instr=" SEQ level0 \*arabic \* MERGEFORMAT ">
        <w:r w:rsidR="006D0886">
          <w:rPr>
            <w:noProof/>
          </w:rPr>
          <w:t>101</w:t>
        </w:r>
      </w:fldSimple>
      <w:r w:rsidR="008E2D0D">
        <w:t xml:space="preserve">.  W dniu 17 sierpnia 2021 r. do postępowania przystąpił Rzecznik Praw Obywatelskich, który zwrócił się do Trybunału Konstytucyjnego o umorzenie postępowania. Wskazywał, że wniosek Ministra Sprawiedliwości / Prokuratora Generalnego w sposób oczywisty był spowodowany wyrokiem </w:t>
      </w:r>
      <w:proofErr w:type="spellStart"/>
      <w:r w:rsidR="008E2D0D">
        <w:t>ETPCz</w:t>
      </w:r>
      <w:proofErr w:type="spellEnd"/>
      <w:r w:rsidR="008E2D0D">
        <w:t xml:space="preserve"> wydanym w sprawie </w:t>
      </w:r>
      <w:r w:rsidR="008E2D0D">
        <w:rPr>
          <w:i/>
          <w:iCs/>
        </w:rPr>
        <w:t xml:space="preserve">Xero Flor w Polsce sp. z o.o. </w:t>
      </w:r>
      <w:r w:rsidR="008E2D0D">
        <w:t>(</w:t>
      </w:r>
      <w:r w:rsidR="008E2D0D">
        <w:rPr>
          <w:i/>
          <w:iCs/>
        </w:rPr>
        <w:t>op.cit.</w:t>
      </w:r>
      <w:r w:rsidR="008E2D0D">
        <w:t>).</w:t>
      </w:r>
    </w:p>
    <w:bookmarkStart w:id="68" w:name="Judgment_24November2021_1"/>
    <w:p w14:paraId="495BBC83"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102</w:t>
      </w:r>
      <w:r w:rsidRPr="00D637A7">
        <w:fldChar w:fldCharType="end"/>
      </w:r>
      <w:bookmarkEnd w:id="68"/>
      <w:r>
        <w:t>.  W dniu 24 listopada 2021 r. Trybunał Konstytucyjny wydał wyrok. Uznał on art. 6 ust. 1 Konwencji za niezgodny z szeregiem przepisów Konstytucji. Sentencja wyroku brzmiała [tekst polski cytatu według tekstu oryginalnego]:</w:t>
      </w:r>
    </w:p>
    <w:p w14:paraId="5F5BCE65" w14:textId="77777777" w:rsidR="000410B4" w:rsidRPr="00D637A7" w:rsidRDefault="008E2D0D" w:rsidP="00D637A7">
      <w:pPr>
        <w:pStyle w:val="JuQuot"/>
      </w:pPr>
      <w:r>
        <w:t>„1. Art. 6 ust. 1 zdanie pierwsze [Konwencji] w zakresie, w jakim pojęciem sądu użytym w tym przepisie obejmuje Trybunał Konstytucyjny, jest niezgodny z art. 173 w związku z art. 10 ust. 2, art. 175 ust. 1 i art. 8 ust. 1 Konstytucji Rzeczypospolitej Polskiej.</w:t>
      </w:r>
    </w:p>
    <w:p w14:paraId="6009EC9B" w14:textId="77777777" w:rsidR="000410B4" w:rsidRPr="00D637A7" w:rsidRDefault="008E2D0D" w:rsidP="00D637A7">
      <w:pPr>
        <w:pStyle w:val="JuQuot"/>
      </w:pPr>
      <w:r>
        <w:t>2. Art. 6 ust. 1 zdanie pierwsze konwencji powołanej w punkcie 1 w zakresie, w jakim przyznaje Europejskiemu Trybunałowi Praw Człowieka kompetencję do oceny legalności wyboru sędziów Trybunału Konstytucyjnego, jest niezgodny z art. 194 ust. 1 w związku z art. 8 ust. 1 Konstytucji”.</w:t>
      </w:r>
    </w:p>
    <w:bookmarkStart w:id="69" w:name="SG_COE_report_3"/>
    <w:p w14:paraId="77C6D012"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103</w:t>
      </w:r>
      <w:r w:rsidRPr="00D637A7">
        <w:fldChar w:fldCharType="end"/>
      </w:r>
      <w:bookmarkEnd w:id="69"/>
      <w:r>
        <w:t xml:space="preserve">.  Tego samego dnia Sekretarz Generalna Rady Europy, </w:t>
      </w:r>
      <w:proofErr w:type="spellStart"/>
      <w:r>
        <w:t>Marija</w:t>
      </w:r>
      <w:proofErr w:type="spellEnd"/>
      <w:r>
        <w:t xml:space="preserve"> </w:t>
      </w:r>
      <w:proofErr w:type="spellStart"/>
      <w:r>
        <w:t>Pejčinović</w:t>
      </w:r>
      <w:proofErr w:type="spellEnd"/>
      <w:r>
        <w:t xml:space="preserve"> </w:t>
      </w:r>
      <w:proofErr w:type="spellStart"/>
      <w:r>
        <w:t>Burić</w:t>
      </w:r>
      <w:proofErr w:type="spellEnd"/>
      <w:r>
        <w:t>, w odpowiedzi na wyrok Trybunału Konstytucyjnego wydała oświadczenie o następującej treści:</w:t>
      </w:r>
    </w:p>
    <w:p w14:paraId="2129339C" w14:textId="77777777" w:rsidR="000410B4" w:rsidRPr="00D637A7" w:rsidRDefault="008E2D0D" w:rsidP="00D637A7">
      <w:pPr>
        <w:pStyle w:val="JuQuot"/>
      </w:pPr>
      <w:r>
        <w:t>„Wszystkie 47 państw członkowskich Rady Europy, w tym Polska, zobowiązały się do gwarantowania praw i wolności określonych w Europejskiej Konwencji Praw Człowieka w interpretacji Europejskiego Trybunału Praw Człowieka. Państwa członkowskie są również zobowiązane do wykonywania wyroków Europejskiego Trybunału [Praw Człowieka].</w:t>
      </w:r>
    </w:p>
    <w:p w14:paraId="44AD9EE5" w14:textId="77777777" w:rsidR="000410B4" w:rsidRPr="00D637A7" w:rsidRDefault="008E2D0D" w:rsidP="00D637A7">
      <w:pPr>
        <w:pStyle w:val="JuQuot"/>
      </w:pPr>
      <w:r>
        <w:t>Dzisiejszy wyrok polskiego Trybunału Konstytucyjnego jest bezprecedensowy i budzi poważne obawy. Dokładnie zbadamy uzasadnienie wyroku i jego skutki”.</w:t>
      </w:r>
    </w:p>
    <w:bookmarkStart w:id="70" w:name="case_K6_21_1"/>
    <w:p w14:paraId="53B58C02"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104</w:t>
      </w:r>
      <w:r w:rsidRPr="00D637A7">
        <w:fldChar w:fldCharType="end"/>
      </w:r>
      <w:bookmarkEnd w:id="70"/>
      <w:r>
        <w:t xml:space="preserve">.  Dnia 7 grudnia 2021 r. Sekretarz Generalna Rady Europy, działając zgodnie z art. 52 Konwencji, zwróciła się do polskiego Ministra Spraw Zagranicznych, p. Zbigniewa </w:t>
      </w:r>
      <w:proofErr w:type="spellStart"/>
      <w:r>
        <w:t>Raua</w:t>
      </w:r>
      <w:proofErr w:type="spellEnd"/>
      <w:r>
        <w:t>, o przedstawienie wyjaśnień w związku z wyrokiem Trybunału Konstytucyjnego z dnia 24 listopada 2021 r.</w:t>
      </w:r>
    </w:p>
    <w:p w14:paraId="76C91A3D" w14:textId="77777777" w:rsidR="000410B4" w:rsidRPr="00D637A7" w:rsidRDefault="008E2D0D" w:rsidP="00D637A7">
      <w:pPr>
        <w:pStyle w:val="JuPara"/>
      </w:pPr>
      <w:r>
        <w:t>Artykuł 52 Konwencji stanowi:</w:t>
      </w:r>
    </w:p>
    <w:p w14:paraId="1C009D7C" w14:textId="77777777" w:rsidR="000410B4" w:rsidRPr="00D637A7" w:rsidRDefault="008E2D0D" w:rsidP="00D637A7">
      <w:pPr>
        <w:pStyle w:val="JuQuot"/>
      </w:pPr>
      <w:r>
        <w:lastRenderedPageBreak/>
        <w:t>„Na żądanie Sekretarza Generalnego Rady Europy każda Wysoka Układająca się Strona złoży wyjaśnienia w sprawie sposobu, w jaki jej prawo wewnętrzne zapewnia skuteczne stosowanie wszystkich postanowień niniejszej Konwencji”.</w:t>
      </w:r>
    </w:p>
    <w:p w14:paraId="5EA65352" w14:textId="77777777" w:rsidR="000410B4" w:rsidRPr="00D637A7" w:rsidRDefault="008E2D0D" w:rsidP="00D637A7">
      <w:pPr>
        <w:pStyle w:val="JuPara"/>
      </w:pPr>
      <w:r>
        <w:t>Pismo przewodnie Sekretarz Generalnej w istotnym zakresie miało następującą treść:</w:t>
      </w:r>
    </w:p>
    <w:p w14:paraId="2DD75040" w14:textId="77777777" w:rsidR="000410B4" w:rsidRPr="00D637A7" w:rsidRDefault="008E2D0D" w:rsidP="00D637A7">
      <w:pPr>
        <w:pStyle w:val="JuQuot"/>
      </w:pPr>
      <w:r>
        <w:t>„Chciałabym odnieść się do art. 52 Europejskiej konwencji praw człowieka, który stanowi, że »na żądanie Sekretarza Generalnego Rady Europy każda Wysoka Układająca się Strona złoży wyjaśnienia w sprawie sposobu, w jaki jej prawo wewnętrzne zapewnia skuteczne stosowanie wszystkich postanowień niniejszej Konwencji«.</w:t>
      </w:r>
    </w:p>
    <w:p w14:paraId="382E6A76" w14:textId="77777777" w:rsidR="000410B4" w:rsidRPr="00D637A7" w:rsidRDefault="008E2D0D" w:rsidP="00D637A7">
      <w:pPr>
        <w:pStyle w:val="JuQuot"/>
      </w:pPr>
      <w:r>
        <w:t>Niniejszym korzystam z kompetencji nadanych mi na mocy tego przepisu i mam zaszczyt poprosić Państwa Rząd o dostarczenie wyjaśnień, o których mowa w załączniku.</w:t>
      </w:r>
    </w:p>
    <w:p w14:paraId="67B70815" w14:textId="77777777" w:rsidR="000410B4" w:rsidRPr="00D637A7" w:rsidRDefault="008E2D0D" w:rsidP="00D637A7">
      <w:pPr>
        <w:pStyle w:val="JuQuot"/>
      </w:pPr>
      <w:r>
        <w:t>Byłabym wdzięczna za nadesłanie przedmiotowych wyjaśnień nie później niż do dnia 7 marca 2022 r.”.</w:t>
      </w:r>
    </w:p>
    <w:p w14:paraId="73BDF7F3" w14:textId="77777777" w:rsidR="000410B4" w:rsidRPr="00D637A7" w:rsidRDefault="008E2D0D" w:rsidP="00D637A7">
      <w:pPr>
        <w:pStyle w:val="JuPara"/>
      </w:pPr>
      <w:r>
        <w:t>Załączony do powyższego pisma wniosek brzmiał następująco:</w:t>
      </w:r>
    </w:p>
    <w:p w14:paraId="59DE1BD0" w14:textId="77777777" w:rsidR="000410B4" w:rsidRPr="00D637A7" w:rsidRDefault="008E2D0D" w:rsidP="00D637A7">
      <w:pPr>
        <w:pStyle w:val="JuQuot"/>
      </w:pPr>
      <w:r>
        <w:t>„Wniosek o przedstawienie wyjaśnień zgodnie z art. 52 Europejskiej konwencji praw człowieka</w:t>
      </w:r>
    </w:p>
    <w:p w14:paraId="38DDE230" w14:textId="77777777" w:rsidR="000410B4" w:rsidRPr="00D637A7" w:rsidRDefault="008E2D0D" w:rsidP="00D637A7">
      <w:pPr>
        <w:pStyle w:val="JuQuot"/>
      </w:pPr>
      <w:r>
        <w:t>Sekretarz Generalna Rady Europy,</w:t>
      </w:r>
    </w:p>
    <w:p w14:paraId="333B2D4C" w14:textId="77777777" w:rsidR="000410B4" w:rsidRPr="00D637A7" w:rsidRDefault="008E2D0D" w:rsidP="00D637A7">
      <w:pPr>
        <w:pStyle w:val="JuQuot"/>
      </w:pPr>
      <w:r>
        <w:t>odwołując się do zobowiązań Polski wynikających z Konwencji o ochronie praw człowieka i podstawowych wolności (zwanej dalej „Konwencją”) i jej Protokołów dodatkowych;</w:t>
      </w:r>
    </w:p>
    <w:p w14:paraId="004578A2" w14:textId="4DC6C668" w:rsidR="000410B4" w:rsidRPr="00D637A7" w:rsidRDefault="008E2D0D" w:rsidP="00D637A7">
      <w:pPr>
        <w:pStyle w:val="JuQuot"/>
      </w:pPr>
      <w:r>
        <w:t xml:space="preserve">odwołując się dalej do art. 6 ust. 1 Konwencji, </w:t>
      </w:r>
      <w:r w:rsidR="00364B87">
        <w:t xml:space="preserve">interpretowanego </w:t>
      </w:r>
      <w:r>
        <w:t>zgodnie z utrwalon</w:t>
      </w:r>
      <w:r w:rsidR="00364B87">
        <w:t>ym</w:t>
      </w:r>
      <w:r>
        <w:t xml:space="preserve"> orzecznictw</w:t>
      </w:r>
      <w:r w:rsidR="00364B87">
        <w:t>em</w:t>
      </w:r>
      <w:r>
        <w:t xml:space="preserve"> Europejskiego Trybunału Praw Człowieka, zgodnie z którym przy rozstrzyganiu o jego prawach i obowiązkach o charakterze cywilnym albo o zasadności każdego oskarżenia w wytoczonej sprawie karnej Wysokie Układające się Strony zapewnią każde</w:t>
      </w:r>
      <w:r w:rsidR="00364B87">
        <w:t>mu</w:t>
      </w:r>
      <w:r>
        <w:t xml:space="preserve"> podlegającemu ich jurysdykcji sprawiedliwe rozpatrzenia jego sprawy przez niezawisły i bezstronny sąd ustanowiony ustawą;</w:t>
      </w:r>
    </w:p>
    <w:p w14:paraId="04317EED" w14:textId="77777777" w:rsidR="000410B4" w:rsidRPr="00D637A7" w:rsidRDefault="008E2D0D" w:rsidP="00D637A7">
      <w:pPr>
        <w:pStyle w:val="JuQuot"/>
      </w:pPr>
      <w:r>
        <w:t>przypominając, że zgodnie z art. 32 Konwencji Europejski Trybunał Praw Człowieka ma wyłączną kompetencję do wiążącej wykładni Konwencji;</w:t>
      </w:r>
    </w:p>
    <w:p w14:paraId="79DEF3AE" w14:textId="77777777" w:rsidR="000410B4" w:rsidRPr="00D637A7" w:rsidRDefault="008E2D0D" w:rsidP="00D637A7">
      <w:pPr>
        <w:pStyle w:val="JuQuot"/>
      </w:pPr>
      <w:r>
        <w:t>biorąc pod uwagę ostatnie zmiany w prawie krajowym, w szczególności wyrok Trybunału Konstytucyjnego z dnia 24 listopada 2021 r. w sprawie K 6/21;</w:t>
      </w:r>
    </w:p>
    <w:p w14:paraId="79376184" w14:textId="77777777" w:rsidR="000410B4" w:rsidRPr="00D637A7" w:rsidRDefault="008E2D0D" w:rsidP="00D637A7">
      <w:pPr>
        <w:pStyle w:val="JuQuot"/>
      </w:pPr>
      <w:r>
        <w:t>działając zgodnie z art. 52 Konwencji;</w:t>
      </w:r>
    </w:p>
    <w:p w14:paraId="5CA4F006" w14:textId="77777777" w:rsidR="000410B4" w:rsidRPr="00D637A7" w:rsidRDefault="008E2D0D" w:rsidP="00D637A7">
      <w:pPr>
        <w:pStyle w:val="JuQuot"/>
      </w:pPr>
      <w:r>
        <w:t>zwraca się do Rzeczypospolitej Polskiej o udzielenie wyjaśnień dotyczących sposobu, w jaki prawo wewnętrzne zapewnia skuteczne wykonanie art. 6 i 32 Konwencji w następstwie wyroku Trybunału Konstytucyjnego z dnia 24 listopada 2021 r. w sprawie o sygn. akt K 6/21”.</w:t>
      </w:r>
    </w:p>
    <w:bookmarkStart w:id="71" w:name="case_K6_21_2"/>
    <w:p w14:paraId="3E9905C0"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105</w:t>
      </w:r>
      <w:r w:rsidRPr="00D637A7">
        <w:fldChar w:fldCharType="end"/>
      </w:r>
      <w:bookmarkEnd w:id="71"/>
      <w:r>
        <w:t>.  Dnia 23 listopada 2022 r. Sekretarz Generalna opublikowała sprawozdanie na podstawie art. 52 Konwencji (zob. par. </w:t>
      </w:r>
      <w:r w:rsidRPr="00D637A7">
        <w:fldChar w:fldCharType="begin"/>
      </w:r>
      <w:r w:rsidRPr="00D637A7">
        <w:instrText xml:space="preserve"> REF SG_COE_report_1 \h </w:instrText>
      </w:r>
      <w:r w:rsidRPr="00D637A7">
        <w:fldChar w:fldCharType="separate"/>
      </w:r>
      <w:r w:rsidR="006D0886">
        <w:rPr>
          <w:noProof/>
        </w:rPr>
        <w:t>116</w:t>
      </w:r>
      <w:r w:rsidRPr="00D637A7">
        <w:fldChar w:fldCharType="end"/>
      </w:r>
      <w:r>
        <w:noBreakHyphen/>
      </w:r>
      <w:r w:rsidRPr="00D637A7">
        <w:fldChar w:fldCharType="begin"/>
      </w:r>
      <w:r w:rsidRPr="00D637A7">
        <w:instrText xml:space="preserve"> REF SG_COE_report_2 \h </w:instrText>
      </w:r>
      <w:r w:rsidRPr="00D637A7">
        <w:fldChar w:fldCharType="separate"/>
      </w:r>
      <w:r w:rsidR="006D0886">
        <w:rPr>
          <w:noProof/>
        </w:rPr>
        <w:t>117</w:t>
      </w:r>
      <w:r w:rsidRPr="00D637A7">
        <w:fldChar w:fldCharType="end"/>
      </w:r>
      <w:r>
        <w:t xml:space="preserve"> poniżej). W sprawozdaniu uwzględniono również późniejszy wyrok Trybunału Konstytucyjnego z dnia 22 marca 2022 r. (sygn. akt K 7/21, zob. par </w:t>
      </w:r>
      <w:r w:rsidRPr="00D637A7">
        <w:fldChar w:fldCharType="begin"/>
      </w:r>
      <w:r w:rsidRPr="00D637A7">
        <w:instrText xml:space="preserve"> REF case_K7_21_1 \h </w:instrText>
      </w:r>
      <w:r w:rsidRPr="00D637A7">
        <w:fldChar w:fldCharType="separate"/>
      </w:r>
      <w:r w:rsidR="006D0886">
        <w:rPr>
          <w:noProof/>
        </w:rPr>
        <w:t>106</w:t>
      </w:r>
      <w:r w:rsidRPr="00D637A7">
        <w:fldChar w:fldCharType="end"/>
      </w:r>
      <w:r>
        <w:t>-</w:t>
      </w:r>
      <w:r w:rsidRPr="00D637A7">
        <w:fldChar w:fldCharType="begin"/>
      </w:r>
      <w:r w:rsidRPr="00D637A7">
        <w:instrText xml:space="preserve"> REF case_K7_21_2 \h </w:instrText>
      </w:r>
      <w:r w:rsidRPr="00D637A7">
        <w:fldChar w:fldCharType="separate"/>
      </w:r>
      <w:r w:rsidR="006D0886">
        <w:rPr>
          <w:noProof/>
        </w:rPr>
        <w:t>108</w:t>
      </w:r>
      <w:r w:rsidRPr="00D637A7">
        <w:fldChar w:fldCharType="end"/>
      </w:r>
      <w:r>
        <w:t xml:space="preserve"> poniżej).</w:t>
      </w:r>
    </w:p>
    <w:p w14:paraId="0F7E5BFD" w14:textId="77777777" w:rsidR="000410B4" w:rsidRPr="00D637A7" w:rsidRDefault="008E2D0D" w:rsidP="00D637A7">
      <w:pPr>
        <w:pStyle w:val="JuHa0"/>
      </w:pPr>
      <w:r>
        <w:lastRenderedPageBreak/>
        <w:t>Wyrok z dnia 10 marca 2022 r. (sygn. akt K 7/21)</w:t>
      </w:r>
    </w:p>
    <w:bookmarkStart w:id="72" w:name="case_K7_21_1"/>
    <w:bookmarkStart w:id="73" w:name="judgment_10March2022_3"/>
    <w:p w14:paraId="7D9BA617" w14:textId="6439AC46"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106</w:t>
      </w:r>
      <w:r w:rsidRPr="00D637A7">
        <w:fldChar w:fldCharType="end"/>
      </w:r>
      <w:bookmarkEnd w:id="72"/>
      <w:bookmarkEnd w:id="73"/>
      <w:r>
        <w:t xml:space="preserve">.  Dnia 9 listopada 2021 r. Prokurator Generalny wystąpił do Trybunału Konstytucyjnego z wnioskiem dotyczącym „dokonywania, na podstawie art. 6 ust. 1 Konwencji, przez sądy krajowe lub międzynarodowe oceny zgodności z Konstytucją i Konwencją, ustaw dotyczących ustroju sądownictwa, właściwości sądów oraz ustawy dotyczącej Krajowej Rady Sądownictwa”. Wniosek odnosił się do wyroków </w:t>
      </w:r>
      <w:proofErr w:type="spellStart"/>
      <w:r>
        <w:t>ETPCz</w:t>
      </w:r>
      <w:proofErr w:type="spellEnd"/>
      <w:r>
        <w:t xml:space="preserve"> w sprawach </w:t>
      </w:r>
      <w:r>
        <w:rPr>
          <w:i/>
          <w:iCs/>
        </w:rPr>
        <w:t>Broda i Bojara przeciwko Polsce</w:t>
      </w:r>
      <w:r>
        <w:t xml:space="preserve"> (skargi nr 26691/18, 27367/18, 29 czerwca 2021 r.) oraz </w:t>
      </w:r>
      <w:r>
        <w:rPr>
          <w:i/>
          <w:iCs/>
        </w:rPr>
        <w:t xml:space="preserve">Reczkowicz </w:t>
      </w:r>
      <w:r>
        <w:t>(</w:t>
      </w:r>
      <w:r>
        <w:rPr>
          <w:i/>
          <w:iCs/>
        </w:rPr>
        <w:t>op.cit.</w:t>
      </w:r>
      <w:r>
        <w:t>). Prokurator Generalny twierdził, że art. 6 ust. 1 Konwencji jest niezgodny z Konstytucją w zakresie, w jakim: 1) upoważnia Europejski Trybunał Praw Człowieka do wykreowania, na gruncie prawa krajowego, podlegającego ochronie sądowej prawa podmiotowego sędziego do zajmowania funkcji administracyjnej w strukturze organizacyjnej sądownictwa, 2) zawarta w tym przepisie przesłanka „sąd ustanowiony ustawą” nie uwzględnia, będących podstawą ustanowienia sądu, powszechnie obowiązujących przepisów Konstytucji Rzeczypospolitej Polskiej oraz ustaw, a także ostatecznych i powszechnie obowiązujących wyroków polskiego Trybunału Konstytucyjnego oraz 3) dopuszcza dokonywanie przez sądy krajowe lub międzynarodowe wiążącej oceny zgodności z Konstytucją Rzeczypospolitej Polskiej i rzeczoną Konwencją ustaw dotyczących ustroju sądownictwa, właściwości sądów oraz ustawy dotyczącej Krajowej Rady Sądownictwa, by w ten sposób ustalić spełnienie przesłanki „sądu ustanowionego ustawą”.</w:t>
      </w:r>
    </w:p>
    <w:bookmarkStart w:id="74" w:name="judgment_10March2022_1"/>
    <w:p w14:paraId="573FAE80" w14:textId="1E2BF917" w:rsidR="00D50A3E"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107</w:t>
      </w:r>
      <w:r w:rsidRPr="00D637A7">
        <w:fldChar w:fldCharType="end"/>
      </w:r>
      <w:bookmarkEnd w:id="74"/>
      <w:r>
        <w:t xml:space="preserve">.  Trybunał Konstytucyjny wydał wyrok dnia 10 marca 2022 r. (sygn. K 7/21), obradując w składzie: S. Piotrowicz (przewodniczący), Marek Muszyński (sprawozdawca), Krystyna Pawłowicz, Wojciech </w:t>
      </w:r>
      <w:proofErr w:type="spellStart"/>
      <w:r>
        <w:t>Sych</w:t>
      </w:r>
      <w:proofErr w:type="spellEnd"/>
      <w:r>
        <w:t xml:space="preserve"> i Andrzej Zielonacki. Uznał on art. 6 ust. 1 Konwencji za niezgodny z szeregiem przepisów Konstytucji.</w:t>
      </w:r>
    </w:p>
    <w:p w14:paraId="41163EF0" w14:textId="722EB842" w:rsidR="000410B4" w:rsidRPr="00D637A7" w:rsidRDefault="008E2D0D" w:rsidP="00D637A7">
      <w:pPr>
        <w:pStyle w:val="JuPara"/>
      </w:pPr>
      <w:r>
        <w:t>Sentencja wyroku brzmiała</w:t>
      </w:r>
      <w:r w:rsidR="0058053C">
        <w:t xml:space="preserve"> następująco</w:t>
      </w:r>
      <w:r>
        <w:t>:</w:t>
      </w:r>
    </w:p>
    <w:p w14:paraId="0D79603F" w14:textId="77777777" w:rsidR="000410B4" w:rsidRPr="00D637A7" w:rsidRDefault="008E2D0D" w:rsidP="00D637A7">
      <w:pPr>
        <w:pStyle w:val="JuQuot"/>
      </w:pPr>
      <w:r>
        <w:t>„Art. 6 ust. 1 zdanie pierwsze [Konwencji] w zakresie, w jakim:</w:t>
      </w:r>
    </w:p>
    <w:p w14:paraId="046E0950" w14:textId="77777777" w:rsidR="000410B4" w:rsidRPr="00D637A7" w:rsidRDefault="008E2D0D" w:rsidP="00D637A7">
      <w:pPr>
        <w:pStyle w:val="JuQuot"/>
      </w:pPr>
      <w:r>
        <w:t>1) pojęciem »praw i obowiązków o charakterze cywilnym« obejmuje podmiotowe prawo sędziego do zajmowania funkcji administracyjnej w strukturze sądownictwa powszechnego w polskim systemie prawnym</w:t>
      </w:r>
    </w:p>
    <w:p w14:paraId="0C67ECED" w14:textId="77777777" w:rsidR="000410B4" w:rsidRPr="00D637A7" w:rsidRDefault="008E2D0D" w:rsidP="00D637A7">
      <w:pPr>
        <w:pStyle w:val="JuQuot"/>
      </w:pPr>
      <w:r>
        <w:t>– jest niezgodny z art. 8 ust. 1, art. 89 ust. 1 pkt 2 i art. 176 ust. 2 Konstytucji Rzeczypospolitej Polskiej,</w:t>
      </w:r>
    </w:p>
    <w:p w14:paraId="09F8EFAE" w14:textId="77777777" w:rsidR="000410B4" w:rsidRPr="00D637A7" w:rsidRDefault="008E2D0D" w:rsidP="00D637A7">
      <w:pPr>
        <w:pStyle w:val="JuQuot"/>
      </w:pPr>
      <w:r>
        <w:t>2) przy ocenie spełnienia warunku »sądu ustanowionego ustawą«:</w:t>
      </w:r>
    </w:p>
    <w:p w14:paraId="2E0FA6CD" w14:textId="59EE2F30" w:rsidR="000410B4" w:rsidRPr="00D637A7" w:rsidRDefault="008E2D0D" w:rsidP="00D637A7">
      <w:pPr>
        <w:pStyle w:val="JuQuot"/>
      </w:pPr>
      <w:r>
        <w:t xml:space="preserve">a) dopuszcza pomijanie </w:t>
      </w:r>
      <w:r w:rsidR="0058053C">
        <w:t>[</w:t>
      </w:r>
      <w:r>
        <w:t>przez Trybunał</w:t>
      </w:r>
      <w:r w:rsidR="0058053C">
        <w:t>]</w:t>
      </w:r>
      <w:r>
        <w:t>lub sądy krajowe przepisów Konstytucji, ustaw oraz wyroków polskiego Trybunału Konstytucyjnego,</w:t>
      </w:r>
    </w:p>
    <w:p w14:paraId="297ECFFB" w14:textId="1DBBC08F" w:rsidR="000410B4" w:rsidRPr="00D637A7" w:rsidRDefault="008E2D0D" w:rsidP="00D637A7">
      <w:pPr>
        <w:pStyle w:val="JuQuot"/>
      </w:pPr>
      <w:r>
        <w:t>b) umożliwia [</w:t>
      </w:r>
      <w:r w:rsidR="0058053C">
        <w:t>Trybunałowi</w:t>
      </w:r>
      <w:r>
        <w:t xml:space="preserve">] </w:t>
      </w:r>
      <w:r w:rsidR="00A82253">
        <w:t xml:space="preserve">lub sądom krajowym </w:t>
      </w:r>
      <w:r>
        <w:t>samodzielne kreowanie norm dotyczących procedury nominacyjnej sędziów sądów krajowych w procesie wykładni Konwencji,</w:t>
      </w:r>
    </w:p>
    <w:p w14:paraId="00FD8AEE" w14:textId="77777777" w:rsidR="000410B4" w:rsidRPr="00D637A7" w:rsidRDefault="008E2D0D" w:rsidP="00D637A7">
      <w:pPr>
        <w:pStyle w:val="JuQuot"/>
      </w:pPr>
      <w:r>
        <w:t>– jest niezgodny z art. 89 ust. 1 pkt 2, art. 176 ust. 2, art. 179 w związku z art. 187 ust. 1 w związku z art. 187 ust. 4 oraz z art. 190 ust. 1 Konstytucji,</w:t>
      </w:r>
    </w:p>
    <w:p w14:paraId="19C78F86" w14:textId="7295639E" w:rsidR="000410B4" w:rsidRPr="00D637A7" w:rsidRDefault="008E2D0D" w:rsidP="00D637A7">
      <w:pPr>
        <w:pStyle w:val="JuQuot"/>
      </w:pPr>
      <w:r>
        <w:lastRenderedPageBreak/>
        <w:t xml:space="preserve">c) upoważnia </w:t>
      </w:r>
      <w:r w:rsidR="00A82253">
        <w:t>[Trybunał]</w:t>
      </w:r>
      <w:r>
        <w:t xml:space="preserve"> lub sądy krajowe do dokonywania oceny zgodności z Konstytucją i Konwencją ustaw dotyczących ustroju sądownictwa, właściwości sądów oraz ustawy określającej ustrój, zakres działania, tryb pracy i sposób wyboru członków Krajowej Rady Sądownictwa</w:t>
      </w:r>
    </w:p>
    <w:p w14:paraId="17D9D0F7" w14:textId="12E03DEB" w:rsidR="000410B4" w:rsidRPr="00D637A7" w:rsidRDefault="008E2D0D" w:rsidP="00D637A7">
      <w:pPr>
        <w:pStyle w:val="JuQuot"/>
      </w:pPr>
      <w:r>
        <w:t xml:space="preserve">– jest niezgodny z art. 188 </w:t>
      </w:r>
      <w:r w:rsidR="00A82253">
        <w:t>ust. </w:t>
      </w:r>
      <w:r>
        <w:t>1 i 2 oraz z art. 190 ust. 1 Konstytucji”.</w:t>
      </w:r>
    </w:p>
    <w:bookmarkStart w:id="75" w:name="case_K7_21_2"/>
    <w:bookmarkStart w:id="76" w:name="judgment_10March2022_2"/>
    <w:p w14:paraId="1A324513" w14:textId="383AE0FE"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108</w:t>
      </w:r>
      <w:r w:rsidRPr="00D637A7">
        <w:fldChar w:fldCharType="end"/>
      </w:r>
      <w:bookmarkEnd w:id="75"/>
      <w:bookmarkEnd w:id="76"/>
      <w:r>
        <w:t>.  Jak wynika z pisemnego uzasadnienia wyroku, Trybunał Konstytucyjny uznał, że Trybunał – przez swoje wyroki – tworzy nowe normy prawa publicznego międzynarodowego, różne od tych przyjętych przez państwo członkowskie przy ratyfikowaniu Konwencji. W ocenie Trybunału Konstytucyjnego owe „nowe normy” wykreowane przez dokonywaną przez Trybunał wykładnię art. 6 ust. 1 są niezgodne z Konstytucją. Uznał on nadto, że działania Trybunału były sprzeczne z Konstytucją.</w:t>
      </w:r>
    </w:p>
    <w:p w14:paraId="1590A19D" w14:textId="26B83345" w:rsidR="000410B4" w:rsidRPr="00D637A7" w:rsidRDefault="00000000" w:rsidP="00D637A7">
      <w:pPr>
        <w:pStyle w:val="JuPara"/>
      </w:pPr>
      <w:fldSimple w:instr=" SEQ level0 \*arabic \* MERGEFORMAT ">
        <w:r w:rsidR="006D0886">
          <w:rPr>
            <w:noProof/>
          </w:rPr>
          <w:t>109</w:t>
        </w:r>
      </w:fldSimple>
      <w:r w:rsidR="008E2D0D">
        <w:t>.  Dnia 16 marca 2022 r. w ramach procedury przewidzianej art. 52 Konwencji wszczętej w związku z wyrokiem Trybunału Konstytucyjnego z dnia 24 listopada 2021 r. (sygn. </w:t>
      </w:r>
      <w:r w:rsidR="00A82253" w:rsidDel="00A82253">
        <w:t xml:space="preserve"> </w:t>
      </w:r>
      <w:r w:rsidR="008E2D0D">
        <w:t>K 6/21, zob. par. </w:t>
      </w:r>
      <w:r w:rsidR="008E2D0D" w:rsidRPr="00D637A7">
        <w:fldChar w:fldCharType="begin"/>
      </w:r>
      <w:r w:rsidR="008E2D0D" w:rsidRPr="00D637A7">
        <w:instrText xml:space="preserve"> REF case_K6_21_1 \h </w:instrText>
      </w:r>
      <w:r w:rsidR="008E2D0D" w:rsidRPr="00D637A7">
        <w:fldChar w:fldCharType="separate"/>
      </w:r>
      <w:r w:rsidR="006D0886">
        <w:rPr>
          <w:noProof/>
        </w:rPr>
        <w:t>104</w:t>
      </w:r>
      <w:r w:rsidR="008E2D0D" w:rsidRPr="00D637A7">
        <w:fldChar w:fldCharType="end"/>
      </w:r>
      <w:r w:rsidR="008E2D0D">
        <w:noBreakHyphen/>
      </w:r>
      <w:r w:rsidR="008E2D0D" w:rsidRPr="00D637A7">
        <w:fldChar w:fldCharType="begin"/>
      </w:r>
      <w:r w:rsidR="008E2D0D" w:rsidRPr="00D637A7">
        <w:instrText xml:space="preserve"> REF case_K6_21_2 \h </w:instrText>
      </w:r>
      <w:r w:rsidR="008E2D0D" w:rsidRPr="00D637A7">
        <w:fldChar w:fldCharType="separate"/>
      </w:r>
      <w:r w:rsidR="006D0886">
        <w:rPr>
          <w:noProof/>
        </w:rPr>
        <w:t>105</w:t>
      </w:r>
      <w:r w:rsidR="008E2D0D" w:rsidRPr="00D637A7">
        <w:fldChar w:fldCharType="end"/>
      </w:r>
      <w:r w:rsidR="008E2D0D">
        <w:t xml:space="preserve"> powyżej) Sekretarz Generalna Rady Europy zwróciła się do Ministra Spraw Zagranicznych RP o przedstawienie dodatkowych wyjaśnień co do sposobu zapewnienia w prawie wewnętrznym, w świetle wyroku z dnia 10 marca 2022 r., skutecznego stosowania art. 6 i 32 Konwencji (zob. również par. </w:t>
      </w:r>
      <w:r w:rsidR="008E2D0D" w:rsidRPr="00D637A7">
        <w:fldChar w:fldCharType="begin"/>
      </w:r>
      <w:r w:rsidR="008E2D0D" w:rsidRPr="00D637A7">
        <w:instrText xml:space="preserve"> REF SG_COE_report_3 \h </w:instrText>
      </w:r>
      <w:r w:rsidR="008E2D0D" w:rsidRPr="00D637A7">
        <w:fldChar w:fldCharType="separate"/>
      </w:r>
      <w:r w:rsidR="006D0886">
        <w:rPr>
          <w:noProof/>
        </w:rPr>
        <w:t>103</w:t>
      </w:r>
      <w:r w:rsidR="008E2D0D" w:rsidRPr="00D637A7">
        <w:fldChar w:fldCharType="end"/>
      </w:r>
      <w:r w:rsidR="008E2D0D">
        <w:t>-</w:t>
      </w:r>
      <w:r w:rsidR="008E2D0D" w:rsidRPr="00D637A7">
        <w:fldChar w:fldCharType="begin"/>
      </w:r>
      <w:r w:rsidR="008E2D0D" w:rsidRPr="00D637A7">
        <w:instrText xml:space="preserve"> REF case_K6_21_2 \h </w:instrText>
      </w:r>
      <w:r w:rsidR="008E2D0D" w:rsidRPr="00D637A7">
        <w:fldChar w:fldCharType="separate"/>
      </w:r>
      <w:r w:rsidR="006D0886">
        <w:rPr>
          <w:noProof/>
        </w:rPr>
        <w:t>105</w:t>
      </w:r>
      <w:r w:rsidR="008E2D0D" w:rsidRPr="00D637A7">
        <w:fldChar w:fldCharType="end"/>
      </w:r>
      <w:r w:rsidR="008E2D0D">
        <w:t xml:space="preserve"> powyżej i </w:t>
      </w:r>
      <w:r w:rsidR="008E2D0D" w:rsidRPr="00D637A7">
        <w:fldChar w:fldCharType="begin"/>
      </w:r>
      <w:r w:rsidR="008E2D0D" w:rsidRPr="00D637A7">
        <w:instrText xml:space="preserve"> REF SG_COE_report_1 \h </w:instrText>
      </w:r>
      <w:r w:rsidR="008E2D0D" w:rsidRPr="00D637A7">
        <w:fldChar w:fldCharType="separate"/>
      </w:r>
      <w:r w:rsidR="006D0886">
        <w:rPr>
          <w:noProof/>
        </w:rPr>
        <w:t>116</w:t>
      </w:r>
      <w:r w:rsidR="008E2D0D" w:rsidRPr="00D637A7">
        <w:fldChar w:fldCharType="end"/>
      </w:r>
      <w:r w:rsidR="008E2D0D">
        <w:noBreakHyphen/>
      </w:r>
      <w:r w:rsidR="008E2D0D" w:rsidRPr="00D637A7">
        <w:fldChar w:fldCharType="begin"/>
      </w:r>
      <w:r w:rsidR="008E2D0D" w:rsidRPr="00D637A7">
        <w:instrText xml:space="preserve"> REF SG_COE_report_2 \h </w:instrText>
      </w:r>
      <w:r w:rsidR="008E2D0D" w:rsidRPr="00D637A7">
        <w:fldChar w:fldCharType="separate"/>
      </w:r>
      <w:r w:rsidR="006D0886">
        <w:rPr>
          <w:noProof/>
        </w:rPr>
        <w:t>117</w:t>
      </w:r>
      <w:r w:rsidR="008E2D0D" w:rsidRPr="00D637A7">
        <w:fldChar w:fldCharType="end"/>
      </w:r>
      <w:r w:rsidR="008E2D0D">
        <w:t xml:space="preserve"> poniżej).</w:t>
      </w:r>
    </w:p>
    <w:p w14:paraId="6894CC9A" w14:textId="77777777" w:rsidR="000410B4" w:rsidRPr="00D637A7" w:rsidRDefault="008E2D0D" w:rsidP="00D637A7">
      <w:pPr>
        <w:pStyle w:val="JuHIRoman"/>
      </w:pPr>
      <w:r>
        <w:t>MATERIAŁY MIĘDZYNARODOWE</w:t>
      </w:r>
    </w:p>
    <w:p w14:paraId="2F7A19DC" w14:textId="77777777" w:rsidR="000410B4" w:rsidRPr="00D637A7" w:rsidRDefault="008E2D0D" w:rsidP="00D637A7">
      <w:pPr>
        <w:pStyle w:val="JuHA"/>
      </w:pPr>
      <w:r>
        <w:t>Materiał już zreferowany</w:t>
      </w:r>
    </w:p>
    <w:p w14:paraId="7A3EC9E9" w14:textId="77777777" w:rsidR="000410B4" w:rsidRPr="00D637A7" w:rsidRDefault="00000000" w:rsidP="00D637A7">
      <w:pPr>
        <w:pStyle w:val="JuPara"/>
      </w:pPr>
      <w:fldSimple w:instr=" SEQ level0 \*arabic \* MERGEFORMAT ">
        <w:r w:rsidR="006D0886">
          <w:rPr>
            <w:noProof/>
          </w:rPr>
          <w:t>110</w:t>
        </w:r>
      </w:fldSimple>
      <w:r w:rsidR="008E2D0D">
        <w:t xml:space="preserve">.  Właściwe materiały międzynarodowe podsumowano w wyrokach </w:t>
      </w:r>
      <w:r w:rsidR="008E2D0D">
        <w:rPr>
          <w:i/>
          <w:iCs/>
        </w:rPr>
        <w:t>Reczkowicz</w:t>
      </w:r>
      <w:r w:rsidR="008E2D0D">
        <w:t xml:space="preserve"> (</w:t>
      </w:r>
      <w:r w:rsidR="008E2D0D">
        <w:rPr>
          <w:i/>
          <w:iCs/>
        </w:rPr>
        <w:t>op.cit.</w:t>
      </w:r>
      <w:r w:rsidR="008E2D0D">
        <w:t xml:space="preserve">, §§ 126-176), </w:t>
      </w:r>
      <w:r w:rsidR="008E2D0D">
        <w:rPr>
          <w:i/>
          <w:iCs/>
        </w:rPr>
        <w:t>Dolińska-Ficek i Ozimek</w:t>
      </w:r>
      <w:r w:rsidR="008E2D0D">
        <w:t xml:space="preserve"> (§§ 156-210), </w:t>
      </w:r>
      <w:r w:rsidR="008E2D0D">
        <w:rPr>
          <w:i/>
          <w:iCs/>
        </w:rPr>
        <w:t>Advance Pharma sp. z o.o.</w:t>
      </w:r>
      <w:r w:rsidR="008E2D0D">
        <w:t xml:space="preserve"> (§§ 170-225), </w:t>
      </w:r>
      <w:r w:rsidR="008E2D0D">
        <w:rPr>
          <w:i/>
          <w:iCs/>
        </w:rPr>
        <w:t>Grzęda</w:t>
      </w:r>
      <w:r w:rsidR="008E2D0D">
        <w:t xml:space="preserve"> (§§ 120-167) oraz </w:t>
      </w:r>
      <w:r w:rsidR="008E2D0D">
        <w:rPr>
          <w:i/>
          <w:iCs/>
        </w:rPr>
        <w:t xml:space="preserve">Juszczyszyn </w:t>
      </w:r>
      <w:r w:rsidR="008E2D0D">
        <w:t>§§ 107-129; wszystkie przytoczono powyżej).</w:t>
      </w:r>
    </w:p>
    <w:p w14:paraId="55D4EA4D" w14:textId="77777777" w:rsidR="000410B4" w:rsidRPr="00D637A7" w:rsidRDefault="008E2D0D" w:rsidP="00D637A7">
      <w:pPr>
        <w:pStyle w:val="JuHA"/>
      </w:pPr>
      <w:r>
        <w:t>Konwencja wiedeńska o prawie traktatów</w:t>
      </w:r>
    </w:p>
    <w:p w14:paraId="642D7326" w14:textId="77777777" w:rsidR="000410B4" w:rsidRPr="00D637A7" w:rsidRDefault="00000000" w:rsidP="00D637A7">
      <w:pPr>
        <w:pStyle w:val="JuPara"/>
        <w:rPr>
          <w:rFonts w:eastAsia="Times New Roman"/>
        </w:rPr>
      </w:pPr>
      <w:fldSimple w:instr=" SEQ level0 \*arabic \* MERGEFORMAT ">
        <w:r w:rsidR="006D0886">
          <w:rPr>
            <w:noProof/>
          </w:rPr>
          <w:t>111</w:t>
        </w:r>
      </w:fldSimple>
      <w:r w:rsidR="008E2D0D">
        <w:t>.  Artykuł 27 Konwencji wiedeńskiej o prawie traktatów z 1969 r. stanowi w istotnym zakresie:</w:t>
      </w:r>
    </w:p>
    <w:p w14:paraId="3EA75737" w14:textId="77777777" w:rsidR="000410B4" w:rsidRPr="00D637A7" w:rsidRDefault="008E2D0D" w:rsidP="00D637A7">
      <w:pPr>
        <w:pStyle w:val="JuHArticle"/>
        <w:rPr>
          <w:rFonts w:eastAsiaTheme="minorEastAsia"/>
        </w:rPr>
      </w:pPr>
      <w:r>
        <w:t>Prawo wewnętrzne a przestrzeganie traktatów</w:t>
      </w:r>
    </w:p>
    <w:p w14:paraId="34C9ADBA" w14:textId="77777777" w:rsidR="000410B4" w:rsidRPr="00D637A7" w:rsidRDefault="008E2D0D" w:rsidP="00D637A7">
      <w:pPr>
        <w:pStyle w:val="JuQuot"/>
        <w:rPr>
          <w:rFonts w:eastAsiaTheme="minorEastAsia"/>
        </w:rPr>
      </w:pPr>
      <w:r>
        <w:t>„Strona nie może powoływać się na postanowienia swojego prawa wewnętrznego dla usprawiedliwienia niewykonywania przez nią traktatu...”.</w:t>
      </w:r>
    </w:p>
    <w:p w14:paraId="381A7CC2" w14:textId="77777777" w:rsidR="000410B4" w:rsidRPr="00D637A7" w:rsidRDefault="008E2D0D" w:rsidP="00D637A7">
      <w:pPr>
        <w:pStyle w:val="JuHA"/>
      </w:pPr>
      <w:r>
        <w:t>Stały Trybunał Sprawiedliwości Międzynarodowej</w:t>
      </w:r>
    </w:p>
    <w:p w14:paraId="6B30DD30" w14:textId="77777777" w:rsidR="000410B4" w:rsidRPr="00D637A7" w:rsidRDefault="00000000" w:rsidP="00D637A7">
      <w:pPr>
        <w:pStyle w:val="JuPara"/>
        <w:rPr>
          <w:rFonts w:eastAsia="Times New Roman"/>
        </w:rPr>
      </w:pPr>
      <w:fldSimple w:instr=" SEQ level0 \*arabic \* MERGEFORMAT ">
        <w:r w:rsidR="006D0886">
          <w:rPr>
            <w:noProof/>
          </w:rPr>
          <w:t>112</w:t>
        </w:r>
      </w:fldSimple>
      <w:r w:rsidR="008E2D0D">
        <w:t xml:space="preserve">.  Stały Trybunał Sprawiedliwości Międzynarodowej w swojej opinii doradczej z dnia 4 lutego 1932 r. w sprawie traktowania osób narodowości polskiej oraz innych osób polskiego pochodzenia lub mówiących językiem </w:t>
      </w:r>
      <w:r w:rsidR="008E2D0D">
        <w:lastRenderedPageBreak/>
        <w:t>polskim na terytorium Gdańska (PCIJ, Seria A/B, nr 44) orzekł w istotnym zakresie:</w:t>
      </w:r>
    </w:p>
    <w:p w14:paraId="4CA27BEA" w14:textId="0635A677" w:rsidR="000410B4" w:rsidRPr="00D637A7" w:rsidRDefault="008E2D0D" w:rsidP="00D637A7">
      <w:pPr>
        <w:pStyle w:val="JuQuot"/>
        <w:rPr>
          <w:rFonts w:eastAsia="Times New Roman"/>
        </w:rPr>
      </w:pPr>
      <w:r>
        <w:t xml:space="preserve">„[62] Należy </w:t>
      </w:r>
      <w:r w:rsidR="00A82253">
        <w:t xml:space="preserve">jednak </w:t>
      </w:r>
      <w:r>
        <w:t xml:space="preserve">zauważyć, że </w:t>
      </w:r>
      <w:r w:rsidR="00A82253">
        <w:t xml:space="preserve">o ile </w:t>
      </w:r>
      <w:r>
        <w:t xml:space="preserve">z jednej strony, w myśl powszechnie obowiązujących zasad, państwo nie może powołać się, występując przeciwko innemu państwu, na przepisy Konstytucji tegoż państwa, lecz jedynie na prawo międzynarodowe i należycie zaakceptowane obowiązki międzynarodowe, </w:t>
      </w:r>
      <w:r w:rsidR="00A82253">
        <w:t xml:space="preserve">o tyle </w:t>
      </w:r>
      <w:r>
        <w:t>z drugiej strony</w:t>
      </w:r>
      <w:r w:rsidR="00A82253">
        <w:t xml:space="preserve"> odwrotnie</w:t>
      </w:r>
      <w:r>
        <w:t xml:space="preserve">, państwo nie może powołać się, występując przeciwko innemu państwu, na swoją własną </w:t>
      </w:r>
      <w:r w:rsidR="00427A43">
        <w:t>K</w:t>
      </w:r>
      <w:r>
        <w:t>onstytucję celem zaniechania zobowiązań ciążących na nim w świetle prawa międzynarodowego lub obowiązujących traktatów [...]”</w:t>
      </w:r>
    </w:p>
    <w:p w14:paraId="1078950E" w14:textId="77777777" w:rsidR="000410B4" w:rsidRPr="00D637A7" w:rsidRDefault="008E2D0D" w:rsidP="00D637A7">
      <w:pPr>
        <w:pStyle w:val="JuHA"/>
      </w:pPr>
      <w:r>
        <w:t>Biuro Instytucji Demokratycznych i Praw Człowieka (ODIHR) Organizacji Bezpieczeństwa i Współpracy w Europie (OBWE)</w:t>
      </w:r>
    </w:p>
    <w:bookmarkStart w:id="77" w:name="osce"/>
    <w:p w14:paraId="7CFAF3C7"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113</w:t>
      </w:r>
      <w:r w:rsidRPr="00D637A7">
        <w:fldChar w:fldCharType="end"/>
      </w:r>
      <w:bookmarkEnd w:id="77"/>
      <w:r>
        <w:t>.  Opinia z dnia 13 listopada 2017 r. w sprawie niektórych przepisów projektu ustawy o Sądzie Najwyższym Rzeczypospolitej Polskiej (w brzmieniu z dnia 26 września 2017 r.), (JUDPOL/315/2017), w zakresie istotnym dla sprawy, brzmi:</w:t>
      </w:r>
    </w:p>
    <w:p w14:paraId="42671440" w14:textId="77777777" w:rsidR="000410B4" w:rsidRPr="00D637A7" w:rsidRDefault="008E2D0D" w:rsidP="00D637A7">
      <w:pPr>
        <w:pStyle w:val="JuQuot"/>
      </w:pPr>
      <w:r>
        <w:t>„2.1.  Nowa Izba Kontroli Nadzwyczajnej i Spraw Publicznych oraz skargi nadzwyczajne</w:t>
      </w:r>
    </w:p>
    <w:p w14:paraId="0780B7F1" w14:textId="34F1968C" w:rsidR="000410B4" w:rsidRPr="00D637A7" w:rsidRDefault="008E2D0D" w:rsidP="00D637A7">
      <w:pPr>
        <w:pStyle w:val="JuQuot"/>
      </w:pPr>
      <w:r>
        <w:t xml:space="preserve">22.  W art. 1 § 1 lit. b </w:t>
      </w:r>
      <w:r w:rsidR="00244659">
        <w:t>p</w:t>
      </w:r>
      <w:r>
        <w:t xml:space="preserve">rojektu </w:t>
      </w:r>
      <w:r w:rsidR="00244659">
        <w:t>u</w:t>
      </w:r>
      <w:r>
        <w:t xml:space="preserve">stawy wprowadza się zupełnie nowy element jurysdykcji Sądu Najwyższego, w ramach którego sprawuje on »kontrolę nadzwyczajną prawomocnych orzeczeń sądowych w celu zapewnienia praworządności i sprawiedliwości społecznej przez rozpoznawanie skarg nadzwyczajnych«. Ta </w:t>
      </w:r>
      <w:r w:rsidR="00427A43">
        <w:t xml:space="preserve">tak zwana </w:t>
      </w:r>
      <w:r>
        <w:t>»skarga nadzwyczajna« będzie należeć do właściwości nowo ustanowionej Izby Kontroli Nadzwyczajnej i Spraw Publicznych. […]</w:t>
      </w:r>
    </w:p>
    <w:p w14:paraId="701D401C" w14:textId="7C3EDF32" w:rsidR="000410B4" w:rsidRPr="00D637A7" w:rsidRDefault="008E2D0D" w:rsidP="00D637A7">
      <w:pPr>
        <w:pStyle w:val="JuQuot"/>
      </w:pPr>
      <w:r>
        <w:t xml:space="preserve">23.  Zgodnie z art. 25 </w:t>
      </w:r>
      <w:r w:rsidR="00244659">
        <w:t>p</w:t>
      </w:r>
      <w:r>
        <w:t xml:space="preserve">rojektu </w:t>
      </w:r>
      <w:r w:rsidR="00244659">
        <w:t>u</w:t>
      </w:r>
      <w:r>
        <w:t>stawy, do właściwości nowej Izby Kontroli Nadzwyczajnej i Spraw Publicznych będzie należeć rozpatrywanie skarg nadzwyczajnych, ale także rozpoznawanie protestów wyborczych oraz protestów przeciwko ważności wyborów i referendów. Do jej właściwości będą także należeć inne kwestie z zakresu prawa publicznego (w tym sprawy z zakresu ochrony konkurencji, regulacji energetyki, telekomunikacji i transportu kolejowego) oraz odwołania od decyzji Przewodniczącego Krajowej Rady Radiofonii i Telewizji, od uchwał Krajowej Rady Sądownictwa, a także skargi dotyczące przewlekłości postępowania przed sądami powszechnymi i wojskowymi. Oznacza to, że nowo utworzona izba przejmie część jurysdykcji Sądu Najwyższego przypadającą obecnie Izbie Pracy, Ubezpieczeń Społecznych i Spraw Publicznych, tj. kwestie z zakresu »spraw publicznych«, w tym stwierdzanie ważności wyborów prezydenckich i parlamentarnych, wyborów do Parlamentu Europejskiego, referendów ogólnokrajowych i referendów konstytucyjnych (art. 1 § 3).</w:t>
      </w:r>
    </w:p>
    <w:p w14:paraId="2D316EC7" w14:textId="62FF7EDC" w:rsidR="000410B4" w:rsidRPr="00D637A7" w:rsidRDefault="008E2D0D" w:rsidP="00D637A7">
      <w:pPr>
        <w:pStyle w:val="JuQuot"/>
      </w:pPr>
      <w:r>
        <w:t xml:space="preserve">24.  Zgodnie z art. 1 § 1 lit. b i art. 91 § 2-3 </w:t>
      </w:r>
      <w:r w:rsidR="00244659">
        <w:t>p</w:t>
      </w:r>
      <w:r>
        <w:t xml:space="preserve">rojektu </w:t>
      </w:r>
      <w:r w:rsidR="00244659">
        <w:t>u</w:t>
      </w:r>
      <w:r>
        <w:t xml:space="preserve">stawy Izba Kontroli Nadzwyczajnej i Spraw Publicznych będzie sprawować jurysdykcję odwoławczą w odniesieniu do prawomocnych orzeczeń pozostałych izb Sądu Najwyższego w związku z szerokim zakresem skarg nadzwyczajnych (zob. podsekcję 2.1.2 poniżej). Oznacza to </w:t>
      </w:r>
      <w:r>
        <w:rPr>
          <w:i/>
          <w:iCs/>
        </w:rPr>
        <w:t>de facto</w:t>
      </w:r>
      <w:r>
        <w:t xml:space="preserve"> wyższy lub szczególny status tej izby.</w:t>
      </w:r>
    </w:p>
    <w:p w14:paraId="5C73A4D4" w14:textId="77777777" w:rsidR="000410B4" w:rsidRPr="00D637A7" w:rsidRDefault="008E2D0D" w:rsidP="00D637A7">
      <w:pPr>
        <w:pStyle w:val="JuQuot"/>
        <w:rPr>
          <w:i/>
          <w:iCs/>
        </w:rPr>
      </w:pPr>
      <w:r>
        <w:rPr>
          <w:i/>
          <w:iCs/>
        </w:rPr>
        <w:t>2.1.6.  Podsumowanie</w:t>
      </w:r>
    </w:p>
    <w:p w14:paraId="5B873F5E" w14:textId="43C4C44A" w:rsidR="000410B4" w:rsidRPr="00D637A7" w:rsidRDefault="008E2D0D" w:rsidP="00D637A7">
      <w:pPr>
        <w:pStyle w:val="JuQuot"/>
      </w:pPr>
      <w:r>
        <w:t xml:space="preserve">57.  W świetle powyższych rozważań wprowadzenie takiej nadzwyczajnej kontroli prawomocnych orzeczeń sądowych budzi poważne obawy dotyczące niezgodności z </w:t>
      </w:r>
      <w:r>
        <w:lastRenderedPageBreak/>
        <w:t>podstawowymi zasadami praworządności, w tym zasadą powagi rzeczy osądzonej (</w:t>
      </w:r>
      <w:r>
        <w:rPr>
          <w:i/>
          <w:iCs/>
        </w:rPr>
        <w:t>res iudicata</w:t>
      </w:r>
      <w:r>
        <w:t xml:space="preserve">) oraz prawem dostępu do wymiaru sprawiedliwości. Stwarza ono także ryzyko potencjalnego nadmiernego obciążenia Sądu Najwyższego, jednocześnie umożliwiając pozostałym władzom wpływ na sądownictwo w sposób sprzeczny z zasadą niezależności sądów i podziału władzy. Dlatego też zaleca się usunięcie przepisów o skardze nadzwyczajnej z </w:t>
      </w:r>
      <w:r w:rsidR="00244659">
        <w:t>p</w:t>
      </w:r>
      <w:r>
        <w:t xml:space="preserve">rojektu </w:t>
      </w:r>
      <w:r w:rsidR="00244659">
        <w:t>u</w:t>
      </w:r>
      <w:r>
        <w:t xml:space="preserve">stawy jako z natury niezgodnych z międzynarodowymi standardami praworządności i praw człowieka. Jak wspomniano powyżej, te same cele ochrony praworządności i sprawiedliwości społecznej można byłoby osiągnąć dzięki właściwemu wykorzystaniu dostępnych już </w:t>
      </w:r>
      <w:proofErr w:type="spellStart"/>
      <w:r>
        <w:t>odwołań</w:t>
      </w:r>
      <w:proofErr w:type="spellEnd"/>
      <w:r>
        <w:t xml:space="preserve"> lub kasacji w celu naprawienia błędów sądowych bądź innych uchybień, zanim orzeczenia staną się prawomocne i wykonalne”.</w:t>
      </w:r>
    </w:p>
    <w:p w14:paraId="6E96D7A1" w14:textId="77777777" w:rsidR="000410B4" w:rsidRPr="00D637A7" w:rsidRDefault="008E2D0D" w:rsidP="00D637A7">
      <w:pPr>
        <w:pStyle w:val="JuHA"/>
      </w:pPr>
      <w:r>
        <w:t>Rada Europy</w:t>
      </w:r>
    </w:p>
    <w:p w14:paraId="2BDB3D91" w14:textId="77777777" w:rsidR="000410B4" w:rsidRPr="00D637A7" w:rsidRDefault="008E2D0D" w:rsidP="00D637A7">
      <w:pPr>
        <w:pStyle w:val="JuH1"/>
      </w:pPr>
      <w:r>
        <w:t>Zgromadzenie Parlamentarne Rady Europy</w:t>
      </w:r>
    </w:p>
    <w:bookmarkStart w:id="78" w:name="Parliamentary_Assembly"/>
    <w:p w14:paraId="14D5A3BE"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114</w:t>
      </w:r>
      <w:r w:rsidRPr="00D637A7">
        <w:fldChar w:fldCharType="end"/>
      </w:r>
      <w:bookmarkEnd w:id="78"/>
      <w:r>
        <w:t>.  W dniu 28 stycznia 2020 r. PACE podjęło decyzję o wszczęciu procedury monitorowania w stosunku do Polski, która jest jedynym państwem członkowskim Rady Europy, a zarazem państwem członkowskim UE, które jest aktualnie objęte tą procedurą. W przyjętej w tym samym dniu rezolucji 2316 (2020) zatytułowanej „Funkcjonowanie demokratycznych instytucji w Polsce” Zgromadzenie stwierdziło, co następuje:</w:t>
      </w:r>
    </w:p>
    <w:p w14:paraId="62F76F1C" w14:textId="77777777" w:rsidR="000410B4" w:rsidRPr="00D637A7" w:rsidRDefault="008E2D0D" w:rsidP="00D637A7">
      <w:pPr>
        <w:pStyle w:val="JuQuot"/>
      </w:pPr>
      <w:r>
        <w:t>„7.  Zgromadzenie wyraża uznanie dla pomocy udzielonej przez Radę Europy w celu zapewnienia, że reforma wymiaru sprawiedliwości w Polsce zostanie opracowana i wdrożona zgodnie z normami europejskimi i zasadami praworządności, tak aby osiągnąć założone cele. Stwierdza jednak, że liczne zalecenia Europejskiej Komisji na rzecz Demokracji przez Prawo (Komisji Weneckiej) i innych organów Rady Europy nie zostały wdrożone ani uwzględnione przez władze. Zgromadzenie jest przekonane, że wiele niedociągnięć w obecnym systemie sądownictwa, zwłaszcza w odniesieniu do niezawisłości sądownictwa, można było usunąć lub im zapobiec poprzez wdrożenie tych zaleceń. Zgromadzenie wzywa zatem władze do ponownego przeanalizowania całego pakietu reform sądownictwa oraz do zmiany odpowiednich przepisów i praktyki zgodnie z zaleceniami Rady Europy, w szczególności w odniesieniu do:</w:t>
      </w:r>
    </w:p>
    <w:p w14:paraId="496E8320" w14:textId="77777777" w:rsidR="000410B4" w:rsidRPr="00D637A7" w:rsidRDefault="008E2D0D" w:rsidP="00D637A7">
      <w:pPr>
        <w:pStyle w:val="JuQuot"/>
      </w:pPr>
      <w:r>
        <w:t>[…]</w:t>
      </w:r>
    </w:p>
    <w:p w14:paraId="2FA9496E" w14:textId="77777777" w:rsidR="000410B4" w:rsidRPr="00D637A7" w:rsidRDefault="008E2D0D" w:rsidP="00D637A7">
      <w:pPr>
        <w:pStyle w:val="JuQuot"/>
      </w:pPr>
      <w:r>
        <w:t>7.4. reformy Sądu Najwyższego [...]. Wprowadzenie możliwości wniesienia, na szerokich i subiektywnych podstawach, tzw. skargi nadzwyczajnej przeciwko wyrokowi, który stał się już prawomocny i w odniesieniu do którego ustała możliwość zastosowania zgodnie z prawem środków odwoławczych, stanowi poważny powód do niepokoju, jako że narusza to zasady pewności prawa i powagi rzeczy osądzonej. Zgromadzenie obawia się, że wprowadzenie skargi nadzwyczajnej może mieć istotny wpływ na wzrost liczby skarg przeciwko Polsce wnoszonych do Europejskiego Trybunału Praw Człowieka. Skład i sposób mianowania członków izby dyscyplinarnej i izby ds. skarg nadzwyczajnych Sądu Najwyższego, w skład których wchodzą ławnicy, w połączeniu z szerokimi uprawnieniami tych dwóch izb oraz faktem, że ich członkowie zostali wybrani przez nową Krajową Radę Sądownictwa, budzi wątpliwości co do ich niezależności oraz podatności na upolitycznienie i nadużycia. Należy podjąć działania w tym zakresie w trybie pilnym”.</w:t>
      </w:r>
    </w:p>
    <w:p w14:paraId="0C72BC88" w14:textId="77777777" w:rsidR="000410B4" w:rsidRPr="00D637A7" w:rsidRDefault="008E2D0D" w:rsidP="00D637A7">
      <w:pPr>
        <w:pStyle w:val="JuH1"/>
      </w:pPr>
      <w:r>
        <w:lastRenderedPageBreak/>
        <w:t>Komisja Wenecka</w:t>
      </w:r>
    </w:p>
    <w:bookmarkStart w:id="79" w:name="Venice_Commission"/>
    <w:p w14:paraId="28B77065"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115</w:t>
      </w:r>
      <w:r w:rsidRPr="00D637A7">
        <w:fldChar w:fldCharType="end"/>
      </w:r>
      <w:bookmarkEnd w:id="79"/>
      <w:r>
        <w:t>.  Opinia w sprawie projektu [ustawy zmieniającej z 2017 r.], w sprawie projektu [ustawy o Sądzie Najwyższym z 2017 r.] zaproponowanego przez Prezydenta RP oraz w sprawie ustawy Prawo o ustroju sądów powszechnych przyjęta przez Komisję Wenecką na 113. sesji plenarnej w dniu 11 grudnia 2017 r., (opinia nr CDL-AD(2017)031), brzmiała, w zakresie, w jakim jest to istotne, następująco:</w:t>
      </w:r>
    </w:p>
    <w:p w14:paraId="205F9501" w14:textId="77777777" w:rsidR="000410B4" w:rsidRPr="00D637A7" w:rsidRDefault="008E2D0D" w:rsidP="00D637A7">
      <w:pPr>
        <w:pStyle w:val="JuQuot"/>
      </w:pPr>
      <w:r>
        <w:t>„3. Skarga nadzwyczajna od prawomocnych orzeczeń</w:t>
      </w:r>
    </w:p>
    <w:p w14:paraId="0DE417B1" w14:textId="77777777" w:rsidR="000410B4" w:rsidRPr="00D637A7" w:rsidRDefault="008E2D0D" w:rsidP="00D637A7">
      <w:pPr>
        <w:pStyle w:val="JuQuot"/>
      </w:pPr>
      <w:r>
        <w:t>53. Nowo utworzona Izba Kontroli Nadzwyczajnej uzyska kompetencję, by dokonywać kontroli prawomocnych wyroków w drodze tzw. kontroli nadzwyczajnej. Tego rodzaju skargi nadzwyczajne będą mogli wnosić sprawujący wyznaczone urzędy (Prokurator Generalny, Rzecznik Praw Obywatelskich, grupa posłów itp.) w terminie pięciu lat od wydania zaskarżonego wyroku lub – w okresie przejściowym – nawet w terminie dwudziestu lat (art. 115). Skargi nadzwyczajne mogą opierać się na podstawach faktycznych i prawnych (art. 86 § 1). Skargi nadzwyczajne można wnosić od orzeczeń rozpoznawanych przez SN w ramach kasacji lub skargi kasacyjnej, przy czym podstawy takiej skargi nadzwyczajnej muszą być odmienne od podstaw postępowania kasacyjnego (art. 87 § 2).</w:t>
      </w:r>
    </w:p>
    <w:p w14:paraId="026D89FE" w14:textId="77777777" w:rsidR="000410B4" w:rsidRPr="00D637A7" w:rsidRDefault="008E2D0D" w:rsidP="00D637A7">
      <w:pPr>
        <w:pStyle w:val="JuQuot"/>
      </w:pPr>
      <w:r>
        <w:t xml:space="preserve">54. System skarg nadzwyczajnych od prawomocnych wyroków istniał w wielu byłych państwach komunistycznych. System ten został uznany przez </w:t>
      </w:r>
      <w:proofErr w:type="spellStart"/>
      <w:r>
        <w:t>ETPCz</w:t>
      </w:r>
      <w:proofErr w:type="spellEnd"/>
      <w:r>
        <w:t xml:space="preserve"> za naruszający zasadę </w:t>
      </w:r>
      <w:r>
        <w:rPr>
          <w:i/>
          <w:iCs/>
        </w:rPr>
        <w:t>res judicata</w:t>
      </w:r>
      <w:r>
        <w:t xml:space="preserve"> i pewności prawa. Proponowany system polski nie jest identyczny jak dawny system sowiecki, ale ma wiele podobnych cech.</w:t>
      </w:r>
    </w:p>
    <w:p w14:paraId="3F537A97" w14:textId="77777777" w:rsidR="000410B4" w:rsidRPr="00D637A7" w:rsidRDefault="008E2D0D" w:rsidP="00D637A7">
      <w:pPr>
        <w:pStyle w:val="JuQuot"/>
      </w:pPr>
      <w:r>
        <w:t>55. Kilka elementów nowego systemu jest szczególnie problematyczna. Po pierwsze, projekt ustawy stanowi, że prawomocne wyroki można uchylić dla zapewnienia »sprawiedliwości społecznej« (art. 86 § 1). Komisja Wenecka zauważa, że zgodnie z art. 2 Konstytucji RP Rzeczpospolita Polska jest demokratycznym państwem prawnym, urzeczywistniającym zasady sprawiedliwości społecznej. Zakres wykładni tego pojęcia w postępowaniach sądowych może być jednak bardzo szeroki. Jeżeli chodzi o przesłanki uchylenia prawomocnych wyroków, tak niespecyficzne kryteria nie powinny stanowić podstawy orzekania. Zastosowanie takich kryteriów jest sprzeczne z zasadą przewidywalności stanowiącą fundament zasady szeroko pojmowanej praworządności. Jeżeli sądy dokonują wykładni ustawy w sposób niepożądany ze względów politycznych lub niepopularny, ustawodawca może zmienić ustawę ze skutkiem na przyszłość, stosownie do uzasadnionych oczekiwań zainteresowanych osób, jednak taka nowa ustawa, co do zasady, nie może wpływać na ważność uprzednio wydanych wyroków.</w:t>
      </w:r>
    </w:p>
    <w:p w14:paraId="0092B7DF" w14:textId="101A8156" w:rsidR="000410B4" w:rsidRPr="00D637A7" w:rsidRDefault="008E2D0D" w:rsidP="00D637A7">
      <w:pPr>
        <w:pStyle w:val="JuQuot"/>
      </w:pPr>
      <w:r>
        <w:t>56. Po drugie, zgodnie z projektem ustawy, możliwe będzie dokonanie rewizji prawomocnego orzeczenia na podstawie faktycznej (art. 86 § 1</w:t>
      </w:r>
      <w:r w:rsidR="00244659">
        <w:t xml:space="preserve"> pkt</w:t>
      </w:r>
      <w:r>
        <w:t xml:space="preserve"> 3). W związku z tym nowy instrument będzie umożliwiał wznowienie starych postępowań nie z powodu ujawnienia nowych okoliczności (np. krzywoprzysięstwa, którego dopuścił się kluczowy świadek), ale również w innych okolicznościach. Zazwyczaj główną funkcją najwyższej instancji sądowej w państwie jest rewizja na podstawie prawnej; rewizja nadzwyczajna nie powinna stanowić </w:t>
      </w:r>
      <w:r w:rsidR="00244659">
        <w:t>»</w:t>
      </w:r>
      <w:r>
        <w:t>zakamuflowanej</w:t>
      </w:r>
      <w:r w:rsidR="00244659">
        <w:t xml:space="preserve"> apelacji</w:t>
      </w:r>
      <w:r>
        <w:t>«, a »zaledwie możliwość istnienia dwóch opinii na jeden temat nie stanowi podstawy do ponownego rozpoznania sprawy«. Interpretowanie dowodów i ustalanie faktów powinny być zasadniczo zadaniami sądów pierwszej instancji i sądów apelacyjnych.</w:t>
      </w:r>
    </w:p>
    <w:p w14:paraId="17A4954B" w14:textId="347E3AA8" w:rsidR="000410B4" w:rsidRPr="00D637A7" w:rsidRDefault="008E2D0D" w:rsidP="00D637A7">
      <w:pPr>
        <w:pStyle w:val="JuQuot"/>
      </w:pPr>
      <w:r>
        <w:t xml:space="preserve">57. Projekt ustawy przewiduje bardzo niewiele ograniczeń w zastosowaniu tego instrumentu. Zatem skarg nadzwyczajnych nie należy wnosić na podstawie tych </w:t>
      </w:r>
      <w:r>
        <w:lastRenderedPageBreak/>
        <w:t xml:space="preserve">samych argumentów, które były rozpatrywane w postępowaniu kasacyjnym (art. 87 </w:t>
      </w:r>
      <w:r w:rsidR="00244659">
        <w:t>§</w:t>
      </w:r>
      <w:r>
        <w:t> 2). Zasada ta jest racjonalna, ale może być trudna do zastosowania w praktyce, ponieważ prawnicy mogą dokonywać przeformułowania podstaw odwołania, tak aby przedstawić je jako »nowe podstawy«. Ponadto projekt ustawy nie wymaga wprost, aby zaskarżone orzeczenie sądowe było w pierwszej kolejności przedmiotem zaskarżenia z zastosowaniem zwyczajnej apelacji/skargi kasacyjnej. Nie jest również jasne, w jaki sposób nowy instrument miałby wpisywać się w inne »nadzwyczajne środki zaskarżenia«, które istnieją w prawie polskim (zob. art. 86 § 1 pkt 3 część 2).</w:t>
      </w:r>
    </w:p>
    <w:p w14:paraId="20002954" w14:textId="77777777" w:rsidR="000410B4" w:rsidRPr="00D637A7" w:rsidRDefault="008E2D0D" w:rsidP="00D637A7">
      <w:pPr>
        <w:pStyle w:val="JuQuot"/>
      </w:pPr>
      <w:r>
        <w:t xml:space="preserve">58. W projekcie ustawy wprowadzono terminy na wniesienie skargi nadzwyczajnej: </w:t>
      </w:r>
      <w:r>
        <w:rPr>
          <w:i/>
          <w:iCs/>
        </w:rPr>
        <w:t>reformatio in peius</w:t>
      </w:r>
      <w:r>
        <w:t xml:space="preserve"> (uchylenie na niekorzyść oskarżonego) jest możliwe wyłącznie, gdy wniosek zostanie złożony w terminie sześciu miesięcy od daty »prawomocnego« wyroku (zob. art. 86 § 3). Jest to aspekt pozytywny; jednakże wygląda na to, że takie ograniczenie czasowe ma zastosowanie wyłącznie w kontekście postępowania karnego, natomiast we wszystkich innych sporach (w tym sporach z zakresu prawa publicznego) zastosowanie będzie mieć termin 5 lat, który sam w sobie jest bardzo długi. Dodatkowo w trzyletnim okresie przejściowym Izba Kontroli Nadzwyczajnej będzie mogła wznawiać wszystkie postępowania, w których orzeczenia zapadły po 17 października 1997 r. W rezultacie możliwe będzie wznowienie, praktycznie na dowolnej podstawie, dowolnej sprawy, w której orzeczenie zapadło w ciągu ostatnich 20 lat. Co więcej, w proponowanym systemie skarga nadzwyczajna będzie przysługiwać również w odniesieniu do nowych wyroków, wydanych po wznowieniu postępowania. Oznacza to, że żadne orzeczenie w polskim systemie nigdy już nie będzie »prawomocne«.</w:t>
      </w:r>
    </w:p>
    <w:p w14:paraId="413E3AA5" w14:textId="77777777" w:rsidR="000410B4" w:rsidRPr="00D637A7" w:rsidRDefault="008E2D0D" w:rsidP="00D637A7">
      <w:pPr>
        <w:pStyle w:val="JuQuot"/>
      </w:pPr>
      <w:r>
        <w:t>59. Wygląda również na to, że wniosek o wznowienie postępowania może zostać złożony bez wiedzy, a nawet zgody stron. To kolejna cecha wskazująca na podobieństwo do dawnego sowieckiego systemu prawnego. Praktyka »</w:t>
      </w:r>
      <w:proofErr w:type="spellStart"/>
      <w:r>
        <w:t>odwołań</w:t>
      </w:r>
      <w:proofErr w:type="spellEnd"/>
      <w:r>
        <w:t xml:space="preserve"> w interesie ogólnym«, wnoszonych bez poinformowania czy też uczestnictwa stron, sama w sobie jest nie do przyjęcia, ponieważ zachodzi ryzyko, że takie odwołania mogą koncentrować się na nieprawidłowych zagadnieniach i mogą być sprzeczne z dobrem strony, w której imieniu zostają wniesione.</w:t>
      </w:r>
    </w:p>
    <w:p w14:paraId="0B5C93D7" w14:textId="77777777" w:rsidR="000410B4" w:rsidRPr="00D637A7" w:rsidRDefault="008E2D0D" w:rsidP="00D637A7">
      <w:pPr>
        <w:pStyle w:val="JuQuot"/>
      </w:pPr>
      <w:r>
        <w:t>60. Pomijając daleko sięgające konsekwencje uchylania prawomocnych wyroków, szczególnie dyskusyjne jest zaangażowanie w takie postępowanie posłów. Rzecznik Praw Obywatelskich lub Prokurator Generalny mogą (przynajmniej w teorii) być postrzegani jako niezależne i neutralne organy działające w interesie ogólnym, ale bardzo nietypowe jest powierzenie takiego uprawnienia procesowego politykom. Polskie władze wyjaśniły, że »w toku prac legislacyjnych postanowiono, że posłowie i senatorzy zostaną wyłączeni z grup podmiotów uprawnionych do wnoszenia skarg nadzwyczajnych«. Komisja Wenecka z zadowoleniem przyjęła tę poprawkę.</w:t>
      </w:r>
    </w:p>
    <w:p w14:paraId="79A04A43" w14:textId="77777777" w:rsidR="000410B4" w:rsidRPr="00D637A7" w:rsidRDefault="008E2D0D" w:rsidP="00D637A7">
      <w:pPr>
        <w:pStyle w:val="JuQuot"/>
      </w:pPr>
      <w:r>
        <w:t>61. Wreszcie w jednym aspekcie proponowany system jest wręcz gorszy od swojego sowieckiego poprzednika. Projekt ustawy wprowadza system rewizji nadzwyczajnej przyszłych wyroków, co samo w sobie jest problematyczne. Dodatkowo w projekcie ustawy przewidziano uchylenie dawnych wyroków, które w momencie ich wydania były prawomocne i nie podlegały żadnej dalszej rewizji. Nie jest to może stosowanie prawa karnego z mocą wsteczną, ale w praktyce może mieć podobny skutek.</w:t>
      </w:r>
    </w:p>
    <w:p w14:paraId="154DDE29" w14:textId="77777777" w:rsidR="000410B4" w:rsidRPr="00D637A7" w:rsidRDefault="008E2D0D" w:rsidP="00D637A7">
      <w:pPr>
        <w:pStyle w:val="JuQuot"/>
      </w:pPr>
      <w:r>
        <w:t xml:space="preserve">62. Nie oznacza to, że prawomocne wyroki nigdy nie powinny być kwestionowane. Zgodnie z listą kontrolną dotyczącą praworządności zasada </w:t>
      </w:r>
      <w:r>
        <w:rPr>
          <w:i/>
          <w:iCs/>
        </w:rPr>
        <w:t>res judicata</w:t>
      </w:r>
      <w:r>
        <w:t xml:space="preserve"> oznacza, że »prawomocne wyroki muszą być przestrzegane, chyba że istnieją przekonujące powody do ich rewizji«. Niektóre propozycje przedstawione w projekcie ustawy są możliwe do przyjęcia. Przykładowo artykuł 86 § 1 ustawy przewiduje wznowienie postępowania w sytuacji naruszenia praw i wolności człowieka. W takich okolicznościach wznowienie </w:t>
      </w:r>
      <w:r>
        <w:lastRenderedPageBreak/>
        <w:t xml:space="preserve">musi być możliwe, ale tylko pod pewnymi warunkami, a mianowicie, gdy Trybunał Konstytucyjny lub </w:t>
      </w:r>
      <w:proofErr w:type="spellStart"/>
      <w:r>
        <w:t>ETPCz</w:t>
      </w:r>
      <w:proofErr w:type="spellEnd"/>
      <w:r>
        <w:t xml:space="preserve"> stwierdził fakt wystąpienia takich naruszeń.</w:t>
      </w:r>
    </w:p>
    <w:p w14:paraId="67507B12" w14:textId="77777777" w:rsidR="000410B4" w:rsidRPr="00D637A7" w:rsidRDefault="008E2D0D" w:rsidP="00D637A7">
      <w:pPr>
        <w:pStyle w:val="JuQuot"/>
      </w:pPr>
      <w:r>
        <w:t>63. Podsumowując, mechanizm »kontroli nadzwyczajnej przewidzianej w projekcie ustawy zagraża stabilności polskiego porządku prawnego i powinien zostać zaniechany«”.</w:t>
      </w:r>
    </w:p>
    <w:p w14:paraId="158E59E0" w14:textId="77777777" w:rsidR="000410B4" w:rsidRPr="00D637A7" w:rsidRDefault="008E2D0D" w:rsidP="00D637A7">
      <w:pPr>
        <w:pStyle w:val="JuH1"/>
      </w:pPr>
      <w:r>
        <w:t>Sprawozdanie Sekretarza Generalnego w trybie art. 52 Konwencji o konsekwencjach orzeczeń K 6/21 i K 7/21 Trybunału Konstytucyjnego Rzeczypospolitej Polskiej</w:t>
      </w:r>
    </w:p>
    <w:bookmarkStart w:id="80" w:name="SG_COE_report_1"/>
    <w:p w14:paraId="111AB547" w14:textId="6A713120"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116</w:t>
      </w:r>
      <w:r w:rsidRPr="00D637A7">
        <w:fldChar w:fldCharType="end"/>
      </w:r>
      <w:bookmarkEnd w:id="80"/>
      <w:r>
        <w:t xml:space="preserve">.  Dnia 23 listopada 2022 r. Sekretarz Generalny Rady Europy opublikował sprawozdanie oceniające przedstawione przez Rząd informacje na temat sposobu, w jaki prawo wewnętrzne zapewniło skuteczne wdrożenie wymagań Konwencji w świetle wskazanych wyroków Trybunału Konstytucyjnego (zob. również </w:t>
      </w:r>
      <w:r w:rsidR="000119DE">
        <w:t>par.</w:t>
      </w:r>
      <w:r>
        <w:t> 103-105 powyżej).</w:t>
      </w:r>
    </w:p>
    <w:bookmarkStart w:id="81" w:name="SG_COE_report_2"/>
    <w:p w14:paraId="48A92289"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117</w:t>
      </w:r>
      <w:r w:rsidRPr="00D637A7">
        <w:fldChar w:fldCharType="end"/>
      </w:r>
      <w:bookmarkEnd w:id="81"/>
      <w:r>
        <w:t>.  Uwagi końcowe sprawozdania w istotnym zakresie miały następującą treść:</w:t>
      </w:r>
    </w:p>
    <w:p w14:paraId="1B9EAF06" w14:textId="029A002E" w:rsidR="000410B4" w:rsidRPr="00D637A7" w:rsidRDefault="008E2D0D" w:rsidP="00D637A7">
      <w:pPr>
        <w:pStyle w:val="JuQuot"/>
      </w:pPr>
      <w:r>
        <w:t xml:space="preserve">„29. W wyniku orzeczeń o niezgodności z Konstytucją w wyrokach K 6/21 i K 7/21 Trybunału Konstytucyjnego podważone zostały ustanowiona w art. 32 Konwencji kompetencja Europejskiego Trybunału Praw Człowieka oraz art. 6 ust. 1 Konwencji – w wykładni Europejskiego Trybunału w sprawach </w:t>
      </w:r>
      <w:r>
        <w:rPr>
          <w:i/>
          <w:iCs/>
        </w:rPr>
        <w:t xml:space="preserve">Xero Flor w Polsce sp. z o.o., Broda i Bojara, Reczkowicz, Dolińska-Ficek i Ozimek </w:t>
      </w:r>
      <w:r>
        <w:t xml:space="preserve">oraz </w:t>
      </w:r>
      <w:r>
        <w:rPr>
          <w:i/>
          <w:iCs/>
        </w:rPr>
        <w:t xml:space="preserve">Advance Pharma sp. z o.o. </w:t>
      </w:r>
      <w:r>
        <w:t xml:space="preserve">– obecnie niewykonane. Wynikające stąd zobowiązanie Polski do zapewnienia każdemu podlegającemu jej </w:t>
      </w:r>
      <w:r w:rsidR="000F69ED">
        <w:t>jurysdykcji</w:t>
      </w:r>
      <w:r>
        <w:t xml:space="preserve"> prawa do rzetelnego rozpatrzenia sprawy przez niezawisły i bezstronny sąd ustanowiony ustawą nie jest na obecnym etapie wykonane.</w:t>
      </w:r>
    </w:p>
    <w:p w14:paraId="31AD3712" w14:textId="0583E362" w:rsidR="000410B4" w:rsidRPr="00D637A7" w:rsidRDefault="008E2D0D" w:rsidP="00D637A7">
      <w:pPr>
        <w:pStyle w:val="JuQuot"/>
      </w:pPr>
      <w:r>
        <w:t xml:space="preserve">30. Wymagane jest podjęcie przez Polskę działań zapewniających wykonanie jej zobowiązań międzynarodowych z art. 1, art. 6 ust. 1 i art. 32 Konwencji. Działania te zbiegają się ze zobowiązaniem Polski do przestrzegania wyroków Europejskiego Trybunału w sprawach </w:t>
      </w:r>
      <w:r>
        <w:rPr>
          <w:i/>
          <w:iCs/>
        </w:rPr>
        <w:t>Xero Flor w Polsce sp. z o.o., Broda i Bojara, Reczkowicz, Dolińska</w:t>
      </w:r>
      <w:r>
        <w:rPr>
          <w:i/>
          <w:iCs/>
        </w:rPr>
        <w:noBreakHyphen/>
        <w:t xml:space="preserve">Ficek i Ozimek </w:t>
      </w:r>
      <w:r>
        <w:t xml:space="preserve">oraz </w:t>
      </w:r>
      <w:r>
        <w:rPr>
          <w:i/>
          <w:iCs/>
        </w:rPr>
        <w:t>Advanced Pharma sp. z o.o</w:t>
      </w:r>
      <w:r>
        <w:t xml:space="preserve">. </w:t>
      </w:r>
      <w:r w:rsidR="00202A06">
        <w:t>Krótko mówiąc</w:t>
      </w:r>
      <w:r>
        <w:t>, Polska ma obowiązek zapewnić, aby jej prawo wewnętrzne było interpretowane, a w razie konieczności zostało zmienione, w sposób unikający jakiegokolwiek powtórzenia się tych samych naruszeń, zgodnie z wymogiem art. 46 Konwencji. Polska nie została zwolniona ze spoczywającego na niej bezwarunkowego zobowiązania wynikającego z art. 46 Konwencji do pełnego, skutecznego i terminowego przestrzegania wyroków Europejskiego Trybunału”.</w:t>
      </w:r>
    </w:p>
    <w:p w14:paraId="5D2688BA" w14:textId="77777777" w:rsidR="000410B4" w:rsidRPr="00D637A7" w:rsidRDefault="008E2D0D" w:rsidP="00D637A7">
      <w:pPr>
        <w:pStyle w:val="JuH1"/>
      </w:pPr>
      <w:r>
        <w:t>GRECO</w:t>
      </w:r>
    </w:p>
    <w:bookmarkStart w:id="82" w:name="Greco"/>
    <w:p w14:paraId="2A582395"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118</w:t>
      </w:r>
      <w:r w:rsidRPr="00D637A7">
        <w:fldChar w:fldCharType="end"/>
      </w:r>
      <w:bookmarkEnd w:id="82"/>
      <w:r>
        <w:t xml:space="preserve">.  W świetle reformy sądownictwa z lat 2016–2018 w Polsce, GRECO, Grupa Państw Przeciwko Korupcji, na 78. posiedzeniu plenarnym (4–8 grudnia 2017 r.) podjęła decyzję o zastosowaniu wobec Polski swojej procedury </w:t>
      </w:r>
      <w:r>
        <w:rPr>
          <w:i/>
          <w:iCs/>
        </w:rPr>
        <w:t>ad hoc</w:t>
      </w:r>
      <w:r>
        <w:t>.</w:t>
      </w:r>
    </w:p>
    <w:bookmarkStart w:id="83" w:name="Greco_1"/>
    <w:p w14:paraId="1259E712" w14:textId="35836FCC"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119</w:t>
      </w:r>
      <w:r w:rsidRPr="00D637A7">
        <w:fldChar w:fldCharType="end"/>
      </w:r>
      <w:bookmarkEnd w:id="83"/>
      <w:r>
        <w:t xml:space="preserve">.  W związku z tym GRECO na 80. posiedzeniu plenarnym (Strasburg, 18–22 czerwca 2018 r.) przyjęła uzupełnienie do Raportu z IV </w:t>
      </w:r>
      <w:r w:rsidR="000761E1">
        <w:t>R</w:t>
      </w:r>
      <w:r>
        <w:t>undy</w:t>
      </w:r>
      <w:r w:rsidR="000761E1">
        <w:t xml:space="preserve"> Oceny</w:t>
      </w:r>
      <w:r>
        <w:t xml:space="preserve"> w sprawie Polski (Zasada 34). GRECO skierowała do Polski następujące zalecenia. Po pierwsze, zmiana przepisów dotyczących wyboru sędziów do KRS w celu zapewnienia, aby co najmniej połowę członków KRS stanowili </w:t>
      </w:r>
      <w:r>
        <w:lastRenderedPageBreak/>
        <w:t xml:space="preserve">sędziowie wybrani przez </w:t>
      </w:r>
      <w:r w:rsidR="00893B7D">
        <w:t>samych sędziów</w:t>
      </w:r>
      <w:r>
        <w:t>. Po drugie, ponowne rozważenie utworzenia Izby Kontroli Nadzwyczajnej i Spraw Publicznych oraz Izby Dyscyplinarnej przy Sądzie Najwyższym oraz zmniejszenie zaangażowania władzy wykonawczej w wewnętrzną organizację Sądu Najwyższego. W odniesieniu do zmian strukturalnych w Sądzie Najwyższym i utworzenia dwóch nowych izb GRECO stwierdziła:</w:t>
      </w:r>
    </w:p>
    <w:p w14:paraId="1E024C26" w14:textId="77777777" w:rsidR="000410B4" w:rsidRPr="00D637A7" w:rsidRDefault="008E2D0D" w:rsidP="00D637A7">
      <w:pPr>
        <w:pStyle w:val="JuQuot"/>
      </w:pPr>
      <w:r>
        <w:t>„31.  Te reformy strukturalne zostały poddane szerokiej krytyce w ramach szerokiego konsensusu społeczności międzynarodowej, w tym organów takich jak Komisja Wenecka, Rada Konsultacyjna Sędziów Europejskich (CCJE), Biuro Instytucji Demokratycznych i Praw Człowieka OBWE (ODIHR) oraz Komisja Europejska. Na przykład pojawiły się obawy, że procedura skargi nadzwyczajnej jest »niebezpieczna dla stabilności polskiego porządku prawnego«, a dodatkowo problematyczna ze względu na jej retroaktywność, pozwalającą na wznawianie spraw rozstrzygniętych na długo przed uchwaleniem ustawy, co nie ogranicza się do nowo ustalonych faktów. Ponadto ustanowienie specjalnych izb do spraw skarg nadzwyczajnych i spraw dyscyplinarnych było krytykowane za tworzenie hierarchii w ramach sądu, ponieważ te dwie izby otrzymały specjalny status i mogą być postrzegane jako lepsze od pozostałych »zwykłych izb«: izba do spraw skarg nadzwyczajnych może badać decyzje podejmowane przez »zwykłe izby« SN, izba dyscyplinarna ma jurysdykcję w sprawach dyscyplinarnych sędziów zasiadających w pozostałych izbach, a także oddzielny budżet (ponadto sędziowie izby dyscyplinarnej otrzymują wynagrodzenie wyższe o 40%). Ponadto korzystanie z ławników w SN, które według władz polskich wprowadzono jako sposób na wprowadzenie do systemu »czynnika społecznego«, również spotkało się z krytyką, częściowo ze względu na to, że jest obce innym systemom sądowniczym w Europie na poziomie sądów najwyższych, ale również ze względu na nieprzydatność ławników do rozstrzygania istotnych spraw obejmujących zawiłości prawne. Szczególne obawy w tym względzie budzi fakt, że są oni wybierani przez władzę ustawodawczą, co może potencjalnie zagrozić ich niezależności”.</w:t>
      </w:r>
    </w:p>
    <w:p w14:paraId="59300088" w14:textId="77777777" w:rsidR="000410B4" w:rsidRPr="00D637A7" w:rsidRDefault="008E2D0D" w:rsidP="00D637A7">
      <w:pPr>
        <w:pStyle w:val="JuH1"/>
      </w:pPr>
      <w:r>
        <w:t>Komitet Ministrów Rady Europy – wykonywanie wyroków przeciwko Polsce dotyczących niezależności sądownictwa</w:t>
      </w:r>
    </w:p>
    <w:p w14:paraId="21913A20" w14:textId="77777777" w:rsidR="000410B4" w:rsidRPr="00D637A7" w:rsidRDefault="00000000" w:rsidP="00D637A7">
      <w:pPr>
        <w:pStyle w:val="JuPara"/>
      </w:pPr>
      <w:fldSimple w:instr=" SEQ level0 \*arabic \* MERGEFORMAT ">
        <w:r w:rsidR="006D0886">
          <w:rPr>
            <w:noProof/>
          </w:rPr>
          <w:t>120</w:t>
        </w:r>
      </w:fldSimple>
      <w:r w:rsidR="008E2D0D">
        <w:t>.  Podczas swojego 1451. posiedzenia (w grudniu 2022 r.) Komitet zauważył z głębokim zaniepokojeniem, że Trybunał Konstytucyjny w wyroku z dnia 10 marca 2022 r. w sprawie K 7/21 uznał art. 6 ust. 1 Konwencji w wykładni Trybunału dokonanej we właściwych sprawach za niezgody z Konstytucją RP. Komitet przypomniał, że przepisy prawa krajowego nie mogą uzasadniać niewykonania zobowiązań wynikających z Konwencji, a także podkreślił, że Polska pozostaje związana bezwzględnym zobowiązaniem wynikającym z art. 46 Konwencji.</w:t>
      </w:r>
    </w:p>
    <w:bookmarkStart w:id="84" w:name="committee_of_ministers"/>
    <w:p w14:paraId="5B6F937F"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121</w:t>
      </w:r>
      <w:r w:rsidRPr="00D637A7">
        <w:fldChar w:fldCharType="end"/>
      </w:r>
      <w:bookmarkEnd w:id="84"/>
      <w:r>
        <w:t>.  Podczas 1468. posiedzenia, które odbyło się w dniach 5–7 czerwca 2023 r., Komitet Ministrów wydał następującą decyzję:</w:t>
      </w:r>
    </w:p>
    <w:p w14:paraId="627A5FFA" w14:textId="77777777" w:rsidR="000410B4" w:rsidRPr="00D637A7" w:rsidRDefault="008E2D0D" w:rsidP="00D637A7">
      <w:pPr>
        <w:pStyle w:val="JuQuot"/>
      </w:pPr>
      <w:r>
        <w:t>„Delegaci</w:t>
      </w:r>
    </w:p>
    <w:p w14:paraId="0BC0E8CB" w14:textId="77777777" w:rsidR="000410B4" w:rsidRPr="00D637A7" w:rsidRDefault="008E2D0D" w:rsidP="00D637A7">
      <w:pPr>
        <w:pStyle w:val="JuQuot"/>
      </w:pPr>
      <w:r>
        <w:t xml:space="preserve">1.  przypomnieli, że sprawy te dotyczą reform podważających niezależność sądownictwa w Polsce, które skutkowały w szczególności: naruszeniami prawa do sądu ustanowionego ustawą, ponieważ sprawy skarżących były rozpoznawane przez sędziów powołanych do poszczególnych izb Sądu Najwyższego w okresie po marcu 2018 r. w ramach wadliwej procedury przy udziale Krajowej Rady Sądownictwa </w:t>
      </w:r>
      <w:r>
        <w:lastRenderedPageBreak/>
        <w:t xml:space="preserve">(»KRS«), którą cechował brak niezależności (grupa wyroków </w:t>
      </w:r>
      <w:r>
        <w:rPr>
          <w:i/>
          <w:iCs/>
        </w:rPr>
        <w:t>Reczkowicz</w:t>
      </w:r>
      <w:r>
        <w:t>); brakiem kontroli sądowej przedterminowego wygaszenia kadencji skarżących jako wiceprezesów sądu okręgowego na podstawie przepisów tymczasowych (</w:t>
      </w:r>
      <w:r>
        <w:rPr>
          <w:i/>
          <w:iCs/>
        </w:rPr>
        <w:t>Broda i Bojara</w:t>
      </w:r>
      <w:r>
        <w:t xml:space="preserve">) lub przedterminowym wygaszeniem </w:t>
      </w:r>
      <w:r>
        <w:rPr>
          <w:i/>
          <w:iCs/>
        </w:rPr>
        <w:t>ex lege</w:t>
      </w:r>
      <w:r>
        <w:t xml:space="preserve"> mandatu skarżącego jako członków KRS wybranych spośród sędziów (</w:t>
      </w:r>
      <w:r>
        <w:rPr>
          <w:i/>
          <w:iCs/>
        </w:rPr>
        <w:t>Grzęda</w:t>
      </w:r>
      <w:r>
        <w:t>);</w:t>
      </w:r>
    </w:p>
    <w:p w14:paraId="02AF679A" w14:textId="20E24A0D" w:rsidR="000410B4" w:rsidRPr="00D637A7" w:rsidRDefault="008E2D0D" w:rsidP="00D637A7">
      <w:pPr>
        <w:pStyle w:val="JuQuot"/>
      </w:pPr>
      <w:r>
        <w:t>2.  wyrazili ponownie głębokie zaniepokojenie w kwestii uporczywego powoływania się przez władze na wyrok Trybunału Konstytucyjnego wydany w sprawie K 7/21, w którym uznał on za częściowo niekonstytucyjny art. 6 ust. 1 Konwencji w wykładni Europejskiego Trybunału Praw Człowieka przedstawionej w sprawach objętych analizą; przypomnieli, że takie podejście jest nie tylko sprzeczne z zaciągniętym dobrowolnie przez Polskę zobowiązaniem, o którym mowa w art. 46 Konwencji, polegającym na wykonywaniu ostatecznego wyroku Trybunału, ale również z obowiązkiem, o którym mowa w art. 1, jakim jest gwarantowanie praw i wolności zdefiniowanych w Konwencji według autorytatywnej wykładni ETPC w świetle art. 32;</w:t>
      </w:r>
    </w:p>
    <w:p w14:paraId="1E2626BC" w14:textId="77777777" w:rsidR="000410B4" w:rsidRPr="00D637A7" w:rsidRDefault="008E2D0D" w:rsidP="00D637A7">
      <w:pPr>
        <w:pStyle w:val="JuQuot"/>
      </w:pPr>
      <w:r>
        <w:t>3.  stanowczo podkreślili ponownie, że na Polsce ciąży bezwzględny obowiązek wykonania wyroków Trybunału w tych sprawach, niezależnie od przeszkód istniejących w wewnętrznym porządku prawnym, w tym orzecznictwie Trybunału Konstytucyjnego;</w:t>
      </w:r>
    </w:p>
    <w:p w14:paraId="38A8BF16" w14:textId="77777777" w:rsidR="000410B4" w:rsidRPr="00D637A7" w:rsidRDefault="008E2D0D" w:rsidP="00D637A7">
      <w:pPr>
        <w:pStyle w:val="JuQuot"/>
      </w:pPr>
      <w:r>
        <w:rPr>
          <w:i/>
          <w:iCs/>
        </w:rPr>
        <w:t>W przedmiocie środków indywidualnych</w:t>
      </w:r>
    </w:p>
    <w:p w14:paraId="3CB76FBB" w14:textId="47CADB4C" w:rsidR="000410B4" w:rsidRPr="00D637A7" w:rsidRDefault="008E2D0D" w:rsidP="00D637A7">
      <w:pPr>
        <w:pStyle w:val="JuQuot"/>
      </w:pPr>
      <w:r>
        <w:t xml:space="preserve">4.  z zadowoleniem odnotowuje zapłatę słusznego zadośćuczynienia w sprawie </w:t>
      </w:r>
      <w:r>
        <w:rPr>
          <w:i/>
          <w:iCs/>
        </w:rPr>
        <w:t>Dolińska</w:t>
      </w:r>
      <w:r>
        <w:rPr>
          <w:i/>
          <w:iCs/>
        </w:rPr>
        <w:noBreakHyphen/>
        <w:t>Ficek i Ozimek</w:t>
      </w:r>
      <w:r>
        <w:t> w odniesieniu do skarżącego Ozimka, a także w sprawie </w:t>
      </w:r>
      <w:r>
        <w:rPr>
          <w:i/>
          <w:iCs/>
        </w:rPr>
        <w:t>Grzęda</w:t>
      </w:r>
      <w:r>
        <w:t xml:space="preserve">, jak również informację od władz o przetwarzaniu pozostałych płatności </w:t>
      </w:r>
      <w:r w:rsidR="00D07447">
        <w:t xml:space="preserve">w sprawie </w:t>
      </w:r>
      <w:r>
        <w:rPr>
          <w:i/>
          <w:iCs/>
        </w:rPr>
        <w:t>Dolińska-Ficek i Ozimek</w:t>
      </w:r>
      <w:r>
        <w:t xml:space="preserve"> w odniesieniu do skarżącej Dolińskiej-Ficek oraz </w:t>
      </w:r>
      <w:r w:rsidR="00D07447">
        <w:t>w sprawie</w:t>
      </w:r>
      <w:r>
        <w:t> </w:t>
      </w:r>
      <w:r>
        <w:rPr>
          <w:i/>
          <w:iCs/>
        </w:rPr>
        <w:t>Advance Pharma</w:t>
      </w:r>
      <w:r>
        <w:t xml:space="preserve">; zwrócili się o przedstawienie informacji, czy w sprawach </w:t>
      </w:r>
      <w:r>
        <w:rPr>
          <w:i/>
          <w:iCs/>
        </w:rPr>
        <w:t>Reczkowicz</w:t>
      </w:r>
      <w:r>
        <w:t> oraz  </w:t>
      </w:r>
      <w:r>
        <w:rPr>
          <w:i/>
          <w:iCs/>
        </w:rPr>
        <w:t>Dolińska-Ficek i Ozimek,</w:t>
      </w:r>
      <w:r>
        <w:t> skarżący wnieśli o wznowienie postępowań krajowych, oraz informacji o rozwoju wydarzeń w związku z wnioskiem o wznowienie postępowania wniesionym w sprawie </w:t>
      </w:r>
      <w:r>
        <w:rPr>
          <w:i/>
          <w:iCs/>
        </w:rPr>
        <w:t>Advance Pharma</w:t>
      </w:r>
      <w:r>
        <w:t>, w tym informacji, czy w składzie orzekającym [Sądu Najwyższego], który rozpoznaje ten wniosek, zasiadają osoby powołane w wadliwych procedurach;</w:t>
      </w:r>
    </w:p>
    <w:p w14:paraId="6446305F" w14:textId="77777777" w:rsidR="000410B4" w:rsidRPr="00D637A7" w:rsidRDefault="008E2D0D" w:rsidP="00D637A7">
      <w:pPr>
        <w:pStyle w:val="JuQuot"/>
      </w:pPr>
      <w:r>
        <w:t xml:space="preserve">5.  zauważyli, że ponieważ prawo wewnętrzne nadal nie pozwala na skontrolowanie przez organ sprawujący funkcje sądowe odwołania skarżących ze sprawy </w:t>
      </w:r>
      <w:r>
        <w:rPr>
          <w:i/>
          <w:iCs/>
        </w:rPr>
        <w:t>Broda i Bojara</w:t>
      </w:r>
      <w:r>
        <w:t xml:space="preserve"> oraz przedterminowego wygaszenia </w:t>
      </w:r>
      <w:r>
        <w:rPr>
          <w:i/>
          <w:iCs/>
        </w:rPr>
        <w:t>ex lege</w:t>
      </w:r>
      <w:r>
        <w:t xml:space="preserve"> kadencji skarżącego jako członka KRS powołanego spośród sędziów ze sprawy </w:t>
      </w:r>
      <w:r>
        <w:rPr>
          <w:i/>
          <w:iCs/>
        </w:rPr>
        <w:t>Grzęda</w:t>
      </w:r>
      <w:r>
        <w:t>, środki indywidualne w tych sprawach zdają się powiązane ze środkami ogólnymi;</w:t>
      </w:r>
    </w:p>
    <w:p w14:paraId="73BAABBD" w14:textId="77777777" w:rsidR="000410B4" w:rsidRPr="00D637A7" w:rsidRDefault="008E2D0D" w:rsidP="00D637A7">
      <w:pPr>
        <w:pStyle w:val="JuQuot"/>
      </w:pPr>
      <w:r>
        <w:rPr>
          <w:i/>
          <w:iCs/>
        </w:rPr>
        <w:t>W przedmiocie środków ogólnych</w:t>
      </w:r>
    </w:p>
    <w:p w14:paraId="5B5B5BD5" w14:textId="77777777" w:rsidR="000410B4" w:rsidRPr="00D637A7" w:rsidRDefault="008E2D0D" w:rsidP="00D637A7">
      <w:pPr>
        <w:pStyle w:val="JuQuot"/>
      </w:pPr>
      <w:r>
        <w:t xml:space="preserve">6.  zauważyli, z głębokim ubolewaniem, że reforma ustawodawcza ze stycznia 2023 r., która jest przedmiotem kontroli zgodności z konstytucją, nie zawiera rozwiązania czyniącego zadość głównym wymogom koniecznym do wykonania wyroków z grupy </w:t>
      </w:r>
      <w:r>
        <w:rPr>
          <w:i/>
          <w:iCs/>
        </w:rPr>
        <w:t>Reczkowicz</w:t>
      </w:r>
      <w:r>
        <w:t>; w szczególności że przeniesienie spraw dyscyplinarnych dotyczących sędziów z Izby Odpowiedzialności Zawodowej SN do Naczelnego Sądu Administracyjnego (NSA) nie zapobiega ryzyku naruszenia prawa do sądu ustanowionego ustawą, jako że znaczną część sędziów NSA również powołano na wniosek KRS w okresie po marcu 2018 r.; zauważyli, że wspomniana reforma nie wprowadza odpowiednich ram prawnych umożliwiających badanie zgodności z prawem powołań na urzędy sędziowskie i nie eliminuje całości ryzyka w kontekście odpowiedzialności dyscyplinarnej sędziów stosujących wymogi art. 6 Konwencji;</w:t>
      </w:r>
    </w:p>
    <w:p w14:paraId="5ADEE30D" w14:textId="243F8AF9" w:rsidR="000410B4" w:rsidRPr="00D637A7" w:rsidRDefault="008E2D0D" w:rsidP="00D637A7">
      <w:pPr>
        <w:pStyle w:val="JuQuot"/>
      </w:pPr>
      <w:r>
        <w:t xml:space="preserve">7.  wyraża głębokie zaniepokojenie, że władze nadal podejmują niepokojące kroki dotyczące sędziów, którzy kwestionują status innych, wadliwie powołanych sędziów, </w:t>
      </w:r>
      <w:r>
        <w:lastRenderedPageBreak/>
        <w:t>a jednocześnie powołują się na wyrok Trybunału Konstytucyjnego wydany w sprawie K 7/21 w celu odmówienia zastosowania się do środków tymczasowych zarządzonych przez ETPC w tych sprawach;</w:t>
      </w:r>
    </w:p>
    <w:p w14:paraId="33B96069" w14:textId="34C3396A" w:rsidR="000410B4" w:rsidRPr="00D637A7" w:rsidRDefault="008E2D0D" w:rsidP="00D637A7">
      <w:pPr>
        <w:pStyle w:val="JuQuot"/>
      </w:pPr>
      <w:r>
        <w:t xml:space="preserve">8.  przypomnieli ustalenia ETPC w sprawach z grupy </w:t>
      </w:r>
      <w:r>
        <w:rPr>
          <w:i/>
          <w:iCs/>
        </w:rPr>
        <w:t>Reczkowicz</w:t>
      </w:r>
      <w:r>
        <w:t xml:space="preserve">, z których wynika, że głównym problemem leżącym u podstaw naruszenia art. 6 jest powoływanie sędziów na wniosek KRS w składzie ukształtowanym spornymi </w:t>
      </w:r>
      <w:r w:rsidR="00404468">
        <w:t xml:space="preserve">przepisami </w:t>
      </w:r>
      <w:r>
        <w:t>z 2017 r., które pozbawiły polskie sądownictwo prawa do wybierania sędziów KRS wyłanianych spośród sędziów i umożliwiły władzy wykonawczej i ustawodawczej ingerowanie w powoływanie sędziów; a także że problem ten systemowo wpłynął na powołania sędziów wszystkich rodzajów sądów, co może skutkować potencjalnie wieloma naruszeniami prawa do »niezawisłego i bezstronnego sądu ustanowionego ustawą«; ubolewali w związku z tym nad stanowiskiem polskich władz, które nie uważają za konieczne podjęcia działania naprawczego w odniesieniu do ukształtowania składu KRS oraz statusu wadliwie powołanych sędziów i wydawanych przez nich orzeczeń;</w:t>
      </w:r>
    </w:p>
    <w:p w14:paraId="69B46B31" w14:textId="77777777" w:rsidR="000410B4" w:rsidRPr="00D637A7" w:rsidRDefault="008E2D0D" w:rsidP="00D637A7">
      <w:pPr>
        <w:pStyle w:val="JuQuot"/>
      </w:pPr>
      <w:r>
        <w:t>9.  wezwali władze do szybkiego wypracowania środków w celu: (i) przywrócenia niezależności KRS poprzez wprowadzenie przepisów gwarantujących prawo polskiego sądownictwa do wyboru członków KRS wyłanianych spośród sędziów (ii) ustosunkowania się do kwestii statusu wszystkich sędziów powołanych wadliwymi procedurami z udziałem KRS w składzie ukształtowanym w okresie po marcu 2018 r. oraz orzeczeń wydanych z ich udziałem; (iii) zapewnienia skutecznej kontroli sądowej uchwał KRS w sprawie kandydatur na stanowiska sędziowskie przedstawianych Prezydentowi RP, w tym sędziów Sądu Najwyższego, z poszanowaniem skutku zawieszającego toczącej się kontroli sądowej; (iv) zapewnienia zbadania, czy prawo do sądu ustanowionego ustawą było i jest przestrzegane, bez stosowania ograniczeń lub sankcji za stosowanie wymogów Konwencji;</w:t>
      </w:r>
    </w:p>
    <w:p w14:paraId="498128D7" w14:textId="77777777" w:rsidR="000410B4" w:rsidRPr="00D637A7" w:rsidRDefault="008E2D0D" w:rsidP="00D637A7">
      <w:pPr>
        <w:pStyle w:val="JuQuot"/>
      </w:pPr>
      <w:r>
        <w:t xml:space="preserve">10.  z zaniepokojeniem odnotowali w kontekście sprawy </w:t>
      </w:r>
      <w:r>
        <w:rPr>
          <w:i/>
          <w:iCs/>
        </w:rPr>
        <w:t>Broda i Bojara</w:t>
      </w:r>
      <w:r>
        <w:t xml:space="preserve"> niezmienne stanowisko władz, które uważają, iż do wykonania tego wyroku nie są konieczne żadne środki ogólne, ponieważ odpowiednie przepisy, które umożliwiały odwołanie skarżących, już nie obowiązują; jak również odnotowali, że w procedurze odwoływania prezesów sądów krajowych nadal brakuje dostatecznych gwarancji; zaapelowali do władz o wypracowanie środków służących ochronie prezesów i wiceprezesów sądów przed arbitralnymi </w:t>
      </w:r>
      <w:proofErr w:type="spellStart"/>
      <w:r>
        <w:t>odwołaniami</w:t>
      </w:r>
      <w:proofErr w:type="spellEnd"/>
      <w:r>
        <w:t>, w tym poprzez wprowadzenie kontroli sądowej;</w:t>
      </w:r>
    </w:p>
    <w:p w14:paraId="7B08AB79" w14:textId="132E669B" w:rsidR="000410B4" w:rsidRPr="00D637A7" w:rsidRDefault="008E2D0D" w:rsidP="00D637A7">
      <w:pPr>
        <w:pStyle w:val="JuQuot"/>
      </w:pPr>
      <w:r>
        <w:t xml:space="preserve">11.  zwrócili się do nich, w odniesieniu do sprawy </w:t>
      </w:r>
      <w:r>
        <w:rPr>
          <w:i/>
          <w:iCs/>
        </w:rPr>
        <w:t>Grzęda</w:t>
      </w:r>
      <w:r>
        <w:t>, o bezzwłoczne przedstawienie wyników refleksji nad środkami koniecznymi do zapewnienia nieusuwalności członków KRS wybieranych spośród sędziów, w szczególności poprzez umożliwienie niezależnemu organowi sądowemu kontrolowani</w:t>
      </w:r>
      <w:r w:rsidR="00890880">
        <w:t>a</w:t>
      </w:r>
      <w:r>
        <w:t xml:space="preserve"> legalności środka skutkującego skróceniem kadencji członków KRS wybieranych spośród sędziów, w tym wygaszeniem mandatu </w:t>
      </w:r>
      <w:r>
        <w:rPr>
          <w:i/>
          <w:iCs/>
        </w:rPr>
        <w:t>ex lege</w:t>
      </w:r>
      <w:r>
        <w:t>;</w:t>
      </w:r>
    </w:p>
    <w:p w14:paraId="16A74C54" w14:textId="77777777" w:rsidR="000410B4" w:rsidRPr="00D637A7" w:rsidRDefault="008E2D0D" w:rsidP="00D637A7">
      <w:pPr>
        <w:pStyle w:val="JuQuot"/>
      </w:pPr>
      <w:r>
        <w:t xml:space="preserve">12.  wezwali władze do bezzwłocznego przedstawienie informacji o wszystkich powyższych aspektach i poinstruowali Sekretariat, by w przypadku braku rozsądnych informacji o postępach w wykonaniu wyroków z grupy </w:t>
      </w:r>
      <w:r>
        <w:rPr>
          <w:i/>
          <w:iCs/>
        </w:rPr>
        <w:t>Reczkowicz</w:t>
      </w:r>
      <w:r>
        <w:t xml:space="preserve"> oraz </w:t>
      </w:r>
      <w:r>
        <w:rPr>
          <w:i/>
          <w:iCs/>
        </w:rPr>
        <w:t>Broda i</w:t>
      </w:r>
      <w:r>
        <w:t xml:space="preserve"> </w:t>
      </w:r>
      <w:r>
        <w:rPr>
          <w:i/>
          <w:iCs/>
        </w:rPr>
        <w:t>Bojara</w:t>
      </w:r>
      <w:r>
        <w:t xml:space="preserve"> do 15 września 2023 r. przygotował projekt rezolucji tymczasowej do omówienia podczas 1483. posiedzenia (grudzień 2023) (DH)”.</w:t>
      </w:r>
    </w:p>
    <w:p w14:paraId="2B27E04C" w14:textId="77777777" w:rsidR="000410B4" w:rsidRPr="00D637A7" w:rsidRDefault="008E2D0D" w:rsidP="00D637A7">
      <w:pPr>
        <w:pStyle w:val="JuHA"/>
      </w:pPr>
      <w:r>
        <w:lastRenderedPageBreak/>
        <w:t>Unia Europejska</w:t>
      </w:r>
    </w:p>
    <w:p w14:paraId="33D49CC6" w14:textId="77777777" w:rsidR="000410B4" w:rsidRPr="00D637A7" w:rsidRDefault="008E2D0D" w:rsidP="00D637A7">
      <w:pPr>
        <w:pStyle w:val="JuH1"/>
      </w:pPr>
      <w:r>
        <w:t>Prawo Unii Europejskiej</w:t>
      </w:r>
    </w:p>
    <w:p w14:paraId="7E8F379C" w14:textId="77777777" w:rsidR="000410B4" w:rsidRPr="00D637A7" w:rsidRDefault="008E2D0D" w:rsidP="00D637A7">
      <w:pPr>
        <w:pStyle w:val="JuHa0"/>
      </w:pPr>
      <w:r>
        <w:t>Traktat o Unii Europejskiej</w:t>
      </w:r>
    </w:p>
    <w:p w14:paraId="57555A26" w14:textId="77777777" w:rsidR="000410B4" w:rsidRPr="00D637A7" w:rsidRDefault="00000000" w:rsidP="00D637A7">
      <w:pPr>
        <w:pStyle w:val="JuPara"/>
      </w:pPr>
      <w:fldSimple w:instr=" SEQ level0 \*arabic \* MERGEFORMAT ">
        <w:r w:rsidR="006D0886">
          <w:rPr>
            <w:noProof/>
          </w:rPr>
          <w:t>122</w:t>
        </w:r>
      </w:fldSimple>
      <w:r w:rsidR="008E2D0D">
        <w:t>.  Artykuł 2 Traktatu o Unii Europejskiej („TUE”) stanowi:</w:t>
      </w:r>
    </w:p>
    <w:p w14:paraId="00705507" w14:textId="77777777" w:rsidR="000410B4" w:rsidRPr="00D637A7" w:rsidRDefault="008E2D0D" w:rsidP="00D637A7">
      <w:pPr>
        <w:pStyle w:val="JuQuot"/>
        <w:ind w:firstLine="0"/>
      </w:pPr>
      <w:r>
        <w:t>„Unia opiera się na wartościach poszanowania godności osoby ludzkiej, wolności, demokracji, równości, państwa prawnego, jak również poszanowania praw człowieka, w tym praw osób należących do mniejszości. Wartości te są wspólne Państwom Członkowskim w społeczeństwie opartym na pluralizmie, niedyskryminacji, tolerancji, sprawiedliwości, solidarności oraz na równości kobiet i mężczyzn”.</w:t>
      </w:r>
    </w:p>
    <w:p w14:paraId="707A8C43" w14:textId="77777777" w:rsidR="000410B4" w:rsidRPr="00D637A7" w:rsidRDefault="00000000" w:rsidP="00D637A7">
      <w:pPr>
        <w:pStyle w:val="JuPara"/>
      </w:pPr>
      <w:fldSimple w:instr=" SEQ level0 \*arabic \* MERGEFORMAT ">
        <w:r w:rsidR="006D0886">
          <w:rPr>
            <w:noProof/>
          </w:rPr>
          <w:t>123</w:t>
        </w:r>
      </w:fldSimple>
      <w:r w:rsidR="008E2D0D">
        <w:t>.  Artykuł 4 ust. 3 TUE stanowi:</w:t>
      </w:r>
    </w:p>
    <w:p w14:paraId="2863D251" w14:textId="77777777" w:rsidR="000410B4" w:rsidRPr="00D637A7" w:rsidRDefault="008E2D0D" w:rsidP="00D637A7">
      <w:pPr>
        <w:pStyle w:val="JuQuot"/>
      </w:pPr>
      <w:r>
        <w:t>„Zgodnie z zasadą lojalnej współpracy Unia i Państwa Członkowskie wzajemnie się szanują i udzielają sobie wzajemnego wsparcia w wykonywaniu zadań wynikających z Traktatów.</w:t>
      </w:r>
    </w:p>
    <w:p w14:paraId="188822B4" w14:textId="77777777" w:rsidR="000410B4" w:rsidRPr="00D637A7" w:rsidRDefault="008E2D0D" w:rsidP="00D637A7">
      <w:pPr>
        <w:pStyle w:val="JuQuot"/>
      </w:pPr>
      <w:r>
        <w:t>Państwa Członkowskie podejmują wszelkie środki ogólne lub szczególne właściwe dla zapewnienia wykonania zobowiązań wynikających z Traktatów lub aktów instytucji Unii.</w:t>
      </w:r>
    </w:p>
    <w:p w14:paraId="39A80C7D" w14:textId="77777777" w:rsidR="000410B4" w:rsidRPr="00D637A7" w:rsidRDefault="008E2D0D" w:rsidP="00D637A7">
      <w:pPr>
        <w:pStyle w:val="JuQuot"/>
      </w:pPr>
      <w:r>
        <w:t>Państwa Członkowskie ułatwiają wypełniane zadań Unii i powstrzymują się od podejmowania wszelkich środków, które mogłyby zagrażać urzeczywistnieniu celów Unii”.</w:t>
      </w:r>
    </w:p>
    <w:p w14:paraId="7EF3DA9E" w14:textId="77777777" w:rsidR="000410B4" w:rsidRPr="00D637A7" w:rsidRDefault="00000000" w:rsidP="00D637A7">
      <w:pPr>
        <w:pStyle w:val="JuPara"/>
      </w:pPr>
      <w:fldSimple w:instr=" SEQ level0 \*arabic \* MERGEFORMAT ">
        <w:r w:rsidR="006D0886">
          <w:rPr>
            <w:noProof/>
          </w:rPr>
          <w:t>124</w:t>
        </w:r>
      </w:fldSimple>
      <w:r w:rsidR="008E2D0D">
        <w:t>.  Artykuł 19 ust. 1 TUE stanowi:</w:t>
      </w:r>
    </w:p>
    <w:p w14:paraId="6C16DCFA" w14:textId="77777777" w:rsidR="000410B4" w:rsidRPr="00D637A7" w:rsidRDefault="008E2D0D" w:rsidP="00D637A7">
      <w:pPr>
        <w:pStyle w:val="JuQuot"/>
        <w:ind w:firstLine="0"/>
        <w:rPr>
          <w:color w:val="000000"/>
        </w:rPr>
      </w:pPr>
      <w:r>
        <w:rPr>
          <w:color w:val="000000"/>
        </w:rPr>
        <w:t>„1.  Trybunał Sprawiedliwości Unii Europejskiej obejmuje Trybunał Sprawiedliwości, Sąd i sądy wyspecjalizowane. Zapewnia on poszanowanie prawa w wykładni i stosowaniu Traktatów.</w:t>
      </w:r>
    </w:p>
    <w:p w14:paraId="44284D25" w14:textId="77777777" w:rsidR="000410B4" w:rsidRPr="00D637A7" w:rsidRDefault="008E2D0D" w:rsidP="00D637A7">
      <w:pPr>
        <w:pStyle w:val="JuQuot"/>
        <w:ind w:firstLine="0"/>
        <w:rPr>
          <w:color w:val="000000"/>
        </w:rPr>
      </w:pPr>
      <w:r>
        <w:rPr>
          <w:color w:val="000000"/>
        </w:rPr>
        <w:t>Państwa Członkowskie ustanawiają środki zaskarżenia niezbędne do zapewnienia skutecznej ochrony prawnej w dziedzinach objętych prawem Unii”.</w:t>
      </w:r>
    </w:p>
    <w:p w14:paraId="592454B0" w14:textId="77777777" w:rsidR="000410B4" w:rsidRPr="00D637A7" w:rsidRDefault="008E2D0D" w:rsidP="00D637A7">
      <w:pPr>
        <w:pStyle w:val="JuHa0"/>
      </w:pPr>
      <w:r>
        <w:t>Wersja skonsolidowana Traktatu o funkcjonowaniu Unii Europejskiej</w:t>
      </w:r>
    </w:p>
    <w:p w14:paraId="61D1D261" w14:textId="77777777" w:rsidR="000410B4" w:rsidRPr="00D637A7" w:rsidRDefault="00000000" w:rsidP="00D637A7">
      <w:pPr>
        <w:pStyle w:val="JuPara"/>
      </w:pPr>
      <w:fldSimple w:instr=" SEQ level0 \*arabic \* MERGEFORMAT ">
        <w:r w:rsidR="006D0886">
          <w:rPr>
            <w:noProof/>
          </w:rPr>
          <w:t>125</w:t>
        </w:r>
      </w:fldSimple>
      <w:r w:rsidR="008E2D0D">
        <w:t>.  Artykuł 267 Traktatu o funkcjonowaniu Unii Europejskiej w wersji skonsolidowanej („TFUE”) stanowi:</w:t>
      </w:r>
    </w:p>
    <w:p w14:paraId="4980C966" w14:textId="77777777" w:rsidR="000410B4" w:rsidRPr="00D637A7" w:rsidRDefault="008E2D0D" w:rsidP="00D637A7">
      <w:pPr>
        <w:pStyle w:val="JuQuot"/>
        <w:rPr>
          <w:rFonts w:eastAsia="Times New Roman"/>
        </w:rPr>
      </w:pPr>
      <w:r>
        <w:t>„Trybunał Sprawiedliwości Unii Europejskiej jest właściwy do orzekania w trybie prejudycjalnym:</w:t>
      </w:r>
    </w:p>
    <w:p w14:paraId="6CBB390D" w14:textId="77777777" w:rsidR="000410B4" w:rsidRPr="00D637A7" w:rsidRDefault="008E2D0D" w:rsidP="00D637A7">
      <w:pPr>
        <w:pStyle w:val="JuQuot"/>
        <w:rPr>
          <w:rFonts w:eastAsia="Times New Roman"/>
        </w:rPr>
      </w:pPr>
      <w:r>
        <w:t>a) o wykładni Traktatów;</w:t>
      </w:r>
    </w:p>
    <w:p w14:paraId="6588903F" w14:textId="77777777" w:rsidR="000410B4" w:rsidRPr="00D637A7" w:rsidRDefault="008E2D0D" w:rsidP="00D637A7">
      <w:pPr>
        <w:pStyle w:val="JuQuot"/>
        <w:rPr>
          <w:rFonts w:eastAsia="Times New Roman"/>
        </w:rPr>
      </w:pPr>
      <w:r>
        <w:t>b) o ważności i wykładni aktów przyjętych przez instytucje, organy lub jednostki organizacyjne Unii;</w:t>
      </w:r>
    </w:p>
    <w:p w14:paraId="4312A9B6" w14:textId="77777777" w:rsidR="000410B4" w:rsidRPr="00D637A7" w:rsidRDefault="008E2D0D" w:rsidP="00D637A7">
      <w:pPr>
        <w:pStyle w:val="JuQuot"/>
        <w:rPr>
          <w:rFonts w:eastAsia="Times New Roman"/>
        </w:rPr>
      </w:pPr>
      <w:r>
        <w:t>W przypadku gdy pytanie z tym związane jest podniesione przed sądem jednego z państw członkowskich, sąd ten może, jeśli uzna, że decyzja w tej kwestii jest niezbędna do wydania wyroku, zwrócić się do Trybunału z wnioskiem o rozpatrzenie tego pytania.</w:t>
      </w:r>
    </w:p>
    <w:p w14:paraId="3E058961" w14:textId="77777777" w:rsidR="000410B4" w:rsidRPr="00D637A7" w:rsidRDefault="008E2D0D" w:rsidP="00D637A7">
      <w:pPr>
        <w:pStyle w:val="JuQuot"/>
        <w:rPr>
          <w:rFonts w:eastAsia="Times New Roman"/>
        </w:rPr>
      </w:pPr>
      <w:r>
        <w:t>W przypadku gdy takie pytanie jest podniesione w sprawie zawisłej przed sądem krajowym, którego orzeczenia nie podlegają zaskarżeniu według prawa wewnętrznego, sąd ten jest zobowiązany wnieść sprawę do Trybunału.</w:t>
      </w:r>
    </w:p>
    <w:p w14:paraId="7574150B" w14:textId="77777777" w:rsidR="000410B4" w:rsidRPr="00D637A7" w:rsidRDefault="008E2D0D" w:rsidP="00D637A7">
      <w:pPr>
        <w:pStyle w:val="JuQuot"/>
        <w:rPr>
          <w:rFonts w:eastAsia="Times New Roman"/>
        </w:rPr>
      </w:pPr>
      <w:r>
        <w:lastRenderedPageBreak/>
        <w:t>Jeżeli takie pytanie jest podniesione w sprawie zawisłej przed sądem krajowym dotyczącej osoby pozbawionej wolności, Trybunał stanowi w jak najkrótszym terminie”.</w:t>
      </w:r>
    </w:p>
    <w:p w14:paraId="015839CA" w14:textId="77777777" w:rsidR="000410B4" w:rsidRPr="00D637A7" w:rsidRDefault="008E2D0D" w:rsidP="00D637A7">
      <w:pPr>
        <w:pStyle w:val="JuH1"/>
      </w:pPr>
      <w:r>
        <w:t>Komisja Europejska</w:t>
      </w:r>
    </w:p>
    <w:p w14:paraId="30ADB85A" w14:textId="77777777" w:rsidR="000410B4" w:rsidRPr="00D637A7" w:rsidRDefault="008E2D0D" w:rsidP="00D637A7">
      <w:pPr>
        <w:pStyle w:val="JuHa0"/>
      </w:pPr>
      <w:r>
        <w:t>Skarga nadzwyczajna</w:t>
      </w:r>
    </w:p>
    <w:bookmarkStart w:id="85" w:name="Extraordinary_appeal_20december2017"/>
    <w:p w14:paraId="1386107E"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126</w:t>
      </w:r>
      <w:r w:rsidRPr="00D637A7">
        <w:fldChar w:fldCharType="end"/>
      </w:r>
      <w:bookmarkEnd w:id="85"/>
      <w:r>
        <w:t xml:space="preserve">.  W dniu 20 grudnia 2017 roku Komisja Europejska przyjęła swoje czwarte </w:t>
      </w:r>
      <w:r>
        <w:rPr>
          <w:i/>
          <w:iCs/>
        </w:rPr>
        <w:t>zalecenie dotyczące praworządności w Polsce</w:t>
      </w:r>
      <w:r>
        <w:t xml:space="preserve"> (2018/103) stwierdzając, że obawy przedstawione we wcześniejszych zaleceniach nie zostały rozwiane i nastąpiło dalsze znaczne zwiększenie systemowego zagrożenia dla praworządności. W szczególności stwierdziła, że „nowe przepisy budzą poważne zastrzeżenia co do ich zgodności z Konstytucją RP, co podkreślono w szeregu opinii wydanych w szczególności przez Sąd Najwyższy, Krajową Radę Sądownictwa i Rzecznika Praw Obywatelskich”. Jednakże, jak wyjaśniono w zaleceniu dotyczącym praworządności z dnia 26 lipca 2017 r., skuteczna kontrola konstytucyjna tych ustaw nie była już możliwa.</w:t>
      </w:r>
    </w:p>
    <w:p w14:paraId="19336ECE" w14:textId="77777777" w:rsidR="000410B4" w:rsidRPr="00D637A7" w:rsidRDefault="008E2D0D" w:rsidP="00D637A7">
      <w:pPr>
        <w:pStyle w:val="JuPara"/>
      </w:pPr>
      <w:r>
        <w:t>Komisja odniosła się również do procedury skargi nadzwyczajnej:</w:t>
      </w:r>
    </w:p>
    <w:p w14:paraId="652E996E" w14:textId="77777777" w:rsidR="000410B4" w:rsidRPr="00D637A7" w:rsidRDefault="008E2D0D" w:rsidP="00D637A7">
      <w:pPr>
        <w:pStyle w:val="JuQuot"/>
        <w:keepNext/>
        <w:keepLines/>
        <w:rPr>
          <w:rFonts w:eastAsia="Times New Roman"/>
          <w:i/>
          <w:iCs/>
        </w:rPr>
      </w:pPr>
      <w:r>
        <w:t>„2.1.3.  </w:t>
      </w:r>
      <w:r>
        <w:rPr>
          <w:i/>
          <w:iCs/>
        </w:rPr>
        <w:t>Skarga nadzwyczajna</w:t>
      </w:r>
    </w:p>
    <w:p w14:paraId="47C1092F" w14:textId="77777777" w:rsidR="000410B4" w:rsidRPr="00D637A7" w:rsidRDefault="008E2D0D" w:rsidP="00D637A7">
      <w:pPr>
        <w:pStyle w:val="JuQuot"/>
        <w:keepNext/>
        <w:keepLines/>
      </w:pPr>
      <w:r>
        <w:t>18.  Ustawa wprowadza nową formę kontroli sądowej prawomocnych i wiążących orzeczeń, tj. skargę nadzwyczajną. W terminie trzech lat od wejścia w życie ustawy Sąd Najwyższy będzie mógł uchylić, w całości lub w części, każde prawomocne orzeczenie wydane przez polski sąd w ciągu ostatnich 20 lat, w tym również orzeczenia Sądu Najwyższego, z pewnymi wyjątkami. Skargę nadzwyczajną może wnieść między innymi Prokurator Generalny i Rzecznik Praw Obywatelskich. Podstawy wniesienia skargi nadzwyczajnej są szerokie: skarga nadzwyczajna może być wniesiona, jeżeli jest to konieczne dla zapewnienia praworządności i sprawiedliwości społecznej oraz: 1) orzeczenie narusza zasady lub wolności i prawa człowieka i obywatela określone w Konstytucji; lub 2) orzeczenie w sposób rażący narusza prawo przez błędną jego wykładnię lub niewłaściwe zastosowanie; lub 3) zachodzi oczywista sprzeczność istotnych ustaleń sądu z treścią zebranego w sprawie materiału dowodowego.</w:t>
      </w:r>
    </w:p>
    <w:p w14:paraId="538A27BD" w14:textId="77777777" w:rsidR="000410B4" w:rsidRPr="00D637A7" w:rsidRDefault="008E2D0D" w:rsidP="00D637A7">
      <w:pPr>
        <w:pStyle w:val="JuQuot"/>
      </w:pPr>
      <w:r>
        <w:t>19.  Nowe postępowanie dotyczące skargi nadzwyczajnej budzi obawy w kontekście zasady pewności prawa, która ma fundamentalne znaczenie dla praworządności. Jak zaznaczył Trybunał Sprawiedliwości, należy zwrócić uwagę na znaczenie zasady powagi rzeczy osądzonej, zarówno dla porządku prawnego UE, jak i krajowych systemów prawnych: »Dla zapewnienia stabilności prawa i stosunków prawnych, jak też prawidłowego administrowania wymiarem sprawiedliwości istotne jest bowiem, aby orzeczenia sądowe, które stały się prawomocne po wyczerpaniu przysługujących środków odwoławczych lub po upływie przewidzianych dla tych środków terminów, były niepodważalne«. Europejski Trybunał Praw Człowieka stanął na stanowisku, że rewizja nadzwyczajna nie powinna stanowić zakamuflowanej skargi (»appeal in disguise«) i że zaledwie możliwość istnienia dwóch opinii na jeden temat nie stanowi podstawy do ponownego rozpoznania sprawy.</w:t>
      </w:r>
    </w:p>
    <w:p w14:paraId="76236B6D" w14:textId="21629E34" w:rsidR="000410B4" w:rsidRPr="00D637A7" w:rsidRDefault="008E2D0D" w:rsidP="00D637A7">
      <w:pPr>
        <w:pStyle w:val="JuQuot"/>
        <w:rPr>
          <w:rFonts w:eastAsia="Times New Roman"/>
        </w:rPr>
      </w:pPr>
      <w:r>
        <w:t xml:space="preserve">20.  Komisja Wenecka w swojej opinii na temat projektu ustawy o Sądzie Najwyższym podkreśliła, że skarga nadzwyczajna zagraża stabilności porządku prawnego w Polsce. Ponadto zwróciła uwagę, że umożliwi ona ponowne rozpoznanie każdej sprawy, w której sąd wydał orzeczenie w ciągu ostatnich 20 lat praktycznie na </w:t>
      </w:r>
      <w:r>
        <w:lastRenderedPageBreak/>
        <w:t>dowolnej podstawie i taki system mógłby doprowadzić do sytuacji, w której żadne orzeczenie sądu nigdy już nie będzie prawomocne</w:t>
      </w:r>
      <w:r w:rsidR="00D32519">
        <w:t>.</w:t>
      </w:r>
      <w:r>
        <w:t xml:space="preserve"> </w:t>
      </w:r>
    </w:p>
    <w:p w14:paraId="47DD38C5" w14:textId="77777777" w:rsidR="000410B4" w:rsidRPr="00D637A7" w:rsidRDefault="008E2D0D" w:rsidP="00D637A7">
      <w:pPr>
        <w:pStyle w:val="JuQuot"/>
        <w:rPr>
          <w:rFonts w:eastAsia="Times New Roman"/>
        </w:rPr>
      </w:pPr>
      <w:r>
        <w:t>21.  Nowa skarga nadzwyczajna także budzi obawy co do jej zgodności z ustawą zasadniczą. Zdaniem Sądu Najwyższego i Rzecznika Praw Obywatelskich ustawa narusza zasadę stabilności orzecznictwa i prawomocności orzeczeń, zasadę ochrony zaufania do państwa i prawa, a także prawo do rozpoznania sprawy w rozsądnym terminie.</w:t>
      </w:r>
    </w:p>
    <w:p w14:paraId="0CD7C74B" w14:textId="77777777" w:rsidR="000410B4" w:rsidRPr="00D637A7" w:rsidRDefault="008E2D0D" w:rsidP="00D637A7">
      <w:pPr>
        <w:pStyle w:val="JuHa0"/>
        <w:rPr>
          <w:rFonts w:eastAsia="Times New Roman"/>
        </w:rPr>
      </w:pPr>
      <w:r>
        <w:t>Komisja Europejska przeciwko Rzeczpospolitej Polskiej (Sprawa C-448/23)</w:t>
      </w:r>
    </w:p>
    <w:bookmarkStart w:id="86" w:name="European_Commission"/>
    <w:bookmarkStart w:id="87" w:name="European_Commission_1"/>
    <w:p w14:paraId="4D054709" w14:textId="77777777" w:rsidR="000410B4" w:rsidRPr="00D637A7" w:rsidRDefault="008E2D0D" w:rsidP="00D637A7">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006D0886">
        <w:rPr>
          <w:rFonts w:eastAsia="Times New Roman"/>
          <w:noProof/>
        </w:rPr>
        <w:t>127</w:t>
      </w:r>
      <w:r w:rsidRPr="00D637A7">
        <w:rPr>
          <w:rFonts w:eastAsia="Times New Roman"/>
        </w:rPr>
        <w:fldChar w:fldCharType="end"/>
      </w:r>
      <w:bookmarkEnd w:id="86"/>
      <w:bookmarkEnd w:id="87"/>
      <w:r>
        <w:t>.  Dnia 17 lipca 2023 r. Komisja wniosła do TSUE skargę przeciwko Polsce w związku z uchybieniem przez Polskę jej zobowiązaniom wynikającym z art. 19 ust. 1 akapit drugi TUE poprzez wykładnię dokonaną przez Trybunał Konstytucyjny w jego wyrokach z dnia 14 lipca 2021 r. (sygn. akt P 7/20) i z dnia 7 października 2021 r. (sygn. akt K 3/21) (zob. par. </w:t>
      </w:r>
      <w:r w:rsidRPr="00D637A7">
        <w:rPr>
          <w:rFonts w:eastAsia="Times New Roman"/>
        </w:rPr>
        <w:fldChar w:fldCharType="begin"/>
      </w:r>
      <w:r w:rsidRPr="00D637A7">
        <w:rPr>
          <w:rFonts w:eastAsia="Times New Roman"/>
        </w:rPr>
        <w:instrText xml:space="preserve"> REF Judgment_14July2021_1 \h </w:instrText>
      </w:r>
      <w:r w:rsidRPr="00D637A7">
        <w:rPr>
          <w:rFonts w:eastAsia="Times New Roman"/>
        </w:rPr>
      </w:r>
      <w:r w:rsidRPr="00D637A7">
        <w:rPr>
          <w:rFonts w:eastAsia="Times New Roman"/>
        </w:rPr>
        <w:fldChar w:fldCharType="separate"/>
      </w:r>
      <w:r w:rsidR="006D0886">
        <w:rPr>
          <w:noProof/>
        </w:rPr>
        <w:t>95</w:t>
      </w:r>
      <w:r w:rsidRPr="00D637A7">
        <w:rPr>
          <w:rFonts w:eastAsia="Times New Roman"/>
        </w:rPr>
        <w:fldChar w:fldCharType="end"/>
      </w:r>
      <w:r>
        <w:noBreakHyphen/>
      </w:r>
      <w:r w:rsidRPr="00D637A7">
        <w:rPr>
          <w:rFonts w:eastAsia="Times New Roman"/>
        </w:rPr>
        <w:fldChar w:fldCharType="begin"/>
      </w:r>
      <w:r w:rsidRPr="00D637A7">
        <w:rPr>
          <w:rFonts w:eastAsia="Times New Roman"/>
        </w:rPr>
        <w:instrText xml:space="preserve"> REF Judgment_14July2021_2 \h </w:instrText>
      </w:r>
      <w:r w:rsidRPr="00D637A7">
        <w:rPr>
          <w:rFonts w:eastAsia="Times New Roman"/>
        </w:rPr>
      </w:r>
      <w:r w:rsidRPr="00D637A7">
        <w:rPr>
          <w:rFonts w:eastAsia="Times New Roman"/>
        </w:rPr>
        <w:fldChar w:fldCharType="separate"/>
      </w:r>
      <w:r w:rsidR="006D0886">
        <w:rPr>
          <w:rFonts w:eastAsia="Times New Roman"/>
          <w:noProof/>
        </w:rPr>
        <w:t>96</w:t>
      </w:r>
      <w:r w:rsidRPr="00D637A7">
        <w:rPr>
          <w:rFonts w:eastAsia="Times New Roman"/>
        </w:rPr>
        <w:fldChar w:fldCharType="end"/>
      </w:r>
      <w:r>
        <w:t xml:space="preserve"> i </w:t>
      </w:r>
      <w:r w:rsidRPr="00D637A7">
        <w:rPr>
          <w:rFonts w:eastAsia="Times New Roman"/>
        </w:rPr>
        <w:fldChar w:fldCharType="begin"/>
      </w:r>
      <w:r w:rsidRPr="00D637A7">
        <w:rPr>
          <w:rFonts w:eastAsia="Times New Roman"/>
        </w:rPr>
        <w:instrText xml:space="preserve"> REF Judgement_7october2021_1 \h </w:instrText>
      </w:r>
      <w:r w:rsidRPr="00D637A7">
        <w:rPr>
          <w:rFonts w:eastAsia="Times New Roman"/>
        </w:rPr>
      </w:r>
      <w:r w:rsidRPr="00D637A7">
        <w:rPr>
          <w:rFonts w:eastAsia="Times New Roman"/>
        </w:rPr>
        <w:fldChar w:fldCharType="separate"/>
      </w:r>
      <w:r w:rsidR="006D0886">
        <w:rPr>
          <w:noProof/>
        </w:rPr>
        <w:t>98</w:t>
      </w:r>
      <w:r w:rsidRPr="00D637A7">
        <w:rPr>
          <w:rFonts w:eastAsia="Times New Roman"/>
        </w:rPr>
        <w:fldChar w:fldCharType="end"/>
      </w:r>
      <w:r>
        <w:t xml:space="preserve">, </w:t>
      </w:r>
      <w:r w:rsidRPr="00D637A7">
        <w:rPr>
          <w:rFonts w:eastAsia="Times New Roman"/>
        </w:rPr>
        <w:fldChar w:fldCharType="begin"/>
      </w:r>
      <w:r w:rsidRPr="00D637A7">
        <w:rPr>
          <w:rFonts w:eastAsia="Times New Roman"/>
        </w:rPr>
        <w:instrText xml:space="preserve"> REF Judgement_7october2021_2 \h </w:instrText>
      </w:r>
      <w:r w:rsidRPr="00D637A7">
        <w:rPr>
          <w:rFonts w:eastAsia="Times New Roman"/>
        </w:rPr>
      </w:r>
      <w:r w:rsidRPr="00D637A7">
        <w:rPr>
          <w:rFonts w:eastAsia="Times New Roman"/>
        </w:rPr>
        <w:fldChar w:fldCharType="separate"/>
      </w:r>
      <w:r w:rsidR="006D0886">
        <w:rPr>
          <w:noProof/>
        </w:rPr>
        <w:t>99</w:t>
      </w:r>
      <w:r w:rsidRPr="00D637A7">
        <w:rPr>
          <w:rFonts w:eastAsia="Times New Roman"/>
        </w:rPr>
        <w:fldChar w:fldCharType="end"/>
      </w:r>
      <w:r>
        <w:t xml:space="preserve"> powyżej), domagając się stwierdzenia przez TSUE, że Polska uchybiła jej zobowiązaniom wynikającym z art. 19 ust. 1 i zobowiązaniom ciążącym na niej na mocy ogólnych zasad autonomii, pierwszeństwa, skuteczności i jednolitego stosowania prawa Unii oraz zasady wiążącego skutku wyroków TSUE. Skargę sformułowano w następujący sposób:</w:t>
      </w:r>
    </w:p>
    <w:p w14:paraId="5E830659" w14:textId="77777777" w:rsidR="000410B4" w:rsidRPr="00D637A7" w:rsidRDefault="008E2D0D" w:rsidP="00D637A7">
      <w:pPr>
        <w:pStyle w:val="JuQuot"/>
        <w:rPr>
          <w:rFonts w:eastAsia="Times New Roman"/>
        </w:rPr>
      </w:pPr>
      <w:r>
        <w:t>„</w:t>
      </w:r>
      <w:r>
        <w:rPr>
          <w:b/>
          <w:bCs/>
        </w:rPr>
        <w:t>Żądania strony skarżącej</w:t>
      </w:r>
    </w:p>
    <w:p w14:paraId="63977B9E" w14:textId="77777777" w:rsidR="000410B4" w:rsidRPr="00D637A7" w:rsidRDefault="008E2D0D" w:rsidP="00D637A7">
      <w:pPr>
        <w:pStyle w:val="JuQuot"/>
        <w:rPr>
          <w:rFonts w:eastAsia="Times New Roman"/>
        </w:rPr>
      </w:pPr>
      <w:r>
        <w:t>Żądania strony skarżącej:</w:t>
      </w:r>
    </w:p>
    <w:p w14:paraId="456E3CD5" w14:textId="77777777" w:rsidR="000410B4" w:rsidRPr="00D637A7" w:rsidRDefault="008E2D0D" w:rsidP="00D637A7">
      <w:pPr>
        <w:pStyle w:val="JuQuot"/>
        <w:rPr>
          <w:rFonts w:eastAsia="Times New Roman"/>
        </w:rPr>
      </w:pPr>
      <w:r>
        <w:t>stwierdzenie, że w świetle wykładni Konstytucji RP dokonanej przez Trybunał Konstytucyjny w wyrokach z dnia 14 lipca (sprawa P 7/20) i z dnia 7 października 2021 r. (sprawa K 3/21) Rzeczpospolita Polska uchybiła jej zobowiązaniom wynikającym z art. 19 ust. 1 akapit drugi Traktatu o Unii Europejskiej;</w:t>
      </w:r>
    </w:p>
    <w:p w14:paraId="31208874" w14:textId="77777777" w:rsidR="000410B4" w:rsidRPr="00D637A7" w:rsidRDefault="008E2D0D" w:rsidP="00D637A7">
      <w:pPr>
        <w:pStyle w:val="JuQuot"/>
        <w:rPr>
          <w:rFonts w:eastAsia="Times New Roman"/>
        </w:rPr>
      </w:pPr>
      <w:r>
        <w:t>stwierdzenie, że w świetle wykładni Konstytucji RP dokonanej przez Trybunał Konstytucyjny w wyrokach z dnia 14 lipca (sprawa P 7/20) i z dnia 7 października 2021 r. (sprawa K 3/21) Rzeczpospolita Polska uchybiła jej zobowiązaniom ciążącym na niej na mocy ogólnych zasad autonomii, pierwszeństwa, skuteczności i jednolitego stosowania prawa Unii oraz zasady wiążącego skutku wyroków Trybunału Sprawiedliwości;</w:t>
      </w:r>
    </w:p>
    <w:p w14:paraId="481F9226" w14:textId="7C21BD21" w:rsidR="000410B4" w:rsidRPr="00D637A7" w:rsidRDefault="008E2D0D" w:rsidP="00D637A7">
      <w:pPr>
        <w:pStyle w:val="JuQuot"/>
        <w:rPr>
          <w:rFonts w:eastAsia="Times New Roman"/>
        </w:rPr>
      </w:pPr>
      <w:r>
        <w:t xml:space="preserve">stwierdzenie, że poprzez brak spełnienia przez Trybunał Konstytucyjny wymogów niezawisłego i bezstronnego sądu ustanowionego uprzednio na mocy ustawy w wyniku nieprawidłowości w procedurach powołania trzech sędziów tego </w:t>
      </w:r>
      <w:r w:rsidR="00872AC7">
        <w:t>T</w:t>
      </w:r>
      <w:r>
        <w:t>rybunału w grudniu 2015 r. oraz w procedurze powołania jego prezesa w grudniu 2016 r. Rzeczpospolita Polska uchybiła jej zobowiązaniom ciążącym na niej na mocy art. 19 ust. 1 akapit drugi TUE;</w:t>
      </w:r>
    </w:p>
    <w:p w14:paraId="7E3684A2" w14:textId="77777777" w:rsidR="000410B4" w:rsidRPr="00D637A7" w:rsidRDefault="008E2D0D" w:rsidP="00D637A7">
      <w:pPr>
        <w:pStyle w:val="JuQuot"/>
        <w:rPr>
          <w:rFonts w:eastAsia="Times New Roman"/>
        </w:rPr>
      </w:pPr>
      <w:r>
        <w:t>obciążenie Rzeczypospolitej Polskiej kosztami postępowania.</w:t>
      </w:r>
    </w:p>
    <w:p w14:paraId="0C8B29F9" w14:textId="77777777" w:rsidR="000410B4" w:rsidRPr="00D637A7" w:rsidRDefault="008E2D0D" w:rsidP="00D637A7">
      <w:pPr>
        <w:pStyle w:val="JuQuot"/>
        <w:rPr>
          <w:rFonts w:eastAsia="Times New Roman"/>
        </w:rPr>
      </w:pPr>
      <w:r>
        <w:rPr>
          <w:b/>
          <w:bCs/>
        </w:rPr>
        <w:t>Zarzuty i główne argumenty</w:t>
      </w:r>
    </w:p>
    <w:p w14:paraId="51D5F751" w14:textId="77777777" w:rsidR="000410B4" w:rsidRPr="00D637A7" w:rsidRDefault="008E2D0D" w:rsidP="00D637A7">
      <w:pPr>
        <w:pStyle w:val="JuQuot"/>
        <w:rPr>
          <w:rFonts w:eastAsia="Times New Roman"/>
        </w:rPr>
      </w:pPr>
      <w:r>
        <w:t xml:space="preserve">Poprzez pierwszy i drugi zarzut skargi Komisja kwestionuje dwa wyroki Trybunału Konstytucyjnego RP (dalej: TK): z dnia 7 października 2021 r. (sprawa K 3/21) oraz z dnia 14 lipca 2021 r. (sprawa P 7/20). Orzecznictwo to skutkuje naruszeniem różnych, lecz nie pozostających bez związku zobowiązań nałożonych na Polskę przez traktaty unijne. Pierwszy zarzut dotyczy naruszenia przez ww. wyroki TK art.19 ust. 1 akapit </w:t>
      </w:r>
      <w:r>
        <w:lastRenderedPageBreak/>
        <w:t xml:space="preserve">drugi TUE w interpretacji dokonanej przez TSUE, w szczególności w wyrokach z dnia 2 marca 2021 r. </w:t>
      </w:r>
      <w:r>
        <w:rPr>
          <w:i/>
          <w:iCs/>
        </w:rPr>
        <w:t>A.B. i Inni</w:t>
      </w:r>
      <w:r>
        <w:t xml:space="preserve"> C-824/18 (ECLI:EU:C:2021:153.) oraz z dnia 6 października 2021 r., </w:t>
      </w:r>
      <w:r>
        <w:rPr>
          <w:i/>
          <w:iCs/>
        </w:rPr>
        <w:t>W.Ż.</w:t>
      </w:r>
      <w:r>
        <w:t>, C-487/19 (ECLI:EU:C:2021:798.), bowiem TK zinterpretował Konstytucję RP odnoszącą się do unijnych wymogów skutecznej ochrony sądowej przez niezależny, bezstronny i ustanowiony uprzednio na mocy ustawy trybunał w nazbyt wąski, błędny i ignorujący w oczywisty sposób orzecznictwo TSUE. Drugi zarzut dotyczy naruszenia przez te wyroki TK zasady pierwszeństwa, autonomii, skuteczności i jednolitego stosowania prawa Unii oraz wiążącego skutku orzeczeń TSUE, gdyż TK jednostronnie odrzucił w nich zasady pierwszeństwa i skuteczności art. 2, art. 4 ust. 3 i art. 19 ust. 1 TUE oraz art. 279 TFUE konsekwentnie interpretowanych i stosowanych przez TSUE oraz nakazał wszystkim organom polskim odstąpić od stosowania tych postanowień traktatowych.</w:t>
      </w:r>
    </w:p>
    <w:p w14:paraId="187DD1AB" w14:textId="77777777" w:rsidR="000410B4" w:rsidRPr="00D637A7" w:rsidRDefault="008E2D0D" w:rsidP="00D637A7">
      <w:pPr>
        <w:pStyle w:val="JuQuot"/>
        <w:rPr>
          <w:rFonts w:eastAsia="Times New Roman"/>
        </w:rPr>
      </w:pPr>
      <w:r>
        <w:t>Poprzez trzeci zarzut skargi Komisja podnosi, że TK przestał dawać gwarancje niezależnego, bezstronnego i ustanowionego uprzednio na mocy ustawy sądu w rozumieniu art. 19 ust. 1 akapit drugi TUE w związku z art. 47 Karty wskutek oczywistych nieprawidłowości w powołaniu na stanowiska sędziów TK w grudniu 2015 r. z rażącym naruszeniem polskiego prawa konstytucyjnego (i) jak również wskutek nieprawidłowości w procedurze wyboru Prezesa TK w grudniu 2016 r. (ii). Każda z nich w świetle działalności TK w składzie z tak powołanymi osobami wzbudza w przekonaniu jednostek uzasadnione wątpliwości co do bezstronności i niepodatności TK na czynniki zewnętrzne”.</w:t>
      </w:r>
    </w:p>
    <w:p w14:paraId="2DE14E89" w14:textId="77777777" w:rsidR="000410B4" w:rsidRPr="00D637A7" w:rsidRDefault="008E2D0D" w:rsidP="00D637A7">
      <w:pPr>
        <w:pStyle w:val="JuH1"/>
        <w:rPr>
          <w:rFonts w:eastAsia="Times New Roman"/>
        </w:rPr>
      </w:pPr>
      <w:r>
        <w:t>Orzecznictwo Trybunału Sprawiedliwości Unii Europejskiej</w:t>
      </w:r>
    </w:p>
    <w:p w14:paraId="378EA733" w14:textId="77777777" w:rsidR="000410B4" w:rsidRPr="00D637A7" w:rsidRDefault="00000000" w:rsidP="00D637A7">
      <w:pPr>
        <w:pStyle w:val="JuPara"/>
      </w:pPr>
      <w:fldSimple w:instr=" SEQ level0 \*arabic \* MERGEFORMAT ">
        <w:r w:rsidR="006D0886">
          <w:rPr>
            <w:noProof/>
          </w:rPr>
          <w:t>128</w:t>
        </w:r>
      </w:fldSimple>
      <w:r w:rsidR="008E2D0D">
        <w:t xml:space="preserve">.  Istotne orzecznictwo TSUE podsumowano w wyrokach </w:t>
      </w:r>
      <w:r w:rsidR="008E2D0D">
        <w:rPr>
          <w:rFonts w:ascii="Times New Roman" w:hAnsi="Times New Roman"/>
          <w:i/>
          <w:iCs/>
        </w:rPr>
        <w:t>Dolińska-Ficek i Ozimek</w:t>
      </w:r>
      <w:r w:rsidR="008E2D0D">
        <w:rPr>
          <w:rFonts w:ascii="Times New Roman" w:hAnsi="Times New Roman"/>
        </w:rPr>
        <w:t xml:space="preserve"> (§§ 190-203); </w:t>
      </w:r>
      <w:r w:rsidR="008E2D0D">
        <w:rPr>
          <w:rFonts w:ascii="Times New Roman" w:hAnsi="Times New Roman"/>
          <w:i/>
          <w:iCs/>
        </w:rPr>
        <w:t>Advance Pharma sp. z o.o.</w:t>
      </w:r>
      <w:r w:rsidR="008E2D0D">
        <w:rPr>
          <w:rFonts w:ascii="Times New Roman" w:hAnsi="Times New Roman"/>
        </w:rPr>
        <w:t xml:space="preserve"> (§§ 204-216); </w:t>
      </w:r>
      <w:r w:rsidR="008E2D0D">
        <w:rPr>
          <w:rFonts w:ascii="Times New Roman" w:hAnsi="Times New Roman"/>
          <w:i/>
          <w:iCs/>
        </w:rPr>
        <w:t xml:space="preserve">Juszczyszyn </w:t>
      </w:r>
      <w:r w:rsidR="008E2D0D">
        <w:rPr>
          <w:rFonts w:ascii="Times New Roman" w:hAnsi="Times New Roman"/>
        </w:rPr>
        <w:t xml:space="preserve">(§§ 120-128); oraz </w:t>
      </w:r>
      <w:r w:rsidR="008E2D0D">
        <w:rPr>
          <w:i/>
          <w:iCs/>
        </w:rPr>
        <w:t>Tuleya</w:t>
      </w:r>
      <w:r w:rsidR="008E2D0D">
        <w:t xml:space="preserve"> </w:t>
      </w:r>
      <w:r w:rsidR="008E2D0D">
        <w:rPr>
          <w:rFonts w:ascii="Times New Roman" w:hAnsi="Times New Roman"/>
        </w:rPr>
        <w:t>§§ 224-242; wszystkie przytoczono powyżej).</w:t>
      </w:r>
    </w:p>
    <w:p w14:paraId="76B129AA" w14:textId="660C5C85" w:rsidR="000410B4" w:rsidRPr="00D637A7" w:rsidRDefault="00000000" w:rsidP="00D637A7">
      <w:pPr>
        <w:pStyle w:val="JuPara"/>
      </w:pPr>
      <w:fldSimple w:instr=" SEQ level0 \*arabic \* MERGEFORMAT ">
        <w:r w:rsidR="006D0886">
          <w:rPr>
            <w:noProof/>
          </w:rPr>
          <w:t>129</w:t>
        </w:r>
      </w:fldSimple>
      <w:r w:rsidR="008E2D0D">
        <w:t xml:space="preserve">.  Dnia 5 czerwca 2023 r. </w:t>
      </w:r>
      <w:r w:rsidR="00D32519">
        <w:t>W</w:t>
      </w:r>
      <w:r w:rsidR="008E2D0D">
        <w:t xml:space="preserve">ielka Izba TSUE wydała wyrok w sprawie </w:t>
      </w:r>
      <w:r w:rsidR="008E2D0D">
        <w:rPr>
          <w:i/>
          <w:iCs/>
        </w:rPr>
        <w:t>Komisja/Polska</w:t>
      </w:r>
      <w:r w:rsidR="008E2D0D">
        <w:t xml:space="preserve"> (Niezawisłość i życie prywatne sędziów, C-204/21, EU:C:2023:442), w którym uwzględniła skargę Komisji. TSUE, powołując się na swoje wcześniejsze orzecznictwo, orzekł między innymi, że przekazując do wyłącznej właściwości Izbie Kontroli Nadzwyczajnej i Spraw Publicznych Sądu Najwyższego rozpoznawanie zarzutów i zagadnień prawnych dotyczących braku niezależności sądu lub braku niezawisłości sędziego, Rzeczpospolita Polska uchybiła zobowiązaniom, które na niej ciążą na mocy art. 19 ust. 1 akapit drugi TUE w związku z art. 47 Karty, jak również na mocy art. 267 TFUE i zasady pierwszeństwa prawa Unii.</w:t>
      </w:r>
    </w:p>
    <w:p w14:paraId="05984C4F" w14:textId="77777777" w:rsidR="000410B4" w:rsidRPr="00D637A7" w:rsidRDefault="008E2D0D" w:rsidP="00D637A7">
      <w:pPr>
        <w:pStyle w:val="JuHHead"/>
      </w:pPr>
      <w:r>
        <w:t>PRAWO</w:t>
      </w:r>
    </w:p>
    <w:p w14:paraId="3EB41564" w14:textId="77777777" w:rsidR="000410B4" w:rsidRPr="00D637A7" w:rsidRDefault="008E2D0D" w:rsidP="00D637A7">
      <w:pPr>
        <w:pStyle w:val="JuHIRoman"/>
      </w:pPr>
      <w:r>
        <w:t>ZASTRZEŻENIA WSTĘPNE PRZEDSTAWIONE PRZEZ RZĄD</w:t>
      </w:r>
    </w:p>
    <w:p w14:paraId="1DA57AFE" w14:textId="77777777" w:rsidR="000410B4" w:rsidRPr="00D637A7" w:rsidRDefault="008E2D0D" w:rsidP="00D637A7">
      <w:pPr>
        <w:pStyle w:val="JuHA"/>
      </w:pPr>
      <w:r>
        <w:t>Zastrzeżenia Rządu ogółem</w:t>
      </w:r>
    </w:p>
    <w:p w14:paraId="706C17B2" w14:textId="303B01F6" w:rsidR="000410B4" w:rsidRPr="00D637A7" w:rsidRDefault="00000000" w:rsidP="00D637A7">
      <w:pPr>
        <w:pStyle w:val="JuPara"/>
      </w:pPr>
      <w:fldSimple w:instr=" SEQ level0 \*arabic ">
        <w:r w:rsidR="006D0886">
          <w:rPr>
            <w:noProof/>
          </w:rPr>
          <w:t>130</w:t>
        </w:r>
      </w:fldSimple>
      <w:r w:rsidR="008E2D0D">
        <w:t xml:space="preserve">.  Rząd przedstawił szereg zastrzeżeń wstępnych w przedmiocie dopuszczalności skargi. Co się tyczy skargi ogółem, Rząd twierdził, że należy ją odrzucić jako niezgodną </w:t>
      </w:r>
      <w:r w:rsidR="008E2D0D">
        <w:rPr>
          <w:i/>
          <w:iCs/>
        </w:rPr>
        <w:t>ratione materiae</w:t>
      </w:r>
      <w:r w:rsidR="008E2D0D">
        <w:t xml:space="preserve"> i </w:t>
      </w:r>
      <w:r w:rsidR="008E2D0D">
        <w:rPr>
          <w:i/>
          <w:iCs/>
        </w:rPr>
        <w:t>ratione personae</w:t>
      </w:r>
      <w:r w:rsidR="008E2D0D">
        <w:t xml:space="preserve"> z Konwencją.</w:t>
      </w:r>
      <w:r w:rsidR="008E2D0D">
        <w:rPr>
          <w:i/>
          <w:iCs/>
        </w:rPr>
        <w:t xml:space="preserve"> </w:t>
      </w:r>
      <w:r w:rsidR="008E2D0D">
        <w:lastRenderedPageBreak/>
        <w:t>Dodatkowo podnosił szereg odrębnych zastrzeżeń w odniesieniu do poszczególnych zarzutów skargi, twierdząc na różnych podstawach, że nie ma możliwości zastosowania art. 6 ust. 1, art. 8 i art. 18 Konwencji, a także</w:t>
      </w:r>
      <w:r w:rsidR="00943EB5">
        <w:t>,</w:t>
      </w:r>
      <w:r w:rsidR="008E2D0D">
        <w:t xml:space="preserve"> że nie wyczerpano krajowych środków odwoławczych w odniesieniu do zarzutu skarżącego formułowanego na podstawie art. 6 ust 1. Trybunał przeanalizuje poszczególne zastrzeżenia, analizując poszczególne zarzuty podnoszone przez skarżącego </w:t>
      </w:r>
      <w:r w:rsidR="008E2D0D" w:rsidRPr="007B69A2">
        <w:t>(zob. par. </w:t>
      </w:r>
      <w:r w:rsidR="008E2D0D" w:rsidRPr="007B69A2">
        <w:fldChar w:fldCharType="begin"/>
      </w:r>
      <w:r w:rsidR="008E2D0D" w:rsidRPr="007B69A2">
        <w:instrText xml:space="preserve"> REF vitim_status_1 \h </w:instrText>
      </w:r>
      <w:r w:rsidR="005319AE" w:rsidRPr="007B69A2">
        <w:instrText xml:space="preserve"> \* MERGEFORMAT </w:instrText>
      </w:r>
      <w:r w:rsidR="008E2D0D" w:rsidRPr="007B69A2">
        <w:fldChar w:fldCharType="separate"/>
      </w:r>
      <w:r w:rsidR="006D0886" w:rsidRPr="007B69A2">
        <w:rPr>
          <w:noProof/>
        </w:rPr>
        <w:t>131</w:t>
      </w:r>
      <w:r w:rsidR="008E2D0D" w:rsidRPr="007B69A2">
        <w:fldChar w:fldCharType="end"/>
      </w:r>
      <w:r w:rsidR="008E2D0D" w:rsidRPr="007B69A2">
        <w:t xml:space="preserve">, </w:t>
      </w:r>
      <w:r w:rsidR="008E2D0D" w:rsidRPr="007B69A2">
        <w:fldChar w:fldCharType="begin"/>
      </w:r>
      <w:r w:rsidR="008E2D0D" w:rsidRPr="007B69A2">
        <w:instrText xml:space="preserve"> REF vitim_status_2 \h </w:instrText>
      </w:r>
      <w:r w:rsidR="005319AE" w:rsidRPr="007B69A2">
        <w:instrText xml:space="preserve"> \* MERGEFORMAT </w:instrText>
      </w:r>
      <w:r w:rsidR="008E2D0D" w:rsidRPr="007B69A2">
        <w:fldChar w:fldCharType="separate"/>
      </w:r>
      <w:r w:rsidR="006D0886" w:rsidRPr="007B69A2">
        <w:rPr>
          <w:noProof/>
        </w:rPr>
        <w:t>132</w:t>
      </w:r>
      <w:r w:rsidR="008E2D0D" w:rsidRPr="007B69A2">
        <w:fldChar w:fldCharType="end"/>
      </w:r>
      <w:r w:rsidR="008E2D0D" w:rsidRPr="007B69A2">
        <w:t xml:space="preserve">, </w:t>
      </w:r>
      <w:r w:rsidR="008E2D0D" w:rsidRPr="007B69A2">
        <w:fldChar w:fldCharType="begin"/>
      </w:r>
      <w:r w:rsidR="008E2D0D" w:rsidRPr="007B69A2">
        <w:instrText xml:space="preserve"> REF admissibility_1 \h </w:instrText>
      </w:r>
      <w:r w:rsidR="005319AE" w:rsidRPr="007B69A2">
        <w:instrText xml:space="preserve"> \* MERGEFORMAT </w:instrText>
      </w:r>
      <w:r w:rsidR="008E2D0D" w:rsidRPr="007B69A2">
        <w:fldChar w:fldCharType="separate"/>
      </w:r>
      <w:r w:rsidR="006D0886" w:rsidRPr="007B69A2">
        <w:rPr>
          <w:noProof/>
        </w:rPr>
        <w:t>134</w:t>
      </w:r>
      <w:r w:rsidR="008E2D0D" w:rsidRPr="007B69A2">
        <w:fldChar w:fldCharType="end"/>
      </w:r>
      <w:r w:rsidR="008E2D0D" w:rsidRPr="007B69A2">
        <w:t>-</w:t>
      </w:r>
      <w:r w:rsidR="008E2D0D" w:rsidRPr="007B69A2">
        <w:fldChar w:fldCharType="begin"/>
      </w:r>
      <w:r w:rsidR="008E2D0D" w:rsidRPr="007B69A2">
        <w:instrText xml:space="preserve"> REF admissibility_2 \h </w:instrText>
      </w:r>
      <w:r w:rsidR="005319AE" w:rsidRPr="007B69A2">
        <w:instrText xml:space="preserve"> \* MERGEFORMAT </w:instrText>
      </w:r>
      <w:r w:rsidR="008E2D0D" w:rsidRPr="007B69A2">
        <w:fldChar w:fldCharType="separate"/>
      </w:r>
      <w:r w:rsidR="006D0886" w:rsidRPr="007B69A2">
        <w:rPr>
          <w:noProof/>
        </w:rPr>
        <w:t>154</w:t>
      </w:r>
      <w:r w:rsidR="008E2D0D" w:rsidRPr="007B69A2">
        <w:fldChar w:fldCharType="end"/>
      </w:r>
      <w:r w:rsidR="008E2D0D" w:rsidRPr="007B69A2">
        <w:t xml:space="preserve"> i </w:t>
      </w:r>
      <w:r w:rsidR="008E2D0D" w:rsidRPr="007B69A2">
        <w:fldChar w:fldCharType="begin"/>
      </w:r>
      <w:r w:rsidR="008E2D0D" w:rsidRPr="007B69A2">
        <w:instrText xml:space="preserve"> REF legal_certainty \h </w:instrText>
      </w:r>
      <w:r w:rsidR="005319AE" w:rsidRPr="007B69A2">
        <w:instrText xml:space="preserve"> \* MERGEFORMAT </w:instrText>
      </w:r>
      <w:r w:rsidR="008E2D0D" w:rsidRPr="007B69A2">
        <w:fldChar w:fldCharType="separate"/>
      </w:r>
      <w:r w:rsidR="006D0886" w:rsidRPr="007B69A2">
        <w:rPr>
          <w:noProof/>
        </w:rPr>
        <w:t>183</w:t>
      </w:r>
      <w:r w:rsidR="008E2D0D" w:rsidRPr="007B69A2">
        <w:fldChar w:fldCharType="end"/>
      </w:r>
      <w:r w:rsidR="008E2D0D" w:rsidRPr="007B69A2">
        <w:t xml:space="preserve"> powyżej oraz </w:t>
      </w:r>
      <w:r w:rsidR="008E2D0D" w:rsidRPr="007B69A2">
        <w:fldChar w:fldCharType="begin"/>
      </w:r>
      <w:r w:rsidR="008E2D0D" w:rsidRPr="007B69A2">
        <w:instrText xml:space="preserve"> REF parties_submissions \h </w:instrText>
      </w:r>
      <w:r w:rsidR="005319AE" w:rsidRPr="007B69A2">
        <w:instrText xml:space="preserve"> \* MERGEFORMAT </w:instrText>
      </w:r>
      <w:r w:rsidR="008E2D0D" w:rsidRPr="007B69A2">
        <w:fldChar w:fldCharType="separate"/>
      </w:r>
      <w:r w:rsidR="006D0886" w:rsidRPr="007B69A2">
        <w:rPr>
          <w:noProof/>
        </w:rPr>
        <w:t>261</w:t>
      </w:r>
      <w:r w:rsidR="008E2D0D" w:rsidRPr="007B69A2">
        <w:fldChar w:fldCharType="end"/>
      </w:r>
      <w:r w:rsidR="008E2D0D" w:rsidRPr="007B69A2">
        <w:t>-</w:t>
      </w:r>
      <w:r w:rsidR="008E2D0D" w:rsidRPr="007B69A2">
        <w:fldChar w:fldCharType="begin"/>
      </w:r>
      <w:r w:rsidR="008E2D0D" w:rsidRPr="007B69A2">
        <w:instrText xml:space="preserve"> REF parties_submissions_admissibility \h </w:instrText>
      </w:r>
      <w:r w:rsidR="005319AE" w:rsidRPr="007B69A2">
        <w:instrText xml:space="preserve"> \* MERGEFORMAT </w:instrText>
      </w:r>
      <w:r w:rsidR="008E2D0D" w:rsidRPr="007B69A2">
        <w:fldChar w:fldCharType="separate"/>
      </w:r>
      <w:r w:rsidR="006D0886" w:rsidRPr="007B69A2">
        <w:rPr>
          <w:noProof/>
        </w:rPr>
        <w:t>273</w:t>
      </w:r>
      <w:r w:rsidR="008E2D0D" w:rsidRPr="007B69A2">
        <w:fldChar w:fldCharType="end"/>
      </w:r>
      <w:r w:rsidR="008E2D0D" w:rsidRPr="007B69A2">
        <w:t xml:space="preserve"> poniżej).</w:t>
      </w:r>
    </w:p>
    <w:p w14:paraId="7DD5F50E" w14:textId="77777777" w:rsidR="000410B4" w:rsidRPr="00D637A7" w:rsidRDefault="008E2D0D" w:rsidP="00D637A7">
      <w:pPr>
        <w:pStyle w:val="JuHA"/>
      </w:pPr>
      <w:r>
        <w:t>Status ofiary</w:t>
      </w:r>
    </w:p>
    <w:bookmarkStart w:id="88" w:name="vitim_status_1"/>
    <w:p w14:paraId="142721C9"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131</w:t>
      </w:r>
      <w:r w:rsidRPr="00D637A7">
        <w:fldChar w:fldCharType="end"/>
      </w:r>
      <w:bookmarkEnd w:id="88"/>
      <w:r>
        <w:t>.  Co się tyczy statusu ofiary przysługującego skarżącemu zgodnie z art. 34 Konwencji, Rząd na poparcie swojego argumentu obszernie cytował orzecznictwo Trybunału w tej kwestii; niemniej jednak podstawa zastrzeżenia ograniczała się do następującego stwierdzenia, które (dosłownie) brzmi:</w:t>
      </w:r>
    </w:p>
    <w:p w14:paraId="3C47CDB3" w14:textId="77777777" w:rsidR="000410B4" w:rsidRPr="00D637A7" w:rsidRDefault="008E2D0D" w:rsidP="00D637A7">
      <w:pPr>
        <w:pStyle w:val="JuQuot"/>
      </w:pPr>
      <w:r>
        <w:t>„116. […] Rząd zauważa, że skarżący w niniejszej sprawie nie zdołał wykazać Trybunałowi negatywnych konsekwencji, jakie przedmiotowe postępowanie miało wywołać w odniesieniu do jego osoby. W szczególności nie zdołał wykazać, że w wyniku postępowania przed Sądem Najwyższym i wydanego wyroku doznał znaczącego uszczerbku pod względem ogólnej sytuacji życiowej i dobrego imienia.</w:t>
      </w:r>
    </w:p>
    <w:p w14:paraId="29AB0FEA" w14:textId="77777777" w:rsidR="000410B4" w:rsidRPr="00D637A7" w:rsidRDefault="008E2D0D" w:rsidP="00D637A7">
      <w:pPr>
        <w:pStyle w:val="JuQuot"/>
      </w:pPr>
      <w:r>
        <w:t>117.</w:t>
      </w:r>
      <w:r>
        <w:rPr>
          <w:b/>
          <w:bCs/>
        </w:rPr>
        <w:t xml:space="preserve"> </w:t>
      </w:r>
      <w:r>
        <w:t>Mając na względzie powyższe, Rząd podnosi, że skargę rozpoznawaną w niniejszej sprawie należy uznać za niedopuszczalną ze względu na fakt, iż skarżący nie ma statusu ofiary”.</w:t>
      </w:r>
    </w:p>
    <w:bookmarkStart w:id="89" w:name="vitim_status_2"/>
    <w:p w14:paraId="228E4D37" w14:textId="69EFA5D9"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132</w:t>
      </w:r>
      <w:r w:rsidRPr="00D637A7">
        <w:fldChar w:fldCharType="end"/>
      </w:r>
      <w:bookmarkEnd w:id="89"/>
      <w:r>
        <w:t xml:space="preserve">.  Na podstawie treści powyższego pisma oraz na podstawie powołania się przez Rząd na okoliczność, iż skarżący nie wykazał krzywdy w odniesieniu do „ogólnej sytuacji życiowej i dobrego imienia”, Trybunał uważa, że wbrew temu, iż Rząd powołał się na art. 34 i twierdził, że skarżący nie doznał „istotnego uszczerbku”, co stanowi podstawę niedopuszczalności przewidzianą w art. 35 ust. 3 lit. b Konwencji, zastrzeżenie Rządu można interpretować jako </w:t>
      </w:r>
      <w:r>
        <w:rPr>
          <w:i/>
          <w:iCs/>
        </w:rPr>
        <w:t>de facto</w:t>
      </w:r>
      <w:r>
        <w:t xml:space="preserve"> przemawiające przeciwko możliwości zastosowania art. 8 Konwencji i z tego względu będzie przeanalizowane w ramach tego zagadnienia (zob. par. </w:t>
      </w:r>
      <w:r w:rsidRPr="00D637A7">
        <w:fldChar w:fldCharType="begin"/>
      </w:r>
      <w:r w:rsidRPr="00D637A7">
        <w:instrText xml:space="preserve"> REF parties_submissions \h </w:instrText>
      </w:r>
      <w:r w:rsidRPr="00D637A7">
        <w:fldChar w:fldCharType="separate"/>
      </w:r>
      <w:r w:rsidR="006D0886">
        <w:rPr>
          <w:noProof/>
        </w:rPr>
        <w:t>261</w:t>
      </w:r>
      <w:r w:rsidRPr="00D637A7">
        <w:fldChar w:fldCharType="end"/>
      </w:r>
      <w:r>
        <w:t>-</w:t>
      </w:r>
      <w:r w:rsidRPr="00D637A7">
        <w:fldChar w:fldCharType="begin"/>
      </w:r>
      <w:r w:rsidRPr="00D637A7">
        <w:instrText xml:space="preserve"> REF parties_submissions_admissibility \h </w:instrText>
      </w:r>
      <w:r w:rsidRPr="00D637A7">
        <w:fldChar w:fldCharType="separate"/>
      </w:r>
      <w:r w:rsidR="006D0886">
        <w:rPr>
          <w:noProof/>
        </w:rPr>
        <w:t>273</w:t>
      </w:r>
      <w:r w:rsidRPr="00D637A7">
        <w:fldChar w:fldCharType="end"/>
      </w:r>
      <w:r>
        <w:t xml:space="preserve"> poniżej).</w:t>
      </w:r>
    </w:p>
    <w:p w14:paraId="4834FC37" w14:textId="77777777" w:rsidR="000410B4" w:rsidRPr="00D637A7" w:rsidRDefault="008E2D0D" w:rsidP="00D637A7">
      <w:pPr>
        <w:pStyle w:val="JuHIRoman"/>
        <w:tabs>
          <w:tab w:val="left" w:pos="567"/>
          <w:tab w:val="left" w:pos="680"/>
        </w:tabs>
        <w:ind w:left="397" w:hanging="397"/>
      </w:pPr>
      <w:r>
        <w:t>ZARZUCANE NARUSZENIE ART. 6 UST. 1 KONWENCJI W ZWIĄZKU Z PRAWEM DO NIEZAWISŁEGO I BEZSTRONNEGO SĄDU USTANOWIONEGO USTAWĄ</w:t>
      </w:r>
    </w:p>
    <w:p w14:paraId="33BC9D87" w14:textId="77777777" w:rsidR="000410B4" w:rsidRPr="00D637A7" w:rsidRDefault="00000000" w:rsidP="00D637A7">
      <w:pPr>
        <w:pStyle w:val="JuPara"/>
      </w:pPr>
      <w:fldSimple w:instr=" SEQ level0 \*arabic ">
        <w:r w:rsidR="006D0886">
          <w:rPr>
            <w:noProof/>
          </w:rPr>
          <w:t>133</w:t>
        </w:r>
      </w:fldSimple>
      <w:r w:rsidR="008E2D0D">
        <w:t xml:space="preserve">.  Skarżący zarzucał, powołując się na art. 6 ust. 1 Konwencji, że jego sprawę rozpoznawała Izba Kontroli Nadzwyczajnej i Spraw Publicznych Sądu Najwyższego, będąca organem, który nie jest „niezawisłym i bezstronnym sądem ustanowionym ustawą” w rozumieniu tego postanowienia. Dodatkowo zarzucał brak niezależności i bezstronności </w:t>
      </w:r>
      <w:r w:rsidR="008E2D0D">
        <w:lastRenderedPageBreak/>
        <w:t>indywidualnej sędziego Stępkowskiego, który był sprawozdawcą w jego sprawie.</w:t>
      </w:r>
    </w:p>
    <w:p w14:paraId="65F40BD3" w14:textId="77777777" w:rsidR="000410B4" w:rsidRPr="00D637A7" w:rsidRDefault="008E2D0D" w:rsidP="00D637A7">
      <w:pPr>
        <w:pStyle w:val="JuPara"/>
      </w:pPr>
      <w:r>
        <w:t>Art. 6 ust. 1 Konwencji w istotnych fragmentach brzmi:</w:t>
      </w:r>
    </w:p>
    <w:p w14:paraId="5E7677F0" w14:textId="77777777" w:rsidR="000410B4" w:rsidRPr="00D637A7" w:rsidRDefault="008E2D0D" w:rsidP="00D637A7">
      <w:pPr>
        <w:pStyle w:val="JuQuot"/>
      </w:pPr>
      <w:r>
        <w:t>„Każdy ma prawo do sprawiedliwego [...] rozpatrzenia jego sprawy [...] przez niezawisły i bezstronny sąd ustanowiony ustawą przy rozstrzyganiu o jego prawach i obowiązkach o charakterze cywilnym”.</w:t>
      </w:r>
    </w:p>
    <w:p w14:paraId="01E42DAC" w14:textId="77777777" w:rsidR="000410B4" w:rsidRPr="00D637A7" w:rsidRDefault="008E2D0D" w:rsidP="00D637A7">
      <w:pPr>
        <w:pStyle w:val="JuHA"/>
      </w:pPr>
      <w:r>
        <w:t>Dopuszczalność</w:t>
      </w:r>
    </w:p>
    <w:p w14:paraId="29B8E026" w14:textId="77777777" w:rsidR="000410B4" w:rsidRPr="00D637A7" w:rsidRDefault="008E2D0D" w:rsidP="00D637A7">
      <w:pPr>
        <w:pStyle w:val="JuH1"/>
      </w:pPr>
      <w:r>
        <w:t>Niezgodność ratione materiae</w:t>
      </w:r>
    </w:p>
    <w:p w14:paraId="347BE248" w14:textId="77777777" w:rsidR="000410B4" w:rsidRPr="00D637A7" w:rsidRDefault="008E2D0D" w:rsidP="00D637A7">
      <w:pPr>
        <w:pStyle w:val="JuHa0"/>
      </w:pPr>
      <w:r>
        <w:t>Stanowiska stron</w:t>
      </w:r>
    </w:p>
    <w:bookmarkStart w:id="90" w:name="admissibility_1"/>
    <w:p w14:paraId="0FA4B1C9" w14:textId="77777777" w:rsidR="000410B4" w:rsidRPr="00D637A7" w:rsidRDefault="008E2D0D" w:rsidP="00D637A7">
      <w:pPr>
        <w:pStyle w:val="JuPara"/>
      </w:pPr>
      <w:r w:rsidRPr="00D637A7">
        <w:fldChar w:fldCharType="begin"/>
      </w:r>
      <w:r w:rsidRPr="00D637A7">
        <w:instrText xml:space="preserve"> SEQ level0 \*arabic </w:instrText>
      </w:r>
      <w:r w:rsidRPr="00D637A7">
        <w:fldChar w:fldCharType="separate"/>
      </w:r>
      <w:r w:rsidR="006D0886">
        <w:rPr>
          <w:noProof/>
        </w:rPr>
        <w:t>134</w:t>
      </w:r>
      <w:r w:rsidRPr="00D637A7">
        <w:fldChar w:fldCharType="end"/>
      </w:r>
      <w:bookmarkEnd w:id="90"/>
      <w:r>
        <w:t>.  Rząd zauważył, że okoliczności skargi prowadzą już na pierwszy rzut oka do stwierdzenia, że obejmuje je wyrok Trybunału Konstytucyjnego z dnia 10 marca 2022 r. wydany w sprawie K 7/21 (zob. par. </w:t>
      </w:r>
      <w:r w:rsidRPr="00D637A7">
        <w:fldChar w:fldCharType="begin"/>
      </w:r>
      <w:r w:rsidRPr="00D637A7">
        <w:instrText xml:space="preserve"> REF judgment_10March2022_1 \h </w:instrText>
      </w:r>
      <w:r w:rsidRPr="00D637A7">
        <w:fldChar w:fldCharType="separate"/>
      </w:r>
      <w:r w:rsidR="006D0886">
        <w:rPr>
          <w:noProof/>
        </w:rPr>
        <w:t>107</w:t>
      </w:r>
      <w:r w:rsidRPr="00D637A7">
        <w:fldChar w:fldCharType="end"/>
      </w:r>
      <w:r>
        <w:noBreakHyphen/>
      </w:r>
      <w:r w:rsidRPr="00D637A7">
        <w:fldChar w:fldCharType="begin"/>
      </w:r>
      <w:r w:rsidRPr="00D637A7">
        <w:instrText xml:space="preserve"> REF judgment_10March2022_2 \h </w:instrText>
      </w:r>
      <w:r w:rsidRPr="00D637A7">
        <w:fldChar w:fldCharType="separate"/>
      </w:r>
      <w:r w:rsidR="006D0886">
        <w:rPr>
          <w:noProof/>
        </w:rPr>
        <w:t>108</w:t>
      </w:r>
      <w:r w:rsidRPr="00D637A7">
        <w:fldChar w:fldCharType="end"/>
      </w:r>
      <w:r>
        <w:t xml:space="preserve"> powyżej).</w:t>
      </w:r>
    </w:p>
    <w:p w14:paraId="3C452664" w14:textId="3A04F88D" w:rsidR="000410B4" w:rsidRPr="00D637A7" w:rsidRDefault="00000000" w:rsidP="00D637A7">
      <w:pPr>
        <w:pStyle w:val="JuPara"/>
      </w:pPr>
      <w:fldSimple w:instr=" SEQ level0 \*arabic \* MERGEFORMAT ">
        <w:r w:rsidR="006D0886">
          <w:rPr>
            <w:noProof/>
          </w:rPr>
          <w:t>135</w:t>
        </w:r>
      </w:fldSimple>
      <w:r w:rsidR="008E2D0D">
        <w:t>.  Podkreślił, że w przytoczonym wyroku Trybunał Konstytucyjny orzekł, iż art. 6 ust. 1 zdanie pierwsze Konwencji – w zakresie, w jakim przy ocenie spełnienia warunku „sądu ustanowionego ustawą” postanowienie to umożliwia pomijanie przez Europejski Trybunał Praw Człowieka lub sądy krajowe przepisów Konstytucji, ustaw oraz wyroków polskiego Trybunału Konstytucyjnego, a także umożliwia samodzielne kreowanie norm dotyczących procedury nominacyjnej sędziów sądów krajowych przez Europejski Trybunał Praw Człowieka lub sądy krajowe w procesie wykładni Konwencji – jest niezgodn</w:t>
      </w:r>
      <w:r w:rsidR="008F03FF">
        <w:t>e</w:t>
      </w:r>
      <w:r w:rsidR="008E2D0D">
        <w:t xml:space="preserve"> z art. 89 ust. 1 pkt 2, art. 176 ust. 2, art. 179 w zw. z art. 187 ust. 1 w zw. z art. 187 ust. 4 oraz z art. 190 ust. 1 Konstytucji.</w:t>
      </w:r>
    </w:p>
    <w:p w14:paraId="43DE90E9" w14:textId="413DFD2A" w:rsidR="000410B4" w:rsidRPr="00D637A7" w:rsidRDefault="008E2D0D" w:rsidP="00D637A7">
      <w:pPr>
        <w:pStyle w:val="JuPara"/>
      </w:pPr>
      <w:r>
        <w:t>W wyroku tym stwierdzono również, że art. 6 ust. 1 zdanie pierwsze Konwencji – w zakresie, w jakim pozwala Europejskiemu Trybunałowi Praw Człowieka lub sądom krajowym oceniać zgodność z Konstytucją i Konwencją ustaw dotyczących ustroju sądownictwa, właściwości sądów oraz ustawy określającej ustrój, zakres działania, tryb pracy i sposób wyboru członków Krajowej Rady Sądownictwa – jest niezgodn</w:t>
      </w:r>
      <w:r w:rsidR="008F03FF">
        <w:t>e</w:t>
      </w:r>
      <w:r>
        <w:t xml:space="preserve"> z art. 188 ust. 1 i 2 oraz art. 190 ust. 1 Konstytucji.</w:t>
      </w:r>
    </w:p>
    <w:bookmarkStart w:id="91" w:name="admissibility_3"/>
    <w:p w14:paraId="4C6A1887" w14:textId="0AEDC9FB"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136</w:t>
      </w:r>
      <w:r w:rsidRPr="00D637A7">
        <w:fldChar w:fldCharType="end"/>
      </w:r>
      <w:bookmarkEnd w:id="91"/>
      <w:r>
        <w:t xml:space="preserve">.  W swoich uwagach do stanowiska </w:t>
      </w:r>
      <w:r>
        <w:rPr>
          <w:i/>
          <w:iCs/>
        </w:rPr>
        <w:t>amicus curiae</w:t>
      </w:r>
      <w:r>
        <w:t xml:space="preserve"> przedłożonego przez Stowarzyszenie Sędziów Polskich „Iustitia” Rząd dodał, że skutkiem tego wyroku było wyeliminowanie postanowień w nim wskazanych z polskiego systemu, a w rezultacie wyeliminowanie orzeczeń wydanych na ich podstawie, tj. czterech wyroków ETPC: wyroku z dnia 29 czerwca 2021 r. w sprawie </w:t>
      </w:r>
      <w:r>
        <w:rPr>
          <w:i/>
          <w:iCs/>
        </w:rPr>
        <w:t>Broda i Bojara przeciwko Polsce</w:t>
      </w:r>
      <w:r>
        <w:t xml:space="preserve">, wyroku z dnia 22 lipca 2021 r. w sprawie </w:t>
      </w:r>
      <w:r>
        <w:rPr>
          <w:i/>
          <w:iCs/>
        </w:rPr>
        <w:t>Reczkowicz przeciwko Polsce</w:t>
      </w:r>
      <w:r>
        <w:t xml:space="preserve">; wyroku z dnia 8 listopada 2021 r. w sprawie </w:t>
      </w:r>
      <w:r>
        <w:rPr>
          <w:i/>
          <w:iCs/>
        </w:rPr>
        <w:t>Dolińska-Ficek i Ozimek przeciwko Polsce</w:t>
      </w:r>
      <w:r>
        <w:t xml:space="preserve"> oraz wyroku z dnia 3 lutego 2021 r. w sprawie </w:t>
      </w:r>
      <w:r>
        <w:rPr>
          <w:i/>
          <w:iCs/>
        </w:rPr>
        <w:t>Advance Pharma sp. z o.o. przeciwko Polsce</w:t>
      </w:r>
      <w:r>
        <w:t xml:space="preserve"> (wszystkie przytoczono powyżej), ponieważ „nie miały one dla państwa polskiego przymiotów przewidzianych w art. 46 Konwencji”.</w:t>
      </w:r>
    </w:p>
    <w:p w14:paraId="1D3BE3BD" w14:textId="77777777" w:rsidR="000410B4" w:rsidRPr="00D637A7" w:rsidRDefault="008E2D0D" w:rsidP="00D637A7">
      <w:pPr>
        <w:pStyle w:val="JuPara"/>
      </w:pPr>
      <w:r>
        <w:lastRenderedPageBreak/>
        <w:t xml:space="preserve">W odpowiedzi na stanowisko przedstawione przez Helsińską Fundację Praw Człowieka Rząd stwierdził, że ograniczenia wynikającego z wyroku Trybunału Konstytucyjnego nie można postrzegać jako naruszenia przez Polskę prawa międzynarodowego, które było wiążące dla państwa, ponieważ nie wpływa ono na samą treść postanowienia Konwencji, którą Polska zaakceptowała przy ratyfikacji. Stanowiło ono postawienie granicy w dynamice autonomii prawodawczej Trybunału i należy je traktować jako wyrażony przez państwo sprzeciw wobec prób kształtowania zobowiązań międzynarodowych o nowej treści i narzucania ich Polsce </w:t>
      </w:r>
      <w:r>
        <w:rPr>
          <w:i/>
          <w:iCs/>
        </w:rPr>
        <w:t>per facta concludentia</w:t>
      </w:r>
      <w:r>
        <w:t>, poza trybem zmiany traktatu.</w:t>
      </w:r>
    </w:p>
    <w:p w14:paraId="1D9C8455" w14:textId="750DFE9D" w:rsidR="000410B4" w:rsidRPr="00D637A7" w:rsidRDefault="00000000" w:rsidP="00D637A7">
      <w:pPr>
        <w:pStyle w:val="JuPara"/>
      </w:pPr>
      <w:fldSimple w:instr=" SEQ level0 \*arabic \* MERGEFORMAT ">
        <w:r w:rsidR="006D0886">
          <w:rPr>
            <w:noProof/>
          </w:rPr>
          <w:t>137</w:t>
        </w:r>
      </w:fldSimple>
      <w:r w:rsidR="008E2D0D">
        <w:t xml:space="preserve">.  Rząd stwierdził dodatkowo, że Trybunał Konstytucyjny w swoim wyroku podkreślał, iż prawo międzynarodowe ma charakter konsensualny i wywodzi się z woli państw. Polska poczyniła pewne ustępstwa w obszarze swej suwerenności i przyznała Trybunałowi konwencyjne uprawnienia władcze o charakterze orzeczniczym i interpretacyjnym. Zgoda ta nie jest jednak treściowo nieograniczona. Materialne (treść norm) i formalne (procedura </w:t>
      </w:r>
      <w:r w:rsidR="004F1D16">
        <w:t>z</w:t>
      </w:r>
      <w:r w:rsidR="008E2D0D">
        <w:t>wiązania się</w:t>
      </w:r>
      <w:r w:rsidR="004F1D16">
        <w:t xml:space="preserve"> dokumentem</w:t>
      </w:r>
      <w:r w:rsidR="008E2D0D">
        <w:t xml:space="preserve">) ramy stanowi tu Konstytucja RP, której strażnikiem jest Trybunał Konstytucyjny. Dlatego też Trybunał mógł wykonywać swoje uprawnienia do czasu, kiedy Polska nie wyraziła w tej kwestii konstytucyjnie uzasadnionego sprzeciwu np. w formie orzeczenia </w:t>
      </w:r>
      <w:r w:rsidR="004F1D16">
        <w:t>Trybunału Konstytucyjnego</w:t>
      </w:r>
      <w:r w:rsidR="008E2D0D">
        <w:t>.</w:t>
      </w:r>
    </w:p>
    <w:p w14:paraId="188D6CF9" w14:textId="77777777" w:rsidR="000410B4" w:rsidRPr="00D637A7" w:rsidRDefault="00000000" w:rsidP="00D637A7">
      <w:pPr>
        <w:pStyle w:val="JuPara"/>
      </w:pPr>
      <w:fldSimple w:instr=" SEQ level0 \*arabic \* MERGEFORMAT ">
        <w:r w:rsidR="006D0886">
          <w:rPr>
            <w:noProof/>
          </w:rPr>
          <w:t>138</w:t>
        </w:r>
      </w:fldSimple>
      <w:r w:rsidR="008E2D0D">
        <w:t>.  W opinii Rządu wyrok ten należy traktować jako emanację konstytucyjnie uzasadnionego sprzeciwu wobec uprawnień władczych Trybunału o charakterze orzeczniczym i interpretacyjnym, co sprawia, że art. 6 nie ma zastosowania w niniejszej sprawie.</w:t>
      </w:r>
    </w:p>
    <w:p w14:paraId="049A59DD" w14:textId="77777777" w:rsidR="000410B4" w:rsidRPr="00D637A7" w:rsidRDefault="00000000" w:rsidP="00D637A7">
      <w:pPr>
        <w:pStyle w:val="JuPara"/>
      </w:pPr>
      <w:fldSimple w:instr=" SEQ level0 \*arabic ">
        <w:r w:rsidR="006D0886">
          <w:rPr>
            <w:noProof/>
          </w:rPr>
          <w:t>139</w:t>
        </w:r>
      </w:fldSimple>
      <w:r w:rsidR="008E2D0D">
        <w:t>.  Skarżący nie ustosunkował się do powyższych argumentów.</w:t>
      </w:r>
    </w:p>
    <w:p w14:paraId="307618C0" w14:textId="77777777" w:rsidR="000410B4" w:rsidRPr="00D637A7" w:rsidRDefault="008E2D0D" w:rsidP="00D637A7">
      <w:pPr>
        <w:pStyle w:val="JuHa0"/>
      </w:pPr>
      <w:r>
        <w:t>Ocena Trybunału</w:t>
      </w:r>
    </w:p>
    <w:p w14:paraId="3DA050B2" w14:textId="77777777" w:rsidR="000410B4" w:rsidRPr="00D637A7" w:rsidRDefault="00000000" w:rsidP="00D637A7">
      <w:pPr>
        <w:pStyle w:val="JuPara"/>
      </w:pPr>
      <w:fldSimple w:instr=" SEQ level0 \*arabic \* MERGEFORMAT ">
        <w:r w:rsidR="006D0886">
          <w:rPr>
            <w:noProof/>
          </w:rPr>
          <w:t>140</w:t>
        </w:r>
      </w:fldSimple>
      <w:r w:rsidR="008E2D0D">
        <w:t xml:space="preserve">.  Trybunał zauważa, że zajmował się już wyrokiem Trybunału Konstytucyjnego z dnia 10 marca 2022 r. w ramach sprawy </w:t>
      </w:r>
      <w:r w:rsidR="008E2D0D">
        <w:rPr>
          <w:i/>
          <w:iCs/>
        </w:rPr>
        <w:t xml:space="preserve">Juszczyszyn </w:t>
      </w:r>
      <w:r w:rsidR="008E2D0D">
        <w:t>(</w:t>
      </w:r>
      <w:r w:rsidR="008E2D0D">
        <w:rPr>
          <w:i/>
          <w:iCs/>
        </w:rPr>
        <w:t>op.cit.</w:t>
      </w:r>
      <w:r w:rsidR="008E2D0D">
        <w:t>, §§ 207-209).</w:t>
      </w:r>
    </w:p>
    <w:bookmarkStart w:id="92" w:name="admissibility_court_assessment1"/>
    <w:p w14:paraId="4A44996D" w14:textId="5A017B71" w:rsidR="000410B4" w:rsidRPr="00D637A7" w:rsidRDefault="008E2D0D" w:rsidP="00D637A7">
      <w:pPr>
        <w:pStyle w:val="JuPara"/>
        <w:rPr>
          <w:i/>
          <w:iCs/>
        </w:rPr>
      </w:pPr>
      <w:r w:rsidRPr="00D637A7">
        <w:fldChar w:fldCharType="begin"/>
      </w:r>
      <w:r w:rsidRPr="00D637A7">
        <w:instrText xml:space="preserve"> SEQ level0 \*arabic \* MERGEFORMAT </w:instrText>
      </w:r>
      <w:r w:rsidRPr="00D637A7">
        <w:fldChar w:fldCharType="separate"/>
      </w:r>
      <w:r w:rsidR="006D0886">
        <w:rPr>
          <w:noProof/>
        </w:rPr>
        <w:t>141</w:t>
      </w:r>
      <w:r w:rsidRPr="00D637A7">
        <w:fldChar w:fldCharType="end"/>
      </w:r>
      <w:bookmarkEnd w:id="92"/>
      <w:r>
        <w:t xml:space="preserve">.  Na wstępie należy zauważyć, że wyrok ten wydano w składzie, w którym znalazł się sędzia M. Muszyński (w wyrokach </w:t>
      </w:r>
      <w:r>
        <w:rPr>
          <w:i/>
          <w:iCs/>
        </w:rPr>
        <w:t>Juszczyszyn</w:t>
      </w:r>
      <w:r>
        <w:t xml:space="preserve"> i </w:t>
      </w:r>
      <w:r>
        <w:rPr>
          <w:i/>
          <w:iCs/>
        </w:rPr>
        <w:t>Xero Flor w Polsce sp. z o.o.</w:t>
      </w:r>
      <w:r>
        <w:t xml:space="preserve"> występujący pod inicjałami „M.M.”), najwyraźniej w ramach próby powstrzymania wykonania wyroków Trybunału wydanych w sprawach </w:t>
      </w:r>
      <w:r>
        <w:rPr>
          <w:i/>
          <w:iCs/>
        </w:rPr>
        <w:t>Broda i Bojara</w:t>
      </w:r>
      <w:bookmarkStart w:id="93" w:name="_cl40842"/>
      <w:r>
        <w:rPr>
          <w:rFonts w:ascii="Times New Roman" w:hAnsi="Times New Roman"/>
          <w:i/>
          <w:iCs/>
        </w:rPr>
        <w:t xml:space="preserve"> </w:t>
      </w:r>
      <w:r>
        <w:rPr>
          <w:i/>
          <w:iCs/>
        </w:rPr>
        <w:t>przeciwko Polsce</w:t>
      </w:r>
      <w:bookmarkEnd w:id="93"/>
      <w:r>
        <w:rPr>
          <w:i/>
          <w:iCs/>
        </w:rPr>
        <w:t xml:space="preserve"> </w:t>
      </w:r>
      <w:r>
        <w:t xml:space="preserve">(skargi nr 26691/18 i 27367/18, 29 czerwca 2021 r.), </w:t>
      </w:r>
      <w:r>
        <w:rPr>
          <w:i/>
          <w:iCs/>
        </w:rPr>
        <w:t>Reczkowicz</w:t>
      </w:r>
      <w:r>
        <w:t xml:space="preserve">, </w:t>
      </w:r>
      <w:r>
        <w:rPr>
          <w:i/>
          <w:iCs/>
        </w:rPr>
        <w:t>Dolińska-Ficek</w:t>
      </w:r>
      <w:r>
        <w:t xml:space="preserve"> </w:t>
      </w:r>
      <w:r>
        <w:rPr>
          <w:i/>
          <w:iCs/>
        </w:rPr>
        <w:t>i</w:t>
      </w:r>
      <w:r>
        <w:t xml:space="preserve"> </w:t>
      </w:r>
      <w:r>
        <w:rPr>
          <w:i/>
          <w:iCs/>
        </w:rPr>
        <w:t>Ozimek</w:t>
      </w:r>
      <w:r>
        <w:t xml:space="preserve"> oraz </w:t>
      </w:r>
      <w:r>
        <w:rPr>
          <w:i/>
          <w:iCs/>
        </w:rPr>
        <w:t xml:space="preserve">Advance Pharma sp. z o.o. </w:t>
      </w:r>
      <w:r>
        <w:t>(wszystkie przytoczono powyżej)</w:t>
      </w:r>
      <w:r>
        <w:rPr>
          <w:i/>
          <w:iCs/>
        </w:rPr>
        <w:t xml:space="preserve"> </w:t>
      </w:r>
      <w:r>
        <w:t xml:space="preserve">na podstawie art. 46 Konwencji. Co się tyczy tego konkretnego sędziego, Trybunał orzekł już w wyroku </w:t>
      </w:r>
      <w:r>
        <w:rPr>
          <w:i/>
          <w:iCs/>
        </w:rPr>
        <w:t xml:space="preserve">Xero Flor w Polsce sp. z o.o. </w:t>
      </w:r>
      <w:r>
        <w:t xml:space="preserve">(skarga nr 4907/18, 7 maja 2021 r., §§ 289-291), że ze względu na jego obecność w składzie orzekającym Trybunału Konstytucyjnego doszło do naruszenia art. 6 ust. 1 w odniesieniu do prawa skarżącej spółki do „sądu ustanowionego ustawą”, jako że wybór tego sędziego był dotknięty poważnymi nieprawidłowościami. W świetle wyroku </w:t>
      </w:r>
      <w:r>
        <w:rPr>
          <w:i/>
          <w:iCs/>
        </w:rPr>
        <w:lastRenderedPageBreak/>
        <w:t>Xero Flor</w:t>
      </w:r>
      <w:r>
        <w:t xml:space="preserve"> </w:t>
      </w:r>
      <w:r>
        <w:rPr>
          <w:i/>
          <w:iCs/>
        </w:rPr>
        <w:t>w Polsce sp. z o. o.</w:t>
      </w:r>
      <w:r>
        <w:t xml:space="preserve"> fakt, iż sędzia ten zasiadał w pięcioosobowym składzie Trybunału Konstytucyjnego, który wydał wyrok z dnia 10 marca 2022 r., w sposób nieodzowny stawiała pod znakiem zapytania ważność i zgodność z prawem tego wyroku (zob. wyrok </w:t>
      </w:r>
      <w:r>
        <w:rPr>
          <w:i/>
          <w:iCs/>
        </w:rPr>
        <w:t>Grzęda</w:t>
      </w:r>
      <w:r>
        <w:t xml:space="preserve">, § 277; zobacz także wyroki </w:t>
      </w:r>
      <w:r>
        <w:rPr>
          <w:i/>
          <w:iCs/>
        </w:rPr>
        <w:t>Reczkowicz</w:t>
      </w:r>
      <w:r>
        <w:t xml:space="preserve">, § 263 </w:t>
      </w:r>
      <w:r>
        <w:rPr>
          <w:i/>
          <w:iCs/>
        </w:rPr>
        <w:t>in fine</w:t>
      </w:r>
      <w:r>
        <w:t xml:space="preserve"> oraz </w:t>
      </w:r>
      <w:r>
        <w:rPr>
          <w:i/>
          <w:iCs/>
        </w:rPr>
        <w:t>Dolińska-Ficek</w:t>
      </w:r>
      <w:r>
        <w:t xml:space="preserve"> </w:t>
      </w:r>
      <w:r>
        <w:rPr>
          <w:i/>
          <w:iCs/>
        </w:rPr>
        <w:t>i</w:t>
      </w:r>
      <w:r>
        <w:t xml:space="preserve"> </w:t>
      </w:r>
      <w:r>
        <w:rPr>
          <w:i/>
          <w:iCs/>
        </w:rPr>
        <w:t>Ozimek</w:t>
      </w:r>
      <w:r>
        <w:t>, § 319, wszystkie przytoczono powyżej).</w:t>
      </w:r>
    </w:p>
    <w:p w14:paraId="44BEBF7E" w14:textId="5F6A6410" w:rsidR="000410B4" w:rsidRPr="00D637A7" w:rsidRDefault="00000000" w:rsidP="00D637A7">
      <w:pPr>
        <w:pStyle w:val="JuPara"/>
      </w:pPr>
      <w:fldSimple w:instr=" SEQ level0 \*arabic \* MERGEFORMAT ">
        <w:r w:rsidR="006D0886">
          <w:rPr>
            <w:noProof/>
          </w:rPr>
          <w:t>142</w:t>
        </w:r>
      </w:fldSimple>
      <w:r w:rsidR="008E2D0D">
        <w:t>.  Co więcej, zgodnie z art. 32 Konwencji „Trybunał jest właściwy do rozpoznania wszystkich spraw dotyczących interpretacji i stosowania niniejszej konwencji i jej protokołów”, a „spór dotyczący właściwości Trybunału rozstrzyga sam Trybunał”. Zatem to sam Trybunał jest właściwy do rozstrzygania o swojej właściwości do dokonywania wykładni Konwencji i jej protokołów oraz jej stosowania (zob. </w:t>
      </w:r>
      <w:proofErr w:type="spellStart"/>
      <w:r w:rsidR="008E2D0D">
        <w:rPr>
          <w:i/>
          <w:iCs/>
        </w:rPr>
        <w:t>Shamayev</w:t>
      </w:r>
      <w:proofErr w:type="spellEnd"/>
      <w:r w:rsidR="008E2D0D">
        <w:rPr>
          <w:i/>
          <w:iCs/>
        </w:rPr>
        <w:t xml:space="preserve"> i Inni przeciwko Gruzji i Rosji</w:t>
      </w:r>
      <w:r w:rsidR="008E2D0D">
        <w:t>, skarga nr 36378/02, § 293, ETPC 2005-III).</w:t>
      </w:r>
    </w:p>
    <w:p w14:paraId="64C516E5" w14:textId="1225601C" w:rsidR="000410B4" w:rsidRPr="00D637A7" w:rsidRDefault="008E2D0D" w:rsidP="00D637A7">
      <w:pPr>
        <w:pStyle w:val="JuPara"/>
      </w:pPr>
      <w:r>
        <w:t>Wszystkie Układające się Strony powinny przestrzegać zasad praworządności i obowiązków wynikających z prawa międzynarodowego, w tym zobowiązań dobrowolnie zaciągniętych wraz z ratyfikowaniem Konwencji. Zasada, w myśl której państwa muszą przestrzegać swoich zobowiązań międzynarodowych, jest od dawna zakorzeniona w prawie międzynarodowym; w szczególności „państwo nie może powoływać się wobec innego państwa na własną konstytucję w celu uchylenia się od zobowiązań ciążących na nim na mocy prawa międzynarodowego lub obowiązujących traktatów” (zob. </w:t>
      </w:r>
      <w:r>
        <w:rPr>
          <w:i/>
          <w:iCs/>
        </w:rPr>
        <w:t>Grzęda</w:t>
      </w:r>
      <w:r>
        <w:t xml:space="preserve">, </w:t>
      </w:r>
      <w:r>
        <w:rPr>
          <w:i/>
          <w:iCs/>
        </w:rPr>
        <w:t>op.cit.</w:t>
      </w:r>
      <w:r>
        <w:t>, § 340, oraz Opinia doradcza Stałego Trybunału Sprawiedliwości Międzynarodowej w sprawie traktowania osób narodowości polskiej oraz innych osób polskiego pochodzenia lub mówiących językiem polskim na terytorium Gdańska (</w:t>
      </w:r>
      <w:r>
        <w:rPr>
          <w:i/>
          <w:iCs/>
        </w:rPr>
        <w:t>op.cit. </w:t>
      </w:r>
      <w:r>
        <w:t>w par. 112 powyżej). Trybunał podkreśla, że zgodnie z Konwencją wiedeńską o prawie traktatów państwo nie może powołać się na postanowienia swojego prawa wewnętrznego</w:t>
      </w:r>
      <w:r w:rsidR="00D17CD2">
        <w:t>, w tym Konstytucji,</w:t>
      </w:r>
      <w:r>
        <w:t xml:space="preserve"> dla usprawiedliwienia </w:t>
      </w:r>
      <w:r w:rsidR="00D17CD2">
        <w:t>nierespektowania</w:t>
      </w:r>
      <w:r>
        <w:t xml:space="preserve"> przez nie </w:t>
      </w:r>
      <w:r w:rsidR="00D17CD2">
        <w:t xml:space="preserve">własnych </w:t>
      </w:r>
      <w:r w:rsidR="004F1D16">
        <w:t>zobowiązań wynikających z prawa międzynarodowego</w:t>
      </w:r>
      <w:r>
        <w:t xml:space="preserve"> (zob. art. 27 Konwencji wiedeńskiej o prawie traktatów, cytowany w par. 111 powyżej; zobacz również wyrok </w:t>
      </w:r>
      <w:r>
        <w:rPr>
          <w:i/>
          <w:iCs/>
        </w:rPr>
        <w:t>Grzęda</w:t>
      </w:r>
      <w:r>
        <w:t xml:space="preserve">, § 340; oraz wyrok </w:t>
      </w:r>
      <w:r>
        <w:rPr>
          <w:i/>
          <w:iCs/>
        </w:rPr>
        <w:t>Juszczyszyn</w:t>
      </w:r>
      <w:r>
        <w:t>, § 208, obydwa cytowane powyżej).</w:t>
      </w:r>
    </w:p>
    <w:p w14:paraId="780C2C06" w14:textId="3FF82370" w:rsidR="000410B4" w:rsidRPr="00D637A7" w:rsidRDefault="00000000" w:rsidP="00D637A7">
      <w:pPr>
        <w:pStyle w:val="JuPara"/>
      </w:pPr>
      <w:fldSimple w:instr=" SEQ level0 \*arabic \* MERGEFORMAT ">
        <w:r w:rsidR="006D0886">
          <w:rPr>
            <w:noProof/>
          </w:rPr>
          <w:t>143</w:t>
        </w:r>
      </w:fldSimple>
      <w:r w:rsidR="008E2D0D">
        <w:t xml:space="preserve">.  W rezultacie, jak wyjaśniono w sprawie </w:t>
      </w:r>
      <w:r w:rsidR="008E2D0D">
        <w:rPr>
          <w:i/>
          <w:iCs/>
        </w:rPr>
        <w:t>Juszczyszyn</w:t>
      </w:r>
      <w:r w:rsidR="008E2D0D">
        <w:t xml:space="preserve">, wyrok Trybunału Konstytucyjnego z dnia 10 marca 2022 r. nie może mieć żadnego skutku dla ostatecznych wyroków Trybunału wydanych w sprawach </w:t>
      </w:r>
      <w:r w:rsidR="008E2D0D">
        <w:rPr>
          <w:i/>
          <w:iCs/>
        </w:rPr>
        <w:t>Broda i Bojara,</w:t>
      </w:r>
      <w:r w:rsidR="008E2D0D">
        <w:t xml:space="preserve"> </w:t>
      </w:r>
      <w:r w:rsidR="008E2D0D">
        <w:rPr>
          <w:i/>
          <w:iCs/>
        </w:rPr>
        <w:t>Reczkowicz</w:t>
      </w:r>
      <w:r w:rsidR="008E2D0D">
        <w:t xml:space="preserve">, </w:t>
      </w:r>
      <w:r w:rsidR="008E2D0D">
        <w:rPr>
          <w:i/>
          <w:iCs/>
        </w:rPr>
        <w:t>Dolińska-Ficek</w:t>
      </w:r>
      <w:r w:rsidR="008E2D0D">
        <w:t xml:space="preserve"> </w:t>
      </w:r>
      <w:r w:rsidR="008E2D0D">
        <w:rPr>
          <w:i/>
          <w:iCs/>
        </w:rPr>
        <w:t>i</w:t>
      </w:r>
      <w:r w:rsidR="008E2D0D">
        <w:t xml:space="preserve"> </w:t>
      </w:r>
      <w:r w:rsidR="008E2D0D">
        <w:rPr>
          <w:i/>
          <w:iCs/>
        </w:rPr>
        <w:t>Ozimek</w:t>
      </w:r>
      <w:r w:rsidR="008E2D0D">
        <w:t xml:space="preserve"> oraz </w:t>
      </w:r>
      <w:r w:rsidR="008E2D0D">
        <w:rPr>
          <w:i/>
          <w:iCs/>
        </w:rPr>
        <w:t xml:space="preserve">Advance Pharma sp. z o.o. </w:t>
      </w:r>
      <w:r w:rsidR="008E2D0D">
        <w:t>(wszystkie przytoczono powyżej), mając na uwadze zasadę wiążącej mocy wyroków wynikającą z art. 46 ust. 1 Konwencji (zob. </w:t>
      </w:r>
      <w:r w:rsidR="008E2D0D">
        <w:rPr>
          <w:i/>
          <w:iCs/>
        </w:rPr>
        <w:t>Juszczyszyn</w:t>
      </w:r>
      <w:r w:rsidR="008E2D0D">
        <w:t xml:space="preserve">, </w:t>
      </w:r>
      <w:r w:rsidR="008E2D0D">
        <w:rPr>
          <w:i/>
          <w:iCs/>
        </w:rPr>
        <w:t>op.cit.</w:t>
      </w:r>
      <w:r w:rsidR="008E2D0D">
        <w:t>, § 209).</w:t>
      </w:r>
    </w:p>
    <w:p w14:paraId="0601E469" w14:textId="397DAAE0" w:rsidR="000410B4" w:rsidRPr="00D637A7" w:rsidRDefault="008E2D0D" w:rsidP="00D637A7">
      <w:pPr>
        <w:pStyle w:val="JuPara"/>
      </w:pPr>
      <w:r>
        <w:t>Nie może on też ograniczać wykładni art. 6 ust. 1 Konwencji w wymienionych i przyszłych</w:t>
      </w:r>
      <w:r w:rsidR="00D17CD2">
        <w:t xml:space="preserve"> podobnych</w:t>
      </w:r>
      <w:r>
        <w:t xml:space="preserve"> sprawach ani skutkować brakiem możliwości stosowania tego postanowienia w niniejszej sprawie.</w:t>
      </w:r>
    </w:p>
    <w:bookmarkStart w:id="94" w:name="admissibility_court_assessment2"/>
    <w:p w14:paraId="11A437EF" w14:textId="77777777" w:rsidR="000410B4" w:rsidRPr="00D637A7" w:rsidRDefault="008E2D0D" w:rsidP="00D637A7">
      <w:pPr>
        <w:pStyle w:val="JuPara"/>
      </w:pPr>
      <w:r w:rsidRPr="00D637A7">
        <w:lastRenderedPageBreak/>
        <w:fldChar w:fldCharType="begin"/>
      </w:r>
      <w:r w:rsidRPr="00D637A7">
        <w:instrText xml:space="preserve"> SEQ level0 \*arabic \* MERGEFORMAT </w:instrText>
      </w:r>
      <w:r w:rsidRPr="00D637A7">
        <w:fldChar w:fldCharType="separate"/>
      </w:r>
      <w:r w:rsidR="006D0886">
        <w:rPr>
          <w:noProof/>
        </w:rPr>
        <w:t>144</w:t>
      </w:r>
      <w:r w:rsidRPr="00D637A7">
        <w:fldChar w:fldCharType="end"/>
      </w:r>
      <w:bookmarkEnd w:id="94"/>
      <w:r>
        <w:t>.  W tym względzie Trybunał pragnie zauważyć, że zaakceptowanie przez państwo obowiązków wynikających z Konwencji nie może być wybiórcze, a Układająca się Strona, w tym jej sądy najwyższej instancji, nie mogą wedle swojej woli wyłączać działania i stosowania postanowień Konwencji poprzez, jak zdaje się sugerować Rząd w niniejszej sprawie, „wyeliminowanie” ich z systemu prawnego wraz z ostatecznymi i wiążącymi wyrokami Trybunału, (zob. par. </w:t>
      </w:r>
      <w:r w:rsidRPr="00D637A7">
        <w:fldChar w:fldCharType="begin"/>
      </w:r>
      <w:r w:rsidRPr="00D637A7">
        <w:instrText xml:space="preserve"> REF admissibility_1 \h </w:instrText>
      </w:r>
      <w:r w:rsidRPr="00D637A7">
        <w:fldChar w:fldCharType="separate"/>
      </w:r>
      <w:r w:rsidR="006D0886">
        <w:rPr>
          <w:noProof/>
        </w:rPr>
        <w:t>134</w:t>
      </w:r>
      <w:r w:rsidRPr="00D637A7">
        <w:fldChar w:fldCharType="end"/>
      </w:r>
      <w:r>
        <w:t>-</w:t>
      </w:r>
      <w:r w:rsidRPr="00D637A7">
        <w:fldChar w:fldCharType="begin"/>
      </w:r>
      <w:r w:rsidRPr="00D637A7">
        <w:instrText xml:space="preserve"> REF admissibility_3 \h </w:instrText>
      </w:r>
      <w:r w:rsidRPr="00D637A7">
        <w:fldChar w:fldCharType="separate"/>
      </w:r>
      <w:r w:rsidR="006D0886">
        <w:rPr>
          <w:noProof/>
        </w:rPr>
        <w:t>136</w:t>
      </w:r>
      <w:r w:rsidRPr="00D637A7">
        <w:fldChar w:fldCharType="end"/>
      </w:r>
      <w:r>
        <w:t xml:space="preserve"> powyżej). Ratyfikując Konwencję, państwa biorą na siebie, jak stwierdzono w preambule do Konwencji „podstawowy obowiązek”, jakim jest „zapewnienie poszanowania praw i wolności wynikających z […] Konwencji i jej Protokołów”. Chociaż w preambule uznano margines swobodnej oceny w wywiązaniu się z tego obowiązku, margines ten podlega właściwości nadzorczej Trybunału. W rezultacie państwa muszą działać z poszanowaniem przyznanego Trybunałowi w art. 32 Konwencji uprawnienia do orzekania we wszystkich sprawach dotyczących interpretacji i stosowania Konwencji.</w:t>
      </w:r>
    </w:p>
    <w:p w14:paraId="6402909B" w14:textId="77777777" w:rsidR="000410B4" w:rsidRPr="00D637A7" w:rsidRDefault="008E2D0D" w:rsidP="00D637A7">
      <w:pPr>
        <w:pStyle w:val="JuPara"/>
        <w:rPr>
          <w:rFonts w:eastAsia="Times New Roman" w:cs="Times New Roman"/>
        </w:rPr>
      </w:pPr>
      <w:r>
        <w:t xml:space="preserve">W ramach tego uprawnienia, zgodnie z własnym orzecznictwem, Trybunał może dokonywać kontroli orzeczeń sądów krajowych w celu ustalenia, czy sądy te zachowały wymaganą równowagę między różnymi konkurującymi interesami i czy prawidłowo zastosowały standardy wynikające z Konwencji (zob. </w:t>
      </w:r>
      <w:r>
        <w:rPr>
          <w:i/>
          <w:iCs/>
        </w:rPr>
        <w:t>Reczkowicz</w:t>
      </w:r>
      <w:r>
        <w:t xml:space="preserve">, </w:t>
      </w:r>
      <w:r>
        <w:rPr>
          <w:i/>
          <w:iCs/>
        </w:rPr>
        <w:t>op.cit.</w:t>
      </w:r>
      <w:r>
        <w:t>, § 259).</w:t>
      </w:r>
    </w:p>
    <w:p w14:paraId="517280C5" w14:textId="5C4CAE93" w:rsidR="000410B4" w:rsidRPr="00D637A7" w:rsidRDefault="008E2D0D" w:rsidP="00D637A7">
      <w:pPr>
        <w:pStyle w:val="JuPara"/>
        <w:rPr>
          <w:rFonts w:eastAsia="Times New Roman" w:cs="Times New Roman"/>
        </w:rPr>
      </w:pPr>
      <w:r>
        <w:t>Z tej perspektywy wyroku Trybunału Konstytucyjnego nie można uznać za nic innego, jak tylko za próbę ograniczenia właściwości Trybunału</w:t>
      </w:r>
      <w:r w:rsidR="000F520B">
        <w:t>,</w:t>
      </w:r>
      <w:r>
        <w:t xml:space="preserve"> wynikającej z art. 19 i art. 32 Konwencji</w:t>
      </w:r>
      <w:r w:rsidR="000F520B">
        <w:t>, podważającą standardy praworządności</w:t>
      </w:r>
      <w:r>
        <w:t>. Podobne wnioski sformułowano w Sprawozdaniu Sekretarza Generalnego Rady Europy sporządzonym w ramach procedury przewidzianej w art. 52 Konwencji, w którym uznano, że stwierdzenie w spornym wyroku niekonstytucyjności art. 6 Konwencji stanowi kwestionowanie właściwości Trybunału ustanowionej w art. 32 Konwencji (zob. par. </w:t>
      </w:r>
      <w:r w:rsidRPr="00D637A7">
        <w:rPr>
          <w:rFonts w:eastAsia="Times New Roman" w:cs="Times New Roman"/>
        </w:rPr>
        <w:fldChar w:fldCharType="begin"/>
      </w:r>
      <w:r w:rsidRPr="00D637A7">
        <w:rPr>
          <w:rFonts w:eastAsia="Times New Roman" w:cs="Times New Roman"/>
        </w:rPr>
        <w:instrText xml:space="preserve"> REF SG_COE_report_1 \h </w:instrText>
      </w:r>
      <w:r w:rsidRPr="00D637A7">
        <w:rPr>
          <w:rFonts w:eastAsia="Times New Roman" w:cs="Times New Roman"/>
        </w:rPr>
      </w:r>
      <w:r w:rsidRPr="00D637A7">
        <w:rPr>
          <w:rFonts w:eastAsia="Times New Roman" w:cs="Times New Roman"/>
        </w:rPr>
        <w:fldChar w:fldCharType="separate"/>
      </w:r>
      <w:r w:rsidR="006D0886">
        <w:rPr>
          <w:noProof/>
        </w:rPr>
        <w:t>116</w:t>
      </w:r>
      <w:r w:rsidRPr="00D637A7">
        <w:rPr>
          <w:rFonts w:eastAsia="Times New Roman" w:cs="Times New Roman"/>
        </w:rPr>
        <w:fldChar w:fldCharType="end"/>
      </w:r>
      <w:r>
        <w:noBreakHyphen/>
      </w:r>
      <w:r w:rsidRPr="00D637A7">
        <w:rPr>
          <w:rFonts w:eastAsia="Times New Roman" w:cs="Times New Roman"/>
        </w:rPr>
        <w:fldChar w:fldCharType="begin"/>
      </w:r>
      <w:r w:rsidRPr="00D637A7">
        <w:rPr>
          <w:rFonts w:eastAsia="Times New Roman" w:cs="Times New Roman"/>
        </w:rPr>
        <w:instrText xml:space="preserve"> REF SG_COE_report_2 \h </w:instrText>
      </w:r>
      <w:r w:rsidRPr="00D637A7">
        <w:rPr>
          <w:rFonts w:eastAsia="Times New Roman" w:cs="Times New Roman"/>
        </w:rPr>
      </w:r>
      <w:r w:rsidRPr="00D637A7">
        <w:rPr>
          <w:rFonts w:eastAsia="Times New Roman" w:cs="Times New Roman"/>
        </w:rPr>
        <w:fldChar w:fldCharType="separate"/>
      </w:r>
      <w:r w:rsidR="006D0886">
        <w:rPr>
          <w:noProof/>
        </w:rPr>
        <w:t>117</w:t>
      </w:r>
      <w:r w:rsidRPr="00D637A7">
        <w:rPr>
          <w:rFonts w:eastAsia="Times New Roman" w:cs="Times New Roman"/>
        </w:rPr>
        <w:fldChar w:fldCharType="end"/>
      </w:r>
      <w:r>
        <w:t xml:space="preserve"> powyżej).</w:t>
      </w:r>
    </w:p>
    <w:p w14:paraId="30C2E613" w14:textId="77777777" w:rsidR="000410B4" w:rsidRPr="00D637A7" w:rsidRDefault="008E2D0D" w:rsidP="00D637A7">
      <w:pPr>
        <w:pStyle w:val="JuPara"/>
      </w:pPr>
      <w:r w:rsidRPr="00D637A7">
        <w:rPr>
          <w:rFonts w:eastAsia="Times New Roman" w:cs="Times New Roman"/>
        </w:rPr>
        <w:fldChar w:fldCharType="begin"/>
      </w:r>
      <w:r w:rsidRPr="00D637A7">
        <w:rPr>
          <w:rFonts w:eastAsia="Times New Roman" w:cs="Times New Roman"/>
        </w:rPr>
        <w:instrText xml:space="preserve"> SEQ level0 \*arabic \* MERGEFORMAT </w:instrText>
      </w:r>
      <w:r w:rsidRPr="00D637A7">
        <w:rPr>
          <w:rFonts w:eastAsia="Times New Roman" w:cs="Times New Roman"/>
        </w:rPr>
        <w:fldChar w:fldCharType="separate"/>
      </w:r>
      <w:r w:rsidR="006D0886">
        <w:rPr>
          <w:rFonts w:eastAsia="Times New Roman" w:cs="Times New Roman"/>
          <w:noProof/>
        </w:rPr>
        <w:t>145</w:t>
      </w:r>
      <w:r w:rsidRPr="00D637A7">
        <w:rPr>
          <w:rFonts w:eastAsia="Times New Roman" w:cs="Times New Roman"/>
        </w:rPr>
        <w:fldChar w:fldCharType="end"/>
      </w:r>
      <w:r>
        <w:t>.  W świetle powyższego należy oddalić zastrzeżenie Rządu w przedmiocie możliwości zastosowania art. 6 Konwencji.</w:t>
      </w:r>
    </w:p>
    <w:p w14:paraId="40013EF2" w14:textId="77777777" w:rsidR="000410B4" w:rsidRPr="00D637A7" w:rsidRDefault="008E2D0D" w:rsidP="00D637A7">
      <w:pPr>
        <w:pStyle w:val="JuH1"/>
      </w:pPr>
      <w:r>
        <w:t>Wyczerpanie krajowych środków odwoławczych</w:t>
      </w:r>
    </w:p>
    <w:p w14:paraId="0AD88DCD" w14:textId="77777777" w:rsidR="000410B4" w:rsidRPr="00D637A7" w:rsidRDefault="008E2D0D" w:rsidP="00D637A7">
      <w:pPr>
        <w:pStyle w:val="JuHa0"/>
      </w:pPr>
      <w:r>
        <w:t>Stanowiska stron</w:t>
      </w:r>
    </w:p>
    <w:p w14:paraId="30C4BAAE" w14:textId="77777777" w:rsidR="000410B4" w:rsidRPr="00D637A7" w:rsidRDefault="00000000" w:rsidP="00D637A7">
      <w:pPr>
        <w:pStyle w:val="JuPara"/>
      </w:pPr>
      <w:fldSimple w:instr=" SEQ level0 \*arabic \* MERGEFORMAT ">
        <w:r w:rsidR="006D0886">
          <w:rPr>
            <w:noProof/>
          </w:rPr>
          <w:t>146</w:t>
        </w:r>
      </w:fldSimple>
      <w:r w:rsidR="008E2D0D">
        <w:t>.  Co się tyczy uchylenia prawomocnego wyroku Sądu Apelacyjnego w Gdańsku, Rząd twierdził, że skarżący nie wyczerpał krajowych środków odwoławczych, ponieważ nie złożył skargi konstytucyjnej, o której mowa w art. 79 Konstytucji. Zdaniem Rządu rozpatrywanie skargi przez Trybunał należy uznać za sprzeczne z zasadą subsydiarności.</w:t>
      </w:r>
    </w:p>
    <w:p w14:paraId="063A6A73" w14:textId="64D06567" w:rsidR="000410B4" w:rsidRPr="00D637A7" w:rsidRDefault="00000000" w:rsidP="00D637A7">
      <w:pPr>
        <w:pStyle w:val="JuPara"/>
      </w:pPr>
      <w:fldSimple w:instr=" SEQ level0 \*arabic \* MERGEFORMAT ">
        <w:r w:rsidR="006D0886">
          <w:rPr>
            <w:noProof/>
          </w:rPr>
          <w:t>147</w:t>
        </w:r>
      </w:fldSimple>
      <w:r w:rsidR="008E2D0D">
        <w:t xml:space="preserve">.  Zdaniem Rządu dwa warunki istotne dla skuteczności skargi konstytucyjnej, określone w sprawie </w:t>
      </w:r>
      <w:r w:rsidR="008E2D0D">
        <w:rPr>
          <w:i/>
          <w:iCs/>
        </w:rPr>
        <w:t>Szott-Medyńska przeciwko Polsce</w:t>
      </w:r>
      <w:r w:rsidR="008E2D0D">
        <w:t xml:space="preserve"> (skarga nr 47414/99, 9 października 2003 r.), są w przypadku skarżącego spełnione; chodzi mianowicie o to, że (1) orzeczenie indywidualne, którego </w:t>
      </w:r>
      <w:r w:rsidR="008E2D0D">
        <w:lastRenderedPageBreak/>
        <w:t xml:space="preserve">dotyczy zarzut naruszenia Konwencji, wydano w bezpośrednim zastosowaniu niekonstytucyjnego przepisu prawa krajowego; oraz (2) przepisy proceduralne mające zastosowanie do rewizji tego typu orzeczeń indywidualnych przewidywały możliwość wznowienia postępowania lub uchylenia prawomocnego orzeczenia wskutek wydania wyroku Trybunału Konstytucyjnego, w którym stwierdzono niezgodność z </w:t>
      </w:r>
      <w:r w:rsidR="009A6111">
        <w:t>K</w:t>
      </w:r>
      <w:r w:rsidR="008E2D0D">
        <w:t>onstytucją.</w:t>
      </w:r>
    </w:p>
    <w:p w14:paraId="0A126AF6" w14:textId="77777777" w:rsidR="000410B4" w:rsidRPr="00D637A7" w:rsidRDefault="008E2D0D" w:rsidP="00D637A7">
      <w:pPr>
        <w:pStyle w:val="JuPara"/>
      </w:pPr>
      <w:r>
        <w:t>Skarżący powinien był zatem złożyć skargę konstytucyjną. Gdyby skargę tę uwzględniono, mógłby wnioskować o wznowienie postępowania. Rząd powołał się w tym względzie na art. 45 ust. 1 Konstytucji, podkreślając, że gwarantuje on każdemu prawo do sprawiedliwego i jawnego rozpatrzenia sprawy bez nieuzasadnionej zwłoki przez właściwy, niezależny, bezstronny i niezawisły sąd.</w:t>
      </w:r>
    </w:p>
    <w:p w14:paraId="7F9E2725" w14:textId="77777777" w:rsidR="000410B4" w:rsidRPr="00D637A7" w:rsidRDefault="00000000" w:rsidP="00D637A7">
      <w:pPr>
        <w:pStyle w:val="JuPara"/>
      </w:pPr>
      <w:fldSimple w:instr=" SEQ level0 \*arabic ">
        <w:r w:rsidR="006D0886">
          <w:rPr>
            <w:noProof/>
          </w:rPr>
          <w:t>148</w:t>
        </w:r>
      </w:fldSimple>
      <w:r w:rsidR="008E2D0D">
        <w:t>.  Skarżący nie odniósł się do tego zastrzeżenia.</w:t>
      </w:r>
    </w:p>
    <w:p w14:paraId="7150B717" w14:textId="77777777" w:rsidR="000410B4" w:rsidRPr="00D637A7" w:rsidRDefault="008E2D0D" w:rsidP="00D637A7">
      <w:pPr>
        <w:pStyle w:val="JuHa0"/>
      </w:pPr>
      <w:r>
        <w:t>Ocena Trybunału</w:t>
      </w:r>
    </w:p>
    <w:bookmarkStart w:id="95" w:name="Court_assessment"/>
    <w:p w14:paraId="408CE8EA"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149</w:t>
      </w:r>
      <w:r w:rsidRPr="00D637A7">
        <w:fldChar w:fldCharType="end"/>
      </w:r>
      <w:bookmarkEnd w:id="95"/>
      <w:r>
        <w:t xml:space="preserve">.  Trybunał pragnie na wstępie zauważyć, że w przeciwieństwie do wcześniejszych spraw, w których Rząd przedstawiał podobne zastrzeżenia wstępne w kontekście prawa do niezawisłego i bezstronnego sądu ustanowionego ustawą, o którym mowa w art. 6 ust. 1 (zob. przykładowo </w:t>
      </w:r>
      <w:r>
        <w:rPr>
          <w:i/>
          <w:iCs/>
        </w:rPr>
        <w:t xml:space="preserve">Advance Pharma sp. z o.o. </w:t>
      </w:r>
      <w:r>
        <w:t xml:space="preserve">§ 237 i </w:t>
      </w:r>
      <w:r>
        <w:rPr>
          <w:i/>
          <w:iCs/>
        </w:rPr>
        <w:t>Juszczyszyn</w:t>
      </w:r>
      <w:r>
        <w:t xml:space="preserve"> § 148; obydwa przytoczono powyżej), w niniejszej sprawie Rząd nie wskazał na konkretne przepisy prawne zastosowane bezpośrednio w sprawie skarżącego, które ten mógłby zaskarżyć jako niekonstytucyjne, powołując się na ich niezgodność z art. 45 ust. 1 Konstytucji.</w:t>
      </w:r>
    </w:p>
    <w:p w14:paraId="78D020B6" w14:textId="77777777" w:rsidR="000410B4" w:rsidRPr="00D637A7" w:rsidRDefault="00000000" w:rsidP="00D637A7">
      <w:pPr>
        <w:pStyle w:val="JuPara"/>
      </w:pPr>
      <w:fldSimple w:instr=" SEQ level0 \*arabic \* MERGEFORMAT ">
        <w:r w:rsidR="006D0886">
          <w:rPr>
            <w:noProof/>
          </w:rPr>
          <w:t>150</w:t>
        </w:r>
      </w:fldSimple>
      <w:r w:rsidR="008E2D0D">
        <w:t>.  Trybunał pragnie również przypomnieć, że jeśli chodzi o ciężar dowodu, na Rządzie podnoszącym zarzut niewyczerpania środków odwoławczych spoczywa obowiązek przekonania Trybunału, iż środek odwoławczy był skuteczny oraz dostępny w teorii i w praktyce w czasie istotnym dla sprawy. Gdy powyższe zostanie dowiedzione, do skarżącego należy wykazanie, że powołany przez Rząd środek odwoławczy został w rzeczywistości wyczerpany bądź z jakiegoś powodu był on nieadekwatny lub nieskuteczny w konkretnych okolicznościach sprawy, bądź też zachodziły szczególne okoliczności zwalniające go z tego wymogu (zob. </w:t>
      </w:r>
      <w:r w:rsidR="008E2D0D">
        <w:rPr>
          <w:i/>
          <w:iCs/>
        </w:rPr>
        <w:t xml:space="preserve">Vučković i Inni, op.cit., </w:t>
      </w:r>
      <w:r w:rsidR="008E2D0D">
        <w:t>§ 77,</w:t>
      </w:r>
      <w:r w:rsidR="008E2D0D">
        <w:rPr>
          <w:i/>
          <w:iCs/>
        </w:rPr>
        <w:t xml:space="preserve"> </w:t>
      </w:r>
      <w:r w:rsidR="008E2D0D">
        <w:t xml:space="preserve">z dalszymi odniesieniami do orzecznictwa Trybunału, a także </w:t>
      </w:r>
      <w:r w:rsidR="008E2D0D">
        <w:rPr>
          <w:i/>
          <w:iCs/>
        </w:rPr>
        <w:t>Juszczyszyn</w:t>
      </w:r>
      <w:r w:rsidR="008E2D0D">
        <w:t xml:space="preserve">, </w:t>
      </w:r>
      <w:r w:rsidR="008E2D0D">
        <w:rPr>
          <w:i/>
          <w:iCs/>
        </w:rPr>
        <w:t>op.cit.</w:t>
      </w:r>
      <w:r w:rsidR="008E2D0D">
        <w:t>, § 241).</w:t>
      </w:r>
    </w:p>
    <w:p w14:paraId="6383DFCD" w14:textId="77777777" w:rsidR="000410B4" w:rsidRPr="00D637A7" w:rsidRDefault="008E2D0D" w:rsidP="00D637A7">
      <w:pPr>
        <w:pStyle w:val="JuPara"/>
      </w:pPr>
      <w:r>
        <w:t>Z uwagi na ogólny charakter zastrzeżenia sformułowanego przez Rząd nie wydaje się, aby w niniejszej sprawie Rząd sprostał ciężarowi dowodu.</w:t>
      </w:r>
    </w:p>
    <w:p w14:paraId="552D94B6" w14:textId="22DE1429" w:rsidR="000410B4" w:rsidRPr="00D637A7" w:rsidRDefault="00000000" w:rsidP="00D637A7">
      <w:pPr>
        <w:pStyle w:val="JuPara"/>
      </w:pPr>
      <w:fldSimple w:instr=" SEQ level0 \*arabic \* MERGEFORMAT ">
        <w:r w:rsidR="006D0886">
          <w:rPr>
            <w:noProof/>
          </w:rPr>
          <w:t>151</w:t>
        </w:r>
      </w:fldSimple>
      <w:r w:rsidR="008E2D0D">
        <w:t>.  Niemniej jednak w celu zapewnienia spójności podejścia do zastrzeżeń wstępnych w przedmiocie niewyczerpania środków w związku ze skargą konstytucyjną podnoszonych podobnie w sprawach polskich związanych z niezależnością sądownictwa, a w szczególności z prawem do niezawisłego i bezstronnego sądu ustanowionego ustawą, o którym mowa w art. 6 ust. 1 Konwencji</w:t>
      </w:r>
      <w:r w:rsidR="00224E68">
        <w:t>,</w:t>
      </w:r>
      <w:r w:rsidR="008E2D0D">
        <w:t xml:space="preserve"> w kontekście powoływania sędziów do Sądu </w:t>
      </w:r>
      <w:r w:rsidR="008E2D0D">
        <w:lastRenderedPageBreak/>
        <w:t>Najwyższego przy udziale KRS, Trybunał pragnie powtórzyć swoje stanowisko wyrażone we wcześniejszych sprawach.</w:t>
      </w:r>
    </w:p>
    <w:p w14:paraId="50AEF0C5" w14:textId="215310D1" w:rsidR="000410B4" w:rsidRPr="00D637A7" w:rsidRDefault="00000000" w:rsidP="00D637A7">
      <w:pPr>
        <w:pStyle w:val="JuPara"/>
      </w:pPr>
      <w:fldSimple w:instr=" SEQ level0 \*arabic \* MERGEFORMAT ">
        <w:r w:rsidR="006D0886">
          <w:rPr>
            <w:noProof/>
          </w:rPr>
          <w:t>152</w:t>
        </w:r>
      </w:fldSimple>
      <w:r w:rsidR="008E2D0D">
        <w:t xml:space="preserve">.  W wyrokach </w:t>
      </w:r>
      <w:r w:rsidR="008E2D0D">
        <w:rPr>
          <w:i/>
          <w:iCs/>
        </w:rPr>
        <w:t>Advance Pharma sp. z o.o.</w:t>
      </w:r>
      <w:r w:rsidR="008E2D0D">
        <w:t xml:space="preserve"> oraz </w:t>
      </w:r>
      <w:r w:rsidR="008E2D0D">
        <w:rPr>
          <w:i/>
          <w:iCs/>
        </w:rPr>
        <w:t xml:space="preserve">Juszczyszyn </w:t>
      </w:r>
      <w:r w:rsidR="008E2D0D">
        <w:t>(oba przytoczono powyżej),</w:t>
      </w:r>
      <w:r w:rsidR="008E2D0D">
        <w:rPr>
          <w:i/>
          <w:iCs/>
        </w:rPr>
        <w:t xml:space="preserve"> </w:t>
      </w:r>
      <w:r w:rsidR="008E2D0D">
        <w:t xml:space="preserve">mając na uwadze względy, które doprowadziły do odrzucenia przedstawionego w wyroku z dnia 20 kwietnia 2020 r. (sygn. </w:t>
      </w:r>
      <w:r w:rsidR="00AC57ED">
        <w:t xml:space="preserve">akt </w:t>
      </w:r>
      <w:r w:rsidR="008E2D0D">
        <w:t>U 2/20), zob. par. </w:t>
      </w:r>
      <w:r w:rsidR="008E2D0D" w:rsidRPr="00D637A7">
        <w:fldChar w:fldCharType="begin"/>
      </w:r>
      <w:r w:rsidR="008E2D0D" w:rsidRPr="00D637A7">
        <w:instrText xml:space="preserve"> REF Judgment_20April2020_1 \h </w:instrText>
      </w:r>
      <w:r w:rsidR="008E2D0D" w:rsidRPr="00D637A7">
        <w:fldChar w:fldCharType="separate"/>
      </w:r>
      <w:r w:rsidR="006D0886">
        <w:rPr>
          <w:noProof/>
        </w:rPr>
        <w:t>89</w:t>
      </w:r>
      <w:r w:rsidR="008E2D0D" w:rsidRPr="00D637A7">
        <w:fldChar w:fldCharType="end"/>
      </w:r>
      <w:r w:rsidR="008E2D0D">
        <w:t>-</w:t>
      </w:r>
      <w:r w:rsidR="008E2D0D" w:rsidRPr="00D637A7">
        <w:fldChar w:fldCharType="begin"/>
      </w:r>
      <w:r w:rsidR="008E2D0D" w:rsidRPr="00D637A7">
        <w:instrText xml:space="preserve"> REF Judgment_20April2020_2 \h </w:instrText>
      </w:r>
      <w:r w:rsidR="008E2D0D" w:rsidRPr="00D637A7">
        <w:fldChar w:fldCharType="separate"/>
      </w:r>
      <w:r w:rsidR="006D0886">
        <w:rPr>
          <w:noProof/>
        </w:rPr>
        <w:t>91</w:t>
      </w:r>
      <w:r w:rsidR="008E2D0D" w:rsidRPr="00D637A7">
        <w:fldChar w:fldCharType="end"/>
      </w:r>
      <w:r w:rsidR="008E2D0D">
        <w:t xml:space="preserve"> powyżej) stanowiska Trybunału Konstytucyjnego w przedmiocie oczywistego naruszenia prawa wewnętrznego i jego interpretacji art. 6 Konwencji, Trybunał nie dopatrzył się wystarczająco realnych perspektyw na powodzenie skargi konstytucyjnej opartej na podstawach sugerowanych przez Rząd i oddalił wstępne zastrzeżenie przedstawione przez Rząd.</w:t>
      </w:r>
    </w:p>
    <w:p w14:paraId="6257898F" w14:textId="77777777" w:rsidR="000410B4" w:rsidRPr="00D637A7" w:rsidRDefault="008E2D0D" w:rsidP="00D637A7">
      <w:pPr>
        <w:pStyle w:val="JuPara"/>
        <w:rPr>
          <w:rFonts w:eastAsia="Times New Roman"/>
        </w:rPr>
      </w:pPr>
      <w:r>
        <w:t xml:space="preserve">Trybunał zważył ponadto, że skuteczność skargi konstytucyjnej należy postrzegać w związku z ogólnym kontekstem działania Trybunału Konstytucyjnego od końca 2015 r. oraz różnych jego działań mających na celu podważenie ustaleń uchwały Sądu Najwyższego z dnia 23 stycznia 2020 r. w przedmiocie oczywistego naruszenia prawa wewnętrznego i międzynarodowego z powodu wadliwego procesu powoływania na stanowiska sędziowskie przy udziale KRS. Działania te opisano bardziej szczegółowo w sprawie </w:t>
      </w:r>
      <w:r>
        <w:rPr>
          <w:i/>
          <w:iCs/>
        </w:rPr>
        <w:t>Reczkowicz</w:t>
      </w:r>
      <w:r>
        <w:t xml:space="preserve"> (</w:t>
      </w:r>
      <w:r>
        <w:rPr>
          <w:i/>
          <w:iCs/>
        </w:rPr>
        <w:t>op.cit.</w:t>
      </w:r>
      <w:r>
        <w:t xml:space="preserve">, § 263) i określono jako „ingerencję w działanie organu sądowego, mającą na celu pozbawienie go możliwości wykonywania funkcji orzeczniczej w zakresie stosowania i interpretacji Konwencji oraz innych traktatów międzynarodowych” i „obrazę praworządności i niezależności sądownictwa” (zobacz również </w:t>
      </w:r>
      <w:r>
        <w:rPr>
          <w:i/>
          <w:iCs/>
        </w:rPr>
        <w:t>Advance Pharma sp. z o.o.</w:t>
      </w:r>
      <w:r>
        <w:t xml:space="preserve">, § 319; i </w:t>
      </w:r>
      <w:r>
        <w:rPr>
          <w:i/>
          <w:iCs/>
        </w:rPr>
        <w:t>Juszczyszyn</w:t>
      </w:r>
      <w:r>
        <w:t>, § 150, obydwa przytoczono powyżej).</w:t>
      </w:r>
    </w:p>
    <w:p w14:paraId="5345248A" w14:textId="7CD4106C" w:rsidR="000410B4" w:rsidRPr="00D637A7" w:rsidRDefault="008E2D0D" w:rsidP="00D637A7">
      <w:pPr>
        <w:pStyle w:val="JuPara"/>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006D0886">
        <w:rPr>
          <w:rFonts w:eastAsia="Times New Roman"/>
          <w:noProof/>
        </w:rPr>
        <w:t>153</w:t>
      </w:r>
      <w:r w:rsidRPr="00D637A7">
        <w:rPr>
          <w:rFonts w:eastAsia="Times New Roman"/>
        </w:rPr>
        <w:fldChar w:fldCharType="end"/>
      </w:r>
      <w:r>
        <w:t xml:space="preserve">.  W wyroku </w:t>
      </w:r>
      <w:r>
        <w:rPr>
          <w:i/>
          <w:iCs/>
        </w:rPr>
        <w:t xml:space="preserve">Juszczyszyn </w:t>
      </w:r>
      <w:r>
        <w:t>(</w:t>
      </w:r>
      <w:r w:rsidR="00224E68">
        <w:rPr>
          <w:i/>
          <w:iCs/>
        </w:rPr>
        <w:t>op. cit.</w:t>
      </w:r>
      <w:r>
        <w:t xml:space="preserve">) Trybunał zauważył również, że wspomniany wyrok Trybunału Konstytucyjnego z dnia 20 kwietnia 2020 r. (sygn. </w:t>
      </w:r>
      <w:r w:rsidR="00AC57ED">
        <w:t xml:space="preserve">akt </w:t>
      </w:r>
      <w:r>
        <w:t>U 2/20, zob. par. </w:t>
      </w:r>
      <w:r w:rsidRPr="00D637A7">
        <w:fldChar w:fldCharType="begin"/>
      </w:r>
      <w:r w:rsidRPr="00D637A7">
        <w:instrText xml:space="preserve"> REF Judgment_20April2020_1 \h </w:instrText>
      </w:r>
      <w:r w:rsidRPr="00D637A7">
        <w:fldChar w:fldCharType="separate"/>
      </w:r>
      <w:r w:rsidR="006D0886">
        <w:rPr>
          <w:noProof/>
        </w:rPr>
        <w:t>89</w:t>
      </w:r>
      <w:r w:rsidRPr="00D637A7">
        <w:fldChar w:fldCharType="end"/>
      </w:r>
      <w:r>
        <w:t>-</w:t>
      </w:r>
      <w:r w:rsidRPr="00D637A7">
        <w:fldChar w:fldCharType="begin"/>
      </w:r>
      <w:r w:rsidRPr="00D637A7">
        <w:instrText xml:space="preserve"> REF Judgment_20April2020_2 \h </w:instrText>
      </w:r>
      <w:r w:rsidRPr="00D637A7">
        <w:fldChar w:fldCharType="separate"/>
      </w:r>
      <w:r w:rsidR="006D0886">
        <w:rPr>
          <w:noProof/>
        </w:rPr>
        <w:t>91</w:t>
      </w:r>
      <w:r w:rsidRPr="00D637A7">
        <w:fldChar w:fldCharType="end"/>
      </w:r>
      <w:r>
        <w:t xml:space="preserve"> powyżej) oraz późniejszy wyrok z dnia 2 czerwca 2020 r. (sygn.</w:t>
      </w:r>
      <w:r w:rsidR="00224E68">
        <w:t xml:space="preserve"> </w:t>
      </w:r>
      <w:r>
        <w:t xml:space="preserve">P 13/19; cytowany w wyroku </w:t>
      </w:r>
      <w:r>
        <w:rPr>
          <w:i/>
          <w:iCs/>
        </w:rPr>
        <w:t>Juszczyszyn</w:t>
      </w:r>
      <w:r>
        <w:t>, § 101) wyeliminował możliwość pomyślnego wniesienia skargi konstytucyjnej dotyczącej statusu sędziego powołanego przy udziale KRS w składzie ukształtowanym ustawą zmieniającą z 2017 r. Ponadto w wyroku Trybunału Konstytucyjnego z dnia 25 marca 2019 r. (sygn.</w:t>
      </w:r>
      <w:r w:rsidR="00224E68">
        <w:t xml:space="preserve"> </w:t>
      </w:r>
      <w:r w:rsidR="00AC57ED">
        <w:t xml:space="preserve">akt </w:t>
      </w:r>
      <w:r>
        <w:t xml:space="preserve">K 12/18, cytowanym w wyroku </w:t>
      </w:r>
      <w:r>
        <w:rPr>
          <w:i/>
          <w:iCs/>
        </w:rPr>
        <w:t>Juszczyszyn</w:t>
      </w:r>
      <w:r w:rsidR="00224E68">
        <w:t xml:space="preserve"> w § </w:t>
      </w:r>
      <w:r>
        <w:t xml:space="preserve">102) stwierdzono, że zmieniony tryb wyboru członków KRS powoływanych spośród sędziów jest zgodny z Konstytucją. Trybunał orzekł, iż ta linia orzecznictwa Trybunału Konstytucyjnego wskazuje, że organ ten jest zasadniczo zdeterminowany do zachowania nowej procedury powoływania sędziów z udziałem KRS w nowym składzie (zobacz </w:t>
      </w:r>
      <w:r>
        <w:rPr>
          <w:i/>
          <w:iCs/>
        </w:rPr>
        <w:t>Juszczyszyn</w:t>
      </w:r>
      <w:r>
        <w:t xml:space="preserve">, </w:t>
      </w:r>
      <w:r>
        <w:rPr>
          <w:rStyle w:val="JuParaCar"/>
          <w:rFonts w:ascii="Times New Roman" w:eastAsiaTheme="minorHAnsi" w:hAnsi="Times New Roman"/>
          <w:i/>
          <w:iCs/>
          <w:color w:val="000000" w:themeColor="text1"/>
        </w:rPr>
        <w:t>op.cit.</w:t>
      </w:r>
      <w:r>
        <w:t>,</w:t>
      </w:r>
      <w:r>
        <w:rPr>
          <w:i/>
          <w:iCs/>
        </w:rPr>
        <w:t xml:space="preserve"> </w:t>
      </w:r>
      <w:r>
        <w:t>§ 150).</w:t>
      </w:r>
    </w:p>
    <w:bookmarkStart w:id="96" w:name="admissibility_2"/>
    <w:p w14:paraId="1E97AA10"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154</w:t>
      </w:r>
      <w:r w:rsidRPr="00D637A7">
        <w:fldChar w:fldCharType="end"/>
      </w:r>
      <w:bookmarkEnd w:id="96"/>
      <w:r>
        <w:t>.  W świetle powyższego Trybunał odrzuca zastrzeżenie Rządu dotyczące nieskorzystania przez skarżącego ze skargi konstytucyjnej.</w:t>
      </w:r>
    </w:p>
    <w:p w14:paraId="3B63D8D1" w14:textId="77777777" w:rsidR="000410B4" w:rsidRPr="00D637A7" w:rsidRDefault="008E2D0D" w:rsidP="00D637A7">
      <w:pPr>
        <w:pStyle w:val="JuH1"/>
      </w:pPr>
      <w:r>
        <w:lastRenderedPageBreak/>
        <w:t>Wnioski w przedmiocie dopuszczalności</w:t>
      </w:r>
    </w:p>
    <w:p w14:paraId="00819BD4" w14:textId="77777777" w:rsidR="000410B4" w:rsidRPr="00D637A7" w:rsidRDefault="00000000" w:rsidP="00D637A7">
      <w:pPr>
        <w:pStyle w:val="JuPara"/>
      </w:pPr>
      <w:fldSimple w:instr=" SEQ level0 \*arabic ">
        <w:r w:rsidR="006D0886">
          <w:rPr>
            <w:noProof/>
          </w:rPr>
          <w:t>155</w:t>
        </w:r>
      </w:fldSimple>
      <w:r w:rsidR="008E2D0D">
        <w:t>.  Trybunał zauważa, że niniejsza skarga nie jest w sposób oczywisty nieuzasadniona ani niedopuszczalna z jakichkolwiek innych powodów wymienionych w art. 35 Konwencji. Należy ją zatem uznać za dopuszczalną.</w:t>
      </w:r>
    </w:p>
    <w:p w14:paraId="0743B596" w14:textId="77777777" w:rsidR="000410B4" w:rsidRPr="00D637A7" w:rsidRDefault="008E2D0D" w:rsidP="00D637A7">
      <w:pPr>
        <w:pStyle w:val="JuHA"/>
      </w:pPr>
      <w:r>
        <w:t>Przedmiot skargi</w:t>
      </w:r>
    </w:p>
    <w:p w14:paraId="4B99FD5B" w14:textId="77777777" w:rsidR="000410B4" w:rsidRPr="00D637A7" w:rsidRDefault="008E2D0D" w:rsidP="00D637A7">
      <w:pPr>
        <w:pStyle w:val="JuH1"/>
      </w:pPr>
      <w:r>
        <w:t>Stanowiska stron</w:t>
      </w:r>
    </w:p>
    <w:p w14:paraId="6D99646F" w14:textId="77777777" w:rsidR="000410B4" w:rsidRPr="00D637A7" w:rsidRDefault="008E2D0D" w:rsidP="00D637A7">
      <w:pPr>
        <w:pStyle w:val="JuHa0"/>
      </w:pPr>
      <w:r>
        <w:t>Czy Izba Kontroli Nadzwyczajnej i Spraw Publicznych spełnia standard „niezawisłego i bezstronnego sądu ustanowionego ustawą”</w:t>
      </w:r>
    </w:p>
    <w:p w14:paraId="30AEECB6" w14:textId="77777777" w:rsidR="000410B4" w:rsidRPr="00D637A7" w:rsidRDefault="00000000" w:rsidP="00D637A7">
      <w:pPr>
        <w:pStyle w:val="JuPara"/>
      </w:pPr>
      <w:fldSimple w:instr=" SEQ level0 \*arabic ">
        <w:r w:rsidR="006D0886">
          <w:rPr>
            <w:noProof/>
          </w:rPr>
          <w:t>156</w:t>
        </w:r>
      </w:fldSimple>
      <w:r w:rsidR="008E2D0D">
        <w:t xml:space="preserve">.  Skarżący podniósł, że w świetle orzecznictwa Trybunału, w szczególności wyroków </w:t>
      </w:r>
      <w:bookmarkStart w:id="97" w:name="_cl40859"/>
      <w:r w:rsidR="008E2D0D">
        <w:rPr>
          <w:i/>
          <w:iCs/>
        </w:rPr>
        <w:t>Reczkowicz</w:t>
      </w:r>
      <w:bookmarkEnd w:id="97"/>
      <w:r w:rsidR="008E2D0D">
        <w:t xml:space="preserve"> oraz </w:t>
      </w:r>
      <w:bookmarkStart w:id="98" w:name="_cl41129"/>
      <w:r w:rsidR="008E2D0D">
        <w:rPr>
          <w:i/>
          <w:iCs/>
        </w:rPr>
        <w:t>Dolińska-Ficek i Ozimek</w:t>
      </w:r>
      <w:bookmarkEnd w:id="98"/>
      <w:r w:rsidR="008E2D0D">
        <w:t xml:space="preserve"> (obydwa przytoczone powyżej) żaden z sędziów Izby Kontroli Nadzwyczajnej i Spraw Publicznych Sądu Najwyższego nie czyni zadość standardowi niezawisłości i bezstronności sędziowskiej, ponieważ wszyscy oni zostali powołani do Sądu Najwyższego w toku fundamentalnie wadliwej procedury, na którą decydujący wpływ ma władza wykonawcza i ustawodawcza.</w:t>
      </w:r>
    </w:p>
    <w:p w14:paraId="41BBDBA8" w14:textId="5CB78638" w:rsidR="000410B4" w:rsidRPr="00D637A7" w:rsidRDefault="00000000" w:rsidP="00D637A7">
      <w:pPr>
        <w:pStyle w:val="JuPara"/>
      </w:pPr>
      <w:fldSimple w:instr=" SEQ level0 \*arabic ">
        <w:r w:rsidR="006D0886">
          <w:rPr>
            <w:noProof/>
          </w:rPr>
          <w:t>157</w:t>
        </w:r>
      </w:fldSimple>
      <w:r w:rsidR="008E2D0D">
        <w:t xml:space="preserve">.  Rząd argumentował, że nie doszło do oczywistego naruszenia prawa wewnętrznego w odniesieniu do procedury powołania sędziów, którzy rozpoznawali sprawę skarżącego. Odnosząc się do sprawy </w:t>
      </w:r>
      <w:r w:rsidR="008E2D0D">
        <w:rPr>
          <w:i/>
          <w:iCs/>
        </w:rPr>
        <w:t>Guðmundur Andri Ástráðsson przeciwko Islandii</w:t>
      </w:r>
      <w:r w:rsidR="008E2D0D">
        <w:t xml:space="preserve"> ([WI], skarga nr 26374/18, wyrok z dnia 1 grudnia 2020 r.), Rząd wskazywał, że Konwencja nie ustanawia żadnego powszechnie obowiązującego modelu procedury powoływania kandydatów na urząd sędziowski ani nie zakazuje w niej współdziałania władz. Stosownie do powyższego, twierdzenie skarżącego, jakoby sędziowie orzekający w jego sprawie zostali powołani nieprawidłowo ze względu na nieokreślony wpływ polityczny wywierany na KRS, jawi się jako pozbawione merytorycznego uzasadnienia i nie może stanowić o naruszeniu art. 6 ust. 1. Polskiej władzy ustawodawczej nie można zarzucić naruszenia żadnego standardu odnoszącego się do powoływania sędziów z powodu udziału Sejmu w wyborze członków KRS powoływanych spośród sędziów. Jakkolwiek członkami KRS — niezależnego konstytucyjnego organu państwa — są przedstawiciele władzy ustawodawczej i członkowie władzy wykonawczej, w tym Minister Sprawiedliwości, działają oni jedynie w charakterze członków i nie odgrywają decydującej roli w podejmowaniu jakichkolwiek decyzji. Ponadto Rząd zauważył, że większość składu KRS stanowią sędziowie.</w:t>
      </w:r>
    </w:p>
    <w:p w14:paraId="5EE69831" w14:textId="5ED1840D" w:rsidR="000410B4" w:rsidRPr="00D637A7" w:rsidRDefault="00000000" w:rsidP="00D637A7">
      <w:pPr>
        <w:pStyle w:val="JuPara"/>
      </w:pPr>
      <w:fldSimple w:instr=" SEQ level0 \*arabic \* MERGEFORMAT ">
        <w:r w:rsidR="006D0886">
          <w:rPr>
            <w:noProof/>
          </w:rPr>
          <w:t>158</w:t>
        </w:r>
      </w:fldSimple>
      <w:r w:rsidR="008E2D0D">
        <w:t xml:space="preserve">.  Procedurę powoływania wszystkich sędziów w Polsce, w tym sędziów Izby Kontroli Nadzwyczajnej i Spraw Publicznych Sądu Najwyższego, przewiduje Konstytucja. Zgodnie z art. 179 w związku z art. 144 ust. 3 pkt 17 Konstytucji sędziowie są powoływani przez Prezydenta Rzeczypospolitej na wniosek Krajowej Rady Sądownictwa na czas nieoznaczony. Warunki, które ma spełnić kandydat na urząd sędziowski w </w:t>
      </w:r>
      <w:r w:rsidR="008E2D0D">
        <w:lastRenderedPageBreak/>
        <w:t>Sądzie Najwyższym, określono w ustawie o Sądzie Najwyższym z 2017 r. Przepisy ustawy o Sądzie Najwyższym z 2017 r. nie odbiegają od art. 21 wcześniejszej ustawy z dnia 23 listopada 2002 r. o Sądzie Najwyższym. W rezultacie powoływanie sędziów na podstawie nowej ustawy, która weszła w życie dnia 3 kwietnia 2018 r., nie skutkowało wadą prawną wpływającą na niezależność i bezstronność składu orzekającego w sprawie skarżącego.</w:t>
      </w:r>
    </w:p>
    <w:p w14:paraId="4F6979AD" w14:textId="26C3DF49" w:rsidR="000410B4" w:rsidRPr="00D637A7" w:rsidRDefault="00000000" w:rsidP="00D637A7">
      <w:pPr>
        <w:pStyle w:val="JuPara"/>
      </w:pPr>
      <w:fldSimple w:instr=" SEQ level0 \*arabic \* MERGEFORMAT ">
        <w:r w:rsidR="006D0886">
          <w:rPr>
            <w:noProof/>
          </w:rPr>
          <w:t>159</w:t>
        </w:r>
      </w:fldSimple>
      <w:r w:rsidR="008E2D0D">
        <w:t xml:space="preserve">.  Rząd zauważa ponadto, że powoływanie sędziów przez władzę wykonawczą nie jest w Europie jedynie rzeczą dopuszczalną, ale wydaje się wręcz zasadą. W wielu państwach europejskich wpływ władzy wykonawczej na powoływanie sędziów był dozwolony prawem (np. w Niemczech lub Czechach). Zasadę tę przyjęto również w orzecznictwie Trybunału. Rząd powołał się też na orzeczenie prejudycjalne TSUE z dnia 19 listopada 2019 r., wydane w sprawie </w:t>
      </w:r>
      <w:r w:rsidR="008E2D0D">
        <w:rPr>
          <w:i/>
          <w:iCs/>
        </w:rPr>
        <w:t>A.K</w:t>
      </w:r>
      <w:r w:rsidR="00DC31DF">
        <w:rPr>
          <w:i/>
          <w:iCs/>
        </w:rPr>
        <w:t>.</w:t>
      </w:r>
      <w:r w:rsidR="008E2D0D">
        <w:rPr>
          <w:i/>
          <w:iCs/>
        </w:rPr>
        <w:t xml:space="preserve"> i Inni</w:t>
      </w:r>
      <w:r w:rsidR="008E2D0D">
        <w:t xml:space="preserve"> (C‑585/18, C‑624/18 oraz C‑625/18), w którym stwierdzono, że sam fakt powołania sędziów przez organ władzy wykonawczej nie może powodować ich zależności od tego organu ani budzić wątpliwości co do ich bezstronności, jeżeli po powołaniu osoby te nie podlegają żadnej presji i nie otrzymują zaleceń podczas wykonywania swoich obowiązków.</w:t>
      </w:r>
    </w:p>
    <w:p w14:paraId="1C6DAE94" w14:textId="77777777" w:rsidR="000410B4" w:rsidRPr="00D637A7" w:rsidRDefault="00000000" w:rsidP="00D637A7">
      <w:pPr>
        <w:pStyle w:val="JuPara"/>
      </w:pPr>
      <w:fldSimple w:instr=" SEQ level0 \*arabic \* MERGEFORMAT ">
        <w:r w:rsidR="006D0886">
          <w:rPr>
            <w:noProof/>
          </w:rPr>
          <w:t>160</w:t>
        </w:r>
      </w:fldSimple>
      <w:r w:rsidR="008E2D0D">
        <w:t>.  Rząd podkreślił, że Konwencja nie zawiera żadnych norm wskazujących na obowiązek stosowania przez Układające się Strony konkretnego modelu powoływania sędziów sądu najwyższego w ich państwach. Z Konwencji nie wynika też wymóg powołania rady sądownictwa ani udziału takiego organu w procedurze powoływania sędziów. Procedura powoływania sędziów Sądu Najwyższego w Polsce nie różni się od rozwiązań przyjętych w innych krajach. W tym kontekście Rząd przedstawił przykłady procedur powoływania sędziów w szeregu państw Rady Europy. W jego ocenie analiza istniejących rozwiązań prawnych pokazuje, że udział przedstawicieli organów sądowych w procedurze powoływania sędziów był często ograniczony lub nie przewidywano go wcale. W Polsce z kolei udział przedstawicieli sądownictwa w procedurze powoływania sędziów był stosunkowo szeroki, a procedurę prowadziła KRS. Zmniejszono w ten sposób ryzyko nadmiernego wpływu władzy wykonawczej na proces powoływania sędziów.</w:t>
      </w:r>
    </w:p>
    <w:p w14:paraId="36CF173E" w14:textId="77777777" w:rsidR="000410B4" w:rsidRPr="00D637A7" w:rsidRDefault="00000000" w:rsidP="00D637A7">
      <w:pPr>
        <w:pStyle w:val="JuPara"/>
      </w:pPr>
      <w:fldSimple w:instr=" SEQ level0 \*arabic \* MERGEFORMAT ">
        <w:r w:rsidR="006D0886">
          <w:rPr>
            <w:noProof/>
          </w:rPr>
          <w:t>161</w:t>
        </w:r>
      </w:fldSimple>
      <w:r w:rsidR="008E2D0D">
        <w:t xml:space="preserve">.  Co więcej, przepisy konstytucyjne mówią o KRS niewiele; jedynie art. 186 i art. 187 Konstytucji nawiązują do KRS i jasno wynika z nich, że dalsze uregulowania kwestii dotyczących KRS pozostawiono ustawodawcy. Mając na uwadze powyższe, Rząd wskazał, że sąd, który rozpoznawał sprawę skarżącego, był „sądem ustanowionym ustawą” zgodnie z wymogiem art. 6 ust. 1 Konwencji. W szczególności nie doszło do naruszenia prawa wewnętrznego, jeżeli chodzi o ustanowienie i funkcjonowanie Izby Kontroli Nadzwyczajnej i Spraw Publicznych. Nie doszło też do wystąpienia negatywnego wpływu na możliwość sprawowania obowiązków przez sędziów w sposób wolny od nienależytej ingerencji. W tym kontekście Rząd </w:t>
      </w:r>
      <w:r w:rsidR="008E2D0D">
        <w:lastRenderedPageBreak/>
        <w:t>powołał się na zasadę subsydiarności oraz pojęcie „marginesu swobodnej oceny”.</w:t>
      </w:r>
    </w:p>
    <w:bookmarkStart w:id="99" w:name="impartial_tribunal"/>
    <w:p w14:paraId="41BB7732" w14:textId="0037618E"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162</w:t>
      </w:r>
      <w:r w:rsidRPr="00D637A7">
        <w:fldChar w:fldCharType="end"/>
      </w:r>
      <w:bookmarkEnd w:id="99"/>
      <w:r>
        <w:t>.  Rząd wskazał, że wszelkie wątpliwości, które mogą powstać w związku ze statusem nowych izb Sądu Najwyższego i sędziów powołanych do tych izb, w szczególności mając na uwadze uchwałę składu połączonych izb Sądu Najwyższego z dnia 23 stycznia 2020 r., zostały wyeliminowane wyrokiem Trybunału Konstytucyjnego z dnia 20 kwietnia 2020 r. (sygn. U 2/20). W wyroku tym Trybunał Konstytucyjny orzekł, że ww. uchwała jest niezgodna między innymi z art. 179 i art. 144 ust. 3 pkt 17 Konstytucji. W związku z tym Rząd zauważył, że procedura powoływania sędziów Izby Kontroli Nadzwyczajnej i Spraw Publicznych jest zgodna z prawem wewnętrznym. Sędziowie spełnili wymogi dotyczące posiadanych kwalifikacji, wzięli udział w konkursie przed KRS, a ich kandydatury zarekomendowano we wniosku o powołanie do Sądu Najwyższego w uchwale KRS przekazanej Prezydentowi RP, który ostatecznie powołał ich na urzędy sędziowskie w Sądzie Najwyższym.</w:t>
      </w:r>
    </w:p>
    <w:p w14:paraId="4FD8928E" w14:textId="77777777" w:rsidR="00800031" w:rsidRPr="00D637A7" w:rsidRDefault="008E2D0D" w:rsidP="00D637A7">
      <w:pPr>
        <w:pStyle w:val="JuHa0"/>
      </w:pPr>
      <w:r>
        <w:t>W przedmiocie zarzucanego braku niezawisłości i bezstronności sędziego Stępkowskiego</w:t>
      </w:r>
    </w:p>
    <w:p w14:paraId="427B1FD0" w14:textId="77777777" w:rsidR="00800031" w:rsidRPr="00D637A7" w:rsidRDefault="00D637A7" w:rsidP="00D637A7">
      <w:pPr>
        <w:pStyle w:val="JuPara"/>
      </w:pPr>
      <w:r w:rsidRPr="00D637A7">
        <w:fldChar w:fldCharType="begin"/>
      </w:r>
      <w:r w:rsidR="008E2D0D">
        <w:instrText xml:space="preserve"> SEQ level0 \*arabic \* MERGEFORMAT </w:instrText>
      </w:r>
      <w:r w:rsidRPr="00D637A7">
        <w:fldChar w:fldCharType="separate"/>
      </w:r>
      <w:r w:rsidR="006D0886">
        <w:rPr>
          <w:noProof/>
        </w:rPr>
        <w:t>163</w:t>
      </w:r>
      <w:r w:rsidRPr="00D637A7">
        <w:fldChar w:fldCharType="end"/>
      </w:r>
      <w:r w:rsidR="008E2D0D">
        <w:t>.  Skarżący podniósł, że w świetle publicznie dostępnych informacji na temat różnych działań sędziego Stępkowskiego, w szczególności faktu, iż oprócz tego, że został on bezprawnie powołany do Sądu Najwyższego, był znanym działaczem prawicowym i założycielem Fundacji Ordo Iuris w Polsce, skarżący mógł mieć uzasadnione obawy co do niezawisłości i bezstronności tego sędziego. Skarżący otwarcie wyraził te obawy, wnosząc o wyłączenie sędziego Stępkowskiego z rozpoznawania jego sprawy, ale nie przyniosło to skutku.</w:t>
      </w:r>
    </w:p>
    <w:p w14:paraId="08803A52" w14:textId="77777777" w:rsidR="00800031" w:rsidRPr="00D637A7" w:rsidRDefault="00000000" w:rsidP="00D637A7">
      <w:pPr>
        <w:pStyle w:val="JuPara"/>
      </w:pPr>
      <w:fldSimple w:instr=" SEQ level0 \*arabic ">
        <w:r w:rsidR="006D0886">
          <w:rPr>
            <w:noProof/>
          </w:rPr>
          <w:t>164</w:t>
        </w:r>
      </w:fldSimple>
      <w:r w:rsidR="008E2D0D">
        <w:t>.  Rząd stwierdził, że zarzuty skarżącego dotyczące braku niezawisłości i bezstronności sędziego Stępkowskiego miały charakter ogólny i subiektywny. Zdaniem Rządu skarżący nie wykazał, w jaki sposób wcześniejsza działalność i osobiste poglądy tego sędziego wpłynęły na jego niezawisłość i bezstronność przy rozpatrywaniu skargi nadzwyczajnej w sprawie skarżącego.</w:t>
      </w:r>
    </w:p>
    <w:p w14:paraId="3A4A0167" w14:textId="77777777" w:rsidR="000410B4" w:rsidRPr="00D637A7" w:rsidRDefault="008E2D0D" w:rsidP="00D637A7">
      <w:pPr>
        <w:pStyle w:val="JuH1"/>
      </w:pPr>
      <w:r>
        <w:t>Interweniująca strona trzecia – Rzecznik Praw Obywatelskich Rzeczypospolitej Polskiej</w:t>
      </w:r>
    </w:p>
    <w:bookmarkStart w:id="100" w:name="Commissioner_HR_1"/>
    <w:p w14:paraId="4424AD4D"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165</w:t>
      </w:r>
      <w:r w:rsidRPr="00D637A7">
        <w:fldChar w:fldCharType="end"/>
      </w:r>
      <w:bookmarkEnd w:id="100"/>
      <w:r>
        <w:t xml:space="preserve">.  Rzecznik Praw Obywatelskich Rzeczypospolitej Polskiej („RPO”) stwierdził, że w orzecznictwie TSUE istnieje tendencja do unikania automatycznego domniemania, iż sędzia, który został powołany po 6 marca 2018 r. (data rozpoczęcia działalności KRS ukształtowanej na podstawie ustawy zmieniającej z 2017 r.), nigdy nie spełni wymogów niezawisłości. Sam fakt, że sędzia został powołany na wniosek KRS, składającej się głównie </w:t>
      </w:r>
      <w:r>
        <w:lastRenderedPageBreak/>
        <w:t>z członków wybranych przez władzę ustawodawczą i wykonawczą, nie był niewystarczający do obalenia domniemania niezawisłości.</w:t>
      </w:r>
    </w:p>
    <w:bookmarkStart w:id="101" w:name="Commissioner_HR_2"/>
    <w:p w14:paraId="4E19377E"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166</w:t>
      </w:r>
      <w:r w:rsidRPr="00D637A7">
        <w:fldChar w:fldCharType="end"/>
      </w:r>
      <w:bookmarkEnd w:id="101"/>
      <w:r>
        <w:t xml:space="preserve">.  RPO zwrócił się do Trybunału o bezpośrednie ustosunkowanie się do oceny niezawisłości sędziów rekomendowanych przez KRS po 6 marca 2018 r. Jego zdaniem taka ocena mogłaby wchodzić w zakres trzeciego etapu testu przedstawionego w wyroku </w:t>
      </w:r>
      <w:bookmarkStart w:id="102" w:name="_cl40234"/>
      <w:r>
        <w:rPr>
          <w:i/>
          <w:iCs/>
        </w:rPr>
        <w:t>Ástráðsson</w:t>
      </w:r>
      <w:bookmarkEnd w:id="102"/>
      <w:r>
        <w:t>, a mianowicie odpowiedzi na pytanie, czy oczywiste i poważne naruszenie prawa krajowego zostało skutecznie zbadane i naprawione przez sądy krajowe.</w:t>
      </w:r>
    </w:p>
    <w:p w14:paraId="3872B26B" w14:textId="77777777" w:rsidR="000410B4" w:rsidRPr="00D637A7" w:rsidRDefault="008E2D0D" w:rsidP="00D637A7">
      <w:pPr>
        <w:pStyle w:val="JuH1"/>
      </w:pPr>
      <w:r>
        <w:t>Ocena Trybunału</w:t>
      </w:r>
    </w:p>
    <w:p w14:paraId="23337DF4" w14:textId="77777777" w:rsidR="000410B4" w:rsidRPr="00D637A7" w:rsidRDefault="008E2D0D" w:rsidP="00D637A7">
      <w:pPr>
        <w:pStyle w:val="JuHa0"/>
      </w:pPr>
      <w:r>
        <w:t>Czy Izba Kontroli Nadzwyczajnej i Spraw Publicznych spełnia standard „niezawisłego i bezstronnego sądu ustanowionego ustawą”</w:t>
      </w:r>
    </w:p>
    <w:p w14:paraId="0973AD45" w14:textId="77777777" w:rsidR="000410B4" w:rsidRPr="00D637A7" w:rsidRDefault="008E2D0D" w:rsidP="00D637A7">
      <w:pPr>
        <w:pStyle w:val="JuHi"/>
      </w:pPr>
      <w:r>
        <w:t>Zasady ogólne wynikające z orzecznictwa Trybunału</w:t>
      </w:r>
    </w:p>
    <w:p w14:paraId="35CAE950" w14:textId="77777777" w:rsidR="000410B4" w:rsidRPr="00D637A7" w:rsidRDefault="00000000" w:rsidP="00D637A7">
      <w:pPr>
        <w:pStyle w:val="JuPara"/>
      </w:pPr>
      <w:fldSimple w:instr=" SEQ level0 \*arabic \* MERGEFORMAT ">
        <w:r w:rsidR="006D0886">
          <w:rPr>
            <w:noProof/>
          </w:rPr>
          <w:t>167</w:t>
        </w:r>
      </w:fldSimple>
      <w:r w:rsidR="008E2D0D">
        <w:t xml:space="preserve">.  Ogólne zasady dotyczące zakresu i znaczenia, jakie należy nadać pojęciu „sądu ustanowionego ustawą”, określono w sprawie </w:t>
      </w:r>
      <w:r w:rsidR="008E2D0D">
        <w:rPr>
          <w:i/>
          <w:iCs/>
        </w:rPr>
        <w:t>Guðmundur Andri Ástráðsson</w:t>
      </w:r>
      <w:r w:rsidR="008E2D0D">
        <w:t xml:space="preserve"> (</w:t>
      </w:r>
      <w:r w:rsidR="008E2D0D">
        <w:rPr>
          <w:i/>
          <w:iCs/>
        </w:rPr>
        <w:t>op.cit.</w:t>
      </w:r>
      <w:r w:rsidR="008E2D0D">
        <w:t>, §§ 211-234). W tym samym wyroku Trybunał opracował test progowy składający się z trzech kryteriów, które należy rozpatrywać łącznie, aby ocenić, czy nieprawidłowości w danej procedurze powoływania sędziów były na tyle poważne, że pociągały za sobą naruszenie prawa do sądu ustanowionego ustawą, a także czy władze państwowe utrzymały równowagę między konkurującymi zasadami (</w:t>
      </w:r>
      <w:r w:rsidR="008E2D0D">
        <w:rPr>
          <w:i/>
          <w:iCs/>
        </w:rPr>
        <w:t>ibidem</w:t>
      </w:r>
      <w:r w:rsidR="008E2D0D">
        <w:t>, §§ 243-252).</w:t>
      </w:r>
    </w:p>
    <w:p w14:paraId="44657336" w14:textId="77777777" w:rsidR="000410B4" w:rsidRPr="00D637A7" w:rsidRDefault="008E2D0D" w:rsidP="00D637A7">
      <w:pPr>
        <w:pStyle w:val="JuPara"/>
      </w:pPr>
      <w:r>
        <w:t xml:space="preserve">Powyższe zasady Trybunał zastosował ostatnio w szeregu spraw dotyczących niezależności sądownictwa w </w:t>
      </w:r>
      <w:r w:rsidRPr="007B69A2">
        <w:t xml:space="preserve">Polsce (zob. w szczególności </w:t>
      </w:r>
      <w:r w:rsidRPr="007B69A2">
        <w:rPr>
          <w:i/>
          <w:iCs/>
        </w:rPr>
        <w:t xml:space="preserve">Xero Flor w Polsce sp. z </w:t>
      </w:r>
      <w:r w:rsidRPr="007B69A2">
        <w:t xml:space="preserve">o.o., </w:t>
      </w:r>
      <w:r w:rsidRPr="007B69A2">
        <w:rPr>
          <w:i/>
          <w:iCs/>
        </w:rPr>
        <w:t>op.cit.</w:t>
      </w:r>
      <w:r w:rsidRPr="007B69A2">
        <w:t xml:space="preserve">, §§ 243-291; </w:t>
      </w:r>
      <w:r w:rsidRPr="007B69A2">
        <w:rPr>
          <w:i/>
          <w:iCs/>
        </w:rPr>
        <w:t>Reczkowicz</w:t>
      </w:r>
      <w:r w:rsidRPr="007B69A2">
        <w:t xml:space="preserve">, §§ 216-282; </w:t>
      </w:r>
      <w:r w:rsidRPr="007B69A2">
        <w:rPr>
          <w:i/>
        </w:rPr>
        <w:t>Dolińska-Ficek i Ozimek przeciwko Polsce</w:t>
      </w:r>
      <w:r w:rsidRPr="007B69A2">
        <w:t xml:space="preserve">, </w:t>
      </w:r>
      <w:r w:rsidRPr="007B69A2">
        <w:rPr>
          <w:i/>
          <w:iCs/>
        </w:rPr>
        <w:t>op.cit</w:t>
      </w:r>
      <w:r w:rsidRPr="007B69A2">
        <w:t xml:space="preserve">., §§ 272-355; </w:t>
      </w:r>
      <w:r w:rsidRPr="007B69A2">
        <w:rPr>
          <w:i/>
          <w:iCs/>
        </w:rPr>
        <w:t>Advance Pharma sp. z o.o.</w:t>
      </w:r>
      <w:r w:rsidRPr="007B69A2">
        <w:t xml:space="preserve">, §§ 304-351; oraz </w:t>
      </w:r>
      <w:r w:rsidRPr="007B69A2">
        <w:rPr>
          <w:i/>
          <w:iCs/>
        </w:rPr>
        <w:t>Juszczyszyn</w:t>
      </w:r>
      <w:r w:rsidRPr="007B69A2">
        <w:t>, §§ 193</w:t>
      </w:r>
      <w:r w:rsidRPr="007B69A2">
        <w:noBreakHyphen/>
        <w:t>211, wszystkie przytoczono powyżej).</w:t>
      </w:r>
    </w:p>
    <w:p w14:paraId="0301AD98" w14:textId="77777777" w:rsidR="000410B4" w:rsidRPr="00D637A7" w:rsidRDefault="008E2D0D" w:rsidP="00D637A7">
      <w:pPr>
        <w:pStyle w:val="JuHi"/>
      </w:pPr>
      <w:r>
        <w:t>Zastosowanie powyższych zasad w niniejszej sprawie</w:t>
      </w:r>
    </w:p>
    <w:p w14:paraId="726D64ED" w14:textId="77777777" w:rsidR="000410B4" w:rsidRPr="00D637A7" w:rsidRDefault="008E2D0D" w:rsidP="00D637A7">
      <w:pPr>
        <w:pStyle w:val="JuPara"/>
        <w:rPr>
          <w:rFonts w:ascii="Times New Roman" w:eastAsia="Times New Roman" w:hAnsi="Times New Roman" w:cs="Times New Roman"/>
        </w:rPr>
      </w:pPr>
      <w:r w:rsidRPr="00D637A7">
        <w:rPr>
          <w:rFonts w:ascii="Times New Roman" w:eastAsia="Times New Roman" w:hAnsi="Times New Roman" w:cs="Times New Roman"/>
        </w:rPr>
        <w:fldChar w:fldCharType="begin"/>
      </w:r>
      <w:r w:rsidRPr="00D637A7">
        <w:rPr>
          <w:rFonts w:ascii="Times New Roman" w:eastAsia="Times New Roman" w:hAnsi="Times New Roman" w:cs="Times New Roman"/>
        </w:rPr>
        <w:instrText xml:space="preserve"> SEQ level0 \*arabic \* MERGEFORMAT </w:instrText>
      </w:r>
      <w:r w:rsidRPr="00D637A7">
        <w:rPr>
          <w:rFonts w:ascii="Times New Roman" w:eastAsia="Times New Roman" w:hAnsi="Times New Roman" w:cs="Times New Roman"/>
        </w:rPr>
        <w:fldChar w:fldCharType="separate"/>
      </w:r>
      <w:r w:rsidR="006D0886">
        <w:rPr>
          <w:rFonts w:ascii="Times New Roman" w:eastAsia="Times New Roman" w:hAnsi="Times New Roman" w:cs="Times New Roman"/>
          <w:noProof/>
        </w:rPr>
        <w:t>168</w:t>
      </w:r>
      <w:r w:rsidRPr="00D637A7">
        <w:rPr>
          <w:rFonts w:ascii="Times New Roman" w:eastAsia="Times New Roman" w:hAnsi="Times New Roman" w:cs="Times New Roman"/>
        </w:rPr>
        <w:fldChar w:fldCharType="end"/>
      </w:r>
      <w:r>
        <w:rPr>
          <w:rFonts w:ascii="Times New Roman" w:hAnsi="Times New Roman"/>
        </w:rPr>
        <w:t xml:space="preserve">.  W sprawie </w:t>
      </w:r>
      <w:r>
        <w:rPr>
          <w:i/>
          <w:iCs/>
        </w:rPr>
        <w:t>Dolińska-Ficek i Ozimek</w:t>
      </w:r>
      <w:r>
        <w:t>, która dotyczyła konkretnie Izby Kontroli Nadzwyczajnej i Spraw Publicznych („IKNiSP”), Trybunał dokonał między innymi następujących ustaleń.</w:t>
      </w:r>
    </w:p>
    <w:p w14:paraId="69C5C797" w14:textId="77777777" w:rsidR="000410B4" w:rsidRPr="00D637A7" w:rsidRDefault="00000000" w:rsidP="00D637A7">
      <w:pPr>
        <w:pStyle w:val="JuPara"/>
        <w:rPr>
          <w:rFonts w:eastAsia="Times New Roman"/>
        </w:rPr>
      </w:pPr>
      <w:fldSimple w:instr=" SEQ level0 \*arabic \* MERGEFORMAT ">
        <w:r w:rsidR="006D0886">
          <w:rPr>
            <w:noProof/>
          </w:rPr>
          <w:t>169</w:t>
        </w:r>
      </w:fldSimple>
      <w:r w:rsidR="008E2D0D">
        <w:t xml:space="preserve">.  W odniesieniu do pierwszego etapu testu z wyroku </w:t>
      </w:r>
      <w:r w:rsidR="008E2D0D">
        <w:rPr>
          <w:i/>
          <w:iCs/>
        </w:rPr>
        <w:t>Ástráðsson</w:t>
      </w:r>
      <w:r w:rsidR="008E2D0D">
        <w:t xml:space="preserve"> Trybunał ustalił, że w dwóch przypadkach doszło do oczywistego naruszenia prawa wewnętrznego, co miało negatywny wpływ na podstawowe zasady procedury powoływania sędziów do IKNiSP Sądu Najwyższego.</w:t>
      </w:r>
    </w:p>
    <w:p w14:paraId="6386E78F" w14:textId="77777777" w:rsidR="000410B4" w:rsidRPr="00D637A7" w:rsidRDefault="008E2D0D" w:rsidP="00D637A7">
      <w:pPr>
        <w:pStyle w:val="JuPara"/>
        <w:rPr>
          <w:rFonts w:eastAsia="Times New Roman"/>
        </w:rPr>
      </w:pPr>
      <w:r>
        <w:t>Po pierwsze, powołania dokonano na podstawie rekomendacji KRS, ukształtowanej na mocy ustawy zmieniającej z 2017 r., a więc organu, który nie dawał już</w:t>
      </w:r>
      <w:r>
        <w:rPr>
          <w:b/>
          <w:bCs/>
        </w:rPr>
        <w:t xml:space="preserve"> </w:t>
      </w:r>
      <w:r>
        <w:t>wystarczającej rękojmi niezależności od władzy ustawodawczej lub wykonawczej.</w:t>
      </w:r>
    </w:p>
    <w:p w14:paraId="496E54E1" w14:textId="77777777" w:rsidR="000410B4" w:rsidRPr="00D637A7" w:rsidRDefault="008E2D0D" w:rsidP="00D637A7">
      <w:pPr>
        <w:pStyle w:val="JuPara"/>
        <w:rPr>
          <w:rFonts w:eastAsia="Times New Roman" w:cs="Times New Roman"/>
        </w:rPr>
      </w:pPr>
      <w:r>
        <w:t xml:space="preserve">Czyniąc to ustalenie, Trybunał miał na uwadze wszystkie istotne względy, w szczególności zaś przekonujące i mocne argumenty Sądu Najwyższego </w:t>
      </w:r>
      <w:r>
        <w:lastRenderedPageBreak/>
        <w:t>przedstawione w wyroku z dnia 5 grudnia 2019 r. (sygn. akt III PO 7/18) oraz uchwałę połączonych Izb Sądu Najwyższego z dnia 23 stycznia 2020 r. (zob. par. </w:t>
      </w:r>
      <w:r w:rsidRPr="00D637A7">
        <w:rPr>
          <w:rFonts w:eastAsia="Times New Roman" w:cs="Times New Roman"/>
        </w:rPr>
        <w:fldChar w:fldCharType="begin"/>
      </w:r>
      <w:r w:rsidRPr="00D637A7">
        <w:rPr>
          <w:rFonts w:eastAsia="Times New Roman" w:cs="Times New Roman"/>
        </w:rPr>
        <w:instrText xml:space="preserve"> REF Judgment_5december2019_1 \h </w:instrText>
      </w:r>
      <w:r w:rsidRPr="00D637A7">
        <w:rPr>
          <w:rFonts w:eastAsia="Times New Roman" w:cs="Times New Roman"/>
        </w:rPr>
      </w:r>
      <w:r w:rsidRPr="00D637A7">
        <w:rPr>
          <w:rFonts w:eastAsia="Times New Roman" w:cs="Times New Roman"/>
        </w:rPr>
        <w:fldChar w:fldCharType="separate"/>
      </w:r>
      <w:r w:rsidR="006D0886">
        <w:rPr>
          <w:noProof/>
        </w:rPr>
        <w:t>79</w:t>
      </w:r>
      <w:r w:rsidRPr="00D637A7">
        <w:rPr>
          <w:rFonts w:eastAsia="Times New Roman" w:cs="Times New Roman"/>
        </w:rPr>
        <w:fldChar w:fldCharType="end"/>
      </w:r>
      <w:r>
        <w:noBreakHyphen/>
      </w:r>
      <w:r w:rsidRPr="00D637A7">
        <w:rPr>
          <w:rFonts w:eastAsia="Times New Roman" w:cs="Times New Roman"/>
        </w:rPr>
        <w:fldChar w:fldCharType="begin"/>
      </w:r>
      <w:r w:rsidRPr="00D637A7">
        <w:rPr>
          <w:rFonts w:eastAsia="Times New Roman" w:cs="Times New Roman"/>
        </w:rPr>
        <w:instrText xml:space="preserve"> REF Judgment_5december2019_2 \h </w:instrText>
      </w:r>
      <w:r w:rsidRPr="00D637A7">
        <w:rPr>
          <w:rFonts w:eastAsia="Times New Roman" w:cs="Times New Roman"/>
        </w:rPr>
      </w:r>
      <w:r w:rsidRPr="00D637A7">
        <w:rPr>
          <w:rFonts w:eastAsia="Times New Roman" w:cs="Times New Roman"/>
        </w:rPr>
        <w:fldChar w:fldCharType="separate"/>
      </w:r>
      <w:r w:rsidR="006D0886">
        <w:rPr>
          <w:noProof/>
        </w:rPr>
        <w:t>80</w:t>
      </w:r>
      <w:r w:rsidRPr="00D637A7">
        <w:rPr>
          <w:rFonts w:eastAsia="Times New Roman" w:cs="Times New Roman"/>
        </w:rPr>
        <w:fldChar w:fldCharType="end"/>
      </w:r>
      <w:r>
        <w:t xml:space="preserve"> i </w:t>
      </w:r>
      <w:r w:rsidRPr="00D637A7">
        <w:rPr>
          <w:rFonts w:eastAsia="Times New Roman" w:cs="Times New Roman"/>
        </w:rPr>
        <w:fldChar w:fldCharType="begin"/>
      </w:r>
      <w:r w:rsidRPr="00D637A7">
        <w:rPr>
          <w:rFonts w:eastAsia="Times New Roman" w:cs="Times New Roman"/>
        </w:rPr>
        <w:instrText xml:space="preserve"> REF BSA_début \h </w:instrText>
      </w:r>
      <w:r w:rsidRPr="00D637A7">
        <w:rPr>
          <w:rFonts w:eastAsia="Times New Roman" w:cs="Times New Roman"/>
        </w:rPr>
      </w:r>
      <w:r w:rsidRPr="00D637A7">
        <w:rPr>
          <w:rFonts w:eastAsia="Times New Roman" w:cs="Times New Roman"/>
        </w:rPr>
        <w:fldChar w:fldCharType="separate"/>
      </w:r>
      <w:r w:rsidR="006D0886">
        <w:rPr>
          <w:noProof/>
        </w:rPr>
        <w:t>82</w:t>
      </w:r>
      <w:r w:rsidRPr="00D637A7">
        <w:rPr>
          <w:rFonts w:eastAsia="Times New Roman" w:cs="Times New Roman"/>
        </w:rPr>
        <w:fldChar w:fldCharType="end"/>
      </w:r>
      <w:r>
        <w:t>-</w:t>
      </w:r>
      <w:r w:rsidRPr="00D637A7">
        <w:rPr>
          <w:rFonts w:eastAsia="Times New Roman" w:cs="Times New Roman"/>
        </w:rPr>
        <w:fldChar w:fldCharType="begin"/>
      </w:r>
      <w:r w:rsidRPr="00D637A7">
        <w:rPr>
          <w:rFonts w:eastAsia="Times New Roman" w:cs="Times New Roman"/>
        </w:rPr>
        <w:instrText xml:space="preserve"> REF BSA_fin \h </w:instrText>
      </w:r>
      <w:r w:rsidRPr="00D637A7">
        <w:rPr>
          <w:rFonts w:eastAsia="Times New Roman" w:cs="Times New Roman"/>
        </w:rPr>
      </w:r>
      <w:r w:rsidRPr="00D637A7">
        <w:rPr>
          <w:rFonts w:eastAsia="Times New Roman" w:cs="Times New Roman"/>
        </w:rPr>
        <w:fldChar w:fldCharType="separate"/>
      </w:r>
      <w:r w:rsidR="006D0886">
        <w:rPr>
          <w:noProof/>
        </w:rPr>
        <w:t>87</w:t>
      </w:r>
      <w:r w:rsidRPr="00D637A7">
        <w:rPr>
          <w:rFonts w:eastAsia="Times New Roman" w:cs="Times New Roman"/>
        </w:rPr>
        <w:fldChar w:fldCharType="end"/>
      </w:r>
      <w:r>
        <w:t xml:space="preserve"> powyżej), jak również konkluzje tego sądu co do niezgodności z prawem procedury powołań na stanowiska sędziowskie w IKNiSP — konkluzje wyciągnięte po dogłębnej i starannej ocenie właściwych przepisów polskich z perspektywy fundamentalnych standardów Konwencji i prawa Unii, a także z zastosowaniem wytycznych TSUE i jego orzecznictwa (zob. </w:t>
      </w:r>
      <w:r>
        <w:rPr>
          <w:i/>
          <w:iCs/>
        </w:rPr>
        <w:t>Dolińska-Ficek i Ozimek</w:t>
      </w:r>
      <w:r>
        <w:t>,</w:t>
      </w:r>
      <w:r>
        <w:rPr>
          <w:i/>
          <w:iCs/>
        </w:rPr>
        <w:t xml:space="preserve"> op.cit.</w:t>
      </w:r>
      <w:r>
        <w:t>, §§ 283-312).</w:t>
      </w:r>
    </w:p>
    <w:p w14:paraId="28BB2637" w14:textId="6E870714" w:rsidR="000410B4" w:rsidRPr="00D637A7" w:rsidRDefault="008E2D0D" w:rsidP="00D637A7">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006D0886">
        <w:rPr>
          <w:rFonts w:eastAsia="Times New Roman"/>
          <w:noProof/>
        </w:rPr>
        <w:t>170</w:t>
      </w:r>
      <w:r w:rsidRPr="00D637A7">
        <w:rPr>
          <w:rFonts w:eastAsia="Times New Roman"/>
        </w:rPr>
        <w:fldChar w:fldCharType="end"/>
      </w:r>
      <w:r>
        <w:t>.  Z szeregu powodów wskazanych w przytoczonym wyroku Trybunał nie dał wiary argumentowi Rządu, na który to argument Rząd powołuje się również w niniejszej sprawie (zob. par</w:t>
      </w:r>
      <w:r w:rsidR="00E40AE2">
        <w:t>.</w:t>
      </w:r>
      <w:r>
        <w:t> </w:t>
      </w:r>
      <w:r w:rsidRPr="00D637A7">
        <w:rPr>
          <w:rFonts w:eastAsia="Times New Roman"/>
        </w:rPr>
        <w:fldChar w:fldCharType="begin"/>
      </w:r>
      <w:r w:rsidRPr="00D637A7">
        <w:rPr>
          <w:rFonts w:eastAsia="Times New Roman"/>
        </w:rPr>
        <w:instrText xml:space="preserve"> REF impartial_tribunal \h </w:instrText>
      </w:r>
      <w:r w:rsidRPr="00D637A7">
        <w:rPr>
          <w:rFonts w:eastAsia="Times New Roman"/>
        </w:rPr>
      </w:r>
      <w:r w:rsidRPr="00D637A7">
        <w:rPr>
          <w:rFonts w:eastAsia="Times New Roman"/>
        </w:rPr>
        <w:fldChar w:fldCharType="separate"/>
      </w:r>
      <w:r w:rsidR="006D0886">
        <w:rPr>
          <w:noProof/>
        </w:rPr>
        <w:t>162</w:t>
      </w:r>
      <w:r w:rsidRPr="00D637A7">
        <w:rPr>
          <w:rFonts w:eastAsia="Times New Roman"/>
        </w:rPr>
        <w:fldChar w:fldCharType="end"/>
      </w:r>
      <w:r>
        <w:t xml:space="preserve"> powyżej), a mianowicie</w:t>
      </w:r>
      <w:r w:rsidR="0013763D">
        <w:t xml:space="preserve">, </w:t>
      </w:r>
      <w:r>
        <w:t xml:space="preserve">że wyrok Trybunału Konstytucyjnego z dnia 20 kwietnia 2020 r. (sygn. </w:t>
      </w:r>
      <w:r w:rsidR="00AC57ED">
        <w:t xml:space="preserve">akt </w:t>
      </w:r>
      <w:r>
        <w:t xml:space="preserve">U 2/20) pozbawił uchwałę Sądu Najwyższego znaczenia lub skutków na potrzeby orzeczenia Trybunału co do tego, czy doszło do „oczywistego naruszenia prawa wewnętrznego” w rozumieniu art. 6 ust. 1 (tamże, §§ 314-319). Trybunał stwierdził, że </w:t>
      </w:r>
      <w:r w:rsidR="0013763D">
        <w:t xml:space="preserve">ten </w:t>
      </w:r>
      <w:r>
        <w:t xml:space="preserve">wyrok wydaje się koncentrować głównie na ochronie konstytucyjnej prerogatywy Prezydenta do powoływania sędziów oraz </w:t>
      </w:r>
      <w:r>
        <w:rPr>
          <w:i/>
          <w:iCs/>
        </w:rPr>
        <w:t>status quo</w:t>
      </w:r>
      <w:r>
        <w:t xml:space="preserve"> obecnej KRS, pomijając kwestie kluczowe w ocenie dokonanej przez Sąd Najwyższy, takie jak immanentny brak niezależności KRS, który w ocenie Sądu Najwyższego nieodwracalnie skaził cały proces powoływania sędziów, w tym powoływania sędziów do Sądu Najwyższego. Co więcej, Trybunał</w:t>
      </w:r>
      <w:r w:rsidR="0013763D">
        <w:t xml:space="preserve"> </w:t>
      </w:r>
      <w:r>
        <w:t>nie przyjął dokonanej przez Trybunał Konstytucyjny interpretacji standardów niezawisłości i bezstronności sądu w rozumieniu art. 6 ust. 1 Konwencji, z której wynikało, że wspomniane standardy Konwencji wykluczały uprawnienia „innych sędziów” do ogólnego kwestionowania „prawa sędziego do orzekania” lub weryfikowania „prawidłowości procedury poprzedzającej powołanie sędziego przez Prezydenta”, co doprowadziło Trybunał Konstytucyjny do wniosku, że uchwała interpretacyjna Sądu Najwyższego jest niezgodna z przedmiotowym postanowieniem Konwencji. Trybunał nie dostrzega w swoim orzecznictwie żadnej racjonalnej podstawy dla takiego wniosku (</w:t>
      </w:r>
      <w:r>
        <w:rPr>
          <w:i/>
          <w:iCs/>
        </w:rPr>
        <w:t>ibidem</w:t>
      </w:r>
      <w:r>
        <w:t>, § 316).</w:t>
      </w:r>
    </w:p>
    <w:p w14:paraId="2EB5C3BA" w14:textId="0765ADF2" w:rsidR="000410B4" w:rsidRPr="00D637A7" w:rsidRDefault="008E2D0D" w:rsidP="00D637A7">
      <w:pPr>
        <w:pStyle w:val="JuPara"/>
        <w:rPr>
          <w:rFonts w:eastAsia="Times New Roman"/>
        </w:rPr>
      </w:pPr>
      <w:r>
        <w:t>Podsumowując, Trybuna</w:t>
      </w:r>
      <w:r w:rsidR="0013763D">
        <w:t>ł</w:t>
      </w:r>
      <w:r>
        <w:t xml:space="preserve"> stwierdził, że ocena dokonana przez Trybunał Konstytucyjny musi być uznana za arbitralną i jako taka nie mogła mieć żadnego znaczenia dla wniosku Trybunału, czy doszło do oczywistego naruszenia prawa wewnętrznego, które to naruszenie jest obiektywnie i rzeczywiście możliwe do stwierdzenia, związanego z procedurą powoływania sędziów do Izby Kontroli Nadzwyczajnej i Spraw Publicznych (</w:t>
      </w:r>
      <w:r>
        <w:rPr>
          <w:i/>
          <w:iCs/>
        </w:rPr>
        <w:t>ibidem</w:t>
      </w:r>
      <w:r>
        <w:t>, § 317).</w:t>
      </w:r>
    </w:p>
    <w:bookmarkStart w:id="103" w:name="breach_domestic_law"/>
    <w:p w14:paraId="0E2295CF" w14:textId="35556260" w:rsidR="000410B4" w:rsidRPr="00D637A7" w:rsidRDefault="008E2D0D" w:rsidP="00D637A7">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006D0886">
        <w:rPr>
          <w:rFonts w:eastAsia="Times New Roman"/>
          <w:noProof/>
        </w:rPr>
        <w:t>171</w:t>
      </w:r>
      <w:r w:rsidRPr="00D637A7">
        <w:rPr>
          <w:rFonts w:eastAsia="Times New Roman"/>
        </w:rPr>
        <w:fldChar w:fldCharType="end"/>
      </w:r>
      <w:bookmarkEnd w:id="103"/>
      <w:r>
        <w:t xml:space="preserve">.  Co się tyczy drugiego naruszenia prawa wewnętrznego, Trybunał orzekł, że mimo iż wykonanie uchwały KRS nr 331/128 – na mocy której rekomendowano wszystkich sędziów IKNiSP do powołania na urzędy sędziowskie – zostało wstrzymane przez Naczelny Sąd Administracyjny, a kwestia ważności tej uchwały nie została dotąd rozstrzygnięta przez </w:t>
      </w:r>
      <w:r w:rsidR="0013763D">
        <w:t>ten sąd</w:t>
      </w:r>
      <w:r>
        <w:t xml:space="preserve">, </w:t>
      </w:r>
      <w:r>
        <w:lastRenderedPageBreak/>
        <w:t>Prezydent powołał ich na urząd sędziowski, w sposób jawny okazując brak poszanowania dla praworządności.</w:t>
      </w:r>
    </w:p>
    <w:p w14:paraId="5FD9D481" w14:textId="77777777" w:rsidR="000410B4" w:rsidRPr="00D637A7" w:rsidRDefault="008E2D0D" w:rsidP="00D637A7">
      <w:pPr>
        <w:pStyle w:val="JuPara"/>
        <w:rPr>
          <w:rFonts w:eastAsia="Times New Roman"/>
        </w:rPr>
      </w:pPr>
      <w:r>
        <w:t xml:space="preserve">W tym kontekście Trybunał podpisał się </w:t>
      </w:r>
      <w:r>
        <w:rPr>
          <w:i/>
          <w:iCs/>
        </w:rPr>
        <w:t>między innymi</w:t>
      </w:r>
      <w:r>
        <w:t xml:space="preserve"> pod poglądami wyrażonymi przez Sąd Najwyższy i TSUE (</w:t>
      </w:r>
      <w:r>
        <w:rPr>
          <w:i/>
          <w:iCs/>
        </w:rPr>
        <w:t>ibidem</w:t>
      </w:r>
      <w:r>
        <w:t xml:space="preserve">, § 328). W pierwszej kolejności wziął pod uwagę dokonaną przez Sąd Najwyższy kompleksową ocenę odnoszącą się do sędziego Stępkowskiego (w wyroku </w:t>
      </w:r>
      <w:r>
        <w:rPr>
          <w:rFonts w:ascii="Times New Roman" w:hAnsi="Times New Roman"/>
          <w:i/>
          <w:iCs/>
        </w:rPr>
        <w:t>Dolińska-Ficek i Ozimek</w:t>
      </w:r>
      <w:r>
        <w:rPr>
          <w:rFonts w:ascii="Times New Roman" w:hAnsi="Times New Roman"/>
        </w:rPr>
        <w:t xml:space="preserve"> występującego pod inicjałami A.S.)</w:t>
      </w:r>
      <w:r>
        <w:t>. Ocena ta została zawarta w postanowieniu Sądu Najwyższego zawierającym wniosek o wydanie orzeczenia w trybie prejudycjalnym przez TSUE i pytanie prejudycjalne o to, czy sędzia powołany przez Prezydenta RP w powyższych okolicznościach może być postrzegany jako „niezawisły i bezstronny sąd ustanowiony ustawą” (zob. </w:t>
      </w:r>
      <w:r>
        <w:rPr>
          <w:rFonts w:ascii="Times New Roman" w:hAnsi="Times New Roman"/>
          <w:i/>
          <w:iCs/>
        </w:rPr>
        <w:t>Dolińska</w:t>
      </w:r>
      <w:r>
        <w:rPr>
          <w:rFonts w:ascii="Times New Roman" w:hAnsi="Times New Roman"/>
          <w:i/>
          <w:iCs/>
        </w:rPr>
        <w:noBreakHyphen/>
        <w:t>Ficek i Ozimek, op.cit.</w:t>
      </w:r>
      <w:r>
        <w:rPr>
          <w:rFonts w:ascii="Times New Roman" w:hAnsi="Times New Roman"/>
        </w:rPr>
        <w:t>, § 322). W ocenie Sądu Najwyższego</w:t>
      </w:r>
      <w:r>
        <w:t xml:space="preserve"> zasiadanie tak powołanej osoby w składzie sędziowskim uzasadniało wniosek, że organ ten nie jest „sądem ustanowionym ustawą” (</w:t>
      </w:r>
      <w:r>
        <w:rPr>
          <w:i/>
          <w:iCs/>
        </w:rPr>
        <w:t>ibidem</w:t>
      </w:r>
      <w:r>
        <w:t>, § 323).</w:t>
      </w:r>
    </w:p>
    <w:p w14:paraId="42BA3C71" w14:textId="41EFEBAA" w:rsidR="000410B4" w:rsidRPr="00D637A7" w:rsidRDefault="008E2D0D" w:rsidP="00D637A7">
      <w:pPr>
        <w:pStyle w:val="JuPara"/>
        <w:rPr>
          <w:rFonts w:eastAsia="Times New Roman"/>
        </w:rPr>
      </w:pPr>
      <w:r>
        <w:t xml:space="preserve">TSUE w wyroku </w:t>
      </w:r>
      <w:r>
        <w:rPr>
          <w:i/>
          <w:iCs/>
        </w:rPr>
        <w:t xml:space="preserve">W.Ż. </w:t>
      </w:r>
      <w:r>
        <w:t xml:space="preserve">(odpowiednie fragmenty wyroku zob. </w:t>
      </w:r>
      <w:r>
        <w:rPr>
          <w:rFonts w:ascii="Times New Roman" w:hAnsi="Times New Roman"/>
          <w:i/>
          <w:iCs/>
        </w:rPr>
        <w:t>Dolińska-Ficek and Ozimek</w:t>
      </w:r>
      <w:r>
        <w:rPr>
          <w:rFonts w:ascii="Times New Roman" w:hAnsi="Times New Roman"/>
        </w:rPr>
        <w:t xml:space="preserve">, </w:t>
      </w:r>
      <w:r>
        <w:rPr>
          <w:rFonts w:ascii="Times New Roman" w:hAnsi="Times New Roman"/>
          <w:i/>
          <w:iCs/>
        </w:rPr>
        <w:t>op.cit.</w:t>
      </w:r>
      <w:r>
        <w:rPr>
          <w:rFonts w:ascii="Times New Roman" w:hAnsi="Times New Roman"/>
        </w:rPr>
        <w:t>, § 203</w:t>
      </w:r>
      <w:r>
        <w:t>)</w:t>
      </w:r>
      <w:r>
        <w:rPr>
          <w:i/>
          <w:iCs/>
        </w:rPr>
        <w:t xml:space="preserve">, </w:t>
      </w:r>
      <w:r>
        <w:t>zauważył między innymi, że w chwili</w:t>
      </w:r>
      <w:r w:rsidR="005F2080">
        <w:t>,</w:t>
      </w:r>
      <w:r>
        <w:t xml:space="preserve"> gdy nastąpiło powołanie sędziego A.S., nie można było przede wszystkim pominąć faktu, że skutki uchwały nr 331/2018 obejmującej wniosek o jego powołanie były wstrzymane na mocy prawomocnego orzeczenia sądowego Naczelnego Sądu Administracyjnego. Równie oczywiste było to, że takie wstrzymanie miało obowiązywać do wydania przez TSUE orzeczenia w przedmiocie pytania prejudycjalnego w sprawie </w:t>
      </w:r>
      <w:r>
        <w:rPr>
          <w:i/>
          <w:iCs/>
        </w:rPr>
        <w:t xml:space="preserve">A.B. i Inni </w:t>
      </w:r>
      <w:r>
        <w:t>(odpowiednie fragmenty wyroku zob. </w:t>
      </w:r>
      <w:r>
        <w:rPr>
          <w:rFonts w:ascii="Times New Roman" w:hAnsi="Times New Roman"/>
          <w:i/>
          <w:iCs/>
        </w:rPr>
        <w:t>Dolińska-Ficek i Ozimek</w:t>
      </w:r>
      <w:r>
        <w:rPr>
          <w:rFonts w:ascii="Times New Roman" w:hAnsi="Times New Roman"/>
        </w:rPr>
        <w:t xml:space="preserve">, </w:t>
      </w:r>
      <w:r>
        <w:rPr>
          <w:rFonts w:ascii="Times New Roman" w:hAnsi="Times New Roman"/>
          <w:i/>
          <w:iCs/>
        </w:rPr>
        <w:t>op.cit.</w:t>
      </w:r>
      <w:r>
        <w:rPr>
          <w:rFonts w:ascii="Times New Roman" w:hAnsi="Times New Roman"/>
        </w:rPr>
        <w:t>, § 193</w:t>
      </w:r>
      <w:r>
        <w:t>).</w:t>
      </w:r>
    </w:p>
    <w:p w14:paraId="7DADA43F" w14:textId="77777777" w:rsidR="000410B4" w:rsidRPr="00D637A7" w:rsidRDefault="008E2D0D" w:rsidP="00D637A7">
      <w:pPr>
        <w:pStyle w:val="JuPara"/>
        <w:rPr>
          <w:rFonts w:eastAsia="Times New Roman"/>
        </w:rPr>
      </w:pPr>
      <w:r>
        <w:t xml:space="preserve">W świetle orzecznictwa TSUE prawo Unii wymagało, aby sąd krajowy rozpoznający spór regulowany tym prawem mógł zarządzić zastosowanie środka tymczasowego, tak aby zapewnić pełną skuteczność przyszłego wyroku. Powołanie sędziego A.S., które nastąpiło z naruszeniem mocy prawomocnego orzeczenia Naczelnego Sądu Administracyjnego i bez wstrzymania się do czasu wydania przez TSUE wyroku w sprawie </w:t>
      </w:r>
      <w:r>
        <w:rPr>
          <w:i/>
          <w:iCs/>
        </w:rPr>
        <w:t>A.B. i Inni</w:t>
      </w:r>
      <w:r>
        <w:t>, podważyło zatem system ustanowiony w art. 267 TFUE. Z zastrzeżeniem, że ostateczna ocena należy do sądu krajowego, należy stwierdzić, iż okoliczności sprawy postrzegane w całości prowadzą do wniosku, że powołanie A.S. odbyło się w sposób oczywisty bez poszanowania podstawowych zasad proceduralnych obowiązujących przy powoływaniu sędziów Sądu Najwyższego.</w:t>
      </w:r>
    </w:p>
    <w:p w14:paraId="098305FE" w14:textId="77777777" w:rsidR="000410B4" w:rsidRPr="00D637A7" w:rsidRDefault="008E2D0D" w:rsidP="00D637A7">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006D0886">
        <w:rPr>
          <w:rFonts w:eastAsia="Times New Roman"/>
          <w:noProof/>
        </w:rPr>
        <w:t>172</w:t>
      </w:r>
      <w:r w:rsidRPr="00D637A7">
        <w:rPr>
          <w:rFonts w:eastAsia="Times New Roman"/>
        </w:rPr>
        <w:fldChar w:fldCharType="end"/>
      </w:r>
      <w:r>
        <w:t xml:space="preserve">.  Trybunał orzekł, że działania władzy wykonawczej w procesie powoływania sędziów do Izby Kontroli Nadzwyczajnej i Spraw Publicznych wskazywały na postawę, którą można określić jedynie jako całkowite lekceważenie autorytetu, niezależności i roli sądownictwa. Działania te w sposób oczywisty podejmowano, kierując się ukrytym motywem, jakim było nie tylko wpłynięcie na wynik toczącego się postępowania sądowego, ale także uniemożliwienie prawidłowego zbadania legalności uchwały w przedmiocie przedstawienia wniosku o powołanie kandydatów do pełnienia </w:t>
      </w:r>
      <w:r>
        <w:lastRenderedPageBreak/>
        <w:t>urzędu na stanowisku sędziego, a w konsekwencji pozbawienia znaczenia sądowej kontroli uchwały. Miały one na celu zapewnienie, że nominacje sędziowskie zaproponowane przez KRS – organ, nad którym władza wykonawcza i ustawodawcza mają nieograniczoną kontrolę – zostaną zatwierdzone nawet za cenę podważenia autorytetu Naczelnego Sądu Administracyjnego, jednego z najwyższych sądów w kraju, i pomimo ryzyka ustanowienia sądu niezgodnego z prawem. Jako takie, działania te stanowiły rażące naruszenie wymogów rzetelnego procesu w rozumieniu art. 6 ust. 1 Konwencji i były niezgodne z zasadą praworządności (</w:t>
      </w:r>
      <w:r>
        <w:rPr>
          <w:i/>
          <w:iCs/>
        </w:rPr>
        <w:t>ibidem</w:t>
      </w:r>
      <w:r>
        <w:t>, § 330).</w:t>
      </w:r>
    </w:p>
    <w:bookmarkStart w:id="104" w:name="Court_assessment_4"/>
    <w:p w14:paraId="0289938E" w14:textId="77777777" w:rsidR="000410B4" w:rsidRPr="00D637A7" w:rsidRDefault="008E2D0D" w:rsidP="00D637A7">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006D0886">
        <w:rPr>
          <w:rFonts w:eastAsia="Times New Roman"/>
          <w:noProof/>
        </w:rPr>
        <w:t>173</w:t>
      </w:r>
      <w:r w:rsidRPr="00D637A7">
        <w:rPr>
          <w:rFonts w:eastAsia="Times New Roman"/>
        </w:rPr>
        <w:fldChar w:fldCharType="end"/>
      </w:r>
      <w:bookmarkEnd w:id="104"/>
      <w:r>
        <w:t>.  Co się tyczy drugiego kroku testu, Trybunał uznał, że na mocy ustawy zmieniającej z 2017 r., która pozbawiła gremia sędziowskie prawa do wyboru sędziów zasiadających w KRS – prawa przyznanego im przez dotychczasowe ustawodawstwo i mającego oparcie w standardach międzynarodowych – władza ustawodawcza i wykonawcza uzyskały decydujący wpływ na skład KRS. Ustawa praktycznie usunęła nie tylko dotychczasowy system przedstawicielski, ale także gwarancje niezależności</w:t>
      </w:r>
      <w:r>
        <w:rPr>
          <w:b/>
        </w:rPr>
        <w:t xml:space="preserve"> </w:t>
      </w:r>
      <w:r>
        <w:t>sądownictwa w tym zakresie. W rezultacie umożliwiło to władzy wykonawczej i ustawodawczej bezpośrednią lub pośrednią ingerencję w procedurę powoływania sędziów, z której możliwości te władze skorzystały. Sytuację tę dodatkowo pogorszyło późniejsze powołanie sędziów do Izby Kontroli Nadzwyczajnej i Spraw Publicznych przez Prezydenta RP, dokonane z rażącym lekceważeniem faktu, iż wykonywanie uchwały KRS nr 331/2018, którą rekomendowano ich kandydatury, zostało wstrzymane.</w:t>
      </w:r>
    </w:p>
    <w:p w14:paraId="72EE5D7D" w14:textId="77777777" w:rsidR="000410B4" w:rsidRPr="00D637A7" w:rsidRDefault="008E2D0D" w:rsidP="00D637A7">
      <w:pPr>
        <w:pStyle w:val="JuPara"/>
        <w:rPr>
          <w:rFonts w:eastAsia="Times New Roman"/>
        </w:rPr>
      </w:pPr>
      <w:r>
        <w:t xml:space="preserve">Trybunał orzekł, że stwierdzone przezeń naruszenia prawa wewnętrznego, wynikające z nieprzestrzegania zasady praworządności, zasady trójpodziału władzy i zasady niezależności sądownictwa, w sposób immanentny skaziły kwestionowaną procedurę powoływania sędziów. Procedura powoływania sędziów, uwidaczniająca nadmierny wpływ władzy ustawodawczej i wykonawczej na powoływanie sędziów, była </w:t>
      </w:r>
      <w:r>
        <w:rPr>
          <w:i/>
          <w:iCs/>
        </w:rPr>
        <w:t xml:space="preserve">per </w:t>
      </w:r>
      <w:proofErr w:type="spellStart"/>
      <w:r>
        <w:rPr>
          <w:i/>
          <w:iCs/>
        </w:rPr>
        <w:t>se</w:t>
      </w:r>
      <w:proofErr w:type="spellEnd"/>
      <w:r>
        <w:t xml:space="preserve"> niezgodna z art. 6 ust. 1 Konwencji i jako taka stanowiła fundamentalną nieprawidłowość wpływającą negatywnie na cały proces i zagrażającą legitymacji sądu złożonego z tak powołanych sędziów.</w:t>
      </w:r>
    </w:p>
    <w:p w14:paraId="3D857960" w14:textId="77777777" w:rsidR="000410B4" w:rsidRPr="00D637A7" w:rsidRDefault="008E2D0D" w:rsidP="00D637A7">
      <w:pPr>
        <w:pStyle w:val="JuPara"/>
        <w:rPr>
          <w:rFonts w:eastAsia="Times New Roman"/>
        </w:rPr>
      </w:pPr>
      <w:r>
        <w:t>Podsumowując, naruszenia procedury powoływania sędziów do IKNiSP Sądu Najwyższego uznano za tak poważne, że naruszały samą istotę prawa skarżących do „sądu ustanowionego ustawą” (</w:t>
      </w:r>
      <w:r>
        <w:rPr>
          <w:i/>
          <w:iCs/>
        </w:rPr>
        <w:t>ibidem</w:t>
      </w:r>
      <w:r>
        <w:t>, §§ 348-350).</w:t>
      </w:r>
    </w:p>
    <w:p w14:paraId="448E371C" w14:textId="77777777" w:rsidR="000410B4" w:rsidRPr="00D637A7" w:rsidRDefault="008E2D0D" w:rsidP="00D637A7">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006D0886">
        <w:rPr>
          <w:rFonts w:eastAsia="Times New Roman"/>
          <w:noProof/>
        </w:rPr>
        <w:t>174</w:t>
      </w:r>
      <w:r w:rsidRPr="00D637A7">
        <w:rPr>
          <w:rFonts w:eastAsia="Times New Roman"/>
        </w:rPr>
        <w:fldChar w:fldCharType="end"/>
      </w:r>
      <w:r>
        <w:t>.  Co się tyczy trzeciego kroku testu, Trybunał uznał, że brak jest w polskim prawie trybu, który pozwalałby skarżącym zaskarżyć zarzucane wady procedury powołania sędziów IKNiSP Sądu Najwyższego (</w:t>
      </w:r>
      <w:r>
        <w:rPr>
          <w:i/>
          <w:iCs/>
        </w:rPr>
        <w:t>ibidem</w:t>
      </w:r>
      <w:r>
        <w:t>, § 352).</w:t>
      </w:r>
    </w:p>
    <w:bookmarkStart w:id="105" w:name="Dolinska"/>
    <w:bookmarkStart w:id="106" w:name="Court_assessment_9"/>
    <w:p w14:paraId="1EE501D8" w14:textId="5ED66FF6" w:rsidR="000410B4" w:rsidRPr="00D637A7" w:rsidRDefault="008E2D0D" w:rsidP="00D637A7">
      <w:pPr>
        <w:pStyle w:val="JuPara"/>
        <w:rPr>
          <w:rFonts w:ascii="Times New Roman" w:eastAsia="Times New Roman" w:hAnsi="Times New Roman" w:cs="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006D0886">
        <w:rPr>
          <w:rFonts w:eastAsia="Times New Roman"/>
          <w:noProof/>
        </w:rPr>
        <w:t>175</w:t>
      </w:r>
      <w:r w:rsidRPr="00D637A7">
        <w:rPr>
          <w:rFonts w:eastAsia="Times New Roman"/>
        </w:rPr>
        <w:fldChar w:fldCharType="end"/>
      </w:r>
      <w:bookmarkEnd w:id="105"/>
      <w:bookmarkEnd w:id="106"/>
      <w:r>
        <w:t xml:space="preserve">.  Podsumowując, w sprawie </w:t>
      </w:r>
      <w:r>
        <w:rPr>
          <w:rFonts w:ascii="Times New Roman" w:hAnsi="Times New Roman"/>
          <w:i/>
          <w:iCs/>
        </w:rPr>
        <w:t>Dolińska-Ficek i Ozimek</w:t>
      </w:r>
      <w:r>
        <w:rPr>
          <w:rFonts w:ascii="Times New Roman" w:hAnsi="Times New Roman"/>
        </w:rPr>
        <w:t xml:space="preserve"> Trybunał orzekł, że powyższe</w:t>
      </w:r>
      <w:r>
        <w:t xml:space="preserve"> nieprawidłowości w procesie powoływania sędziów niweczą legitymację IKNiSP w takim stopniu, że w następstwie z natury wadliwej procedury powoływania sędziów izba ta nie posiadała i nadal nie posiada atrybutów „sądu”, który jest „zgodny z prawem” dla celów art. 6 </w:t>
      </w:r>
      <w:r>
        <w:lastRenderedPageBreak/>
        <w:t>ust. 1. Orzekł ponadto, że z tego względu doszło do naruszenia art. 6 ust. 1 Konwencji w zakresie prawa do niezawisłego i bezstronnego sądu ustanowionego ustawą (</w:t>
      </w:r>
      <w:r>
        <w:rPr>
          <w:i/>
          <w:iCs/>
        </w:rPr>
        <w:t>ibidem</w:t>
      </w:r>
      <w:r>
        <w:t xml:space="preserve">, §§ 353 </w:t>
      </w:r>
      <w:r>
        <w:rPr>
          <w:i/>
          <w:iCs/>
        </w:rPr>
        <w:t xml:space="preserve">in fine </w:t>
      </w:r>
      <w:r>
        <w:t>i 357, a także piąty punkt sentencji wyroku).</w:t>
      </w:r>
    </w:p>
    <w:p w14:paraId="528478AF" w14:textId="77777777" w:rsidR="000410B4" w:rsidRPr="00D637A7" w:rsidRDefault="00000000" w:rsidP="00D637A7">
      <w:pPr>
        <w:pStyle w:val="JuPara"/>
        <w:rPr>
          <w:rFonts w:ascii="Times New Roman" w:hAnsi="Times New Roman" w:cs="Times New Roman"/>
        </w:rPr>
      </w:pPr>
      <w:fldSimple w:instr=" SEQ level0 \*arabic \* MERGEFORMAT ">
        <w:r w:rsidR="006D0886">
          <w:rPr>
            <w:noProof/>
          </w:rPr>
          <w:t>176</w:t>
        </w:r>
      </w:fldSimple>
      <w:r w:rsidR="008E2D0D">
        <w:t xml:space="preserve">.  W świetle powyższego i z tych samych względów co przedstawione w wyroku </w:t>
      </w:r>
      <w:r w:rsidR="008E2D0D">
        <w:rPr>
          <w:rFonts w:ascii="Times New Roman" w:hAnsi="Times New Roman"/>
          <w:i/>
          <w:iCs/>
        </w:rPr>
        <w:t>Dolińska</w:t>
      </w:r>
      <w:r w:rsidR="008E2D0D">
        <w:rPr>
          <w:rFonts w:ascii="Times New Roman" w:hAnsi="Times New Roman"/>
          <w:i/>
          <w:iCs/>
        </w:rPr>
        <w:noBreakHyphen/>
        <w:t>Ficek i Ozimek</w:t>
      </w:r>
      <w:r w:rsidR="008E2D0D">
        <w:rPr>
          <w:rFonts w:ascii="Times New Roman" w:hAnsi="Times New Roman"/>
        </w:rPr>
        <w:t xml:space="preserve"> Trybunał uznaje w niniejszej sprawie, że IKNiSP, która rozpoznawała skargę nadzwyczajną będącą przedmiotem niniejszej sprawy, nie jest „niezawisłym i bezstronnym sądem ustanowionym ustawą”</w:t>
      </w:r>
      <w:r w:rsidR="008E2D0D">
        <w:t>.</w:t>
      </w:r>
    </w:p>
    <w:p w14:paraId="3F16BAC6" w14:textId="77777777" w:rsidR="000410B4" w:rsidRPr="00D637A7" w:rsidRDefault="008E2D0D" w:rsidP="00D637A7">
      <w:pPr>
        <w:pStyle w:val="JuHa0"/>
      </w:pPr>
      <w:r>
        <w:t>W przedmiocie zarzucanego braku niezawisłości i bezstronności sędziego Stępkowskiego</w:t>
      </w:r>
    </w:p>
    <w:p w14:paraId="660818AA" w14:textId="5AD8FE55" w:rsidR="000410B4" w:rsidRPr="00D637A7" w:rsidRDefault="00000000" w:rsidP="00D637A7">
      <w:pPr>
        <w:pStyle w:val="JuPara"/>
      </w:pPr>
      <w:fldSimple w:instr=" SEQ level0 \*arabic \* MERGEFORMAT ">
        <w:r w:rsidR="006D0886">
          <w:rPr>
            <w:noProof/>
          </w:rPr>
          <w:t>177</w:t>
        </w:r>
      </w:fldSimple>
      <w:r w:rsidR="008E2D0D">
        <w:t xml:space="preserve">.  Trybunał </w:t>
      </w:r>
      <w:r w:rsidR="00C2527C">
        <w:t>na wstępie zauważa</w:t>
      </w:r>
      <w:r w:rsidR="008E2D0D">
        <w:t xml:space="preserve">, że skarżący bezskutecznie wnioskował o wyłączenie siedemnastu sędziów zasiadających obecnie w IKNiSP, wymieniając ich z imienia i nazwiska. Lista obejmowała między innymi sędziego Stępkowskiego, będącego sędzią sprawozdawcą, a także sędziego Księżaka, który następnie, zasiadając w składzie jednoosobowym, rozpoznawał wniosek skarżącego o wyłączenie sędziów. Co się tyczy wszystkich tych sędziów, skarżący </w:t>
      </w:r>
      <w:r w:rsidR="00C2527C">
        <w:t>podniósł</w:t>
      </w:r>
      <w:r w:rsidR="008E2D0D">
        <w:t xml:space="preserve">, że procedura ich powołania budzi poważne wątpliwości z </w:t>
      </w:r>
      <w:r w:rsidR="00C2527C">
        <w:t>punktu widzenia zasady rządów prawa</w:t>
      </w:r>
      <w:r w:rsidR="008E2D0D">
        <w:t>, szczególnie, że zostali oni zarekomendowani do powołania na urząd przez zreformowaną KRS, ukształtowan</w:t>
      </w:r>
      <w:r w:rsidR="00C2527C">
        <w:t>ą w</w:t>
      </w:r>
      <w:r w:rsidR="008E2D0D">
        <w:t xml:space="preserve"> wadliw</w:t>
      </w:r>
      <w:r w:rsidR="00C2527C">
        <w:t>ej</w:t>
      </w:r>
      <w:r w:rsidR="008E2D0D">
        <w:t xml:space="preserve"> procedur</w:t>
      </w:r>
      <w:r w:rsidR="00C2527C">
        <w:t>ze</w:t>
      </w:r>
      <w:r w:rsidR="008E2D0D">
        <w:t xml:space="preserve"> na podstawie ustawy zmieniającej z 2017 r. W odniesieniu do sędziego Stępkowskiego skarżący podkreślił, że jego wątpliwy status jako sędziego był już przedmiotem postępowania przed TSUE (zob. par. 171 powyżej, gdzie mowa o sprawie </w:t>
      </w:r>
      <w:r w:rsidR="008E2D0D">
        <w:rPr>
          <w:i/>
          <w:iCs/>
        </w:rPr>
        <w:t>W.Ż.</w:t>
      </w:r>
      <w:r w:rsidR="008E2D0D">
        <w:t>), jak również zarzuc</w:t>
      </w:r>
      <w:r w:rsidR="00D03D3C">
        <w:t>i</w:t>
      </w:r>
      <w:r w:rsidR="008E2D0D">
        <w:t>ł, że działania tego sędziego podejmowane w przeszłości (przed powołaniem) świadczyły o ekstremistycznych i fundamentalistycznych poglądach, wpływających negatywnie na jego bezstronność (zob. par. </w:t>
      </w:r>
      <w:r w:rsidR="008E2D0D" w:rsidRPr="00D637A7">
        <w:fldChar w:fldCharType="begin"/>
      </w:r>
      <w:r w:rsidR="008E2D0D" w:rsidRPr="00D637A7">
        <w:instrText xml:space="preserve"> REF exclusion_1 \h </w:instrText>
      </w:r>
      <w:r w:rsidR="008E2D0D" w:rsidRPr="00D637A7">
        <w:fldChar w:fldCharType="separate"/>
      </w:r>
      <w:r w:rsidR="006D0886">
        <w:rPr>
          <w:noProof/>
        </w:rPr>
        <w:t>34</w:t>
      </w:r>
      <w:r w:rsidR="008E2D0D" w:rsidRPr="00D637A7">
        <w:fldChar w:fldCharType="end"/>
      </w:r>
      <w:r w:rsidR="008E2D0D">
        <w:t xml:space="preserve"> powyżej).</w:t>
      </w:r>
    </w:p>
    <w:p w14:paraId="5FA730AF" w14:textId="65B1AC02" w:rsidR="000410B4" w:rsidRPr="00D637A7" w:rsidRDefault="00000000" w:rsidP="00D637A7">
      <w:pPr>
        <w:pStyle w:val="JuPara"/>
      </w:pPr>
      <w:fldSimple w:instr=" SEQ level0 \*arabic \* MERGEFORMAT ">
        <w:r w:rsidR="006D0886">
          <w:rPr>
            <w:noProof/>
          </w:rPr>
          <w:t>178</w:t>
        </w:r>
      </w:fldSimple>
      <w:r w:rsidR="008E2D0D">
        <w:t>.  Wniosek skarżącego został oddalony w zakresie dotyczącym sędziego Stępkowskiego i odrzucony w pozostałym zakresie przez sędziego, którego bezpośrednio dotyczył złożony przez skarżącego wniosek, jako że sprawa dotyczyła procedury jego własnego powołania i jego własnej niezawisłości i bezstronności (zob. par. </w:t>
      </w:r>
      <w:r w:rsidR="008E2D0D" w:rsidRPr="00D637A7">
        <w:fldChar w:fldCharType="begin"/>
      </w:r>
      <w:r w:rsidR="008E2D0D" w:rsidRPr="00D637A7">
        <w:instrText xml:space="preserve"> REF exclusion \h </w:instrText>
      </w:r>
      <w:r w:rsidR="008E2D0D" w:rsidRPr="00D637A7">
        <w:fldChar w:fldCharType="separate"/>
      </w:r>
      <w:r w:rsidR="006D0886">
        <w:rPr>
          <w:noProof/>
        </w:rPr>
        <w:t>35</w:t>
      </w:r>
      <w:r w:rsidR="008E2D0D" w:rsidRPr="00D637A7">
        <w:fldChar w:fldCharType="end"/>
      </w:r>
      <w:r w:rsidR="008E2D0D">
        <w:t xml:space="preserve"> powyżej). Ponieważ sędzia [rozpoznający wniosek] nie przedstawił uzasadnienia swojego postanowienia, Trybunał nie może ustalić, na jakiej podstawie prawnej </w:t>
      </w:r>
      <w:r w:rsidR="00E81E3D">
        <w:t>się oparł</w:t>
      </w:r>
      <w:r w:rsidR="008E2D0D">
        <w:t>, jakie względy zostały wzięte pod uwagę w tym postanowieniu ani czy i w jaki sposób ustosunkowano się do zarzucanego braku indywidualnej niezawisłości i bezstronności sędziego Stępkowskiego.</w:t>
      </w:r>
    </w:p>
    <w:p w14:paraId="2C039E3D" w14:textId="7E4706B4" w:rsidR="000410B4" w:rsidRPr="00D637A7" w:rsidRDefault="008E2D0D" w:rsidP="00D637A7">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006D0886">
        <w:rPr>
          <w:rFonts w:ascii="Times New Roman" w:hAnsi="Times New Roman" w:cs="Times New Roman"/>
          <w:noProof/>
        </w:rPr>
        <w:t>179</w:t>
      </w:r>
      <w:r w:rsidRPr="00D637A7">
        <w:rPr>
          <w:rFonts w:ascii="Times New Roman" w:hAnsi="Times New Roman" w:cs="Times New Roman"/>
        </w:rPr>
        <w:fldChar w:fldCharType="end"/>
      </w:r>
      <w:r>
        <w:rPr>
          <w:rFonts w:ascii="Times New Roman" w:hAnsi="Times New Roman"/>
        </w:rPr>
        <w:t xml:space="preserve">.  Trybunał zauważa, tak jak uczynił to w wyroku </w:t>
      </w:r>
      <w:r>
        <w:rPr>
          <w:rFonts w:ascii="Times New Roman" w:hAnsi="Times New Roman"/>
          <w:i/>
          <w:iCs/>
        </w:rPr>
        <w:t>Dolińska-Ficek i Ozimek</w:t>
      </w:r>
      <w:r>
        <w:rPr>
          <w:rFonts w:ascii="Times New Roman" w:hAnsi="Times New Roman"/>
        </w:rPr>
        <w:t xml:space="preserve"> (</w:t>
      </w:r>
      <w:r>
        <w:rPr>
          <w:rFonts w:ascii="Times New Roman" w:hAnsi="Times New Roman"/>
          <w:i/>
          <w:iCs/>
        </w:rPr>
        <w:t>op.</w:t>
      </w:r>
      <w:r w:rsidR="00E81E3D">
        <w:rPr>
          <w:rFonts w:ascii="Times New Roman" w:hAnsi="Times New Roman"/>
          <w:i/>
          <w:iCs/>
        </w:rPr>
        <w:t xml:space="preserve"> </w:t>
      </w:r>
      <w:r>
        <w:rPr>
          <w:rFonts w:ascii="Times New Roman" w:hAnsi="Times New Roman"/>
          <w:i/>
          <w:iCs/>
        </w:rPr>
        <w:t>cit.</w:t>
      </w:r>
      <w:r>
        <w:rPr>
          <w:rFonts w:ascii="Times New Roman" w:hAnsi="Times New Roman"/>
        </w:rPr>
        <w:t xml:space="preserve">, § 337), że zgodnie z art. 26 § 1 ustawy o Sądzie Najwyższym z 2017 r., </w:t>
      </w:r>
      <w:r w:rsidR="00E81E3D">
        <w:rPr>
          <w:rFonts w:ascii="Times New Roman" w:hAnsi="Times New Roman"/>
        </w:rPr>
        <w:t xml:space="preserve">w brzmieniu </w:t>
      </w:r>
      <w:r>
        <w:rPr>
          <w:rFonts w:ascii="Times New Roman" w:hAnsi="Times New Roman"/>
        </w:rPr>
        <w:t xml:space="preserve">zmienionym ustawą zmieniającą z 2019 r., IKNiSP, poza już szerokimi kompetencjami, powierzono wyłączną jurysdykcję w zakresie wszelkich wniosków obejmujących zarzut braku niezależności sądu </w:t>
      </w:r>
      <w:r>
        <w:rPr>
          <w:rFonts w:ascii="Times New Roman" w:hAnsi="Times New Roman"/>
        </w:rPr>
        <w:lastRenderedPageBreak/>
        <w:t xml:space="preserve">lub braku niezawisłości sędziego. Zgodnie z § 2 wniosek o wyłączenie sędziego obejmujący – jak w niniejszej sprawie – kwestię zgodności </w:t>
      </w:r>
      <w:r w:rsidR="005920EB">
        <w:rPr>
          <w:rFonts w:ascii="Times New Roman" w:hAnsi="Times New Roman"/>
        </w:rPr>
        <w:br/>
      </w:r>
      <w:r>
        <w:rPr>
          <w:rFonts w:ascii="Times New Roman" w:hAnsi="Times New Roman"/>
        </w:rPr>
        <w:t>z prawem powołania sędziego lub jego „umocowania do wykonywania zadań z zakresu wymiaru sprawiedliwości” IKNiSP miała (i nadal ma) pozostawi</w:t>
      </w:r>
      <w:r w:rsidR="005920EB">
        <w:rPr>
          <w:rFonts w:ascii="Times New Roman" w:hAnsi="Times New Roman"/>
        </w:rPr>
        <w:t>a</w:t>
      </w:r>
      <w:r>
        <w:rPr>
          <w:rFonts w:ascii="Times New Roman" w:hAnsi="Times New Roman"/>
        </w:rPr>
        <w:t xml:space="preserve">ć bez rozpoznania. W rezultacie kompetencje IKNiSP rozszerzono na wszystkie </w:t>
      </w:r>
      <w:r w:rsidR="005920EB">
        <w:rPr>
          <w:rFonts w:ascii="Times New Roman" w:hAnsi="Times New Roman"/>
        </w:rPr>
        <w:t>kwestie</w:t>
      </w:r>
      <w:r>
        <w:rPr>
          <w:rFonts w:ascii="Times New Roman" w:hAnsi="Times New Roman"/>
        </w:rPr>
        <w:t xml:space="preserve"> dotyczące niezależności polskiego sądownictwa, dając jej nieograniczone uprawnienia w tym zakresie i umożliwiając jej ochronę </w:t>
      </w:r>
      <w:r w:rsidR="00FD091F">
        <w:rPr>
          <w:rFonts w:ascii="Times New Roman" w:hAnsi="Times New Roman"/>
        </w:rPr>
        <w:t xml:space="preserve">przed jakimkolwiek kwestionowaniem </w:t>
      </w:r>
      <w:r>
        <w:rPr>
          <w:rFonts w:ascii="Times New Roman" w:hAnsi="Times New Roman"/>
        </w:rPr>
        <w:t>rekomendacji KRS dotyczących powołania na urząd sędziowski przez Prezydenta RP.</w:t>
      </w:r>
    </w:p>
    <w:p w14:paraId="21DA5CE2" w14:textId="45914DA8" w:rsidR="000410B4" w:rsidRPr="00D637A7" w:rsidRDefault="00000000" w:rsidP="00D637A7">
      <w:pPr>
        <w:pStyle w:val="JuPara"/>
      </w:pPr>
      <w:fldSimple w:instr=" SEQ level0 \*arabic \* MERGEFORMAT ">
        <w:r w:rsidR="006D0886">
          <w:rPr>
            <w:noProof/>
          </w:rPr>
          <w:t>180</w:t>
        </w:r>
      </w:fldSimple>
      <w:r w:rsidR="008E2D0D">
        <w:t xml:space="preserve">.  Trybunał uznaje za niedopuszczalne z perspektywy standardów rzetelnego procesu sądowego, </w:t>
      </w:r>
      <w:r w:rsidR="00FD091F">
        <w:t>że</w:t>
      </w:r>
      <w:r w:rsidR="008E2D0D">
        <w:t xml:space="preserve"> w przedmiotowej sprawie orzeczenie wydała osoba, która zgodnie z fundamentalną zasadą </w:t>
      </w:r>
      <w:r w:rsidR="008E2D0D">
        <w:rPr>
          <w:i/>
          <w:iCs/>
        </w:rPr>
        <w:t>nemo iudex in causa sua</w:t>
      </w:r>
      <w:r w:rsidR="008E2D0D">
        <w:t>,</w:t>
      </w:r>
      <w:r w:rsidR="008E2D0D">
        <w:rPr>
          <w:i/>
          <w:iCs/>
        </w:rPr>
        <w:t xml:space="preserve"> </w:t>
      </w:r>
      <w:r w:rsidR="008E2D0D">
        <w:t>powinna była wstrzymać się od jej rozpoznawania. Z jeszcze większym zaniepokojeniem zauważa, że sytuacji tej nie można uznać za jednostkowy incydent, ale – jak wyjaśniono powyżej – za sytuację zgodną z obowiązującym prawem. Mając na uwadze, że IKNiSP nie spełnia wymogów niezawisłości i bezstronności wymaganych Konwencją, takie rozwiązanie prawne – jak zauważył też Sąd Najwyższy w swojej uchwale z dnia 23 stycznia 2022 r. (zob. par. </w:t>
      </w:r>
      <w:r w:rsidR="008E2D0D" w:rsidRPr="00D637A7">
        <w:fldChar w:fldCharType="begin"/>
      </w:r>
      <w:r w:rsidR="008E2D0D" w:rsidRPr="00D637A7">
        <w:instrText xml:space="preserve"> REF Chamber_Extraordinary_Review \h </w:instrText>
      </w:r>
      <w:r w:rsidR="008E2D0D" w:rsidRPr="00D637A7">
        <w:fldChar w:fldCharType="separate"/>
      </w:r>
      <w:r w:rsidR="006D0886">
        <w:rPr>
          <w:noProof/>
        </w:rPr>
        <w:t>86</w:t>
      </w:r>
      <w:r w:rsidR="008E2D0D" w:rsidRPr="00D637A7">
        <w:fldChar w:fldCharType="end"/>
      </w:r>
      <w:r w:rsidR="008E2D0D">
        <w:t xml:space="preserve"> powyżej) – nie gwarantuje obiektywnego rozpoznania sprawy.</w:t>
      </w:r>
    </w:p>
    <w:p w14:paraId="512A11F5" w14:textId="725D0A93" w:rsidR="000410B4" w:rsidRPr="00D637A7" w:rsidRDefault="00000000" w:rsidP="00D637A7">
      <w:pPr>
        <w:pStyle w:val="JuPara"/>
        <w:rPr>
          <w:rFonts w:ascii="Times New Roman" w:hAnsi="Times New Roman" w:cs="Times New Roman"/>
        </w:rPr>
      </w:pPr>
      <w:fldSimple w:instr=" SEQ level0 \*arabic \* MERGEFORMAT ">
        <w:r w:rsidR="006D0886">
          <w:rPr>
            <w:noProof/>
          </w:rPr>
          <w:t>181</w:t>
        </w:r>
      </w:fldSimple>
      <w:r w:rsidR="008E2D0D">
        <w:t xml:space="preserve">.  Dochodząc do wniosku, że IKNiSP, rozpoznając sprawę skarżącego, pozbawiona była przymiotów „niezawisłego i bezstronnego sądu ustanowionego ustawą”, Trybunał miał na względzie – tak jak w sprawie </w:t>
      </w:r>
      <w:r w:rsidR="008E2D0D">
        <w:rPr>
          <w:rFonts w:ascii="Times New Roman" w:hAnsi="Times New Roman"/>
          <w:i/>
          <w:iCs/>
        </w:rPr>
        <w:t>Dolińska</w:t>
      </w:r>
      <w:r w:rsidR="008E2D0D">
        <w:rPr>
          <w:rFonts w:ascii="Times New Roman" w:hAnsi="Times New Roman"/>
          <w:i/>
          <w:iCs/>
        </w:rPr>
        <w:noBreakHyphen/>
        <w:t>Ficek i Ozimek</w:t>
      </w:r>
      <w:r w:rsidR="008E2D0D">
        <w:rPr>
          <w:rFonts w:ascii="Times New Roman" w:hAnsi="Times New Roman"/>
        </w:rPr>
        <w:t xml:space="preserve"> – powołanie sędziego Stępkowskiego, będącego sędzią sprawozdawcą w sprawie skarżącego (zob. par.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breach_domestic_law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rFonts w:eastAsia="Times New Roman"/>
          <w:noProof/>
        </w:rPr>
        <w:t>171</w:t>
      </w:r>
      <w:r w:rsidR="008E2D0D" w:rsidRPr="00D637A7">
        <w:rPr>
          <w:rFonts w:ascii="Times New Roman" w:hAnsi="Times New Roman" w:cs="Times New Roman"/>
        </w:rPr>
        <w:fldChar w:fldCharType="end"/>
      </w:r>
      <w:r w:rsidR="008E2D0D">
        <w:rPr>
          <w:rFonts w:ascii="Times New Roman" w:hAnsi="Times New Roman"/>
        </w:rPr>
        <w:t xml:space="preserve"> powyżej). Trybunał zauważa, że RPO zwrócił się do niego bezpośrednio o ustosunkowanie się do kwestii niezawisłości sędziów powołanych na podstawie rekomendacji KRS w składzie ukształtowanym na podstawie ustawy zmieniającej z 2017 r. (zob. par.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Commissioner_HR_1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165</w:t>
      </w:r>
      <w:r w:rsidR="008E2D0D" w:rsidRPr="00D637A7">
        <w:rPr>
          <w:rFonts w:ascii="Times New Roman" w:hAnsi="Times New Roman" w:cs="Times New Roman"/>
        </w:rPr>
        <w:fldChar w:fldCharType="end"/>
      </w:r>
      <w:r w:rsidR="008E2D0D">
        <w:rPr>
          <w:rFonts w:ascii="Times New Roman" w:hAnsi="Times New Roman"/>
        </w:rPr>
        <w:noBreakHyphen/>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Commissioner_HR_2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166</w:t>
      </w:r>
      <w:r w:rsidR="008E2D0D" w:rsidRPr="00D637A7">
        <w:rPr>
          <w:rFonts w:ascii="Times New Roman" w:hAnsi="Times New Roman" w:cs="Times New Roman"/>
        </w:rPr>
        <w:fldChar w:fldCharType="end"/>
      </w:r>
      <w:r w:rsidR="008E2D0D">
        <w:rPr>
          <w:rFonts w:ascii="Times New Roman" w:hAnsi="Times New Roman"/>
        </w:rPr>
        <w:t xml:space="preserve"> powyżej).</w:t>
      </w:r>
    </w:p>
    <w:p w14:paraId="55FFC543" w14:textId="69000DA0" w:rsidR="000410B4" w:rsidRPr="00D637A7" w:rsidRDefault="008E2D0D" w:rsidP="00D637A7">
      <w:pPr>
        <w:pStyle w:val="JuPara"/>
        <w:rPr>
          <w:rFonts w:ascii="Times New Roman" w:hAnsi="Times New Roman" w:cs="Times New Roman"/>
        </w:rPr>
      </w:pPr>
      <w:r>
        <w:rPr>
          <w:rFonts w:ascii="Times New Roman" w:hAnsi="Times New Roman"/>
        </w:rPr>
        <w:t xml:space="preserve">W tym względzie Trybunał pragnie odnieść się do uchwały połączonych izb Sądu Najwyższego z 23 stycznia 2020 r., w której stwierdzono, że udział w składzie sądu sędziego powołanego do Sądu Najwyższego na wniosek KRS jest niezgodny z prawem w rozumieniu art. 379 § 4 Kodeksu postępowania cywilnego, niezależnie od tego, czy </w:t>
      </w:r>
      <w:r w:rsidR="00451820">
        <w:rPr>
          <w:rFonts w:ascii="Times New Roman" w:hAnsi="Times New Roman"/>
        </w:rPr>
        <w:t xml:space="preserve">braki </w:t>
      </w:r>
      <w:r>
        <w:rPr>
          <w:rFonts w:ascii="Times New Roman" w:hAnsi="Times New Roman"/>
        </w:rPr>
        <w:t>procedur</w:t>
      </w:r>
      <w:r w:rsidR="00451820">
        <w:rPr>
          <w:rFonts w:ascii="Times New Roman" w:hAnsi="Times New Roman"/>
        </w:rPr>
        <w:t>y nominacyjnej</w:t>
      </w:r>
      <w:r>
        <w:rPr>
          <w:rFonts w:ascii="Times New Roman" w:hAnsi="Times New Roman"/>
        </w:rPr>
        <w:t xml:space="preserve"> w konkretnych okolicznościach prowadz</w:t>
      </w:r>
      <w:r w:rsidR="00451820">
        <w:rPr>
          <w:rFonts w:ascii="Times New Roman" w:hAnsi="Times New Roman"/>
        </w:rPr>
        <w:t>ą</w:t>
      </w:r>
      <w:r>
        <w:rPr>
          <w:rFonts w:ascii="Times New Roman" w:hAnsi="Times New Roman"/>
        </w:rPr>
        <w:t xml:space="preserve"> do naruszenia gwarancji niezawisłości i bezstronności w rozumieniu art. 45 Konstytucji, art. 47 Karty praw podstawowych Unii Europejskiej i art. 6 ust. 1 Konwencji (zob. par. </w:t>
      </w:r>
      <w:r w:rsidR="007621CE" w:rsidRPr="00D637A7">
        <w:rPr>
          <w:rFonts w:ascii="Times New Roman" w:hAnsi="Times New Roman" w:cs="Times New Roman"/>
        </w:rPr>
        <w:fldChar w:fldCharType="begin"/>
      </w:r>
      <w:r w:rsidR="007621CE" w:rsidRPr="00D637A7">
        <w:rPr>
          <w:rFonts w:ascii="Times New Roman" w:hAnsi="Times New Roman" w:cs="Times New Roman"/>
        </w:rPr>
        <w:instrText xml:space="preserve"> REF BSA_I_4110 \h </w:instrText>
      </w:r>
      <w:r w:rsidR="007621CE" w:rsidRPr="00D637A7">
        <w:rPr>
          <w:rFonts w:ascii="Times New Roman" w:hAnsi="Times New Roman" w:cs="Times New Roman"/>
        </w:rPr>
      </w:r>
      <w:r w:rsidR="007621CE" w:rsidRPr="00D637A7">
        <w:rPr>
          <w:rFonts w:ascii="Times New Roman" w:hAnsi="Times New Roman" w:cs="Times New Roman"/>
        </w:rPr>
        <w:fldChar w:fldCharType="separate"/>
      </w:r>
      <w:r w:rsidR="006D0886">
        <w:rPr>
          <w:rFonts w:eastAsia="Times New Roman"/>
          <w:noProof/>
        </w:rPr>
        <w:t>83</w:t>
      </w:r>
      <w:r w:rsidR="007621CE" w:rsidRPr="00D637A7">
        <w:rPr>
          <w:rFonts w:ascii="Times New Roman" w:hAnsi="Times New Roman" w:cs="Times New Roman"/>
        </w:rPr>
        <w:fldChar w:fldCharType="end"/>
      </w:r>
      <w:r>
        <w:rPr>
          <w:rFonts w:ascii="Times New Roman" w:hAnsi="Times New Roman"/>
        </w:rPr>
        <w:t xml:space="preserve"> powyżej). Wykładnia ta, którą popiera Trybunał, ma zastosowanie do sprawy skarżącego.</w:t>
      </w:r>
    </w:p>
    <w:p w14:paraId="503F6C56" w14:textId="7102A833" w:rsidR="000410B4" w:rsidRPr="00D637A7" w:rsidRDefault="008E2D0D" w:rsidP="00D637A7">
      <w:pPr>
        <w:pStyle w:val="JuPara"/>
        <w:rPr>
          <w:rFonts w:ascii="Times New Roman" w:hAnsi="Times New Roman" w:cs="Times New Roman"/>
        </w:rPr>
      </w:pPr>
      <w:r>
        <w:rPr>
          <w:rFonts w:ascii="Times New Roman" w:hAnsi="Times New Roman"/>
        </w:rPr>
        <w:t xml:space="preserve">W </w:t>
      </w:r>
      <w:r w:rsidR="002D0AA1">
        <w:rPr>
          <w:rFonts w:ascii="Times New Roman" w:hAnsi="Times New Roman"/>
        </w:rPr>
        <w:t>konsekwencji</w:t>
      </w:r>
      <w:r>
        <w:rPr>
          <w:rFonts w:ascii="Times New Roman" w:hAnsi="Times New Roman"/>
        </w:rPr>
        <w:t xml:space="preserve"> kwestię, czy dodatkowo konkretny sędzia Sądu Najwyższego, jak zarzuca skarżący, był wobec niego uprzedzony ze względu na indywidualne poglądy polityczne lub poglądy innego rodzaju bądź ze względu na </w:t>
      </w:r>
      <w:r w:rsidR="00451820">
        <w:rPr>
          <w:rFonts w:ascii="Times New Roman" w:hAnsi="Times New Roman"/>
        </w:rPr>
        <w:t xml:space="preserve">jego </w:t>
      </w:r>
      <w:r>
        <w:rPr>
          <w:rFonts w:ascii="Times New Roman" w:hAnsi="Times New Roman"/>
        </w:rPr>
        <w:t xml:space="preserve">działalność poza urzędem sędziowskim, należy uznać za </w:t>
      </w:r>
      <w:r>
        <w:rPr>
          <w:rFonts w:ascii="Times New Roman" w:hAnsi="Times New Roman"/>
        </w:rPr>
        <w:lastRenderedPageBreak/>
        <w:t>zawierającą się w ustalonym już powyżej stwierdzeniu naruszenia art. 6 ust. 1.</w:t>
      </w:r>
    </w:p>
    <w:p w14:paraId="2C2C06A5" w14:textId="07C89A2B" w:rsidR="000410B4" w:rsidRPr="00D637A7" w:rsidRDefault="008E2D0D" w:rsidP="00D637A7">
      <w:pPr>
        <w:pStyle w:val="JuPara"/>
        <w:rPr>
          <w:rFonts w:ascii="Times New Roman" w:hAnsi="Times New Roman" w:cs="Times New Roman"/>
        </w:rPr>
      </w:pPr>
      <w:r>
        <w:rPr>
          <w:rFonts w:ascii="Times New Roman" w:hAnsi="Times New Roman"/>
        </w:rPr>
        <w:t>Z tego względu, a także mając na uwadze rozważania na podstawie art. 46 Konwencji (zob. par</w:t>
      </w:r>
      <w:r w:rsidR="002D0AA1">
        <w:rPr>
          <w:rFonts w:ascii="Times New Roman" w:hAnsi="Times New Roman"/>
        </w:rPr>
        <w:t xml:space="preserve">. </w:t>
      </w:r>
      <w:r w:rsidRPr="00D637A7">
        <w:rPr>
          <w:rFonts w:ascii="Times New Roman" w:hAnsi="Times New Roman" w:cs="Times New Roman"/>
        </w:rPr>
        <w:fldChar w:fldCharType="begin"/>
      </w:r>
      <w:r w:rsidRPr="00D637A7">
        <w:rPr>
          <w:rFonts w:ascii="Times New Roman" w:hAnsi="Times New Roman" w:cs="Times New Roman"/>
        </w:rPr>
        <w:instrText xml:space="preserve"> REF Court_assessment_1 \h </w:instrText>
      </w:r>
      <w:r w:rsidRPr="00D637A7">
        <w:rPr>
          <w:rFonts w:ascii="Times New Roman" w:hAnsi="Times New Roman" w:cs="Times New Roman"/>
        </w:rPr>
      </w:r>
      <w:r w:rsidRPr="00D637A7">
        <w:rPr>
          <w:rFonts w:ascii="Times New Roman" w:hAnsi="Times New Roman" w:cs="Times New Roman"/>
        </w:rPr>
        <w:fldChar w:fldCharType="separate"/>
      </w:r>
      <w:r w:rsidR="006D0886">
        <w:rPr>
          <w:noProof/>
        </w:rPr>
        <w:t>319</w:t>
      </w:r>
      <w:r w:rsidRPr="00D637A7">
        <w:rPr>
          <w:rFonts w:ascii="Times New Roman" w:hAnsi="Times New Roman" w:cs="Times New Roman"/>
        </w:rPr>
        <w:fldChar w:fldCharType="end"/>
      </w:r>
      <w:r>
        <w:rPr>
          <w:rFonts w:ascii="Times New Roman" w:hAnsi="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Court_assessment_2 \h </w:instrText>
      </w:r>
      <w:r w:rsidRPr="00D637A7">
        <w:rPr>
          <w:rFonts w:ascii="Times New Roman" w:hAnsi="Times New Roman" w:cs="Times New Roman"/>
        </w:rPr>
      </w:r>
      <w:r w:rsidRPr="00D637A7">
        <w:rPr>
          <w:rFonts w:ascii="Times New Roman" w:hAnsi="Times New Roman" w:cs="Times New Roman"/>
        </w:rPr>
        <w:fldChar w:fldCharType="separate"/>
      </w:r>
      <w:r w:rsidR="006D0886">
        <w:rPr>
          <w:noProof/>
        </w:rPr>
        <w:t>327</w:t>
      </w:r>
      <w:r w:rsidRPr="00D637A7">
        <w:rPr>
          <w:rFonts w:ascii="Times New Roman" w:hAnsi="Times New Roman" w:cs="Times New Roman"/>
        </w:rPr>
        <w:fldChar w:fldCharType="end"/>
      </w:r>
      <w:r>
        <w:rPr>
          <w:rFonts w:ascii="Times New Roman" w:hAnsi="Times New Roman"/>
        </w:rPr>
        <w:t xml:space="preserve"> poniżej), Trybunał uznaje również za zbędne udzielanie odpowiedzi na prośbę RPO o ustosunkowanie się do kwestii niezawisłości sędziów rekomendowanych przez zreformowaną KRS</w:t>
      </w:r>
      <w:r>
        <w:t>.</w:t>
      </w:r>
    </w:p>
    <w:p w14:paraId="3007B4E5" w14:textId="662E7ACF" w:rsidR="000410B4" w:rsidRPr="00D637A7" w:rsidRDefault="008E2D0D" w:rsidP="00D637A7">
      <w:pPr>
        <w:pStyle w:val="JuHa0"/>
      </w:pPr>
      <w:r>
        <w:t xml:space="preserve">Wnioski w przedmiocie zarzucanego naruszenia prawa do „niezawisłego </w:t>
      </w:r>
      <w:r w:rsidR="002D0AA1">
        <w:br/>
      </w:r>
      <w:r>
        <w:t>i bezstronnego sądu ustanowionego ustawą”</w:t>
      </w:r>
    </w:p>
    <w:p w14:paraId="32B37D93" w14:textId="77777777" w:rsidR="000410B4" w:rsidRPr="00D637A7" w:rsidRDefault="00000000" w:rsidP="00D637A7">
      <w:pPr>
        <w:pStyle w:val="JuPara"/>
      </w:pPr>
      <w:fldSimple w:instr=" SEQ level0 \*arabic ">
        <w:r w:rsidR="006D0886">
          <w:rPr>
            <w:noProof/>
          </w:rPr>
          <w:t>182</w:t>
        </w:r>
      </w:fldSimple>
      <w:r w:rsidR="008E2D0D">
        <w:t xml:space="preserve">.  Mając na uwadze wszystkie powyższe rozważania, Trybunał uznaje, że </w:t>
      </w:r>
      <w:r w:rsidR="008E2D0D">
        <w:rPr>
          <w:rFonts w:ascii="Times New Roman" w:hAnsi="Times New Roman"/>
        </w:rPr>
        <w:t>doszło do naruszenia art. 6 ust. 1 Konwencji w zakresie prawa skarżącego do „niezawisłego i bezstronnego sądu ustanowionego ustawą”</w:t>
      </w:r>
      <w:r w:rsidR="008E2D0D">
        <w:t>.</w:t>
      </w:r>
    </w:p>
    <w:p w14:paraId="2AE535B6" w14:textId="202A542F" w:rsidR="000410B4" w:rsidRPr="00D637A7" w:rsidRDefault="008E2D0D" w:rsidP="00D637A7">
      <w:pPr>
        <w:pStyle w:val="JuHIRoman"/>
      </w:pPr>
      <w:r>
        <w:t xml:space="preserve">ZARZUCANE NARUSZENIE ART. 6 UST. 1 KONWENCJI </w:t>
      </w:r>
      <w:r w:rsidR="002D0AA1">
        <w:br/>
      </w:r>
      <w:r>
        <w:t>W ZAKRESIE ZASADY PEWNOŚCI PRAWA</w:t>
      </w:r>
    </w:p>
    <w:bookmarkStart w:id="107" w:name="legal_certainty"/>
    <w:p w14:paraId="364A61A2" w14:textId="0396C46D" w:rsidR="000410B4" w:rsidRPr="00D637A7" w:rsidRDefault="008E2D0D" w:rsidP="00D637A7">
      <w:pPr>
        <w:pStyle w:val="JuPara"/>
      </w:pPr>
      <w:r w:rsidRPr="00D637A7">
        <w:fldChar w:fldCharType="begin"/>
      </w:r>
      <w:r w:rsidRPr="00D637A7">
        <w:instrText xml:space="preserve"> SEQ level0 \*arabic </w:instrText>
      </w:r>
      <w:r w:rsidRPr="00D637A7">
        <w:fldChar w:fldCharType="separate"/>
      </w:r>
      <w:r w:rsidR="006D0886">
        <w:rPr>
          <w:noProof/>
        </w:rPr>
        <w:t>183</w:t>
      </w:r>
      <w:r w:rsidRPr="00D637A7">
        <w:fldChar w:fldCharType="end"/>
      </w:r>
      <w:bookmarkEnd w:id="107"/>
      <w:r>
        <w:t>.  Skarżący zarzuc</w:t>
      </w:r>
      <w:r w:rsidR="002D0AA1">
        <w:t>i</w:t>
      </w:r>
      <w:r>
        <w:t xml:space="preserve">ł również naruszenie art. 6 ust. 1 Konwencji w </w:t>
      </w:r>
      <w:r w:rsidR="002D0AA1">
        <w:t>ten sposób</w:t>
      </w:r>
      <w:r>
        <w:t xml:space="preserve">, </w:t>
      </w:r>
      <w:r w:rsidR="002D0AA1">
        <w:t>że</w:t>
      </w:r>
      <w:r>
        <w:t xml:space="preserve"> skarga nadzwyczajna Prokuratora Generalnego </w:t>
      </w:r>
      <w:r w:rsidR="002D0AA1">
        <w:t xml:space="preserve">była oparta </w:t>
      </w:r>
      <w:r>
        <w:t>na przepis</w:t>
      </w:r>
      <w:r w:rsidR="002D0AA1">
        <w:t>ach</w:t>
      </w:r>
      <w:r>
        <w:t xml:space="preserve"> naruszających zasadę pewności prawa.</w:t>
      </w:r>
    </w:p>
    <w:p w14:paraId="5E904783" w14:textId="5C5CF613" w:rsidR="000410B4" w:rsidRPr="00D637A7" w:rsidRDefault="008E2D0D" w:rsidP="00D637A7">
      <w:pPr>
        <w:pStyle w:val="JuPara"/>
      </w:pPr>
      <w:r>
        <w:t xml:space="preserve">Art. 6 ust. 1 Konwencji w </w:t>
      </w:r>
      <w:r w:rsidR="002D0AA1">
        <w:t>odpowiednich</w:t>
      </w:r>
      <w:r>
        <w:t xml:space="preserve"> fragmentach brzmi:</w:t>
      </w:r>
    </w:p>
    <w:p w14:paraId="60144740" w14:textId="77777777" w:rsidR="000410B4" w:rsidRPr="00D637A7" w:rsidRDefault="008E2D0D" w:rsidP="00D637A7">
      <w:pPr>
        <w:pStyle w:val="JuQuot"/>
      </w:pPr>
      <w:r>
        <w:t>„Każdy ma prawo do sprawiedliwego […] rozpatrzenia jego sprawy […] przez […] sąd […] przy rozstrzyganiu o jego prawach i obowiązkach o charakterze cywilnym […]”.</w:t>
      </w:r>
    </w:p>
    <w:p w14:paraId="04FE5A37" w14:textId="77777777" w:rsidR="000410B4" w:rsidRPr="00D637A7" w:rsidRDefault="008E2D0D" w:rsidP="00D637A7">
      <w:pPr>
        <w:pStyle w:val="JuHA"/>
        <w:numPr>
          <w:ilvl w:val="2"/>
          <w:numId w:val="22"/>
        </w:numPr>
      </w:pPr>
      <w:r>
        <w:t>Dopuszczalność</w:t>
      </w:r>
    </w:p>
    <w:p w14:paraId="2CD79C0A" w14:textId="77777777" w:rsidR="000410B4" w:rsidRPr="00D637A7" w:rsidRDefault="008E2D0D" w:rsidP="00D637A7">
      <w:pPr>
        <w:pStyle w:val="JuH1"/>
      </w:pPr>
      <w:r>
        <w:t>Zastrzeżenie rządu dotyczące niewyczerpania krajowych środków odwoławczych</w:t>
      </w:r>
    </w:p>
    <w:p w14:paraId="6689FDFA" w14:textId="4F6C70C6" w:rsidR="000410B4" w:rsidRPr="00D637A7" w:rsidRDefault="00000000" w:rsidP="00D637A7">
      <w:pPr>
        <w:pStyle w:val="JuPara"/>
      </w:pPr>
      <w:fldSimple w:instr=" SEQ level0 \*arabic ">
        <w:r w:rsidR="006D0886">
          <w:rPr>
            <w:noProof/>
          </w:rPr>
          <w:t>184</w:t>
        </w:r>
      </w:fldSimple>
      <w:r w:rsidR="008E2D0D">
        <w:t>.  Rząd powoływał się na okoliczność niewyczerpania krajowych środków odwoławczych w odniesieniu do obydwu zarzutów podnoszonych przez skarżącego na podstawie art. 6 ust. 1. Trybunał oddalił już zastrzeżenie Rządu, analizując pierwszy zarzut (</w:t>
      </w:r>
      <w:r w:rsidR="002D0AA1">
        <w:t xml:space="preserve">zob. </w:t>
      </w:r>
      <w:r w:rsidR="008E2D0D">
        <w:t>par. </w:t>
      </w:r>
      <w:r w:rsidR="008E2D0D" w:rsidRPr="00D637A7">
        <w:fldChar w:fldCharType="begin"/>
      </w:r>
      <w:r w:rsidR="008E2D0D" w:rsidRPr="00D637A7">
        <w:instrText xml:space="preserve"> REF Court_assessment \h </w:instrText>
      </w:r>
      <w:r w:rsidR="008E2D0D" w:rsidRPr="00D637A7">
        <w:fldChar w:fldCharType="separate"/>
      </w:r>
      <w:r w:rsidR="006D0886">
        <w:rPr>
          <w:noProof/>
        </w:rPr>
        <w:t>149</w:t>
      </w:r>
      <w:r w:rsidR="008E2D0D" w:rsidRPr="00D637A7">
        <w:fldChar w:fldCharType="end"/>
      </w:r>
      <w:r w:rsidR="008E2D0D">
        <w:noBreakHyphen/>
      </w:r>
      <w:r w:rsidR="008E2D0D" w:rsidRPr="00D637A7">
        <w:fldChar w:fldCharType="begin"/>
      </w:r>
      <w:r w:rsidR="008E2D0D" w:rsidRPr="00D637A7">
        <w:instrText xml:space="preserve"> REF admissibility_2 \h </w:instrText>
      </w:r>
      <w:r w:rsidR="008E2D0D" w:rsidRPr="00D637A7">
        <w:fldChar w:fldCharType="separate"/>
      </w:r>
      <w:r w:rsidR="006D0886">
        <w:rPr>
          <w:noProof/>
        </w:rPr>
        <w:t>154</w:t>
      </w:r>
      <w:r w:rsidR="008E2D0D" w:rsidRPr="00D637A7">
        <w:fldChar w:fldCharType="end"/>
      </w:r>
      <w:r w:rsidR="008E2D0D">
        <w:t xml:space="preserve"> powyżej). Nie dostrzega powodów, aby stwierdzić inaczej w odniesieniu do drugiego zarzutu.</w:t>
      </w:r>
    </w:p>
    <w:p w14:paraId="56E1518F" w14:textId="77777777" w:rsidR="000410B4" w:rsidRPr="00D637A7" w:rsidRDefault="008E2D0D" w:rsidP="00D637A7">
      <w:pPr>
        <w:pStyle w:val="JuH1"/>
      </w:pPr>
      <w:r>
        <w:t>Wniosek Trybunału</w:t>
      </w:r>
    </w:p>
    <w:p w14:paraId="1D02D0D0" w14:textId="24FDAB40" w:rsidR="000410B4" w:rsidRPr="00D637A7" w:rsidRDefault="00000000" w:rsidP="00D637A7">
      <w:pPr>
        <w:pStyle w:val="JuPara"/>
      </w:pPr>
      <w:fldSimple w:instr=" SEQ level0 \*arabic ">
        <w:r w:rsidR="006D0886">
          <w:rPr>
            <w:noProof/>
          </w:rPr>
          <w:t>185</w:t>
        </w:r>
      </w:fldSimple>
      <w:r w:rsidR="008E2D0D">
        <w:t>.  Trybunał zauważa, że niniejsz</w:t>
      </w:r>
      <w:r w:rsidR="00895653">
        <w:t>y zarzut</w:t>
      </w:r>
      <w:r w:rsidR="008E2D0D">
        <w:t xml:space="preserve"> nie jest w sposób oczywisty nieuzasadnion</w:t>
      </w:r>
      <w:r w:rsidR="00895653">
        <w:t>y</w:t>
      </w:r>
      <w:r w:rsidR="008E2D0D">
        <w:t xml:space="preserve"> ani niedopuszczaln</w:t>
      </w:r>
      <w:r w:rsidR="00895653">
        <w:t>y</w:t>
      </w:r>
      <w:r w:rsidR="008E2D0D">
        <w:t xml:space="preserve"> z jakichkolwiek innych powodów wymienionych w art. 35 Konwencji. Należy </w:t>
      </w:r>
      <w:r w:rsidR="00895653">
        <w:t>go</w:t>
      </w:r>
      <w:r w:rsidR="008E2D0D">
        <w:t xml:space="preserve"> zatem uznać za dopuszczaln</w:t>
      </w:r>
      <w:r w:rsidR="00895653">
        <w:t>y</w:t>
      </w:r>
      <w:r w:rsidR="008E2D0D">
        <w:t>.</w:t>
      </w:r>
    </w:p>
    <w:p w14:paraId="10118AB1" w14:textId="77777777" w:rsidR="000410B4" w:rsidRPr="00D637A7" w:rsidRDefault="008E2D0D" w:rsidP="00D637A7">
      <w:pPr>
        <w:pStyle w:val="JuHA"/>
        <w:numPr>
          <w:ilvl w:val="2"/>
          <w:numId w:val="22"/>
        </w:numPr>
      </w:pPr>
      <w:r>
        <w:lastRenderedPageBreak/>
        <w:t>Przedmiot skargi</w:t>
      </w:r>
    </w:p>
    <w:p w14:paraId="0C025496" w14:textId="77777777" w:rsidR="000410B4" w:rsidRPr="00D637A7" w:rsidRDefault="008E2D0D" w:rsidP="00D637A7">
      <w:pPr>
        <w:pStyle w:val="JuH1"/>
      </w:pPr>
      <w:r>
        <w:t>Stanowiska stron</w:t>
      </w:r>
    </w:p>
    <w:p w14:paraId="5073BF61" w14:textId="1398A0A7" w:rsidR="000410B4" w:rsidRPr="00D637A7" w:rsidRDefault="00000000" w:rsidP="00D637A7">
      <w:pPr>
        <w:pStyle w:val="JuPara"/>
      </w:pPr>
      <w:fldSimple w:instr=" SEQ level0 \*arabic ">
        <w:r w:rsidR="006D0886">
          <w:rPr>
            <w:noProof/>
          </w:rPr>
          <w:t>186</w:t>
        </w:r>
      </w:fldSimple>
      <w:r w:rsidR="008E2D0D">
        <w:t xml:space="preserve">.  Skarżący stwierdził, że pakiet reform systemu sądownictwa wprowadzonych w Polsce w 2017 r., w ramach którego – między innymi – ustanowiono IKNiSP oraz wprowadzono skargę nadzwyczajną, jest bardzo kontrowersyjny i krytykowany przez liczne organy europejskie. </w:t>
      </w:r>
      <w:r w:rsidR="00E549F7">
        <w:t>„</w:t>
      </w:r>
      <w:r w:rsidR="008E2D0D">
        <w:t>Twarzą</w:t>
      </w:r>
      <w:r w:rsidR="00E549F7">
        <w:t>”</w:t>
      </w:r>
      <w:r w:rsidR="008E2D0D">
        <w:t xml:space="preserve"> reformy był p. Ziobro, polityk o ugruntowanych </w:t>
      </w:r>
      <w:r w:rsidR="00E549F7">
        <w:t>poglądach</w:t>
      </w:r>
      <w:r w:rsidR="008E2D0D">
        <w:t xml:space="preserve"> politycznych, który od 2015 r. pełnił funkcję Prokuratora Generalnego, </w:t>
      </w:r>
      <w:r w:rsidR="00E549F7">
        <w:t>i</w:t>
      </w:r>
      <w:r w:rsidR="008E2D0D">
        <w:t xml:space="preserve"> jednocześnie – po dokonaniu połączenia dwóch urzędów – Ministra Sprawiedliwości.</w:t>
      </w:r>
    </w:p>
    <w:p w14:paraId="0381D19F" w14:textId="0CA89379" w:rsidR="000410B4" w:rsidRPr="00D637A7" w:rsidRDefault="00000000" w:rsidP="00D637A7">
      <w:pPr>
        <w:pStyle w:val="JuPara"/>
      </w:pPr>
      <w:fldSimple w:instr=" SEQ level0 \*arabic \* MERGEFORMAT ">
        <w:r w:rsidR="006D0886">
          <w:rPr>
            <w:noProof/>
          </w:rPr>
          <w:t>187</w:t>
        </w:r>
      </w:fldSimple>
      <w:r w:rsidR="008E2D0D">
        <w:t xml:space="preserve">.  W </w:t>
      </w:r>
      <w:r w:rsidR="00E549F7">
        <w:t>swojej argumentacji,</w:t>
      </w:r>
      <w:r w:rsidR="008E2D0D">
        <w:t xml:space="preserve"> dotycząc</w:t>
      </w:r>
      <w:r w:rsidR="00E549F7">
        <w:t>ej</w:t>
      </w:r>
      <w:r w:rsidR="008E2D0D">
        <w:t xml:space="preserve"> zarzucanych ogólnych wad skargi nadzwyczajnej</w:t>
      </w:r>
      <w:r w:rsidR="00E549F7">
        <w:t>,</w:t>
      </w:r>
      <w:r w:rsidR="008E2D0D">
        <w:t xml:space="preserve"> skarżący w pełni podpisał się pod uwagami Helsińskiej Fundacji Praw Człowieka i Stowarzyszenia Sędziów Polskich „Iustitia” (zob. par. </w:t>
      </w:r>
      <w:r w:rsidR="008E2D0D" w:rsidRPr="00D637A7">
        <w:fldChar w:fldCharType="begin"/>
      </w:r>
      <w:r w:rsidR="008E2D0D" w:rsidRPr="00D637A7">
        <w:instrText xml:space="preserve"> REF Helsinki_Foundation_1 \h </w:instrText>
      </w:r>
      <w:r w:rsidR="008E2D0D" w:rsidRPr="00D637A7">
        <w:fldChar w:fldCharType="separate"/>
      </w:r>
      <w:r w:rsidR="006D0886">
        <w:rPr>
          <w:noProof/>
        </w:rPr>
        <w:t>201</w:t>
      </w:r>
      <w:r w:rsidR="008E2D0D" w:rsidRPr="00D637A7">
        <w:fldChar w:fldCharType="end"/>
      </w:r>
      <w:r w:rsidR="008E2D0D">
        <w:t>-</w:t>
      </w:r>
      <w:r w:rsidR="008E2D0D" w:rsidRPr="00D637A7">
        <w:fldChar w:fldCharType="begin"/>
      </w:r>
      <w:r w:rsidR="008E2D0D" w:rsidRPr="00D637A7">
        <w:instrText xml:space="preserve"> REF Helsinki_Foundation_2 \h </w:instrText>
      </w:r>
      <w:r w:rsidR="008E2D0D" w:rsidRPr="00D637A7">
        <w:fldChar w:fldCharType="separate"/>
      </w:r>
      <w:r w:rsidR="006D0886">
        <w:rPr>
          <w:noProof/>
        </w:rPr>
        <w:t>211</w:t>
      </w:r>
      <w:r w:rsidR="008E2D0D" w:rsidRPr="00D637A7">
        <w:fldChar w:fldCharType="end"/>
      </w:r>
      <w:r w:rsidR="008E2D0D">
        <w:t xml:space="preserve"> i </w:t>
      </w:r>
      <w:r w:rsidR="008E2D0D" w:rsidRPr="00D637A7">
        <w:fldChar w:fldCharType="begin"/>
      </w:r>
      <w:r w:rsidR="008E2D0D" w:rsidRPr="00D637A7">
        <w:instrText xml:space="preserve"> REF Iustitia \h </w:instrText>
      </w:r>
      <w:r w:rsidR="008E2D0D" w:rsidRPr="00D637A7">
        <w:fldChar w:fldCharType="separate"/>
      </w:r>
      <w:r w:rsidR="006D0886">
        <w:rPr>
          <w:noProof/>
        </w:rPr>
        <w:t>219</w:t>
      </w:r>
      <w:r w:rsidR="008E2D0D" w:rsidRPr="00D637A7">
        <w:fldChar w:fldCharType="end"/>
      </w:r>
      <w:r w:rsidR="008E2D0D">
        <w:t>-</w:t>
      </w:r>
      <w:r w:rsidR="008E2D0D" w:rsidRPr="00D637A7">
        <w:fldChar w:fldCharType="begin"/>
      </w:r>
      <w:r w:rsidR="008E2D0D" w:rsidRPr="00D637A7">
        <w:instrText xml:space="preserve"> REF Iustitia_1 \h </w:instrText>
      </w:r>
      <w:r w:rsidR="008E2D0D" w:rsidRPr="00D637A7">
        <w:fldChar w:fldCharType="separate"/>
      </w:r>
      <w:r w:rsidR="006D0886">
        <w:rPr>
          <w:noProof/>
        </w:rPr>
        <w:t>221</w:t>
      </w:r>
      <w:r w:rsidR="008E2D0D" w:rsidRPr="00D637A7">
        <w:fldChar w:fldCharType="end"/>
      </w:r>
      <w:r w:rsidR="008E2D0D">
        <w:t xml:space="preserve"> poniżej). Podkreślał, że </w:t>
      </w:r>
      <w:r w:rsidR="00FE5D3D">
        <w:t>lista</w:t>
      </w:r>
      <w:r w:rsidR="008E2D0D">
        <w:t xml:space="preserve"> organów publicznych, które mogą wnieść skargę nadzwyczajną, </w:t>
      </w:r>
      <w:r w:rsidR="00FE5D3D">
        <w:t>została ustalona</w:t>
      </w:r>
      <w:r w:rsidR="00FE5D3D">
        <w:br/>
      </w:r>
      <w:r w:rsidR="008E2D0D">
        <w:t>arbitraln</w:t>
      </w:r>
      <w:r w:rsidR="00FE5D3D">
        <w:t>ie</w:t>
      </w:r>
      <w:r w:rsidR="008E2D0D">
        <w:t xml:space="preserve">, a ustawa dała Prokuratorowi Generalnemu nieproporcjonalne i </w:t>
      </w:r>
      <w:r w:rsidR="008E2D0D">
        <w:rPr>
          <w:i/>
          <w:iCs/>
        </w:rPr>
        <w:t>de facto</w:t>
      </w:r>
      <w:r w:rsidR="008E2D0D">
        <w:t xml:space="preserve"> nieograniczone uprawnieni</w:t>
      </w:r>
      <w:r w:rsidR="00FE5D3D">
        <w:t>e</w:t>
      </w:r>
      <w:r w:rsidR="008E2D0D">
        <w:t xml:space="preserve"> zaskarżenia </w:t>
      </w:r>
      <w:r w:rsidR="00FE5D3D">
        <w:t>każdego</w:t>
      </w:r>
      <w:r w:rsidR="008E2D0D">
        <w:t xml:space="preserve"> prawomocnego orzeczenia. Podstawy i zakres funkcjonowania skargi były zbyt szerokie i </w:t>
      </w:r>
      <w:r w:rsidR="00FE5D3D">
        <w:t>nieprecyzyjnie określone</w:t>
      </w:r>
      <w:r w:rsidR="008E2D0D">
        <w:t xml:space="preserve">. Pięcioletni termin na wniesienie skargi był zbyt długi, </w:t>
      </w:r>
      <w:r w:rsidR="00FE5D3D">
        <w:t>rodząc</w:t>
      </w:r>
      <w:r w:rsidR="008E2D0D">
        <w:t xml:space="preserve"> wątpliwości w kontekście zasad </w:t>
      </w:r>
      <w:r w:rsidR="008E2D0D">
        <w:rPr>
          <w:i/>
          <w:iCs/>
        </w:rPr>
        <w:t>res judicata</w:t>
      </w:r>
      <w:r w:rsidR="008E2D0D">
        <w:t xml:space="preserve">, pewności prawa oraz stabilności i przewidywalności </w:t>
      </w:r>
      <w:r w:rsidR="00FE5D3D">
        <w:t>prawa</w:t>
      </w:r>
      <w:r w:rsidR="008E2D0D">
        <w:t xml:space="preserve">. Nowo utworzoną izbę Sądu Najwyższego – IKNiSP – stworzono specjalnie do rozpoznawania skarg nadzwyczajnych, przy czym wszyscy sędziowie w niej zasiadający zostali powołani w wadliwej procedurze, co stwierdzono w wyroku </w:t>
      </w:r>
      <w:r w:rsidR="008E2D0D">
        <w:rPr>
          <w:i/>
          <w:iCs/>
        </w:rPr>
        <w:t xml:space="preserve">Dolińska-Ficek i Ozimek </w:t>
      </w:r>
      <w:r w:rsidR="008E2D0D">
        <w:t>(</w:t>
      </w:r>
      <w:r w:rsidR="008E2D0D">
        <w:rPr>
          <w:i/>
          <w:iCs/>
        </w:rPr>
        <w:t>op.</w:t>
      </w:r>
      <w:r w:rsidR="00FE5D3D">
        <w:rPr>
          <w:i/>
          <w:iCs/>
        </w:rPr>
        <w:t xml:space="preserve"> </w:t>
      </w:r>
      <w:r w:rsidR="008E2D0D">
        <w:rPr>
          <w:i/>
          <w:iCs/>
        </w:rPr>
        <w:t>cit.</w:t>
      </w:r>
      <w:r w:rsidR="008E2D0D">
        <w:t xml:space="preserve">). Przepisy przejściowe ustawy o Sądzie Najwyższym z 2017 r. dały Prokuratorowi Generalnemu możliwość podważenia </w:t>
      </w:r>
      <w:r w:rsidR="00465C7C">
        <w:t>każdego</w:t>
      </w:r>
      <w:r w:rsidR="008E2D0D">
        <w:t xml:space="preserve"> prawomocnego orzeczenia wydanego w Polsce po 17 października 1997 r.; </w:t>
      </w:r>
      <w:r w:rsidR="008E2D0D">
        <w:rPr>
          <w:i/>
          <w:iCs/>
        </w:rPr>
        <w:t xml:space="preserve">de facto </w:t>
      </w:r>
      <w:r w:rsidR="008E2D0D">
        <w:t>ustawa ta dała owe nieograniczone i w pełni arbitralne uprawnieni</w:t>
      </w:r>
      <w:r w:rsidR="00465C7C">
        <w:t>e</w:t>
      </w:r>
      <w:r w:rsidR="008E2D0D">
        <w:t xml:space="preserve"> osobiście p. Ziobrze, </w:t>
      </w:r>
      <w:r w:rsidR="00465C7C">
        <w:t>członkowi</w:t>
      </w:r>
      <w:r w:rsidR="008E2D0D">
        <w:t xml:space="preserve"> władzy wykonawczej. Co więcej, sprawa, w której </w:t>
      </w:r>
      <w:r w:rsidR="00465C7C">
        <w:t>złożył</w:t>
      </w:r>
      <w:r w:rsidR="008E2D0D">
        <w:t xml:space="preserve"> skargę nadzwyczajną, miała być rozpoznawana przez sędziów zaaprobowanych przez rząd.</w:t>
      </w:r>
    </w:p>
    <w:p w14:paraId="26536B06" w14:textId="77777777" w:rsidR="000410B4" w:rsidRPr="00D637A7" w:rsidRDefault="008E2D0D" w:rsidP="00D637A7">
      <w:pPr>
        <w:pStyle w:val="JuPara"/>
      </w:pPr>
      <w:r>
        <w:t>Podsumowując, w świetle orzecznictwa Trybunału skarga nadzwyczajna w postaci funkcjonującej w Polsce była niezgodna z art. 6 ust. 1 Konwencji.</w:t>
      </w:r>
    </w:p>
    <w:p w14:paraId="693D89BD" w14:textId="77777777" w:rsidR="000410B4" w:rsidRPr="00D637A7" w:rsidRDefault="00000000" w:rsidP="00D637A7">
      <w:pPr>
        <w:pStyle w:val="JuPara"/>
      </w:pPr>
      <w:fldSimple w:instr=" SEQ level0 \*arabic \* MERGEFORMAT ">
        <w:r w:rsidR="006D0886">
          <w:rPr>
            <w:noProof/>
          </w:rPr>
          <w:t>188</w:t>
        </w:r>
      </w:fldSimple>
      <w:r w:rsidR="008E2D0D">
        <w:t>.  Odnosząc się do własnej sprawy, skarżący twierdził, że Prokurator Generalny arbitralnie postanowił wnieść skargę nadzwyczajną od wyroku wydanego na korzyść skarżącego, działając na podstawie retroaktywnych przepisów ustawy o Sądzie Najwyższym z 2017 r. Co więcej, Prokurator Generalny miał nieograniczony czas na przygotowanie skargi nadzwyczajnej, podczas gdy skarżący miał zaledwie czternaście dni na przedstawienie odpowiedzi.</w:t>
      </w:r>
    </w:p>
    <w:p w14:paraId="78D9F937" w14:textId="2B2CB4AC" w:rsidR="000410B4" w:rsidRPr="00D637A7" w:rsidRDefault="00000000" w:rsidP="00D637A7">
      <w:pPr>
        <w:pStyle w:val="JuPara"/>
      </w:pPr>
      <w:fldSimple w:instr=" SEQ level0 \*arabic ">
        <w:r w:rsidR="006D0886">
          <w:rPr>
            <w:noProof/>
          </w:rPr>
          <w:t>189</w:t>
        </w:r>
      </w:fldSimple>
      <w:r w:rsidR="008E2D0D">
        <w:t xml:space="preserve">.  Rząd podnosił, że wprowadzenie skargi nadzwyczajnej do polskiego prawa stanowiło odpowiedź na coraz liczniejsze żądania, by stworzyć skuteczny środek ochrony prawnej, który umożliwiałby wyeliminowanie prawomocnych orzeczeń naruszających Konstytucję, w sposób rażący </w:t>
      </w:r>
      <w:r w:rsidR="008E2D0D">
        <w:lastRenderedPageBreak/>
        <w:t xml:space="preserve">naruszających prawo </w:t>
      </w:r>
      <w:r w:rsidR="008E0A4E">
        <w:t>i/</w:t>
      </w:r>
      <w:r w:rsidR="008E2D0D">
        <w:t>lub oczywiście sprzecznych z dowodami zgromadzonymi w sprawie. W tym kontekście Rząd powołał się na postanowienia Trybunału Konstytucyjnego z 2003 r., w których stwierdzono, że w polskim porządku prawnym brakuje nadzwyczajnego środka, który umożliwiłby skuteczną ochronę praw i wolności zapisanych w Konstytucji. Skarga konstytucyjna nie spełniała tych wymogów ze względu na swój wąski zakres i fakt, iż nacisk kładziono w niej na wyeliminowanie z porządku prawnego przepisu naruszającego prawa i wolności konstytucyjne.</w:t>
      </w:r>
    </w:p>
    <w:bookmarkStart w:id="108" w:name="parties_submissions_1"/>
    <w:p w14:paraId="5D3A9FDA" w14:textId="0359F81F"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190</w:t>
      </w:r>
      <w:r w:rsidRPr="00D637A7">
        <w:fldChar w:fldCharType="end"/>
      </w:r>
      <w:bookmarkEnd w:id="108"/>
      <w:r>
        <w:t xml:space="preserve">.  W ocenie Rządu możliwość skorzystania ze skargi nadzwyczajnej ograniczała się do wyjątkowych sytuacji, w których prawomocnego orzeczenia nie można był uchylić ani zmienić </w:t>
      </w:r>
      <w:r w:rsidR="008E0A4E">
        <w:t xml:space="preserve">za pomocą </w:t>
      </w:r>
      <w:r>
        <w:t>inny</w:t>
      </w:r>
      <w:r w:rsidR="008E0A4E">
        <w:t>ch</w:t>
      </w:r>
      <w:r>
        <w:t xml:space="preserve"> nadzwyczajny</w:t>
      </w:r>
      <w:r w:rsidR="008E0A4E">
        <w:t>ch</w:t>
      </w:r>
      <w:r>
        <w:t xml:space="preserve"> środk</w:t>
      </w:r>
      <w:r w:rsidR="008E0A4E">
        <w:t>ów</w:t>
      </w:r>
      <w:r>
        <w:t xml:space="preserve"> zaskarżenia. Wprowadzono dodatkowe gwarancje służące zapewnieniu właściwego stosowania tego </w:t>
      </w:r>
      <w:r w:rsidR="008E0A4E">
        <w:t>środka</w:t>
      </w:r>
      <w:r>
        <w:t>, takie jak racjonalne terminy i powierzenie możliwości wniesienia skargi nadzwyczajnej tylko kilku urzędnikom</w:t>
      </w:r>
      <w:r w:rsidR="00E0184E">
        <w:t xml:space="preserve"> publicznym</w:t>
      </w:r>
      <w:r>
        <w:t>, którzy cieszyli się największym zaufaniem publicznym.</w:t>
      </w:r>
    </w:p>
    <w:p w14:paraId="2D134530" w14:textId="70C81EFC" w:rsidR="000410B4" w:rsidRPr="00D637A7" w:rsidRDefault="00000000" w:rsidP="00D637A7">
      <w:pPr>
        <w:pStyle w:val="JuPara"/>
      </w:pPr>
      <w:fldSimple w:instr=" SEQ level0 \*arabic \* MERGEFORMAT ">
        <w:r w:rsidR="006D0886">
          <w:rPr>
            <w:noProof/>
          </w:rPr>
          <w:t>191</w:t>
        </w:r>
      </w:fldSimple>
      <w:r w:rsidR="008E2D0D">
        <w:t>.  Rząd podkreślał, że dopuszczalność skargi nadzwyczajnej jest zależna od konieczności zapewnienia zgodności z zasadą demokratycznego państwa praw</w:t>
      </w:r>
      <w:r w:rsidR="00E0184E">
        <w:t>a</w:t>
      </w:r>
      <w:r w:rsidR="008E2D0D">
        <w:t xml:space="preserve"> urzeczywistniającego zasady sprawiedliwości społecznej. Ograniczenie to oznaczało, że nawet poważna wada orzeczenia kwestionowanego w drodze skargi nadzwyczajnej nie prowadzi automatycznie do uznania skargi nadzwyczajnej za dopuszczalną. Każda decyzja w przedmiocie dopuszczalności poprzedzona </w:t>
      </w:r>
      <w:r w:rsidR="00E0184E">
        <w:t>była wy</w:t>
      </w:r>
      <w:r w:rsidR="008E2D0D">
        <w:t xml:space="preserve">ważeniem </w:t>
      </w:r>
      <w:r w:rsidR="00E0184E">
        <w:t>kolidujących</w:t>
      </w:r>
      <w:r w:rsidR="008E2D0D">
        <w:t xml:space="preserve"> </w:t>
      </w:r>
      <w:r w:rsidR="00E0184E">
        <w:t xml:space="preserve">konstytucyjnych </w:t>
      </w:r>
      <w:r w:rsidR="008E2D0D">
        <w:t>wartości i dóbr określonych w art. 2 Konstytucji.</w:t>
      </w:r>
    </w:p>
    <w:p w14:paraId="575217DB" w14:textId="48699C2B" w:rsidR="000410B4" w:rsidRPr="00D637A7" w:rsidRDefault="00000000" w:rsidP="00D637A7">
      <w:pPr>
        <w:pStyle w:val="JuPara"/>
      </w:pPr>
      <w:fldSimple w:instr=" SEQ level0 \*arabic \* MERGEFORMAT ">
        <w:r w:rsidR="006D0886">
          <w:rPr>
            <w:noProof/>
          </w:rPr>
          <w:t>192</w:t>
        </w:r>
      </w:fldSimple>
      <w:r w:rsidR="008E2D0D">
        <w:t xml:space="preserve">.  Rząd dodał, że Sąd Najwyższy wielokrotnie </w:t>
      </w:r>
      <w:r w:rsidR="00E0184E">
        <w:t>sygnalizował</w:t>
      </w:r>
      <w:r w:rsidR="008E2D0D">
        <w:t xml:space="preserve">, iż sama wadliwość orzeczenia sądowego nie wystarczy, by uznać skargę nadzwyczajną za dopuszczalną. Każda sprawa wymaga ostrożnej oceny, czy odejście od zasady </w:t>
      </w:r>
      <w:r w:rsidR="008E2D0D">
        <w:rPr>
          <w:i/>
          <w:iCs/>
        </w:rPr>
        <w:t>res judicata</w:t>
      </w:r>
      <w:r w:rsidR="008E2D0D">
        <w:t xml:space="preserve"> jest uzasadnione charakterem i zakresem nieprawidłowości cechujących zaskarżany wyrok. W ocenie Rządu argument, że mechanizm skargi nadzwyczajnej był sprzeczny z zasadą pewności prawa mógł wynikać nie tylko z ignorowania prawa wewnętrznego, ale również z błędnego postrzegania tej zasady jako zasady o charakterze bezwzględnym.</w:t>
      </w:r>
    </w:p>
    <w:p w14:paraId="036A0919" w14:textId="407C9FEB" w:rsidR="000410B4" w:rsidRPr="00D637A7" w:rsidRDefault="00000000" w:rsidP="00D637A7">
      <w:pPr>
        <w:pStyle w:val="JuPara"/>
      </w:pPr>
      <w:fldSimple w:instr=" SEQ level0 \*arabic \* MERGEFORMAT ">
        <w:r w:rsidR="006D0886">
          <w:rPr>
            <w:noProof/>
          </w:rPr>
          <w:t>193</w:t>
        </w:r>
      </w:fldSimple>
      <w:r w:rsidR="008E2D0D">
        <w:t xml:space="preserve">.  Powołując się na wyrok Trybunału wydany w sprawie </w:t>
      </w:r>
      <w:r w:rsidR="008E2D0D">
        <w:rPr>
          <w:i/>
          <w:iCs/>
        </w:rPr>
        <w:t>Ryabykh</w:t>
      </w:r>
      <w:r w:rsidR="008E2D0D">
        <w:t xml:space="preserve"> (</w:t>
      </w:r>
      <w:bookmarkStart w:id="109" w:name="_cl35343"/>
      <w:r w:rsidR="008E2D0D" w:rsidRPr="007B69A2">
        <w:fldChar w:fldCharType="begin"/>
      </w:r>
      <w:r w:rsidR="008E2D0D" w:rsidRPr="007B69A2">
        <w:instrText>HYPERLINK \l "_cl35343"</w:instrText>
      </w:r>
      <w:r w:rsidR="008E2D0D" w:rsidRPr="007B69A2">
        <w:fldChar w:fldCharType="separate"/>
      </w:r>
      <w:r w:rsidR="008E2D0D" w:rsidRPr="007B69A2">
        <w:rPr>
          <w:rStyle w:val="Hipercze"/>
          <w:i/>
          <w:iCs/>
          <w:color w:val="auto"/>
          <w:u w:val="none"/>
        </w:rPr>
        <w:t>op.</w:t>
      </w:r>
      <w:r w:rsidR="00632579" w:rsidRPr="007B69A2">
        <w:rPr>
          <w:rStyle w:val="Hipercze"/>
          <w:i/>
          <w:iCs/>
          <w:color w:val="auto"/>
          <w:u w:val="none"/>
        </w:rPr>
        <w:t xml:space="preserve"> </w:t>
      </w:r>
      <w:r w:rsidR="008E2D0D" w:rsidRPr="007B69A2">
        <w:rPr>
          <w:rStyle w:val="Hipercze"/>
          <w:i/>
          <w:iCs/>
          <w:color w:val="auto"/>
          <w:u w:val="none"/>
        </w:rPr>
        <w:t>cit.</w:t>
      </w:r>
      <w:r w:rsidR="008E2D0D" w:rsidRPr="007B69A2">
        <w:rPr>
          <w:rStyle w:val="Hipercze"/>
          <w:i/>
          <w:iCs/>
          <w:color w:val="auto"/>
          <w:u w:val="none"/>
        </w:rPr>
        <w:fldChar w:fldCharType="end"/>
      </w:r>
      <w:r w:rsidR="008E2D0D" w:rsidRPr="007B69A2">
        <w:t>)</w:t>
      </w:r>
      <w:r w:rsidR="008E2D0D">
        <w:t>, Rząd</w:t>
      </w:r>
      <w:bookmarkEnd w:id="109"/>
      <w:r w:rsidR="008E2D0D">
        <w:t xml:space="preserve"> wskazał, że skarga nadzwyczajna może być </w:t>
      </w:r>
      <w:r w:rsidR="00632579">
        <w:t>skutecznie stosowana</w:t>
      </w:r>
      <w:r w:rsidR="008E2D0D">
        <w:t xml:space="preserve"> wyłącznie w przypadkach poważnych i bezsprzecznych naruszeń, które skutkowały pomyłką sądową. Dodatkowo Rząd stwierdził, że skarga nadzwyczajna nie tylko spełnia kryteria wypracowane w orzecznictwie Trybunału, ale również stanowi mechanizm służący identyfikowaniu </w:t>
      </w:r>
      <w:r w:rsidR="00632579">
        <w:t xml:space="preserve">i naprawie </w:t>
      </w:r>
      <w:r w:rsidR="008E2D0D">
        <w:t>naruszeń praw człowieka. W rezultacie zwiększa ona standardy ochrony praw gwarantowanych Konwencją na szczeblu krajowym.</w:t>
      </w:r>
    </w:p>
    <w:p w14:paraId="15EBC413" w14:textId="7CA8DF1D" w:rsidR="000410B4" w:rsidRPr="00D637A7" w:rsidRDefault="00000000" w:rsidP="00D637A7">
      <w:pPr>
        <w:pStyle w:val="JuPara"/>
      </w:pPr>
      <w:fldSimple w:instr=" SEQ level0 \*arabic \* MERGEFORMAT ">
        <w:r w:rsidR="006D0886">
          <w:rPr>
            <w:noProof/>
          </w:rPr>
          <w:t>194</w:t>
        </w:r>
      </w:fldSimple>
      <w:r w:rsidR="008E2D0D">
        <w:t xml:space="preserve">.  Rząd podał kilka przykładów skarg nadzwyczajnych </w:t>
      </w:r>
      <w:r w:rsidR="00632579">
        <w:t>złożonych</w:t>
      </w:r>
      <w:r w:rsidR="008E2D0D">
        <w:t xml:space="preserve"> przez Prokuratora Generalnego, które Sąd Najwyższy uznał za dopuszczalne. </w:t>
      </w:r>
      <w:r w:rsidR="008E2D0D">
        <w:lastRenderedPageBreak/>
        <w:t>W szczególności przytoczył sprawy dotyczące kredytów denominowanych we frankach szwajcarskich (zob. </w:t>
      </w:r>
      <w:r w:rsidR="008E2D0D">
        <w:rPr>
          <w:i/>
          <w:iCs/>
        </w:rPr>
        <w:t>Sadlik przeciwko Polsce</w:t>
      </w:r>
      <w:r w:rsidR="008E2D0D">
        <w:t xml:space="preserve">, skarga nr 44180/17, § 3, 31 sierpnia 2021 r. [decyzja Komitetu]), </w:t>
      </w:r>
      <w:r w:rsidR="00C1069E">
        <w:t xml:space="preserve">kwestii </w:t>
      </w:r>
      <w:r w:rsidR="008E2D0D">
        <w:t>spadk</w:t>
      </w:r>
      <w:r w:rsidR="00C1069E">
        <w:t>o</w:t>
      </w:r>
      <w:r w:rsidR="008E2D0D">
        <w:t>w</w:t>
      </w:r>
      <w:r w:rsidR="00C1069E">
        <w:t>ych</w:t>
      </w:r>
      <w:r w:rsidR="008E2D0D">
        <w:t xml:space="preserve">, </w:t>
      </w:r>
      <w:r w:rsidR="00C1069E">
        <w:t xml:space="preserve">pożyczek </w:t>
      </w:r>
      <w:r w:rsidR="008E2D0D">
        <w:t>lichwiarskich, praw pracowniczych, a także spraw dotyczących powrotu dzieci urodzonych w Polsce prowadzonych na podstawie Konwencji haskiej dotyczącej cywilnych aspektów uprowadzenia dziecka za granicę.</w:t>
      </w:r>
    </w:p>
    <w:bookmarkStart w:id="110" w:name="parties_submissions_2"/>
    <w:p w14:paraId="10CDC507" w14:textId="4D7DD4BD"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195</w:t>
      </w:r>
      <w:r w:rsidRPr="00D637A7">
        <w:fldChar w:fldCharType="end"/>
      </w:r>
      <w:bookmarkEnd w:id="110"/>
      <w:r>
        <w:t xml:space="preserve">.  W przeciwieństwie do sytuacji z wyroków Trybunału w sprawach </w:t>
      </w:r>
      <w:r>
        <w:rPr>
          <w:i/>
          <w:iCs/>
        </w:rPr>
        <w:t xml:space="preserve">Brumărescu </w:t>
      </w:r>
      <w:r>
        <w:t xml:space="preserve">i </w:t>
      </w:r>
      <w:r>
        <w:rPr>
          <w:i/>
          <w:iCs/>
        </w:rPr>
        <w:t xml:space="preserve">Ryabykh </w:t>
      </w:r>
      <w:r>
        <w:t>(</w:t>
      </w:r>
      <w:bookmarkStart w:id="111" w:name="_cl22659"/>
      <w:r>
        <w:rPr>
          <w:i/>
          <w:iCs/>
        </w:rPr>
        <w:t>op.</w:t>
      </w:r>
      <w:r w:rsidR="00C1069E">
        <w:rPr>
          <w:i/>
          <w:iCs/>
        </w:rPr>
        <w:t xml:space="preserve"> </w:t>
      </w:r>
      <w:r>
        <w:rPr>
          <w:i/>
          <w:iCs/>
        </w:rPr>
        <w:t>cit.</w:t>
      </w:r>
      <w:r>
        <w:t xml:space="preserve">), gdzie naruszenie </w:t>
      </w:r>
      <w:bookmarkEnd w:id="111"/>
      <w:r>
        <w:t xml:space="preserve">art. 6 Konwencji było szczególnie rażące z uwagi na fakt, iż odpowiedni nadzwyczajny środek zaskarżenia </w:t>
      </w:r>
      <w:r w:rsidR="00C1069E">
        <w:t>mógł być wniesiony bez żadnych ograniczeń czasowych</w:t>
      </w:r>
      <w:r>
        <w:t>, przepis</w:t>
      </w:r>
      <w:r w:rsidR="00C1069E">
        <w:t>y</w:t>
      </w:r>
      <w:r>
        <w:t xml:space="preserve"> ustawy o Sądzie Najwyższym z 2017 r. wprowadz</w:t>
      </w:r>
      <w:r w:rsidR="00C1069E">
        <w:t>iły</w:t>
      </w:r>
      <w:r>
        <w:t xml:space="preserve"> ścisłe </w:t>
      </w:r>
      <w:r w:rsidR="00C1069E">
        <w:t>ograniczenia czasowe</w:t>
      </w:r>
      <w:r>
        <w:t>.</w:t>
      </w:r>
    </w:p>
    <w:p w14:paraId="410C52E4" w14:textId="526B29CD" w:rsidR="000410B4" w:rsidRPr="00D637A7" w:rsidRDefault="00000000" w:rsidP="00D637A7">
      <w:pPr>
        <w:pStyle w:val="JuPara"/>
      </w:pPr>
      <w:fldSimple w:instr=" SEQ level0 \*arabic \* MERGEFORMAT ">
        <w:r w:rsidR="006D0886">
          <w:rPr>
            <w:noProof/>
          </w:rPr>
          <w:t>196</w:t>
        </w:r>
      </w:fldSimple>
      <w:r w:rsidR="008E2D0D">
        <w:t xml:space="preserve">.  Rząd stwierdził, że istnienie mechanizmu skargi nadzwyczajnej poprawiło ogólną skuteczność wykonywania wyroków Trybunału w sprawach polskich. Jako że w polskim systemie prawnym nie było możliwe wznawianie postępowań cywilnych w następstwie stwierdzenia przez Trybunał naruszenia art. 6 Konwencji, skarga nadzwyczajna wprowadzała dodatkową możliwość wyeliminowania z systemu prawnego orzeczenia, które leżało u podstaw naruszenia Konwencji. Rząd zauważył, że retrospektywna </w:t>
      </w:r>
      <w:r w:rsidR="000A75EE">
        <w:t>jurysdykcja</w:t>
      </w:r>
      <w:r w:rsidR="008E2D0D">
        <w:t xml:space="preserve"> Sądu Najwyższego w sprawach wiążących się ze skargą nadzwyczajną potencjalnie </w:t>
      </w:r>
      <w:r w:rsidR="000A75EE">
        <w:t>rozciągała</w:t>
      </w:r>
      <w:r w:rsidR="008E2D0D">
        <w:t xml:space="preserve"> się na wszystkie sprawy, w których Trybunał stwierdził naruszenie Konwencji.</w:t>
      </w:r>
    </w:p>
    <w:p w14:paraId="10D4DB42" w14:textId="77777777" w:rsidR="000410B4" w:rsidRPr="00D637A7" w:rsidRDefault="00000000" w:rsidP="00D637A7">
      <w:pPr>
        <w:pStyle w:val="JuPara"/>
      </w:pPr>
      <w:fldSimple w:instr=" SEQ level0 \*arabic \* MERGEFORMAT ">
        <w:r w:rsidR="006D0886">
          <w:rPr>
            <w:noProof/>
          </w:rPr>
          <w:t>197</w:t>
        </w:r>
      </w:fldSimple>
      <w:r w:rsidR="008E2D0D">
        <w:t>.  Rząd stwierdził ponadto, że jego stanowisko było zbieżne z uwagami RPO dotyczącymi mechanizmu skargi nadzwyczajnej (zob. par. </w:t>
      </w:r>
      <w:r w:rsidR="008E2D0D" w:rsidRPr="00D637A7">
        <w:fldChar w:fldCharType="begin"/>
      </w:r>
      <w:r w:rsidR="008E2D0D" w:rsidRPr="00D637A7">
        <w:instrText xml:space="preserve"> REF Commissioner_HR_3 \h </w:instrText>
      </w:r>
      <w:r w:rsidR="008E2D0D" w:rsidRPr="00D637A7">
        <w:fldChar w:fldCharType="separate"/>
      </w:r>
      <w:r w:rsidR="006D0886">
        <w:rPr>
          <w:noProof/>
        </w:rPr>
        <w:t>212</w:t>
      </w:r>
      <w:r w:rsidR="008E2D0D" w:rsidRPr="00D637A7">
        <w:fldChar w:fldCharType="end"/>
      </w:r>
      <w:r w:rsidR="008E2D0D">
        <w:t>-</w:t>
      </w:r>
      <w:r w:rsidR="008E2D0D" w:rsidRPr="00D637A7">
        <w:fldChar w:fldCharType="begin"/>
      </w:r>
      <w:r w:rsidR="008E2D0D" w:rsidRPr="00D637A7">
        <w:instrText xml:space="preserve"> REF Commissioner_HR_4 \h </w:instrText>
      </w:r>
      <w:r w:rsidR="008E2D0D" w:rsidRPr="00D637A7">
        <w:fldChar w:fldCharType="separate"/>
      </w:r>
      <w:r w:rsidR="006D0886">
        <w:rPr>
          <w:noProof/>
        </w:rPr>
        <w:t>218</w:t>
      </w:r>
      <w:r w:rsidR="008E2D0D" w:rsidRPr="00D637A7">
        <w:fldChar w:fldCharType="end"/>
      </w:r>
      <w:r w:rsidR="008E2D0D">
        <w:t xml:space="preserve"> powyżej). Zwrócił się do Trybunału o zaakceptowanie stanowiska przedstawionego przez Rząd, a potwierdzonego przez RPO, a nie opinii wyrażonych przez pozostałe interweniujące strony trzecie.</w:t>
      </w:r>
    </w:p>
    <w:p w14:paraId="50EC3211" w14:textId="095FC640" w:rsidR="000410B4" w:rsidRPr="00D637A7" w:rsidRDefault="00000000" w:rsidP="00D637A7">
      <w:pPr>
        <w:pStyle w:val="JuPara"/>
      </w:pPr>
      <w:fldSimple w:instr=" SEQ level0 \*arabic \* MERGEFORMAT ">
        <w:r w:rsidR="006D0886">
          <w:rPr>
            <w:noProof/>
          </w:rPr>
          <w:t>198</w:t>
        </w:r>
      </w:fldSimple>
      <w:r w:rsidR="008E2D0D">
        <w:t xml:space="preserve">.  Odnosząc się do skargi nadzwyczajnej wniesionej w indywidualnej sprawie skarżącego, Rząd utrzymywał, że skorzystanie przez Prokuratora Generalnego ze skargi nadzwyczajnej było nie tylko uzasadnione, ale i konieczne, ponieważ była to jedyna możliwość uchylenia wyroku Sądu Apelacyjnego w Gdańsku z dnia 24 marca 2011 r., który to wyrok naruszał </w:t>
      </w:r>
      <w:r w:rsidR="000A75EE">
        <w:t xml:space="preserve">podstawowe </w:t>
      </w:r>
      <w:r w:rsidR="008E2D0D">
        <w:t>prawo, jakim jest wolność wyrażania opinii. W rezultacie skarga ta stanowiła uzasadniony i proporcjonalny instrument prawny, który należało zastosować w tych okolicznościach.</w:t>
      </w:r>
    </w:p>
    <w:bookmarkStart w:id="112" w:name="merits_parties_submissions"/>
    <w:p w14:paraId="10498DC5" w14:textId="7E968B2B"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199</w:t>
      </w:r>
      <w:r w:rsidRPr="00D637A7">
        <w:fldChar w:fldCharType="end"/>
      </w:r>
      <w:bookmarkEnd w:id="112"/>
      <w:r>
        <w:t xml:space="preserve">.  Ponieważ w sprawie skarżącego doszło do naruszenia </w:t>
      </w:r>
      <w:r w:rsidR="000A75EE">
        <w:t xml:space="preserve">jednej z </w:t>
      </w:r>
      <w:r>
        <w:t xml:space="preserve">podstawowych wolności konstytucyjnych, Prokurator Generalny, który był bez wątpienia organem publicznym </w:t>
      </w:r>
      <w:r w:rsidR="00836EBB">
        <w:t>stojącym na straży</w:t>
      </w:r>
      <w:r>
        <w:t xml:space="preserve"> praworządnoś</w:t>
      </w:r>
      <w:r w:rsidR="00836EBB">
        <w:t>ci</w:t>
      </w:r>
      <w:r>
        <w:t xml:space="preserve">, nie tylko miał podstawy prawne, ale i obowiązek skorzystania z tego nadzwyczajnego środka zaskarżenia, aby wyeliminować z </w:t>
      </w:r>
      <w:r w:rsidR="00836EBB">
        <w:t>obrotu</w:t>
      </w:r>
      <w:r>
        <w:t xml:space="preserve"> prawnego orzeczenie naruszające podstawowe wolności i prawa każdego człowieka i obywatela określone w Konstytucji. W tym kontekście Rząd podkreślił, że podstawowym powodem wniesienia skargi nadzwyczajnej był obowiązek </w:t>
      </w:r>
      <w:r>
        <w:lastRenderedPageBreak/>
        <w:t>zapewnienia sprawiedliwych wyroków sądowych opartych na prawidło</w:t>
      </w:r>
      <w:r w:rsidR="00836EBB">
        <w:t xml:space="preserve"> zastosowanych</w:t>
      </w:r>
      <w:r>
        <w:t xml:space="preserve"> przepis</w:t>
      </w:r>
      <w:r w:rsidR="00836EBB">
        <w:t>ach</w:t>
      </w:r>
      <w:r>
        <w:t xml:space="preserve"> prawa. Orzeczenia, które nie spełniały tych standardów, a przez to były niezgodne z podstawowymi kryteriami rzetelności, w tym przede wszystkim niezgodne z Konstytucją RP</w:t>
      </w:r>
      <w:r w:rsidR="00836EBB">
        <w:t>,</w:t>
      </w:r>
      <w:r>
        <w:t xml:space="preserve"> wymagały korekty, nawet jeżeli były już prawomocne.</w:t>
      </w:r>
    </w:p>
    <w:p w14:paraId="70D07F01" w14:textId="22151BF8" w:rsidR="000410B4" w:rsidRPr="00D637A7" w:rsidRDefault="00000000" w:rsidP="00D637A7">
      <w:pPr>
        <w:pStyle w:val="JuPara"/>
      </w:pPr>
      <w:fldSimple w:instr=" SEQ level0 \*arabic \* MERGEFORMAT ">
        <w:r w:rsidR="006D0886">
          <w:rPr>
            <w:noProof/>
          </w:rPr>
          <w:t>200</w:t>
        </w:r>
      </w:fldSimple>
      <w:r w:rsidR="008E2D0D">
        <w:t xml:space="preserve">.  Z tych względów Rząd uznał, że wyrok IKNiSP uchylający prawomocny wyrok Sądu Apelacyjnego w Gdańsku z 24 marca 2011 r. wskutek wniesienia skargi nadzwyczajnej przez Prokuratora Generalnego nie </w:t>
      </w:r>
      <w:r w:rsidR="00836EBB">
        <w:t>stanowił</w:t>
      </w:r>
      <w:r w:rsidR="008E2D0D">
        <w:t xml:space="preserve"> naruszenia zasady pewności prawa.</w:t>
      </w:r>
    </w:p>
    <w:p w14:paraId="09A52B4C" w14:textId="77777777" w:rsidR="000410B4" w:rsidRPr="00D637A7" w:rsidRDefault="008E2D0D" w:rsidP="00D637A7">
      <w:pPr>
        <w:pStyle w:val="JuH1"/>
      </w:pPr>
      <w:r>
        <w:t>Uwagi interweniujących stron trzecich</w:t>
      </w:r>
    </w:p>
    <w:p w14:paraId="207AC5AC" w14:textId="77777777" w:rsidR="000410B4" w:rsidRPr="00D637A7" w:rsidRDefault="008E2D0D" w:rsidP="00D637A7">
      <w:pPr>
        <w:pStyle w:val="JuHa0"/>
      </w:pPr>
      <w:r>
        <w:t>Helsińska Fundacja Praw Człowieka</w:t>
      </w:r>
    </w:p>
    <w:bookmarkStart w:id="113" w:name="Helsinki_Foundation_1"/>
    <w:p w14:paraId="20FE20C4" w14:textId="6C7342F1"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201</w:t>
      </w:r>
      <w:r w:rsidRPr="00D637A7">
        <w:fldChar w:fldCharType="end"/>
      </w:r>
      <w:bookmarkEnd w:id="113"/>
      <w:r>
        <w:t xml:space="preserve">.  Helsińska Fundacja Praw Człowieka („HFPC”) </w:t>
      </w:r>
      <w:r w:rsidR="0047087A">
        <w:t>na wstępie swoich uwag</w:t>
      </w:r>
      <w:r>
        <w:t xml:space="preserve"> przypomniała, że ustawą o Sądzie Najwyższym z 2017 r. wprowadzono do polskiego systemu prawnego nie tylko skargę nadzwyczajną, ale także szereg innych kontrowersyjnych uregulowań, takich jak ustanowienie Izby Dyscyplinarnej Sądu Najwyższego czy obniżenie wieku przejścia w stan spoczynku sędziów Sądu Najwyższego. Co więcej, tego samego dnia polski parlament przyjął ustawę zmieniającą z 2017 r., którą </w:t>
      </w:r>
      <w:r w:rsidR="0047087A">
        <w:t>zmienił</w:t>
      </w:r>
      <w:r>
        <w:t xml:space="preserve"> tryb wyboru członków KRS </w:t>
      </w:r>
      <w:r w:rsidR="0047087A">
        <w:t xml:space="preserve">spośród sędziów </w:t>
      </w:r>
      <w:r>
        <w:t xml:space="preserve">i przedterminowo wygasił kadencję ówczesnych członków KRS. Wszystkie te zmiany doprowadziły do wielokrotnych naruszeń Konwencji, co potwierdzono </w:t>
      </w:r>
      <w:r w:rsidR="0047087A">
        <w:t xml:space="preserve">ostatecznymi </w:t>
      </w:r>
      <w:r>
        <w:t xml:space="preserve">wyrokami Trybunału w sprawach </w:t>
      </w:r>
      <w:r>
        <w:rPr>
          <w:i/>
          <w:iCs/>
        </w:rPr>
        <w:t xml:space="preserve">Reczkowicz, Dolińska-Ficek i Ozimek, Advance Pharma sp. z o.o. </w:t>
      </w:r>
      <w:r>
        <w:t xml:space="preserve">oraz </w:t>
      </w:r>
      <w:r>
        <w:rPr>
          <w:i/>
          <w:iCs/>
        </w:rPr>
        <w:t xml:space="preserve">Grzęda </w:t>
      </w:r>
      <w:r>
        <w:t>(wszystkie przytoczono powyżej).</w:t>
      </w:r>
    </w:p>
    <w:p w14:paraId="503BCB68" w14:textId="74EACCB0" w:rsidR="000410B4" w:rsidRPr="00D637A7" w:rsidRDefault="00000000" w:rsidP="00D637A7">
      <w:pPr>
        <w:pStyle w:val="JuPara"/>
      </w:pPr>
      <w:fldSimple w:instr=" SEQ level0 \*arabic \* MERGEFORMAT ">
        <w:r w:rsidR="006D0886">
          <w:rPr>
            <w:noProof/>
          </w:rPr>
          <w:t>202</w:t>
        </w:r>
      </w:fldSimple>
      <w:r w:rsidR="008E2D0D">
        <w:t xml:space="preserve">.  Co się tyczy skarg nadzwyczajnych, interwenient </w:t>
      </w:r>
      <w:r w:rsidR="0047087A">
        <w:t>s</w:t>
      </w:r>
      <w:r w:rsidR="008E2D0D">
        <w:t>twierdził, że prawomocnych wyroków należy przestrzegać i należy je wykonywać, a ich wiążący charakter nie może być kwestionowany. Jednakże zasada pewności prawa nie ma charakteru bezwzględnego</w:t>
      </w:r>
      <w:r w:rsidR="002F4BAA">
        <w:t xml:space="preserve"> i</w:t>
      </w:r>
      <w:r w:rsidR="008E2D0D">
        <w:t xml:space="preserve"> w pewnych okolicznościach może </w:t>
      </w:r>
      <w:r w:rsidR="002F4BAA">
        <w:t>doznawać ograniczenia</w:t>
      </w:r>
      <w:r w:rsidR="008E2D0D">
        <w:t xml:space="preserve"> na korzyść innych wartości prawnych, </w:t>
      </w:r>
      <w:r w:rsidR="002F4BAA">
        <w:t>istotnych</w:t>
      </w:r>
      <w:r w:rsidR="008E2D0D">
        <w:t xml:space="preserve"> </w:t>
      </w:r>
      <w:r w:rsidR="002F4BAA">
        <w:t>dla</w:t>
      </w:r>
      <w:r w:rsidR="008E2D0D">
        <w:t xml:space="preserve"> zapewnienia praworządności. W ocenie interwenienta konstrukcja i praktyczne funkcjonowanie nadzwyczajnych środków zaskarżenia muszą zapewniać odpowiednią równowagę między konkurującymi interesami i wartościami. W szczególności nadzwyczajne środki zaskarżenia muszą służyć w pierwszej kolejności ochronie jednostek przed rażącą niesprawiedliwością i nie mogą być wykorzystywane ze względów </w:t>
      </w:r>
      <w:r w:rsidR="002F4BAA">
        <w:t>natury politycznej</w:t>
      </w:r>
      <w:r w:rsidR="008E2D0D">
        <w:t>.</w:t>
      </w:r>
    </w:p>
    <w:p w14:paraId="20F72435" w14:textId="389604A3" w:rsidR="000410B4" w:rsidRPr="00D637A7" w:rsidRDefault="00000000" w:rsidP="00D637A7">
      <w:pPr>
        <w:pStyle w:val="JuPara"/>
      </w:pPr>
      <w:fldSimple w:instr=" SEQ level0 \*arabic \* MERGEFORMAT ">
        <w:r w:rsidR="006D0886">
          <w:rPr>
            <w:noProof/>
          </w:rPr>
          <w:t>203</w:t>
        </w:r>
      </w:fldSimple>
      <w:r w:rsidR="008E2D0D">
        <w:t xml:space="preserve">.  Po pierwsze, podstawy stosowania nadzwyczajnych środków zaskarżenia muszą być </w:t>
      </w:r>
      <w:r w:rsidR="002F4BAA">
        <w:t>precyzyjnie określone</w:t>
      </w:r>
      <w:r w:rsidR="008E2D0D">
        <w:t xml:space="preserve">, aby uniknąć arbitralności w rewizji prawomocnych orzeczeń. Po drugie, powinny być one ograniczone do szczególnie poważnych naruszeń prawa materialnego lub procesowego. Powołując się na wyrok Trybunału wydany w sprawie </w:t>
      </w:r>
      <w:bookmarkStart w:id="114" w:name="_cl32251"/>
      <w:r w:rsidR="008E2D0D">
        <w:rPr>
          <w:i/>
          <w:iCs/>
        </w:rPr>
        <w:t>Moreira Ferreira przeciwko Portugalii (skarga nr 2)</w:t>
      </w:r>
      <w:bookmarkEnd w:id="114"/>
      <w:r w:rsidR="008E2D0D">
        <w:t xml:space="preserve"> ([WI], skarga nr 19867/12, § 62, 11 lipca 2017 r.), interwenient stwierdził, że skarga nadzwyczajna nie powinna być </w:t>
      </w:r>
      <w:r w:rsidR="008E2D0D">
        <w:lastRenderedPageBreak/>
        <w:t xml:space="preserve">traktowana jako „zakamuflowana </w:t>
      </w:r>
      <w:r w:rsidR="007C57A5">
        <w:t>apelacja</w:t>
      </w:r>
      <w:r w:rsidR="008E2D0D">
        <w:t>” [ang. </w:t>
      </w:r>
      <w:r w:rsidR="008E2D0D">
        <w:rPr>
          <w:i/>
          <w:iCs/>
        </w:rPr>
        <w:t>appeal in disguise</w:t>
      </w:r>
      <w:r w:rsidR="008E2D0D">
        <w:t xml:space="preserve">], a sama możliwość istnienia dwóch poglądów na dany temat nie stanowi </w:t>
      </w:r>
      <w:r w:rsidR="007C57A5">
        <w:t>podstawy do</w:t>
      </w:r>
      <w:r w:rsidR="008E2D0D">
        <w:t xml:space="preserve"> ponownego rozpozna</w:t>
      </w:r>
      <w:r w:rsidR="007C57A5">
        <w:t>wa</w:t>
      </w:r>
      <w:r w:rsidR="008E2D0D">
        <w:t>nia.</w:t>
      </w:r>
    </w:p>
    <w:p w14:paraId="4434CD69" w14:textId="20C5A288" w:rsidR="000410B4" w:rsidRPr="00D637A7" w:rsidRDefault="00000000" w:rsidP="00D637A7">
      <w:pPr>
        <w:pStyle w:val="JuPara"/>
      </w:pPr>
      <w:fldSimple w:instr=" SEQ level0 \*arabic \* MERGEFORMAT ">
        <w:r w:rsidR="006D0886">
          <w:rPr>
            <w:noProof/>
          </w:rPr>
          <w:t>204</w:t>
        </w:r>
      </w:fldSimple>
      <w:r w:rsidR="008E2D0D">
        <w:t xml:space="preserve">.  W jego ocenie wymagany poziom powagi i </w:t>
      </w:r>
      <w:r w:rsidR="007C57A5">
        <w:t>precyzji</w:t>
      </w:r>
      <w:r w:rsidR="008E2D0D">
        <w:t xml:space="preserve"> podstaw rewizji prawomocnego wyroku mogą zależeć od rodzaju sprawy. W postępowaniu cywilnym podstaw</w:t>
      </w:r>
      <w:r w:rsidR="007C57A5">
        <w:t>y</w:t>
      </w:r>
      <w:r w:rsidR="008E2D0D">
        <w:t xml:space="preserve"> rewizji mus</w:t>
      </w:r>
      <w:r w:rsidR="007C57A5">
        <w:t>zą</w:t>
      </w:r>
      <w:r w:rsidR="008E2D0D">
        <w:t xml:space="preserve"> być ograniczon</w:t>
      </w:r>
      <w:r w:rsidR="007C57A5">
        <w:t>e</w:t>
      </w:r>
      <w:r w:rsidR="008E2D0D">
        <w:t xml:space="preserve">, </w:t>
      </w:r>
      <w:r w:rsidR="00875830">
        <w:t>w celu zapewnienia pewności</w:t>
      </w:r>
      <w:r w:rsidR="008E2D0D">
        <w:t xml:space="preserve"> prawa i </w:t>
      </w:r>
      <w:r w:rsidR="00875830">
        <w:t>właściwej</w:t>
      </w:r>
      <w:r w:rsidR="008E2D0D">
        <w:t xml:space="preserve"> równowag</w:t>
      </w:r>
      <w:r w:rsidR="00875830">
        <w:t>i</w:t>
      </w:r>
      <w:r w:rsidR="008E2D0D">
        <w:t xml:space="preserve"> między prawami obu stron.</w:t>
      </w:r>
    </w:p>
    <w:p w14:paraId="38B90BEA" w14:textId="77777777" w:rsidR="000410B4" w:rsidRPr="00D637A7" w:rsidRDefault="00000000" w:rsidP="00D637A7">
      <w:pPr>
        <w:pStyle w:val="JuPara"/>
      </w:pPr>
      <w:fldSimple w:instr=" SEQ level0 \*arabic \* MERGEFORMAT ">
        <w:r w:rsidR="006D0886">
          <w:rPr>
            <w:noProof/>
          </w:rPr>
          <w:t>205</w:t>
        </w:r>
      </w:fldSimple>
      <w:r w:rsidR="008E2D0D">
        <w:t>.  Innym kluczowym czynnikiem był termin na wniesienie nadzwyczajnych środków zaskarżenia. Im dłuższy czas upłynął od wydania orzeczenia, tym ważniejsze będzie poszanowanie pewności prawa i tym trudniejsze powinno być zaskarżenie tego orzeczenia.</w:t>
      </w:r>
    </w:p>
    <w:p w14:paraId="2E0AD086" w14:textId="0EF3B5E5" w:rsidR="000410B4" w:rsidRPr="00D637A7" w:rsidRDefault="00000000" w:rsidP="00D637A7">
      <w:pPr>
        <w:pStyle w:val="JuPara"/>
      </w:pPr>
      <w:fldSimple w:instr=" SEQ level0 \*arabic \* MERGEFORMAT ">
        <w:r w:rsidR="006D0886">
          <w:rPr>
            <w:noProof/>
          </w:rPr>
          <w:t>206</w:t>
        </w:r>
      </w:fldSimple>
      <w:r w:rsidR="008E2D0D">
        <w:t xml:space="preserve">.  Interwenient nie wykluczył możliwości </w:t>
      </w:r>
      <w:r w:rsidR="00875830">
        <w:t>przyznania prawa</w:t>
      </w:r>
      <w:r w:rsidR="008E2D0D">
        <w:t xml:space="preserve"> </w:t>
      </w:r>
      <w:r w:rsidR="00875830">
        <w:t>do wnoszenia skargi nadzwyczajnej niektórym</w:t>
      </w:r>
      <w:r w:rsidR="008E2D0D">
        <w:t xml:space="preserve"> organ</w:t>
      </w:r>
      <w:r w:rsidR="00875830">
        <w:t>om</w:t>
      </w:r>
      <w:r w:rsidR="008E2D0D">
        <w:t xml:space="preserve"> publiczny</w:t>
      </w:r>
      <w:r w:rsidR="00875830">
        <w:t>m</w:t>
      </w:r>
      <w:r w:rsidR="008E2D0D">
        <w:t xml:space="preserve">, a nawet działania przez nie w tym zakresie zamiast stron postępowania. Niemniej jednak państwa nie powinny dysponować w tym zakresie bezwzględną swobodą uznania. </w:t>
      </w:r>
      <w:r w:rsidR="00875830">
        <w:t>Byłoby s</w:t>
      </w:r>
      <w:r w:rsidR="008E2D0D">
        <w:t xml:space="preserve">przeczne z zasadą praworządności </w:t>
      </w:r>
      <w:r w:rsidR="00875830">
        <w:t xml:space="preserve">gdyby prawomocne wyroki sądowe mogłyby być kwestionowane przez </w:t>
      </w:r>
      <w:r w:rsidR="00CD6068">
        <w:t xml:space="preserve">organy </w:t>
      </w:r>
      <w:r w:rsidR="008E2D0D">
        <w:t>polityczn</w:t>
      </w:r>
      <w:r w:rsidR="00CD6068">
        <w:t>e</w:t>
      </w:r>
      <w:r w:rsidR="008E2D0D">
        <w:t>, szczególnie jeżeli podstawy i termin</w:t>
      </w:r>
      <w:r w:rsidR="00CD6068">
        <w:t>y</w:t>
      </w:r>
      <w:r w:rsidR="008E2D0D">
        <w:t xml:space="preserve"> wniesienia nadzwyczajnych środków zaskarżenia nie </w:t>
      </w:r>
      <w:r w:rsidR="00CD6068">
        <w:t>byłyby</w:t>
      </w:r>
      <w:r w:rsidR="008E2D0D">
        <w:t xml:space="preserve"> dostatecznie precyzyjne, aby zapobie</w:t>
      </w:r>
      <w:r w:rsidR="00CD6068">
        <w:t>c</w:t>
      </w:r>
      <w:r w:rsidR="008E2D0D">
        <w:t xml:space="preserve"> arbitralności w tej dziedzinie. W takiej sytuacji nadzwyczajny środek zaskarżenia mógłby zostać przekształcony z nadzwyczajnego środka służącego ochronie praw podstawowych jednostek przed rażącą niesprawiedliwością w narzędzie politycznego nadzoru nad wyrokami sądowymi władz</w:t>
      </w:r>
      <w:r w:rsidR="00CD6068">
        <w:t>y</w:t>
      </w:r>
      <w:r w:rsidR="008E2D0D">
        <w:t xml:space="preserve"> wykonawcz</w:t>
      </w:r>
      <w:r w:rsidR="00CD6068">
        <w:t>ej</w:t>
      </w:r>
      <w:r w:rsidR="008E2D0D">
        <w:t xml:space="preserve">. Z drugiej strony fakt umożliwienia wniesienia nadzwyczajnego środka zaskarżenia niezależnym organom państwowym, takim jak Rzecznik Praw Obywatelskich, którego konstytucyjnym zadaniem jest między innymi ochrona praw podstawowych, nie będzie </w:t>
      </w:r>
      <w:r w:rsidR="00CD6068">
        <w:t>rodzić</w:t>
      </w:r>
      <w:r w:rsidR="008E2D0D">
        <w:t xml:space="preserve"> tak dużych kontrowersji.</w:t>
      </w:r>
    </w:p>
    <w:p w14:paraId="6FEE6737" w14:textId="093871D2" w:rsidR="000410B4" w:rsidRPr="00D637A7" w:rsidRDefault="00000000" w:rsidP="00D637A7">
      <w:pPr>
        <w:pStyle w:val="JuPara"/>
      </w:pPr>
      <w:fldSimple w:instr=" SEQ level0 \*arabic \* MERGEFORMAT ">
        <w:r w:rsidR="006D0886">
          <w:rPr>
            <w:noProof/>
          </w:rPr>
          <w:t>207</w:t>
        </w:r>
      </w:fldSimple>
      <w:r w:rsidR="008E2D0D">
        <w:t>.  Interwenient zauważył dodatkowo, że istnieje ścisły związek między prawem do niezawisłego i bezstronnego sądu ustanowionego ustaw</w:t>
      </w:r>
      <w:r w:rsidR="00972069">
        <w:t>ą</w:t>
      </w:r>
      <w:r w:rsidR="00972069">
        <w:br/>
      </w:r>
      <w:r w:rsidR="008E2D0D">
        <w:t>a prawem do niekwestionowania prawomocnego orzeczenia sądowego.</w:t>
      </w:r>
    </w:p>
    <w:p w14:paraId="27FA8E36" w14:textId="12BF7ABA" w:rsidR="000410B4" w:rsidRPr="00D637A7" w:rsidRDefault="00000000" w:rsidP="00D637A7">
      <w:pPr>
        <w:pStyle w:val="JuPara"/>
      </w:pPr>
      <w:fldSimple w:instr=" SEQ level0 \*arabic \* MERGEFORMAT ">
        <w:r w:rsidR="006D0886">
          <w:rPr>
            <w:noProof/>
          </w:rPr>
          <w:t>208</w:t>
        </w:r>
      </w:fldSimple>
      <w:r w:rsidR="008E2D0D">
        <w:t>.  Powołując się na opinie Komisji Weneckiej oraz OBWE/ODIHR (zob. par. </w:t>
      </w:r>
      <w:r w:rsidR="008E2D0D" w:rsidRPr="00D637A7">
        <w:fldChar w:fldCharType="begin"/>
      </w:r>
      <w:r w:rsidR="008E2D0D" w:rsidRPr="00D637A7">
        <w:instrText xml:space="preserve"> REF osce \h </w:instrText>
      </w:r>
      <w:r w:rsidR="008E2D0D" w:rsidRPr="00D637A7">
        <w:fldChar w:fldCharType="separate"/>
      </w:r>
      <w:r w:rsidR="006D0886">
        <w:rPr>
          <w:noProof/>
        </w:rPr>
        <w:t>113</w:t>
      </w:r>
      <w:r w:rsidR="008E2D0D" w:rsidRPr="00D637A7">
        <w:fldChar w:fldCharType="end"/>
      </w:r>
      <w:r w:rsidR="008E2D0D">
        <w:t>-</w:t>
      </w:r>
      <w:r w:rsidR="008E2D0D" w:rsidRPr="00D637A7">
        <w:fldChar w:fldCharType="begin"/>
      </w:r>
      <w:r w:rsidR="008E2D0D" w:rsidRPr="00D637A7">
        <w:instrText xml:space="preserve"> REF Venice_Commission \h </w:instrText>
      </w:r>
      <w:r w:rsidR="008E2D0D" w:rsidRPr="00D637A7">
        <w:fldChar w:fldCharType="separate"/>
      </w:r>
      <w:r w:rsidR="006D0886">
        <w:rPr>
          <w:noProof/>
        </w:rPr>
        <w:t>115</w:t>
      </w:r>
      <w:r w:rsidR="008E2D0D" w:rsidRPr="00D637A7">
        <w:fldChar w:fldCharType="end"/>
      </w:r>
      <w:r w:rsidR="008E2D0D">
        <w:t xml:space="preserve"> powyżej), HFPC wskazywała, że podstawy wniesienia skargi nadzwyczajnej są zbyt niejasne i otwarte na interpretację. Zgodziła się ona z Komisją Wenecją, że pojęcie „demokratycznego państwa prawnego urzeczywistniającego zasady sprawiedliwości społecznej” daje pole do szerokiego zakresu </w:t>
      </w:r>
      <w:r w:rsidR="00972069">
        <w:t>uznaniowości</w:t>
      </w:r>
      <w:r w:rsidR="008E2D0D">
        <w:t xml:space="preserve"> w postępowaniach, a takie niedookreślone kryteria są sprzeczne z zasadą przewidywalności prawa i nie powinny stanowić podstawy uchylania prawomocnych wyroków. Podkreśl</w:t>
      </w:r>
      <w:r w:rsidR="00972069">
        <w:t>i</w:t>
      </w:r>
      <w:r w:rsidR="008E2D0D">
        <w:t xml:space="preserve">ła również, że ogólny termin na wniesienie takiej skargi </w:t>
      </w:r>
      <w:r w:rsidR="00972069">
        <w:t>jest</w:t>
      </w:r>
      <w:r w:rsidR="008E2D0D">
        <w:t xml:space="preserve"> sam w sobie bardzo długi, szczególnie w porównaniu z innymi nadzwyczajnymi środkami zaskarżenia istniejącymi w prawie polskim, szczególnie skargą kasacyjną, </w:t>
      </w:r>
      <w:r w:rsidR="00FC4803">
        <w:t xml:space="preserve">wnioskiem </w:t>
      </w:r>
      <w:r w:rsidR="00FC4803">
        <w:br/>
        <w:t xml:space="preserve">o </w:t>
      </w:r>
      <w:r w:rsidR="008E2D0D">
        <w:t xml:space="preserve">wznowieniem postępowania i skargą o stwierdzenie niezgodności z prawem prawomocnego orzeczenia. Ustawa przewidywała termin dwóch </w:t>
      </w:r>
      <w:r w:rsidR="008E2D0D">
        <w:lastRenderedPageBreak/>
        <w:t xml:space="preserve">miesięcy na wniesienie skargi kasacyjnej przez strony postępowania cywilnego oraz termin sześciu miesięcy w przypadku skargi wnoszonej przez Prokuratora Generalnego, Rzecznika Praw Obywatelskich lub Rzecznika Praw Dziecka. W postępowaniu karnym było to 30 dni dla stron i chociaż nie </w:t>
      </w:r>
      <w:r w:rsidR="00FC4803">
        <w:t>istniał żaden termin dla</w:t>
      </w:r>
      <w:r w:rsidR="008E2D0D">
        <w:t xml:space="preserve"> </w:t>
      </w:r>
      <w:r w:rsidR="00FC4803">
        <w:t xml:space="preserve">trzech </w:t>
      </w:r>
      <w:r w:rsidR="008E2D0D">
        <w:t xml:space="preserve">wymienionych wyżej organów, </w:t>
      </w:r>
      <w:r w:rsidR="00FC4803">
        <w:t xml:space="preserve">to </w:t>
      </w:r>
      <w:r w:rsidR="008E2D0D">
        <w:t xml:space="preserve">po upływie jednego roku od daty uprawomocnienia się orzeczenia kasacja była niedopuszczalna. Wniosek o wznowienie postępowania cywilnego należy złożyć w terminie trzech miesięcy od daty, w której strona powzięła wiedzę o istnieniu podstawy wznowienia, ale nie później niż dziesięć lat po uprawomocnieniu się orzeczenia, chyba że strona nie miała możliwości działania bądź była nienależycie reprezentowana. W postępowaniu karnym termin na </w:t>
      </w:r>
      <w:r w:rsidR="00FC4803">
        <w:t>złożenie</w:t>
      </w:r>
      <w:r w:rsidR="008E2D0D">
        <w:t xml:space="preserve"> wniosku o wznowienie postępowania wynosił jeden rok od daty prawomocnego orzeczenia, a po tym terminie nie istniała możliwość wznowienia </w:t>
      </w:r>
      <w:r w:rsidR="008E2D0D">
        <w:rPr>
          <w:i/>
          <w:iCs/>
        </w:rPr>
        <w:t xml:space="preserve">ex officio </w:t>
      </w:r>
      <w:r w:rsidR="008E2D0D">
        <w:t>(</w:t>
      </w:r>
      <w:r w:rsidR="008E2D0D">
        <w:rPr>
          <w:i/>
          <w:iCs/>
        </w:rPr>
        <w:t>sic</w:t>
      </w:r>
      <w:r w:rsidR="008E2D0D">
        <w:t>).</w:t>
      </w:r>
    </w:p>
    <w:p w14:paraId="522E7061" w14:textId="77777777" w:rsidR="000410B4" w:rsidRPr="00D637A7" w:rsidRDefault="00000000" w:rsidP="00D637A7">
      <w:pPr>
        <w:pStyle w:val="JuPara"/>
      </w:pPr>
      <w:fldSimple w:instr=" SEQ level0 \*arabic \* MERGEFORMAT ">
        <w:r w:rsidR="006D0886">
          <w:rPr>
            <w:noProof/>
          </w:rPr>
          <w:t>209</w:t>
        </w:r>
      </w:fldSimple>
      <w:r w:rsidR="008E2D0D">
        <w:t>.  Co więcej, zgodnie z art. 115 ustawy o Sądzie Najwyższym z 2017 r. w brzmieniu obowiązującym w czasie istotnym dla sprawy w terminie trzech lat (obecnie: sześciu lat) od daty wejścia w życie tej ustawy Prokurator Generalny i RPO mogli wnieść skargę nadzwyczajną od prawomocnych orzeczeń kończących postępowania, które to orzeczenia uprawomocniły się po 17 października 1997 r. Tak długi termin był nadzwyczajny i sam w sobie stanowił duże zagrożenie dla pewności prawa.</w:t>
      </w:r>
    </w:p>
    <w:p w14:paraId="5A9A0D02" w14:textId="73369550" w:rsidR="000410B4" w:rsidRPr="00D637A7" w:rsidRDefault="00000000" w:rsidP="00D637A7">
      <w:pPr>
        <w:pStyle w:val="JuPara"/>
      </w:pPr>
      <w:fldSimple w:instr=" SEQ level0 \*arabic \* MERGEFORMAT ">
        <w:r w:rsidR="006D0886">
          <w:rPr>
            <w:noProof/>
          </w:rPr>
          <w:t>210</w:t>
        </w:r>
      </w:fldSimple>
      <w:r w:rsidR="008E2D0D">
        <w:t xml:space="preserve">.  Zdaniem HFPC kolejny problem wynikał z faktycznego stanowiska i roli Prokuratora Generalnego, którego </w:t>
      </w:r>
      <w:r w:rsidR="004F1FB0">
        <w:t>stanowisko</w:t>
      </w:r>
      <w:r w:rsidR="008E2D0D">
        <w:t xml:space="preserve"> w 2016 r. połączono z</w:t>
      </w:r>
      <w:r w:rsidR="004F1FB0">
        <w:t>e</w:t>
      </w:r>
      <w:r w:rsidR="008E2D0D">
        <w:t xml:space="preserve"> </w:t>
      </w:r>
      <w:r w:rsidR="004F1FB0">
        <w:t>stanowiskiem</w:t>
      </w:r>
      <w:r w:rsidR="008E2D0D">
        <w:t xml:space="preserve"> Ministra Sprawiedliwości. </w:t>
      </w:r>
      <w:r w:rsidR="004F1FB0">
        <w:t>Niezależny urząd Prokuratora Generalnego, który funkcjonował w latach 2010–2016, został z</w:t>
      </w:r>
      <w:r w:rsidR="008E2D0D">
        <w:t>likwidowan</w:t>
      </w:r>
      <w:r w:rsidR="004F1FB0">
        <w:t>y</w:t>
      </w:r>
      <w:r w:rsidR="008E2D0D">
        <w:t xml:space="preserve">. Chociaż w Polsce </w:t>
      </w:r>
      <w:r w:rsidR="004F1FB0">
        <w:t>urzędy</w:t>
      </w:r>
      <w:r w:rsidR="008E2D0D">
        <w:t xml:space="preserve"> Prokuratora Generalnego i Ministra Sprawiedliwości łączono już wcześniej, przed 2010 r., reforma z 2016 r. dawała Prokuratorowi Generalnemu szersze uprawnienia umożliwiające wpływanie na przebieg poszczególnych postępowań karnych. Jak wynika </w:t>
      </w:r>
      <w:r w:rsidR="00871B91">
        <w:br/>
      </w:r>
      <w:r w:rsidR="008E2D0D">
        <w:t>z ogólnodostępnych danych statystycznych, to właśnie Prokurator Generalny złożył, jak dotąd, największą liczbę skarg nadzwyczajnych. Jak zauważył Trybunał w swoim orzeczeniu w spraw</w:t>
      </w:r>
      <w:r w:rsidR="00871B91">
        <w:t>ie</w:t>
      </w:r>
      <w:r w:rsidR="008E2D0D">
        <w:t xml:space="preserve"> </w:t>
      </w:r>
      <w:r w:rsidR="008E2D0D">
        <w:rPr>
          <w:i/>
          <w:iCs/>
        </w:rPr>
        <w:t>Dolińska</w:t>
      </w:r>
      <w:r w:rsidR="008E2D0D">
        <w:rPr>
          <w:i/>
          <w:iCs/>
        </w:rPr>
        <w:noBreakHyphen/>
        <w:t xml:space="preserve">Ficek i Ozimek </w:t>
      </w:r>
      <w:r w:rsidR="008E2D0D">
        <w:t>(</w:t>
      </w:r>
      <w:r w:rsidR="008E2D0D">
        <w:rPr>
          <w:i/>
          <w:iCs/>
        </w:rPr>
        <w:t>op.</w:t>
      </w:r>
      <w:r w:rsidR="00871B91">
        <w:rPr>
          <w:i/>
          <w:iCs/>
        </w:rPr>
        <w:t xml:space="preserve"> </w:t>
      </w:r>
      <w:r w:rsidR="008E2D0D">
        <w:rPr>
          <w:i/>
          <w:iCs/>
        </w:rPr>
        <w:t>cit</w:t>
      </w:r>
      <w:r w:rsidR="008E2D0D">
        <w:t>.), Minister Sprawiedliwości miał duży wpływ na ukształtowanie składu KRS działającej po 6 marca 2018 r., która rekomendowała wszystkich sędziów zasiadających obecnie w IKNiSP, a więc organie dysponującym wyłączną właściwością do rozpoznawania skarg nadzwyczajnych.</w:t>
      </w:r>
    </w:p>
    <w:bookmarkStart w:id="115" w:name="Helsinki_Foundation_2"/>
    <w:p w14:paraId="62F1E269"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211</w:t>
      </w:r>
      <w:r w:rsidRPr="00D637A7">
        <w:fldChar w:fldCharType="end"/>
      </w:r>
      <w:bookmarkEnd w:id="115"/>
      <w:r>
        <w:t>.  Interwenient uznał wreszcie, że ze skargi nadzwyczajnej często korzystano w ważnych sprawach dotyczących zwykłych obywateli. Wskazał też jednak, że jak pokazuje praktyka, ryzyko nadużywania mechanizmu skargi nadzwyczajnej przez Prokuratora Generalnego do celów politycznych nie jest czysto hipotetyczne.</w:t>
      </w:r>
    </w:p>
    <w:p w14:paraId="7487CA6E" w14:textId="77777777" w:rsidR="000410B4" w:rsidRPr="00D637A7" w:rsidRDefault="008E2D0D" w:rsidP="00D637A7">
      <w:pPr>
        <w:pStyle w:val="JuHa0"/>
      </w:pPr>
      <w:r>
        <w:lastRenderedPageBreak/>
        <w:t>Rzecznik Praw Obywatelskich RP</w:t>
      </w:r>
    </w:p>
    <w:bookmarkStart w:id="116" w:name="Commissioner_HR_3"/>
    <w:p w14:paraId="186DDA92" w14:textId="7F55784C"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212</w:t>
      </w:r>
      <w:r w:rsidRPr="00D637A7">
        <w:fldChar w:fldCharType="end"/>
      </w:r>
      <w:bookmarkEnd w:id="116"/>
      <w:r>
        <w:t>.  Rzecznik zauważył, że mechanizm skargi nadzwyczajnej był inspirowany instytucją rewizji nadzwyczajnej, istniejącej w Polsce w latach 1950–1996. Skarga nadzwyczajna wypełniała lukę między skargą konstytucyjną wnoszoną do Trybunału Konstytucyjnego a skargą kasacyjną wnoszoną do Sądu Najwyższego.</w:t>
      </w:r>
    </w:p>
    <w:p w14:paraId="4966C936" w14:textId="498AF6FB" w:rsidR="000410B4" w:rsidRPr="00D637A7" w:rsidRDefault="00000000" w:rsidP="00D637A7">
      <w:pPr>
        <w:pStyle w:val="JuPara"/>
      </w:pPr>
      <w:fldSimple w:instr=" SEQ level0 \*arabic \* MERGEFORMAT ">
        <w:r w:rsidR="006D0886">
          <w:rPr>
            <w:noProof/>
          </w:rPr>
          <w:t>213</w:t>
        </w:r>
      </w:fldSimple>
      <w:r w:rsidR="008E2D0D">
        <w:t xml:space="preserve">.  Celem skargi nadzwyczajnej nie było w żadnym razie uchylenie wszystkich wyroków, które mogłyby być uznawane przez obywateli za niesprawiedliwe. Powołując się na orzecznictwo IKNiSP, </w:t>
      </w:r>
      <w:r w:rsidR="00CB74E1">
        <w:t>Rzecznik</w:t>
      </w:r>
      <w:r w:rsidR="008E2D0D">
        <w:t xml:space="preserve"> wskazał, że celem skargi nadzwyczajnej było wyeliminowanie tylko tych orzeczeń, które były obarczone wadą o fundamentalnym charakterze. O wyjątkowości tego środka zaskarżenia świadczyły wąski katalog organów, które mogły z niego skorzystać, i stosunkowo wąskie warunki jego dopuszczalności. W praktyce zdecydowan</w:t>
      </w:r>
      <w:r w:rsidR="00CB74E1">
        <w:t>a</w:t>
      </w:r>
      <w:r w:rsidR="008E2D0D">
        <w:t xml:space="preserve"> większość skarg nadzwyczajnych </w:t>
      </w:r>
      <w:r w:rsidR="00CB74E1">
        <w:t>została złożona przez</w:t>
      </w:r>
      <w:r w:rsidR="008E2D0D">
        <w:t xml:space="preserve"> </w:t>
      </w:r>
      <w:r w:rsidR="00CB74E1">
        <w:t>Rzecznika</w:t>
      </w:r>
      <w:r w:rsidR="008E2D0D">
        <w:t xml:space="preserve"> i Prokurator</w:t>
      </w:r>
      <w:r w:rsidR="00CB74E1">
        <w:t>a</w:t>
      </w:r>
      <w:r w:rsidR="008E2D0D">
        <w:t xml:space="preserve"> Generaln</w:t>
      </w:r>
      <w:r w:rsidR="00CB74E1">
        <w:t>ego</w:t>
      </w:r>
      <w:r w:rsidR="008E2D0D">
        <w:t>.</w:t>
      </w:r>
    </w:p>
    <w:p w14:paraId="074202F9" w14:textId="700330D2" w:rsidR="000410B4" w:rsidRPr="00D637A7" w:rsidRDefault="00000000" w:rsidP="00D637A7">
      <w:pPr>
        <w:pStyle w:val="JuPara"/>
      </w:pPr>
      <w:fldSimple w:instr=" SEQ level0 \*arabic \* MERGEFORMAT ">
        <w:r w:rsidR="006D0886">
          <w:rPr>
            <w:noProof/>
          </w:rPr>
          <w:t>214</w:t>
        </w:r>
      </w:fldSimple>
      <w:r w:rsidR="008E2D0D">
        <w:t xml:space="preserve">.  Do końca 2022 r. do </w:t>
      </w:r>
      <w:r w:rsidR="00CB74E1">
        <w:t>Rzecznika</w:t>
      </w:r>
      <w:r w:rsidR="008E2D0D">
        <w:t xml:space="preserve"> wpłynęło około 13 700 wniosków o wniesienie skargi nadzwyczajnej. W jego opinii dziesiątki tysięcy osób czują się pokrzywdzone prawomocnymi orzeczeniami, których nie można było zaskarżyć w żaden inny sposób. </w:t>
      </w:r>
      <w:r w:rsidR="00CB74E1">
        <w:t>Rzecznik</w:t>
      </w:r>
      <w:r w:rsidR="008E2D0D">
        <w:t xml:space="preserve"> systematycznie rozpatrywał takie wnioski, ważąc dobro jednostek i konieczność ochrony pewności prawa.</w:t>
      </w:r>
    </w:p>
    <w:p w14:paraId="0A78C295" w14:textId="64764444" w:rsidR="000410B4" w:rsidRPr="00D637A7" w:rsidRDefault="00000000" w:rsidP="00D637A7">
      <w:pPr>
        <w:pStyle w:val="JuPara"/>
      </w:pPr>
      <w:fldSimple w:instr=" SEQ level0 \*arabic \* MERGEFORMAT ">
        <w:r w:rsidR="006D0886">
          <w:rPr>
            <w:noProof/>
          </w:rPr>
          <w:t>215</w:t>
        </w:r>
      </w:fldSimple>
      <w:r w:rsidR="008E2D0D">
        <w:t xml:space="preserve">.  Jak dotąd </w:t>
      </w:r>
      <w:r w:rsidR="00CB74E1">
        <w:t>Rzecznik</w:t>
      </w:r>
      <w:r w:rsidR="008E2D0D">
        <w:t xml:space="preserve"> wniósł 112 skarg nadzwyczajnych, z których większość dotyczyła spraw cywilnych i handlowych. Większość zaskarżanych orzeczeń pochodziła z lat 2010–2018, przy czym zdarzały się również starsze orzeczenia (najstarsze wydano w 1999 r.).</w:t>
      </w:r>
    </w:p>
    <w:p w14:paraId="55CD837A" w14:textId="73198B1A" w:rsidR="000410B4" w:rsidRPr="00D637A7" w:rsidRDefault="00000000" w:rsidP="00D637A7">
      <w:pPr>
        <w:pStyle w:val="JuPara"/>
      </w:pPr>
      <w:fldSimple w:instr=" SEQ level0 \*arabic \* MERGEFORMAT ">
        <w:r w:rsidR="006D0886">
          <w:rPr>
            <w:noProof/>
          </w:rPr>
          <w:t>216</w:t>
        </w:r>
      </w:fldSimple>
      <w:r w:rsidR="008E2D0D">
        <w:t xml:space="preserve">.  Interwenient podał przykłady spraw, w których wnosił skargę nadzwyczajną. Dotyczyły one </w:t>
      </w:r>
      <w:r w:rsidR="00CB74E1">
        <w:t xml:space="preserve">tzw. </w:t>
      </w:r>
      <w:r w:rsidR="008E2D0D">
        <w:t>podwójnych orzeczeń spadkowych, tj. dziedziczenia długów przez dzieci, obciążenia nieletnich odpowiedzialnością solidarną z tytułu zajmowania lokalu bez tytułu prawnego, praw konsumentów, praw osób bezdomnych w kontekście eksmisji osób z niepełnosprawnościami, prawa do sądu czy też prawa do poszanowania życia prywatnego.</w:t>
      </w:r>
    </w:p>
    <w:p w14:paraId="4839C5BF" w14:textId="7DD215BE" w:rsidR="000410B4" w:rsidRPr="00D637A7" w:rsidRDefault="00000000" w:rsidP="00D637A7">
      <w:pPr>
        <w:pStyle w:val="JuPara"/>
      </w:pPr>
      <w:fldSimple w:instr=" SEQ level0 \*arabic \* MERGEFORMAT ">
        <w:r w:rsidR="006D0886">
          <w:rPr>
            <w:noProof/>
          </w:rPr>
          <w:t>217</w:t>
        </w:r>
      </w:fldSimple>
      <w:r w:rsidR="008E2D0D">
        <w:t xml:space="preserve">.  W ocenie </w:t>
      </w:r>
      <w:r w:rsidR="00CB74E1">
        <w:t>Rzecznika</w:t>
      </w:r>
      <w:r w:rsidR="008E2D0D">
        <w:t xml:space="preserve"> w procedurze skargi nadzwyczajnej były elementy wymagające udoskonalenia. W szczególności należałoby ograniczyć podstawy wniesienia skargi w taki sposób, aby wykluczyć możliwość wnoszenia takich skarg przez urzędników publicznych działających w interesie Skarbu Państwa. W </w:t>
      </w:r>
      <w:r w:rsidR="00CB74E1">
        <w:t xml:space="preserve">jego </w:t>
      </w:r>
      <w:r w:rsidR="008E2D0D">
        <w:t xml:space="preserve">ocenie skarga nadzwyczajna powinna służyć wyłącznie ochronie praw jednostki. </w:t>
      </w:r>
      <w:r w:rsidR="00CB74E1">
        <w:t>P</w:t>
      </w:r>
      <w:r w:rsidR="008E2D0D">
        <w:t>rzytoczył przykład skargi nadzwyczajnej wniesionej przez Prokuratora Generalnego w sprawie obywatela, który z powodzeniem pozwał Skarb Państwa o odszkodowanie za naruszenie jego dóbr osobistych spowodowane zanieczyszczeniem powietrza.</w:t>
      </w:r>
    </w:p>
    <w:bookmarkStart w:id="117" w:name="Commissioner_HR_4"/>
    <w:p w14:paraId="6B6415D6" w14:textId="2419025E"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218</w:t>
      </w:r>
      <w:r w:rsidRPr="00D637A7">
        <w:fldChar w:fldCharType="end"/>
      </w:r>
      <w:bookmarkEnd w:id="117"/>
      <w:r>
        <w:t xml:space="preserve">.  Interwenient uznał, że skarga nadzwyczajna stanowi ważny i potrzebny element polskiego systemu prawnego. Wyeliminowanie jej z systemu prawnego pozbawiłoby </w:t>
      </w:r>
      <w:r w:rsidR="00CB74E1">
        <w:t>Rzecznika</w:t>
      </w:r>
      <w:r>
        <w:t xml:space="preserve"> ważnego narzędzia </w:t>
      </w:r>
      <w:r>
        <w:lastRenderedPageBreak/>
        <w:t>umożliwiającego wspieranie obywateli, których konstytucyjne prawa zostały naruszone prawomocnymi orzeczeniami.</w:t>
      </w:r>
    </w:p>
    <w:p w14:paraId="79A6B0B2" w14:textId="77777777" w:rsidR="000410B4" w:rsidRPr="00D637A7" w:rsidRDefault="008E2D0D" w:rsidP="00D637A7">
      <w:pPr>
        <w:pStyle w:val="JuHa0"/>
      </w:pPr>
      <w:r>
        <w:t>Stowarzyszenie Sędziów Polskich „Iustitia”</w:t>
      </w:r>
    </w:p>
    <w:bookmarkStart w:id="118" w:name="Iustitia"/>
    <w:p w14:paraId="0AD5838B" w14:textId="1EE6735A"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219</w:t>
      </w:r>
      <w:r w:rsidRPr="00D637A7">
        <w:fldChar w:fldCharType="end"/>
      </w:r>
      <w:bookmarkEnd w:id="118"/>
      <w:r>
        <w:t>.  </w:t>
      </w:r>
      <w:r w:rsidRPr="007B69A2">
        <w:t>Stowarzyszenie Sędziów Polskich „Iustitia” („</w:t>
      </w:r>
      <w:r>
        <w:t>Iustitia”) wskazało, że przed wprowadzeniem do systemu prawnego skargi nadzwyczajnej w polskim prawie istniał już szeroki katalog nadzwyczajnych środków zaskarżenia umożliwiający podważenie prawomocnych orzeczeń sądowych. Zauważyło, że skarga nadzwyczajna nie ogranicza się do kwestii prawnych, ale obejmuje również badanie okoliczności faktycznych sprawy, nawet po upływie długiego czasu. To z kolei zwiększało ryzyko pomyłki sądowej</w:t>
      </w:r>
      <w:r w:rsidR="005335DD">
        <w:t>,</w:t>
      </w:r>
      <w:r>
        <w:t xml:space="preserve"> podważającej ogólną sprawność wymiaru sprawiedliwości.</w:t>
      </w:r>
    </w:p>
    <w:p w14:paraId="3C242E1C" w14:textId="77777777" w:rsidR="000410B4" w:rsidRPr="00D637A7" w:rsidRDefault="00000000" w:rsidP="00D637A7">
      <w:pPr>
        <w:pStyle w:val="JuPara"/>
      </w:pPr>
      <w:fldSimple w:instr=" SEQ level0 \*arabic \* MERGEFORMAT ">
        <w:r w:rsidR="006D0886">
          <w:rPr>
            <w:noProof/>
          </w:rPr>
          <w:t>220</w:t>
        </w:r>
      </w:fldSimple>
      <w:r w:rsidR="008E2D0D">
        <w:t>.  Zastosowanie długiego terminu na wniesienie skargi nadzwyczajnej oznaczało ryzyko, że ochrona prawna przysługująca prawomocnym orzeczeniom sądowym stanie się jedynie tymczasowa i będzie zależna od woli określonych organów publicznych, w tym aktywnych polityków.</w:t>
      </w:r>
    </w:p>
    <w:bookmarkStart w:id="119" w:name="Iustitia_1"/>
    <w:p w14:paraId="5309AE01" w14:textId="24468B20"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221</w:t>
      </w:r>
      <w:r w:rsidRPr="00D637A7">
        <w:fldChar w:fldCharType="end"/>
      </w:r>
      <w:bookmarkEnd w:id="119"/>
      <w:r>
        <w:t xml:space="preserve">.  Interwenient </w:t>
      </w:r>
      <w:r w:rsidR="005335DD">
        <w:t>odniósł</w:t>
      </w:r>
      <w:r>
        <w:t xml:space="preserve"> się do faktu, że skargę nadzwyczajną może wnieść Prezes Prokuratorii Generalnej Rzeczypospolitej Polskiej – będący urzędnikiem odpowiedzialnym za reprezentowanie Skarbu Państwa. Mogło to podważać skuteczność konstytucyjnej zasady, jaką jest równość wobec prawa (art. 32 ust. 1 Konstytucji), zważywszy, że tylko jedna ze stron postępowania sądowego była uprawniona do wniesienia dodatkowego odwołania na niekorzyść strony przeciwnej. Podobne ryzyko zachodziło w przypadku Prokuratora Generalnego, który był aktywnym politykiem i mógł złożyć skargę nadzwyczajną zasadniczo we wszystkich sprawach, w tym sprawach, w których stroną był prokurator. Z uwagi na szeroko określone podstawy wniesienia skargi nadzwyczajnej zachodzi ryzyko, że będzie ona wykorzystywana instrumentalnie, w oparciu o racje polityczne.</w:t>
      </w:r>
    </w:p>
    <w:p w14:paraId="3565414B" w14:textId="77777777" w:rsidR="000410B4" w:rsidRPr="00D637A7" w:rsidRDefault="008E2D0D" w:rsidP="00D637A7">
      <w:pPr>
        <w:pStyle w:val="JuH1"/>
      </w:pPr>
      <w:r>
        <w:t>Ocena Trybunału</w:t>
      </w:r>
    </w:p>
    <w:p w14:paraId="0886A76D" w14:textId="77777777" w:rsidR="000410B4" w:rsidRPr="00D637A7" w:rsidRDefault="008E2D0D" w:rsidP="00D637A7">
      <w:pPr>
        <w:pStyle w:val="JuHa0"/>
      </w:pPr>
      <w:r>
        <w:t>Zasady ogólne wynikające z orzecznictwa Trybunału</w:t>
      </w:r>
    </w:p>
    <w:p w14:paraId="30D1B785" w14:textId="77777777" w:rsidR="000410B4" w:rsidRPr="00D637A7" w:rsidRDefault="00000000" w:rsidP="00D637A7">
      <w:pPr>
        <w:pStyle w:val="JuPara"/>
        <w:rPr>
          <w:rStyle w:val="JuParaChar"/>
        </w:rPr>
      </w:pPr>
      <w:fldSimple w:instr=" SEQ level0 \*arabic ">
        <w:r w:rsidR="006D0886">
          <w:rPr>
            <w:noProof/>
          </w:rPr>
          <w:t>222</w:t>
        </w:r>
      </w:fldSimple>
      <w:r w:rsidR="008E2D0D">
        <w:t>.  </w:t>
      </w:r>
      <w:r w:rsidR="008E2D0D">
        <w:rPr>
          <w:rStyle w:val="JuParaChar"/>
        </w:rPr>
        <w:t xml:space="preserve">Zasada pewności prawa jest zasadą dorozumianą we wszystkich artykułach Konwencji (zobacz między innymi wyroki: </w:t>
      </w:r>
      <w:r w:rsidR="008E2D0D">
        <w:rPr>
          <w:rFonts w:ascii="Times New Roman" w:hAnsi="Times New Roman"/>
          <w:i/>
          <w:iCs/>
        </w:rPr>
        <w:t>Guðmundur Andri Ástráðsson</w:t>
      </w:r>
      <w:r w:rsidR="008E2D0D">
        <w:rPr>
          <w:rStyle w:val="JuParaChar"/>
        </w:rPr>
        <w:t xml:space="preserve">, </w:t>
      </w:r>
      <w:r w:rsidR="008E2D0D">
        <w:rPr>
          <w:rStyle w:val="JuParaChar"/>
          <w:i/>
          <w:iCs/>
        </w:rPr>
        <w:t>op.cit.</w:t>
      </w:r>
      <w:r w:rsidR="008E2D0D">
        <w:rPr>
          <w:rStyle w:val="JuParaChar"/>
        </w:rPr>
        <w:t xml:space="preserve">, § 238, oraz </w:t>
      </w:r>
      <w:r w:rsidR="008E2D0D">
        <w:rPr>
          <w:rStyle w:val="JuParaChar"/>
          <w:i/>
          <w:iCs/>
        </w:rPr>
        <w:t>Nejdet Şahin i Perihan Şahin przeciwko Turcji</w:t>
      </w:r>
      <w:r w:rsidR="008E2D0D">
        <w:rPr>
          <w:rStyle w:val="JuParaChar"/>
        </w:rPr>
        <w:t xml:space="preserve"> [WI], skarga nr 13279/05, § 56, 20 października 2011 r.). Zgodnie z prawem wynikającym z Konwencji zasada pewności prawa przejawia się w różnych formach i kontekstach, a jednym z nich jest wymóg, aby jeżeli sądy wydają ostateczne rozstrzygnięcie w przedmiocie sporu, ich orzeczenia nie były kwestionowane (zob. przykładowo </w:t>
      </w:r>
      <w:r w:rsidR="008E2D0D">
        <w:rPr>
          <w:rStyle w:val="JuParaChar"/>
          <w:i/>
          <w:iCs/>
        </w:rPr>
        <w:t>Brumărescu,</w:t>
      </w:r>
      <w:r w:rsidR="008E2D0D">
        <w:rPr>
          <w:rStyle w:val="JuParaChar"/>
        </w:rPr>
        <w:t xml:space="preserve"> § 61, </w:t>
      </w:r>
      <w:r w:rsidR="008E2D0D">
        <w:rPr>
          <w:rStyle w:val="JuParaChar"/>
          <w:i/>
          <w:iCs/>
        </w:rPr>
        <w:t>op.cit.</w:t>
      </w:r>
      <w:r w:rsidR="008E2D0D">
        <w:rPr>
          <w:rStyle w:val="JuParaChar"/>
        </w:rPr>
        <w:t xml:space="preserve">). Ze wspomnianego aspektu pewności prawa wynika, co do zasady, założenie poszanowania zasady </w:t>
      </w:r>
      <w:r w:rsidR="008E2D0D">
        <w:rPr>
          <w:rStyle w:val="JuParaChar"/>
          <w:i/>
          <w:iCs/>
        </w:rPr>
        <w:t>res judicata</w:t>
      </w:r>
      <w:r w:rsidR="008E2D0D">
        <w:rPr>
          <w:rStyle w:val="JuParaChar"/>
        </w:rPr>
        <w:t xml:space="preserve">, która poprzez zabezpieczenie prawomocnego charakteru wyroków i praw stron postępowań krajowych – w tym osób pokrzywdzonych – służy zapewnieniu stabilności systemu </w:t>
      </w:r>
      <w:r w:rsidR="008E2D0D">
        <w:rPr>
          <w:rStyle w:val="JuParaChar"/>
        </w:rPr>
        <w:lastRenderedPageBreak/>
        <w:t>sądownictwa i przyczynia się do budowania zaufania społeczeństwa do sądów (zob. </w:t>
      </w:r>
      <w:r w:rsidR="008E2D0D">
        <w:rPr>
          <w:rFonts w:ascii="Times New Roman" w:hAnsi="Times New Roman"/>
          <w:i/>
          <w:iCs/>
        </w:rPr>
        <w:t>Guðmundur Andri Ástráðsson</w:t>
      </w:r>
      <w:r w:rsidR="008E2D0D">
        <w:rPr>
          <w:rStyle w:val="JuParaChar"/>
        </w:rPr>
        <w:t xml:space="preserve">, </w:t>
      </w:r>
      <w:r w:rsidR="008E2D0D">
        <w:rPr>
          <w:rStyle w:val="JuParaChar"/>
          <w:i/>
          <w:iCs/>
        </w:rPr>
        <w:t>op.cit.</w:t>
      </w:r>
      <w:r w:rsidR="008E2D0D">
        <w:rPr>
          <w:rStyle w:val="JuParaChar"/>
        </w:rPr>
        <w:t>, §</w:t>
      </w:r>
      <w:r w:rsidR="008E2D0D">
        <w:t> </w:t>
      </w:r>
      <w:r w:rsidR="008E2D0D">
        <w:rPr>
          <w:rStyle w:val="JuParaChar"/>
        </w:rPr>
        <w:t>238).</w:t>
      </w:r>
    </w:p>
    <w:bookmarkStart w:id="120" w:name="court_case_law"/>
    <w:p w14:paraId="787A489F" w14:textId="7F654E49"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223</w:t>
      </w:r>
      <w:r w:rsidRPr="00D637A7">
        <w:fldChar w:fldCharType="end"/>
      </w:r>
      <w:bookmarkEnd w:id="120"/>
      <w:r>
        <w:t xml:space="preserve">.  W myśl zasady </w:t>
      </w:r>
      <w:r>
        <w:rPr>
          <w:i/>
          <w:iCs/>
        </w:rPr>
        <w:t xml:space="preserve">res judicata </w:t>
      </w:r>
      <w:r>
        <w:t xml:space="preserve">żadna ze stron nie jest uprawniona do rewizji prawomocnego wyroku wyłącznie w celu ponownego rozpoznania sprawy lub uzyskania nowego rozstrzygnięcia. Rewizji nie należy traktować jako zakamuflowanego zwyczajnego środka zaskarżenia, </w:t>
      </w:r>
      <w:r w:rsidR="008B3E8D">
        <w:t>a sama</w:t>
      </w:r>
      <w:r>
        <w:t xml:space="preserve"> możliwość istnienia dwóch opinii na jeden temat nie stanowi podstawy do ponownego rozpoznania sprawy (zob. </w:t>
      </w:r>
      <w:r>
        <w:rPr>
          <w:i/>
        </w:rPr>
        <w:t>Roşca przeciwko Mołdawii</w:t>
      </w:r>
      <w:r>
        <w:t xml:space="preserve">, skarga nr 6267/02, § 25, 22 marca 2005 r.; </w:t>
      </w:r>
      <w:bookmarkStart w:id="121" w:name="_cl20362"/>
      <w:bookmarkStart w:id="122" w:name="_cl38609"/>
      <w:r>
        <w:rPr>
          <w:rFonts w:ascii="Times New Roman" w:hAnsi="Times New Roman"/>
          <w:i/>
          <w:iCs/>
        </w:rPr>
        <w:t>Agrokompleks przeciwko Ukrainie</w:t>
      </w:r>
      <w:bookmarkEnd w:id="121"/>
      <w:r>
        <w:rPr>
          <w:rFonts w:ascii="Times New Roman" w:hAnsi="Times New Roman"/>
        </w:rPr>
        <w:t xml:space="preserve">, skarga nr 23465/03, § 148, 6 października 2011 r.; </w:t>
      </w:r>
      <w:r>
        <w:rPr>
          <w:rFonts w:ascii="Times New Roman" w:hAnsi="Times New Roman"/>
          <w:i/>
          <w:iCs/>
        </w:rPr>
        <w:t>Vardanyan i Nanushyan przeciwko Armenii</w:t>
      </w:r>
      <w:bookmarkEnd w:id="122"/>
      <w:r>
        <w:rPr>
          <w:rFonts w:ascii="Times New Roman" w:hAnsi="Times New Roman"/>
        </w:rPr>
        <w:t xml:space="preserve">, skarga nr 8001/07, § 67, 27 października 2016 r.; </w:t>
      </w:r>
      <w:bookmarkStart w:id="123" w:name="_cl35660"/>
      <w:r>
        <w:rPr>
          <w:i/>
          <w:iCs/>
        </w:rPr>
        <w:t>Şamat przeciwko Turcji</w:t>
      </w:r>
      <w:bookmarkEnd w:id="123"/>
      <w:r>
        <w:t xml:space="preserve">, skarga nr 29115/07, § 53, 21 stycznia 2020 r. i </w:t>
      </w:r>
      <w:bookmarkStart w:id="124" w:name="_cl40808"/>
      <w:r>
        <w:rPr>
          <w:rFonts w:ascii="Times New Roman" w:hAnsi="Times New Roman"/>
          <w:i/>
          <w:iCs/>
        </w:rPr>
        <w:t>Tığrak przeciwko Turcji</w:t>
      </w:r>
      <w:bookmarkEnd w:id="124"/>
      <w:r>
        <w:rPr>
          <w:rFonts w:ascii="Times New Roman" w:hAnsi="Times New Roman"/>
        </w:rPr>
        <w:t>, skarga nr 70306/10, § 48, 6 lipca 2021 r.).</w:t>
      </w:r>
    </w:p>
    <w:bookmarkStart w:id="125" w:name="res_judicata"/>
    <w:p w14:paraId="0640FDC4" w14:textId="77777777" w:rsidR="000410B4" w:rsidRPr="00D637A7" w:rsidRDefault="008E2D0D" w:rsidP="00D637A7">
      <w:pPr>
        <w:pStyle w:val="JuPara"/>
        <w:rPr>
          <w:rStyle w:val="JuParaChar"/>
        </w:rPr>
      </w:pPr>
      <w:r w:rsidRPr="00D637A7">
        <w:rPr>
          <w:rStyle w:val="JuParaChar"/>
        </w:rPr>
        <w:fldChar w:fldCharType="begin"/>
      </w:r>
      <w:r w:rsidRPr="00D637A7">
        <w:rPr>
          <w:rStyle w:val="JuParaChar"/>
        </w:rPr>
        <w:instrText xml:space="preserve"> SEQ level0 \*arabic \* MERGEFORMAT </w:instrText>
      </w:r>
      <w:r w:rsidRPr="00D637A7">
        <w:rPr>
          <w:rStyle w:val="JuParaChar"/>
        </w:rPr>
        <w:fldChar w:fldCharType="separate"/>
      </w:r>
      <w:r w:rsidR="006D0886">
        <w:rPr>
          <w:rStyle w:val="JuParaChar"/>
          <w:noProof/>
        </w:rPr>
        <w:t>224</w:t>
      </w:r>
      <w:r w:rsidRPr="00D637A7">
        <w:rPr>
          <w:rStyle w:val="JuParaChar"/>
        </w:rPr>
        <w:fldChar w:fldCharType="end"/>
      </w:r>
      <w:bookmarkEnd w:id="125"/>
      <w:r>
        <w:rPr>
          <w:rStyle w:val="JuParaChar"/>
        </w:rPr>
        <w:t xml:space="preserve">.  Chociaż wymogi zasady pewności prawa i działanie zasady </w:t>
      </w:r>
      <w:r>
        <w:rPr>
          <w:rStyle w:val="JuParaChar"/>
          <w:i/>
          <w:iCs/>
        </w:rPr>
        <w:t>res judicata</w:t>
      </w:r>
      <w:r>
        <w:rPr>
          <w:rStyle w:val="JuParaChar"/>
        </w:rPr>
        <w:t xml:space="preserve"> nie mają charakteru bezwzględnego (zob. przykładowo w dziedzinie spraw karnych – </w:t>
      </w:r>
      <w:r>
        <w:rPr>
          <w:rStyle w:val="JuParaChar"/>
          <w:i/>
          <w:iCs/>
        </w:rPr>
        <w:t>Moreira Ferreira przeciwko Portugalii (skarga nr 2)</w:t>
      </w:r>
      <w:r>
        <w:rPr>
          <w:rStyle w:val="JuParaChar"/>
        </w:rPr>
        <w:t xml:space="preserve"> [WI], skarga nr 19867/12, § 62, 11 lipca 2017 r.), odstępstwo od tej zasady jest uzasadnione jedynie wówczas, gdy jest konieczne w świetle okoliczności o istotnym i przekonującym charakterze, np. w celu naprawienia zasadniczych wad lub pomyłki sądowej (zob. przykładowo </w:t>
      </w:r>
      <w:r>
        <w:rPr>
          <w:rStyle w:val="JuParaChar"/>
          <w:i/>
          <w:iCs/>
        </w:rPr>
        <w:t xml:space="preserve">Ryabykh, </w:t>
      </w:r>
      <w:r>
        <w:rPr>
          <w:rStyle w:val="JuParaChar"/>
        </w:rPr>
        <w:t>§ 52</w:t>
      </w:r>
      <w:r>
        <w:rPr>
          <w:rStyle w:val="JuParaChar"/>
          <w:i/>
          <w:iCs/>
        </w:rPr>
        <w:t>, op.cit.</w:t>
      </w:r>
      <w:r>
        <w:rPr>
          <w:rStyle w:val="JuParaChar"/>
        </w:rPr>
        <w:t xml:space="preserve">, a także </w:t>
      </w:r>
      <w:r>
        <w:rPr>
          <w:rStyle w:val="JuParaChar"/>
          <w:i/>
          <w:iCs/>
        </w:rPr>
        <w:t>OOO Link Oil SPB przeciwko Rosji</w:t>
      </w:r>
      <w:r>
        <w:rPr>
          <w:rStyle w:val="JuParaChar"/>
        </w:rPr>
        <w:t xml:space="preserve"> (</w:t>
      </w:r>
      <w:proofErr w:type="spellStart"/>
      <w:r>
        <w:rPr>
          <w:rStyle w:val="JuParaChar"/>
        </w:rPr>
        <w:t>dec</w:t>
      </w:r>
      <w:proofErr w:type="spellEnd"/>
      <w:r>
        <w:rPr>
          <w:rStyle w:val="JuParaChar"/>
        </w:rPr>
        <w:t xml:space="preserve">.), skarga nr 42600/05, 25 czerwca 2009 r.). Pojęcia te nie są precyzyjnie zdefiniowane; Trybunał każdorazowo musi zdecydować, w jakim stopniu odejście od zasady pewności prawa jest uzasadnione (zob. przykładowo </w:t>
      </w:r>
      <w:r>
        <w:rPr>
          <w:rStyle w:val="JuParaChar"/>
          <w:i/>
          <w:iCs/>
        </w:rPr>
        <w:t>Sutyazhnik przeciwko Rosji</w:t>
      </w:r>
      <w:r>
        <w:rPr>
          <w:rStyle w:val="JuParaChar"/>
        </w:rPr>
        <w:t>, skarga nr 8269/02, § 35, 23 lipca 2009 r.).</w:t>
      </w:r>
    </w:p>
    <w:bookmarkStart w:id="126" w:name="Court_assessment_3"/>
    <w:p w14:paraId="06540161" w14:textId="77777777" w:rsidR="000410B4" w:rsidRPr="00D637A7" w:rsidRDefault="008E2D0D" w:rsidP="00D637A7">
      <w:pPr>
        <w:pStyle w:val="JuPara"/>
      </w:pPr>
      <w:r w:rsidRPr="00D637A7">
        <w:rPr>
          <w:rStyle w:val="JuParaChar"/>
        </w:rPr>
        <w:fldChar w:fldCharType="begin"/>
      </w:r>
      <w:r w:rsidRPr="00D637A7">
        <w:rPr>
          <w:rStyle w:val="JuParaChar"/>
        </w:rPr>
        <w:instrText xml:space="preserve"> SEQ level0 \*arabic \* MERGEFORMAT </w:instrText>
      </w:r>
      <w:r w:rsidRPr="00D637A7">
        <w:rPr>
          <w:rStyle w:val="JuParaChar"/>
        </w:rPr>
        <w:fldChar w:fldCharType="separate"/>
      </w:r>
      <w:r w:rsidR="006D0886">
        <w:rPr>
          <w:rStyle w:val="JuParaChar"/>
          <w:noProof/>
        </w:rPr>
        <w:t>225</w:t>
      </w:r>
      <w:r w:rsidRPr="00D637A7">
        <w:rPr>
          <w:rStyle w:val="JuParaChar"/>
        </w:rPr>
        <w:fldChar w:fldCharType="end"/>
      </w:r>
      <w:bookmarkEnd w:id="126"/>
      <w:r>
        <w:rPr>
          <w:rStyle w:val="JuParaChar"/>
        </w:rPr>
        <w:t>.  S</w:t>
      </w:r>
      <w:r>
        <w:t>twierdzenie, że decyzja w sprawie skarżącego była niekompletna lub jednostronna lub że postępowanie doprowadziło do błędnego rezultatu nie może samo w sobie, wobec braku błędów w zakresie właściwości lub poważnych naruszeń przepisów procesowych, nadużycia uprawnień, oczywistych błędów w stosowaniu prawa materialnego lub innych ważkich powodów wynikających z interesu wymiaru sprawiedliwości, wskazywać na istnienie fundamentalnej wady obciążającej poprzednie postępowanie (zob. </w:t>
      </w:r>
      <w:r>
        <w:rPr>
          <w:rFonts w:ascii="Times New Roman" w:hAnsi="Times New Roman"/>
          <w:i/>
          <w:iCs/>
        </w:rPr>
        <w:t>Tığrak</w:t>
      </w:r>
      <w:r>
        <w:rPr>
          <w:rFonts w:ascii="Times New Roman" w:hAnsi="Times New Roman"/>
        </w:rPr>
        <w:t xml:space="preserve">, </w:t>
      </w:r>
      <w:r>
        <w:rPr>
          <w:rFonts w:ascii="Times New Roman" w:hAnsi="Times New Roman"/>
          <w:i/>
          <w:iCs/>
        </w:rPr>
        <w:t>op.cit.</w:t>
      </w:r>
      <w:r>
        <w:rPr>
          <w:rFonts w:ascii="Times New Roman" w:hAnsi="Times New Roman"/>
        </w:rPr>
        <w:t>, § 48).</w:t>
      </w:r>
    </w:p>
    <w:p w14:paraId="5FC58A0D" w14:textId="77777777" w:rsidR="000410B4" w:rsidRPr="00D637A7" w:rsidRDefault="008E2D0D" w:rsidP="00D637A7">
      <w:pPr>
        <w:pStyle w:val="JuPara"/>
      </w:pPr>
      <w:r w:rsidRPr="00D637A7">
        <w:rPr>
          <w:rStyle w:val="JuParaChar"/>
        </w:rPr>
        <w:fldChar w:fldCharType="begin"/>
      </w:r>
      <w:r w:rsidRPr="00D637A7">
        <w:rPr>
          <w:rStyle w:val="JuParaChar"/>
        </w:rPr>
        <w:instrText xml:space="preserve"> SEQ level0 \*arabic \* MERGEFORMAT </w:instrText>
      </w:r>
      <w:r w:rsidRPr="00D637A7">
        <w:rPr>
          <w:rStyle w:val="JuParaChar"/>
        </w:rPr>
        <w:fldChar w:fldCharType="separate"/>
      </w:r>
      <w:r w:rsidR="006D0886">
        <w:rPr>
          <w:rStyle w:val="JuParaChar"/>
          <w:noProof/>
        </w:rPr>
        <w:t>226</w:t>
      </w:r>
      <w:r w:rsidRPr="00D637A7">
        <w:rPr>
          <w:rStyle w:val="JuParaChar"/>
        </w:rPr>
        <w:fldChar w:fldCharType="end"/>
      </w:r>
      <w:r>
        <w:rPr>
          <w:rStyle w:val="JuParaChar"/>
        </w:rPr>
        <w:t>.  </w:t>
      </w:r>
      <w:r>
        <w:t>Wśród odpowiednich kwestii, które należy wziąć pod uwagę w tym względzie, należy wymienić w szczególności: wpływ wznowienia i kolejnego postępowania na indywidualną sytuację skarżącego; czy wznowienie wynikało z indywidualnej sytuacji skarżącego i czy postępowanie wznowiono na wniosek samego skarżącego; podstawy uchylenia wyroku w sprawie skarżącego przez władze krajowe; zgodność spornych procedur z wymogami prawa krajowego; istnienie i funkcjonowanie w krajowym systemie prawnym gwarancji procesowych umożliwiających zapobieganie nadużywaniu tej procedury przez władze krajowe; oraz inne istotne okoliczności sprawy (</w:t>
      </w:r>
      <w:r>
        <w:rPr>
          <w:i/>
          <w:iCs/>
        </w:rPr>
        <w:t>ibidem</w:t>
      </w:r>
      <w:r>
        <w:t>).</w:t>
      </w:r>
    </w:p>
    <w:p w14:paraId="384E0E2F" w14:textId="77777777" w:rsidR="000410B4" w:rsidRPr="00D637A7" w:rsidRDefault="008E2D0D" w:rsidP="00D637A7">
      <w:pPr>
        <w:pStyle w:val="JuHa0"/>
      </w:pPr>
      <w:r>
        <w:lastRenderedPageBreak/>
        <w:t>Zastosowanie powyższych zasad w niniejszej sprawie</w:t>
      </w:r>
    </w:p>
    <w:p w14:paraId="2582E569" w14:textId="77777777" w:rsidR="000410B4" w:rsidRPr="00D637A7" w:rsidRDefault="00000000" w:rsidP="00D637A7">
      <w:pPr>
        <w:pStyle w:val="JuPara"/>
      </w:pPr>
      <w:fldSimple w:instr=" SEQ level0 \*arabic ">
        <w:r w:rsidR="006D0886">
          <w:rPr>
            <w:noProof/>
          </w:rPr>
          <w:t>227</w:t>
        </w:r>
      </w:fldSimple>
      <w:r w:rsidR="008E2D0D">
        <w:t>.  Przed dokonaniem oceny indywidualnych konsekwencji uchylenia prawomocnego orzeczenia w sprawie skarżącego w świetle art. 6 ust. 1 Konwencji Trybunał przeanalizuje w pierwszej kolejności, biorąc pod uwagę własne orzecznictwo, ogólną charakterystykę skargi nadzwyczajnej funkcjonującej w Polsce.</w:t>
      </w:r>
    </w:p>
    <w:p w14:paraId="29A7B9CC" w14:textId="71E85B67" w:rsidR="000410B4" w:rsidRPr="00D637A7" w:rsidRDefault="008E2D0D" w:rsidP="00D637A7">
      <w:pPr>
        <w:pStyle w:val="JuHi"/>
      </w:pPr>
      <w:r>
        <w:t>Ogóln</w:t>
      </w:r>
      <w:r w:rsidR="005346BF">
        <w:t>e</w:t>
      </w:r>
      <w:r>
        <w:t xml:space="preserve"> </w:t>
      </w:r>
      <w:r w:rsidR="005346BF">
        <w:t>cechy</w:t>
      </w:r>
      <w:r>
        <w:t xml:space="preserve"> skargi nadzwyczajnej i </w:t>
      </w:r>
      <w:r w:rsidR="005346BF">
        <w:t>ich</w:t>
      </w:r>
      <w:r>
        <w:t xml:space="preserve"> ocena w świetle Konwencji</w:t>
      </w:r>
    </w:p>
    <w:p w14:paraId="228F99FB" w14:textId="77777777" w:rsidR="000410B4" w:rsidRPr="00D637A7" w:rsidRDefault="008E2D0D" w:rsidP="00D637A7">
      <w:pPr>
        <w:pStyle w:val="JuHalpha"/>
      </w:pPr>
      <w:r>
        <w:t>Organy publiczne uprawnione do wniesienia skargi nadzwyczajnej</w:t>
      </w:r>
    </w:p>
    <w:p w14:paraId="7A1307F9" w14:textId="5F0069F8" w:rsidR="000410B4" w:rsidRPr="00D637A7" w:rsidRDefault="00000000" w:rsidP="00D637A7">
      <w:pPr>
        <w:pStyle w:val="JuPara"/>
      </w:pPr>
      <w:fldSimple w:instr=" SEQ level0 \*arabic \* MERGEFORMAT ">
        <w:r w:rsidR="006D0886">
          <w:rPr>
            <w:noProof/>
          </w:rPr>
          <w:t>228</w:t>
        </w:r>
      </w:fldSimple>
      <w:r w:rsidR="008E2D0D">
        <w:t>.  Trybunał pragnie na wstępie zauważyć, że w art. 89 § 2 ustawy o Sądzie Najwyższym z 2017 r. dokonano rozróżnienia na sytuację z jednej strony Prokuratora Generalnego i Rzecznika Praw Obywatelskich, którzy mogą wnieść skargę nadzwyczajną od dowolnego prawomocnego orzeczenia, i z drugiej strony na sytuację innych organów publicznych, które mogą wnieść ją wyłącznie „w zakresie swojej właściwości” (zob. par</w:t>
      </w:r>
      <w:r w:rsidR="00E40AE2">
        <w:t>.</w:t>
      </w:r>
      <w:r w:rsidR="008E2D0D">
        <w:t> </w:t>
      </w:r>
      <w:r w:rsidR="008E2D0D" w:rsidRPr="00D637A7">
        <w:fldChar w:fldCharType="begin"/>
      </w:r>
      <w:r w:rsidR="008E2D0D" w:rsidRPr="00D637A7">
        <w:instrText xml:space="preserve"> REF Extraordinary_appeals \h </w:instrText>
      </w:r>
      <w:r w:rsidR="008E2D0D" w:rsidRPr="00D637A7">
        <w:fldChar w:fldCharType="separate"/>
      </w:r>
      <w:r w:rsidR="006D0886">
        <w:rPr>
          <w:noProof/>
        </w:rPr>
        <w:t>69</w:t>
      </w:r>
      <w:r w:rsidR="008E2D0D" w:rsidRPr="00D637A7">
        <w:fldChar w:fldCharType="end"/>
      </w:r>
      <w:r w:rsidR="008E2D0D">
        <w:t xml:space="preserve"> powyżej). W rezultacie pozycja dwóch pierwszych urzędów pod względem wszczynania postępowania jest zdecydowanie silniejsza. Podczas gdy z danych statystycznych przedstawionych przez Rząd wynika, że w okresie od kwietnia 2018 r. do listopada 2022 r. </w:t>
      </w:r>
      <w:r w:rsidR="005346BF">
        <w:t>Rzecznik</w:t>
      </w:r>
      <w:r w:rsidR="008E2D0D">
        <w:t xml:space="preserve"> korzystał ze swoich prerogatyw raczej sporadycznie, ponieważ wniósł 58 spośród 429 skarg nadzwyczajnych rozpoznawanych przez IKNiSP, Prokurator Generalny wykazał się w tym okresie dużo większą aktywnością; wniósł 348 skarg, co stanowiło 81% wszystkich rozpoznawanych skarg. Pozostałe siedem upoważnionych organów wniosło 23 skargi (zob.</w:t>
      </w:r>
      <w:r w:rsidR="005346BF">
        <w:t xml:space="preserve"> pa</w:t>
      </w:r>
      <w:r w:rsidR="00E40AE2">
        <w:t>.</w:t>
      </w:r>
      <w:r w:rsidR="008E2D0D">
        <w:t> </w:t>
      </w:r>
      <w:r w:rsidR="008E2D0D" w:rsidRPr="00D637A7">
        <w:fldChar w:fldCharType="begin"/>
      </w:r>
      <w:r w:rsidR="008E2D0D" w:rsidRPr="00D637A7">
        <w:instrText xml:space="preserve"> REF Extraordinary_appeals_statistics \h </w:instrText>
      </w:r>
      <w:r w:rsidR="008E2D0D" w:rsidRPr="00D637A7">
        <w:fldChar w:fldCharType="separate"/>
      </w:r>
      <w:r w:rsidR="006D0886">
        <w:rPr>
          <w:noProof/>
        </w:rPr>
        <w:t>48</w:t>
      </w:r>
      <w:r w:rsidR="008E2D0D" w:rsidRPr="00D637A7">
        <w:fldChar w:fldCharType="end"/>
      </w:r>
      <w:r w:rsidR="008E2D0D">
        <w:t xml:space="preserve"> powyżej).</w:t>
      </w:r>
    </w:p>
    <w:p w14:paraId="4725DAD6" w14:textId="1D828CD0" w:rsidR="000410B4" w:rsidRPr="00D637A7" w:rsidRDefault="00000000" w:rsidP="00D637A7">
      <w:pPr>
        <w:pStyle w:val="JuPara"/>
      </w:pPr>
      <w:fldSimple w:instr=" SEQ level0 \*arabic \* MERGEFORMAT ">
        <w:r w:rsidR="006D0886">
          <w:rPr>
            <w:noProof/>
          </w:rPr>
          <w:t>229</w:t>
        </w:r>
      </w:fldSimple>
      <w:r w:rsidR="008E2D0D">
        <w:t>.  Powyższe dane wskazują na brak równowagi między ewidentnie większą skalą kwestionowania prawomocnych orzeczeń sądowych przez Prokuratora Generalnego a ograniczonym korzystaniem ze spornego rozwiązania przez pozostałe osoby wymienione w art. 89 §</w:t>
      </w:r>
      <w:r w:rsidR="005346BF">
        <w:t xml:space="preserve"> </w:t>
      </w:r>
      <w:r w:rsidR="008E2D0D">
        <w:t>2.</w:t>
      </w:r>
    </w:p>
    <w:p w14:paraId="1249157E" w14:textId="77777777" w:rsidR="000410B4" w:rsidRPr="00D637A7" w:rsidRDefault="00000000" w:rsidP="00D637A7">
      <w:pPr>
        <w:pStyle w:val="JuPara"/>
      </w:pPr>
      <w:fldSimple w:instr=" SEQ level0 \*arabic \* MERGEFORMAT ">
        <w:r w:rsidR="006D0886">
          <w:rPr>
            <w:noProof/>
          </w:rPr>
          <w:t>230</w:t>
        </w:r>
      </w:fldSimple>
      <w:r w:rsidR="008E2D0D">
        <w:t xml:space="preserve">.  Fakt, że upoważniony organ, działając w zakresie kompetencji ustawowej, korzysta z tego rodzaju wyjątkowej procedury częściej niż inne, nie może </w:t>
      </w:r>
      <w:r w:rsidR="008E2D0D">
        <w:rPr>
          <w:i/>
          <w:iCs/>
        </w:rPr>
        <w:t xml:space="preserve">per </w:t>
      </w:r>
      <w:proofErr w:type="spellStart"/>
      <w:r w:rsidR="008E2D0D">
        <w:rPr>
          <w:i/>
          <w:iCs/>
        </w:rPr>
        <w:t>se</w:t>
      </w:r>
      <w:proofErr w:type="spellEnd"/>
      <w:r w:rsidR="008E2D0D">
        <w:t xml:space="preserve"> świadczyć o nadużywaniu prerogatyw lub wadliwej praktyce.</w:t>
      </w:r>
    </w:p>
    <w:p w14:paraId="18CA3CC5" w14:textId="77777777" w:rsidR="000410B4" w:rsidRPr="00D637A7" w:rsidRDefault="008E2D0D" w:rsidP="00D637A7">
      <w:pPr>
        <w:pStyle w:val="JuPara"/>
      </w:pPr>
      <w:r>
        <w:t>Jednakże, jak podkreślają skarżący, Helsińska Fundacja Praw Człowieka i Iustitia, Prokurator Generalny jest również aktywnym politykiem, który dodatkowo pełni funkcje Ministra Sprawiedliwości jako członek partii wchodzącej w skład koalicji rządowej sprawującej władzę w latach 2015–2023. Jest głównym twórcą szeroko zakrojonej reorganizacji polskiego systemu sądownictwa rozpoczętej w 2017 r., która doprowadziła między innymi do istotnego poszerzenia uprawnień Ministra Sprawiedliwości w kwestii organizacji wewnętrznej sądów oraz powoływania i odwoływania prezesów i wiceprezesów sądów. W ramach tej reorganizacji rozszerzono również jego uprawnienia w dziedzinie awansów i postępowań dyscyplinarnych (zob. </w:t>
      </w:r>
      <w:r>
        <w:rPr>
          <w:rFonts w:ascii="Times New Roman" w:hAnsi="Times New Roman"/>
          <w:i/>
          <w:iCs/>
        </w:rPr>
        <w:t>Grzęda</w:t>
      </w:r>
      <w:r>
        <w:rPr>
          <w:rFonts w:ascii="Times New Roman" w:hAnsi="Times New Roman"/>
        </w:rPr>
        <w:t xml:space="preserve">, </w:t>
      </w:r>
      <w:r>
        <w:rPr>
          <w:rFonts w:ascii="Times New Roman" w:hAnsi="Times New Roman"/>
          <w:i/>
          <w:iCs/>
        </w:rPr>
        <w:t>op.cit.</w:t>
      </w:r>
      <w:r>
        <w:rPr>
          <w:rFonts w:ascii="Times New Roman" w:hAnsi="Times New Roman"/>
        </w:rPr>
        <w:t>, §§ 17-18)</w:t>
      </w:r>
      <w:r>
        <w:t xml:space="preserve">. Wiadomo również, że wywierał on istotny wpływ polityczny na skład KRS ukształtowanej w trybie </w:t>
      </w:r>
      <w:r>
        <w:lastRenderedPageBreak/>
        <w:t>przewidzianym ustawą zmieniającą z 2017 r., która jest organem rekomendującym kandydatów na stanowiska sędziowskie, w tym do IKNiSP (zob. </w:t>
      </w:r>
      <w:r>
        <w:rPr>
          <w:i/>
          <w:iCs/>
        </w:rPr>
        <w:t>Reczkowicz</w:t>
      </w:r>
      <w:r>
        <w:t xml:space="preserve">, </w:t>
      </w:r>
      <w:r>
        <w:rPr>
          <w:i/>
          <w:iCs/>
        </w:rPr>
        <w:t>op.cit.</w:t>
      </w:r>
      <w:r>
        <w:t>, §§ 77</w:t>
      </w:r>
      <w:r>
        <w:noBreakHyphen/>
        <w:t>79, 100 i 272).</w:t>
      </w:r>
    </w:p>
    <w:p w14:paraId="218A1BAC" w14:textId="278AC922" w:rsidR="000410B4" w:rsidRPr="00D637A7" w:rsidRDefault="00000000" w:rsidP="00D637A7">
      <w:pPr>
        <w:pStyle w:val="JuPara"/>
      </w:pPr>
      <w:fldSimple w:instr=" SEQ level0 \*arabic \* MERGEFORMAT ">
        <w:r w:rsidR="006D0886">
          <w:rPr>
            <w:noProof/>
          </w:rPr>
          <w:t>231</w:t>
        </w:r>
      </w:fldSimple>
      <w:r w:rsidR="008E2D0D">
        <w:t xml:space="preserve">.  W tych okolicznościach powierzenie Prokuratorowi Generalnemu, który jest jednocześnie przedstawicielem władzy wykonawczej i w tej roli sprawuje znaczącą władzę nad sądami oraz wywiera duży wpływ na KRS, nieograniczonego uprawnienia do kwestionowania praktycznie każdego prawomocnego orzeczenia sądowego sprawia, że nie sposób mówić o jedynie hipotetycznym ryzyku, iż środek zaskarżenia, który w teorii ma służyć ochronie praw podstawowych jednostki, może w praktyce stać się narzędziem politycznego nadzoru nad wyrokami sądowymi sprawowanego przez władzę wykonawczą (w tym kontekście zob. również stanowiska </w:t>
      </w:r>
      <w:r w:rsidR="005346BF">
        <w:t>Helsińskiej Fundacji</w:t>
      </w:r>
      <w:r w:rsidR="008E2D0D">
        <w:t xml:space="preserve"> i stowarzyszenia Iustitia w par</w:t>
      </w:r>
      <w:r w:rsidR="00E40AE2">
        <w:t>.</w:t>
      </w:r>
      <w:r w:rsidR="008E2D0D">
        <w:t> 210-211 i 221 powyżej).</w:t>
      </w:r>
    </w:p>
    <w:p w14:paraId="4A54619C" w14:textId="77777777" w:rsidR="000410B4" w:rsidRPr="00D637A7" w:rsidRDefault="008E2D0D" w:rsidP="00D637A7">
      <w:pPr>
        <w:pStyle w:val="JuHalpha"/>
      </w:pPr>
      <w:r>
        <w:t>Podstawy wniesienia skargi nadzwyczajnej</w:t>
      </w:r>
    </w:p>
    <w:p w14:paraId="22318C7E" w14:textId="77777777" w:rsidR="000410B4" w:rsidRPr="00D637A7" w:rsidRDefault="00000000" w:rsidP="00D637A7">
      <w:pPr>
        <w:pStyle w:val="JuPara"/>
      </w:pPr>
      <w:fldSimple w:instr=" SEQ level0 \*arabic \* MERGEFORMAT ">
        <w:r w:rsidR="006D0886">
          <w:rPr>
            <w:noProof/>
          </w:rPr>
          <w:t>232</w:t>
        </w:r>
      </w:fldSimple>
      <w:r w:rsidR="008E2D0D">
        <w:t>.  Zgodnie z art. 89 § 1 ustawy o Sądzie Najwyższym z 2017 r. skargę nadzwyczajną można wnieść „jeżeli jest to konieczne dla zapewnienia zgodności z zasadą demokratycznego państwa prawnego urzeczywistniającego zasady sprawiedliwości społecznej” i jeżeli prawomocne orzeczenie, którego nie można uchylić ani zmienić innymi nadzwyczajnymi środkami zaskarżenia przewidzianymi polskim prawem „narusza zasady lub wolności i prawa człowieka i obywatela określone w Konstytucji” lub „w sposób rażący narusza prawo przez błędną jego wykładnię lub niewłaściwe zastosowanie” lub „zachodzi oczywista sprzeczność istotnych ustaleń sądu z treścią zebranego w sprawie materiału dowodowego” (zob. par. </w:t>
      </w:r>
      <w:r w:rsidR="008E2D0D" w:rsidRPr="00D637A7">
        <w:fldChar w:fldCharType="begin"/>
      </w:r>
      <w:r w:rsidR="008E2D0D" w:rsidRPr="00D637A7">
        <w:instrText xml:space="preserve"> REF Extraordinary_appeals \h </w:instrText>
      </w:r>
      <w:r w:rsidR="008E2D0D" w:rsidRPr="00D637A7">
        <w:fldChar w:fldCharType="separate"/>
      </w:r>
      <w:r w:rsidR="006D0886">
        <w:rPr>
          <w:noProof/>
        </w:rPr>
        <w:t>69</w:t>
      </w:r>
      <w:r w:rsidR="008E2D0D" w:rsidRPr="00D637A7">
        <w:fldChar w:fldCharType="end"/>
      </w:r>
      <w:r w:rsidR="008E2D0D">
        <w:t xml:space="preserve"> powyżej).</w:t>
      </w:r>
    </w:p>
    <w:p w14:paraId="61E78A0C" w14:textId="77777777" w:rsidR="000410B4" w:rsidRPr="00D637A7" w:rsidRDefault="00000000" w:rsidP="00D637A7">
      <w:pPr>
        <w:pStyle w:val="JuPara"/>
      </w:pPr>
      <w:fldSimple w:instr=" SEQ level0 \*arabic \* MERGEFORMAT ">
        <w:r w:rsidR="006D0886">
          <w:rPr>
            <w:noProof/>
          </w:rPr>
          <w:t>233</w:t>
        </w:r>
      </w:fldSimple>
      <w:r w:rsidR="008E2D0D">
        <w:t>.  Jeszcze przed wejściem w życie dnia 3 kwietnia 2018 r. ustawy o Sądzie Najwyższym z 2017 r. różne instytucje europejskie wyrażały poważne obawy co do zgodności tej ustawy z zasadą praworządności.</w:t>
      </w:r>
    </w:p>
    <w:p w14:paraId="0AA7EB1E" w14:textId="5A314528" w:rsidR="000410B4" w:rsidRPr="00D637A7" w:rsidRDefault="008E2D0D" w:rsidP="00D637A7">
      <w:pPr>
        <w:pStyle w:val="JuPara"/>
      </w:pPr>
      <w:r>
        <w:t>OBWE/ODIHR w swojej opinii z dnia 13 listopada 2017 r. wspominała o „ryzyku potencjalnego nadmiernego obciążenia Sądu Najwyższego, jednocześnie umożliwiając pozostałym władzom wpływ na sądownictwo w sposób sprzeczny z zasadą niezależności sądów i podziału władzy”. Zalecano usunięcie tych przepisów z projektu ustawy o Sądzie Najwyższym jako „z natury niezgodnych z międzynarodowymi standardami praworządności i praw człowieka”. Jednocześnie podkreślano, że cele, jakimi są ochrona praworządności i sprawiedliwości społecznej, można byłoby osiągnąć dzięki właściwemu wykorzystaniu dostępnych już środków zaskarżenia, w szczególności skargi kasacyjnej, w celu naprawienia pomyłek sądowych bądź innych uchybień, zanim orzeczenia staną się prawomocne i wykonalne (zob. </w:t>
      </w:r>
      <w:r w:rsidR="00E40AE2">
        <w:t>par.</w:t>
      </w:r>
      <w:r>
        <w:t xml:space="preserve"> </w:t>
      </w:r>
      <w:r w:rsidRPr="00D637A7">
        <w:fldChar w:fldCharType="begin"/>
      </w:r>
      <w:r w:rsidRPr="00D637A7">
        <w:instrText xml:space="preserve"> REF osce \h </w:instrText>
      </w:r>
      <w:r w:rsidRPr="00D637A7">
        <w:fldChar w:fldCharType="separate"/>
      </w:r>
      <w:r w:rsidR="006D0886">
        <w:rPr>
          <w:noProof/>
        </w:rPr>
        <w:t>113</w:t>
      </w:r>
      <w:r w:rsidRPr="00D637A7">
        <w:fldChar w:fldCharType="end"/>
      </w:r>
      <w:r>
        <w:t xml:space="preserve"> powyżej).</w:t>
      </w:r>
    </w:p>
    <w:p w14:paraId="66F3A1EE" w14:textId="696CEA21" w:rsidR="000410B4" w:rsidRPr="00D637A7" w:rsidRDefault="008E2D0D" w:rsidP="00D637A7">
      <w:pPr>
        <w:pStyle w:val="JuPara"/>
      </w:pPr>
      <w:r>
        <w:t xml:space="preserve">Komisja Wenecka w swojej opinii z dnia 11 grudnia 2017 r. zauważyła, że system skarg nadzwyczajnych istniał w wielu byłych państwach komunistycznych, a system proponowany przez Polskę, choć nie jest </w:t>
      </w:r>
      <w:r>
        <w:lastRenderedPageBreak/>
        <w:t>identyczny jak dawny system sowiecki, ma wiele podobieństw. W szczególności wyrażała zaniepokojenie przepisem, z którego wynikało, że prawomocne orzeczenia mogłoby zostać uchylone ze względu na „sprawiedliwość społeczną”, a więc pojęcie dające pole do szerokiego zakresu uznania interpretacyjnego w postępowaniach sądowych, co stoi w sprzeczności z zasadą przewidywalności prawa. Komisja Wenecka skrytykowała również możliwość rewizji prawomocnego wyroku pod kątem okoliczności faktycznych, jako że ustalanie faktów należy przede wszystkim do zadań sądów pierwszej instancji (zob. </w:t>
      </w:r>
      <w:r w:rsidR="00E40AE2">
        <w:t>par.</w:t>
      </w:r>
      <w:r>
        <w:t> </w:t>
      </w:r>
      <w:r w:rsidRPr="00D637A7">
        <w:fldChar w:fldCharType="begin"/>
      </w:r>
      <w:r w:rsidRPr="00D637A7">
        <w:instrText xml:space="preserve"> REF Venice_Commission \h </w:instrText>
      </w:r>
      <w:r w:rsidRPr="00D637A7">
        <w:fldChar w:fldCharType="separate"/>
      </w:r>
      <w:r w:rsidR="006D0886">
        <w:rPr>
          <w:noProof/>
        </w:rPr>
        <w:t>115</w:t>
      </w:r>
      <w:r w:rsidRPr="00D637A7">
        <w:fldChar w:fldCharType="end"/>
      </w:r>
      <w:r>
        <w:t xml:space="preserve"> powyżej).</w:t>
      </w:r>
    </w:p>
    <w:p w14:paraId="2B9824F8" w14:textId="5CBCF0A6" w:rsidR="000410B4" w:rsidRPr="00D637A7" w:rsidRDefault="008E2D0D" w:rsidP="00D637A7">
      <w:pPr>
        <w:pStyle w:val="JuPara"/>
      </w:pPr>
      <w:r>
        <w:t>Komisja Europejska, w swoim czwartym zaleceniu dotyczącym praworządności w Polsce, wydanym 20 grudnia 2017 r., odnosząc się do szeroko zdefiniowanych podstaw wniesienia skargi nadzwyczajnej, uznała, że budzi to obawy dotyczące zasady pewności prawa i praworządności (zob. </w:t>
      </w:r>
      <w:r w:rsidR="00E40AE2">
        <w:t>par.</w:t>
      </w:r>
      <w:r w:rsidR="005346BF">
        <w:t xml:space="preserve"> </w:t>
      </w:r>
      <w:r w:rsidRPr="00D637A7">
        <w:fldChar w:fldCharType="begin"/>
      </w:r>
      <w:r w:rsidRPr="00D637A7">
        <w:instrText xml:space="preserve"> REF Extraordinary_appeal_20december2017 \h </w:instrText>
      </w:r>
      <w:r w:rsidRPr="00D637A7">
        <w:fldChar w:fldCharType="separate"/>
      </w:r>
      <w:r w:rsidR="006D0886">
        <w:rPr>
          <w:noProof/>
        </w:rPr>
        <w:t>126</w:t>
      </w:r>
      <w:r w:rsidRPr="00D637A7">
        <w:fldChar w:fldCharType="end"/>
      </w:r>
      <w:r>
        <w:t xml:space="preserve"> powyżej).</w:t>
      </w:r>
    </w:p>
    <w:p w14:paraId="06CEFB17" w14:textId="27B3EC07" w:rsidR="000410B4" w:rsidRPr="00D637A7" w:rsidRDefault="00000000" w:rsidP="00D637A7">
      <w:pPr>
        <w:pStyle w:val="JuPara"/>
      </w:pPr>
      <w:fldSimple w:instr=" SEQ level0 \*arabic \* MERGEFORMAT ">
        <w:r w:rsidR="006D0886">
          <w:rPr>
            <w:noProof/>
          </w:rPr>
          <w:t>234</w:t>
        </w:r>
      </w:fldSimple>
      <w:r w:rsidR="008E2D0D">
        <w:t>.  Po wejściu ustawy w życie słowa krytyki napłynęły również z innych źródeł. Przykładowo GRECO w uzupełnieniu do Raportu z oceny IV rundy w sprawie Polski wyraziło zaniepokojenie, że skarga nadzwyczajna stanowi zagrożenie dla stabilności polskiego porządku prawnego (zob. </w:t>
      </w:r>
      <w:r w:rsidR="00E40AE2">
        <w:t>par.</w:t>
      </w:r>
      <w:r w:rsidR="008E2D0D">
        <w:t> </w:t>
      </w:r>
      <w:r w:rsidR="008E2D0D" w:rsidRPr="00D637A7">
        <w:fldChar w:fldCharType="begin"/>
      </w:r>
      <w:r w:rsidR="008E2D0D" w:rsidRPr="00D637A7">
        <w:instrText xml:space="preserve"> REF Greco \h </w:instrText>
      </w:r>
      <w:r w:rsidR="008E2D0D" w:rsidRPr="00D637A7">
        <w:fldChar w:fldCharType="separate"/>
      </w:r>
      <w:r w:rsidR="006D0886">
        <w:rPr>
          <w:noProof/>
        </w:rPr>
        <w:t>118</w:t>
      </w:r>
      <w:r w:rsidR="008E2D0D" w:rsidRPr="00D637A7">
        <w:fldChar w:fldCharType="end"/>
      </w:r>
      <w:r w:rsidR="008E2D0D">
        <w:noBreakHyphen/>
      </w:r>
      <w:r w:rsidR="008E2D0D" w:rsidRPr="00D637A7">
        <w:fldChar w:fldCharType="begin"/>
      </w:r>
      <w:r w:rsidR="008E2D0D" w:rsidRPr="00D637A7">
        <w:instrText xml:space="preserve"> REF Greco_1 \h </w:instrText>
      </w:r>
      <w:r w:rsidR="008E2D0D" w:rsidRPr="00D637A7">
        <w:fldChar w:fldCharType="separate"/>
      </w:r>
      <w:r w:rsidR="006D0886">
        <w:rPr>
          <w:noProof/>
        </w:rPr>
        <w:t>119</w:t>
      </w:r>
      <w:r w:rsidR="008E2D0D" w:rsidRPr="00D637A7">
        <w:fldChar w:fldCharType="end"/>
      </w:r>
      <w:r w:rsidR="008E2D0D">
        <w:t xml:space="preserve"> powyżej). Zgromadzenie Parlamentarne Rady Europy (PACE) w swojej rezolucji z dnia 28 stycznia 2020 r. stwierdziło, że wprowadzenie skargi nadzwyczajnej od prawomocnych wyroków „na szerokich i subiektywnych podstawach” narusza zasadę pewności prawa i zasadę </w:t>
      </w:r>
      <w:r w:rsidR="008E2D0D">
        <w:rPr>
          <w:i/>
          <w:iCs/>
        </w:rPr>
        <w:t>res judicata</w:t>
      </w:r>
      <w:r w:rsidR="008E2D0D">
        <w:t xml:space="preserve"> i może mieć istotny wpływ na wzrost liczby skarg przeciwko Polsce wnoszonych do </w:t>
      </w:r>
      <w:r w:rsidR="005346BF">
        <w:t>Trybunału</w:t>
      </w:r>
      <w:r w:rsidR="008E2D0D">
        <w:t xml:space="preserve"> (zob. </w:t>
      </w:r>
      <w:r w:rsidR="00E40AE2">
        <w:t>par.</w:t>
      </w:r>
      <w:r w:rsidR="008E2D0D">
        <w:t> </w:t>
      </w:r>
      <w:r w:rsidR="008E2D0D" w:rsidRPr="00D637A7">
        <w:fldChar w:fldCharType="begin"/>
      </w:r>
      <w:r w:rsidR="008E2D0D" w:rsidRPr="00D637A7">
        <w:instrText xml:space="preserve"> REF Parliamentary_Assembly \h </w:instrText>
      </w:r>
      <w:r w:rsidR="008E2D0D" w:rsidRPr="00D637A7">
        <w:fldChar w:fldCharType="separate"/>
      </w:r>
      <w:r w:rsidR="006D0886">
        <w:rPr>
          <w:noProof/>
        </w:rPr>
        <w:t>114</w:t>
      </w:r>
      <w:r w:rsidR="008E2D0D" w:rsidRPr="00D637A7">
        <w:fldChar w:fldCharType="end"/>
      </w:r>
      <w:r w:rsidR="008E2D0D">
        <w:t xml:space="preserve"> powyżej).</w:t>
      </w:r>
    </w:p>
    <w:p w14:paraId="4D834F49" w14:textId="77777777" w:rsidR="000410B4" w:rsidRPr="00D637A7" w:rsidRDefault="00000000" w:rsidP="00D637A7">
      <w:pPr>
        <w:pStyle w:val="JuPara"/>
      </w:pPr>
      <w:fldSimple w:instr=" SEQ level0 \*arabic \* MERGEFORMAT ">
        <w:r w:rsidR="006D0886">
          <w:rPr>
            <w:noProof/>
          </w:rPr>
          <w:t>235</w:t>
        </w:r>
      </w:fldSimple>
      <w:r w:rsidR="008E2D0D">
        <w:t>.  Trybunał podpisuje się pod powyższymi opiniami. W szczególności zaniepokojony jest aspektami wskazanymi poniżej.</w:t>
      </w:r>
    </w:p>
    <w:p w14:paraId="41858A9F" w14:textId="4836E31A" w:rsidR="000410B4" w:rsidRPr="00D637A7" w:rsidRDefault="008E2D0D" w:rsidP="00D637A7">
      <w:pPr>
        <w:pStyle w:val="JuPara"/>
      </w:pPr>
      <w:r>
        <w:t xml:space="preserve">Po pierwsze, jednym z warunków </w:t>
      </w:r>
      <w:r>
        <w:rPr>
          <w:i/>
          <w:iCs/>
        </w:rPr>
        <w:t>sine qua non</w:t>
      </w:r>
      <w:r>
        <w:t xml:space="preserve"> wniesienia skargi nadzwyczajnej jest konieczność zapewnienia zgodności z zasadami sprawiedliwości społecznej. Pojęcie „sprawiedliwości społecznej”, chociaż w sposób oczywisty nawiązujące do art. 2 Konstytucji (zob. </w:t>
      </w:r>
      <w:r w:rsidR="00E40AE2">
        <w:t>par.</w:t>
      </w:r>
      <w:r>
        <w:t> </w:t>
      </w:r>
      <w:r w:rsidRPr="00D637A7">
        <w:fldChar w:fldCharType="begin"/>
      </w:r>
      <w:r w:rsidRPr="00D637A7">
        <w:instrText xml:space="preserve"> REF Constitutional_provisions \h </w:instrText>
      </w:r>
      <w:r w:rsidRPr="00D637A7">
        <w:fldChar w:fldCharType="separate"/>
      </w:r>
      <w:r w:rsidR="006D0886">
        <w:rPr>
          <w:noProof/>
        </w:rPr>
        <w:t>58</w:t>
      </w:r>
      <w:r w:rsidRPr="00D637A7">
        <w:fldChar w:fldCharType="end"/>
      </w:r>
      <w:r>
        <w:t xml:space="preserve"> powyżej), jest z natury ogólne i niejasne – ludzie ogółem (a i prawnicy) mogą słusznie spierać się w kwestii jego znaczenia. Pojęcie to podlega zatem szerokiej swobodzie interpretacyjnej. Rozumienie tego pojęcia i jego interpretacja mogą się znacznie różnić w zależności od przyjętych punktów odniesienia wybranych przez organ dokonujący wykładni, co skutkuje brakiem jasności co do jego znaczenia na potrzeby postępowania sądowego. Tak szeroki zakres uznania przewidziany dla organów publicznych upoważnionych do wnoszenia skargi nadzwyczajnej i </w:t>
      </w:r>
      <w:r w:rsidR="005346BF">
        <w:t xml:space="preserve">dla </w:t>
      </w:r>
      <w:r>
        <w:t xml:space="preserve">IKNiSP stanowi zaproszenie do </w:t>
      </w:r>
      <w:r w:rsidR="005346BF">
        <w:t xml:space="preserve">możliwej </w:t>
      </w:r>
      <w:r>
        <w:t xml:space="preserve">arbitralności, </w:t>
      </w:r>
      <w:r w:rsidR="005346BF">
        <w:t>niewłaściwego wykorzystywania</w:t>
      </w:r>
      <w:r>
        <w:t xml:space="preserve"> środka zaskarżenia i nadużywania prawa procesowego. W rezultacie sporny przepis nie spełnia wymogów Konwencji w zakresie jakościowych przymiotów „ustawy”, ponieważ prawo krajowe musi wskazywać z rozsądną jasnością zakres i sposób wykonywania przyznanego władzom publicznym uznania, tak by zapewnić jednostkom minimalny stopień ochrony, do którego </w:t>
      </w:r>
      <w:r>
        <w:lastRenderedPageBreak/>
        <w:t>są uprawnione pod rządami prawa w społeczeństwie demokratycznym (zob. </w:t>
      </w:r>
      <w:r>
        <w:rPr>
          <w:i/>
          <w:iCs/>
        </w:rPr>
        <w:t>Piechowicz przeciwko Polsce</w:t>
      </w:r>
      <w:r>
        <w:t>, skarga nr 20071/07, § 212, 17 kwietnia 2012 r., z dalszymi odniesieniami do orzecznictwa Trybunału).</w:t>
      </w:r>
    </w:p>
    <w:p w14:paraId="3B23CD34" w14:textId="03B78EDE" w:rsidR="000410B4" w:rsidRPr="00D637A7" w:rsidRDefault="008E2D0D" w:rsidP="00D637A7">
      <w:pPr>
        <w:pStyle w:val="JuPara"/>
      </w:pPr>
      <w:r>
        <w:t xml:space="preserve">Po drugie, prawomocne orzeczenie można zaskarżyć, gdy „zachodzi oczywista sprzeczność istotnych ustaleń sądu z treścią zebranego w sprawie materiału dowodowego”. W praktyce oznacza to, że w sprawach cywilnych, nawet wiele lat po przedmiotowych wydarzeniach, IKNiSP może działać w charakterze sądu trzeciej czy czwartej instancji ustalającego okoliczności faktyczne, mimo że sądy niższej instancji ustaliły fakty na podstawie dowodów przeprowadzonych bezpośrednio przed nimi, w tym dowodów z zeznań i wyjaśnień. W rezultacie rozwiązanie to podważa stabilność prawomocnych orzeczeń i uzasadnionych oczekiwań jednostki, która spodziewa się prawnej ochrony przed ponownym postępowaniem sądowym w sytuacji, gdy zapadło już ostateczne rozstrzygnięcie, co pokazuje, że skarga nadzwyczajna jest zakamuflowanym zwyczajnym środkiem zaskarżenia, w ramach którego można doprowadzić do nowego zbadania sprawy, co stoi w sprzeczności z zasadą </w:t>
      </w:r>
      <w:r>
        <w:rPr>
          <w:i/>
          <w:iCs/>
        </w:rPr>
        <w:t>res judicata</w:t>
      </w:r>
      <w:r>
        <w:t xml:space="preserve"> (zob. </w:t>
      </w:r>
      <w:r w:rsidR="00E40AE2">
        <w:t>par.</w:t>
      </w:r>
      <w:r>
        <w:t> </w:t>
      </w:r>
      <w:r w:rsidRPr="00D637A7">
        <w:fldChar w:fldCharType="begin"/>
      </w:r>
      <w:r w:rsidRPr="00D637A7">
        <w:instrText xml:space="preserve"> REF court_case_law \h </w:instrText>
      </w:r>
      <w:r w:rsidRPr="00D637A7">
        <w:fldChar w:fldCharType="separate"/>
      </w:r>
      <w:r w:rsidR="006D0886">
        <w:rPr>
          <w:noProof/>
        </w:rPr>
        <w:t>223</w:t>
      </w:r>
      <w:r w:rsidRPr="00D637A7">
        <w:fldChar w:fldCharType="end"/>
      </w:r>
      <w:r>
        <w:t xml:space="preserve"> powyżej, z odniesieniami do orzecznictwa Trybunału).</w:t>
      </w:r>
    </w:p>
    <w:p w14:paraId="67841CC1" w14:textId="77777777" w:rsidR="000410B4" w:rsidRPr="00D637A7" w:rsidRDefault="008E2D0D" w:rsidP="00D637A7">
      <w:pPr>
        <w:pStyle w:val="JuHalpha"/>
      </w:pPr>
      <w:r>
        <w:t>Terminy na wniesienie skargi nadzwyczajnej</w:t>
      </w:r>
    </w:p>
    <w:p w14:paraId="52500249" w14:textId="2C334E33" w:rsidR="000410B4" w:rsidRPr="00D637A7" w:rsidRDefault="00000000" w:rsidP="00D637A7">
      <w:pPr>
        <w:pStyle w:val="JuPara"/>
      </w:pPr>
      <w:fldSimple w:instr=" SEQ level0 \*arabic \* MERGEFORMAT ">
        <w:r w:rsidR="006D0886">
          <w:rPr>
            <w:noProof/>
          </w:rPr>
          <w:t>236</w:t>
        </w:r>
      </w:fldSimple>
      <w:r w:rsidR="008E2D0D">
        <w:t>.  Zgodnie z art. 89 § 3 ogólny termin na wniesienie skargi nadzwyczajnej wynosi pięć lat od daty uprawomocnienia się zaskarżonego orzeczenia. W tym względzie Trybunał odnotowuje opinię Komisji Weneckiej, że okres ten jest sam w sobie bardzo długi, i podpisuje się pod tym poglądem (zob. </w:t>
      </w:r>
      <w:r w:rsidR="00E40AE2">
        <w:t>par.</w:t>
      </w:r>
      <w:r w:rsidR="008E2D0D">
        <w:t> 115 powyżej).</w:t>
      </w:r>
      <w:r w:rsidR="008E2D0D">
        <w:rPr>
          <w:b/>
          <w:bCs/>
        </w:rPr>
        <w:t xml:space="preserve"> </w:t>
      </w:r>
      <w:r w:rsidR="008E2D0D">
        <w:t xml:space="preserve">Termin ten jest ograniczony do jednego roku w sprawach, w których wniesiono skargę kasacyjną lub kasację, zaś prawo zabrania </w:t>
      </w:r>
      <w:r w:rsidR="008E2D0D">
        <w:rPr>
          <w:i/>
          <w:iCs/>
        </w:rPr>
        <w:t>reformatio</w:t>
      </w:r>
      <w:r w:rsidR="008E2D0D">
        <w:t xml:space="preserve"> </w:t>
      </w:r>
      <w:r w:rsidR="008E2D0D">
        <w:rPr>
          <w:i/>
          <w:iCs/>
        </w:rPr>
        <w:t>in peius</w:t>
      </w:r>
      <w:r w:rsidR="008E2D0D">
        <w:t xml:space="preserve"> w sprawach karnych (a więc sytuacji, w której strona wnosząca odwołanie miałby się znaleźć w gorszej sytuacji niż gdyby do odwołania nie doszło), zatem do jednego roku ograniczono termin ogólny, a do sześciu miesięcy termin obowiązujący w przypadku, gdy wniesiono skargę kasacyjną.</w:t>
      </w:r>
    </w:p>
    <w:p w14:paraId="6274931E" w14:textId="3C729B30" w:rsidR="000410B4" w:rsidRPr="00D637A7" w:rsidRDefault="008E2D0D" w:rsidP="00D637A7">
      <w:pPr>
        <w:pStyle w:val="JuPara"/>
      </w:pPr>
      <w:r>
        <w:t xml:space="preserve">Jednakże zgodnie z przepisem przejściowym art. 115 § 1 ogólny termin pięcioletni, za wyjątkiem spraw karnych, w których nadal obowiązuje zakaz </w:t>
      </w:r>
      <w:r>
        <w:rPr>
          <w:i/>
          <w:iCs/>
        </w:rPr>
        <w:t>reformatio</w:t>
      </w:r>
      <w:r>
        <w:t xml:space="preserve"> </w:t>
      </w:r>
      <w:r>
        <w:rPr>
          <w:i/>
          <w:iCs/>
        </w:rPr>
        <w:t>in peius</w:t>
      </w:r>
      <w:r>
        <w:t>, nie jest wiążący dla Prokuratora Generalnego ani RPO. W tym względzie obydwu przysługują dodatkowe wyjątkowe uprawnienia. Zgodnie z art. 115 § 1 i 1a w terminie trzech lat w czasie istotnym dla sprawy (a obecnie w terminie sześciu lat)</w:t>
      </w:r>
      <w:r w:rsidR="004A0C0A">
        <w:t>,</w:t>
      </w:r>
      <w:r>
        <w:t xml:space="preserve"> liczonych od dnia 3 kwietnia 2018 r., a więc daty wejścia w życie ustawy o Sądzie Najwyższym z 2017 r., mogli oni i nadal mogą wnieść skargę nadzwyczajną od dowolnego prawomocnego orzeczenia, które uprawomocniło się przed wejściem w życie ustawy, co obejmuje orzeczenia wydane począwszy od 17 października 1997 r. (zob. </w:t>
      </w:r>
      <w:r w:rsidR="00E40AE2">
        <w:t>par.</w:t>
      </w:r>
      <w:r>
        <w:t> </w:t>
      </w:r>
      <w:r w:rsidRPr="00D637A7">
        <w:fldChar w:fldCharType="begin"/>
      </w:r>
      <w:r w:rsidRPr="00D637A7">
        <w:instrText xml:space="preserve"> REF Extraordinary_appeals \h </w:instrText>
      </w:r>
      <w:r w:rsidRPr="00D637A7">
        <w:fldChar w:fldCharType="separate"/>
      </w:r>
      <w:r w:rsidR="006D0886">
        <w:rPr>
          <w:noProof/>
        </w:rPr>
        <w:t>69</w:t>
      </w:r>
      <w:r w:rsidRPr="00D637A7">
        <w:fldChar w:fldCharType="end"/>
      </w:r>
      <w:r>
        <w:noBreakHyphen/>
      </w:r>
      <w:r w:rsidRPr="00D637A7">
        <w:fldChar w:fldCharType="begin"/>
      </w:r>
      <w:r w:rsidRPr="00D637A7">
        <w:instrText xml:space="preserve"> REF Extraordinary_appeals_1 \h </w:instrText>
      </w:r>
      <w:r w:rsidRPr="00D637A7">
        <w:fldChar w:fldCharType="separate"/>
      </w:r>
      <w:r w:rsidR="006D0886">
        <w:rPr>
          <w:noProof/>
        </w:rPr>
        <w:t>70</w:t>
      </w:r>
      <w:r w:rsidRPr="00D637A7">
        <w:fldChar w:fldCharType="end"/>
      </w:r>
      <w:r>
        <w:t xml:space="preserve"> powyżej).</w:t>
      </w:r>
    </w:p>
    <w:bookmarkStart w:id="127" w:name="Court_assessment_5"/>
    <w:p w14:paraId="2D3CD59E" w14:textId="13B867B1"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237</w:t>
      </w:r>
      <w:r w:rsidRPr="00D637A7">
        <w:fldChar w:fldCharType="end"/>
      </w:r>
      <w:bookmarkEnd w:id="127"/>
      <w:r>
        <w:t xml:space="preserve">.  W tym kontekście Trybunał nie może przyjąć argumentu Rządu, że ustawą o Sądzie Najwyższym z 2017 r. wprowadzono ścisłe terminy na </w:t>
      </w:r>
      <w:r>
        <w:lastRenderedPageBreak/>
        <w:t>wniesienie skargi nadzwyczajnej (</w:t>
      </w:r>
      <w:r>
        <w:rPr>
          <w:rFonts w:ascii="Times New Roman" w:hAnsi="Times New Roman"/>
        </w:rPr>
        <w:t>zob. </w:t>
      </w:r>
      <w:r w:rsidR="00E40AE2">
        <w:rPr>
          <w:rFonts w:ascii="Times New Roman" w:hAnsi="Times New Roman"/>
        </w:rPr>
        <w:t>par.</w:t>
      </w:r>
      <w:r>
        <w:t xml:space="preserve"> </w:t>
      </w:r>
      <w:r w:rsidRPr="00D637A7">
        <w:rPr>
          <w:rFonts w:ascii="Times New Roman" w:hAnsi="Times New Roman" w:cs="Times New Roman"/>
        </w:rPr>
        <w:fldChar w:fldCharType="begin"/>
      </w:r>
      <w:r w:rsidRPr="00D637A7">
        <w:rPr>
          <w:rFonts w:ascii="Times New Roman" w:hAnsi="Times New Roman" w:cs="Times New Roman"/>
        </w:rPr>
        <w:instrText xml:space="preserve"> REF parties_submissions_1 \h </w:instrText>
      </w:r>
      <w:r w:rsidRPr="00D637A7">
        <w:rPr>
          <w:rFonts w:ascii="Times New Roman" w:hAnsi="Times New Roman" w:cs="Times New Roman"/>
        </w:rPr>
      </w:r>
      <w:r w:rsidRPr="00D637A7">
        <w:rPr>
          <w:rFonts w:ascii="Times New Roman" w:hAnsi="Times New Roman" w:cs="Times New Roman"/>
        </w:rPr>
        <w:fldChar w:fldCharType="separate"/>
      </w:r>
      <w:r w:rsidR="006D0886">
        <w:rPr>
          <w:noProof/>
        </w:rPr>
        <w:t>190</w:t>
      </w:r>
      <w:r w:rsidRPr="00D637A7">
        <w:rPr>
          <w:rFonts w:ascii="Times New Roman" w:hAnsi="Times New Roman" w:cs="Times New Roman"/>
        </w:rPr>
        <w:fldChar w:fldCharType="end"/>
      </w:r>
      <w:r>
        <w:rPr>
          <w:rFonts w:ascii="Times New Roman" w:hAnsi="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parties_submissions_2 \h </w:instrText>
      </w:r>
      <w:r w:rsidRPr="00D637A7">
        <w:rPr>
          <w:rFonts w:ascii="Times New Roman" w:hAnsi="Times New Roman" w:cs="Times New Roman"/>
        </w:rPr>
      </w:r>
      <w:r w:rsidRPr="00D637A7">
        <w:rPr>
          <w:rFonts w:ascii="Times New Roman" w:hAnsi="Times New Roman" w:cs="Times New Roman"/>
        </w:rPr>
        <w:fldChar w:fldCharType="separate"/>
      </w:r>
      <w:r w:rsidR="006D0886">
        <w:rPr>
          <w:noProof/>
        </w:rPr>
        <w:t>195</w:t>
      </w:r>
      <w:r w:rsidRPr="00D637A7">
        <w:rPr>
          <w:rFonts w:ascii="Times New Roman" w:hAnsi="Times New Roman" w:cs="Times New Roman"/>
        </w:rPr>
        <w:fldChar w:fldCharType="end"/>
      </w:r>
      <w:r>
        <w:rPr>
          <w:rFonts w:ascii="Times New Roman" w:hAnsi="Times New Roman"/>
        </w:rPr>
        <w:t xml:space="preserve"> powyżej). </w:t>
      </w:r>
      <w:r>
        <w:t xml:space="preserve">Z kolei wyjątki określone w przepisie przejściowym Trybunał uznaje za niezgodne z wymogami zasady praworządności, w szczególności zasadą pewności prawa, zasadą </w:t>
      </w:r>
      <w:r>
        <w:rPr>
          <w:i/>
          <w:iCs/>
        </w:rPr>
        <w:t xml:space="preserve">res judicata </w:t>
      </w:r>
      <w:r>
        <w:t>oraz zasadą przewidywalności prawa</w:t>
      </w:r>
      <w:r>
        <w:rPr>
          <w:i/>
          <w:iCs/>
        </w:rPr>
        <w:t xml:space="preserve">. </w:t>
      </w:r>
      <w:r>
        <w:t>Z punktu widzenia praworządności nie do pomyślenia jest wprowadzenie z mocą wsteczną drogi prawnej umożliwiającej wznowienie sprawy sądowej zakończonej przed wejściem w życie nowych przepisów, tj. sprawy, która nie podlegała dalszej kontroli sądowej w dniu wydania prawomocnego orzeczenia w sprawie. Możliwość ubiegania się przez Prokuratora Generalnego i RPO, przez znaczący okres, który trwa nadal, o rewizję orzeczeń sądowych w sprawach cywilnych zakończonych ponad dwadzieścia lat przed wejściem w życie przepisów jest szczególnie niepokojąca i nie może być uzasadniona żadną uprawdopodobnioną koniecznością, na którą powołuje się pozwany Rząd, w tym potrzebą „zapewnienia zgodności z zasadą demokratycznego państwa prawnego urzeczywistniającego zasady sprawiedliwości społecznej”.</w:t>
      </w:r>
    </w:p>
    <w:p w14:paraId="11DBE192" w14:textId="77777777" w:rsidR="000410B4" w:rsidRPr="00D637A7" w:rsidRDefault="008E2D0D" w:rsidP="00D637A7">
      <w:pPr>
        <w:pStyle w:val="JuHalpha"/>
      </w:pPr>
      <w:r>
        <w:t>Uprawnienia organu orzekającego</w:t>
      </w:r>
    </w:p>
    <w:p w14:paraId="3B696958" w14:textId="456EE40C" w:rsidR="000410B4" w:rsidRPr="00D637A7" w:rsidRDefault="00000000" w:rsidP="00D637A7">
      <w:pPr>
        <w:pStyle w:val="JuPara"/>
      </w:pPr>
      <w:fldSimple w:instr=" SEQ level0 \*arabic \* MERGEFORMAT ">
        <w:r w:rsidR="006D0886">
          <w:rPr>
            <w:noProof/>
          </w:rPr>
          <w:t>238</w:t>
        </w:r>
      </w:fldSimple>
      <w:r w:rsidR="008E2D0D">
        <w:t xml:space="preserve">.  Zgodnie z art. 91 § 1 ustawy z 2017 r. o Sądzie Najwyższym w przypadku uwzględnienia skargi nadzwyczajnej IKNiSP uchyla zaskarżone orzeczenie w całości lub w części i, w zależności od wyniku postępowania, albo samodzielnie orzeka co do istoty sprawy, albo przekazuje sprawę do ponownego rozpoznania właściwemu sądowi, w razie potrzeby uchylając również wyrok sądu pierwszej instancji. Może również umorzyć postępowanie (zob. </w:t>
      </w:r>
      <w:r w:rsidR="00E40AE2">
        <w:t>par.</w:t>
      </w:r>
      <w:r w:rsidR="008E2D0D">
        <w:t> </w:t>
      </w:r>
      <w:r w:rsidR="008E2D0D" w:rsidRPr="00D637A7">
        <w:fldChar w:fldCharType="begin"/>
      </w:r>
      <w:r w:rsidR="008E2D0D" w:rsidRPr="00D637A7">
        <w:instrText xml:space="preserve"> REF Extraordinary_appeals \h </w:instrText>
      </w:r>
      <w:r w:rsidR="008E2D0D" w:rsidRPr="00D637A7">
        <w:fldChar w:fldCharType="separate"/>
      </w:r>
      <w:r w:rsidR="006D0886">
        <w:rPr>
          <w:noProof/>
        </w:rPr>
        <w:t>69</w:t>
      </w:r>
      <w:r w:rsidR="008E2D0D" w:rsidRPr="00D637A7">
        <w:fldChar w:fldCharType="end"/>
      </w:r>
      <w:r w:rsidR="008E2D0D">
        <w:t xml:space="preserve"> powyżej). Wszystkie orzeczenia sądowe, w tym wydane przez Sąd Najwyższy, mogą podlegać kontroli IKNiSP (zob. </w:t>
      </w:r>
      <w:r w:rsidR="006101C9">
        <w:t>art.</w:t>
      </w:r>
      <w:r w:rsidR="008E2D0D">
        <w:t xml:space="preserve"> 94, cytowany w </w:t>
      </w:r>
      <w:r w:rsidR="00E40AE2">
        <w:t>par.</w:t>
      </w:r>
      <w:r w:rsidR="008E2D0D">
        <w:t> </w:t>
      </w:r>
      <w:r w:rsidR="008E2D0D" w:rsidRPr="00D637A7">
        <w:fldChar w:fldCharType="begin"/>
      </w:r>
      <w:r w:rsidR="008E2D0D" w:rsidRPr="00D637A7">
        <w:instrText xml:space="preserve"> REF Extraordinary_appeals \h </w:instrText>
      </w:r>
      <w:r w:rsidR="008E2D0D" w:rsidRPr="00D637A7">
        <w:fldChar w:fldCharType="separate"/>
      </w:r>
      <w:r w:rsidR="006D0886">
        <w:rPr>
          <w:noProof/>
        </w:rPr>
        <w:t>69</w:t>
      </w:r>
      <w:r w:rsidR="008E2D0D" w:rsidRPr="00D637A7">
        <w:fldChar w:fldCharType="end"/>
      </w:r>
      <w:r w:rsidR="008E2D0D">
        <w:t xml:space="preserve"> powyżej).</w:t>
      </w:r>
    </w:p>
    <w:p w14:paraId="55FB1D80" w14:textId="1CFF2AB7" w:rsidR="000410B4" w:rsidRPr="00D637A7" w:rsidRDefault="008E2D0D" w:rsidP="00D637A7">
      <w:pPr>
        <w:pStyle w:val="JuPara"/>
      </w:pPr>
      <w:r>
        <w:t xml:space="preserve">W związku z tym IKNiSP ma uprawnienia bardzo zbliżone do uprawnień sądu kasacyjnego; niemniej jednak w sprawach, w których zarzuca się sprzeczność istotnych ustaleń sądu z treścią materiału dowodowego, może ona również działać jako sąd ustalający stan faktyczny (zob. również uwagi w </w:t>
      </w:r>
      <w:r w:rsidR="00E40AE2">
        <w:t>par.</w:t>
      </w:r>
      <w:r>
        <w:t> 235 powyżej). Mając na uwadze powyższe wnioski co do szeroko określonych podstaw wniesienia skargi nadzwyczajnej, jej funkcjonowanie jako zakamuflowanego zwyczajnego środka zaskarżenia oraz terminy pozwalające Prokuratorowi Generalnemu i RPO na zaskarżenie orzeczeń, które uprawomocniły się przed wejściem w życie ustawy, uprawnienia IKNiSP – pozwalające praktycznie na wygaszenie całości prawomocnie zakończon</w:t>
      </w:r>
      <w:r w:rsidR="006101C9">
        <w:t>ego</w:t>
      </w:r>
      <w:r>
        <w:t xml:space="preserve"> postępowa</w:t>
      </w:r>
      <w:r w:rsidR="006101C9">
        <w:t>nia</w:t>
      </w:r>
      <w:r>
        <w:t xml:space="preserve"> – budzą poważne zastrzeżenia z punktu widzenia zasady pewności prawa.</w:t>
      </w:r>
    </w:p>
    <w:p w14:paraId="1DA78ABF" w14:textId="77777777" w:rsidR="000410B4" w:rsidRPr="00D637A7" w:rsidRDefault="008E2D0D" w:rsidP="00D637A7">
      <w:pPr>
        <w:pStyle w:val="JuHalpha"/>
      </w:pPr>
      <w:r>
        <w:t>Charakterystyka organu orzekającego</w:t>
      </w:r>
    </w:p>
    <w:p w14:paraId="3F8293A9" w14:textId="68F972DD" w:rsidR="000410B4" w:rsidRPr="00D637A7" w:rsidRDefault="00000000" w:rsidP="00D637A7">
      <w:pPr>
        <w:pStyle w:val="JuPara"/>
        <w:rPr>
          <w:rFonts w:ascii="Times New Roman" w:hAnsi="Times New Roman" w:cs="Times New Roman"/>
        </w:rPr>
      </w:pPr>
      <w:fldSimple w:instr=" SEQ level0 \*arabic \* MERGEFORMAT ">
        <w:r w:rsidR="006D0886">
          <w:rPr>
            <w:noProof/>
          </w:rPr>
          <w:t>239</w:t>
        </w:r>
      </w:fldSimple>
      <w:r w:rsidR="008E2D0D">
        <w:t xml:space="preserve">.  Trybunał ustalił już w sprawach </w:t>
      </w:r>
      <w:r w:rsidR="008E2D0D">
        <w:rPr>
          <w:rFonts w:ascii="Times New Roman" w:hAnsi="Times New Roman"/>
          <w:i/>
          <w:iCs/>
        </w:rPr>
        <w:t xml:space="preserve">Dolińska-Ficek i Ozimek </w:t>
      </w:r>
      <w:r w:rsidR="008E2D0D">
        <w:rPr>
          <w:rFonts w:ascii="Times New Roman" w:hAnsi="Times New Roman"/>
        </w:rPr>
        <w:t xml:space="preserve">oraz w niniejszej sprawie, że nieprawidłowości w procesie powoływania sędziów miały negatywny wpływ na legitymację IKNiSP w zakresie, w jakim </w:t>
      </w:r>
      <w:r w:rsidR="008E2D0D">
        <w:rPr>
          <w:rFonts w:ascii="Times New Roman" w:hAnsi="Times New Roman"/>
        </w:rPr>
        <w:lastRenderedPageBreak/>
        <w:t>brakowało jej i nadal brakuje atrybutów „niezawisłego i bezstronnego sądu ustanowionego ustawą” (zob. </w:t>
      </w:r>
      <w:r w:rsidR="00E40AE2">
        <w:rPr>
          <w:rFonts w:ascii="Times New Roman" w:hAnsi="Times New Roman"/>
        </w:rPr>
        <w:t>par.</w:t>
      </w:r>
      <w:r w:rsidR="008E2D0D">
        <w:rPr>
          <w:rFonts w:ascii="Times New Roman" w:hAnsi="Times New Roman"/>
        </w:rPr>
        <w:t>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Dolinska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rFonts w:eastAsia="Times New Roman"/>
          <w:noProof/>
        </w:rPr>
        <w:t>175</w:t>
      </w:r>
      <w:r w:rsidR="008E2D0D" w:rsidRPr="00D637A7">
        <w:rPr>
          <w:rFonts w:ascii="Times New Roman" w:hAnsi="Times New Roman" w:cs="Times New Roman"/>
        </w:rPr>
        <w:fldChar w:fldCharType="end"/>
      </w:r>
      <w:r w:rsidR="008E2D0D">
        <w:rPr>
          <w:rFonts w:ascii="Times New Roman" w:hAnsi="Times New Roman"/>
        </w:rPr>
        <w:t xml:space="preserve"> powyżej)</w:t>
      </w:r>
      <w:r w:rsidR="008E2D0D">
        <w:t>.</w:t>
      </w:r>
      <w:r w:rsidR="008E2D0D">
        <w:rPr>
          <w:rFonts w:ascii="Times New Roman" w:hAnsi="Times New Roman"/>
        </w:rPr>
        <w:t xml:space="preserve"> W konsekwencji badanie nadzwyczajnego środka zaskarżenia, który może prowadzić do daleko idących, niekorzystnych i często nieodwracalnych konsekwencji prawnych dla zainteresowanej osoby, w tym do wyeliminowania ostatecznego orzeczenia sądowego w jej sprawie, w sytuacji</w:t>
      </w:r>
      <w:r w:rsidR="006101C9">
        <w:rPr>
          <w:rFonts w:ascii="Times New Roman" w:hAnsi="Times New Roman"/>
        </w:rPr>
        <w:t>,</w:t>
      </w:r>
      <w:r w:rsidR="008E2D0D">
        <w:rPr>
          <w:rFonts w:ascii="Times New Roman" w:hAnsi="Times New Roman"/>
        </w:rPr>
        <w:t xml:space="preserve"> gdy środek ten cechują poważne braki w kontekście zasady pewności prawa, powierzono organowi, którego nie można uznać za „sąd” w rozumieniu Konwencji. Taka sytuacja, utrwalona obecnie wyrokami Trybunału Konstytucyjnego z dnia 24 listopada 2021 r. (sygn. </w:t>
      </w:r>
      <w:r w:rsidR="006101C9">
        <w:rPr>
          <w:rFonts w:ascii="Times New Roman" w:hAnsi="Times New Roman"/>
        </w:rPr>
        <w:t xml:space="preserve"> </w:t>
      </w:r>
      <w:r w:rsidR="00AC57ED">
        <w:t xml:space="preserve">akt </w:t>
      </w:r>
      <w:r w:rsidR="008E2D0D">
        <w:rPr>
          <w:rFonts w:ascii="Times New Roman" w:hAnsi="Times New Roman"/>
        </w:rPr>
        <w:t>K 6/21) i z dnia 10 marca 2022 r. (sygn.</w:t>
      </w:r>
      <w:r w:rsidR="006101C9">
        <w:rPr>
          <w:rFonts w:ascii="Times New Roman" w:hAnsi="Times New Roman"/>
        </w:rPr>
        <w:t xml:space="preserve"> </w:t>
      </w:r>
      <w:r w:rsidR="00AC57ED">
        <w:t xml:space="preserve">akt </w:t>
      </w:r>
      <w:r w:rsidR="008E2D0D">
        <w:rPr>
          <w:rFonts w:ascii="Times New Roman" w:hAnsi="Times New Roman"/>
        </w:rPr>
        <w:t>K 7/21) (zob. </w:t>
      </w:r>
      <w:r w:rsidR="00E40AE2">
        <w:rPr>
          <w:rFonts w:ascii="Times New Roman" w:hAnsi="Times New Roman"/>
        </w:rPr>
        <w:t>par.</w:t>
      </w:r>
      <w:r w:rsidR="006101C9">
        <w:rPr>
          <w:rFonts w:ascii="Times New Roman" w:hAnsi="Times New Roman"/>
        </w:rPr>
        <w:t xml:space="preserve">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Judgment_24November2021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100</w:t>
      </w:r>
      <w:r w:rsidR="008E2D0D" w:rsidRPr="00D637A7">
        <w:rPr>
          <w:rFonts w:ascii="Times New Roman" w:hAnsi="Times New Roman" w:cs="Times New Roman"/>
        </w:rPr>
        <w:fldChar w:fldCharType="end"/>
      </w:r>
      <w:r w:rsidR="008E2D0D">
        <w:rPr>
          <w:rFonts w:ascii="Times New Roman" w:hAnsi="Times New Roman"/>
        </w:rPr>
        <w:t>-</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Judgment_24November2021_1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102</w:t>
      </w:r>
      <w:r w:rsidR="008E2D0D" w:rsidRPr="00D637A7">
        <w:rPr>
          <w:rFonts w:ascii="Times New Roman" w:hAnsi="Times New Roman" w:cs="Times New Roman"/>
        </w:rPr>
        <w:fldChar w:fldCharType="end"/>
      </w:r>
      <w:r w:rsidR="008E2D0D">
        <w:rPr>
          <w:rFonts w:ascii="Times New Roman" w:hAnsi="Times New Roman"/>
        </w:rPr>
        <w:t xml:space="preserve"> i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judgment_10March2022_3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106</w:t>
      </w:r>
      <w:r w:rsidR="008E2D0D" w:rsidRPr="00D637A7">
        <w:rPr>
          <w:rFonts w:ascii="Times New Roman" w:hAnsi="Times New Roman" w:cs="Times New Roman"/>
        </w:rPr>
        <w:fldChar w:fldCharType="end"/>
      </w:r>
      <w:r w:rsidR="008E2D0D">
        <w:rPr>
          <w:rFonts w:ascii="Times New Roman" w:hAnsi="Times New Roman"/>
        </w:rPr>
        <w:t>-</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judgment_10March2022_2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108</w:t>
      </w:r>
      <w:r w:rsidR="008E2D0D" w:rsidRPr="00D637A7">
        <w:rPr>
          <w:rFonts w:ascii="Times New Roman" w:hAnsi="Times New Roman" w:cs="Times New Roman"/>
        </w:rPr>
        <w:fldChar w:fldCharType="end"/>
      </w:r>
      <w:r w:rsidR="008E2D0D">
        <w:rPr>
          <w:rFonts w:ascii="Times New Roman" w:hAnsi="Times New Roman"/>
        </w:rPr>
        <w:t xml:space="preserve"> powyżej), powoduje ogólny problem systemowy w polskim systemie sądownictwa, który wymaga od pozwanego państwa podjęcia szybkich i odpowiednich działań w celu przywrócenia zgodności z Konwencją (zob. </w:t>
      </w:r>
      <w:r w:rsidR="00E40AE2">
        <w:rPr>
          <w:rFonts w:ascii="Times New Roman" w:hAnsi="Times New Roman"/>
        </w:rPr>
        <w:t>par.</w:t>
      </w:r>
      <w:r w:rsidR="008E2D0D">
        <w:rPr>
          <w:rFonts w:ascii="Times New Roman" w:hAnsi="Times New Roman"/>
        </w:rPr>
        <w:t xml:space="preserve">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Court_assessment_1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319</w:t>
      </w:r>
      <w:r w:rsidR="008E2D0D" w:rsidRPr="00D637A7">
        <w:rPr>
          <w:rFonts w:ascii="Times New Roman" w:hAnsi="Times New Roman" w:cs="Times New Roman"/>
        </w:rPr>
        <w:fldChar w:fldCharType="end"/>
      </w:r>
      <w:r w:rsidR="008E2D0D">
        <w:rPr>
          <w:rFonts w:ascii="Times New Roman" w:hAnsi="Times New Roman"/>
        </w:rPr>
        <w:t>-</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Court_assessment_2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327</w:t>
      </w:r>
      <w:r w:rsidR="008E2D0D" w:rsidRPr="00D637A7">
        <w:rPr>
          <w:rFonts w:ascii="Times New Roman" w:hAnsi="Times New Roman" w:cs="Times New Roman"/>
        </w:rPr>
        <w:fldChar w:fldCharType="end"/>
      </w:r>
      <w:r w:rsidR="008E2D0D">
        <w:rPr>
          <w:rFonts w:ascii="Times New Roman" w:hAnsi="Times New Roman"/>
        </w:rPr>
        <w:t xml:space="preserve"> poniżej).</w:t>
      </w:r>
    </w:p>
    <w:p w14:paraId="0F677ECF" w14:textId="77777777" w:rsidR="000410B4" w:rsidRPr="00D637A7" w:rsidRDefault="008E2D0D" w:rsidP="00D637A7">
      <w:pPr>
        <w:pStyle w:val="JuHi"/>
      </w:pPr>
      <w:r>
        <w:t>Skarga nadzwyczajna wniesiona w sprawie skarżącego i wyrok IKNiSP</w:t>
      </w:r>
    </w:p>
    <w:p w14:paraId="10787876" w14:textId="77777777" w:rsidR="000410B4" w:rsidRPr="00D637A7" w:rsidRDefault="00000000" w:rsidP="00D637A7">
      <w:pPr>
        <w:pStyle w:val="JuPara"/>
      </w:pPr>
      <w:fldSimple w:instr=" SEQ level0 \*arabic \* MERGEFORMAT ">
        <w:r w:rsidR="006D0886">
          <w:rPr>
            <w:noProof/>
          </w:rPr>
          <w:t>240</w:t>
        </w:r>
      </w:fldSimple>
      <w:r w:rsidR="008E2D0D">
        <w:t>.   Okoliczności faktyczne sprawy skarżącego stanowią przykład stwierdzonych powyżej uchybień w procedurze skargi nadzwyczajnej.</w:t>
      </w:r>
    </w:p>
    <w:p w14:paraId="78B1EF40" w14:textId="44B87FCC" w:rsidR="000410B4" w:rsidRPr="00D637A7" w:rsidRDefault="00000000" w:rsidP="00D637A7">
      <w:pPr>
        <w:pStyle w:val="JuPara"/>
        <w:rPr>
          <w:rFonts w:ascii="Times New Roman" w:eastAsia="Calibri" w:hAnsi="Times New Roman" w:cs="Times New Roman"/>
        </w:rPr>
      </w:pPr>
      <w:fldSimple w:instr=" SEQ level0 \*arabic \* MERGEFORMAT ">
        <w:r w:rsidR="006D0886">
          <w:rPr>
            <w:noProof/>
          </w:rPr>
          <w:t>241</w:t>
        </w:r>
      </w:fldSimple>
      <w:r w:rsidR="008E2D0D">
        <w:t xml:space="preserve">.  Po pierwsze, w celu zakwestionowania prawomocnego wyroku wydanego na korzyść skarżącego Prokurator Generalny skorzystał ze swoich wyjątkowych uprawnień przewidzianych w art. 115 § 1, umożliwiających mu wniesienie skargi nadzwyczajnej w sprawach zakończonych po 17 października 1997 r. poza normalnie przewidzianymi terminami. W skardze Prokurator Generalny argumentował, że wniesienie jej jest konieczne dla zapewnienia zgodności z zasadą demokratycznego państwa prawnego urzeczywistniającego zasady sprawiedliwości społecznej, w szczególności dla zapewnienia wolności wyrażania opinii. Stwierdził, że zaskarżony wyrok nie tylko naruszał konstytucyjną wolność słowa, ale także stanowi rażące naruszenie art. 10 Konwencji, ponieważ w sposób nieuzasadniony nadawał pierwszeństwo ochronie życia prywatnego skarżącego, zamiast stwierdzić, że pan Wyszkowski działał w granicach wolności wyrażania opinii. Zarzucił również, że wyrok stanowi rażące naruszenie prawa oraz zachodzi oczywista sprzeczność istotnych ustaleń Sądu Apelacyjnego z treścią zebranego w sprawie materiału dowodowego. W jego ocenie sąd ten dokonał błędnych ustaleń faktycznych i niewłaściwie ocenił dowody. W szczególności sąd błędnie uznał, że p. Wyszkowski nie działał jako dziennikarz i nie wziął pod uwagę przedstawionych przez niego dowodów, które – zdaniem Prokuratora Generalnego – świadczyły o prawdziwości jego twierdzeń dotyczących współpracy skarżącego z komunistycznymi organami bezpieczeństwa państwa </w:t>
      </w:r>
      <w:r w:rsidR="008E2D0D">
        <w:rPr>
          <w:rFonts w:ascii="Times New Roman" w:hAnsi="Times New Roman"/>
        </w:rPr>
        <w:t>(zob. </w:t>
      </w:r>
      <w:r w:rsidR="00E40AE2">
        <w:rPr>
          <w:rFonts w:ascii="Times New Roman" w:hAnsi="Times New Roman"/>
        </w:rPr>
        <w:t>par.</w:t>
      </w:r>
      <w:r w:rsidR="008E2D0D">
        <w:rPr>
          <w:rFonts w:ascii="Times New Roman" w:hAnsi="Times New Roman"/>
        </w:rPr>
        <w:t xml:space="preserve"> </w:t>
      </w:r>
      <w:r w:rsidR="008E2D0D" w:rsidRPr="00D637A7">
        <w:rPr>
          <w:rFonts w:ascii="Times New Roman" w:eastAsia="Calibri" w:hAnsi="Times New Roman" w:cs="Times New Roman"/>
        </w:rPr>
        <w:fldChar w:fldCharType="begin"/>
      </w:r>
      <w:r w:rsidR="008E2D0D" w:rsidRPr="00D637A7">
        <w:rPr>
          <w:rFonts w:ascii="Times New Roman" w:eastAsia="Calibri" w:hAnsi="Times New Roman" w:cs="Times New Roman"/>
        </w:rPr>
        <w:instrText xml:space="preserve"> REF Gdansk_Court_of_appeal_24032011 \h </w:instrText>
      </w:r>
      <w:r w:rsidR="008E2D0D" w:rsidRPr="00D637A7">
        <w:rPr>
          <w:rFonts w:ascii="Times New Roman" w:eastAsia="Calibri" w:hAnsi="Times New Roman" w:cs="Times New Roman"/>
        </w:rPr>
      </w:r>
      <w:r w:rsidR="008E2D0D" w:rsidRPr="00D637A7">
        <w:rPr>
          <w:rFonts w:ascii="Times New Roman" w:eastAsia="Calibri" w:hAnsi="Times New Roman" w:cs="Times New Roman"/>
        </w:rPr>
        <w:fldChar w:fldCharType="separate"/>
      </w:r>
      <w:r w:rsidR="006D0886">
        <w:rPr>
          <w:noProof/>
        </w:rPr>
        <w:t>28</w:t>
      </w:r>
      <w:r w:rsidR="008E2D0D" w:rsidRPr="00D637A7">
        <w:rPr>
          <w:rFonts w:ascii="Times New Roman" w:eastAsia="Calibri" w:hAnsi="Times New Roman" w:cs="Times New Roman"/>
        </w:rPr>
        <w:fldChar w:fldCharType="end"/>
      </w:r>
      <w:r w:rsidR="008E2D0D">
        <w:t>-</w:t>
      </w:r>
      <w:r w:rsidR="008E2D0D" w:rsidRPr="00D637A7">
        <w:rPr>
          <w:rFonts w:ascii="Times New Roman" w:eastAsia="Calibri" w:hAnsi="Times New Roman" w:cs="Times New Roman"/>
        </w:rPr>
        <w:fldChar w:fldCharType="begin"/>
      </w:r>
      <w:r w:rsidR="008E2D0D" w:rsidRPr="00D637A7">
        <w:rPr>
          <w:rFonts w:ascii="Times New Roman" w:eastAsia="Calibri" w:hAnsi="Times New Roman" w:cs="Times New Roman"/>
        </w:rPr>
        <w:instrText xml:space="preserve"> REF Gdansk_Court_of_appeal_24032011_1 \h </w:instrText>
      </w:r>
      <w:r w:rsidR="008E2D0D" w:rsidRPr="00D637A7">
        <w:rPr>
          <w:rFonts w:ascii="Times New Roman" w:eastAsia="Calibri" w:hAnsi="Times New Roman" w:cs="Times New Roman"/>
        </w:rPr>
      </w:r>
      <w:r w:rsidR="008E2D0D" w:rsidRPr="00D637A7">
        <w:rPr>
          <w:rFonts w:ascii="Times New Roman" w:eastAsia="Calibri" w:hAnsi="Times New Roman" w:cs="Times New Roman"/>
        </w:rPr>
        <w:fldChar w:fldCharType="separate"/>
      </w:r>
      <w:r w:rsidR="006D0886">
        <w:rPr>
          <w:noProof/>
        </w:rPr>
        <w:t>31</w:t>
      </w:r>
      <w:r w:rsidR="008E2D0D" w:rsidRPr="00D637A7">
        <w:rPr>
          <w:rFonts w:ascii="Times New Roman" w:eastAsia="Calibri" w:hAnsi="Times New Roman" w:cs="Times New Roman"/>
        </w:rPr>
        <w:fldChar w:fldCharType="end"/>
      </w:r>
      <w:r w:rsidR="008E2D0D">
        <w:rPr>
          <w:rFonts w:ascii="Times New Roman" w:hAnsi="Times New Roman"/>
        </w:rPr>
        <w:t xml:space="preserve"> powyżej)</w:t>
      </w:r>
      <w:r w:rsidR="008E2D0D">
        <w:t>.</w:t>
      </w:r>
    </w:p>
    <w:p w14:paraId="5D3466C8" w14:textId="77777777" w:rsidR="000410B4" w:rsidRPr="00D637A7" w:rsidRDefault="008E2D0D" w:rsidP="00D637A7">
      <w:pPr>
        <w:pStyle w:val="JuPara"/>
        <w:rPr>
          <w:rFonts w:ascii="Times New Roman" w:eastAsia="Calibri" w:hAnsi="Times New Roman" w:cs="Times New Roman"/>
        </w:rPr>
      </w:pPr>
      <w:r w:rsidRPr="00D637A7">
        <w:rPr>
          <w:rFonts w:ascii="Times New Roman" w:eastAsia="Calibri" w:hAnsi="Times New Roman" w:cs="Times New Roman"/>
        </w:rPr>
        <w:fldChar w:fldCharType="begin"/>
      </w:r>
      <w:r w:rsidRPr="00D637A7">
        <w:rPr>
          <w:rFonts w:ascii="Times New Roman" w:eastAsia="Calibri" w:hAnsi="Times New Roman" w:cs="Times New Roman"/>
        </w:rPr>
        <w:instrText xml:space="preserve"> SEQ level0 \*arabic \* MERGEFORMAT </w:instrText>
      </w:r>
      <w:r w:rsidRPr="00D637A7">
        <w:rPr>
          <w:rFonts w:ascii="Times New Roman" w:eastAsia="Calibri" w:hAnsi="Times New Roman" w:cs="Times New Roman"/>
        </w:rPr>
        <w:fldChar w:fldCharType="separate"/>
      </w:r>
      <w:r w:rsidR="006D0886">
        <w:rPr>
          <w:rFonts w:ascii="Times New Roman" w:eastAsia="Calibri" w:hAnsi="Times New Roman" w:cs="Times New Roman"/>
          <w:noProof/>
        </w:rPr>
        <w:t>242</w:t>
      </w:r>
      <w:r w:rsidRPr="00D637A7">
        <w:rPr>
          <w:rFonts w:ascii="Times New Roman" w:eastAsia="Calibri" w:hAnsi="Times New Roman" w:cs="Times New Roman"/>
        </w:rPr>
        <w:fldChar w:fldCharType="end"/>
      </w:r>
      <w:r>
        <w:rPr>
          <w:rFonts w:ascii="Times New Roman" w:hAnsi="Times New Roman"/>
        </w:rPr>
        <w:t xml:space="preserve">.  Trybunał zauważa, że chociaż Prokurator Generalny powołał się na naruszenie podstawowej wolności, jaką jest wolność wyrażania opinii zagwarantowana w Konstytucji i Konwencji, wskazując to jako nadrzędną podstawę swojej skargi, w rzeczywistości argumenty na poparcie tego </w:t>
      </w:r>
      <w:r>
        <w:rPr>
          <w:rFonts w:ascii="Times New Roman" w:hAnsi="Times New Roman"/>
        </w:rPr>
        <w:lastRenderedPageBreak/>
        <w:t>twierdzenia były w istocie kwestionowaniem ustalenia faktów i oceny dowodów przez Sąd Apelacyjny, które – zdaniem Prokuratora Generalnego – powinny być diametralnie inne. Ponadto podkreślał „prawdziwość” oświadczeń p. Wyszkowskiego przypisujących skarżącemu współpracę z SB i stwierdził, że p. Wyszkowski udowodnił ten fakt przed sądem.</w:t>
      </w:r>
    </w:p>
    <w:p w14:paraId="3E57DC4D" w14:textId="77777777" w:rsidR="000410B4" w:rsidRPr="00D637A7" w:rsidRDefault="008E2D0D" w:rsidP="00D637A7">
      <w:pPr>
        <w:pStyle w:val="JuPara"/>
        <w:rPr>
          <w:rFonts w:eastAsia="Calibri"/>
        </w:rPr>
      </w:pPr>
      <w:r>
        <w:rPr>
          <w:rFonts w:ascii="Times New Roman" w:hAnsi="Times New Roman"/>
        </w:rPr>
        <w:t>Zdaniem Trybunału elementy te wskazują, że przedmiotowy środek zaskarżenia został wykorzystany przez Prokuratora Generalnego jako „zakamuflowany zwyczajny środek zaskarżenia”, którego celem było ponowne zbadanie tych samych faktów i przedmiotu sprawy w nowym postępowaniu i zapewnienie pozwanemu w pierwotnym postępowaniu, w imieniu którego działał Prokurator Generalny, kolejnej szansy na ponowną ocenę jego odpowiedzialności cywilnej po tym, gdy przegrał sprawę (por. </w:t>
      </w:r>
      <w:r>
        <w:rPr>
          <w:i/>
          <w:iCs/>
        </w:rPr>
        <w:t>Şamat przeciwko Turcji</w:t>
      </w:r>
      <w:r>
        <w:t>, skarga nr 29115/07, § 61, 21 stycznia 2020 r.).</w:t>
      </w:r>
    </w:p>
    <w:p w14:paraId="4BAB410D" w14:textId="750B8415" w:rsidR="000410B4" w:rsidRPr="00D637A7" w:rsidRDefault="008E2D0D" w:rsidP="00D637A7">
      <w:pPr>
        <w:pStyle w:val="JuPara"/>
        <w:rPr>
          <w:rFonts w:ascii="Times New Roman" w:eastAsia="Calibri" w:hAnsi="Times New Roman" w:cs="Times New Roman"/>
        </w:rPr>
      </w:pPr>
      <w:r w:rsidRPr="00D637A7">
        <w:rPr>
          <w:rFonts w:ascii="Times New Roman" w:eastAsia="Calibri" w:hAnsi="Times New Roman" w:cs="Times New Roman"/>
        </w:rPr>
        <w:fldChar w:fldCharType="begin"/>
      </w:r>
      <w:r w:rsidRPr="00D637A7">
        <w:rPr>
          <w:rFonts w:ascii="Times New Roman" w:eastAsia="Calibri" w:hAnsi="Times New Roman" w:cs="Times New Roman"/>
        </w:rPr>
        <w:instrText xml:space="preserve"> SEQ level0 \*arabic \* MERGEFORMAT </w:instrText>
      </w:r>
      <w:r w:rsidRPr="00D637A7">
        <w:rPr>
          <w:rFonts w:ascii="Times New Roman" w:eastAsia="Calibri" w:hAnsi="Times New Roman" w:cs="Times New Roman"/>
        </w:rPr>
        <w:fldChar w:fldCharType="separate"/>
      </w:r>
      <w:r w:rsidR="006D0886">
        <w:rPr>
          <w:rFonts w:ascii="Times New Roman" w:eastAsia="Calibri" w:hAnsi="Times New Roman" w:cs="Times New Roman"/>
          <w:noProof/>
        </w:rPr>
        <w:t>243</w:t>
      </w:r>
      <w:r w:rsidRPr="00D637A7">
        <w:rPr>
          <w:rFonts w:ascii="Times New Roman" w:eastAsia="Calibri" w:hAnsi="Times New Roman" w:cs="Times New Roman"/>
        </w:rPr>
        <w:fldChar w:fldCharType="end"/>
      </w:r>
      <w:r>
        <w:rPr>
          <w:rFonts w:ascii="Times New Roman" w:hAnsi="Times New Roman"/>
        </w:rPr>
        <w:t>.  Ze swojej strony IKNiSP uznała, że wyrok Sądu Apelacyjnego cechował rażący brak poszanowania konstytucyjnej wolności słowa i stanowił on jeszcze poważniejsze naruszenie art. 10 Konwencji. W opinii IKNiSP p. Wyszkowski nie działał jedynie jako „dziennikarz”, ale również</w:t>
      </w:r>
      <w:r>
        <w:rPr>
          <w:rFonts w:ascii="Times New Roman" w:hAnsi="Times New Roman"/>
          <w:b/>
          <w:bCs/>
        </w:rPr>
        <w:t xml:space="preserve"> </w:t>
      </w:r>
      <w:r>
        <w:rPr>
          <w:rFonts w:ascii="Times New Roman" w:hAnsi="Times New Roman"/>
        </w:rPr>
        <w:t xml:space="preserve">jako „publiczny strażnik”, co zwalniało go z odpowiedzialności za zniesławienie zarzucane przez skarżącego. W tym celu, po dokonaniu oceny stanu faktycznego sprawy, IKNiSP, w przeciwieństwie do Sądu Apelacyjnego, dokonała wykładni pojęcia „dziennikarz” na korzyść p. Wyszkowskiego, przyznając w ten sposób jego wypowiedziom zwiększoną ochronę prawną. W tym względzie Trybunał zauważa, że kwestia, czy pozwany, poproszony o komentarz, rzeczywiście działał jako dziennikarz, czy raczej jako były współpracownik, została wcześniej dokładnie zbadana przez sądy niższej instancji, które zajęły różne stanowiska w tej sprawie, przy czym Sąd Apelacyjny ostatecznie uznał, że p. Wyszkowski został poproszony o komentarz jako jeden z głównych oponentów skarżącego i jego były współpracownik, co zostało wspomniane w emitowanym programie (zob. </w:t>
      </w:r>
      <w:r w:rsidR="00E40AE2">
        <w:rPr>
          <w:rFonts w:ascii="Times New Roman" w:hAnsi="Times New Roman"/>
        </w:rPr>
        <w:t>par.</w:t>
      </w:r>
      <w:r>
        <w:rPr>
          <w:rFonts w:ascii="Times New Roman" w:hAnsi="Times New Roman"/>
        </w:rPr>
        <w:t xml:space="preserve"> </w:t>
      </w:r>
      <w:r w:rsidRPr="00D637A7">
        <w:rPr>
          <w:rFonts w:ascii="Times New Roman" w:eastAsia="Calibri" w:hAnsi="Times New Roman" w:cs="Times New Roman"/>
        </w:rPr>
        <w:fldChar w:fldCharType="begin"/>
      </w:r>
      <w:r w:rsidRPr="00D637A7">
        <w:rPr>
          <w:rFonts w:ascii="Times New Roman" w:eastAsia="Calibri" w:hAnsi="Times New Roman" w:cs="Times New Roman"/>
        </w:rPr>
        <w:instrText xml:space="preserve"> REF Gdansk_regional_court_1 \h  \* MERGEFORMAT </w:instrText>
      </w:r>
      <w:r w:rsidRPr="00D637A7">
        <w:rPr>
          <w:rFonts w:ascii="Times New Roman" w:eastAsia="Calibri" w:hAnsi="Times New Roman" w:cs="Times New Roman"/>
        </w:rPr>
      </w:r>
      <w:r w:rsidRPr="00D637A7">
        <w:rPr>
          <w:rFonts w:ascii="Times New Roman" w:eastAsia="Calibri" w:hAnsi="Times New Roman" w:cs="Times New Roman"/>
        </w:rPr>
        <w:fldChar w:fldCharType="separate"/>
      </w:r>
      <w:r w:rsidR="006D0886">
        <w:t>18</w:t>
      </w:r>
      <w:r w:rsidRPr="00D637A7">
        <w:rPr>
          <w:rFonts w:ascii="Times New Roman" w:eastAsia="Calibri" w:hAnsi="Times New Roman" w:cs="Times New Roman"/>
        </w:rPr>
        <w:fldChar w:fldCharType="end"/>
      </w:r>
      <w:r>
        <w:rPr>
          <w:rFonts w:ascii="Times New Roman" w:hAnsi="Times New Roman"/>
        </w:rPr>
        <w:t>-</w:t>
      </w:r>
      <w:r w:rsidRPr="00D637A7">
        <w:rPr>
          <w:rFonts w:ascii="Times New Roman" w:eastAsia="Calibri" w:hAnsi="Times New Roman" w:cs="Times New Roman"/>
        </w:rPr>
        <w:fldChar w:fldCharType="begin"/>
      </w:r>
      <w:r w:rsidRPr="00D637A7">
        <w:rPr>
          <w:rFonts w:ascii="Times New Roman" w:eastAsia="Calibri" w:hAnsi="Times New Roman" w:cs="Times New Roman"/>
        </w:rPr>
        <w:instrText xml:space="preserve"> REF Gdansk_regional_court_2 \h  \* MERGEFORMAT </w:instrText>
      </w:r>
      <w:r w:rsidRPr="00D637A7">
        <w:rPr>
          <w:rFonts w:ascii="Times New Roman" w:eastAsia="Calibri" w:hAnsi="Times New Roman" w:cs="Times New Roman"/>
        </w:rPr>
      </w:r>
      <w:r w:rsidRPr="00D637A7">
        <w:rPr>
          <w:rFonts w:ascii="Times New Roman" w:eastAsia="Calibri" w:hAnsi="Times New Roman" w:cs="Times New Roman"/>
        </w:rPr>
        <w:fldChar w:fldCharType="separate"/>
      </w:r>
      <w:r w:rsidR="006D0886">
        <w:t>21</w:t>
      </w:r>
      <w:r w:rsidRPr="00D637A7">
        <w:rPr>
          <w:rFonts w:ascii="Times New Roman" w:eastAsia="Calibri" w:hAnsi="Times New Roman" w:cs="Times New Roman"/>
        </w:rPr>
        <w:fldChar w:fldCharType="end"/>
      </w:r>
      <w:r>
        <w:rPr>
          <w:rFonts w:ascii="Times New Roman" w:hAnsi="Times New Roman"/>
        </w:rPr>
        <w:t xml:space="preserve"> powyżej).</w:t>
      </w:r>
    </w:p>
    <w:p w14:paraId="03EB69B7" w14:textId="55D704B3" w:rsidR="000410B4" w:rsidRPr="00D637A7" w:rsidRDefault="008E2D0D" w:rsidP="00D637A7">
      <w:pPr>
        <w:pStyle w:val="JuPara"/>
        <w:rPr>
          <w:rFonts w:ascii="Times New Roman" w:eastAsia="Calibri" w:hAnsi="Times New Roman" w:cs="Times New Roman"/>
        </w:rPr>
      </w:pPr>
      <w:r w:rsidRPr="00D637A7">
        <w:rPr>
          <w:rFonts w:ascii="Times New Roman" w:eastAsia="Calibri" w:hAnsi="Times New Roman" w:cs="Times New Roman"/>
        </w:rPr>
        <w:fldChar w:fldCharType="begin"/>
      </w:r>
      <w:r w:rsidRPr="00D637A7">
        <w:rPr>
          <w:rFonts w:ascii="Times New Roman" w:eastAsia="Calibri" w:hAnsi="Times New Roman" w:cs="Times New Roman"/>
        </w:rPr>
        <w:instrText xml:space="preserve"> SEQ level0 \*arabic \* MERGEFORMAT </w:instrText>
      </w:r>
      <w:r w:rsidRPr="00D637A7">
        <w:rPr>
          <w:rFonts w:ascii="Times New Roman" w:eastAsia="Calibri" w:hAnsi="Times New Roman" w:cs="Times New Roman"/>
        </w:rPr>
        <w:fldChar w:fldCharType="separate"/>
      </w:r>
      <w:r w:rsidR="006D0886">
        <w:rPr>
          <w:rFonts w:ascii="Times New Roman" w:eastAsia="Calibri" w:hAnsi="Times New Roman" w:cs="Times New Roman"/>
          <w:noProof/>
        </w:rPr>
        <w:t>244</w:t>
      </w:r>
      <w:r w:rsidRPr="00D637A7">
        <w:rPr>
          <w:rFonts w:ascii="Times New Roman" w:eastAsia="Calibri" w:hAnsi="Times New Roman" w:cs="Times New Roman"/>
        </w:rPr>
        <w:fldChar w:fldCharType="end"/>
      </w:r>
      <w:r>
        <w:rPr>
          <w:rFonts w:ascii="Times New Roman" w:hAnsi="Times New Roman"/>
        </w:rPr>
        <w:t xml:space="preserve">.  Jednocześnie IKNiSP uznała, że skarżący nie może korzystać z ochrony przewidzianej art. 8 Konwencji, ponieważ wypowiedzi p. Wyszkowskiego nie dotyczyły ściśle jego życia prywatnego, ale „jego relacji ze służbami specjalnymi państwa totalitarnego”. Ponieważ relacje te były przedmiotem intensywnej debaty publicznej, a skarżący był osobą publiczną, ograniczenie wolności wyrażania opinii przez p. Wyszkowskiego nie było uzasadnione. Następnie IKNiSP stwierdziła, że ingerencja w prawa p. Wyszkowskiego była nieproporcjonalna również w świetle nałożonych na niego sankcji, które uznała za „nieproporcjonalne” i „dotkliwe” (zob. </w:t>
      </w:r>
      <w:r w:rsidR="00E40AE2">
        <w:rPr>
          <w:rFonts w:ascii="Times New Roman" w:hAnsi="Times New Roman"/>
        </w:rPr>
        <w:t>par.</w:t>
      </w:r>
      <w:r>
        <w:rPr>
          <w:rFonts w:ascii="Times New Roman" w:hAnsi="Times New Roman"/>
        </w:rPr>
        <w:t> </w:t>
      </w:r>
      <w:r w:rsidRPr="00D637A7">
        <w:rPr>
          <w:rFonts w:ascii="Times New Roman" w:eastAsia="Calibri" w:hAnsi="Times New Roman" w:cs="Times New Roman"/>
        </w:rPr>
        <w:fldChar w:fldCharType="begin"/>
      </w:r>
      <w:r w:rsidRPr="00D637A7">
        <w:rPr>
          <w:rFonts w:ascii="Times New Roman" w:eastAsia="Calibri" w:hAnsi="Times New Roman" w:cs="Times New Roman"/>
        </w:rPr>
        <w:instrText xml:space="preserve"> REF art_8_10 \h </w:instrText>
      </w:r>
      <w:r w:rsidRPr="00D637A7">
        <w:rPr>
          <w:rFonts w:ascii="Times New Roman" w:eastAsia="Calibri" w:hAnsi="Times New Roman" w:cs="Times New Roman"/>
        </w:rPr>
      </w:r>
      <w:r w:rsidRPr="00D637A7">
        <w:rPr>
          <w:rFonts w:ascii="Times New Roman" w:eastAsia="Calibri" w:hAnsi="Times New Roman" w:cs="Times New Roman"/>
        </w:rPr>
        <w:fldChar w:fldCharType="separate"/>
      </w:r>
      <w:r w:rsidR="006D0886">
        <w:rPr>
          <w:noProof/>
        </w:rPr>
        <w:t>39</w:t>
      </w:r>
      <w:r w:rsidRPr="00D637A7">
        <w:rPr>
          <w:rFonts w:ascii="Times New Roman" w:eastAsia="Calibri" w:hAnsi="Times New Roman" w:cs="Times New Roman"/>
        </w:rPr>
        <w:fldChar w:fldCharType="end"/>
      </w:r>
      <w:r>
        <w:rPr>
          <w:rFonts w:ascii="Times New Roman" w:hAnsi="Times New Roman"/>
        </w:rPr>
        <w:t xml:space="preserve"> i </w:t>
      </w:r>
      <w:r w:rsidRPr="00D637A7">
        <w:rPr>
          <w:rFonts w:ascii="Times New Roman" w:eastAsia="Calibri" w:hAnsi="Times New Roman" w:cs="Times New Roman"/>
        </w:rPr>
        <w:fldChar w:fldCharType="begin"/>
      </w:r>
      <w:r w:rsidRPr="00D637A7">
        <w:rPr>
          <w:rFonts w:ascii="Times New Roman" w:eastAsia="Calibri" w:hAnsi="Times New Roman" w:cs="Times New Roman"/>
        </w:rPr>
        <w:instrText xml:space="preserve"> REF art_10 \h </w:instrText>
      </w:r>
      <w:r w:rsidRPr="00D637A7">
        <w:rPr>
          <w:rFonts w:ascii="Times New Roman" w:eastAsia="Calibri" w:hAnsi="Times New Roman" w:cs="Times New Roman"/>
        </w:rPr>
      </w:r>
      <w:r w:rsidRPr="00D637A7">
        <w:rPr>
          <w:rFonts w:ascii="Times New Roman" w:eastAsia="Calibri" w:hAnsi="Times New Roman" w:cs="Times New Roman"/>
        </w:rPr>
        <w:fldChar w:fldCharType="separate"/>
      </w:r>
      <w:r w:rsidR="006D0886">
        <w:rPr>
          <w:noProof/>
        </w:rPr>
        <w:t>42</w:t>
      </w:r>
      <w:r w:rsidRPr="00D637A7">
        <w:rPr>
          <w:rFonts w:ascii="Times New Roman" w:eastAsia="Calibri" w:hAnsi="Times New Roman" w:cs="Times New Roman"/>
        </w:rPr>
        <w:fldChar w:fldCharType="end"/>
      </w:r>
      <w:r>
        <w:rPr>
          <w:rFonts w:ascii="Times New Roman" w:hAnsi="Times New Roman"/>
        </w:rPr>
        <w:t xml:space="preserve"> powyżej). IKNiSP odniosła się również do sprawy p. Wyszkowskiego, która była wówczas w toku przed Trybunałem, stwierdzając, że jej wynik, w świetle jej własnych wyżej wspomnianych ustaleń, „wydaje się dosyć łatwy do przewidzenia”. Dla IKNiSP było zatem oczywiste, że uchylenie zaskarżonego wyroku było nie tylko proporcjonalne, ale także konieczne do </w:t>
      </w:r>
      <w:r>
        <w:rPr>
          <w:rFonts w:ascii="Times New Roman" w:hAnsi="Times New Roman"/>
        </w:rPr>
        <w:lastRenderedPageBreak/>
        <w:t>zapewnienia zgodności z zasadą demokratycznego państwa prawnego urzeczywistniającego zasady sprawiedliwości społecznej.</w:t>
      </w:r>
    </w:p>
    <w:p w14:paraId="79434AB9" w14:textId="01F2E8A6" w:rsidR="000410B4" w:rsidRPr="00D637A7" w:rsidRDefault="00000000" w:rsidP="00D637A7">
      <w:pPr>
        <w:pStyle w:val="JuPara"/>
      </w:pPr>
      <w:fldSimple w:instr=" SEQ level0 \*arabic \* MERGEFORMAT ">
        <w:r w:rsidR="006D0886">
          <w:rPr>
            <w:noProof/>
          </w:rPr>
          <w:t>245</w:t>
        </w:r>
      </w:fldSimple>
      <w:r w:rsidR="008E2D0D">
        <w:t xml:space="preserve">.  Do Trybunału należy ustalenie, czy w niniejszej sprawie odejście od zasad </w:t>
      </w:r>
      <w:r w:rsidR="008E2D0D">
        <w:rPr>
          <w:i/>
          <w:iCs/>
        </w:rPr>
        <w:t>res judicata</w:t>
      </w:r>
      <w:r w:rsidR="008E2D0D">
        <w:t xml:space="preserve"> było uzasadnione „okolicznościami o istotnym i przekonującym charakterze” (zob. </w:t>
      </w:r>
      <w:r w:rsidR="00E40AE2">
        <w:t>par.</w:t>
      </w:r>
      <w:r w:rsidR="008E2D0D">
        <w:t> </w:t>
      </w:r>
      <w:r w:rsidR="008E2D0D" w:rsidRPr="00D637A7">
        <w:fldChar w:fldCharType="begin"/>
      </w:r>
      <w:r w:rsidR="008E2D0D" w:rsidRPr="00D637A7">
        <w:instrText xml:space="preserve"> REF res_judicata \h </w:instrText>
      </w:r>
      <w:r w:rsidR="008E2D0D" w:rsidRPr="00D637A7">
        <w:fldChar w:fldCharType="separate"/>
      </w:r>
      <w:r w:rsidR="006D0886">
        <w:rPr>
          <w:rStyle w:val="JuParaChar"/>
          <w:noProof/>
        </w:rPr>
        <w:t>224</w:t>
      </w:r>
      <w:r w:rsidR="008E2D0D" w:rsidRPr="00D637A7">
        <w:fldChar w:fldCharType="end"/>
      </w:r>
      <w:r w:rsidR="008E2D0D">
        <w:t xml:space="preserve"> powyżej, z odniesieniami do orzecznictwa Trybunału).</w:t>
      </w:r>
    </w:p>
    <w:p w14:paraId="259692B8" w14:textId="34DC3699" w:rsidR="000410B4" w:rsidRPr="00D637A7" w:rsidRDefault="00000000" w:rsidP="00D637A7">
      <w:pPr>
        <w:pStyle w:val="JuPara"/>
        <w:rPr>
          <w:rFonts w:ascii="Times New Roman" w:hAnsi="Times New Roman" w:cs="Times New Roman"/>
        </w:rPr>
      </w:pPr>
      <w:fldSimple w:instr=" SEQ level0 \*arabic \* MERGEFORMAT ">
        <w:r w:rsidR="006D0886">
          <w:rPr>
            <w:noProof/>
          </w:rPr>
          <w:t>246</w:t>
        </w:r>
      </w:fldSimple>
      <w:r w:rsidR="008E2D0D">
        <w:t xml:space="preserve">.  Trybunał zauważa na wstępie, że w chwili wniesienia skargi nadzwyczajnej przez Prokuratora Generalnego sprawa skarżącego była sprawą zakończoną już ponad dziewięć lat wcześniej prawomocnym wyrokiem </w:t>
      </w:r>
      <w:r w:rsidR="008E2D0D">
        <w:rPr>
          <w:rFonts w:ascii="Times New Roman" w:hAnsi="Times New Roman"/>
        </w:rPr>
        <w:t>Sądu Apelacyjnego w Gdańsku z dnia 24 marca 2011 r.</w:t>
      </w:r>
      <w:r w:rsidR="008E2D0D">
        <w:t xml:space="preserve">, </w:t>
      </w:r>
      <w:r w:rsidR="008E2D0D">
        <w:rPr>
          <w:rFonts w:ascii="Times New Roman" w:hAnsi="Times New Roman"/>
        </w:rPr>
        <w:t xml:space="preserve">który wydano po rozpoznawaniu jej na sześciu szczeblach jurysdykcji (trzykrotnie w pierwszej instancji i trzykrotnie w postępowaniu odwoławczym) w ciągu około pięciu i pół roku oraz po wydaniu dwóch wyroków w pierwszej instancji na korzyść skarżącego, jednego wyroku na korzyść p. Wyszkowskiego, dwóch wyroków przekazujących sprawę do ponownego rozpoznania wydanych w postępowaniu odwoławczym oraz wyroku kończącego postępowanie, częściowo uwzględniającego roszczenie skarżącego (zob. </w:t>
      </w:r>
      <w:r w:rsidR="00E40AE2">
        <w:rPr>
          <w:rFonts w:ascii="Times New Roman" w:hAnsi="Times New Roman"/>
        </w:rPr>
        <w:t>par.</w:t>
      </w:r>
      <w:r w:rsidR="008E2D0D">
        <w:rPr>
          <w:rFonts w:ascii="Times New Roman" w:hAnsi="Times New Roman"/>
        </w:rPr>
        <w:t>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Gdansk_regional_court_1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18</w:t>
      </w:r>
      <w:r w:rsidR="008E2D0D" w:rsidRPr="00D637A7">
        <w:rPr>
          <w:rFonts w:ascii="Times New Roman" w:hAnsi="Times New Roman" w:cs="Times New Roman"/>
        </w:rPr>
        <w:fldChar w:fldCharType="end"/>
      </w:r>
      <w:r w:rsidR="008E2D0D">
        <w:t>-</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Gdansk_regional_court_2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21</w:t>
      </w:r>
      <w:r w:rsidR="008E2D0D" w:rsidRPr="00D637A7">
        <w:rPr>
          <w:rFonts w:ascii="Times New Roman" w:hAnsi="Times New Roman" w:cs="Times New Roman"/>
        </w:rPr>
        <w:fldChar w:fldCharType="end"/>
      </w:r>
      <w:r w:rsidR="008E2D0D">
        <w:rPr>
          <w:rFonts w:ascii="Times New Roman" w:hAnsi="Times New Roman"/>
        </w:rPr>
        <w:t>powyżej). Nie można zatem stwierdzić, że sprawa nie została dokładnie zbadana z różnych perspektyw ani że, biorąc pod uwagę wielokrotne badanie sprawy i czas trwania postępowania, pozwany nie miał dostatecznie dużo czasu czy też możliwości skorzystania ze swoich praw procesowych, przedstawienia dowodów lub w inny sposób przedstawienia swoich racji.</w:t>
      </w:r>
    </w:p>
    <w:p w14:paraId="1C876BE5" w14:textId="7F2750D0" w:rsidR="000410B4" w:rsidRPr="00D637A7" w:rsidRDefault="008E2D0D" w:rsidP="00D637A7">
      <w:pPr>
        <w:pStyle w:val="JuPara"/>
        <w:rPr>
          <w:rFonts w:ascii="Times New Roman" w:hAnsi="Times New Roman" w:cs="Times New Roman"/>
        </w:rPr>
      </w:pPr>
      <w:r>
        <w:rPr>
          <w:rFonts w:ascii="Times New Roman" w:hAnsi="Times New Roman"/>
        </w:rPr>
        <w:t>Należy również zauważyć, że kolejne wielokrotne próby podważenia wyroku z dnia 24 marca 2011 r. podejmowane przez p. Wyszkowskiego zakończyły się niepowodzeniem: Sąd Najwyższy odmówił przyjęcia jego skargi kasacyjnej do rozpoznania z powodu braku odpowiednich podstaw w 2011 r., a w 2017 r. oddalono jego wniosek o wznowienie postępowania na podstawie nowych dowodów (zob. </w:t>
      </w:r>
      <w:r w:rsidR="00E40AE2">
        <w:rPr>
          <w:rFonts w:ascii="Times New Roman" w:hAnsi="Times New Roman"/>
        </w:rPr>
        <w:t>par.</w:t>
      </w:r>
      <w:r>
        <w:t xml:space="preserve"> </w:t>
      </w:r>
      <w:r w:rsidRPr="00D637A7">
        <w:rPr>
          <w:rFonts w:ascii="Times New Roman" w:hAnsi="Times New Roman" w:cs="Times New Roman"/>
        </w:rPr>
        <w:fldChar w:fldCharType="begin"/>
      </w:r>
      <w:r w:rsidRPr="00D637A7">
        <w:rPr>
          <w:rFonts w:ascii="Times New Roman" w:hAnsi="Times New Roman" w:cs="Times New Roman"/>
        </w:rPr>
        <w:instrText xml:space="preserve"> REF supreme_court_refusal \h </w:instrText>
      </w:r>
      <w:r w:rsidRPr="00D637A7">
        <w:rPr>
          <w:rFonts w:ascii="Times New Roman" w:hAnsi="Times New Roman" w:cs="Times New Roman"/>
        </w:rPr>
      </w:r>
      <w:r w:rsidRPr="00D637A7">
        <w:rPr>
          <w:rFonts w:ascii="Times New Roman" w:hAnsi="Times New Roman" w:cs="Times New Roman"/>
        </w:rPr>
        <w:fldChar w:fldCharType="separate"/>
      </w:r>
      <w:r w:rsidR="006D0886">
        <w:rPr>
          <w:noProof/>
        </w:rPr>
        <w:t>22</w:t>
      </w:r>
      <w:r w:rsidRPr="00D637A7">
        <w:rPr>
          <w:rFonts w:ascii="Times New Roman" w:hAnsi="Times New Roman" w:cs="Times New Roman"/>
        </w:rPr>
        <w:fldChar w:fldCharType="end"/>
      </w:r>
      <w:r>
        <w:rPr>
          <w:rFonts w:ascii="Times New Roman" w:hAnsi="Times New Roman"/>
        </w:rPr>
        <w:t xml:space="preserve"> i </w:t>
      </w:r>
      <w:r w:rsidRPr="00D637A7">
        <w:rPr>
          <w:rFonts w:ascii="Times New Roman" w:hAnsi="Times New Roman" w:cs="Times New Roman"/>
        </w:rPr>
        <w:fldChar w:fldCharType="begin"/>
      </w:r>
      <w:r w:rsidRPr="00D637A7">
        <w:rPr>
          <w:rFonts w:ascii="Times New Roman" w:hAnsi="Times New Roman" w:cs="Times New Roman"/>
        </w:rPr>
        <w:instrText xml:space="preserve"> REF apeal_21March2017 \h </w:instrText>
      </w:r>
      <w:r w:rsidRPr="00D637A7">
        <w:rPr>
          <w:rFonts w:ascii="Times New Roman" w:hAnsi="Times New Roman" w:cs="Times New Roman"/>
        </w:rPr>
      </w:r>
      <w:r w:rsidRPr="00D637A7">
        <w:rPr>
          <w:rFonts w:ascii="Times New Roman" w:hAnsi="Times New Roman" w:cs="Times New Roman"/>
        </w:rPr>
        <w:fldChar w:fldCharType="separate"/>
      </w:r>
      <w:r w:rsidR="006D0886">
        <w:rPr>
          <w:noProof/>
        </w:rPr>
        <w:t>24</w:t>
      </w:r>
      <w:r w:rsidRPr="00D637A7">
        <w:rPr>
          <w:rFonts w:ascii="Times New Roman" w:hAnsi="Times New Roman" w:cs="Times New Roman"/>
        </w:rPr>
        <w:fldChar w:fldCharType="end"/>
      </w:r>
      <w:r>
        <w:rPr>
          <w:rFonts w:ascii="Times New Roman" w:hAnsi="Times New Roman"/>
        </w:rPr>
        <w:noBreakHyphen/>
      </w:r>
      <w:r w:rsidRPr="00D637A7">
        <w:rPr>
          <w:rFonts w:ascii="Times New Roman" w:hAnsi="Times New Roman" w:cs="Times New Roman"/>
        </w:rPr>
        <w:fldChar w:fldCharType="begin"/>
      </w:r>
      <w:r w:rsidRPr="00D637A7">
        <w:rPr>
          <w:rFonts w:ascii="Times New Roman" w:hAnsi="Times New Roman" w:cs="Times New Roman"/>
        </w:rPr>
        <w:instrText xml:space="preserve"> REF apeal_21March2017_1 \h </w:instrText>
      </w:r>
      <w:r w:rsidRPr="00D637A7">
        <w:rPr>
          <w:rFonts w:ascii="Times New Roman" w:hAnsi="Times New Roman" w:cs="Times New Roman"/>
        </w:rPr>
      </w:r>
      <w:r w:rsidRPr="00D637A7">
        <w:rPr>
          <w:rFonts w:ascii="Times New Roman" w:hAnsi="Times New Roman" w:cs="Times New Roman"/>
        </w:rPr>
        <w:fldChar w:fldCharType="separate"/>
      </w:r>
      <w:r w:rsidR="006D0886">
        <w:rPr>
          <w:noProof/>
        </w:rPr>
        <w:t>25</w:t>
      </w:r>
      <w:r w:rsidRPr="00D637A7">
        <w:rPr>
          <w:rFonts w:ascii="Times New Roman" w:hAnsi="Times New Roman" w:cs="Times New Roman"/>
        </w:rPr>
        <w:fldChar w:fldCharType="end"/>
      </w:r>
      <w:r>
        <w:rPr>
          <w:rFonts w:ascii="Times New Roman" w:hAnsi="Times New Roman"/>
        </w:rPr>
        <w:t xml:space="preserve"> powyżej).</w:t>
      </w:r>
    </w:p>
    <w:p w14:paraId="1242FBDF" w14:textId="069EFBC4" w:rsidR="000410B4" w:rsidRPr="00D637A7" w:rsidRDefault="008E2D0D" w:rsidP="00D637A7">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006D0886">
        <w:rPr>
          <w:rFonts w:ascii="Times New Roman" w:hAnsi="Times New Roman" w:cs="Times New Roman"/>
          <w:noProof/>
        </w:rPr>
        <w:t>247</w:t>
      </w:r>
      <w:r w:rsidRPr="00D637A7">
        <w:rPr>
          <w:rFonts w:ascii="Times New Roman" w:hAnsi="Times New Roman" w:cs="Times New Roman"/>
        </w:rPr>
        <w:fldChar w:fldCharType="end"/>
      </w:r>
      <w:r>
        <w:rPr>
          <w:rFonts w:ascii="Times New Roman" w:hAnsi="Times New Roman"/>
        </w:rPr>
        <w:t xml:space="preserve">.  Jak wspomniano powyżej, IKNiSP uznała, że przedmiotowym wyrokiem nałożono na p. Wyszkowskiego dotkliwe sankcje, które należy uznać za nieproporcjonalne na potrzeby Konstytucji i art. 10 Konwencji. Tymczasem jedyną sankcją przewidzianą wyrokiem były przeprosiny, które nakazano opublikować p. Wyszkowskiemu, przy czym ten odmówił ich opublikowania, a zostały one opublikowane przez skarżącego w drodze wykonania zastępczego. Wydaje się również, że wszelkie roszczenia pieniężne, które skarżący mógł ewentualnie zgłaszać wobec p. Wyszkowskiego w związku z publikacją przeprosin, zostały już zaspokojone, ponieważ skarżącemu zwrócono poniesione koszty (zob. </w:t>
      </w:r>
      <w:r w:rsidR="00E40AE2">
        <w:rPr>
          <w:rFonts w:ascii="Times New Roman" w:hAnsi="Times New Roman"/>
        </w:rPr>
        <w:t>par.</w:t>
      </w:r>
      <w:r>
        <w:rPr>
          <w:rFonts w:ascii="Times New Roman" w:hAnsi="Times New Roman"/>
        </w:rPr>
        <w:t> </w:t>
      </w:r>
      <w:r w:rsidRPr="00D637A7">
        <w:rPr>
          <w:rFonts w:ascii="Times New Roman" w:hAnsi="Times New Roman" w:cs="Times New Roman"/>
        </w:rPr>
        <w:fldChar w:fldCharType="begin"/>
      </w:r>
      <w:r w:rsidRPr="00D637A7">
        <w:rPr>
          <w:rFonts w:ascii="Times New Roman" w:hAnsi="Times New Roman" w:cs="Times New Roman"/>
        </w:rPr>
        <w:instrText xml:space="preserve"> REF Wyszkowski_1 \h </w:instrText>
      </w:r>
      <w:r w:rsidRPr="00D637A7">
        <w:rPr>
          <w:rFonts w:ascii="Times New Roman" w:hAnsi="Times New Roman" w:cs="Times New Roman"/>
        </w:rPr>
      </w:r>
      <w:r w:rsidRPr="00D637A7">
        <w:rPr>
          <w:rFonts w:ascii="Times New Roman" w:hAnsi="Times New Roman" w:cs="Times New Roman"/>
        </w:rPr>
        <w:fldChar w:fldCharType="separate"/>
      </w:r>
      <w:r w:rsidR="006D0886">
        <w:rPr>
          <w:noProof/>
        </w:rPr>
        <w:t>26</w:t>
      </w:r>
      <w:r w:rsidRPr="00D637A7">
        <w:rPr>
          <w:rFonts w:ascii="Times New Roman" w:hAnsi="Times New Roman" w:cs="Times New Roman"/>
        </w:rPr>
        <w:fldChar w:fldCharType="end"/>
      </w:r>
      <w:r>
        <w:rPr>
          <w:rFonts w:ascii="Times New Roman" w:hAnsi="Times New Roman"/>
        </w:rPr>
        <w:t xml:space="preserve"> powyżej).</w:t>
      </w:r>
    </w:p>
    <w:p w14:paraId="2EC55F06" w14:textId="0CB0FF3E" w:rsidR="000410B4" w:rsidRPr="00D637A7" w:rsidRDefault="00000000" w:rsidP="00D637A7">
      <w:pPr>
        <w:pStyle w:val="JuPara"/>
        <w:rPr>
          <w:rFonts w:ascii="Times New Roman" w:hAnsi="Times New Roman" w:cs="Times New Roman"/>
        </w:rPr>
      </w:pPr>
      <w:fldSimple w:instr=" SEQ level0 \*arabic \* MERGEFORMAT ">
        <w:r w:rsidR="006D0886">
          <w:rPr>
            <w:noProof/>
          </w:rPr>
          <w:t>248</w:t>
        </w:r>
      </w:fldSimple>
      <w:r w:rsidR="008E2D0D">
        <w:t xml:space="preserve">.  W kontekście konieczności i naglącej potrzeby społecznej uchylenia wyroku Sądu Apelacyjnego IKNiSP miała również na uwadze sprawę p. Wyszkowskiego zawisłą przed Trybunałem, sugerując, że w świetle jej własnych ustaleń można przewidzieć korzystne rozstrzygnięcie. Rząd, w </w:t>
      </w:r>
      <w:r w:rsidR="008E2D0D">
        <w:lastRenderedPageBreak/>
        <w:t xml:space="preserve">swoich uwagach przedstawionych na podstawie art. 18 Konwencji </w:t>
      </w:r>
      <w:r w:rsidR="008E2D0D">
        <w:rPr>
          <w:rFonts w:ascii="Times New Roman" w:hAnsi="Times New Roman"/>
        </w:rPr>
        <w:t xml:space="preserve">(zob. </w:t>
      </w:r>
      <w:r w:rsidR="00E40AE2">
        <w:rPr>
          <w:rFonts w:ascii="Times New Roman" w:hAnsi="Times New Roman"/>
        </w:rPr>
        <w:t>par.</w:t>
      </w:r>
      <w:r w:rsidR="008E2D0D">
        <w:rPr>
          <w:rFonts w:ascii="Times New Roman" w:hAnsi="Times New Roman"/>
        </w:rPr>
        <w:t xml:space="preserve"> 297 poniżej), dodał, że konieczność ta wynikała z potrzeby przyjęcia środków indywidualnych w celu usunięcia skutków naruszenia art. 10 Konwencji, do którego Rząd przyznał się w sprawie </w:t>
      </w:r>
      <w:r w:rsidR="008E2D0D">
        <w:rPr>
          <w:rFonts w:ascii="Times New Roman" w:hAnsi="Times New Roman"/>
          <w:i/>
          <w:iCs/>
        </w:rPr>
        <w:t>Wyszkowski przeciwko Polsce</w:t>
      </w:r>
      <w:r w:rsidR="008E2D0D">
        <w:rPr>
          <w:rFonts w:ascii="Times New Roman" w:hAnsi="Times New Roman"/>
        </w:rPr>
        <w:t>.</w:t>
      </w:r>
    </w:p>
    <w:p w14:paraId="64DB27D1" w14:textId="22543579" w:rsidR="000410B4" w:rsidRPr="00D637A7" w:rsidRDefault="00000000" w:rsidP="00D637A7">
      <w:pPr>
        <w:pStyle w:val="JuPara"/>
        <w:rPr>
          <w:rFonts w:ascii="Times New Roman" w:hAnsi="Times New Roman" w:cs="Times New Roman"/>
        </w:rPr>
      </w:pPr>
      <w:fldSimple w:instr=" SEQ level0 \*arabic \* MERGEFORMAT ">
        <w:r w:rsidR="006D0886">
          <w:rPr>
            <w:noProof/>
          </w:rPr>
          <w:t>249</w:t>
        </w:r>
      </w:fldSimple>
      <w:r w:rsidR="008E2D0D">
        <w:t xml:space="preserve">.  Trybunał zawraca uwagę, że sekwencja zdarzeń była następująca. Prokurator Generalny wniósł skargę nadzwyczajną w dniu 31 stycznia 2020 r. Rząd złożył swoją jednostronną deklarację w sprawie </w:t>
      </w:r>
      <w:r w:rsidR="008E2D0D">
        <w:rPr>
          <w:i/>
          <w:iCs/>
        </w:rPr>
        <w:t>Wyszkowski</w:t>
      </w:r>
      <w:r w:rsidR="008E2D0D">
        <w:t xml:space="preserve"> w dniu 15 stycznia 2021 r. IKNiSP, najwyraźniej poinformowana przynajmniej w pewnym stopniu o charakterze sprawy </w:t>
      </w:r>
      <w:r w:rsidR="008E2D0D">
        <w:rPr>
          <w:i/>
          <w:iCs/>
        </w:rPr>
        <w:t>Wyszkowski</w:t>
      </w:r>
      <w:r w:rsidR="008E2D0D">
        <w:t xml:space="preserve"> i postępowaniu przed Trybunałem, uwzględniła skargę nadzwyczajną w dniu 21 kwietnia 2021 r. Decyzję Trybunału o wykreśleniu skargi w sprawie wydano 1 lipca 2021 r. Wyrok IKNiSP wydano ponad dwa miesiące przed decyzją Trybunału o wykreśleniu skargi </w:t>
      </w:r>
      <w:r w:rsidR="008E2D0D">
        <w:rPr>
          <w:rFonts w:ascii="Times New Roman" w:hAnsi="Times New Roman"/>
        </w:rPr>
        <w:t>(zob. </w:t>
      </w:r>
      <w:r w:rsidR="00E40AE2">
        <w:rPr>
          <w:rFonts w:ascii="Times New Roman" w:hAnsi="Times New Roman"/>
        </w:rPr>
        <w:t>par.</w:t>
      </w:r>
      <w:r w:rsidR="008E2D0D">
        <w:rPr>
          <w:rFonts w:ascii="Times New Roman" w:hAnsi="Times New Roman"/>
        </w:rPr>
        <w:t xml:space="preserve">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Gdansk_Court_of_appeal_24032011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28</w:t>
      </w:r>
      <w:r w:rsidR="008E2D0D" w:rsidRPr="00D637A7">
        <w:rPr>
          <w:rFonts w:ascii="Times New Roman" w:hAnsi="Times New Roman" w:cs="Times New Roman"/>
        </w:rPr>
        <w:fldChar w:fldCharType="end"/>
      </w:r>
      <w:r w:rsidR="008E2D0D">
        <w:t xml:space="preserve">,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CERPA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36</w:t>
      </w:r>
      <w:r w:rsidR="008E2D0D" w:rsidRPr="00D637A7">
        <w:rPr>
          <w:rFonts w:ascii="Times New Roman" w:hAnsi="Times New Roman" w:cs="Times New Roman"/>
        </w:rPr>
        <w:fldChar w:fldCharType="end"/>
      </w:r>
      <w:r w:rsidR="008E2D0D">
        <w:rPr>
          <w:rFonts w:ascii="Times New Roman" w:hAnsi="Times New Roman"/>
        </w:rPr>
        <w:t xml:space="preserve"> i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Wyszkowski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45</w:t>
      </w:r>
      <w:r w:rsidR="008E2D0D" w:rsidRPr="00D637A7">
        <w:rPr>
          <w:rFonts w:ascii="Times New Roman" w:hAnsi="Times New Roman" w:cs="Times New Roman"/>
        </w:rPr>
        <w:fldChar w:fldCharType="end"/>
      </w:r>
      <w:r w:rsidR="008E2D0D">
        <w:rPr>
          <w:rFonts w:ascii="Times New Roman" w:hAnsi="Times New Roman"/>
        </w:rPr>
        <w:noBreakHyphen/>
        <w:t>46 powyżej), a zatem nie mógł on być uznany, jak utrzymuje Rząd, za formę wykonania decyzji Trybunału, ponieważ ta jeszcze się nie zmaterializowała</w:t>
      </w:r>
      <w:r w:rsidR="008E2D0D">
        <w:t>.</w:t>
      </w:r>
      <w:r w:rsidR="008E2D0D">
        <w:rPr>
          <w:rFonts w:ascii="Times New Roman" w:hAnsi="Times New Roman"/>
        </w:rPr>
        <w:t xml:space="preserve"> Nawet jeśli miało to na celu wyegzekwowanie przyznania się Rządu do naruszenia, deklaracja jednostronna nie była jeszcze w tamtym czasie zaakceptowana przez Trybunał. Ponadto Trybunał nie był świadomy rozwoju sytuacji na szczeblu krajowym (zob. </w:t>
      </w:r>
      <w:r w:rsidR="00E40AE2">
        <w:rPr>
          <w:rFonts w:ascii="Times New Roman" w:hAnsi="Times New Roman"/>
        </w:rPr>
        <w:t>par.</w:t>
      </w:r>
      <w:r w:rsidR="008E2D0D">
        <w:rPr>
          <w:rFonts w:ascii="Times New Roman" w:hAnsi="Times New Roman"/>
        </w:rPr>
        <w:t xml:space="preserve">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Wyszkowski_suite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46</w:t>
      </w:r>
      <w:r w:rsidR="008E2D0D" w:rsidRPr="00D637A7">
        <w:rPr>
          <w:rFonts w:ascii="Times New Roman" w:hAnsi="Times New Roman" w:cs="Times New Roman"/>
        </w:rPr>
        <w:fldChar w:fldCharType="end"/>
      </w:r>
      <w:r w:rsidR="008E2D0D">
        <w:rPr>
          <w:rFonts w:ascii="Times New Roman" w:hAnsi="Times New Roman"/>
        </w:rPr>
        <w:t xml:space="preserve"> powyżej) i nie miał wiedzy na temat korzystnego rozstrzygnięcia postępowania, którego dotyczyła skarga p. Wyszkowskiego, ani na temat faktu, że nie poniósł on w konsekwencji żadnych sankcji finansowych ani innych, co stanowiło okoliczności istotne dla oceny dokonywanej na podstawie art. 34 Konwencji, jak również oceny proporcjonalności przedmiotowej ingerencji.</w:t>
      </w:r>
    </w:p>
    <w:p w14:paraId="4693776F" w14:textId="13942AD1" w:rsidR="000410B4" w:rsidRPr="00D637A7" w:rsidRDefault="008E2D0D" w:rsidP="00D637A7">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006D0886">
        <w:rPr>
          <w:rFonts w:ascii="Times New Roman" w:hAnsi="Times New Roman" w:cs="Times New Roman"/>
          <w:noProof/>
        </w:rPr>
        <w:t>250</w:t>
      </w:r>
      <w:r w:rsidRPr="00D637A7">
        <w:rPr>
          <w:rFonts w:ascii="Times New Roman" w:hAnsi="Times New Roman" w:cs="Times New Roman"/>
        </w:rPr>
        <w:fldChar w:fldCharType="end"/>
      </w:r>
      <w:r>
        <w:rPr>
          <w:rFonts w:ascii="Times New Roman" w:hAnsi="Times New Roman"/>
        </w:rPr>
        <w:t>.  W świetle powyższego Trybunał nie może dostrzec żadnych przekonujących okoliczności, które przemawiałyby za zakwestionowaniem</w:t>
      </w:r>
      <w:r>
        <w:rPr>
          <w:rFonts w:ascii="Times New Roman" w:hAnsi="Times New Roman"/>
          <w:b/>
          <w:bCs/>
        </w:rPr>
        <w:t xml:space="preserve"> </w:t>
      </w:r>
      <w:r>
        <w:rPr>
          <w:rFonts w:ascii="Times New Roman" w:hAnsi="Times New Roman"/>
        </w:rPr>
        <w:t xml:space="preserve">prawomocnego wyroku w sprawie skarżącego. W szczególności nie można stwierdzić, że skarga nadzwyczajna służyła naprawieniu jakichkolwiek zasadniczych wad postępowania przed sądami niższej instancji, takich jak nadużycie prawa procesowego, oczywiste błędy w stosowaniu prawa materialnego czy poważne naruszenia przepisów procesowych prowadzące do pomyłki sądowej. W tym miejscu Trybunał pragnie powtórzyć, że zgodnie z art. 6 żadna ze stron nie jest uprawniona do rewizji prawomocnego wyroku wyłącznie w celu ponownego rozpoznania sprawy lub uzyskania nowego rozstrzygnięcia, a </w:t>
      </w:r>
      <w:r w:rsidR="008B3346">
        <w:rPr>
          <w:rFonts w:ascii="Times New Roman" w:hAnsi="Times New Roman"/>
        </w:rPr>
        <w:t>sama</w:t>
      </w:r>
      <w:r>
        <w:rPr>
          <w:rFonts w:ascii="Times New Roman" w:hAnsi="Times New Roman"/>
        </w:rPr>
        <w:t xml:space="preserve"> możliwość istnienia dwóch opinii na jeden temat nie stanowi podstawy do ponownego rozpoznania sprawy (zob. </w:t>
      </w:r>
      <w:r w:rsidR="00E40AE2">
        <w:rPr>
          <w:rFonts w:ascii="Times New Roman" w:hAnsi="Times New Roman"/>
        </w:rPr>
        <w:t>par.</w:t>
      </w:r>
      <w:r>
        <w:rPr>
          <w:rFonts w:ascii="Times New Roman" w:hAnsi="Times New Roman"/>
        </w:rPr>
        <w:t> </w:t>
      </w:r>
      <w:r w:rsidRPr="00D637A7">
        <w:rPr>
          <w:rFonts w:ascii="Times New Roman" w:hAnsi="Times New Roman" w:cs="Times New Roman"/>
        </w:rPr>
        <w:fldChar w:fldCharType="begin"/>
      </w:r>
      <w:r w:rsidRPr="00D637A7">
        <w:rPr>
          <w:rFonts w:ascii="Times New Roman" w:hAnsi="Times New Roman" w:cs="Times New Roman"/>
        </w:rPr>
        <w:instrText xml:space="preserve"> REF court_case_law \h  \* MERGEFORMAT </w:instrText>
      </w:r>
      <w:r w:rsidRPr="00D637A7">
        <w:rPr>
          <w:rFonts w:ascii="Times New Roman" w:hAnsi="Times New Roman" w:cs="Times New Roman"/>
        </w:rPr>
      </w:r>
      <w:r w:rsidRPr="00D637A7">
        <w:rPr>
          <w:rFonts w:ascii="Times New Roman" w:hAnsi="Times New Roman" w:cs="Times New Roman"/>
        </w:rPr>
        <w:fldChar w:fldCharType="separate"/>
      </w:r>
      <w:r w:rsidR="006D0886">
        <w:t>223</w:t>
      </w:r>
      <w:r w:rsidRPr="00D637A7">
        <w:rPr>
          <w:rFonts w:ascii="Times New Roman" w:hAnsi="Times New Roman" w:cs="Times New Roman"/>
        </w:rPr>
        <w:fldChar w:fldCharType="end"/>
      </w:r>
      <w:r>
        <w:rPr>
          <w:rFonts w:ascii="Times New Roman" w:hAnsi="Times New Roman"/>
        </w:rPr>
        <w:t xml:space="preserve"> i </w:t>
      </w:r>
      <w:r w:rsidRPr="00D637A7">
        <w:rPr>
          <w:rFonts w:ascii="Times New Roman" w:hAnsi="Times New Roman" w:cs="Times New Roman"/>
        </w:rPr>
        <w:fldChar w:fldCharType="begin"/>
      </w:r>
      <w:r w:rsidRPr="00D637A7">
        <w:rPr>
          <w:rFonts w:ascii="Times New Roman" w:hAnsi="Times New Roman" w:cs="Times New Roman"/>
        </w:rPr>
        <w:instrText xml:space="preserve"> REF Court_assessment_3 \h  \* MERGEFORMAT </w:instrText>
      </w:r>
      <w:r w:rsidRPr="00D637A7">
        <w:rPr>
          <w:rFonts w:ascii="Times New Roman" w:hAnsi="Times New Roman" w:cs="Times New Roman"/>
        </w:rPr>
      </w:r>
      <w:r w:rsidRPr="00D637A7">
        <w:rPr>
          <w:rFonts w:ascii="Times New Roman" w:hAnsi="Times New Roman" w:cs="Times New Roman"/>
        </w:rPr>
        <w:fldChar w:fldCharType="separate"/>
      </w:r>
      <w:r w:rsidR="006D0886">
        <w:rPr>
          <w:rStyle w:val="JuParaChar"/>
        </w:rPr>
        <w:t>225</w:t>
      </w:r>
      <w:r w:rsidRPr="00D637A7">
        <w:rPr>
          <w:rFonts w:ascii="Times New Roman" w:hAnsi="Times New Roman" w:cs="Times New Roman"/>
        </w:rPr>
        <w:fldChar w:fldCharType="end"/>
      </w:r>
      <w:r>
        <w:rPr>
          <w:rFonts w:ascii="Times New Roman" w:hAnsi="Times New Roman"/>
        </w:rPr>
        <w:t xml:space="preserve"> powyżej, z odniesieniami do orzecznictwa Trybunału).</w:t>
      </w:r>
    </w:p>
    <w:p w14:paraId="2259B67E" w14:textId="1EB0A9A1" w:rsidR="00670BDD" w:rsidRPr="00D637A7" w:rsidRDefault="008E2D0D" w:rsidP="00D637A7">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006D0886">
        <w:rPr>
          <w:rFonts w:ascii="Times New Roman" w:hAnsi="Times New Roman" w:cs="Times New Roman"/>
          <w:noProof/>
        </w:rPr>
        <w:t>251</w:t>
      </w:r>
      <w:r w:rsidRPr="00D637A7">
        <w:rPr>
          <w:rFonts w:ascii="Times New Roman" w:hAnsi="Times New Roman" w:cs="Times New Roman"/>
        </w:rPr>
        <w:fldChar w:fldCharType="end"/>
      </w:r>
      <w:r>
        <w:rPr>
          <w:rFonts w:ascii="Times New Roman" w:hAnsi="Times New Roman"/>
        </w:rPr>
        <w:t>.  Wniosek ten zwykle zwalniałby Trybunał z analizy innych dostrzeżonych wad postępowania przed IKNiSP zarzucanych przez skarżącego, takich jak krótki czas przyznany mu na przedstawienie odpowiedzi na skargę nadzwyczajną (zob. </w:t>
      </w:r>
      <w:r w:rsidR="00E40AE2">
        <w:rPr>
          <w:rFonts w:ascii="Times New Roman" w:hAnsi="Times New Roman"/>
        </w:rPr>
        <w:t>par.</w:t>
      </w:r>
      <w:r>
        <w:rPr>
          <w:rFonts w:ascii="Times New Roman" w:hAnsi="Times New Roman"/>
        </w:rPr>
        <w:t> 188 powyżej).</w:t>
      </w:r>
    </w:p>
    <w:p w14:paraId="66BAB917" w14:textId="363B4ED2" w:rsidR="000410B4" w:rsidRPr="00D637A7" w:rsidRDefault="008E2D0D" w:rsidP="00D637A7">
      <w:pPr>
        <w:pStyle w:val="JuPara"/>
      </w:pPr>
      <w:r>
        <w:rPr>
          <w:rFonts w:ascii="Times New Roman" w:hAnsi="Times New Roman"/>
        </w:rPr>
        <w:t xml:space="preserve">Trybunał pragnie jednak odnieść się do argumentów skarżącego podnoszonych w kontekście art. 18, które jednocześnie odnoszą się do </w:t>
      </w:r>
      <w:r>
        <w:rPr>
          <w:rFonts w:ascii="Times New Roman" w:hAnsi="Times New Roman"/>
        </w:rPr>
        <w:lastRenderedPageBreak/>
        <w:t>kwestii istnienia istotnych i przekonujących okoliczności uzasadniających wniesienie skargi nadzwyczajnej</w:t>
      </w:r>
      <w:r>
        <w:rPr>
          <w:rFonts w:ascii="Times New Roman" w:hAnsi="Times New Roman"/>
          <w:b/>
          <w:bCs/>
        </w:rPr>
        <w:t xml:space="preserve"> </w:t>
      </w:r>
      <w:r>
        <w:rPr>
          <w:rFonts w:ascii="Times New Roman" w:hAnsi="Times New Roman"/>
        </w:rPr>
        <w:t>w jego sprawie. W szczególności skarżący twierdził, że skarga nadzwyczajna Prokuratora Generalnego była motywowana odwetem wobec niego jako przeciwnika politycznego i głośnego krytyka zarówno Prokuratora Generalnego, jak i rządu, co wynika z faktu, że skarżący obarczał ich odpowiedzialnością za kryzys konstytucyjny w Polsce i zarzucał im naruszenia praworządności. Zdaniem skarżącego skarga nadzwyczajna opierała się na względach czysto politycznych, a nie podstawach prawnych i nie istniał żaden uzasadniony interes prywatny ani publiczny, który uzasadniałby ingerencję państwa w całkowicie osobisty spór między dwiema osobami prywatnymi (zob. </w:t>
      </w:r>
      <w:r w:rsidR="00E40AE2">
        <w:rPr>
          <w:rFonts w:ascii="Times New Roman" w:hAnsi="Times New Roman"/>
        </w:rPr>
        <w:t>par.</w:t>
      </w:r>
      <w:r>
        <w:rPr>
          <w:rFonts w:ascii="Times New Roman" w:hAnsi="Times New Roman"/>
        </w:rPr>
        <w:t> 299-</w:t>
      </w:r>
      <w:r w:rsidRPr="00D637A7">
        <w:rPr>
          <w:rFonts w:ascii="Times New Roman" w:hAnsi="Times New Roman" w:cs="Times New Roman"/>
        </w:rPr>
        <w:fldChar w:fldCharType="begin"/>
      </w:r>
      <w:r w:rsidRPr="00D637A7">
        <w:rPr>
          <w:rFonts w:ascii="Times New Roman" w:hAnsi="Times New Roman" w:cs="Times New Roman"/>
        </w:rPr>
        <w:instrText xml:space="preserve"> REF parties_submissions_4 \h </w:instrText>
      </w:r>
      <w:r w:rsidRPr="00D637A7">
        <w:rPr>
          <w:rFonts w:ascii="Times New Roman" w:hAnsi="Times New Roman" w:cs="Times New Roman"/>
        </w:rPr>
      </w:r>
      <w:r w:rsidRPr="00D637A7">
        <w:rPr>
          <w:rFonts w:ascii="Times New Roman" w:hAnsi="Times New Roman" w:cs="Times New Roman"/>
        </w:rPr>
        <w:fldChar w:fldCharType="separate"/>
      </w:r>
      <w:r w:rsidR="006D0886">
        <w:rPr>
          <w:noProof/>
        </w:rPr>
        <w:t>304</w:t>
      </w:r>
      <w:r w:rsidRPr="00D637A7">
        <w:rPr>
          <w:rFonts w:ascii="Times New Roman" w:hAnsi="Times New Roman" w:cs="Times New Roman"/>
        </w:rPr>
        <w:fldChar w:fldCharType="end"/>
      </w:r>
      <w:r>
        <w:rPr>
          <w:rFonts w:ascii="Times New Roman" w:hAnsi="Times New Roman"/>
        </w:rPr>
        <w:t xml:space="preserve"> poniżej).</w:t>
      </w:r>
    </w:p>
    <w:bookmarkStart w:id="128" w:name="Court_assessment_8"/>
    <w:p w14:paraId="245BA5D6" w14:textId="1C4B9F4A"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252</w:t>
      </w:r>
      <w:r w:rsidRPr="00D637A7">
        <w:fldChar w:fldCharType="end"/>
      </w:r>
      <w:bookmarkEnd w:id="128"/>
      <w:r>
        <w:t xml:space="preserve">.  Trybunał zauważa, że w istocie sprawy skarżącego nie można oddzielić od jej tła politycznego i kontekstu politycznego w Polsce w czasie istotnym dla sprawy ani od długotrwałego i publicznego konfliktu między skarżącym a kierownictwem partii PiS i rządem koalicyjnym Zjednoczonej Prawicy, który to spór sięgał daleko i stał się elementem walki politycznej. Jedną z głównych kwestii spornych jest zarzucana skarżącemu współpraca z komunistyczną Służbą Bezpieczeństwa. Wydaje się, że opinia publiczna jest spolaryzowana w kwestii działalności skarżącego jako byłego działacza antykomunistycznego, przywódcy Solidarności i byłego prezydenta </w:t>
      </w:r>
      <w:r w:rsidR="006115AF">
        <w:t>Polski</w:t>
      </w:r>
      <w:r>
        <w:t>, ale najwyraźniej najcięższe oskarżenia o współpracę z komunistycznymi organami bezpieczeństwa państwa – stanowiące sedno postępowania w sprawie o zniesławienie skarżącego – pochodzą od partii PiS i jej zwolenników oraz samego Prokuratora Generalnego (zob. </w:t>
      </w:r>
      <w:r w:rsidR="00E40AE2">
        <w:t>par.</w:t>
      </w:r>
      <w:r>
        <w:t> </w:t>
      </w:r>
      <w:r w:rsidRPr="00D637A7">
        <w:fldChar w:fldCharType="begin"/>
      </w:r>
      <w:r w:rsidRPr="00D637A7">
        <w:instrText xml:space="preserve"> REF case_Background_1 \h  \* MERGEFORMAT </w:instrText>
      </w:r>
      <w:r w:rsidRPr="00D637A7">
        <w:fldChar w:fldCharType="separate"/>
      </w:r>
      <w:r w:rsidR="006D0886">
        <w:t>13</w:t>
      </w:r>
      <w:r w:rsidRPr="00D637A7">
        <w:fldChar w:fldCharType="end"/>
      </w:r>
      <w:r>
        <w:t xml:space="preserve"> i </w:t>
      </w:r>
      <w:r w:rsidRPr="00D637A7">
        <w:fldChar w:fldCharType="begin"/>
      </w:r>
      <w:r w:rsidRPr="00D637A7">
        <w:instrText xml:space="preserve"> REF complaint_art_18_1 \h  \* MERGEFORMAT </w:instrText>
      </w:r>
      <w:r w:rsidRPr="00D637A7">
        <w:fldChar w:fldCharType="separate"/>
      </w:r>
      <w:r w:rsidR="006D0886">
        <w:t>49</w:t>
      </w:r>
      <w:r w:rsidRPr="00D637A7">
        <w:fldChar w:fldCharType="end"/>
      </w:r>
      <w:r>
        <w:t>-</w:t>
      </w:r>
      <w:r w:rsidRPr="00D637A7">
        <w:fldChar w:fldCharType="begin"/>
      </w:r>
      <w:r w:rsidRPr="00D637A7">
        <w:instrText xml:space="preserve"> REF complaint_art_18_2 \h  \* MERGEFORMAT </w:instrText>
      </w:r>
      <w:r w:rsidRPr="00D637A7">
        <w:fldChar w:fldCharType="separate"/>
      </w:r>
      <w:r w:rsidR="006D0886">
        <w:t>56</w:t>
      </w:r>
      <w:r w:rsidRPr="00D637A7">
        <w:fldChar w:fldCharType="end"/>
      </w:r>
      <w:r>
        <w:t xml:space="preserve"> powyżej).</w:t>
      </w:r>
    </w:p>
    <w:p w14:paraId="6AF5CD98" w14:textId="1C2A9AEC" w:rsidR="000410B4" w:rsidRPr="00D637A7" w:rsidRDefault="00000000" w:rsidP="00D637A7">
      <w:pPr>
        <w:pStyle w:val="JuPara"/>
        <w:rPr>
          <w:rFonts w:ascii="Times New Roman" w:hAnsi="Times New Roman" w:cs="Times New Roman"/>
        </w:rPr>
      </w:pPr>
      <w:fldSimple w:instr=" SEQ level0 \*arabic \* MERGEFORMAT ">
        <w:r w:rsidR="006D0886">
          <w:rPr>
            <w:noProof/>
          </w:rPr>
          <w:t>253</w:t>
        </w:r>
      </w:fldSimple>
      <w:r w:rsidR="008E2D0D">
        <w:t xml:space="preserve">.  Jak wynika z materiałów przedstawionych Trybunałowi, p. Wyszkowski od dłuższego czasu odgrywa jedną z kluczowych ról w rozpowszechnianiu tych oskarżeń wśród opinii publicznej. Jest również oczywiste, że jest on blisko związany politycznie z kierownictwem partii PiS i rządem koalicyjnym Zjednoczonej Prawicy </w:t>
      </w:r>
      <w:r w:rsidR="008E2D0D">
        <w:rPr>
          <w:rFonts w:ascii="Times New Roman" w:hAnsi="Times New Roman"/>
        </w:rPr>
        <w:t>(zob. </w:t>
      </w:r>
      <w:r w:rsidR="00E40AE2">
        <w:rPr>
          <w:rFonts w:ascii="Times New Roman" w:hAnsi="Times New Roman"/>
        </w:rPr>
        <w:t>par.</w:t>
      </w:r>
      <w:r w:rsidR="008E2D0D">
        <w:rPr>
          <w:rFonts w:ascii="Times New Roman" w:hAnsi="Times New Roman"/>
        </w:rPr>
        <w:t>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case_Background_1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13</w:t>
      </w:r>
      <w:r w:rsidR="008E2D0D" w:rsidRPr="00D637A7">
        <w:rPr>
          <w:rFonts w:ascii="Times New Roman" w:hAnsi="Times New Roman" w:cs="Times New Roman"/>
        </w:rPr>
        <w:fldChar w:fldCharType="end"/>
      </w:r>
      <w:r w:rsidR="008E2D0D">
        <w:t>-</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case_Background_2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rFonts w:cstheme="minorHAnsi"/>
          <w:noProof/>
        </w:rPr>
        <w:t>14</w:t>
      </w:r>
      <w:r w:rsidR="008E2D0D" w:rsidRPr="00D637A7">
        <w:rPr>
          <w:rFonts w:ascii="Times New Roman" w:hAnsi="Times New Roman" w:cs="Times New Roman"/>
        </w:rPr>
        <w:fldChar w:fldCharType="end"/>
      </w:r>
      <w:r w:rsidR="008E2D0D">
        <w:t xml:space="preserve">,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case_Background_3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16</w:t>
      </w:r>
      <w:r w:rsidR="008E2D0D" w:rsidRPr="00D637A7">
        <w:rPr>
          <w:rFonts w:ascii="Times New Roman" w:hAnsi="Times New Roman" w:cs="Times New Roman"/>
        </w:rPr>
        <w:fldChar w:fldCharType="end"/>
      </w:r>
      <w:r w:rsidR="008E2D0D">
        <w:rPr>
          <w:rFonts w:ascii="Times New Roman" w:hAnsi="Times New Roman"/>
        </w:rPr>
        <w:t xml:space="preserve"> i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Agent_Bolek_1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54</w:t>
      </w:r>
      <w:r w:rsidR="008E2D0D" w:rsidRPr="00D637A7">
        <w:rPr>
          <w:rFonts w:ascii="Times New Roman" w:hAnsi="Times New Roman" w:cs="Times New Roman"/>
        </w:rPr>
        <w:fldChar w:fldCharType="end"/>
      </w:r>
      <w:r w:rsidR="008E2D0D">
        <w:t>-</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Agent_Bolek_2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55</w:t>
      </w:r>
      <w:r w:rsidR="008E2D0D" w:rsidRPr="00D637A7">
        <w:rPr>
          <w:rFonts w:ascii="Times New Roman" w:hAnsi="Times New Roman" w:cs="Times New Roman"/>
        </w:rPr>
        <w:fldChar w:fldCharType="end"/>
      </w:r>
      <w:r w:rsidR="008E2D0D">
        <w:rPr>
          <w:rFonts w:ascii="Times New Roman" w:hAnsi="Times New Roman"/>
        </w:rPr>
        <w:t xml:space="preserve"> powyżej)</w:t>
      </w:r>
      <w:r w:rsidR="008E2D0D">
        <w:t>.</w:t>
      </w:r>
    </w:p>
    <w:p w14:paraId="72DD2BAA" w14:textId="29861CB0" w:rsidR="000410B4" w:rsidRPr="00D637A7" w:rsidRDefault="008E2D0D" w:rsidP="00D637A7">
      <w:pPr>
        <w:pStyle w:val="JuPara"/>
      </w:pPr>
      <w:r>
        <w:t>Prokurator Generalny w swojej skardze nadzwyczajnej jasno wyraził swój zdecydowany pogląd, że w zaskarżonym postępowaniu p. Wyszkowski udowodnił prawdziwość swoich wypowiedzi dotyczących zarzucanej współpracy skarżącego z komunistycznymi organami bezpieczeństwa państwa (zob. </w:t>
      </w:r>
      <w:r w:rsidR="00E40AE2">
        <w:t>par.</w:t>
      </w:r>
      <w:r>
        <w:t> </w:t>
      </w:r>
      <w:r w:rsidRPr="00D637A7">
        <w:fldChar w:fldCharType="begin"/>
      </w:r>
      <w:r w:rsidRPr="00D637A7">
        <w:instrText xml:space="preserve"> REF Gdansk_Court_of_appeal_24032011 \h </w:instrText>
      </w:r>
      <w:r w:rsidRPr="00D637A7">
        <w:fldChar w:fldCharType="separate"/>
      </w:r>
      <w:r w:rsidR="006D0886">
        <w:rPr>
          <w:noProof/>
        </w:rPr>
        <w:t>28</w:t>
      </w:r>
      <w:r w:rsidRPr="00D637A7">
        <w:fldChar w:fldCharType="end"/>
      </w:r>
      <w:r>
        <w:t>-</w:t>
      </w:r>
      <w:r w:rsidRPr="00D637A7">
        <w:fldChar w:fldCharType="begin"/>
      </w:r>
      <w:r w:rsidRPr="00D637A7">
        <w:instrText xml:space="preserve"> REF Gdansk_Court_of_appeal_24032011_1 \h </w:instrText>
      </w:r>
      <w:r w:rsidRPr="00D637A7">
        <w:fldChar w:fldCharType="separate"/>
      </w:r>
      <w:r w:rsidR="006D0886">
        <w:rPr>
          <w:noProof/>
        </w:rPr>
        <w:t>31</w:t>
      </w:r>
      <w:r w:rsidRPr="00D637A7">
        <w:fldChar w:fldCharType="end"/>
      </w:r>
      <w:r>
        <w:t> powyżej). Nawet jeśli pogląd ten  nie był w czasie istotnym dla sprawy żadną tajemnicą dla opinii publicznej, to czym innym jest posiadanie zdecydowanych i wrogich poglądów na temat swoich przeciwników politycznych, a czym innym jest forsowanie ich poprzez mechanizm sądowy z wykorzystaniem własnych wyjątkowych ustawowych uprawnień do kwestionowania prawomocności niekorzystnego wyroku w sprawie dotyczącej osoby blisko powiązanej politycznie.</w:t>
      </w:r>
    </w:p>
    <w:p w14:paraId="29E104E2" w14:textId="15D12721" w:rsidR="000410B4" w:rsidRPr="00D637A7" w:rsidRDefault="008E2D0D" w:rsidP="00D637A7">
      <w:pPr>
        <w:pStyle w:val="JuPara"/>
      </w:pPr>
      <w:r>
        <w:t xml:space="preserve">Znamienne jest również to, że w następstwie wyroku IKNiSP Prokurator Generalny publicznie wyraził swoje głębokie zadowolenie z rozstrzygnięcia, </w:t>
      </w:r>
      <w:r>
        <w:lastRenderedPageBreak/>
        <w:t>stwierdzając: „czekaliśmy przez lata, ale prawda w końcu zatriumfowała”, pomimo iż zarzucana współpraca skarżącego z komunistycznymi organami bezpieczeństwa państwa nie była przedmiotem orzeczenia IKNiSP</w:t>
      </w:r>
      <w:r>
        <w:rPr>
          <w:b/>
          <w:bCs/>
        </w:rPr>
        <w:t xml:space="preserve"> </w:t>
      </w:r>
      <w:r>
        <w:t>(zob. </w:t>
      </w:r>
      <w:r w:rsidR="00E40AE2">
        <w:t>par.</w:t>
      </w:r>
      <w:r>
        <w:t xml:space="preserve"> </w:t>
      </w:r>
      <w:r w:rsidRPr="00D637A7">
        <w:fldChar w:fldCharType="begin"/>
      </w:r>
      <w:r w:rsidRPr="00D637A7">
        <w:instrText xml:space="preserve"> REF Agent_Bolek_2 \h  \* MERGEFORMAT </w:instrText>
      </w:r>
      <w:r w:rsidRPr="00D637A7">
        <w:fldChar w:fldCharType="separate"/>
      </w:r>
      <w:r w:rsidR="006D0886">
        <w:t>55</w:t>
      </w:r>
      <w:r w:rsidRPr="00D637A7">
        <w:fldChar w:fldCharType="end"/>
      </w:r>
      <w:r>
        <w:t xml:space="preserve"> powyżej).</w:t>
      </w:r>
    </w:p>
    <w:p w14:paraId="388509C6" w14:textId="19075452" w:rsidR="000410B4" w:rsidRPr="00D637A7" w:rsidRDefault="00000000" w:rsidP="00D637A7">
      <w:pPr>
        <w:pStyle w:val="JuPara"/>
        <w:rPr>
          <w:rFonts w:ascii="Times New Roman" w:hAnsi="Times New Roman" w:cs="Times New Roman"/>
        </w:rPr>
      </w:pPr>
      <w:fldSimple w:instr=" SEQ level0 \*arabic \* MERGEFORMAT ">
        <w:r w:rsidR="006D0886">
          <w:rPr>
            <w:noProof/>
          </w:rPr>
          <w:t>254</w:t>
        </w:r>
      </w:fldSimple>
      <w:r w:rsidR="008E2D0D">
        <w:t xml:space="preserve">.  Trybunał odnotowuje stanowisko Rządu, z którego wynika, że Prokurator Generalny, wnosząc skargę nadzwyczajną w sprawie skarżącego, niewątpliwie działał jako organ władzy publicznej stojący na straży praworządności </w:t>
      </w:r>
      <w:r w:rsidR="008E2D0D">
        <w:rPr>
          <w:rFonts w:ascii="Times New Roman" w:hAnsi="Times New Roman"/>
        </w:rPr>
        <w:t xml:space="preserve">(zob. </w:t>
      </w:r>
      <w:r w:rsidR="00E40AE2">
        <w:rPr>
          <w:rFonts w:ascii="Times New Roman" w:hAnsi="Times New Roman"/>
        </w:rPr>
        <w:t>par.</w:t>
      </w:r>
      <w:r w:rsidR="008E2D0D">
        <w:rPr>
          <w:rFonts w:ascii="Times New Roman" w:hAnsi="Times New Roman"/>
        </w:rPr>
        <w:t>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merits_parties_submissions \h  \* MERGEFORMAT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t>199</w:t>
      </w:r>
      <w:r w:rsidR="008E2D0D" w:rsidRPr="00D637A7">
        <w:rPr>
          <w:rFonts w:ascii="Times New Roman" w:hAnsi="Times New Roman" w:cs="Times New Roman"/>
        </w:rPr>
        <w:fldChar w:fldCharType="end"/>
      </w:r>
      <w:r w:rsidR="008E2D0D">
        <w:rPr>
          <w:rFonts w:ascii="Times New Roman" w:hAnsi="Times New Roman"/>
        </w:rPr>
        <w:t xml:space="preserve"> powyżej i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violations_parties_submissions \h  \* MERGEFORMAT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t>298</w:t>
      </w:r>
      <w:r w:rsidR="008E2D0D" w:rsidRPr="00D637A7">
        <w:rPr>
          <w:rFonts w:ascii="Times New Roman" w:hAnsi="Times New Roman" w:cs="Times New Roman"/>
        </w:rPr>
        <w:fldChar w:fldCharType="end"/>
      </w:r>
      <w:r w:rsidR="008E2D0D">
        <w:rPr>
          <w:rFonts w:ascii="Times New Roman" w:hAnsi="Times New Roman"/>
        </w:rPr>
        <w:t xml:space="preserve"> poniżej)</w:t>
      </w:r>
      <w:r w:rsidR="008E2D0D">
        <w:t>.</w:t>
      </w:r>
      <w:r w:rsidR="008E2D0D">
        <w:rPr>
          <w:rFonts w:ascii="Times New Roman" w:hAnsi="Times New Roman"/>
        </w:rPr>
        <w:t xml:space="preserve"> Okoliczności niniejszej sprawy pokazują jednak, że było wręcz przeciwnie. W rzeczywistości, jak wynika z powyższych ustaleń,</w:t>
      </w:r>
      <w:r w:rsidR="008E2D0D">
        <w:rPr>
          <w:rFonts w:ascii="Times New Roman" w:hAnsi="Times New Roman"/>
          <w:b/>
          <w:bCs/>
        </w:rPr>
        <w:t xml:space="preserve"> </w:t>
      </w:r>
      <w:r w:rsidR="008E2D0D">
        <w:rPr>
          <w:rFonts w:ascii="Times New Roman" w:hAnsi="Times New Roman"/>
        </w:rPr>
        <w:t>doszło do nadużycia</w:t>
      </w:r>
      <w:r w:rsidR="008E2D0D">
        <w:rPr>
          <w:rFonts w:ascii="Times New Roman" w:hAnsi="Times New Roman"/>
          <w:b/>
          <w:bCs/>
        </w:rPr>
        <w:t xml:space="preserve"> </w:t>
      </w:r>
      <w:r w:rsidR="008E2D0D">
        <w:rPr>
          <w:rFonts w:ascii="Times New Roman" w:hAnsi="Times New Roman"/>
        </w:rPr>
        <w:t>procedury prawnej przez organ państwa w dążeniu do realizacji własnych poglądów i motywów politycznych.</w:t>
      </w:r>
    </w:p>
    <w:p w14:paraId="62D4C932" w14:textId="77777777" w:rsidR="000410B4" w:rsidRPr="00D637A7" w:rsidRDefault="008E2D0D" w:rsidP="00D637A7">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006D0886">
        <w:rPr>
          <w:rFonts w:ascii="Times New Roman" w:hAnsi="Times New Roman" w:cs="Times New Roman"/>
          <w:noProof/>
        </w:rPr>
        <w:t>255</w:t>
      </w:r>
      <w:r w:rsidRPr="00D637A7">
        <w:rPr>
          <w:rFonts w:ascii="Times New Roman" w:hAnsi="Times New Roman" w:cs="Times New Roman"/>
        </w:rPr>
        <w:fldChar w:fldCharType="end"/>
      </w:r>
      <w:r>
        <w:rPr>
          <w:rFonts w:ascii="Times New Roman" w:hAnsi="Times New Roman"/>
        </w:rPr>
        <w:t xml:space="preserve">.  W świetle wszystkich powyższych rozważań Trybunał nie znajduje w niniejszej sprawie żadnych okoliczności o istotnym i przekonującym charakterze, które uzasadniałyby odejście od zasady </w:t>
      </w:r>
      <w:r>
        <w:rPr>
          <w:rFonts w:ascii="Times New Roman" w:hAnsi="Times New Roman"/>
          <w:i/>
          <w:iCs/>
        </w:rPr>
        <w:t>res judicata</w:t>
      </w:r>
      <w:r>
        <w:rPr>
          <w:rFonts w:ascii="Times New Roman" w:hAnsi="Times New Roman"/>
        </w:rPr>
        <w:t>.</w:t>
      </w:r>
    </w:p>
    <w:p w14:paraId="18375BF5" w14:textId="77777777" w:rsidR="000410B4" w:rsidRPr="00D637A7" w:rsidRDefault="008E2D0D" w:rsidP="00D637A7">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006D0886">
        <w:rPr>
          <w:rFonts w:ascii="Times New Roman" w:hAnsi="Times New Roman" w:cs="Times New Roman"/>
          <w:noProof/>
        </w:rPr>
        <w:t>256</w:t>
      </w:r>
      <w:r w:rsidRPr="00D637A7">
        <w:rPr>
          <w:rFonts w:ascii="Times New Roman" w:hAnsi="Times New Roman" w:cs="Times New Roman"/>
        </w:rPr>
        <w:fldChar w:fldCharType="end"/>
      </w:r>
      <w:r>
        <w:rPr>
          <w:rFonts w:ascii="Times New Roman" w:hAnsi="Times New Roman"/>
        </w:rPr>
        <w:t>.  W związku z tym doszło do naruszenia art. 6 ust. 1 Konwencji w odniesieniu do zasady pewności prawa.</w:t>
      </w:r>
    </w:p>
    <w:p w14:paraId="1ECF82D9" w14:textId="77777777" w:rsidR="000410B4" w:rsidRPr="00D637A7" w:rsidRDefault="008E2D0D" w:rsidP="00D637A7">
      <w:pPr>
        <w:pStyle w:val="JuHIRoman"/>
      </w:pPr>
      <w:r>
        <w:t>Zarzucane naruszenie art. 13 KONWENCJI</w:t>
      </w:r>
    </w:p>
    <w:p w14:paraId="19DB8531" w14:textId="77777777" w:rsidR="000410B4" w:rsidRPr="00D637A7" w:rsidRDefault="00000000" w:rsidP="00D637A7">
      <w:pPr>
        <w:pStyle w:val="JuPara"/>
      </w:pPr>
      <w:fldSimple w:instr=" SEQ level0 \*arabic \* MERGEFORMAT ">
        <w:r w:rsidR="006D0886">
          <w:rPr>
            <w:noProof/>
          </w:rPr>
          <w:t>257</w:t>
        </w:r>
      </w:fldSimple>
      <w:r w:rsidR="008E2D0D">
        <w:t>.  Skarżący zarzucił na podstawie art. 13 Konwencji, że pozbawiono go skutecznego krajowego środka odwoławczego w odniesieniu do postępowania w przedmiocie skargi nadzwyczajnej przed IKNiSP.</w:t>
      </w:r>
    </w:p>
    <w:p w14:paraId="159171C9" w14:textId="17FFC97F" w:rsidR="000410B4" w:rsidRPr="00D637A7" w:rsidRDefault="00070409" w:rsidP="00D637A7">
      <w:pPr>
        <w:pStyle w:val="JuPara"/>
      </w:pPr>
      <w:r>
        <w:t>Art.</w:t>
      </w:r>
      <w:r w:rsidR="008E2D0D">
        <w:t> 13 brzmi następująco:</w:t>
      </w:r>
    </w:p>
    <w:p w14:paraId="07C6DC5A" w14:textId="77777777" w:rsidR="000410B4" w:rsidRPr="00D637A7" w:rsidRDefault="008E2D0D" w:rsidP="00D637A7">
      <w:pPr>
        <w:pStyle w:val="JuQuot"/>
      </w:pPr>
      <w:r>
        <w:t>„Każdy, kogo prawa i wolności zawarte w niniejszej Konwencji zostały naruszone, ma prawo do skutecznego środka odwoławczego do właściwego organu państwowego także wówczas, gdy naruszenia dokonały osoby wykonujące swoje funkcje urzędowe”.</w:t>
      </w:r>
    </w:p>
    <w:p w14:paraId="7300223D" w14:textId="60819B96" w:rsidR="000410B4" w:rsidRPr="00D637A7" w:rsidRDefault="00000000" w:rsidP="00D637A7">
      <w:pPr>
        <w:pStyle w:val="JuPara"/>
      </w:pPr>
      <w:fldSimple w:instr=" SEQ level0 \*arabic \* MERGEFORMAT ">
        <w:r w:rsidR="006D0886">
          <w:rPr>
            <w:noProof/>
          </w:rPr>
          <w:t>258</w:t>
        </w:r>
      </w:fldSimple>
      <w:r w:rsidR="008E2D0D">
        <w:t>.  Trybunał zauważa, że zarzut sformułowan</w:t>
      </w:r>
      <w:r w:rsidR="00070409">
        <w:t>y</w:t>
      </w:r>
      <w:r w:rsidR="008E2D0D">
        <w:t xml:space="preserve"> na podstawie art. 13 </w:t>
      </w:r>
      <w:r w:rsidR="00070409">
        <w:t xml:space="preserve">jest </w:t>
      </w:r>
      <w:r w:rsidR="008E2D0D">
        <w:t>zasadniczo taki sam jak zarzut</w:t>
      </w:r>
      <w:r w:rsidR="00070409">
        <w:t xml:space="preserve"> na podstawie</w:t>
      </w:r>
      <w:r w:rsidR="008E2D0D">
        <w:t xml:space="preserve"> art. 6 ust. 1. </w:t>
      </w:r>
      <w:r w:rsidR="00070409">
        <w:t>Przypomina</w:t>
      </w:r>
      <w:r w:rsidR="008E2D0D">
        <w:t xml:space="preserve">, że gwarancje z art. 6 ust. 1, </w:t>
      </w:r>
      <w:r w:rsidR="003227F5">
        <w:t>obejmujące</w:t>
      </w:r>
      <w:r w:rsidR="008E2D0D">
        <w:t xml:space="preserve"> peł</w:t>
      </w:r>
      <w:r w:rsidR="003227F5">
        <w:t>e</w:t>
      </w:r>
      <w:r w:rsidR="008E2D0D">
        <w:t xml:space="preserve">n zakres </w:t>
      </w:r>
      <w:r w:rsidR="003227F5">
        <w:t>postępowania</w:t>
      </w:r>
      <w:r w:rsidR="008E2D0D">
        <w:t xml:space="preserve"> sądowe</w:t>
      </w:r>
      <w:r w:rsidR="003227F5">
        <w:t>go</w:t>
      </w:r>
      <w:r w:rsidR="008E2D0D">
        <w:t>, są bardziej rygorystyczne niż gwarancje wynikające z art. 13</w:t>
      </w:r>
      <w:r w:rsidR="00070409">
        <w:t xml:space="preserve"> i pochłaniają je</w:t>
      </w:r>
      <w:r w:rsidR="008E2D0D">
        <w:t xml:space="preserve"> (zob. </w:t>
      </w:r>
      <w:r w:rsidR="00070409">
        <w:t>np.</w:t>
      </w:r>
      <w:r w:rsidR="008E2D0D">
        <w:t xml:space="preserve"> </w:t>
      </w:r>
      <w:r w:rsidR="008E2D0D">
        <w:rPr>
          <w:i/>
        </w:rPr>
        <w:t>Kudła przeciwko Polsce</w:t>
      </w:r>
      <w:r w:rsidR="008E2D0D">
        <w:t xml:space="preserve"> [WI], nr 30210/96, § 146, E</w:t>
      </w:r>
      <w:r w:rsidR="003227F5">
        <w:t>TPC</w:t>
      </w:r>
      <w:r w:rsidR="008E2D0D">
        <w:t xml:space="preserve"> 2000</w:t>
      </w:r>
      <w:r w:rsidR="008E2D0D">
        <w:noBreakHyphen/>
        <w:t>XI).</w:t>
      </w:r>
    </w:p>
    <w:p w14:paraId="672E6B2E" w14:textId="567BC023" w:rsidR="000410B4" w:rsidRPr="00D637A7" w:rsidRDefault="00000000" w:rsidP="00D637A7">
      <w:pPr>
        <w:pStyle w:val="JuPara"/>
      </w:pPr>
      <w:fldSimple w:instr=" SEQ level0 \*arabic \* MERGEFORMAT ">
        <w:r w:rsidR="006D0886">
          <w:rPr>
            <w:noProof/>
          </w:rPr>
          <w:t>259</w:t>
        </w:r>
      </w:fldSimple>
      <w:r w:rsidR="008E2D0D">
        <w:t xml:space="preserve">.  Trybunał stwierdza w rezultacie, że nie jest konieczne oddzielne badanie dopuszczalności i </w:t>
      </w:r>
      <w:r w:rsidR="003227F5">
        <w:t>meritum</w:t>
      </w:r>
      <w:r w:rsidR="008E2D0D">
        <w:t xml:space="preserve"> skargi na podstawie art. 13 Konwencji (zob. </w:t>
      </w:r>
      <w:r w:rsidR="008E2D0D">
        <w:rPr>
          <w:i/>
          <w:iCs/>
        </w:rPr>
        <w:t>Grzęda</w:t>
      </w:r>
      <w:r w:rsidR="008E2D0D">
        <w:t xml:space="preserve">, </w:t>
      </w:r>
      <w:r w:rsidR="008E2D0D">
        <w:rPr>
          <w:i/>
          <w:iCs/>
        </w:rPr>
        <w:t>op.</w:t>
      </w:r>
      <w:r w:rsidR="003227F5">
        <w:rPr>
          <w:i/>
          <w:iCs/>
        </w:rPr>
        <w:t xml:space="preserve"> </w:t>
      </w:r>
      <w:r w:rsidR="008E2D0D">
        <w:rPr>
          <w:i/>
          <w:iCs/>
        </w:rPr>
        <w:t>cit.</w:t>
      </w:r>
      <w:r w:rsidR="008E2D0D">
        <w:t>, § 353).</w:t>
      </w:r>
    </w:p>
    <w:p w14:paraId="7AD2A8A3" w14:textId="77777777" w:rsidR="000410B4" w:rsidRPr="00D637A7" w:rsidRDefault="008E2D0D" w:rsidP="00D637A7">
      <w:pPr>
        <w:pStyle w:val="JuHIRoman"/>
      </w:pPr>
      <w:r>
        <w:t>ZARZUCANE NARUSZENIE ART. 8 KONWENCJI</w:t>
      </w:r>
    </w:p>
    <w:p w14:paraId="7E9C68C0" w14:textId="2556A3F0" w:rsidR="000410B4" w:rsidRPr="00D637A7" w:rsidRDefault="00000000" w:rsidP="00D637A7">
      <w:pPr>
        <w:pStyle w:val="JuPara"/>
      </w:pPr>
      <w:fldSimple w:instr=" SEQ level0 \*arabic \* MERGEFORMAT ">
        <w:r w:rsidR="006D0886">
          <w:rPr>
            <w:noProof/>
          </w:rPr>
          <w:t>260</w:t>
        </w:r>
      </w:fldSimple>
      <w:r w:rsidR="008E2D0D">
        <w:t>.  Powołując się na art. 8 Konwencji, skarżący zarzucił, że uchylenie prawomocnego wyroku w jego sprawie, która dotyczyła jego dobrego imienia i życia prywatnego, stanowi</w:t>
      </w:r>
      <w:r w:rsidR="003227F5">
        <w:t>ło</w:t>
      </w:r>
      <w:r w:rsidR="008E2D0D">
        <w:t xml:space="preserve"> bezprawną ingerencję w jego życie prywatne.</w:t>
      </w:r>
    </w:p>
    <w:p w14:paraId="516B918C" w14:textId="7BF01555" w:rsidR="000410B4" w:rsidRPr="00D637A7" w:rsidRDefault="003227F5" w:rsidP="00D637A7">
      <w:pPr>
        <w:pStyle w:val="JuPara"/>
      </w:pPr>
      <w:r>
        <w:t>Art.</w:t>
      </w:r>
      <w:r w:rsidR="008E2D0D">
        <w:t> 8 Konwencji stanowi, w zakresie istotnym dla sprawy, co następuje:</w:t>
      </w:r>
    </w:p>
    <w:p w14:paraId="26BB952E" w14:textId="77777777" w:rsidR="000410B4" w:rsidRPr="00D637A7" w:rsidRDefault="008E2D0D" w:rsidP="00D637A7">
      <w:pPr>
        <w:pStyle w:val="JuQuot"/>
      </w:pPr>
      <w:r>
        <w:t>„1.  Każdy ma prawo do poszanowania swojego życia prywatnego […]</w:t>
      </w:r>
    </w:p>
    <w:p w14:paraId="0556E014" w14:textId="77777777" w:rsidR="000410B4" w:rsidRPr="00D637A7" w:rsidRDefault="008E2D0D" w:rsidP="00D637A7">
      <w:pPr>
        <w:pStyle w:val="JuQuot"/>
      </w:pPr>
      <w:r>
        <w:lastRenderedPageBreak/>
        <w:t>§ 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70DF14FD" w14:textId="77777777" w:rsidR="000410B4" w:rsidRPr="00D637A7" w:rsidRDefault="008E2D0D" w:rsidP="00D637A7">
      <w:pPr>
        <w:pStyle w:val="JuHA"/>
      </w:pPr>
      <w:r>
        <w:t>Dopuszczalność</w:t>
      </w:r>
    </w:p>
    <w:p w14:paraId="393510D1" w14:textId="77777777" w:rsidR="000410B4" w:rsidRPr="00D637A7" w:rsidRDefault="008E2D0D" w:rsidP="00D637A7">
      <w:pPr>
        <w:pStyle w:val="JuH1"/>
      </w:pPr>
      <w:r>
        <w:t>Stanowiska stron</w:t>
      </w:r>
    </w:p>
    <w:bookmarkStart w:id="129" w:name="parties_submissions"/>
    <w:p w14:paraId="43D2F2C6" w14:textId="0447AC81" w:rsidR="000410B4" w:rsidRPr="00D637A7" w:rsidRDefault="008E2D0D" w:rsidP="00D637A7">
      <w:pPr>
        <w:pStyle w:val="JuPara"/>
      </w:pPr>
      <w:r w:rsidRPr="00D637A7">
        <w:fldChar w:fldCharType="begin"/>
      </w:r>
      <w:r w:rsidRPr="00D637A7">
        <w:instrText xml:space="preserve"> SEQ level0 \*arabic </w:instrText>
      </w:r>
      <w:r w:rsidRPr="00D637A7">
        <w:fldChar w:fldCharType="separate"/>
      </w:r>
      <w:r w:rsidR="006D0886">
        <w:rPr>
          <w:noProof/>
        </w:rPr>
        <w:t>261</w:t>
      </w:r>
      <w:r w:rsidRPr="00D637A7">
        <w:fldChar w:fldCharType="end"/>
      </w:r>
      <w:bookmarkEnd w:id="129"/>
      <w:r>
        <w:t>.  </w:t>
      </w:r>
      <w:r w:rsidR="00C862D5">
        <w:t>Powołując się na sprawę</w:t>
      </w:r>
      <w:r>
        <w:t xml:space="preserve"> </w:t>
      </w:r>
      <w:r>
        <w:rPr>
          <w:i/>
          <w:iCs/>
        </w:rPr>
        <w:t>Denisov przeciwko Ukrainie</w:t>
      </w:r>
      <w:r>
        <w:t xml:space="preserve"> ([WI], skarga nr 76639/11, 25 września 2018 r.), Rząd utrzymywał, że nie było wystarczających dowodów, aby stwierdzić, że zarzucany wpływ na dobre imię skarżącego osiągnął stopień powagi wymagany art. 8 Konwencji. Rząd utrzymywał również, że skarżący nie udowodnił, iż w wyniku postępowania przed Sądem Najwyższym i wyroku tego sądu poniósł jakikolwiek znaczący uszczerbek pod względem ogólnej sytuacji życiowej i dobrego imienia (zob. również par. 131 powyżej).</w:t>
      </w:r>
    </w:p>
    <w:p w14:paraId="0EB86F66" w14:textId="2925F85D" w:rsidR="000410B4" w:rsidRPr="00D637A7" w:rsidRDefault="00000000" w:rsidP="00D637A7">
      <w:pPr>
        <w:pStyle w:val="JuPara"/>
      </w:pPr>
      <w:fldSimple w:instr=" SEQ level0 \*arabic \* MERGEFORMAT ">
        <w:r w:rsidR="006D0886">
          <w:rPr>
            <w:noProof/>
          </w:rPr>
          <w:t>262</w:t>
        </w:r>
      </w:fldSimple>
      <w:r w:rsidR="008E2D0D">
        <w:t>.  Rząd podkreślił, że chociaż art. 8 Konwencji obejm</w:t>
      </w:r>
      <w:r w:rsidR="00C862D5">
        <w:t>uje</w:t>
      </w:r>
      <w:r w:rsidR="008E2D0D">
        <w:t xml:space="preserve"> dobre imię danej osoby, nie można się na </w:t>
      </w:r>
      <w:r w:rsidR="001E7ACE">
        <w:t>niego powoływać</w:t>
      </w:r>
      <w:r w:rsidR="008E2D0D">
        <w:t xml:space="preserve"> w sprawach takich jak niniejsza</w:t>
      </w:r>
      <w:r w:rsidR="001E7ACE">
        <w:t xml:space="preserve"> w celu</w:t>
      </w:r>
      <w:r w:rsidR="008E2D0D">
        <w:t xml:space="preserve"> złoż</w:t>
      </w:r>
      <w:r w:rsidR="001E7ACE">
        <w:t>enia</w:t>
      </w:r>
      <w:r w:rsidR="008E2D0D">
        <w:t xml:space="preserve"> skarg</w:t>
      </w:r>
      <w:r w:rsidR="007A25BC">
        <w:t>i</w:t>
      </w:r>
      <w:r w:rsidR="008E2D0D">
        <w:t xml:space="preserve"> dotycząc</w:t>
      </w:r>
      <w:r w:rsidR="007A25BC">
        <w:t>ej</w:t>
      </w:r>
      <w:r w:rsidR="008E2D0D">
        <w:t xml:space="preserve"> naruszenia dobrego imienia, które to naruszenie było przewidywalną konsekwencją własnych działań. Rząd zauważył w tym kontekście, że </w:t>
      </w:r>
      <w:r w:rsidR="007A25BC">
        <w:t>przedmiotowe</w:t>
      </w:r>
      <w:r w:rsidR="008E2D0D">
        <w:t xml:space="preserve"> wypowiedzi p. Wyszkowskiego odnosiły się ściśle do działalności skarżącego jako związkowca, polityka i Prezydenta RP. Zdaniem Rządu </w:t>
      </w:r>
      <w:r w:rsidR="007A25BC">
        <w:t>orzeczenie</w:t>
      </w:r>
      <w:r w:rsidR="008E2D0D">
        <w:t xml:space="preserve"> Sąd</w:t>
      </w:r>
      <w:r w:rsidR="007A25BC">
        <w:t>u</w:t>
      </w:r>
      <w:r w:rsidR="008E2D0D">
        <w:t xml:space="preserve"> Najwyższ</w:t>
      </w:r>
      <w:r w:rsidR="007A25BC">
        <w:t>ego</w:t>
      </w:r>
      <w:r w:rsidR="008E2D0D">
        <w:t xml:space="preserve"> o uchyleniu prawomocnego wyroku Sądu Apelacyjnego w Gdańsku nie niosło </w:t>
      </w:r>
      <w:r w:rsidR="007A25BC">
        <w:t xml:space="preserve">za sobą </w:t>
      </w:r>
      <w:r w:rsidR="008E2D0D">
        <w:t>poważnych negatywnych konsekwencji dla życia prywatnego skarżącego.</w:t>
      </w:r>
    </w:p>
    <w:p w14:paraId="54964AE2" w14:textId="478A4341" w:rsidR="000410B4" w:rsidRPr="00D637A7" w:rsidRDefault="00000000" w:rsidP="00D637A7">
      <w:pPr>
        <w:pStyle w:val="JuPara"/>
      </w:pPr>
      <w:fldSimple w:instr=" SEQ level0 \*arabic \* MERGEFORMAT ">
        <w:r w:rsidR="006D0886">
          <w:rPr>
            <w:noProof/>
          </w:rPr>
          <w:t>263</w:t>
        </w:r>
      </w:fldSimple>
      <w:r w:rsidR="008E2D0D">
        <w:t>.  W tym kontekście Rząd odniósł się do faktu, ż</w:t>
      </w:r>
      <w:r w:rsidR="007A25BC">
        <w:t>e</w:t>
      </w:r>
      <w:r w:rsidR="008E2D0D">
        <w:t xml:space="preserve"> ukazały się dziesiątki publikacji, w tym książek, na temat współpracy skarżącego z organami bezpieczeństwa państwa, a temat ten był w Polsce nadal przedmiotem debaty publicznej. Zdaniem Rządu wątpliwe było, czy opublikowanie przez p. Wyszkowskiego przeprosin w formie nakazanej przez Sąd Apelacyjny w Gdańsku wpłynęło w jakikolwiek sposób na sytuację skarżącego lub jego dobre imię.</w:t>
      </w:r>
    </w:p>
    <w:p w14:paraId="24C3AE19" w14:textId="77777777" w:rsidR="000410B4" w:rsidRPr="00D637A7" w:rsidRDefault="00000000" w:rsidP="00D637A7">
      <w:pPr>
        <w:pStyle w:val="JuPara"/>
      </w:pPr>
      <w:fldSimple w:instr=" SEQ level0 \*arabic \* MERGEFORMAT ">
        <w:r w:rsidR="006D0886">
          <w:rPr>
            <w:noProof/>
          </w:rPr>
          <w:t>264</w:t>
        </w:r>
      </w:fldSimple>
      <w:r w:rsidR="008E2D0D">
        <w:t xml:space="preserve">.  Podsumowując, Rząd argumentował, że ponieważ postępowanie prowadzone przed IKNiSP nie było związane z „życiem prywatnym” skarżącego, a jego konsekwencje nie miały wpływu na tę sferę jego życia, skarga na podstawie art. 8 była niezgodna </w:t>
      </w:r>
      <w:r w:rsidR="008E2D0D">
        <w:rPr>
          <w:i/>
          <w:iCs/>
        </w:rPr>
        <w:t>ratione materiae</w:t>
      </w:r>
      <w:r w:rsidR="008E2D0D">
        <w:t xml:space="preserve"> z Konwencją.</w:t>
      </w:r>
    </w:p>
    <w:p w14:paraId="01FAC170" w14:textId="73077B23" w:rsidR="000410B4" w:rsidRPr="00D637A7" w:rsidRDefault="00000000" w:rsidP="00D637A7">
      <w:pPr>
        <w:pStyle w:val="JuPara"/>
      </w:pPr>
      <w:fldSimple w:instr=" SEQ level0 \*arabic ">
        <w:r w:rsidR="006D0886">
          <w:rPr>
            <w:noProof/>
          </w:rPr>
          <w:t>265</w:t>
        </w:r>
      </w:fldSimple>
      <w:r w:rsidR="008E2D0D">
        <w:t>.  Skarżący argumentował, że oczywistym było, iż postępowanie przed IKNiSP miało znaczący wpływ na jego prawa wynikające z art. 8 Konwencji. W 2005 r. zwrócił się do sądu o ochronę swojego dobrego imienia przed publicznymi oskarżeniami o zarzucaną mu współpracę z</w:t>
      </w:r>
      <w:r w:rsidR="00CD5366">
        <w:t xml:space="preserve">e Służbą Bezpieczeństwa </w:t>
      </w:r>
      <w:r w:rsidR="008E2D0D">
        <w:t xml:space="preserve">w latach siedemdziesiątych, rozpowszechnianymi przez p. Wyszkowskiego, a w 2011 r. sąd w końcu </w:t>
      </w:r>
      <w:r w:rsidR="00CD5366">
        <w:t>przyznał</w:t>
      </w:r>
      <w:r w:rsidR="008E2D0D">
        <w:t xml:space="preserve"> mu ochronę </w:t>
      </w:r>
      <w:r w:rsidR="00CD5366">
        <w:t xml:space="preserve">jego </w:t>
      </w:r>
      <w:r w:rsidR="008E2D0D">
        <w:t xml:space="preserve">życia </w:t>
      </w:r>
      <w:r w:rsidR="008E2D0D">
        <w:lastRenderedPageBreak/>
        <w:t xml:space="preserve">prywatnego. W 2021 r. ochronę tę </w:t>
      </w:r>
      <w:r w:rsidR="00CD5366">
        <w:t>uchylono</w:t>
      </w:r>
      <w:r w:rsidR="008E2D0D">
        <w:t xml:space="preserve"> w następstwie postępowania, które ewidentnie naruszało prawo do rzetelnego procesu sądowego w rozumieniu art. 6 ust. 1 Konwencji.</w:t>
      </w:r>
    </w:p>
    <w:p w14:paraId="0BDB9CB0" w14:textId="40F4360A" w:rsidR="000410B4" w:rsidRPr="00D637A7" w:rsidRDefault="00000000" w:rsidP="00D637A7">
      <w:pPr>
        <w:pStyle w:val="JuPara"/>
      </w:pPr>
      <w:fldSimple w:instr=" SEQ level0 \*arabic \* MERGEFORMAT ">
        <w:r w:rsidR="006D0886">
          <w:rPr>
            <w:noProof/>
          </w:rPr>
          <w:t>266</w:t>
        </w:r>
      </w:fldSimple>
      <w:r w:rsidR="008E2D0D">
        <w:t xml:space="preserve">.  Skarżący zauważył wreszcie, że jest w podeszłym wieku, na emeryturze i ma poważne problemy zdrowotne. Co więcej, od wielu lat nie pełni w Polsce żadnych funkcji publicznych. Biorąc pod uwagę, że był on ważną postacią </w:t>
      </w:r>
      <w:r w:rsidR="00CD5366">
        <w:t xml:space="preserve">we </w:t>
      </w:r>
      <w:r w:rsidR="008E2D0D">
        <w:t xml:space="preserve">współczesnej historii Polski i przyczynił się do upadku komunizmu w Polsce, oskarżenia o rzekomo świadomą współpracę z komunistycznymi </w:t>
      </w:r>
      <w:r w:rsidR="007C726E">
        <w:t>służbami</w:t>
      </w:r>
      <w:r w:rsidR="008E2D0D">
        <w:t xml:space="preserve"> bezpieczeństwa były dla niego szczególnie krzywdzące i negatywnie wpłynęły na jego dobre imię i wizerunek w oczach innych.</w:t>
      </w:r>
    </w:p>
    <w:p w14:paraId="0316CBDC" w14:textId="77777777" w:rsidR="000410B4" w:rsidRPr="00D637A7" w:rsidRDefault="008E2D0D" w:rsidP="00D637A7">
      <w:pPr>
        <w:pStyle w:val="JuH1"/>
      </w:pPr>
      <w:r>
        <w:t>Ocena Trybunału</w:t>
      </w:r>
    </w:p>
    <w:p w14:paraId="1C9758B5" w14:textId="77777777" w:rsidR="000410B4" w:rsidRPr="00D637A7" w:rsidRDefault="008E2D0D" w:rsidP="00D637A7">
      <w:pPr>
        <w:pStyle w:val="JuHa0"/>
      </w:pPr>
      <w:r>
        <w:t>Ogólne zasady mające zastosowanie</w:t>
      </w:r>
    </w:p>
    <w:p w14:paraId="7532DF43" w14:textId="1F8C3201" w:rsidR="000410B4" w:rsidRPr="00D637A7" w:rsidRDefault="00000000" w:rsidP="00D637A7">
      <w:pPr>
        <w:pStyle w:val="JuPara"/>
      </w:pPr>
      <w:fldSimple w:instr=" SEQ level0 \*arabic \* MERGEFORMAT ">
        <w:r w:rsidR="006D0886">
          <w:rPr>
            <w:noProof/>
          </w:rPr>
          <w:t>267</w:t>
        </w:r>
      </w:fldSimple>
      <w:r w:rsidR="008E2D0D">
        <w:t>.  „Życie prywatne” jest pojęciem szerokim, niepoddającym się wyczerpującej definicji. Obejmuje fizyczną i psychiczną integralność osoby. Może ono zatem obejmować wiele aspektów fizycznej i społecznej tożsamości danej osoby. Artykuł 8 chroni również prawo do rozwoju osobistego oraz prawo do nawiązywania i pogłębiania relacji z innymi osobami i ze światem zewnętrznym (zob. </w:t>
      </w:r>
      <w:r w:rsidR="008E2D0D">
        <w:rPr>
          <w:i/>
          <w:iCs/>
        </w:rPr>
        <w:t>Denisov,</w:t>
      </w:r>
      <w:r w:rsidR="008E2D0D">
        <w:t xml:space="preserve"> </w:t>
      </w:r>
      <w:r w:rsidR="008E2D0D">
        <w:rPr>
          <w:i/>
          <w:iCs/>
        </w:rPr>
        <w:t>op.</w:t>
      </w:r>
      <w:r w:rsidR="0091637A">
        <w:rPr>
          <w:i/>
          <w:iCs/>
        </w:rPr>
        <w:t xml:space="preserve"> </w:t>
      </w:r>
      <w:r w:rsidR="008E2D0D">
        <w:rPr>
          <w:i/>
          <w:iCs/>
        </w:rPr>
        <w:t>cit.</w:t>
      </w:r>
      <w:r w:rsidR="008E2D0D">
        <w:t>, § 95, z dalszymi odniesieniami do orzecznictwa Trybunału</w:t>
      </w:r>
      <w:r w:rsidR="0091637A">
        <w:t xml:space="preserve"> i</w:t>
      </w:r>
      <w:r w:rsidR="008E2D0D">
        <w:t xml:space="preserve"> </w:t>
      </w:r>
      <w:bookmarkStart w:id="130" w:name="_cl31613"/>
      <w:r w:rsidR="008E2D0D">
        <w:rPr>
          <w:i/>
          <w:iCs/>
        </w:rPr>
        <w:t>Medžlis Islamske Zajednice Brčko i Inni przeciwko Bośni i Hercegowinie</w:t>
      </w:r>
      <w:bookmarkEnd w:id="130"/>
      <w:r w:rsidR="008E2D0D">
        <w:t xml:space="preserve"> [WI], skarga nr 17224/11, § 76, 27 czerwca 2017 r., z dalszymi odniesieniami do orzecznictwa Trybunału).</w:t>
      </w:r>
    </w:p>
    <w:p w14:paraId="3BAC108A" w14:textId="7A8E7895" w:rsidR="000410B4" w:rsidRPr="00D637A7" w:rsidRDefault="008E2D0D" w:rsidP="00D637A7">
      <w:pPr>
        <w:pStyle w:val="JuPara"/>
        <w:rPr>
          <w:iCs/>
        </w:rPr>
      </w:pPr>
      <w:r>
        <w:t xml:space="preserve">W związku z tym zbyt </w:t>
      </w:r>
      <w:r w:rsidR="00025A20">
        <w:t>restrykcyjne</w:t>
      </w:r>
      <w:r>
        <w:t xml:space="preserve"> byłoby ograniczenie pojęcia „życia prywatnego” do „najbliższego otoczenia”, w którym </w:t>
      </w:r>
      <w:r w:rsidR="00025A20">
        <w:t>jednostka</w:t>
      </w:r>
      <w:r>
        <w:t xml:space="preserve"> może prowadzić </w:t>
      </w:r>
      <w:r w:rsidR="00025A20">
        <w:t xml:space="preserve">własne </w:t>
      </w:r>
      <w:r>
        <w:t xml:space="preserve">życie osobiste </w:t>
      </w:r>
      <w:r w:rsidR="00025A20">
        <w:t>według własnego uznania i</w:t>
      </w:r>
      <w:r>
        <w:t xml:space="preserve"> całkowit</w:t>
      </w:r>
      <w:r w:rsidR="00025A20">
        <w:t>e wykluczenie z niego</w:t>
      </w:r>
      <w:r>
        <w:t xml:space="preserve"> świata zewnętrznego, który do niego nie należy (zob. </w:t>
      </w:r>
      <w:r>
        <w:rPr>
          <w:i/>
        </w:rPr>
        <w:t xml:space="preserve">Denisov, </w:t>
      </w:r>
      <w:r>
        <w:rPr>
          <w:i/>
          <w:iCs/>
        </w:rPr>
        <w:t>op.</w:t>
      </w:r>
      <w:r w:rsidR="00025A20">
        <w:rPr>
          <w:i/>
          <w:iCs/>
        </w:rPr>
        <w:t xml:space="preserve"> </w:t>
      </w:r>
      <w:r>
        <w:rPr>
          <w:i/>
          <w:iCs/>
        </w:rPr>
        <w:t>cit.</w:t>
      </w:r>
      <w:r>
        <w:t>, § 96).</w:t>
      </w:r>
    </w:p>
    <w:p w14:paraId="53035A12" w14:textId="4A74A663" w:rsidR="000410B4" w:rsidRPr="00D637A7" w:rsidRDefault="00000000" w:rsidP="00D637A7">
      <w:pPr>
        <w:pStyle w:val="JuPara"/>
      </w:pPr>
      <w:fldSimple w:instr=" SEQ level0 \*arabic \* MERGEFORMAT ">
        <w:r w:rsidR="006D0886">
          <w:rPr>
            <w:noProof/>
          </w:rPr>
          <w:t>268</w:t>
        </w:r>
      </w:fldSimple>
      <w:r w:rsidR="008E2D0D">
        <w:t>.  Prawo do ochrony dobrego imienia jest prawem objętym gwarancjami przewidzianymi w art. 8 Konwencji jako część prawa do poszanowania życia prywatnego (zob. </w:t>
      </w:r>
      <w:bookmarkStart w:id="131" w:name="_cl21371"/>
      <w:r w:rsidR="008E2D0D">
        <w:rPr>
          <w:i/>
          <w:iCs/>
        </w:rPr>
        <w:t>Axel Springer AG przeciwko Niemcom</w:t>
      </w:r>
      <w:bookmarkEnd w:id="131"/>
      <w:r w:rsidR="008E2D0D">
        <w:t xml:space="preserve"> [WI], skarga nr 39954/08, § 83, 7 lutego 2012 r.). Dobre imię osoby, nawet jeśli dana osoba jest krytykowana w kontekście debaty publicznej, stanowi część </w:t>
      </w:r>
      <w:r w:rsidR="00025A20">
        <w:t xml:space="preserve">jej </w:t>
      </w:r>
      <w:r w:rsidR="008E2D0D">
        <w:t>osobistej tożsamości i psyc</w:t>
      </w:r>
      <w:r w:rsidR="00025A20">
        <w:t>hicznej</w:t>
      </w:r>
      <w:r w:rsidR="008E2D0D">
        <w:t xml:space="preserve"> integralności takiej osoby i jako taka wchodzi w zakres jej „życia prywatnego”. </w:t>
      </w:r>
      <w:r w:rsidR="001729EE">
        <w:t>Jednakże a</w:t>
      </w:r>
      <w:r w:rsidR="008E2D0D">
        <w:t>by art. 8</w:t>
      </w:r>
      <w:r w:rsidR="001729EE">
        <w:t xml:space="preserve"> miał zastosowanie</w:t>
      </w:r>
      <w:r w:rsidR="008E2D0D">
        <w:t xml:space="preserve">, atak na dobre imię danej osoby musi osiągnąć pewien poziom </w:t>
      </w:r>
      <w:r w:rsidR="001729EE">
        <w:t>powagi</w:t>
      </w:r>
      <w:r w:rsidR="008E2D0D">
        <w:t xml:space="preserve"> i nastąpić w sposób powodujący uszczerbek dla osobistego korzystania z prawa do poszanowania życia prywatnego (zob. </w:t>
      </w:r>
      <w:r w:rsidR="008E2D0D">
        <w:rPr>
          <w:i/>
        </w:rPr>
        <w:t>Denisov</w:t>
      </w:r>
      <w:r w:rsidR="008E2D0D">
        <w:t>,</w:t>
      </w:r>
      <w:r w:rsidR="008E2D0D">
        <w:rPr>
          <w:i/>
        </w:rPr>
        <w:t xml:space="preserve"> </w:t>
      </w:r>
      <w:r w:rsidR="008E2D0D">
        <w:t>§ 97</w:t>
      </w:r>
      <w:r w:rsidR="001729EE">
        <w:t xml:space="preserve"> i </w:t>
      </w:r>
      <w:r w:rsidR="008E2D0D">
        <w:rPr>
          <w:i/>
          <w:iCs/>
        </w:rPr>
        <w:t>Medžlis Islamske Zajednice Brčko i Inni przeciwko Bośni i Hercegowinie</w:t>
      </w:r>
      <w:r w:rsidR="008E2D0D">
        <w:t>, § 76, oba przytoczono powyżej).</w:t>
      </w:r>
    </w:p>
    <w:p w14:paraId="42A33982" w14:textId="77777777" w:rsidR="000410B4" w:rsidRPr="00D637A7" w:rsidRDefault="008E2D0D" w:rsidP="00D637A7">
      <w:pPr>
        <w:pStyle w:val="JuHa0"/>
      </w:pPr>
      <w:r>
        <w:lastRenderedPageBreak/>
        <w:t>Zastosowanie powyższych zasad w niniejszej sprawie</w:t>
      </w:r>
    </w:p>
    <w:p w14:paraId="0AE20952" w14:textId="3899A4C0" w:rsidR="000410B4" w:rsidRPr="00D637A7" w:rsidRDefault="00000000" w:rsidP="00D637A7">
      <w:pPr>
        <w:pStyle w:val="JuPara"/>
      </w:pPr>
      <w:fldSimple w:instr=" SEQ level0 \*arabic \* MERGEFORMAT ">
        <w:r w:rsidR="006D0886">
          <w:rPr>
            <w:noProof/>
          </w:rPr>
          <w:t>269</w:t>
        </w:r>
      </w:fldSimple>
      <w:r w:rsidR="008E2D0D">
        <w:t>.  W niniejszej sprawie Rząd po pierwsze argumentował, że skarżący nie udowodnił przed Trybunałem, że wyrok IKNiSP miał wystarczająco poważny wpływ na jego życie prywatne i dobre imię,</w:t>
      </w:r>
      <w:r w:rsidR="00553541">
        <w:t xml:space="preserve"> by</w:t>
      </w:r>
      <w:r w:rsidR="008E2D0D">
        <w:t xml:space="preserve"> można było zastosować art. 8 Konwencji. Po drugie, zdaniem Rządu, wypowiedzi p. Wyszkowskiego, które dotyczyły działalności skarżącego jako związkowca, polityka i Prezydenta RP, były częścią toczącej się debaty publicznej. Z tego powodu </w:t>
      </w:r>
      <w:r w:rsidR="00553541">
        <w:t>kwestionowane</w:t>
      </w:r>
      <w:r w:rsidR="008E2D0D">
        <w:t xml:space="preserve"> postępowanie nie było związane z jego życiem prywatnym, ale dotyczyło go wyłącznie jako osoby publicznej.</w:t>
      </w:r>
    </w:p>
    <w:p w14:paraId="1C8C4125" w14:textId="2AACF006" w:rsidR="000410B4" w:rsidRPr="00D637A7" w:rsidRDefault="00000000" w:rsidP="00D637A7">
      <w:pPr>
        <w:pStyle w:val="JuPara"/>
      </w:pPr>
      <w:fldSimple w:instr=" SEQ level0 \*arabic \* MERGEFORMAT ">
        <w:r w:rsidR="006D0886">
          <w:rPr>
            <w:noProof/>
          </w:rPr>
          <w:t>270</w:t>
        </w:r>
      </w:fldSimple>
      <w:r w:rsidR="008E2D0D">
        <w:t xml:space="preserve">.  Trybunał nie przyjmuje </w:t>
      </w:r>
      <w:r w:rsidR="00553541">
        <w:t>argumentacji</w:t>
      </w:r>
      <w:r w:rsidR="008E2D0D">
        <w:t xml:space="preserve"> Rządu z następujących powodów.</w:t>
      </w:r>
    </w:p>
    <w:p w14:paraId="4BABDE51" w14:textId="4339C691" w:rsidR="000410B4" w:rsidRPr="00D637A7" w:rsidRDefault="00000000" w:rsidP="00D637A7">
      <w:pPr>
        <w:pStyle w:val="JuPara"/>
      </w:pPr>
      <w:fldSimple w:instr=" SEQ level0 \*arabic \* MERGEFORMAT ">
        <w:r w:rsidR="006D0886">
          <w:rPr>
            <w:noProof/>
          </w:rPr>
          <w:t>271</w:t>
        </w:r>
      </w:fldSimple>
      <w:r w:rsidR="008E2D0D">
        <w:t>.  Na wstępie należy zaznaczyć, że życie prywatne, a w konsekwencji dobre imię, osoby uzna</w:t>
      </w:r>
      <w:r w:rsidR="00553541">
        <w:t>wa</w:t>
      </w:r>
      <w:r w:rsidR="008E2D0D">
        <w:t xml:space="preserve">nej za „publiczną” nie jest wyłączone spod ochrony przewidzianej w art. 8 Konwencji </w:t>
      </w:r>
      <w:r w:rsidR="00553541">
        <w:t>tylko przez to</w:t>
      </w:r>
      <w:r w:rsidR="008E2D0D">
        <w:t>, że jest</w:t>
      </w:r>
      <w:r w:rsidR="00553541">
        <w:t xml:space="preserve"> ona</w:t>
      </w:r>
      <w:r w:rsidR="008E2D0D">
        <w:t xml:space="preserve"> przedmiotem lub uczestnikiem debaty publicznej lub że jest dobrze znana opinii publicznej. To samo dotyczy polityka, który jednak musi wykazywać się większą tolerancją na krytykę (zob.</w:t>
      </w:r>
      <w:r w:rsidR="00CC0DCF">
        <w:t>,</w:t>
      </w:r>
      <w:r w:rsidR="008E2D0D">
        <w:t xml:space="preserve"> w kontekście ograniczeń z art. 10 Konwencji, </w:t>
      </w:r>
      <w:bookmarkStart w:id="132" w:name="_cl32919"/>
      <w:r w:rsidR="008E2D0D">
        <w:rPr>
          <w:i/>
          <w:iCs/>
        </w:rPr>
        <w:t xml:space="preserve">Nilsen </w:t>
      </w:r>
      <w:r w:rsidR="00CC0DCF">
        <w:rPr>
          <w:i/>
          <w:iCs/>
        </w:rPr>
        <w:br/>
      </w:r>
      <w:r w:rsidR="008E2D0D">
        <w:rPr>
          <w:i/>
          <w:iCs/>
        </w:rPr>
        <w:t>i Johnsen przeciwko Norwegii</w:t>
      </w:r>
      <w:bookmarkEnd w:id="132"/>
      <w:r w:rsidR="008E2D0D">
        <w:t xml:space="preserve"> [WI], skarga nr 23118/93, § 52, ETPC 1999-VIII</w:t>
      </w:r>
      <w:bookmarkStart w:id="133" w:name="_cl23276"/>
      <w:r w:rsidR="00CC0DCF">
        <w:t xml:space="preserve"> i </w:t>
      </w:r>
      <w:r w:rsidR="008E2D0D">
        <w:rPr>
          <w:i/>
          <w:iCs/>
        </w:rPr>
        <w:t>Centrum Demokracji i Praworządności przeciwko Ukrainie</w:t>
      </w:r>
      <w:bookmarkEnd w:id="133"/>
      <w:r w:rsidR="008E2D0D">
        <w:t>, skarga nr 10090/16, § 116, 26 marca 2020 r.) i który zwykle podlega szerszej i bardziej rygorystycznej kontroli swoich działań i aktywności niż przeciętna osoba „prywatna”, w związku z czym musi liczyć się z tym, że jego prywatność, w tym dobre imię, jest w większym stopniu wystawiona na widok publiczny, krytykę i ataki ze strony przeciwników (zob. </w:t>
      </w:r>
      <w:bookmarkStart w:id="134" w:name="_cl23854"/>
      <w:r w:rsidR="008E2D0D">
        <w:rPr>
          <w:i/>
          <w:iCs/>
        </w:rPr>
        <w:t>Couderc i Hachette Filipacchi Associés przeciwko Francji</w:t>
      </w:r>
      <w:bookmarkEnd w:id="134"/>
      <w:r w:rsidR="008E2D0D">
        <w:t xml:space="preserve"> [WI], skarga nr 40454/07, §§ 119-120, ETPC 2015 (fragmenty)).</w:t>
      </w:r>
    </w:p>
    <w:p w14:paraId="1B7C93E8" w14:textId="77777777" w:rsidR="000410B4" w:rsidRPr="00D637A7" w:rsidRDefault="008E2D0D" w:rsidP="00D637A7">
      <w:pPr>
        <w:pStyle w:val="JuPara"/>
        <w:rPr>
          <w:rFonts w:ascii="Times New Roman" w:hAnsi="Times New Roman" w:cs="Times New Roman"/>
        </w:rPr>
      </w:pPr>
      <w:r>
        <w:rPr>
          <w:rFonts w:ascii="Times New Roman" w:hAnsi="Times New Roman"/>
        </w:rPr>
        <w:t>Z tego powodu fakt, że skarżący jest znaną osobą publiczną, nie może być decydujący dla możliwości zastosowania art. 8 Konwencji.</w:t>
      </w:r>
    </w:p>
    <w:bookmarkStart w:id="135" w:name="Court_assessment_6"/>
    <w:bookmarkStart w:id="136" w:name="Court_assessment_7"/>
    <w:p w14:paraId="1542F3E4" w14:textId="67EA842C" w:rsidR="000410B4" w:rsidRPr="00D637A7" w:rsidRDefault="008E2D0D" w:rsidP="00D637A7">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006D0886">
        <w:rPr>
          <w:rFonts w:ascii="Times New Roman" w:hAnsi="Times New Roman" w:cs="Times New Roman"/>
          <w:noProof/>
        </w:rPr>
        <w:t>272</w:t>
      </w:r>
      <w:r w:rsidRPr="00D637A7">
        <w:rPr>
          <w:rFonts w:ascii="Times New Roman" w:hAnsi="Times New Roman" w:cs="Times New Roman"/>
        </w:rPr>
        <w:fldChar w:fldCharType="end"/>
      </w:r>
      <w:bookmarkEnd w:id="135"/>
      <w:bookmarkEnd w:id="136"/>
      <w:r>
        <w:rPr>
          <w:rFonts w:ascii="Times New Roman" w:hAnsi="Times New Roman"/>
        </w:rPr>
        <w:t xml:space="preserve">.  Istotne jest jednak, czy konsekwencje </w:t>
      </w:r>
      <w:r w:rsidR="00CC0DCF">
        <w:rPr>
          <w:rFonts w:ascii="Times New Roman" w:hAnsi="Times New Roman"/>
        </w:rPr>
        <w:t>kwestionowanego</w:t>
      </w:r>
      <w:r>
        <w:rPr>
          <w:rFonts w:ascii="Times New Roman" w:hAnsi="Times New Roman"/>
        </w:rPr>
        <w:t xml:space="preserve"> postępowania spowodowały wystarczająco poważny uszczerbek dla jego prawa do poszanowania dobrego imienia.</w:t>
      </w:r>
    </w:p>
    <w:p w14:paraId="449325AE" w14:textId="2D4054B6" w:rsidR="000410B4" w:rsidRPr="00D637A7" w:rsidRDefault="008E2D0D" w:rsidP="00D637A7">
      <w:pPr>
        <w:pStyle w:val="JuPara"/>
        <w:rPr>
          <w:rFonts w:ascii="Times New Roman" w:hAnsi="Times New Roman" w:cs="Times New Roman"/>
        </w:rPr>
      </w:pPr>
      <w:r>
        <w:rPr>
          <w:rFonts w:ascii="Times New Roman" w:hAnsi="Times New Roman"/>
        </w:rPr>
        <w:t xml:space="preserve">Bez wątpienia skarżący jest jedną z najbardziej znanych postaci </w:t>
      </w:r>
      <w:r w:rsidR="00CC0DCF">
        <w:rPr>
          <w:rFonts w:ascii="Times New Roman" w:hAnsi="Times New Roman"/>
        </w:rPr>
        <w:t xml:space="preserve">we </w:t>
      </w:r>
      <w:r>
        <w:rPr>
          <w:rFonts w:ascii="Times New Roman" w:hAnsi="Times New Roman"/>
        </w:rPr>
        <w:t xml:space="preserve">współczesnej historii Polski. Jest on ceniony i dobrze znany w Polsce, a także na całym świecie, ze względu na rolę przywódcy związku zawodowego „Solidarność”, podziemną działalność antykomunistyczną – w związku z którą otrzymał w 1983 r. pokojową Nagrodę Nobla – oraz wkład w demontaż komunizmu w Europie Środkowo-Wschodniej w latach 1989–1990. </w:t>
      </w:r>
      <w:r w:rsidR="00AA220B">
        <w:rPr>
          <w:rFonts w:ascii="Times New Roman" w:hAnsi="Times New Roman"/>
        </w:rPr>
        <w:t>Na tym tle</w:t>
      </w:r>
      <w:r>
        <w:rPr>
          <w:rFonts w:ascii="Times New Roman" w:hAnsi="Times New Roman"/>
        </w:rPr>
        <w:t xml:space="preserve"> oczywistym jest, że wypowiedzi p. Wyszkowskiego, w których oskarża on skarżącego o płatną współpracę z komunistycznymi </w:t>
      </w:r>
      <w:r w:rsidR="00FF3B11">
        <w:rPr>
          <w:rFonts w:ascii="Times New Roman" w:hAnsi="Times New Roman"/>
        </w:rPr>
        <w:t>służbami</w:t>
      </w:r>
      <w:r>
        <w:rPr>
          <w:rFonts w:ascii="Times New Roman" w:hAnsi="Times New Roman"/>
        </w:rPr>
        <w:t xml:space="preserve"> bezpieczeństwa w latach siedemdziesiątych – będące główną kwestią w </w:t>
      </w:r>
      <w:r w:rsidR="00FF3B11">
        <w:rPr>
          <w:rFonts w:ascii="Times New Roman" w:hAnsi="Times New Roman"/>
        </w:rPr>
        <w:t>przedmiotowym</w:t>
      </w:r>
      <w:r>
        <w:rPr>
          <w:rFonts w:ascii="Times New Roman" w:hAnsi="Times New Roman"/>
        </w:rPr>
        <w:t xml:space="preserve"> postępowaniu – dotknęły samego sedna tego, co powszechnie uważa się za jego życiowy dorobek jako polityka, przywódcy „Solidarności” i działacza antykomunistycznego.</w:t>
      </w:r>
    </w:p>
    <w:p w14:paraId="5C19525C" w14:textId="048EDF51" w:rsidR="000410B4" w:rsidRPr="00D637A7" w:rsidRDefault="008E2D0D" w:rsidP="00D637A7">
      <w:pPr>
        <w:pStyle w:val="JuPara"/>
        <w:rPr>
          <w:rFonts w:ascii="Times New Roman" w:hAnsi="Times New Roman" w:cs="Times New Roman"/>
        </w:rPr>
      </w:pPr>
      <w:r>
        <w:rPr>
          <w:rFonts w:ascii="Times New Roman" w:hAnsi="Times New Roman"/>
        </w:rPr>
        <w:lastRenderedPageBreak/>
        <w:t>W rezultacie wynik postępowania przez IKNiSP mógł znacząco zaszkodzić dobremu imieniu skarżącego, co przemawia za zastosowani</w:t>
      </w:r>
      <w:r w:rsidR="00AE1DF3">
        <w:rPr>
          <w:rFonts w:ascii="Times New Roman" w:hAnsi="Times New Roman"/>
        </w:rPr>
        <w:t>em</w:t>
      </w:r>
      <w:r>
        <w:rPr>
          <w:rFonts w:ascii="Times New Roman" w:hAnsi="Times New Roman"/>
        </w:rPr>
        <w:t xml:space="preserve"> art. 8 Konwencji.</w:t>
      </w:r>
    </w:p>
    <w:p w14:paraId="52797E92" w14:textId="0B391D44" w:rsidR="000410B4" w:rsidRPr="00D637A7" w:rsidRDefault="008E2D0D" w:rsidP="00D637A7">
      <w:pPr>
        <w:pStyle w:val="JuPara"/>
        <w:rPr>
          <w:rFonts w:ascii="Times New Roman" w:hAnsi="Times New Roman" w:cs="Times New Roman"/>
        </w:rPr>
      </w:pPr>
      <w:r>
        <w:rPr>
          <w:rFonts w:ascii="Times New Roman" w:hAnsi="Times New Roman"/>
        </w:rPr>
        <w:t xml:space="preserve">W związku z powyższym Trybunał odrzuca zastrzeżenie Rządu </w:t>
      </w:r>
      <w:r w:rsidR="00AE1DF3">
        <w:rPr>
          <w:rFonts w:ascii="Times New Roman" w:hAnsi="Times New Roman"/>
        </w:rPr>
        <w:t>co do</w:t>
      </w:r>
      <w:r>
        <w:rPr>
          <w:rFonts w:ascii="Times New Roman" w:hAnsi="Times New Roman"/>
        </w:rPr>
        <w:t xml:space="preserve"> możliwości zastosowania art. 8 Konwencji w niniejszej sprawie. Ponadto uznaje za zbędne orzekanie w przedmiocie </w:t>
      </w:r>
      <w:r w:rsidR="00AE1DF3">
        <w:rPr>
          <w:rFonts w:ascii="Times New Roman" w:hAnsi="Times New Roman"/>
        </w:rPr>
        <w:t>jego</w:t>
      </w:r>
      <w:r>
        <w:rPr>
          <w:rFonts w:ascii="Times New Roman" w:hAnsi="Times New Roman"/>
        </w:rPr>
        <w:t xml:space="preserve"> zastrzeżenia </w:t>
      </w:r>
      <w:r w:rsidR="00AE1DF3">
        <w:rPr>
          <w:rFonts w:ascii="Times New Roman" w:hAnsi="Times New Roman"/>
        </w:rPr>
        <w:t>co do statusu ofiary</w:t>
      </w:r>
      <w:r>
        <w:rPr>
          <w:rFonts w:ascii="Times New Roman" w:hAnsi="Times New Roman"/>
        </w:rPr>
        <w:t xml:space="preserve"> skarżące</w:t>
      </w:r>
      <w:r w:rsidR="00AE1DF3">
        <w:rPr>
          <w:rFonts w:ascii="Times New Roman" w:hAnsi="Times New Roman"/>
        </w:rPr>
        <w:t>go przysługującego na podstawie</w:t>
      </w:r>
      <w:r>
        <w:rPr>
          <w:rFonts w:ascii="Times New Roman" w:hAnsi="Times New Roman"/>
        </w:rPr>
        <w:t xml:space="preserve"> tego przepisu (zob. również par. </w:t>
      </w:r>
      <w:r w:rsidRPr="00D637A7">
        <w:rPr>
          <w:rFonts w:ascii="Times New Roman" w:hAnsi="Times New Roman" w:cs="Times New Roman"/>
        </w:rPr>
        <w:fldChar w:fldCharType="begin"/>
      </w:r>
      <w:r w:rsidRPr="00D637A7">
        <w:rPr>
          <w:rFonts w:ascii="Times New Roman" w:hAnsi="Times New Roman" w:cs="Times New Roman"/>
        </w:rPr>
        <w:instrText xml:space="preserve"> REF vitim_status_1 \h </w:instrText>
      </w:r>
      <w:r w:rsidRPr="00D637A7">
        <w:rPr>
          <w:rFonts w:ascii="Times New Roman" w:hAnsi="Times New Roman" w:cs="Times New Roman"/>
        </w:rPr>
      </w:r>
      <w:r w:rsidRPr="00D637A7">
        <w:rPr>
          <w:rFonts w:ascii="Times New Roman" w:hAnsi="Times New Roman" w:cs="Times New Roman"/>
        </w:rPr>
        <w:fldChar w:fldCharType="separate"/>
      </w:r>
      <w:r w:rsidR="006D0886">
        <w:rPr>
          <w:noProof/>
        </w:rPr>
        <w:t>131</w:t>
      </w:r>
      <w:r w:rsidRPr="00D637A7">
        <w:rPr>
          <w:rFonts w:ascii="Times New Roman" w:hAnsi="Times New Roman" w:cs="Times New Roman"/>
        </w:rPr>
        <w:fldChar w:fldCharType="end"/>
      </w:r>
      <w:r>
        <w:rPr>
          <w:rFonts w:ascii="Times New Roman" w:hAnsi="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vitim_status_2 \h </w:instrText>
      </w:r>
      <w:r w:rsidRPr="00D637A7">
        <w:rPr>
          <w:rFonts w:ascii="Times New Roman" w:hAnsi="Times New Roman" w:cs="Times New Roman"/>
        </w:rPr>
      </w:r>
      <w:r w:rsidRPr="00D637A7">
        <w:rPr>
          <w:rFonts w:ascii="Times New Roman" w:hAnsi="Times New Roman" w:cs="Times New Roman"/>
        </w:rPr>
        <w:fldChar w:fldCharType="separate"/>
      </w:r>
      <w:r w:rsidR="006D0886">
        <w:rPr>
          <w:noProof/>
        </w:rPr>
        <w:t>132</w:t>
      </w:r>
      <w:r w:rsidRPr="00D637A7">
        <w:rPr>
          <w:rFonts w:ascii="Times New Roman" w:hAnsi="Times New Roman" w:cs="Times New Roman"/>
        </w:rPr>
        <w:fldChar w:fldCharType="end"/>
      </w:r>
      <w:r>
        <w:rPr>
          <w:rFonts w:ascii="Times New Roman" w:hAnsi="Times New Roman"/>
        </w:rPr>
        <w:t xml:space="preserve"> powyżej).</w:t>
      </w:r>
    </w:p>
    <w:p w14:paraId="19F97724" w14:textId="77777777" w:rsidR="000410B4" w:rsidRPr="00D637A7" w:rsidRDefault="008E2D0D" w:rsidP="00D637A7">
      <w:pPr>
        <w:pStyle w:val="JuHa0"/>
      </w:pPr>
      <w:r>
        <w:t>Wnioski w przedmiocie dopuszczalności</w:t>
      </w:r>
    </w:p>
    <w:bookmarkStart w:id="137" w:name="parties_submissions_admissibility"/>
    <w:p w14:paraId="125C5A3A" w14:textId="77777777" w:rsidR="000410B4" w:rsidRPr="00D637A7" w:rsidRDefault="008E2D0D" w:rsidP="00D637A7">
      <w:pPr>
        <w:pStyle w:val="JuPara"/>
      </w:pPr>
      <w:r w:rsidRPr="00D637A7">
        <w:fldChar w:fldCharType="begin"/>
      </w:r>
      <w:r w:rsidRPr="00D637A7">
        <w:instrText xml:space="preserve"> SEQ level0 \*arabic </w:instrText>
      </w:r>
      <w:r w:rsidRPr="00D637A7">
        <w:fldChar w:fldCharType="separate"/>
      </w:r>
      <w:r w:rsidR="006D0886">
        <w:rPr>
          <w:noProof/>
        </w:rPr>
        <w:t>273</w:t>
      </w:r>
      <w:r w:rsidRPr="00D637A7">
        <w:fldChar w:fldCharType="end"/>
      </w:r>
      <w:bookmarkEnd w:id="137"/>
      <w:r>
        <w:t>.  Trybunał zauważa w związku z powyższym, że niniejsza skarga nie jest ani w sposób oczywisty nieuzasadniona, ani niedopuszczalna z innych powodów wymienionych w art. 35 Konwencji. Należy ją zatem uznać za dopuszczalną.</w:t>
      </w:r>
    </w:p>
    <w:p w14:paraId="7BFE14BF" w14:textId="2F5BAAF1" w:rsidR="000410B4" w:rsidRPr="00D637A7" w:rsidRDefault="00AE1DF3" w:rsidP="00D637A7">
      <w:pPr>
        <w:pStyle w:val="JuHA"/>
      </w:pPr>
      <w:r>
        <w:t>Meritum</w:t>
      </w:r>
    </w:p>
    <w:p w14:paraId="5D6ECDA2" w14:textId="77777777" w:rsidR="000410B4" w:rsidRPr="00D637A7" w:rsidRDefault="008E2D0D" w:rsidP="00D637A7">
      <w:pPr>
        <w:pStyle w:val="JuH1"/>
      </w:pPr>
      <w:r>
        <w:t>Stanowiska stron</w:t>
      </w:r>
    </w:p>
    <w:p w14:paraId="7ED3AF91" w14:textId="3BC4D052" w:rsidR="000410B4" w:rsidRPr="00D637A7" w:rsidRDefault="00000000" w:rsidP="00D637A7">
      <w:pPr>
        <w:pStyle w:val="JuPara"/>
      </w:pPr>
      <w:fldSimple w:instr=" SEQ level0 \*arabic \* MERGEFORMAT ">
        <w:r w:rsidR="006D0886">
          <w:rPr>
            <w:noProof/>
          </w:rPr>
          <w:t>274</w:t>
        </w:r>
      </w:fldSimple>
      <w:r w:rsidR="008E2D0D">
        <w:t xml:space="preserve">.  Skarżący utrzymywał, że ingerencja w jego życie prywatne nie była „przewidziana przez ustawę”, </w:t>
      </w:r>
      <w:r w:rsidR="00C35878">
        <w:t>jak</w:t>
      </w:r>
      <w:r w:rsidR="008E2D0D">
        <w:t xml:space="preserve"> wymaga art. 8. Podstawa prawna skargi nadzwyczajnej pozbawiona była niezbędnych przymiotów jakości i przewidywalności; w tym zakresie skarżący odwołał się do </w:t>
      </w:r>
      <w:r w:rsidR="00C35878">
        <w:t>własnej argumentacji</w:t>
      </w:r>
      <w:r w:rsidR="008E2D0D">
        <w:t xml:space="preserve">, a także uwag HFPC </w:t>
      </w:r>
      <w:r w:rsidR="00C35878">
        <w:t>dotyczących</w:t>
      </w:r>
      <w:r w:rsidR="008E2D0D">
        <w:t xml:space="preserve"> </w:t>
      </w:r>
      <w:r w:rsidR="00C35878">
        <w:t>generalnych</w:t>
      </w:r>
      <w:r w:rsidR="008E2D0D">
        <w:t xml:space="preserve"> wad prawnych skargi nadzwyczajnej. Podkreślił również, że przepisy wprowadzające </w:t>
      </w:r>
      <w:r w:rsidR="00C35878">
        <w:t xml:space="preserve">skargę nadzwyczajną </w:t>
      </w:r>
      <w:r w:rsidR="008E2D0D">
        <w:t xml:space="preserve">do krajowego systemu prawnego w jego </w:t>
      </w:r>
      <w:r w:rsidR="00C35878">
        <w:t>sprawie</w:t>
      </w:r>
      <w:r w:rsidR="008E2D0D">
        <w:t xml:space="preserve"> działały z mocą wsteczną, </w:t>
      </w:r>
      <w:r w:rsidR="00C35878">
        <w:t>jako że</w:t>
      </w:r>
      <w:r w:rsidR="008E2D0D">
        <w:t xml:space="preserve"> zastosowano je do wyroku wydanego przed wejściem w życie tych przepisów.</w:t>
      </w:r>
    </w:p>
    <w:p w14:paraId="1A034736" w14:textId="55A2A4BF" w:rsidR="000410B4" w:rsidRPr="00D637A7" w:rsidRDefault="00000000" w:rsidP="00D637A7">
      <w:pPr>
        <w:pStyle w:val="JuPara"/>
      </w:pPr>
      <w:fldSimple w:instr=" SEQ level0 \*arabic \* MERGEFORMAT ">
        <w:r w:rsidR="006D0886">
          <w:rPr>
            <w:noProof/>
          </w:rPr>
          <w:t>275</w:t>
        </w:r>
      </w:fldSimple>
      <w:r w:rsidR="008E2D0D">
        <w:t xml:space="preserve">.  Co </w:t>
      </w:r>
      <w:r w:rsidR="00594CF9">
        <w:t>do</w:t>
      </w:r>
      <w:r w:rsidR="008E2D0D">
        <w:t xml:space="preserve"> tego, czy </w:t>
      </w:r>
      <w:r w:rsidR="00594CF9">
        <w:t>s</w:t>
      </w:r>
      <w:r w:rsidR="008E2D0D">
        <w:t xml:space="preserve">karżona ingerencja miała uzasadniony cel, skarżący stwierdził, że nie dostrzega </w:t>
      </w:r>
      <w:r w:rsidR="00594CF9">
        <w:t xml:space="preserve">żadnego </w:t>
      </w:r>
      <w:r w:rsidR="008E2D0D">
        <w:t xml:space="preserve">takiego celu. </w:t>
      </w:r>
      <w:r w:rsidR="00594CF9">
        <w:t xml:space="preserve">Indywidualne interesy </w:t>
      </w:r>
      <w:r w:rsidR="008E2D0D">
        <w:t xml:space="preserve"> p. Wyszkowskiego</w:t>
      </w:r>
      <w:r w:rsidR="00594CF9">
        <w:t xml:space="preserve"> zostały zabezpieczone:</w:t>
      </w:r>
      <w:r w:rsidR="008E2D0D">
        <w:t xml:space="preserve"> Rząd przyznał naruszeni</w:t>
      </w:r>
      <w:r w:rsidR="00594CF9">
        <w:t>e</w:t>
      </w:r>
      <w:r w:rsidR="008E2D0D">
        <w:t xml:space="preserve"> art. 10 Konwencji i wypłacił mu 20 000 złotych tytułem słusznego zadośćuczynienia za szkodę niemajątkową, w związku z czym nie mógł on być już </w:t>
      </w:r>
      <w:r w:rsidR="00594CF9">
        <w:t xml:space="preserve">dłużej </w:t>
      </w:r>
      <w:r w:rsidR="008E2D0D">
        <w:t xml:space="preserve">uważany za ofiarę naruszenia Konwencji. Skarżący dostrzega znaczenie i wagę debaty historycznej oraz badań poświęconych wydarzeniom z lat siedemdziesiątych, na co powoływano się w wyroku IKNiSP. Tym interesom nie mogło jednak </w:t>
      </w:r>
      <w:r w:rsidR="00594CF9">
        <w:t>odpowiednio</w:t>
      </w:r>
      <w:r w:rsidR="008E2D0D">
        <w:t xml:space="preserve"> służyć postępowanie </w:t>
      </w:r>
      <w:r w:rsidR="00594CF9">
        <w:t>ze</w:t>
      </w:r>
      <w:r w:rsidR="008E2D0D">
        <w:t xml:space="preserve"> skargi nadzwyczajnej wszczęte w 2020 r., pięćdziesiąt lat po tych wydarzeniach. Sala sądowa nie była najlepszym miejscem na debatę historyczną, szczególnie w ramach postępowania prowadzonego z rażącym naruszeniem prawa skarżącego do rzetelnego procesu sądowego.</w:t>
      </w:r>
    </w:p>
    <w:p w14:paraId="0ACFAE13" w14:textId="1174CF98" w:rsidR="000410B4" w:rsidRPr="00D637A7" w:rsidRDefault="00000000" w:rsidP="00D637A7">
      <w:pPr>
        <w:pStyle w:val="JuPara"/>
      </w:pPr>
      <w:fldSimple w:instr=" SEQ level0 \*arabic \* MERGEFORMAT ">
        <w:r w:rsidR="006D0886">
          <w:rPr>
            <w:noProof/>
          </w:rPr>
          <w:t>276</w:t>
        </w:r>
      </w:fldSimple>
      <w:r w:rsidR="008E2D0D">
        <w:t xml:space="preserve">.  Co </w:t>
      </w:r>
      <w:r w:rsidR="00EB7965">
        <w:t>do</w:t>
      </w:r>
      <w:r w:rsidR="008E2D0D">
        <w:t xml:space="preserve"> kwestii, czy ingerencja była konieczna w demokratycznym społeczeństwie, skarżący wskazał, że IKNiSP nie dokonała w jego sprawie żadnego obiektywnego wyważenia różnych konkurujących interesów. W </w:t>
      </w:r>
      <w:r w:rsidR="008E2D0D">
        <w:lastRenderedPageBreak/>
        <w:t xml:space="preserve">szczególności IKNiSP przywiązała niewielką wagę bądź też nie przywiązała żadnej wagi do ochrony jego praw </w:t>
      </w:r>
      <w:r w:rsidR="00EB7965">
        <w:t xml:space="preserve">z </w:t>
      </w:r>
      <w:r w:rsidR="008E2D0D">
        <w:t xml:space="preserve">art. 8 Konwencji, a także całkowicie zignorowała zasadę pewności prawa i zasadę </w:t>
      </w:r>
      <w:r w:rsidR="008E2D0D">
        <w:rPr>
          <w:i/>
          <w:iCs/>
        </w:rPr>
        <w:t>res judicata</w:t>
      </w:r>
      <w:r w:rsidR="008E2D0D">
        <w:t xml:space="preserve"> oraz potrzebę wzbudzenia zaufania do wymiaru sprawiedliwości.</w:t>
      </w:r>
    </w:p>
    <w:p w14:paraId="5C55BF01" w14:textId="3E17B287" w:rsidR="000410B4" w:rsidRPr="00D637A7" w:rsidRDefault="00000000" w:rsidP="00D637A7">
      <w:pPr>
        <w:pStyle w:val="JuPara"/>
      </w:pPr>
      <w:fldSimple w:instr=" SEQ level0 \*arabic ">
        <w:r w:rsidR="006D0886">
          <w:rPr>
            <w:noProof/>
          </w:rPr>
          <w:t>277</w:t>
        </w:r>
      </w:fldSimple>
      <w:r w:rsidR="008E2D0D">
        <w:t>.  Rząd w pierwszej kolejności powtórzył swoj</w:t>
      </w:r>
      <w:r w:rsidR="00EB7965">
        <w:t>ą argumentację</w:t>
      </w:r>
      <w:r w:rsidR="008E2D0D">
        <w:t xml:space="preserve"> dotycząc</w:t>
      </w:r>
      <w:r w:rsidR="00EB7965">
        <w:t>ą</w:t>
      </w:r>
      <w:r w:rsidR="008E2D0D">
        <w:t xml:space="preserve"> możliwości zastosowania art. 8 Konwencji i zaprzeczył, jakoby doszło do ingerencji w prawo skarżącego do poszanowania jego życia prywatnego. Rząd zauważył, że postępowanie prowadzone przed Sądem Najwyższym wynikało z działalności skarżącego jako polityka, a zatem – osoby publicznej. Wypowiedź p. Wyszkowskiego dla mediów nie miała związku z życiem prywatnym skarżącego.</w:t>
      </w:r>
    </w:p>
    <w:p w14:paraId="608D7ABA" w14:textId="1CD8D1E6" w:rsidR="000410B4" w:rsidRPr="00D637A7" w:rsidRDefault="00000000" w:rsidP="00D637A7">
      <w:pPr>
        <w:pStyle w:val="JuPara"/>
      </w:pPr>
      <w:fldSimple w:instr=" SEQ level0 \*arabic \* MERGEFORMAT ">
        <w:r w:rsidR="006D0886">
          <w:rPr>
            <w:noProof/>
          </w:rPr>
          <w:t>278</w:t>
        </w:r>
      </w:fldSimple>
      <w:r w:rsidR="008E2D0D">
        <w:t xml:space="preserve">.  Na wypadek, gdyby Trybunał uznał, że art. 8 Konwencji ma zastosowanie do niniejszej sprawy, Rząd stwierdził, że zarzucana ingerencja </w:t>
      </w:r>
      <w:r w:rsidR="00EB7965">
        <w:t>była</w:t>
      </w:r>
      <w:r w:rsidR="008E2D0D">
        <w:t xml:space="preserve"> zgodna z prawem i konieczna w rozumieniu art. 8 ust. 2 Konwencji. W szczególności postępowanie prowadzone przed IKNiSP opierało się na odpowiednich przepisach ustawy o Sądzie Najwyższym z 2017 r. Rząd nie zgodził się – podobnie jak w uwagach dotyczących prawa do niezawisłego i bezstronnego sądu ustanowionego ustawą –</w:t>
      </w:r>
      <w:r w:rsidR="00EB7965">
        <w:t xml:space="preserve"> </w:t>
      </w:r>
      <w:r w:rsidR="008E2D0D">
        <w:t>że IKNiSP nie posiadała atrybutów „sądu”, który był „zgodny z prawem” dla celów art. 6 ust. 1 Konwencji.</w:t>
      </w:r>
    </w:p>
    <w:p w14:paraId="2EAA2AF5" w14:textId="265D5713" w:rsidR="000410B4" w:rsidRPr="00D637A7" w:rsidRDefault="00000000" w:rsidP="00D637A7">
      <w:pPr>
        <w:pStyle w:val="JuPara"/>
      </w:pPr>
      <w:fldSimple w:instr=" SEQ level0 \*arabic \* MERGEFORMAT ">
        <w:r w:rsidR="006D0886">
          <w:rPr>
            <w:noProof/>
          </w:rPr>
          <w:t>279</w:t>
        </w:r>
      </w:fldSimple>
      <w:r w:rsidR="008E2D0D">
        <w:t>.  Rząd nie zgodził się również z argumentem skarżącego, że ingerencja, której dotyczy skarga, opiera</w:t>
      </w:r>
      <w:r w:rsidR="00EB7965">
        <w:t>ła</w:t>
      </w:r>
      <w:r w:rsidR="008E2D0D">
        <w:t xml:space="preserve"> się na przepisach prawa niezgodnych z zasadą praworządności i niemożliwych do przewidzenia. Biorąc pod uwagę, że skarga nadzwyczajna była legalnym instrumentem prawa krajowego, ingerencję należy uznać za „przewidzianą przez ustawę”.</w:t>
      </w:r>
    </w:p>
    <w:p w14:paraId="513EB65F" w14:textId="58F910F2" w:rsidR="000410B4" w:rsidRPr="00D637A7" w:rsidRDefault="00000000" w:rsidP="00D637A7">
      <w:pPr>
        <w:pStyle w:val="JuPara"/>
      </w:pPr>
      <w:fldSimple w:instr=" SEQ level0 \*arabic \* MERGEFORMAT ">
        <w:r w:rsidR="006D0886">
          <w:rPr>
            <w:noProof/>
          </w:rPr>
          <w:t>280</w:t>
        </w:r>
      </w:fldSimple>
      <w:r w:rsidR="008E2D0D">
        <w:t>.  W odniesieniu do kwestii przewidywalności Rząd stwierdził, że podstaw</w:t>
      </w:r>
      <w:r w:rsidR="00EB7965">
        <w:t>a</w:t>
      </w:r>
      <w:r w:rsidR="008E2D0D">
        <w:t xml:space="preserve"> prawn</w:t>
      </w:r>
      <w:r w:rsidR="00EB7965">
        <w:t>a</w:t>
      </w:r>
      <w:r w:rsidR="008E2D0D">
        <w:t xml:space="preserve"> skargi nadzwyczajnej </w:t>
      </w:r>
      <w:r w:rsidR="00EB7965">
        <w:t xml:space="preserve">została </w:t>
      </w:r>
      <w:r w:rsidR="008E2D0D">
        <w:t>jasno określon</w:t>
      </w:r>
      <w:r w:rsidR="00EB7965">
        <w:t>a</w:t>
      </w:r>
      <w:r w:rsidR="008E2D0D">
        <w:t xml:space="preserve"> w ustawie o Sądzie Najwyższym z 2017 r., któr</w:t>
      </w:r>
      <w:r w:rsidR="00EB7965">
        <w:t>a została opublikowana</w:t>
      </w:r>
      <w:r w:rsidR="008E2D0D">
        <w:t xml:space="preserve"> w Dzienniku Ustaw</w:t>
      </w:r>
      <w:r w:rsidR="00EB7965">
        <w:t xml:space="preserve"> i była powszechnie dostępna</w:t>
      </w:r>
      <w:r w:rsidR="008E2D0D">
        <w:t xml:space="preserve">. Odpowiednie przepisy czyniły zadość warunkowi przewidywalności określonemu przez Trybunał w sprawie </w:t>
      </w:r>
      <w:bookmarkStart w:id="138" w:name="_cl40701"/>
      <w:r w:rsidR="008E2D0D">
        <w:rPr>
          <w:i/>
          <w:iCs/>
        </w:rPr>
        <w:t>Big Brother Watch i Inni przeciwko Zjednoczonemu Królestwu</w:t>
      </w:r>
      <w:bookmarkEnd w:id="138"/>
      <w:r w:rsidR="008E2D0D">
        <w:t xml:space="preserve"> ([WI], skarga nr 58170/13 i 2 inne, §§ 332-333, 25 maja 2021 r.).</w:t>
      </w:r>
    </w:p>
    <w:p w14:paraId="6DE72B48" w14:textId="4237030C" w:rsidR="000410B4" w:rsidRPr="00D637A7" w:rsidRDefault="00000000" w:rsidP="00D637A7">
      <w:pPr>
        <w:pStyle w:val="JuPara"/>
      </w:pPr>
      <w:fldSimple w:instr=" SEQ level0 \*arabic \* MERGEFORMAT ">
        <w:r w:rsidR="006D0886">
          <w:rPr>
            <w:noProof/>
          </w:rPr>
          <w:t>281</w:t>
        </w:r>
      </w:fldSimple>
      <w:r w:rsidR="008E2D0D">
        <w:t>.  </w:t>
      </w:r>
      <w:r w:rsidR="00EB7965">
        <w:t>Zarzucana</w:t>
      </w:r>
      <w:r w:rsidR="008E2D0D">
        <w:t xml:space="preserve"> ingerencja miała uzasadniony cel, </w:t>
      </w:r>
      <w:r w:rsidR="00EB7965">
        <w:t>mianowicie</w:t>
      </w:r>
      <w:r w:rsidR="008E2D0D">
        <w:t xml:space="preserve"> ochron</w:t>
      </w:r>
      <w:r w:rsidR="00EB7965">
        <w:t>ę</w:t>
      </w:r>
      <w:r w:rsidR="008E2D0D">
        <w:t xml:space="preserve"> porządku publicznego oraz praw i wolności p. Wyszkowskiego. Ponadto w demokratycznym społeczeństwie konieczne </w:t>
      </w:r>
      <w:r w:rsidR="00EB7965">
        <w:t>było</w:t>
      </w:r>
      <w:r w:rsidR="008E2D0D">
        <w:t xml:space="preserve"> zapewnienie poszanowania wolności wyrażania opinii – jednego z najbardziej podstawowych praw człowieka. Był</w:t>
      </w:r>
      <w:r w:rsidR="00EB7965">
        <w:t>a</w:t>
      </w:r>
      <w:r w:rsidR="008E2D0D">
        <w:t xml:space="preserve"> również proporcjonaln</w:t>
      </w:r>
      <w:r w:rsidR="00EB7965">
        <w:t>a</w:t>
      </w:r>
      <w:r w:rsidR="008E2D0D">
        <w:t xml:space="preserve"> </w:t>
      </w:r>
      <w:r w:rsidR="00EB7965">
        <w:t>do</w:t>
      </w:r>
      <w:r w:rsidR="008E2D0D">
        <w:t xml:space="preserve"> </w:t>
      </w:r>
      <w:r w:rsidR="00EB7965">
        <w:t>założonego</w:t>
      </w:r>
      <w:r w:rsidR="008E2D0D">
        <w:t xml:space="preserve"> celu, ponieważ skarga nadzwyczajna była jedyną możliwością uchylenia wyroku, którym naruszono wspomniane prawo podstawowe.</w:t>
      </w:r>
    </w:p>
    <w:p w14:paraId="58746204" w14:textId="567A996B" w:rsidR="000410B4" w:rsidRPr="00D637A7" w:rsidRDefault="00000000" w:rsidP="00D637A7">
      <w:pPr>
        <w:pStyle w:val="JuPara"/>
      </w:pPr>
      <w:fldSimple w:instr=" SEQ level0 \*arabic \* MERGEFORMAT ">
        <w:r w:rsidR="006D0886">
          <w:rPr>
            <w:noProof/>
          </w:rPr>
          <w:t>282</w:t>
        </w:r>
      </w:fldSimple>
      <w:r w:rsidR="008E2D0D">
        <w:t>.  Rząd powtórzył, że skarżone postępowanie zostało wszczęte w związku z okolicznościami wynikającymi bezpośrednio z działalności skarżącego jako polityka, a zatem jako osoby publicznej. Wypowiedź p. Wyszkowskiego miała ścisły związek z obowiązkami skarżącego jako Prezydenta RP i nie miała żadnego związku z życiem prywatnym skarżącego.</w:t>
      </w:r>
    </w:p>
    <w:p w14:paraId="03E10CD9" w14:textId="2E5600C5" w:rsidR="000410B4" w:rsidRPr="00D637A7" w:rsidRDefault="00000000" w:rsidP="00D637A7">
      <w:pPr>
        <w:pStyle w:val="JuPara"/>
      </w:pPr>
      <w:fldSimple w:instr=" SEQ level0 \*arabic \* MERGEFORMAT ">
        <w:r w:rsidR="006D0886">
          <w:rPr>
            <w:noProof/>
          </w:rPr>
          <w:t>283</w:t>
        </w:r>
      </w:fldSimple>
      <w:r w:rsidR="008E2D0D">
        <w:t>.  Podsumowując, Rząd był przekonany, że skarżący nie tylko nie uzasadnił swoich zarzutów dotyczących naruszenia jego praw z art. 8 Konwencji, ale także nie wykazał związku przyczynowego z</w:t>
      </w:r>
      <w:r w:rsidR="00EB7965">
        <w:t>e</w:t>
      </w:r>
      <w:r w:rsidR="008E2D0D">
        <w:t xml:space="preserve"> skarżonym postępowaniem ani jakimkolwiek istotnym uszczerbkiem, który rzekomo poniósł w jego </w:t>
      </w:r>
      <w:r w:rsidR="00EB7965">
        <w:t>rezultacie</w:t>
      </w:r>
      <w:r w:rsidR="008E2D0D">
        <w:t>.</w:t>
      </w:r>
    </w:p>
    <w:p w14:paraId="6BB688B1" w14:textId="77777777" w:rsidR="000410B4" w:rsidRPr="00D637A7" w:rsidRDefault="008E2D0D" w:rsidP="00D637A7">
      <w:pPr>
        <w:pStyle w:val="JuH1"/>
      </w:pPr>
      <w:r>
        <w:t>Ocena Trybunału</w:t>
      </w:r>
    </w:p>
    <w:p w14:paraId="54A6E06A" w14:textId="5B7B1A42" w:rsidR="000410B4" w:rsidRPr="00D637A7" w:rsidRDefault="00000000" w:rsidP="00D637A7">
      <w:pPr>
        <w:pStyle w:val="JuPara"/>
      </w:pPr>
      <w:fldSimple w:instr=" SEQ level0 \*arabic \* MERGEFORMAT ">
        <w:r w:rsidR="006D0886">
          <w:rPr>
            <w:noProof/>
          </w:rPr>
          <w:t>284</w:t>
        </w:r>
      </w:fldSimple>
      <w:r w:rsidR="008E2D0D">
        <w:t>.  Jak ustalono powyżej, uchylenie wyroku Sądu Apelacyjnego w Gdańsku z 24 marca 2011 r. przez IKNiSP w znacznym stopniu niekorzystnie wpłynęło na życie prywatne skarżącego (zob. par. </w:t>
      </w:r>
      <w:r w:rsidR="008E2D0D" w:rsidRPr="00D637A7">
        <w:fldChar w:fldCharType="begin"/>
      </w:r>
      <w:r w:rsidR="008E2D0D" w:rsidRPr="00D637A7">
        <w:instrText xml:space="preserve"> REF Court_assessment_7 \h </w:instrText>
      </w:r>
      <w:r w:rsidR="008E2D0D" w:rsidRPr="00D637A7">
        <w:fldChar w:fldCharType="separate"/>
      </w:r>
      <w:r w:rsidR="006D0886">
        <w:rPr>
          <w:rFonts w:ascii="Times New Roman" w:hAnsi="Times New Roman" w:cs="Times New Roman"/>
          <w:noProof/>
        </w:rPr>
        <w:t>272</w:t>
      </w:r>
      <w:r w:rsidR="008E2D0D" w:rsidRPr="00D637A7">
        <w:fldChar w:fldCharType="end"/>
      </w:r>
      <w:r w:rsidR="008E2D0D">
        <w:t xml:space="preserve"> powyżej). Stanowiło to zatem ingerencję w jego prawo do poszanowania życia prywatnego (zob. </w:t>
      </w:r>
      <w:r w:rsidR="00EB7965">
        <w:t>np.</w:t>
      </w:r>
      <w:r w:rsidR="008E2D0D">
        <w:t xml:space="preserve"> </w:t>
      </w:r>
      <w:r w:rsidR="008E2D0D">
        <w:rPr>
          <w:i/>
          <w:iCs/>
        </w:rPr>
        <w:t>Juszczyszyn</w:t>
      </w:r>
      <w:r w:rsidR="008E2D0D">
        <w:t xml:space="preserve">, </w:t>
      </w:r>
      <w:r w:rsidR="008E2D0D">
        <w:rPr>
          <w:i/>
          <w:iCs/>
        </w:rPr>
        <w:t>op.</w:t>
      </w:r>
      <w:r w:rsidR="00EB7965">
        <w:rPr>
          <w:i/>
          <w:iCs/>
        </w:rPr>
        <w:t xml:space="preserve"> </w:t>
      </w:r>
      <w:r w:rsidR="008E2D0D">
        <w:rPr>
          <w:i/>
          <w:iCs/>
        </w:rPr>
        <w:t>cit.</w:t>
      </w:r>
      <w:r w:rsidR="008E2D0D">
        <w:t>, § 259).</w:t>
      </w:r>
    </w:p>
    <w:p w14:paraId="20FC34ED" w14:textId="561556BE" w:rsidR="000410B4" w:rsidRPr="00D637A7" w:rsidRDefault="008E2D0D" w:rsidP="00D637A7">
      <w:pPr>
        <w:pStyle w:val="JuPara"/>
      </w:pPr>
      <w:r>
        <w:t xml:space="preserve">Taka ingerencja będzie stanowić naruszenie art. 8 Konwencji, chyba że da się </w:t>
      </w:r>
      <w:r w:rsidR="00EB7965">
        <w:t>ją</w:t>
      </w:r>
      <w:r>
        <w:t xml:space="preserve"> uzasadnić na podstawie art. 8 ust. 2 jako „przewidzian</w:t>
      </w:r>
      <w:r w:rsidR="00EB7965">
        <w:t>ą</w:t>
      </w:r>
      <w:r>
        <w:t xml:space="preserve"> przez ustawę”, służąc</w:t>
      </w:r>
      <w:r w:rsidR="00EB7965">
        <w:t>ą</w:t>
      </w:r>
      <w:r>
        <w:t xml:space="preserve"> przynajmniej jednemu ze wskazanych tam uprawnionych celów</w:t>
      </w:r>
      <w:r w:rsidR="00EB7965">
        <w:t xml:space="preserve"> oraz jako</w:t>
      </w:r>
      <w:r>
        <w:t xml:space="preserve"> „konieczn</w:t>
      </w:r>
      <w:r w:rsidR="00EB7965">
        <w:t>ą</w:t>
      </w:r>
      <w:r>
        <w:t xml:space="preserve"> w demokratycznym społeczeństwie” dla osiągnięcia danych celów.</w:t>
      </w:r>
    </w:p>
    <w:p w14:paraId="06872997" w14:textId="77777777" w:rsidR="000410B4" w:rsidRPr="00D637A7" w:rsidRDefault="008E2D0D" w:rsidP="00D637A7">
      <w:pPr>
        <w:pStyle w:val="JuHa0"/>
      </w:pPr>
      <w:r>
        <w:t>„Przewidziana przez ustawę” – zasady ogólne wynikające z orzecznictwa Trybunału</w:t>
      </w:r>
    </w:p>
    <w:p w14:paraId="0A532FE5" w14:textId="75888797" w:rsidR="000410B4" w:rsidRPr="00D637A7" w:rsidRDefault="00000000" w:rsidP="00D637A7">
      <w:pPr>
        <w:pStyle w:val="JuPara"/>
      </w:pPr>
      <w:fldSimple w:instr=" SEQ level0 \*arabic \* MERGEFORMAT ">
        <w:r w:rsidR="006D0886">
          <w:rPr>
            <w:noProof/>
          </w:rPr>
          <w:t>285</w:t>
        </w:r>
      </w:fldSimple>
      <w:r w:rsidR="008E2D0D">
        <w:t xml:space="preserve">.  Sformułowanie „przewidziana przez ustawę” wymaga, po pierwsze, by </w:t>
      </w:r>
      <w:r w:rsidR="00EB7965">
        <w:t>kwestionowany</w:t>
      </w:r>
      <w:r w:rsidR="008E2D0D">
        <w:t xml:space="preserve"> środek miał podstawę w prawie </w:t>
      </w:r>
      <w:r w:rsidR="00EB7965">
        <w:t>krajowym</w:t>
      </w:r>
      <w:r w:rsidR="008E2D0D">
        <w:t xml:space="preserve"> i był zgodny z zasadą praworządności, która jest wyraźnie </w:t>
      </w:r>
      <w:r w:rsidR="00EB7965">
        <w:t>wskazana</w:t>
      </w:r>
      <w:r w:rsidR="008E2D0D">
        <w:t xml:space="preserve"> w preambule do Konwencji i jest nieodłącznie związana z przedmiotem i celem art. 8. Postanowienie to nakłada obowiązek </w:t>
      </w:r>
      <w:r w:rsidR="00EB7965">
        <w:t>przestrzegania</w:t>
      </w:r>
      <w:r w:rsidR="008E2D0D">
        <w:t xml:space="preserve"> materialnych i proceduralnych przepisów prawa </w:t>
      </w:r>
      <w:r w:rsidR="00EB7965">
        <w:t>krajowego</w:t>
      </w:r>
      <w:r w:rsidR="008E2D0D">
        <w:t xml:space="preserve"> (zob. między innymi </w:t>
      </w:r>
      <w:r w:rsidR="008E2D0D">
        <w:rPr>
          <w:i/>
          <w:iCs/>
        </w:rPr>
        <w:t>Malone przeciwko Zjednoczonemu Królestwu</w:t>
      </w:r>
      <w:r w:rsidR="008E2D0D">
        <w:t>, 2 sierpnia 1984 r., §§ 66-68, Seria A nr 82).</w:t>
      </w:r>
    </w:p>
    <w:p w14:paraId="346113D9" w14:textId="5F806A94" w:rsidR="000410B4" w:rsidRPr="00D637A7" w:rsidRDefault="00000000" w:rsidP="00D637A7">
      <w:pPr>
        <w:pStyle w:val="JuPara"/>
      </w:pPr>
      <w:fldSimple w:instr=" SEQ level0 \*arabic \* MERGEFORMAT ">
        <w:r w:rsidR="006D0886">
          <w:rPr>
            <w:noProof/>
          </w:rPr>
          <w:t>286</w:t>
        </w:r>
      </w:fldSimple>
      <w:r w:rsidR="008E2D0D">
        <w:t>.  Po drugie, sformułowanie to odnosi się do jakości ustawy, wymagając</w:t>
      </w:r>
      <w:r w:rsidR="00EB7965">
        <w:t xml:space="preserve"> </w:t>
      </w:r>
      <w:r w:rsidR="008E2D0D">
        <w:t>by była ona dostępna dla osoby zainteresowanej, która ponadto musi być w stanie przewidzieć</w:t>
      </w:r>
      <w:r w:rsidR="008E2D0D">
        <w:rPr>
          <w:b/>
          <w:bCs/>
        </w:rPr>
        <w:t xml:space="preserve"> </w:t>
      </w:r>
      <w:r w:rsidR="008E2D0D">
        <w:t xml:space="preserve">jej konsekwencje dla siebie (zob. między innymi </w:t>
      </w:r>
      <w:r w:rsidR="008E2D0D">
        <w:rPr>
          <w:i/>
          <w:iCs/>
        </w:rPr>
        <w:t>Kopp przeciwko Szwajcarii</w:t>
      </w:r>
      <w:r w:rsidR="008E2D0D">
        <w:t xml:space="preserve">, 25 marca 1998 r., § 55, </w:t>
      </w:r>
      <w:r w:rsidR="008E2D0D">
        <w:rPr>
          <w:i/>
          <w:iCs/>
        </w:rPr>
        <w:t xml:space="preserve">Zbiór wyroków i </w:t>
      </w:r>
      <w:r w:rsidR="00EB7965">
        <w:rPr>
          <w:i/>
          <w:iCs/>
        </w:rPr>
        <w:t>decyzji</w:t>
      </w:r>
      <w:r w:rsidR="008E2D0D">
        <w:t xml:space="preserve"> 1998</w:t>
      </w:r>
      <w:r w:rsidR="008E2D0D">
        <w:noBreakHyphen/>
        <w:t>II). Z</w:t>
      </w:r>
      <w:r w:rsidR="00EB7965">
        <w:t xml:space="preserve"> pojęcia</w:t>
      </w:r>
      <w:r w:rsidR="008E2D0D">
        <w:t xml:space="preserve"> tego wynika zatem między innymi, że prawo </w:t>
      </w:r>
      <w:r w:rsidR="00EB7965">
        <w:t>krajowe</w:t>
      </w:r>
      <w:r w:rsidR="008E2D0D">
        <w:t xml:space="preserve"> musi być w swoich sformułowaniach wystarczająco przewidywalne, </w:t>
      </w:r>
      <w:r w:rsidR="00EB7965">
        <w:t>by zapewnić jednostkom odpowiednie</w:t>
      </w:r>
      <w:r w:rsidR="008E2D0D">
        <w:t xml:space="preserve"> </w:t>
      </w:r>
      <w:r w:rsidR="00EB7965">
        <w:t>wskazanie</w:t>
      </w:r>
      <w:r w:rsidR="008E2D0D">
        <w:t xml:space="preserve"> okoliczności i warunk</w:t>
      </w:r>
      <w:r w:rsidR="00EB7965">
        <w:t>ów</w:t>
      </w:r>
      <w:r w:rsidR="008E2D0D">
        <w:t xml:space="preserve">, </w:t>
      </w:r>
      <w:r w:rsidR="00EB7965">
        <w:t>w których</w:t>
      </w:r>
      <w:r w:rsidR="008E2D0D">
        <w:t xml:space="preserve"> władze uprawnione są do sięgnięcia po środki </w:t>
      </w:r>
      <w:r w:rsidR="00EB7965">
        <w:t>wpływające na ich</w:t>
      </w:r>
      <w:r w:rsidR="008E2D0D">
        <w:t xml:space="preserve"> praw</w:t>
      </w:r>
      <w:r w:rsidR="00EB7965">
        <w:t>a</w:t>
      </w:r>
      <w:r w:rsidR="008E2D0D">
        <w:t xml:space="preserve"> chronion</w:t>
      </w:r>
      <w:r w:rsidR="00EB7965">
        <w:t>e</w:t>
      </w:r>
      <w:r w:rsidR="008E2D0D">
        <w:t xml:space="preserve"> Konwencją (zob. </w:t>
      </w:r>
      <w:r w:rsidR="008E2D0D">
        <w:rPr>
          <w:i/>
          <w:iCs/>
        </w:rPr>
        <w:t>Fernández Martínez przeciwko Hiszpanii</w:t>
      </w:r>
      <w:r w:rsidR="008E2D0D">
        <w:t xml:space="preserve"> [WI], skarga nr 56030/07, § 117, ETPC 2014 (fragmenty) z dalszymi odniesieniami, a także </w:t>
      </w:r>
      <w:r w:rsidR="008E2D0D">
        <w:rPr>
          <w:i/>
          <w:iCs/>
        </w:rPr>
        <w:t>De Tommaso przeciwko Włochom</w:t>
      </w:r>
      <w:r w:rsidR="008E2D0D">
        <w:t xml:space="preserve"> [WI], skarga nr 43395/09, §§ 106-109, 23 lutego 2017 r.).</w:t>
      </w:r>
    </w:p>
    <w:p w14:paraId="0B433364" w14:textId="4450F70A" w:rsidR="000410B4" w:rsidRPr="00D637A7" w:rsidRDefault="008E2D0D" w:rsidP="00D637A7">
      <w:pPr>
        <w:pStyle w:val="JuPara"/>
      </w:pPr>
      <w:r>
        <w:t xml:space="preserve">Ingerencja w prawo do poszanowania życia prywatnego i rodzinnego musi zatem opierać się na „ustawie” gwarantującej odpowiednie zabezpieczenia przed arbitralnością. Muszą istnieć zabezpieczenia zapewniające korzystanie </w:t>
      </w:r>
      <w:r>
        <w:lastRenderedPageBreak/>
        <w:t>przez władzę wykonawczą z pozostawionego jej uznania w sposób zgodny z prawem i wolny od jakiegokolwiek nadużywania uprawnień. Wymogi art. 8 w zakresie zabezpieczeń zależeć będą, przynajmniej w pewnym stopniu, od charakteru i zakresu przedmiotowej ingerencji (zob. </w:t>
      </w:r>
      <w:r>
        <w:rPr>
          <w:i/>
          <w:iCs/>
        </w:rPr>
        <w:t>Solska i Rybicka przeciwko Polsce</w:t>
      </w:r>
      <w:r>
        <w:t xml:space="preserve">, skargi nr 30491/17 i 31083/17, </w:t>
      </w:r>
      <w:r w:rsidR="00A53259">
        <w:t>2</w:t>
      </w:r>
      <w:r>
        <w:t xml:space="preserve">0 września 2018 r., </w:t>
      </w:r>
      <w:r w:rsidR="000119DE">
        <w:t>§</w:t>
      </w:r>
      <w:r>
        <w:t> 113, z dalszymi odniesieniami</w:t>
      </w:r>
      <w:r w:rsidR="00A53259">
        <w:t xml:space="preserve"> i </w:t>
      </w:r>
      <w:r>
        <w:rPr>
          <w:i/>
          <w:iCs/>
        </w:rPr>
        <w:t>Juszczyszyn</w:t>
      </w:r>
      <w:r>
        <w:t xml:space="preserve">, </w:t>
      </w:r>
      <w:r>
        <w:rPr>
          <w:i/>
          <w:iCs/>
        </w:rPr>
        <w:t>op.</w:t>
      </w:r>
      <w:r w:rsidR="00A53259">
        <w:rPr>
          <w:i/>
          <w:iCs/>
        </w:rPr>
        <w:t xml:space="preserve"> </w:t>
      </w:r>
      <w:r>
        <w:rPr>
          <w:i/>
          <w:iCs/>
        </w:rPr>
        <w:t>cit.</w:t>
      </w:r>
      <w:r>
        <w:t>, §§ 261-263).</w:t>
      </w:r>
    </w:p>
    <w:p w14:paraId="2C1748B7" w14:textId="1F7A1EBD" w:rsidR="000410B4" w:rsidRPr="00D637A7" w:rsidRDefault="008E2D0D" w:rsidP="00D637A7">
      <w:pPr>
        <w:pStyle w:val="JuPara"/>
      </w:pPr>
      <w:r w:rsidRPr="00D637A7">
        <w:rPr>
          <w:iCs/>
        </w:rPr>
        <w:fldChar w:fldCharType="begin"/>
      </w:r>
      <w:r w:rsidRPr="00D637A7">
        <w:rPr>
          <w:iCs/>
        </w:rPr>
        <w:instrText xml:space="preserve"> SEQ level0 \*arabic \* MERGEFORMAT </w:instrText>
      </w:r>
      <w:r w:rsidRPr="00D637A7">
        <w:rPr>
          <w:iCs/>
        </w:rPr>
        <w:fldChar w:fldCharType="separate"/>
      </w:r>
      <w:r w:rsidR="006D0886">
        <w:rPr>
          <w:iCs/>
          <w:noProof/>
        </w:rPr>
        <w:t>287</w:t>
      </w:r>
      <w:r w:rsidRPr="00D637A7">
        <w:fldChar w:fldCharType="end"/>
      </w:r>
      <w:r>
        <w:t xml:space="preserve">.  Wreszcie, w odniesieniu do kontroli przeprowadzonej przez sądy krajowe, należy wskazać, że chociaż art. 8 nie zawiera wyrażonych wprost wymogów proceduralnych, Trybunał nie może w sposób zadowalający ocenić, czy powody przedstawione przez władze krajowe dla uzasadnienia ich decyzji były „wystarczające” na potrzeby art. 8 ust. 2, bez jednoczesnego ustalenia, czy proces decyzyjny, postrzegany jako całość, gwarantował skarżącemu wymaganą ochronę jego dóbr (zob. </w:t>
      </w:r>
      <w:r>
        <w:rPr>
          <w:i/>
          <w:iCs/>
        </w:rPr>
        <w:t>Fernandez-Martinez</w:t>
      </w:r>
      <w:r>
        <w:t xml:space="preserve">, </w:t>
      </w:r>
      <w:r>
        <w:rPr>
          <w:i/>
          <w:iCs/>
        </w:rPr>
        <w:t>op.</w:t>
      </w:r>
      <w:r w:rsidR="00A53259">
        <w:rPr>
          <w:i/>
          <w:iCs/>
        </w:rPr>
        <w:t xml:space="preserve"> </w:t>
      </w:r>
      <w:r>
        <w:rPr>
          <w:i/>
          <w:iCs/>
        </w:rPr>
        <w:t>cit.</w:t>
      </w:r>
      <w:r>
        <w:t>, § 147, z dalszymi odniesieniami do orzecznictwa Trybunału).</w:t>
      </w:r>
    </w:p>
    <w:p w14:paraId="144D4F9A" w14:textId="57DE9D86" w:rsidR="000410B4" w:rsidRPr="00D637A7" w:rsidRDefault="008E2D0D" w:rsidP="00D637A7">
      <w:pPr>
        <w:pStyle w:val="JuPara"/>
      </w:pPr>
      <w:r w:rsidRPr="00D637A7">
        <w:rPr>
          <w:iCs/>
        </w:rPr>
        <w:fldChar w:fldCharType="begin"/>
      </w:r>
      <w:r w:rsidRPr="00D637A7">
        <w:rPr>
          <w:iCs/>
        </w:rPr>
        <w:instrText xml:space="preserve"> SEQ level0 \*arabic \* MERGEFORMAT </w:instrText>
      </w:r>
      <w:r w:rsidRPr="00D637A7">
        <w:rPr>
          <w:iCs/>
        </w:rPr>
        <w:fldChar w:fldCharType="separate"/>
      </w:r>
      <w:r w:rsidR="006D0886">
        <w:rPr>
          <w:iCs/>
          <w:noProof/>
        </w:rPr>
        <w:t>288</w:t>
      </w:r>
      <w:r w:rsidRPr="00D637A7">
        <w:rPr>
          <w:iCs/>
        </w:rPr>
        <w:fldChar w:fldCharType="end"/>
      </w:r>
      <w:r>
        <w:t xml:space="preserve">.  Rozstrzyganie problemów związanych z wykładnią przepisów krajowych należy przede wszystkim do władz krajowych, w szczególności sądów. O ile wykładnia ta nie jest arbitralna ani w sposób oczywisty </w:t>
      </w:r>
      <w:r w:rsidR="00A53259">
        <w:t>niezasadna</w:t>
      </w:r>
      <w:r>
        <w:t xml:space="preserve">, rola Trybunału ogranicza się do ustalenia, czy skutki tej wykładni są zgodne z Konwencją (zob. m.in. </w:t>
      </w:r>
      <w:r>
        <w:rPr>
          <w:i/>
        </w:rPr>
        <w:t>Molla Sali przeciwko Grecji</w:t>
      </w:r>
      <w:r>
        <w:t xml:space="preserve"> [WI], skarga nr 20452/14, § 149, 19 grudnia 2018 r.</w:t>
      </w:r>
      <w:r w:rsidR="00A53259">
        <w:t xml:space="preserve"> i</w:t>
      </w:r>
      <w:r>
        <w:t xml:space="preserve"> </w:t>
      </w:r>
      <w:r>
        <w:rPr>
          <w:i/>
        </w:rPr>
        <w:t>Grzęda</w:t>
      </w:r>
      <w:r>
        <w:t xml:space="preserve">, </w:t>
      </w:r>
      <w:r>
        <w:rPr>
          <w:i/>
          <w:iCs/>
        </w:rPr>
        <w:t>op.</w:t>
      </w:r>
      <w:r w:rsidR="00A53259">
        <w:rPr>
          <w:i/>
          <w:iCs/>
        </w:rPr>
        <w:t xml:space="preserve"> </w:t>
      </w:r>
      <w:r>
        <w:rPr>
          <w:i/>
          <w:iCs/>
        </w:rPr>
        <w:t>cit.</w:t>
      </w:r>
      <w:r>
        <w:t>, § 259).</w:t>
      </w:r>
    </w:p>
    <w:p w14:paraId="74F3867B" w14:textId="77777777" w:rsidR="000410B4" w:rsidRPr="00D637A7" w:rsidRDefault="008E2D0D" w:rsidP="00D637A7">
      <w:pPr>
        <w:pStyle w:val="JuHa0"/>
      </w:pPr>
      <w:r>
        <w:t>Zastosowanie powyższych zasad w niniejszej sprawie</w:t>
      </w:r>
    </w:p>
    <w:p w14:paraId="3D7B1E16" w14:textId="46373A02" w:rsidR="000410B4" w:rsidRPr="00D637A7" w:rsidRDefault="00000000" w:rsidP="00D637A7">
      <w:pPr>
        <w:pStyle w:val="JuPara"/>
      </w:pPr>
      <w:fldSimple w:instr=" SEQ level0 \*arabic ">
        <w:r w:rsidR="006D0886">
          <w:rPr>
            <w:noProof/>
          </w:rPr>
          <w:t>289</w:t>
        </w:r>
      </w:fldSimple>
      <w:r w:rsidR="008E2D0D">
        <w:t>.  W odniesieniu do prawa stanowionego Trybunał zauważa, że wyrok IKNiSP opierał się na przepisach ustawy o Sądzie Najwyższym z 2017 r., w szczególności na art. 26 § 1 w zw</w:t>
      </w:r>
      <w:r w:rsidR="00A231FD">
        <w:t>.</w:t>
      </w:r>
      <w:r w:rsidR="008E2D0D">
        <w:t xml:space="preserve"> z art. 91 § 1 (właściwość IKNiSP do rozpoznawania skarg nadzwyczajnych), art. 89 § 1 w zw</w:t>
      </w:r>
      <w:r w:rsidR="00A231FD">
        <w:t>.</w:t>
      </w:r>
      <w:r w:rsidR="008E2D0D">
        <w:t xml:space="preserve"> z art. 115 § 1-1a (prerogatywa Prokuratora Generalnego do wniesienia skargi nadzwyczajnej w sprawach zakończonych po 17 października 1997 r. i przed wejściem w życie ustawy; zob. par. </w:t>
      </w:r>
      <w:r w:rsidR="008E2D0D" w:rsidRPr="00D637A7">
        <w:fldChar w:fldCharType="begin"/>
      </w:r>
      <w:r w:rsidR="008E2D0D" w:rsidRPr="00D637A7">
        <w:instrText xml:space="preserve"> REF CERPA_jurisdiction \h </w:instrText>
      </w:r>
      <w:r w:rsidR="008E2D0D" w:rsidRPr="00D637A7">
        <w:fldChar w:fldCharType="separate"/>
      </w:r>
      <w:r w:rsidR="006D0886">
        <w:rPr>
          <w:noProof/>
        </w:rPr>
        <w:t>65</w:t>
      </w:r>
      <w:r w:rsidR="008E2D0D" w:rsidRPr="00D637A7">
        <w:fldChar w:fldCharType="end"/>
      </w:r>
      <w:r w:rsidR="008E2D0D">
        <w:t xml:space="preserve"> i </w:t>
      </w:r>
      <w:r w:rsidR="008E2D0D" w:rsidRPr="00D637A7">
        <w:fldChar w:fldCharType="begin"/>
      </w:r>
      <w:r w:rsidR="008E2D0D" w:rsidRPr="00D637A7">
        <w:instrText xml:space="preserve"> REF CERPA_Extraordinary_appeals \h </w:instrText>
      </w:r>
      <w:r w:rsidR="008E2D0D" w:rsidRPr="00D637A7">
        <w:fldChar w:fldCharType="separate"/>
      </w:r>
      <w:r w:rsidR="006D0886">
        <w:rPr>
          <w:noProof/>
        </w:rPr>
        <w:t>69</w:t>
      </w:r>
      <w:r w:rsidR="008E2D0D" w:rsidRPr="00D637A7">
        <w:fldChar w:fldCharType="end"/>
      </w:r>
      <w:r w:rsidR="008E2D0D">
        <w:t xml:space="preserve"> powyżej).</w:t>
      </w:r>
    </w:p>
    <w:p w14:paraId="373E0025" w14:textId="0483759B" w:rsidR="000410B4" w:rsidRPr="00D637A7" w:rsidRDefault="008E2D0D" w:rsidP="00D637A7">
      <w:pPr>
        <w:pStyle w:val="JuPara"/>
      </w:pPr>
      <w:r>
        <w:t xml:space="preserve">Niemniej jednak, nawet jeżeli ingerencja, której dotyczy skarga, miała podstawę w prawie stanowionym, powstaje pytanie, czy była zgodna z prawem dla celów Konwencji, </w:t>
      </w:r>
      <w:r w:rsidR="00A231FD">
        <w:t>mianowicie</w:t>
      </w:r>
      <w:r>
        <w:t xml:space="preserve"> czy odpowiednie ramy prawne były przewidywalne w swoim zastosowaniu i zgodne z zasadą państwa prawa i czy proces decyzyjny, postrzegany jako całość, zapewniał skarżącemu wymagane zabezpieczenia przed arbitralnością (zob. </w:t>
      </w:r>
      <w:r>
        <w:rPr>
          <w:i/>
          <w:iCs/>
        </w:rPr>
        <w:t>Juszczyszyn</w:t>
      </w:r>
      <w:r>
        <w:t xml:space="preserve">, </w:t>
      </w:r>
      <w:r>
        <w:rPr>
          <w:i/>
          <w:iCs/>
        </w:rPr>
        <w:t>op.</w:t>
      </w:r>
      <w:r w:rsidR="00A231FD">
        <w:rPr>
          <w:i/>
          <w:iCs/>
        </w:rPr>
        <w:t xml:space="preserve"> </w:t>
      </w:r>
      <w:r>
        <w:rPr>
          <w:i/>
          <w:iCs/>
        </w:rPr>
        <w:t>cit.</w:t>
      </w:r>
      <w:r>
        <w:t>, § 265, z dalszymi odniesieniami do orzecznictwa Trybunału, a także par. 285-286 powyżej, z odniesieniami do orzecznictwa Trybunału).</w:t>
      </w:r>
    </w:p>
    <w:p w14:paraId="60985039" w14:textId="77777777" w:rsidR="000410B4" w:rsidRPr="00D637A7" w:rsidRDefault="00000000" w:rsidP="00D637A7">
      <w:pPr>
        <w:pStyle w:val="JuPara"/>
      </w:pPr>
      <w:fldSimple w:instr=" SEQ level0 \*arabic \* MERGEFORMAT ">
        <w:r w:rsidR="006D0886">
          <w:rPr>
            <w:noProof/>
          </w:rPr>
          <w:t>290</w:t>
        </w:r>
      </w:fldSimple>
      <w:r w:rsidR="008E2D0D">
        <w:t>.  Trybunał orzekł już, że doszło do naruszenia prawa skarżącego do rzetelnego procesu sądowego w świetle art. 6 ust. 1 Konwencji z dwóch powodów.</w:t>
      </w:r>
    </w:p>
    <w:p w14:paraId="4E4A912B" w14:textId="1EE6C79F" w:rsidR="000410B4" w:rsidRPr="00D637A7" w:rsidRDefault="008E2D0D" w:rsidP="00D637A7">
      <w:pPr>
        <w:pStyle w:val="JuPara"/>
      </w:pPr>
      <w:r>
        <w:t xml:space="preserve">Po pierwsze, sprawę skarżącego rozpoznawała IKNiSP – organ, który nie może być uznany za „niezawisły i bezstronny sąd ustanowiony ustawą” czy też, w konsekwencji, za posiadający atrybuty „sądu”, który jest „zgodny z prawem” dla celów Konwencji. Trybunał stwierdził w szczególności, że </w:t>
      </w:r>
      <w:r>
        <w:lastRenderedPageBreak/>
        <w:t>naruszenia prawa wewnętrznego, wynikające z nieprzestrzegania zasady praworządności, zasady trójpodziału władzy i zasady niezależności sądownictwa, w sposób immanentny skaziły procedurę powoływania do IKNiSP (zob. </w:t>
      </w:r>
      <w:r w:rsidR="00E40AE2">
        <w:t>par.</w:t>
      </w:r>
      <w:r>
        <w:t> </w:t>
      </w:r>
      <w:r w:rsidRPr="00D637A7">
        <w:fldChar w:fldCharType="begin"/>
      </w:r>
      <w:r w:rsidRPr="00D637A7">
        <w:instrText xml:space="preserve"> REF Court_assessment_4 \h </w:instrText>
      </w:r>
      <w:r w:rsidRPr="00D637A7">
        <w:fldChar w:fldCharType="separate"/>
      </w:r>
      <w:r w:rsidR="006D0886">
        <w:rPr>
          <w:rFonts w:eastAsia="Times New Roman"/>
          <w:noProof/>
        </w:rPr>
        <w:t>173</w:t>
      </w:r>
      <w:r w:rsidRPr="00D637A7">
        <w:fldChar w:fldCharType="end"/>
      </w:r>
      <w:r>
        <w:t xml:space="preserve"> powyżej).</w:t>
      </w:r>
    </w:p>
    <w:p w14:paraId="1DAFFF22" w14:textId="77777777" w:rsidR="000410B4" w:rsidRPr="00D637A7" w:rsidRDefault="008E2D0D" w:rsidP="00D637A7">
      <w:pPr>
        <w:pStyle w:val="JuPara"/>
      </w:pPr>
      <w:r>
        <w:t xml:space="preserve">Niezależność i bezstronność sądownictwa jest warunkiem wstępnym i podstawową gwarancją praworządności. W kontekście art. 6 ust. 1 Trybunał dostrzegł wspólny mianownik łączący wymogi instytucjonalne tego postanowienia, takie jak „niezależność”, „bezstronność” i „sąd ustanowiony ustawą”, ponieważ przyświeca im cel zapewnienia podstawowych zasad, jakimi są zasada praworządności i zasada trójpodziału władzy (zob. </w:t>
      </w:r>
      <w:r>
        <w:rPr>
          <w:i/>
          <w:iCs/>
        </w:rPr>
        <w:t>Guðmundur Andri Ástráðsson</w:t>
      </w:r>
      <w:r>
        <w:t xml:space="preserve">, § 231; </w:t>
      </w:r>
      <w:r>
        <w:rPr>
          <w:i/>
          <w:iCs/>
        </w:rPr>
        <w:t>Reczkowicz</w:t>
      </w:r>
      <w:r>
        <w:t xml:space="preserve">, § 260; a także </w:t>
      </w:r>
      <w:r>
        <w:rPr>
          <w:rFonts w:ascii="Times New Roman" w:hAnsi="Times New Roman"/>
          <w:i/>
          <w:iCs/>
        </w:rPr>
        <w:t>Dolińska</w:t>
      </w:r>
      <w:r>
        <w:rPr>
          <w:rFonts w:ascii="Times New Roman" w:hAnsi="Times New Roman"/>
          <w:i/>
          <w:iCs/>
        </w:rPr>
        <w:noBreakHyphen/>
        <w:t xml:space="preserve">Ficek i Ozimek, </w:t>
      </w:r>
      <w:r>
        <w:rPr>
          <w:rFonts w:ascii="Times New Roman" w:hAnsi="Times New Roman"/>
        </w:rPr>
        <w:t>§ 315, wszystkie</w:t>
      </w:r>
      <w:r>
        <w:t xml:space="preserve"> przytoczono powyżej). Z zasady praworządności wynika zatem, że aby ingerencja w prawa zagwarantowane w art. 8 mogła zostać uznana za „przewidzianą przez ustawę”, musi pochodzić od organu, który sam jest „zgodny z prawem” dla celów Konwencji.</w:t>
      </w:r>
    </w:p>
    <w:p w14:paraId="03DB6D08" w14:textId="77777777" w:rsidR="000410B4" w:rsidRPr="00D637A7" w:rsidRDefault="008E2D0D" w:rsidP="00D637A7">
      <w:pPr>
        <w:pStyle w:val="JuPara"/>
      </w:pPr>
      <w:r>
        <w:t xml:space="preserve">Chociażby z tego powodu ingerencja, której dotyczy skarga, nie może być uznana za „przewidzianą przez ustawę” (w tym kontekście zob. również, </w:t>
      </w:r>
      <w:r>
        <w:rPr>
          <w:i/>
          <w:iCs/>
        </w:rPr>
        <w:t>mutatis mutandis</w:t>
      </w:r>
      <w:r>
        <w:t xml:space="preserve">, wyroki </w:t>
      </w:r>
      <w:r>
        <w:rPr>
          <w:i/>
          <w:iCs/>
        </w:rPr>
        <w:t>Juszczyszyn</w:t>
      </w:r>
      <w:r>
        <w:t xml:space="preserve">, § 279; a także </w:t>
      </w:r>
      <w:r>
        <w:rPr>
          <w:i/>
          <w:iCs/>
        </w:rPr>
        <w:t xml:space="preserve">Tuleya, </w:t>
      </w:r>
      <w:r>
        <w:t>§ 442</w:t>
      </w:r>
      <w:r>
        <w:rPr>
          <w:i/>
          <w:iCs/>
        </w:rPr>
        <w:t xml:space="preserve">, </w:t>
      </w:r>
      <w:r>
        <w:t>oba przytoczono powyżej).</w:t>
      </w:r>
    </w:p>
    <w:p w14:paraId="13F28FCB" w14:textId="77777777" w:rsidR="000410B4" w:rsidRPr="00D637A7" w:rsidRDefault="00000000" w:rsidP="00D637A7">
      <w:pPr>
        <w:pStyle w:val="JuPara"/>
      </w:pPr>
      <w:fldSimple w:instr=" SEQ level0 \*arabic \* MERGEFORMAT ">
        <w:r w:rsidR="006D0886">
          <w:rPr>
            <w:noProof/>
          </w:rPr>
          <w:t>291</w:t>
        </w:r>
      </w:fldSimple>
      <w:r w:rsidR="008E2D0D">
        <w:t>.  Doszło jednak do jeszcze jednego naruszenia wymogu, w myśl którego ingerencja musi być „przewidziana przez ustawę”, a naruszenie to wynika z drugiego naruszenia prawa do rzetelnego procesu sądowego na podstawie art. 6 ust. 1 Konwencji stwierdzonego przez Trybunał.</w:t>
      </w:r>
    </w:p>
    <w:p w14:paraId="5B8327F3" w14:textId="493A9319" w:rsidR="000410B4" w:rsidRPr="00D637A7" w:rsidRDefault="008E2D0D" w:rsidP="00D637A7">
      <w:pPr>
        <w:pStyle w:val="JuPara"/>
      </w:pPr>
      <w:r>
        <w:t xml:space="preserve">W swoich rozważaniach dotyczących ogólnej charakterystyki skargi nadzwyczajnej, a następnie okoliczności sprawy skarżącego, Trybunał uznał ten środek za niezgodny z zasadą pewności prawa i zasadą </w:t>
      </w:r>
      <w:r>
        <w:rPr>
          <w:i/>
          <w:iCs/>
        </w:rPr>
        <w:t>res judicata</w:t>
      </w:r>
      <w:r>
        <w:t>. Stwierdził w szczególności, że terminy na wniesienie skargi nadzwyczajnej przez Prokuratora Generalnego, które są wyjątkowo długie i, jak wykazano w niniejszej sprawie, działają z mocą wsteczną, nie tylko naruszają powyższe zasady, ale także nie spełniają wymogu przewidywalności prawa do celów Konwencji. Ponadto Trybunał uznał, że istniały oznaki świadczące o</w:t>
      </w:r>
      <w:r>
        <w:rPr>
          <w:rFonts w:ascii="Times New Roman" w:hAnsi="Times New Roman"/>
        </w:rPr>
        <w:t xml:space="preserve"> nadużywaniu procedury skargi nadzwyczajnej przez władze państwowe w dążeniu do realizacji własnych poglądów i motywów politycznych </w:t>
      </w:r>
      <w:r>
        <w:t>(zob. </w:t>
      </w:r>
      <w:r w:rsidR="00E40AE2">
        <w:t>par.</w:t>
      </w:r>
      <w:r>
        <w:t> </w:t>
      </w:r>
      <w:r w:rsidRPr="00D637A7">
        <w:fldChar w:fldCharType="begin"/>
      </w:r>
      <w:r w:rsidRPr="00D637A7">
        <w:instrText xml:space="preserve"> REF Court_assessment_5 \h  \* MERGEFORMAT </w:instrText>
      </w:r>
      <w:r w:rsidRPr="00D637A7">
        <w:fldChar w:fldCharType="separate"/>
      </w:r>
      <w:r w:rsidR="006D0886">
        <w:t>237</w:t>
      </w:r>
      <w:r w:rsidRPr="00D637A7">
        <w:fldChar w:fldCharType="end"/>
      </w:r>
      <w:r>
        <w:t xml:space="preserve"> i 254 powyżej).</w:t>
      </w:r>
    </w:p>
    <w:p w14:paraId="51A080E0" w14:textId="77777777" w:rsidR="000410B4" w:rsidRPr="00D637A7" w:rsidRDefault="00000000" w:rsidP="00D637A7">
      <w:pPr>
        <w:pStyle w:val="JuPara"/>
      </w:pPr>
      <w:fldSimple w:instr=" SEQ level0 \*arabic ">
        <w:r w:rsidR="006D0886">
          <w:rPr>
            <w:noProof/>
          </w:rPr>
          <w:t>292</w:t>
        </w:r>
      </w:fldSimple>
      <w:r w:rsidR="008E2D0D">
        <w:t>.  Powyższe rozważania są wystarczające, aby Trybunał mógł dojść do wniosku, że zaskarżona ingerencja nie była „przewidziana przez ustawę”, ponieważ wynikała z decyzji organu, który nie był „zgodnym z prawem” sądem w rozumieniu Konwencji, nie była oparta na „ustawie” zapewniającej skarżącemu odpowiednie zabezpieczenia przed arbitralnością i świadczyła o nadużywaniu przepisów proceduralnych przez Prokuratora Generalnego.</w:t>
      </w:r>
    </w:p>
    <w:p w14:paraId="157CE4EC" w14:textId="77777777" w:rsidR="000410B4" w:rsidRPr="00D637A7" w:rsidRDefault="008E2D0D" w:rsidP="00D637A7">
      <w:pPr>
        <w:pStyle w:val="JuHa0"/>
      </w:pPr>
      <w:r>
        <w:lastRenderedPageBreak/>
        <w:t>Podsumowanie</w:t>
      </w:r>
    </w:p>
    <w:p w14:paraId="7366F983" w14:textId="4C1C34CB" w:rsidR="000410B4" w:rsidRPr="00D637A7" w:rsidRDefault="00000000" w:rsidP="00D637A7">
      <w:pPr>
        <w:pStyle w:val="JuPara"/>
      </w:pPr>
      <w:fldSimple w:instr=" SEQ level0 \*arabic ">
        <w:r w:rsidR="006D0886">
          <w:rPr>
            <w:noProof/>
          </w:rPr>
          <w:t>293</w:t>
        </w:r>
      </w:fldSimple>
      <w:r w:rsidR="008E2D0D">
        <w:t>.  W świetle wniosku, iż ingerencja w życie prywatne skarżącego nie była zgodna z prawem, Trybunał nie musi badać, czy ingerencja ta służyła realizacji któregokolwiek z uzasadnionych celów, o których mowa w art. 8 ust. 2 i czy była konieczna w demokratycznym społeczeństwie.</w:t>
      </w:r>
    </w:p>
    <w:p w14:paraId="507F173E" w14:textId="77777777" w:rsidR="000410B4" w:rsidRPr="00D637A7" w:rsidRDefault="008E2D0D" w:rsidP="00D637A7">
      <w:pPr>
        <w:pStyle w:val="JuPara"/>
      </w:pPr>
      <w:r>
        <w:t>W związku z powyższym doszło do naruszenia art. 8 Konwencji.</w:t>
      </w:r>
    </w:p>
    <w:p w14:paraId="36AB7AB8" w14:textId="77777777" w:rsidR="000410B4" w:rsidRPr="00D637A7" w:rsidRDefault="008E2D0D" w:rsidP="00D637A7">
      <w:pPr>
        <w:pStyle w:val="JuHIRoman"/>
      </w:pPr>
      <w:r>
        <w:t>ZARZUCANE NARUSZENIE ART. 18 KONWENCJI W ZWIĄZKU Z ART. 6 i ART. 8 KONWENCJI</w:t>
      </w:r>
    </w:p>
    <w:p w14:paraId="6B8FAC79" w14:textId="77777777" w:rsidR="000410B4" w:rsidRPr="00D637A7" w:rsidRDefault="00000000" w:rsidP="00D637A7">
      <w:pPr>
        <w:pStyle w:val="JuPara"/>
      </w:pPr>
      <w:fldSimple w:instr=" SEQ level0 \*arabic \* MERGEFORMAT ">
        <w:r w:rsidR="006D0886">
          <w:rPr>
            <w:noProof/>
          </w:rPr>
          <w:t>294</w:t>
        </w:r>
      </w:fldSimple>
      <w:r w:rsidR="008E2D0D">
        <w:t>.  Wreszcie, skarżący zarzucił na podstawie art. 18 Konwencji, że wniesienie skargi nadzwyczajnej przez Prokuratora Generalnego w jego sprawie było spowodowane odwetem politycznym, a nie jakimkolwiek uzasadnionym interesem wymiaru sprawiedliwości czy też względami prawnymi.</w:t>
      </w:r>
    </w:p>
    <w:p w14:paraId="01D890AD" w14:textId="77777777" w:rsidR="000410B4" w:rsidRPr="00D637A7" w:rsidRDefault="008E2D0D" w:rsidP="00D637A7">
      <w:pPr>
        <w:pStyle w:val="JuPara"/>
      </w:pPr>
      <w:r>
        <w:t>Artykuł 18 Konwencji stanowi, co następuje:</w:t>
      </w:r>
    </w:p>
    <w:p w14:paraId="6C32F3EB" w14:textId="77777777" w:rsidR="000410B4" w:rsidRPr="00D637A7" w:rsidRDefault="008E2D0D" w:rsidP="00D637A7">
      <w:pPr>
        <w:pStyle w:val="JuQuot"/>
      </w:pPr>
      <w:r>
        <w:t>„Ograniczenia praw i wolności, na które zezwala niniejsza Konwencja, nie będą stosowane w innych celach, niż te, dla których je wprowadzono”.</w:t>
      </w:r>
    </w:p>
    <w:p w14:paraId="79C46B9E" w14:textId="77777777" w:rsidR="000410B4" w:rsidRPr="00D637A7" w:rsidRDefault="008E2D0D" w:rsidP="00D637A7">
      <w:pPr>
        <w:pStyle w:val="JuHA"/>
      </w:pPr>
      <w:r>
        <w:t>Stanowiska stron</w:t>
      </w:r>
    </w:p>
    <w:p w14:paraId="7F6176DE" w14:textId="77777777" w:rsidR="000410B4" w:rsidRPr="00D637A7" w:rsidRDefault="00000000" w:rsidP="00D637A7">
      <w:pPr>
        <w:pStyle w:val="JuPara"/>
      </w:pPr>
      <w:fldSimple w:instr=" SEQ level0 \*arabic ">
        <w:r w:rsidR="006D0886">
          <w:rPr>
            <w:noProof/>
          </w:rPr>
          <w:t>295</w:t>
        </w:r>
      </w:fldSimple>
      <w:r w:rsidR="008E2D0D">
        <w:t>.  Rząd był zdania, że biorąc pod uwagę, iż wobec skarżącego nie zastosowano żadnych środków represyjnych, nie było potrzeby badania celu ich zastosowania, wobec czego w niniejszej sprawie nie miał zastosowania art. 18 Konwencji.</w:t>
      </w:r>
    </w:p>
    <w:p w14:paraId="591A2732" w14:textId="77777777" w:rsidR="000410B4" w:rsidRPr="00D637A7" w:rsidRDefault="00000000" w:rsidP="00D637A7">
      <w:pPr>
        <w:pStyle w:val="JuPara"/>
      </w:pPr>
      <w:fldSimple w:instr=" SEQ level0 \*arabic ">
        <w:r w:rsidR="006D0886">
          <w:rPr>
            <w:noProof/>
          </w:rPr>
          <w:t>296</w:t>
        </w:r>
      </w:fldSimple>
      <w:r w:rsidR="008E2D0D">
        <w:t xml:space="preserve">.  Powołując się na wyroki Trybunału w sprawie </w:t>
      </w:r>
      <w:r w:rsidR="008E2D0D">
        <w:rPr>
          <w:i/>
          <w:iCs/>
        </w:rPr>
        <w:t xml:space="preserve">Merabishvili </w:t>
      </w:r>
      <w:r w:rsidR="008E2D0D">
        <w:t>(</w:t>
      </w:r>
      <w:bookmarkStart w:id="139" w:name="_cl31788"/>
      <w:r w:rsidR="008E2D0D">
        <w:rPr>
          <w:i/>
          <w:iCs/>
        </w:rPr>
        <w:t>Merabishvili przeciwko Gruzji</w:t>
      </w:r>
      <w:bookmarkEnd w:id="139"/>
      <w:r w:rsidR="008E2D0D">
        <w:t xml:space="preserve"> </w:t>
      </w:r>
      <w:bookmarkStart w:id="140" w:name="_cl32711"/>
      <w:r w:rsidR="008E2D0D">
        <w:t xml:space="preserve">[WI], skarga nr 72508/13, 28 listopada 2017 r.) i </w:t>
      </w:r>
      <w:r w:rsidR="008E2D0D">
        <w:rPr>
          <w:i/>
          <w:iCs/>
        </w:rPr>
        <w:t>Navalnyy (Navalnyy przeciwko Rosji</w:t>
      </w:r>
      <w:r w:rsidR="008E2D0D">
        <w:t xml:space="preserve"> [WI], skarga nr 29580/12 i 4 inne, 15 listopada 2018 r.), Rząd stwierdził, że ponieważ w niniejszej sprawie nie doszło do naruszenia art. 6 ust. 1 i art. 8 Konwencji, nie powstaje w ogóle pytanie, czy środki zastosowane przez państwo zastosowano w celach innych niż przewidziane w tych postanowieniach. Zdaniem</w:t>
      </w:r>
      <w:bookmarkEnd w:id="140"/>
      <w:r w:rsidR="008E2D0D">
        <w:t xml:space="preserve"> Rządu zarzucany ukryty motyw stojący za ograniczeniami nie stanowił zasadniczego aspektu sprawy, a zatem art. 18 nie powinien być rozpatrywany w oderwaniu od pozostałych postanowień Konwencji. Co więcej, istota zarzutów skargi skarżącego została już zbadana przez Trybunał na podstawie art. 6 ust. 1 i art. 8 Konwencji.</w:t>
      </w:r>
    </w:p>
    <w:bookmarkStart w:id="141" w:name="violations_parties_submissions_1"/>
    <w:p w14:paraId="5B5E8F71"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297</w:t>
      </w:r>
      <w:r w:rsidRPr="00D637A7">
        <w:fldChar w:fldCharType="end"/>
      </w:r>
      <w:bookmarkEnd w:id="141"/>
      <w:r>
        <w:t xml:space="preserve">.  Rząd podkreślił, że uchylenie wyroku Sądu Apelacyjnego w Gdańsku z dnia 24 marca 2011 r. wynikało z konieczności przyjęcia środków indywidualnych w celu usunięcia naruszenia art. 10 Konwencji, do którego Rząd przyznał się w sprawie </w:t>
      </w:r>
      <w:r>
        <w:rPr>
          <w:i/>
          <w:iCs/>
        </w:rPr>
        <w:t>Wyszkowski</w:t>
      </w:r>
      <w:r>
        <w:t xml:space="preserve"> (</w:t>
      </w:r>
      <w:r>
        <w:rPr>
          <w:i/>
          <w:iCs/>
        </w:rPr>
        <w:t>op.cit.</w:t>
      </w:r>
      <w:r>
        <w:t xml:space="preserve">). Niezastosowanie środków indywidualnych w celu naprawienia naruszenia Konwencji byłoby, w świetle przyznania się Rządu do naruszenia w tamtej sprawie, równoznaczne, jak ujął </w:t>
      </w:r>
      <w:r>
        <w:lastRenderedPageBreak/>
        <w:t>to Rząd, z „niegodnym zaufania zachowaniem Rządu w ramach procesu” i z lekceważeniem orzeczeń Trybunału.</w:t>
      </w:r>
    </w:p>
    <w:bookmarkStart w:id="142" w:name="violations_parties_submissions"/>
    <w:p w14:paraId="55B1B991" w14:textId="0F3ADB42"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298</w:t>
      </w:r>
      <w:r w:rsidRPr="00D637A7">
        <w:fldChar w:fldCharType="end"/>
      </w:r>
      <w:bookmarkEnd w:id="142"/>
      <w:r>
        <w:t>.  Rząd powtórzył wreszcie swoje argumenty oparte na art. 6 ust. 1 Konwencji, dotyczące roli Prokuratora Generalnego jako organu władzy publicznej stojącego na straży praworządności oraz jego obowiązku wniesienia skargi nadzwyczajnej w sprawie skarżącego (zob. </w:t>
      </w:r>
      <w:r w:rsidR="00E40AE2">
        <w:t>par.</w:t>
      </w:r>
      <w:r>
        <w:t> </w:t>
      </w:r>
      <w:r w:rsidRPr="00D637A7">
        <w:fldChar w:fldCharType="begin"/>
      </w:r>
      <w:r w:rsidRPr="00D637A7">
        <w:instrText xml:space="preserve"> REF merits_parties_submissions \h </w:instrText>
      </w:r>
      <w:r w:rsidRPr="00D637A7">
        <w:fldChar w:fldCharType="separate"/>
      </w:r>
      <w:r w:rsidR="006D0886">
        <w:rPr>
          <w:noProof/>
        </w:rPr>
        <w:t>199</w:t>
      </w:r>
      <w:r w:rsidRPr="00D637A7">
        <w:fldChar w:fldCharType="end"/>
      </w:r>
      <w:r>
        <w:t xml:space="preserve"> powyżej).</w:t>
      </w:r>
    </w:p>
    <w:p w14:paraId="1E28CF83" w14:textId="26A01075" w:rsidR="000410B4" w:rsidRPr="00D637A7" w:rsidRDefault="00000000" w:rsidP="00D637A7">
      <w:pPr>
        <w:pStyle w:val="JuPara"/>
      </w:pPr>
      <w:fldSimple w:instr=" SEQ level0 \*arabic \* MERGEFORMAT ">
        <w:r w:rsidR="006D0886">
          <w:rPr>
            <w:noProof/>
          </w:rPr>
          <w:t>299</w:t>
        </w:r>
      </w:fldSimple>
      <w:r w:rsidR="008E2D0D">
        <w:t>.  Skarżący stwierdził w swojej skardze, że Prokurator Generalny, p. Ziobro, kierował się „ukrytym motywem” i działał z pobudek czysto politycznych. W Polsce było powszechnie wiadomo, że skarżący otwarcie sprzeciwia się rządowi i publicznie podkreślał, że rząd ten jest odpowiedzialny za kryzys konstytucyjny w Polsce i narusza zasadę praworządności.</w:t>
      </w:r>
    </w:p>
    <w:p w14:paraId="1EAD9448" w14:textId="77777777" w:rsidR="000410B4" w:rsidRPr="00D637A7" w:rsidRDefault="00000000" w:rsidP="00D637A7">
      <w:pPr>
        <w:pStyle w:val="JuPara"/>
      </w:pPr>
      <w:fldSimple w:instr=" SEQ level0 \*arabic \* MERGEFORMAT ">
        <w:r w:rsidR="006D0886">
          <w:rPr>
            <w:noProof/>
          </w:rPr>
          <w:t>300</w:t>
        </w:r>
      </w:fldSimple>
      <w:r w:rsidR="008E2D0D">
        <w:t>.  W swoich późniejszych pismach skarżący zauważał, że Prokurator Generalny konsekwentnie i publicznie dawał wyraz swoim osobistym uprzedzeniom wobec skarżącego. Wnosząc skargę nadzwyczajną, p. Ziobro dział w imię politycznego odwetu. Zdaniem skarżącego Rząd nie dowiódł istnienia żadnych uzasadnionych interesów prywatnych ani publicznych przemawiających za uciekaniem się do skargi nadzwyczajnej w jego sprawie. Już samo to powinno wystarczyć Trybunałowi do stwierdzenia naruszenia art. 18 Konwencji.</w:t>
      </w:r>
    </w:p>
    <w:p w14:paraId="041E50C6" w14:textId="77777777" w:rsidR="000410B4" w:rsidRPr="00D637A7" w:rsidRDefault="00000000" w:rsidP="00D637A7">
      <w:pPr>
        <w:pStyle w:val="JuPara"/>
      </w:pPr>
      <w:fldSimple w:instr=" SEQ level0 \*arabic \* MERGEFORMAT ">
        <w:r w:rsidR="006D0886">
          <w:rPr>
            <w:noProof/>
          </w:rPr>
          <w:t>301</w:t>
        </w:r>
      </w:fldSimple>
      <w:r w:rsidR="008E2D0D">
        <w:t xml:space="preserve">.  Z prawnego punktu widzenia spór cywilny pomiędzy skarżącym a p. Wyszkowskim był standardową sprawą o zniesławienie. Istniało bogate orzecznictwo krajowe i obszerna literatura prawna dotycząca tego zagadnienia. Jedyną wyjątkową okolicznością w tym </w:t>
      </w:r>
      <w:r w:rsidR="008E2D0D">
        <w:rPr>
          <w:i/>
          <w:iCs/>
        </w:rPr>
        <w:t>stricte</w:t>
      </w:r>
      <w:r w:rsidR="008E2D0D">
        <w:t xml:space="preserve"> osobistym sporze między dwiema osobami prywatnymi był status skarżącego jako postaci publicznej i historycznej, co sprawiło, że postępowanie wzbudziło znaczne zainteresowanie mediów.</w:t>
      </w:r>
    </w:p>
    <w:bookmarkStart w:id="143" w:name="parties_submissions_3"/>
    <w:p w14:paraId="1A0D5B67"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302</w:t>
      </w:r>
      <w:r w:rsidRPr="00D637A7">
        <w:fldChar w:fldCharType="end"/>
      </w:r>
      <w:bookmarkEnd w:id="143"/>
      <w:r>
        <w:t>.  Skarżący dostrzegł konieczność zapewnienia odpowiednich warunków dla poważnej debaty historycznej i naukowej. Taki uzasadniony interes publiczny nie mógł być jednak zagwarantowany procedurą skargi nadzwyczajnej. W rzeczywistości środek ten został wykorzystany przez władze publiczne jako możliwość udziału w debacie na temat przeszłości skarżącego, a władze w sposób ewidentny aktywnie poparły jedną ze stron i jeden punkt widzenia. Państwo powinno było pełnić rolę neutralnego obrońcy uczciwej i pogłębionej debaty historycznej, a nie jej aktywnego uczestnika, wymuszającego określony wynik.</w:t>
      </w:r>
    </w:p>
    <w:p w14:paraId="0D783CFD" w14:textId="77777777" w:rsidR="000410B4" w:rsidRPr="00D637A7" w:rsidRDefault="00000000" w:rsidP="00D637A7">
      <w:pPr>
        <w:pStyle w:val="JuPara"/>
      </w:pPr>
      <w:fldSimple w:instr=" SEQ level0 \*arabic \* MERGEFORMAT ">
        <w:r w:rsidR="006D0886">
          <w:rPr>
            <w:noProof/>
          </w:rPr>
          <w:t>303</w:t>
        </w:r>
      </w:fldSimple>
      <w:r w:rsidR="008E2D0D">
        <w:t>.  W opinii skarżącego jedynym celem decyzji Prokuratora Generalnego o wniesieniu skargi nadzwyczajnej w sprawie skarżącego było doprowadzenie do zmiany postrzegania skarżącego w oczach opinii publicznej i przedstawienie go jako zdrajcy i komunistycznego szpiega, a tym samym podważenie jego politycznego i historycznego dziedzictwa.</w:t>
      </w:r>
    </w:p>
    <w:bookmarkStart w:id="144" w:name="parties_submissions_4"/>
    <w:p w14:paraId="58C85CB9" w14:textId="63ED7104"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304</w:t>
      </w:r>
      <w:r w:rsidRPr="00D637A7">
        <w:fldChar w:fldCharType="end"/>
      </w:r>
      <w:bookmarkEnd w:id="144"/>
      <w:r>
        <w:t xml:space="preserve">.  Skarżący podkreślił dominującą pozycję państwa i władz publicznych w zaskarżonym postępowaniu. Odniósł się także do, jak to </w:t>
      </w:r>
      <w:r>
        <w:lastRenderedPageBreak/>
        <w:t>określił, „zatartych granic” między władzą wykonawczą (tj. p. Ziobrą występującym jednocześnie w roli Prokuratora Generalnego, Ministra Sprawiedliwości i opiniotwórczego polityka, który osobiście popiera oskarżenia formułowane przeciwko skarżącemu) a organem orzekającym.</w:t>
      </w:r>
    </w:p>
    <w:p w14:paraId="199A027F" w14:textId="77777777" w:rsidR="000410B4" w:rsidRPr="00D637A7" w:rsidRDefault="008E2D0D" w:rsidP="00D637A7">
      <w:pPr>
        <w:pStyle w:val="JuHA"/>
      </w:pPr>
      <w:r>
        <w:t>Ocena Trybunału</w:t>
      </w:r>
    </w:p>
    <w:p w14:paraId="445E7B15" w14:textId="2A9DD5B5" w:rsidR="000410B4" w:rsidRPr="00D637A7" w:rsidRDefault="00000000" w:rsidP="00D637A7">
      <w:pPr>
        <w:pStyle w:val="JuPara"/>
      </w:pPr>
      <w:fldSimple w:instr=" SEQ level0 \*arabic \* MERGEFORMAT ">
        <w:r w:rsidR="006D0886">
          <w:rPr>
            <w:noProof/>
          </w:rPr>
          <w:t>305</w:t>
        </w:r>
      </w:fldSimple>
      <w:r w:rsidR="008E2D0D">
        <w:t xml:space="preserve">.  Podobnie jak art. 14, również art. 18 Konwencji nie funkcjonuje w oderwaniu od innych postanowień; może być stosowany wyłącznie w związku z artykułem Konwencji lub protokołem do niej, w których określa się lub kwalifikuje prawa i wolności, które Układające się Strony zobowiązały się zagwarantować osobom podlegającym ich jurysdykcji. Zasada ta wynika zarówno z jego brzmienia, które uzupełnia brzmienie postanowień takich jak art. 5 ust. 1 zdanie drugie oraz </w:t>
      </w:r>
      <w:r w:rsidR="00E24EC2">
        <w:t>ustępów drugich artykułów od 8 do 11</w:t>
      </w:r>
      <w:r w:rsidR="008E2D0D">
        <w:t xml:space="preserve">, dopuszczających ograniczenia danych praw i wolności, jak i z usytuowania w Konwencji na końcu rozdziału I zawierającego artykuły definiujące i kwalifikujące te prawa i wolności (zob. </w:t>
      </w:r>
      <w:r w:rsidR="008E2D0D">
        <w:rPr>
          <w:i/>
          <w:iCs/>
        </w:rPr>
        <w:t>Merabishvili</w:t>
      </w:r>
      <w:r w:rsidR="008E2D0D">
        <w:t xml:space="preserve">, </w:t>
      </w:r>
      <w:r w:rsidR="008E2D0D">
        <w:rPr>
          <w:i/>
          <w:iCs/>
        </w:rPr>
        <w:t>op.cit.</w:t>
      </w:r>
      <w:r w:rsidR="008E2D0D">
        <w:t xml:space="preserve">, § 287, z dalszymi odniesieniami; </w:t>
      </w:r>
      <w:r w:rsidR="008E2D0D">
        <w:rPr>
          <w:i/>
        </w:rPr>
        <w:t>Navalnyy</w:t>
      </w:r>
      <w:r w:rsidR="008E2D0D">
        <w:t xml:space="preserve">, </w:t>
      </w:r>
      <w:r w:rsidR="008E2D0D">
        <w:rPr>
          <w:i/>
          <w:iCs/>
        </w:rPr>
        <w:t>op.cit.</w:t>
      </w:r>
      <w:r w:rsidR="008E2D0D">
        <w:t xml:space="preserve">, § 164; a także </w:t>
      </w:r>
      <w:proofErr w:type="spellStart"/>
      <w:r w:rsidR="008E2D0D">
        <w:rPr>
          <w:i/>
        </w:rPr>
        <w:t>Selahattin</w:t>
      </w:r>
      <w:proofErr w:type="spellEnd"/>
      <w:r w:rsidR="008E2D0D">
        <w:rPr>
          <w:i/>
        </w:rPr>
        <w:t xml:space="preserve"> </w:t>
      </w:r>
      <w:proofErr w:type="spellStart"/>
      <w:r w:rsidR="008E2D0D">
        <w:rPr>
          <w:i/>
        </w:rPr>
        <w:t>Demirtaş</w:t>
      </w:r>
      <w:proofErr w:type="spellEnd"/>
      <w:r w:rsidR="008E2D0D">
        <w:rPr>
          <w:i/>
        </w:rPr>
        <w:t xml:space="preserve"> przeciwko Turcji (nr 2)</w:t>
      </w:r>
      <w:r w:rsidR="008E2D0D">
        <w:t xml:space="preserve"> [WI], skarga nr 14305/17, § 421, 22 grudnia 2020 r.).</w:t>
      </w:r>
    </w:p>
    <w:p w14:paraId="77A4B043" w14:textId="5FF12D84" w:rsidR="000410B4" w:rsidRPr="00D637A7" w:rsidRDefault="00000000" w:rsidP="00D637A7">
      <w:pPr>
        <w:pStyle w:val="JuPara"/>
      </w:pPr>
      <w:fldSimple w:instr=" SEQ level0 \*arabic \* MERGEFORMAT ">
        <w:r w:rsidR="006D0886">
          <w:rPr>
            <w:noProof/>
          </w:rPr>
          <w:t>306</w:t>
        </w:r>
      </w:fldSimple>
      <w:r w:rsidR="008E2D0D">
        <w:t>.  Otwartą pozostaje kwestia, czy art. 6 Konwencji zawiera jakiekolwiek wyraźne lub dorozumiane ograniczenia, które mogą stanowić przedmiot badania Trybunału na podstawie art. 18 Konwencji</w:t>
      </w:r>
      <w:r w:rsidR="00E24EC2">
        <w:t xml:space="preserve"> </w:t>
      </w:r>
      <w:r w:rsidR="008E2D0D">
        <w:t>(zob. </w:t>
      </w:r>
      <w:bookmarkStart w:id="145" w:name="_cl27896"/>
      <w:proofErr w:type="spellStart"/>
      <w:r w:rsidR="008E2D0D">
        <w:rPr>
          <w:i/>
          <w:iCs/>
        </w:rPr>
        <w:t>Ilgar</w:t>
      </w:r>
      <w:proofErr w:type="spellEnd"/>
      <w:r w:rsidR="008E2D0D">
        <w:rPr>
          <w:i/>
          <w:iCs/>
        </w:rPr>
        <w:t xml:space="preserve"> </w:t>
      </w:r>
      <w:proofErr w:type="spellStart"/>
      <w:r w:rsidR="008E2D0D">
        <w:rPr>
          <w:i/>
          <w:iCs/>
        </w:rPr>
        <w:t>Mammadov</w:t>
      </w:r>
      <w:proofErr w:type="spellEnd"/>
      <w:r w:rsidR="008E2D0D">
        <w:rPr>
          <w:i/>
          <w:iCs/>
        </w:rPr>
        <w:t xml:space="preserve"> przeciwko Azerbejdżanowi (nr 2)</w:t>
      </w:r>
      <w:bookmarkEnd w:id="145"/>
      <w:r w:rsidR="008E2D0D">
        <w:t xml:space="preserve">, skarga nr 919/15, § 261, 16 listopada 2017 r., z odniesieniami do wyroku </w:t>
      </w:r>
      <w:r w:rsidR="008E2D0D">
        <w:rPr>
          <w:i/>
        </w:rPr>
        <w:t xml:space="preserve">Navalnyy i </w:t>
      </w:r>
      <w:proofErr w:type="spellStart"/>
      <w:r w:rsidR="008E2D0D">
        <w:rPr>
          <w:i/>
        </w:rPr>
        <w:t>Ofitserov</w:t>
      </w:r>
      <w:proofErr w:type="spellEnd"/>
      <w:r w:rsidR="008E2D0D">
        <w:rPr>
          <w:i/>
        </w:rPr>
        <w:t xml:space="preserve"> przeciwko Rosji</w:t>
      </w:r>
      <w:r w:rsidR="008E2D0D">
        <w:t xml:space="preserve">, skargi nr 46632/13 i 28671/14, § 129, 23 lutego 2016 r., gdzie w okolicznościach istotnych dla tej sprawy Trybunał odrzucił jako niezgodną </w:t>
      </w:r>
      <w:r w:rsidR="008E2D0D">
        <w:rPr>
          <w:i/>
        </w:rPr>
        <w:t>ratione materiae</w:t>
      </w:r>
      <w:r w:rsidR="008E2D0D">
        <w:t xml:space="preserve"> skargę na podstawie art. 18 złożoną w związku z art. 6 i 7; </w:t>
      </w:r>
      <w:proofErr w:type="spellStart"/>
      <w:r w:rsidR="008E2D0D">
        <w:rPr>
          <w:i/>
        </w:rPr>
        <w:t>Năstase</w:t>
      </w:r>
      <w:proofErr w:type="spellEnd"/>
      <w:r w:rsidR="008E2D0D">
        <w:rPr>
          <w:i/>
        </w:rPr>
        <w:t xml:space="preserve"> przeciwko Rumunii </w:t>
      </w:r>
      <w:r w:rsidR="008E2D0D">
        <w:t>(</w:t>
      </w:r>
      <w:proofErr w:type="spellStart"/>
      <w:r w:rsidR="008E2D0D">
        <w:t>dec</w:t>
      </w:r>
      <w:proofErr w:type="spellEnd"/>
      <w:r w:rsidR="008E2D0D">
        <w:t xml:space="preserve">.), skarga nr 80563/12, §§ 105-09, 18 listopada 2014 r., gdzie Trybunał odrzucił jako w oczywisty sposób nieuzasadnioną skargę na podstawie art. 18 złożoną w związku z art. 6; a także </w:t>
      </w:r>
      <w:proofErr w:type="spellStart"/>
      <w:r w:rsidR="008E2D0D">
        <w:rPr>
          <w:i/>
        </w:rPr>
        <w:t>Khodorkovskiy</w:t>
      </w:r>
      <w:proofErr w:type="spellEnd"/>
      <w:r w:rsidR="008E2D0D">
        <w:rPr>
          <w:i/>
        </w:rPr>
        <w:t xml:space="preserve"> przeciwko Rosji (nr 2)</w:t>
      </w:r>
      <w:r w:rsidR="008E2D0D">
        <w:t xml:space="preserve">, skarga nr 11082/06, § 16, 8 listopada 2011 r. i </w:t>
      </w:r>
      <w:proofErr w:type="spellStart"/>
      <w:r w:rsidR="008E2D0D">
        <w:rPr>
          <w:i/>
          <w:iCs/>
        </w:rPr>
        <w:t>Lebedev</w:t>
      </w:r>
      <w:proofErr w:type="spellEnd"/>
      <w:r w:rsidR="008E2D0D">
        <w:rPr>
          <w:i/>
          <w:iCs/>
        </w:rPr>
        <w:t xml:space="preserve"> przeciwko Rosji (nr 2)</w:t>
      </w:r>
      <w:r w:rsidR="008E2D0D">
        <w:t xml:space="preserve">, skarga nr 13772/05, §§ 310-14, 27 maja 2010 r., w których uznał za dopuszczalne skargi na podstawie art. 18 wniesione przez skarżących w związku z art. 5, 6, 7 i 8, a następnie, po zbadaniu przedmiotu tych skarg w wyroku </w:t>
      </w:r>
      <w:proofErr w:type="spellStart"/>
      <w:r w:rsidR="008E2D0D">
        <w:rPr>
          <w:i/>
        </w:rPr>
        <w:t>Khodorkovskiy</w:t>
      </w:r>
      <w:proofErr w:type="spellEnd"/>
      <w:r w:rsidR="008E2D0D">
        <w:rPr>
          <w:i/>
        </w:rPr>
        <w:t xml:space="preserve"> i </w:t>
      </w:r>
      <w:proofErr w:type="spellStart"/>
      <w:r w:rsidR="008E2D0D">
        <w:rPr>
          <w:i/>
        </w:rPr>
        <w:t>Lebedev</w:t>
      </w:r>
      <w:proofErr w:type="spellEnd"/>
      <w:r w:rsidR="008E2D0D">
        <w:rPr>
          <w:snapToGrid w:val="0"/>
        </w:rPr>
        <w:t xml:space="preserve"> </w:t>
      </w:r>
      <w:r w:rsidR="008E2D0D">
        <w:rPr>
          <w:i/>
        </w:rPr>
        <w:t>przeciwko Rosji</w:t>
      </w:r>
      <w:r w:rsidR="008E2D0D">
        <w:rPr>
          <w:snapToGrid w:val="0"/>
        </w:rPr>
        <w:t xml:space="preserve">, skarga nr  11082/06 i 13772/05, §§ 897-909, 25 lipca 2013 r., </w:t>
      </w:r>
      <w:r w:rsidR="008E2D0D">
        <w:t>nie stwierdził naruszenia art. 18.</w:t>
      </w:r>
    </w:p>
    <w:p w14:paraId="040B002A" w14:textId="77777777" w:rsidR="000410B4" w:rsidRPr="00D637A7" w:rsidRDefault="00000000" w:rsidP="00D637A7">
      <w:pPr>
        <w:pStyle w:val="JuPara"/>
      </w:pPr>
      <w:fldSimple w:instr=" SEQ level0 \*arabic \* MERGEFORMAT ">
        <w:r w:rsidR="006D0886">
          <w:rPr>
            <w:noProof/>
          </w:rPr>
          <w:t>307</w:t>
        </w:r>
      </w:fldSimple>
      <w:r w:rsidR="008E2D0D">
        <w:t xml:space="preserve">.  Mając na uwadze okoliczności faktyczne sprawy, stanowiska stron oraz własne ustalenia na podstawie art. 6 ust. 1 i art. 8 Konwencji, Trybunał uznaje, że zbadał główne kwestie prawne podniesione w rozpatrywanej obecnie skardze i że w niniejszej sprawie nie zachodzi konieczność wydawania odrębnego orzeczenia w przedmiocie dopuszczalności i przedmiotu skargi na podstawie art. 18 w związku z art. 6 ust. 1 i art. 8 </w:t>
      </w:r>
      <w:r w:rsidR="008E2D0D">
        <w:lastRenderedPageBreak/>
        <w:t>Konwencji (zob. </w:t>
      </w:r>
      <w:proofErr w:type="spellStart"/>
      <w:r w:rsidR="008E2D0D">
        <w:rPr>
          <w:i/>
          <w:iCs/>
        </w:rPr>
        <w:t>Ilgar</w:t>
      </w:r>
      <w:proofErr w:type="spellEnd"/>
      <w:r w:rsidR="008E2D0D">
        <w:rPr>
          <w:i/>
          <w:iCs/>
        </w:rPr>
        <w:t xml:space="preserve"> </w:t>
      </w:r>
      <w:proofErr w:type="spellStart"/>
      <w:r w:rsidR="008E2D0D">
        <w:rPr>
          <w:i/>
          <w:iCs/>
        </w:rPr>
        <w:t>Mammadov</w:t>
      </w:r>
      <w:proofErr w:type="spellEnd"/>
      <w:r w:rsidR="008E2D0D">
        <w:t xml:space="preserve">, </w:t>
      </w:r>
      <w:r w:rsidR="008E2D0D">
        <w:rPr>
          <w:i/>
          <w:iCs/>
        </w:rPr>
        <w:t>op.cit.</w:t>
      </w:r>
      <w:r w:rsidR="008E2D0D">
        <w:t xml:space="preserve">, powyżej, § 262, a także </w:t>
      </w:r>
      <w:bookmarkStart w:id="146" w:name="_cl23277"/>
      <w:r w:rsidR="008E2D0D">
        <w:rPr>
          <w:i/>
          <w:iCs/>
        </w:rPr>
        <w:t xml:space="preserve">Centre for </w:t>
      </w:r>
      <w:proofErr w:type="spellStart"/>
      <w:r w:rsidR="008E2D0D">
        <w:rPr>
          <w:i/>
          <w:iCs/>
        </w:rPr>
        <w:t>Legal</w:t>
      </w:r>
      <w:proofErr w:type="spellEnd"/>
      <w:r w:rsidR="008E2D0D">
        <w:rPr>
          <w:i/>
          <w:iCs/>
        </w:rPr>
        <w:t xml:space="preserve"> </w:t>
      </w:r>
      <w:proofErr w:type="spellStart"/>
      <w:r w:rsidR="008E2D0D">
        <w:rPr>
          <w:i/>
          <w:iCs/>
        </w:rPr>
        <w:t>Resources</w:t>
      </w:r>
      <w:proofErr w:type="spellEnd"/>
      <w:r w:rsidR="008E2D0D">
        <w:rPr>
          <w:i/>
          <w:iCs/>
        </w:rPr>
        <w:t xml:space="preserve"> on </w:t>
      </w:r>
      <w:proofErr w:type="spellStart"/>
      <w:r w:rsidR="008E2D0D">
        <w:rPr>
          <w:i/>
          <w:iCs/>
        </w:rPr>
        <w:t>behalf</w:t>
      </w:r>
      <w:proofErr w:type="spellEnd"/>
      <w:r w:rsidR="008E2D0D">
        <w:rPr>
          <w:i/>
          <w:iCs/>
        </w:rPr>
        <w:t xml:space="preserve"> of Valentin </w:t>
      </w:r>
      <w:proofErr w:type="spellStart"/>
      <w:r w:rsidR="008E2D0D">
        <w:rPr>
          <w:i/>
          <w:iCs/>
        </w:rPr>
        <w:t>Câmpeanu</w:t>
      </w:r>
      <w:proofErr w:type="spellEnd"/>
      <w:r w:rsidR="008E2D0D">
        <w:rPr>
          <w:i/>
          <w:iCs/>
        </w:rPr>
        <w:t xml:space="preserve"> przeciwko Rumunii</w:t>
      </w:r>
      <w:bookmarkEnd w:id="146"/>
      <w:r w:rsidR="008E2D0D">
        <w:t xml:space="preserve"> [WI], skarga nr 47848/08, § 156, </w:t>
      </w:r>
      <w:proofErr w:type="spellStart"/>
      <w:r w:rsidR="008E2D0D">
        <w:t>ETPCz</w:t>
      </w:r>
      <w:proofErr w:type="spellEnd"/>
      <w:r w:rsidR="008E2D0D">
        <w:t xml:space="preserve"> 2014, z dalszymi odniesieniami).</w:t>
      </w:r>
    </w:p>
    <w:p w14:paraId="35120E9F" w14:textId="77777777" w:rsidR="000410B4" w:rsidRPr="00D637A7" w:rsidRDefault="008E2D0D" w:rsidP="00D637A7">
      <w:pPr>
        <w:pStyle w:val="JuHIRoman"/>
      </w:pPr>
      <w:r>
        <w:t>ZASTOSOWANIE ARTYKUŁU 46 KONWENCJI</w:t>
      </w:r>
    </w:p>
    <w:p w14:paraId="10C7A88E" w14:textId="4DD057EC" w:rsidR="000410B4" w:rsidRPr="00D637A7" w:rsidRDefault="00000000" w:rsidP="00D637A7">
      <w:pPr>
        <w:pStyle w:val="JuPara"/>
      </w:pPr>
      <w:fldSimple w:instr=" SEQ level0 \*arabic \* MERGEFORMAT ">
        <w:r w:rsidR="006D0886">
          <w:rPr>
            <w:noProof/>
          </w:rPr>
          <w:t>308</w:t>
        </w:r>
      </w:fldSimple>
      <w:r w:rsidR="008E2D0D">
        <w:t>.  </w:t>
      </w:r>
      <w:r w:rsidR="003D1A6D">
        <w:t>Art.</w:t>
      </w:r>
      <w:r w:rsidR="008E2D0D">
        <w:t> 46 Konwencji stanowi w istotnym zakresie, co następuje:</w:t>
      </w:r>
    </w:p>
    <w:p w14:paraId="569A0B4E" w14:textId="77777777" w:rsidR="000410B4" w:rsidRPr="00D637A7" w:rsidRDefault="008E2D0D" w:rsidP="00D637A7">
      <w:pPr>
        <w:pStyle w:val="JuQuot"/>
      </w:pPr>
      <w:r>
        <w:t>„1.  Wysokie Układające się Strony zobowiązują się do przestrzegania ostatecznego wyroku Trybunału w każdej sprawie, w której są stronami.</w:t>
      </w:r>
    </w:p>
    <w:p w14:paraId="6EB08042" w14:textId="77777777" w:rsidR="000410B4" w:rsidRPr="00D637A7" w:rsidRDefault="008E2D0D" w:rsidP="00D637A7">
      <w:pPr>
        <w:pStyle w:val="JuQuot"/>
      </w:pPr>
      <w:r>
        <w:t>2.  Ostateczny wyrok Trybunału przekazuje się Komitetowi Ministrów, który czuwa nad jego wykonaniem”.</w:t>
      </w:r>
    </w:p>
    <w:p w14:paraId="0435446A" w14:textId="080AE36C" w:rsidR="000410B4" w:rsidRPr="00D637A7" w:rsidRDefault="00000000" w:rsidP="00D637A7">
      <w:pPr>
        <w:pStyle w:val="JuPara"/>
      </w:pPr>
      <w:fldSimple w:instr=" SEQ level0 \*arabic \* MERGEFORMAT ">
        <w:r w:rsidR="006D0886">
          <w:rPr>
            <w:noProof/>
          </w:rPr>
          <w:t>309</w:t>
        </w:r>
      </w:fldSimple>
      <w:r w:rsidR="008E2D0D">
        <w:t xml:space="preserve">.  Reguła 61 Regulaminu Trybunału, która </w:t>
      </w:r>
      <w:r w:rsidR="003D1A6D">
        <w:t>zawiera</w:t>
      </w:r>
      <w:r w:rsidR="008E2D0D">
        <w:t xml:space="preserve"> przepisy regulujące procedurę wyroku pilotażowego brzmi, we właściwym zakresie, następująco:</w:t>
      </w:r>
    </w:p>
    <w:p w14:paraId="0A8E414C" w14:textId="77777777" w:rsidR="000410B4" w:rsidRPr="00D637A7" w:rsidRDefault="008E2D0D" w:rsidP="00D637A7">
      <w:pPr>
        <w:pStyle w:val="JuQuot"/>
      </w:pPr>
      <w:r>
        <w:t>„§ 1. Trybunał może wszcząć procedurę wyroku pilotażowego i wydać wyrok pilotażowy, jeśli stan faktyczny skargi wskazuje, że w danej Układającej się Stronie istnieje problem strukturalny lub systemowy albo inna podobna dysfunkcja, która spowodowała lub może spowodować wniesienie podobnych skarg.</w:t>
      </w:r>
    </w:p>
    <w:p w14:paraId="0E6BA939" w14:textId="77777777" w:rsidR="000410B4" w:rsidRPr="00D637A7" w:rsidRDefault="008E2D0D" w:rsidP="00D637A7">
      <w:pPr>
        <w:pStyle w:val="JuQuot"/>
      </w:pPr>
      <w:r>
        <w:t>2. a) Przed wszczęciem procedury wyroku pilotażowego Trybunał najpierw zwraca się do stron o ich opinię, czy rozpatrywana skarga jest rezultatem istnienia takiego problemu lub dysfunkcji w danej Układającej się Stronie oraz czy zastosowanie procedury wyroku pilotażowego do rozpatrzenia skargi jest właściwe.</w:t>
      </w:r>
    </w:p>
    <w:p w14:paraId="5347B46A" w14:textId="77777777" w:rsidR="000410B4" w:rsidRPr="00D637A7" w:rsidRDefault="008E2D0D" w:rsidP="00D637A7">
      <w:pPr>
        <w:pStyle w:val="JuQuot"/>
      </w:pPr>
      <w:r>
        <w:t>[…]</w:t>
      </w:r>
    </w:p>
    <w:p w14:paraId="00E13601" w14:textId="77777777" w:rsidR="000410B4" w:rsidRPr="00D637A7" w:rsidRDefault="008E2D0D" w:rsidP="00D637A7">
      <w:pPr>
        <w:pStyle w:val="JuQuot"/>
      </w:pPr>
      <w:r>
        <w:t>§ 3. W wyroku pilotażowym Trybunał identyfikuje zarówno charakter problemu strukturalnego lub systemowego bądź innej stwierdzonej dysfunkcji, jak również typ środków naprawczych, które zainteresowana Układająca się Strona powinna podjąć na poziomie krajowym na podstawie sentencji wyroku</w:t>
      </w:r>
    </w:p>
    <w:p w14:paraId="5AE182A1" w14:textId="77777777" w:rsidR="000410B4" w:rsidRPr="00D637A7" w:rsidRDefault="008E2D0D" w:rsidP="00D637A7">
      <w:pPr>
        <w:pStyle w:val="JuQuot"/>
      </w:pPr>
      <w:r>
        <w:t>§ 4. Trybunał może postanowić w sentencji wyroku pilotażowego, że środki naprawcze, o których mowa w ust. 3 powyżej, mają być przyjęte w określonym terminie, mając na uwadze charakter wymaganych środków i szybkość, z jaką zidentyfikowany przez Trybunał problem może być naprawiony na poziomie krajowym.</w:t>
      </w:r>
    </w:p>
    <w:p w14:paraId="185D3229" w14:textId="77777777" w:rsidR="000410B4" w:rsidRPr="00D637A7" w:rsidRDefault="008E2D0D" w:rsidP="00D637A7">
      <w:pPr>
        <w:pStyle w:val="JuQuot"/>
      </w:pPr>
      <w:r>
        <w:t>[…]”</w:t>
      </w:r>
    </w:p>
    <w:p w14:paraId="4A59FB67" w14:textId="6269A441" w:rsidR="000410B4" w:rsidRPr="00D637A7" w:rsidRDefault="008E2D0D" w:rsidP="00D637A7">
      <w:pPr>
        <w:pStyle w:val="JuHA"/>
      </w:pPr>
      <w:r>
        <w:t xml:space="preserve">Zastosowanie procedury </w:t>
      </w:r>
      <w:r w:rsidR="003D1A6D">
        <w:t>wyroku pilotażowego</w:t>
      </w:r>
    </w:p>
    <w:p w14:paraId="790E7435" w14:textId="67A39C00" w:rsidR="000410B4" w:rsidRPr="00D637A7" w:rsidRDefault="008E2D0D" w:rsidP="00D637A7">
      <w:pPr>
        <w:pStyle w:val="JuH1"/>
      </w:pPr>
      <w:r>
        <w:t xml:space="preserve">Zastrzeżenie Rządu </w:t>
      </w:r>
      <w:r w:rsidR="003D1A6D">
        <w:t>co do</w:t>
      </w:r>
      <w:r>
        <w:t xml:space="preserve"> zastosowania procedury wyroku pilotażowego</w:t>
      </w:r>
    </w:p>
    <w:p w14:paraId="3A8D14A2" w14:textId="44AC4291" w:rsidR="000410B4" w:rsidRPr="00D637A7" w:rsidRDefault="00000000" w:rsidP="00D637A7">
      <w:pPr>
        <w:pStyle w:val="JuPara"/>
      </w:pPr>
      <w:fldSimple w:instr=" SEQ level0 \*arabic \* MERGEFORMAT ">
        <w:r w:rsidR="006D0886">
          <w:rPr>
            <w:noProof/>
          </w:rPr>
          <w:t>310</w:t>
        </w:r>
      </w:fldSimple>
      <w:r w:rsidR="008E2D0D">
        <w:t xml:space="preserve">.  Rząd stwierdził, że niniejsza sprawa nie jest odpowiednia do procedury </w:t>
      </w:r>
      <w:r w:rsidR="003D1A6D">
        <w:t>wyroku pilotażowego</w:t>
      </w:r>
      <w:r w:rsidR="008E2D0D">
        <w:t xml:space="preserve">, ponieważ okoliczności faktyczne sprawy nie </w:t>
      </w:r>
      <w:r w:rsidR="00A60335">
        <w:t>ujawniają istnienia</w:t>
      </w:r>
      <w:r w:rsidR="008E2D0D">
        <w:t xml:space="preserve"> „systemowego” lub „strukturalnego” problemu lub innej podobnej dysfunkcji, która spowodowała lub </w:t>
      </w:r>
      <w:r w:rsidR="00A60335">
        <w:t>mogłaby</w:t>
      </w:r>
      <w:r w:rsidR="008E2D0D">
        <w:t xml:space="preserve"> spowodować podobne skargi.</w:t>
      </w:r>
    </w:p>
    <w:p w14:paraId="515D5C99" w14:textId="4E83AC3A" w:rsidR="000410B4" w:rsidRPr="00D637A7" w:rsidRDefault="00000000" w:rsidP="00D637A7">
      <w:pPr>
        <w:pStyle w:val="JuPara"/>
      </w:pPr>
      <w:fldSimple w:instr=" SEQ level0 \*arabic \* MERGEFORMAT ">
        <w:r w:rsidR="006D0886">
          <w:rPr>
            <w:noProof/>
          </w:rPr>
          <w:t>311</w:t>
        </w:r>
      </w:fldSimple>
      <w:r w:rsidR="008E2D0D">
        <w:t xml:space="preserve">.  Zdaniem Rządu procedura wyroku pilotażowego była dotychczas stosowana przez Trybunał w przypadkach dysfunkcji w ustawodawstwie krajowym, które prowadziły do nierówności w sprawach społecznych, majątkowych, wyborczych i cywilnych lub </w:t>
      </w:r>
      <w:r w:rsidR="00A60335">
        <w:t xml:space="preserve">w zakresie </w:t>
      </w:r>
      <w:r w:rsidR="008E2D0D">
        <w:t>prawa do wysłuchania w rozsądnym terminie. Nigdy nie stosowano jej w odniesieniu do instytucji prawa procesowego funkcjonującej w danym państwie. Zastosowanie tej procedury w niniejszej sprawie byłoby nietypowe i niezgodne z utrwaloną praktyką Trybunału. Trybunał nie wskazał, że otrzymał dużą liczbę skarg dotyczących funkcjonowania skargi nadzwyczajnej. Do dnia przedstawienia uwag Rządowi nie zakomunikowano żadnej innej skargi związanej z</w:t>
      </w:r>
      <w:r w:rsidR="00A60335">
        <w:t>e sprawą dotyczącą</w:t>
      </w:r>
      <w:r w:rsidR="008E2D0D">
        <w:t xml:space="preserve"> mechanizm</w:t>
      </w:r>
      <w:r w:rsidR="00A60335">
        <w:t>u</w:t>
      </w:r>
      <w:r w:rsidR="008E2D0D">
        <w:t xml:space="preserve"> skargi nadzwyczajnej. Jeżeli zarzucany problem dotyczył tylko jednej skargi, trudno go </w:t>
      </w:r>
      <w:r w:rsidR="00A60335">
        <w:t>uważać</w:t>
      </w:r>
      <w:r w:rsidR="008E2D0D">
        <w:t xml:space="preserve"> za systemowy lub strukturalny.</w:t>
      </w:r>
    </w:p>
    <w:p w14:paraId="05B639F2" w14:textId="4FF5F60E" w:rsidR="000410B4" w:rsidRPr="00D637A7" w:rsidRDefault="00000000" w:rsidP="00D637A7">
      <w:pPr>
        <w:pStyle w:val="JuPara"/>
      </w:pPr>
      <w:fldSimple w:instr=" SEQ level0 \*arabic \* MERGEFORMAT ">
        <w:r w:rsidR="006D0886">
          <w:rPr>
            <w:noProof/>
          </w:rPr>
          <w:t>312</w:t>
        </w:r>
      </w:fldSimple>
      <w:r w:rsidR="008E2D0D">
        <w:t xml:space="preserve">.  Ponadto dla Rządu nie było jasne, z jakich powodów Trybunał rozważał zastosowanie procedury wyroku pilotażowego w tej sprawie. Pytania zadane stronom </w:t>
      </w:r>
      <w:r w:rsidR="00241DCA">
        <w:t>w komunikacji</w:t>
      </w:r>
      <w:r w:rsidR="008E2D0D">
        <w:t xml:space="preserve"> nie wskazywały wyraźnie, czy Trybunał zamierzał analizować instytucję skargi nadzwyczajnej jako takiej, czy też zamierzał analizować fakt, że to IKNiSP była właściwa do jej rozpoznawania.</w:t>
      </w:r>
    </w:p>
    <w:p w14:paraId="3AD99CA8" w14:textId="77777777" w:rsidR="000410B4" w:rsidRPr="00D637A7" w:rsidRDefault="008E2D0D" w:rsidP="00D637A7">
      <w:pPr>
        <w:pStyle w:val="JuPara"/>
      </w:pPr>
      <w:r>
        <w:t>W związku z powyższym Rząd zwrócił się do Trybunału o niestosowanie procedury wyroku pilotażowego w niniejszej sprawie.</w:t>
      </w:r>
    </w:p>
    <w:p w14:paraId="495BA528" w14:textId="77777777" w:rsidR="000410B4" w:rsidRPr="00D637A7" w:rsidRDefault="00000000" w:rsidP="00D637A7">
      <w:pPr>
        <w:pStyle w:val="JuPara"/>
      </w:pPr>
      <w:fldSimple w:instr=" SEQ level0 \*arabic \* MERGEFORMAT ">
        <w:r w:rsidR="006D0886">
          <w:rPr>
            <w:noProof/>
          </w:rPr>
          <w:t>313</w:t>
        </w:r>
      </w:fldSimple>
      <w:r w:rsidR="008E2D0D">
        <w:t>.  Skarżący nie zajął stanowiska w kwestii art. 46 Konwencji.</w:t>
      </w:r>
    </w:p>
    <w:p w14:paraId="5BDBDE59" w14:textId="77777777" w:rsidR="000410B4" w:rsidRPr="00D637A7" w:rsidRDefault="008E2D0D" w:rsidP="00D637A7">
      <w:pPr>
        <w:pStyle w:val="JuH1"/>
      </w:pPr>
      <w:r>
        <w:t>Ocena Trybunału</w:t>
      </w:r>
    </w:p>
    <w:p w14:paraId="1CEDEEFA" w14:textId="77777777" w:rsidR="000410B4" w:rsidRPr="00D637A7" w:rsidRDefault="008E2D0D" w:rsidP="00D637A7">
      <w:pPr>
        <w:pStyle w:val="JuHa0"/>
      </w:pPr>
      <w:r>
        <w:t>Zasady wynikające z orzecznictwa Trybunału</w:t>
      </w:r>
    </w:p>
    <w:p w14:paraId="6EF59CD9" w14:textId="451EC869" w:rsidR="000410B4" w:rsidRPr="00D637A7" w:rsidRDefault="00000000" w:rsidP="00D637A7">
      <w:pPr>
        <w:pStyle w:val="JuPara"/>
      </w:pPr>
      <w:fldSimple w:instr=" SEQ level0 \*arabic \* MERGEFORMAT ">
        <w:r w:rsidR="006D0886">
          <w:rPr>
            <w:noProof/>
          </w:rPr>
          <w:t>314</w:t>
        </w:r>
      </w:fldSimple>
      <w:r w:rsidR="008E2D0D">
        <w:t>.  Procedurę wyroku pilotażowego stworzono w odpowiedzi na wzrost liczby spraw rozpatrywanych przez Trybunał, spowodowany serią spraw wynikających z tej samej dysfunkcji strukturalnej lub systemowej, a także w celu zapewnienia długo</w:t>
      </w:r>
      <w:r w:rsidR="00241DCA">
        <w:t>terminowej</w:t>
      </w:r>
      <w:r w:rsidR="008E2D0D">
        <w:t xml:space="preserve"> skuteczności systemu Konwencji (zob.</w:t>
      </w:r>
      <w:r w:rsidR="00241DCA">
        <w:t>,</w:t>
      </w:r>
      <w:r w:rsidR="008E2D0D">
        <w:t> m.in. przykład</w:t>
      </w:r>
      <w:r w:rsidR="00241DCA">
        <w:t>ami,</w:t>
      </w:r>
      <w:r w:rsidR="008E2D0D">
        <w:t xml:space="preserve"> </w:t>
      </w:r>
      <w:bookmarkStart w:id="147" w:name="_cl22645"/>
      <w:r w:rsidR="008E2D0D">
        <w:rPr>
          <w:i/>
          <w:iCs/>
        </w:rPr>
        <w:t>Broniowski przeciwko Polsce</w:t>
      </w:r>
      <w:bookmarkEnd w:id="147"/>
      <w:r w:rsidR="008E2D0D">
        <w:t xml:space="preserve"> (</w:t>
      </w:r>
      <w:r w:rsidR="00241DCA">
        <w:t>meritum</w:t>
      </w:r>
      <w:r w:rsidR="008E2D0D">
        <w:t>) [WI], skarga nr 31443/96, § 190-191, ETPC 2004</w:t>
      </w:r>
      <w:r w:rsidR="008E2D0D">
        <w:noBreakHyphen/>
        <w:t>V</w:t>
      </w:r>
      <w:r w:rsidR="00241DCA">
        <w:t>,</w:t>
      </w:r>
      <w:r w:rsidR="008E2D0D">
        <w:t xml:space="preserve"> </w:t>
      </w:r>
      <w:bookmarkStart w:id="148" w:name="_cl27707"/>
      <w:r w:rsidR="008E2D0D">
        <w:rPr>
          <w:i/>
          <w:iCs/>
        </w:rPr>
        <w:t>Hutten-Czapska przeciwko Polsce</w:t>
      </w:r>
      <w:bookmarkEnd w:id="148"/>
      <w:r w:rsidR="008E2D0D">
        <w:t xml:space="preserve"> [WI], skarga nr 35014/97, § 234, ETPC 2006</w:t>
      </w:r>
      <w:r w:rsidR="008E2D0D">
        <w:noBreakHyphen/>
        <w:t>VIII</w:t>
      </w:r>
      <w:r w:rsidR="00241DCA">
        <w:t>,</w:t>
      </w:r>
      <w:r w:rsidR="008E2D0D">
        <w:t xml:space="preserve"> a także </w:t>
      </w:r>
      <w:r w:rsidR="008E2D0D">
        <w:rPr>
          <w:i/>
          <w:iCs/>
        </w:rPr>
        <w:t>Burmych i Inni przeciwko Ukrainie</w:t>
      </w:r>
      <w:r w:rsidR="008E2D0D">
        <w:t xml:space="preserve"> (skreślenie) [WI], skargi nr 46852/13 i Inni, §§ 157-166, 12 października 2017 r.).</w:t>
      </w:r>
    </w:p>
    <w:p w14:paraId="5F8F1B3B" w14:textId="61D0757C" w:rsidR="000410B4" w:rsidRPr="00D637A7" w:rsidRDefault="00000000" w:rsidP="00D637A7">
      <w:pPr>
        <w:pStyle w:val="JuPara"/>
      </w:pPr>
      <w:fldSimple w:instr=" SEQ level0 \*arabic \* MERGEFORMAT ">
        <w:r w:rsidR="006D0886">
          <w:rPr>
            <w:noProof/>
          </w:rPr>
          <w:t>315</w:t>
        </w:r>
      </w:fldSimple>
      <w:r w:rsidR="008E2D0D">
        <w:t xml:space="preserve">.  Jednakże </w:t>
      </w:r>
      <w:r w:rsidR="00241DCA">
        <w:t>identyfikacja</w:t>
      </w:r>
      <w:r w:rsidR="008E2D0D">
        <w:t xml:space="preserve"> „sytuacji systemowej” uzasadniającej zastosowanie procedury wyroku pilotażowego nie musi być koniecznie powiązan</w:t>
      </w:r>
      <w:r w:rsidR="00241DCA">
        <w:t>a</w:t>
      </w:r>
      <w:r w:rsidR="00CC1BC8">
        <w:t xml:space="preserve"> lub oparta na</w:t>
      </w:r>
      <w:r w:rsidR="008E2D0D">
        <w:t xml:space="preserve"> określon</w:t>
      </w:r>
      <w:r w:rsidR="00CC1BC8">
        <w:t>ej</w:t>
      </w:r>
      <w:r w:rsidR="008E2D0D">
        <w:t xml:space="preserve"> liczb</w:t>
      </w:r>
      <w:r w:rsidR="00CC1BC8">
        <w:t>ie</w:t>
      </w:r>
      <w:r w:rsidR="008E2D0D">
        <w:t xml:space="preserve"> podobnych skarg już oczekujących na rozpatrzenie. W kontekście naruszeń systemowych lub strukturalnych </w:t>
      </w:r>
      <w:r w:rsidR="00CC1BC8">
        <w:t xml:space="preserve">potencjalny wpływ nowych skarg jest również ważnym </w:t>
      </w:r>
      <w:r w:rsidR="008E2D0D">
        <w:t xml:space="preserve">czynnikiem </w:t>
      </w:r>
      <w:r w:rsidR="00CC1BC8">
        <w:t>zapobiegającym</w:t>
      </w:r>
      <w:r w:rsidR="008E2D0D">
        <w:t xml:space="preserve"> gromadzeniu się powtarzalnych spraw na wokandzie Trybunału (zob. </w:t>
      </w:r>
      <w:r w:rsidR="008E2D0D">
        <w:rPr>
          <w:i/>
          <w:iCs/>
        </w:rPr>
        <w:t>Hutten-Czapska</w:t>
      </w:r>
      <w:r w:rsidR="008E2D0D">
        <w:t xml:space="preserve">, </w:t>
      </w:r>
      <w:r w:rsidR="008E2D0D" w:rsidRPr="00CC1BC8">
        <w:rPr>
          <w:i/>
          <w:iCs/>
        </w:rPr>
        <w:t>op.</w:t>
      </w:r>
      <w:r w:rsidR="00CC1BC8" w:rsidRPr="00CC1BC8">
        <w:rPr>
          <w:i/>
          <w:iCs/>
        </w:rPr>
        <w:t xml:space="preserve"> </w:t>
      </w:r>
      <w:r w:rsidR="008E2D0D" w:rsidRPr="00CC1BC8">
        <w:rPr>
          <w:i/>
          <w:iCs/>
        </w:rPr>
        <w:t>cit.,</w:t>
      </w:r>
      <w:r w:rsidR="008E2D0D">
        <w:t xml:space="preserve"> § 236 </w:t>
      </w:r>
      <w:r w:rsidR="008E2D0D">
        <w:rPr>
          <w:i/>
          <w:iCs/>
        </w:rPr>
        <w:t>in fine</w:t>
      </w:r>
      <w:r w:rsidR="008E2D0D">
        <w:t xml:space="preserve">, a także </w:t>
      </w:r>
      <w:r w:rsidR="008E2D0D">
        <w:rPr>
          <w:i/>
        </w:rPr>
        <w:t xml:space="preserve">Kurić i Inni przeciwko Słowenii </w:t>
      </w:r>
      <w:r w:rsidR="008E2D0D">
        <w:t>[WI], skarga nr 26828/06, § 414, ETPC 2012 (fragmenty)).</w:t>
      </w:r>
    </w:p>
    <w:p w14:paraId="10147D94" w14:textId="73E5FF05" w:rsidR="000410B4" w:rsidRPr="00D637A7" w:rsidRDefault="00000000" w:rsidP="00D637A7">
      <w:pPr>
        <w:pStyle w:val="JuPara"/>
      </w:pPr>
      <w:fldSimple w:instr=" SEQ level0 \*arabic ">
        <w:r w:rsidR="006D0886">
          <w:rPr>
            <w:noProof/>
          </w:rPr>
          <w:t>316</w:t>
        </w:r>
      </w:fldSimple>
      <w:r w:rsidR="008E2D0D">
        <w:t xml:space="preserve">.  Procedura ta ma dwojaki cel: z jednej strony – </w:t>
      </w:r>
      <w:r w:rsidR="00CC1BC8">
        <w:t>zmniejszenie</w:t>
      </w:r>
      <w:r w:rsidR="008E2D0D">
        <w:t xml:space="preserve"> zagrożenia dla skutecznego funkcjonowania systemu Konwencji, a z drugiej strony – ułatwienie jak najszybszego i najskuteczniejszego wyeliminowania dysfunkcji wpływającej na ochronę praw konwencyjnych w krajowym porządku prawnym. Poprzez uwzględnienie w procesie wykonania wyroku pilotażowego interesów wszystkich innych aktualnych lub potencjalnych ofiar zidentyfikowanego problemu systemowego procedura ta ma na celu zapewnienie </w:t>
      </w:r>
      <w:r w:rsidR="001A2504">
        <w:t>odpowiedniego</w:t>
      </w:r>
      <w:r w:rsidR="008E2D0D">
        <w:t xml:space="preserve"> zadośćuczynienia wszystkim faktycznym i potencjalnym ofiarom tej dysfunkcji, jak również konkretnemu skarżącemu (skarżącym) w danej sprawie pilotażowej (zob. </w:t>
      </w:r>
      <w:r w:rsidR="008E2D0D">
        <w:rPr>
          <w:i/>
        </w:rPr>
        <w:t xml:space="preserve">Broniowski </w:t>
      </w:r>
      <w:r w:rsidR="008E2D0D" w:rsidRPr="001A2504">
        <w:rPr>
          <w:iCs/>
        </w:rPr>
        <w:t>(</w:t>
      </w:r>
      <w:r w:rsidR="001A2504" w:rsidRPr="001A2504">
        <w:rPr>
          <w:iCs/>
        </w:rPr>
        <w:t>meritum</w:t>
      </w:r>
      <w:r w:rsidR="008E2D0D" w:rsidRPr="001A2504">
        <w:rPr>
          <w:iCs/>
        </w:rPr>
        <w:t>),</w:t>
      </w:r>
      <w:r w:rsidR="008E2D0D">
        <w:rPr>
          <w:i/>
        </w:rPr>
        <w:t xml:space="preserve"> </w:t>
      </w:r>
      <w:r w:rsidR="008E2D0D">
        <w:rPr>
          <w:i/>
          <w:iCs/>
        </w:rPr>
        <w:t>op.</w:t>
      </w:r>
      <w:r w:rsidR="001A2504">
        <w:rPr>
          <w:i/>
          <w:iCs/>
        </w:rPr>
        <w:t xml:space="preserve"> </w:t>
      </w:r>
      <w:r w:rsidR="008E2D0D">
        <w:rPr>
          <w:i/>
          <w:iCs/>
        </w:rPr>
        <w:t>cit.</w:t>
      </w:r>
      <w:r w:rsidR="008E2D0D">
        <w:t>, §§ 191, 193-194</w:t>
      </w:r>
      <w:r w:rsidR="001A2504">
        <w:t xml:space="preserve"> i </w:t>
      </w:r>
      <w:r w:rsidR="008E2D0D">
        <w:rPr>
          <w:i/>
        </w:rPr>
        <w:t xml:space="preserve">Broniowski przeciwko Polsce </w:t>
      </w:r>
      <w:r w:rsidR="008E2D0D">
        <w:t>(ugoda) [WI], skarga nr 31443/96, §§ 36 i 37, ETPC 2005</w:t>
      </w:r>
      <w:r w:rsidR="008E2D0D">
        <w:noBreakHyphen/>
        <w:t>IX).</w:t>
      </w:r>
    </w:p>
    <w:bookmarkStart w:id="149" w:name="pilot_judgment"/>
    <w:p w14:paraId="7D2253C1" w14:textId="4CF4B447" w:rsidR="000410B4" w:rsidRPr="00D637A7" w:rsidRDefault="008E2D0D" w:rsidP="00D637A7">
      <w:pPr>
        <w:pStyle w:val="JuPara"/>
      </w:pPr>
      <w:r w:rsidRPr="00D637A7">
        <w:fldChar w:fldCharType="begin"/>
      </w:r>
      <w:r w:rsidRPr="00D637A7">
        <w:instrText xml:space="preserve"> SEQ level0 \*arabic </w:instrText>
      </w:r>
      <w:r w:rsidRPr="00D637A7">
        <w:fldChar w:fldCharType="separate"/>
      </w:r>
      <w:r w:rsidR="006D0886">
        <w:rPr>
          <w:noProof/>
        </w:rPr>
        <w:t>317</w:t>
      </w:r>
      <w:r w:rsidRPr="00D637A7">
        <w:fldChar w:fldCharType="end"/>
      </w:r>
      <w:bookmarkEnd w:id="149"/>
      <w:r>
        <w:t>.  </w:t>
      </w:r>
      <w:r w:rsidR="001A2504">
        <w:t>Nieodłącznym e</w:t>
      </w:r>
      <w:r>
        <w:t>lementem procedur</w:t>
      </w:r>
      <w:r w:rsidR="001A2504">
        <w:t>y</w:t>
      </w:r>
      <w:r>
        <w:t xml:space="preserve"> wyroku pilotażowego jest to, że dokonana przez Trybunał ocena sytuacji, której dotyczy skarga w sprawie „pilotażowej”, z konieczności wykracza poza wyłączne interesy indywidualnego skarżącego i wymaga zbadania zawisłej przed Trybunałem sprawy również z perspektywy środków ogólnych, które należy </w:t>
      </w:r>
      <w:r w:rsidR="001A2504">
        <w:t>podjąć</w:t>
      </w:r>
      <w:r>
        <w:t xml:space="preserve"> w interesie </w:t>
      </w:r>
      <w:r w:rsidR="00B354C0">
        <w:t xml:space="preserve">innych </w:t>
      </w:r>
      <w:r w:rsidR="001A2504">
        <w:t>osób</w:t>
      </w:r>
      <w:r w:rsidR="00B354C0">
        <w:t>,</w:t>
      </w:r>
      <w:r w:rsidR="001A2504">
        <w:t xml:space="preserve"> </w:t>
      </w:r>
      <w:r>
        <w:t>już lub potencjalnie dotkniętych</w:t>
      </w:r>
      <w:r w:rsidR="0074310C">
        <w:t xml:space="preserve"> dysfunkcją</w:t>
      </w:r>
      <w:r>
        <w:t xml:space="preserve"> (zob. </w:t>
      </w:r>
      <w:r>
        <w:rPr>
          <w:i/>
        </w:rPr>
        <w:t>Hutten-Czapska</w:t>
      </w:r>
      <w:r>
        <w:t xml:space="preserve">, </w:t>
      </w:r>
      <w:r>
        <w:rPr>
          <w:i/>
          <w:iCs/>
        </w:rPr>
        <w:t>op.</w:t>
      </w:r>
      <w:r w:rsidR="0074310C">
        <w:rPr>
          <w:i/>
          <w:iCs/>
        </w:rPr>
        <w:t xml:space="preserve"> </w:t>
      </w:r>
      <w:r>
        <w:rPr>
          <w:i/>
          <w:iCs/>
        </w:rPr>
        <w:t>cit.</w:t>
      </w:r>
      <w:r>
        <w:t>, § 238</w:t>
      </w:r>
      <w:r w:rsidR="0074310C">
        <w:t>,</w:t>
      </w:r>
      <w:r>
        <w:t xml:space="preserve"> </w:t>
      </w:r>
      <w:proofErr w:type="spellStart"/>
      <w:r>
        <w:rPr>
          <w:i/>
        </w:rPr>
        <w:t>Wolkenberg</w:t>
      </w:r>
      <w:proofErr w:type="spellEnd"/>
      <w:r>
        <w:rPr>
          <w:i/>
        </w:rPr>
        <w:t xml:space="preserve"> i Inni przeciwko Polsce</w:t>
      </w:r>
      <w:r>
        <w:t xml:space="preserve"> (</w:t>
      </w:r>
      <w:proofErr w:type="spellStart"/>
      <w:r>
        <w:t>dec</w:t>
      </w:r>
      <w:proofErr w:type="spellEnd"/>
      <w:r>
        <w:t>.), skarga nr 50003/99, § 73, 4 grudnia 2007 r.</w:t>
      </w:r>
      <w:r w:rsidR="0074310C">
        <w:t>,</w:t>
      </w:r>
      <w:r>
        <w:t xml:space="preserve"> </w:t>
      </w:r>
      <w:r>
        <w:rPr>
          <w:i/>
        </w:rPr>
        <w:t xml:space="preserve">Stowarzyszenie Właścicieli Nieruchomości w Łodzi i Inni przeciwko Polsce </w:t>
      </w:r>
      <w:r>
        <w:t>(</w:t>
      </w:r>
      <w:proofErr w:type="spellStart"/>
      <w:r>
        <w:t>dec</w:t>
      </w:r>
      <w:proofErr w:type="spellEnd"/>
      <w:r>
        <w:t>.), skarga nr. 3485/02, §§ 86</w:t>
      </w:r>
      <w:r>
        <w:noBreakHyphen/>
        <w:t>87, ETPC 2011 (fragmenty)</w:t>
      </w:r>
      <w:r w:rsidR="0074310C">
        <w:t>,</w:t>
      </w:r>
      <w:r>
        <w:t xml:space="preserve"> </w:t>
      </w:r>
      <w:proofErr w:type="spellStart"/>
      <w:r>
        <w:rPr>
          <w:i/>
        </w:rPr>
        <w:t>Anastasov</w:t>
      </w:r>
      <w:proofErr w:type="spellEnd"/>
      <w:r>
        <w:rPr>
          <w:i/>
        </w:rPr>
        <w:t xml:space="preserve"> i Inni przeciwko Słowenii </w:t>
      </w:r>
      <w:r>
        <w:t>(</w:t>
      </w:r>
      <w:proofErr w:type="spellStart"/>
      <w:r>
        <w:t>dec</w:t>
      </w:r>
      <w:proofErr w:type="spellEnd"/>
      <w:r>
        <w:t>.), skarga nr 65020/13, §§ 94-96, 18 października 2016 r.</w:t>
      </w:r>
      <w:r w:rsidR="0074310C">
        <w:t xml:space="preserve"> i</w:t>
      </w:r>
      <w:r>
        <w:t xml:space="preserve"> </w:t>
      </w:r>
      <w:r>
        <w:rPr>
          <w:i/>
          <w:iCs/>
        </w:rPr>
        <w:t>Burmych i Inni</w:t>
      </w:r>
      <w:r>
        <w:t xml:space="preserve">, </w:t>
      </w:r>
      <w:r>
        <w:rPr>
          <w:i/>
          <w:iCs/>
        </w:rPr>
        <w:t>op.</w:t>
      </w:r>
      <w:r w:rsidR="0074310C">
        <w:rPr>
          <w:i/>
          <w:iCs/>
        </w:rPr>
        <w:t xml:space="preserve"> </w:t>
      </w:r>
      <w:r>
        <w:rPr>
          <w:i/>
          <w:iCs/>
        </w:rPr>
        <w:t>cit.</w:t>
      </w:r>
      <w:r>
        <w:t>, § 159).</w:t>
      </w:r>
    </w:p>
    <w:p w14:paraId="28F40DC6" w14:textId="72EE3C0B" w:rsidR="000410B4" w:rsidRPr="00D637A7" w:rsidRDefault="00000000" w:rsidP="00D637A7">
      <w:pPr>
        <w:pStyle w:val="JuPara"/>
      </w:pPr>
      <w:fldSimple w:instr=" SEQ level0 \*arabic ">
        <w:r w:rsidR="006D0886">
          <w:rPr>
            <w:noProof/>
          </w:rPr>
          <w:t>318</w:t>
        </w:r>
      </w:fldSimple>
      <w:r w:rsidR="008E2D0D">
        <w:t xml:space="preserve">.  Zgodnie z uzasadnieniem wyroku pilotażowego pozwane państwo </w:t>
      </w:r>
      <w:r w:rsidR="0074310C">
        <w:t>jest zatem zobowiązane do</w:t>
      </w:r>
      <w:r w:rsidR="008E2D0D">
        <w:t xml:space="preserve"> wyeliminowa</w:t>
      </w:r>
      <w:r w:rsidR="0074310C">
        <w:t>nia</w:t>
      </w:r>
      <w:r w:rsidR="008E2D0D">
        <w:t xml:space="preserve"> źródł</w:t>
      </w:r>
      <w:r w:rsidR="0074310C">
        <w:t>a</w:t>
      </w:r>
      <w:r w:rsidR="008E2D0D">
        <w:t xml:space="preserve"> naruszenia na przyszłość i zapewni</w:t>
      </w:r>
      <w:r w:rsidR="0074310C">
        <w:t>enia</w:t>
      </w:r>
      <w:r w:rsidR="008E2D0D">
        <w:t xml:space="preserve"> zadośćuczynienia za uszczerbek doznany w przeszłości nie tylko przez indywidualnego skarżącego (skarżących) w sprawie pilotażowej, ale także przez wszystkie inne ofiary tego samego rodzaju naruszenia. Intencją jest, aby w ramach środków ogólnych wymaganych od pozwanego Państwa, wszystkie inne obecne i potencjalne ofiary zostały objęte procesem wykonania wyroku pilotażowego (zob. </w:t>
      </w:r>
      <w:r w:rsidR="008E2D0D">
        <w:rPr>
          <w:i/>
          <w:iCs/>
        </w:rPr>
        <w:t>Burmych i Inni, op.</w:t>
      </w:r>
      <w:r w:rsidR="0074310C">
        <w:rPr>
          <w:i/>
          <w:iCs/>
        </w:rPr>
        <w:t xml:space="preserve"> </w:t>
      </w:r>
      <w:r w:rsidR="008E2D0D">
        <w:rPr>
          <w:i/>
          <w:iCs/>
        </w:rPr>
        <w:t>cit.</w:t>
      </w:r>
      <w:r w:rsidR="008E2D0D">
        <w:t>, § 159).</w:t>
      </w:r>
    </w:p>
    <w:p w14:paraId="35C125BE" w14:textId="77777777" w:rsidR="000410B4" w:rsidRPr="00D637A7" w:rsidRDefault="008E2D0D" w:rsidP="00D637A7">
      <w:pPr>
        <w:pStyle w:val="JuHa0"/>
      </w:pPr>
      <w:r>
        <w:t>Zastosowanie powyższych zasad w niniejszej sprawie</w:t>
      </w:r>
    </w:p>
    <w:bookmarkStart w:id="150" w:name="Court_assessment_1"/>
    <w:p w14:paraId="4DD1C86F" w14:textId="0C214281" w:rsidR="000410B4" w:rsidRPr="00D637A7" w:rsidRDefault="008E2D0D" w:rsidP="00D637A7">
      <w:pPr>
        <w:pStyle w:val="JuPara"/>
        <w:rPr>
          <w:rFonts w:ascii="Times New Roman" w:hAnsi="Times New Roman" w:cs="Times New Roman"/>
        </w:rPr>
      </w:pPr>
      <w:r w:rsidRPr="00D637A7">
        <w:fldChar w:fldCharType="begin"/>
      </w:r>
      <w:r w:rsidRPr="00D637A7">
        <w:instrText xml:space="preserve"> SEQ level0 \*arabic \* MERGEFORMAT </w:instrText>
      </w:r>
      <w:r w:rsidRPr="00D637A7">
        <w:fldChar w:fldCharType="separate"/>
      </w:r>
      <w:r w:rsidR="006D0886">
        <w:rPr>
          <w:noProof/>
        </w:rPr>
        <w:t>319</w:t>
      </w:r>
      <w:r w:rsidRPr="00D637A7">
        <w:fldChar w:fldCharType="end"/>
      </w:r>
      <w:bookmarkEnd w:id="150"/>
      <w:r>
        <w:t xml:space="preserve">.  Niniejsza sprawa jest rozpatrywana po serii wyroków Trybunału dotyczących reformy sądownictwa w Polsce zapoczątkowanej w 2017 r. Jak zauważył Trybunał w sprawie </w:t>
      </w:r>
      <w:r>
        <w:rPr>
          <w:rFonts w:ascii="Times New Roman" w:hAnsi="Times New Roman"/>
          <w:i/>
          <w:iCs/>
        </w:rPr>
        <w:t>Grzęda</w:t>
      </w:r>
      <w:r>
        <w:t xml:space="preserve">, cały ciąg wydarzeń – włączając w to w szczególności ustawy o reorganizacji sądownictwa – wyraźnie wskazuje na to, że kolejne reformy sądownictwa miały na celu osłabienie niezawisłości sędziowskiej, począwszy od poważnych nieprawidłowości w wyborze sędziów Trybunału Konstytucyjnego w grudniu 2015 r., poprzez </w:t>
      </w:r>
      <w:r w:rsidR="00014EAB">
        <w:t>reorganizację</w:t>
      </w:r>
      <w:r>
        <w:t xml:space="preserve"> KRS i utworzenie nowych izb w Sądzie Najwyższym, po rozszerzenie kontroli Ministra Sprawiedliwości nad sądami i zwiększenie jego roli w zakresie odpowiedzialności dyscyplinarnej sędziów. W wyniku </w:t>
      </w:r>
      <w:r>
        <w:lastRenderedPageBreak/>
        <w:t xml:space="preserve">kolejnych reform sądownictwo – autonomiczna gałąź władzy państwowej – zostało narażone na ingerencję władzy wykonawczej i ustawodawczej, a tym samym znacznie osłabione </w:t>
      </w:r>
      <w:r>
        <w:rPr>
          <w:rFonts w:ascii="Times New Roman" w:hAnsi="Times New Roman"/>
        </w:rPr>
        <w:t xml:space="preserve">(zob. </w:t>
      </w:r>
      <w:r>
        <w:rPr>
          <w:rFonts w:ascii="Times New Roman" w:hAnsi="Times New Roman"/>
          <w:i/>
          <w:iCs/>
        </w:rPr>
        <w:t>Grzęda</w:t>
      </w:r>
      <w:r>
        <w:rPr>
          <w:rFonts w:ascii="Times New Roman" w:hAnsi="Times New Roman"/>
        </w:rPr>
        <w:t xml:space="preserve">, </w:t>
      </w:r>
      <w:r>
        <w:rPr>
          <w:rFonts w:ascii="Times New Roman" w:hAnsi="Times New Roman"/>
          <w:i/>
          <w:iCs/>
        </w:rPr>
        <w:t>op.cit.</w:t>
      </w:r>
      <w:r>
        <w:rPr>
          <w:rFonts w:ascii="Times New Roman" w:hAnsi="Times New Roman"/>
        </w:rPr>
        <w:t>, § 358)</w:t>
      </w:r>
      <w:r>
        <w:t>.</w:t>
      </w:r>
    </w:p>
    <w:p w14:paraId="04031F12" w14:textId="2A225FFF" w:rsidR="000410B4" w:rsidRPr="00D637A7" w:rsidRDefault="008E2D0D" w:rsidP="00D637A7">
      <w:pPr>
        <w:pStyle w:val="JuPara"/>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006D0886">
        <w:rPr>
          <w:rFonts w:ascii="Times New Roman" w:hAnsi="Times New Roman" w:cs="Times New Roman"/>
          <w:noProof/>
        </w:rPr>
        <w:t>320</w:t>
      </w:r>
      <w:r w:rsidRPr="00D637A7">
        <w:rPr>
          <w:rFonts w:ascii="Times New Roman" w:hAnsi="Times New Roman" w:cs="Times New Roman"/>
        </w:rPr>
        <w:fldChar w:fldCharType="end"/>
      </w:r>
      <w:r>
        <w:rPr>
          <w:rFonts w:ascii="Times New Roman" w:hAnsi="Times New Roman"/>
        </w:rPr>
        <w:t xml:space="preserve">.  Od dnia 7 maja 2021 r., kiedy wydano wyrok w sprawie </w:t>
      </w:r>
      <w:r>
        <w:rPr>
          <w:rFonts w:ascii="Times New Roman" w:hAnsi="Times New Roman"/>
          <w:i/>
          <w:iCs/>
        </w:rPr>
        <w:t>Xero Flor w Polsce sp.  z o.o.</w:t>
      </w:r>
      <w:r>
        <w:rPr>
          <w:rFonts w:ascii="Times New Roman" w:hAnsi="Times New Roman"/>
        </w:rPr>
        <w:t>, do dnia przyjęcia niniejszego wyroku, Trybunał wydał dziesięć wyroków (z których dziewięć jest ostatecznych) dotyczących różnych aspektów reformy sądownictwa w Polsce</w:t>
      </w:r>
      <w:r>
        <w:t xml:space="preserve">, w których na różnych podstawach stwierdził naruszenie art. 6 ust. 1 Konwencji </w:t>
      </w:r>
      <w:r>
        <w:rPr>
          <w:rFonts w:ascii="Times New Roman" w:hAnsi="Times New Roman"/>
        </w:rPr>
        <w:t>(zob. </w:t>
      </w:r>
      <w:r>
        <w:rPr>
          <w:rFonts w:ascii="Times New Roman" w:hAnsi="Times New Roman"/>
          <w:i/>
          <w:iCs/>
        </w:rPr>
        <w:t xml:space="preserve">Xero Flor w Polsce sp. z o.o. </w:t>
      </w:r>
      <w:r>
        <w:rPr>
          <w:rFonts w:ascii="Times New Roman" w:hAnsi="Times New Roman"/>
        </w:rPr>
        <w:t xml:space="preserve">(Trybunał Konstytucyjny pozbawiony atrybutów „sądu ustanowionego ustawą”); </w:t>
      </w:r>
      <w:r>
        <w:rPr>
          <w:rFonts w:ascii="Times New Roman" w:hAnsi="Times New Roman"/>
          <w:i/>
          <w:iCs/>
        </w:rPr>
        <w:t>Broda i</w:t>
      </w:r>
      <w:r>
        <w:rPr>
          <w:rFonts w:ascii="Times New Roman" w:hAnsi="Times New Roman"/>
        </w:rPr>
        <w:t xml:space="preserve"> </w:t>
      </w:r>
      <w:r>
        <w:rPr>
          <w:rFonts w:ascii="Times New Roman" w:hAnsi="Times New Roman"/>
          <w:i/>
          <w:iCs/>
        </w:rPr>
        <w:t xml:space="preserve">Bojara </w:t>
      </w:r>
      <w:r>
        <w:rPr>
          <w:rFonts w:ascii="Times New Roman" w:hAnsi="Times New Roman"/>
        </w:rPr>
        <w:t xml:space="preserve">(brak dostępu do sądu w celu zaskarżenia decyzji Ministra Sprawiedliwości o przedterminowym zakończeniu kadencji prezesa i wiceprezesa sądu); </w:t>
      </w:r>
      <w:r>
        <w:rPr>
          <w:rFonts w:ascii="Times New Roman" w:hAnsi="Times New Roman"/>
          <w:i/>
          <w:iCs/>
        </w:rPr>
        <w:t>Reczkowicz</w:t>
      </w:r>
      <w:r>
        <w:rPr>
          <w:rFonts w:ascii="Times New Roman" w:hAnsi="Times New Roman"/>
        </w:rPr>
        <w:t xml:space="preserve"> (Izba Dyscyplinarna Sądu Najwyższego pozbawiona atrybutów „niezależnego i bezstronnego sądu ustanowionego ustawą”);</w:t>
      </w:r>
      <w:r>
        <w:rPr>
          <w:rFonts w:ascii="Times New Roman" w:hAnsi="Times New Roman"/>
          <w:i/>
          <w:iCs/>
        </w:rPr>
        <w:t xml:space="preserve"> Dolińska-Ficek i Ozimek </w:t>
      </w:r>
      <w:r>
        <w:rPr>
          <w:rFonts w:ascii="Times New Roman" w:hAnsi="Times New Roman"/>
        </w:rPr>
        <w:t>(IKNiSP Sądu Najwyższego pozbawiona atrybutów „niezawisłego i bezstronnego sądu ustanowionego ustawą”);</w:t>
      </w:r>
      <w:r>
        <w:rPr>
          <w:rFonts w:ascii="Times New Roman" w:hAnsi="Times New Roman"/>
          <w:i/>
          <w:iCs/>
        </w:rPr>
        <w:t xml:space="preserve"> Advance Pharma sp. z o.o. </w:t>
      </w:r>
      <w:r>
        <w:rPr>
          <w:rFonts w:ascii="Times New Roman" w:hAnsi="Times New Roman"/>
        </w:rPr>
        <w:t xml:space="preserve">(sędziowie Izby Cywilnej Sądu Najwyższego powołani na wniosek zreformowanej KRS pozbawieni atrybutów „niezawisłego i bezstronnego sądu ustawionego ustawą”; </w:t>
      </w:r>
      <w:r>
        <w:rPr>
          <w:rFonts w:ascii="Times New Roman" w:hAnsi="Times New Roman"/>
          <w:i/>
          <w:iCs/>
        </w:rPr>
        <w:t>Grzęda</w:t>
      </w:r>
      <w:r>
        <w:rPr>
          <w:rFonts w:ascii="Times New Roman" w:hAnsi="Times New Roman"/>
        </w:rPr>
        <w:t xml:space="preserve"> (brak dostępu do sądu w celu zaskarżenia przedterminowego zakończenia kadencji członka „dawnej” KRS) (wszystkie przytoczono powyżej)</w:t>
      </w:r>
      <w:r>
        <w:rPr>
          <w:rFonts w:ascii="Times New Roman" w:hAnsi="Times New Roman"/>
          <w:i/>
          <w:iCs/>
        </w:rPr>
        <w:t xml:space="preserve">; </w:t>
      </w:r>
      <w:r>
        <w:rPr>
          <w:i/>
          <w:iCs/>
        </w:rPr>
        <w:t xml:space="preserve">Żurek przeciwko Polsce, </w:t>
      </w:r>
      <w:r>
        <w:t>skarga nr 39650/18, 16 czerwca 2022 r. (</w:t>
      </w:r>
      <w:r>
        <w:rPr>
          <w:rFonts w:ascii="Times New Roman" w:hAnsi="Times New Roman"/>
        </w:rPr>
        <w:t>brak dostępu do sądu w celu zaskarżenia przedterminowego zakończenia kadencji członka „dawnej” KRS)</w:t>
      </w:r>
      <w:r>
        <w:t xml:space="preserve">; </w:t>
      </w:r>
      <w:r>
        <w:rPr>
          <w:i/>
          <w:iCs/>
        </w:rPr>
        <w:t xml:space="preserve">Juszczyszyn </w:t>
      </w:r>
      <w:r>
        <w:t>(</w:t>
      </w:r>
      <w:r>
        <w:rPr>
          <w:i/>
          <w:iCs/>
        </w:rPr>
        <w:t>op.cit.</w:t>
      </w:r>
      <w:r>
        <w:t xml:space="preserve">; </w:t>
      </w:r>
      <w:r>
        <w:rPr>
          <w:rFonts w:ascii="Times New Roman" w:hAnsi="Times New Roman"/>
        </w:rPr>
        <w:t>Izba Dyscyplinarna Sądu Najwyższego pozbawiona atrybutów „niezawisłego i bezstronnego sadu ustanowionego ustawą”</w:t>
      </w:r>
      <w:r>
        <w:t xml:space="preserve">); </w:t>
      </w:r>
      <w:r>
        <w:rPr>
          <w:i/>
          <w:iCs/>
        </w:rPr>
        <w:t>Tuleya</w:t>
      </w:r>
      <w:r>
        <w:t xml:space="preserve"> (</w:t>
      </w:r>
      <w:r>
        <w:rPr>
          <w:i/>
          <w:iCs/>
        </w:rPr>
        <w:t>op.cit.</w:t>
      </w:r>
      <w:r>
        <w:t xml:space="preserve">; </w:t>
      </w:r>
      <w:r>
        <w:rPr>
          <w:rFonts w:ascii="Times New Roman" w:hAnsi="Times New Roman"/>
        </w:rPr>
        <w:t xml:space="preserve">Izba Dyscyplinarna Sądu Najwyższego pozbawiona atrybutów „niezawisłego i bezstronnego sądu ustanowionego ustawą” oraz </w:t>
      </w:r>
      <w:bookmarkStart w:id="151" w:name="_cl43843"/>
      <w:r>
        <w:rPr>
          <w:i/>
          <w:iCs/>
        </w:rPr>
        <w:t>Pająk i Inni przeciwko Polsce</w:t>
      </w:r>
      <w:bookmarkEnd w:id="151"/>
      <w:r>
        <w:t>, skargi 25226/18 i 3 inne, 24 października 2023 r. (wyrok nieostateczny; brak dostępu do sądu w celu zaskarżenia arbitralnych decyzji Ministra Sprawiedliwości w przedmiocie odmowy zgody na dalsze pełnienia przez skarżących służby w charakterze sędziów po przekroczeniu obniżonego wieku emerytalnego). Większość z wyżej wymienionych wyroków dotyczy naruszenia prawa do niezależnego i bezstronnego sądu ustanowionego ustawą ze względu na udział nowej KRS w procedurze powoływania sędziów do Sądu Najwyższego.</w:t>
      </w:r>
    </w:p>
    <w:bookmarkStart w:id="152" w:name="Court_assessment_10"/>
    <w:p w14:paraId="06CBB9BA" w14:textId="77777777" w:rsidR="000410B4" w:rsidRPr="00D637A7" w:rsidRDefault="008E2D0D" w:rsidP="00D637A7">
      <w:pPr>
        <w:pStyle w:val="JuPara"/>
        <w:rPr>
          <w:rFonts w:eastAsia="Times New Roman"/>
        </w:rPr>
      </w:pPr>
      <w:r w:rsidRPr="00D637A7">
        <w:fldChar w:fldCharType="begin"/>
      </w:r>
      <w:r w:rsidRPr="00D637A7">
        <w:instrText xml:space="preserve"> SEQ level0 \*arabic \* MERGEFORMAT </w:instrText>
      </w:r>
      <w:r w:rsidRPr="00D637A7">
        <w:fldChar w:fldCharType="separate"/>
      </w:r>
      <w:r w:rsidR="006D0886">
        <w:rPr>
          <w:noProof/>
        </w:rPr>
        <w:t>321</w:t>
      </w:r>
      <w:r w:rsidRPr="00D637A7">
        <w:fldChar w:fldCharType="end"/>
      </w:r>
      <w:bookmarkEnd w:id="152"/>
      <w:r>
        <w:t xml:space="preserve">.  Już w sprawie </w:t>
      </w:r>
      <w:r>
        <w:rPr>
          <w:rFonts w:ascii="Times New Roman" w:hAnsi="Times New Roman"/>
          <w:i/>
          <w:iCs/>
        </w:rPr>
        <w:t>Dolińska-Ficek i Ozimek</w:t>
      </w:r>
      <w:r>
        <w:rPr>
          <w:rFonts w:ascii="Times New Roman" w:hAnsi="Times New Roman"/>
        </w:rPr>
        <w:t xml:space="preserve"> Trybunał, w swoich rozważaniach na podstawie art. 46 Konwencji, podkreślił, że jego </w:t>
      </w:r>
      <w:r>
        <w:t>wnioski dotyczące niezgodności procedury powoływania sędziów (przy udziale KRS) z wymogami „niezawisłego i bezstronnego sądu ustanowionego ustawą” zawartymi w art. 6 ust. 1 Konwencji będą miały konsekwencje dla jego oceny podobnych skarg w innych toczących się lub przyszłych sprawach.</w:t>
      </w:r>
    </w:p>
    <w:p w14:paraId="50A0D349" w14:textId="77777777" w:rsidR="000410B4" w:rsidRPr="00D637A7" w:rsidRDefault="008E2D0D" w:rsidP="00D637A7">
      <w:pPr>
        <w:pStyle w:val="JuPara"/>
        <w:rPr>
          <w:rFonts w:eastAsia="Times New Roman"/>
        </w:rPr>
      </w:pPr>
      <w:r>
        <w:t xml:space="preserve">Stwierdził ponadto, że uchybienia tej procedury, stwierdzone w przytoczonej sprawie w odniesieniu do IKNiSP, a także w sprawie </w:t>
      </w:r>
      <w:r>
        <w:rPr>
          <w:i/>
          <w:iCs/>
        </w:rPr>
        <w:t xml:space="preserve">Reczkowicz </w:t>
      </w:r>
      <w:r>
        <w:t>(</w:t>
      </w:r>
      <w:r>
        <w:rPr>
          <w:i/>
          <w:iCs/>
        </w:rPr>
        <w:t>op.cit.</w:t>
      </w:r>
      <w:r>
        <w:t xml:space="preserve">) w odniesieniu do Izby Dyscyplinarnej Sądu </w:t>
      </w:r>
      <w:r>
        <w:lastRenderedPageBreak/>
        <w:t>Najwyższego, wpłynęły już niekorzystnie na dotychczasowe powołania i mogą systematycznie wpływać na przyszłe powoływanie sędziów nie tylko do innych izb Sądu Najwyższego, ale także do sądów powszechnych, wojskowych i administracyjnych.</w:t>
      </w:r>
    </w:p>
    <w:p w14:paraId="44D672A2" w14:textId="77777777" w:rsidR="000410B4" w:rsidRPr="00D637A7" w:rsidRDefault="008E2D0D" w:rsidP="00D637A7">
      <w:pPr>
        <w:pStyle w:val="JuPara"/>
        <w:rPr>
          <w:rFonts w:eastAsia="Times New Roman"/>
        </w:rPr>
      </w:pPr>
      <w:r>
        <w:t>Nieodłącznym elementem ustaleń Trybunału jest fakt, że naruszenie prawa skarżących wynikało ze zmian w polskim ustawodawstwie, na mocy których pozbawiono polską władzę sądowniczą prawa wyboru członków KRS wybieranych spośród sędziów i pozwolono władzy ustawodawczej i wykonawczej na bezpośrednią lub pośrednią ingerencję w procedurę powoływania sędziów, systematycznie podważając w ten sposób legitymację sądu złożonego z tak powołanych sędziów. Trybunał podkreślił, że w tej sytuacji oraz w interesie praworządności i zasad podziału władzy i niezawisłości sądownictwa wymagane są szybkie działania naprawcze ze strony państwa polskiego (zob. </w:t>
      </w:r>
      <w:r>
        <w:rPr>
          <w:rFonts w:ascii="Times New Roman" w:hAnsi="Times New Roman"/>
          <w:i/>
          <w:iCs/>
        </w:rPr>
        <w:t>Dolińska-Ficek i Ozimek</w:t>
      </w:r>
      <w:r>
        <w:rPr>
          <w:rFonts w:ascii="Times New Roman" w:hAnsi="Times New Roman"/>
        </w:rPr>
        <w:t xml:space="preserve">, </w:t>
      </w:r>
      <w:r>
        <w:rPr>
          <w:rFonts w:ascii="Times New Roman" w:hAnsi="Times New Roman"/>
          <w:i/>
          <w:iCs/>
        </w:rPr>
        <w:t>op.cit.</w:t>
      </w:r>
      <w:r>
        <w:rPr>
          <w:rFonts w:ascii="Times New Roman" w:hAnsi="Times New Roman"/>
        </w:rPr>
        <w:t>, § 368)</w:t>
      </w:r>
      <w:r>
        <w:t>.</w:t>
      </w:r>
    </w:p>
    <w:p w14:paraId="71F885E4" w14:textId="77777777" w:rsidR="000410B4" w:rsidRPr="00D637A7" w:rsidRDefault="008E2D0D" w:rsidP="00D637A7">
      <w:pPr>
        <w:pStyle w:val="JuPara"/>
        <w:rPr>
          <w:rFonts w:eastAsia="Times New Roman"/>
        </w:rPr>
      </w:pPr>
      <w:r>
        <w:t>Na rozpatrzenie czekało wówczas pięćdziesiąt siedem skarg przeciwko Polsce złożonych w latach 2018–2021 (z których dwadzieścia trzy zostały zakomunikowane rządowi), dotyczących różnych aspektów reorganizacji systemu sądowego (</w:t>
      </w:r>
      <w:r>
        <w:rPr>
          <w:i/>
          <w:iCs/>
        </w:rPr>
        <w:t>ibidem</w:t>
      </w:r>
      <w:r>
        <w:t>., § 212).</w:t>
      </w:r>
    </w:p>
    <w:bookmarkStart w:id="153" w:name="Court_assessment_11"/>
    <w:p w14:paraId="6635823F" w14:textId="77777777" w:rsidR="000410B4" w:rsidRPr="00D637A7" w:rsidRDefault="008E2D0D" w:rsidP="00D637A7">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006D0886">
        <w:rPr>
          <w:rFonts w:eastAsia="Times New Roman"/>
          <w:noProof/>
        </w:rPr>
        <w:t>322</w:t>
      </w:r>
      <w:r w:rsidRPr="00D637A7">
        <w:rPr>
          <w:rFonts w:eastAsia="Times New Roman"/>
        </w:rPr>
        <w:fldChar w:fldCharType="end"/>
      </w:r>
      <w:bookmarkEnd w:id="153"/>
      <w:r>
        <w:t xml:space="preserve">.  W wyroku </w:t>
      </w:r>
      <w:r>
        <w:rPr>
          <w:rFonts w:ascii="Times New Roman" w:hAnsi="Times New Roman"/>
          <w:i/>
          <w:iCs/>
        </w:rPr>
        <w:t>Advance Pharma sp. z o.o.</w:t>
      </w:r>
      <w:r>
        <w:rPr>
          <w:rFonts w:ascii="Times New Roman" w:hAnsi="Times New Roman"/>
        </w:rPr>
        <w:t xml:space="preserve"> Trybunał, ponownie ograniczając swoje rozważania do ogólnych wytycznych, powtórzył powyższe wnioski</w:t>
      </w:r>
      <w:r>
        <w:t>.</w:t>
      </w:r>
      <w:r>
        <w:rPr>
          <w:rFonts w:ascii="Times New Roman" w:hAnsi="Times New Roman"/>
        </w:rPr>
        <w:t xml:space="preserve"> Co się tyczy jednakże działań naprawczych, które należy podjąć, Trybunał orzekł, że chociaż w tym kontekście</w:t>
      </w:r>
      <w:r>
        <w:t xml:space="preserve"> pozwane państwo może skorzystać z różnych możliwości, nieunikniona jest konkluzja, że dalsze funkcjonowanie KRS ukształtowanej ustawą zmieniającą z 2017 r. i jej udział w procedurze powoływania sędziów wywołują systemową dysfunkcję stwierdzoną przez Trybunał, a w przyszłości mogą skutkować potencjalnie licznymi naruszeniami prawa do „niezawisłego i bezstronnego sądu ustanowionego ustawą”, prowadząc do dalszego zaostrzenia kryzysu praworządności w Polsce.</w:t>
      </w:r>
    </w:p>
    <w:p w14:paraId="2DD2A5FF" w14:textId="77777777" w:rsidR="000410B4" w:rsidRPr="00D637A7" w:rsidRDefault="008E2D0D" w:rsidP="00D637A7">
      <w:pPr>
        <w:pStyle w:val="JuPara"/>
        <w:rPr>
          <w:rFonts w:eastAsia="Times New Roman"/>
        </w:rPr>
      </w:pPr>
      <w:r>
        <w:t xml:space="preserve">W odniesieniu do konsekwencji prawnych i praktycznych dla prawomocnych wyroków wydanych już przez składy orzekające, w których zasiadali sędziowie powołani na wniosek KRS, i skutków takich wyroków w polskim porządku prawnym, Trybunał zauważył wówczas, że jedną z możliwości do rozważenia przez pozwane państwo jest </w:t>
      </w:r>
      <w:r>
        <w:rPr>
          <w:rFonts w:ascii="Times New Roman" w:hAnsi="Times New Roman"/>
        </w:rPr>
        <w:t>uwzględnienie w koniecznych środkach ogólnych konkluzji Sądu Najwyższego dotyczących stosowania jego uchwały interpretacyjnej z dnia 23 stycznia 2020 r. (zob. par. 82-</w:t>
      </w:r>
      <w:r w:rsidRPr="00D637A7">
        <w:rPr>
          <w:rFonts w:ascii="Times New Roman" w:eastAsia="Times New Roman" w:hAnsi="Times New Roman" w:cs="Times New Roman"/>
        </w:rPr>
        <w:fldChar w:fldCharType="begin"/>
      </w:r>
      <w:r w:rsidRPr="00D637A7">
        <w:rPr>
          <w:rFonts w:ascii="Times New Roman" w:eastAsia="Times New Roman" w:hAnsi="Times New Roman" w:cs="Times New Roman"/>
        </w:rPr>
        <w:instrText xml:space="preserve"> REF Chamber_Extraordinary_Review \h </w:instrText>
      </w:r>
      <w:r w:rsidRPr="00D637A7">
        <w:rPr>
          <w:rFonts w:ascii="Times New Roman" w:eastAsia="Times New Roman" w:hAnsi="Times New Roman" w:cs="Times New Roman"/>
        </w:rPr>
      </w:r>
      <w:r w:rsidRPr="00D637A7">
        <w:rPr>
          <w:rFonts w:ascii="Times New Roman" w:eastAsia="Times New Roman" w:hAnsi="Times New Roman" w:cs="Times New Roman"/>
        </w:rPr>
        <w:fldChar w:fldCharType="separate"/>
      </w:r>
      <w:r w:rsidR="006D0886">
        <w:rPr>
          <w:noProof/>
        </w:rPr>
        <w:t>86</w:t>
      </w:r>
      <w:r w:rsidRPr="00D637A7">
        <w:rPr>
          <w:rFonts w:ascii="Times New Roman" w:eastAsia="Times New Roman" w:hAnsi="Times New Roman" w:cs="Times New Roman"/>
        </w:rPr>
        <w:fldChar w:fldCharType="end"/>
      </w:r>
      <w:r>
        <w:rPr>
          <w:rFonts w:ascii="Times New Roman" w:hAnsi="Times New Roman"/>
        </w:rPr>
        <w:t xml:space="preserve"> powyżej) w odniesieniu do Sądu Najwyższego i innych sądów oraz w odniesieniu do wyroków wydanych przez omawiane składy orzekające </w:t>
      </w:r>
      <w:r>
        <w:t>(zob. </w:t>
      </w:r>
      <w:r>
        <w:rPr>
          <w:rFonts w:ascii="Times New Roman" w:hAnsi="Times New Roman"/>
          <w:i/>
          <w:iCs/>
        </w:rPr>
        <w:t>Advance Pharma sp. z o.o.</w:t>
      </w:r>
      <w:r>
        <w:rPr>
          <w:rFonts w:ascii="Times New Roman" w:hAnsi="Times New Roman"/>
        </w:rPr>
        <w:t>, §§ 364-365</w:t>
      </w:r>
      <w:r>
        <w:t>).</w:t>
      </w:r>
    </w:p>
    <w:p w14:paraId="0536EBD3" w14:textId="77777777" w:rsidR="000410B4" w:rsidRPr="00D637A7" w:rsidRDefault="008E2D0D" w:rsidP="00D637A7">
      <w:pPr>
        <w:pStyle w:val="JuPara"/>
        <w:rPr>
          <w:rFonts w:eastAsia="Times New Roman"/>
        </w:rPr>
      </w:pPr>
      <w:r>
        <w:t xml:space="preserve">Na dzień przyjęcia wspomnianego wyroku na rozpatrzenie oczekiwały dziewięćdziesiąt cztery skargi przeciwko Polsce wniesione w okresie od 2018 r. do lutego 2022 r., dotyczące różnych aspektów reformy systemu sądownictwa (dwadzieścia trzy z nich zakomunikowano Rządowi). W tym </w:t>
      </w:r>
      <w:r>
        <w:lastRenderedPageBreak/>
        <w:t>samym okresie Trybunał wydał cztery wyroki, z których trzy były wyrokami ostatecznymi (</w:t>
      </w:r>
      <w:r>
        <w:rPr>
          <w:i/>
          <w:iCs/>
        </w:rPr>
        <w:t>ibidem</w:t>
      </w:r>
      <w:r>
        <w:t>, § 226).</w:t>
      </w:r>
    </w:p>
    <w:bookmarkStart w:id="154" w:name="Court_assessment_13"/>
    <w:p w14:paraId="2701BC5F" w14:textId="42058E48"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323</w:t>
      </w:r>
      <w:r w:rsidRPr="00D637A7">
        <w:fldChar w:fldCharType="end"/>
      </w:r>
      <w:bookmarkEnd w:id="154"/>
      <w:r>
        <w:t xml:space="preserve">.  Obecnie, tj. osiemnaście miesięcy po wydaniu wyroku </w:t>
      </w:r>
      <w:r>
        <w:rPr>
          <w:rFonts w:ascii="Times New Roman" w:hAnsi="Times New Roman"/>
          <w:i/>
          <w:iCs/>
        </w:rPr>
        <w:t>Advance Pharma sp. z o.o.</w:t>
      </w:r>
      <w:r>
        <w:t>,</w:t>
      </w:r>
      <w:r>
        <w:rPr>
          <w:rFonts w:ascii="Times New Roman" w:hAnsi="Times New Roman"/>
        </w:rPr>
        <w:t xml:space="preserve"> </w:t>
      </w:r>
      <w:r>
        <w:t xml:space="preserve">na rozpatrzenie oczekują aż 492 sprawy dotyczące reformy sądownictwa w Polsce (202 zakomunikowano, z czego 111 w 2023 r.). Większość </w:t>
      </w:r>
      <w:r w:rsidR="00725E1F">
        <w:t>z nich</w:t>
      </w:r>
      <w:r>
        <w:t xml:space="preserve"> dotyczy zarzucanego naruszenia </w:t>
      </w:r>
      <w:r w:rsidR="00725E1F">
        <w:t>prawa do niezawisłego i bezstronnego sądu ustanowionego ustawą z</w:t>
      </w:r>
      <w:r>
        <w:t xml:space="preserve"> art. 6 ust. 1 Konwencji, do którego doszło ze względu na rozpoznawanie spraw skarżących przez składy Sądu Najwyższego, sądów powszechnych lub sądów administracyjnych obejmujące sędziów powołanych do pełnienia urzędu w ramach wadliwej procedury </w:t>
      </w:r>
      <w:r w:rsidR="00DC2C8F">
        <w:t>z</w:t>
      </w:r>
      <w:r>
        <w:t xml:space="preserve"> udzia</w:t>
      </w:r>
      <w:r w:rsidR="00DC2C8F">
        <w:t>łem</w:t>
      </w:r>
      <w:r>
        <w:t xml:space="preserve"> KRS ukształtowanej </w:t>
      </w:r>
      <w:r w:rsidR="00DC2C8F">
        <w:t>zgodnie z</w:t>
      </w:r>
      <w:r>
        <w:t xml:space="preserve"> ustaw</w:t>
      </w:r>
      <w:r w:rsidR="00DC2C8F">
        <w:t>ą</w:t>
      </w:r>
      <w:r>
        <w:t xml:space="preserve"> zmieniając</w:t>
      </w:r>
      <w:r w:rsidR="00DC2C8F">
        <w:t>ą</w:t>
      </w:r>
      <w:r>
        <w:t xml:space="preserve"> z 2017 r.</w:t>
      </w:r>
    </w:p>
    <w:p w14:paraId="08A43D44" w14:textId="196E5B67" w:rsidR="000410B4" w:rsidRPr="00D637A7" w:rsidRDefault="008E2D0D" w:rsidP="00D637A7">
      <w:pPr>
        <w:pStyle w:val="JuPara"/>
      </w:pPr>
      <w:r>
        <w:t xml:space="preserve">Chociaż obecnie </w:t>
      </w:r>
      <w:r w:rsidR="00DC2C8F">
        <w:t xml:space="preserve">przed </w:t>
      </w:r>
      <w:r>
        <w:t>Trybunał</w:t>
      </w:r>
      <w:r w:rsidR="00DC2C8F">
        <w:t xml:space="preserve">em zawisło </w:t>
      </w:r>
      <w:r>
        <w:t xml:space="preserve">tylko kilka skarg dotyczących funkcjonowania skargi nadzwyczajnej, podwójne naruszenie prawa do rzetelnego procesu sądowego </w:t>
      </w:r>
      <w:r w:rsidR="00DC2C8F">
        <w:t>z</w:t>
      </w:r>
      <w:r>
        <w:t xml:space="preserve"> art. 6 ust. 1, jak ustalono powyżej w niniejszej sprawie, </w:t>
      </w:r>
      <w:r w:rsidR="00DC2C8F">
        <w:t>ujawnia</w:t>
      </w:r>
      <w:r>
        <w:t xml:space="preserve"> poważn</w:t>
      </w:r>
      <w:r w:rsidR="00DC2C8F">
        <w:t>ą</w:t>
      </w:r>
      <w:r>
        <w:t xml:space="preserve"> sytuacj</w:t>
      </w:r>
      <w:r w:rsidR="00DC2C8F">
        <w:t>ę</w:t>
      </w:r>
      <w:r>
        <w:t xml:space="preserve"> systemow</w:t>
      </w:r>
      <w:r w:rsidR="00DC2C8F">
        <w:t>ą</w:t>
      </w:r>
      <w:r>
        <w:t>, która może stale wpływać na wiele osób. Na sytuację t</w:t>
      </w:r>
      <w:r w:rsidR="00EF6C05">
        <w:t>ą</w:t>
      </w:r>
      <w:r>
        <w:t xml:space="preserve"> składa się kilka powiązanych ze sobą problemów systemowych zaistniałych w prawie i praktyce krajowej; niemniej jednak każdy z </w:t>
      </w:r>
      <w:r w:rsidR="00EF6C05">
        <w:t>nich</w:t>
      </w:r>
      <w:r>
        <w:t>, osobno lub w związku z pozostałymi, skutkuje lub może skutkować w przyszłości naruszeniem prawa do rzetelnego procesu sądowego gwarantowanego art. 6 ust. 1 Konwencji.</w:t>
      </w:r>
    </w:p>
    <w:bookmarkStart w:id="155" w:name="Court_assessment_12"/>
    <w:p w14:paraId="1FCF0863" w14:textId="77777777"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324</w:t>
      </w:r>
      <w:r w:rsidRPr="00D637A7">
        <w:fldChar w:fldCharType="end"/>
      </w:r>
      <w:bookmarkEnd w:id="155"/>
      <w:r>
        <w:t>.  U podstaw naruszeń art. 6 ust. 1 Konwencji stwierdzonych w niniejszej sprawie leżą następujące problemy systemowe:</w:t>
      </w:r>
    </w:p>
    <w:p w14:paraId="648177A8" w14:textId="436E04C2" w:rsidR="000410B4" w:rsidRPr="00D637A7" w:rsidRDefault="008E2D0D" w:rsidP="00D637A7">
      <w:pPr>
        <w:pStyle w:val="JuPara"/>
      </w:pPr>
      <w:r>
        <w:t xml:space="preserve">a) Podstawowym problemem jest wadliwa procedura powoływania sędziów </w:t>
      </w:r>
      <w:r w:rsidR="00283B38">
        <w:t>z</w:t>
      </w:r>
      <w:r>
        <w:t xml:space="preserve"> udzia</w:t>
      </w:r>
      <w:r w:rsidR="00283B38">
        <w:t>łem</w:t>
      </w:r>
      <w:r>
        <w:t xml:space="preserve"> KRS ukształtowanej ustawą zmieniającą z 2017 r., która </w:t>
      </w:r>
      <w:r w:rsidR="00283B38">
        <w:t>z natury rzeczy</w:t>
      </w:r>
      <w:r>
        <w:t xml:space="preserve"> i </w:t>
      </w:r>
      <w:r w:rsidR="00283B38">
        <w:t xml:space="preserve">w sposób </w:t>
      </w:r>
      <w:r>
        <w:t xml:space="preserve">ciągły wpływa na niezawisłość powoływanych w ten sposób sędziów. Wprawdzie, jak stwierdził Sąd Najwyższy w uchwale połączonych Izb z 23 stycznia 2020 r., brak niezależności zreformowanej KRS generalnie skutkuje wadami podważającymi niezawisłość i bezstronność sądu, </w:t>
      </w:r>
      <w:r w:rsidR="00283B38">
        <w:t>to jednak</w:t>
      </w:r>
      <w:r>
        <w:t xml:space="preserve"> skutki tego różn</w:t>
      </w:r>
      <w:r w:rsidR="00283B38">
        <w:t>ią się</w:t>
      </w:r>
      <w:r>
        <w:t xml:space="preserve"> w zależności od </w:t>
      </w:r>
      <w:r w:rsidR="00283B38">
        <w:t>rodzaju</w:t>
      </w:r>
      <w:r>
        <w:t xml:space="preserve"> sądu i </w:t>
      </w:r>
      <w:r w:rsidR="00283B38">
        <w:t xml:space="preserve">jego </w:t>
      </w:r>
      <w:r>
        <w:t xml:space="preserve">miejsca w strukturze </w:t>
      </w:r>
      <w:r w:rsidR="00422913">
        <w:t>sądownictwa</w:t>
      </w:r>
      <w:r>
        <w:t>. Zdaniem Sądu Najwyższego wady te najbardziej niekorzystn</w:t>
      </w:r>
      <w:r w:rsidR="00422913">
        <w:t>ie</w:t>
      </w:r>
      <w:r>
        <w:t xml:space="preserve"> wpływ</w:t>
      </w:r>
      <w:r w:rsidR="00422913">
        <w:t>ają</w:t>
      </w:r>
      <w:r>
        <w:t xml:space="preserve"> na </w:t>
      </w:r>
      <w:r w:rsidR="00422913">
        <w:t>powołania do</w:t>
      </w:r>
      <w:r>
        <w:t xml:space="preserve"> Sądu Najwyższego, ponieważ „kwalifikowany standard” niezależności Sądu Najwyższego od władzy politycznej jest warunkiem koniecznym </w:t>
      </w:r>
      <w:r w:rsidR="00422913">
        <w:t xml:space="preserve">dla jego funkcjonowania </w:t>
      </w:r>
      <w:r>
        <w:t>zgodn</w:t>
      </w:r>
      <w:r w:rsidR="00422913">
        <w:t>ie</w:t>
      </w:r>
      <w:r>
        <w:t xml:space="preserve"> z Konstytucją i </w:t>
      </w:r>
      <w:r w:rsidR="00422913">
        <w:t xml:space="preserve">dla </w:t>
      </w:r>
      <w:r>
        <w:t xml:space="preserve">prawidłowego wykonywania jego </w:t>
      </w:r>
      <w:r w:rsidR="00422913">
        <w:t>uprawnień</w:t>
      </w:r>
      <w:r>
        <w:t xml:space="preserve">, które mają zasadnicze znaczenie </w:t>
      </w:r>
      <w:r w:rsidR="00422913">
        <w:t>w</w:t>
      </w:r>
      <w:r>
        <w:t xml:space="preserve"> demokratyczn</w:t>
      </w:r>
      <w:r w:rsidR="00422913">
        <w:t>ym</w:t>
      </w:r>
      <w:r>
        <w:t xml:space="preserve"> państw</w:t>
      </w:r>
      <w:r w:rsidR="00422913">
        <w:t>ie</w:t>
      </w:r>
      <w:r>
        <w:t xml:space="preserve"> praw</w:t>
      </w:r>
      <w:r w:rsidR="00422913">
        <w:t>a</w:t>
      </w:r>
      <w:r>
        <w:t xml:space="preserve"> (zob. </w:t>
      </w:r>
      <w:r w:rsidR="000119DE">
        <w:t>par.</w:t>
      </w:r>
      <w:r>
        <w:t> </w:t>
      </w:r>
      <w:r w:rsidRPr="00D637A7">
        <w:fldChar w:fldCharType="begin"/>
      </w:r>
      <w:r w:rsidRPr="00D637A7">
        <w:instrText xml:space="preserve"> REF supreme_court \h </w:instrText>
      </w:r>
      <w:r w:rsidRPr="00D637A7">
        <w:fldChar w:fldCharType="separate"/>
      </w:r>
      <w:r w:rsidR="006D0886">
        <w:rPr>
          <w:noProof/>
        </w:rPr>
        <w:t>85</w:t>
      </w:r>
      <w:r w:rsidRPr="00D637A7">
        <w:fldChar w:fldCharType="end"/>
      </w:r>
      <w:r>
        <w:t xml:space="preserve"> powyżej). Trybunał podziela tę opinię.</w:t>
      </w:r>
    </w:p>
    <w:p w14:paraId="55D862FD" w14:textId="35D7ED88" w:rsidR="000410B4" w:rsidRPr="00D637A7" w:rsidRDefault="008E2D0D" w:rsidP="00D637A7">
      <w:pPr>
        <w:pStyle w:val="JuPara"/>
        <w:rPr>
          <w:rFonts w:eastAsia="Times New Roman"/>
        </w:rPr>
      </w:pPr>
      <w:r>
        <w:t xml:space="preserve">W szczególności, jak ustalono w wyrokach </w:t>
      </w:r>
      <w:r>
        <w:rPr>
          <w:i/>
          <w:iCs/>
        </w:rPr>
        <w:t>Reczkowicz</w:t>
      </w:r>
      <w:r>
        <w:t>,</w:t>
      </w:r>
      <w:r>
        <w:rPr>
          <w:i/>
          <w:iCs/>
        </w:rPr>
        <w:t xml:space="preserve"> </w:t>
      </w:r>
      <w:r>
        <w:rPr>
          <w:rFonts w:ascii="Times New Roman" w:hAnsi="Times New Roman"/>
          <w:i/>
          <w:iCs/>
        </w:rPr>
        <w:t xml:space="preserve">Dolińska-Ficek i Ozimek </w:t>
      </w:r>
      <w:r>
        <w:rPr>
          <w:rFonts w:ascii="Times New Roman" w:hAnsi="Times New Roman"/>
        </w:rPr>
        <w:t xml:space="preserve">oraz </w:t>
      </w:r>
      <w:r>
        <w:rPr>
          <w:rFonts w:ascii="Times New Roman" w:hAnsi="Times New Roman"/>
          <w:i/>
          <w:iCs/>
        </w:rPr>
        <w:t>Advance Pharma sp. z o.o.</w:t>
      </w:r>
      <w:r>
        <w:rPr>
          <w:rFonts w:ascii="Times New Roman" w:hAnsi="Times New Roman"/>
        </w:rPr>
        <w:t xml:space="preserve">, </w:t>
      </w:r>
      <w:r w:rsidR="00405726">
        <w:rPr>
          <w:rFonts w:ascii="Times New Roman" w:hAnsi="Times New Roman"/>
        </w:rPr>
        <w:t>żaden z</w:t>
      </w:r>
      <w:r>
        <w:rPr>
          <w:rFonts w:ascii="Times New Roman" w:hAnsi="Times New Roman"/>
        </w:rPr>
        <w:t xml:space="preserve"> sędziów powołanych do dwóch pełnych izb Sądu Najwyższego – Izby Dyscyplinarnej oraz IKNiSP, a także sędziów powołanych do Izby Cywilnej na wniosek zreformowanej KRS – nie spełnia</w:t>
      </w:r>
      <w:r w:rsidR="00405726">
        <w:rPr>
          <w:rFonts w:ascii="Times New Roman" w:hAnsi="Times New Roman"/>
        </w:rPr>
        <w:t xml:space="preserve"> wymogów</w:t>
      </w:r>
      <w:r>
        <w:rPr>
          <w:rFonts w:ascii="Times New Roman" w:hAnsi="Times New Roman"/>
        </w:rPr>
        <w:t xml:space="preserve"> „niezawisłego i [bezstronnego] sądu ustanowionego ustawą” w rozumieniu art. 6 ust. 1 Konwencji. W sposób dorozumiany to samo odnosi się do innych powołanych w ten sposób sędziów </w:t>
      </w:r>
      <w:r>
        <w:rPr>
          <w:rFonts w:ascii="Times New Roman" w:hAnsi="Times New Roman"/>
        </w:rPr>
        <w:lastRenderedPageBreak/>
        <w:t xml:space="preserve">Sądu Najwyższego. Sytuacja ta budzi poważne obawy </w:t>
      </w:r>
      <w:r w:rsidR="00405726">
        <w:rPr>
          <w:rFonts w:ascii="Times New Roman" w:hAnsi="Times New Roman"/>
        </w:rPr>
        <w:t>co do</w:t>
      </w:r>
      <w:r>
        <w:rPr>
          <w:rFonts w:ascii="Times New Roman" w:hAnsi="Times New Roman"/>
        </w:rPr>
        <w:t xml:space="preserve"> dalszego funkcjonowania Sądu Najwyższego, będącego najwyższym organem sądowym w Polsce, jako sądu „zgodnego z prawem” w rozumieniu Konwencji. Ma to również, jak podkreślono w wyrokach </w:t>
      </w:r>
      <w:r>
        <w:rPr>
          <w:rFonts w:ascii="Times New Roman" w:hAnsi="Times New Roman"/>
          <w:i/>
          <w:iCs/>
        </w:rPr>
        <w:t>Dolińska-Ficek i Ozimek</w:t>
      </w:r>
      <w:r>
        <w:rPr>
          <w:rFonts w:ascii="Times New Roman" w:hAnsi="Times New Roman"/>
        </w:rPr>
        <w:t xml:space="preserve"> oraz </w:t>
      </w:r>
      <w:r>
        <w:rPr>
          <w:rFonts w:ascii="Times New Roman" w:hAnsi="Times New Roman"/>
          <w:i/>
          <w:iCs/>
        </w:rPr>
        <w:t xml:space="preserve">Advance Pharma sp. z o.o., </w:t>
      </w:r>
      <w:r>
        <w:rPr>
          <w:rFonts w:ascii="Times New Roman" w:hAnsi="Times New Roman"/>
        </w:rPr>
        <w:t xml:space="preserve">konsekwencje dla </w:t>
      </w:r>
      <w:r>
        <w:t>powoływania sędziów nie tylko Sądu Najwyższego, ale także sądów powszechnych, wojskowych i administracyjnych, które zostały dotknięte tą samą wadą systemową.</w:t>
      </w:r>
    </w:p>
    <w:p w14:paraId="695A6085" w14:textId="06CBC997" w:rsidR="000410B4" w:rsidRPr="00D637A7" w:rsidRDefault="008E2D0D" w:rsidP="00D637A7">
      <w:pPr>
        <w:pStyle w:val="JuPara"/>
      </w:pPr>
      <w:r>
        <w:t xml:space="preserve">b) IKNiSP, organ, który nie jest, jak </w:t>
      </w:r>
      <w:r w:rsidR="00FD152B">
        <w:t>stwierdzono</w:t>
      </w:r>
      <w:r>
        <w:t xml:space="preserve"> powyżej, niezawisłym i „zgodnym z prawem” sądem w rozumieniu Konwencji, dysponuje wyłączną kompetencją do rozpoznawania </w:t>
      </w:r>
      <w:r w:rsidR="00FD152B">
        <w:t xml:space="preserve">wszelkich </w:t>
      </w:r>
      <w:r>
        <w:t xml:space="preserve">wniosków </w:t>
      </w:r>
      <w:r w:rsidR="00FD152B">
        <w:t>o</w:t>
      </w:r>
      <w:r>
        <w:t xml:space="preserve"> wyłączeni</w:t>
      </w:r>
      <w:r w:rsidR="00FD152B">
        <w:t>e</w:t>
      </w:r>
      <w:r>
        <w:t xml:space="preserve"> sędziego, które obejmują zarzut braku niezależności sądu lub braku niezawisłości sędziego, również – jak wynika z okoliczności faktycznych niniejszej sprawy – w sytuacji, w której wniosek </w:t>
      </w:r>
      <w:r w:rsidR="00FD152B">
        <w:t>jest skierowany przeciwko nim samym</w:t>
      </w:r>
      <w:r>
        <w:t xml:space="preserve"> (zob. par. </w:t>
      </w:r>
      <w:r w:rsidRPr="00D637A7">
        <w:fldChar w:fldCharType="begin"/>
      </w:r>
      <w:r w:rsidRPr="00D637A7">
        <w:instrText xml:space="preserve"> REF exclusion_1 \h </w:instrText>
      </w:r>
      <w:r w:rsidRPr="00D637A7">
        <w:fldChar w:fldCharType="separate"/>
      </w:r>
      <w:r w:rsidR="006D0886">
        <w:rPr>
          <w:noProof/>
        </w:rPr>
        <w:t>34</w:t>
      </w:r>
      <w:r w:rsidRPr="00D637A7">
        <w:fldChar w:fldCharType="end"/>
      </w:r>
      <w:r>
        <w:t>-</w:t>
      </w:r>
      <w:r w:rsidRPr="00D637A7">
        <w:fldChar w:fldCharType="begin"/>
      </w:r>
      <w:r w:rsidRPr="00D637A7">
        <w:instrText xml:space="preserve"> REF exclusion \h </w:instrText>
      </w:r>
      <w:r w:rsidRPr="00D637A7">
        <w:fldChar w:fldCharType="separate"/>
      </w:r>
      <w:r w:rsidR="006D0886">
        <w:rPr>
          <w:noProof/>
        </w:rPr>
        <w:t>35</w:t>
      </w:r>
      <w:r w:rsidRPr="00D637A7">
        <w:fldChar w:fldCharType="end"/>
      </w:r>
      <w:r>
        <w:t xml:space="preserve"> i </w:t>
      </w:r>
      <w:r w:rsidRPr="00D637A7">
        <w:fldChar w:fldCharType="begin"/>
      </w:r>
      <w:r w:rsidRPr="00D637A7">
        <w:instrText xml:space="preserve"> REF CERPA_jurisdiction_1 \h </w:instrText>
      </w:r>
      <w:r w:rsidRPr="00D637A7">
        <w:fldChar w:fldCharType="separate"/>
      </w:r>
      <w:r w:rsidR="006D0886">
        <w:rPr>
          <w:noProof/>
        </w:rPr>
        <w:t>68</w:t>
      </w:r>
      <w:r w:rsidRPr="00D637A7">
        <w:fldChar w:fldCharType="end"/>
      </w:r>
      <w:r>
        <w:t xml:space="preserve"> powyżej). Nie daje to, jak podkreślił również Sąd Najwyższy w uchwale z 23 stycznia 2020 r. (zob. par. </w:t>
      </w:r>
      <w:r w:rsidRPr="00D637A7">
        <w:fldChar w:fldCharType="begin"/>
      </w:r>
      <w:r w:rsidRPr="00D637A7">
        <w:instrText xml:space="preserve"> REF Chamber_Extraordinary_Review \h </w:instrText>
      </w:r>
      <w:r w:rsidRPr="00D637A7">
        <w:fldChar w:fldCharType="separate"/>
      </w:r>
      <w:r w:rsidR="006D0886">
        <w:rPr>
          <w:noProof/>
        </w:rPr>
        <w:t>86</w:t>
      </w:r>
      <w:r w:rsidRPr="00D637A7">
        <w:fldChar w:fldCharType="end"/>
      </w:r>
      <w:r>
        <w:t xml:space="preserve"> powyżej), żadnej gwarancji, że sprawa zostanie rozpoznana obiektywnie, ponieważ sami sędziowie IKNiSP nie posiadają atrybutu wymaganej niezawisłości, zaś w przypadkach, w których </w:t>
      </w:r>
      <w:r w:rsidR="0028377C">
        <w:t xml:space="preserve">kwestionowana jest </w:t>
      </w:r>
      <w:r>
        <w:t>niezawisłość</w:t>
      </w:r>
      <w:r w:rsidR="0028377C">
        <w:t xml:space="preserve"> ich samych,</w:t>
      </w:r>
      <w:r>
        <w:t xml:space="preserve"> ze względu na wadliwe powołanie, będą oni sędziami w sprawach dotyczących ich samych, co stanowi naruszenie podstawowej zasady </w:t>
      </w:r>
      <w:r>
        <w:rPr>
          <w:i/>
          <w:iCs/>
        </w:rPr>
        <w:t>nemo iudex in causa sua</w:t>
      </w:r>
      <w:r>
        <w:t>.</w:t>
      </w:r>
    </w:p>
    <w:p w14:paraId="4B35BBA3" w14:textId="1D2F924F" w:rsidR="000410B4" w:rsidRPr="00D637A7" w:rsidRDefault="008E2D0D" w:rsidP="00D637A7">
      <w:pPr>
        <w:pStyle w:val="JuPara"/>
        <w:rPr>
          <w:rFonts w:ascii="Times New Roman" w:hAnsi="Times New Roman" w:cs="Times New Roman"/>
        </w:rPr>
      </w:pPr>
      <w:r>
        <w:t>(c) Procedura skargi nadzwyczajnej</w:t>
      </w:r>
      <w:r w:rsidR="0028377C">
        <w:t>,</w:t>
      </w:r>
      <w:r>
        <w:t xml:space="preserve"> funkcjonująca obecnie w Polsce</w:t>
      </w:r>
      <w:r w:rsidR="0028377C">
        <w:t>,</w:t>
      </w:r>
      <w:r>
        <w:t xml:space="preserve"> jest niezgodna ze standardami rzetelnego procesu sądowego i zasadą pewności prawa wynikającymi z art. 6 ust. 1 Konwencji ze względu na szereg wad </w:t>
      </w:r>
      <w:r w:rsidR="0028377C">
        <w:t>zidentyfikowanych</w:t>
      </w:r>
      <w:r>
        <w:t xml:space="preserve"> powyżej, w szczególności (i) brak przewidywalności przepisów, które </w:t>
      </w:r>
      <w:r w:rsidR="0028377C">
        <w:t>przyznają</w:t>
      </w:r>
      <w:r>
        <w:t xml:space="preserve"> władzom i organom zaangażowanym w procedurę nieograniczoną swobodę w interpretacji podstaw wniesienia skargi nadzwyczajnej; (ii) możliwość </w:t>
      </w:r>
      <w:r w:rsidR="0028377C">
        <w:t>użycia</w:t>
      </w:r>
      <w:r w:rsidR="00F53BE6">
        <w:t xml:space="preserve"> w praktyce</w:t>
      </w:r>
      <w:r>
        <w:t xml:space="preserve"> tego nadzwyczajnego środka zaskarżenia jako „zakamuflowanego zwyczajnego środka </w:t>
      </w:r>
      <w:r w:rsidR="00F53BE6">
        <w:t>odwoławczego</w:t>
      </w:r>
      <w:r>
        <w:t xml:space="preserve">” i doprowadzenia w ten sposób do ponownego zbadania sprawy, w tym ponownego ustalenia okoliczności faktycznych, przy </w:t>
      </w:r>
      <w:r w:rsidR="005F7DA6">
        <w:t>czym</w:t>
      </w:r>
      <w:r>
        <w:t xml:space="preserve"> organ orzekający działa w charakterze sądu trzeciej czy czwartej instancji ustalającego okoliczności faktyczne; (iii) wyjątkowo wydłużone i stosowane z mocą wsteczną terminy na wniesienie skargi nadzwyczajnej, umożliwiające Prokuratorowi Generalnemu i Rzecznikowi Praw Obywatelskich </w:t>
      </w:r>
      <w:r w:rsidR="00DB4A5B">
        <w:t>podważenie</w:t>
      </w:r>
      <w:r>
        <w:t xml:space="preserve"> wyroków, które uprawomocniły się przed wejściem w życie ustawy o Sądzie Najwyższym z 2017 r.; (iv) brak wystarczających zabezpieczeń przed </w:t>
      </w:r>
      <w:r w:rsidR="00DB4A5B">
        <w:t>możliwym</w:t>
      </w:r>
      <w:r>
        <w:t xml:space="preserve"> nadużywaniem</w:t>
      </w:r>
      <w:r w:rsidR="00DB4A5B">
        <w:t xml:space="preserve"> i</w:t>
      </w:r>
      <w:r>
        <w:t xml:space="preserve"> </w:t>
      </w:r>
      <w:r w:rsidR="00DB4A5B">
        <w:t xml:space="preserve">instrumentalizacją </w:t>
      </w:r>
      <w:r>
        <w:t>procedury</w:t>
      </w:r>
      <w:r w:rsidR="00DB4A5B">
        <w:t xml:space="preserve"> </w:t>
      </w:r>
      <w:r>
        <w:t>skargi nadzwyczajnej (np.</w:t>
      </w:r>
      <w:r>
        <w:rPr>
          <w:b/>
          <w:bCs/>
        </w:rPr>
        <w:t> </w:t>
      </w:r>
      <w:r>
        <w:t xml:space="preserve">z powodów politycznych, czego przykładem jest obecnie </w:t>
      </w:r>
      <w:r>
        <w:rPr>
          <w:rFonts w:ascii="Times New Roman" w:hAnsi="Times New Roman"/>
        </w:rPr>
        <w:t>powierzenie Prokuratorowi Generalnemu – będącemu aktywnym politykiem, a jednocześnie Ministrem Sprawiedliwości sprawującym znaczną władzę nad sądami – szerokich uprawnień w zakresie kwestionowania prawomocności orzeczeń sądowych w drodze skargi nadzwyczajnej)</w:t>
      </w:r>
      <w:r>
        <w:t>.</w:t>
      </w:r>
    </w:p>
    <w:p w14:paraId="676C3694" w14:textId="231E5EF1" w:rsidR="000410B4" w:rsidRPr="00D637A7" w:rsidRDefault="008E2D0D" w:rsidP="00D637A7">
      <w:pPr>
        <w:pStyle w:val="JuPara"/>
      </w:pPr>
      <w:r>
        <w:lastRenderedPageBreak/>
        <w:t xml:space="preserve">(d) Skargi nadzwyczajne są rozpoznawane przez IKNiSP, która dysponuje wyłącznymi kompetencjami w tym zakresie. Prowadzi to do sytuacji, w której pierwotne naruszenie art. 6 ust. 1 jest stale potęgowane </w:t>
      </w:r>
      <w:r w:rsidR="00DB4A5B">
        <w:t xml:space="preserve">przez </w:t>
      </w:r>
      <w:r>
        <w:t>kolejn</w:t>
      </w:r>
      <w:r w:rsidR="00DB4A5B">
        <w:t>e</w:t>
      </w:r>
      <w:r>
        <w:t xml:space="preserve">, ponieważ </w:t>
      </w:r>
      <w:r w:rsidR="00DB4A5B">
        <w:t>uprawnienie</w:t>
      </w:r>
      <w:r>
        <w:t xml:space="preserve"> do decydowania </w:t>
      </w:r>
      <w:r w:rsidR="003C118C">
        <w:t>w przedmiocie</w:t>
      </w:r>
      <w:r>
        <w:t xml:space="preserve"> środk</w:t>
      </w:r>
      <w:r w:rsidR="003C118C">
        <w:t>a</w:t>
      </w:r>
      <w:r>
        <w:t xml:space="preserve"> zaskarżenia niezgodn</w:t>
      </w:r>
      <w:r w:rsidR="003C118C">
        <w:t>ego</w:t>
      </w:r>
      <w:r>
        <w:t xml:space="preserve"> ze standardami rzetelnego procesu sądowego i zasadą pewności prawa wynikającymi z art. 6 ust. 1 Konwencji powierzono organowi niebędącemu sądem zgodnym z prawem w rozumieniu tego postanowienia, co jest sytuacją niewyobrażalną z punktu widzenia rządów prawa.</w:t>
      </w:r>
    </w:p>
    <w:p w14:paraId="3D76A7DA" w14:textId="77777777" w:rsidR="000410B4" w:rsidRPr="00D637A7" w:rsidRDefault="008E2D0D" w:rsidP="00D637A7">
      <w:pPr>
        <w:pStyle w:val="JuPara"/>
      </w:pPr>
      <w:r>
        <w:rPr>
          <w:rFonts w:ascii="Times New Roman" w:hAnsi="Times New Roman"/>
        </w:rPr>
        <w:t>Te powiązane ze sobą problemy systemowe pociągają za sobą zatem</w:t>
      </w:r>
      <w:r>
        <w:t xml:space="preserve"> powtarzające się naruszenia podstawowych zasad, jakimi są zasada praworządności, zasada trójpodziału władzy i zasada niezależności sądownictwa.</w:t>
      </w:r>
    </w:p>
    <w:p w14:paraId="0C12391B" w14:textId="04E13661" w:rsidR="000410B4" w:rsidRPr="00D637A7" w:rsidRDefault="00000000" w:rsidP="00D637A7">
      <w:pPr>
        <w:pStyle w:val="JuPara"/>
      </w:pPr>
      <w:fldSimple w:instr=" SEQ level0 \*arabic \* MERGEFORMAT ">
        <w:r w:rsidR="006D0886">
          <w:rPr>
            <w:noProof/>
          </w:rPr>
          <w:t>325</w:t>
        </w:r>
      </w:fldSimple>
      <w:r w:rsidR="008E2D0D">
        <w:t>.  Ponadto, jak już wspomniano powyżej, Trybunał Konstytucyjny w szeregu ostatnich wyroków, w szczególności w wyroku z 24</w:t>
      </w:r>
      <w:r w:rsidR="008E2D0D">
        <w:rPr>
          <w:rFonts w:ascii="Times New Roman" w:hAnsi="Times New Roman"/>
        </w:rPr>
        <w:t> </w:t>
      </w:r>
      <w:r w:rsidR="008E2D0D">
        <w:t xml:space="preserve">listopada 2021 r. (sygn. akt K 6/21) i z 10 marca 2022 r. (sygn. akt K 7/21), faktycznie utrwalił </w:t>
      </w:r>
      <w:r w:rsidR="003C118C">
        <w:t>ten</w:t>
      </w:r>
      <w:r w:rsidR="008E2D0D">
        <w:t xml:space="preserve"> stan ciągłej niezgodności z Konwencją, konsekwentnie próbując podważyć i uniemożliwić wykonanie wyroków Trybunału dotyczących niezależności sądownictwa i wadliwej procedury powoływania sędziów (zob. par. </w:t>
      </w:r>
      <w:r w:rsidR="008E2D0D" w:rsidRPr="00D637A7">
        <w:fldChar w:fldCharType="begin"/>
      </w:r>
      <w:r w:rsidR="008E2D0D" w:rsidRPr="00D637A7">
        <w:instrText xml:space="preserve"> REF Judgment_24November2021_1 \h </w:instrText>
      </w:r>
      <w:r w:rsidR="008E2D0D" w:rsidRPr="00D637A7">
        <w:fldChar w:fldCharType="separate"/>
      </w:r>
      <w:r w:rsidR="006D0886">
        <w:rPr>
          <w:noProof/>
        </w:rPr>
        <w:t>102</w:t>
      </w:r>
      <w:r w:rsidR="008E2D0D" w:rsidRPr="00D637A7">
        <w:fldChar w:fldCharType="end"/>
      </w:r>
      <w:r w:rsidR="008E2D0D">
        <w:t xml:space="preserve">, </w:t>
      </w:r>
      <w:r w:rsidR="008E2D0D" w:rsidRPr="00D637A7">
        <w:fldChar w:fldCharType="begin"/>
      </w:r>
      <w:r w:rsidR="008E2D0D" w:rsidRPr="00D637A7">
        <w:instrText xml:space="preserve"> REF judgment_10March2022_1 \h </w:instrText>
      </w:r>
      <w:r w:rsidR="008E2D0D" w:rsidRPr="00D637A7">
        <w:fldChar w:fldCharType="separate"/>
      </w:r>
      <w:r w:rsidR="006D0886">
        <w:rPr>
          <w:noProof/>
        </w:rPr>
        <w:t>107</w:t>
      </w:r>
      <w:r w:rsidR="008E2D0D" w:rsidRPr="00D637A7">
        <w:fldChar w:fldCharType="end"/>
      </w:r>
      <w:r w:rsidR="008E2D0D">
        <w:t>-108 i </w:t>
      </w:r>
      <w:r w:rsidR="008E2D0D" w:rsidRPr="00D637A7">
        <w:fldChar w:fldCharType="begin"/>
      </w:r>
      <w:r w:rsidR="008E2D0D" w:rsidRPr="00D637A7">
        <w:instrText xml:space="preserve"> REF admissibility_court_assessment1 \h </w:instrText>
      </w:r>
      <w:r w:rsidR="008E2D0D" w:rsidRPr="00D637A7">
        <w:fldChar w:fldCharType="separate"/>
      </w:r>
      <w:r w:rsidR="006D0886">
        <w:rPr>
          <w:noProof/>
        </w:rPr>
        <w:t>141</w:t>
      </w:r>
      <w:r w:rsidR="008E2D0D" w:rsidRPr="00D637A7">
        <w:fldChar w:fldCharType="end"/>
      </w:r>
      <w:r w:rsidR="008E2D0D">
        <w:noBreakHyphen/>
      </w:r>
      <w:r w:rsidR="008E2D0D" w:rsidRPr="00D637A7">
        <w:fldChar w:fldCharType="begin"/>
      </w:r>
      <w:r w:rsidR="008E2D0D" w:rsidRPr="00D637A7">
        <w:instrText xml:space="preserve"> REF admissibility_court_assessment2 \h </w:instrText>
      </w:r>
      <w:r w:rsidR="008E2D0D" w:rsidRPr="00D637A7">
        <w:fldChar w:fldCharType="separate"/>
      </w:r>
      <w:r w:rsidR="006D0886">
        <w:rPr>
          <w:noProof/>
        </w:rPr>
        <w:t>144</w:t>
      </w:r>
      <w:r w:rsidR="008E2D0D" w:rsidRPr="00D637A7">
        <w:fldChar w:fldCharType="end"/>
      </w:r>
      <w:r w:rsidR="008E2D0D">
        <w:t xml:space="preserve"> powyżej).</w:t>
      </w:r>
    </w:p>
    <w:p w14:paraId="32256B4B" w14:textId="482D8974" w:rsidR="000410B4" w:rsidRPr="00D637A7" w:rsidRDefault="008E2D0D" w:rsidP="00D637A7">
      <w:pPr>
        <w:pStyle w:val="JuPara"/>
      </w:pPr>
      <w:r>
        <w:t xml:space="preserve">Równolegle Trybunał Konstytucyjny wydał wyroki kwestionujące pierwszeństwo prawa Unii </w:t>
      </w:r>
      <w:r w:rsidR="00DF2FF8">
        <w:t xml:space="preserve">Europejskiej </w:t>
      </w:r>
      <w:r>
        <w:t xml:space="preserve">i moc wiążącą wyroków TSUE, stwierdzając w </w:t>
      </w:r>
      <w:r w:rsidR="00DF2FF8">
        <w:t xml:space="preserve">swoim </w:t>
      </w:r>
      <w:r>
        <w:t xml:space="preserve">wyroku z 14 lipca 2021 r. (sygn. akt P 7/20) niezgodność postanowień TUE i TFUE z Konstytucją RP w zakresie, w jakim dotyczą one kompetencji TSUE do </w:t>
      </w:r>
      <w:r w:rsidR="00DF2FF8">
        <w:t>orzekania</w:t>
      </w:r>
      <w:r>
        <w:t xml:space="preserve"> środków tymczasowych odnoszących się do organizacji i właściwości polskich sądów oraz postępowania przed nimi. W wyroku z 7 października 2021 r. (sygn. akt K 3/21) TK orzekł ponadto, między innymi, że art. 2 i art. 19 ust. 1 TUE są niezgodne z Konstytucją w zakresie, w jakim przyznają sądom krajowym kompetencję do kontroli legalności procedury powoływania sędziów lub legalności uchwały KRS w </w:t>
      </w:r>
      <w:r w:rsidR="005B4598">
        <w:t>przedmiocie</w:t>
      </w:r>
      <w:r>
        <w:t xml:space="preserve"> rekomendacji na stanowiska sędziów. Wyroki te są obecnie przedmiotem postępowania w sprawie uchybienia zobowiązaniom państwa członkowskiego wszczętego przez Komisję (zob. par. </w:t>
      </w:r>
      <w:r w:rsidRPr="00D637A7">
        <w:fldChar w:fldCharType="begin"/>
      </w:r>
      <w:r w:rsidRPr="00D637A7">
        <w:instrText xml:space="preserve"> REF Judgment_14July2021_1 \h </w:instrText>
      </w:r>
      <w:r w:rsidRPr="00D637A7">
        <w:fldChar w:fldCharType="separate"/>
      </w:r>
      <w:r w:rsidR="006D0886">
        <w:rPr>
          <w:noProof/>
        </w:rPr>
        <w:t>95</w:t>
      </w:r>
      <w:r w:rsidRPr="00D637A7">
        <w:fldChar w:fldCharType="end"/>
      </w:r>
      <w:r>
        <w:t>-</w:t>
      </w:r>
      <w:r w:rsidRPr="00D637A7">
        <w:fldChar w:fldCharType="begin"/>
      </w:r>
      <w:r w:rsidRPr="00D637A7">
        <w:instrText xml:space="preserve"> REF Judgement_7october2021_2 \h </w:instrText>
      </w:r>
      <w:r w:rsidRPr="00D637A7">
        <w:fldChar w:fldCharType="separate"/>
      </w:r>
      <w:r w:rsidR="006D0886">
        <w:rPr>
          <w:noProof/>
        </w:rPr>
        <w:t>99</w:t>
      </w:r>
      <w:r w:rsidRPr="00D637A7">
        <w:fldChar w:fldCharType="end"/>
      </w:r>
      <w:r>
        <w:t xml:space="preserve"> i </w:t>
      </w:r>
      <w:r w:rsidRPr="00D637A7">
        <w:fldChar w:fldCharType="begin"/>
      </w:r>
      <w:r w:rsidRPr="00D637A7">
        <w:instrText xml:space="preserve"> REF European_Commission_1 \h </w:instrText>
      </w:r>
      <w:r w:rsidRPr="00D637A7">
        <w:fldChar w:fldCharType="separate"/>
      </w:r>
      <w:r w:rsidR="006D0886">
        <w:rPr>
          <w:rFonts w:eastAsia="Times New Roman"/>
          <w:noProof/>
        </w:rPr>
        <w:t>127</w:t>
      </w:r>
      <w:r w:rsidRPr="00D637A7">
        <w:fldChar w:fldCharType="end"/>
      </w:r>
      <w:r>
        <w:t xml:space="preserve"> powyżej).</w:t>
      </w:r>
    </w:p>
    <w:p w14:paraId="6091F5B5" w14:textId="0C393D3D" w:rsidR="000410B4" w:rsidRPr="00D637A7" w:rsidRDefault="00000000" w:rsidP="00D637A7">
      <w:pPr>
        <w:pStyle w:val="JuPara"/>
      </w:pPr>
      <w:fldSimple w:instr=" SEQ level0 \*arabic \* MERGEFORMAT ">
        <w:r w:rsidR="006D0886">
          <w:rPr>
            <w:noProof/>
          </w:rPr>
          <w:t>326</w:t>
        </w:r>
      </w:fldSimple>
      <w:r w:rsidR="008E2D0D">
        <w:t xml:space="preserve">.  W tym kontekście Trybunał pragnie również zauważyć, że Komitet Ministrów, w swojej decyzji podjętej na 1468. posiedzeniu w dniach 5–7 czerwca 2023 r., w ramach wykonania wyroków z tzw. grupy </w:t>
      </w:r>
      <w:r w:rsidR="008E2D0D">
        <w:rPr>
          <w:i/>
          <w:iCs/>
        </w:rPr>
        <w:t>Reczkowicz</w:t>
      </w:r>
      <w:r w:rsidR="005B4598">
        <w:rPr>
          <w:i/>
          <w:iCs/>
        </w:rPr>
        <w:t>,</w:t>
      </w:r>
      <w:r w:rsidR="008E2D0D">
        <w:t xml:space="preserve"> dał wyraz </w:t>
      </w:r>
      <w:r w:rsidR="005B4598">
        <w:t>głębokiemu</w:t>
      </w:r>
      <w:r w:rsidR="008E2D0D">
        <w:t xml:space="preserve"> zaniepokojeniu delegatów w związku z uporczywym powoływaniem się przez władze polskie na wyrok Trybunału Konstytucyjnego z 22 marca 2022 r. (sygn. akt K 7/21) w celu uzasadnienia w ten sposób niewykonania wyroków i podkreślił, że takie podejście jest nie tylko sprzeczne z dobrowolnie podjętym przez Polskę zobowiązaniem do przestrzegania ostatecznych wyroków Trybunału </w:t>
      </w:r>
      <w:r w:rsidR="005B4598">
        <w:t>zgodnie z a</w:t>
      </w:r>
      <w:r w:rsidR="008E2D0D">
        <w:t xml:space="preserve">rt. 46 Konwencji, ale także z ciążącym na niej </w:t>
      </w:r>
      <w:r w:rsidR="00FF22D5">
        <w:t xml:space="preserve">na mocy art. 1 </w:t>
      </w:r>
      <w:r w:rsidR="008E2D0D">
        <w:t>zobowiązaniem</w:t>
      </w:r>
      <w:r w:rsidR="00FF22D5">
        <w:t xml:space="preserve"> do</w:t>
      </w:r>
      <w:r w:rsidR="008E2D0D">
        <w:t xml:space="preserve"> </w:t>
      </w:r>
      <w:r w:rsidR="008E2D0D">
        <w:lastRenderedPageBreak/>
        <w:t>zapewnienia praw i wolności określonych w Konwencji (zob. par. </w:t>
      </w:r>
      <w:r w:rsidR="008E2D0D" w:rsidRPr="00D637A7">
        <w:fldChar w:fldCharType="begin"/>
      </w:r>
      <w:r w:rsidR="008E2D0D" w:rsidRPr="00D637A7">
        <w:instrText xml:space="preserve"> REF committee_of_ministers \h </w:instrText>
      </w:r>
      <w:r w:rsidR="008E2D0D" w:rsidRPr="00D637A7">
        <w:fldChar w:fldCharType="separate"/>
      </w:r>
      <w:r w:rsidR="006D0886">
        <w:rPr>
          <w:noProof/>
        </w:rPr>
        <w:t>121</w:t>
      </w:r>
      <w:r w:rsidR="008E2D0D" w:rsidRPr="00D637A7">
        <w:fldChar w:fldCharType="end"/>
      </w:r>
      <w:r w:rsidR="008E2D0D">
        <w:t xml:space="preserve"> powyżej).</w:t>
      </w:r>
    </w:p>
    <w:bookmarkStart w:id="156" w:name="Court_assessment_2"/>
    <w:p w14:paraId="5A8C1C4F" w14:textId="597046BF" w:rsidR="000410B4" w:rsidRPr="00D637A7" w:rsidRDefault="008E2D0D" w:rsidP="00D637A7">
      <w:pPr>
        <w:pStyle w:val="JuPara"/>
      </w:pPr>
      <w:r w:rsidRPr="00D637A7">
        <w:fldChar w:fldCharType="begin"/>
      </w:r>
      <w:r w:rsidRPr="00D637A7">
        <w:instrText xml:space="preserve"> SEQ level0 \*arabic \* MERGEFORMAT </w:instrText>
      </w:r>
      <w:r w:rsidRPr="00D637A7">
        <w:fldChar w:fldCharType="separate"/>
      </w:r>
      <w:r w:rsidR="006D0886">
        <w:rPr>
          <w:noProof/>
        </w:rPr>
        <w:t>327</w:t>
      </w:r>
      <w:r w:rsidRPr="00D637A7">
        <w:fldChar w:fldCharType="end"/>
      </w:r>
      <w:bookmarkEnd w:id="156"/>
      <w:r>
        <w:t xml:space="preserve">.  W świetle powyższego, a także biorąc pod uwagę szybki i stały wzrost </w:t>
      </w:r>
      <w:r w:rsidR="00FF22D5">
        <w:t xml:space="preserve">w ciągu ostatnich osiemnastu miesięcy </w:t>
      </w:r>
      <w:r>
        <w:t>liczby skarg dotyczących niezależności sądownictwa w Polsce, w których zarzuca się w szczególności naruszenie prawa do „niezawisłego i bezstronnego sądu ustanowionego ustawą”, a takż</w:t>
      </w:r>
      <w:r w:rsidR="00FF22D5">
        <w:t>e uwzględniając</w:t>
      </w:r>
      <w:r>
        <w:t xml:space="preserve"> powagę skarżonej sytuacji, powszechnie określanej jako „kryzys praworządności”, mogącej wpływać niekorzystnie na wiele dotąd niezidentyfikowanych osób, Trybunał uważa, że </w:t>
      </w:r>
      <w:r w:rsidR="00FF22D5">
        <w:t>zidentyfikowane</w:t>
      </w:r>
      <w:r>
        <w:t xml:space="preserve"> powyżej problemy systemowe mogą się szybko pogłębić i wymagają pilnych środków naprawczych.</w:t>
      </w:r>
    </w:p>
    <w:p w14:paraId="4C26F0B2" w14:textId="77777777" w:rsidR="000410B4" w:rsidRPr="00D637A7" w:rsidRDefault="008E2D0D" w:rsidP="00D637A7">
      <w:pPr>
        <w:pStyle w:val="JuPara"/>
      </w:pPr>
      <w:r>
        <w:t>Trybunał stwierdza zatem, że niniejsza sprawa jest odpowiednia do zastosowania procedury wyroku pilotażowego i oddala zastrzeżenie Rządu dotyczące zastosowania tej procedury.</w:t>
      </w:r>
    </w:p>
    <w:p w14:paraId="0CECA905" w14:textId="77777777" w:rsidR="000410B4" w:rsidRPr="00D637A7" w:rsidRDefault="008E2D0D" w:rsidP="00D637A7">
      <w:pPr>
        <w:pStyle w:val="JuHA"/>
      </w:pPr>
      <w:r>
        <w:t>Środki ogólne</w:t>
      </w:r>
    </w:p>
    <w:p w14:paraId="6E1CDBD0" w14:textId="65EE7756" w:rsidR="000410B4" w:rsidRPr="00D637A7" w:rsidRDefault="00000000" w:rsidP="00D637A7">
      <w:pPr>
        <w:pStyle w:val="JuPara"/>
        <w:rPr>
          <w:rFonts w:ascii="Times New Roman" w:hAnsi="Times New Roman" w:cs="Times New Roman"/>
        </w:rPr>
      </w:pPr>
      <w:fldSimple w:instr=" SEQ level0 \*arabic \* MERGEFORMAT ">
        <w:r w:rsidR="006D0886">
          <w:rPr>
            <w:noProof/>
          </w:rPr>
          <w:t>328</w:t>
        </w:r>
      </w:fldSimple>
      <w:r w:rsidR="008E2D0D">
        <w:t xml:space="preserve">.  Trybunał udzielił już pozwanemu państwu pewnych wskazówek na podstawie art. 46 Konwencji w wyrokach </w:t>
      </w:r>
      <w:r w:rsidR="008E2D0D">
        <w:rPr>
          <w:rFonts w:ascii="Times New Roman" w:hAnsi="Times New Roman"/>
          <w:i/>
          <w:iCs/>
        </w:rPr>
        <w:t xml:space="preserve">Dolińska-Ficek i Ozimek </w:t>
      </w:r>
      <w:r w:rsidR="008E2D0D">
        <w:rPr>
          <w:rFonts w:ascii="Times New Roman" w:hAnsi="Times New Roman"/>
        </w:rPr>
        <w:t xml:space="preserve">oraz </w:t>
      </w:r>
      <w:r w:rsidR="008E2D0D">
        <w:rPr>
          <w:rFonts w:ascii="Times New Roman" w:hAnsi="Times New Roman"/>
          <w:i/>
          <w:iCs/>
        </w:rPr>
        <w:t>Advance Pharma sp. z o.o</w:t>
      </w:r>
      <w:r w:rsidR="008E2D0D">
        <w:t>.</w:t>
      </w:r>
      <w:r w:rsidR="008E2D0D">
        <w:rPr>
          <w:rFonts w:ascii="Times New Roman" w:hAnsi="Times New Roman"/>
          <w:i/>
          <w:iCs/>
        </w:rPr>
        <w:t xml:space="preserve"> </w:t>
      </w:r>
      <w:r w:rsidR="008E2D0D">
        <w:rPr>
          <w:rFonts w:ascii="Times New Roman" w:hAnsi="Times New Roman"/>
        </w:rPr>
        <w:t>(zob. par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Court_assessment_10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321</w:t>
      </w:r>
      <w:r w:rsidR="008E2D0D" w:rsidRPr="00D637A7">
        <w:rPr>
          <w:rFonts w:ascii="Times New Roman" w:hAnsi="Times New Roman" w:cs="Times New Roman"/>
        </w:rPr>
        <w:fldChar w:fldCharType="end"/>
      </w:r>
      <w:r w:rsidR="008E2D0D">
        <w:rPr>
          <w:rFonts w:ascii="Times New Roman" w:hAnsi="Times New Roman"/>
        </w:rPr>
        <w:t>-</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Court_assessment_11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rFonts w:eastAsia="Times New Roman"/>
          <w:noProof/>
        </w:rPr>
        <w:t>322</w:t>
      </w:r>
      <w:r w:rsidR="008E2D0D" w:rsidRPr="00D637A7">
        <w:rPr>
          <w:rFonts w:ascii="Times New Roman" w:hAnsi="Times New Roman" w:cs="Times New Roman"/>
        </w:rPr>
        <w:fldChar w:fldCharType="end"/>
      </w:r>
      <w:r w:rsidR="008E2D0D">
        <w:rPr>
          <w:rFonts w:ascii="Times New Roman" w:hAnsi="Times New Roman"/>
        </w:rPr>
        <w:t xml:space="preserve"> powyżej). Biorąc pod uwagę brak reakcji ze strony pozwanego państwa oraz jego zachowanie w kwestii wykonywania wyroków dotyczących niezależności sądownictwa (w szczególności z tzw. grupy </w:t>
      </w:r>
      <w:r w:rsidR="008E2D0D">
        <w:rPr>
          <w:rFonts w:ascii="Times New Roman" w:hAnsi="Times New Roman"/>
          <w:i/>
          <w:iCs/>
        </w:rPr>
        <w:t>Reczkowicz</w:t>
      </w:r>
      <w:r w:rsidR="008E2D0D">
        <w:rPr>
          <w:rFonts w:ascii="Times New Roman" w:hAnsi="Times New Roman"/>
        </w:rPr>
        <w:t xml:space="preserve">), Trybunał </w:t>
      </w:r>
      <w:r w:rsidR="00C81106">
        <w:rPr>
          <w:rFonts w:ascii="Times New Roman" w:hAnsi="Times New Roman"/>
        </w:rPr>
        <w:t>został</w:t>
      </w:r>
      <w:r w:rsidR="008E2D0D">
        <w:rPr>
          <w:rFonts w:ascii="Times New Roman" w:hAnsi="Times New Roman"/>
        </w:rPr>
        <w:t xml:space="preserve"> obecnie w</w:t>
      </w:r>
      <w:r w:rsidR="00C81106">
        <w:rPr>
          <w:rFonts w:ascii="Times New Roman" w:hAnsi="Times New Roman"/>
        </w:rPr>
        <w:t>e</w:t>
      </w:r>
      <w:r w:rsidR="008E2D0D">
        <w:rPr>
          <w:rFonts w:ascii="Times New Roman" w:hAnsi="Times New Roman"/>
        </w:rPr>
        <w:t>zwany do przedstawienia bardziej szczegółowych wskazówek dotyczących środków ogólnych, jakie należy zastosować w odniesieniu do zidentyfikowanego powyżej problemu systemowego.</w:t>
      </w:r>
    </w:p>
    <w:p w14:paraId="6429A0D6" w14:textId="7F1CE593" w:rsidR="000410B4" w:rsidRPr="00D637A7" w:rsidRDefault="008E2D0D" w:rsidP="00D637A7">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006D0886">
        <w:rPr>
          <w:rFonts w:ascii="Times New Roman" w:hAnsi="Times New Roman" w:cs="Times New Roman"/>
          <w:noProof/>
        </w:rPr>
        <w:t>329</w:t>
      </w:r>
      <w:r w:rsidRPr="00D637A7">
        <w:rPr>
          <w:rFonts w:ascii="Times New Roman" w:hAnsi="Times New Roman" w:cs="Times New Roman"/>
        </w:rPr>
        <w:fldChar w:fldCharType="end"/>
      </w:r>
      <w:r>
        <w:rPr>
          <w:rFonts w:ascii="Times New Roman" w:hAnsi="Times New Roman"/>
        </w:rPr>
        <w:t xml:space="preserve">.  Co </w:t>
      </w:r>
      <w:r w:rsidR="00C81106">
        <w:rPr>
          <w:rFonts w:ascii="Times New Roman" w:hAnsi="Times New Roman"/>
        </w:rPr>
        <w:t>do</w:t>
      </w:r>
      <w:r>
        <w:rPr>
          <w:rFonts w:ascii="Times New Roman" w:hAnsi="Times New Roman"/>
        </w:rPr>
        <w:t xml:space="preserve"> wadliwej procedury powoływania sędziów, Trybunał w pełni </w:t>
      </w:r>
      <w:r w:rsidR="00C81106">
        <w:rPr>
          <w:rFonts w:ascii="Times New Roman" w:hAnsi="Times New Roman"/>
        </w:rPr>
        <w:t>podziela</w:t>
      </w:r>
      <w:r>
        <w:rPr>
          <w:rFonts w:ascii="Times New Roman" w:hAnsi="Times New Roman"/>
        </w:rPr>
        <w:t xml:space="preserve"> i popiera wskazówki dotyczące środków ogólnych </w:t>
      </w:r>
      <w:r w:rsidR="00C81106">
        <w:rPr>
          <w:rFonts w:ascii="Times New Roman" w:hAnsi="Times New Roman"/>
        </w:rPr>
        <w:t>udzielone</w:t>
      </w:r>
      <w:r>
        <w:rPr>
          <w:rFonts w:ascii="Times New Roman" w:hAnsi="Times New Roman"/>
        </w:rPr>
        <w:t xml:space="preserve"> pozwanemu państwu przez Komitet Ministrów w wyżej wymienionej decyzji przyjętej na 1468. posiedzeniu, w której Komitet Ministrów wezwał Polskę m.in. do szybkiego wypracowania środków mających na celu (i) przywrócenie niezależności KRS poprzez przyjęcie przepisów gwarantujących polskiemu sądownictwu prawo wyboru członków KRS wybieranych spośród sędziów; (ii) uregulowanie statusu wszystkich sędziów powołanych w wadliwej procedurze </w:t>
      </w:r>
      <w:r w:rsidR="00C81106">
        <w:rPr>
          <w:rFonts w:ascii="Times New Roman" w:hAnsi="Times New Roman"/>
        </w:rPr>
        <w:t>z</w:t>
      </w:r>
      <w:r>
        <w:rPr>
          <w:rFonts w:ascii="Times New Roman" w:hAnsi="Times New Roman"/>
        </w:rPr>
        <w:t xml:space="preserve"> udzia</w:t>
      </w:r>
      <w:r w:rsidR="00C81106">
        <w:rPr>
          <w:rFonts w:ascii="Times New Roman" w:hAnsi="Times New Roman"/>
        </w:rPr>
        <w:t>łem</w:t>
      </w:r>
      <w:r>
        <w:rPr>
          <w:rFonts w:ascii="Times New Roman" w:hAnsi="Times New Roman"/>
        </w:rPr>
        <w:t xml:space="preserve"> KRS </w:t>
      </w:r>
      <w:r w:rsidR="00C81106">
        <w:rPr>
          <w:rFonts w:ascii="Times New Roman" w:hAnsi="Times New Roman"/>
        </w:rPr>
        <w:t xml:space="preserve">w składzie </w:t>
      </w:r>
      <w:r>
        <w:rPr>
          <w:rFonts w:ascii="Times New Roman" w:hAnsi="Times New Roman"/>
        </w:rPr>
        <w:t>ukształtowan</w:t>
      </w:r>
      <w:r w:rsidR="00C81106">
        <w:rPr>
          <w:rFonts w:ascii="Times New Roman" w:hAnsi="Times New Roman"/>
        </w:rPr>
        <w:t>ym</w:t>
      </w:r>
      <w:r>
        <w:rPr>
          <w:rFonts w:ascii="Times New Roman" w:hAnsi="Times New Roman"/>
        </w:rPr>
        <w:t xml:space="preserve"> ustawą zmieniającą z 2017 r. oraz orzeczeń wydanych z udziałem tych sędziów; oraz (iii) zapewnienie skutecznej kontroli sądowej uchwał KRS, w których proponuje się kandydatów do powołania na urzędy sędziowskie </w:t>
      </w:r>
      <w:r w:rsidR="00AE1B5F">
        <w:rPr>
          <w:rFonts w:ascii="Times New Roman" w:hAnsi="Times New Roman"/>
        </w:rPr>
        <w:t>przez</w:t>
      </w:r>
      <w:r>
        <w:rPr>
          <w:rFonts w:ascii="Times New Roman" w:hAnsi="Times New Roman"/>
        </w:rPr>
        <w:t xml:space="preserve"> Prezydent</w:t>
      </w:r>
      <w:r w:rsidR="00AE1B5F">
        <w:rPr>
          <w:rFonts w:ascii="Times New Roman" w:hAnsi="Times New Roman"/>
        </w:rPr>
        <w:t>a</w:t>
      </w:r>
      <w:r>
        <w:rPr>
          <w:rFonts w:ascii="Times New Roman" w:hAnsi="Times New Roman"/>
        </w:rPr>
        <w:t xml:space="preserve"> RP, w tym również kandydatów do Sądu Najwyższego (zob. par. 121 powyżej).</w:t>
      </w:r>
    </w:p>
    <w:p w14:paraId="2C0C2FB3" w14:textId="11A5101A" w:rsidR="000410B4" w:rsidRPr="00D637A7" w:rsidRDefault="00000000" w:rsidP="00D637A7">
      <w:pPr>
        <w:pStyle w:val="JuPara"/>
        <w:rPr>
          <w:rFonts w:ascii="Times New Roman" w:hAnsi="Times New Roman" w:cs="Times New Roman"/>
        </w:rPr>
      </w:pPr>
      <w:fldSimple w:instr=" SEQ level0 \*arabic \* MERGEFORMAT ">
        <w:r w:rsidR="006D0886">
          <w:rPr>
            <w:noProof/>
          </w:rPr>
          <w:t>330</w:t>
        </w:r>
      </w:fldSimple>
      <w:r w:rsidR="008E2D0D">
        <w:t xml:space="preserve">.  Jeśli chodzi o funkcjonowanie IKNiSP, Trybunał zauważa, że składa się ona wyłącznie z sędziów powołanych </w:t>
      </w:r>
      <w:r w:rsidR="00AE1B5F">
        <w:t xml:space="preserve">w drodze </w:t>
      </w:r>
      <w:r w:rsidR="008E2D0D">
        <w:t>wadliw</w:t>
      </w:r>
      <w:r w:rsidR="00AE1B5F">
        <w:t>ej</w:t>
      </w:r>
      <w:r w:rsidR="008E2D0D">
        <w:t xml:space="preserve"> procedur</w:t>
      </w:r>
      <w:r w:rsidR="00AE1B5F">
        <w:t>y</w:t>
      </w:r>
      <w:r w:rsidR="008E2D0D">
        <w:t xml:space="preserve">. W związku z tym, chociaż ustalenie statusu sędziów w następstwie stwierdzenia naruszenia art. 6 ust. 1 w wyroku </w:t>
      </w:r>
      <w:r w:rsidR="008E2D0D">
        <w:rPr>
          <w:rFonts w:ascii="Times New Roman" w:hAnsi="Times New Roman"/>
          <w:i/>
          <w:iCs/>
        </w:rPr>
        <w:t xml:space="preserve">Dolińska-Ficek i Ozimek </w:t>
      </w:r>
      <w:r w:rsidR="008E2D0D">
        <w:rPr>
          <w:rFonts w:ascii="Times New Roman" w:hAnsi="Times New Roman"/>
        </w:rPr>
        <w:t xml:space="preserve">oraz w niniejszej </w:t>
      </w:r>
      <w:r w:rsidR="008E2D0D">
        <w:rPr>
          <w:rFonts w:ascii="Times New Roman" w:hAnsi="Times New Roman"/>
        </w:rPr>
        <w:lastRenderedPageBreak/>
        <w:t xml:space="preserve">sprawie wydaje się częściowo objęte powyższymi środkami ogólnymi, pozwane państwo powinno dodatkowo zastosować odpowiednie środki </w:t>
      </w:r>
      <w:r w:rsidR="00AE1B5F">
        <w:rPr>
          <w:rFonts w:ascii="Times New Roman" w:hAnsi="Times New Roman"/>
        </w:rPr>
        <w:t>legislacyjne</w:t>
      </w:r>
      <w:r w:rsidR="008E2D0D">
        <w:rPr>
          <w:rFonts w:ascii="Times New Roman" w:hAnsi="Times New Roman"/>
        </w:rPr>
        <w:t xml:space="preserve"> w celu zapewnienia, </w:t>
      </w:r>
      <w:r w:rsidR="00AE1B5F">
        <w:rPr>
          <w:rFonts w:ascii="Times New Roman" w:hAnsi="Times New Roman"/>
        </w:rPr>
        <w:t>że</w:t>
      </w:r>
      <w:r w:rsidR="008E2D0D">
        <w:rPr>
          <w:rFonts w:ascii="Times New Roman" w:hAnsi="Times New Roman"/>
        </w:rPr>
        <w:t xml:space="preserve"> organ ten czyni zadość wymogom „niezawisłego i bezstronnego sądu ustanowionego ustawą” zgodn</w:t>
      </w:r>
      <w:r w:rsidR="00AE1B5F">
        <w:rPr>
          <w:rFonts w:ascii="Times New Roman" w:hAnsi="Times New Roman"/>
        </w:rPr>
        <w:t>ie</w:t>
      </w:r>
      <w:r w:rsidR="008E2D0D">
        <w:rPr>
          <w:rFonts w:ascii="Times New Roman" w:hAnsi="Times New Roman"/>
        </w:rPr>
        <w:t xml:space="preserve"> z orzecznictwem Trybunału</w:t>
      </w:r>
      <w:r w:rsidR="008E2D0D">
        <w:t>.</w:t>
      </w:r>
      <w:r w:rsidR="008E2D0D">
        <w:rPr>
          <w:rFonts w:ascii="Times New Roman" w:hAnsi="Times New Roman"/>
        </w:rPr>
        <w:t xml:space="preserve"> Element ten ma kluczowe znaczenie, biorąc pod uwagę pozycję Sądu Najwyższego w polskim sądownictwie oraz rozległe kompetencje IKNiSP na mocy ustawy o Sądzie Najwyższym z 2017 r. (zob. par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CERPA_jurisdiction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65</w:t>
      </w:r>
      <w:r w:rsidR="008E2D0D" w:rsidRPr="00D637A7">
        <w:rPr>
          <w:rFonts w:ascii="Times New Roman" w:hAnsi="Times New Roman" w:cs="Times New Roman"/>
        </w:rPr>
        <w:fldChar w:fldCharType="end"/>
      </w:r>
      <w:r w:rsidR="008E2D0D">
        <w:rPr>
          <w:rFonts w:ascii="Times New Roman" w:hAnsi="Times New Roman"/>
        </w:rPr>
        <w:t>-</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CERPA_jurisdiction_1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68</w:t>
      </w:r>
      <w:r w:rsidR="008E2D0D" w:rsidRPr="00D637A7">
        <w:rPr>
          <w:rFonts w:ascii="Times New Roman" w:hAnsi="Times New Roman" w:cs="Times New Roman"/>
        </w:rPr>
        <w:fldChar w:fldCharType="end"/>
      </w:r>
      <w:r w:rsidR="008E2D0D">
        <w:rPr>
          <w:rFonts w:ascii="Times New Roman" w:hAnsi="Times New Roman"/>
        </w:rPr>
        <w:t xml:space="preserve"> i </w:t>
      </w:r>
      <w:r w:rsidR="008E2D0D" w:rsidRPr="00D637A7">
        <w:rPr>
          <w:rFonts w:ascii="Times New Roman" w:hAnsi="Times New Roman" w:cs="Times New Roman"/>
        </w:rPr>
        <w:fldChar w:fldCharType="begin"/>
      </w:r>
      <w:r w:rsidR="008E2D0D" w:rsidRPr="00D637A7">
        <w:rPr>
          <w:rFonts w:ascii="Times New Roman" w:hAnsi="Times New Roman" w:cs="Times New Roman"/>
        </w:rPr>
        <w:instrText xml:space="preserve"> REF Court_assessment_12 \h </w:instrText>
      </w:r>
      <w:r w:rsidR="008E2D0D" w:rsidRPr="00D637A7">
        <w:rPr>
          <w:rFonts w:ascii="Times New Roman" w:hAnsi="Times New Roman" w:cs="Times New Roman"/>
        </w:rPr>
      </w:r>
      <w:r w:rsidR="008E2D0D" w:rsidRPr="00D637A7">
        <w:rPr>
          <w:rFonts w:ascii="Times New Roman" w:hAnsi="Times New Roman" w:cs="Times New Roman"/>
        </w:rPr>
        <w:fldChar w:fldCharType="separate"/>
      </w:r>
      <w:r w:rsidR="006D0886">
        <w:rPr>
          <w:noProof/>
        </w:rPr>
        <w:t>324</w:t>
      </w:r>
      <w:r w:rsidR="008E2D0D" w:rsidRPr="00D637A7">
        <w:rPr>
          <w:rFonts w:ascii="Times New Roman" w:hAnsi="Times New Roman" w:cs="Times New Roman"/>
        </w:rPr>
        <w:fldChar w:fldCharType="end"/>
      </w:r>
      <w:r w:rsidR="008E2D0D">
        <w:rPr>
          <w:rFonts w:ascii="Times New Roman" w:hAnsi="Times New Roman"/>
        </w:rPr>
        <w:t xml:space="preserve"> powyżej), w tym uprawnieni</w:t>
      </w:r>
      <w:r w:rsidR="00830DC9">
        <w:rPr>
          <w:rFonts w:ascii="Times New Roman" w:hAnsi="Times New Roman"/>
        </w:rPr>
        <w:t>e</w:t>
      </w:r>
      <w:r w:rsidR="008E2D0D">
        <w:rPr>
          <w:rFonts w:ascii="Times New Roman" w:hAnsi="Times New Roman"/>
        </w:rPr>
        <w:t xml:space="preserve"> do rozpoznawania wszelkich wniosków obejmujących zarzut braku niezawisłości sędziego lub braku niezależności sądu. Co się tyczy ostatniej kwestii, oczywistym jest, że państwo polskie musi zapewnić, aby kwestie dotyczące niezawisłości sędziów były rozstrzygane przez sąd lub sądy, które same są „niezawisłym i bezstronnym sądem ustanowionym ustawą” w świetle standardów Konwencji.</w:t>
      </w:r>
    </w:p>
    <w:p w14:paraId="6A8EA677" w14:textId="47788091" w:rsidR="000410B4" w:rsidRPr="00D637A7" w:rsidRDefault="008E2D0D" w:rsidP="00D637A7">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006D0886">
        <w:rPr>
          <w:rFonts w:ascii="Times New Roman" w:hAnsi="Times New Roman" w:cs="Times New Roman"/>
          <w:noProof/>
        </w:rPr>
        <w:t>331</w:t>
      </w:r>
      <w:r w:rsidRPr="00D637A7">
        <w:rPr>
          <w:rFonts w:ascii="Times New Roman" w:hAnsi="Times New Roman" w:cs="Times New Roman"/>
        </w:rPr>
        <w:fldChar w:fldCharType="end"/>
      </w:r>
      <w:r>
        <w:rPr>
          <w:rFonts w:ascii="Times New Roman" w:hAnsi="Times New Roman"/>
        </w:rPr>
        <w:t xml:space="preserve">.  Wreszcie, jeżeli chodzi o wadliwe działanie procedury skargi nadzwyczajnej, państwo musi przyjąć odpowiednie środki </w:t>
      </w:r>
      <w:r w:rsidR="00830DC9">
        <w:rPr>
          <w:rFonts w:ascii="Times New Roman" w:hAnsi="Times New Roman"/>
        </w:rPr>
        <w:t>legislacyjne</w:t>
      </w:r>
      <w:r>
        <w:rPr>
          <w:rFonts w:ascii="Times New Roman" w:hAnsi="Times New Roman"/>
        </w:rPr>
        <w:t xml:space="preserve"> w celu zapewnienia, by</w:t>
      </w:r>
      <w:r w:rsidR="002F4E93">
        <w:rPr>
          <w:rFonts w:ascii="Times New Roman" w:hAnsi="Times New Roman"/>
        </w:rPr>
        <w:t xml:space="preserve"> problem z brakami tego nadzwyczajnego środka zaskarżenia, jak ustalono powyżej,</w:t>
      </w:r>
      <w:r>
        <w:rPr>
          <w:rFonts w:ascii="Times New Roman" w:hAnsi="Times New Roman"/>
        </w:rPr>
        <w:t xml:space="preserve"> został</w:t>
      </w:r>
      <w:r w:rsidR="002F4E93">
        <w:rPr>
          <w:rFonts w:ascii="Times New Roman" w:hAnsi="Times New Roman"/>
        </w:rPr>
        <w:t xml:space="preserve"> rozwiązany i</w:t>
      </w:r>
      <w:r>
        <w:rPr>
          <w:rFonts w:ascii="Times New Roman" w:hAnsi="Times New Roman"/>
        </w:rPr>
        <w:t xml:space="preserve"> </w:t>
      </w:r>
      <w:r w:rsidR="002F4E93">
        <w:rPr>
          <w:rFonts w:ascii="Times New Roman" w:hAnsi="Times New Roman"/>
        </w:rPr>
        <w:t>usunięty</w:t>
      </w:r>
      <w:r>
        <w:rPr>
          <w:rFonts w:ascii="Times New Roman" w:hAnsi="Times New Roman"/>
        </w:rPr>
        <w:t xml:space="preserve">. W szczególności pozwane państwo musi usunąć lub zmienić przepisy, które (i) pozwalają </w:t>
      </w:r>
      <w:r w:rsidR="002F4E93">
        <w:rPr>
          <w:rFonts w:ascii="Times New Roman" w:hAnsi="Times New Roman"/>
        </w:rPr>
        <w:t>uprawnionym</w:t>
      </w:r>
      <w:r>
        <w:rPr>
          <w:rFonts w:ascii="Times New Roman" w:hAnsi="Times New Roman"/>
        </w:rPr>
        <w:t xml:space="preserve"> organom na nieograniczoną swobodę w interpretacji podstaw wniesienia skargi nadzwyczajnej; (ii) umożliwiają </w:t>
      </w:r>
      <w:r w:rsidR="00543079">
        <w:rPr>
          <w:rFonts w:ascii="Times New Roman" w:hAnsi="Times New Roman"/>
        </w:rPr>
        <w:t>uprawnionym</w:t>
      </w:r>
      <w:r w:rsidR="002F4E93">
        <w:rPr>
          <w:rFonts w:ascii="Times New Roman" w:hAnsi="Times New Roman"/>
        </w:rPr>
        <w:t xml:space="preserve"> organom </w:t>
      </w:r>
      <w:r>
        <w:rPr>
          <w:rFonts w:ascii="Times New Roman" w:hAnsi="Times New Roman"/>
        </w:rPr>
        <w:t>wykorzystanie procedury skargi nadzwyczajnej w praktyce jako „zakamuflowanego zwyczajnego środka zaskarżenia” i doprowadzeni</w:t>
      </w:r>
      <w:r w:rsidR="00543079">
        <w:rPr>
          <w:rFonts w:ascii="Times New Roman" w:hAnsi="Times New Roman"/>
        </w:rPr>
        <w:t>e</w:t>
      </w:r>
      <w:r>
        <w:rPr>
          <w:rFonts w:ascii="Times New Roman" w:hAnsi="Times New Roman"/>
        </w:rPr>
        <w:t xml:space="preserve"> w ten sposób do ponownego badania sprawy, w tym ponownego ustal</w:t>
      </w:r>
      <w:r w:rsidR="00543079">
        <w:rPr>
          <w:rFonts w:ascii="Times New Roman" w:hAnsi="Times New Roman"/>
        </w:rPr>
        <w:t>a</w:t>
      </w:r>
      <w:r>
        <w:rPr>
          <w:rFonts w:ascii="Times New Roman" w:hAnsi="Times New Roman"/>
        </w:rPr>
        <w:t xml:space="preserve">nia okoliczności faktycznych; oraz (iii) przyznają Prokuratorowi Generalnemu i Rzecznikowi Praw Obywatelskich wyjątkowo wydłużone terminy na wniesienie skargi nadzwyczajnej, w tym w sprawach zakończonych przed wejściem w życie ustawy o Sądzie Najwyższym z 2017 r. Ponadto pozwane państwo powinno (iv) wprowadzić zabezpieczenia przed nadużyciami </w:t>
      </w:r>
      <w:r w:rsidR="00543079">
        <w:rPr>
          <w:rFonts w:ascii="Times New Roman" w:hAnsi="Times New Roman"/>
        </w:rPr>
        <w:t>procesowymi</w:t>
      </w:r>
      <w:r>
        <w:rPr>
          <w:rFonts w:ascii="Times New Roman" w:hAnsi="Times New Roman"/>
        </w:rPr>
        <w:t xml:space="preserve"> procedur</w:t>
      </w:r>
      <w:r w:rsidR="00543079">
        <w:rPr>
          <w:rFonts w:ascii="Times New Roman" w:hAnsi="Times New Roman"/>
        </w:rPr>
        <w:t>y</w:t>
      </w:r>
      <w:r>
        <w:rPr>
          <w:rFonts w:ascii="Times New Roman" w:hAnsi="Times New Roman"/>
        </w:rPr>
        <w:t xml:space="preserve"> skargi nadzwyczajnej, w szczególności aby wykluczyć instrumentalizację tej procedury do celów politycznych.</w:t>
      </w:r>
    </w:p>
    <w:p w14:paraId="7D950529" w14:textId="7ACC5CDA" w:rsidR="000410B4" w:rsidRPr="00D637A7" w:rsidRDefault="008E2D0D" w:rsidP="00D637A7">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006D0886">
        <w:rPr>
          <w:rFonts w:ascii="Times New Roman" w:hAnsi="Times New Roman" w:cs="Times New Roman"/>
          <w:noProof/>
        </w:rPr>
        <w:t>332</w:t>
      </w:r>
      <w:r w:rsidRPr="00D637A7">
        <w:rPr>
          <w:rFonts w:ascii="Times New Roman" w:hAnsi="Times New Roman" w:cs="Times New Roman"/>
        </w:rPr>
        <w:fldChar w:fldCharType="end"/>
      </w:r>
      <w:r>
        <w:rPr>
          <w:rFonts w:ascii="Times New Roman" w:hAnsi="Times New Roman"/>
        </w:rPr>
        <w:t>.  </w:t>
      </w:r>
      <w:r w:rsidR="00543079">
        <w:rPr>
          <w:rFonts w:ascii="Times New Roman" w:hAnsi="Times New Roman"/>
        </w:rPr>
        <w:t>Do</w:t>
      </w:r>
      <w:r>
        <w:rPr>
          <w:rFonts w:ascii="Times New Roman" w:hAnsi="Times New Roman"/>
        </w:rPr>
        <w:t xml:space="preserve"> Trybunału </w:t>
      </w:r>
      <w:r w:rsidR="00543079">
        <w:rPr>
          <w:rFonts w:ascii="Times New Roman" w:hAnsi="Times New Roman"/>
        </w:rPr>
        <w:t xml:space="preserve">nie </w:t>
      </w:r>
      <w:r>
        <w:rPr>
          <w:rFonts w:ascii="Times New Roman" w:hAnsi="Times New Roman"/>
        </w:rPr>
        <w:t>należy dalsze rozwijanie kwestii</w:t>
      </w:r>
      <w:r w:rsidR="005548CF">
        <w:rPr>
          <w:rFonts w:ascii="Times New Roman" w:hAnsi="Times New Roman"/>
        </w:rPr>
        <w:t>, jaki byłby</w:t>
      </w:r>
      <w:r>
        <w:rPr>
          <w:rFonts w:ascii="Times New Roman" w:hAnsi="Times New Roman"/>
        </w:rPr>
        <w:t xml:space="preserve"> najwłaściwsz</w:t>
      </w:r>
      <w:r w:rsidR="005548CF">
        <w:rPr>
          <w:rFonts w:ascii="Times New Roman" w:hAnsi="Times New Roman"/>
        </w:rPr>
        <w:t>y</w:t>
      </w:r>
      <w:r>
        <w:rPr>
          <w:rFonts w:ascii="Times New Roman" w:hAnsi="Times New Roman"/>
        </w:rPr>
        <w:t xml:space="preserve"> spos</w:t>
      </w:r>
      <w:r w:rsidR="005548CF">
        <w:rPr>
          <w:rFonts w:ascii="Times New Roman" w:hAnsi="Times New Roman"/>
        </w:rPr>
        <w:t>ób</w:t>
      </w:r>
      <w:r>
        <w:rPr>
          <w:rFonts w:ascii="Times New Roman" w:hAnsi="Times New Roman"/>
        </w:rPr>
        <w:t xml:space="preserve"> </w:t>
      </w:r>
      <w:r w:rsidR="005548CF">
        <w:rPr>
          <w:rFonts w:ascii="Times New Roman" w:hAnsi="Times New Roman"/>
        </w:rPr>
        <w:t>zakończenia</w:t>
      </w:r>
      <w:r>
        <w:rPr>
          <w:rFonts w:ascii="Times New Roman" w:hAnsi="Times New Roman"/>
        </w:rPr>
        <w:t xml:space="preserve"> opisanej powyżej sytuacji systemowej; zgodnie z art. 46 państwo ma swobodę wyboru środków, za pomocą których wywiąże się z ciążących na nim zobowiązań wynikających z wykonania wyroków Trybunału (zob. </w:t>
      </w:r>
      <w:r>
        <w:rPr>
          <w:rFonts w:ascii="Times New Roman" w:hAnsi="Times New Roman"/>
          <w:i/>
          <w:iCs/>
        </w:rPr>
        <w:t>Broniowski</w:t>
      </w:r>
      <w:r>
        <w:rPr>
          <w:rFonts w:ascii="Times New Roman" w:hAnsi="Times New Roman"/>
        </w:rPr>
        <w:t xml:space="preserve"> </w:t>
      </w:r>
      <w:r>
        <w:rPr>
          <w:rFonts w:ascii="Times New Roman" w:hAnsi="Times New Roman"/>
          <w:i/>
          <w:iCs/>
        </w:rPr>
        <w:t>(</w:t>
      </w:r>
      <w:proofErr w:type="spellStart"/>
      <w:r w:rsidR="005548CF">
        <w:rPr>
          <w:rFonts w:ascii="Times New Roman" w:hAnsi="Times New Roman"/>
          <w:i/>
          <w:iCs/>
        </w:rPr>
        <w:t>maritum</w:t>
      </w:r>
      <w:proofErr w:type="spellEnd"/>
      <w:r>
        <w:rPr>
          <w:rFonts w:ascii="Times New Roman" w:hAnsi="Times New Roman"/>
          <w:i/>
          <w:iCs/>
        </w:rPr>
        <w:t>)</w:t>
      </w:r>
      <w:r>
        <w:rPr>
          <w:rFonts w:ascii="Times New Roman" w:hAnsi="Times New Roman"/>
        </w:rPr>
        <w:t xml:space="preserve">, </w:t>
      </w:r>
      <w:r>
        <w:rPr>
          <w:rFonts w:ascii="Times New Roman" w:hAnsi="Times New Roman"/>
          <w:i/>
          <w:iCs/>
        </w:rPr>
        <w:t>op.</w:t>
      </w:r>
      <w:r w:rsidR="005548CF">
        <w:rPr>
          <w:rFonts w:ascii="Times New Roman" w:hAnsi="Times New Roman"/>
          <w:i/>
          <w:iCs/>
        </w:rPr>
        <w:t xml:space="preserve"> </w:t>
      </w:r>
      <w:r>
        <w:rPr>
          <w:rFonts w:ascii="Times New Roman" w:hAnsi="Times New Roman"/>
          <w:i/>
          <w:iCs/>
        </w:rPr>
        <w:t>cit.</w:t>
      </w:r>
      <w:r>
        <w:rPr>
          <w:rFonts w:ascii="Times New Roman" w:hAnsi="Times New Roman"/>
        </w:rPr>
        <w:t xml:space="preserve">, §§ 186 i 192). </w:t>
      </w:r>
      <w:r w:rsidR="005548CF">
        <w:rPr>
          <w:rFonts w:ascii="Times New Roman" w:hAnsi="Times New Roman"/>
        </w:rPr>
        <w:t>Mając to na uwadze, do</w:t>
      </w:r>
      <w:r>
        <w:rPr>
          <w:rFonts w:ascii="Times New Roman" w:hAnsi="Times New Roman"/>
        </w:rPr>
        <w:t xml:space="preserve"> pozwan</w:t>
      </w:r>
      <w:r w:rsidR="005548CF">
        <w:rPr>
          <w:rFonts w:ascii="Times New Roman" w:hAnsi="Times New Roman"/>
        </w:rPr>
        <w:t>ego</w:t>
      </w:r>
      <w:r>
        <w:rPr>
          <w:rFonts w:ascii="Times New Roman" w:hAnsi="Times New Roman"/>
        </w:rPr>
        <w:t xml:space="preserve"> państw</w:t>
      </w:r>
      <w:r w:rsidR="005548CF">
        <w:rPr>
          <w:rFonts w:ascii="Times New Roman" w:hAnsi="Times New Roman"/>
        </w:rPr>
        <w:t>a będzie należało</w:t>
      </w:r>
      <w:r>
        <w:rPr>
          <w:rFonts w:ascii="Times New Roman" w:hAnsi="Times New Roman"/>
        </w:rPr>
        <w:t xml:space="preserve"> wyciągnięci</w:t>
      </w:r>
      <w:r w:rsidR="005548CF">
        <w:rPr>
          <w:rFonts w:ascii="Times New Roman" w:hAnsi="Times New Roman"/>
        </w:rPr>
        <w:t>e niezbędnych wniosków</w:t>
      </w:r>
      <w:r>
        <w:rPr>
          <w:rFonts w:ascii="Times New Roman" w:hAnsi="Times New Roman"/>
        </w:rPr>
        <w:t xml:space="preserve"> z niniejszego wyroku i </w:t>
      </w:r>
      <w:r w:rsidR="005548CF">
        <w:rPr>
          <w:rFonts w:ascii="Times New Roman" w:hAnsi="Times New Roman"/>
        </w:rPr>
        <w:t>podjęcie</w:t>
      </w:r>
      <w:r>
        <w:rPr>
          <w:rFonts w:ascii="Times New Roman" w:hAnsi="Times New Roman"/>
        </w:rPr>
        <w:t xml:space="preserve">, pod nadzorem Komitetu Ministrów i w uzgodnionych z nim ramach czasowych, odpowiednich środków ogólnych, </w:t>
      </w:r>
      <w:r w:rsidR="0037151C">
        <w:rPr>
          <w:rFonts w:ascii="Times New Roman" w:hAnsi="Times New Roman"/>
        </w:rPr>
        <w:t>w celu</w:t>
      </w:r>
      <w:r>
        <w:rPr>
          <w:rFonts w:ascii="Times New Roman" w:hAnsi="Times New Roman"/>
        </w:rPr>
        <w:t xml:space="preserve"> rozwiąza</w:t>
      </w:r>
      <w:r w:rsidR="0037151C">
        <w:rPr>
          <w:rFonts w:ascii="Times New Roman" w:hAnsi="Times New Roman"/>
        </w:rPr>
        <w:t>nia</w:t>
      </w:r>
      <w:r>
        <w:rPr>
          <w:rFonts w:ascii="Times New Roman" w:hAnsi="Times New Roman"/>
        </w:rPr>
        <w:t xml:space="preserve"> problem</w:t>
      </w:r>
      <w:r w:rsidR="0037151C">
        <w:rPr>
          <w:rFonts w:ascii="Times New Roman" w:hAnsi="Times New Roman"/>
        </w:rPr>
        <w:t>ów</w:t>
      </w:r>
      <w:r>
        <w:rPr>
          <w:rFonts w:ascii="Times New Roman" w:hAnsi="Times New Roman"/>
        </w:rPr>
        <w:t xml:space="preserve"> systemow</w:t>
      </w:r>
      <w:r w:rsidR="0037151C">
        <w:rPr>
          <w:rFonts w:ascii="Times New Roman" w:hAnsi="Times New Roman"/>
        </w:rPr>
        <w:t>ych</w:t>
      </w:r>
      <w:r>
        <w:rPr>
          <w:rFonts w:ascii="Times New Roman" w:hAnsi="Times New Roman"/>
        </w:rPr>
        <w:t xml:space="preserve"> leżąc</w:t>
      </w:r>
      <w:r w:rsidR="0037151C">
        <w:rPr>
          <w:rFonts w:ascii="Times New Roman" w:hAnsi="Times New Roman"/>
        </w:rPr>
        <w:t>ych</w:t>
      </w:r>
      <w:r>
        <w:rPr>
          <w:rFonts w:ascii="Times New Roman" w:hAnsi="Times New Roman"/>
        </w:rPr>
        <w:t xml:space="preserve"> u podstaw naruszeń stwierdzonych przez Trybunał w niniejszej sprawie oraz zapobie</w:t>
      </w:r>
      <w:r w:rsidR="0037151C">
        <w:rPr>
          <w:rFonts w:ascii="Times New Roman" w:hAnsi="Times New Roman"/>
        </w:rPr>
        <w:t>żenia</w:t>
      </w:r>
      <w:r>
        <w:rPr>
          <w:rFonts w:ascii="Times New Roman" w:hAnsi="Times New Roman"/>
        </w:rPr>
        <w:t xml:space="preserve"> podobnym naruszeniom w przyszłości.</w:t>
      </w:r>
    </w:p>
    <w:p w14:paraId="58F3DF3E" w14:textId="77777777" w:rsidR="000410B4" w:rsidRPr="00D637A7" w:rsidRDefault="008E2D0D" w:rsidP="00D637A7">
      <w:pPr>
        <w:pStyle w:val="JuHA"/>
      </w:pPr>
      <w:r>
        <w:lastRenderedPageBreak/>
        <w:t>Procedura na potrzeby kolejnych spraw</w:t>
      </w:r>
    </w:p>
    <w:p w14:paraId="1EC8365A" w14:textId="77777777" w:rsidR="00772506" w:rsidRPr="00D637A7" w:rsidRDefault="008E2D0D" w:rsidP="00D637A7">
      <w:pPr>
        <w:pStyle w:val="JuH1"/>
      </w:pPr>
      <w:r>
        <w:t>Zasady wynikające z orzecznictwa Trybunału</w:t>
      </w:r>
    </w:p>
    <w:p w14:paraId="01D9D299" w14:textId="195490D1" w:rsidR="000410B4" w:rsidRPr="00D637A7" w:rsidRDefault="00000000" w:rsidP="00D637A7">
      <w:pPr>
        <w:pStyle w:val="JuPara"/>
        <w:rPr>
          <w:i/>
        </w:rPr>
      </w:pPr>
      <w:fldSimple w:instr=" SEQ level0 \*arabic \* MERGEFORMAT ">
        <w:r w:rsidR="006D0886">
          <w:rPr>
            <w:noProof/>
          </w:rPr>
          <w:t>333</w:t>
        </w:r>
      </w:fldSimple>
      <w:r w:rsidR="008E2D0D">
        <w:t xml:space="preserve">.  Jak stwierdzono powyżej (zob. </w:t>
      </w:r>
      <w:r w:rsidR="00E40AE2">
        <w:t>par.</w:t>
      </w:r>
      <w:r w:rsidR="008E2D0D">
        <w:t> </w:t>
      </w:r>
      <w:r w:rsidR="008E2D0D" w:rsidRPr="00D637A7">
        <w:fldChar w:fldCharType="begin"/>
      </w:r>
      <w:r w:rsidR="008E2D0D" w:rsidRPr="00D637A7">
        <w:instrText xml:space="preserve"> REF pilot_judgment \h </w:instrText>
      </w:r>
      <w:r w:rsidR="008E2D0D" w:rsidRPr="00D637A7">
        <w:fldChar w:fldCharType="separate"/>
      </w:r>
      <w:r w:rsidR="006D0886">
        <w:rPr>
          <w:noProof/>
        </w:rPr>
        <w:t>317</w:t>
      </w:r>
      <w:r w:rsidR="008E2D0D" w:rsidRPr="00D637A7">
        <w:fldChar w:fldCharType="end"/>
      </w:r>
      <w:r w:rsidR="008E2D0D">
        <w:t xml:space="preserve"> powyżej), nieodłącznym elementem procedury wyroku pilotażowego jest badanie przez Trybunał przedmiotowych zagadnień również z perspektywy interesów innych osób, na które dana sytuacja ma potencjalnie wpływ. Ocena ta z konieczności uwzględnia procedurę na potrzeby podobnych spraw – tych obecnie toczących się i tych, które mogą zostać wniesione do Trybunału w przyszłości (zob. między innymi </w:t>
      </w:r>
      <w:r w:rsidR="008E2D0D">
        <w:rPr>
          <w:i/>
        </w:rPr>
        <w:t xml:space="preserve">Broniowski </w:t>
      </w:r>
      <w:r w:rsidR="008E2D0D">
        <w:t>(wyrok merytoryczny)</w:t>
      </w:r>
      <w:r w:rsidR="008E2D0D">
        <w:rPr>
          <w:i/>
        </w:rPr>
        <w:t xml:space="preserve">, </w:t>
      </w:r>
      <w:r w:rsidR="008E2D0D">
        <w:rPr>
          <w:i/>
          <w:iCs/>
        </w:rPr>
        <w:t>op.cit.</w:t>
      </w:r>
      <w:r w:rsidR="008E2D0D">
        <w:t>, § 198</w:t>
      </w:r>
      <w:r w:rsidR="008E2D0D">
        <w:rPr>
          <w:i/>
        </w:rPr>
        <w:t>; Burdov</w:t>
      </w:r>
      <w:r w:rsidR="008E2D0D">
        <w:t xml:space="preserve"> (nr 2), </w:t>
      </w:r>
      <w:r w:rsidR="008E2D0D">
        <w:rPr>
          <w:i/>
          <w:iCs/>
        </w:rPr>
        <w:t>op.cit.</w:t>
      </w:r>
      <w:r w:rsidR="008E2D0D">
        <w:t>,</w:t>
      </w:r>
      <w:r w:rsidR="008E2D0D">
        <w:rPr>
          <w:i/>
        </w:rPr>
        <w:t xml:space="preserve"> </w:t>
      </w:r>
      <w:r w:rsidR="008E2D0D">
        <w:t xml:space="preserve">§§ 142-146; </w:t>
      </w:r>
      <w:r w:rsidR="008E2D0D">
        <w:rPr>
          <w:i/>
        </w:rPr>
        <w:t>Rutkowski i Inni</w:t>
      </w:r>
      <w:r w:rsidR="008E2D0D">
        <w:t xml:space="preserve">, </w:t>
      </w:r>
      <w:r w:rsidR="008E2D0D">
        <w:rPr>
          <w:i/>
          <w:iCs/>
        </w:rPr>
        <w:t>op.cit.</w:t>
      </w:r>
      <w:r w:rsidR="008E2D0D">
        <w:t>,</w:t>
      </w:r>
      <w:r w:rsidR="008E2D0D">
        <w:rPr>
          <w:i/>
        </w:rPr>
        <w:t xml:space="preserve"> </w:t>
      </w:r>
      <w:r w:rsidR="008E2D0D">
        <w:t xml:space="preserve">§§ 223-229; oraz </w:t>
      </w:r>
      <w:r w:rsidR="008E2D0D">
        <w:rPr>
          <w:i/>
          <w:iCs/>
        </w:rPr>
        <w:t xml:space="preserve">Burmych i Inni, </w:t>
      </w:r>
      <w:r w:rsidR="008E2D0D">
        <w:t>op.cit., § 165</w:t>
      </w:r>
      <w:r w:rsidR="008E2D0D">
        <w:rPr>
          <w:i/>
        </w:rPr>
        <w:t>)</w:t>
      </w:r>
      <w:r w:rsidR="008E2D0D">
        <w:t>.</w:t>
      </w:r>
    </w:p>
    <w:p w14:paraId="1C70D807" w14:textId="77777777" w:rsidR="000410B4" w:rsidRPr="00D637A7" w:rsidRDefault="00000000" w:rsidP="00D637A7">
      <w:pPr>
        <w:pStyle w:val="JuPara"/>
      </w:pPr>
      <w:fldSimple w:instr=" SEQ level0 \*arabic ">
        <w:r w:rsidR="006D0886">
          <w:rPr>
            <w:noProof/>
          </w:rPr>
          <w:t>334</w:t>
        </w:r>
      </w:fldSimple>
      <w:r w:rsidR="008E2D0D">
        <w:t xml:space="preserve">.  Od czasu wyroku w sprawie </w:t>
      </w:r>
      <w:r w:rsidR="008E2D0D">
        <w:rPr>
          <w:i/>
        </w:rPr>
        <w:t>Broniowski</w:t>
      </w:r>
      <w:r w:rsidR="008E2D0D">
        <w:t xml:space="preserve"> konsekwentną praktyką Trybunału jest uwzględnianie w wyrokach pilotażowych, oprócz rozstrzygnięcia w sprawie pilotażowej, również różnych decyzji proceduralnych na potrzeby postępowania w kolejnych sprawach – zarówno tych zakomunikowanych pozwanemu Rządowi, jak i nowych. Przykładowo Trybunał często decydował o odroczeniu podobnych spraw w oczekiwaniu na wdrożenie przez pozwane państwo środków ogólnych (zob. między innymi </w:t>
      </w:r>
      <w:r w:rsidR="008E2D0D">
        <w:rPr>
          <w:i/>
        </w:rPr>
        <w:t xml:space="preserve">Broniowski </w:t>
      </w:r>
      <w:r w:rsidR="008E2D0D">
        <w:t xml:space="preserve">(orzeczenie merytoryczne), </w:t>
      </w:r>
      <w:r w:rsidR="008E2D0D">
        <w:rPr>
          <w:i/>
          <w:iCs/>
        </w:rPr>
        <w:t>op.cit.</w:t>
      </w:r>
      <w:r w:rsidR="008E2D0D">
        <w:t xml:space="preserve">, § 198; </w:t>
      </w:r>
      <w:r w:rsidR="008E2D0D">
        <w:rPr>
          <w:i/>
        </w:rPr>
        <w:t>Hutten</w:t>
      </w:r>
      <w:r w:rsidR="008E2D0D">
        <w:rPr>
          <w:i/>
        </w:rPr>
        <w:noBreakHyphen/>
        <w:t xml:space="preserve">Czapska </w:t>
      </w:r>
      <w:r w:rsidR="008E2D0D">
        <w:t xml:space="preserve">, </w:t>
      </w:r>
      <w:r w:rsidR="008E2D0D">
        <w:rPr>
          <w:i/>
          <w:iCs/>
        </w:rPr>
        <w:t>op.cit.</w:t>
      </w:r>
      <w:r w:rsidR="008E2D0D">
        <w:t xml:space="preserve">, § 247; </w:t>
      </w:r>
      <w:r w:rsidR="008E2D0D">
        <w:rPr>
          <w:i/>
        </w:rPr>
        <w:t>Kurić</w:t>
      </w:r>
      <w:r w:rsidR="008E2D0D">
        <w:t xml:space="preserve">, </w:t>
      </w:r>
      <w:r w:rsidR="008E2D0D">
        <w:rPr>
          <w:i/>
          <w:iCs/>
        </w:rPr>
        <w:t>op.cit.</w:t>
      </w:r>
      <w:r w:rsidR="008E2D0D">
        <w:t xml:space="preserve">, § 415; </w:t>
      </w:r>
      <w:r w:rsidR="008E2D0D">
        <w:rPr>
          <w:i/>
        </w:rPr>
        <w:t>Ivanov</w:t>
      </w:r>
      <w:r w:rsidR="008E2D0D">
        <w:t xml:space="preserve">, </w:t>
      </w:r>
      <w:r w:rsidR="008E2D0D">
        <w:rPr>
          <w:i/>
          <w:iCs/>
        </w:rPr>
        <w:t>op.cit.</w:t>
      </w:r>
      <w:r w:rsidR="008E2D0D">
        <w:t xml:space="preserve">, §§ 97-99, a także siódmy punkt sentencji wyroku; </w:t>
      </w:r>
      <w:r w:rsidR="008E2D0D">
        <w:rPr>
          <w:i/>
        </w:rPr>
        <w:t>Olaru i Inni</w:t>
      </w:r>
      <w:r w:rsidR="008E2D0D">
        <w:t xml:space="preserve">, </w:t>
      </w:r>
      <w:r w:rsidR="008E2D0D">
        <w:rPr>
          <w:i/>
          <w:iCs/>
        </w:rPr>
        <w:t>op.cit.</w:t>
      </w:r>
      <w:r w:rsidR="008E2D0D">
        <w:t xml:space="preserve">, §§ 60-61, a także szósty punkt sentencji wyroku; </w:t>
      </w:r>
      <w:r w:rsidR="008E2D0D">
        <w:rPr>
          <w:i/>
        </w:rPr>
        <w:t xml:space="preserve">Burdov </w:t>
      </w:r>
      <w:r w:rsidR="008E2D0D">
        <w:t xml:space="preserve">(nr 2), </w:t>
      </w:r>
      <w:r w:rsidR="008E2D0D">
        <w:rPr>
          <w:i/>
          <w:iCs/>
        </w:rPr>
        <w:t>op.cit.</w:t>
      </w:r>
      <w:r w:rsidR="008E2D0D">
        <w:t xml:space="preserve">, § 146, a także ósmy punkt sentencji wyroku; </w:t>
      </w:r>
      <w:r w:rsidR="008E2D0D">
        <w:rPr>
          <w:i/>
        </w:rPr>
        <w:t>Rutkowski i Inni</w:t>
      </w:r>
      <w:r w:rsidR="008E2D0D">
        <w:t xml:space="preserve">, </w:t>
      </w:r>
      <w:r w:rsidR="008E2D0D">
        <w:rPr>
          <w:i/>
          <w:iCs/>
        </w:rPr>
        <w:t>op.cit.</w:t>
      </w:r>
      <w:r w:rsidR="008E2D0D">
        <w:t xml:space="preserve">, §§ 227-229, a także dziesiąty i jedenasty punkt sentencji wyroku; </w:t>
      </w:r>
      <w:r w:rsidR="008E2D0D">
        <w:rPr>
          <w:i/>
        </w:rPr>
        <w:t>Gerasimovi i Inni</w:t>
      </w:r>
      <w:r w:rsidR="008E2D0D">
        <w:t xml:space="preserve">, </w:t>
      </w:r>
      <w:r w:rsidR="008E2D0D">
        <w:rPr>
          <w:i/>
          <w:iCs/>
        </w:rPr>
        <w:t>op.cit.</w:t>
      </w:r>
      <w:r w:rsidR="008E2D0D">
        <w:t xml:space="preserve">, § 232, a także czternasty punkt sentencji wyroku; oraz </w:t>
      </w:r>
      <w:r w:rsidR="008E2D0D">
        <w:rPr>
          <w:i/>
        </w:rPr>
        <w:t>W.D.</w:t>
      </w:r>
      <w:r w:rsidR="008E2D0D">
        <w:t xml:space="preserve"> </w:t>
      </w:r>
      <w:r w:rsidR="008E2D0D">
        <w:rPr>
          <w:i/>
        </w:rPr>
        <w:t>przeciwko Belgii</w:t>
      </w:r>
      <w:r w:rsidR="008E2D0D">
        <w:t xml:space="preserve">, </w:t>
      </w:r>
      <w:r w:rsidR="008E2D0D">
        <w:rPr>
          <w:i/>
          <w:iCs/>
        </w:rPr>
        <w:t>op.cit.</w:t>
      </w:r>
      <w:r w:rsidR="008E2D0D">
        <w:t xml:space="preserve">, § 174, a także siódmy punkt sentencji wyroku). Trybunał wstrzymywał rozpatrywanie podobnych skarg już przed nim zawisłych i zawieszał procedowanie skarg, które do dnia wydania wyroku pilotażowego nie zostały jeszcze zarejestrowane (zob. </w:t>
      </w:r>
      <w:r w:rsidR="008E2D0D">
        <w:rPr>
          <w:i/>
        </w:rPr>
        <w:t>Zieloni i M.T.</w:t>
      </w:r>
      <w:r w:rsidR="008E2D0D">
        <w:t xml:space="preserve">, </w:t>
      </w:r>
      <w:r w:rsidR="008E2D0D">
        <w:rPr>
          <w:i/>
          <w:iCs/>
        </w:rPr>
        <w:t>op.cit.</w:t>
      </w:r>
      <w:r w:rsidR="008E2D0D">
        <w:t>, §§ 121-122). Trybunał odnosił się również z wyprzedzeniem do swoich orzeczeń w przedmiocie dopuszczalności toczących się i przyszłych spraw, stwierdzając, że w pewnych okolicznościach „może uznać [je] za niedopuszczalne zgodnie z Konwencją” (zob. </w:t>
      </w:r>
      <w:r w:rsidR="008E2D0D">
        <w:rPr>
          <w:i/>
        </w:rPr>
        <w:t>Suljagić</w:t>
      </w:r>
      <w:r w:rsidR="008E2D0D">
        <w:t xml:space="preserve">, </w:t>
      </w:r>
      <w:r w:rsidR="008E2D0D">
        <w:rPr>
          <w:i/>
          <w:iCs/>
        </w:rPr>
        <w:t>op.cit.</w:t>
      </w:r>
      <w:r w:rsidR="008E2D0D">
        <w:t xml:space="preserve">, § 65). W stosownych przypadkach Trybunał postanawiał na mocy wyroku pilotażowego zakomunikować wszystkie podobne skargi, które wpłynęły do niego przed datą wydania wyroku (zob. </w:t>
      </w:r>
      <w:r w:rsidR="008E2D0D">
        <w:rPr>
          <w:i/>
        </w:rPr>
        <w:t>Rutkowski i Inni</w:t>
      </w:r>
      <w:r w:rsidR="008E2D0D">
        <w:t xml:space="preserve">, </w:t>
      </w:r>
      <w:r w:rsidR="008E2D0D">
        <w:rPr>
          <w:i/>
          <w:iCs/>
        </w:rPr>
        <w:t>op.cit.</w:t>
      </w:r>
      <w:r w:rsidR="008E2D0D">
        <w:t xml:space="preserve">, §§ 226-227, a także dziewiąty punkt sentencji wyroku). Praktyka ta, obejmująca szereg rozwiązań, odzwierciedla logikę procedury wyroku pilotażowego, zgodnie z którą wszystkie sprawy wywodzące się z tej samej systemowej przyczyny źródłowej są włączane w ramy tej procedury i obejmowane procesem wykonania danego wyroku pilotażowego (zob. także </w:t>
      </w:r>
      <w:r w:rsidR="008E2D0D">
        <w:rPr>
          <w:i/>
          <w:iCs/>
        </w:rPr>
        <w:t xml:space="preserve">Burmych i Inni, </w:t>
      </w:r>
      <w:r w:rsidR="008E2D0D">
        <w:t xml:space="preserve">§ 166, </w:t>
      </w:r>
      <w:r w:rsidR="008E2D0D">
        <w:rPr>
          <w:i/>
          <w:iCs/>
        </w:rPr>
        <w:t>op.cit.</w:t>
      </w:r>
      <w:r w:rsidR="008E2D0D">
        <w:t>).</w:t>
      </w:r>
    </w:p>
    <w:p w14:paraId="301C50F9" w14:textId="77777777" w:rsidR="00772506" w:rsidRPr="00D637A7" w:rsidRDefault="008E2D0D" w:rsidP="00D637A7">
      <w:pPr>
        <w:pStyle w:val="JuH1"/>
      </w:pPr>
      <w:r>
        <w:lastRenderedPageBreak/>
        <w:tab/>
        <w:t>Zastosowanie powyższych zasad w niniejszej sprawie</w:t>
      </w:r>
    </w:p>
    <w:p w14:paraId="495B356D" w14:textId="47224458" w:rsidR="000410B4" w:rsidRPr="00D637A7" w:rsidRDefault="00000000" w:rsidP="00D637A7">
      <w:pPr>
        <w:pStyle w:val="JuPara"/>
      </w:pPr>
      <w:fldSimple w:instr=" SEQ level0 \*arabic \* MERGEFORMAT ">
        <w:r w:rsidR="006D0886">
          <w:rPr>
            <w:noProof/>
          </w:rPr>
          <w:t>335</w:t>
        </w:r>
      </w:fldSimple>
      <w:r w:rsidR="008E2D0D">
        <w:t>.  Co się tyczy niniejszej sprawy, Trybunał pragnie zauważyć, że z 492 spraw na jego wokandzie, zawiadomienie o 202 sprawach zostało już przekazane pozwanemu Rządowi i że zdecydowana większość tych spraw dotyczy zarzucanego naruszenia prawa do „niezawisłego i bezstronnego sądu ustanowionego ustawą” z uwagi na fakt, że w składach sędziowskich różnych sądów, które rozpoznawały sprawy skarżących, zasiadali sędziowie powołani przez Prezydenta RP na wniosek KRS w nowo ukształtowanym składzie (zob. </w:t>
      </w:r>
      <w:r w:rsidR="00E40AE2">
        <w:t>par.</w:t>
      </w:r>
      <w:r w:rsidR="008E2D0D">
        <w:t> </w:t>
      </w:r>
      <w:r w:rsidR="008E2D0D" w:rsidRPr="00D637A7">
        <w:fldChar w:fldCharType="begin"/>
      </w:r>
      <w:r w:rsidR="008E2D0D" w:rsidRPr="00D637A7">
        <w:instrText xml:space="preserve"> REF Court_assessment_13 \h </w:instrText>
      </w:r>
      <w:r w:rsidR="008E2D0D" w:rsidRPr="00D637A7">
        <w:fldChar w:fldCharType="separate"/>
      </w:r>
      <w:r w:rsidR="006D0886">
        <w:rPr>
          <w:noProof/>
        </w:rPr>
        <w:t>323</w:t>
      </w:r>
      <w:r w:rsidR="008E2D0D" w:rsidRPr="00D637A7">
        <w:fldChar w:fldCharType="end"/>
      </w:r>
      <w:r w:rsidR="008E2D0D">
        <w:t xml:space="preserve"> powyżej). Nie ulega zatem wątpliwości, że zarówno państwo polskie, jak i Komitet Ministrów mają świadomość olbrzymiej skali pierwotnego problemu systemowego zidentyfikowanego w niniejszej sprawie, a wcześniej zasygnalizowanego w sprawach </w:t>
      </w:r>
      <w:r w:rsidR="008E2D0D">
        <w:rPr>
          <w:rFonts w:ascii="Times New Roman" w:hAnsi="Times New Roman"/>
          <w:i/>
          <w:iCs/>
        </w:rPr>
        <w:t xml:space="preserve">Dolińska-Ficek i Ozimek </w:t>
      </w:r>
      <w:r w:rsidR="008E2D0D">
        <w:rPr>
          <w:rFonts w:ascii="Times New Roman" w:hAnsi="Times New Roman"/>
        </w:rPr>
        <w:t xml:space="preserve">oraz </w:t>
      </w:r>
      <w:r w:rsidR="008E2D0D">
        <w:rPr>
          <w:rFonts w:ascii="Times New Roman" w:hAnsi="Times New Roman"/>
          <w:i/>
          <w:iCs/>
        </w:rPr>
        <w:t>Advance Pharma sp. z o.o</w:t>
      </w:r>
      <w:r w:rsidR="008E2D0D">
        <w:t>.</w:t>
      </w:r>
      <w:r w:rsidR="008E2D0D">
        <w:rPr>
          <w:rFonts w:ascii="Times New Roman" w:hAnsi="Times New Roman"/>
        </w:rPr>
        <w:t xml:space="preserve"> Jak zauważono powyżej, rozwiązanie spornej sytuacji systemowej wymaga szybkiego działania, które powinno obejmować przede wszystkim zastosowanie odpowiednich środków ustawodawczych i innych w wykonaniu niniejszego wyroku oraz wyroków z tzw. grupy </w:t>
      </w:r>
      <w:r w:rsidR="008E2D0D">
        <w:rPr>
          <w:rFonts w:ascii="Times New Roman" w:hAnsi="Times New Roman"/>
          <w:i/>
          <w:iCs/>
        </w:rPr>
        <w:t>Reczkowicz</w:t>
      </w:r>
      <w:r w:rsidR="008E2D0D">
        <w:rPr>
          <w:rFonts w:ascii="Times New Roman" w:hAnsi="Times New Roman"/>
        </w:rPr>
        <w:t xml:space="preserve">. W związku z powyższym Trybunał uważa, że podobne sprawy, które nie zostały dotąd zakomunikowane, powinny zostać odroczone </w:t>
      </w:r>
      <w:r w:rsidR="000C31C5">
        <w:rPr>
          <w:rFonts w:ascii="Times New Roman" w:hAnsi="Times New Roman"/>
        </w:rPr>
        <w:t>na</w:t>
      </w:r>
      <w:r w:rsidR="008E2D0D">
        <w:rPr>
          <w:rFonts w:ascii="Times New Roman" w:hAnsi="Times New Roman"/>
        </w:rPr>
        <w:t xml:space="preserve"> okres jednego roku od daty wydania niniejszego wyroku, w oczekiwaniu na przyjęcie przez państwo polskie środków ogólnych. Decyzja co do dalszego postępowania w tych sprawach zostanie podjęta w świetle przyszłych zmian na szczeblu krajowym, o ile takie nastąpią. Trybunał będzie jednakże wydawał wyroki w zakomunikowanych już sprawach gotowych do rozpatrzenia i nadal będzie komunikował rządowi skargi dotyczące </w:t>
      </w:r>
      <w:r w:rsidR="000C31C5">
        <w:rPr>
          <w:rFonts w:ascii="Times New Roman" w:hAnsi="Times New Roman"/>
        </w:rPr>
        <w:t>innych</w:t>
      </w:r>
      <w:r w:rsidR="008E2D0D">
        <w:rPr>
          <w:rFonts w:ascii="Times New Roman" w:hAnsi="Times New Roman"/>
        </w:rPr>
        <w:t xml:space="preserve"> kwestii w kontekście niezależności sądownictwa.</w:t>
      </w:r>
    </w:p>
    <w:p w14:paraId="4B1D6FB0" w14:textId="77777777" w:rsidR="000410B4" w:rsidRPr="00D637A7" w:rsidRDefault="008E2D0D" w:rsidP="00D637A7">
      <w:pPr>
        <w:pStyle w:val="JuHIRoman"/>
      </w:pPr>
      <w:r>
        <w:t>ZASTOSOWANIE ARTYKUŁU 41 KONWENCJI</w:t>
      </w:r>
    </w:p>
    <w:p w14:paraId="43528BA7" w14:textId="77777777" w:rsidR="000410B4" w:rsidRPr="00D637A7" w:rsidRDefault="00000000" w:rsidP="00D637A7">
      <w:pPr>
        <w:pStyle w:val="JuPara"/>
      </w:pPr>
      <w:fldSimple w:instr=" SEQ level0 \*arabic ">
        <w:r w:rsidR="006D0886">
          <w:rPr>
            <w:noProof/>
          </w:rPr>
          <w:t>336</w:t>
        </w:r>
      </w:fldSimple>
      <w:r w:rsidR="008E2D0D">
        <w:t>.  Artykuł 41 Konwencji stanowi:</w:t>
      </w:r>
    </w:p>
    <w:p w14:paraId="50C461E7" w14:textId="77777777" w:rsidR="000410B4" w:rsidRPr="00D637A7" w:rsidRDefault="008E2D0D" w:rsidP="00D637A7">
      <w:pPr>
        <w:pStyle w:val="JuQuot"/>
      </w:pPr>
      <w:r>
        <w:t>„Jeżeli Trybunał stwierdzi, że nastąpiło naruszenie Konwencji lub jej Protokołów i jeżeli prawo wewnętrzne zainteresowanej Wysokiej Układającej się Strony pozwala jedynie na częściowe zadośćuczynienie, Trybunał, w razie potrzeby, przyzna stronie poszkodowanej słuszne zadośćuczynienie".</w:t>
      </w:r>
    </w:p>
    <w:p w14:paraId="18ECCBC3" w14:textId="77777777" w:rsidR="000410B4" w:rsidRPr="00D637A7" w:rsidRDefault="00000000" w:rsidP="00D637A7">
      <w:pPr>
        <w:pStyle w:val="JuPara"/>
      </w:pPr>
      <w:fldSimple w:instr=" SEQ level0 \*arabic ">
        <w:r w:rsidR="006D0886">
          <w:rPr>
            <w:noProof/>
          </w:rPr>
          <w:t>337</w:t>
        </w:r>
      </w:fldSimple>
      <w:r w:rsidR="008E2D0D">
        <w:t xml:space="preserve">.  Skarżący nie zgłosił żadnych roszczeń z tytułu szkody majątkowej ani kosztów i opłat prawnych poniesionych w niniejszej sprawie. Żądał 180 000 euro (EUR) z tytułu szkody niemajątkowej, powołując się na szczególnie poważne naruszenia Konwencji i ich daleko idące konsekwencje dla niego jako osoby, a także jako postaci publicznej i historycznej. Co więcej, państwo poprzez prowadzone przeciwko niemu postępowanie zainicjowane skargą nadzwyczajną realizowało </w:t>
      </w:r>
      <w:r w:rsidR="008E2D0D">
        <w:rPr>
          <w:i/>
          <w:iCs/>
        </w:rPr>
        <w:t>de facto</w:t>
      </w:r>
      <w:r w:rsidR="008E2D0D">
        <w:t xml:space="preserve"> prywatne i polityczne interesy.</w:t>
      </w:r>
    </w:p>
    <w:p w14:paraId="4F51C072" w14:textId="77777777" w:rsidR="000410B4" w:rsidRPr="00D637A7" w:rsidRDefault="00000000" w:rsidP="00D637A7">
      <w:pPr>
        <w:pStyle w:val="JuPara"/>
      </w:pPr>
      <w:fldSimple w:instr=" SEQ level0 \*arabic ">
        <w:r w:rsidR="006D0886">
          <w:rPr>
            <w:noProof/>
          </w:rPr>
          <w:t>338</w:t>
        </w:r>
      </w:fldSimple>
      <w:r w:rsidR="008E2D0D">
        <w:t xml:space="preserve">.  Rząd zauważył, że powyższe roszczenie należy uznać za niezwykle wygórowane i częściowo niezwiązane ze sprawą. Ponadto skarżący nie uzasadnił swoich roszczeń, ponieważ nie przedstawił żadnych dokumentów </w:t>
      </w:r>
      <w:r w:rsidR="008E2D0D">
        <w:lastRenderedPageBreak/>
        <w:t>dotyczących szkody niemajątkowej, które potwierdzałyby, że w wyniku zarzucanego naruszenia art. 6 ust. 1, art. 8 lub art. 18 Konwencji doznał cierpienia, szkody emocjonalnej lub psychologicznej, trudności, utraty dochodów, utraty jakości życia lub jakiejkolwiek innej szkody. Rząd zauważył w tym względzie, że dokumenty załączone do uwag skarżącego nie ujawniały żadnego związku przyczynowego między okolicznościami faktycznymi a zarzucanym naruszeniem. W szczególności skarżący nie przedstawił żadnych dowodów na okoliczność tego, że subiektywna udręka i cierpienie, które odczuwał, były spowodowane uchyleniem wyroku Sądu Apelacyjnego w Gdańsku. Rząd zwrócił się do Trybunału o oddalenie roszczenia w całości.</w:t>
      </w:r>
    </w:p>
    <w:p w14:paraId="0E50AFA2" w14:textId="77777777" w:rsidR="000410B4" w:rsidRPr="00D637A7" w:rsidRDefault="00000000" w:rsidP="00D637A7">
      <w:pPr>
        <w:pStyle w:val="JuPara"/>
      </w:pPr>
      <w:fldSimple w:instr=" SEQ level0 \*arabic \* MERGEFORMAT ">
        <w:r w:rsidR="006D0886">
          <w:rPr>
            <w:noProof/>
          </w:rPr>
          <w:t>339</w:t>
        </w:r>
      </w:fldSimple>
      <w:r w:rsidR="008E2D0D">
        <w:t>.  Trybunał, mając na uwadze okoliczności sprawy, charakter stwierdzonych naruszeń oraz słuszne zadośćuczynienie przyznane w podobnych sprawach, zasądza na rzecz skarżącego 30 000 EUR tytułem zadośćuczynienia za szkodę niemajątkową, powiększone o należny podatek.</w:t>
      </w:r>
    </w:p>
    <w:p w14:paraId="486E81A3" w14:textId="77777777" w:rsidR="000410B4" w:rsidRPr="00D637A7" w:rsidRDefault="008E2D0D" w:rsidP="00D637A7">
      <w:pPr>
        <w:pStyle w:val="JuHHead"/>
      </w:pPr>
      <w:r>
        <w:t>Z TYCH PRZYCZYN TRYBUNAŁ JEDNOGŁOŚNIE,</w:t>
      </w:r>
    </w:p>
    <w:p w14:paraId="5270355D" w14:textId="77777777" w:rsidR="000410B4" w:rsidRPr="00D637A7" w:rsidRDefault="008E2D0D" w:rsidP="00D637A7">
      <w:pPr>
        <w:pStyle w:val="JuList"/>
      </w:pPr>
      <w:r>
        <w:rPr>
          <w:i/>
        </w:rPr>
        <w:t>uznaje,</w:t>
      </w:r>
      <w:r>
        <w:t xml:space="preserve"> że zarzuty skargi na podstawie art. 6 ust. 1 i art. 8 Konwencji są dopuszczalne;</w:t>
      </w:r>
    </w:p>
    <w:p w14:paraId="35BC00E2" w14:textId="77777777" w:rsidR="000410B4" w:rsidRPr="00D637A7" w:rsidRDefault="008E2D0D" w:rsidP="00D637A7">
      <w:pPr>
        <w:pStyle w:val="JuList"/>
      </w:pPr>
      <w:r>
        <w:rPr>
          <w:i/>
        </w:rPr>
        <w:t>orzeka</w:t>
      </w:r>
      <w:r>
        <w:t>, że doszło do naruszenia art. 6 ust. 1 Konwencji w odniesieniu do prawa do niezawisłego i bezstronnego sądu ustanowionego ustawą;</w:t>
      </w:r>
    </w:p>
    <w:p w14:paraId="087ABE9D" w14:textId="77777777" w:rsidR="000410B4" w:rsidRPr="00D637A7" w:rsidRDefault="008E2D0D" w:rsidP="00D637A7">
      <w:pPr>
        <w:pStyle w:val="JuList"/>
      </w:pPr>
      <w:r>
        <w:rPr>
          <w:i/>
        </w:rPr>
        <w:t>orzeka</w:t>
      </w:r>
      <w:r>
        <w:t>, że doszło do naruszenia art. 6 ust. 1 Konwencji w odniesieniu do zasady pewności prawa;</w:t>
      </w:r>
    </w:p>
    <w:p w14:paraId="67EF3EB6" w14:textId="77777777" w:rsidR="000410B4" w:rsidRPr="00D637A7" w:rsidRDefault="008E2D0D" w:rsidP="00D637A7">
      <w:pPr>
        <w:pStyle w:val="JuList"/>
      </w:pPr>
      <w:r>
        <w:rPr>
          <w:i/>
        </w:rPr>
        <w:t>orzeka</w:t>
      </w:r>
      <w:r>
        <w:t>, że doszło do naruszenia art. 8 Konwencji;</w:t>
      </w:r>
    </w:p>
    <w:p w14:paraId="6045B65D" w14:textId="77777777" w:rsidR="000410B4" w:rsidRPr="00D637A7" w:rsidRDefault="008E2D0D" w:rsidP="00D637A7">
      <w:pPr>
        <w:pStyle w:val="JuList"/>
      </w:pPr>
      <w:r>
        <w:rPr>
          <w:i/>
        </w:rPr>
        <w:t>orzeka</w:t>
      </w:r>
      <w:r>
        <w:t>, że nie ma potrzeby badania dopuszczalności i przedmiotu skarg na podstawie art. 13 i art. 18 w związku z art. 6 i art. 8 Konwencji;</w:t>
      </w:r>
    </w:p>
    <w:p w14:paraId="6D71FD5A" w14:textId="77777777" w:rsidR="000410B4" w:rsidRPr="00D637A7" w:rsidRDefault="008E2D0D" w:rsidP="00D637A7">
      <w:pPr>
        <w:pStyle w:val="JuList"/>
      </w:pPr>
      <w:r>
        <w:rPr>
          <w:i/>
        </w:rPr>
        <w:t>orzeka</w:t>
      </w:r>
      <w:r>
        <w:t>, że powyższe naruszenia art. 6 ust. 1 Konwencji miały swoje źródło w powiązanych ze sobą wzajemnie problemach systemowych dotyczących nieprawidłowego funkcjonowania ustawodawstwa krajowego i praktyki krajowej, spowodowanych przez:</w:t>
      </w:r>
    </w:p>
    <w:p w14:paraId="4911514B" w14:textId="77777777" w:rsidR="000410B4" w:rsidRPr="00D637A7" w:rsidRDefault="008E2D0D" w:rsidP="00D637A7">
      <w:pPr>
        <w:pStyle w:val="JuLista"/>
      </w:pPr>
      <w:r>
        <w:t xml:space="preserve"> wadliwą procedurę powoływania sędziów przy udziale Krajowej Rady Sądownictwa ukształtowanej na mocy ustawy zmieniającej z 2017 r;</w:t>
      </w:r>
    </w:p>
    <w:p w14:paraId="38687DCB" w14:textId="77777777" w:rsidR="000410B4" w:rsidRPr="00D637A7" w:rsidRDefault="008E2D0D" w:rsidP="00D637A7">
      <w:pPr>
        <w:pStyle w:val="JuLista"/>
      </w:pPr>
      <w:r>
        <w:t>wynikający z tego brak niezależności Izby Kontroli Nadzwyczajnej i Spraw Publicznych Sądu Najwyższego;</w:t>
      </w:r>
    </w:p>
    <w:p w14:paraId="1BAE9C88" w14:textId="77777777" w:rsidR="000410B4" w:rsidRPr="00D637A7" w:rsidRDefault="008E2D0D" w:rsidP="00D637A7">
      <w:pPr>
        <w:pStyle w:val="JuLista"/>
      </w:pPr>
      <w:r>
        <w:t xml:space="preserve">wyłączną kompetencję Izby Kontroli Nadzwyczajnej i Spraw Publicznych Sądu Najwyższego do rozpoznawania spraw </w:t>
      </w:r>
      <w:r>
        <w:lastRenderedPageBreak/>
        <w:t>obejmujących zarzut braku niezawisłości sędziego lub braku niezależności sądu;</w:t>
      </w:r>
    </w:p>
    <w:p w14:paraId="14B7C156" w14:textId="2DD12103" w:rsidR="000410B4" w:rsidRPr="00D637A7" w:rsidRDefault="008E2D0D" w:rsidP="00D637A7">
      <w:pPr>
        <w:pStyle w:val="JuLista"/>
      </w:pPr>
      <w:r>
        <w:t>wady procedury skargi nadzwyczajnej stwierdzone w par</w:t>
      </w:r>
      <w:r w:rsidR="00AC57ED">
        <w:t>agrafach</w:t>
      </w:r>
      <w:r>
        <w:t> 228-239 i 323 lit. c niniejszego wyroku;</w:t>
      </w:r>
    </w:p>
    <w:p w14:paraId="6880AEFF" w14:textId="77777777" w:rsidR="000410B4" w:rsidRPr="00D637A7" w:rsidRDefault="008E2D0D" w:rsidP="00D637A7">
      <w:pPr>
        <w:pStyle w:val="JuLista"/>
      </w:pPr>
      <w:r>
        <w:t>wyłączną kompetencję Izby Kontroli Nadzwyczajnej i Spraw Publicznych Sądu Najwyższego do rozpoznawania skarg nadzwyczajnych;</w:t>
      </w:r>
    </w:p>
    <w:p w14:paraId="2BC653AA" w14:textId="77777777" w:rsidR="000410B4" w:rsidRPr="00D637A7" w:rsidRDefault="008E2D0D" w:rsidP="00D637A7">
      <w:pPr>
        <w:pStyle w:val="JuList"/>
      </w:pPr>
      <w:r>
        <w:rPr>
          <w:i/>
        </w:rPr>
        <w:t>orzeka</w:t>
      </w:r>
      <w:r>
        <w:t>, że aby położyć kres systemowym naruszeniom art. 6 ust. 1 Konwencji stwierdzonym w niniejszej sprawie, pozwane państwo musi zastosować odpowiednie środki ustawodawcze i inne w celu zapewnienia w swoim wewnętrznym porządku prawnym zgodności z wymogami „niezawisłego i bezstronnego sądu ustanowionego ustawą” oraz z zasadą pewności prawa gwarantowaną tym postanowieniem;</w:t>
      </w:r>
    </w:p>
    <w:p w14:paraId="7284713A" w14:textId="77777777" w:rsidR="000410B4" w:rsidRPr="00D637A7" w:rsidRDefault="008E2D0D" w:rsidP="00D637A7">
      <w:pPr>
        <w:pStyle w:val="JuList"/>
      </w:pPr>
      <w:r>
        <w:rPr>
          <w:i/>
        </w:rPr>
        <w:t>orzeka,</w:t>
      </w:r>
    </w:p>
    <w:p w14:paraId="5DF8C16B" w14:textId="10E9529D" w:rsidR="000410B4" w:rsidRPr="00D637A7" w:rsidRDefault="008E2D0D" w:rsidP="00D637A7">
      <w:pPr>
        <w:pStyle w:val="JuLista"/>
      </w:pPr>
      <w:r>
        <w:t xml:space="preserve">że pozwane państwo winno, w terminie trzech miesięcy od daty, w której niniejszy wyrok stanie się ostateczny zgodnie z art. 44 ust. 2 Konwencji, uiścić na rzecz skarżącego kwotę 30 000 EUR (trzydzieści tysięcy euro), przeliczoną na walutę pozwanego państwa według kursu obowiązującego w dniu płatności, </w:t>
      </w:r>
      <w:r w:rsidR="00490061">
        <w:t>powiększoną o</w:t>
      </w:r>
      <w:r>
        <w:t xml:space="preserve"> wszelkie należne podatki, tytułem zadośćuczynienia za szkodę niemajątkową;</w:t>
      </w:r>
    </w:p>
    <w:p w14:paraId="2B210FBF" w14:textId="77777777" w:rsidR="000410B4" w:rsidRPr="00D637A7" w:rsidRDefault="008E2D0D" w:rsidP="00D637A7">
      <w:pPr>
        <w:pStyle w:val="JuLista"/>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2E65DF1D" w14:textId="77777777" w:rsidR="004D0EC7" w:rsidRPr="00D637A7" w:rsidRDefault="008E2D0D" w:rsidP="00D637A7">
      <w:pPr>
        <w:pStyle w:val="JuList"/>
      </w:pPr>
      <w:r>
        <w:rPr>
          <w:i/>
        </w:rPr>
        <w:t>oddala</w:t>
      </w:r>
      <w:r>
        <w:t xml:space="preserve"> pozostałą część roszczenia skarżącego o słuszne zadośćuczynienie.</w:t>
      </w:r>
    </w:p>
    <w:p w14:paraId="152D3561" w14:textId="77777777" w:rsidR="008E3A08" w:rsidRPr="00D637A7" w:rsidRDefault="008E2D0D" w:rsidP="00D637A7">
      <w:pPr>
        <w:pStyle w:val="JuParaLast"/>
      </w:pPr>
      <w:r>
        <w:t xml:space="preserve">Sporządzono w języku angielskim i notyfikowano na piśmie w dniu </w:t>
      </w:r>
      <w:r>
        <w:rPr>
          <w:rFonts w:ascii="Times New Roman" w:hAnsi="Times New Roman"/>
        </w:rPr>
        <w:t>23 listopada 2023 </w:t>
      </w:r>
      <w:r>
        <w:t>r., zgodnie z Regułą 77 §§ 2 i 3 Regulaminu Trybunału.</w:t>
      </w:r>
    </w:p>
    <w:p w14:paraId="0265758D" w14:textId="77777777" w:rsidR="007E79A4" w:rsidRPr="00D637A7" w:rsidRDefault="008E2D0D" w:rsidP="00D637A7">
      <w:pPr>
        <w:pStyle w:val="ECHRPlaceholder"/>
        <w:keepNext/>
        <w:keepLines/>
        <w:rPr>
          <w:szCs w:val="22"/>
        </w:rPr>
      </w:pPr>
      <w:r>
        <w:tab/>
      </w:r>
    </w:p>
    <w:p w14:paraId="095B5541" w14:textId="77777777" w:rsidR="007E79A4" w:rsidRPr="00D637A7" w:rsidRDefault="008E2D0D" w:rsidP="00D637A7">
      <w:pPr>
        <w:pStyle w:val="JuSigned"/>
        <w:keepNext/>
        <w:keepLines/>
      </w:pPr>
      <w:r>
        <w:tab/>
        <w:t>Renata Degener</w:t>
      </w:r>
      <w:r>
        <w:tab/>
        <w:t>Marko Bošnjak</w:t>
      </w:r>
      <w:r>
        <w:br/>
      </w:r>
      <w:r>
        <w:tab/>
        <w:t>Kanclerz</w:t>
      </w:r>
      <w:r>
        <w:tab/>
        <w:t>Przewodniczący</w:t>
      </w:r>
    </w:p>
    <w:p w14:paraId="0FE2467B" w14:textId="77777777" w:rsidR="002936FD" w:rsidRPr="00D637A7" w:rsidRDefault="002936FD" w:rsidP="00D637A7">
      <w:pPr>
        <w:pStyle w:val="JuPara"/>
      </w:pPr>
    </w:p>
    <w:sectPr w:rsidR="002936FD" w:rsidRPr="00D637A7" w:rsidSect="00672A86">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059C9" w14:textId="77777777" w:rsidR="00C50BA4" w:rsidRDefault="00C50BA4">
      <w:r>
        <w:separator/>
      </w:r>
    </w:p>
  </w:endnote>
  <w:endnote w:type="continuationSeparator" w:id="0">
    <w:p w14:paraId="52A6125F" w14:textId="77777777" w:rsidR="00C50BA4" w:rsidRDefault="00C5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7D3F9" w14:textId="77777777" w:rsidR="00330666" w:rsidRPr="00150BFA" w:rsidRDefault="00330666" w:rsidP="0020718E">
    <w:pPr>
      <w:jc w:val="center"/>
    </w:pPr>
    <w:r>
      <w:rPr>
        <w:noProof/>
      </w:rPr>
      <w:drawing>
        <wp:inline distT="0" distB="0" distL="0" distR="0" wp14:anchorId="0B8A3068" wp14:editId="4F6FCE89">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5F8BA550" w14:textId="77777777" w:rsidR="00330666" w:rsidRPr="00E67565" w:rsidRDefault="00330666"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D1E49" w14:textId="77777777" w:rsidR="00330666" w:rsidRPr="00150BFA" w:rsidRDefault="00330666" w:rsidP="0020718E">
    <w:pPr>
      <w:jc w:val="center"/>
    </w:pPr>
    <w:r>
      <w:rPr>
        <w:noProof/>
      </w:rPr>
      <w:drawing>
        <wp:inline distT="0" distB="0" distL="0" distR="0" wp14:anchorId="1E26637A" wp14:editId="41C3086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2E6F9E01" w14:textId="77777777" w:rsidR="00330666" w:rsidRPr="00E67565" w:rsidRDefault="00330666"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61B77" w14:textId="77777777" w:rsidR="00330666" w:rsidRDefault="00330666"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1</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0CBB4" w14:textId="77777777" w:rsidR="00330666" w:rsidRPr="000B7195" w:rsidRDefault="00330666" w:rsidP="007D3701">
    <w:pPr>
      <w:pStyle w:val="JuHead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E703D" w14:textId="77777777" w:rsidR="00C50BA4" w:rsidRPr="00E67565" w:rsidRDefault="00C50BA4" w:rsidP="0098410D">
      <w:r w:rsidRPr="00E67565">
        <w:separator/>
      </w:r>
    </w:p>
  </w:footnote>
  <w:footnote w:type="continuationSeparator" w:id="0">
    <w:p w14:paraId="3889E25F" w14:textId="77777777" w:rsidR="00C50BA4" w:rsidRPr="00E67565" w:rsidRDefault="00C50BA4" w:rsidP="0098410D">
      <w:r w:rsidRPr="00E67565">
        <w:continuationSeparator/>
      </w:r>
    </w:p>
  </w:footnote>
  <w:footnote w:id="1">
    <w:p w14:paraId="72252888" w14:textId="77777777" w:rsidR="00330666" w:rsidRDefault="00330666" w:rsidP="000410B4">
      <w:pPr>
        <w:pStyle w:val="Tekstprzypisudolnego"/>
      </w:pPr>
      <w:r>
        <w:rPr>
          <w:rStyle w:val="Odwoanieprzypisudolnego"/>
        </w:rPr>
        <w:footnoteRef/>
      </w:r>
      <w:r>
        <w:rPr>
          <w:rStyle w:val="Odwoanieprzypisudolnego"/>
        </w:rPr>
        <w:t xml:space="preserve"> </w:t>
      </w:r>
      <w:r>
        <w:t>https://www.prezydent.pl</w:t>
      </w:r>
    </w:p>
  </w:footnote>
  <w:footnote w:id="2">
    <w:p w14:paraId="1690EB8F" w14:textId="77777777" w:rsidR="00330666" w:rsidRPr="00582B5C" w:rsidRDefault="00330666" w:rsidP="000410B4">
      <w:pPr>
        <w:pStyle w:val="Tekstprzypisudolnego"/>
      </w:pPr>
      <w:r>
        <w:rPr>
          <w:rStyle w:val="Odwoanieprzypisudolnego"/>
        </w:rPr>
        <w:footnoteRef/>
      </w:r>
      <w:r>
        <w:rPr>
          <w:rStyle w:val="Odwoanieprzypisudolnego"/>
        </w:rPr>
        <w:t xml:space="preserve"> </w:t>
      </w:r>
      <w:r>
        <w:t>Pałac Belwederski jest jedną z oficjalnych rezydencji polskich prezydentów.</w:t>
      </w:r>
    </w:p>
  </w:footnote>
  <w:footnote w:id="3">
    <w:p w14:paraId="50A9940E" w14:textId="77777777" w:rsidR="00330666" w:rsidRPr="00582B5C" w:rsidRDefault="00330666" w:rsidP="000410B4">
      <w:pPr>
        <w:pStyle w:val="Tekstprzypisudolnego"/>
      </w:pPr>
      <w:r>
        <w:rPr>
          <w:rStyle w:val="Odwoanieprzypisudolnego"/>
        </w:rPr>
        <w:footnoteRef/>
      </w:r>
      <w:r>
        <w:rPr>
          <w:rStyle w:val="Odwoanieprzypisudolnego"/>
        </w:rPr>
        <w:t xml:space="preserve"> </w:t>
      </w:r>
      <w:r>
        <w:t xml:space="preserve">Szczegółowy opis postępowania do tego etapu można znaleźć w opisie okoliczności faktycznych w sprawie </w:t>
      </w:r>
      <w:r>
        <w:rPr>
          <w:i/>
          <w:iCs/>
        </w:rPr>
        <w:t xml:space="preserve">Wyszkowski przeciwko Polsce </w:t>
      </w:r>
      <w:r>
        <w:t>(komunikat z dnia 11 marca 2019 r.), skarga nr 34282/12, §§ 2-33, https://hudoc.echr.coe.int/eng?i=001-192357.</w:t>
      </w:r>
    </w:p>
  </w:footnote>
  <w:footnote w:id="4">
    <w:p w14:paraId="14A1C564" w14:textId="77777777" w:rsidR="00330666" w:rsidRPr="00582B5C" w:rsidRDefault="00330666" w:rsidP="000410B4">
      <w:pPr>
        <w:pStyle w:val="Tekstprzypisudolnego"/>
        <w:rPr>
          <w:i/>
          <w:iCs/>
        </w:rPr>
      </w:pPr>
      <w:r>
        <w:rPr>
          <w:rStyle w:val="Odwoanieprzypisudolnego"/>
        </w:rPr>
        <w:footnoteRef/>
      </w:r>
      <w:r>
        <w:rPr>
          <w:rStyle w:val="Odwoanieprzypisudolnego"/>
        </w:rPr>
        <w:t xml:space="preserve"> </w:t>
      </w:r>
      <w:r>
        <w:t xml:space="preserve">Zobacz </w:t>
      </w:r>
      <w:r>
        <w:rPr>
          <w:i/>
          <w:iCs/>
        </w:rPr>
        <w:t>Wyszkowski przeciwko Polsce</w:t>
      </w:r>
      <w:r>
        <w:t xml:space="preserve"> (decyzja Komitetu)</w:t>
      </w:r>
      <w:r>
        <w:rPr>
          <w:i/>
          <w:iCs/>
        </w:rPr>
        <w:t xml:space="preserve">, </w:t>
      </w:r>
      <w:r>
        <w:t>skarga nr 34282/12, 1 lipca 2021 r.,</w:t>
      </w:r>
      <w:r>
        <w:rPr>
          <w:i/>
          <w:iCs/>
        </w:rPr>
        <w:t xml:space="preserve"> </w:t>
      </w:r>
      <w:hyperlink r:id="rId1" w:history="1">
        <w:r>
          <w:rPr>
            <w:rStyle w:val="Hipercze"/>
          </w:rPr>
          <w:t>https://hudoc.echr.coe.int/eng?i=001-211514</w:t>
        </w:r>
      </w:hyperlink>
      <w:r>
        <w:t xml:space="preserve"> .</w:t>
      </w:r>
      <w:r>
        <w:rPr>
          <w:i/>
          <w:iCs/>
        </w:rPr>
        <w:t xml:space="preserve"> </w:t>
      </w:r>
    </w:p>
  </w:footnote>
  <w:footnote w:id="5">
    <w:p w14:paraId="1D1E3AD0" w14:textId="2BE91413" w:rsidR="00330666" w:rsidRPr="00582B5C" w:rsidRDefault="00330666" w:rsidP="000410B4">
      <w:pPr>
        <w:pStyle w:val="Tekstprzypisudolnego"/>
      </w:pPr>
      <w:r>
        <w:rPr>
          <w:rStyle w:val="Odwoanieprzypisudolnego"/>
        </w:rPr>
        <w:footnoteRef/>
      </w:r>
      <w:r>
        <w:rPr>
          <w:rStyle w:val="Odwoanieprzypisudolnego"/>
        </w:rPr>
        <w:t xml:space="preserve"> </w:t>
      </w:r>
      <w:r w:rsidR="00E40AE2">
        <w:t>Par</w:t>
      </w:r>
      <w:r w:rsidR="00AC57ED">
        <w:t>agrafy</w:t>
      </w:r>
      <w:r>
        <w:t xml:space="preserve"> 2-6 dodano ustawą zmieniającą z 2019 r.</w:t>
      </w:r>
    </w:p>
  </w:footnote>
  <w:footnote w:id="6">
    <w:p w14:paraId="2BC2FADB" w14:textId="77777777" w:rsidR="00330666" w:rsidRPr="00582B5C" w:rsidRDefault="00330666" w:rsidP="000410B4">
      <w:pPr>
        <w:pStyle w:val="Tekstprzypisudolnego"/>
      </w:pPr>
      <w:r>
        <w:rPr>
          <w:rStyle w:val="Odwoanieprzypisudolnego"/>
        </w:rPr>
        <w:footnoteRef/>
      </w:r>
      <w:r>
        <w:rPr>
          <w:rStyle w:val="Odwoanieprzypisudolnego"/>
        </w:rPr>
        <w:t xml:space="preserve"> </w:t>
      </w:r>
      <w:r>
        <w:t>Data wejścia w życie Konstytucji Rzeczypospolitej Polskiej, przyjętej przez Zgromadzenie Narodowe dnia 2 kwietnia 1997 r.</w:t>
      </w:r>
    </w:p>
  </w:footnote>
  <w:footnote w:id="7">
    <w:p w14:paraId="721E6D5C" w14:textId="77777777" w:rsidR="00330666" w:rsidRPr="00582B5C" w:rsidRDefault="00330666" w:rsidP="000410B4">
      <w:pPr>
        <w:pStyle w:val="Tekstprzypisudolnego"/>
      </w:pPr>
      <w:r>
        <w:rPr>
          <w:rStyle w:val="Odwoanieprzypisudolnego"/>
        </w:rPr>
        <w:footnoteRef/>
      </w:r>
      <w:r>
        <w:rPr>
          <w:rStyle w:val="Odwoanieprzypisudolnego"/>
        </w:rPr>
        <w:t xml:space="preserve"> </w:t>
      </w:r>
      <w:r>
        <w:t xml:space="preserve">Zdania odrębne do uchwały zgłosiło sześcioro sędziów.  </w:t>
      </w:r>
    </w:p>
  </w:footnote>
  <w:footnote w:id="8">
    <w:p w14:paraId="14565F68" w14:textId="77777777" w:rsidR="00330666" w:rsidRPr="00582B5C" w:rsidRDefault="00330666" w:rsidP="000410B4">
      <w:pPr>
        <w:pStyle w:val="Tekstprzypisudolnego"/>
      </w:pPr>
      <w:r>
        <w:rPr>
          <w:rStyle w:val="Odwoanieprzypisudolnego"/>
        </w:rPr>
        <w:footnoteRef/>
      </w:r>
      <w:r>
        <w:rPr>
          <w:rStyle w:val="Odwoanieprzypisudolnego"/>
        </w:rPr>
        <w:t xml:space="preserve"> </w:t>
      </w:r>
      <w:r>
        <w:t xml:space="preserve">Tłumaczenie [mowa o tłum. z j. pol. na j. ang.] oparte jest na angielskiej wersji wyroku opublikowanej w witrynie internetowej Sądu Najwyższego, z redakcją dokonaną przez Kancelarię Trybunału. [Tekst polski cytatu według oryginalnego tekstu polskiego]. </w:t>
      </w:r>
    </w:p>
  </w:footnote>
  <w:footnote w:id="9">
    <w:p w14:paraId="5096CB5B" w14:textId="77777777" w:rsidR="00330666" w:rsidRPr="00582B5C" w:rsidRDefault="00330666" w:rsidP="000410B4">
      <w:pPr>
        <w:pStyle w:val="Tekstprzypisudolnego"/>
      </w:pPr>
      <w:r>
        <w:rPr>
          <w:rStyle w:val="Odwoanieprzypisudolnego"/>
        </w:rPr>
        <w:footnoteRef/>
      </w:r>
      <w:r>
        <w:rPr>
          <w:rStyle w:val="Odwoanieprzypisudolnego"/>
        </w:rPr>
        <w:t xml:space="preserve"> </w:t>
      </w:r>
      <w:r>
        <w:t xml:space="preserve">W sprawie </w:t>
      </w:r>
      <w:r>
        <w:rPr>
          <w:i/>
          <w:iCs/>
        </w:rPr>
        <w:t>Xero Flor w Polsce sp. z o.o. przeciwko Polsce</w:t>
      </w:r>
      <w:r>
        <w:t xml:space="preserve"> (skarga nr 4907/18, §§ 19, 58</w:t>
      </w:r>
      <w:r>
        <w:noBreakHyphen/>
        <w:t>61, 96, 106, 174, 256, 259, 261</w:t>
      </w:r>
      <w:r>
        <w:noBreakHyphen/>
        <w:t>262 i 271</w:t>
      </w:r>
      <w:r>
        <w:noBreakHyphen/>
        <w:t>291, 7 maja 2021 r.) zastosowano inicjały „M.M.”.</w:t>
      </w:r>
    </w:p>
    <w:p w14:paraId="44045333" w14:textId="77777777" w:rsidR="00330666" w:rsidRPr="00582B5C" w:rsidRDefault="00330666" w:rsidP="000410B4">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4493C" w14:textId="77777777" w:rsidR="00330666" w:rsidRPr="00A45145" w:rsidRDefault="00330666" w:rsidP="00A45145">
    <w:pPr>
      <w:jc w:val="center"/>
    </w:pPr>
    <w:r>
      <w:rPr>
        <w:noProof/>
      </w:rPr>
      <w:drawing>
        <wp:inline distT="0" distB="0" distL="0" distR="0" wp14:anchorId="35085491" wp14:editId="1BA106A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F2A2BC8" w14:textId="77777777" w:rsidR="00330666" w:rsidRPr="00E67565" w:rsidRDefault="00330666"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02FBA" w14:textId="77777777" w:rsidR="00330666" w:rsidRPr="00A45145" w:rsidRDefault="00330666" w:rsidP="00A45145">
    <w:pPr>
      <w:jc w:val="center"/>
    </w:pPr>
    <w:r>
      <w:rPr>
        <w:noProof/>
      </w:rPr>
      <w:drawing>
        <wp:inline distT="0" distB="0" distL="0" distR="0" wp14:anchorId="0F5345EC" wp14:editId="08AE34A5">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7113CB0F" w14:textId="77777777" w:rsidR="00330666" w:rsidRPr="00E67565" w:rsidRDefault="0033066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A99E6" w14:textId="77777777" w:rsidR="00330666" w:rsidRPr="004D0EC7" w:rsidRDefault="00330666" w:rsidP="004D0EC7">
    <w:pPr>
      <w:pStyle w:val="JuHeader"/>
    </w:pPr>
    <w:r>
      <w:t>WYROK WAŁĘSA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A3066" w14:textId="77777777" w:rsidR="00330666" w:rsidRPr="00882CD5" w:rsidRDefault="00330666" w:rsidP="007D3701">
    <w:pPr>
      <w:pStyle w:val="JuHeader"/>
    </w:pPr>
    <w:r>
      <w:t>WYROK WAŁĘSA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4A71BD4"/>
    <w:multiLevelType w:val="hybridMultilevel"/>
    <w:tmpl w:val="9F6EB45E"/>
    <w:lvl w:ilvl="0" w:tplc="47F4D95C">
      <w:start w:val="1"/>
      <w:numFmt w:val="upperRoman"/>
      <w:lvlText w:val="%1."/>
      <w:lvlJc w:val="right"/>
      <w:pPr>
        <w:ind w:left="720" w:hanging="360"/>
      </w:pPr>
      <w:rPr>
        <w:b/>
        <w:bCs/>
        <w:i/>
        <w:iCs/>
      </w:rPr>
    </w:lvl>
    <w:lvl w:ilvl="1" w:tplc="26ACFF92" w:tentative="1">
      <w:start w:val="1"/>
      <w:numFmt w:val="lowerLetter"/>
      <w:lvlText w:val="%2."/>
      <w:lvlJc w:val="left"/>
      <w:pPr>
        <w:ind w:left="1440" w:hanging="360"/>
      </w:pPr>
    </w:lvl>
    <w:lvl w:ilvl="2" w:tplc="46905F0E" w:tentative="1">
      <w:start w:val="1"/>
      <w:numFmt w:val="lowerRoman"/>
      <w:lvlText w:val="%3."/>
      <w:lvlJc w:val="right"/>
      <w:pPr>
        <w:ind w:left="2160" w:hanging="180"/>
      </w:pPr>
    </w:lvl>
    <w:lvl w:ilvl="3" w:tplc="24F2B2B4" w:tentative="1">
      <w:start w:val="1"/>
      <w:numFmt w:val="decimal"/>
      <w:lvlText w:val="%4."/>
      <w:lvlJc w:val="left"/>
      <w:pPr>
        <w:ind w:left="2880" w:hanging="360"/>
      </w:pPr>
    </w:lvl>
    <w:lvl w:ilvl="4" w:tplc="48462FAA" w:tentative="1">
      <w:start w:val="1"/>
      <w:numFmt w:val="lowerLetter"/>
      <w:lvlText w:val="%5."/>
      <w:lvlJc w:val="left"/>
      <w:pPr>
        <w:ind w:left="3600" w:hanging="360"/>
      </w:pPr>
    </w:lvl>
    <w:lvl w:ilvl="5" w:tplc="0E2ACB28" w:tentative="1">
      <w:start w:val="1"/>
      <w:numFmt w:val="lowerRoman"/>
      <w:lvlText w:val="%6."/>
      <w:lvlJc w:val="right"/>
      <w:pPr>
        <w:ind w:left="4320" w:hanging="180"/>
      </w:pPr>
    </w:lvl>
    <w:lvl w:ilvl="6" w:tplc="4FFAA7C4" w:tentative="1">
      <w:start w:val="1"/>
      <w:numFmt w:val="decimal"/>
      <w:lvlText w:val="%7."/>
      <w:lvlJc w:val="left"/>
      <w:pPr>
        <w:ind w:left="5040" w:hanging="360"/>
      </w:pPr>
    </w:lvl>
    <w:lvl w:ilvl="7" w:tplc="953A5104" w:tentative="1">
      <w:start w:val="1"/>
      <w:numFmt w:val="lowerLetter"/>
      <w:lvlText w:val="%8."/>
      <w:lvlJc w:val="left"/>
      <w:pPr>
        <w:ind w:left="5760" w:hanging="360"/>
      </w:pPr>
    </w:lvl>
    <w:lvl w:ilvl="8" w:tplc="65388656" w:tentative="1">
      <w:start w:val="1"/>
      <w:numFmt w:val="lowerRoman"/>
      <w:lvlText w:val="%9."/>
      <w:lvlJc w:val="right"/>
      <w:pPr>
        <w:ind w:left="6480" w:hanging="180"/>
      </w:p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67FD1241"/>
    <w:multiLevelType w:val="hybridMultilevel"/>
    <w:tmpl w:val="F6D86CC2"/>
    <w:lvl w:ilvl="0" w:tplc="91701662">
      <w:start w:val="1"/>
      <w:numFmt w:val="bullet"/>
      <w:pStyle w:val="Listapunktowana"/>
      <w:lvlText w:val=""/>
      <w:lvlJc w:val="left"/>
      <w:pPr>
        <w:tabs>
          <w:tab w:val="num" w:pos="851"/>
        </w:tabs>
        <w:ind w:left="568" w:firstLine="0"/>
      </w:pPr>
      <w:rPr>
        <w:rFonts w:ascii="Wingdings" w:hAnsi="Wingdings" w:hint="default"/>
        <w:color w:val="808080"/>
        <w:sz w:val="16"/>
      </w:rPr>
    </w:lvl>
    <w:lvl w:ilvl="1" w:tplc="2A2E9062" w:tentative="1">
      <w:start w:val="1"/>
      <w:numFmt w:val="bullet"/>
      <w:lvlText w:val="o"/>
      <w:lvlJc w:val="left"/>
      <w:pPr>
        <w:tabs>
          <w:tab w:val="num" w:pos="1724"/>
        </w:tabs>
        <w:ind w:left="1724" w:hanging="360"/>
      </w:pPr>
      <w:rPr>
        <w:rFonts w:ascii="Courier New" w:hAnsi="Courier New" w:cs="Courier New" w:hint="default"/>
      </w:rPr>
    </w:lvl>
    <w:lvl w:ilvl="2" w:tplc="A8B01940" w:tentative="1">
      <w:start w:val="1"/>
      <w:numFmt w:val="bullet"/>
      <w:lvlText w:val=""/>
      <w:lvlJc w:val="left"/>
      <w:pPr>
        <w:tabs>
          <w:tab w:val="num" w:pos="2444"/>
        </w:tabs>
        <w:ind w:left="2444" w:hanging="360"/>
      </w:pPr>
      <w:rPr>
        <w:rFonts w:ascii="Wingdings" w:hAnsi="Wingdings" w:hint="default"/>
      </w:rPr>
    </w:lvl>
    <w:lvl w:ilvl="3" w:tplc="139CA0E0" w:tentative="1">
      <w:start w:val="1"/>
      <w:numFmt w:val="bullet"/>
      <w:lvlText w:val=""/>
      <w:lvlJc w:val="left"/>
      <w:pPr>
        <w:tabs>
          <w:tab w:val="num" w:pos="3164"/>
        </w:tabs>
        <w:ind w:left="3164" w:hanging="360"/>
      </w:pPr>
      <w:rPr>
        <w:rFonts w:ascii="Symbol" w:hAnsi="Symbol" w:hint="default"/>
      </w:rPr>
    </w:lvl>
    <w:lvl w:ilvl="4" w:tplc="4170EDA6" w:tentative="1">
      <w:start w:val="1"/>
      <w:numFmt w:val="bullet"/>
      <w:lvlText w:val="o"/>
      <w:lvlJc w:val="left"/>
      <w:pPr>
        <w:tabs>
          <w:tab w:val="num" w:pos="3884"/>
        </w:tabs>
        <w:ind w:left="3884" w:hanging="360"/>
      </w:pPr>
      <w:rPr>
        <w:rFonts w:ascii="Courier New" w:hAnsi="Courier New" w:cs="Courier New" w:hint="default"/>
      </w:rPr>
    </w:lvl>
    <w:lvl w:ilvl="5" w:tplc="9D821CB0" w:tentative="1">
      <w:start w:val="1"/>
      <w:numFmt w:val="bullet"/>
      <w:lvlText w:val=""/>
      <w:lvlJc w:val="left"/>
      <w:pPr>
        <w:tabs>
          <w:tab w:val="num" w:pos="4604"/>
        </w:tabs>
        <w:ind w:left="4604" w:hanging="360"/>
      </w:pPr>
      <w:rPr>
        <w:rFonts w:ascii="Wingdings" w:hAnsi="Wingdings" w:hint="default"/>
      </w:rPr>
    </w:lvl>
    <w:lvl w:ilvl="6" w:tplc="D1428C84" w:tentative="1">
      <w:start w:val="1"/>
      <w:numFmt w:val="bullet"/>
      <w:lvlText w:val=""/>
      <w:lvlJc w:val="left"/>
      <w:pPr>
        <w:tabs>
          <w:tab w:val="num" w:pos="5324"/>
        </w:tabs>
        <w:ind w:left="5324" w:hanging="360"/>
      </w:pPr>
      <w:rPr>
        <w:rFonts w:ascii="Symbol" w:hAnsi="Symbol" w:hint="default"/>
      </w:rPr>
    </w:lvl>
    <w:lvl w:ilvl="7" w:tplc="1360BF22" w:tentative="1">
      <w:start w:val="1"/>
      <w:numFmt w:val="bullet"/>
      <w:lvlText w:val="o"/>
      <w:lvlJc w:val="left"/>
      <w:pPr>
        <w:tabs>
          <w:tab w:val="num" w:pos="6044"/>
        </w:tabs>
        <w:ind w:left="6044" w:hanging="360"/>
      </w:pPr>
      <w:rPr>
        <w:rFonts w:ascii="Courier New" w:hAnsi="Courier New" w:cs="Courier New" w:hint="default"/>
      </w:rPr>
    </w:lvl>
    <w:lvl w:ilvl="8" w:tplc="330E2300"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738599637">
    <w:abstractNumId w:val="15"/>
  </w:num>
  <w:num w:numId="2" w16cid:durableId="254093742">
    <w:abstractNumId w:val="12"/>
  </w:num>
  <w:num w:numId="3" w16cid:durableId="445395039">
    <w:abstractNumId w:val="11"/>
  </w:num>
  <w:num w:numId="4" w16cid:durableId="1947419867">
    <w:abstractNumId w:val="16"/>
  </w:num>
  <w:num w:numId="5" w16cid:durableId="1116828503">
    <w:abstractNumId w:val="13"/>
  </w:num>
  <w:num w:numId="6" w16cid:durableId="2062435073">
    <w:abstractNumId w:val="17"/>
  </w:num>
  <w:num w:numId="7" w16cid:durableId="434904844">
    <w:abstractNumId w:val="16"/>
  </w:num>
  <w:num w:numId="8" w16cid:durableId="1315643971">
    <w:abstractNumId w:val="17"/>
  </w:num>
  <w:num w:numId="9" w16cid:durableId="1806968130">
    <w:abstractNumId w:val="10"/>
  </w:num>
  <w:num w:numId="10" w16cid:durableId="1617056348">
    <w:abstractNumId w:val="9"/>
  </w:num>
  <w:num w:numId="11" w16cid:durableId="691687887">
    <w:abstractNumId w:val="18"/>
  </w:num>
  <w:num w:numId="12" w16cid:durableId="377124732">
    <w:abstractNumId w:val="7"/>
  </w:num>
  <w:num w:numId="13" w16cid:durableId="433675263">
    <w:abstractNumId w:val="6"/>
  </w:num>
  <w:num w:numId="14" w16cid:durableId="1965962347">
    <w:abstractNumId w:val="5"/>
  </w:num>
  <w:num w:numId="15" w16cid:durableId="1466315894">
    <w:abstractNumId w:val="4"/>
  </w:num>
  <w:num w:numId="16" w16cid:durableId="669869462">
    <w:abstractNumId w:val="8"/>
  </w:num>
  <w:num w:numId="17" w16cid:durableId="295380847">
    <w:abstractNumId w:val="3"/>
  </w:num>
  <w:num w:numId="18" w16cid:durableId="1388797962">
    <w:abstractNumId w:val="2"/>
  </w:num>
  <w:num w:numId="19" w16cid:durableId="1875147188">
    <w:abstractNumId w:val="1"/>
  </w:num>
  <w:num w:numId="20" w16cid:durableId="1624650780">
    <w:abstractNumId w:val="0"/>
  </w:num>
  <w:num w:numId="21" w16cid:durableId="308752761">
    <w:abstractNumId w:val="19"/>
  </w:num>
  <w:num w:numId="22" w16cid:durableId="17564397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431190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503536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34341014">
    <w:abstractNumId w:val="14"/>
  </w:num>
  <w:num w:numId="26" w16cid:durableId="1597715091">
    <w:abstractNumId w:val="10"/>
  </w:num>
  <w:num w:numId="27" w16cid:durableId="1038942221">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0410B4"/>
    <w:rsid w:val="000041F8"/>
    <w:rsid w:val="000042A8"/>
    <w:rsid w:val="00004308"/>
    <w:rsid w:val="00005BF0"/>
    <w:rsid w:val="0000617D"/>
    <w:rsid w:val="00007154"/>
    <w:rsid w:val="000103AE"/>
    <w:rsid w:val="000109D5"/>
    <w:rsid w:val="000119DE"/>
    <w:rsid w:val="00011D69"/>
    <w:rsid w:val="00012AD3"/>
    <w:rsid w:val="00014EAB"/>
    <w:rsid w:val="00015C2D"/>
    <w:rsid w:val="00015F00"/>
    <w:rsid w:val="00022C1D"/>
    <w:rsid w:val="0002592F"/>
    <w:rsid w:val="00025A20"/>
    <w:rsid w:val="00031428"/>
    <w:rsid w:val="00034987"/>
    <w:rsid w:val="000410B4"/>
    <w:rsid w:val="00041560"/>
    <w:rsid w:val="00044602"/>
    <w:rsid w:val="000602DF"/>
    <w:rsid w:val="00061B05"/>
    <w:rsid w:val="000632D5"/>
    <w:rsid w:val="000644EE"/>
    <w:rsid w:val="00070409"/>
    <w:rsid w:val="000712E3"/>
    <w:rsid w:val="0007167E"/>
    <w:rsid w:val="000761E1"/>
    <w:rsid w:val="00077540"/>
    <w:rsid w:val="0007780A"/>
    <w:rsid w:val="00083311"/>
    <w:rsid w:val="00085457"/>
    <w:rsid w:val="000925AD"/>
    <w:rsid w:val="000947CE"/>
    <w:rsid w:val="000966DB"/>
    <w:rsid w:val="00096FE1"/>
    <w:rsid w:val="00097A62"/>
    <w:rsid w:val="000A24EB"/>
    <w:rsid w:val="000A3AA2"/>
    <w:rsid w:val="000A75EE"/>
    <w:rsid w:val="000B32AF"/>
    <w:rsid w:val="000B64E7"/>
    <w:rsid w:val="000B686A"/>
    <w:rsid w:val="000B6923"/>
    <w:rsid w:val="000B7195"/>
    <w:rsid w:val="000C31C5"/>
    <w:rsid w:val="000C464A"/>
    <w:rsid w:val="000C5F3C"/>
    <w:rsid w:val="000C6B32"/>
    <w:rsid w:val="000C6DCC"/>
    <w:rsid w:val="000D47AA"/>
    <w:rsid w:val="000D721F"/>
    <w:rsid w:val="000E069B"/>
    <w:rsid w:val="000E0E82"/>
    <w:rsid w:val="000E1DC5"/>
    <w:rsid w:val="000E223F"/>
    <w:rsid w:val="000E46B8"/>
    <w:rsid w:val="000E7D45"/>
    <w:rsid w:val="000F520B"/>
    <w:rsid w:val="000F52F4"/>
    <w:rsid w:val="000F69ED"/>
    <w:rsid w:val="000F7851"/>
    <w:rsid w:val="00101505"/>
    <w:rsid w:val="00104E23"/>
    <w:rsid w:val="00110DA8"/>
    <w:rsid w:val="00111B0C"/>
    <w:rsid w:val="001139C0"/>
    <w:rsid w:val="00115435"/>
    <w:rsid w:val="00120D6C"/>
    <w:rsid w:val="00120F55"/>
    <w:rsid w:val="001257EC"/>
    <w:rsid w:val="00133D33"/>
    <w:rsid w:val="00134B6A"/>
    <w:rsid w:val="00134D64"/>
    <w:rsid w:val="0013532A"/>
    <w:rsid w:val="00135A30"/>
    <w:rsid w:val="0013612C"/>
    <w:rsid w:val="0013763D"/>
    <w:rsid w:val="00137FF6"/>
    <w:rsid w:val="00141650"/>
    <w:rsid w:val="00150BFA"/>
    <w:rsid w:val="00152E19"/>
    <w:rsid w:val="001561B6"/>
    <w:rsid w:val="00162A12"/>
    <w:rsid w:val="00164793"/>
    <w:rsid w:val="00166530"/>
    <w:rsid w:val="00170027"/>
    <w:rsid w:val="001729EE"/>
    <w:rsid w:val="00174392"/>
    <w:rsid w:val="00182EBA"/>
    <w:rsid w:val="001832BD"/>
    <w:rsid w:val="00194061"/>
    <w:rsid w:val="001943B5"/>
    <w:rsid w:val="00195134"/>
    <w:rsid w:val="001A020C"/>
    <w:rsid w:val="001A145B"/>
    <w:rsid w:val="001A2504"/>
    <w:rsid w:val="001A3876"/>
    <w:rsid w:val="001A3E09"/>
    <w:rsid w:val="001A674C"/>
    <w:rsid w:val="001B3B24"/>
    <w:rsid w:val="001B76EA"/>
    <w:rsid w:val="001C055B"/>
    <w:rsid w:val="001C0F98"/>
    <w:rsid w:val="001C2A42"/>
    <w:rsid w:val="001C68C8"/>
    <w:rsid w:val="001D63ED"/>
    <w:rsid w:val="001D7348"/>
    <w:rsid w:val="001D791E"/>
    <w:rsid w:val="001E035B"/>
    <w:rsid w:val="001E0961"/>
    <w:rsid w:val="001E3EAE"/>
    <w:rsid w:val="001E6857"/>
    <w:rsid w:val="001E6F32"/>
    <w:rsid w:val="001E7ACE"/>
    <w:rsid w:val="001F2145"/>
    <w:rsid w:val="001F6262"/>
    <w:rsid w:val="001F679C"/>
    <w:rsid w:val="001F67B0"/>
    <w:rsid w:val="001F7B3D"/>
    <w:rsid w:val="00202752"/>
    <w:rsid w:val="00202A06"/>
    <w:rsid w:val="0020335A"/>
    <w:rsid w:val="002052BC"/>
    <w:rsid w:val="00205EC3"/>
    <w:rsid w:val="00205F9F"/>
    <w:rsid w:val="0020718E"/>
    <w:rsid w:val="00210338"/>
    <w:rsid w:val="002115FC"/>
    <w:rsid w:val="0021423C"/>
    <w:rsid w:val="00224E68"/>
    <w:rsid w:val="00226C89"/>
    <w:rsid w:val="00230D00"/>
    <w:rsid w:val="00231DF7"/>
    <w:rsid w:val="00231FD1"/>
    <w:rsid w:val="00232662"/>
    <w:rsid w:val="002339E0"/>
    <w:rsid w:val="00233CF8"/>
    <w:rsid w:val="0023575D"/>
    <w:rsid w:val="00237148"/>
    <w:rsid w:val="00241DCA"/>
    <w:rsid w:val="0024222D"/>
    <w:rsid w:val="002422B6"/>
    <w:rsid w:val="00244659"/>
    <w:rsid w:val="00244B0E"/>
    <w:rsid w:val="00244F6C"/>
    <w:rsid w:val="00246B89"/>
    <w:rsid w:val="00252C4E"/>
    <w:rsid w:val="002532C5"/>
    <w:rsid w:val="00254DF2"/>
    <w:rsid w:val="00260C03"/>
    <w:rsid w:val="0026439A"/>
    <w:rsid w:val="0026540E"/>
    <w:rsid w:val="00275123"/>
    <w:rsid w:val="002753AF"/>
    <w:rsid w:val="00281B7C"/>
    <w:rsid w:val="00282240"/>
    <w:rsid w:val="00282BD8"/>
    <w:rsid w:val="0028377C"/>
    <w:rsid w:val="00283B38"/>
    <w:rsid w:val="00287AD5"/>
    <w:rsid w:val="002934D0"/>
    <w:rsid w:val="00293676"/>
    <w:rsid w:val="002936FD"/>
    <w:rsid w:val="00293BD9"/>
    <w:rsid w:val="002948AD"/>
    <w:rsid w:val="002A01CC"/>
    <w:rsid w:val="002A613A"/>
    <w:rsid w:val="002A61B1"/>
    <w:rsid w:val="002A663C"/>
    <w:rsid w:val="002B444B"/>
    <w:rsid w:val="002B5887"/>
    <w:rsid w:val="002B5B43"/>
    <w:rsid w:val="002C0E27"/>
    <w:rsid w:val="002C3040"/>
    <w:rsid w:val="002C4433"/>
    <w:rsid w:val="002C45FB"/>
    <w:rsid w:val="002C5ADD"/>
    <w:rsid w:val="002C7826"/>
    <w:rsid w:val="002D022D"/>
    <w:rsid w:val="002D0AA1"/>
    <w:rsid w:val="002D24BB"/>
    <w:rsid w:val="002D2FA7"/>
    <w:rsid w:val="002D47BA"/>
    <w:rsid w:val="002D77B9"/>
    <w:rsid w:val="002E46DA"/>
    <w:rsid w:val="002E5E5C"/>
    <w:rsid w:val="002E727B"/>
    <w:rsid w:val="002E7374"/>
    <w:rsid w:val="002E7764"/>
    <w:rsid w:val="002F0AE4"/>
    <w:rsid w:val="002F2AF7"/>
    <w:rsid w:val="002F4BAA"/>
    <w:rsid w:val="002F4E93"/>
    <w:rsid w:val="002F69C4"/>
    <w:rsid w:val="002F7D9E"/>
    <w:rsid w:val="002F7E1C"/>
    <w:rsid w:val="00301A75"/>
    <w:rsid w:val="00302F70"/>
    <w:rsid w:val="0030336F"/>
    <w:rsid w:val="0030375E"/>
    <w:rsid w:val="00312A30"/>
    <w:rsid w:val="003201D8"/>
    <w:rsid w:val="00320F72"/>
    <w:rsid w:val="003227F5"/>
    <w:rsid w:val="0032463E"/>
    <w:rsid w:val="00325F94"/>
    <w:rsid w:val="00326224"/>
    <w:rsid w:val="00330666"/>
    <w:rsid w:val="003330BE"/>
    <w:rsid w:val="00336836"/>
    <w:rsid w:val="00337EE4"/>
    <w:rsid w:val="00340FFD"/>
    <w:rsid w:val="00345C41"/>
    <w:rsid w:val="003506B1"/>
    <w:rsid w:val="00355877"/>
    <w:rsid w:val="00356AC7"/>
    <w:rsid w:val="003609FA"/>
    <w:rsid w:val="00362C50"/>
    <w:rsid w:val="00364B87"/>
    <w:rsid w:val="003710C8"/>
    <w:rsid w:val="0037151C"/>
    <w:rsid w:val="003750BE"/>
    <w:rsid w:val="00375184"/>
    <w:rsid w:val="00385A36"/>
    <w:rsid w:val="00385F3D"/>
    <w:rsid w:val="0038740C"/>
    <w:rsid w:val="00387B9D"/>
    <w:rsid w:val="00387C70"/>
    <w:rsid w:val="00390294"/>
    <w:rsid w:val="0039364F"/>
    <w:rsid w:val="0039501C"/>
    <w:rsid w:val="00396686"/>
    <w:rsid w:val="0039778E"/>
    <w:rsid w:val="003B1DCB"/>
    <w:rsid w:val="003B4941"/>
    <w:rsid w:val="003C118C"/>
    <w:rsid w:val="003C5714"/>
    <w:rsid w:val="003C6B9F"/>
    <w:rsid w:val="003C6E2A"/>
    <w:rsid w:val="003D0299"/>
    <w:rsid w:val="003D1A6D"/>
    <w:rsid w:val="003E6D80"/>
    <w:rsid w:val="003E7BCC"/>
    <w:rsid w:val="003F05FA"/>
    <w:rsid w:val="003F244A"/>
    <w:rsid w:val="003F2517"/>
    <w:rsid w:val="003F30B8"/>
    <w:rsid w:val="003F4C45"/>
    <w:rsid w:val="003F5F7B"/>
    <w:rsid w:val="003F7D64"/>
    <w:rsid w:val="00402B10"/>
    <w:rsid w:val="00403920"/>
    <w:rsid w:val="0040433A"/>
    <w:rsid w:val="00404468"/>
    <w:rsid w:val="00405726"/>
    <w:rsid w:val="00414300"/>
    <w:rsid w:val="00414F27"/>
    <w:rsid w:val="00420703"/>
    <w:rsid w:val="00422913"/>
    <w:rsid w:val="00425C67"/>
    <w:rsid w:val="00427A43"/>
    <w:rsid w:val="00427E7A"/>
    <w:rsid w:val="00430536"/>
    <w:rsid w:val="004355AC"/>
    <w:rsid w:val="00436C49"/>
    <w:rsid w:val="00442868"/>
    <w:rsid w:val="00443D98"/>
    <w:rsid w:val="00444B25"/>
    <w:rsid w:val="00445366"/>
    <w:rsid w:val="00447F5B"/>
    <w:rsid w:val="00451820"/>
    <w:rsid w:val="00461DB0"/>
    <w:rsid w:val="00463926"/>
    <w:rsid w:val="00464AB7"/>
    <w:rsid w:val="00464C9A"/>
    <w:rsid w:val="00465C7C"/>
    <w:rsid w:val="0047087A"/>
    <w:rsid w:val="00474F3D"/>
    <w:rsid w:val="00477E3A"/>
    <w:rsid w:val="00481315"/>
    <w:rsid w:val="00483E5F"/>
    <w:rsid w:val="00485FF9"/>
    <w:rsid w:val="00490061"/>
    <w:rsid w:val="0049049B"/>
    <w:rsid w:val="004907F0"/>
    <w:rsid w:val="0049140B"/>
    <w:rsid w:val="004923A5"/>
    <w:rsid w:val="0049310E"/>
    <w:rsid w:val="004950E2"/>
    <w:rsid w:val="00496BFB"/>
    <w:rsid w:val="004A0C0A"/>
    <w:rsid w:val="004A15C7"/>
    <w:rsid w:val="004A3201"/>
    <w:rsid w:val="004A7044"/>
    <w:rsid w:val="004B013B"/>
    <w:rsid w:val="004B112B"/>
    <w:rsid w:val="004B444E"/>
    <w:rsid w:val="004B47F1"/>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1B30"/>
    <w:rsid w:val="004F1D16"/>
    <w:rsid w:val="004F1FB0"/>
    <w:rsid w:val="004F2389"/>
    <w:rsid w:val="004F304D"/>
    <w:rsid w:val="004F3755"/>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9AE"/>
    <w:rsid w:val="00531DF2"/>
    <w:rsid w:val="0053315C"/>
    <w:rsid w:val="005335DD"/>
    <w:rsid w:val="005346BF"/>
    <w:rsid w:val="00537476"/>
    <w:rsid w:val="00543079"/>
    <w:rsid w:val="005442EE"/>
    <w:rsid w:val="00545DA6"/>
    <w:rsid w:val="00547353"/>
    <w:rsid w:val="005474E7"/>
    <w:rsid w:val="005512A3"/>
    <w:rsid w:val="00552273"/>
    <w:rsid w:val="00553541"/>
    <w:rsid w:val="005548CF"/>
    <w:rsid w:val="00554996"/>
    <w:rsid w:val="005578CE"/>
    <w:rsid w:val="00562781"/>
    <w:rsid w:val="00562B6C"/>
    <w:rsid w:val="0057271C"/>
    <w:rsid w:val="00572845"/>
    <w:rsid w:val="0058053C"/>
    <w:rsid w:val="00582B5C"/>
    <w:rsid w:val="005846A7"/>
    <w:rsid w:val="005879A2"/>
    <w:rsid w:val="005920EB"/>
    <w:rsid w:val="0059223C"/>
    <w:rsid w:val="00592772"/>
    <w:rsid w:val="00594CF9"/>
    <w:rsid w:val="0059574A"/>
    <w:rsid w:val="005A1B9B"/>
    <w:rsid w:val="005A2221"/>
    <w:rsid w:val="005A2E79"/>
    <w:rsid w:val="005A6751"/>
    <w:rsid w:val="005B092E"/>
    <w:rsid w:val="005B152C"/>
    <w:rsid w:val="005B1EE0"/>
    <w:rsid w:val="005B2B24"/>
    <w:rsid w:val="005B4425"/>
    <w:rsid w:val="005B4598"/>
    <w:rsid w:val="005B4B94"/>
    <w:rsid w:val="005C2C62"/>
    <w:rsid w:val="005C2E06"/>
    <w:rsid w:val="005C3EE8"/>
    <w:rsid w:val="005D2F2A"/>
    <w:rsid w:val="005D34F9"/>
    <w:rsid w:val="005D4190"/>
    <w:rsid w:val="005D67A3"/>
    <w:rsid w:val="005E2988"/>
    <w:rsid w:val="005E3085"/>
    <w:rsid w:val="005E3E75"/>
    <w:rsid w:val="005E7155"/>
    <w:rsid w:val="005F0EB3"/>
    <w:rsid w:val="005F2080"/>
    <w:rsid w:val="005F51E1"/>
    <w:rsid w:val="005F7DA6"/>
    <w:rsid w:val="006101C9"/>
    <w:rsid w:val="006115AF"/>
    <w:rsid w:val="00611C80"/>
    <w:rsid w:val="0061446F"/>
    <w:rsid w:val="00620692"/>
    <w:rsid w:val="00622362"/>
    <w:rsid w:val="006242CA"/>
    <w:rsid w:val="006257B4"/>
    <w:rsid w:val="00627507"/>
    <w:rsid w:val="00632579"/>
    <w:rsid w:val="00633717"/>
    <w:rsid w:val="006344E1"/>
    <w:rsid w:val="006362E4"/>
    <w:rsid w:val="00643524"/>
    <w:rsid w:val="0064393B"/>
    <w:rsid w:val="00645CF2"/>
    <w:rsid w:val="00646026"/>
    <w:rsid w:val="006545C4"/>
    <w:rsid w:val="00661971"/>
    <w:rsid w:val="00661A2B"/>
    <w:rsid w:val="00661CE8"/>
    <w:rsid w:val="006623D9"/>
    <w:rsid w:val="006624AD"/>
    <w:rsid w:val="006642A5"/>
    <w:rsid w:val="0066550C"/>
    <w:rsid w:val="00665BD2"/>
    <w:rsid w:val="00670BDD"/>
    <w:rsid w:val="00670C02"/>
    <w:rsid w:val="006716F2"/>
    <w:rsid w:val="00672A86"/>
    <w:rsid w:val="00675AF2"/>
    <w:rsid w:val="00682BF2"/>
    <w:rsid w:val="0068573E"/>
    <w:rsid w:val="006859CE"/>
    <w:rsid w:val="00691270"/>
    <w:rsid w:val="00693127"/>
    <w:rsid w:val="006939F7"/>
    <w:rsid w:val="00694BA8"/>
    <w:rsid w:val="006A037C"/>
    <w:rsid w:val="006A0C84"/>
    <w:rsid w:val="006A36F4"/>
    <w:rsid w:val="006A406F"/>
    <w:rsid w:val="006A4E97"/>
    <w:rsid w:val="006A5D3A"/>
    <w:rsid w:val="006B1942"/>
    <w:rsid w:val="006C23D4"/>
    <w:rsid w:val="006C7BB0"/>
    <w:rsid w:val="006D0886"/>
    <w:rsid w:val="006D3237"/>
    <w:rsid w:val="006E2E37"/>
    <w:rsid w:val="006E3CF1"/>
    <w:rsid w:val="006E68A3"/>
    <w:rsid w:val="006E7E80"/>
    <w:rsid w:val="006F0B23"/>
    <w:rsid w:val="006F1C2D"/>
    <w:rsid w:val="006F48CA"/>
    <w:rsid w:val="006F64DD"/>
    <w:rsid w:val="006F712D"/>
    <w:rsid w:val="00715127"/>
    <w:rsid w:val="00715E8E"/>
    <w:rsid w:val="00723580"/>
    <w:rsid w:val="00723755"/>
    <w:rsid w:val="00725E1F"/>
    <w:rsid w:val="007275E3"/>
    <w:rsid w:val="0073136C"/>
    <w:rsid w:val="00731F0F"/>
    <w:rsid w:val="00733250"/>
    <w:rsid w:val="00741404"/>
    <w:rsid w:val="0074310C"/>
    <w:rsid w:val="007449E5"/>
    <w:rsid w:val="0074750E"/>
    <w:rsid w:val="00747FF0"/>
    <w:rsid w:val="00751066"/>
    <w:rsid w:val="007523F4"/>
    <w:rsid w:val="0075566E"/>
    <w:rsid w:val="007621CE"/>
    <w:rsid w:val="00762DC4"/>
    <w:rsid w:val="00763602"/>
    <w:rsid w:val="00764D4E"/>
    <w:rsid w:val="00765A1F"/>
    <w:rsid w:val="00772506"/>
    <w:rsid w:val="00775B6D"/>
    <w:rsid w:val="00776D68"/>
    <w:rsid w:val="00781140"/>
    <w:rsid w:val="0078323E"/>
    <w:rsid w:val="007849C2"/>
    <w:rsid w:val="007850EE"/>
    <w:rsid w:val="00785B95"/>
    <w:rsid w:val="00790E96"/>
    <w:rsid w:val="007926FD"/>
    <w:rsid w:val="00793366"/>
    <w:rsid w:val="0079666C"/>
    <w:rsid w:val="007A1CB9"/>
    <w:rsid w:val="007A25BC"/>
    <w:rsid w:val="007A5DCF"/>
    <w:rsid w:val="007A6E61"/>
    <w:rsid w:val="007A716F"/>
    <w:rsid w:val="007B270A"/>
    <w:rsid w:val="007B4182"/>
    <w:rsid w:val="007B5E39"/>
    <w:rsid w:val="007B69A2"/>
    <w:rsid w:val="007B6A60"/>
    <w:rsid w:val="007C0695"/>
    <w:rsid w:val="007C419A"/>
    <w:rsid w:val="007C4CC8"/>
    <w:rsid w:val="007C5426"/>
    <w:rsid w:val="007C5798"/>
    <w:rsid w:val="007C57A5"/>
    <w:rsid w:val="007C726E"/>
    <w:rsid w:val="007D1ECD"/>
    <w:rsid w:val="007D3701"/>
    <w:rsid w:val="007D4832"/>
    <w:rsid w:val="007E211D"/>
    <w:rsid w:val="007E21B2"/>
    <w:rsid w:val="007E2C4E"/>
    <w:rsid w:val="007E2C8C"/>
    <w:rsid w:val="007E51BA"/>
    <w:rsid w:val="007E73D7"/>
    <w:rsid w:val="007E79A4"/>
    <w:rsid w:val="007F1905"/>
    <w:rsid w:val="007F27E4"/>
    <w:rsid w:val="007F3437"/>
    <w:rsid w:val="00800031"/>
    <w:rsid w:val="00802C64"/>
    <w:rsid w:val="008051B9"/>
    <w:rsid w:val="00805E52"/>
    <w:rsid w:val="008061D0"/>
    <w:rsid w:val="00806E27"/>
    <w:rsid w:val="00810B38"/>
    <w:rsid w:val="008204C7"/>
    <w:rsid w:val="00820992"/>
    <w:rsid w:val="00823602"/>
    <w:rsid w:val="008255F5"/>
    <w:rsid w:val="00826890"/>
    <w:rsid w:val="008275CB"/>
    <w:rsid w:val="0083014E"/>
    <w:rsid w:val="0083023D"/>
    <w:rsid w:val="00830DC9"/>
    <w:rsid w:val="0083214A"/>
    <w:rsid w:val="00834220"/>
    <w:rsid w:val="00836EBB"/>
    <w:rsid w:val="00840649"/>
    <w:rsid w:val="00845723"/>
    <w:rsid w:val="008519E7"/>
    <w:rsid w:val="00851EF9"/>
    <w:rsid w:val="008577FD"/>
    <w:rsid w:val="00860B03"/>
    <w:rsid w:val="00864629"/>
    <w:rsid w:val="0086497A"/>
    <w:rsid w:val="0086538E"/>
    <w:rsid w:val="00867066"/>
    <w:rsid w:val="008713A1"/>
    <w:rsid w:val="00871B91"/>
    <w:rsid w:val="00872584"/>
    <w:rsid w:val="00872AC7"/>
    <w:rsid w:val="00874328"/>
    <w:rsid w:val="00874B5D"/>
    <w:rsid w:val="008754AB"/>
    <w:rsid w:val="00875830"/>
    <w:rsid w:val="0088060C"/>
    <w:rsid w:val="00882CD5"/>
    <w:rsid w:val="00883151"/>
    <w:rsid w:val="00886ED7"/>
    <w:rsid w:val="00890880"/>
    <w:rsid w:val="00893576"/>
    <w:rsid w:val="00893B7D"/>
    <w:rsid w:val="00893E73"/>
    <w:rsid w:val="00895653"/>
    <w:rsid w:val="008B02DC"/>
    <w:rsid w:val="008B092C"/>
    <w:rsid w:val="008B3208"/>
    <w:rsid w:val="008B3346"/>
    <w:rsid w:val="008B3E8D"/>
    <w:rsid w:val="008B51E7"/>
    <w:rsid w:val="008B57CE"/>
    <w:rsid w:val="008C26DE"/>
    <w:rsid w:val="008D1668"/>
    <w:rsid w:val="008D2225"/>
    <w:rsid w:val="008D4752"/>
    <w:rsid w:val="008D5A13"/>
    <w:rsid w:val="008E0A4E"/>
    <w:rsid w:val="008E271C"/>
    <w:rsid w:val="008E2D0D"/>
    <w:rsid w:val="008E3A08"/>
    <w:rsid w:val="008E418E"/>
    <w:rsid w:val="008E5BC6"/>
    <w:rsid w:val="008E6217"/>
    <w:rsid w:val="008E6A25"/>
    <w:rsid w:val="008F03FF"/>
    <w:rsid w:val="008F2465"/>
    <w:rsid w:val="008F2554"/>
    <w:rsid w:val="008F3AEC"/>
    <w:rsid w:val="008F4D80"/>
    <w:rsid w:val="008F5193"/>
    <w:rsid w:val="008F5B9D"/>
    <w:rsid w:val="008F6B36"/>
    <w:rsid w:val="009013A7"/>
    <w:rsid w:val="009017FB"/>
    <w:rsid w:val="009017FC"/>
    <w:rsid w:val="009028AE"/>
    <w:rsid w:val="0090506B"/>
    <w:rsid w:val="009050C9"/>
    <w:rsid w:val="009066FC"/>
    <w:rsid w:val="009140A3"/>
    <w:rsid w:val="009144A2"/>
    <w:rsid w:val="009149F7"/>
    <w:rsid w:val="0091510C"/>
    <w:rsid w:val="0091637A"/>
    <w:rsid w:val="009259AC"/>
    <w:rsid w:val="00926F38"/>
    <w:rsid w:val="00927BEB"/>
    <w:rsid w:val="00930598"/>
    <w:rsid w:val="00933008"/>
    <w:rsid w:val="009333DC"/>
    <w:rsid w:val="00934301"/>
    <w:rsid w:val="00936CD1"/>
    <w:rsid w:val="0094131C"/>
    <w:rsid w:val="00941747"/>
    <w:rsid w:val="00941EFB"/>
    <w:rsid w:val="00943EB5"/>
    <w:rsid w:val="00947AFB"/>
    <w:rsid w:val="00951AA3"/>
    <w:rsid w:val="00951D7D"/>
    <w:rsid w:val="00952638"/>
    <w:rsid w:val="00956288"/>
    <w:rsid w:val="00956D0C"/>
    <w:rsid w:val="009630C7"/>
    <w:rsid w:val="00972069"/>
    <w:rsid w:val="00972B55"/>
    <w:rsid w:val="009743B7"/>
    <w:rsid w:val="00975011"/>
    <w:rsid w:val="0098228B"/>
    <w:rsid w:val="009828DA"/>
    <w:rsid w:val="009836CC"/>
    <w:rsid w:val="0098410D"/>
    <w:rsid w:val="00985BAB"/>
    <w:rsid w:val="00986B3C"/>
    <w:rsid w:val="009A115C"/>
    <w:rsid w:val="009A6111"/>
    <w:rsid w:val="009A7FC1"/>
    <w:rsid w:val="009B1606"/>
    <w:rsid w:val="009B1B5F"/>
    <w:rsid w:val="009B4629"/>
    <w:rsid w:val="009B6673"/>
    <w:rsid w:val="009C0C4C"/>
    <w:rsid w:val="009C191B"/>
    <w:rsid w:val="009C2BD6"/>
    <w:rsid w:val="009C5DE0"/>
    <w:rsid w:val="009D57AA"/>
    <w:rsid w:val="009E1F32"/>
    <w:rsid w:val="009E2CC2"/>
    <w:rsid w:val="009E47A2"/>
    <w:rsid w:val="009E776C"/>
    <w:rsid w:val="009E7A6F"/>
    <w:rsid w:val="009F4C8F"/>
    <w:rsid w:val="00A02972"/>
    <w:rsid w:val="00A05121"/>
    <w:rsid w:val="00A05588"/>
    <w:rsid w:val="00A1179B"/>
    <w:rsid w:val="00A15601"/>
    <w:rsid w:val="00A1726E"/>
    <w:rsid w:val="00A204CF"/>
    <w:rsid w:val="00A21D2B"/>
    <w:rsid w:val="00A22745"/>
    <w:rsid w:val="00A231FD"/>
    <w:rsid w:val="00A23D49"/>
    <w:rsid w:val="00A27004"/>
    <w:rsid w:val="00A308CE"/>
    <w:rsid w:val="00A30C29"/>
    <w:rsid w:val="00A34DD6"/>
    <w:rsid w:val="00A35683"/>
    <w:rsid w:val="00A36819"/>
    <w:rsid w:val="00A36989"/>
    <w:rsid w:val="00A36EFC"/>
    <w:rsid w:val="00A41A30"/>
    <w:rsid w:val="00A41D86"/>
    <w:rsid w:val="00A43628"/>
    <w:rsid w:val="00A450F8"/>
    <w:rsid w:val="00A45145"/>
    <w:rsid w:val="00A51D0F"/>
    <w:rsid w:val="00A53259"/>
    <w:rsid w:val="00A54192"/>
    <w:rsid w:val="00A57147"/>
    <w:rsid w:val="00A60335"/>
    <w:rsid w:val="00A6035E"/>
    <w:rsid w:val="00A6144C"/>
    <w:rsid w:val="00A66617"/>
    <w:rsid w:val="00A671F8"/>
    <w:rsid w:val="00A673A4"/>
    <w:rsid w:val="00A724AE"/>
    <w:rsid w:val="00A73329"/>
    <w:rsid w:val="00A82253"/>
    <w:rsid w:val="00A82359"/>
    <w:rsid w:val="00A865D2"/>
    <w:rsid w:val="00A8750A"/>
    <w:rsid w:val="00A87C10"/>
    <w:rsid w:val="00A90BCD"/>
    <w:rsid w:val="00A92625"/>
    <w:rsid w:val="00A94C20"/>
    <w:rsid w:val="00A95D23"/>
    <w:rsid w:val="00A95D81"/>
    <w:rsid w:val="00AA1B09"/>
    <w:rsid w:val="00AA220B"/>
    <w:rsid w:val="00AA227F"/>
    <w:rsid w:val="00AA3BC7"/>
    <w:rsid w:val="00AA754A"/>
    <w:rsid w:val="00AB099E"/>
    <w:rsid w:val="00AB4328"/>
    <w:rsid w:val="00AC38C9"/>
    <w:rsid w:val="00AC38DE"/>
    <w:rsid w:val="00AC4CD4"/>
    <w:rsid w:val="00AC57ED"/>
    <w:rsid w:val="00AC62C2"/>
    <w:rsid w:val="00AE0A2E"/>
    <w:rsid w:val="00AE1B5F"/>
    <w:rsid w:val="00AE1DF3"/>
    <w:rsid w:val="00AE210D"/>
    <w:rsid w:val="00AE354C"/>
    <w:rsid w:val="00AE4BBA"/>
    <w:rsid w:val="00AF12C5"/>
    <w:rsid w:val="00AF4B07"/>
    <w:rsid w:val="00AF6186"/>
    <w:rsid w:val="00AF7A3A"/>
    <w:rsid w:val="00B02587"/>
    <w:rsid w:val="00B049D1"/>
    <w:rsid w:val="00B14793"/>
    <w:rsid w:val="00B153A0"/>
    <w:rsid w:val="00B160DB"/>
    <w:rsid w:val="00B20836"/>
    <w:rsid w:val="00B219D5"/>
    <w:rsid w:val="00B2229E"/>
    <w:rsid w:val="00B235BB"/>
    <w:rsid w:val="00B27A44"/>
    <w:rsid w:val="00B30BBF"/>
    <w:rsid w:val="00B33C03"/>
    <w:rsid w:val="00B354C0"/>
    <w:rsid w:val="00B4174D"/>
    <w:rsid w:val="00B44180"/>
    <w:rsid w:val="00B4421F"/>
    <w:rsid w:val="00B44E56"/>
    <w:rsid w:val="00B45917"/>
    <w:rsid w:val="00B46543"/>
    <w:rsid w:val="00B47D33"/>
    <w:rsid w:val="00B52BE0"/>
    <w:rsid w:val="00B54133"/>
    <w:rsid w:val="00B55A8D"/>
    <w:rsid w:val="00B63CAA"/>
    <w:rsid w:val="00B701ED"/>
    <w:rsid w:val="00B70FEC"/>
    <w:rsid w:val="00B72BE4"/>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BF6013"/>
    <w:rsid w:val="00C035A1"/>
    <w:rsid w:val="00C0426D"/>
    <w:rsid w:val="00C054C7"/>
    <w:rsid w:val="00C057B5"/>
    <w:rsid w:val="00C07D0E"/>
    <w:rsid w:val="00C1069E"/>
    <w:rsid w:val="00C115C3"/>
    <w:rsid w:val="00C15547"/>
    <w:rsid w:val="00C1672D"/>
    <w:rsid w:val="00C220E4"/>
    <w:rsid w:val="00C22687"/>
    <w:rsid w:val="00C2527C"/>
    <w:rsid w:val="00C26A92"/>
    <w:rsid w:val="00C26B1C"/>
    <w:rsid w:val="00C32E4D"/>
    <w:rsid w:val="00C333A0"/>
    <w:rsid w:val="00C344A6"/>
    <w:rsid w:val="00C35878"/>
    <w:rsid w:val="00C36A81"/>
    <w:rsid w:val="00C417F9"/>
    <w:rsid w:val="00C41974"/>
    <w:rsid w:val="00C44A2C"/>
    <w:rsid w:val="00C44F09"/>
    <w:rsid w:val="00C477F7"/>
    <w:rsid w:val="00C509A6"/>
    <w:rsid w:val="00C50BA4"/>
    <w:rsid w:val="00C53F4A"/>
    <w:rsid w:val="00C54125"/>
    <w:rsid w:val="00C55B54"/>
    <w:rsid w:val="00C6098E"/>
    <w:rsid w:val="00C6152C"/>
    <w:rsid w:val="00C63C27"/>
    <w:rsid w:val="00C71424"/>
    <w:rsid w:val="00C73726"/>
    <w:rsid w:val="00C74810"/>
    <w:rsid w:val="00C81106"/>
    <w:rsid w:val="00C862D5"/>
    <w:rsid w:val="00C90D68"/>
    <w:rsid w:val="00C9363A"/>
    <w:rsid w:val="00C939FE"/>
    <w:rsid w:val="00CA4BDA"/>
    <w:rsid w:val="00CA77E8"/>
    <w:rsid w:val="00CB12CE"/>
    <w:rsid w:val="00CB13E3"/>
    <w:rsid w:val="00CB1F66"/>
    <w:rsid w:val="00CB232C"/>
    <w:rsid w:val="00CB2951"/>
    <w:rsid w:val="00CB4277"/>
    <w:rsid w:val="00CB74E1"/>
    <w:rsid w:val="00CC0DCF"/>
    <w:rsid w:val="00CC1BC8"/>
    <w:rsid w:val="00CC5067"/>
    <w:rsid w:val="00CD11D3"/>
    <w:rsid w:val="00CD282B"/>
    <w:rsid w:val="00CD447B"/>
    <w:rsid w:val="00CD4C35"/>
    <w:rsid w:val="00CD5366"/>
    <w:rsid w:val="00CD6068"/>
    <w:rsid w:val="00CD7369"/>
    <w:rsid w:val="00CE0B0E"/>
    <w:rsid w:val="00CE1787"/>
    <w:rsid w:val="00CE3831"/>
    <w:rsid w:val="00CF06A7"/>
    <w:rsid w:val="00CF2397"/>
    <w:rsid w:val="00CF77E9"/>
    <w:rsid w:val="00CF7ED4"/>
    <w:rsid w:val="00D00ABB"/>
    <w:rsid w:val="00D02EEC"/>
    <w:rsid w:val="00D03551"/>
    <w:rsid w:val="00D03D3C"/>
    <w:rsid w:val="00D04315"/>
    <w:rsid w:val="00D06A63"/>
    <w:rsid w:val="00D07447"/>
    <w:rsid w:val="00D07E0E"/>
    <w:rsid w:val="00D10CD6"/>
    <w:rsid w:val="00D11478"/>
    <w:rsid w:val="00D1158F"/>
    <w:rsid w:val="00D15ED0"/>
    <w:rsid w:val="00D164BF"/>
    <w:rsid w:val="00D17CD2"/>
    <w:rsid w:val="00D21B3E"/>
    <w:rsid w:val="00D21FED"/>
    <w:rsid w:val="00D23048"/>
    <w:rsid w:val="00D24251"/>
    <w:rsid w:val="00D26E72"/>
    <w:rsid w:val="00D31D5A"/>
    <w:rsid w:val="00D32519"/>
    <w:rsid w:val="00D343E2"/>
    <w:rsid w:val="00D361A2"/>
    <w:rsid w:val="00D37272"/>
    <w:rsid w:val="00D44C2E"/>
    <w:rsid w:val="00D45414"/>
    <w:rsid w:val="00D50A0A"/>
    <w:rsid w:val="00D50A3E"/>
    <w:rsid w:val="00D52D36"/>
    <w:rsid w:val="00D53548"/>
    <w:rsid w:val="00D5576B"/>
    <w:rsid w:val="00D566BD"/>
    <w:rsid w:val="00D57A4D"/>
    <w:rsid w:val="00D60AA7"/>
    <w:rsid w:val="00D637A7"/>
    <w:rsid w:val="00D6435F"/>
    <w:rsid w:val="00D66471"/>
    <w:rsid w:val="00D669D4"/>
    <w:rsid w:val="00D70641"/>
    <w:rsid w:val="00D74888"/>
    <w:rsid w:val="00D7488B"/>
    <w:rsid w:val="00D757FB"/>
    <w:rsid w:val="00D75E28"/>
    <w:rsid w:val="00D772C2"/>
    <w:rsid w:val="00D8008E"/>
    <w:rsid w:val="00D82C45"/>
    <w:rsid w:val="00D908A8"/>
    <w:rsid w:val="00D977B6"/>
    <w:rsid w:val="00DA1223"/>
    <w:rsid w:val="00DA4A31"/>
    <w:rsid w:val="00DA7B04"/>
    <w:rsid w:val="00DB36C2"/>
    <w:rsid w:val="00DB4A5B"/>
    <w:rsid w:val="00DB51BE"/>
    <w:rsid w:val="00DC00A8"/>
    <w:rsid w:val="00DC1018"/>
    <w:rsid w:val="00DC169B"/>
    <w:rsid w:val="00DC2AB9"/>
    <w:rsid w:val="00DC2C8F"/>
    <w:rsid w:val="00DC31DF"/>
    <w:rsid w:val="00DC4BC1"/>
    <w:rsid w:val="00DC63F0"/>
    <w:rsid w:val="00DC74AB"/>
    <w:rsid w:val="00DD37EA"/>
    <w:rsid w:val="00DD659A"/>
    <w:rsid w:val="00DD6EE5"/>
    <w:rsid w:val="00DD744C"/>
    <w:rsid w:val="00DE386C"/>
    <w:rsid w:val="00DE4D35"/>
    <w:rsid w:val="00DF098B"/>
    <w:rsid w:val="00DF11C4"/>
    <w:rsid w:val="00DF210C"/>
    <w:rsid w:val="00DF2FF8"/>
    <w:rsid w:val="00DF4B6A"/>
    <w:rsid w:val="00E004C0"/>
    <w:rsid w:val="00E0184E"/>
    <w:rsid w:val="00E02C09"/>
    <w:rsid w:val="00E04D59"/>
    <w:rsid w:val="00E07520"/>
    <w:rsid w:val="00E07DA1"/>
    <w:rsid w:val="00E123CB"/>
    <w:rsid w:val="00E13B09"/>
    <w:rsid w:val="00E20E13"/>
    <w:rsid w:val="00E21DBC"/>
    <w:rsid w:val="00E24EC2"/>
    <w:rsid w:val="00E26E26"/>
    <w:rsid w:val="00E275D7"/>
    <w:rsid w:val="00E27DBE"/>
    <w:rsid w:val="00E32AB1"/>
    <w:rsid w:val="00E36C71"/>
    <w:rsid w:val="00E37C79"/>
    <w:rsid w:val="00E40404"/>
    <w:rsid w:val="00E40AE2"/>
    <w:rsid w:val="00E4126A"/>
    <w:rsid w:val="00E42A06"/>
    <w:rsid w:val="00E45458"/>
    <w:rsid w:val="00E459C6"/>
    <w:rsid w:val="00E47589"/>
    <w:rsid w:val="00E549F7"/>
    <w:rsid w:val="00E557AA"/>
    <w:rsid w:val="00E56C6B"/>
    <w:rsid w:val="00E63EC7"/>
    <w:rsid w:val="00E647E0"/>
    <w:rsid w:val="00E64915"/>
    <w:rsid w:val="00E64D3A"/>
    <w:rsid w:val="00E661D4"/>
    <w:rsid w:val="00E67565"/>
    <w:rsid w:val="00E70091"/>
    <w:rsid w:val="00E70D2E"/>
    <w:rsid w:val="00E720F5"/>
    <w:rsid w:val="00E744E0"/>
    <w:rsid w:val="00E762C0"/>
    <w:rsid w:val="00E76906"/>
    <w:rsid w:val="00E76D47"/>
    <w:rsid w:val="00E81E3D"/>
    <w:rsid w:val="00E827BC"/>
    <w:rsid w:val="00E832C4"/>
    <w:rsid w:val="00E842E3"/>
    <w:rsid w:val="00E849F7"/>
    <w:rsid w:val="00E90302"/>
    <w:rsid w:val="00E91D05"/>
    <w:rsid w:val="00E9262D"/>
    <w:rsid w:val="00E94245"/>
    <w:rsid w:val="00E95C1E"/>
    <w:rsid w:val="00E96831"/>
    <w:rsid w:val="00E97396"/>
    <w:rsid w:val="00EA185E"/>
    <w:rsid w:val="00EA592A"/>
    <w:rsid w:val="00EB14E4"/>
    <w:rsid w:val="00EB32A5"/>
    <w:rsid w:val="00EB34ED"/>
    <w:rsid w:val="00EB447C"/>
    <w:rsid w:val="00EB7965"/>
    <w:rsid w:val="00EB7BE0"/>
    <w:rsid w:val="00EC315E"/>
    <w:rsid w:val="00EC4FDB"/>
    <w:rsid w:val="00ED0362"/>
    <w:rsid w:val="00ED077C"/>
    <w:rsid w:val="00ED10A9"/>
    <w:rsid w:val="00ED1190"/>
    <w:rsid w:val="00ED2180"/>
    <w:rsid w:val="00ED34AC"/>
    <w:rsid w:val="00ED4223"/>
    <w:rsid w:val="00ED6544"/>
    <w:rsid w:val="00ED7CE1"/>
    <w:rsid w:val="00EE0277"/>
    <w:rsid w:val="00EE2899"/>
    <w:rsid w:val="00EE3E00"/>
    <w:rsid w:val="00EE5DD2"/>
    <w:rsid w:val="00EF0D81"/>
    <w:rsid w:val="00EF13F7"/>
    <w:rsid w:val="00EF36C5"/>
    <w:rsid w:val="00EF3DB4"/>
    <w:rsid w:val="00EF6763"/>
    <w:rsid w:val="00EF6C05"/>
    <w:rsid w:val="00F00A79"/>
    <w:rsid w:val="00F00D13"/>
    <w:rsid w:val="00F00E86"/>
    <w:rsid w:val="00F06494"/>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1CFA"/>
    <w:rsid w:val="00F42102"/>
    <w:rsid w:val="00F44913"/>
    <w:rsid w:val="00F454E2"/>
    <w:rsid w:val="00F53BE6"/>
    <w:rsid w:val="00F56016"/>
    <w:rsid w:val="00F56A6F"/>
    <w:rsid w:val="00F5709C"/>
    <w:rsid w:val="00F60455"/>
    <w:rsid w:val="00F60B85"/>
    <w:rsid w:val="00F633ED"/>
    <w:rsid w:val="00F64EF1"/>
    <w:rsid w:val="00F66B20"/>
    <w:rsid w:val="00F7217F"/>
    <w:rsid w:val="00F72498"/>
    <w:rsid w:val="00F72B14"/>
    <w:rsid w:val="00F7349B"/>
    <w:rsid w:val="00F87187"/>
    <w:rsid w:val="00F8765F"/>
    <w:rsid w:val="00F87820"/>
    <w:rsid w:val="00F90767"/>
    <w:rsid w:val="00F9263C"/>
    <w:rsid w:val="00FA1637"/>
    <w:rsid w:val="00FA685B"/>
    <w:rsid w:val="00FB0C01"/>
    <w:rsid w:val="00FB5934"/>
    <w:rsid w:val="00FC0FB4"/>
    <w:rsid w:val="00FC18F2"/>
    <w:rsid w:val="00FC2A17"/>
    <w:rsid w:val="00FC38CF"/>
    <w:rsid w:val="00FC39E5"/>
    <w:rsid w:val="00FC3A78"/>
    <w:rsid w:val="00FC4803"/>
    <w:rsid w:val="00FD091F"/>
    <w:rsid w:val="00FD1005"/>
    <w:rsid w:val="00FD152B"/>
    <w:rsid w:val="00FD1F7F"/>
    <w:rsid w:val="00FD6C75"/>
    <w:rsid w:val="00FD7972"/>
    <w:rsid w:val="00FE0401"/>
    <w:rsid w:val="00FE5D3D"/>
    <w:rsid w:val="00FE71B3"/>
    <w:rsid w:val="00FF08BF"/>
    <w:rsid w:val="00FF22D5"/>
    <w:rsid w:val="00FF3B11"/>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558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2B5B43"/>
    <w:rPr>
      <w:sz w:val="24"/>
      <w:szCs w:val="24"/>
    </w:rPr>
  </w:style>
  <w:style w:type="paragraph" w:styleId="Nagwek1">
    <w:name w:val="heading 1"/>
    <w:basedOn w:val="Normalny"/>
    <w:next w:val="Normalny"/>
    <w:link w:val="Nagwek1Znak"/>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B5B4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B5B43"/>
    <w:rPr>
      <w:rFonts w:ascii="Tahoma" w:hAnsi="Tahoma" w:cs="Tahoma"/>
      <w:sz w:val="16"/>
      <w:szCs w:val="16"/>
    </w:rPr>
  </w:style>
  <w:style w:type="character" w:customStyle="1" w:styleId="TekstdymkaZnak">
    <w:name w:val="Tekst dymka Znak"/>
    <w:basedOn w:val="Domylnaczcionkaakapitu"/>
    <w:link w:val="Tekstdymka"/>
    <w:uiPriority w:val="98"/>
    <w:semiHidden/>
    <w:rsid w:val="002B5B43"/>
    <w:rPr>
      <w:rFonts w:ascii="Tahoma" w:hAnsi="Tahoma" w:cs="Tahoma"/>
      <w:sz w:val="16"/>
      <w:szCs w:val="16"/>
      <w:lang w:val="pl-PL"/>
    </w:rPr>
  </w:style>
  <w:style w:type="character" w:styleId="Tytuksiki">
    <w:name w:val="Book Title"/>
    <w:uiPriority w:val="98"/>
    <w:semiHidden/>
    <w:qFormat/>
    <w:rsid w:val="002B5B43"/>
    <w:rPr>
      <w:i/>
      <w:iCs/>
      <w:smallCaps/>
      <w:spacing w:val="5"/>
    </w:rPr>
  </w:style>
  <w:style w:type="paragraph" w:customStyle="1" w:styleId="JuHeader">
    <w:name w:val="Ju_Header"/>
    <w:aliases w:val="_Header"/>
    <w:basedOn w:val="Nagwek"/>
    <w:uiPriority w:val="29"/>
    <w:qFormat/>
    <w:rsid w:val="002B5B43"/>
    <w:pPr>
      <w:tabs>
        <w:tab w:val="clear" w:pos="4536"/>
        <w:tab w:val="clear" w:pos="9072"/>
      </w:tabs>
      <w:jc w:val="center"/>
    </w:pPr>
    <w:rPr>
      <w:sz w:val="18"/>
    </w:rPr>
  </w:style>
  <w:style w:type="paragraph" w:customStyle="1" w:styleId="NormalJustified">
    <w:name w:val="Normal_Justified"/>
    <w:basedOn w:val="Normalny"/>
    <w:semiHidden/>
    <w:rsid w:val="002B5B43"/>
    <w:pPr>
      <w:jc w:val="both"/>
    </w:pPr>
  </w:style>
  <w:style w:type="character" w:styleId="Pogrubienie">
    <w:name w:val="Strong"/>
    <w:uiPriority w:val="98"/>
    <w:semiHidden/>
    <w:qFormat/>
    <w:rsid w:val="002B5B43"/>
    <w:rPr>
      <w:b/>
      <w:bCs/>
    </w:rPr>
  </w:style>
  <w:style w:type="paragraph" w:styleId="Bezodstpw">
    <w:name w:val="No Spacing"/>
    <w:basedOn w:val="Normalny"/>
    <w:link w:val="BezodstpwZnak"/>
    <w:uiPriority w:val="98"/>
    <w:semiHidden/>
    <w:qFormat/>
    <w:rsid w:val="002B5B43"/>
  </w:style>
  <w:style w:type="character" w:customStyle="1" w:styleId="BezodstpwZnak">
    <w:name w:val="Bez odstępów Znak"/>
    <w:basedOn w:val="Domylnaczcionkaakapitu"/>
    <w:link w:val="Bezodstpw"/>
    <w:uiPriority w:val="98"/>
    <w:rsid w:val="002B5B43"/>
    <w:rPr>
      <w:sz w:val="24"/>
      <w:szCs w:val="24"/>
      <w:lang w:val="pl-PL"/>
    </w:rPr>
  </w:style>
  <w:style w:type="paragraph" w:customStyle="1" w:styleId="JuQuot">
    <w:name w:val="Ju_Quot"/>
    <w:aliases w:val="_Quote"/>
    <w:basedOn w:val="NormalJustified"/>
    <w:link w:val="JuQuotChar"/>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ny"/>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B5B43"/>
    <w:pPr>
      <w:numPr>
        <w:numId w:val="4"/>
      </w:numPr>
    </w:pPr>
  </w:style>
  <w:style w:type="paragraph" w:customStyle="1" w:styleId="JuSigned">
    <w:name w:val="Ju_Signed"/>
    <w:aliases w:val="_Signature"/>
    <w:basedOn w:val="Normalny"/>
    <w:next w:val="JuPara"/>
    <w:uiPriority w:val="31"/>
    <w:qFormat/>
    <w:rsid w:val="002B5B43"/>
    <w:pPr>
      <w:tabs>
        <w:tab w:val="center" w:pos="1418"/>
        <w:tab w:val="center" w:pos="5954"/>
      </w:tabs>
      <w:spacing w:before="720"/>
    </w:pPr>
  </w:style>
  <w:style w:type="paragraph" w:styleId="Tytu">
    <w:name w:val="Title"/>
    <w:basedOn w:val="Normalny"/>
    <w:next w:val="Normalny"/>
    <w:link w:val="TytuZnak"/>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2B5B43"/>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B5B43"/>
    <w:pPr>
      <w:numPr>
        <w:numId w:val="5"/>
      </w:numPr>
    </w:pPr>
  </w:style>
  <w:style w:type="numbering" w:customStyle="1" w:styleId="ECHRA1StyleNumberedList">
    <w:name w:val="ECHR_A1_Style_Numbered_List"/>
    <w:basedOn w:val="Bezlisty"/>
    <w:rsid w:val="002B5B43"/>
    <w:pPr>
      <w:numPr>
        <w:numId w:val="6"/>
      </w:numPr>
    </w:pPr>
  </w:style>
  <w:style w:type="table" w:customStyle="1" w:styleId="ECHRTable2019">
    <w:name w:val="ECHR_Table_2019"/>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B5B43"/>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B5B43"/>
    <w:pPr>
      <w:tabs>
        <w:tab w:val="center" w:pos="4536"/>
        <w:tab w:val="right" w:pos="9072"/>
      </w:tabs>
    </w:pPr>
  </w:style>
  <w:style w:type="character" w:customStyle="1" w:styleId="NagwekZnak">
    <w:name w:val="Nagłówek Znak"/>
    <w:basedOn w:val="Domylnaczcionkaakapitu"/>
    <w:link w:val="Nagwek"/>
    <w:uiPriority w:val="98"/>
    <w:semiHidden/>
    <w:rsid w:val="002B5B43"/>
    <w:rPr>
      <w:sz w:val="24"/>
      <w:szCs w:val="24"/>
      <w:lang w:val="pl-PL"/>
    </w:rPr>
  </w:style>
  <w:style w:type="character" w:customStyle="1" w:styleId="Nagwek1Znak">
    <w:name w:val="Nagłówek 1 Znak"/>
    <w:basedOn w:val="Domylnaczcionkaakapitu"/>
    <w:link w:val="Nagwek1"/>
    <w:uiPriority w:val="98"/>
    <w:rsid w:val="002B5B43"/>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B5B43"/>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B5B43"/>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B5B43"/>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ny"/>
    <w:uiPriority w:val="32"/>
    <w:qFormat/>
    <w:rsid w:val="002B5B43"/>
    <w:pPr>
      <w:tabs>
        <w:tab w:val="left" w:pos="567"/>
        <w:tab w:val="left" w:pos="1134"/>
      </w:tabs>
    </w:pPr>
  </w:style>
  <w:style w:type="character" w:customStyle="1" w:styleId="Nagwek4Znak">
    <w:name w:val="Nagłówek 4 Znak"/>
    <w:basedOn w:val="Domylnaczcionkaakapitu"/>
    <w:link w:val="Nagwek4"/>
    <w:uiPriority w:val="98"/>
    <w:semiHidden/>
    <w:rsid w:val="002B5B43"/>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B5B43"/>
    <w:pPr>
      <w:tabs>
        <w:tab w:val="center" w:pos="6407"/>
      </w:tabs>
      <w:spacing w:before="720"/>
      <w:jc w:val="right"/>
    </w:pPr>
  </w:style>
  <w:style w:type="character" w:customStyle="1" w:styleId="Nagwek5Znak">
    <w:name w:val="Nagłówek 5 Znak"/>
    <w:basedOn w:val="Domylnaczcionkaakapitu"/>
    <w:link w:val="Nagwek5"/>
    <w:uiPriority w:val="98"/>
    <w:semiHidden/>
    <w:rsid w:val="002B5B43"/>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Wyrnieniedelikatne">
    <w:name w:val="Subtle Emphasis"/>
    <w:uiPriority w:val="98"/>
    <w:semiHidden/>
    <w:qFormat/>
    <w:rsid w:val="002B5B43"/>
    <w:rPr>
      <w:i/>
      <w:iCs/>
    </w:rPr>
  </w:style>
  <w:style w:type="table" w:customStyle="1" w:styleId="ECHRTable">
    <w:name w:val="ECHR_Table"/>
    <w:basedOn w:val="Standardowy"/>
    <w:rsid w:val="002B5B43"/>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B5B43"/>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B5B43"/>
    <w:rPr>
      <w:b/>
      <w:bCs/>
      <w:i/>
      <w:iCs/>
      <w:spacing w:val="10"/>
      <w:bdr w:val="none" w:sz="0" w:space="0" w:color="auto"/>
      <w:shd w:val="clear" w:color="auto" w:fill="auto"/>
    </w:rPr>
  </w:style>
  <w:style w:type="paragraph" w:styleId="Stopka">
    <w:name w:val="footer"/>
    <w:basedOn w:val="Normalny"/>
    <w:link w:val="StopkaZnak"/>
    <w:uiPriority w:val="98"/>
    <w:semiHidden/>
    <w:rsid w:val="002B5B43"/>
    <w:pPr>
      <w:tabs>
        <w:tab w:val="center" w:pos="3686"/>
        <w:tab w:val="right" w:pos="7371"/>
      </w:tabs>
    </w:pPr>
  </w:style>
  <w:style w:type="character" w:customStyle="1" w:styleId="StopkaZnak">
    <w:name w:val="Stopka Znak"/>
    <w:basedOn w:val="Domylnaczcionkaakapitu"/>
    <w:link w:val="Stopka"/>
    <w:uiPriority w:val="98"/>
    <w:semiHidden/>
    <w:rsid w:val="002B5B43"/>
    <w:rPr>
      <w:sz w:val="24"/>
      <w:szCs w:val="24"/>
      <w:lang w:val="pl-PL"/>
    </w:rPr>
  </w:style>
  <w:style w:type="character" w:styleId="Odwoanieprzypisudolnego">
    <w:name w:val="footnote reference"/>
    <w:basedOn w:val="Domylnaczcionkaakapitu"/>
    <w:uiPriority w:val="98"/>
    <w:semiHidden/>
    <w:rsid w:val="002B5B43"/>
    <w:rPr>
      <w:vertAlign w:val="superscript"/>
    </w:rPr>
  </w:style>
  <w:style w:type="paragraph" w:styleId="Tekstprzypisudolnego">
    <w:name w:val="footnote text"/>
    <w:basedOn w:val="NormalJustified"/>
    <w:link w:val="TekstprzypisudolnegoZnak"/>
    <w:uiPriority w:val="98"/>
    <w:semiHidden/>
    <w:rsid w:val="002B5B43"/>
    <w:rPr>
      <w:sz w:val="20"/>
      <w:szCs w:val="20"/>
    </w:rPr>
  </w:style>
  <w:style w:type="character" w:customStyle="1" w:styleId="TekstprzypisudolnegoZnak">
    <w:name w:val="Tekst przypisu dolnego Znak"/>
    <w:basedOn w:val="Domylnaczcionkaakapitu"/>
    <w:link w:val="Tekstprzypisudolnego"/>
    <w:uiPriority w:val="98"/>
    <w:semiHidden/>
    <w:rsid w:val="002B5B43"/>
    <w:rPr>
      <w:sz w:val="20"/>
      <w:szCs w:val="20"/>
      <w:lang w:val="pl-PL"/>
    </w:rPr>
  </w:style>
  <w:style w:type="character" w:customStyle="1" w:styleId="Nagwek6Znak">
    <w:name w:val="Nagłówek 6 Znak"/>
    <w:basedOn w:val="Domylnaczcionkaakapitu"/>
    <w:link w:val="Nagwek6"/>
    <w:uiPriority w:val="98"/>
    <w:semiHidden/>
    <w:rsid w:val="002B5B43"/>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B5B43"/>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B5B43"/>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B5B43"/>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B5B43"/>
    <w:rPr>
      <w:color w:val="0072BC" w:themeColor="hyperlink"/>
      <w:u w:val="single"/>
    </w:rPr>
  </w:style>
  <w:style w:type="character" w:styleId="Wyrnienieintensywne">
    <w:name w:val="Intense Emphasis"/>
    <w:uiPriority w:val="98"/>
    <w:semiHidden/>
    <w:qFormat/>
    <w:rsid w:val="002B5B43"/>
    <w:rPr>
      <w:b/>
      <w:bCs/>
    </w:rPr>
  </w:style>
  <w:style w:type="paragraph" w:styleId="Cytatintensywny">
    <w:name w:val="Intense Quote"/>
    <w:basedOn w:val="Normalny"/>
    <w:next w:val="Normalny"/>
    <w:link w:val="CytatintensywnyZnak"/>
    <w:uiPriority w:val="98"/>
    <w:semiHidden/>
    <w:qFormat/>
    <w:rsid w:val="002B5B4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2B5B43"/>
    <w:rPr>
      <w:b/>
      <w:bCs/>
      <w:i/>
      <w:iCs/>
      <w:sz w:val="24"/>
      <w:szCs w:val="24"/>
      <w:lang w:val="pl-PL" w:bidi="en-US"/>
    </w:rPr>
  </w:style>
  <w:style w:type="character" w:styleId="Odwoanieintensywne">
    <w:name w:val="Intense Reference"/>
    <w:uiPriority w:val="98"/>
    <w:semiHidden/>
    <w:qFormat/>
    <w:rsid w:val="002B5B43"/>
    <w:rPr>
      <w:smallCaps/>
      <w:spacing w:val="5"/>
      <w:u w:val="single"/>
    </w:rPr>
  </w:style>
  <w:style w:type="paragraph" w:styleId="Akapitzlist">
    <w:name w:val="List Paragraph"/>
    <w:basedOn w:val="Normalny"/>
    <w:uiPriority w:val="98"/>
    <w:semiHidden/>
    <w:qFormat/>
    <w:rsid w:val="002B5B43"/>
    <w:pPr>
      <w:ind w:left="720"/>
      <w:contextualSpacing/>
    </w:pPr>
  </w:style>
  <w:style w:type="table" w:customStyle="1" w:styleId="LtrTableAddress">
    <w:name w:val="Ltr_Table_Address"/>
    <w:aliases w:val="ECHR_Ltr_Table_Address"/>
    <w:basedOn w:val="Standardowy"/>
    <w:uiPriority w:val="99"/>
    <w:rsid w:val="002B5B43"/>
    <w:rPr>
      <w:sz w:val="24"/>
      <w:szCs w:val="24"/>
    </w:rPr>
    <w:tblPr>
      <w:tblInd w:w="5103" w:type="dxa"/>
    </w:tblPr>
  </w:style>
  <w:style w:type="paragraph" w:styleId="Cytat">
    <w:name w:val="Quote"/>
    <w:basedOn w:val="Normalny"/>
    <w:next w:val="Normalny"/>
    <w:link w:val="CytatZnak"/>
    <w:uiPriority w:val="98"/>
    <w:semiHidden/>
    <w:qFormat/>
    <w:rsid w:val="002B5B43"/>
    <w:pPr>
      <w:spacing w:before="200"/>
      <w:ind w:left="360" w:right="360"/>
    </w:pPr>
    <w:rPr>
      <w:i/>
      <w:iCs/>
      <w:lang w:bidi="en-US"/>
    </w:rPr>
  </w:style>
  <w:style w:type="character" w:customStyle="1" w:styleId="CytatZnak">
    <w:name w:val="Cytat Znak"/>
    <w:basedOn w:val="Domylnaczcionkaakapitu"/>
    <w:link w:val="Cytat"/>
    <w:uiPriority w:val="98"/>
    <w:rsid w:val="002B5B43"/>
    <w:rPr>
      <w:i/>
      <w:iCs/>
      <w:sz w:val="24"/>
      <w:szCs w:val="24"/>
      <w:lang w:val="pl-PL" w:bidi="en-US"/>
    </w:rPr>
  </w:style>
  <w:style w:type="character" w:styleId="Odwoaniedelikatne">
    <w:name w:val="Subtle Reference"/>
    <w:uiPriority w:val="98"/>
    <w:semiHidden/>
    <w:qFormat/>
    <w:rsid w:val="002B5B43"/>
    <w:rPr>
      <w:smallCaps/>
    </w:rPr>
  </w:style>
  <w:style w:type="table" w:styleId="Tabela-Siatka">
    <w:name w:val="Table Grid"/>
    <w:basedOn w:val="Standardowy"/>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B5B4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B5B4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B5B4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B5B4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B5B43"/>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B5B43"/>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2B5B43"/>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B5B43"/>
    <w:pPr>
      <w:numPr>
        <w:numId w:val="1"/>
      </w:numPr>
    </w:pPr>
  </w:style>
  <w:style w:type="paragraph" w:customStyle="1" w:styleId="JuPara">
    <w:name w:val="Ju_Para"/>
    <w:aliases w:val="_Para"/>
    <w:basedOn w:val="NormalJustified"/>
    <w:link w:val="JuParaChar"/>
    <w:uiPriority w:val="12"/>
    <w:qFormat/>
    <w:rsid w:val="002B5B43"/>
    <w:pPr>
      <w:ind w:firstLine="284"/>
    </w:pPr>
  </w:style>
  <w:style w:type="numbering" w:styleId="1ai">
    <w:name w:val="Outline List 1"/>
    <w:basedOn w:val="Bezlisty"/>
    <w:uiPriority w:val="99"/>
    <w:semiHidden/>
    <w:unhideWhenUsed/>
    <w:rsid w:val="002B5B43"/>
    <w:pPr>
      <w:numPr>
        <w:numId w:val="2"/>
      </w:numPr>
    </w:pPr>
  </w:style>
  <w:style w:type="table" w:customStyle="1" w:styleId="ECHRTableSimpleBox">
    <w:name w:val="ECHR_Table_Simple_Box"/>
    <w:basedOn w:val="Standardowy"/>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B5B43"/>
    <w:pPr>
      <w:numPr>
        <w:numId w:val="3"/>
      </w:numPr>
    </w:pPr>
  </w:style>
  <w:style w:type="table" w:customStyle="1" w:styleId="ECHRTableForInternalUse">
    <w:name w:val="ECHR_Table_For_Internal_Use"/>
    <w:basedOn w:val="Standardowy"/>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B5B43"/>
  </w:style>
  <w:style w:type="paragraph" w:styleId="Tekstblokowy">
    <w:name w:val="Block Text"/>
    <w:basedOn w:val="Normalny"/>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B5B43"/>
    <w:pPr>
      <w:spacing w:after="120"/>
    </w:pPr>
  </w:style>
  <w:style w:type="character" w:customStyle="1" w:styleId="TekstpodstawowyZnak">
    <w:name w:val="Tekst podstawowy Znak"/>
    <w:basedOn w:val="Domylnaczcionkaakapitu"/>
    <w:link w:val="Tekstpodstawowy"/>
    <w:uiPriority w:val="98"/>
    <w:semiHidden/>
    <w:rsid w:val="002B5B43"/>
    <w:rPr>
      <w:sz w:val="24"/>
      <w:szCs w:val="24"/>
      <w:lang w:val="pl-PL"/>
    </w:rPr>
  </w:style>
  <w:style w:type="table" w:customStyle="1" w:styleId="ECHRTableOddBanded">
    <w:name w:val="ECHR_Table_Odd_Banded"/>
    <w:basedOn w:val="Standardowy"/>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B5B43"/>
    <w:pPr>
      <w:spacing w:after="120" w:line="480" w:lineRule="auto"/>
    </w:pPr>
  </w:style>
  <w:style w:type="table" w:customStyle="1" w:styleId="ECHRHeaderTableReduced">
    <w:name w:val="ECHR_Header_Table_Reduced"/>
    <w:basedOn w:val="Standardowy"/>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Numerstrony">
    <w:name w:val="page number"/>
    <w:uiPriority w:val="98"/>
    <w:semiHidden/>
    <w:rsid w:val="002B5B43"/>
    <w:rPr>
      <w:sz w:val="18"/>
    </w:rPr>
  </w:style>
  <w:style w:type="paragraph" w:styleId="Listapunktowana">
    <w:name w:val="List Bullet"/>
    <w:basedOn w:val="Normalny"/>
    <w:uiPriority w:val="98"/>
    <w:semiHidden/>
    <w:rsid w:val="002B5B43"/>
    <w:pPr>
      <w:numPr>
        <w:numId w:val="11"/>
      </w:numPr>
    </w:pPr>
  </w:style>
  <w:style w:type="paragraph" w:styleId="Listapunktowana3">
    <w:name w:val="List Bullet 3"/>
    <w:basedOn w:val="Normalny"/>
    <w:uiPriority w:val="98"/>
    <w:semiHidden/>
    <w:rsid w:val="002B5B43"/>
    <w:pPr>
      <w:numPr>
        <w:numId w:val="13"/>
      </w:numPr>
      <w:contextualSpacing/>
    </w:pPr>
  </w:style>
  <w:style w:type="character" w:customStyle="1" w:styleId="Tekstpodstawowy2Znak">
    <w:name w:val="Tekst podstawowy 2 Znak"/>
    <w:basedOn w:val="Domylnaczcionkaakapitu"/>
    <w:link w:val="Tekstpodstawowy2"/>
    <w:uiPriority w:val="98"/>
    <w:semiHidden/>
    <w:rsid w:val="002B5B43"/>
    <w:rPr>
      <w:sz w:val="24"/>
      <w:szCs w:val="24"/>
      <w:lang w:val="pl-PL"/>
    </w:rPr>
  </w:style>
  <w:style w:type="paragraph" w:styleId="Tekstpodstawowy3">
    <w:name w:val="Body Text 3"/>
    <w:basedOn w:val="Normalny"/>
    <w:link w:val="Tekstpodstawowy3Znak"/>
    <w:uiPriority w:val="98"/>
    <w:semiHidden/>
    <w:rsid w:val="002B5B43"/>
    <w:pPr>
      <w:spacing w:after="120"/>
    </w:pPr>
    <w:rPr>
      <w:sz w:val="16"/>
      <w:szCs w:val="16"/>
    </w:rPr>
  </w:style>
  <w:style w:type="character" w:customStyle="1" w:styleId="Tekstpodstawowy3Znak">
    <w:name w:val="Tekst podstawowy 3 Znak"/>
    <w:basedOn w:val="Domylnaczcionkaakapitu"/>
    <w:link w:val="Tekstpodstawowy3"/>
    <w:uiPriority w:val="98"/>
    <w:semiHidden/>
    <w:rsid w:val="002B5B43"/>
    <w:rPr>
      <w:sz w:val="16"/>
      <w:szCs w:val="16"/>
      <w:lang w:val="pl-PL"/>
    </w:rPr>
  </w:style>
  <w:style w:type="paragraph" w:styleId="Tekstpodstawowyzwciciem">
    <w:name w:val="Body Text First Indent"/>
    <w:basedOn w:val="Tekstpodstawowy"/>
    <w:link w:val="TekstpodstawowyzwciciemZnak"/>
    <w:uiPriority w:val="98"/>
    <w:semiHidden/>
    <w:rsid w:val="002B5B4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B5B43"/>
    <w:rPr>
      <w:sz w:val="24"/>
      <w:szCs w:val="24"/>
      <w:lang w:val="pl-PL"/>
    </w:rPr>
  </w:style>
  <w:style w:type="paragraph" w:styleId="Tekstpodstawowywcity">
    <w:name w:val="Body Text Indent"/>
    <w:basedOn w:val="Normalny"/>
    <w:link w:val="TekstpodstawowywcityZnak"/>
    <w:uiPriority w:val="98"/>
    <w:semiHidden/>
    <w:rsid w:val="002B5B43"/>
    <w:pPr>
      <w:spacing w:after="120"/>
      <w:ind w:left="283"/>
    </w:pPr>
  </w:style>
  <w:style w:type="character" w:customStyle="1" w:styleId="TekstpodstawowywcityZnak">
    <w:name w:val="Tekst podstawowy wcięty Znak"/>
    <w:basedOn w:val="Domylnaczcionkaakapitu"/>
    <w:link w:val="Tekstpodstawowywcity"/>
    <w:uiPriority w:val="98"/>
    <w:semiHidden/>
    <w:rsid w:val="002B5B43"/>
    <w:rPr>
      <w:sz w:val="24"/>
      <w:szCs w:val="24"/>
      <w:lang w:val="pl-PL"/>
    </w:rPr>
  </w:style>
  <w:style w:type="paragraph" w:styleId="Tekstpodstawowyzwciciem2">
    <w:name w:val="Body Text First Indent 2"/>
    <w:basedOn w:val="Tekstpodstawowywcity"/>
    <w:link w:val="Tekstpodstawowyzwciciem2Znak"/>
    <w:uiPriority w:val="98"/>
    <w:semiHidden/>
    <w:rsid w:val="002B5B4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B5B43"/>
    <w:rPr>
      <w:sz w:val="24"/>
      <w:szCs w:val="24"/>
      <w:lang w:val="pl-PL"/>
    </w:rPr>
  </w:style>
  <w:style w:type="paragraph" w:styleId="Tekstpodstawowywcity2">
    <w:name w:val="Body Text Indent 2"/>
    <w:basedOn w:val="Normalny"/>
    <w:link w:val="Tekstpodstawowywcity2Znak"/>
    <w:uiPriority w:val="98"/>
    <w:semiHidden/>
    <w:rsid w:val="002B5B4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B5B43"/>
    <w:rPr>
      <w:sz w:val="24"/>
      <w:szCs w:val="24"/>
      <w:lang w:val="pl-PL"/>
    </w:rPr>
  </w:style>
  <w:style w:type="paragraph" w:styleId="Tekstpodstawowywcity3">
    <w:name w:val="Body Text Indent 3"/>
    <w:basedOn w:val="Normalny"/>
    <w:link w:val="Tekstpodstawowywcity3Znak"/>
    <w:uiPriority w:val="98"/>
    <w:semiHidden/>
    <w:rsid w:val="002B5B4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B5B43"/>
    <w:rPr>
      <w:sz w:val="16"/>
      <w:szCs w:val="16"/>
      <w:lang w:val="pl-PL"/>
    </w:rPr>
  </w:style>
  <w:style w:type="paragraph" w:styleId="Legenda">
    <w:name w:val="caption"/>
    <w:basedOn w:val="Normalny"/>
    <w:next w:val="Normalny"/>
    <w:uiPriority w:val="98"/>
    <w:semiHidden/>
    <w:qFormat/>
    <w:rsid w:val="002B5B43"/>
    <w:pPr>
      <w:spacing w:after="200"/>
    </w:pPr>
    <w:rPr>
      <w:b/>
      <w:bCs/>
      <w:color w:val="0072BC" w:themeColor="accent1"/>
      <w:sz w:val="18"/>
      <w:szCs w:val="18"/>
    </w:rPr>
  </w:style>
  <w:style w:type="paragraph" w:styleId="Zwrotpoegnalny">
    <w:name w:val="Closing"/>
    <w:basedOn w:val="Normalny"/>
    <w:link w:val="ZwrotpoegnalnyZnak"/>
    <w:uiPriority w:val="98"/>
    <w:semiHidden/>
    <w:rsid w:val="002B5B43"/>
    <w:pPr>
      <w:ind w:left="4252"/>
    </w:pPr>
  </w:style>
  <w:style w:type="character" w:customStyle="1" w:styleId="ZwrotpoegnalnyZnak">
    <w:name w:val="Zwrot pożegnalny Znak"/>
    <w:basedOn w:val="Domylnaczcionkaakapitu"/>
    <w:link w:val="Zwrotpoegnalny"/>
    <w:uiPriority w:val="98"/>
    <w:semiHidden/>
    <w:rsid w:val="002B5B43"/>
    <w:rPr>
      <w:sz w:val="24"/>
      <w:szCs w:val="24"/>
      <w:lang w:val="pl-PL"/>
    </w:rPr>
  </w:style>
  <w:style w:type="table" w:styleId="Kolorowasiatka">
    <w:name w:val="Colorful Grid"/>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unhideWhenUsed/>
    <w:rPr>
      <w:sz w:val="20"/>
      <w:szCs w:val="20"/>
    </w:rPr>
  </w:style>
  <w:style w:type="character" w:customStyle="1" w:styleId="TekstkomentarzaZnak">
    <w:name w:val="Tekst komentarza Znak"/>
    <w:basedOn w:val="Domylnaczcionkaakapitu"/>
    <w:link w:val="Tekstkomentarza"/>
    <w:uiPriority w:val="98"/>
    <w:rsid w:val="002B5B43"/>
    <w:rPr>
      <w:sz w:val="20"/>
      <w:szCs w:val="20"/>
      <w:lang w:val="pl-PL"/>
    </w:rPr>
  </w:style>
  <w:style w:type="paragraph" w:styleId="Tematkomentarza">
    <w:name w:val="annotation subject"/>
    <w:basedOn w:val="Tekstkomentarza"/>
    <w:next w:val="Tekstkomentarza"/>
    <w:link w:val="TematkomentarzaZnak"/>
    <w:uiPriority w:val="98"/>
    <w:semiHidden/>
    <w:rsid w:val="002B5B43"/>
    <w:rPr>
      <w:b/>
      <w:bCs/>
    </w:rPr>
  </w:style>
  <w:style w:type="character" w:customStyle="1" w:styleId="TematkomentarzaZnak">
    <w:name w:val="Temat komentarza Znak"/>
    <w:basedOn w:val="TekstkomentarzaZnak"/>
    <w:link w:val="Tematkomentarza"/>
    <w:uiPriority w:val="98"/>
    <w:semiHidden/>
    <w:rsid w:val="002B5B43"/>
    <w:rPr>
      <w:b/>
      <w:bCs/>
      <w:sz w:val="20"/>
      <w:szCs w:val="20"/>
      <w:lang w:val="pl-PL"/>
    </w:rPr>
  </w:style>
  <w:style w:type="table" w:styleId="Ciemnalista">
    <w:name w:val="Dark List"/>
    <w:basedOn w:val="Standardowy"/>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B5B43"/>
  </w:style>
  <w:style w:type="character" w:customStyle="1" w:styleId="DataZnak">
    <w:name w:val="Data Znak"/>
    <w:basedOn w:val="Domylnaczcionkaakapitu"/>
    <w:link w:val="Data"/>
    <w:uiPriority w:val="98"/>
    <w:semiHidden/>
    <w:rsid w:val="002B5B43"/>
    <w:rPr>
      <w:sz w:val="24"/>
      <w:szCs w:val="24"/>
      <w:lang w:val="pl-PL"/>
    </w:rPr>
  </w:style>
  <w:style w:type="paragraph" w:styleId="Mapadokumentu">
    <w:name w:val="Document Map"/>
    <w:basedOn w:val="Normalny"/>
    <w:link w:val="MapadokumentuZnak"/>
    <w:uiPriority w:val="98"/>
    <w:semiHidden/>
    <w:rsid w:val="002B5B43"/>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B5B43"/>
    <w:rPr>
      <w:rFonts w:ascii="Tahoma" w:hAnsi="Tahoma" w:cs="Tahoma"/>
      <w:sz w:val="16"/>
      <w:szCs w:val="16"/>
      <w:lang w:val="pl-PL"/>
    </w:rPr>
  </w:style>
  <w:style w:type="paragraph" w:styleId="Podpise-mail">
    <w:name w:val="E-mail Signature"/>
    <w:basedOn w:val="Normalny"/>
    <w:link w:val="Podpise-mailZnak"/>
    <w:uiPriority w:val="98"/>
    <w:semiHidden/>
    <w:rsid w:val="002B5B43"/>
  </w:style>
  <w:style w:type="character" w:customStyle="1" w:styleId="Podpise-mailZnak">
    <w:name w:val="Podpis e-mail Znak"/>
    <w:basedOn w:val="Domylnaczcionkaakapitu"/>
    <w:link w:val="Podpise-mail"/>
    <w:uiPriority w:val="98"/>
    <w:semiHidden/>
    <w:rsid w:val="002B5B43"/>
    <w:rPr>
      <w:sz w:val="24"/>
      <w:szCs w:val="24"/>
      <w:lang w:val="pl-PL"/>
    </w:rPr>
  </w:style>
  <w:style w:type="character" w:styleId="Odwoanieprzypisukocowego">
    <w:name w:val="endnote reference"/>
    <w:basedOn w:val="Domylnaczcionkaakapitu"/>
    <w:uiPriority w:val="98"/>
    <w:semiHidden/>
    <w:rsid w:val="002B5B43"/>
    <w:rPr>
      <w:vertAlign w:val="superscript"/>
    </w:rPr>
  </w:style>
  <w:style w:type="paragraph" w:styleId="Tekstprzypisukocowego">
    <w:name w:val="endnote text"/>
    <w:basedOn w:val="Normalny"/>
    <w:link w:val="TekstprzypisukocowegoZnak"/>
    <w:uiPriority w:val="98"/>
    <w:semiHidden/>
    <w:rsid w:val="002B5B43"/>
    <w:rPr>
      <w:sz w:val="20"/>
      <w:szCs w:val="20"/>
    </w:rPr>
  </w:style>
  <w:style w:type="character" w:customStyle="1" w:styleId="TekstprzypisukocowegoZnak">
    <w:name w:val="Tekst przypisu końcowego Znak"/>
    <w:basedOn w:val="Domylnaczcionkaakapitu"/>
    <w:link w:val="Tekstprzypisukocowego"/>
    <w:uiPriority w:val="98"/>
    <w:semiHidden/>
    <w:rsid w:val="002B5B43"/>
    <w:rPr>
      <w:sz w:val="20"/>
      <w:szCs w:val="20"/>
      <w:lang w:val="pl-PL"/>
    </w:rPr>
  </w:style>
  <w:style w:type="paragraph" w:styleId="Adresnakopercie">
    <w:name w:val="envelope address"/>
    <w:basedOn w:val="Normalny"/>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B5B43"/>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B5B43"/>
    <w:rPr>
      <w:color w:val="7030A0" w:themeColor="followedHyperlink"/>
      <w:u w:val="single"/>
    </w:rPr>
  </w:style>
  <w:style w:type="character" w:styleId="HTML-akronim">
    <w:name w:val="HTML Acronym"/>
    <w:basedOn w:val="Domylnaczcionkaakapitu"/>
    <w:uiPriority w:val="98"/>
    <w:semiHidden/>
    <w:rsid w:val="002B5B43"/>
  </w:style>
  <w:style w:type="paragraph" w:styleId="HTML-adres">
    <w:name w:val="HTML Address"/>
    <w:basedOn w:val="Normalny"/>
    <w:link w:val="HTML-adresZnak"/>
    <w:uiPriority w:val="98"/>
    <w:semiHidden/>
    <w:rsid w:val="002B5B43"/>
    <w:rPr>
      <w:i/>
      <w:iCs/>
    </w:rPr>
  </w:style>
  <w:style w:type="character" w:customStyle="1" w:styleId="HTML-adresZnak">
    <w:name w:val="HTML - adres Znak"/>
    <w:basedOn w:val="Domylnaczcionkaakapitu"/>
    <w:link w:val="HTML-adres"/>
    <w:uiPriority w:val="98"/>
    <w:semiHidden/>
    <w:rsid w:val="002B5B43"/>
    <w:rPr>
      <w:i/>
      <w:iCs/>
      <w:sz w:val="24"/>
      <w:szCs w:val="24"/>
      <w:lang w:val="pl-PL"/>
    </w:rPr>
  </w:style>
  <w:style w:type="character" w:styleId="HTML-cytat">
    <w:name w:val="HTML Cite"/>
    <w:basedOn w:val="Domylnaczcionkaakapitu"/>
    <w:uiPriority w:val="98"/>
    <w:semiHidden/>
    <w:rsid w:val="002B5B43"/>
    <w:rPr>
      <w:i/>
      <w:iCs/>
    </w:rPr>
  </w:style>
  <w:style w:type="character" w:styleId="HTML-kod">
    <w:name w:val="HTML Code"/>
    <w:basedOn w:val="Domylnaczcionkaakapitu"/>
    <w:uiPriority w:val="98"/>
    <w:semiHidden/>
    <w:rsid w:val="002B5B43"/>
    <w:rPr>
      <w:rFonts w:ascii="Consolas" w:hAnsi="Consolas" w:cs="Consolas"/>
      <w:sz w:val="20"/>
      <w:szCs w:val="20"/>
    </w:rPr>
  </w:style>
  <w:style w:type="character" w:styleId="HTML-definicja">
    <w:name w:val="HTML Definition"/>
    <w:basedOn w:val="Domylnaczcionkaakapitu"/>
    <w:uiPriority w:val="98"/>
    <w:semiHidden/>
    <w:rsid w:val="002B5B43"/>
    <w:rPr>
      <w:i/>
      <w:iCs/>
    </w:rPr>
  </w:style>
  <w:style w:type="character" w:styleId="HTML-klawiatura">
    <w:name w:val="HTML Keyboard"/>
    <w:basedOn w:val="Domylnaczcionkaakapitu"/>
    <w:uiPriority w:val="98"/>
    <w:semiHidden/>
    <w:rsid w:val="002B5B43"/>
    <w:rPr>
      <w:rFonts w:ascii="Consolas" w:hAnsi="Consolas" w:cs="Consolas"/>
      <w:sz w:val="20"/>
      <w:szCs w:val="20"/>
    </w:rPr>
  </w:style>
  <w:style w:type="paragraph" w:styleId="HTML-wstpniesformatowany">
    <w:name w:val="HTML Preformatted"/>
    <w:basedOn w:val="Normalny"/>
    <w:link w:val="HTML-wstpniesformatowanyZnak"/>
    <w:uiPriority w:val="98"/>
    <w:semiHidden/>
    <w:rsid w:val="002B5B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B5B43"/>
    <w:rPr>
      <w:rFonts w:ascii="Consolas" w:hAnsi="Consolas" w:cs="Consolas"/>
      <w:sz w:val="20"/>
      <w:szCs w:val="20"/>
      <w:lang w:val="pl-PL"/>
    </w:rPr>
  </w:style>
  <w:style w:type="character" w:styleId="HTML-przykad">
    <w:name w:val="HTML Sample"/>
    <w:basedOn w:val="Domylnaczcionkaakapitu"/>
    <w:uiPriority w:val="98"/>
    <w:semiHidden/>
    <w:rsid w:val="002B5B43"/>
    <w:rPr>
      <w:rFonts w:ascii="Consolas" w:hAnsi="Consolas" w:cs="Consolas"/>
      <w:sz w:val="24"/>
      <w:szCs w:val="24"/>
    </w:rPr>
  </w:style>
  <w:style w:type="character" w:styleId="HTML-staaszeroko">
    <w:name w:val="HTML Typewriter"/>
    <w:basedOn w:val="Domylnaczcionkaakapitu"/>
    <w:uiPriority w:val="98"/>
    <w:semiHidden/>
    <w:rsid w:val="002B5B43"/>
    <w:rPr>
      <w:rFonts w:ascii="Consolas" w:hAnsi="Consolas" w:cs="Consolas"/>
      <w:sz w:val="20"/>
      <w:szCs w:val="20"/>
    </w:rPr>
  </w:style>
  <w:style w:type="character" w:styleId="HTML-zmienna">
    <w:name w:val="HTML Variable"/>
    <w:basedOn w:val="Domylnaczcionkaakapitu"/>
    <w:uiPriority w:val="98"/>
    <w:semiHidden/>
    <w:rsid w:val="002B5B43"/>
    <w:rPr>
      <w:i/>
      <w:iCs/>
    </w:rPr>
  </w:style>
  <w:style w:type="paragraph" w:styleId="Indeks1">
    <w:name w:val="index 1"/>
    <w:basedOn w:val="Normalny"/>
    <w:next w:val="Normalny"/>
    <w:autoRedefine/>
    <w:uiPriority w:val="98"/>
    <w:semiHidden/>
    <w:rsid w:val="002B5B43"/>
    <w:pPr>
      <w:ind w:left="240" w:hanging="240"/>
    </w:pPr>
  </w:style>
  <w:style w:type="paragraph" w:styleId="Indeks2">
    <w:name w:val="index 2"/>
    <w:basedOn w:val="Normalny"/>
    <w:next w:val="Normalny"/>
    <w:autoRedefine/>
    <w:uiPriority w:val="98"/>
    <w:semiHidden/>
    <w:rsid w:val="002B5B43"/>
    <w:pPr>
      <w:ind w:left="480" w:hanging="240"/>
    </w:pPr>
  </w:style>
  <w:style w:type="paragraph" w:styleId="Indeks3">
    <w:name w:val="index 3"/>
    <w:basedOn w:val="Normalny"/>
    <w:next w:val="Normalny"/>
    <w:autoRedefine/>
    <w:uiPriority w:val="98"/>
    <w:semiHidden/>
    <w:rsid w:val="002B5B43"/>
    <w:pPr>
      <w:ind w:left="720" w:hanging="240"/>
    </w:pPr>
  </w:style>
  <w:style w:type="paragraph" w:styleId="Indeks4">
    <w:name w:val="index 4"/>
    <w:basedOn w:val="Normalny"/>
    <w:next w:val="Normalny"/>
    <w:autoRedefine/>
    <w:uiPriority w:val="98"/>
    <w:semiHidden/>
    <w:rsid w:val="002B5B43"/>
    <w:pPr>
      <w:ind w:left="960" w:hanging="240"/>
    </w:pPr>
  </w:style>
  <w:style w:type="paragraph" w:styleId="Indeks5">
    <w:name w:val="index 5"/>
    <w:basedOn w:val="Normalny"/>
    <w:next w:val="Normalny"/>
    <w:autoRedefine/>
    <w:uiPriority w:val="98"/>
    <w:semiHidden/>
    <w:rsid w:val="002B5B43"/>
    <w:pPr>
      <w:ind w:left="1200" w:hanging="240"/>
    </w:pPr>
  </w:style>
  <w:style w:type="paragraph" w:styleId="Indeks6">
    <w:name w:val="index 6"/>
    <w:basedOn w:val="Normalny"/>
    <w:next w:val="Normalny"/>
    <w:autoRedefine/>
    <w:uiPriority w:val="98"/>
    <w:semiHidden/>
    <w:rsid w:val="002B5B43"/>
    <w:pPr>
      <w:ind w:left="1440" w:hanging="240"/>
    </w:pPr>
  </w:style>
  <w:style w:type="paragraph" w:styleId="Indeks7">
    <w:name w:val="index 7"/>
    <w:basedOn w:val="Normalny"/>
    <w:next w:val="Normalny"/>
    <w:autoRedefine/>
    <w:uiPriority w:val="98"/>
    <w:semiHidden/>
    <w:rsid w:val="002B5B43"/>
    <w:pPr>
      <w:ind w:left="1680" w:hanging="240"/>
    </w:pPr>
  </w:style>
  <w:style w:type="paragraph" w:styleId="Indeks8">
    <w:name w:val="index 8"/>
    <w:basedOn w:val="Normalny"/>
    <w:next w:val="Normalny"/>
    <w:autoRedefine/>
    <w:uiPriority w:val="98"/>
    <w:semiHidden/>
    <w:rsid w:val="002B5B43"/>
    <w:pPr>
      <w:ind w:left="1920" w:hanging="240"/>
    </w:pPr>
  </w:style>
  <w:style w:type="paragraph" w:styleId="Indeks9">
    <w:name w:val="index 9"/>
    <w:basedOn w:val="Normalny"/>
    <w:next w:val="Normalny"/>
    <w:autoRedefine/>
    <w:uiPriority w:val="98"/>
    <w:semiHidden/>
    <w:rsid w:val="002B5B43"/>
    <w:pPr>
      <w:ind w:left="2160" w:hanging="240"/>
    </w:pPr>
  </w:style>
  <w:style w:type="paragraph" w:styleId="Nagwekindeksu">
    <w:name w:val="index heading"/>
    <w:basedOn w:val="Normalny"/>
    <w:next w:val="Indeks1"/>
    <w:uiPriority w:val="98"/>
    <w:semiHidden/>
    <w:rsid w:val="002B5B43"/>
    <w:rPr>
      <w:rFonts w:asciiTheme="majorHAnsi" w:eastAsiaTheme="majorEastAsia" w:hAnsiTheme="majorHAnsi" w:cstheme="majorBidi"/>
      <w:b/>
      <w:bCs/>
    </w:rPr>
  </w:style>
  <w:style w:type="table" w:styleId="Jasnasiatka">
    <w:name w:val="Light Grid"/>
    <w:basedOn w:val="Standardowy"/>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B5B43"/>
  </w:style>
  <w:style w:type="paragraph" w:styleId="Lista">
    <w:name w:val="List"/>
    <w:basedOn w:val="Normalny"/>
    <w:uiPriority w:val="98"/>
    <w:semiHidden/>
    <w:rsid w:val="002B5B43"/>
    <w:pPr>
      <w:ind w:left="283" w:hanging="283"/>
      <w:contextualSpacing/>
    </w:pPr>
  </w:style>
  <w:style w:type="paragraph" w:styleId="Lista2">
    <w:name w:val="List 2"/>
    <w:basedOn w:val="Normalny"/>
    <w:uiPriority w:val="98"/>
    <w:semiHidden/>
    <w:rsid w:val="002B5B43"/>
    <w:pPr>
      <w:ind w:left="566" w:hanging="283"/>
      <w:contextualSpacing/>
    </w:pPr>
  </w:style>
  <w:style w:type="paragraph" w:styleId="Lista3">
    <w:name w:val="List 3"/>
    <w:basedOn w:val="Normalny"/>
    <w:uiPriority w:val="98"/>
    <w:semiHidden/>
    <w:rsid w:val="002B5B43"/>
    <w:pPr>
      <w:ind w:left="849" w:hanging="283"/>
      <w:contextualSpacing/>
    </w:pPr>
  </w:style>
  <w:style w:type="paragraph" w:styleId="Lista4">
    <w:name w:val="List 4"/>
    <w:basedOn w:val="Normalny"/>
    <w:uiPriority w:val="98"/>
    <w:semiHidden/>
    <w:rsid w:val="002B5B43"/>
    <w:pPr>
      <w:ind w:left="1132" w:hanging="283"/>
      <w:contextualSpacing/>
    </w:pPr>
  </w:style>
  <w:style w:type="paragraph" w:styleId="Lista5">
    <w:name w:val="List 5"/>
    <w:basedOn w:val="Normalny"/>
    <w:uiPriority w:val="98"/>
    <w:semiHidden/>
    <w:rsid w:val="002B5B43"/>
    <w:pPr>
      <w:ind w:left="1415" w:hanging="283"/>
      <w:contextualSpacing/>
    </w:pPr>
  </w:style>
  <w:style w:type="paragraph" w:styleId="Listapunktowana2">
    <w:name w:val="List Bullet 2"/>
    <w:basedOn w:val="Normalny"/>
    <w:uiPriority w:val="98"/>
    <w:semiHidden/>
    <w:rsid w:val="002B5B43"/>
    <w:pPr>
      <w:numPr>
        <w:numId w:val="12"/>
      </w:numPr>
      <w:contextualSpacing/>
    </w:pPr>
  </w:style>
  <w:style w:type="paragraph" w:styleId="Listapunktowana4">
    <w:name w:val="List Bullet 4"/>
    <w:basedOn w:val="Normalny"/>
    <w:uiPriority w:val="98"/>
    <w:semiHidden/>
    <w:rsid w:val="002B5B43"/>
    <w:pPr>
      <w:numPr>
        <w:numId w:val="14"/>
      </w:numPr>
      <w:contextualSpacing/>
    </w:pPr>
  </w:style>
  <w:style w:type="paragraph" w:styleId="Listapunktowana5">
    <w:name w:val="List Bullet 5"/>
    <w:basedOn w:val="Normalny"/>
    <w:uiPriority w:val="98"/>
    <w:semiHidden/>
    <w:rsid w:val="002B5B43"/>
    <w:pPr>
      <w:numPr>
        <w:numId w:val="15"/>
      </w:numPr>
      <w:contextualSpacing/>
    </w:pPr>
  </w:style>
  <w:style w:type="paragraph" w:styleId="Lista-kontynuacja">
    <w:name w:val="List Continue"/>
    <w:basedOn w:val="Normalny"/>
    <w:uiPriority w:val="98"/>
    <w:semiHidden/>
    <w:rsid w:val="002B5B43"/>
    <w:pPr>
      <w:spacing w:after="120"/>
      <w:ind w:left="283"/>
      <w:contextualSpacing/>
    </w:pPr>
  </w:style>
  <w:style w:type="paragraph" w:styleId="Lista-kontynuacja2">
    <w:name w:val="List Continue 2"/>
    <w:basedOn w:val="Normalny"/>
    <w:uiPriority w:val="98"/>
    <w:semiHidden/>
    <w:rsid w:val="002B5B43"/>
    <w:pPr>
      <w:spacing w:after="120"/>
      <w:ind w:left="566"/>
      <w:contextualSpacing/>
    </w:pPr>
  </w:style>
  <w:style w:type="paragraph" w:styleId="Lista-kontynuacja3">
    <w:name w:val="List Continue 3"/>
    <w:basedOn w:val="Normalny"/>
    <w:uiPriority w:val="98"/>
    <w:semiHidden/>
    <w:rsid w:val="002B5B43"/>
    <w:pPr>
      <w:spacing w:after="120"/>
      <w:ind w:left="849"/>
      <w:contextualSpacing/>
    </w:pPr>
  </w:style>
  <w:style w:type="paragraph" w:styleId="Lista-kontynuacja4">
    <w:name w:val="List Continue 4"/>
    <w:basedOn w:val="Normalny"/>
    <w:uiPriority w:val="98"/>
    <w:semiHidden/>
    <w:rsid w:val="002B5B43"/>
    <w:pPr>
      <w:spacing w:after="120"/>
      <w:ind w:left="1132"/>
      <w:contextualSpacing/>
    </w:pPr>
  </w:style>
  <w:style w:type="paragraph" w:styleId="Lista-kontynuacja5">
    <w:name w:val="List Continue 5"/>
    <w:basedOn w:val="Normalny"/>
    <w:uiPriority w:val="98"/>
    <w:semiHidden/>
    <w:rsid w:val="002B5B43"/>
    <w:pPr>
      <w:spacing w:after="120"/>
      <w:ind w:left="1415"/>
      <w:contextualSpacing/>
    </w:pPr>
  </w:style>
  <w:style w:type="paragraph" w:styleId="Listanumerowana">
    <w:name w:val="List Number"/>
    <w:basedOn w:val="Normalny"/>
    <w:uiPriority w:val="98"/>
    <w:semiHidden/>
    <w:rsid w:val="002B5B43"/>
    <w:pPr>
      <w:numPr>
        <w:numId w:val="16"/>
      </w:numPr>
      <w:contextualSpacing/>
    </w:pPr>
  </w:style>
  <w:style w:type="paragraph" w:styleId="Listanumerowana2">
    <w:name w:val="List Number 2"/>
    <w:basedOn w:val="Normalny"/>
    <w:uiPriority w:val="98"/>
    <w:semiHidden/>
    <w:rsid w:val="002B5B43"/>
    <w:pPr>
      <w:numPr>
        <w:numId w:val="17"/>
      </w:numPr>
      <w:contextualSpacing/>
    </w:pPr>
  </w:style>
  <w:style w:type="paragraph" w:styleId="Listanumerowana3">
    <w:name w:val="List Number 3"/>
    <w:basedOn w:val="Normalny"/>
    <w:uiPriority w:val="98"/>
    <w:semiHidden/>
    <w:rsid w:val="002B5B43"/>
    <w:pPr>
      <w:numPr>
        <w:numId w:val="18"/>
      </w:numPr>
      <w:contextualSpacing/>
    </w:pPr>
  </w:style>
  <w:style w:type="paragraph" w:styleId="Listanumerowana4">
    <w:name w:val="List Number 4"/>
    <w:basedOn w:val="Normalny"/>
    <w:uiPriority w:val="98"/>
    <w:semiHidden/>
    <w:rsid w:val="002B5B43"/>
    <w:pPr>
      <w:numPr>
        <w:numId w:val="19"/>
      </w:numPr>
      <w:contextualSpacing/>
    </w:pPr>
  </w:style>
  <w:style w:type="paragraph" w:styleId="Listanumerowana5">
    <w:name w:val="List Number 5"/>
    <w:basedOn w:val="Normalny"/>
    <w:uiPriority w:val="98"/>
    <w:semiHidden/>
    <w:rsid w:val="002B5B43"/>
    <w:pPr>
      <w:numPr>
        <w:numId w:val="20"/>
      </w:numPr>
      <w:contextualSpacing/>
    </w:pPr>
  </w:style>
  <w:style w:type="paragraph" w:styleId="Tekstmakra">
    <w:name w:val="macro"/>
    <w:link w:val="TekstmakraZnak"/>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B5B43"/>
    <w:rPr>
      <w:rFonts w:ascii="Consolas" w:eastAsiaTheme="minorEastAsia" w:hAnsi="Consolas" w:cs="Consolas"/>
      <w:sz w:val="20"/>
      <w:szCs w:val="20"/>
    </w:rPr>
  </w:style>
  <w:style w:type="table" w:styleId="redniasiatka1">
    <w:name w:val="Medium Grid 1"/>
    <w:basedOn w:val="Standardowy"/>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B5B43"/>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B5B43"/>
    <w:rPr>
      <w:rFonts w:ascii="Times New Roman" w:hAnsi="Times New Roman" w:cs="Times New Roman"/>
    </w:rPr>
  </w:style>
  <w:style w:type="paragraph" w:styleId="Wcicienormalne">
    <w:name w:val="Normal Indent"/>
    <w:basedOn w:val="Normalny"/>
    <w:uiPriority w:val="98"/>
    <w:semiHidden/>
    <w:rsid w:val="002B5B43"/>
    <w:pPr>
      <w:ind w:left="720"/>
    </w:pPr>
  </w:style>
  <w:style w:type="paragraph" w:styleId="Nagweknotatki">
    <w:name w:val="Note Heading"/>
    <w:basedOn w:val="Normalny"/>
    <w:next w:val="Normalny"/>
    <w:link w:val="NagweknotatkiZnak"/>
    <w:uiPriority w:val="98"/>
    <w:semiHidden/>
    <w:rsid w:val="002B5B43"/>
  </w:style>
  <w:style w:type="character" w:customStyle="1" w:styleId="NagweknotatkiZnak">
    <w:name w:val="Nagłówek notatki Znak"/>
    <w:basedOn w:val="Domylnaczcionkaakapitu"/>
    <w:link w:val="Nagweknotatki"/>
    <w:uiPriority w:val="98"/>
    <w:semiHidden/>
    <w:rsid w:val="002B5B43"/>
    <w:rPr>
      <w:sz w:val="24"/>
      <w:szCs w:val="24"/>
      <w:lang w:val="pl-PL"/>
    </w:rPr>
  </w:style>
  <w:style w:type="character" w:styleId="Tekstzastpczy">
    <w:name w:val="Placeholder Text"/>
    <w:basedOn w:val="Domylnaczcionkaakapitu"/>
    <w:uiPriority w:val="98"/>
    <w:semiHidden/>
    <w:rsid w:val="002B5B4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B5B43"/>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B5B43"/>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B5B43"/>
  </w:style>
  <w:style w:type="character" w:customStyle="1" w:styleId="ZwrotgrzecznociowyZnak">
    <w:name w:val="Zwrot grzecznościowy Znak"/>
    <w:basedOn w:val="Domylnaczcionkaakapitu"/>
    <w:link w:val="Zwrotgrzecznociowy"/>
    <w:uiPriority w:val="98"/>
    <w:semiHidden/>
    <w:rsid w:val="002B5B43"/>
    <w:rPr>
      <w:sz w:val="24"/>
      <w:szCs w:val="24"/>
      <w:lang w:val="pl-PL"/>
    </w:rPr>
  </w:style>
  <w:style w:type="paragraph" w:styleId="Podpis">
    <w:name w:val="Signature"/>
    <w:basedOn w:val="Normalny"/>
    <w:link w:val="PodpisZnak"/>
    <w:uiPriority w:val="98"/>
    <w:semiHidden/>
    <w:rsid w:val="002B5B43"/>
    <w:pPr>
      <w:ind w:left="4252"/>
    </w:pPr>
  </w:style>
  <w:style w:type="character" w:customStyle="1" w:styleId="PodpisZnak">
    <w:name w:val="Podpis Znak"/>
    <w:basedOn w:val="Domylnaczcionkaakapitu"/>
    <w:link w:val="Podpis"/>
    <w:uiPriority w:val="98"/>
    <w:semiHidden/>
    <w:rsid w:val="002B5B43"/>
    <w:rPr>
      <w:sz w:val="24"/>
      <w:szCs w:val="24"/>
      <w:lang w:val="pl-PL"/>
    </w:rPr>
  </w:style>
  <w:style w:type="table" w:styleId="Tabela-Efekty3D1">
    <w:name w:val="Table 3D effects 1"/>
    <w:basedOn w:val="Standardowy"/>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B5B43"/>
    <w:pPr>
      <w:ind w:left="240" w:hanging="240"/>
    </w:pPr>
  </w:style>
  <w:style w:type="paragraph" w:styleId="Spisilustracji">
    <w:name w:val="table of figures"/>
    <w:basedOn w:val="Normalny"/>
    <w:next w:val="Normalny"/>
    <w:uiPriority w:val="98"/>
    <w:semiHidden/>
    <w:rsid w:val="002B5B43"/>
  </w:style>
  <w:style w:type="table" w:styleId="Tabela-Profesjonalny">
    <w:name w:val="Table Professional"/>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B5B4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B5B4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B5B43"/>
    <w:pPr>
      <w:spacing w:after="100"/>
      <w:ind w:left="1680"/>
    </w:pPr>
  </w:style>
  <w:style w:type="paragraph" w:styleId="Spistreci9">
    <w:name w:val="toc 9"/>
    <w:basedOn w:val="Normalny"/>
    <w:next w:val="Normalny"/>
    <w:autoRedefine/>
    <w:uiPriority w:val="98"/>
    <w:semiHidden/>
    <w:rsid w:val="002B5B4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qFormat/>
    <w:rsid w:val="002B5B43"/>
    <w:pPr>
      <w:numPr>
        <w:numId w:val="7"/>
      </w:numPr>
      <w:spacing w:before="60" w:after="60"/>
    </w:pPr>
  </w:style>
  <w:style w:type="paragraph" w:customStyle="1" w:styleId="ECHRBullet2">
    <w:name w:val="ECHR_Bullet_2"/>
    <w:aliases w:val="_Bul_2"/>
    <w:basedOn w:val="ECHRBullet1"/>
    <w:uiPriority w:val="23"/>
    <w:rsid w:val="002B5B43"/>
    <w:pPr>
      <w:numPr>
        <w:ilvl w:val="1"/>
      </w:numPr>
    </w:pPr>
  </w:style>
  <w:style w:type="paragraph" w:customStyle="1" w:styleId="ECHRBullet3">
    <w:name w:val="ECHR_Bullet_3"/>
    <w:aliases w:val="_Bul_3"/>
    <w:basedOn w:val="ECHRBullet2"/>
    <w:uiPriority w:val="23"/>
    <w:rsid w:val="002B5B43"/>
    <w:pPr>
      <w:numPr>
        <w:ilvl w:val="2"/>
      </w:numPr>
    </w:pPr>
  </w:style>
  <w:style w:type="paragraph" w:customStyle="1" w:styleId="ECHRBullet4">
    <w:name w:val="ECHR_Bullet_4"/>
    <w:aliases w:val="_Bul_4"/>
    <w:basedOn w:val="ECHRBullet3"/>
    <w:uiPriority w:val="23"/>
    <w:rsid w:val="002B5B43"/>
    <w:pPr>
      <w:numPr>
        <w:ilvl w:val="3"/>
      </w:numPr>
    </w:pPr>
  </w:style>
  <w:style w:type="paragraph" w:customStyle="1" w:styleId="ECHRConfidential">
    <w:name w:val="ECHR_Confidential"/>
    <w:aliases w:val="_Confidential"/>
    <w:basedOn w:val="Normalny"/>
    <w:next w:val="Normalny"/>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B5B43"/>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B5B43"/>
    <w:pPr>
      <w:jc w:val="right"/>
    </w:pPr>
    <w:rPr>
      <w:sz w:val="20"/>
    </w:rPr>
  </w:style>
  <w:style w:type="paragraph" w:customStyle="1" w:styleId="ECHRHeaderRefIt">
    <w:name w:val="ECHR_Header_Ref_It"/>
    <w:aliases w:val="_Ref_Ital"/>
    <w:basedOn w:val="Normalny"/>
    <w:next w:val="ECHRHeaderDate"/>
    <w:uiPriority w:val="43"/>
    <w:qFormat/>
    <w:rsid w:val="002B5B43"/>
    <w:pPr>
      <w:jc w:val="right"/>
    </w:pPr>
    <w:rPr>
      <w:i/>
      <w:sz w:val="20"/>
    </w:rPr>
  </w:style>
  <w:style w:type="paragraph" w:customStyle="1" w:styleId="ECHRHeading9">
    <w:name w:val="ECHR_Heading_9"/>
    <w:aliases w:val="_Head_9"/>
    <w:basedOn w:val="Nagwek9"/>
    <w:uiPriority w:val="17"/>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omylnaczcionkaakapitu"/>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Standardowy"/>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B5B43"/>
    <w:pPr>
      <w:outlineLvl w:val="0"/>
    </w:pPr>
  </w:style>
  <w:style w:type="paragraph" w:customStyle="1" w:styleId="ECHRTitleTOC1">
    <w:name w:val="ECHR_Title_TOC_1"/>
    <w:aliases w:val="_Title_L_TOC"/>
    <w:basedOn w:val="ECHRTitle1"/>
    <w:next w:val="Normalny"/>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ny"/>
    <w:uiPriority w:val="45"/>
    <w:semiHidden/>
    <w:rsid w:val="002B5B43"/>
    <w:rPr>
      <w:sz w:val="4"/>
    </w:rPr>
  </w:style>
  <w:style w:type="table" w:customStyle="1" w:styleId="ECHRTableGrey">
    <w:name w:val="ECHR_Table_Grey"/>
    <w:basedOn w:val="Standardowy"/>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B5B43"/>
    <w:rPr>
      <w:color w:val="605E5C"/>
      <w:shd w:val="clear" w:color="auto" w:fill="E1DFDD"/>
    </w:rPr>
  </w:style>
  <w:style w:type="character" w:customStyle="1" w:styleId="JuParaChar">
    <w:name w:val="Ju_Para Char"/>
    <w:aliases w:val="_Para Char"/>
    <w:link w:val="JuPara"/>
    <w:uiPriority w:val="12"/>
    <w:qFormat/>
    <w:rsid w:val="000410B4"/>
    <w:rPr>
      <w:sz w:val="24"/>
      <w:szCs w:val="24"/>
      <w:lang w:val="pl-PL"/>
    </w:rPr>
  </w:style>
  <w:style w:type="table" w:styleId="Tabelasiatki1jasna">
    <w:name w:val="Grid Table 1 Light"/>
    <w:basedOn w:val="Standardowy"/>
    <w:uiPriority w:val="46"/>
    <w:semiHidden/>
    <w:rsid w:val="000410B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0410B4"/>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0410B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0410B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0410B4"/>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0410B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0410B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0410B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0410B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0410B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0410B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0410B4"/>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0410B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0410B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0410B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0410B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0410B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0410B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0410B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0410B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0410B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0410B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0410B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0410B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0410B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0410B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0410B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0410B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0410B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0410B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0410B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0410B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0410B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0410B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0410B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0410B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0410B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0410B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0410B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0410B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0410B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0410B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0410B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0410B4"/>
    <w:rPr>
      <w:color w:val="2B579A"/>
      <w:shd w:val="clear" w:color="auto" w:fill="E1DFDD"/>
    </w:rPr>
  </w:style>
  <w:style w:type="table" w:styleId="Tabelalisty1jasna">
    <w:name w:val="List Table 1 Light"/>
    <w:basedOn w:val="Standardowy"/>
    <w:uiPriority w:val="46"/>
    <w:semiHidden/>
    <w:rsid w:val="000410B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0410B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0410B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0410B4"/>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0410B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0410B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0410B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0410B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0410B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0410B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0410B4"/>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0410B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0410B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0410B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0410B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0410B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0410B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0410B4"/>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0410B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0410B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0410B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0410B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0410B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0410B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0410B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0410B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0410B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0410B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0410B4"/>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0410B4"/>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0410B4"/>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0410B4"/>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0410B4"/>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0410B4"/>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0410B4"/>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0410B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0410B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0410B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0410B4"/>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0410B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0410B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0410B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0410B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0410B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0410B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0410B4"/>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0410B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0410B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0410B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0410B4"/>
    <w:rPr>
      <w:color w:val="2B579A"/>
      <w:shd w:val="clear" w:color="auto" w:fill="E1DFDD"/>
    </w:rPr>
  </w:style>
  <w:style w:type="table" w:styleId="Zwykatabela1">
    <w:name w:val="Plain Table 1"/>
    <w:basedOn w:val="Standardowy"/>
    <w:uiPriority w:val="41"/>
    <w:semiHidden/>
    <w:rsid w:val="000410B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0410B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0410B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0410B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0410B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0410B4"/>
    <w:rPr>
      <w:u w:val="dotted"/>
    </w:rPr>
  </w:style>
  <w:style w:type="character" w:styleId="Inteligentnylink">
    <w:name w:val="Smart Link"/>
    <w:basedOn w:val="Domylnaczcionkaakapitu"/>
    <w:uiPriority w:val="99"/>
    <w:semiHidden/>
    <w:unhideWhenUsed/>
    <w:rsid w:val="000410B4"/>
    <w:rPr>
      <w:color w:val="0000FF"/>
      <w:u w:val="single"/>
      <w:shd w:val="clear" w:color="auto" w:fill="F3F2F1"/>
    </w:rPr>
  </w:style>
  <w:style w:type="table" w:styleId="Siatkatabelijasna">
    <w:name w:val="Grid Table Light"/>
    <w:basedOn w:val="Standardowy"/>
    <w:uiPriority w:val="40"/>
    <w:semiHidden/>
    <w:rsid w:val="000410B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uQuotChar">
    <w:name w:val="Ju_Quot Char"/>
    <w:link w:val="JuQuot"/>
    <w:uiPriority w:val="20"/>
    <w:rsid w:val="000410B4"/>
    <w:rPr>
      <w:sz w:val="20"/>
      <w:szCs w:val="24"/>
      <w:lang w:val="pl-PL"/>
    </w:rPr>
  </w:style>
  <w:style w:type="paragraph" w:styleId="Poprawka">
    <w:name w:val="Revision"/>
    <w:hidden/>
    <w:uiPriority w:val="99"/>
    <w:semiHidden/>
    <w:rsid w:val="000410B4"/>
    <w:rPr>
      <w:sz w:val="24"/>
      <w:szCs w:val="24"/>
    </w:rPr>
  </w:style>
  <w:style w:type="character" w:customStyle="1" w:styleId="JuParaCar">
    <w:name w:val="Ju_Para Car"/>
    <w:uiPriority w:val="12"/>
    <w:rsid w:val="000410B4"/>
    <w:rPr>
      <w:rFonts w:eastAsia="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hudoc.echr.coe.int/eng?i=001-21151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116</Pages>
  <Words>47994</Words>
  <Characters>287969</Characters>
  <Application>Microsoft Office Word</Application>
  <DocSecurity>0</DocSecurity>
  <Lines>2399</Lines>
  <Paragraphs>670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2024-01-25T10:49:00Z</dcterms:created>
  <dcterms:modified xsi:type="dcterms:W3CDTF">2024-01-25T10:49:00Z</dcterms:modified>
  <cp:category/>
</cp:coreProperties>
</file>